
<file path=[Content_Types].xml><?xml version="1.0" encoding="utf-8"?>
<Types xmlns="http://schemas.openxmlformats.org/package/2006/content-types">
  <Default Extension="xml" ContentType="application/xml"/>
  <Default Extension="xlsx" ContentType="application/vnd.openxmlformats-officedocument.spreadsheetml.sheet"/>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13BBEC">
      <w:pPr>
        <w:pStyle w:val="5"/>
        <w:jc w:val="center"/>
        <w:rPr>
          <w:rFonts w:ascii="方正小标宋简体" w:hAnsi="宋体" w:eastAsia="方正小标宋简体"/>
          <w:sz w:val="44"/>
          <w:szCs w:val="44"/>
        </w:rPr>
      </w:pPr>
    </w:p>
    <w:p w14:paraId="50A90515">
      <w:pPr>
        <w:pStyle w:val="5"/>
        <w:jc w:val="center"/>
        <w:rPr>
          <w:rFonts w:ascii="方正小标宋简体" w:hAnsi="宋体" w:eastAsia="方正小标宋简体"/>
          <w:sz w:val="44"/>
          <w:szCs w:val="44"/>
        </w:rPr>
      </w:pPr>
    </w:p>
    <w:p w14:paraId="17EC8EB7">
      <w:pPr>
        <w:pStyle w:val="5"/>
        <w:jc w:val="center"/>
        <w:rPr>
          <w:rFonts w:ascii="方正小标宋简体" w:hAnsi="宋体" w:eastAsia="方正小标宋简体"/>
          <w:sz w:val="44"/>
          <w:szCs w:val="44"/>
        </w:rPr>
      </w:pPr>
      <w:bookmarkStart w:id="0" w:name="_Toc15396476"/>
      <w:bookmarkStart w:id="1" w:name="_Toc15377194"/>
      <w:bookmarkStart w:id="2" w:name="_Toc15378442"/>
      <w:bookmarkStart w:id="3" w:name="_Toc15377426"/>
      <w:bookmarkStart w:id="4" w:name="_Toc15396598"/>
      <w:r>
        <w:rPr>
          <w:rFonts w:hint="eastAsia" w:ascii="方正小标宋简体" w:hAnsi="宋体" w:eastAsia="方正小标宋简体"/>
          <w:sz w:val="44"/>
          <w:szCs w:val="44"/>
        </w:rPr>
        <w:t>2023年度</w:t>
      </w:r>
    </w:p>
    <w:p w14:paraId="13C2FEC8">
      <w:pPr>
        <w:pStyle w:val="5"/>
        <w:jc w:val="center"/>
        <w:outlineLvl w:val="0"/>
        <w:rPr>
          <w:rFonts w:ascii="方正小标宋简体" w:hAnsi="宋体" w:eastAsia="方正小标宋简体"/>
          <w:sz w:val="44"/>
          <w:szCs w:val="44"/>
        </w:rPr>
      </w:pPr>
      <w:bookmarkStart w:id="5" w:name="_Toc30056"/>
      <w:r>
        <w:rPr>
          <w:rFonts w:hint="eastAsia" w:ascii="方正小标宋简体" w:hAnsi="宋体" w:eastAsia="方正小标宋简体"/>
          <w:sz w:val="44"/>
          <w:szCs w:val="44"/>
        </w:rPr>
        <w:t>广元市</w:t>
      </w:r>
      <w:bookmarkStart w:id="6" w:name="_Toc15306268"/>
      <w:r>
        <w:rPr>
          <w:rFonts w:hint="eastAsia" w:ascii="方正小标宋简体" w:hAnsi="宋体" w:eastAsia="方正小标宋简体"/>
          <w:sz w:val="44"/>
          <w:szCs w:val="44"/>
        </w:rPr>
        <w:t>公安局部门决算</w:t>
      </w:r>
      <w:bookmarkEnd w:id="0"/>
      <w:bookmarkEnd w:id="1"/>
      <w:bookmarkEnd w:id="2"/>
      <w:bookmarkEnd w:id="3"/>
      <w:bookmarkEnd w:id="4"/>
      <w:bookmarkEnd w:id="5"/>
      <w:bookmarkEnd w:id="6"/>
    </w:p>
    <w:p w14:paraId="25A87416">
      <w:pPr>
        <w:widowControl/>
        <w:jc w:val="center"/>
        <w:rPr>
          <w:rFonts w:ascii="黑体" w:hAnsi="黑体" w:eastAsia="黑体"/>
          <w:sz w:val="48"/>
          <w:szCs w:val="48"/>
        </w:rPr>
      </w:pPr>
    </w:p>
    <w:p w14:paraId="722C20E1">
      <w:pPr>
        <w:widowControl/>
        <w:jc w:val="center"/>
        <w:rPr>
          <w:rFonts w:ascii="黑体" w:hAnsi="黑体" w:eastAsia="黑体"/>
          <w:sz w:val="48"/>
          <w:szCs w:val="48"/>
        </w:rPr>
      </w:pPr>
    </w:p>
    <w:p w14:paraId="57018003">
      <w:pPr>
        <w:widowControl/>
        <w:jc w:val="center"/>
        <w:rPr>
          <w:rFonts w:ascii="黑体" w:hAnsi="黑体" w:eastAsia="黑体"/>
          <w:sz w:val="48"/>
          <w:szCs w:val="48"/>
        </w:rPr>
      </w:pPr>
    </w:p>
    <w:p w14:paraId="3012A22F">
      <w:pPr>
        <w:widowControl/>
        <w:jc w:val="center"/>
        <w:rPr>
          <w:rFonts w:ascii="黑体" w:hAnsi="黑体" w:eastAsia="黑体"/>
          <w:sz w:val="48"/>
          <w:szCs w:val="48"/>
        </w:rPr>
      </w:pPr>
    </w:p>
    <w:p w14:paraId="663B7CEE">
      <w:pPr>
        <w:widowControl/>
        <w:jc w:val="center"/>
        <w:rPr>
          <w:rFonts w:ascii="黑体" w:hAnsi="黑体" w:eastAsia="黑体"/>
          <w:sz w:val="48"/>
          <w:szCs w:val="48"/>
        </w:rPr>
      </w:pPr>
    </w:p>
    <w:p w14:paraId="04211EFE">
      <w:pPr>
        <w:widowControl/>
        <w:jc w:val="center"/>
        <w:rPr>
          <w:rFonts w:ascii="黑体" w:hAnsi="黑体" w:eastAsia="黑体"/>
          <w:sz w:val="48"/>
          <w:szCs w:val="48"/>
        </w:rPr>
      </w:pPr>
    </w:p>
    <w:p w14:paraId="1462B42E">
      <w:pPr>
        <w:widowControl/>
        <w:jc w:val="center"/>
        <w:rPr>
          <w:rFonts w:ascii="黑体" w:hAnsi="黑体" w:eastAsia="黑体"/>
          <w:sz w:val="48"/>
          <w:szCs w:val="48"/>
        </w:rPr>
      </w:pPr>
    </w:p>
    <w:p w14:paraId="22020DCE">
      <w:pPr>
        <w:widowControl/>
        <w:jc w:val="center"/>
        <w:rPr>
          <w:rFonts w:ascii="黑体" w:hAnsi="黑体" w:eastAsia="黑体"/>
          <w:sz w:val="48"/>
          <w:szCs w:val="48"/>
        </w:rPr>
      </w:pPr>
    </w:p>
    <w:p w14:paraId="481F01BC">
      <w:pPr>
        <w:widowControl/>
        <w:jc w:val="center"/>
        <w:rPr>
          <w:rFonts w:ascii="黑体" w:hAnsi="黑体" w:eastAsia="黑体"/>
          <w:sz w:val="48"/>
          <w:szCs w:val="48"/>
        </w:rPr>
      </w:pPr>
    </w:p>
    <w:p w14:paraId="193A567C">
      <w:pPr>
        <w:widowControl/>
        <w:jc w:val="center"/>
        <w:rPr>
          <w:rFonts w:ascii="黑体" w:hAnsi="黑体" w:eastAsia="黑体"/>
          <w:sz w:val="48"/>
          <w:szCs w:val="48"/>
        </w:rPr>
      </w:pPr>
    </w:p>
    <w:p w14:paraId="26F1263B">
      <w:pPr>
        <w:widowControl/>
        <w:jc w:val="center"/>
        <w:rPr>
          <w:rFonts w:ascii="黑体" w:hAnsi="黑体" w:eastAsia="黑体"/>
          <w:sz w:val="48"/>
          <w:szCs w:val="48"/>
        </w:rPr>
      </w:pPr>
    </w:p>
    <w:p w14:paraId="70B8689B">
      <w:pPr>
        <w:widowControl/>
        <w:jc w:val="center"/>
        <w:rPr>
          <w:rFonts w:ascii="黑体" w:hAnsi="黑体" w:eastAsia="黑体"/>
          <w:sz w:val="48"/>
          <w:szCs w:val="48"/>
        </w:rPr>
      </w:pPr>
    </w:p>
    <w:p w14:paraId="3DC05F1C">
      <w:pPr>
        <w:widowControl/>
        <w:jc w:val="center"/>
        <w:rPr>
          <w:rFonts w:ascii="黑体" w:hAnsi="黑体" w:eastAsia="黑体"/>
          <w:sz w:val="48"/>
          <w:szCs w:val="48"/>
        </w:rPr>
      </w:pPr>
    </w:p>
    <w:p w14:paraId="381DF0A0">
      <w:pPr>
        <w:widowControl/>
        <w:jc w:val="center"/>
        <w:rPr>
          <w:rFonts w:ascii="黑体" w:hAnsi="黑体" w:eastAsia="黑体"/>
          <w:sz w:val="48"/>
          <w:szCs w:val="48"/>
        </w:rPr>
      </w:pPr>
    </w:p>
    <w:p w14:paraId="729DEAFA">
      <w:pPr>
        <w:widowControl/>
        <w:jc w:val="center"/>
        <w:rPr>
          <w:rFonts w:ascii="黑体" w:hAnsi="黑体" w:eastAsia="黑体"/>
          <w:sz w:val="48"/>
          <w:szCs w:val="48"/>
        </w:rPr>
      </w:pPr>
    </w:p>
    <w:p w14:paraId="22ED161E">
      <w:pPr>
        <w:widowControl/>
        <w:jc w:val="center"/>
        <w:rPr>
          <w:rFonts w:ascii="黑体" w:hAnsi="黑体" w:eastAsia="黑体"/>
          <w:sz w:val="48"/>
          <w:szCs w:val="48"/>
        </w:rPr>
      </w:pPr>
      <w:r>
        <w:rPr>
          <w:rFonts w:hint="eastAsia" w:ascii="黑体" w:hAnsi="黑体" w:eastAsia="黑体"/>
          <w:sz w:val="48"/>
          <w:szCs w:val="48"/>
        </w:rPr>
        <w:t>目录</w:t>
      </w:r>
    </w:p>
    <w:p w14:paraId="654D710B">
      <w:pPr>
        <w:pStyle w:val="11"/>
      </w:pPr>
      <w:r>
        <w:rPr>
          <w:rFonts w:hint="eastAsia"/>
        </w:rPr>
        <w:t>公开时间：2024年10月2日</w:t>
      </w:r>
    </w:p>
    <w:sdt>
      <w:sdtPr>
        <w:rPr>
          <w:rFonts w:ascii="宋体" w:hAnsi="宋体" w:eastAsia="宋体" w:cs="Times New Roman"/>
          <w:kern w:val="2"/>
          <w:sz w:val="21"/>
          <w:szCs w:val="24"/>
          <w:lang w:val="en-US" w:eastAsia="zh-CN" w:bidi="ar-SA"/>
        </w:rPr>
        <w:id w:val="147458075"/>
        <w15:color w:val="DBDBDB"/>
        <w:docPartObj>
          <w:docPartGallery w:val="Table of Contents"/>
          <w:docPartUnique/>
        </w:docPartObj>
      </w:sdtPr>
      <w:sdtEndPr>
        <w:rPr>
          <w:rFonts w:ascii="宋体" w:hAnsi="宋体" w:eastAsia="宋体" w:cs="Times New Roman"/>
          <w:b/>
          <w:kern w:val="2"/>
          <w:sz w:val="21"/>
          <w:szCs w:val="24"/>
          <w:lang w:val="en-US" w:eastAsia="zh-CN" w:bidi="ar-SA"/>
        </w:rPr>
      </w:sdtEndPr>
      <w:sdtContent>
        <w:p w14:paraId="41FBC370">
          <w:pPr>
            <w:spacing w:before="0" w:beforeLines="0" w:after="0" w:afterLines="0" w:line="240" w:lineRule="auto"/>
            <w:ind w:left="0" w:leftChars="0" w:right="0" w:rightChars="0" w:firstLine="0" w:firstLineChars="0"/>
            <w:jc w:val="center"/>
          </w:pPr>
          <w:bookmarkStart w:id="7" w:name="_Toc15396599"/>
          <w:bookmarkStart w:id="8" w:name="_Toc15377196"/>
        </w:p>
        <w:p w14:paraId="201BDBD8">
          <w:pPr>
            <w:pStyle w:val="34"/>
            <w:tabs>
              <w:tab w:val="right" w:leader="dot" w:pos="8306"/>
            </w:tabs>
            <w:rPr>
              <w:b/>
            </w:rPr>
          </w:pPr>
          <w:r>
            <w:fldChar w:fldCharType="begin"/>
          </w:r>
          <w:r>
            <w:instrText xml:space="preserve">TOC \o "1-2" \h \u </w:instrText>
          </w:r>
          <w:r>
            <w:fldChar w:fldCharType="separate"/>
          </w:r>
          <w:r>
            <w:rPr>
              <w:b/>
            </w:rPr>
            <w:fldChar w:fldCharType="begin"/>
          </w:r>
          <w:r>
            <w:rPr>
              <w:b/>
            </w:rPr>
            <w:instrText xml:space="preserve"> HYPERLINK \l _Toc8959 </w:instrText>
          </w:r>
          <w:r>
            <w:rPr>
              <w:b/>
            </w:rPr>
            <w:fldChar w:fldCharType="separate"/>
          </w:r>
          <w:r>
            <w:rPr>
              <w:rFonts w:hint="eastAsia" w:ascii="黑体" w:hAnsi="黑体" w:eastAsia="黑体"/>
              <w:b/>
            </w:rPr>
            <w:t xml:space="preserve">第一部分 </w:t>
          </w:r>
          <w:r>
            <w:rPr>
              <w:rFonts w:hint="eastAsia" w:ascii="黑体" w:hAnsi="黑体" w:eastAsia="黑体"/>
              <w:b/>
              <w:bCs w:val="0"/>
            </w:rPr>
            <w:t>部门概况</w:t>
          </w:r>
          <w:r>
            <w:rPr>
              <w:b/>
            </w:rPr>
            <w:tab/>
          </w:r>
          <w:r>
            <w:rPr>
              <w:b/>
            </w:rPr>
            <w:fldChar w:fldCharType="begin"/>
          </w:r>
          <w:r>
            <w:rPr>
              <w:b/>
            </w:rPr>
            <w:instrText xml:space="preserve"> PAGEREF _Toc8959 \h </w:instrText>
          </w:r>
          <w:r>
            <w:rPr>
              <w:b/>
            </w:rPr>
            <w:fldChar w:fldCharType="separate"/>
          </w:r>
          <w:r>
            <w:rPr>
              <w:b/>
            </w:rPr>
            <w:t>1</w:t>
          </w:r>
          <w:r>
            <w:rPr>
              <w:b/>
            </w:rPr>
            <w:fldChar w:fldCharType="end"/>
          </w:r>
          <w:r>
            <w:rPr>
              <w:b/>
            </w:rPr>
            <w:fldChar w:fldCharType="end"/>
          </w:r>
        </w:p>
        <w:p w14:paraId="2E5992B2">
          <w:pPr>
            <w:pStyle w:val="35"/>
            <w:tabs>
              <w:tab w:val="right" w:leader="dot" w:pos="8306"/>
            </w:tabs>
          </w:pPr>
          <w:r>
            <w:fldChar w:fldCharType="begin"/>
          </w:r>
          <w:r>
            <w:instrText xml:space="preserve"> HYPERLINK \l _Toc11723 </w:instrText>
          </w:r>
          <w:r>
            <w:fldChar w:fldCharType="separate"/>
          </w:r>
          <w:r>
            <w:rPr>
              <w:rFonts w:hint="eastAsia" w:ascii="黑体" w:eastAsia="黑体"/>
            </w:rPr>
            <w:t>一、</w:t>
          </w:r>
          <w:r>
            <w:rPr>
              <w:rFonts w:hint="eastAsia" w:ascii="黑体" w:hAnsi="黑体" w:eastAsia="黑体"/>
            </w:rPr>
            <w:t>部门职责</w:t>
          </w:r>
          <w:r>
            <w:tab/>
          </w:r>
          <w:r>
            <w:fldChar w:fldCharType="begin"/>
          </w:r>
          <w:r>
            <w:instrText xml:space="preserve"> PAGEREF _Toc11723 \h </w:instrText>
          </w:r>
          <w:r>
            <w:fldChar w:fldCharType="separate"/>
          </w:r>
          <w:r>
            <w:t>1</w:t>
          </w:r>
          <w:r>
            <w:fldChar w:fldCharType="end"/>
          </w:r>
          <w:r>
            <w:fldChar w:fldCharType="end"/>
          </w:r>
        </w:p>
        <w:p w14:paraId="441AD450">
          <w:pPr>
            <w:pStyle w:val="35"/>
            <w:tabs>
              <w:tab w:val="right" w:leader="dot" w:pos="8306"/>
            </w:tabs>
          </w:pPr>
          <w:r>
            <w:fldChar w:fldCharType="begin"/>
          </w:r>
          <w:r>
            <w:instrText xml:space="preserve"> HYPERLINK \l _Toc14177 </w:instrText>
          </w:r>
          <w:r>
            <w:fldChar w:fldCharType="separate"/>
          </w:r>
          <w:r>
            <w:rPr>
              <w:rFonts w:hint="eastAsia" w:ascii="黑体" w:eastAsia="黑体"/>
            </w:rPr>
            <w:t>二、</w:t>
          </w:r>
          <w:r>
            <w:rPr>
              <w:rFonts w:hint="eastAsia" w:ascii="黑体" w:hAnsi="黑体" w:eastAsia="黑体"/>
            </w:rPr>
            <w:t>机</w:t>
          </w:r>
          <w:r>
            <w:rPr>
              <w:rFonts w:hint="eastAsia" w:ascii="黑体" w:hAnsi="黑体" w:eastAsia="黑体"/>
              <w:bCs w:val="0"/>
            </w:rPr>
            <w:t>构设置</w:t>
          </w:r>
          <w:r>
            <w:tab/>
          </w:r>
          <w:r>
            <w:fldChar w:fldCharType="begin"/>
          </w:r>
          <w:r>
            <w:instrText xml:space="preserve"> PAGEREF _Toc14177 \h </w:instrText>
          </w:r>
          <w:r>
            <w:fldChar w:fldCharType="separate"/>
          </w:r>
          <w:r>
            <w:t>3</w:t>
          </w:r>
          <w:r>
            <w:fldChar w:fldCharType="end"/>
          </w:r>
          <w:r>
            <w:fldChar w:fldCharType="end"/>
          </w:r>
        </w:p>
        <w:p w14:paraId="6CB2ABD3">
          <w:pPr>
            <w:pStyle w:val="34"/>
            <w:tabs>
              <w:tab w:val="right" w:leader="dot" w:pos="8306"/>
            </w:tabs>
            <w:rPr>
              <w:b/>
            </w:rPr>
          </w:pPr>
          <w:r>
            <w:rPr>
              <w:b/>
            </w:rPr>
            <w:fldChar w:fldCharType="begin"/>
          </w:r>
          <w:r>
            <w:rPr>
              <w:b/>
            </w:rPr>
            <w:instrText xml:space="preserve"> HYPERLINK \l _Toc11931 </w:instrText>
          </w:r>
          <w:r>
            <w:rPr>
              <w:b/>
            </w:rPr>
            <w:fldChar w:fldCharType="separate"/>
          </w:r>
          <w:r>
            <w:rPr>
              <w:rFonts w:hint="eastAsia" w:ascii="黑体" w:hAnsi="黑体" w:eastAsia="黑体"/>
              <w:b/>
            </w:rPr>
            <w:t>第二部分 2023年度</w:t>
          </w:r>
          <w:r>
            <w:rPr>
              <w:rFonts w:hint="eastAsia" w:ascii="黑体" w:hAnsi="黑体" w:eastAsia="黑体"/>
              <w:b/>
              <w:bCs w:val="0"/>
            </w:rPr>
            <w:t>部门决算情况说明</w:t>
          </w:r>
          <w:r>
            <w:rPr>
              <w:b/>
            </w:rPr>
            <w:tab/>
          </w:r>
          <w:r>
            <w:rPr>
              <w:b/>
            </w:rPr>
            <w:fldChar w:fldCharType="begin"/>
          </w:r>
          <w:r>
            <w:rPr>
              <w:b/>
            </w:rPr>
            <w:instrText xml:space="preserve"> PAGEREF _Toc11931 \h </w:instrText>
          </w:r>
          <w:r>
            <w:rPr>
              <w:b/>
            </w:rPr>
            <w:fldChar w:fldCharType="separate"/>
          </w:r>
          <w:r>
            <w:rPr>
              <w:b/>
            </w:rPr>
            <w:t>4</w:t>
          </w:r>
          <w:r>
            <w:rPr>
              <w:b/>
            </w:rPr>
            <w:fldChar w:fldCharType="end"/>
          </w:r>
          <w:r>
            <w:rPr>
              <w:b/>
            </w:rPr>
            <w:fldChar w:fldCharType="end"/>
          </w:r>
        </w:p>
        <w:p w14:paraId="2FAF5E7A">
          <w:pPr>
            <w:pStyle w:val="35"/>
            <w:tabs>
              <w:tab w:val="right" w:leader="dot" w:pos="8306"/>
            </w:tabs>
          </w:pPr>
          <w:r>
            <w:fldChar w:fldCharType="begin"/>
          </w:r>
          <w:r>
            <w:instrText xml:space="preserve"> HYPERLINK \l _Toc5928 </w:instrText>
          </w:r>
          <w:r>
            <w:fldChar w:fldCharType="separate"/>
          </w:r>
          <w:r>
            <w:rPr>
              <w:rFonts w:hint="default" w:ascii="黑体" w:hAnsi="黑体" w:eastAsia="黑体"/>
            </w:rPr>
            <w:t xml:space="preserve">一、 </w:t>
          </w:r>
          <w:r>
            <w:rPr>
              <w:rFonts w:hint="eastAsia" w:ascii="黑体" w:hAnsi="黑体" w:eastAsia="黑体"/>
              <w:szCs w:val="32"/>
            </w:rPr>
            <w:t>收</w:t>
          </w:r>
          <w:r>
            <w:rPr>
              <w:rFonts w:hint="eastAsia" w:ascii="黑体" w:hAnsi="黑体" w:eastAsia="黑体"/>
            </w:rPr>
            <w:t>入支出决算总体情况说明</w:t>
          </w:r>
          <w:r>
            <w:tab/>
          </w:r>
          <w:r>
            <w:fldChar w:fldCharType="begin"/>
          </w:r>
          <w:r>
            <w:instrText xml:space="preserve"> PAGEREF _Toc5928 \h </w:instrText>
          </w:r>
          <w:r>
            <w:fldChar w:fldCharType="separate"/>
          </w:r>
          <w:r>
            <w:t>4</w:t>
          </w:r>
          <w:r>
            <w:fldChar w:fldCharType="end"/>
          </w:r>
          <w:r>
            <w:fldChar w:fldCharType="end"/>
          </w:r>
        </w:p>
        <w:p w14:paraId="12E5C135">
          <w:pPr>
            <w:pStyle w:val="35"/>
            <w:tabs>
              <w:tab w:val="right" w:leader="dot" w:pos="8306"/>
            </w:tabs>
          </w:pPr>
          <w:r>
            <w:fldChar w:fldCharType="begin"/>
          </w:r>
          <w:r>
            <w:instrText xml:space="preserve"> HYPERLINK \l _Toc5189 </w:instrText>
          </w:r>
          <w:r>
            <w:fldChar w:fldCharType="separate"/>
          </w:r>
          <w:r>
            <w:rPr>
              <w:rFonts w:hint="default" w:ascii="黑体" w:hAnsi="黑体" w:eastAsia="黑体"/>
            </w:rPr>
            <w:t xml:space="preserve">二、 </w:t>
          </w:r>
          <w:r>
            <w:rPr>
              <w:rFonts w:hint="eastAsia" w:ascii="黑体" w:hAnsi="黑体" w:eastAsia="黑体"/>
              <w:szCs w:val="32"/>
            </w:rPr>
            <w:t>收</w:t>
          </w:r>
          <w:r>
            <w:rPr>
              <w:rFonts w:hint="eastAsia" w:ascii="黑体" w:hAnsi="黑体" w:eastAsia="黑体"/>
            </w:rPr>
            <w:t>入决算情况说明</w:t>
          </w:r>
          <w:r>
            <w:tab/>
          </w:r>
          <w:r>
            <w:fldChar w:fldCharType="begin"/>
          </w:r>
          <w:r>
            <w:instrText xml:space="preserve"> PAGEREF _Toc5189 \h </w:instrText>
          </w:r>
          <w:r>
            <w:fldChar w:fldCharType="separate"/>
          </w:r>
          <w:r>
            <w:t>4</w:t>
          </w:r>
          <w:r>
            <w:fldChar w:fldCharType="end"/>
          </w:r>
          <w:r>
            <w:fldChar w:fldCharType="end"/>
          </w:r>
        </w:p>
        <w:p w14:paraId="144548FA">
          <w:pPr>
            <w:pStyle w:val="35"/>
            <w:tabs>
              <w:tab w:val="right" w:leader="dot" w:pos="8306"/>
            </w:tabs>
          </w:pPr>
          <w:r>
            <w:fldChar w:fldCharType="begin"/>
          </w:r>
          <w:r>
            <w:instrText xml:space="preserve"> HYPERLINK \l _Toc6884 </w:instrText>
          </w:r>
          <w:r>
            <w:fldChar w:fldCharType="separate"/>
          </w:r>
          <w:r>
            <w:rPr>
              <w:rFonts w:hint="default" w:ascii="黑体" w:hAnsi="黑体" w:eastAsia="黑体"/>
            </w:rPr>
            <w:t xml:space="preserve">三、 </w:t>
          </w:r>
          <w:r>
            <w:rPr>
              <w:rFonts w:hint="eastAsia" w:ascii="黑体" w:hAnsi="黑体" w:eastAsia="黑体"/>
              <w:szCs w:val="32"/>
            </w:rPr>
            <w:t>支</w:t>
          </w:r>
          <w:r>
            <w:rPr>
              <w:rFonts w:hint="eastAsia" w:ascii="黑体" w:hAnsi="黑体" w:eastAsia="黑体"/>
            </w:rPr>
            <w:t>出决算情况说明</w:t>
          </w:r>
          <w:r>
            <w:tab/>
          </w:r>
          <w:r>
            <w:fldChar w:fldCharType="begin"/>
          </w:r>
          <w:r>
            <w:instrText xml:space="preserve"> PAGEREF _Toc6884 \h </w:instrText>
          </w:r>
          <w:r>
            <w:fldChar w:fldCharType="separate"/>
          </w:r>
          <w:r>
            <w:t>5</w:t>
          </w:r>
          <w:r>
            <w:fldChar w:fldCharType="end"/>
          </w:r>
          <w:r>
            <w:fldChar w:fldCharType="end"/>
          </w:r>
        </w:p>
        <w:p w14:paraId="1A640DBE">
          <w:pPr>
            <w:pStyle w:val="35"/>
            <w:tabs>
              <w:tab w:val="right" w:leader="dot" w:pos="8306"/>
            </w:tabs>
          </w:pPr>
          <w:r>
            <w:fldChar w:fldCharType="begin"/>
          </w:r>
          <w:r>
            <w:instrText xml:space="preserve"> HYPERLINK \l _Toc7638 </w:instrText>
          </w:r>
          <w:r>
            <w:fldChar w:fldCharType="separate"/>
          </w:r>
          <w:r>
            <w:rPr>
              <w:rFonts w:hint="eastAsia" w:ascii="黑体" w:hAnsi="黑体" w:eastAsia="黑体"/>
              <w:szCs w:val="32"/>
            </w:rPr>
            <w:t>四、财</w:t>
          </w:r>
          <w:r>
            <w:rPr>
              <w:rFonts w:hint="eastAsia" w:ascii="黑体" w:hAnsi="黑体" w:eastAsia="黑体"/>
            </w:rPr>
            <w:t>政拨款收入支出决算总体情况说明</w:t>
          </w:r>
          <w:r>
            <w:tab/>
          </w:r>
          <w:r>
            <w:fldChar w:fldCharType="begin"/>
          </w:r>
          <w:r>
            <w:instrText xml:space="preserve"> PAGEREF _Toc7638 \h </w:instrText>
          </w:r>
          <w:r>
            <w:fldChar w:fldCharType="separate"/>
          </w:r>
          <w:r>
            <w:t>6</w:t>
          </w:r>
          <w:r>
            <w:fldChar w:fldCharType="end"/>
          </w:r>
          <w:r>
            <w:fldChar w:fldCharType="end"/>
          </w:r>
        </w:p>
        <w:p w14:paraId="1009DE5D">
          <w:pPr>
            <w:pStyle w:val="35"/>
            <w:tabs>
              <w:tab w:val="right" w:leader="dot" w:pos="8306"/>
            </w:tabs>
          </w:pPr>
          <w:r>
            <w:fldChar w:fldCharType="begin"/>
          </w:r>
          <w:r>
            <w:instrText xml:space="preserve"> HYPERLINK \l _Toc6918 </w:instrText>
          </w:r>
          <w:r>
            <w:fldChar w:fldCharType="separate"/>
          </w:r>
          <w:r>
            <w:rPr>
              <w:rFonts w:hint="eastAsia" w:ascii="黑体" w:hAnsi="黑体" w:eastAsia="黑体"/>
              <w:szCs w:val="32"/>
            </w:rPr>
            <w:t>五、一</w:t>
          </w:r>
          <w:r>
            <w:rPr>
              <w:rFonts w:hint="eastAsia" w:ascii="黑体" w:hAnsi="黑体" w:eastAsia="黑体"/>
            </w:rPr>
            <w:t>般公共预算财政拨款支出决算情况说明</w:t>
          </w:r>
          <w:r>
            <w:tab/>
          </w:r>
          <w:r>
            <w:fldChar w:fldCharType="begin"/>
          </w:r>
          <w:r>
            <w:instrText xml:space="preserve"> PAGEREF _Toc6918 \h </w:instrText>
          </w:r>
          <w:r>
            <w:fldChar w:fldCharType="separate"/>
          </w:r>
          <w:r>
            <w:t>6</w:t>
          </w:r>
          <w:r>
            <w:fldChar w:fldCharType="end"/>
          </w:r>
          <w:r>
            <w:fldChar w:fldCharType="end"/>
          </w:r>
        </w:p>
        <w:p w14:paraId="78E7355E">
          <w:pPr>
            <w:pStyle w:val="35"/>
            <w:tabs>
              <w:tab w:val="right" w:leader="dot" w:pos="8306"/>
            </w:tabs>
          </w:pPr>
          <w:r>
            <w:fldChar w:fldCharType="begin"/>
          </w:r>
          <w:r>
            <w:instrText xml:space="preserve"> HYPERLINK \l _Toc9439 </w:instrText>
          </w:r>
          <w:r>
            <w:fldChar w:fldCharType="separate"/>
          </w:r>
          <w:r>
            <w:rPr>
              <w:rFonts w:hint="eastAsia" w:ascii="黑体" w:eastAsia="黑体"/>
              <w:szCs w:val="32"/>
            </w:rPr>
            <w:t>六、</w:t>
          </w:r>
          <w:r>
            <w:rPr>
              <w:rFonts w:hint="eastAsia" w:ascii="黑体" w:hAnsi="黑体" w:eastAsia="黑体"/>
              <w:szCs w:val="32"/>
            </w:rPr>
            <w:t>一</w:t>
          </w:r>
          <w:r>
            <w:rPr>
              <w:rFonts w:hint="eastAsia" w:ascii="黑体" w:hAnsi="黑体" w:eastAsia="黑体"/>
            </w:rPr>
            <w:t>般公共预算财政拨款基本支出决算情况说明</w:t>
          </w:r>
          <w:r>
            <w:tab/>
          </w:r>
          <w:r>
            <w:fldChar w:fldCharType="begin"/>
          </w:r>
          <w:r>
            <w:instrText xml:space="preserve"> PAGEREF _Toc9439 \h </w:instrText>
          </w:r>
          <w:r>
            <w:fldChar w:fldCharType="separate"/>
          </w:r>
          <w:r>
            <w:t>10</w:t>
          </w:r>
          <w:r>
            <w:fldChar w:fldCharType="end"/>
          </w:r>
          <w:r>
            <w:fldChar w:fldCharType="end"/>
          </w:r>
        </w:p>
        <w:p w14:paraId="2B441675">
          <w:pPr>
            <w:pStyle w:val="35"/>
            <w:tabs>
              <w:tab w:val="right" w:leader="dot" w:pos="8306"/>
            </w:tabs>
          </w:pPr>
          <w:r>
            <w:fldChar w:fldCharType="begin"/>
          </w:r>
          <w:r>
            <w:instrText xml:space="preserve"> HYPERLINK \l _Toc6987 </w:instrText>
          </w:r>
          <w:r>
            <w:fldChar w:fldCharType="separate"/>
          </w:r>
          <w:r>
            <w:rPr>
              <w:rFonts w:hint="eastAsia" w:ascii="黑体" w:eastAsia="黑体"/>
              <w:szCs w:val="32"/>
            </w:rPr>
            <w:t>七、</w:t>
          </w:r>
          <w:r>
            <w:rPr>
              <w:rFonts w:hint="eastAsia" w:ascii="黑体" w:hAnsi="黑体" w:eastAsia="黑体"/>
            </w:rPr>
            <w:t>财政拨款“三公”经费支出决算情况说明</w:t>
          </w:r>
          <w:r>
            <w:tab/>
          </w:r>
          <w:r>
            <w:fldChar w:fldCharType="begin"/>
          </w:r>
          <w:r>
            <w:instrText xml:space="preserve"> PAGEREF _Toc6987 \h </w:instrText>
          </w:r>
          <w:r>
            <w:fldChar w:fldCharType="separate"/>
          </w:r>
          <w:r>
            <w:t>11</w:t>
          </w:r>
          <w:r>
            <w:fldChar w:fldCharType="end"/>
          </w:r>
          <w:r>
            <w:fldChar w:fldCharType="end"/>
          </w:r>
        </w:p>
        <w:p w14:paraId="6864A5AF">
          <w:pPr>
            <w:pStyle w:val="35"/>
            <w:tabs>
              <w:tab w:val="right" w:leader="dot" w:pos="8306"/>
            </w:tabs>
          </w:pPr>
          <w:r>
            <w:fldChar w:fldCharType="begin"/>
          </w:r>
          <w:r>
            <w:instrText xml:space="preserve"> HYPERLINK \l _Toc29585 </w:instrText>
          </w:r>
          <w:r>
            <w:fldChar w:fldCharType="separate"/>
          </w:r>
          <w:r>
            <w:rPr>
              <w:rFonts w:hint="eastAsia" w:ascii="黑体" w:eastAsia="黑体"/>
              <w:szCs w:val="32"/>
            </w:rPr>
            <w:t>八、</w:t>
          </w:r>
          <w:r>
            <w:rPr>
              <w:rFonts w:hint="eastAsia" w:ascii="黑体" w:hAnsi="黑体" w:eastAsia="黑体"/>
            </w:rPr>
            <w:t>政府性基金预算支出决算情况说明</w:t>
          </w:r>
          <w:r>
            <w:tab/>
          </w:r>
          <w:r>
            <w:fldChar w:fldCharType="begin"/>
          </w:r>
          <w:r>
            <w:instrText xml:space="preserve"> PAGEREF _Toc29585 \h </w:instrText>
          </w:r>
          <w:r>
            <w:fldChar w:fldCharType="separate"/>
          </w:r>
          <w:r>
            <w:t>13</w:t>
          </w:r>
          <w:r>
            <w:fldChar w:fldCharType="end"/>
          </w:r>
          <w:r>
            <w:fldChar w:fldCharType="end"/>
          </w:r>
        </w:p>
        <w:p w14:paraId="72E0454B">
          <w:pPr>
            <w:pStyle w:val="35"/>
            <w:tabs>
              <w:tab w:val="right" w:leader="dot" w:pos="8306"/>
            </w:tabs>
          </w:pPr>
          <w:r>
            <w:fldChar w:fldCharType="begin"/>
          </w:r>
          <w:r>
            <w:instrText xml:space="preserve"> HYPERLINK \l _Toc4559 </w:instrText>
          </w:r>
          <w:r>
            <w:fldChar w:fldCharType="separate"/>
          </w:r>
          <w:r>
            <w:rPr>
              <w:rFonts w:hint="eastAsia" w:ascii="黑体" w:hAnsi="黑体" w:eastAsia="黑体"/>
            </w:rPr>
            <w:t>九、 国有资本经营预算支出决算情况说明</w:t>
          </w:r>
          <w:r>
            <w:tab/>
          </w:r>
          <w:r>
            <w:fldChar w:fldCharType="begin"/>
          </w:r>
          <w:r>
            <w:instrText xml:space="preserve"> PAGEREF _Toc4559 \h </w:instrText>
          </w:r>
          <w:r>
            <w:fldChar w:fldCharType="separate"/>
          </w:r>
          <w:r>
            <w:t>13</w:t>
          </w:r>
          <w:r>
            <w:fldChar w:fldCharType="end"/>
          </w:r>
          <w:r>
            <w:fldChar w:fldCharType="end"/>
          </w:r>
        </w:p>
        <w:p w14:paraId="180AD54D">
          <w:pPr>
            <w:pStyle w:val="35"/>
            <w:tabs>
              <w:tab w:val="right" w:leader="dot" w:pos="8306"/>
            </w:tabs>
          </w:pPr>
          <w:r>
            <w:fldChar w:fldCharType="begin"/>
          </w:r>
          <w:r>
            <w:instrText xml:space="preserve"> HYPERLINK \l _Toc29910 </w:instrText>
          </w:r>
          <w:r>
            <w:fldChar w:fldCharType="separate"/>
          </w:r>
          <w:r>
            <w:rPr>
              <w:rFonts w:hint="eastAsia" w:ascii="黑体" w:hAnsi="黑体" w:eastAsia="黑体"/>
            </w:rPr>
            <w:t>十、 其他重要事项的情况说明</w:t>
          </w:r>
          <w:r>
            <w:tab/>
          </w:r>
          <w:r>
            <w:fldChar w:fldCharType="begin"/>
          </w:r>
          <w:r>
            <w:instrText xml:space="preserve"> PAGEREF _Toc29910 \h </w:instrText>
          </w:r>
          <w:r>
            <w:fldChar w:fldCharType="separate"/>
          </w:r>
          <w:r>
            <w:t>13</w:t>
          </w:r>
          <w:r>
            <w:fldChar w:fldCharType="end"/>
          </w:r>
          <w:r>
            <w:fldChar w:fldCharType="end"/>
          </w:r>
        </w:p>
        <w:p w14:paraId="0C2B067B">
          <w:pPr>
            <w:pStyle w:val="34"/>
            <w:tabs>
              <w:tab w:val="right" w:leader="dot" w:pos="8306"/>
            </w:tabs>
            <w:rPr>
              <w:b/>
            </w:rPr>
          </w:pPr>
          <w:r>
            <w:rPr>
              <w:b/>
            </w:rPr>
            <w:fldChar w:fldCharType="begin"/>
          </w:r>
          <w:r>
            <w:rPr>
              <w:b/>
            </w:rPr>
            <w:instrText xml:space="preserve"> HYPERLINK \l _Toc14767 </w:instrText>
          </w:r>
          <w:r>
            <w:rPr>
              <w:b/>
            </w:rPr>
            <w:fldChar w:fldCharType="separate"/>
          </w:r>
          <w:r>
            <w:rPr>
              <w:rFonts w:hint="eastAsia" w:ascii="黑体" w:hAnsi="黑体" w:eastAsia="黑体"/>
              <w:b/>
            </w:rPr>
            <w:t xml:space="preserve">第三部分 </w:t>
          </w:r>
          <w:r>
            <w:rPr>
              <w:rFonts w:hint="eastAsia" w:ascii="黑体" w:hAnsi="黑体" w:eastAsia="黑体"/>
              <w:b/>
              <w:szCs w:val="44"/>
            </w:rPr>
            <w:t>名</w:t>
          </w:r>
          <w:r>
            <w:rPr>
              <w:rFonts w:hint="eastAsia" w:ascii="黑体" w:hAnsi="黑体" w:eastAsia="黑体"/>
              <w:b/>
            </w:rPr>
            <w:t>词解释</w:t>
          </w:r>
          <w:r>
            <w:rPr>
              <w:b/>
            </w:rPr>
            <w:tab/>
          </w:r>
          <w:r>
            <w:rPr>
              <w:b/>
            </w:rPr>
            <w:fldChar w:fldCharType="begin"/>
          </w:r>
          <w:r>
            <w:rPr>
              <w:b/>
            </w:rPr>
            <w:instrText xml:space="preserve"> PAGEREF _Toc14767 \h </w:instrText>
          </w:r>
          <w:r>
            <w:rPr>
              <w:b/>
            </w:rPr>
            <w:fldChar w:fldCharType="separate"/>
          </w:r>
          <w:r>
            <w:rPr>
              <w:b/>
            </w:rPr>
            <w:t>15</w:t>
          </w:r>
          <w:r>
            <w:rPr>
              <w:b/>
            </w:rPr>
            <w:fldChar w:fldCharType="end"/>
          </w:r>
          <w:r>
            <w:rPr>
              <w:b/>
            </w:rPr>
            <w:fldChar w:fldCharType="end"/>
          </w:r>
        </w:p>
        <w:p w14:paraId="5EBC3468">
          <w:pPr>
            <w:pStyle w:val="34"/>
            <w:tabs>
              <w:tab w:val="right" w:leader="dot" w:pos="8306"/>
            </w:tabs>
          </w:pPr>
          <w:r>
            <w:rPr>
              <w:b/>
            </w:rPr>
            <w:fldChar w:fldCharType="begin"/>
          </w:r>
          <w:r>
            <w:rPr>
              <w:b/>
            </w:rPr>
            <w:instrText xml:space="preserve"> HYPERLINK \l _Toc13395 </w:instrText>
          </w:r>
          <w:r>
            <w:rPr>
              <w:b/>
            </w:rPr>
            <w:fldChar w:fldCharType="separate"/>
          </w:r>
          <w:r>
            <w:rPr>
              <w:rFonts w:hint="eastAsia" w:ascii="黑体" w:hAnsi="黑体" w:eastAsia="黑体"/>
              <w:b/>
              <w:szCs w:val="44"/>
            </w:rPr>
            <w:t>第</w:t>
          </w:r>
          <w:r>
            <w:rPr>
              <w:rFonts w:hint="eastAsia" w:ascii="黑体" w:hAnsi="黑体" w:eastAsia="黑体"/>
              <w:b/>
            </w:rPr>
            <w:t>四部分 附件</w:t>
          </w:r>
          <w:r>
            <w:rPr>
              <w:b/>
            </w:rPr>
            <w:tab/>
          </w:r>
          <w:r>
            <w:rPr>
              <w:b/>
            </w:rPr>
            <w:fldChar w:fldCharType="begin"/>
          </w:r>
          <w:r>
            <w:rPr>
              <w:b/>
            </w:rPr>
            <w:instrText xml:space="preserve"> PAGEREF _Toc13395 \h </w:instrText>
          </w:r>
          <w:r>
            <w:rPr>
              <w:b/>
            </w:rPr>
            <w:fldChar w:fldCharType="separate"/>
          </w:r>
          <w:r>
            <w:rPr>
              <w:b/>
            </w:rPr>
            <w:t>18</w:t>
          </w:r>
          <w:r>
            <w:rPr>
              <w:b/>
            </w:rPr>
            <w:fldChar w:fldCharType="end"/>
          </w:r>
          <w:r>
            <w:rPr>
              <w:b/>
            </w:rPr>
            <w:fldChar w:fldCharType="end"/>
          </w:r>
        </w:p>
        <w:p w14:paraId="69632B4A">
          <w:pPr>
            <w:pStyle w:val="34"/>
            <w:tabs>
              <w:tab w:val="right" w:leader="dot" w:pos="8306"/>
            </w:tabs>
            <w:rPr>
              <w:b/>
            </w:rPr>
          </w:pPr>
          <w:r>
            <w:rPr>
              <w:b/>
            </w:rPr>
            <w:fldChar w:fldCharType="begin"/>
          </w:r>
          <w:r>
            <w:rPr>
              <w:b/>
            </w:rPr>
            <w:instrText xml:space="preserve"> HYPERLINK \l _Toc26695 </w:instrText>
          </w:r>
          <w:r>
            <w:rPr>
              <w:b/>
            </w:rPr>
            <w:fldChar w:fldCharType="separate"/>
          </w:r>
          <w:r>
            <w:rPr>
              <w:rFonts w:hint="eastAsia" w:ascii="黑体" w:hAnsi="黑体" w:eastAsia="黑体"/>
              <w:b/>
              <w:szCs w:val="44"/>
            </w:rPr>
            <w:t>第</w:t>
          </w:r>
          <w:r>
            <w:rPr>
              <w:rFonts w:hint="eastAsia" w:ascii="黑体" w:hAnsi="黑体" w:eastAsia="黑体"/>
              <w:b/>
            </w:rPr>
            <w:t>五部分 附表</w:t>
          </w:r>
          <w:r>
            <w:rPr>
              <w:b/>
            </w:rPr>
            <w:tab/>
          </w:r>
          <w:r>
            <w:rPr>
              <w:b/>
            </w:rPr>
            <w:fldChar w:fldCharType="begin"/>
          </w:r>
          <w:r>
            <w:rPr>
              <w:b/>
            </w:rPr>
            <w:instrText xml:space="preserve"> PAGEREF _Toc26695 \h </w:instrText>
          </w:r>
          <w:r>
            <w:rPr>
              <w:b/>
            </w:rPr>
            <w:fldChar w:fldCharType="separate"/>
          </w:r>
          <w:r>
            <w:rPr>
              <w:b/>
            </w:rPr>
            <w:t>192</w:t>
          </w:r>
          <w:r>
            <w:rPr>
              <w:b/>
            </w:rPr>
            <w:fldChar w:fldCharType="end"/>
          </w:r>
          <w:r>
            <w:rPr>
              <w:b/>
            </w:rPr>
            <w:fldChar w:fldCharType="end"/>
          </w:r>
        </w:p>
        <w:p w14:paraId="16EEA611">
          <w:pPr>
            <w:pStyle w:val="35"/>
            <w:tabs>
              <w:tab w:val="right" w:leader="dot" w:pos="8306"/>
            </w:tabs>
          </w:pPr>
          <w:r>
            <w:fldChar w:fldCharType="begin"/>
          </w:r>
          <w:r>
            <w:instrText xml:space="preserve"> HYPERLINK \l _Toc14201 </w:instrText>
          </w:r>
          <w:r>
            <w:fldChar w:fldCharType="separate"/>
          </w:r>
          <w:r>
            <w:rPr>
              <w:rFonts w:hint="eastAsia" w:ascii="仿宋_GB2312" w:hAnsi="仿宋_GB2312" w:eastAsia="仿宋_GB2312" w:cs="仿宋_GB2312"/>
            </w:rPr>
            <w:t>一、收</w:t>
          </w:r>
          <w:r>
            <w:rPr>
              <w:rFonts w:hint="eastAsia" w:ascii="仿宋_GB2312" w:hAnsi="仿宋_GB2312" w:eastAsia="仿宋_GB2312" w:cs="仿宋_GB2312"/>
              <w:bCs w:val="0"/>
            </w:rPr>
            <w:t>入支出决算总表</w:t>
          </w:r>
          <w:r>
            <w:tab/>
          </w:r>
          <w:r>
            <w:fldChar w:fldCharType="begin"/>
          </w:r>
          <w:r>
            <w:instrText xml:space="preserve"> PAGEREF _Toc14201 \h </w:instrText>
          </w:r>
          <w:r>
            <w:fldChar w:fldCharType="separate"/>
          </w:r>
          <w:r>
            <w:t>192</w:t>
          </w:r>
          <w:r>
            <w:fldChar w:fldCharType="end"/>
          </w:r>
          <w:r>
            <w:fldChar w:fldCharType="end"/>
          </w:r>
        </w:p>
        <w:p w14:paraId="1A0C5C32">
          <w:pPr>
            <w:pStyle w:val="35"/>
            <w:tabs>
              <w:tab w:val="right" w:leader="dot" w:pos="8306"/>
            </w:tabs>
          </w:pPr>
          <w:r>
            <w:fldChar w:fldCharType="begin"/>
          </w:r>
          <w:r>
            <w:instrText xml:space="preserve"> HYPERLINK \l _Toc23085 </w:instrText>
          </w:r>
          <w:r>
            <w:fldChar w:fldCharType="separate"/>
          </w:r>
          <w:r>
            <w:rPr>
              <w:rFonts w:hint="eastAsia" w:ascii="仿宋_GB2312" w:hAnsi="仿宋_GB2312" w:eastAsia="仿宋_GB2312" w:cs="仿宋_GB2312"/>
            </w:rPr>
            <w:t>二、收</w:t>
          </w:r>
          <w:r>
            <w:rPr>
              <w:rFonts w:hint="eastAsia" w:ascii="仿宋_GB2312" w:hAnsi="仿宋_GB2312" w:eastAsia="仿宋_GB2312" w:cs="仿宋_GB2312"/>
              <w:bCs w:val="0"/>
            </w:rPr>
            <w:t>入决算表</w:t>
          </w:r>
          <w:r>
            <w:tab/>
          </w:r>
          <w:r>
            <w:fldChar w:fldCharType="begin"/>
          </w:r>
          <w:r>
            <w:instrText xml:space="preserve"> PAGEREF _Toc23085 \h </w:instrText>
          </w:r>
          <w:r>
            <w:fldChar w:fldCharType="separate"/>
          </w:r>
          <w:r>
            <w:t>192</w:t>
          </w:r>
          <w:r>
            <w:fldChar w:fldCharType="end"/>
          </w:r>
          <w:r>
            <w:fldChar w:fldCharType="end"/>
          </w:r>
        </w:p>
        <w:p w14:paraId="42AE6C33">
          <w:pPr>
            <w:pStyle w:val="35"/>
            <w:tabs>
              <w:tab w:val="right" w:leader="dot" w:pos="8306"/>
            </w:tabs>
          </w:pPr>
          <w:r>
            <w:fldChar w:fldCharType="begin"/>
          </w:r>
          <w:r>
            <w:instrText xml:space="preserve"> HYPERLINK \l _Toc24930 </w:instrText>
          </w:r>
          <w:r>
            <w:fldChar w:fldCharType="separate"/>
          </w:r>
          <w:r>
            <w:rPr>
              <w:rFonts w:hint="eastAsia" w:ascii="仿宋_GB2312" w:hAnsi="仿宋_GB2312" w:eastAsia="仿宋_GB2312" w:cs="仿宋_GB2312"/>
              <w:bCs w:val="0"/>
            </w:rPr>
            <w:t>三、</w:t>
          </w:r>
          <w:r>
            <w:rPr>
              <w:rFonts w:hint="eastAsia" w:ascii="仿宋_GB2312" w:hAnsi="仿宋_GB2312" w:eastAsia="仿宋_GB2312" w:cs="仿宋_GB2312"/>
            </w:rPr>
            <w:t>支</w:t>
          </w:r>
          <w:r>
            <w:rPr>
              <w:rFonts w:hint="eastAsia" w:ascii="仿宋_GB2312" w:hAnsi="仿宋_GB2312" w:eastAsia="仿宋_GB2312" w:cs="仿宋_GB2312"/>
              <w:bCs w:val="0"/>
            </w:rPr>
            <w:t>出决算表</w:t>
          </w:r>
          <w:r>
            <w:tab/>
          </w:r>
          <w:r>
            <w:fldChar w:fldCharType="begin"/>
          </w:r>
          <w:r>
            <w:instrText xml:space="preserve"> PAGEREF _Toc24930 \h </w:instrText>
          </w:r>
          <w:r>
            <w:fldChar w:fldCharType="separate"/>
          </w:r>
          <w:r>
            <w:t>192</w:t>
          </w:r>
          <w:r>
            <w:fldChar w:fldCharType="end"/>
          </w:r>
          <w:r>
            <w:fldChar w:fldCharType="end"/>
          </w:r>
        </w:p>
        <w:p w14:paraId="7E2AFD94">
          <w:pPr>
            <w:pStyle w:val="35"/>
            <w:tabs>
              <w:tab w:val="right" w:leader="dot" w:pos="8306"/>
            </w:tabs>
          </w:pPr>
          <w:r>
            <w:fldChar w:fldCharType="begin"/>
          </w:r>
          <w:r>
            <w:instrText xml:space="preserve"> HYPERLINK \l _Toc23872 </w:instrText>
          </w:r>
          <w:r>
            <w:fldChar w:fldCharType="separate"/>
          </w:r>
          <w:r>
            <w:rPr>
              <w:rFonts w:hint="eastAsia" w:ascii="仿宋_GB2312" w:hAnsi="仿宋_GB2312" w:eastAsia="仿宋_GB2312" w:cs="仿宋_GB2312"/>
              <w:bCs w:val="0"/>
            </w:rPr>
            <w:t>四、</w:t>
          </w:r>
          <w:r>
            <w:rPr>
              <w:rFonts w:hint="eastAsia" w:ascii="仿宋_GB2312" w:hAnsi="仿宋_GB2312" w:eastAsia="仿宋_GB2312" w:cs="仿宋_GB2312"/>
            </w:rPr>
            <w:t>财</w:t>
          </w:r>
          <w:r>
            <w:rPr>
              <w:rFonts w:hint="eastAsia" w:ascii="仿宋_GB2312" w:hAnsi="仿宋_GB2312" w:eastAsia="仿宋_GB2312" w:cs="仿宋_GB2312"/>
              <w:bCs w:val="0"/>
            </w:rPr>
            <w:t>政拨款收入支出决算总表</w:t>
          </w:r>
          <w:r>
            <w:tab/>
          </w:r>
          <w:r>
            <w:fldChar w:fldCharType="begin"/>
          </w:r>
          <w:r>
            <w:instrText xml:space="preserve"> PAGEREF _Toc23872 \h </w:instrText>
          </w:r>
          <w:r>
            <w:fldChar w:fldCharType="separate"/>
          </w:r>
          <w:r>
            <w:t>192</w:t>
          </w:r>
          <w:r>
            <w:fldChar w:fldCharType="end"/>
          </w:r>
          <w:r>
            <w:fldChar w:fldCharType="end"/>
          </w:r>
        </w:p>
        <w:p w14:paraId="31EF5620">
          <w:pPr>
            <w:pStyle w:val="35"/>
            <w:tabs>
              <w:tab w:val="right" w:leader="dot" w:pos="8306"/>
            </w:tabs>
          </w:pPr>
          <w:r>
            <w:fldChar w:fldCharType="begin"/>
          </w:r>
          <w:r>
            <w:instrText xml:space="preserve"> HYPERLINK \l _Toc22241 </w:instrText>
          </w:r>
          <w:r>
            <w:fldChar w:fldCharType="separate"/>
          </w:r>
          <w:r>
            <w:rPr>
              <w:rFonts w:hint="eastAsia" w:ascii="仿宋_GB2312" w:hAnsi="仿宋_GB2312" w:eastAsia="仿宋_GB2312" w:cs="仿宋_GB2312"/>
              <w:bCs w:val="0"/>
            </w:rPr>
            <w:t>五、</w:t>
          </w:r>
          <w:r>
            <w:rPr>
              <w:rFonts w:hint="eastAsia" w:ascii="仿宋_GB2312" w:hAnsi="仿宋_GB2312" w:eastAsia="仿宋_GB2312" w:cs="仿宋_GB2312"/>
            </w:rPr>
            <w:t>财</w:t>
          </w:r>
          <w:r>
            <w:rPr>
              <w:rFonts w:hint="eastAsia" w:ascii="仿宋_GB2312" w:hAnsi="仿宋_GB2312" w:eastAsia="仿宋_GB2312" w:cs="仿宋_GB2312"/>
              <w:bCs w:val="0"/>
            </w:rPr>
            <w:t>政拨款支出决算明细表</w:t>
          </w:r>
          <w:r>
            <w:tab/>
          </w:r>
          <w:r>
            <w:fldChar w:fldCharType="begin"/>
          </w:r>
          <w:r>
            <w:instrText xml:space="preserve"> PAGEREF _Toc22241 \h </w:instrText>
          </w:r>
          <w:r>
            <w:fldChar w:fldCharType="separate"/>
          </w:r>
          <w:r>
            <w:t>192</w:t>
          </w:r>
          <w:r>
            <w:fldChar w:fldCharType="end"/>
          </w:r>
          <w:r>
            <w:fldChar w:fldCharType="end"/>
          </w:r>
        </w:p>
        <w:p w14:paraId="17B8037D">
          <w:pPr>
            <w:pStyle w:val="35"/>
            <w:tabs>
              <w:tab w:val="right" w:leader="dot" w:pos="8306"/>
            </w:tabs>
          </w:pPr>
          <w:r>
            <w:fldChar w:fldCharType="begin"/>
          </w:r>
          <w:r>
            <w:instrText xml:space="preserve"> HYPERLINK \l _Toc32064 </w:instrText>
          </w:r>
          <w:r>
            <w:fldChar w:fldCharType="separate"/>
          </w:r>
          <w:r>
            <w:rPr>
              <w:rFonts w:hint="eastAsia" w:ascii="仿宋_GB2312" w:hAnsi="仿宋_GB2312" w:eastAsia="仿宋_GB2312" w:cs="仿宋_GB2312"/>
              <w:bCs w:val="0"/>
            </w:rPr>
            <w:t>六、</w:t>
          </w:r>
          <w:r>
            <w:rPr>
              <w:rFonts w:hint="eastAsia" w:ascii="仿宋_GB2312" w:hAnsi="仿宋_GB2312" w:eastAsia="仿宋_GB2312" w:cs="仿宋_GB2312"/>
            </w:rPr>
            <w:t>一</w:t>
          </w:r>
          <w:r>
            <w:rPr>
              <w:rFonts w:hint="eastAsia" w:ascii="仿宋_GB2312" w:hAnsi="仿宋_GB2312" w:eastAsia="仿宋_GB2312" w:cs="仿宋_GB2312"/>
              <w:bCs w:val="0"/>
            </w:rPr>
            <w:t>般公共预算财政拨款支出决算表</w:t>
          </w:r>
          <w:r>
            <w:tab/>
          </w:r>
          <w:r>
            <w:fldChar w:fldCharType="begin"/>
          </w:r>
          <w:r>
            <w:instrText xml:space="preserve"> PAGEREF _Toc32064 \h </w:instrText>
          </w:r>
          <w:r>
            <w:fldChar w:fldCharType="separate"/>
          </w:r>
          <w:r>
            <w:t>192</w:t>
          </w:r>
          <w:r>
            <w:fldChar w:fldCharType="end"/>
          </w:r>
          <w:r>
            <w:fldChar w:fldCharType="end"/>
          </w:r>
        </w:p>
        <w:p w14:paraId="005D1B28">
          <w:pPr>
            <w:pStyle w:val="35"/>
            <w:tabs>
              <w:tab w:val="right" w:leader="dot" w:pos="8306"/>
            </w:tabs>
          </w:pPr>
          <w:r>
            <w:fldChar w:fldCharType="begin"/>
          </w:r>
          <w:r>
            <w:instrText xml:space="preserve"> HYPERLINK \l _Toc32652 </w:instrText>
          </w:r>
          <w:r>
            <w:fldChar w:fldCharType="separate"/>
          </w:r>
          <w:r>
            <w:rPr>
              <w:rFonts w:hint="eastAsia" w:ascii="仿宋_GB2312" w:hAnsi="仿宋_GB2312" w:eastAsia="仿宋_GB2312" w:cs="仿宋_GB2312"/>
              <w:bCs w:val="0"/>
            </w:rPr>
            <w:t>七、</w:t>
          </w:r>
          <w:r>
            <w:rPr>
              <w:rFonts w:hint="eastAsia" w:ascii="仿宋_GB2312" w:hAnsi="仿宋_GB2312" w:eastAsia="仿宋_GB2312" w:cs="仿宋_GB2312"/>
            </w:rPr>
            <w:t>一</w:t>
          </w:r>
          <w:r>
            <w:rPr>
              <w:rFonts w:hint="eastAsia" w:ascii="仿宋_GB2312" w:hAnsi="仿宋_GB2312" w:eastAsia="仿宋_GB2312" w:cs="仿宋_GB2312"/>
              <w:bCs w:val="0"/>
            </w:rPr>
            <w:t>般公共预算财政拨款支出决算明细表</w:t>
          </w:r>
          <w:r>
            <w:tab/>
          </w:r>
          <w:r>
            <w:fldChar w:fldCharType="begin"/>
          </w:r>
          <w:r>
            <w:instrText xml:space="preserve"> PAGEREF _Toc32652 \h </w:instrText>
          </w:r>
          <w:r>
            <w:fldChar w:fldCharType="separate"/>
          </w:r>
          <w:r>
            <w:t>192</w:t>
          </w:r>
          <w:r>
            <w:fldChar w:fldCharType="end"/>
          </w:r>
          <w:r>
            <w:fldChar w:fldCharType="end"/>
          </w:r>
        </w:p>
        <w:p w14:paraId="7EE7C7B7">
          <w:pPr>
            <w:pStyle w:val="35"/>
            <w:tabs>
              <w:tab w:val="right" w:leader="dot" w:pos="8306"/>
            </w:tabs>
          </w:pPr>
          <w:r>
            <w:fldChar w:fldCharType="begin"/>
          </w:r>
          <w:r>
            <w:instrText xml:space="preserve"> HYPERLINK \l _Toc19162 </w:instrText>
          </w:r>
          <w:r>
            <w:fldChar w:fldCharType="separate"/>
          </w:r>
          <w:r>
            <w:rPr>
              <w:rFonts w:hint="eastAsia" w:ascii="仿宋_GB2312" w:hAnsi="仿宋_GB2312" w:eastAsia="仿宋_GB2312" w:cs="仿宋_GB2312"/>
              <w:bCs w:val="0"/>
            </w:rPr>
            <w:t>八、</w:t>
          </w:r>
          <w:r>
            <w:rPr>
              <w:rFonts w:hint="eastAsia" w:ascii="仿宋_GB2312" w:hAnsi="仿宋_GB2312" w:eastAsia="仿宋_GB2312" w:cs="仿宋_GB2312"/>
            </w:rPr>
            <w:t>一</w:t>
          </w:r>
          <w:r>
            <w:rPr>
              <w:rFonts w:hint="eastAsia" w:ascii="仿宋_GB2312" w:hAnsi="仿宋_GB2312" w:eastAsia="仿宋_GB2312" w:cs="仿宋_GB2312"/>
              <w:bCs w:val="0"/>
            </w:rPr>
            <w:t>般公共预算财政拨款基本支出决算表</w:t>
          </w:r>
          <w:r>
            <w:tab/>
          </w:r>
          <w:r>
            <w:fldChar w:fldCharType="begin"/>
          </w:r>
          <w:r>
            <w:instrText xml:space="preserve"> PAGEREF _Toc19162 \h </w:instrText>
          </w:r>
          <w:r>
            <w:fldChar w:fldCharType="separate"/>
          </w:r>
          <w:r>
            <w:t>192</w:t>
          </w:r>
          <w:r>
            <w:fldChar w:fldCharType="end"/>
          </w:r>
          <w:r>
            <w:fldChar w:fldCharType="end"/>
          </w:r>
        </w:p>
        <w:p w14:paraId="1FBEC0DE">
          <w:pPr>
            <w:pStyle w:val="35"/>
            <w:tabs>
              <w:tab w:val="right" w:leader="dot" w:pos="8306"/>
            </w:tabs>
          </w:pPr>
          <w:r>
            <w:fldChar w:fldCharType="begin"/>
          </w:r>
          <w:r>
            <w:instrText xml:space="preserve"> HYPERLINK \l _Toc6922 </w:instrText>
          </w:r>
          <w:r>
            <w:fldChar w:fldCharType="separate"/>
          </w:r>
          <w:r>
            <w:rPr>
              <w:rFonts w:hint="eastAsia" w:ascii="仿宋_GB2312" w:hAnsi="仿宋_GB2312" w:eastAsia="仿宋_GB2312" w:cs="仿宋_GB2312"/>
              <w:bCs w:val="0"/>
            </w:rPr>
            <w:t>九、</w:t>
          </w:r>
          <w:r>
            <w:rPr>
              <w:rFonts w:hint="eastAsia" w:ascii="仿宋_GB2312" w:hAnsi="仿宋_GB2312" w:eastAsia="仿宋_GB2312" w:cs="仿宋_GB2312"/>
            </w:rPr>
            <w:t>一</w:t>
          </w:r>
          <w:r>
            <w:rPr>
              <w:rFonts w:hint="eastAsia" w:ascii="仿宋_GB2312" w:hAnsi="仿宋_GB2312" w:eastAsia="仿宋_GB2312" w:cs="仿宋_GB2312"/>
              <w:bCs w:val="0"/>
            </w:rPr>
            <w:t>般公共预算财政拨款项目支出决算表</w:t>
          </w:r>
          <w:r>
            <w:tab/>
          </w:r>
          <w:r>
            <w:fldChar w:fldCharType="begin"/>
          </w:r>
          <w:r>
            <w:instrText xml:space="preserve"> PAGEREF _Toc6922 \h </w:instrText>
          </w:r>
          <w:r>
            <w:fldChar w:fldCharType="separate"/>
          </w:r>
          <w:r>
            <w:t>192</w:t>
          </w:r>
          <w:r>
            <w:fldChar w:fldCharType="end"/>
          </w:r>
          <w:r>
            <w:fldChar w:fldCharType="end"/>
          </w:r>
        </w:p>
        <w:p w14:paraId="24CFC0EF">
          <w:pPr>
            <w:pStyle w:val="35"/>
            <w:tabs>
              <w:tab w:val="right" w:leader="dot" w:pos="8306"/>
            </w:tabs>
          </w:pPr>
          <w:r>
            <w:fldChar w:fldCharType="begin"/>
          </w:r>
          <w:r>
            <w:instrText xml:space="preserve"> HYPERLINK \l _Toc23074 </w:instrText>
          </w:r>
          <w:r>
            <w:fldChar w:fldCharType="separate"/>
          </w:r>
          <w:r>
            <w:rPr>
              <w:rFonts w:hint="eastAsia" w:ascii="仿宋_GB2312" w:hAnsi="仿宋_GB2312" w:eastAsia="仿宋_GB2312" w:cs="仿宋_GB2312"/>
              <w:bCs w:val="0"/>
            </w:rPr>
            <w:t>十、</w:t>
          </w:r>
          <w:r>
            <w:rPr>
              <w:rFonts w:hint="eastAsia" w:ascii="仿宋_GB2312" w:hAnsi="仿宋_GB2312" w:eastAsia="仿宋_GB2312" w:cs="仿宋_GB2312"/>
            </w:rPr>
            <w:t>政</w:t>
          </w:r>
          <w:r>
            <w:rPr>
              <w:rFonts w:hint="eastAsia" w:ascii="仿宋_GB2312" w:hAnsi="仿宋_GB2312" w:eastAsia="仿宋_GB2312" w:cs="仿宋_GB2312"/>
              <w:bCs w:val="0"/>
            </w:rPr>
            <w:t>府性基金预算财政拨款收入支出决算表</w:t>
          </w:r>
          <w:r>
            <w:tab/>
          </w:r>
          <w:r>
            <w:fldChar w:fldCharType="begin"/>
          </w:r>
          <w:r>
            <w:instrText xml:space="preserve"> PAGEREF _Toc23074 \h </w:instrText>
          </w:r>
          <w:r>
            <w:fldChar w:fldCharType="separate"/>
          </w:r>
          <w:r>
            <w:t>192</w:t>
          </w:r>
          <w:r>
            <w:fldChar w:fldCharType="end"/>
          </w:r>
          <w:r>
            <w:fldChar w:fldCharType="end"/>
          </w:r>
        </w:p>
        <w:p w14:paraId="01D8657F">
          <w:pPr>
            <w:pStyle w:val="35"/>
            <w:tabs>
              <w:tab w:val="right" w:leader="dot" w:pos="8306"/>
            </w:tabs>
          </w:pPr>
          <w:r>
            <w:fldChar w:fldCharType="begin"/>
          </w:r>
          <w:r>
            <w:instrText xml:space="preserve"> HYPERLINK \l _Toc31768 </w:instrText>
          </w:r>
          <w:r>
            <w:fldChar w:fldCharType="separate"/>
          </w:r>
          <w:r>
            <w:rPr>
              <w:rFonts w:hint="eastAsia" w:ascii="仿宋_GB2312" w:hAnsi="仿宋_GB2312" w:eastAsia="仿宋_GB2312" w:cs="仿宋_GB2312"/>
              <w:bCs w:val="0"/>
            </w:rPr>
            <w:t>十一、</w:t>
          </w:r>
          <w:r>
            <w:rPr>
              <w:rFonts w:hint="eastAsia" w:ascii="仿宋_GB2312" w:hAnsi="仿宋_GB2312" w:eastAsia="仿宋_GB2312" w:cs="仿宋_GB2312"/>
            </w:rPr>
            <w:t>国</w:t>
          </w:r>
          <w:r>
            <w:rPr>
              <w:rFonts w:hint="eastAsia" w:ascii="仿宋_GB2312" w:hAnsi="仿宋_GB2312" w:eastAsia="仿宋_GB2312" w:cs="仿宋_GB2312"/>
              <w:bCs w:val="0"/>
            </w:rPr>
            <w:t>有资本经营预算财政拨款收入支出决算表</w:t>
          </w:r>
          <w:r>
            <w:tab/>
          </w:r>
          <w:r>
            <w:fldChar w:fldCharType="begin"/>
          </w:r>
          <w:r>
            <w:instrText xml:space="preserve"> PAGEREF _Toc31768 \h </w:instrText>
          </w:r>
          <w:r>
            <w:fldChar w:fldCharType="separate"/>
          </w:r>
          <w:r>
            <w:t>192</w:t>
          </w:r>
          <w:r>
            <w:fldChar w:fldCharType="end"/>
          </w:r>
          <w:r>
            <w:fldChar w:fldCharType="end"/>
          </w:r>
        </w:p>
        <w:p w14:paraId="706ED6D3">
          <w:pPr>
            <w:pStyle w:val="35"/>
            <w:tabs>
              <w:tab w:val="right" w:leader="dot" w:pos="8306"/>
            </w:tabs>
          </w:pPr>
          <w:r>
            <w:fldChar w:fldCharType="begin"/>
          </w:r>
          <w:r>
            <w:instrText xml:space="preserve"> HYPERLINK \l _Toc28138 </w:instrText>
          </w:r>
          <w:r>
            <w:fldChar w:fldCharType="separate"/>
          </w:r>
          <w:r>
            <w:rPr>
              <w:rFonts w:hint="eastAsia" w:ascii="仿宋_GB2312" w:hAnsi="仿宋_GB2312" w:eastAsia="仿宋_GB2312" w:cs="仿宋_GB2312"/>
              <w:bCs w:val="0"/>
            </w:rPr>
            <w:t>十二、国有资本经营预算财政拨款支出决算表</w:t>
          </w:r>
          <w:r>
            <w:tab/>
          </w:r>
          <w:r>
            <w:fldChar w:fldCharType="begin"/>
          </w:r>
          <w:r>
            <w:instrText xml:space="preserve"> PAGEREF _Toc28138 \h </w:instrText>
          </w:r>
          <w:r>
            <w:fldChar w:fldCharType="separate"/>
          </w:r>
          <w:r>
            <w:t>192</w:t>
          </w:r>
          <w:r>
            <w:fldChar w:fldCharType="end"/>
          </w:r>
          <w:r>
            <w:fldChar w:fldCharType="end"/>
          </w:r>
        </w:p>
        <w:p w14:paraId="505D1FAE">
          <w:pPr>
            <w:pStyle w:val="35"/>
            <w:tabs>
              <w:tab w:val="right" w:leader="dot" w:pos="8306"/>
            </w:tabs>
          </w:pPr>
          <w:r>
            <w:fldChar w:fldCharType="begin"/>
          </w:r>
          <w:r>
            <w:instrText xml:space="preserve"> HYPERLINK \l _Toc28936 </w:instrText>
          </w:r>
          <w:r>
            <w:fldChar w:fldCharType="separate"/>
          </w:r>
          <w:r>
            <w:rPr>
              <w:rFonts w:hint="eastAsia" w:ascii="仿宋_GB2312" w:hAnsi="仿宋_GB2312" w:eastAsia="仿宋_GB2312" w:cs="仿宋_GB2312"/>
              <w:bCs w:val="0"/>
            </w:rPr>
            <w:t>十三、财政拨款“三公”经费支出决算表</w:t>
          </w:r>
          <w:r>
            <w:tab/>
          </w:r>
          <w:r>
            <w:fldChar w:fldCharType="begin"/>
          </w:r>
          <w:r>
            <w:instrText xml:space="preserve"> PAGEREF _Toc28936 \h </w:instrText>
          </w:r>
          <w:r>
            <w:fldChar w:fldCharType="separate"/>
          </w:r>
          <w:r>
            <w:t>192</w:t>
          </w:r>
          <w:r>
            <w:fldChar w:fldCharType="end"/>
          </w:r>
          <w:r>
            <w:fldChar w:fldCharType="end"/>
          </w:r>
        </w:p>
        <w:p w14:paraId="20728195">
          <w:pPr>
            <w:rPr>
              <w:b/>
            </w:rPr>
          </w:pPr>
          <w:r>
            <w:rPr>
              <w:b/>
            </w:rPr>
            <w:fldChar w:fldCharType="end"/>
          </w:r>
        </w:p>
      </w:sdtContent>
    </w:sdt>
    <w:p w14:paraId="198BF402">
      <w:pPr>
        <w:rPr>
          <w:b/>
        </w:rPr>
      </w:pPr>
    </w:p>
    <w:p w14:paraId="1BA2D943">
      <w:pPr>
        <w:pStyle w:val="2"/>
        <w:jc w:val="center"/>
        <w:rPr>
          <w:rFonts w:hint="eastAsia" w:ascii="黑体" w:hAnsi="黑体" w:eastAsia="黑体"/>
          <w:b w:val="0"/>
        </w:rPr>
        <w:sectPr>
          <w:pgSz w:w="11906" w:h="16838"/>
          <w:pgMar w:top="1440" w:right="1800" w:bottom="1440" w:left="1800" w:header="720" w:footer="720" w:gutter="0"/>
          <w:cols w:space="720" w:num="1"/>
          <w:docGrid w:type="lines" w:linePitch="312" w:charSpace="0"/>
        </w:sectPr>
      </w:pPr>
      <w:bookmarkStart w:id="9" w:name="_Toc8959"/>
    </w:p>
    <w:p w14:paraId="1C464C85">
      <w:pPr>
        <w:pStyle w:val="2"/>
        <w:jc w:val="center"/>
        <w:rPr>
          <w:rStyle w:val="21"/>
          <w:rFonts w:ascii="黑体" w:hAnsi="黑体" w:eastAsia="黑体"/>
          <w:b w:val="0"/>
          <w:bCs w:val="0"/>
        </w:rPr>
      </w:pPr>
      <w:r>
        <w:rPr>
          <w:rFonts w:hint="eastAsia" w:ascii="黑体" w:hAnsi="黑体" w:eastAsia="黑体"/>
          <w:b w:val="0"/>
        </w:rPr>
        <w:t xml:space="preserve">第一部分 </w:t>
      </w:r>
      <w:r>
        <w:rPr>
          <w:rStyle w:val="21"/>
          <w:rFonts w:hint="eastAsia" w:ascii="黑体" w:hAnsi="黑体" w:eastAsia="黑体"/>
          <w:b w:val="0"/>
          <w:bCs w:val="0"/>
        </w:rPr>
        <w:t>部门概况</w:t>
      </w:r>
      <w:bookmarkEnd w:id="7"/>
      <w:bookmarkEnd w:id="8"/>
      <w:bookmarkEnd w:id="9"/>
    </w:p>
    <w:p w14:paraId="138CC331">
      <w:pPr>
        <w:widowControl/>
        <w:jc w:val="left"/>
        <w:rPr>
          <w:rFonts w:ascii="黑体" w:eastAsia="黑体"/>
          <w:sz w:val="32"/>
          <w:szCs w:val="32"/>
        </w:rPr>
      </w:pPr>
    </w:p>
    <w:p w14:paraId="7B5FF5FD">
      <w:pPr>
        <w:pStyle w:val="3"/>
        <w:spacing w:line="600" w:lineRule="exact"/>
        <w:rPr>
          <w:rStyle w:val="22"/>
          <w:b w:val="0"/>
          <w:bCs w:val="0"/>
        </w:rPr>
      </w:pPr>
      <w:bookmarkStart w:id="10" w:name="_Toc11723"/>
      <w:r>
        <w:rPr>
          <w:rFonts w:hint="eastAsia" w:ascii="黑体" w:eastAsia="黑体"/>
          <w:b w:val="0"/>
        </w:rPr>
        <w:t>一、</w:t>
      </w:r>
      <w:r>
        <w:rPr>
          <w:rFonts w:hint="eastAsia" w:ascii="黑体" w:hAnsi="黑体" w:eastAsia="黑体"/>
          <w:b w:val="0"/>
        </w:rPr>
        <w:t>部门职责</w:t>
      </w:r>
      <w:bookmarkEnd w:id="10"/>
    </w:p>
    <w:p w14:paraId="47204CEC">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1.贯彻执行党和国家公安工作的方针、政策和法律、法规、规章；部署、指导、监督、检查全市公安工作；负责本系统、本部门依法行政工作，落实行政执法责任制。</w:t>
      </w:r>
    </w:p>
    <w:p w14:paraId="76948CD7">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2.组织、指导、协调全市公安机关应急管理、抢险救援工作和社会公共突发事件的处置工作。</w:t>
      </w:r>
    </w:p>
    <w:p w14:paraId="1E310A6C">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3.组织指导全市公安机关侦查工作，协调或直接侦办全市重大刑事案件、国内危害国家安全的犯罪案件及重大经济犯罪案件。</w:t>
      </w:r>
    </w:p>
    <w:p w14:paraId="3990284C">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4.负责全市治安管理工作并承担相应责任。协调处置全市重大治安案件和群体性事件，指导、监督全市公安机关依法查处破坏社会治安秩序行为，依法开展治安行政管理工作，指导、监督全市公安机关治安保卫工作。</w:t>
      </w:r>
    </w:p>
    <w:p w14:paraId="0B8DA84E">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5.负责全市出入境管理有关工作。依法管理国籍，组织、指导全市出境、入境和持普通护照的外国人在广居留、旅行的有关管理工作。</w:t>
      </w:r>
    </w:p>
    <w:p w14:paraId="06B4B7E5">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6.负责全市道路交通安全管理工作并承担相应责任。指导、监督全市公安机关维护道路交通安全、交通秩序以及开展机动车辆（不含拖拉机）、驾驶人管理工作。</w:t>
      </w:r>
    </w:p>
    <w:p w14:paraId="2C1408E1">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7.指导、监督全市公安机关对公共信息网络的安全保护工作，负责信息安全等级保护工作的监督、检查、指导。</w:t>
      </w:r>
    </w:p>
    <w:p w14:paraId="49CB4FD1">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8.组织、指导、协调对恐怖活动的情报、防范、侦察和应急处置工作。</w:t>
      </w:r>
    </w:p>
    <w:p w14:paraId="1A7C9548">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9.指导、监督全市公安机关依法承担的执行刑罚和监督、考察工作；指导、监督全市看守所、拘留所、强制隔离戒毒所、收容教育所、安康医院的管理工作，指导、监督、办理收容教养和劳动教养审批工作。管理广元市看守所、广元市拘留所、广元市强制隔离戒毒所。</w:t>
      </w:r>
    </w:p>
    <w:p w14:paraId="4E2EB54E">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10.指导全市公安警卫业务工作，组织实施对有关的党和国家领导人以及重要外宾在广的安全警卫工作并承担相应责任。</w:t>
      </w:r>
    </w:p>
    <w:p w14:paraId="79310977">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11.组织实施全市公安科学技术工作，组织、指导、规划全市公安机关的指挥系统、信息技术、刑事技术建设。</w:t>
      </w:r>
    </w:p>
    <w:p w14:paraId="3896589F">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12.拟订全市公安机关装备、被装和经费等警务保障计划及管理制度，组织协调全市公安机关重大任务的警务保障工作。</w:t>
      </w:r>
    </w:p>
    <w:p w14:paraId="41E429BF">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13.组织开展同市外公安机关、港澳台警方及外国内政警察机构的交往与业务合作。</w:t>
      </w:r>
    </w:p>
    <w:p w14:paraId="08BEF555">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14.指导全市公安队伍建设和公安机关党风廉政建设，组织、指导全市公安机关人事管理、民警教育训练和宣传工作，按规定权限管理干部，拟订全市公安队伍监督管理工作规章制度，组织、指导全市公安机关督察、审计、信访工作，指导、监督全市公安机关及人民警察的执法活动，按规定权限实施对干部的监督、查处或督办公安队伍重大违纪案件。</w:t>
      </w:r>
    </w:p>
    <w:p w14:paraId="5504939B">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15.指导市内森林等专门公安机关的业务工作。</w:t>
      </w:r>
    </w:p>
    <w:p w14:paraId="094775A5">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16.承担广元市禁毒委员会的具体工作。</w:t>
      </w:r>
    </w:p>
    <w:p w14:paraId="66B4531F">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17.承担市政府公布的有关行政审批事项。</w:t>
      </w:r>
    </w:p>
    <w:p w14:paraId="61FA7D1D">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18.承办市政府和省公安厅交办的其他事项。</w:t>
      </w:r>
    </w:p>
    <w:p w14:paraId="64F2A7CE">
      <w:pPr>
        <w:pStyle w:val="3"/>
        <w:spacing w:line="600" w:lineRule="exact"/>
        <w:ind w:firstLine="640" w:firstLineChars="200"/>
        <w:rPr>
          <w:rStyle w:val="22"/>
          <w:b w:val="0"/>
          <w:bCs w:val="0"/>
        </w:rPr>
      </w:pPr>
      <w:bookmarkStart w:id="11" w:name="_Toc15396601"/>
      <w:bookmarkStart w:id="12" w:name="_Toc15377200"/>
      <w:bookmarkStart w:id="13" w:name="_Toc14177"/>
      <w:r>
        <w:rPr>
          <w:rFonts w:hint="eastAsia" w:ascii="黑体" w:eastAsia="黑体"/>
          <w:b w:val="0"/>
        </w:rPr>
        <w:t>二、</w:t>
      </w:r>
      <w:r>
        <w:rPr>
          <w:rFonts w:hint="eastAsia" w:ascii="黑体" w:hAnsi="黑体" w:eastAsia="黑体"/>
          <w:b w:val="0"/>
        </w:rPr>
        <w:t>机</w:t>
      </w:r>
      <w:r>
        <w:rPr>
          <w:rStyle w:val="22"/>
          <w:rFonts w:hint="eastAsia" w:ascii="黑体" w:hAnsi="黑体" w:eastAsia="黑体"/>
          <w:b w:val="0"/>
          <w:bCs w:val="0"/>
        </w:rPr>
        <w:t>构设置</w:t>
      </w:r>
      <w:bookmarkEnd w:id="11"/>
      <w:bookmarkEnd w:id="12"/>
      <w:bookmarkEnd w:id="13"/>
    </w:p>
    <w:p w14:paraId="0AEF2C00">
      <w:pPr>
        <w:spacing w:line="600" w:lineRule="exact"/>
        <w:ind w:firstLine="800" w:firstLineChars="250"/>
        <w:rPr>
          <w:rFonts w:ascii="仿宋_GB2312" w:hAnsi="仿宋_GB2312" w:eastAsia="仿宋_GB2312" w:cs="仿宋_GB2312"/>
          <w:sz w:val="32"/>
          <w:szCs w:val="32"/>
        </w:rPr>
      </w:pPr>
      <w:r>
        <w:rPr>
          <w:rFonts w:hint="eastAsia" w:ascii="仿宋_GB2312" w:hAnsi="仿宋_GB2312" w:eastAsia="仿宋_GB2312" w:cs="仿宋_GB2312"/>
          <w:sz w:val="32"/>
          <w:szCs w:val="32"/>
        </w:rPr>
        <w:t>广元市公安局下属二级预算单位6个，其中行政单位5个，参照公务员法管理的事业单位0个，其他事业单位1个，为广元市警务标准化研究中心，该事业单位为非独立核算单位。</w:t>
      </w:r>
    </w:p>
    <w:p w14:paraId="375BB32E">
      <w:pPr>
        <w:pStyle w:val="5"/>
        <w:adjustRightInd w:val="0"/>
        <w:snapToGrid w:val="0"/>
        <w:spacing w:before="93" w:line="600" w:lineRule="exact"/>
        <w:ind w:firstLine="672" w:firstLineChars="210"/>
        <w:rPr>
          <w:rFonts w:ascii="仿宋_GB2312" w:hAnsi="仿宋_GB2312" w:eastAsia="仿宋_GB2312" w:cs="仿宋_GB2312"/>
          <w:sz w:val="32"/>
          <w:szCs w:val="32"/>
        </w:rPr>
      </w:pPr>
      <w:r>
        <w:rPr>
          <w:rFonts w:hint="eastAsia" w:ascii="仿宋_GB2312" w:hAnsi="仿宋_GB2312" w:eastAsia="仿宋_GB2312" w:cs="仿宋_GB2312"/>
          <w:sz w:val="32"/>
          <w:szCs w:val="32"/>
        </w:rPr>
        <w:t>纳入广元市公安局2023年度部门决算编制范围的二级预算单位包括：</w:t>
      </w:r>
    </w:p>
    <w:p w14:paraId="2799A625">
      <w:pPr>
        <w:pStyle w:val="26"/>
        <w:numPr>
          <w:ilvl w:val="0"/>
          <w:numId w:val="1"/>
        </w:numPr>
        <w:suppressAutoHyphens w:val="0"/>
        <w:autoSpaceDE w:val="0"/>
        <w:spacing w:line="600" w:lineRule="exact"/>
        <w:ind w:firstLineChars="0"/>
        <w:rPr>
          <w:rFonts w:ascii="仿宋_GB2312" w:hAnsi="仿宋_GB2312" w:eastAsia="仿宋_GB2312" w:cs="仿宋_GB2312"/>
          <w:sz w:val="32"/>
          <w:szCs w:val="32"/>
        </w:rPr>
      </w:pPr>
      <w:bookmarkStart w:id="14" w:name="_Toc15306276"/>
      <w:bookmarkStart w:id="15" w:name="_Toc15377433"/>
      <w:bookmarkStart w:id="16" w:name="_Toc15378449"/>
      <w:bookmarkStart w:id="17" w:name="_Toc15377202"/>
      <w:r>
        <w:rPr>
          <w:rFonts w:hint="eastAsia" w:ascii="仿宋_GB2312" w:hAnsi="仿宋_GB2312" w:eastAsia="仿宋_GB2312" w:cs="仿宋_GB2312"/>
          <w:sz w:val="32"/>
          <w:szCs w:val="32"/>
        </w:rPr>
        <w:t>广元市公安局</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本级)</w:t>
      </w:r>
    </w:p>
    <w:bookmarkEnd w:id="14"/>
    <w:bookmarkEnd w:id="15"/>
    <w:bookmarkEnd w:id="16"/>
    <w:bookmarkEnd w:id="17"/>
    <w:p w14:paraId="6581CBBB">
      <w:pPr>
        <w:pStyle w:val="5"/>
        <w:numPr>
          <w:ilvl w:val="0"/>
          <w:numId w:val="1"/>
        </w:numPr>
        <w:suppressAutoHyphens w:val="0"/>
        <w:adjustRightInd w:val="0"/>
        <w:snapToGrid w:val="0"/>
        <w:spacing w:beforeLines="30" w:after="0" w:line="600" w:lineRule="exact"/>
        <w:outlineLvl w:val="2"/>
        <w:rPr>
          <w:rFonts w:ascii="仿宋_GB2312" w:hAnsi="仿宋_GB2312" w:eastAsia="仿宋_GB2312" w:cs="仿宋_GB2312"/>
          <w:sz w:val="32"/>
          <w:szCs w:val="32"/>
        </w:rPr>
      </w:pPr>
      <w:bookmarkStart w:id="18" w:name="_Toc15377203"/>
      <w:bookmarkStart w:id="19" w:name="_Toc15306277"/>
      <w:bookmarkStart w:id="20" w:name="_Toc1770860633"/>
      <w:bookmarkStart w:id="21" w:name="_Toc15377434"/>
      <w:bookmarkStart w:id="22" w:name="_Toc15378450"/>
      <w:r>
        <w:rPr>
          <w:rFonts w:hint="eastAsia" w:ascii="仿宋_GB2312" w:hAnsi="仿宋_GB2312" w:eastAsia="仿宋_GB2312" w:cs="仿宋_GB2312"/>
          <w:sz w:val="32"/>
          <w:szCs w:val="32"/>
        </w:rPr>
        <w:t>广元市公安局利州区分局</w:t>
      </w:r>
      <w:bookmarkEnd w:id="18"/>
      <w:bookmarkEnd w:id="19"/>
      <w:bookmarkEnd w:id="20"/>
      <w:bookmarkEnd w:id="21"/>
      <w:bookmarkEnd w:id="22"/>
    </w:p>
    <w:p w14:paraId="130B8DCA">
      <w:pPr>
        <w:pStyle w:val="5"/>
        <w:numPr>
          <w:ilvl w:val="0"/>
          <w:numId w:val="1"/>
        </w:numPr>
        <w:suppressAutoHyphens w:val="0"/>
        <w:adjustRightInd w:val="0"/>
        <w:snapToGrid w:val="0"/>
        <w:spacing w:beforeLines="30" w:after="0" w:line="600" w:lineRule="exact"/>
        <w:outlineLvl w:val="2"/>
        <w:rPr>
          <w:rFonts w:ascii="仿宋_GB2312" w:hAnsi="仿宋_GB2312" w:eastAsia="仿宋_GB2312" w:cs="仿宋_GB2312"/>
          <w:sz w:val="32"/>
          <w:szCs w:val="32"/>
        </w:rPr>
      </w:pPr>
      <w:bookmarkStart w:id="23" w:name="_Toc1485178070"/>
      <w:r>
        <w:rPr>
          <w:rFonts w:hint="eastAsia" w:ascii="仿宋_GB2312" w:hAnsi="仿宋_GB2312" w:eastAsia="仿宋_GB2312" w:cs="仿宋_GB2312"/>
          <w:sz w:val="32"/>
          <w:szCs w:val="32"/>
        </w:rPr>
        <w:t>广元市公安局经济开发区分局</w:t>
      </w:r>
      <w:bookmarkEnd w:id="23"/>
    </w:p>
    <w:p w14:paraId="5834B171">
      <w:pPr>
        <w:pStyle w:val="5"/>
        <w:numPr>
          <w:ilvl w:val="0"/>
          <w:numId w:val="1"/>
        </w:numPr>
        <w:suppressAutoHyphens w:val="0"/>
        <w:adjustRightInd w:val="0"/>
        <w:snapToGrid w:val="0"/>
        <w:spacing w:beforeLines="30" w:after="0" w:line="600" w:lineRule="exact"/>
        <w:outlineLvl w:val="2"/>
        <w:rPr>
          <w:rFonts w:ascii="仿宋_GB2312" w:hAnsi="仿宋_GB2312" w:eastAsia="仿宋_GB2312" w:cs="仿宋_GB2312"/>
          <w:sz w:val="32"/>
          <w:szCs w:val="32"/>
        </w:rPr>
      </w:pPr>
      <w:bookmarkStart w:id="24" w:name="_Toc978393085"/>
      <w:r>
        <w:rPr>
          <w:rFonts w:hint="eastAsia" w:ascii="仿宋_GB2312" w:hAnsi="仿宋_GB2312" w:eastAsia="仿宋_GB2312" w:cs="仿宋_GB2312"/>
          <w:sz w:val="32"/>
          <w:szCs w:val="32"/>
        </w:rPr>
        <w:t>广元市公安局机场分局</w:t>
      </w:r>
      <w:bookmarkEnd w:id="24"/>
    </w:p>
    <w:p w14:paraId="22972299">
      <w:pPr>
        <w:pStyle w:val="5"/>
        <w:numPr>
          <w:ilvl w:val="0"/>
          <w:numId w:val="1"/>
        </w:numPr>
        <w:suppressAutoHyphens w:val="0"/>
        <w:adjustRightInd w:val="0"/>
        <w:snapToGrid w:val="0"/>
        <w:spacing w:beforeLines="30" w:after="0" w:line="600" w:lineRule="exact"/>
        <w:outlineLvl w:val="2"/>
        <w:rPr>
          <w:rFonts w:ascii="仿宋_GB2312" w:hAnsi="仿宋_GB2312" w:eastAsia="仿宋_GB2312" w:cs="仿宋_GB2312"/>
          <w:sz w:val="32"/>
          <w:szCs w:val="32"/>
        </w:rPr>
      </w:pPr>
      <w:bookmarkStart w:id="25" w:name="_Toc43614115"/>
      <w:r>
        <w:rPr>
          <w:rFonts w:hint="eastAsia" w:ascii="仿宋_GB2312" w:hAnsi="仿宋_GB2312" w:eastAsia="仿宋_GB2312" w:cs="仿宋_GB2312"/>
          <w:sz w:val="32"/>
          <w:szCs w:val="32"/>
        </w:rPr>
        <w:t>广元市公安局宝珠寺分</w:t>
      </w:r>
      <w:bookmarkEnd w:id="25"/>
      <w:r>
        <w:rPr>
          <w:rFonts w:hint="eastAsia" w:ascii="仿宋_GB2312" w:hAnsi="仿宋_GB2312" w:eastAsia="仿宋_GB2312" w:cs="仿宋_GB2312"/>
          <w:sz w:val="32"/>
          <w:szCs w:val="32"/>
        </w:rPr>
        <w:t>局</w:t>
      </w:r>
    </w:p>
    <w:p w14:paraId="09B4904F">
      <w:pPr>
        <w:pStyle w:val="5"/>
        <w:suppressAutoHyphens w:val="0"/>
        <w:adjustRightInd w:val="0"/>
        <w:snapToGrid w:val="0"/>
        <w:spacing w:beforeLines="30" w:after="0" w:line="600" w:lineRule="exact"/>
        <w:outlineLvl w:val="9"/>
        <w:rPr>
          <w:rFonts w:ascii="仿宋_GB2312" w:hAnsi="仿宋_GB2312" w:eastAsia="仿宋_GB2312" w:cs="仿宋_GB2312"/>
          <w:sz w:val="32"/>
          <w:szCs w:val="32"/>
        </w:rPr>
      </w:pPr>
      <w:r>
        <w:rPr>
          <w:rFonts w:hint="eastAsia" w:ascii="仿宋_GB2312" w:hAnsi="仿宋_GB2312" w:eastAsia="仿宋_GB2312" w:cs="仿宋_GB2312"/>
        </w:rPr>
        <w:br w:type="page"/>
      </w:r>
    </w:p>
    <w:p w14:paraId="27F25C03">
      <w:pPr>
        <w:pStyle w:val="2"/>
        <w:spacing w:line="600" w:lineRule="exact"/>
        <w:ind w:right="440"/>
        <w:jc w:val="center"/>
        <w:rPr>
          <w:rStyle w:val="21"/>
          <w:rFonts w:ascii="黑体" w:hAnsi="黑体" w:eastAsia="黑体"/>
          <w:b w:val="0"/>
          <w:bCs w:val="0"/>
        </w:rPr>
      </w:pPr>
      <w:bookmarkStart w:id="26" w:name="_Toc15396602"/>
      <w:bookmarkStart w:id="27" w:name="_Toc15377204"/>
      <w:bookmarkStart w:id="28" w:name="_Toc11931"/>
      <w:r>
        <w:rPr>
          <w:rFonts w:hint="eastAsia" w:ascii="黑体" w:hAnsi="黑体" w:eastAsia="黑体"/>
          <w:b w:val="0"/>
        </w:rPr>
        <w:t>第二部分 2023年度</w:t>
      </w:r>
      <w:r>
        <w:rPr>
          <w:rStyle w:val="21"/>
          <w:rFonts w:hint="eastAsia" w:ascii="黑体" w:hAnsi="黑体" w:eastAsia="黑体"/>
          <w:b w:val="0"/>
          <w:bCs w:val="0"/>
        </w:rPr>
        <w:t>部门决算情况说明</w:t>
      </w:r>
      <w:bookmarkEnd w:id="26"/>
      <w:bookmarkEnd w:id="27"/>
      <w:bookmarkEnd w:id="28"/>
    </w:p>
    <w:p w14:paraId="687160F5">
      <w:pPr>
        <w:spacing w:line="600" w:lineRule="exact"/>
      </w:pPr>
    </w:p>
    <w:p w14:paraId="4CBADA33">
      <w:pPr>
        <w:pStyle w:val="26"/>
        <w:numPr>
          <w:ilvl w:val="0"/>
          <w:numId w:val="2"/>
        </w:numPr>
        <w:spacing w:line="600" w:lineRule="exact"/>
        <w:ind w:firstLineChars="0"/>
        <w:outlineLvl w:val="1"/>
        <w:rPr>
          <w:rStyle w:val="22"/>
          <w:rFonts w:ascii="黑体" w:hAnsi="黑体" w:eastAsia="黑体"/>
          <w:b w:val="0"/>
        </w:rPr>
      </w:pPr>
      <w:bookmarkStart w:id="29" w:name="_Toc5928"/>
      <w:bookmarkStart w:id="30" w:name="_Toc15396603"/>
      <w:bookmarkStart w:id="31" w:name="_Toc15377205"/>
      <w:r>
        <w:rPr>
          <w:rFonts w:hint="eastAsia" w:ascii="黑体" w:hAnsi="黑体" w:eastAsia="黑体"/>
          <w:sz w:val="32"/>
          <w:szCs w:val="32"/>
        </w:rPr>
        <w:t>收</w:t>
      </w:r>
      <w:r>
        <w:rPr>
          <w:rStyle w:val="22"/>
          <w:rFonts w:hint="eastAsia" w:ascii="黑体" w:hAnsi="黑体" w:eastAsia="黑体"/>
          <w:b w:val="0"/>
        </w:rPr>
        <w:t>入支出决算总体情况说明</w:t>
      </w:r>
      <w:bookmarkEnd w:id="29"/>
      <w:bookmarkEnd w:id="30"/>
      <w:bookmarkEnd w:id="31"/>
    </w:p>
    <w:p w14:paraId="1B7D3294">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2023年度收、支总计均为34428.63万元。与2022年度相比，收、支总计各增加1305.74万元，增长3.94%。主要变动原因是2023年利州区人力资源和社会保障局划拨利州区分局公益性岗位补贴和经开区财政划拨经开区分局警务辅助人员保障经费等其他收入增加。</w:t>
      </w:r>
    </w:p>
    <w:p w14:paraId="2BBEDD5E">
      <w:pPr>
        <w:pStyle w:val="5"/>
      </w:pPr>
      <w:r>
        <w:rPr>
          <w:rFonts w:hint="eastAsia"/>
        </w:rPr>
        <w:drawing>
          <wp:inline distT="0" distB="0" distL="0" distR="0">
            <wp:extent cx="5274310" cy="3076575"/>
            <wp:effectExtent l="19050" t="0" r="21590" b="0"/>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
              </a:graphicData>
            </a:graphic>
          </wp:inline>
        </w:drawing>
      </w:r>
    </w:p>
    <w:p w14:paraId="4512B01A">
      <w:pPr>
        <w:spacing w:line="600" w:lineRule="exact"/>
        <w:ind w:firstLine="640" w:firstLineChars="200"/>
        <w:jc w:val="center"/>
        <w:rPr>
          <w:rFonts w:ascii="仿宋_GB2312" w:hAnsi="仿宋_GB2312" w:eastAsia="仿宋_GB2312" w:cs="仿宋_GB2312"/>
          <w:sz w:val="32"/>
          <w:szCs w:val="32"/>
        </w:rPr>
      </w:pPr>
      <w:r>
        <w:rPr>
          <w:rFonts w:hint="eastAsia" w:ascii="仿宋_GB2312" w:hAnsi="仿宋_GB2312" w:eastAsia="仿宋_GB2312" w:cs="仿宋_GB2312"/>
          <w:sz w:val="32"/>
          <w:szCs w:val="32"/>
        </w:rPr>
        <w:t>（图1：收、支决算总计变动情况图）</w:t>
      </w:r>
    </w:p>
    <w:p w14:paraId="775E39E7">
      <w:pPr>
        <w:pStyle w:val="5"/>
      </w:pPr>
    </w:p>
    <w:p w14:paraId="2592432C">
      <w:pPr>
        <w:pStyle w:val="26"/>
        <w:numPr>
          <w:ilvl w:val="0"/>
          <w:numId w:val="2"/>
        </w:numPr>
        <w:spacing w:line="600" w:lineRule="exact"/>
        <w:ind w:firstLineChars="0"/>
        <w:outlineLvl w:val="1"/>
        <w:rPr>
          <w:rStyle w:val="22"/>
          <w:rFonts w:ascii="黑体" w:hAnsi="黑体" w:eastAsia="黑体"/>
          <w:b w:val="0"/>
        </w:rPr>
      </w:pPr>
      <w:bookmarkStart w:id="32" w:name="_Toc15396604"/>
      <w:bookmarkStart w:id="33" w:name="_Toc15377206"/>
      <w:bookmarkStart w:id="34" w:name="_Toc5189"/>
      <w:r>
        <w:rPr>
          <w:rFonts w:hint="eastAsia" w:ascii="黑体" w:hAnsi="黑体" w:eastAsia="黑体"/>
          <w:sz w:val="32"/>
          <w:szCs w:val="32"/>
        </w:rPr>
        <w:t>收</w:t>
      </w:r>
      <w:r>
        <w:rPr>
          <w:rStyle w:val="22"/>
          <w:rFonts w:hint="eastAsia" w:ascii="黑体" w:hAnsi="黑体" w:eastAsia="黑体"/>
          <w:b w:val="0"/>
        </w:rPr>
        <w:t>入决算情况说明</w:t>
      </w:r>
      <w:bookmarkEnd w:id="32"/>
      <w:bookmarkEnd w:id="33"/>
      <w:bookmarkEnd w:id="34"/>
    </w:p>
    <w:p w14:paraId="4C876C94">
      <w:pPr>
        <w:spacing w:line="600" w:lineRule="exact"/>
        <w:ind w:firstLine="640" w:firstLineChars="200"/>
        <w:outlineLvl w:val="1"/>
        <w:rPr>
          <w:rFonts w:ascii="仿宋_GB2312" w:hAnsi="仿宋_GB2312" w:eastAsia="仿宋_GB2312" w:cs="仿宋_GB2312"/>
          <w:sz w:val="32"/>
          <w:szCs w:val="32"/>
        </w:rPr>
      </w:pPr>
      <w:bookmarkStart w:id="35" w:name="_Toc21588"/>
      <w:r>
        <w:rPr>
          <w:rFonts w:hint="eastAsia" w:ascii="仿宋_GB2312" w:hAnsi="仿宋_GB2312" w:eastAsia="仿宋_GB2312" w:cs="仿宋_GB2312"/>
          <w:sz w:val="32"/>
          <w:szCs w:val="32"/>
        </w:rPr>
        <w:t>2023年度本年收入合计34134.74万元，其中：一般公共预算财政拨款收入32184.9万元，占94.29%；政府性基金预算财政拨款收入327.61万元，占0.96%；其他收入1622.23万元，占4.75%。</w:t>
      </w:r>
      <w:bookmarkEnd w:id="35"/>
    </w:p>
    <w:p w14:paraId="7982FBFF">
      <w:pPr>
        <w:pStyle w:val="5"/>
      </w:pPr>
      <w:r>
        <w:rPr>
          <w:rFonts w:ascii="仿宋" w:hAnsi="仿宋" w:eastAsia="仿宋"/>
          <w:sz w:val="32"/>
          <w:szCs w:val="32"/>
        </w:rPr>
        <w:drawing>
          <wp:inline distT="0" distB="0" distL="0" distR="0">
            <wp:extent cx="5293995" cy="2700655"/>
            <wp:effectExtent l="19050" t="0" r="20586" b="4430"/>
            <wp:docPr id="10"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p>
    <w:p w14:paraId="113CFCD3">
      <w:pPr>
        <w:spacing w:line="600" w:lineRule="exact"/>
        <w:ind w:firstLine="640" w:firstLineChars="200"/>
        <w:jc w:val="center"/>
        <w:rPr>
          <w:rFonts w:ascii="仿宋" w:hAnsi="仿宋" w:eastAsia="仿宋"/>
          <w:sz w:val="32"/>
          <w:szCs w:val="32"/>
        </w:rPr>
      </w:pPr>
      <w:r>
        <w:rPr>
          <w:rFonts w:hint="eastAsia" w:ascii="仿宋" w:hAnsi="仿宋" w:eastAsia="仿宋"/>
          <w:sz w:val="32"/>
          <w:szCs w:val="32"/>
        </w:rPr>
        <w:t>（图2：收入决算结构图）</w:t>
      </w:r>
    </w:p>
    <w:p w14:paraId="5DF64377">
      <w:pPr>
        <w:pStyle w:val="5"/>
      </w:pPr>
    </w:p>
    <w:p w14:paraId="2537E8BA">
      <w:pPr>
        <w:pStyle w:val="26"/>
        <w:numPr>
          <w:ilvl w:val="0"/>
          <w:numId w:val="2"/>
        </w:numPr>
        <w:spacing w:line="600" w:lineRule="exact"/>
        <w:ind w:firstLineChars="0"/>
        <w:outlineLvl w:val="1"/>
        <w:rPr>
          <w:rStyle w:val="22"/>
          <w:rFonts w:ascii="黑体" w:hAnsi="黑体" w:eastAsia="黑体"/>
          <w:b w:val="0"/>
        </w:rPr>
      </w:pPr>
      <w:bookmarkStart w:id="36" w:name="_Toc15396605"/>
      <w:bookmarkStart w:id="37" w:name="_Toc6884"/>
      <w:bookmarkStart w:id="38" w:name="_Toc15377207"/>
      <w:r>
        <w:rPr>
          <w:rFonts w:hint="eastAsia" w:ascii="黑体" w:hAnsi="黑体" w:eastAsia="黑体"/>
          <w:sz w:val="32"/>
          <w:szCs w:val="32"/>
        </w:rPr>
        <w:t>支</w:t>
      </w:r>
      <w:r>
        <w:rPr>
          <w:rStyle w:val="22"/>
          <w:rFonts w:hint="eastAsia" w:ascii="黑体" w:hAnsi="黑体" w:eastAsia="黑体"/>
          <w:b w:val="0"/>
        </w:rPr>
        <w:t>出决算情况说明</w:t>
      </w:r>
      <w:bookmarkEnd w:id="36"/>
      <w:bookmarkEnd w:id="37"/>
      <w:bookmarkEnd w:id="38"/>
    </w:p>
    <w:p w14:paraId="6EB5F767">
      <w:pPr>
        <w:spacing w:line="600" w:lineRule="exact"/>
        <w:ind w:firstLine="640" w:firstLineChars="200"/>
        <w:outlineLvl w:val="1"/>
        <w:rPr>
          <w:rFonts w:ascii="仿宋_GB2312" w:hAnsi="仿宋_GB2312" w:eastAsia="仿宋_GB2312" w:cs="仿宋_GB2312"/>
          <w:sz w:val="32"/>
          <w:szCs w:val="32"/>
        </w:rPr>
      </w:pPr>
      <w:bookmarkStart w:id="39" w:name="_Toc27692"/>
      <w:r>
        <w:rPr>
          <w:rFonts w:hint="eastAsia" w:ascii="仿宋_GB2312" w:hAnsi="仿宋_GB2312" w:eastAsia="仿宋_GB2312" w:cs="仿宋_GB2312"/>
          <w:sz w:val="32"/>
          <w:szCs w:val="32"/>
        </w:rPr>
        <w:t>2023年度本年支出合计34236.05万元，其中：基本支出26500.41万元，占77.4%；项目支出7735.64万元，占22.6%。</w:t>
      </w:r>
      <w:bookmarkEnd w:id="39"/>
    </w:p>
    <w:p w14:paraId="7AD0016B">
      <w:pPr>
        <w:pStyle w:val="5"/>
      </w:pPr>
      <w:r>
        <w:drawing>
          <wp:inline distT="0" distB="0" distL="0" distR="0">
            <wp:extent cx="5274310" cy="3076575"/>
            <wp:effectExtent l="19050" t="0" r="21590" b="0"/>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14:paraId="0FD3A6F5">
      <w:pPr>
        <w:spacing w:line="600" w:lineRule="exact"/>
        <w:ind w:firstLine="640" w:firstLineChars="200"/>
        <w:jc w:val="center"/>
        <w:rPr>
          <w:rFonts w:ascii="仿宋_GB2312" w:hAnsi="仿宋_GB2312" w:eastAsia="仿宋_GB2312" w:cs="仿宋_GB2312"/>
          <w:sz w:val="32"/>
          <w:szCs w:val="32"/>
        </w:rPr>
      </w:pPr>
      <w:r>
        <w:rPr>
          <w:rFonts w:hint="eastAsia" w:ascii="仿宋_GB2312" w:hAnsi="仿宋_GB2312" w:eastAsia="仿宋_GB2312" w:cs="仿宋_GB2312"/>
          <w:sz w:val="32"/>
          <w:szCs w:val="32"/>
        </w:rPr>
        <w:t>（图3：支出决算结构图）</w:t>
      </w:r>
    </w:p>
    <w:p w14:paraId="72C1C081">
      <w:pPr>
        <w:spacing w:line="600" w:lineRule="exact"/>
        <w:ind w:firstLine="640" w:firstLineChars="200"/>
        <w:outlineLvl w:val="1"/>
        <w:rPr>
          <w:rStyle w:val="22"/>
          <w:rFonts w:ascii="黑体" w:hAnsi="黑体" w:eastAsia="黑体"/>
          <w:b w:val="0"/>
        </w:rPr>
      </w:pPr>
      <w:bookmarkStart w:id="40" w:name="_Toc15396606"/>
      <w:bookmarkStart w:id="41" w:name="_Toc7638"/>
      <w:bookmarkStart w:id="42" w:name="_Toc15377208"/>
      <w:r>
        <w:rPr>
          <w:rFonts w:hint="eastAsia" w:ascii="黑体" w:hAnsi="黑体" w:eastAsia="黑体"/>
          <w:sz w:val="32"/>
          <w:szCs w:val="32"/>
        </w:rPr>
        <w:t>四、财</w:t>
      </w:r>
      <w:r>
        <w:rPr>
          <w:rStyle w:val="22"/>
          <w:rFonts w:hint="eastAsia" w:ascii="黑体" w:hAnsi="黑体" w:eastAsia="黑体"/>
          <w:b w:val="0"/>
        </w:rPr>
        <w:t>政拨款收入支出决算总体情况说明</w:t>
      </w:r>
      <w:bookmarkEnd w:id="40"/>
      <w:bookmarkEnd w:id="41"/>
      <w:bookmarkEnd w:id="42"/>
    </w:p>
    <w:p w14:paraId="66391AA8">
      <w:pPr>
        <w:spacing w:line="600"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2023年度财政拨款收、支总计均为32512.51万元。与2022年度相比，财政拨款收、支总计各减少100.45万元，下降0.31%。主要变动原因是</w:t>
      </w:r>
      <w:r>
        <w:rPr>
          <w:rFonts w:hint="eastAsia" w:ascii="仿宋" w:hAnsi="仿宋" w:eastAsia="仿宋"/>
          <w:sz w:val="32"/>
          <w:szCs w:val="32"/>
        </w:rPr>
        <w:t>2023年决算收入采取以支定收方式，2023年实际支出较2022年减少100.45万元。</w:t>
      </w:r>
      <w:bookmarkStart w:id="320" w:name="_GoBack"/>
      <w:bookmarkEnd w:id="320"/>
    </w:p>
    <w:p w14:paraId="0A01221D">
      <w:pPr>
        <w:pStyle w:val="5"/>
      </w:pPr>
      <w:r>
        <w:rPr>
          <w:rFonts w:hint="eastAsia"/>
        </w:rPr>
        <w:drawing>
          <wp:inline distT="0" distB="0" distL="0" distR="0">
            <wp:extent cx="5275580" cy="3380740"/>
            <wp:effectExtent l="19050" t="0" r="20261" b="0"/>
            <wp:docPr id="23"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44369A8C">
      <w:pPr>
        <w:spacing w:line="600" w:lineRule="exact"/>
        <w:ind w:firstLine="640" w:firstLineChars="200"/>
        <w:jc w:val="center"/>
        <w:rPr>
          <w:rFonts w:ascii="仿宋" w:hAnsi="仿宋" w:eastAsia="仿宋"/>
          <w:sz w:val="32"/>
          <w:szCs w:val="32"/>
        </w:rPr>
      </w:pPr>
      <w:r>
        <w:rPr>
          <w:rFonts w:hint="eastAsia" w:ascii="仿宋" w:hAnsi="仿宋" w:eastAsia="仿宋"/>
          <w:sz w:val="32"/>
          <w:szCs w:val="32"/>
        </w:rPr>
        <w:t>（图4：财政拨款收、支决算总计变动情况）</w:t>
      </w:r>
    </w:p>
    <w:p w14:paraId="7B9B46C3">
      <w:pPr>
        <w:pStyle w:val="5"/>
      </w:pPr>
    </w:p>
    <w:p w14:paraId="3485608C">
      <w:pPr>
        <w:spacing w:line="600" w:lineRule="exact"/>
        <w:ind w:firstLine="640" w:firstLineChars="200"/>
        <w:outlineLvl w:val="1"/>
        <w:rPr>
          <w:rStyle w:val="22"/>
          <w:rFonts w:ascii="黑体" w:hAnsi="黑体" w:eastAsia="黑体"/>
          <w:b w:val="0"/>
        </w:rPr>
      </w:pPr>
      <w:bookmarkStart w:id="43" w:name="_Toc15377209"/>
      <w:bookmarkStart w:id="44" w:name="_Toc6918"/>
      <w:bookmarkStart w:id="45" w:name="_Toc15396607"/>
      <w:r>
        <w:rPr>
          <w:rFonts w:hint="eastAsia" w:ascii="黑体" w:hAnsi="黑体" w:eastAsia="黑体"/>
          <w:sz w:val="32"/>
          <w:szCs w:val="32"/>
        </w:rPr>
        <w:t>五、</w:t>
      </w:r>
      <w:r>
        <w:rPr>
          <w:rFonts w:hint="eastAsia" w:ascii="黑体" w:hAnsi="黑体" w:eastAsia="黑体"/>
          <w:b/>
          <w:sz w:val="32"/>
          <w:szCs w:val="32"/>
        </w:rPr>
        <w:t>一</w:t>
      </w:r>
      <w:r>
        <w:rPr>
          <w:rStyle w:val="22"/>
          <w:rFonts w:hint="eastAsia" w:ascii="黑体" w:hAnsi="黑体" w:eastAsia="黑体"/>
          <w:b w:val="0"/>
        </w:rPr>
        <w:t>般公共预算财政拨款支出决算情况说明</w:t>
      </w:r>
      <w:bookmarkEnd w:id="43"/>
      <w:bookmarkEnd w:id="44"/>
      <w:bookmarkEnd w:id="45"/>
    </w:p>
    <w:p w14:paraId="2ED86CAC">
      <w:pPr>
        <w:spacing w:line="600" w:lineRule="exact"/>
        <w:ind w:firstLine="643" w:firstLineChars="200"/>
        <w:outlineLvl w:val="2"/>
        <w:rPr>
          <w:rFonts w:ascii="仿宋_GB2312" w:hAnsi="仿宋_GB2312" w:eastAsia="仿宋_GB2312" w:cs="仿宋_GB2312"/>
          <w:b/>
          <w:sz w:val="32"/>
          <w:szCs w:val="32"/>
        </w:rPr>
      </w:pPr>
      <w:bookmarkStart w:id="46" w:name="_Toc15377210"/>
      <w:r>
        <w:rPr>
          <w:rFonts w:hint="eastAsia" w:ascii="仿宋_GB2312" w:hAnsi="仿宋_GB2312" w:eastAsia="仿宋_GB2312" w:cs="仿宋_GB2312"/>
          <w:b/>
          <w:sz w:val="32"/>
          <w:szCs w:val="32"/>
        </w:rPr>
        <w:t>（一）一般公共预算财政拨款支出决算总体情况</w:t>
      </w:r>
      <w:bookmarkEnd w:id="46"/>
    </w:p>
    <w:p w14:paraId="2AC72973">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2023年度一般公共预算财政拨款支出32023.36万元，占本年支出合计的93.54%。与2022年度相比，一般公共预算财政拨款支出减少351.7万元，下降1.09%。主要变动原因是市公安局机关和利州区分局在职人员减少工资福利支出相应下降。</w:t>
      </w:r>
    </w:p>
    <w:p w14:paraId="7806B1A8">
      <w:pPr>
        <w:pStyle w:val="5"/>
      </w:pPr>
    </w:p>
    <w:p w14:paraId="13EB16D0">
      <w:pPr>
        <w:pStyle w:val="5"/>
      </w:pPr>
      <w:r>
        <w:rPr>
          <w:rFonts w:hint="eastAsia"/>
        </w:rPr>
        <w:drawing>
          <wp:inline distT="0" distB="0" distL="0" distR="0">
            <wp:extent cx="5285105" cy="2753360"/>
            <wp:effectExtent l="19050" t="0" r="10736" b="8418"/>
            <wp:docPr id="24" name="图表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4812BA01">
      <w:pPr>
        <w:spacing w:line="600" w:lineRule="exact"/>
        <w:jc w:val="center"/>
        <w:rPr>
          <w:rFonts w:ascii="仿宋_GB2312" w:hAnsi="仿宋_GB2312" w:eastAsia="仿宋_GB2312" w:cs="仿宋_GB2312"/>
          <w:sz w:val="32"/>
          <w:szCs w:val="32"/>
        </w:rPr>
      </w:pPr>
      <w:r>
        <w:rPr>
          <w:rFonts w:hint="eastAsia" w:ascii="仿宋_GB2312" w:hAnsi="仿宋_GB2312" w:eastAsia="仿宋_GB2312" w:cs="仿宋_GB2312"/>
          <w:sz w:val="32"/>
          <w:szCs w:val="32"/>
        </w:rPr>
        <w:t>（图5：一般公共预算财政拨款支出决算变动情况）</w:t>
      </w:r>
    </w:p>
    <w:p w14:paraId="638792E3">
      <w:pPr>
        <w:spacing w:line="600" w:lineRule="exact"/>
        <w:ind w:firstLine="643" w:firstLineChars="200"/>
        <w:outlineLvl w:val="2"/>
        <w:rPr>
          <w:rFonts w:ascii="仿宋_GB2312" w:hAnsi="仿宋_GB2312" w:eastAsia="仿宋_GB2312" w:cs="仿宋_GB2312"/>
          <w:b/>
          <w:sz w:val="32"/>
          <w:szCs w:val="32"/>
        </w:rPr>
      </w:pPr>
      <w:bookmarkStart w:id="47" w:name="_Toc15377211"/>
      <w:r>
        <w:rPr>
          <w:rFonts w:hint="eastAsia" w:ascii="仿宋_GB2312" w:hAnsi="仿宋_GB2312" w:eastAsia="仿宋_GB2312" w:cs="仿宋_GB2312"/>
          <w:b/>
          <w:sz w:val="32"/>
          <w:szCs w:val="32"/>
        </w:rPr>
        <w:t>（二）一般公共预算财政拨款支出决算结构情况</w:t>
      </w:r>
      <w:bookmarkEnd w:id="47"/>
    </w:p>
    <w:p w14:paraId="5D01491E">
      <w:pPr>
        <w:spacing w:line="600" w:lineRule="exact"/>
        <w:ind w:firstLine="640"/>
        <w:rPr>
          <w:rFonts w:ascii="仿宋_GB2312" w:hAnsi="仿宋" w:eastAsia="仿宋_GB2312"/>
          <w:sz w:val="32"/>
          <w:szCs w:val="32"/>
        </w:rPr>
      </w:pPr>
      <w:r>
        <w:rPr>
          <w:rFonts w:hint="eastAsia" w:ascii="仿宋_GB2312" w:hAnsi="仿宋_GB2312" w:eastAsia="仿宋_GB2312" w:cs="仿宋_GB2312"/>
          <w:sz w:val="32"/>
          <w:szCs w:val="32"/>
        </w:rPr>
        <w:t>2023年度一般公共预算财政拨款支出32023.36万元，主要用于以下方面</w:t>
      </w:r>
      <w:r>
        <w:rPr>
          <w:rFonts w:hint="eastAsia" w:ascii="仿宋_GB2312" w:hAnsi="仿宋_GB2312" w:eastAsia="仿宋_GB2312" w:cs="仿宋_GB2312"/>
          <w:sz w:val="32"/>
          <w:szCs w:val="32"/>
          <w:lang w:eastAsia="zh-CN"/>
        </w:rPr>
        <w:t>：</w:t>
      </w:r>
      <w:r>
        <w:rPr>
          <w:rFonts w:hint="eastAsia" w:ascii="仿宋_GB2312" w:hAnsi="仿宋" w:eastAsia="仿宋_GB2312"/>
          <w:sz w:val="32"/>
          <w:szCs w:val="32"/>
        </w:rPr>
        <w:t xml:space="preserve"> 公共安全支出24664.71万元，占77.02%；社会保障和就业支出3597.96万元，占11.23%；卫生健康支出931.14万元，占2.91%；住房保障支出2829.55万元，占8.84%。</w:t>
      </w:r>
    </w:p>
    <w:p w14:paraId="4C1F1D4A">
      <w:pPr>
        <w:pStyle w:val="5"/>
      </w:pPr>
      <w:r>
        <w:rPr>
          <w:rFonts w:hint="eastAsia"/>
        </w:rPr>
        <w:drawing>
          <wp:inline distT="0" distB="0" distL="0" distR="0">
            <wp:extent cx="5290820" cy="2764155"/>
            <wp:effectExtent l="19050" t="0" r="23761" b="0"/>
            <wp:docPr id="25" name="图表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2F286C28">
      <w:pPr>
        <w:spacing w:line="600" w:lineRule="exact"/>
        <w:ind w:firstLine="640" w:firstLineChars="200"/>
        <w:jc w:val="center"/>
        <w:rPr>
          <w:rFonts w:ascii="仿宋_GB2312" w:hAnsi="仿宋_GB2312" w:eastAsia="仿宋_GB2312" w:cs="仿宋_GB2312"/>
          <w:sz w:val="32"/>
          <w:szCs w:val="32"/>
        </w:rPr>
      </w:pPr>
      <w:r>
        <w:rPr>
          <w:rFonts w:hint="eastAsia" w:ascii="仿宋_GB2312" w:hAnsi="仿宋_GB2312" w:eastAsia="仿宋_GB2312" w:cs="仿宋_GB2312"/>
          <w:sz w:val="32"/>
          <w:szCs w:val="32"/>
        </w:rPr>
        <w:t>（图6：一般公共预算财政拨款支出决算结构）</w:t>
      </w:r>
    </w:p>
    <w:p w14:paraId="31B7E073">
      <w:pPr>
        <w:spacing w:line="600" w:lineRule="exact"/>
        <w:ind w:firstLine="643" w:firstLineChars="200"/>
        <w:outlineLvl w:val="2"/>
        <w:rPr>
          <w:rFonts w:ascii="仿宋_GB2312" w:hAnsi="仿宋_GB2312" w:eastAsia="仿宋_GB2312" w:cs="仿宋_GB2312"/>
          <w:b/>
          <w:sz w:val="32"/>
          <w:szCs w:val="32"/>
        </w:rPr>
      </w:pPr>
      <w:bookmarkStart w:id="48" w:name="_Toc15377212"/>
      <w:r>
        <w:rPr>
          <w:rFonts w:hint="eastAsia" w:ascii="仿宋_GB2312" w:hAnsi="仿宋_GB2312" w:eastAsia="仿宋_GB2312" w:cs="仿宋_GB2312"/>
          <w:b/>
          <w:sz w:val="32"/>
          <w:szCs w:val="32"/>
        </w:rPr>
        <w:t>（三）一般公共预算财政拨款支出决算具体情况</w:t>
      </w:r>
      <w:bookmarkEnd w:id="48"/>
    </w:p>
    <w:p w14:paraId="286C6A5B">
      <w:pPr>
        <w:spacing w:line="600" w:lineRule="exact"/>
        <w:ind w:firstLine="643" w:firstLineChars="200"/>
        <w:outlineLvl w:val="2"/>
        <w:rPr>
          <w:rFonts w:ascii="仿宋_GB2312" w:hAnsi="仿宋_GB2312" w:eastAsia="仿宋_GB2312" w:cs="仿宋_GB2312"/>
          <w:sz w:val="32"/>
          <w:szCs w:val="32"/>
        </w:rPr>
      </w:pPr>
      <w:bookmarkStart w:id="49" w:name="_Toc15377213"/>
      <w:bookmarkStart w:id="50" w:name="_Toc15377444"/>
      <w:bookmarkStart w:id="51" w:name="_Toc15378460"/>
      <w:r>
        <w:rPr>
          <w:rFonts w:hint="eastAsia" w:ascii="仿宋_GB2312" w:hAnsi="仿宋_GB2312" w:eastAsia="仿宋_GB2312" w:cs="仿宋_GB2312"/>
          <w:b/>
          <w:sz w:val="32"/>
          <w:szCs w:val="32"/>
        </w:rPr>
        <w:t>2023年度一般公共预算支出决算数为32023.36万元</w:t>
      </w:r>
      <w:r>
        <w:rPr>
          <w:rFonts w:hint="eastAsia" w:ascii="仿宋_GB2312" w:hAnsi="仿宋_GB2312" w:eastAsia="仿宋_GB2312" w:cs="仿宋_GB2312"/>
          <w:sz w:val="32"/>
          <w:szCs w:val="32"/>
        </w:rPr>
        <w:t>，</w:t>
      </w:r>
      <w:r>
        <w:rPr>
          <w:rStyle w:val="19"/>
          <w:rFonts w:hint="eastAsia" w:ascii="仿宋_GB2312" w:hAnsi="仿宋_GB2312" w:eastAsia="仿宋_GB2312" w:cs="仿宋_GB2312"/>
          <w:bCs/>
          <w:sz w:val="32"/>
          <w:szCs w:val="32"/>
        </w:rPr>
        <w:t>完成预算99.5%。其中：</w:t>
      </w:r>
      <w:bookmarkEnd w:id="49"/>
      <w:bookmarkEnd w:id="50"/>
      <w:bookmarkEnd w:id="51"/>
    </w:p>
    <w:p w14:paraId="18A01674">
      <w:pPr>
        <w:ind w:firstLine="643" w:firstLineChars="200"/>
        <w:rPr>
          <w:rFonts w:ascii="宋体" w:hAnsi="宋体" w:eastAsia="仿宋" w:cs="Arial"/>
          <w:b/>
          <w:kern w:val="0"/>
          <w:sz w:val="22"/>
          <w:szCs w:val="22"/>
        </w:rPr>
      </w:pPr>
      <w:r>
        <w:rPr>
          <w:rStyle w:val="19"/>
          <w:rFonts w:hint="eastAsia" w:ascii="仿宋_GB2312" w:hAnsi="仿宋_GB2312" w:eastAsia="仿宋_GB2312" w:cs="仿宋_GB2312"/>
          <w:bCs/>
          <w:sz w:val="32"/>
          <w:szCs w:val="32"/>
        </w:rPr>
        <w:t>1.</w:t>
      </w:r>
      <w:r>
        <w:rPr>
          <w:rStyle w:val="19"/>
          <w:rFonts w:hint="eastAsia" w:ascii="仿宋" w:hAnsi="仿宋" w:eastAsia="仿宋"/>
          <w:bCs/>
          <w:sz w:val="32"/>
          <w:szCs w:val="32"/>
        </w:rPr>
        <w:t xml:space="preserve"> 公共安全（类）公安（款）行政运行（项）</w:t>
      </w:r>
      <w:r>
        <w:rPr>
          <w:rStyle w:val="19"/>
          <w:rFonts w:hint="eastAsia" w:ascii="仿宋" w:hAnsi="仿宋" w:eastAsia="仿宋"/>
          <w:bCs/>
          <w:sz w:val="32"/>
          <w:szCs w:val="32"/>
          <w:lang w:eastAsia="zh-CN"/>
        </w:rPr>
        <w:t>：</w:t>
      </w:r>
      <w:r>
        <w:rPr>
          <w:rStyle w:val="19"/>
          <w:rFonts w:hint="eastAsia" w:ascii="仿宋" w:hAnsi="仿宋" w:eastAsia="仿宋"/>
          <w:b w:val="0"/>
          <w:bCs/>
          <w:sz w:val="32"/>
          <w:szCs w:val="32"/>
        </w:rPr>
        <w:t>支出决算为17944.15万元，完成预算99.18%</w:t>
      </w:r>
      <w:r>
        <w:rPr>
          <w:rStyle w:val="19"/>
          <w:rFonts w:hint="eastAsia" w:ascii="仿宋" w:hAnsi="仿宋" w:eastAsia="仿宋"/>
          <w:b w:val="0"/>
          <w:bCs/>
          <w:sz w:val="32"/>
          <w:szCs w:val="32"/>
          <w:lang w:eastAsia="zh-CN"/>
        </w:rPr>
        <w:t>，</w:t>
      </w:r>
      <w:r>
        <w:rPr>
          <w:rStyle w:val="19"/>
          <w:rFonts w:hint="eastAsia" w:ascii="仿宋_GB2312" w:hAnsi="仿宋_GB2312" w:eastAsia="仿宋_GB2312" w:cs="仿宋_GB2312"/>
          <w:b w:val="0"/>
          <w:bCs/>
          <w:sz w:val="32"/>
          <w:szCs w:val="32"/>
        </w:rPr>
        <w:t>决算数</w:t>
      </w:r>
      <w:r>
        <w:rPr>
          <w:rStyle w:val="19"/>
          <w:rFonts w:hint="eastAsia" w:ascii="仿宋_GB2312" w:hAnsi="仿宋_GB2312" w:eastAsia="仿宋_GB2312" w:cs="仿宋_GB2312"/>
          <w:b w:val="0"/>
          <w:bCs/>
          <w:sz w:val="32"/>
          <w:szCs w:val="32"/>
          <w:lang w:eastAsia="zh-CN"/>
        </w:rPr>
        <w:t>小于</w:t>
      </w:r>
      <w:r>
        <w:rPr>
          <w:rStyle w:val="19"/>
          <w:rFonts w:hint="eastAsia" w:ascii="仿宋_GB2312" w:hAnsi="仿宋_GB2312" w:eastAsia="仿宋_GB2312" w:cs="仿宋_GB2312"/>
          <w:b w:val="0"/>
          <w:bCs/>
          <w:sz w:val="32"/>
          <w:szCs w:val="32"/>
        </w:rPr>
        <w:t>预算数</w:t>
      </w:r>
      <w:r>
        <w:rPr>
          <w:rStyle w:val="19"/>
          <w:rFonts w:hint="eastAsia" w:ascii="仿宋_GB2312" w:hAnsi="仿宋_GB2312" w:eastAsia="仿宋_GB2312" w:cs="仿宋_GB2312"/>
          <w:b w:val="0"/>
          <w:bCs/>
          <w:sz w:val="32"/>
          <w:szCs w:val="32"/>
          <w:lang w:eastAsia="zh-CN"/>
        </w:rPr>
        <w:t>个税社保等未完成支付</w:t>
      </w:r>
      <w:r>
        <w:rPr>
          <w:rStyle w:val="19"/>
          <w:rFonts w:hint="eastAsia" w:ascii="仿宋_GB2312" w:hAnsi="仿宋_GB2312" w:eastAsia="仿宋_GB2312" w:cs="仿宋_GB2312"/>
          <w:b w:val="0"/>
          <w:bCs/>
          <w:sz w:val="32"/>
          <w:szCs w:val="32"/>
        </w:rPr>
        <w:t>。</w:t>
      </w:r>
    </w:p>
    <w:p w14:paraId="3E54B3C8">
      <w:pPr>
        <w:rPr>
          <w:rStyle w:val="19"/>
          <w:rFonts w:ascii="仿宋" w:hAnsi="仿宋" w:eastAsia="仿宋"/>
          <w:b w:val="0"/>
          <w:bCs/>
          <w:sz w:val="32"/>
          <w:szCs w:val="32"/>
        </w:rPr>
      </w:pPr>
      <w:r>
        <w:rPr>
          <w:rStyle w:val="19"/>
          <w:rFonts w:hint="eastAsia" w:ascii="仿宋" w:hAnsi="仿宋" w:eastAsia="仿宋"/>
          <w:bCs/>
          <w:sz w:val="32"/>
          <w:szCs w:val="32"/>
        </w:rPr>
        <w:t xml:space="preserve">    2</w:t>
      </w:r>
      <w:r>
        <w:rPr>
          <w:rStyle w:val="19"/>
          <w:rFonts w:ascii="仿宋" w:hAnsi="仿宋" w:eastAsia="仿宋"/>
          <w:bCs/>
          <w:sz w:val="32"/>
          <w:szCs w:val="32"/>
        </w:rPr>
        <w:t>.</w:t>
      </w:r>
      <w:r>
        <w:rPr>
          <w:rStyle w:val="19"/>
          <w:rFonts w:hint="eastAsia" w:ascii="仿宋" w:hAnsi="仿宋" w:eastAsia="仿宋"/>
          <w:bCs/>
          <w:sz w:val="32"/>
          <w:szCs w:val="32"/>
        </w:rPr>
        <w:t>公共安全（类）公安（款）一般行政管理事务（项）</w:t>
      </w:r>
      <w:r>
        <w:rPr>
          <w:rStyle w:val="19"/>
          <w:rFonts w:hint="eastAsia" w:ascii="仿宋" w:hAnsi="仿宋" w:eastAsia="仿宋"/>
          <w:bCs/>
          <w:sz w:val="32"/>
          <w:szCs w:val="32"/>
          <w:lang w:eastAsia="zh-CN"/>
        </w:rPr>
        <w:t>：</w:t>
      </w:r>
      <w:r>
        <w:rPr>
          <w:rStyle w:val="19"/>
          <w:rFonts w:hint="eastAsia" w:ascii="仿宋" w:hAnsi="仿宋" w:eastAsia="仿宋"/>
          <w:b w:val="0"/>
          <w:bCs/>
          <w:sz w:val="32"/>
          <w:szCs w:val="32"/>
        </w:rPr>
        <w:t xml:space="preserve">支出决算为3285.59万元，完成预算100%。 </w:t>
      </w:r>
    </w:p>
    <w:p w14:paraId="07DE6620">
      <w:pPr>
        <w:rPr>
          <w:rFonts w:ascii="仿宋" w:hAnsi="仿宋" w:eastAsia="仿宋"/>
          <w:b/>
          <w:bCs/>
          <w:sz w:val="32"/>
          <w:szCs w:val="32"/>
        </w:rPr>
      </w:pPr>
      <w:r>
        <w:rPr>
          <w:rStyle w:val="19"/>
          <w:rFonts w:hint="eastAsia" w:ascii="仿宋" w:hAnsi="仿宋" w:eastAsia="仿宋"/>
          <w:bCs/>
          <w:sz w:val="32"/>
          <w:szCs w:val="32"/>
        </w:rPr>
        <w:t xml:space="preserve">    3</w:t>
      </w:r>
      <w:r>
        <w:rPr>
          <w:rStyle w:val="19"/>
          <w:rFonts w:ascii="仿宋" w:hAnsi="仿宋" w:eastAsia="仿宋"/>
          <w:bCs/>
          <w:sz w:val="32"/>
          <w:szCs w:val="32"/>
        </w:rPr>
        <w:t>.</w:t>
      </w:r>
      <w:r>
        <w:rPr>
          <w:rStyle w:val="19"/>
          <w:rFonts w:hint="eastAsia" w:ascii="仿宋" w:hAnsi="仿宋" w:eastAsia="仿宋"/>
          <w:bCs/>
          <w:sz w:val="32"/>
          <w:szCs w:val="32"/>
        </w:rPr>
        <w:t>公共安全（类）公安（款）信息化建设（项）</w:t>
      </w:r>
      <w:r>
        <w:rPr>
          <w:rStyle w:val="19"/>
          <w:rFonts w:hint="eastAsia" w:ascii="仿宋" w:hAnsi="仿宋" w:eastAsia="仿宋"/>
          <w:bCs/>
          <w:sz w:val="32"/>
          <w:szCs w:val="32"/>
          <w:lang w:eastAsia="zh-CN"/>
        </w:rPr>
        <w:t>：</w:t>
      </w:r>
      <w:r>
        <w:rPr>
          <w:rStyle w:val="19"/>
          <w:rFonts w:hint="eastAsia" w:ascii="仿宋" w:hAnsi="仿宋" w:eastAsia="仿宋"/>
          <w:b w:val="0"/>
          <w:bCs/>
          <w:sz w:val="32"/>
          <w:szCs w:val="32"/>
        </w:rPr>
        <w:t>支出决算为</w:t>
      </w:r>
      <w:r>
        <w:rPr>
          <w:rStyle w:val="19"/>
          <w:rFonts w:ascii="仿宋" w:hAnsi="仿宋" w:eastAsia="仿宋"/>
          <w:b w:val="0"/>
          <w:bCs/>
          <w:sz w:val="32"/>
          <w:szCs w:val="32"/>
        </w:rPr>
        <w:t>47</w:t>
      </w:r>
      <w:r>
        <w:rPr>
          <w:rStyle w:val="19"/>
          <w:rFonts w:hint="eastAsia" w:ascii="仿宋" w:hAnsi="仿宋" w:eastAsia="仿宋"/>
          <w:b w:val="0"/>
          <w:bCs/>
          <w:sz w:val="32"/>
          <w:szCs w:val="32"/>
        </w:rPr>
        <w:t>2.35万元，完成预算100%。</w:t>
      </w:r>
    </w:p>
    <w:p w14:paraId="50DEEE03">
      <w:pPr>
        <w:rPr>
          <w:rFonts w:ascii="宋体" w:hAnsi="宋体" w:cs="Arial"/>
          <w:b/>
          <w:kern w:val="0"/>
          <w:sz w:val="22"/>
          <w:szCs w:val="22"/>
        </w:rPr>
      </w:pPr>
      <w:r>
        <w:rPr>
          <w:rStyle w:val="19"/>
          <w:rFonts w:hint="eastAsia" w:ascii="仿宋" w:hAnsi="仿宋" w:eastAsia="仿宋"/>
          <w:bCs/>
          <w:sz w:val="32"/>
          <w:szCs w:val="32"/>
        </w:rPr>
        <w:t xml:space="preserve">    4</w:t>
      </w:r>
      <w:r>
        <w:rPr>
          <w:rStyle w:val="19"/>
          <w:rFonts w:ascii="仿宋" w:hAnsi="仿宋" w:eastAsia="仿宋"/>
          <w:bCs/>
          <w:sz w:val="32"/>
          <w:szCs w:val="32"/>
        </w:rPr>
        <w:t>.</w:t>
      </w:r>
      <w:r>
        <w:rPr>
          <w:rStyle w:val="19"/>
          <w:rFonts w:hint="eastAsia" w:ascii="仿宋" w:hAnsi="仿宋" w:eastAsia="仿宋"/>
          <w:bCs/>
          <w:sz w:val="32"/>
          <w:szCs w:val="32"/>
        </w:rPr>
        <w:t>公共安全（类）公安（款）执法办案（项）</w:t>
      </w:r>
      <w:r>
        <w:rPr>
          <w:rStyle w:val="19"/>
          <w:rFonts w:hint="eastAsia" w:ascii="仿宋" w:hAnsi="仿宋" w:eastAsia="仿宋"/>
          <w:bCs/>
          <w:sz w:val="32"/>
          <w:szCs w:val="32"/>
          <w:lang w:eastAsia="zh-CN"/>
        </w:rPr>
        <w:t>：</w:t>
      </w:r>
      <w:r>
        <w:rPr>
          <w:rStyle w:val="19"/>
          <w:rFonts w:hint="eastAsia" w:ascii="仿宋" w:hAnsi="仿宋" w:eastAsia="仿宋"/>
          <w:b w:val="0"/>
          <w:bCs/>
          <w:sz w:val="32"/>
          <w:szCs w:val="32"/>
        </w:rPr>
        <w:t>支出决算为383.94万元，完成预算100%。</w:t>
      </w:r>
    </w:p>
    <w:p w14:paraId="69E5A1EA">
      <w:pPr>
        <w:spacing w:line="600" w:lineRule="exact"/>
        <w:ind w:firstLine="643" w:firstLineChars="200"/>
        <w:rPr>
          <w:rFonts w:ascii="仿宋" w:hAnsi="仿宋" w:eastAsia="仿宋"/>
          <w:b/>
          <w:bCs/>
          <w:sz w:val="32"/>
          <w:szCs w:val="32"/>
        </w:rPr>
      </w:pPr>
      <w:r>
        <w:rPr>
          <w:rStyle w:val="19"/>
          <w:rFonts w:hint="eastAsia" w:ascii="仿宋" w:hAnsi="仿宋" w:eastAsia="仿宋"/>
          <w:bCs/>
          <w:sz w:val="32"/>
          <w:szCs w:val="32"/>
        </w:rPr>
        <w:t>5.公共安全（类）公安（款）</w:t>
      </w:r>
      <w:r>
        <w:rPr>
          <w:rFonts w:hint="eastAsia" w:ascii="仿宋" w:hAnsi="仿宋" w:eastAsia="仿宋"/>
          <w:b/>
          <w:bCs/>
          <w:sz w:val="32"/>
          <w:szCs w:val="32"/>
        </w:rPr>
        <w:t>事业运行</w:t>
      </w:r>
      <w:r>
        <w:rPr>
          <w:rStyle w:val="19"/>
          <w:rFonts w:hint="eastAsia" w:ascii="仿宋" w:hAnsi="仿宋" w:eastAsia="仿宋"/>
          <w:bCs/>
          <w:sz w:val="32"/>
          <w:szCs w:val="32"/>
        </w:rPr>
        <w:t>（项）</w:t>
      </w:r>
      <w:r>
        <w:rPr>
          <w:rStyle w:val="19"/>
          <w:rFonts w:hint="eastAsia" w:ascii="仿宋" w:hAnsi="仿宋" w:eastAsia="仿宋"/>
          <w:bCs/>
          <w:sz w:val="32"/>
          <w:szCs w:val="32"/>
          <w:lang w:eastAsia="zh-CN"/>
        </w:rPr>
        <w:t>：</w:t>
      </w:r>
      <w:r>
        <w:rPr>
          <w:rStyle w:val="19"/>
          <w:rFonts w:hint="eastAsia" w:ascii="仿宋" w:hAnsi="仿宋" w:eastAsia="仿宋"/>
          <w:b w:val="0"/>
          <w:bCs/>
          <w:sz w:val="32"/>
          <w:szCs w:val="32"/>
        </w:rPr>
        <w:t>支出决算为108.06万元，完成预算100</w:t>
      </w:r>
      <w:r>
        <w:rPr>
          <w:rStyle w:val="19"/>
          <w:rFonts w:ascii="仿宋" w:hAnsi="仿宋" w:eastAsia="仿宋"/>
          <w:b w:val="0"/>
          <w:bCs/>
          <w:sz w:val="32"/>
          <w:szCs w:val="32"/>
        </w:rPr>
        <w:t>%</w:t>
      </w:r>
      <w:r>
        <w:rPr>
          <w:rStyle w:val="19"/>
          <w:rFonts w:hint="eastAsia" w:ascii="仿宋" w:hAnsi="仿宋" w:eastAsia="仿宋"/>
          <w:b w:val="0"/>
          <w:bCs/>
          <w:sz w:val="32"/>
          <w:szCs w:val="32"/>
        </w:rPr>
        <w:t>。</w:t>
      </w:r>
    </w:p>
    <w:p w14:paraId="394F17F2">
      <w:pPr>
        <w:ind w:firstLine="643" w:firstLineChars="200"/>
        <w:rPr>
          <w:rStyle w:val="19"/>
          <w:rFonts w:ascii="仿宋_GB2312" w:eastAsia="仿宋_GB2312"/>
          <w:b w:val="0"/>
          <w:bCs/>
          <w:sz w:val="32"/>
          <w:szCs w:val="32"/>
        </w:rPr>
      </w:pPr>
      <w:r>
        <w:rPr>
          <w:rFonts w:hint="eastAsia" w:ascii="仿宋" w:hAnsi="仿宋" w:eastAsia="仿宋"/>
          <w:b/>
          <w:sz w:val="32"/>
          <w:szCs w:val="32"/>
        </w:rPr>
        <w:t>6</w:t>
      </w:r>
      <w:r>
        <w:rPr>
          <w:rFonts w:hint="eastAsia" w:ascii="仿宋" w:hAnsi="仿宋" w:eastAsia="仿宋"/>
          <w:sz w:val="32"/>
          <w:szCs w:val="32"/>
        </w:rPr>
        <w:t>.</w:t>
      </w:r>
      <w:r>
        <w:rPr>
          <w:rStyle w:val="19"/>
          <w:rFonts w:hint="eastAsia" w:ascii="仿宋" w:hAnsi="仿宋" w:eastAsia="仿宋"/>
          <w:bCs/>
          <w:sz w:val="32"/>
          <w:szCs w:val="32"/>
        </w:rPr>
        <w:t>公共安全（类）公安（款）其他公安支出（项）</w:t>
      </w:r>
      <w:r>
        <w:rPr>
          <w:rStyle w:val="19"/>
          <w:rFonts w:hint="eastAsia" w:ascii="仿宋" w:hAnsi="仿宋" w:eastAsia="仿宋"/>
          <w:bCs/>
          <w:sz w:val="32"/>
          <w:szCs w:val="32"/>
          <w:lang w:eastAsia="zh-CN"/>
        </w:rPr>
        <w:t>：</w:t>
      </w:r>
      <w:r>
        <w:rPr>
          <w:rStyle w:val="19"/>
          <w:rFonts w:hint="eastAsia" w:ascii="仿宋" w:hAnsi="仿宋" w:eastAsia="仿宋"/>
          <w:b w:val="0"/>
          <w:bCs/>
          <w:sz w:val="32"/>
          <w:szCs w:val="32"/>
        </w:rPr>
        <w:t>支出决算为2467.61</w:t>
      </w:r>
      <w:r>
        <w:rPr>
          <w:rStyle w:val="19"/>
          <w:rFonts w:hint="eastAsia" w:ascii="仿宋_GB2312" w:hAnsi="仿宋" w:eastAsia="仿宋_GB2312"/>
          <w:b w:val="0"/>
          <w:bCs/>
          <w:sz w:val="32"/>
          <w:szCs w:val="32"/>
        </w:rPr>
        <w:t>万元，完成预算</w:t>
      </w:r>
      <w:r>
        <w:rPr>
          <w:rFonts w:hint="eastAsia" w:ascii="仿宋_GB2312" w:hAnsi="宋体" w:eastAsia="仿宋_GB2312" w:cs="Arial"/>
          <w:kern w:val="0"/>
          <w:sz w:val="32"/>
          <w:szCs w:val="32"/>
        </w:rPr>
        <w:t>100%</w:t>
      </w:r>
      <w:r>
        <w:rPr>
          <w:rStyle w:val="19"/>
          <w:rFonts w:hint="eastAsia" w:ascii="仿宋_GB2312" w:eastAsia="仿宋_GB2312"/>
          <w:bCs/>
          <w:sz w:val="32"/>
          <w:szCs w:val="32"/>
        </w:rPr>
        <w:t>。</w:t>
      </w:r>
    </w:p>
    <w:p w14:paraId="456ADB42">
      <w:pPr>
        <w:ind w:firstLine="643" w:firstLineChars="200"/>
        <w:rPr>
          <w:rStyle w:val="19"/>
          <w:b w:val="0"/>
          <w:bCs/>
          <w:sz w:val="32"/>
          <w:szCs w:val="32"/>
        </w:rPr>
      </w:pPr>
      <w:r>
        <w:rPr>
          <w:rFonts w:hint="eastAsia" w:ascii="仿宋" w:hAnsi="仿宋" w:eastAsia="仿宋"/>
          <w:b/>
          <w:sz w:val="32"/>
          <w:szCs w:val="32"/>
        </w:rPr>
        <w:t>7</w:t>
      </w:r>
      <w:r>
        <w:rPr>
          <w:rFonts w:hint="eastAsia" w:ascii="仿宋" w:hAnsi="仿宋" w:eastAsia="仿宋"/>
          <w:sz w:val="32"/>
          <w:szCs w:val="32"/>
        </w:rPr>
        <w:t>.</w:t>
      </w:r>
      <w:r>
        <w:rPr>
          <w:rStyle w:val="19"/>
          <w:rFonts w:hint="eastAsia" w:ascii="仿宋" w:hAnsi="仿宋" w:eastAsia="仿宋"/>
          <w:bCs/>
          <w:sz w:val="32"/>
          <w:szCs w:val="32"/>
        </w:rPr>
        <w:t>公共安全（类）其他公共安全支出（款）国家司法救助支出（项）</w:t>
      </w:r>
      <w:r>
        <w:rPr>
          <w:rStyle w:val="19"/>
          <w:rFonts w:hint="eastAsia" w:ascii="仿宋" w:hAnsi="仿宋" w:eastAsia="仿宋"/>
          <w:bCs/>
          <w:sz w:val="32"/>
          <w:szCs w:val="32"/>
          <w:lang w:eastAsia="zh-CN"/>
        </w:rPr>
        <w:t>：</w:t>
      </w:r>
      <w:r>
        <w:rPr>
          <w:rStyle w:val="19"/>
          <w:rFonts w:hint="eastAsia" w:ascii="仿宋" w:hAnsi="仿宋" w:eastAsia="仿宋"/>
          <w:b w:val="0"/>
          <w:bCs/>
          <w:sz w:val="32"/>
          <w:szCs w:val="32"/>
        </w:rPr>
        <w:t>支出决算为</w:t>
      </w:r>
      <w:r>
        <w:rPr>
          <w:rFonts w:hint="eastAsia" w:ascii="宋体" w:hAnsi="宋体" w:cs="Arial"/>
          <w:kern w:val="0"/>
          <w:sz w:val="32"/>
          <w:szCs w:val="32"/>
        </w:rPr>
        <w:t>3</w:t>
      </w:r>
      <w:r>
        <w:rPr>
          <w:rStyle w:val="19"/>
          <w:rFonts w:hint="eastAsia" w:ascii="仿宋" w:hAnsi="仿宋" w:eastAsia="仿宋"/>
          <w:b w:val="0"/>
          <w:bCs/>
          <w:sz w:val="32"/>
          <w:szCs w:val="32"/>
        </w:rPr>
        <w:t>万元，完成预算</w:t>
      </w:r>
      <w:r>
        <w:rPr>
          <w:rFonts w:hint="eastAsia" w:ascii="宋体" w:hAnsi="宋体" w:cs="Arial"/>
          <w:kern w:val="0"/>
          <w:sz w:val="32"/>
          <w:szCs w:val="32"/>
        </w:rPr>
        <w:t>100%</w:t>
      </w:r>
      <w:r>
        <w:rPr>
          <w:rStyle w:val="19"/>
          <w:rFonts w:hint="eastAsia"/>
          <w:b w:val="0"/>
          <w:bCs/>
          <w:sz w:val="32"/>
          <w:szCs w:val="32"/>
        </w:rPr>
        <w:t>。</w:t>
      </w:r>
    </w:p>
    <w:p w14:paraId="2C5638FE">
      <w:pPr>
        <w:pStyle w:val="5"/>
        <w:ind w:firstLine="630" w:firstLineChars="196"/>
        <w:rPr>
          <w:rStyle w:val="19"/>
          <w:b w:val="0"/>
          <w:bCs/>
          <w:sz w:val="32"/>
          <w:szCs w:val="32"/>
        </w:rPr>
      </w:pPr>
      <w:r>
        <w:rPr>
          <w:rStyle w:val="19"/>
          <w:rFonts w:hint="eastAsia" w:ascii="仿宋" w:hAnsi="仿宋" w:eastAsia="仿宋"/>
          <w:bCs/>
          <w:sz w:val="32"/>
          <w:szCs w:val="32"/>
        </w:rPr>
        <w:t>8. 社会保障和就业（类）</w:t>
      </w:r>
      <w:r>
        <w:rPr>
          <w:rStyle w:val="19"/>
          <w:rFonts w:ascii="仿宋" w:hAnsi="仿宋" w:eastAsia="仿宋"/>
          <w:bCs/>
          <w:sz w:val="32"/>
          <w:szCs w:val="32"/>
        </w:rPr>
        <w:t>人力资源和社会保障管理事务</w:t>
      </w:r>
      <w:r>
        <w:rPr>
          <w:rStyle w:val="19"/>
          <w:rFonts w:hint="eastAsia" w:ascii="仿宋" w:hAnsi="仿宋" w:eastAsia="仿宋"/>
          <w:bCs/>
          <w:sz w:val="32"/>
          <w:szCs w:val="32"/>
        </w:rPr>
        <w:t>（款）</w:t>
      </w:r>
      <w:r>
        <w:rPr>
          <w:rStyle w:val="19"/>
          <w:rFonts w:ascii="仿宋" w:hAnsi="仿宋" w:eastAsia="仿宋"/>
          <w:bCs/>
          <w:sz w:val="32"/>
          <w:szCs w:val="32"/>
        </w:rPr>
        <w:t>其他人力资源和社会保障管理事务</w:t>
      </w:r>
      <w:r>
        <w:rPr>
          <w:rStyle w:val="19"/>
          <w:rFonts w:hint="eastAsia" w:ascii="仿宋" w:hAnsi="仿宋" w:eastAsia="仿宋"/>
          <w:bCs/>
          <w:sz w:val="32"/>
          <w:szCs w:val="32"/>
        </w:rPr>
        <w:t>支出（项）：</w:t>
      </w:r>
      <w:r>
        <w:rPr>
          <w:rStyle w:val="19"/>
          <w:rFonts w:hint="eastAsia" w:ascii="仿宋" w:hAnsi="仿宋" w:eastAsia="仿宋"/>
          <w:b w:val="0"/>
          <w:bCs/>
          <w:sz w:val="32"/>
          <w:szCs w:val="32"/>
        </w:rPr>
        <w:t>支出决算为</w:t>
      </w:r>
      <w:r>
        <w:rPr>
          <w:rFonts w:hint="eastAsia" w:ascii="宋体" w:hAnsi="宋体" w:cs="Arial"/>
          <w:kern w:val="0"/>
          <w:sz w:val="32"/>
          <w:szCs w:val="32"/>
        </w:rPr>
        <w:t>2.76</w:t>
      </w:r>
      <w:r>
        <w:rPr>
          <w:rStyle w:val="19"/>
          <w:rFonts w:hint="eastAsia" w:ascii="仿宋" w:hAnsi="仿宋" w:eastAsia="仿宋"/>
          <w:b w:val="0"/>
          <w:bCs/>
          <w:sz w:val="32"/>
          <w:szCs w:val="32"/>
        </w:rPr>
        <w:t>万元，完成预算</w:t>
      </w:r>
      <w:r>
        <w:rPr>
          <w:rFonts w:hint="eastAsia" w:ascii="宋体" w:hAnsi="宋体" w:cs="Arial"/>
          <w:kern w:val="0"/>
          <w:sz w:val="32"/>
          <w:szCs w:val="32"/>
        </w:rPr>
        <w:t>100%</w:t>
      </w:r>
      <w:r>
        <w:rPr>
          <w:rStyle w:val="19"/>
          <w:rFonts w:hint="eastAsia"/>
          <w:b w:val="0"/>
          <w:bCs/>
          <w:sz w:val="32"/>
          <w:szCs w:val="32"/>
        </w:rPr>
        <w:t>。</w:t>
      </w:r>
    </w:p>
    <w:p w14:paraId="5F548D01">
      <w:pPr>
        <w:ind w:firstLine="643" w:firstLineChars="200"/>
        <w:rPr>
          <w:rStyle w:val="19"/>
          <w:rFonts w:ascii="仿宋" w:hAnsi="仿宋" w:eastAsia="仿宋"/>
          <w:b w:val="0"/>
          <w:bCs/>
          <w:sz w:val="32"/>
          <w:szCs w:val="32"/>
        </w:rPr>
      </w:pPr>
      <w:r>
        <w:rPr>
          <w:rStyle w:val="19"/>
          <w:rFonts w:hint="eastAsia" w:ascii="仿宋" w:hAnsi="仿宋" w:eastAsia="仿宋"/>
          <w:bCs/>
          <w:sz w:val="32"/>
          <w:szCs w:val="32"/>
        </w:rPr>
        <w:t>9.社会保障和就业（类）行政事业单位养老支出（款）行政单位离退休（项）</w:t>
      </w:r>
      <w:r>
        <w:rPr>
          <w:rStyle w:val="19"/>
          <w:rFonts w:hint="eastAsia" w:ascii="仿宋" w:hAnsi="仿宋" w:eastAsia="仿宋"/>
          <w:bCs/>
          <w:sz w:val="32"/>
          <w:szCs w:val="32"/>
          <w:lang w:eastAsia="zh-CN"/>
        </w:rPr>
        <w:t>：</w:t>
      </w:r>
      <w:r>
        <w:rPr>
          <w:rStyle w:val="19"/>
          <w:rFonts w:hint="eastAsia" w:ascii="仿宋" w:hAnsi="仿宋" w:eastAsia="仿宋"/>
          <w:b w:val="0"/>
          <w:bCs/>
          <w:sz w:val="32"/>
          <w:szCs w:val="32"/>
        </w:rPr>
        <w:t>支出决算为</w:t>
      </w:r>
      <w:r>
        <w:rPr>
          <w:rFonts w:hint="eastAsia" w:ascii="宋体" w:hAnsi="宋体" w:cs="Arial"/>
          <w:kern w:val="0"/>
          <w:sz w:val="32"/>
          <w:szCs w:val="32"/>
        </w:rPr>
        <w:t>104.75</w:t>
      </w:r>
      <w:r>
        <w:rPr>
          <w:rStyle w:val="19"/>
          <w:rFonts w:hint="eastAsia" w:ascii="仿宋" w:hAnsi="仿宋" w:eastAsia="仿宋"/>
          <w:b w:val="0"/>
          <w:bCs/>
          <w:sz w:val="32"/>
          <w:szCs w:val="32"/>
        </w:rPr>
        <w:t>万元，完成预算100</w:t>
      </w:r>
      <w:r>
        <w:rPr>
          <w:rStyle w:val="19"/>
          <w:rFonts w:ascii="仿宋" w:hAnsi="仿宋" w:eastAsia="仿宋"/>
          <w:b w:val="0"/>
          <w:bCs/>
          <w:sz w:val="32"/>
          <w:szCs w:val="32"/>
        </w:rPr>
        <w:t>%</w:t>
      </w:r>
      <w:r>
        <w:rPr>
          <w:rStyle w:val="19"/>
          <w:rFonts w:hint="eastAsia" w:ascii="仿宋" w:hAnsi="仿宋" w:eastAsia="仿宋"/>
          <w:b w:val="0"/>
          <w:bCs/>
          <w:sz w:val="32"/>
          <w:szCs w:val="32"/>
        </w:rPr>
        <w:t>。</w:t>
      </w:r>
    </w:p>
    <w:p w14:paraId="27CDB19C">
      <w:pPr>
        <w:ind w:firstLine="643" w:firstLineChars="200"/>
        <w:rPr>
          <w:rStyle w:val="19"/>
          <w:rFonts w:ascii="仿宋" w:hAnsi="仿宋" w:eastAsia="仿宋"/>
          <w:b w:val="0"/>
          <w:bCs/>
          <w:sz w:val="32"/>
          <w:szCs w:val="32"/>
        </w:rPr>
      </w:pPr>
      <w:r>
        <w:rPr>
          <w:rStyle w:val="19"/>
          <w:rFonts w:hint="eastAsia" w:ascii="仿宋" w:hAnsi="仿宋" w:eastAsia="仿宋"/>
          <w:bCs/>
          <w:sz w:val="32"/>
          <w:szCs w:val="32"/>
        </w:rPr>
        <w:t>10.社会保障和就业（类）行政事业单位养老支出（款）机关事业单位基本养老保险缴费支出（项）</w:t>
      </w:r>
      <w:r>
        <w:rPr>
          <w:rStyle w:val="19"/>
          <w:rFonts w:hint="eastAsia" w:ascii="仿宋" w:hAnsi="仿宋" w:eastAsia="仿宋"/>
          <w:bCs/>
          <w:sz w:val="32"/>
          <w:szCs w:val="32"/>
          <w:lang w:eastAsia="zh-CN"/>
        </w:rPr>
        <w:t>：</w:t>
      </w:r>
      <w:r>
        <w:rPr>
          <w:rStyle w:val="19"/>
          <w:rFonts w:hint="eastAsia" w:ascii="仿宋" w:hAnsi="仿宋" w:eastAsia="仿宋"/>
          <w:b w:val="0"/>
          <w:bCs/>
          <w:sz w:val="32"/>
          <w:szCs w:val="32"/>
        </w:rPr>
        <w:t>支出决算为</w:t>
      </w:r>
      <w:r>
        <w:rPr>
          <w:rFonts w:hint="eastAsia" w:ascii="宋体" w:hAnsi="宋体" w:cs="Arial"/>
          <w:kern w:val="0"/>
          <w:sz w:val="32"/>
          <w:szCs w:val="32"/>
        </w:rPr>
        <w:t>2646.64</w:t>
      </w:r>
      <w:r>
        <w:rPr>
          <w:rStyle w:val="19"/>
          <w:rFonts w:hint="eastAsia" w:ascii="仿宋" w:hAnsi="仿宋" w:eastAsia="仿宋"/>
          <w:b w:val="0"/>
          <w:bCs/>
          <w:sz w:val="32"/>
          <w:szCs w:val="32"/>
        </w:rPr>
        <w:t>万元，完成预算99.81</w:t>
      </w:r>
      <w:r>
        <w:rPr>
          <w:rStyle w:val="19"/>
          <w:rFonts w:ascii="仿宋" w:hAnsi="仿宋" w:eastAsia="仿宋"/>
          <w:b w:val="0"/>
          <w:bCs/>
          <w:sz w:val="32"/>
          <w:szCs w:val="32"/>
        </w:rPr>
        <w:t>%</w:t>
      </w:r>
      <w:r>
        <w:rPr>
          <w:rStyle w:val="19"/>
          <w:rFonts w:hint="eastAsia" w:ascii="仿宋" w:hAnsi="仿宋" w:eastAsia="仿宋"/>
          <w:b w:val="0"/>
          <w:bCs/>
          <w:sz w:val="32"/>
          <w:szCs w:val="32"/>
        </w:rPr>
        <w:t>，</w:t>
      </w:r>
      <w:r>
        <w:rPr>
          <w:rStyle w:val="19"/>
          <w:rFonts w:hint="eastAsia" w:ascii="仿宋_GB2312" w:hAnsi="仿宋_GB2312" w:eastAsia="仿宋_GB2312" w:cs="仿宋_GB2312"/>
          <w:b w:val="0"/>
          <w:bCs/>
          <w:sz w:val="32"/>
          <w:szCs w:val="32"/>
        </w:rPr>
        <w:t>决算数与预算数基本持平。</w:t>
      </w:r>
    </w:p>
    <w:p w14:paraId="5EC6AA4B">
      <w:pPr>
        <w:ind w:firstLine="660"/>
        <w:rPr>
          <w:rStyle w:val="19"/>
          <w:rFonts w:ascii="仿宋" w:hAnsi="仿宋" w:eastAsia="仿宋"/>
          <w:b w:val="0"/>
          <w:bCs/>
          <w:sz w:val="32"/>
          <w:szCs w:val="32"/>
        </w:rPr>
      </w:pPr>
      <w:r>
        <w:rPr>
          <w:rStyle w:val="19"/>
          <w:rFonts w:hint="eastAsia" w:ascii="仿宋" w:hAnsi="仿宋" w:eastAsia="仿宋"/>
          <w:bCs/>
          <w:sz w:val="32"/>
          <w:szCs w:val="32"/>
        </w:rPr>
        <w:t>11</w:t>
      </w:r>
      <w:r>
        <w:rPr>
          <w:rStyle w:val="19"/>
          <w:rFonts w:ascii="仿宋" w:hAnsi="仿宋" w:eastAsia="仿宋"/>
          <w:bCs/>
          <w:sz w:val="32"/>
          <w:szCs w:val="32"/>
        </w:rPr>
        <w:t>.</w:t>
      </w:r>
      <w:r>
        <w:rPr>
          <w:rStyle w:val="19"/>
          <w:rFonts w:hint="eastAsia" w:ascii="仿宋" w:hAnsi="仿宋" w:eastAsia="仿宋"/>
          <w:bCs/>
          <w:sz w:val="32"/>
          <w:szCs w:val="32"/>
        </w:rPr>
        <w:t>社会保障和就业（类）行政事业单位养老支出（款）机关事业单位职业年金缴费支出（项）</w:t>
      </w:r>
      <w:r>
        <w:rPr>
          <w:rStyle w:val="19"/>
          <w:rFonts w:hint="eastAsia" w:ascii="仿宋" w:hAnsi="仿宋" w:eastAsia="仿宋"/>
          <w:bCs/>
          <w:sz w:val="32"/>
          <w:szCs w:val="32"/>
          <w:lang w:eastAsia="zh-CN"/>
        </w:rPr>
        <w:t>：</w:t>
      </w:r>
      <w:r>
        <w:rPr>
          <w:rStyle w:val="19"/>
          <w:rFonts w:hint="eastAsia" w:ascii="仿宋" w:hAnsi="仿宋" w:eastAsia="仿宋"/>
          <w:b w:val="0"/>
          <w:bCs/>
          <w:sz w:val="32"/>
          <w:szCs w:val="32"/>
        </w:rPr>
        <w:t>支出决算为</w:t>
      </w:r>
      <w:r>
        <w:rPr>
          <w:rFonts w:hint="eastAsia" w:ascii="宋体" w:hAnsi="宋体" w:cs="Arial"/>
          <w:kern w:val="0"/>
          <w:sz w:val="32"/>
          <w:szCs w:val="32"/>
        </w:rPr>
        <w:t>661.23</w:t>
      </w:r>
      <w:r>
        <w:rPr>
          <w:rStyle w:val="19"/>
          <w:rFonts w:hint="eastAsia" w:ascii="仿宋" w:hAnsi="仿宋" w:eastAsia="仿宋"/>
          <w:b w:val="0"/>
          <w:bCs/>
          <w:sz w:val="32"/>
          <w:szCs w:val="32"/>
        </w:rPr>
        <w:t>万元，完成预算100</w:t>
      </w:r>
      <w:r>
        <w:rPr>
          <w:rStyle w:val="19"/>
          <w:rFonts w:ascii="仿宋" w:hAnsi="仿宋" w:eastAsia="仿宋"/>
          <w:b w:val="0"/>
          <w:bCs/>
          <w:sz w:val="32"/>
          <w:szCs w:val="32"/>
        </w:rPr>
        <w:t>%</w:t>
      </w:r>
      <w:r>
        <w:rPr>
          <w:rStyle w:val="19"/>
          <w:rFonts w:hint="eastAsia" w:ascii="仿宋" w:hAnsi="仿宋" w:eastAsia="仿宋"/>
          <w:b w:val="0"/>
          <w:bCs/>
          <w:sz w:val="32"/>
          <w:szCs w:val="32"/>
        </w:rPr>
        <w:t>。</w:t>
      </w:r>
    </w:p>
    <w:p w14:paraId="4D8C6BF2">
      <w:pPr>
        <w:ind w:firstLine="643" w:firstLineChars="200"/>
        <w:rPr>
          <w:rStyle w:val="19"/>
          <w:rFonts w:ascii="仿宋" w:hAnsi="仿宋" w:eastAsia="仿宋"/>
          <w:b w:val="0"/>
          <w:bCs/>
          <w:sz w:val="32"/>
          <w:szCs w:val="32"/>
        </w:rPr>
      </w:pPr>
      <w:r>
        <w:rPr>
          <w:rStyle w:val="19"/>
          <w:rFonts w:hint="eastAsia" w:ascii="仿宋" w:hAnsi="仿宋" w:eastAsia="仿宋"/>
          <w:bCs/>
          <w:sz w:val="32"/>
          <w:szCs w:val="32"/>
        </w:rPr>
        <w:t>12</w:t>
      </w:r>
      <w:r>
        <w:rPr>
          <w:rStyle w:val="19"/>
          <w:rFonts w:ascii="仿宋" w:hAnsi="仿宋" w:eastAsia="仿宋"/>
          <w:bCs/>
          <w:sz w:val="32"/>
          <w:szCs w:val="32"/>
        </w:rPr>
        <w:t>.</w:t>
      </w:r>
      <w:r>
        <w:rPr>
          <w:rStyle w:val="19"/>
          <w:rFonts w:hint="eastAsia" w:ascii="仿宋" w:hAnsi="仿宋" w:eastAsia="仿宋"/>
          <w:bCs/>
          <w:sz w:val="32"/>
          <w:szCs w:val="32"/>
        </w:rPr>
        <w:t>社会保障和就业（类）抚恤（款）死亡抚恤（项）</w:t>
      </w:r>
      <w:r>
        <w:rPr>
          <w:rStyle w:val="19"/>
          <w:rFonts w:hint="eastAsia" w:ascii="仿宋" w:hAnsi="仿宋" w:eastAsia="仿宋"/>
          <w:bCs/>
          <w:sz w:val="32"/>
          <w:szCs w:val="32"/>
          <w:lang w:eastAsia="zh-CN"/>
        </w:rPr>
        <w:t>：</w:t>
      </w:r>
      <w:r>
        <w:rPr>
          <w:rStyle w:val="19"/>
          <w:rFonts w:hint="eastAsia" w:ascii="仿宋" w:hAnsi="仿宋" w:eastAsia="仿宋"/>
          <w:b w:val="0"/>
          <w:bCs/>
          <w:sz w:val="32"/>
          <w:szCs w:val="32"/>
        </w:rPr>
        <w:t>支出决算为</w:t>
      </w:r>
      <w:r>
        <w:rPr>
          <w:rFonts w:hint="eastAsia" w:ascii="宋体" w:hAnsi="宋体" w:cs="Arial"/>
          <w:kern w:val="0"/>
          <w:sz w:val="32"/>
          <w:szCs w:val="32"/>
        </w:rPr>
        <w:t>180.01</w:t>
      </w:r>
      <w:r>
        <w:rPr>
          <w:rStyle w:val="19"/>
          <w:rFonts w:hint="eastAsia" w:ascii="仿宋" w:hAnsi="仿宋" w:eastAsia="仿宋"/>
          <w:b w:val="0"/>
          <w:bCs/>
          <w:sz w:val="32"/>
          <w:szCs w:val="32"/>
        </w:rPr>
        <w:t>万元，完成预算</w:t>
      </w:r>
      <w:r>
        <w:rPr>
          <w:rFonts w:hint="eastAsia" w:ascii="宋体" w:hAnsi="宋体" w:cs="Arial"/>
          <w:kern w:val="0"/>
          <w:sz w:val="32"/>
          <w:szCs w:val="32"/>
        </w:rPr>
        <w:t>100%</w:t>
      </w:r>
      <w:r>
        <w:rPr>
          <w:rStyle w:val="19"/>
          <w:rFonts w:hint="eastAsia" w:ascii="仿宋" w:hAnsi="仿宋" w:eastAsia="仿宋"/>
          <w:b w:val="0"/>
          <w:bCs/>
          <w:sz w:val="32"/>
          <w:szCs w:val="32"/>
        </w:rPr>
        <w:t>。</w:t>
      </w:r>
    </w:p>
    <w:p w14:paraId="1048ECC8">
      <w:pPr>
        <w:ind w:firstLine="643" w:firstLineChars="200"/>
        <w:rPr>
          <w:rFonts w:ascii="仿宋" w:hAnsi="仿宋" w:eastAsia="仿宋"/>
          <w:b/>
          <w:bCs/>
          <w:sz w:val="32"/>
          <w:szCs w:val="32"/>
        </w:rPr>
      </w:pPr>
      <w:r>
        <w:rPr>
          <w:rStyle w:val="19"/>
          <w:rFonts w:hint="eastAsia" w:ascii="仿宋" w:hAnsi="仿宋" w:eastAsia="仿宋"/>
          <w:bCs/>
          <w:sz w:val="32"/>
          <w:szCs w:val="32"/>
        </w:rPr>
        <w:t>13</w:t>
      </w:r>
      <w:r>
        <w:rPr>
          <w:rStyle w:val="19"/>
          <w:rFonts w:ascii="仿宋" w:hAnsi="仿宋" w:eastAsia="仿宋"/>
          <w:bCs/>
          <w:sz w:val="32"/>
          <w:szCs w:val="32"/>
        </w:rPr>
        <w:t>.</w:t>
      </w:r>
      <w:r>
        <w:rPr>
          <w:rStyle w:val="19"/>
          <w:rFonts w:hint="eastAsia" w:ascii="仿宋" w:hAnsi="仿宋" w:eastAsia="仿宋"/>
          <w:bCs/>
          <w:sz w:val="32"/>
          <w:szCs w:val="32"/>
        </w:rPr>
        <w:t>社会保障和就业（类）其他社会保障和就业（款）其他社会保障和就业支出（项）</w:t>
      </w:r>
      <w:r>
        <w:rPr>
          <w:rStyle w:val="19"/>
          <w:rFonts w:hint="eastAsia" w:ascii="仿宋" w:hAnsi="仿宋" w:eastAsia="仿宋"/>
          <w:bCs/>
          <w:sz w:val="32"/>
          <w:szCs w:val="32"/>
          <w:lang w:eastAsia="zh-CN"/>
        </w:rPr>
        <w:t>：</w:t>
      </w:r>
      <w:r>
        <w:rPr>
          <w:rStyle w:val="19"/>
          <w:rFonts w:hint="eastAsia" w:ascii="仿宋" w:hAnsi="仿宋" w:eastAsia="仿宋"/>
          <w:b w:val="0"/>
          <w:bCs/>
          <w:sz w:val="32"/>
          <w:szCs w:val="32"/>
        </w:rPr>
        <w:t>支出决算为</w:t>
      </w:r>
      <w:r>
        <w:rPr>
          <w:rFonts w:hint="eastAsia" w:ascii="宋体" w:hAnsi="宋体" w:cs="Arial"/>
          <w:kern w:val="0"/>
          <w:sz w:val="32"/>
          <w:szCs w:val="32"/>
        </w:rPr>
        <w:t>2.57</w:t>
      </w:r>
      <w:r>
        <w:rPr>
          <w:rStyle w:val="19"/>
          <w:rFonts w:hint="eastAsia" w:ascii="仿宋" w:hAnsi="仿宋" w:eastAsia="仿宋"/>
          <w:b w:val="0"/>
          <w:bCs/>
          <w:sz w:val="32"/>
          <w:szCs w:val="32"/>
        </w:rPr>
        <w:t>万元，完成预算</w:t>
      </w:r>
      <w:r>
        <w:rPr>
          <w:rFonts w:hint="eastAsia" w:ascii="宋体" w:hAnsi="宋体" w:cs="Arial"/>
          <w:kern w:val="0"/>
          <w:sz w:val="32"/>
          <w:szCs w:val="32"/>
        </w:rPr>
        <w:t>85.1%</w:t>
      </w:r>
      <w:r>
        <w:rPr>
          <w:rStyle w:val="19"/>
          <w:rFonts w:hint="eastAsia" w:ascii="仿宋" w:hAnsi="仿宋" w:eastAsia="仿宋"/>
          <w:b w:val="0"/>
          <w:bCs/>
          <w:sz w:val="32"/>
          <w:szCs w:val="32"/>
        </w:rPr>
        <w:t>，</w:t>
      </w:r>
      <w:r>
        <w:rPr>
          <w:rStyle w:val="19"/>
          <w:rFonts w:hint="eastAsia" w:ascii="仿宋_GB2312" w:hAnsi="仿宋_GB2312" w:eastAsia="仿宋_GB2312" w:cs="仿宋_GB2312"/>
          <w:b w:val="0"/>
          <w:bCs/>
          <w:sz w:val="32"/>
          <w:szCs w:val="32"/>
        </w:rPr>
        <w:t>决算数小于预算数的</w:t>
      </w:r>
      <w:r>
        <w:rPr>
          <w:rStyle w:val="19"/>
          <w:rFonts w:hint="eastAsia" w:ascii="仿宋" w:hAnsi="仿宋" w:eastAsia="仿宋"/>
          <w:b w:val="0"/>
          <w:bCs/>
          <w:sz w:val="32"/>
          <w:szCs w:val="32"/>
        </w:rPr>
        <w:t>主要原因是经开区分局部分工伤保险跨年度支付。</w:t>
      </w:r>
    </w:p>
    <w:p w14:paraId="6064663A">
      <w:pPr>
        <w:ind w:firstLine="660"/>
        <w:rPr>
          <w:rFonts w:ascii="仿宋" w:hAnsi="仿宋" w:eastAsia="仿宋"/>
          <w:bCs/>
          <w:sz w:val="32"/>
          <w:szCs w:val="32"/>
        </w:rPr>
      </w:pPr>
      <w:r>
        <w:rPr>
          <w:rStyle w:val="19"/>
          <w:rFonts w:hint="eastAsia" w:ascii="仿宋" w:hAnsi="仿宋" w:eastAsia="仿宋"/>
          <w:bCs/>
          <w:sz w:val="32"/>
          <w:szCs w:val="32"/>
        </w:rPr>
        <w:t>14</w:t>
      </w:r>
      <w:r>
        <w:rPr>
          <w:rStyle w:val="19"/>
          <w:rFonts w:ascii="仿宋" w:hAnsi="仿宋" w:eastAsia="仿宋"/>
          <w:bCs/>
          <w:sz w:val="32"/>
          <w:szCs w:val="32"/>
        </w:rPr>
        <w:t>.</w:t>
      </w:r>
      <w:r>
        <w:rPr>
          <w:rStyle w:val="19"/>
          <w:rFonts w:hint="eastAsia" w:ascii="仿宋" w:hAnsi="仿宋" w:eastAsia="仿宋"/>
          <w:bCs/>
          <w:sz w:val="32"/>
          <w:szCs w:val="32"/>
        </w:rPr>
        <w:t>卫生健康支出（类）公共卫生（款）重大公共卫生服务（项）</w:t>
      </w:r>
      <w:r>
        <w:rPr>
          <w:rStyle w:val="19"/>
          <w:rFonts w:hint="eastAsia" w:ascii="仿宋" w:hAnsi="仿宋" w:eastAsia="仿宋"/>
          <w:bCs/>
          <w:sz w:val="32"/>
          <w:szCs w:val="32"/>
          <w:lang w:eastAsia="zh-CN"/>
        </w:rPr>
        <w:t>：</w:t>
      </w:r>
      <w:r>
        <w:rPr>
          <w:rStyle w:val="19"/>
          <w:rFonts w:hint="eastAsia" w:ascii="仿宋" w:hAnsi="仿宋" w:eastAsia="仿宋"/>
          <w:b w:val="0"/>
          <w:bCs/>
          <w:sz w:val="32"/>
          <w:szCs w:val="32"/>
        </w:rPr>
        <w:t>支出决算为</w:t>
      </w:r>
      <w:r>
        <w:rPr>
          <w:rFonts w:hint="eastAsia" w:ascii="宋体" w:hAnsi="宋体" w:cs="Arial"/>
          <w:kern w:val="0"/>
          <w:sz w:val="32"/>
          <w:szCs w:val="32"/>
        </w:rPr>
        <w:t>2</w:t>
      </w:r>
      <w:r>
        <w:rPr>
          <w:rStyle w:val="19"/>
          <w:rFonts w:hint="eastAsia" w:ascii="仿宋" w:hAnsi="仿宋" w:eastAsia="仿宋"/>
          <w:b w:val="0"/>
          <w:bCs/>
          <w:sz w:val="32"/>
          <w:szCs w:val="32"/>
        </w:rPr>
        <w:t>万元，完成预算</w:t>
      </w:r>
      <w:r>
        <w:rPr>
          <w:rFonts w:hint="eastAsia" w:ascii="宋体" w:hAnsi="宋体" w:cs="Arial"/>
          <w:kern w:val="0"/>
          <w:sz w:val="32"/>
          <w:szCs w:val="32"/>
        </w:rPr>
        <w:t>100%</w:t>
      </w:r>
      <w:r>
        <w:rPr>
          <w:rStyle w:val="19"/>
          <w:rFonts w:hint="eastAsia" w:ascii="仿宋" w:hAnsi="仿宋" w:eastAsia="仿宋"/>
          <w:b w:val="0"/>
          <w:bCs/>
          <w:sz w:val="32"/>
          <w:szCs w:val="32"/>
        </w:rPr>
        <w:t>。</w:t>
      </w:r>
    </w:p>
    <w:p w14:paraId="0ECAD0D4">
      <w:pPr>
        <w:ind w:firstLine="660"/>
        <w:rPr>
          <w:rStyle w:val="19"/>
          <w:rFonts w:ascii="仿宋" w:hAnsi="仿宋" w:eastAsia="仿宋"/>
          <w:b w:val="0"/>
          <w:bCs/>
          <w:sz w:val="32"/>
          <w:szCs w:val="32"/>
        </w:rPr>
      </w:pPr>
      <w:r>
        <w:rPr>
          <w:rStyle w:val="19"/>
          <w:rFonts w:hint="eastAsia" w:ascii="仿宋" w:hAnsi="仿宋" w:eastAsia="仿宋"/>
          <w:bCs/>
          <w:sz w:val="32"/>
          <w:szCs w:val="32"/>
        </w:rPr>
        <w:t>15</w:t>
      </w:r>
      <w:r>
        <w:rPr>
          <w:rStyle w:val="19"/>
          <w:rFonts w:ascii="仿宋" w:hAnsi="仿宋" w:eastAsia="仿宋"/>
          <w:bCs/>
          <w:sz w:val="32"/>
          <w:szCs w:val="32"/>
        </w:rPr>
        <w:t>.</w:t>
      </w:r>
      <w:r>
        <w:rPr>
          <w:rStyle w:val="19"/>
          <w:rFonts w:hint="eastAsia" w:ascii="仿宋" w:hAnsi="仿宋" w:eastAsia="仿宋"/>
          <w:bCs/>
          <w:sz w:val="32"/>
          <w:szCs w:val="32"/>
        </w:rPr>
        <w:t>卫生健康支出（类）行政事业单位医疗（款）行政单位医疗（项）</w:t>
      </w:r>
      <w:r>
        <w:rPr>
          <w:rStyle w:val="19"/>
          <w:rFonts w:hint="eastAsia" w:ascii="仿宋" w:hAnsi="仿宋" w:eastAsia="仿宋"/>
          <w:bCs/>
          <w:sz w:val="32"/>
          <w:szCs w:val="32"/>
          <w:lang w:eastAsia="zh-CN"/>
        </w:rPr>
        <w:t>：</w:t>
      </w:r>
      <w:r>
        <w:rPr>
          <w:rStyle w:val="19"/>
          <w:rFonts w:hint="eastAsia" w:ascii="仿宋" w:hAnsi="仿宋" w:eastAsia="仿宋"/>
          <w:b w:val="0"/>
          <w:bCs/>
          <w:sz w:val="32"/>
          <w:szCs w:val="32"/>
        </w:rPr>
        <w:t>支出决算为</w:t>
      </w:r>
      <w:r>
        <w:rPr>
          <w:rFonts w:hint="eastAsia" w:ascii="宋体" w:hAnsi="宋体" w:cs="Arial"/>
          <w:kern w:val="0"/>
          <w:sz w:val="32"/>
          <w:szCs w:val="32"/>
        </w:rPr>
        <w:t>929.14</w:t>
      </w:r>
      <w:r>
        <w:rPr>
          <w:rStyle w:val="19"/>
          <w:rFonts w:hint="eastAsia" w:ascii="仿宋" w:hAnsi="仿宋" w:eastAsia="仿宋"/>
          <w:b w:val="0"/>
          <w:bCs/>
          <w:sz w:val="32"/>
          <w:szCs w:val="32"/>
        </w:rPr>
        <w:t>万元，完成预算</w:t>
      </w:r>
      <w:r>
        <w:rPr>
          <w:rFonts w:hint="eastAsia" w:ascii="宋体" w:hAnsi="宋体" w:cs="Arial"/>
          <w:kern w:val="0"/>
          <w:sz w:val="32"/>
          <w:szCs w:val="32"/>
        </w:rPr>
        <w:t>100%</w:t>
      </w:r>
      <w:r>
        <w:rPr>
          <w:rStyle w:val="19"/>
          <w:rFonts w:hint="eastAsia" w:ascii="仿宋" w:hAnsi="仿宋" w:eastAsia="仿宋"/>
          <w:b w:val="0"/>
          <w:bCs/>
          <w:sz w:val="32"/>
          <w:szCs w:val="32"/>
        </w:rPr>
        <w:t>。</w:t>
      </w:r>
    </w:p>
    <w:p w14:paraId="634B76EC">
      <w:pPr>
        <w:ind w:firstLine="643" w:firstLineChars="200"/>
        <w:rPr>
          <w:rStyle w:val="19"/>
          <w:rFonts w:ascii="仿宋" w:hAnsi="仿宋" w:eastAsia="仿宋"/>
          <w:b w:val="0"/>
          <w:bCs/>
          <w:sz w:val="32"/>
          <w:szCs w:val="32"/>
        </w:rPr>
      </w:pPr>
      <w:r>
        <w:rPr>
          <w:rStyle w:val="19"/>
          <w:rFonts w:hint="eastAsia" w:ascii="仿宋" w:hAnsi="仿宋" w:eastAsia="仿宋"/>
          <w:bCs/>
          <w:sz w:val="32"/>
          <w:szCs w:val="32"/>
        </w:rPr>
        <w:t>16</w:t>
      </w:r>
      <w:r>
        <w:rPr>
          <w:rStyle w:val="19"/>
          <w:rFonts w:ascii="仿宋" w:hAnsi="仿宋" w:eastAsia="仿宋"/>
          <w:bCs/>
          <w:sz w:val="32"/>
          <w:szCs w:val="32"/>
        </w:rPr>
        <w:t>.</w:t>
      </w:r>
      <w:r>
        <w:rPr>
          <w:rStyle w:val="19"/>
          <w:rFonts w:hint="eastAsia" w:ascii="仿宋" w:hAnsi="仿宋" w:eastAsia="仿宋"/>
          <w:bCs/>
          <w:sz w:val="32"/>
          <w:szCs w:val="32"/>
        </w:rPr>
        <w:t>住房保障支出（类）住房改革支出（款）住房公积金（项）</w:t>
      </w:r>
      <w:r>
        <w:rPr>
          <w:rStyle w:val="19"/>
          <w:rFonts w:hint="eastAsia" w:ascii="仿宋" w:hAnsi="仿宋" w:eastAsia="仿宋"/>
          <w:bCs/>
          <w:sz w:val="32"/>
          <w:szCs w:val="32"/>
          <w:lang w:eastAsia="zh-CN"/>
        </w:rPr>
        <w:t>：</w:t>
      </w:r>
      <w:r>
        <w:rPr>
          <w:rStyle w:val="19"/>
          <w:rFonts w:hint="eastAsia" w:ascii="仿宋" w:hAnsi="仿宋" w:eastAsia="仿宋"/>
          <w:b w:val="0"/>
          <w:bCs/>
          <w:sz w:val="32"/>
          <w:szCs w:val="32"/>
        </w:rPr>
        <w:t>支出决算为</w:t>
      </w:r>
      <w:r>
        <w:rPr>
          <w:rFonts w:hint="eastAsia" w:ascii="宋体" w:hAnsi="宋体" w:cs="Arial"/>
          <w:kern w:val="0"/>
          <w:sz w:val="32"/>
          <w:szCs w:val="32"/>
        </w:rPr>
        <w:t>2829.55</w:t>
      </w:r>
      <w:r>
        <w:rPr>
          <w:rStyle w:val="19"/>
          <w:rFonts w:hint="eastAsia" w:ascii="仿宋" w:hAnsi="仿宋" w:eastAsia="仿宋"/>
          <w:b w:val="0"/>
          <w:bCs/>
          <w:sz w:val="32"/>
          <w:szCs w:val="32"/>
        </w:rPr>
        <w:t>万元，完成预算99.71</w:t>
      </w:r>
      <w:r>
        <w:rPr>
          <w:rStyle w:val="19"/>
          <w:rFonts w:ascii="仿宋" w:hAnsi="仿宋" w:eastAsia="仿宋"/>
          <w:b w:val="0"/>
          <w:bCs/>
          <w:sz w:val="32"/>
          <w:szCs w:val="32"/>
        </w:rPr>
        <w:t>%</w:t>
      </w:r>
      <w:r>
        <w:rPr>
          <w:rStyle w:val="19"/>
          <w:rFonts w:hint="eastAsia" w:ascii="仿宋" w:hAnsi="仿宋" w:eastAsia="仿宋"/>
          <w:b w:val="0"/>
          <w:bCs/>
          <w:sz w:val="32"/>
          <w:szCs w:val="32"/>
        </w:rPr>
        <w:t>，</w:t>
      </w:r>
      <w:r>
        <w:rPr>
          <w:rStyle w:val="19"/>
          <w:rFonts w:hint="eastAsia" w:ascii="仿宋_GB2312" w:hAnsi="仿宋_GB2312" w:eastAsia="仿宋_GB2312" w:cs="仿宋_GB2312"/>
          <w:b w:val="0"/>
          <w:bCs/>
          <w:sz w:val="32"/>
          <w:szCs w:val="32"/>
        </w:rPr>
        <w:t>决算数与预算数基本持平。</w:t>
      </w:r>
    </w:p>
    <w:p w14:paraId="3171DC7C">
      <w:pPr>
        <w:tabs>
          <w:tab w:val="right" w:pos="8306"/>
        </w:tabs>
        <w:spacing w:line="600" w:lineRule="exact"/>
        <w:ind w:firstLine="640"/>
        <w:outlineLvl w:val="1"/>
        <w:rPr>
          <w:rStyle w:val="22"/>
        </w:rPr>
      </w:pPr>
      <w:bookmarkStart w:id="52" w:name="_Toc9439"/>
      <w:bookmarkStart w:id="53" w:name="_Toc15396608"/>
      <w:bookmarkStart w:id="54" w:name="_Toc15377214"/>
      <w:r>
        <w:rPr>
          <w:rFonts w:hint="eastAsia" w:ascii="黑体" w:eastAsia="黑体"/>
          <w:sz w:val="32"/>
          <w:szCs w:val="32"/>
        </w:rPr>
        <w:t>六</w:t>
      </w:r>
      <w:r>
        <w:rPr>
          <w:rFonts w:hint="eastAsia" w:ascii="黑体" w:eastAsia="黑体"/>
          <w:b/>
          <w:sz w:val="32"/>
          <w:szCs w:val="32"/>
        </w:rPr>
        <w:t>、</w:t>
      </w:r>
      <w:r>
        <w:rPr>
          <w:rFonts w:hint="eastAsia" w:ascii="黑体" w:hAnsi="黑体" w:eastAsia="黑体"/>
          <w:b/>
          <w:sz w:val="32"/>
          <w:szCs w:val="32"/>
        </w:rPr>
        <w:t>一</w:t>
      </w:r>
      <w:r>
        <w:rPr>
          <w:rStyle w:val="22"/>
          <w:rFonts w:hint="eastAsia" w:ascii="黑体" w:hAnsi="黑体" w:eastAsia="黑体"/>
          <w:b w:val="0"/>
        </w:rPr>
        <w:t>般公共预算财政拨款基本支出决算情况说明</w:t>
      </w:r>
      <w:bookmarkEnd w:id="52"/>
      <w:bookmarkEnd w:id="53"/>
      <w:bookmarkEnd w:id="54"/>
      <w:r>
        <w:rPr>
          <w:rStyle w:val="22"/>
          <w:rFonts w:ascii="黑体" w:hAnsi="黑体" w:eastAsia="黑体"/>
          <w:b w:val="0"/>
        </w:rPr>
        <w:tab/>
      </w:r>
    </w:p>
    <w:p w14:paraId="49CA044A">
      <w:pPr>
        <w:spacing w:line="600" w:lineRule="exact"/>
        <w:ind w:firstLine="645"/>
        <w:rPr>
          <w:rFonts w:ascii="仿宋_GB2312" w:hAnsi="仿宋_GB2312" w:eastAsia="仿宋_GB2312" w:cs="仿宋_GB2312"/>
          <w:sz w:val="32"/>
          <w:szCs w:val="32"/>
        </w:rPr>
      </w:pPr>
      <w:r>
        <w:rPr>
          <w:rFonts w:hint="eastAsia" w:ascii="仿宋_GB2312" w:hAnsi="仿宋_GB2312" w:eastAsia="仿宋_GB2312" w:cs="仿宋_GB2312"/>
          <w:sz w:val="32"/>
          <w:szCs w:val="32"/>
        </w:rPr>
        <w:t>2023年度一般公共预算财政拨款基本支出25408.86万元，其中：</w:t>
      </w:r>
    </w:p>
    <w:p w14:paraId="3BAC4481">
      <w:pPr>
        <w:spacing w:line="600" w:lineRule="exact"/>
        <w:ind w:firstLine="645"/>
        <w:rPr>
          <w:rFonts w:ascii="仿宋_GB2312" w:hAnsi="仿宋_GB2312" w:eastAsia="仿宋_GB2312" w:cs="仿宋_GB2312"/>
          <w:sz w:val="32"/>
          <w:szCs w:val="32"/>
        </w:rPr>
      </w:pPr>
      <w:r>
        <w:rPr>
          <w:rFonts w:hint="eastAsia" w:ascii="仿宋_GB2312" w:hAnsi="仿宋_GB2312" w:eastAsia="仿宋_GB2312" w:cs="仿宋_GB2312"/>
          <w:sz w:val="32"/>
          <w:szCs w:val="32"/>
        </w:rPr>
        <w:t>人员经费22321.76万元，主要包括：基本工资、津贴补贴、奖金、伙食补助费、绩效工资、机关事业单位基本养老保险缴费、职业年金缴费、</w:t>
      </w:r>
      <w:r>
        <w:rPr>
          <w:rFonts w:hint="eastAsia" w:ascii="仿宋" w:hAnsi="仿宋" w:eastAsia="仿宋"/>
          <w:sz w:val="32"/>
          <w:szCs w:val="32"/>
        </w:rPr>
        <w:t>职工基本医疗保险缴费、</w:t>
      </w:r>
      <w:r>
        <w:rPr>
          <w:rFonts w:hint="eastAsia" w:ascii="仿宋_GB2312" w:hAnsi="仿宋_GB2312" w:eastAsia="仿宋_GB2312" w:cs="仿宋_GB2312"/>
          <w:sz w:val="32"/>
          <w:szCs w:val="32"/>
        </w:rPr>
        <w:t>其他社会保障缴费、</w:t>
      </w:r>
      <w:r>
        <w:rPr>
          <w:rFonts w:hint="eastAsia" w:ascii="仿宋" w:hAnsi="仿宋" w:eastAsia="仿宋"/>
          <w:sz w:val="32"/>
          <w:szCs w:val="32"/>
        </w:rPr>
        <w:t>住房公积金、其他工资福利支出、抚恤金、生活补助、医疗费补助、奖励金、其他对个人和家庭的补助支出。</w:t>
      </w:r>
    </w:p>
    <w:p w14:paraId="4CFC6716">
      <w:pPr>
        <w:spacing w:line="600" w:lineRule="exact"/>
        <w:ind w:firstLine="645"/>
        <w:rPr>
          <w:rFonts w:ascii="仿宋_GB2312" w:hAnsi="仿宋_GB2312" w:eastAsia="仿宋_GB2312" w:cs="仿宋_GB2312"/>
          <w:sz w:val="32"/>
          <w:szCs w:val="32"/>
        </w:rPr>
      </w:pPr>
      <w:r>
        <w:rPr>
          <w:rFonts w:hint="eastAsia" w:ascii="仿宋_GB2312" w:hAnsi="仿宋_GB2312" w:eastAsia="仿宋_GB2312" w:cs="仿宋_GB2312"/>
          <w:sz w:val="32"/>
          <w:szCs w:val="32"/>
        </w:rPr>
        <w:t>公用经费3087.1万元，主要包括：办公费、印刷费、咨询费、手续费、水费、电费、邮电费、物业管理费、差旅费、维修（护）费、租赁费、会议费、培训费、公务接待费、专用材料费、被装购置费、劳务费、委托业务费、工会经费、福利费、公务用车运行维护费、其他交通费、其他商品和服务支出、办公设备购置、专用设备购置。</w:t>
      </w:r>
    </w:p>
    <w:p w14:paraId="16D442A6">
      <w:pPr>
        <w:spacing w:line="600" w:lineRule="exact"/>
        <w:ind w:firstLine="640"/>
        <w:outlineLvl w:val="1"/>
        <w:rPr>
          <w:rStyle w:val="22"/>
          <w:rFonts w:ascii="黑体" w:hAnsi="黑体" w:eastAsia="黑体"/>
          <w:b w:val="0"/>
        </w:rPr>
      </w:pPr>
      <w:bookmarkStart w:id="55" w:name="_Toc15377215"/>
      <w:bookmarkStart w:id="56" w:name="_Toc15396609"/>
      <w:bookmarkStart w:id="57" w:name="_Toc6987"/>
      <w:r>
        <w:rPr>
          <w:rFonts w:hint="eastAsia" w:ascii="黑体" w:eastAsia="黑体"/>
          <w:sz w:val="32"/>
          <w:szCs w:val="32"/>
        </w:rPr>
        <w:t>七、</w:t>
      </w:r>
      <w:r>
        <w:rPr>
          <w:rStyle w:val="22"/>
          <w:rFonts w:hint="eastAsia" w:ascii="黑体" w:hAnsi="黑体" w:eastAsia="黑体"/>
          <w:b w:val="0"/>
        </w:rPr>
        <w:t>财政拨款</w:t>
      </w:r>
      <w:r>
        <w:rPr>
          <w:rStyle w:val="22"/>
          <w:rFonts w:hint="eastAsia" w:ascii="黑体" w:hAnsi="黑体" w:eastAsia="黑体"/>
        </w:rPr>
        <w:t>“</w:t>
      </w:r>
      <w:r>
        <w:rPr>
          <w:rStyle w:val="22"/>
          <w:rFonts w:hint="eastAsia" w:ascii="黑体" w:hAnsi="黑体" w:eastAsia="黑体"/>
          <w:b w:val="0"/>
        </w:rPr>
        <w:t>三公”经费支出决算情况说明</w:t>
      </w:r>
      <w:bookmarkEnd w:id="55"/>
      <w:bookmarkEnd w:id="56"/>
      <w:bookmarkEnd w:id="57"/>
    </w:p>
    <w:p w14:paraId="19149185">
      <w:pPr>
        <w:spacing w:line="600" w:lineRule="exact"/>
        <w:ind w:firstLine="640"/>
        <w:outlineLvl w:val="2"/>
        <w:rPr>
          <w:rFonts w:ascii="仿宋_GB2312" w:hAnsi="仿宋_GB2312" w:eastAsia="仿宋_GB2312" w:cs="仿宋_GB2312"/>
          <w:b/>
          <w:sz w:val="32"/>
          <w:szCs w:val="32"/>
        </w:rPr>
      </w:pPr>
      <w:bookmarkStart w:id="58" w:name="_Toc15377216"/>
      <w:r>
        <w:rPr>
          <w:rFonts w:hint="eastAsia" w:ascii="仿宋_GB2312" w:hAnsi="仿宋_GB2312" w:eastAsia="仿宋_GB2312" w:cs="仿宋_GB2312"/>
          <w:b/>
          <w:sz w:val="32"/>
          <w:szCs w:val="32"/>
        </w:rPr>
        <w:t>（一）“三公”经费财政拨款支出决算总体情况说明</w:t>
      </w:r>
      <w:bookmarkEnd w:id="58"/>
    </w:p>
    <w:p w14:paraId="42C3B7E7">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2023年度“三公”经费财政拨款支出决算为530.82万元，完成预算99.41%，较上年度增加287.41万元，增长118.08%。</w:t>
      </w:r>
      <w:r>
        <w:rPr>
          <w:rStyle w:val="19"/>
          <w:rFonts w:hint="eastAsia" w:ascii="仿宋_GB2312" w:hAnsi="仿宋_GB2312" w:eastAsia="仿宋_GB2312" w:cs="仿宋_GB2312"/>
          <w:b w:val="0"/>
          <w:bCs/>
          <w:sz w:val="32"/>
          <w:szCs w:val="32"/>
        </w:rPr>
        <w:t>决算数</w:t>
      </w:r>
      <w:r>
        <w:rPr>
          <w:rStyle w:val="19"/>
          <w:rFonts w:hint="eastAsia" w:ascii="仿宋_GB2312" w:hAnsi="仿宋_GB2312" w:eastAsia="仿宋_GB2312" w:cs="仿宋_GB2312"/>
          <w:b w:val="0"/>
          <w:bCs/>
          <w:sz w:val="32"/>
          <w:szCs w:val="32"/>
          <w:lang w:eastAsia="zh-CN"/>
        </w:rPr>
        <w:t>小于</w:t>
      </w:r>
      <w:r>
        <w:rPr>
          <w:rStyle w:val="19"/>
          <w:rFonts w:hint="eastAsia" w:ascii="仿宋_GB2312" w:hAnsi="仿宋_GB2312" w:eastAsia="仿宋_GB2312" w:cs="仿宋_GB2312"/>
          <w:b w:val="0"/>
          <w:bCs/>
          <w:sz w:val="32"/>
          <w:szCs w:val="32"/>
        </w:rPr>
        <w:t>预算数</w:t>
      </w:r>
      <w:r>
        <w:rPr>
          <w:rStyle w:val="19"/>
          <w:rFonts w:hint="eastAsia" w:ascii="仿宋_GB2312" w:hAnsi="仿宋_GB2312" w:eastAsia="仿宋_GB2312" w:cs="仿宋_GB2312"/>
          <w:b w:val="0"/>
          <w:bCs/>
          <w:sz w:val="32"/>
          <w:szCs w:val="32"/>
          <w:lang w:eastAsia="zh-CN"/>
        </w:rPr>
        <w:t>主要是因为厉行节约，压减三公经费</w:t>
      </w:r>
      <w:r>
        <w:rPr>
          <w:rStyle w:val="19"/>
          <w:rFonts w:hint="eastAsia" w:ascii="仿宋_GB2312" w:hAnsi="仿宋_GB2312" w:eastAsia="仿宋_GB2312" w:cs="仿宋_GB2312"/>
          <w:b w:val="0"/>
          <w:bCs/>
          <w:sz w:val="32"/>
          <w:szCs w:val="32"/>
        </w:rPr>
        <w:t>。</w:t>
      </w:r>
    </w:p>
    <w:p w14:paraId="72042CD7">
      <w:pPr>
        <w:spacing w:line="600" w:lineRule="exact"/>
        <w:ind w:firstLine="640"/>
        <w:outlineLvl w:val="2"/>
        <w:rPr>
          <w:rFonts w:ascii="仿宋_GB2312" w:hAnsi="仿宋_GB2312" w:eastAsia="仿宋_GB2312" w:cs="仿宋_GB2312"/>
          <w:b/>
          <w:sz w:val="32"/>
          <w:szCs w:val="32"/>
        </w:rPr>
      </w:pPr>
      <w:bookmarkStart w:id="59" w:name="_Toc15377217"/>
      <w:r>
        <w:rPr>
          <w:rFonts w:hint="eastAsia" w:ascii="仿宋_GB2312" w:hAnsi="仿宋_GB2312" w:eastAsia="仿宋_GB2312" w:cs="仿宋_GB2312"/>
          <w:b/>
          <w:sz w:val="32"/>
          <w:szCs w:val="32"/>
        </w:rPr>
        <w:t>（二）“三公”经费财政拨款支出决算具体情况说明</w:t>
      </w:r>
      <w:bookmarkEnd w:id="59"/>
    </w:p>
    <w:p w14:paraId="45364973">
      <w:pPr>
        <w:spacing w:line="600"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2023年度“三公”经费财政拨款支出决算中，因公出国（境）费支出决算0万元，占0%；公务用车购置及运行维护费支出决算524.21万元，占98.75%；公务接待费支出决算6.61万元，占1.25%。具体情况如下：</w:t>
      </w:r>
    </w:p>
    <w:p w14:paraId="57891D23">
      <w:pPr>
        <w:pStyle w:val="5"/>
      </w:pPr>
    </w:p>
    <w:p w14:paraId="1DBAF3CB">
      <w:pPr>
        <w:pStyle w:val="5"/>
      </w:pPr>
      <w:r>
        <w:rPr>
          <w:rFonts w:hint="eastAsia"/>
        </w:rPr>
        <w:drawing>
          <wp:inline distT="0" distB="0" distL="0" distR="0">
            <wp:extent cx="5275580" cy="2753360"/>
            <wp:effectExtent l="19050" t="0" r="20261" b="8417"/>
            <wp:docPr id="26" name="图表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923BA3D">
      <w:pPr>
        <w:spacing w:line="600" w:lineRule="exact"/>
        <w:ind w:firstLine="640"/>
        <w:jc w:val="center"/>
        <w:rPr>
          <w:rFonts w:ascii="仿宋_GB2312" w:hAnsi="仿宋_GB2312" w:eastAsia="仿宋_GB2312" w:cs="仿宋_GB2312"/>
          <w:sz w:val="32"/>
          <w:szCs w:val="32"/>
        </w:rPr>
      </w:pPr>
      <w:r>
        <w:rPr>
          <w:rFonts w:hint="eastAsia" w:ascii="仿宋_GB2312" w:hAnsi="仿宋_GB2312" w:eastAsia="仿宋_GB2312" w:cs="仿宋_GB2312"/>
          <w:sz w:val="32"/>
          <w:szCs w:val="32"/>
        </w:rPr>
        <w:t>（图7：“三公”经费财政拨款支出结构）</w:t>
      </w:r>
    </w:p>
    <w:p w14:paraId="50C46D28">
      <w:pPr>
        <w:pStyle w:val="5"/>
      </w:pPr>
    </w:p>
    <w:p w14:paraId="3F01FB12">
      <w:pPr>
        <w:spacing w:line="600" w:lineRule="exact"/>
        <w:ind w:firstLine="640"/>
        <w:rPr>
          <w:rFonts w:ascii="仿宋_GB2312" w:hAnsi="仿宋_GB2312" w:eastAsia="仿宋_GB2312" w:cs="仿宋_GB2312"/>
        </w:rPr>
      </w:pPr>
      <w:r>
        <w:rPr>
          <w:rFonts w:hint="eastAsia" w:ascii="仿宋_GB2312" w:hAnsi="仿宋_GB2312" w:eastAsia="仿宋_GB2312" w:cs="仿宋_GB2312"/>
          <w:b/>
          <w:sz w:val="32"/>
          <w:szCs w:val="32"/>
        </w:rPr>
        <w:t>1.因公出国（境）经费支出</w:t>
      </w:r>
      <w:r>
        <w:rPr>
          <w:rFonts w:hint="eastAsia" w:ascii="仿宋_GB2312" w:hAnsi="仿宋_GB2312" w:eastAsia="仿宋_GB2312" w:cs="仿宋_GB2312"/>
          <w:sz w:val="32"/>
          <w:szCs w:val="32"/>
        </w:rPr>
        <w:t>0万元，</w:t>
      </w:r>
      <w:r>
        <w:rPr>
          <w:rFonts w:hint="eastAsia" w:ascii="仿宋_GB2312" w:eastAsia="仿宋_GB2312"/>
          <w:sz w:val="32"/>
          <w:szCs w:val="32"/>
        </w:rPr>
        <w:t>年初未安排预算，因公出国（境）支出决算较2022年无变化。</w:t>
      </w:r>
    </w:p>
    <w:p w14:paraId="7A47EE5A">
      <w:pPr>
        <w:spacing w:line="600" w:lineRule="exact"/>
        <w:ind w:firstLine="640"/>
        <w:rPr>
          <w:rFonts w:ascii="仿宋_GB2312" w:hAnsi="仿宋_GB2312" w:eastAsia="仿宋_GB2312" w:cs="仿宋_GB2312"/>
          <w:sz w:val="32"/>
          <w:szCs w:val="32"/>
        </w:rPr>
      </w:pPr>
      <w:r>
        <w:rPr>
          <w:rFonts w:hint="eastAsia" w:ascii="仿宋_GB2312" w:hAnsi="仿宋_GB2312" w:eastAsia="仿宋_GB2312" w:cs="仿宋_GB2312"/>
          <w:b/>
          <w:sz w:val="32"/>
          <w:szCs w:val="32"/>
        </w:rPr>
        <w:t>2.公</w:t>
      </w:r>
      <w:r>
        <w:rPr>
          <w:rFonts w:hint="eastAsia" w:ascii="仿宋_GB2312" w:hAnsi="仿宋_GB2312" w:eastAsia="仿宋_GB2312" w:cs="仿宋_GB2312"/>
          <w:b/>
          <w:bCs/>
          <w:sz w:val="32"/>
          <w:szCs w:val="32"/>
        </w:rPr>
        <w:t>务用车购置及运行维护费支出</w:t>
      </w:r>
      <w:r>
        <w:rPr>
          <w:rFonts w:hint="eastAsia" w:ascii="仿宋_GB2312" w:hAnsi="仿宋_GB2312" w:eastAsia="仿宋_GB2312" w:cs="仿宋_GB2312"/>
          <w:sz w:val="32"/>
          <w:szCs w:val="32"/>
        </w:rPr>
        <w:t>524.21万元</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完成预算99.63%。公务用车购置及运行维护费支出决算比2022年度增加284.78万元，增长118.94%。主要原因是因2023年报废更新购置执法执勤用车19辆。</w:t>
      </w:r>
    </w:p>
    <w:p w14:paraId="4D708EEA">
      <w:pPr>
        <w:spacing w:line="600" w:lineRule="exact"/>
        <w:ind w:firstLine="640"/>
      </w:pPr>
      <w:r>
        <w:rPr>
          <w:rFonts w:hint="eastAsia" w:ascii="仿宋_GB2312" w:hAnsi="仿宋_GB2312" w:eastAsia="仿宋_GB2312" w:cs="仿宋_GB2312"/>
          <w:sz w:val="32"/>
          <w:szCs w:val="32"/>
        </w:rPr>
        <w:t>其中：公务用车购置支出353.92万元。全年按规定更新购置公务用车19辆，其中：轿车10辆、金额142.13万元，越野车6辆、金额209.66万元，载客汽车3辆、金额89.67万元，主要用于</w:t>
      </w:r>
      <w:r>
        <w:rPr>
          <w:rFonts w:hint="eastAsia" w:ascii="仿宋_GB2312" w:eastAsia="仿宋_GB2312"/>
          <w:sz w:val="32"/>
          <w:szCs w:val="32"/>
        </w:rPr>
        <w:t>派出所、刑警、特</w:t>
      </w:r>
      <w:r>
        <w:rPr>
          <w:rFonts w:hint="eastAsia" w:ascii="仿宋" w:hAnsi="仿宋" w:eastAsia="仿宋"/>
          <w:sz w:val="32"/>
          <w:szCs w:val="32"/>
        </w:rPr>
        <w:t>巡警、禁毒等部门执法办案、街面巡防等工作</w:t>
      </w:r>
      <w:r>
        <w:rPr>
          <w:rFonts w:hint="eastAsia" w:ascii="仿宋_GB2312" w:eastAsia="仿宋_GB2312"/>
          <w:sz w:val="32"/>
          <w:szCs w:val="32"/>
        </w:rPr>
        <w:t>。</w:t>
      </w:r>
      <w:r>
        <w:rPr>
          <w:rFonts w:hint="eastAsia" w:ascii="仿宋_GB2312" w:hAnsi="仿宋_GB2312" w:eastAsia="仿宋_GB2312" w:cs="仿宋_GB2312"/>
          <w:sz w:val="32"/>
          <w:szCs w:val="32"/>
        </w:rPr>
        <w:t>截至2023年12月31日，单位共有公务用车125辆，其中：轿车68辆、越野车18辆、小型车1辆、载客汽车5辆、其他车型33辆。</w:t>
      </w:r>
    </w:p>
    <w:p w14:paraId="57857780">
      <w:pPr>
        <w:spacing w:line="600" w:lineRule="exact"/>
        <w:ind w:firstLine="640"/>
      </w:pPr>
      <w:r>
        <w:rPr>
          <w:rFonts w:hint="eastAsia" w:ascii="仿宋_GB2312" w:hAnsi="仿宋_GB2312" w:eastAsia="仿宋_GB2312" w:cs="仿宋_GB2312"/>
          <w:b/>
          <w:bCs/>
          <w:sz w:val="32"/>
          <w:szCs w:val="32"/>
        </w:rPr>
        <w:t>公务用车运行维护费支出170.29万元</w:t>
      </w:r>
      <w:r>
        <w:rPr>
          <w:rFonts w:hint="eastAsia" w:ascii="仿宋_GB2312" w:hAnsi="仿宋_GB2312" w:eastAsia="仿宋_GB2312" w:cs="仿宋_GB2312"/>
          <w:sz w:val="32"/>
          <w:szCs w:val="32"/>
        </w:rPr>
        <w:t>。</w:t>
      </w:r>
      <w:r>
        <w:rPr>
          <w:rFonts w:hint="eastAsia" w:ascii="仿宋_GB2312" w:eastAsia="仿宋_GB2312"/>
          <w:sz w:val="32"/>
          <w:szCs w:val="32"/>
        </w:rPr>
        <w:t>主要用于执法办案、治安巡逻、抓捕罪犯、跨区域拉动等所需的</w:t>
      </w:r>
      <w:r>
        <w:rPr>
          <w:rFonts w:hint="eastAsia" w:ascii="仿宋" w:hAnsi="仿宋" w:eastAsia="仿宋"/>
          <w:sz w:val="32"/>
          <w:szCs w:val="32"/>
        </w:rPr>
        <w:t>执法执勤</w:t>
      </w:r>
      <w:r>
        <w:rPr>
          <w:rFonts w:hint="eastAsia" w:ascii="仿宋_GB2312" w:eastAsia="仿宋_GB2312"/>
          <w:sz w:val="32"/>
          <w:szCs w:val="32"/>
        </w:rPr>
        <w:t>用车燃料费、维修费、过路过桥费、保险费等支出。</w:t>
      </w:r>
    </w:p>
    <w:p w14:paraId="312AB86A">
      <w:pPr>
        <w:spacing w:line="600" w:lineRule="exact"/>
        <w:ind w:firstLine="640"/>
        <w:rPr>
          <w:rFonts w:ascii="仿宋_GB2312" w:eastAsia="仿宋_GB2312"/>
          <w:color w:val="FF0000"/>
          <w:sz w:val="32"/>
          <w:szCs w:val="32"/>
        </w:rPr>
      </w:pPr>
      <w:r>
        <w:rPr>
          <w:rFonts w:ascii="仿宋_GB2312" w:eastAsia="仿宋_GB2312"/>
          <w:b/>
          <w:sz w:val="32"/>
          <w:szCs w:val="32"/>
        </w:rPr>
        <w:t>3.</w:t>
      </w:r>
      <w:r>
        <w:rPr>
          <w:rFonts w:hint="eastAsia" w:ascii="仿宋_GB2312" w:eastAsia="仿宋_GB2312"/>
          <w:b/>
          <w:sz w:val="32"/>
          <w:szCs w:val="32"/>
        </w:rPr>
        <w:t>公务接待费支出</w:t>
      </w:r>
      <w:r>
        <w:rPr>
          <w:rFonts w:hint="eastAsia" w:ascii="仿宋_GB2312" w:eastAsia="仿宋_GB2312"/>
          <w:sz w:val="32"/>
          <w:szCs w:val="32"/>
        </w:rPr>
        <w:t>6.61万元，</w:t>
      </w:r>
      <w:r>
        <w:rPr>
          <w:rStyle w:val="19"/>
          <w:rFonts w:hint="eastAsia" w:ascii="仿宋" w:hAnsi="仿宋" w:eastAsia="仿宋"/>
          <w:b w:val="0"/>
          <w:bCs/>
          <w:sz w:val="32"/>
          <w:szCs w:val="32"/>
        </w:rPr>
        <w:t>完成预算84.74</w:t>
      </w:r>
      <w:r>
        <w:rPr>
          <w:rStyle w:val="19"/>
          <w:rFonts w:ascii="仿宋" w:hAnsi="仿宋" w:eastAsia="仿宋"/>
          <w:b w:val="0"/>
          <w:bCs/>
          <w:sz w:val="32"/>
          <w:szCs w:val="32"/>
        </w:rPr>
        <w:t>%</w:t>
      </w:r>
      <w:r>
        <w:rPr>
          <w:rStyle w:val="19"/>
          <w:rFonts w:hint="eastAsia" w:ascii="仿宋" w:hAnsi="仿宋" w:eastAsia="仿宋"/>
          <w:b w:val="0"/>
          <w:bCs/>
          <w:sz w:val="32"/>
          <w:szCs w:val="32"/>
        </w:rPr>
        <w:t>。</w:t>
      </w:r>
      <w:r>
        <w:rPr>
          <w:rFonts w:hint="eastAsia" w:ascii="仿宋_GB2312" w:eastAsia="仿宋_GB2312"/>
          <w:sz w:val="32"/>
          <w:szCs w:val="32"/>
        </w:rPr>
        <w:t>公务接待费支出决算比2022年度增加2.63万元，增长66.08</w:t>
      </w:r>
      <w:r>
        <w:rPr>
          <w:rFonts w:ascii="仿宋_GB2312" w:eastAsia="仿宋_GB2312"/>
          <w:sz w:val="32"/>
          <w:szCs w:val="32"/>
        </w:rPr>
        <w:t>%</w:t>
      </w:r>
      <w:r>
        <w:rPr>
          <w:rFonts w:hint="eastAsia" w:ascii="仿宋_GB2312" w:eastAsia="仿宋_GB2312"/>
          <w:sz w:val="32"/>
          <w:szCs w:val="32"/>
        </w:rPr>
        <w:t>。主要原因是</w:t>
      </w:r>
      <w:r>
        <w:rPr>
          <w:rFonts w:hint="eastAsia" w:ascii="仿宋" w:hAnsi="仿宋" w:eastAsia="仿宋"/>
          <w:sz w:val="32"/>
          <w:szCs w:val="32"/>
        </w:rPr>
        <w:t>新冠疫情结束，其他</w:t>
      </w:r>
      <w:r>
        <w:rPr>
          <w:rFonts w:hint="eastAsia" w:ascii="仿宋_GB2312" w:eastAsia="仿宋_GB2312"/>
          <w:sz w:val="32"/>
          <w:szCs w:val="32"/>
        </w:rPr>
        <w:t>市州</w:t>
      </w:r>
      <w:r>
        <w:rPr>
          <w:rFonts w:hint="eastAsia" w:ascii="仿宋" w:hAnsi="仿宋" w:eastAsia="仿宋"/>
          <w:sz w:val="32"/>
          <w:szCs w:val="32"/>
        </w:rPr>
        <w:t>来广考察、异地公安机关协助办案和上级检查频次增多。</w:t>
      </w:r>
      <w:r>
        <w:rPr>
          <w:rFonts w:hint="eastAsia" w:ascii="仿宋_GB2312" w:eastAsia="仿宋_GB2312"/>
          <w:sz w:val="32"/>
          <w:szCs w:val="32"/>
        </w:rPr>
        <w:t>其中：</w:t>
      </w:r>
    </w:p>
    <w:p w14:paraId="48191BA5">
      <w:pPr>
        <w:spacing w:line="600" w:lineRule="exact"/>
        <w:ind w:firstLine="640"/>
        <w:rPr>
          <w:rFonts w:ascii="仿宋_GB2312" w:eastAsia="仿宋_GB2312"/>
          <w:sz w:val="32"/>
          <w:szCs w:val="32"/>
        </w:rPr>
      </w:pPr>
      <w:r>
        <w:rPr>
          <w:rFonts w:hint="eastAsia" w:ascii="仿宋" w:hAnsi="仿宋" w:eastAsia="仿宋"/>
          <w:b/>
          <w:sz w:val="32"/>
          <w:szCs w:val="32"/>
        </w:rPr>
        <w:t>国内公务接待支出</w:t>
      </w:r>
      <w:r>
        <w:rPr>
          <w:rFonts w:hint="eastAsia" w:ascii="仿宋" w:hAnsi="仿宋" w:eastAsia="仿宋"/>
          <w:sz w:val="32"/>
          <w:szCs w:val="32"/>
        </w:rPr>
        <w:t>6.61</w:t>
      </w:r>
      <w:r>
        <w:rPr>
          <w:rFonts w:hint="eastAsia" w:ascii="仿宋_GB2312" w:eastAsia="仿宋_GB2312"/>
          <w:sz w:val="32"/>
          <w:szCs w:val="32"/>
        </w:rPr>
        <w:t>万元，主要用于异地公安机关执行公务、开展学习交流和上级检查的用餐费。国内公务接待50批次，513人次（不包括陪同人员），共计支出6.61万元，具体内容包括：上级调研视察1.4万元、其他市州交流考察1.63万元、办案单位接待3.58万元。</w:t>
      </w:r>
    </w:p>
    <w:p w14:paraId="1E3369A5">
      <w:pPr>
        <w:spacing w:line="600" w:lineRule="exact"/>
        <w:ind w:firstLine="643" w:firstLineChars="200"/>
        <w:rPr>
          <w:rFonts w:ascii="仿宋_GB2312" w:eastAsia="仿宋_GB2312"/>
          <w:sz w:val="32"/>
          <w:szCs w:val="32"/>
        </w:rPr>
      </w:pPr>
      <w:r>
        <w:rPr>
          <w:rFonts w:hint="eastAsia" w:ascii="仿宋" w:hAnsi="仿宋" w:eastAsia="仿宋"/>
          <w:b/>
          <w:sz w:val="32"/>
          <w:szCs w:val="32"/>
        </w:rPr>
        <w:t>外事接待支出</w:t>
      </w:r>
      <w:bookmarkStart w:id="60" w:name="_Toc15377218"/>
      <w:bookmarkStart w:id="61" w:name="_Toc15396610"/>
      <w:r>
        <w:rPr>
          <w:rFonts w:hint="eastAsia" w:ascii="仿宋" w:hAnsi="仿宋" w:eastAsia="仿宋"/>
          <w:sz w:val="32"/>
          <w:szCs w:val="32"/>
        </w:rPr>
        <w:t>0</w:t>
      </w:r>
      <w:r>
        <w:rPr>
          <w:rFonts w:hint="eastAsia" w:ascii="仿宋_GB2312" w:eastAsia="仿宋_GB2312"/>
          <w:sz w:val="32"/>
          <w:szCs w:val="32"/>
        </w:rPr>
        <w:t>万元，</w:t>
      </w:r>
      <w:r>
        <w:rPr>
          <w:rFonts w:hint="eastAsia" w:ascii="仿宋" w:hAnsi="仿宋" w:eastAsia="仿宋"/>
          <w:sz w:val="32"/>
          <w:szCs w:val="32"/>
        </w:rPr>
        <w:t>外事接待0批次，0人，共计支</w:t>
      </w:r>
      <w:r>
        <w:rPr>
          <w:rFonts w:hint="eastAsia" w:ascii="仿宋_GB2312" w:eastAsia="仿宋_GB2312"/>
          <w:sz w:val="32"/>
          <w:szCs w:val="32"/>
        </w:rPr>
        <w:t>出0万元。</w:t>
      </w:r>
    </w:p>
    <w:p w14:paraId="2C7B127C">
      <w:pPr>
        <w:spacing w:line="600" w:lineRule="exact"/>
        <w:ind w:firstLine="640"/>
        <w:outlineLvl w:val="1"/>
        <w:rPr>
          <w:rStyle w:val="22"/>
          <w:rFonts w:ascii="黑体" w:hAnsi="黑体" w:eastAsia="黑体"/>
        </w:rPr>
      </w:pPr>
      <w:bookmarkStart w:id="62" w:name="_Toc29585"/>
      <w:r>
        <w:rPr>
          <w:rFonts w:hint="eastAsia" w:ascii="黑体" w:eastAsia="黑体"/>
          <w:sz w:val="32"/>
          <w:szCs w:val="32"/>
        </w:rPr>
        <w:t>八、</w:t>
      </w:r>
      <w:r>
        <w:rPr>
          <w:rStyle w:val="22"/>
          <w:rFonts w:hint="eastAsia" w:ascii="黑体" w:hAnsi="黑体" w:eastAsia="黑体"/>
          <w:b w:val="0"/>
        </w:rPr>
        <w:t>政府性基金预算支出决算情况说明</w:t>
      </w:r>
      <w:bookmarkEnd w:id="60"/>
      <w:bookmarkEnd w:id="61"/>
      <w:bookmarkEnd w:id="62"/>
    </w:p>
    <w:p w14:paraId="0F4A2359">
      <w:pPr>
        <w:spacing w:line="600" w:lineRule="exact"/>
        <w:ind w:firstLine="640"/>
        <w:rPr>
          <w:rFonts w:ascii="仿宋_GB2312" w:eastAsia="仿宋_GB2312"/>
          <w:sz w:val="32"/>
          <w:szCs w:val="32"/>
        </w:rPr>
      </w:pPr>
      <w:r>
        <w:rPr>
          <w:rFonts w:hint="eastAsia" w:ascii="仿宋_GB2312" w:eastAsia="仿宋_GB2312"/>
          <w:sz w:val="32"/>
          <w:szCs w:val="32"/>
        </w:rPr>
        <w:t>2023年度政府性基金预算财政拨款支出327.61万元。</w:t>
      </w:r>
    </w:p>
    <w:p w14:paraId="4C16A5DA">
      <w:pPr>
        <w:numPr>
          <w:ilvl w:val="0"/>
          <w:numId w:val="3"/>
        </w:numPr>
        <w:spacing w:line="600" w:lineRule="exact"/>
        <w:ind w:firstLine="640"/>
        <w:outlineLvl w:val="1"/>
        <w:rPr>
          <w:rStyle w:val="22"/>
          <w:rFonts w:ascii="黑体" w:hAnsi="黑体" w:eastAsia="黑体"/>
          <w:b w:val="0"/>
        </w:rPr>
      </w:pPr>
      <w:bookmarkStart w:id="63" w:name="_Toc15396611"/>
      <w:bookmarkStart w:id="64" w:name="_Toc15377219"/>
      <w:bookmarkStart w:id="65" w:name="_Toc4559"/>
      <w:r>
        <w:rPr>
          <w:rStyle w:val="22"/>
          <w:rFonts w:hint="eastAsia" w:ascii="黑体" w:hAnsi="黑体" w:eastAsia="黑体"/>
          <w:b w:val="0"/>
        </w:rPr>
        <w:t>国有资本经营预算支出决算情况说明</w:t>
      </w:r>
      <w:bookmarkEnd w:id="63"/>
      <w:bookmarkEnd w:id="64"/>
      <w:bookmarkEnd w:id="65"/>
    </w:p>
    <w:p w14:paraId="6A8373E8">
      <w:pPr>
        <w:spacing w:line="600" w:lineRule="exact"/>
        <w:ind w:firstLine="640"/>
        <w:rPr>
          <w:rFonts w:ascii="仿宋_GB2312" w:eastAsia="仿宋_GB2312"/>
          <w:sz w:val="32"/>
          <w:szCs w:val="32"/>
        </w:rPr>
      </w:pPr>
      <w:r>
        <w:rPr>
          <w:rFonts w:hint="eastAsia" w:ascii="仿宋_GB2312" w:eastAsia="仿宋_GB2312"/>
          <w:sz w:val="32"/>
          <w:szCs w:val="32"/>
        </w:rPr>
        <w:t>2023年度国有资本经营预算财政拨款支出0万元。</w:t>
      </w:r>
    </w:p>
    <w:p w14:paraId="1EC8DD64">
      <w:pPr>
        <w:numPr>
          <w:ilvl w:val="0"/>
          <w:numId w:val="3"/>
        </w:numPr>
        <w:spacing w:line="600" w:lineRule="exact"/>
        <w:ind w:firstLine="640"/>
        <w:outlineLvl w:val="1"/>
        <w:rPr>
          <w:rStyle w:val="22"/>
          <w:rFonts w:ascii="黑体" w:hAnsi="黑体" w:eastAsia="黑体"/>
          <w:b w:val="0"/>
        </w:rPr>
      </w:pPr>
      <w:bookmarkStart w:id="66" w:name="_Toc29910"/>
      <w:bookmarkStart w:id="67" w:name="_Toc15396612"/>
      <w:bookmarkStart w:id="68" w:name="_Toc15377221"/>
      <w:r>
        <w:rPr>
          <w:rStyle w:val="22"/>
          <w:rFonts w:hint="eastAsia" w:ascii="黑体" w:hAnsi="黑体" w:eastAsia="黑体"/>
          <w:b w:val="0"/>
        </w:rPr>
        <w:t>其他重要事项的情况说明</w:t>
      </w:r>
      <w:bookmarkEnd w:id="66"/>
      <w:bookmarkEnd w:id="67"/>
      <w:bookmarkEnd w:id="68"/>
    </w:p>
    <w:p w14:paraId="0EAA0A63">
      <w:pPr>
        <w:spacing w:line="600" w:lineRule="exact"/>
        <w:ind w:firstLine="643" w:firstLineChars="200"/>
        <w:outlineLvl w:val="2"/>
        <w:rPr>
          <w:rFonts w:ascii="仿宋" w:hAnsi="仿宋" w:eastAsia="仿宋"/>
          <w:sz w:val="32"/>
          <w:szCs w:val="32"/>
        </w:rPr>
      </w:pPr>
      <w:bookmarkStart w:id="69" w:name="_Toc15377222"/>
      <w:r>
        <w:rPr>
          <w:rFonts w:hint="eastAsia" w:ascii="仿宋" w:hAnsi="仿宋" w:eastAsia="仿宋"/>
          <w:b/>
          <w:sz w:val="32"/>
          <w:szCs w:val="32"/>
        </w:rPr>
        <w:t>（一）机关运行经费支出情况</w:t>
      </w:r>
      <w:bookmarkEnd w:id="69"/>
    </w:p>
    <w:p w14:paraId="2655AE84">
      <w:pPr>
        <w:spacing w:line="600" w:lineRule="exact"/>
        <w:ind w:firstLine="640" w:firstLineChars="200"/>
        <w:rPr>
          <w:rFonts w:ascii="仿宋" w:hAnsi="仿宋" w:eastAsia="仿宋"/>
          <w:sz w:val="32"/>
          <w:szCs w:val="32"/>
        </w:rPr>
      </w:pPr>
      <w:r>
        <w:rPr>
          <w:rFonts w:hint="eastAsia" w:ascii="仿宋_GB2312" w:eastAsia="仿宋_GB2312"/>
          <w:sz w:val="32"/>
          <w:szCs w:val="32"/>
        </w:rPr>
        <w:t>2023年度，广元市公安局机关运行经费支出3087.1万元，比2022年度增加4.56万元，增长0.15</w:t>
      </w:r>
      <w:r>
        <w:rPr>
          <w:rFonts w:ascii="仿宋_GB2312" w:eastAsia="仿宋_GB2312"/>
          <w:sz w:val="32"/>
          <w:szCs w:val="32"/>
        </w:rPr>
        <w:t>%</w:t>
      </w:r>
      <w:r>
        <w:rPr>
          <w:rFonts w:hint="eastAsia" w:ascii="仿宋_GB2312" w:eastAsia="仿宋_GB2312"/>
          <w:sz w:val="32"/>
          <w:szCs w:val="32"/>
        </w:rPr>
        <w:t>，主要原因是</w:t>
      </w:r>
      <w:r>
        <w:rPr>
          <w:rFonts w:hint="eastAsia" w:ascii="仿宋" w:hAnsi="仿宋" w:eastAsia="仿宋"/>
          <w:sz w:val="32"/>
          <w:szCs w:val="32"/>
        </w:rPr>
        <w:t>新冠疫情结束，发案增加日常办案成本增多。</w:t>
      </w:r>
      <w:bookmarkStart w:id="70" w:name="_Toc15377223"/>
    </w:p>
    <w:p w14:paraId="0BE22D01">
      <w:pPr>
        <w:spacing w:line="600" w:lineRule="exact"/>
        <w:ind w:firstLine="643" w:firstLineChars="200"/>
        <w:rPr>
          <w:rFonts w:ascii="仿宋" w:hAnsi="仿宋" w:eastAsia="仿宋"/>
          <w:b/>
          <w:sz w:val="32"/>
          <w:szCs w:val="32"/>
        </w:rPr>
      </w:pPr>
      <w:r>
        <w:rPr>
          <w:rFonts w:hint="eastAsia" w:ascii="仿宋" w:hAnsi="仿宋" w:eastAsia="仿宋"/>
          <w:b/>
          <w:sz w:val="32"/>
          <w:szCs w:val="32"/>
        </w:rPr>
        <w:t>（二）政府采购支出情况</w:t>
      </w:r>
      <w:bookmarkEnd w:id="70"/>
    </w:p>
    <w:p w14:paraId="58050E00">
      <w:pPr>
        <w:spacing w:line="600" w:lineRule="exact"/>
        <w:ind w:firstLine="640" w:firstLineChars="200"/>
        <w:rPr>
          <w:rFonts w:ascii="仿宋_GB2312" w:eastAsia="仿宋_GB2312"/>
          <w:sz w:val="32"/>
          <w:szCs w:val="32"/>
        </w:rPr>
      </w:pPr>
      <w:r>
        <w:rPr>
          <w:rFonts w:hint="eastAsia" w:ascii="仿宋_GB2312" w:eastAsia="仿宋_GB2312"/>
          <w:sz w:val="32"/>
          <w:szCs w:val="32"/>
        </w:rPr>
        <w:t>2023年度，广元市公安局政府采购支出总额2182.74万元，其中：政府采购货物支出948.21万元、政府采购服务支出1234.53万元。主要用于刑事侦查、禁毒缉毒、网络安全以及物业管理、网络租赁等工作。授予中小企业合同金额2095.4万元，占政府采购支出总额的96</w:t>
      </w:r>
      <w:r>
        <w:rPr>
          <w:rFonts w:ascii="仿宋_GB2312" w:eastAsia="仿宋_GB2312"/>
          <w:sz w:val="32"/>
          <w:szCs w:val="32"/>
        </w:rPr>
        <w:t>%</w:t>
      </w:r>
      <w:r>
        <w:rPr>
          <w:rFonts w:hint="eastAsia" w:ascii="仿宋_GB2312" w:eastAsia="仿宋_GB2312"/>
          <w:sz w:val="32"/>
          <w:szCs w:val="32"/>
        </w:rPr>
        <w:t>，其中：授予小微企业合同金额1163.8万元，占政府采购支出总额的53.32</w:t>
      </w:r>
      <w:r>
        <w:rPr>
          <w:rFonts w:ascii="仿宋_GB2312" w:eastAsia="仿宋_GB2312"/>
          <w:sz w:val="32"/>
          <w:szCs w:val="32"/>
        </w:rPr>
        <w:t>%</w:t>
      </w:r>
      <w:r>
        <w:rPr>
          <w:rFonts w:hint="eastAsia" w:ascii="仿宋_GB2312" w:eastAsia="仿宋_GB2312"/>
          <w:sz w:val="32"/>
          <w:szCs w:val="32"/>
        </w:rPr>
        <w:t>。</w:t>
      </w:r>
    </w:p>
    <w:p w14:paraId="37301588">
      <w:pPr>
        <w:autoSpaceDE w:val="0"/>
        <w:autoSpaceDN w:val="0"/>
        <w:adjustRightInd w:val="0"/>
        <w:spacing w:line="600" w:lineRule="exact"/>
        <w:ind w:firstLine="643" w:firstLineChars="200"/>
        <w:jc w:val="left"/>
        <w:outlineLvl w:val="2"/>
        <w:rPr>
          <w:rFonts w:ascii="仿宋" w:hAnsi="仿宋" w:eastAsia="仿宋"/>
          <w:b/>
          <w:sz w:val="32"/>
          <w:szCs w:val="32"/>
        </w:rPr>
      </w:pPr>
      <w:bookmarkStart w:id="71" w:name="_Toc15377224"/>
      <w:r>
        <w:rPr>
          <w:rFonts w:hint="eastAsia" w:ascii="仿宋" w:hAnsi="仿宋" w:eastAsia="仿宋"/>
          <w:b/>
          <w:sz w:val="32"/>
          <w:szCs w:val="32"/>
        </w:rPr>
        <w:t>（三）国有资产占有使用情况</w:t>
      </w:r>
      <w:bookmarkEnd w:id="71"/>
    </w:p>
    <w:p w14:paraId="38973F34">
      <w:pPr>
        <w:autoSpaceDE w:val="0"/>
        <w:autoSpaceDN w:val="0"/>
        <w:adjustRightInd w:val="0"/>
        <w:spacing w:line="600" w:lineRule="exact"/>
        <w:ind w:firstLine="640" w:firstLineChars="200"/>
        <w:jc w:val="left"/>
        <w:rPr>
          <w:rFonts w:ascii="仿宋_GB2312" w:eastAsia="仿宋_GB2312"/>
          <w:sz w:val="32"/>
          <w:szCs w:val="32"/>
        </w:rPr>
      </w:pPr>
      <w:r>
        <w:rPr>
          <w:rFonts w:hint="eastAsia" w:ascii="仿宋_GB2312" w:eastAsia="仿宋_GB2312"/>
          <w:sz w:val="32"/>
          <w:szCs w:val="32"/>
        </w:rPr>
        <w:t>截至2023年</w:t>
      </w:r>
      <w:r>
        <w:rPr>
          <w:rFonts w:ascii="仿宋_GB2312" w:eastAsia="仿宋_GB2312"/>
          <w:sz w:val="32"/>
          <w:szCs w:val="32"/>
        </w:rPr>
        <w:t>12</w:t>
      </w:r>
      <w:r>
        <w:rPr>
          <w:rFonts w:hint="eastAsia" w:ascii="仿宋_GB2312" w:eastAsia="仿宋_GB2312"/>
          <w:sz w:val="32"/>
          <w:szCs w:val="32"/>
        </w:rPr>
        <w:t>月</w:t>
      </w:r>
      <w:r>
        <w:rPr>
          <w:rFonts w:ascii="仿宋_GB2312" w:eastAsia="仿宋_GB2312"/>
          <w:sz w:val="32"/>
          <w:szCs w:val="32"/>
        </w:rPr>
        <w:t>31</w:t>
      </w:r>
      <w:r>
        <w:rPr>
          <w:rFonts w:hint="eastAsia" w:ascii="仿宋_GB2312" w:eastAsia="仿宋_GB2312"/>
          <w:sz w:val="32"/>
          <w:szCs w:val="32"/>
        </w:rPr>
        <w:t>日，广元市公安局共有车辆125辆，其中：机要通信用车1辆、执法执勤用车106辆、特种专业技术用车</w:t>
      </w:r>
      <w:r>
        <w:rPr>
          <w:rFonts w:ascii="仿宋_GB2312" w:eastAsia="仿宋_GB2312"/>
          <w:sz w:val="32"/>
          <w:szCs w:val="32"/>
        </w:rPr>
        <w:t>18</w:t>
      </w:r>
      <w:r>
        <w:rPr>
          <w:rFonts w:hint="eastAsia" w:ascii="仿宋_GB2312" w:eastAsia="仿宋_GB2312"/>
          <w:sz w:val="32"/>
          <w:szCs w:val="32"/>
        </w:rPr>
        <w:t>辆。单价</w:t>
      </w:r>
      <w:r>
        <w:rPr>
          <w:rFonts w:ascii="仿宋_GB2312" w:eastAsia="仿宋_GB2312"/>
          <w:sz w:val="32"/>
          <w:szCs w:val="32"/>
        </w:rPr>
        <w:t>100</w:t>
      </w:r>
      <w:r>
        <w:rPr>
          <w:rFonts w:hint="eastAsia" w:ascii="仿宋_GB2312" w:eastAsia="仿宋_GB2312"/>
          <w:sz w:val="32"/>
          <w:szCs w:val="32"/>
        </w:rPr>
        <w:t>万元以上专用设备10台（套）。</w:t>
      </w:r>
    </w:p>
    <w:p w14:paraId="0C01EA65">
      <w:pPr>
        <w:autoSpaceDE w:val="0"/>
        <w:autoSpaceDN w:val="0"/>
        <w:adjustRightInd w:val="0"/>
        <w:spacing w:line="600" w:lineRule="exact"/>
        <w:ind w:firstLine="643" w:firstLineChars="200"/>
        <w:jc w:val="left"/>
        <w:outlineLvl w:val="2"/>
        <w:rPr>
          <w:rFonts w:ascii="仿宋" w:hAnsi="仿宋" w:eastAsia="仿宋"/>
          <w:b/>
          <w:sz w:val="32"/>
          <w:szCs w:val="32"/>
        </w:rPr>
      </w:pPr>
      <w:r>
        <w:rPr>
          <w:rFonts w:hint="eastAsia" w:ascii="仿宋" w:hAnsi="仿宋" w:eastAsia="仿宋"/>
          <w:b/>
          <w:sz w:val="32"/>
          <w:szCs w:val="32"/>
        </w:rPr>
        <w:t>（四）预算绩效管理情况</w:t>
      </w:r>
    </w:p>
    <w:p w14:paraId="124347F1">
      <w:pPr>
        <w:spacing w:line="58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根据预算绩效管理要求，本部门在2023年度预算编制阶段，组织对公安通讯链路租赁费、市强制隔离戒毒所经费、市看守所经费等78个项目开展了预算事前绩效评估，对78个项目编制了绩效目标，预算执行过程中，选取78个项目开展绩效监控。</w:t>
      </w:r>
    </w:p>
    <w:p w14:paraId="6F75A02E">
      <w:pPr>
        <w:spacing w:line="58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组织对2023年度一般公共预算、政府性基金预算、国有资本经营预算、社会保险基金预算以及资本资产、债券资金等全面开展绩效自评，形成广元市公安局部门整体（含部门预算项目）绩效自评报告、市看守所经费、</w:t>
      </w:r>
      <w:r>
        <w:rPr>
          <w:rFonts w:hint="eastAsia" w:ascii="仿宋_GB2312" w:hAnsi="仿宋_GB2312" w:eastAsia="仿宋_GB2312" w:cs="仿宋_GB2312"/>
          <w:bCs/>
          <w:sz w:val="32"/>
          <w:szCs w:val="32"/>
        </w:rPr>
        <w:t>市强制隔离戒毒所经费</w:t>
      </w:r>
      <w:r>
        <w:rPr>
          <w:rFonts w:hint="eastAsia" w:ascii="仿宋_GB2312" w:hAnsi="仿宋_GB2312" w:eastAsia="仿宋_GB2312" w:cs="仿宋_GB2312"/>
          <w:sz w:val="32"/>
          <w:szCs w:val="32"/>
        </w:rPr>
        <w:t>等专项预算项目绩效自评报告，其中，广元市公安局部门整体（含部门预算项目）绩效自评得分为</w:t>
      </w:r>
      <w:r>
        <w:rPr>
          <w:rFonts w:hint="eastAsia" w:ascii="Times New Roman" w:hAnsi="Times New Roman" w:eastAsia="仿宋_GB2312"/>
          <w:sz w:val="32"/>
          <w:szCs w:val="32"/>
          <w:lang w:val="zh-CN"/>
        </w:rPr>
        <w:t>9</w:t>
      </w:r>
      <w:r>
        <w:rPr>
          <w:rFonts w:hint="eastAsia" w:ascii="Times New Roman" w:hAnsi="Times New Roman" w:eastAsia="仿宋_GB2312"/>
          <w:sz w:val="32"/>
          <w:szCs w:val="32"/>
        </w:rPr>
        <w:t>6.803</w:t>
      </w:r>
      <w:r>
        <w:rPr>
          <w:rFonts w:hint="eastAsia" w:ascii="仿宋_GB2312" w:hAnsi="仿宋_GB2312" w:eastAsia="仿宋_GB2312" w:cs="仿宋_GB2312"/>
          <w:sz w:val="32"/>
          <w:szCs w:val="32"/>
        </w:rPr>
        <w:t>分，绩效自评综述：</w:t>
      </w:r>
      <w:r>
        <w:rPr>
          <w:rFonts w:hint="eastAsia" w:ascii="仿宋_GB2312" w:hAnsi="仿宋_GB2312" w:eastAsia="仿宋_GB2312" w:cs="仿宋_GB2312"/>
          <w:sz w:val="32"/>
          <w:szCs w:val="32"/>
          <w:lang w:val="zh-CN"/>
        </w:rPr>
        <w:t>经自评，2023年度市公安局整体支出情况良好，有效保证了市级公安机关的高效运转，各项公安业务和重点工作取得了长足发展，切实维护了全市社会治安和谐稳定，连续10年“群众安全感满意度”全省领先，连续8年入选“全国最安全城市”，营商环境名列全省前列</w:t>
      </w:r>
      <w:r>
        <w:rPr>
          <w:rFonts w:hint="eastAsia" w:ascii="仿宋_GB2312" w:hAnsi="仿宋_GB2312" w:eastAsia="仿宋_GB2312" w:cs="仿宋_GB2312"/>
          <w:sz w:val="32"/>
          <w:szCs w:val="32"/>
        </w:rPr>
        <w:t>；市看守所经费专项预算项目绩效自评得分为96分，绩效自评综述：通过项目的实施，完成了在押人员一日三餐供应，监所环境整治，保障刑事诉讼活动顺利进行，保障在押人员合法权益。绩效自评报告详见附件。</w:t>
      </w:r>
    </w:p>
    <w:p w14:paraId="664067F4">
      <w:pPr>
        <w:spacing w:line="580" w:lineRule="exact"/>
        <w:ind w:firstLine="640" w:firstLineChars="200"/>
        <w:rPr>
          <w:rFonts w:ascii="仿宋_GB2312" w:hAnsi="仿宋_GB2312" w:eastAsia="仿宋_GB2312" w:cs="仿宋_GB2312"/>
          <w:sz w:val="32"/>
          <w:szCs w:val="32"/>
        </w:rPr>
      </w:pPr>
    </w:p>
    <w:p w14:paraId="7F6688FF">
      <w:pPr>
        <w:spacing w:line="580" w:lineRule="exact"/>
        <w:ind w:firstLine="640" w:firstLineChars="200"/>
        <w:rPr>
          <w:rFonts w:ascii="仿宋_GB2312" w:hAnsi="仿宋_GB2312" w:eastAsia="仿宋_GB2312" w:cs="仿宋_GB2312"/>
          <w:sz w:val="32"/>
          <w:szCs w:val="32"/>
        </w:rPr>
      </w:pPr>
    </w:p>
    <w:p w14:paraId="16FA893C"/>
    <w:p w14:paraId="5D7151FB">
      <w:pPr>
        <w:numPr>
          <w:ilvl w:val="0"/>
          <w:numId w:val="4"/>
        </w:numPr>
        <w:spacing w:line="600" w:lineRule="exact"/>
        <w:ind w:firstLine="660" w:firstLineChars="150"/>
        <w:jc w:val="center"/>
        <w:outlineLvl w:val="0"/>
        <w:rPr>
          <w:rStyle w:val="21"/>
          <w:rFonts w:ascii="黑体" w:hAnsi="黑体" w:eastAsia="黑体"/>
          <w:b w:val="0"/>
        </w:rPr>
      </w:pPr>
      <w:bookmarkStart w:id="72" w:name="_Toc14767"/>
      <w:bookmarkStart w:id="73" w:name="_Toc15377225"/>
      <w:bookmarkStart w:id="74" w:name="_Toc15396613"/>
      <w:r>
        <w:rPr>
          <w:rFonts w:hint="eastAsia" w:ascii="黑体" w:hAnsi="黑体" w:eastAsia="黑体"/>
          <w:sz w:val="44"/>
          <w:szCs w:val="44"/>
        </w:rPr>
        <w:t>名</w:t>
      </w:r>
      <w:r>
        <w:rPr>
          <w:rStyle w:val="21"/>
          <w:rFonts w:hint="eastAsia" w:ascii="黑体" w:hAnsi="黑体" w:eastAsia="黑体"/>
          <w:b w:val="0"/>
        </w:rPr>
        <w:t>词解释</w:t>
      </w:r>
      <w:bookmarkEnd w:id="72"/>
      <w:bookmarkEnd w:id="73"/>
      <w:bookmarkEnd w:id="74"/>
    </w:p>
    <w:p w14:paraId="67376FD6">
      <w:pPr>
        <w:spacing w:line="600" w:lineRule="exact"/>
        <w:jc w:val="left"/>
        <w:rPr>
          <w:rFonts w:ascii="宋体"/>
          <w:b/>
          <w:sz w:val="44"/>
          <w:szCs w:val="44"/>
        </w:rPr>
      </w:pPr>
    </w:p>
    <w:p w14:paraId="280B466E">
      <w:pPr>
        <w:pStyle w:val="27"/>
        <w:spacing w:line="560" w:lineRule="exact"/>
        <w:ind w:firstLine="640" w:firstLineChars="200"/>
        <w:outlineLvl w:val="1"/>
        <w:rPr>
          <w:rFonts w:ascii="仿宋_GB2312" w:eastAsia="仿宋_GB2312"/>
          <w:color w:val="auto"/>
          <w:sz w:val="32"/>
          <w:szCs w:val="32"/>
        </w:rPr>
      </w:pPr>
      <w:bookmarkStart w:id="75" w:name="_Toc27589"/>
      <w:r>
        <w:rPr>
          <w:rFonts w:ascii="仿宋_GB2312" w:eastAsia="仿宋_GB2312"/>
          <w:color w:val="auto"/>
          <w:sz w:val="32"/>
          <w:szCs w:val="32"/>
        </w:rPr>
        <w:t>1.</w:t>
      </w:r>
      <w:r>
        <w:rPr>
          <w:rFonts w:hint="eastAsia" w:ascii="仿宋_GB2312" w:eastAsia="仿宋_GB2312"/>
          <w:color w:val="auto"/>
          <w:sz w:val="32"/>
          <w:szCs w:val="32"/>
        </w:rPr>
        <w:t>财政拨款收入：指单位从同级财政部门取得的财政预算资金。</w:t>
      </w:r>
      <w:bookmarkEnd w:id="75"/>
    </w:p>
    <w:p w14:paraId="0C3E58C0">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2</w:t>
      </w:r>
      <w:r>
        <w:rPr>
          <w:rFonts w:ascii="仿宋_GB2312" w:eastAsia="仿宋_GB2312"/>
          <w:color w:val="auto"/>
          <w:sz w:val="32"/>
          <w:szCs w:val="32"/>
        </w:rPr>
        <w:t>.</w:t>
      </w:r>
      <w:r>
        <w:rPr>
          <w:rFonts w:hint="eastAsia" w:ascii="仿宋_GB2312" w:eastAsia="仿宋_GB2312"/>
          <w:color w:val="auto"/>
          <w:sz w:val="32"/>
          <w:szCs w:val="32"/>
        </w:rPr>
        <w:t>其他收入：指单位取得的除上述收入以外的各项收入。主要是上级拨入专项工作经费和利息收入等。</w:t>
      </w:r>
    </w:p>
    <w:p w14:paraId="1203B19F">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3</w:t>
      </w:r>
      <w:r>
        <w:rPr>
          <w:rFonts w:ascii="仿宋_GB2312" w:eastAsia="仿宋_GB2312"/>
          <w:color w:val="auto"/>
          <w:sz w:val="32"/>
          <w:szCs w:val="32"/>
        </w:rPr>
        <w:t>.</w:t>
      </w:r>
      <w:r>
        <w:rPr>
          <w:rFonts w:hint="eastAsia" w:ascii="仿宋_GB2312" w:eastAsia="仿宋_GB2312"/>
          <w:color w:val="auto"/>
          <w:sz w:val="32"/>
          <w:szCs w:val="32"/>
        </w:rPr>
        <w:t>年初结转和结余：指以前年度尚未完成、结转到本年按有关规定继续使用的资金。</w:t>
      </w:r>
    </w:p>
    <w:p w14:paraId="20F7ECB2">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4.年末结转和结余：指单位按有关规定结转到下年或以后年度继续使用的资金。</w:t>
      </w:r>
    </w:p>
    <w:p w14:paraId="2EAEC4D9">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5.公共安全支出（类）公安（款）行政运行（项）</w:t>
      </w:r>
      <w:r>
        <w:rPr>
          <w:rFonts w:hint="eastAsia" w:ascii="仿宋_GB2312" w:eastAsia="仿宋_GB2312"/>
          <w:color w:val="auto"/>
          <w:sz w:val="32"/>
          <w:szCs w:val="32"/>
          <w:lang w:eastAsia="zh-CN"/>
        </w:rPr>
        <w:t>：</w:t>
      </w:r>
      <w:r>
        <w:rPr>
          <w:rFonts w:hint="eastAsia" w:ascii="仿宋_GB2312" w:eastAsia="仿宋_GB2312"/>
          <w:color w:val="auto"/>
          <w:sz w:val="32"/>
          <w:szCs w:val="32"/>
        </w:rPr>
        <w:t>反映行政单位（包括实行公务员管理的事业单位）的基本支出。</w:t>
      </w:r>
    </w:p>
    <w:p w14:paraId="5DCB93C1">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6.公共安全支出（类）公安（款）一般行政管理事务（项）：反映行政单位（包括实行公务员管理的事业单位）未单独设置项级科目的其他项目支出。</w:t>
      </w:r>
    </w:p>
    <w:p w14:paraId="19BE6997">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7.公共安全支出（类）公安（款）信息化建设（项）：反映各级公安机关用于非涉密的信息网络建设和运行维护相关支出。</w:t>
      </w:r>
    </w:p>
    <w:p w14:paraId="72A45F3E">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8.公共安全支出（类）公安（款）执法办案（项）：反映公安机关从事行政执法、刑事司法及侦查办案等相关活动的支出。</w:t>
      </w:r>
    </w:p>
    <w:p w14:paraId="4DF52A56">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9.公共安全支出（类）公安（款）事业运行（项）：反映事业单位的基本支出，不包括行政单位（包括实行公务员管理的事业单位）后勤服务中心、医务室等附属事业单位。</w:t>
      </w:r>
    </w:p>
    <w:p w14:paraId="21CEE38F">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10.公共安全支出（类）公安（款）其他公安支出（项）：反映除上述项目以外其他用于公安方面的支出。</w:t>
      </w:r>
    </w:p>
    <w:p w14:paraId="24DB4E2E">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11.公共安全支出（类）其他公共安全支出（款）国家司法救助支出（项）</w:t>
      </w:r>
      <w:r>
        <w:rPr>
          <w:rFonts w:hint="eastAsia" w:ascii="仿宋_GB2312" w:eastAsia="仿宋_GB2312"/>
          <w:color w:val="auto"/>
          <w:sz w:val="32"/>
          <w:szCs w:val="32"/>
          <w:lang w:eastAsia="zh-CN"/>
        </w:rPr>
        <w:t>：</w:t>
      </w:r>
      <w:r>
        <w:rPr>
          <w:rFonts w:hint="eastAsia" w:ascii="仿宋_GB2312" w:eastAsia="仿宋_GB2312"/>
          <w:color w:val="auto"/>
          <w:sz w:val="32"/>
          <w:szCs w:val="32"/>
        </w:rPr>
        <w:t>反映用于国家司法救助方面的支出。</w:t>
      </w:r>
    </w:p>
    <w:p w14:paraId="47006F64">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12.社会保障和就业支出（类）</w:t>
      </w:r>
      <w:r>
        <w:rPr>
          <w:rFonts w:ascii="仿宋_GB2312" w:eastAsia="仿宋_GB2312"/>
          <w:color w:val="auto"/>
          <w:sz w:val="32"/>
          <w:szCs w:val="32"/>
        </w:rPr>
        <w:t>人力资源和社会保障管理事务</w:t>
      </w:r>
      <w:r>
        <w:rPr>
          <w:rFonts w:hint="eastAsia" w:ascii="仿宋_GB2312" w:eastAsia="仿宋_GB2312"/>
          <w:color w:val="auto"/>
          <w:sz w:val="32"/>
          <w:szCs w:val="32"/>
        </w:rPr>
        <w:t>（款）</w:t>
      </w:r>
      <w:r>
        <w:rPr>
          <w:rFonts w:ascii="仿宋_GB2312" w:eastAsia="仿宋_GB2312"/>
          <w:color w:val="auto"/>
          <w:sz w:val="32"/>
          <w:szCs w:val="32"/>
        </w:rPr>
        <w:t>其他人力资源和社会保障管理事务支出</w:t>
      </w:r>
      <w:r>
        <w:rPr>
          <w:rFonts w:hint="eastAsia" w:ascii="仿宋_GB2312" w:eastAsia="仿宋_GB2312"/>
          <w:color w:val="auto"/>
          <w:sz w:val="32"/>
          <w:szCs w:val="32"/>
        </w:rPr>
        <w:t>（项）：反映除上述项目以外其他用于</w:t>
      </w:r>
      <w:r>
        <w:rPr>
          <w:rFonts w:ascii="仿宋_GB2312" w:eastAsia="仿宋_GB2312"/>
          <w:color w:val="auto"/>
          <w:sz w:val="32"/>
          <w:szCs w:val="32"/>
        </w:rPr>
        <w:t>人力资源和社会保障管理事务</w:t>
      </w:r>
      <w:r>
        <w:rPr>
          <w:rFonts w:hint="eastAsia" w:ascii="仿宋_GB2312" w:eastAsia="仿宋_GB2312"/>
          <w:color w:val="auto"/>
          <w:sz w:val="32"/>
          <w:szCs w:val="32"/>
        </w:rPr>
        <w:t>方面的支出。</w:t>
      </w:r>
    </w:p>
    <w:p w14:paraId="49332F9A">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13.社会保障和就业支出（类）行政事业单位养老支出（款）</w:t>
      </w:r>
      <w:r>
        <w:rPr>
          <w:rFonts w:ascii="仿宋_GB2312" w:eastAsia="仿宋_GB2312"/>
          <w:color w:val="auto"/>
          <w:sz w:val="32"/>
          <w:szCs w:val="32"/>
        </w:rPr>
        <w:t>行政单位离退休</w:t>
      </w:r>
      <w:r>
        <w:rPr>
          <w:rFonts w:hint="eastAsia" w:ascii="仿宋_GB2312" w:eastAsia="仿宋_GB2312"/>
          <w:color w:val="auto"/>
          <w:sz w:val="32"/>
          <w:szCs w:val="32"/>
        </w:rPr>
        <w:t>（项）：反映行政单位（包括实行公务员管理的事业单位）开支的离退休经费。</w:t>
      </w:r>
    </w:p>
    <w:p w14:paraId="7B48D0DD">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14.社会保障和就业支出（类）行政事业单位养老支出（款）机关事业单位基本养老保险缴费支出（项）：反映机关事业单位实施养老保险制度由单位缴纳的基本养老保险费支出。</w:t>
      </w:r>
    </w:p>
    <w:p w14:paraId="57F63455">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15.社会保障和就业支出（类）行政事业单位养老支出（款）机关事业单位职业年金缴费支出（项）：反映机关事业单位实施养老保险制度由单位实际缴纳的职业年金支出。</w:t>
      </w:r>
    </w:p>
    <w:p w14:paraId="28BAB459">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16.社会保障和就业（类）抚恤（款）死亡抚恤（项）</w:t>
      </w:r>
      <w:r>
        <w:rPr>
          <w:rFonts w:hint="eastAsia" w:ascii="仿宋_GB2312" w:eastAsia="仿宋_GB2312"/>
          <w:color w:val="auto"/>
          <w:sz w:val="32"/>
          <w:szCs w:val="32"/>
          <w:lang w:eastAsia="zh-CN"/>
        </w:rPr>
        <w:t>：</w:t>
      </w:r>
      <w:r>
        <w:rPr>
          <w:rFonts w:hint="eastAsia" w:ascii="仿宋_GB2312" w:eastAsia="仿宋_GB2312"/>
          <w:color w:val="auto"/>
          <w:sz w:val="32"/>
          <w:szCs w:val="32"/>
        </w:rPr>
        <w:t>反映按规定用于烈士和牺牲、病故人员家属的一次性和定期抚恤金、丧葬补助费以及烈士褒扬金。</w:t>
      </w:r>
    </w:p>
    <w:p w14:paraId="4D6C5DBA">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17.社会保障和就业（类）其他社会保障和就业支出（款）其他社会保障和就业支出（项）</w:t>
      </w:r>
      <w:r>
        <w:rPr>
          <w:rFonts w:hint="eastAsia" w:ascii="仿宋_GB2312" w:eastAsia="仿宋_GB2312"/>
          <w:color w:val="auto"/>
          <w:sz w:val="32"/>
          <w:szCs w:val="32"/>
          <w:lang w:eastAsia="zh-CN"/>
        </w:rPr>
        <w:t>：</w:t>
      </w:r>
      <w:r>
        <w:rPr>
          <w:rFonts w:hint="eastAsia" w:ascii="仿宋_GB2312" w:eastAsia="仿宋_GB2312"/>
          <w:color w:val="auto"/>
          <w:sz w:val="32"/>
          <w:szCs w:val="32"/>
        </w:rPr>
        <w:t xml:space="preserve"> 反映除上述项目以外其他用于社会保障和就业方面的支出。</w:t>
      </w:r>
    </w:p>
    <w:p w14:paraId="650AB92A">
      <w:pPr>
        <w:ind w:firstLine="660"/>
        <w:rPr>
          <w:rFonts w:ascii="仿宋_GB2312" w:hAnsi="仿宋" w:eastAsia="仿宋_GB2312"/>
          <w:bCs/>
          <w:sz w:val="32"/>
          <w:szCs w:val="32"/>
        </w:rPr>
      </w:pPr>
      <w:r>
        <w:rPr>
          <w:rStyle w:val="19"/>
          <w:rFonts w:hint="eastAsia" w:ascii="仿宋_GB2312" w:hAnsi="仿宋" w:eastAsia="仿宋_GB2312"/>
          <w:b w:val="0"/>
          <w:bCs/>
          <w:sz w:val="32"/>
          <w:szCs w:val="32"/>
        </w:rPr>
        <w:t>18.卫生健康支出（类）公共卫生（款）重大公共卫生服务（项）</w:t>
      </w:r>
      <w:r>
        <w:rPr>
          <w:rStyle w:val="19"/>
          <w:rFonts w:hint="eastAsia" w:ascii="仿宋_GB2312" w:hAnsi="仿宋" w:eastAsia="仿宋_GB2312"/>
          <w:b w:val="0"/>
          <w:bCs/>
          <w:sz w:val="32"/>
          <w:szCs w:val="32"/>
          <w:lang w:eastAsia="zh-CN"/>
        </w:rPr>
        <w:t>：</w:t>
      </w:r>
      <w:r>
        <w:rPr>
          <w:rFonts w:hint="eastAsia" w:ascii="仿宋_GB2312" w:hAnsi="仿宋" w:eastAsia="仿宋_GB2312"/>
          <w:bCs/>
          <w:sz w:val="32"/>
          <w:szCs w:val="32"/>
        </w:rPr>
        <w:t>反映重大疾病、重大传染病预防控制等重大公共卫生服务项目支出。</w:t>
      </w:r>
    </w:p>
    <w:p w14:paraId="406479D7">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19.卫生健康支出（类）行政事业单位医疗（款）行政单位医疗（项）</w:t>
      </w:r>
      <w:r>
        <w:rPr>
          <w:rFonts w:hint="eastAsia" w:ascii="仿宋_GB2312" w:eastAsia="仿宋_GB2312"/>
          <w:color w:val="auto"/>
          <w:sz w:val="32"/>
          <w:szCs w:val="32"/>
          <w:lang w:eastAsia="zh-CN"/>
        </w:rPr>
        <w:t>：</w:t>
      </w:r>
      <w:r>
        <w:rPr>
          <w:rFonts w:hint="eastAsia" w:ascii="仿宋_GB2312" w:eastAsia="仿宋_GB2312"/>
          <w:color w:val="auto"/>
          <w:sz w:val="32"/>
          <w:szCs w:val="32"/>
        </w:rPr>
        <w:t>反映财政部门安排的行政单位（包括实行公务员管理的事业单位）基本医疗保险缴费经费，未参加医疗保险的行政单位的公费医疗经费，按国家规定享受离休人员、红军老战士待遇人员的医疗经费。</w:t>
      </w:r>
    </w:p>
    <w:p w14:paraId="06B6E942">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 xml:space="preserve">20.城乡社区支出（类）国有土地使用权出让收入安排的支出（款） </w:t>
      </w:r>
      <w:r>
        <w:rPr>
          <w:rFonts w:ascii="仿宋_GB2312" w:eastAsia="仿宋_GB2312"/>
          <w:color w:val="auto"/>
          <w:sz w:val="32"/>
          <w:szCs w:val="32"/>
        </w:rPr>
        <w:t>征地和拆迁补偿支出</w:t>
      </w:r>
      <w:r>
        <w:rPr>
          <w:rFonts w:hint="eastAsia" w:ascii="仿宋_GB2312" w:eastAsia="仿宋_GB2312"/>
          <w:color w:val="auto"/>
          <w:sz w:val="32"/>
          <w:szCs w:val="32"/>
        </w:rPr>
        <w:t>（项）：反映新疆生产建设兵团和地方政府在征地和收购土地过程中支付的土地补偿费、安置补助费、地上附着和青苗补偿费、拆迁补偿费支出。</w:t>
      </w:r>
    </w:p>
    <w:p w14:paraId="5B28F436">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21.城乡社区支出（类）国有土地使用权出让收入安排的支出（款） 其他国有土地使用权出让收入安排的支出（项）：反映土地出让收入用于其他方面的支出。不包括市县级政府当年按规定用土地出让收入向中央和省级政府缴纳的新增建设用地土地有偿使用费的支出。</w:t>
      </w:r>
    </w:p>
    <w:p w14:paraId="7EBA5D99">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22.住房保障支出（类）住房改革支出（款）住房公积金（项）</w:t>
      </w:r>
      <w:r>
        <w:rPr>
          <w:rFonts w:hint="eastAsia" w:ascii="仿宋_GB2312" w:eastAsia="仿宋_GB2312"/>
          <w:color w:val="auto"/>
          <w:sz w:val="32"/>
          <w:szCs w:val="32"/>
          <w:lang w:eastAsia="zh-CN"/>
        </w:rPr>
        <w:t>：</w:t>
      </w:r>
      <w:r>
        <w:rPr>
          <w:rFonts w:hint="eastAsia" w:ascii="仿宋_GB2312" w:eastAsia="仿宋_GB2312"/>
          <w:color w:val="auto"/>
          <w:sz w:val="32"/>
          <w:szCs w:val="32"/>
        </w:rPr>
        <w:t>反映行政事业单位按人力资源和社会保障部、财政部规定的基本工资和津贴补贴以及规定比例为职工缴纳的住房公积金。</w:t>
      </w:r>
    </w:p>
    <w:p w14:paraId="677BCB6F">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23.基本支出：指为保障机构正常运转、完成日常工作任务而发生的人员支出和公用支出。</w:t>
      </w:r>
    </w:p>
    <w:p w14:paraId="66C54937">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24.项目支出：指在基本支出之外为完成特定行政任务和事业发展目标所发生的支出。</w:t>
      </w:r>
    </w:p>
    <w:p w14:paraId="337B788D">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25.“三公”经费：指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等支出；公务接待费反映单位按规定开支的各类公务接待（含外宾接待）支出。</w:t>
      </w:r>
    </w:p>
    <w:p w14:paraId="6FDF5899">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26.机关运行经费：为保障行政单位（含参照公务员法管理的事业单位）运行用于购买货物和服务的各项资金，包括办公及印刷费、邮电费、差旅费、会议费、福利费、日常维修费、专用材料及一般设备购置费、办公用房水电费、办公用房物业管理费、公务用车运行维护费以及其他费用。</w:t>
      </w:r>
    </w:p>
    <w:p w14:paraId="679BE406">
      <w:pPr>
        <w:spacing w:line="600" w:lineRule="exact"/>
        <w:jc w:val="center"/>
        <w:outlineLvl w:val="9"/>
        <w:rPr>
          <w:rFonts w:ascii="黑体" w:hAnsi="黑体" w:eastAsia="黑体"/>
          <w:color w:val="FF0000"/>
          <w:sz w:val="44"/>
          <w:szCs w:val="44"/>
        </w:rPr>
      </w:pPr>
      <w:bookmarkStart w:id="76" w:name="_Toc15396614"/>
      <w:bookmarkStart w:id="77" w:name="_Toc15377226"/>
    </w:p>
    <w:p w14:paraId="6E1E60AC">
      <w:pPr>
        <w:spacing w:line="600" w:lineRule="exact"/>
        <w:jc w:val="center"/>
        <w:outlineLvl w:val="0"/>
        <w:rPr>
          <w:rStyle w:val="21"/>
          <w:rFonts w:ascii="黑体" w:hAnsi="黑体" w:eastAsia="黑体"/>
          <w:b w:val="0"/>
        </w:rPr>
      </w:pPr>
      <w:bookmarkStart w:id="78" w:name="_Toc13395"/>
      <w:r>
        <w:rPr>
          <w:rFonts w:hint="eastAsia" w:ascii="黑体" w:hAnsi="黑体" w:eastAsia="黑体"/>
          <w:sz w:val="44"/>
          <w:szCs w:val="44"/>
        </w:rPr>
        <w:t>第</w:t>
      </w:r>
      <w:r>
        <w:rPr>
          <w:rStyle w:val="21"/>
          <w:rFonts w:hint="eastAsia" w:ascii="黑体" w:hAnsi="黑体" w:eastAsia="黑体"/>
          <w:b w:val="0"/>
        </w:rPr>
        <w:t>四部分 附件</w:t>
      </w:r>
      <w:bookmarkEnd w:id="76"/>
      <w:bookmarkEnd w:id="78"/>
    </w:p>
    <w:p w14:paraId="6D7C7015">
      <w:pPr>
        <w:spacing w:line="572" w:lineRule="exact"/>
        <w:jc w:val="left"/>
        <w:outlineLvl w:val="9"/>
        <w:rPr>
          <w:rFonts w:ascii="黑体" w:hAnsi="黑体" w:eastAsia="黑体" w:cs="黑体"/>
          <w:sz w:val="32"/>
          <w:szCs w:val="32"/>
        </w:rPr>
      </w:pPr>
    </w:p>
    <w:p w14:paraId="06AF3B69">
      <w:pPr>
        <w:spacing w:line="572" w:lineRule="exact"/>
        <w:jc w:val="left"/>
        <w:outlineLvl w:val="1"/>
        <w:rPr>
          <w:rFonts w:ascii="方正小标宋简体" w:hAnsi="方正小标宋简体" w:eastAsia="黑体" w:cs="方正小标宋简体"/>
          <w:sz w:val="44"/>
          <w:szCs w:val="44"/>
        </w:rPr>
      </w:pPr>
      <w:bookmarkStart w:id="79" w:name="_Toc23596"/>
      <w:r>
        <w:rPr>
          <w:rFonts w:hint="eastAsia" w:ascii="黑体" w:hAnsi="黑体" w:eastAsia="黑体" w:cs="黑体"/>
          <w:sz w:val="32"/>
          <w:szCs w:val="32"/>
        </w:rPr>
        <w:t>附件1</w:t>
      </w:r>
      <w:bookmarkEnd w:id="79"/>
    </w:p>
    <w:p w14:paraId="42CC50B8">
      <w:pPr>
        <w:widowControl/>
        <w:spacing w:line="578" w:lineRule="exact"/>
        <w:contextualSpacing/>
        <w:jc w:val="center"/>
        <w:rPr>
          <w:rFonts w:ascii="Times New Roman" w:hAnsi="Times New Roman" w:eastAsia="方正小标宋简体"/>
          <w:bCs/>
          <w:sz w:val="44"/>
          <w:szCs w:val="44"/>
          <w:shd w:val="clear" w:color="auto" w:fill="FFFFFF"/>
        </w:rPr>
      </w:pPr>
      <w:r>
        <w:rPr>
          <w:rFonts w:ascii="Times New Roman" w:hAnsi="Times New Roman" w:eastAsia="方正小标宋简体"/>
          <w:bCs/>
          <w:sz w:val="44"/>
          <w:szCs w:val="44"/>
          <w:shd w:val="clear" w:color="auto" w:fill="FFFFFF"/>
        </w:rPr>
        <w:t>部门预算绩效</w:t>
      </w:r>
      <w:r>
        <w:rPr>
          <w:rFonts w:hint="eastAsia" w:ascii="Times New Roman" w:hAnsi="Times New Roman" w:eastAsia="方正小标宋简体"/>
          <w:bCs/>
          <w:sz w:val="44"/>
          <w:szCs w:val="44"/>
          <w:shd w:val="clear" w:color="auto" w:fill="FFFFFF"/>
        </w:rPr>
        <w:t>评价</w:t>
      </w:r>
      <w:r>
        <w:rPr>
          <w:rFonts w:ascii="Times New Roman" w:hAnsi="Times New Roman" w:eastAsia="方正小标宋简体"/>
          <w:bCs/>
          <w:sz w:val="44"/>
          <w:szCs w:val="44"/>
          <w:shd w:val="clear" w:color="auto" w:fill="FFFFFF"/>
        </w:rPr>
        <w:t>报告</w:t>
      </w:r>
    </w:p>
    <w:p w14:paraId="6FD799C3">
      <w:pPr>
        <w:widowControl/>
        <w:adjustRightInd w:val="0"/>
        <w:snapToGrid w:val="0"/>
        <w:spacing w:line="578" w:lineRule="exact"/>
        <w:ind w:firstLine="480" w:firstLineChars="200"/>
        <w:contextualSpacing/>
        <w:jc w:val="left"/>
        <w:rPr>
          <w:rFonts w:ascii="Times New Roman" w:hAnsi="Times New Roman" w:eastAsia="黑体"/>
          <w:kern w:val="0"/>
          <w:sz w:val="24"/>
          <w:szCs w:val="32"/>
          <w:shd w:val="clear" w:color="auto" w:fill="FFFFFF"/>
        </w:rPr>
      </w:pPr>
    </w:p>
    <w:p w14:paraId="1D6E1E53">
      <w:pPr>
        <w:adjustRightInd w:val="0"/>
        <w:snapToGrid w:val="0"/>
        <w:spacing w:line="580" w:lineRule="exact"/>
        <w:ind w:firstLine="720"/>
        <w:outlineLvl w:val="1"/>
        <w:rPr>
          <w:rFonts w:ascii="黑体" w:hAnsi="黑体" w:eastAsia="黑体" w:cs="黑体"/>
          <w:bCs/>
          <w:sz w:val="32"/>
          <w:szCs w:val="32"/>
        </w:rPr>
      </w:pPr>
      <w:bookmarkStart w:id="80" w:name="_Toc17988"/>
      <w:r>
        <w:rPr>
          <w:rFonts w:hint="eastAsia" w:ascii="黑体" w:hAnsi="黑体" w:eastAsia="黑体" w:cs="黑体"/>
          <w:bCs/>
          <w:sz w:val="32"/>
          <w:szCs w:val="32"/>
        </w:rPr>
        <w:t>一、</w:t>
      </w:r>
      <w:r>
        <w:rPr>
          <w:rFonts w:ascii="黑体" w:hAnsi="黑体" w:eastAsia="黑体" w:cs="黑体"/>
          <w:bCs/>
          <w:sz w:val="32"/>
          <w:szCs w:val="32"/>
        </w:rPr>
        <w:t>部门（单位）基本情况</w:t>
      </w:r>
      <w:bookmarkEnd w:id="80"/>
    </w:p>
    <w:p w14:paraId="1AEB155F">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hint="eastAsia" w:ascii="Times New Roman" w:hAnsi="Times New Roman" w:eastAsia="楷体_GB2312"/>
          <w:b/>
          <w:bCs/>
          <w:kern w:val="0"/>
          <w:sz w:val="32"/>
          <w:szCs w:val="32"/>
          <w:shd w:val="clear" w:color="auto" w:fill="FFFFFF"/>
          <w:lang w:val="zh-CN"/>
        </w:rPr>
        <w:t>（一）</w:t>
      </w:r>
      <w:r>
        <w:rPr>
          <w:rFonts w:ascii="Times New Roman" w:hAnsi="Times New Roman" w:eastAsia="楷体_GB2312"/>
          <w:b/>
          <w:bCs/>
          <w:kern w:val="0"/>
          <w:sz w:val="32"/>
          <w:szCs w:val="32"/>
          <w:shd w:val="clear" w:color="auto" w:fill="FFFFFF"/>
          <w:lang w:val="zh-CN"/>
        </w:rPr>
        <w:t>机构组成。</w:t>
      </w:r>
    </w:p>
    <w:p w14:paraId="264C57D7">
      <w:pPr>
        <w:spacing w:line="600" w:lineRule="exact"/>
        <w:ind w:firstLine="800" w:firstLineChars="250"/>
        <w:rPr>
          <w:rFonts w:ascii="仿宋_GB2312" w:hAnsi="仿宋_GB2312" w:eastAsia="仿宋_GB2312" w:cs="仿宋_GB2312"/>
          <w:sz w:val="32"/>
          <w:szCs w:val="32"/>
        </w:rPr>
      </w:pPr>
      <w:r>
        <w:rPr>
          <w:rFonts w:hint="eastAsia" w:ascii="仿宋_GB2312" w:hAnsi="仿宋_GB2312" w:eastAsia="仿宋_GB2312" w:cs="仿宋_GB2312"/>
          <w:sz w:val="32"/>
          <w:szCs w:val="32"/>
        </w:rPr>
        <w:t>市公安局下属二级单位6个，其中行政单位5个，参照公务员法管理的事业单位0个，其他事业单位1个。分别是广元市公安局（本级）、广元市公安局利州区分局、广元市公安局经济技术开发区分局、广元市公安局机场分局、广元市公安局宝珠寺分局、广元市警务标准化研究中心。</w:t>
      </w:r>
    </w:p>
    <w:p w14:paraId="6B30691B">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ascii="Times New Roman" w:hAnsi="Times New Roman" w:eastAsia="楷体_GB2312"/>
          <w:b/>
          <w:bCs/>
          <w:kern w:val="0"/>
          <w:sz w:val="32"/>
          <w:szCs w:val="32"/>
          <w:shd w:val="clear" w:color="auto" w:fill="FFFFFF"/>
          <w:lang w:val="zh-CN"/>
        </w:rPr>
        <w:t>（二）机构职能</w:t>
      </w:r>
      <w:r>
        <w:rPr>
          <w:rFonts w:hint="eastAsia" w:ascii="Times New Roman" w:hAnsi="Times New Roman" w:eastAsia="楷体_GB2312"/>
          <w:b/>
          <w:bCs/>
          <w:kern w:val="0"/>
          <w:sz w:val="32"/>
          <w:szCs w:val="32"/>
          <w:shd w:val="clear" w:color="auto" w:fill="FFFFFF"/>
          <w:lang w:val="zh-CN"/>
        </w:rPr>
        <w:t>。</w:t>
      </w:r>
    </w:p>
    <w:p w14:paraId="45424249">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市公安局“三定”方案职能职责为：</w:t>
      </w:r>
    </w:p>
    <w:p w14:paraId="19B0C348">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1.贯彻执行党和国家公安工作的方针、政策和法律、法规、规章；部署、指导、监督、检查全市公安工作；负责本系统、本部门依法行政工作，落实行政执法责任制。</w:t>
      </w:r>
    </w:p>
    <w:p w14:paraId="1688FF5D">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2.组织、指导、协调全市公安机关应急管理、抢险救援工作和社会公共突发事件的处置工作。</w:t>
      </w:r>
    </w:p>
    <w:p w14:paraId="3E7F435A">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3.组织指导全市公安机关侦查工作，协调或直接侦办全市重大刑事案件、国内危害国家安全的犯罪案件及重大经济犯罪案件。</w:t>
      </w:r>
    </w:p>
    <w:p w14:paraId="00360575">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4.负责全市治安管理工作并承担相应责任。协调处置全市重大治安案件和群体性事件，指导、监督全市公安机关依法查处破坏社会治安秩序行为，依法开展治安行政管理工作，指导、监督全市公安机关治安保卫工作。</w:t>
      </w:r>
    </w:p>
    <w:p w14:paraId="422E2591">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5.负责全市出入境管理有关工作。依法管理国籍，组织、指导全市出境、入境和持普通护照的外国人在广居留、旅行的有关管理工作。</w:t>
      </w:r>
    </w:p>
    <w:p w14:paraId="35A22510">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6.负责全市道路交通安全管理工作并承担相应责任。指导、监督全市公安机关维护道路交通安全、交通秩序以及开展机动车辆（不含拖拉机）、驾驶人管理工作。</w:t>
      </w:r>
    </w:p>
    <w:p w14:paraId="10598B8B">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7.指导、监督全市公安机关对公共信息网络的安全保护工作，负责信息安全等级保护工作的监督、检查、指导。</w:t>
      </w:r>
    </w:p>
    <w:p w14:paraId="74288597">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8.组织、指导、协调对恐怖活动的情报、防范、侦察和应急处置工作。</w:t>
      </w:r>
    </w:p>
    <w:p w14:paraId="4E0FDC71">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9.指导、监督全市公安机关依法承担的执行刑罚和监督、考察工作；指导、监督全市看守所、拘留所、强制隔离戒毒所、收容教育所的管理工作，指导、监督、办理收容教养和劳动教养审批工作。管理广元市看守所、广元市拘留所、广元市强制隔离戒毒所。</w:t>
      </w:r>
    </w:p>
    <w:p w14:paraId="2D356950">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10.指导全市公安警卫业务工作，组织实施对有关的党和国家领导人以及重要外宾在广的安全警卫工作并承担相应责任。</w:t>
      </w:r>
    </w:p>
    <w:p w14:paraId="70761186">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11.组织实施全市公安科学技术工作，组织、指导、规划全市公安机关的指挥系统、信息技术、刑事技术建设。</w:t>
      </w:r>
    </w:p>
    <w:p w14:paraId="58B5B939">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12.拟订全市公安机关装备、被装和经费等警务保障计划及管理制度，组织协调全市公安机关重大任务的警务保障工作。</w:t>
      </w:r>
    </w:p>
    <w:p w14:paraId="4FB1BE92">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13.组织开展同市外公安机关、港澳台警方及外国内政警察机构的交往与业务合作。</w:t>
      </w:r>
    </w:p>
    <w:p w14:paraId="6551B070">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14.指导全市公安队伍建设和公安机关党风廉政建设，组织、指导全市公安机关人事管理、民警教育训练和宣传工作，按规定权限管理干部，拟订全市公安队伍监督管理工作规章制度，组织、指导全市公安机关督察、审计、信访工作，指导、监督全市公安机关及人民警察的执法活动，按规定权限实施对干部的监督、查处或督办公安队伍重大违纪案件。</w:t>
      </w:r>
    </w:p>
    <w:p w14:paraId="4E0C0AE2">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15.指导市内森林等专门公安机关的业务工作。</w:t>
      </w:r>
    </w:p>
    <w:p w14:paraId="2F9F9D5A">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16.承担广元市禁毒委员会的具体工作。</w:t>
      </w:r>
    </w:p>
    <w:p w14:paraId="234D431E">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17.承担市政府公布的有关行政审批事项。</w:t>
      </w:r>
    </w:p>
    <w:p w14:paraId="1B216D0F">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18.承办市政府和省公安厅交办的其他事项。</w:t>
      </w:r>
    </w:p>
    <w:p w14:paraId="75D66059">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ascii="Times New Roman" w:hAnsi="Times New Roman" w:eastAsia="楷体_GB2312"/>
          <w:b/>
          <w:bCs/>
          <w:kern w:val="0"/>
          <w:sz w:val="32"/>
          <w:szCs w:val="32"/>
          <w:shd w:val="clear" w:color="auto" w:fill="FFFFFF"/>
          <w:lang w:val="zh-CN"/>
        </w:rPr>
        <w:t>（</w:t>
      </w:r>
      <w:r>
        <w:rPr>
          <w:rFonts w:hint="eastAsia" w:ascii="Times New Roman" w:hAnsi="Times New Roman" w:eastAsia="楷体_GB2312"/>
          <w:b/>
          <w:bCs/>
          <w:kern w:val="0"/>
          <w:sz w:val="32"/>
          <w:szCs w:val="32"/>
          <w:shd w:val="clear" w:color="auto" w:fill="FFFFFF"/>
          <w:lang w:val="zh-CN"/>
        </w:rPr>
        <w:t>三</w:t>
      </w:r>
      <w:r>
        <w:rPr>
          <w:rFonts w:ascii="Times New Roman" w:hAnsi="Times New Roman" w:eastAsia="楷体_GB2312"/>
          <w:b/>
          <w:bCs/>
          <w:kern w:val="0"/>
          <w:sz w:val="32"/>
          <w:szCs w:val="32"/>
          <w:shd w:val="clear" w:color="auto" w:fill="FFFFFF"/>
          <w:lang w:val="zh-CN"/>
        </w:rPr>
        <w:t>）人员概况</w:t>
      </w:r>
      <w:r>
        <w:rPr>
          <w:rFonts w:hint="eastAsia" w:ascii="Times New Roman" w:hAnsi="Times New Roman" w:eastAsia="楷体_GB2312"/>
          <w:b/>
          <w:bCs/>
          <w:kern w:val="0"/>
          <w:sz w:val="32"/>
          <w:szCs w:val="32"/>
          <w:shd w:val="clear" w:color="auto" w:fill="FFFFFF"/>
          <w:lang w:val="zh-CN"/>
        </w:rPr>
        <w:t>。</w:t>
      </w:r>
    </w:p>
    <w:p w14:paraId="06FAADAA">
      <w:pPr>
        <w:widowControl/>
        <w:adjustRightInd w:val="0"/>
        <w:snapToGrid w:val="0"/>
        <w:spacing w:line="578" w:lineRule="exact"/>
        <w:ind w:firstLine="640" w:firstLineChars="200"/>
        <w:contextualSpacing/>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202</w:t>
      </w:r>
      <w:r>
        <w:rPr>
          <w:rFonts w:hint="eastAsia" w:ascii="仿宋_GB2312" w:hAnsi="仿宋_GB2312" w:cs="仿宋_GB2312"/>
          <w:sz w:val="32"/>
          <w:szCs w:val="32"/>
        </w:rPr>
        <w:t>3</w:t>
      </w:r>
      <w:r>
        <w:rPr>
          <w:rFonts w:hint="eastAsia" w:ascii="仿宋_GB2312" w:hAnsi="仿宋_GB2312" w:eastAsia="仿宋_GB2312" w:cs="仿宋_GB2312"/>
          <w:sz w:val="32"/>
          <w:szCs w:val="32"/>
        </w:rPr>
        <w:t>年，部门编制人数</w:t>
      </w:r>
      <w:r>
        <w:rPr>
          <w:rFonts w:hint="eastAsia" w:ascii="仿宋_GB2312" w:hAnsi="仿宋_GB2312" w:cs="仿宋_GB2312"/>
          <w:sz w:val="32"/>
          <w:szCs w:val="32"/>
        </w:rPr>
        <w:t>1157</w:t>
      </w:r>
      <w:r>
        <w:rPr>
          <w:rFonts w:hint="eastAsia" w:ascii="仿宋_GB2312" w:hAnsi="仿宋_GB2312" w:eastAsia="仿宋_GB2312" w:cs="仿宋_GB2312"/>
          <w:sz w:val="32"/>
          <w:szCs w:val="32"/>
        </w:rPr>
        <w:t>人，其中政法编制</w:t>
      </w:r>
      <w:r>
        <w:rPr>
          <w:rFonts w:hint="eastAsia" w:ascii="仿宋_GB2312" w:hAnsi="仿宋_GB2312" w:eastAsia="仿宋_GB2312" w:cs="仿宋_GB2312"/>
          <w:sz w:val="32"/>
          <w:szCs w:val="32"/>
          <w:shd w:val="clear" w:color="auto" w:fill="FFFFFF"/>
        </w:rPr>
        <w:t>10</w:t>
      </w:r>
      <w:r>
        <w:rPr>
          <w:rFonts w:hint="eastAsia" w:ascii="仿宋_GB2312" w:hAnsi="仿宋_GB2312" w:cs="仿宋_GB2312"/>
          <w:sz w:val="32"/>
          <w:szCs w:val="32"/>
          <w:shd w:val="clear" w:color="auto" w:fill="FFFFFF"/>
        </w:rPr>
        <w:t>75</w:t>
      </w:r>
      <w:r>
        <w:rPr>
          <w:rFonts w:hint="eastAsia" w:ascii="仿宋_GB2312" w:hAnsi="仿宋_GB2312" w:eastAsia="仿宋_GB2312" w:cs="仿宋_GB2312"/>
          <w:sz w:val="32"/>
          <w:szCs w:val="32"/>
        </w:rPr>
        <w:t>人，事业编制</w:t>
      </w:r>
      <w:r>
        <w:rPr>
          <w:rFonts w:hint="eastAsia" w:ascii="仿宋_GB2312" w:hAnsi="仿宋_GB2312" w:eastAsia="仿宋_GB2312" w:cs="仿宋_GB2312"/>
          <w:sz w:val="32"/>
          <w:szCs w:val="32"/>
          <w:shd w:val="clear" w:color="auto" w:fill="FFFFFF"/>
        </w:rPr>
        <w:t>15</w:t>
      </w:r>
      <w:r>
        <w:rPr>
          <w:rFonts w:hint="eastAsia" w:ascii="仿宋_GB2312" w:hAnsi="仿宋_GB2312" w:eastAsia="仿宋_GB2312" w:cs="仿宋_GB2312"/>
          <w:sz w:val="32"/>
          <w:szCs w:val="32"/>
        </w:rPr>
        <w:t>人、工勤编制</w:t>
      </w:r>
      <w:r>
        <w:rPr>
          <w:rFonts w:hint="eastAsia" w:ascii="仿宋_GB2312" w:hAnsi="仿宋_GB2312" w:eastAsia="仿宋_GB2312" w:cs="仿宋_GB2312"/>
          <w:sz w:val="32"/>
          <w:szCs w:val="32"/>
          <w:shd w:val="clear" w:color="auto" w:fill="FFFFFF"/>
        </w:rPr>
        <w:t>6</w:t>
      </w:r>
      <w:r>
        <w:rPr>
          <w:rFonts w:hint="eastAsia" w:ascii="仿宋_GB2312" w:hAnsi="仿宋_GB2312" w:cs="仿宋_GB2312"/>
          <w:sz w:val="32"/>
          <w:szCs w:val="32"/>
          <w:shd w:val="clear" w:color="auto" w:fill="FFFFFF"/>
        </w:rPr>
        <w:t>7</w:t>
      </w:r>
      <w:r>
        <w:rPr>
          <w:rFonts w:hint="eastAsia" w:ascii="仿宋_GB2312" w:hAnsi="仿宋_GB2312" w:eastAsia="仿宋_GB2312" w:cs="仿宋_GB2312"/>
          <w:sz w:val="32"/>
          <w:szCs w:val="32"/>
        </w:rPr>
        <w:t>人</w:t>
      </w:r>
      <w:r>
        <w:rPr>
          <w:rFonts w:hint="eastAsia" w:ascii="仿宋_GB2312" w:hAnsi="仿宋_GB2312" w:cs="仿宋_GB2312"/>
          <w:sz w:val="32"/>
          <w:szCs w:val="32"/>
        </w:rPr>
        <w:t>；</w:t>
      </w:r>
      <w:r>
        <w:rPr>
          <w:rFonts w:hint="eastAsia" w:ascii="仿宋_GB2312" w:hAnsi="仿宋_GB2312" w:eastAsia="仿宋_GB2312" w:cs="仿宋_GB2312"/>
          <w:sz w:val="32"/>
          <w:szCs w:val="32"/>
        </w:rPr>
        <w:t>年末在职人员实有人数</w:t>
      </w:r>
      <w:r>
        <w:rPr>
          <w:rFonts w:hint="eastAsia" w:ascii="仿宋_GB2312" w:hAnsi="仿宋_GB2312" w:eastAsia="仿宋_GB2312" w:cs="仿宋_GB2312"/>
          <w:sz w:val="32"/>
          <w:szCs w:val="32"/>
          <w:shd w:val="clear" w:color="auto" w:fill="FFFFFF"/>
        </w:rPr>
        <w:t>1035</w:t>
      </w:r>
      <w:r>
        <w:rPr>
          <w:rFonts w:hint="eastAsia" w:ascii="仿宋_GB2312" w:hAnsi="仿宋_GB2312" w:eastAsia="仿宋_GB2312" w:cs="仿宋_GB2312"/>
          <w:sz w:val="32"/>
          <w:szCs w:val="32"/>
        </w:rPr>
        <w:t>人，其中行政人员1022人、事业人员</w:t>
      </w:r>
      <w:r>
        <w:rPr>
          <w:rFonts w:hint="eastAsia" w:ascii="仿宋_GB2312" w:hAnsi="仿宋_GB2312" w:cs="仿宋_GB2312"/>
          <w:sz w:val="32"/>
          <w:szCs w:val="32"/>
          <w:shd w:val="clear" w:color="auto" w:fill="FFFFFF"/>
        </w:rPr>
        <w:t>13</w:t>
      </w:r>
      <w:r>
        <w:rPr>
          <w:rFonts w:hint="eastAsia" w:ascii="仿宋_GB2312" w:hAnsi="仿宋_GB2312" w:eastAsia="仿宋_GB2312" w:cs="仿宋_GB2312"/>
          <w:sz w:val="32"/>
          <w:szCs w:val="32"/>
        </w:rPr>
        <w:t>人；年末退休人员</w:t>
      </w:r>
      <w:r>
        <w:rPr>
          <w:rFonts w:hint="eastAsia" w:ascii="仿宋_GB2312" w:hAnsi="仿宋_GB2312" w:cs="仿宋_GB2312"/>
          <w:sz w:val="32"/>
          <w:szCs w:val="32"/>
          <w:shd w:val="clear" w:color="auto" w:fill="FFFFFF"/>
        </w:rPr>
        <w:t>371</w:t>
      </w:r>
      <w:r>
        <w:rPr>
          <w:rFonts w:hint="eastAsia" w:ascii="仿宋_GB2312" w:hAnsi="仿宋_GB2312" w:eastAsia="仿宋_GB2312" w:cs="仿宋_GB2312"/>
          <w:sz w:val="32"/>
          <w:szCs w:val="32"/>
        </w:rPr>
        <w:t>人。</w:t>
      </w:r>
    </w:p>
    <w:p w14:paraId="63C6DD06">
      <w:pPr>
        <w:adjustRightInd w:val="0"/>
        <w:snapToGrid w:val="0"/>
        <w:spacing w:line="580" w:lineRule="exact"/>
        <w:ind w:firstLine="720"/>
        <w:outlineLvl w:val="1"/>
        <w:rPr>
          <w:rFonts w:ascii="黑体" w:hAnsi="黑体" w:eastAsia="黑体" w:cs="黑体"/>
          <w:bCs/>
          <w:sz w:val="32"/>
          <w:szCs w:val="32"/>
        </w:rPr>
      </w:pPr>
      <w:bookmarkStart w:id="81" w:name="_Toc28798"/>
      <w:r>
        <w:rPr>
          <w:rFonts w:ascii="黑体" w:hAnsi="黑体" w:eastAsia="黑体" w:cs="黑体"/>
          <w:bCs/>
          <w:sz w:val="32"/>
          <w:szCs w:val="32"/>
        </w:rPr>
        <w:t>二、部门资金收支情况</w:t>
      </w:r>
      <w:bookmarkEnd w:id="81"/>
    </w:p>
    <w:p w14:paraId="0F534267">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ascii="Times New Roman" w:hAnsi="Times New Roman" w:eastAsia="楷体_GB2312"/>
          <w:b/>
          <w:bCs/>
          <w:kern w:val="0"/>
          <w:sz w:val="32"/>
          <w:szCs w:val="32"/>
          <w:shd w:val="clear" w:color="auto" w:fill="FFFFFF"/>
          <w:lang w:val="zh-CN"/>
        </w:rPr>
        <w:t>（一）</w:t>
      </w:r>
      <w:r>
        <w:rPr>
          <w:rFonts w:hint="eastAsia" w:ascii="Times New Roman" w:hAnsi="Times New Roman" w:eastAsia="楷体_GB2312"/>
          <w:b/>
          <w:bCs/>
          <w:kern w:val="0"/>
          <w:sz w:val="32"/>
          <w:szCs w:val="32"/>
          <w:shd w:val="clear" w:color="auto" w:fill="FFFFFF"/>
          <w:lang w:val="zh-CN"/>
        </w:rPr>
        <w:t>收入情况</w:t>
      </w:r>
      <w:r>
        <w:rPr>
          <w:rFonts w:ascii="Times New Roman" w:hAnsi="Times New Roman" w:eastAsia="楷体_GB2312"/>
          <w:b/>
          <w:bCs/>
          <w:kern w:val="0"/>
          <w:sz w:val="32"/>
          <w:szCs w:val="32"/>
          <w:shd w:val="clear" w:color="auto" w:fill="FFFFFF"/>
          <w:lang w:val="zh-CN"/>
        </w:rPr>
        <w:t>。</w:t>
      </w:r>
    </w:p>
    <w:p w14:paraId="0BC7DC98">
      <w:pPr>
        <w:widowControl/>
        <w:adjustRightInd w:val="0"/>
        <w:snapToGrid w:val="0"/>
        <w:spacing w:line="578" w:lineRule="exact"/>
        <w:ind w:firstLine="640" w:firstLineChars="200"/>
        <w:contextualSpacing/>
        <w:jc w:val="left"/>
        <w:rPr>
          <w:rFonts w:ascii="Times New Roman" w:hAnsi="Times New Roman" w:eastAsia="仿宋_GB2312"/>
          <w:sz w:val="32"/>
          <w:szCs w:val="32"/>
        </w:rPr>
      </w:pPr>
      <w:r>
        <w:rPr>
          <w:rFonts w:hint="eastAsia" w:ascii="Times New Roman" w:hAnsi="Times New Roman" w:eastAsia="仿宋_GB2312"/>
          <w:sz w:val="32"/>
          <w:szCs w:val="32"/>
        </w:rPr>
        <w:t>市公安局2023年年初预算收入27061.4万元，决算收入34428.63万元。</w:t>
      </w:r>
    </w:p>
    <w:p w14:paraId="5D28C282">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ascii="Times New Roman" w:hAnsi="Times New Roman" w:eastAsia="楷体_GB2312"/>
          <w:b/>
          <w:bCs/>
          <w:kern w:val="0"/>
          <w:sz w:val="32"/>
          <w:szCs w:val="32"/>
          <w:shd w:val="clear" w:color="auto" w:fill="FFFFFF"/>
          <w:lang w:val="zh-CN"/>
        </w:rPr>
        <w:t>（</w:t>
      </w:r>
      <w:r>
        <w:rPr>
          <w:rFonts w:hint="eastAsia" w:ascii="Times New Roman" w:hAnsi="Times New Roman" w:eastAsia="楷体_GB2312"/>
          <w:b/>
          <w:bCs/>
          <w:kern w:val="0"/>
          <w:sz w:val="32"/>
          <w:szCs w:val="32"/>
          <w:shd w:val="clear" w:color="auto" w:fill="FFFFFF"/>
          <w:lang w:val="zh-CN"/>
        </w:rPr>
        <w:t>二</w:t>
      </w:r>
      <w:r>
        <w:rPr>
          <w:rFonts w:ascii="Times New Roman" w:hAnsi="Times New Roman" w:eastAsia="楷体_GB2312"/>
          <w:b/>
          <w:bCs/>
          <w:kern w:val="0"/>
          <w:sz w:val="32"/>
          <w:szCs w:val="32"/>
          <w:shd w:val="clear" w:color="auto" w:fill="FFFFFF"/>
          <w:lang w:val="zh-CN"/>
        </w:rPr>
        <w:t>）</w:t>
      </w:r>
      <w:r>
        <w:rPr>
          <w:rFonts w:hint="eastAsia" w:ascii="Times New Roman" w:hAnsi="Times New Roman" w:eastAsia="楷体_GB2312"/>
          <w:b/>
          <w:bCs/>
          <w:kern w:val="0"/>
          <w:sz w:val="32"/>
          <w:szCs w:val="32"/>
          <w:shd w:val="clear" w:color="auto" w:fill="FFFFFF"/>
          <w:lang w:val="zh-CN"/>
        </w:rPr>
        <w:t>支出情况</w:t>
      </w:r>
      <w:r>
        <w:rPr>
          <w:rFonts w:ascii="Times New Roman" w:hAnsi="Times New Roman" w:eastAsia="楷体_GB2312"/>
          <w:b/>
          <w:bCs/>
          <w:kern w:val="0"/>
          <w:sz w:val="32"/>
          <w:szCs w:val="32"/>
          <w:shd w:val="clear" w:color="auto" w:fill="FFFFFF"/>
          <w:lang w:val="zh-CN"/>
        </w:rPr>
        <w:t>。</w:t>
      </w:r>
    </w:p>
    <w:p w14:paraId="1048810E">
      <w:pPr>
        <w:widowControl/>
        <w:adjustRightInd w:val="0"/>
        <w:snapToGrid w:val="0"/>
        <w:spacing w:line="578" w:lineRule="exact"/>
        <w:ind w:firstLine="640" w:firstLineChars="200"/>
        <w:contextualSpacing/>
        <w:jc w:val="left"/>
        <w:rPr>
          <w:rFonts w:ascii="Times New Roman" w:hAnsi="Times New Roman"/>
          <w:szCs w:val="32"/>
          <w:lang w:val="zh-CN"/>
        </w:rPr>
      </w:pPr>
      <w:r>
        <w:rPr>
          <w:rFonts w:hint="eastAsia" w:ascii="Times New Roman" w:hAnsi="Times New Roman" w:eastAsia="仿宋_GB2312"/>
          <w:sz w:val="32"/>
          <w:szCs w:val="32"/>
        </w:rPr>
        <w:t>市公安局2023年年初预算支出27061.4万元，决算支出34236.05万元。</w:t>
      </w:r>
    </w:p>
    <w:p w14:paraId="60A422A8">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ascii="Times New Roman" w:hAnsi="Times New Roman" w:eastAsia="楷体_GB2312"/>
          <w:b/>
          <w:bCs/>
          <w:kern w:val="0"/>
          <w:sz w:val="32"/>
          <w:szCs w:val="32"/>
          <w:shd w:val="clear" w:color="auto" w:fill="FFFFFF"/>
          <w:lang w:val="zh-CN"/>
        </w:rPr>
        <w:t>（</w:t>
      </w:r>
      <w:r>
        <w:rPr>
          <w:rFonts w:hint="eastAsia" w:ascii="Times New Roman" w:hAnsi="Times New Roman" w:eastAsia="楷体_GB2312"/>
          <w:b/>
          <w:bCs/>
          <w:kern w:val="0"/>
          <w:sz w:val="32"/>
          <w:szCs w:val="32"/>
          <w:shd w:val="clear" w:color="auto" w:fill="FFFFFF"/>
          <w:lang w:val="zh-CN"/>
        </w:rPr>
        <w:t>三</w:t>
      </w:r>
      <w:r>
        <w:rPr>
          <w:rFonts w:ascii="Times New Roman" w:hAnsi="Times New Roman" w:eastAsia="楷体_GB2312"/>
          <w:b/>
          <w:bCs/>
          <w:kern w:val="0"/>
          <w:sz w:val="32"/>
          <w:szCs w:val="32"/>
          <w:shd w:val="clear" w:color="auto" w:fill="FFFFFF"/>
          <w:lang w:val="zh-CN"/>
        </w:rPr>
        <w:t>）结余分配和结转结余情况</w:t>
      </w:r>
      <w:r>
        <w:rPr>
          <w:rFonts w:hint="eastAsia" w:ascii="Times New Roman" w:hAnsi="Times New Roman" w:eastAsia="楷体_GB2312"/>
          <w:b/>
          <w:bCs/>
          <w:kern w:val="0"/>
          <w:sz w:val="32"/>
          <w:szCs w:val="32"/>
          <w:shd w:val="clear" w:color="auto" w:fill="FFFFFF"/>
          <w:lang w:val="zh-CN"/>
        </w:rPr>
        <w:t>。</w:t>
      </w:r>
    </w:p>
    <w:p w14:paraId="36B35C46">
      <w:pPr>
        <w:spacing w:line="560" w:lineRule="exact"/>
        <w:ind w:firstLine="640" w:firstLineChars="200"/>
        <w:rPr>
          <w:rFonts w:ascii="Times New Roman" w:hAnsi="Times New Roman" w:eastAsia="仿宋_GB2312"/>
          <w:sz w:val="32"/>
          <w:szCs w:val="32"/>
          <w:lang w:val="zh-CN"/>
        </w:rPr>
      </w:pPr>
      <w:r>
        <w:rPr>
          <w:rFonts w:hint="eastAsia" w:ascii="Times New Roman" w:hAnsi="Times New Roman" w:eastAsia="仿宋_GB2312"/>
          <w:sz w:val="32"/>
          <w:szCs w:val="32"/>
          <w:lang w:val="zh-CN"/>
        </w:rPr>
        <w:t>市公安局2023年决算报表年末结转结余192.58万元。</w:t>
      </w:r>
    </w:p>
    <w:p w14:paraId="57963873">
      <w:pPr>
        <w:adjustRightInd w:val="0"/>
        <w:snapToGrid w:val="0"/>
        <w:spacing w:line="580" w:lineRule="exact"/>
        <w:ind w:firstLine="720"/>
        <w:outlineLvl w:val="1"/>
        <w:rPr>
          <w:rFonts w:ascii="黑体" w:hAnsi="黑体" w:eastAsia="黑体" w:cs="黑体"/>
          <w:bCs/>
          <w:sz w:val="32"/>
          <w:szCs w:val="32"/>
        </w:rPr>
      </w:pPr>
      <w:bookmarkStart w:id="82" w:name="_Toc20474"/>
      <w:r>
        <w:rPr>
          <w:rFonts w:ascii="黑体" w:hAnsi="黑体" w:eastAsia="黑体" w:cs="黑体"/>
          <w:bCs/>
          <w:sz w:val="32"/>
          <w:szCs w:val="32"/>
        </w:rPr>
        <w:t>三、部门预算绩效分析</w:t>
      </w:r>
      <w:bookmarkEnd w:id="82"/>
    </w:p>
    <w:p w14:paraId="5FB183D5">
      <w:pPr>
        <w:spacing w:line="560" w:lineRule="exact"/>
        <w:ind w:firstLine="643" w:firstLineChars="200"/>
        <w:rPr>
          <w:rFonts w:ascii="Times New Roman" w:hAnsi="Times New Roman" w:eastAsia="仿宋_GB2312"/>
          <w:sz w:val="32"/>
          <w:szCs w:val="32"/>
          <w:lang w:val="zh-CN"/>
        </w:rPr>
      </w:pPr>
      <w:r>
        <w:rPr>
          <w:rFonts w:ascii="Times New Roman" w:hAnsi="Times New Roman" w:eastAsia="楷体_GB2312"/>
          <w:b/>
          <w:bCs/>
          <w:kern w:val="0"/>
          <w:sz w:val="32"/>
          <w:szCs w:val="32"/>
          <w:shd w:val="clear" w:color="auto" w:fill="FFFFFF"/>
          <w:lang w:val="zh-CN"/>
        </w:rPr>
        <w:t>（一）</w:t>
      </w:r>
      <w:r>
        <w:rPr>
          <w:rFonts w:hint="eastAsia" w:ascii="Times New Roman" w:hAnsi="Times New Roman" w:eastAsia="楷体_GB2312"/>
          <w:b/>
          <w:bCs/>
          <w:kern w:val="0"/>
          <w:sz w:val="32"/>
          <w:szCs w:val="32"/>
          <w:shd w:val="clear" w:color="auto" w:fill="FFFFFF"/>
          <w:lang w:val="zh-CN"/>
        </w:rPr>
        <w:t>部门预算</w:t>
      </w:r>
      <w:r>
        <w:rPr>
          <w:rFonts w:ascii="Times New Roman" w:hAnsi="Times New Roman" w:eastAsia="楷体_GB2312"/>
          <w:b/>
          <w:bCs/>
          <w:kern w:val="0"/>
          <w:sz w:val="32"/>
          <w:szCs w:val="32"/>
          <w:shd w:val="clear" w:color="auto" w:fill="FFFFFF"/>
          <w:lang w:val="zh-CN"/>
        </w:rPr>
        <w:t>总体绩效分析。</w:t>
      </w:r>
      <w:r>
        <w:rPr>
          <w:rFonts w:hint="eastAsia" w:ascii="Times New Roman" w:hAnsi="Times New Roman" w:eastAsia="仿宋_GB2312"/>
          <w:sz w:val="32"/>
          <w:szCs w:val="32"/>
          <w:lang w:val="zh-CN"/>
        </w:rPr>
        <w:t>根据部门整体绩效评价评分表逐项分析开展绩效自评，具体情况为：</w:t>
      </w:r>
    </w:p>
    <w:p w14:paraId="1F76E6FE">
      <w:pPr>
        <w:spacing w:line="560" w:lineRule="exact"/>
        <w:ind w:firstLine="640" w:firstLineChars="200"/>
        <w:rPr>
          <w:rFonts w:ascii="Times New Roman" w:hAnsi="Times New Roman" w:eastAsia="仿宋_GB2312"/>
          <w:sz w:val="32"/>
          <w:szCs w:val="32"/>
          <w:lang w:val="zh-CN"/>
        </w:rPr>
      </w:pPr>
      <w:r>
        <w:rPr>
          <w:rFonts w:hint="eastAsia" w:ascii="Times New Roman" w:hAnsi="Times New Roman" w:eastAsia="仿宋_GB2312"/>
          <w:sz w:val="32"/>
          <w:szCs w:val="32"/>
          <w:lang w:val="zh-CN"/>
        </w:rPr>
        <w:t>1.履职效能。部门选取了案件侦办、安保维稳、强化训练效果三个核心履职效能，采用是否评分法对三个核心效能是否达到了年初预设的目标开展自评，该项得分15分。</w:t>
      </w:r>
    </w:p>
    <w:p w14:paraId="663AE9B0">
      <w:pPr>
        <w:spacing w:line="560" w:lineRule="exact"/>
        <w:ind w:firstLine="640" w:firstLineChars="200"/>
        <w:rPr>
          <w:rFonts w:ascii="Times New Roman" w:hAnsi="Times New Roman" w:eastAsia="仿宋_GB2312"/>
          <w:sz w:val="32"/>
          <w:szCs w:val="32"/>
          <w:lang w:val="zh-CN"/>
        </w:rPr>
      </w:pPr>
      <w:r>
        <w:rPr>
          <w:rFonts w:hint="eastAsia" w:ascii="Times New Roman" w:hAnsi="Times New Roman" w:eastAsia="仿宋_GB2312"/>
          <w:sz w:val="32"/>
          <w:szCs w:val="32"/>
          <w:lang w:val="zh-CN"/>
        </w:rPr>
        <w:t>2.预算管理。（1）预算编制质量。部门年初科学申报预算项目，2023年预算执行偏离度0.0015，该项得分=（1-0.0015）×100%×4+2+2=7.994分。（2）单位收入统筹。市公安局不涉及此项指标，该项得分4分。（3）支出执行进度。2023年1至6月、1至10月，市公安局严格预算执行，所有项目按照时间节点达到相应的序时进度。同时按照市财政要求，开展了全覆盖绩效监控，未存在支出预警项目和违规支出，该项得分=6分。（4）预算年终结余。部门整体预算结余率=0.0056，该项得分=（1-0.0056）×100%×2=1.989分。（5）严控一般性支出。一般性支出预算较上年度实现压减，基础1分，压减超5%，加分1分；一般性支出预算执行较上年实现压减，压减超5%，加2分，该项得分5分。</w:t>
      </w:r>
    </w:p>
    <w:p w14:paraId="232DA279">
      <w:pPr>
        <w:spacing w:line="560" w:lineRule="exact"/>
        <w:ind w:firstLine="640" w:firstLineChars="200"/>
        <w:rPr>
          <w:rFonts w:ascii="Times New Roman" w:hAnsi="Times New Roman" w:eastAsia="仿宋_GB2312"/>
          <w:sz w:val="32"/>
          <w:szCs w:val="32"/>
          <w:lang w:val="zh-CN"/>
        </w:rPr>
      </w:pPr>
      <w:r>
        <w:rPr>
          <w:rFonts w:hint="eastAsia" w:ascii="Times New Roman" w:hAnsi="Times New Roman" w:eastAsia="仿宋_GB2312"/>
          <w:sz w:val="32"/>
          <w:szCs w:val="32"/>
          <w:lang w:val="zh-CN"/>
        </w:rPr>
        <w:t>3.财务管理。（1）财务管理制度。新修订了《广元市公安局机关财务管理办法》，并严格落实到位，该项得分4分。（2）财务岗位设置。严格落实审核、出纳、会计三岗分离，明确相应岗位职责，该项得分2分。（3）资金使用规范。严格按照项目资金使用管理规定，专款专用，无扣分项，该项得分4分。</w:t>
      </w:r>
    </w:p>
    <w:p w14:paraId="020F2473">
      <w:pPr>
        <w:spacing w:line="560" w:lineRule="exact"/>
        <w:ind w:firstLine="640" w:firstLineChars="200"/>
        <w:rPr>
          <w:rFonts w:ascii="Times New Roman" w:hAnsi="Times New Roman" w:eastAsia="仿宋_GB2312"/>
          <w:sz w:val="32"/>
          <w:szCs w:val="32"/>
          <w:lang w:val="zh-CN"/>
        </w:rPr>
      </w:pPr>
      <w:r>
        <w:rPr>
          <w:rFonts w:hint="eastAsia" w:ascii="Times New Roman" w:hAnsi="Times New Roman" w:eastAsia="仿宋_GB2312"/>
          <w:sz w:val="32"/>
          <w:szCs w:val="32"/>
          <w:lang w:val="zh-CN"/>
        </w:rPr>
        <w:t>4.资产管理。（1）人均资产变化率。2023年部门人均资产变化率为6.02%，市直行政事业单位人均资产变化率为3.13%，X＞1.4N，得0.3分；部门人均资产增长率为6.02%，同期市级财政收入增长率为6.9%，0＜X≤N，得0.9分。该项得分1.2分。（2）资产利用率。2023年市公安局部门办公家具超最低使用年限资产利用率为0.15%，市直行政事业单位平均值为16.57%，X≤0.6N，得0.3分；办公设备超最低使用年限资产利用率为71.7%，市直行政事业单位平均值为49.2%，X＞N，得1.5分。该项得分1.8分。（3）资产盘活率。市公安局2022年及2023年无闲置资产，该项得分3分。</w:t>
      </w:r>
    </w:p>
    <w:p w14:paraId="5F06A99E">
      <w:pPr>
        <w:spacing w:line="560" w:lineRule="exact"/>
        <w:ind w:firstLine="640" w:firstLineChars="200"/>
        <w:rPr>
          <w:rFonts w:ascii="Times New Roman" w:hAnsi="Times New Roman" w:eastAsia="仿宋_GB2312"/>
          <w:sz w:val="32"/>
          <w:szCs w:val="32"/>
          <w:lang w:val="zh-CN"/>
        </w:rPr>
      </w:pPr>
      <w:r>
        <w:rPr>
          <w:rFonts w:hint="eastAsia" w:ascii="Times New Roman" w:hAnsi="Times New Roman" w:eastAsia="仿宋_GB2312"/>
          <w:sz w:val="32"/>
          <w:szCs w:val="32"/>
          <w:lang w:val="zh-CN"/>
        </w:rPr>
        <w:t>5.采购管理。（1）支持中小企业发展。在年初预算编制中，部分项目适宜由中小企业提供的采购项目和采购包，预留了采购份额专门面向中小企业采购，并在采购预算中单独列示，该项得分3分。（2）采购执行率。2023年市公安局严格政府采购全流程管理，旨在使用财政资金发挥最大效益，该项得分=1850.1017÷1850.1017×100%×3=3分。</w:t>
      </w:r>
    </w:p>
    <w:p w14:paraId="1ED40427">
      <w:pPr>
        <w:spacing w:line="560" w:lineRule="exact"/>
        <w:ind w:firstLine="643" w:firstLineChars="200"/>
        <w:rPr>
          <w:rFonts w:ascii="Times New Roman" w:hAnsi="Times New Roman" w:eastAsia="仿宋_GB2312"/>
          <w:sz w:val="32"/>
          <w:szCs w:val="32"/>
          <w:lang w:val="zh-CN"/>
        </w:rPr>
      </w:pPr>
      <w:r>
        <w:rPr>
          <w:rFonts w:ascii="Times New Roman" w:hAnsi="Times New Roman" w:eastAsia="楷体_GB2312"/>
          <w:b/>
          <w:bCs/>
          <w:kern w:val="0"/>
          <w:sz w:val="32"/>
          <w:szCs w:val="32"/>
          <w:shd w:val="clear" w:color="auto" w:fill="FFFFFF"/>
          <w:lang w:val="zh-CN"/>
        </w:rPr>
        <w:t>（二）部门预算项目绩效分析。</w:t>
      </w:r>
      <w:r>
        <w:rPr>
          <w:rFonts w:hint="eastAsia" w:ascii="Times New Roman" w:hAnsi="Times New Roman" w:eastAsia="仿宋_GB2312"/>
          <w:sz w:val="32"/>
          <w:szCs w:val="32"/>
          <w:lang w:val="zh-CN"/>
        </w:rPr>
        <w:t>2023年市公安局项目总数共117个，涉及预算总金额34660万元，1-12月预算执行总体进度为93.84%，其中：预算结余率大于10%的项目共计0个。</w:t>
      </w:r>
    </w:p>
    <w:p w14:paraId="13F9C265">
      <w:pPr>
        <w:spacing w:line="560" w:lineRule="exact"/>
        <w:ind w:firstLine="640" w:firstLineChars="200"/>
        <w:rPr>
          <w:rFonts w:ascii="Times New Roman" w:hAnsi="Times New Roman" w:eastAsia="仿宋_GB2312"/>
          <w:sz w:val="32"/>
          <w:szCs w:val="32"/>
          <w:lang w:val="zh-CN"/>
        </w:rPr>
      </w:pPr>
      <w:r>
        <w:rPr>
          <w:rFonts w:hint="eastAsia" w:ascii="Times New Roman" w:hAnsi="Times New Roman" w:eastAsia="仿宋_GB2312"/>
          <w:sz w:val="32"/>
          <w:szCs w:val="32"/>
          <w:lang w:val="zh-CN"/>
        </w:rPr>
        <w:t>1.项目决策。（1）决策程序。市公安局部门所有项目按规定履行评估论证、申报程序，该项得分4分。（2）目标设置。部门预算项目绩效目标与计划期内的任务量、预算安排的资金量匹配，绩效目标设置科学合理、规范完整，该项得分4分。（3）项目入库。部门预算项目均在规定时间完成项目入库，该项得分4分。</w:t>
      </w:r>
    </w:p>
    <w:p w14:paraId="28DF5A58">
      <w:pPr>
        <w:spacing w:line="560" w:lineRule="exact"/>
        <w:ind w:firstLine="640" w:firstLineChars="200"/>
        <w:rPr>
          <w:rFonts w:ascii="Times New Roman" w:hAnsi="Times New Roman" w:eastAsia="仿宋_GB2312"/>
          <w:sz w:val="32"/>
          <w:szCs w:val="32"/>
          <w:lang w:val="zh-CN"/>
        </w:rPr>
      </w:pPr>
      <w:r>
        <w:rPr>
          <w:rFonts w:hint="eastAsia" w:ascii="Times New Roman" w:hAnsi="Times New Roman" w:eastAsia="仿宋_GB2312"/>
          <w:sz w:val="32"/>
          <w:szCs w:val="32"/>
          <w:lang w:val="zh-CN"/>
        </w:rPr>
        <w:t xml:space="preserve">2.项目执行。（1）执行同向。部门预算项目实际列支内容与绩效目标设置方向相符，该项得分4分。（2）项目调整。部门不存在应采取收回预算、调整目标等处置措施的部门预算特定目标类项目，该项得分4分。（3）执行结果。部门不存在预算结余率大于10%的项目，该项指标得分4分。 </w:t>
      </w:r>
    </w:p>
    <w:p w14:paraId="7786BB66">
      <w:pPr>
        <w:adjustRightInd w:val="0"/>
        <w:snapToGrid w:val="0"/>
        <w:spacing w:line="578" w:lineRule="exact"/>
        <w:ind w:firstLine="640" w:firstLineChars="200"/>
        <w:contextualSpacing/>
        <w:jc w:val="left"/>
        <w:rPr>
          <w:rFonts w:ascii="Times New Roman" w:hAnsi="Times New Roman" w:eastAsia="仿宋_GB2312"/>
          <w:sz w:val="32"/>
          <w:szCs w:val="32"/>
          <w:lang w:val="zh-CN"/>
        </w:rPr>
      </w:pPr>
      <w:r>
        <w:rPr>
          <w:rFonts w:hint="eastAsia" w:ascii="Times New Roman" w:hAnsi="Times New Roman" w:eastAsia="仿宋_GB2312"/>
          <w:sz w:val="32"/>
          <w:szCs w:val="32"/>
          <w:lang w:val="zh-CN"/>
        </w:rPr>
        <w:t>3.目标实现。（1）目标完成。部门仅两个项目未完成绩效目标数量指标，其余特定目标类项目均完成目标数量指标，该项得分=76/78×100%×4=3.90分。（2）目标偏离。所有项目完成值与预期数量指标偏离度均未超过30%，该项得分4分。（3）实现效果。部门仅两个项目未完成效益指标，其余特定目标类项目均完成目标数量指标，该项得分=76/78×100%×</w:t>
      </w:r>
      <w:r>
        <w:rPr>
          <w:rFonts w:hint="eastAsia" w:ascii="Times New Roman" w:hAnsi="Times New Roman" w:eastAsia="仿宋_GB2312"/>
          <w:sz w:val="32"/>
          <w:szCs w:val="32"/>
        </w:rPr>
        <w:t>3</w:t>
      </w:r>
      <w:r>
        <w:rPr>
          <w:rFonts w:hint="eastAsia" w:ascii="Times New Roman" w:hAnsi="Times New Roman" w:eastAsia="仿宋_GB2312"/>
          <w:sz w:val="32"/>
          <w:szCs w:val="32"/>
          <w:lang w:val="zh-CN"/>
        </w:rPr>
        <w:t>=</w:t>
      </w:r>
      <w:r>
        <w:rPr>
          <w:rFonts w:hint="eastAsia" w:ascii="Times New Roman" w:hAnsi="Times New Roman" w:eastAsia="仿宋_GB2312"/>
          <w:sz w:val="32"/>
          <w:szCs w:val="32"/>
        </w:rPr>
        <w:t>2</w:t>
      </w:r>
      <w:r>
        <w:rPr>
          <w:rFonts w:hint="eastAsia" w:ascii="Times New Roman" w:hAnsi="Times New Roman" w:eastAsia="仿宋_GB2312"/>
          <w:sz w:val="32"/>
          <w:szCs w:val="32"/>
          <w:lang w:val="zh-CN"/>
        </w:rPr>
        <w:t>.9</w:t>
      </w:r>
      <w:r>
        <w:rPr>
          <w:rFonts w:hint="eastAsia" w:ascii="Times New Roman" w:hAnsi="Times New Roman" w:eastAsia="仿宋_GB2312"/>
          <w:sz w:val="32"/>
          <w:szCs w:val="32"/>
        </w:rPr>
        <w:t>2</w:t>
      </w:r>
      <w:r>
        <w:rPr>
          <w:rFonts w:hint="eastAsia" w:ascii="Times New Roman" w:hAnsi="Times New Roman" w:eastAsia="仿宋_GB2312"/>
          <w:sz w:val="32"/>
          <w:szCs w:val="32"/>
          <w:lang w:val="zh-CN"/>
        </w:rPr>
        <w:t>分。</w:t>
      </w:r>
    </w:p>
    <w:p w14:paraId="41B2EB40">
      <w:pPr>
        <w:adjustRightInd w:val="0"/>
        <w:snapToGrid w:val="0"/>
        <w:spacing w:line="578" w:lineRule="exact"/>
        <w:ind w:firstLine="643" w:firstLineChars="200"/>
        <w:contextualSpacing/>
        <w:jc w:val="left"/>
        <w:rPr>
          <w:rFonts w:ascii="Times New Roman" w:hAnsi="Times New Roman" w:eastAsia="仿宋_GB2312"/>
          <w:sz w:val="32"/>
          <w:szCs w:val="32"/>
          <w:lang w:val="zh-CN"/>
        </w:rPr>
      </w:pPr>
      <w:r>
        <w:rPr>
          <w:rFonts w:ascii="Times New Roman" w:hAnsi="Times New Roman" w:eastAsia="楷体_GB2312"/>
          <w:b/>
          <w:bCs/>
          <w:kern w:val="0"/>
          <w:sz w:val="32"/>
          <w:szCs w:val="32"/>
          <w:shd w:val="clear" w:color="auto" w:fill="FFFFFF"/>
          <w:lang w:val="zh-CN"/>
        </w:rPr>
        <w:t>（</w:t>
      </w:r>
      <w:r>
        <w:rPr>
          <w:rFonts w:hint="eastAsia" w:ascii="Times New Roman" w:hAnsi="Times New Roman" w:eastAsia="楷体_GB2312"/>
          <w:b/>
          <w:bCs/>
          <w:kern w:val="0"/>
          <w:sz w:val="32"/>
          <w:szCs w:val="32"/>
          <w:shd w:val="clear" w:color="auto" w:fill="FFFFFF"/>
          <w:lang w:val="zh-CN"/>
        </w:rPr>
        <w:t>三</w:t>
      </w:r>
      <w:r>
        <w:rPr>
          <w:rFonts w:ascii="Times New Roman" w:hAnsi="Times New Roman" w:eastAsia="楷体_GB2312"/>
          <w:b/>
          <w:bCs/>
          <w:kern w:val="0"/>
          <w:sz w:val="32"/>
          <w:szCs w:val="32"/>
          <w:shd w:val="clear" w:color="auto" w:fill="FFFFFF"/>
          <w:lang w:val="zh-CN"/>
        </w:rPr>
        <w:t>）重点领域绩效分析。</w:t>
      </w:r>
      <w:r>
        <w:rPr>
          <w:rFonts w:hint="eastAsia" w:ascii="Times New Roman" w:hAnsi="Times New Roman" w:eastAsia="仿宋_GB2312"/>
          <w:sz w:val="32"/>
          <w:szCs w:val="32"/>
          <w:lang w:val="zh-CN"/>
        </w:rPr>
        <w:t>2023年市公安局中央和省级转移支付资金绩效自评工作按照《四川省公安厅关于开展2023年度公安转移支付资金绩效自评工作的通知》（川公警保〔2024〕33号）、《广元市财政局关于开展2023年度中央对地方转移支付预算执行情况绩效自评工作的通知》（广财绩〔2024〕2号）要求开展，已按时报送至市人民代表大会常务委员会、省公安厅警务保障部和市财政局，并在市公安局门户网站对绩效自评表进行公开，接受社会大众的监督。</w:t>
      </w:r>
    </w:p>
    <w:p w14:paraId="7BDF5BEE">
      <w:pPr>
        <w:adjustRightInd w:val="0"/>
        <w:snapToGrid w:val="0"/>
        <w:spacing w:line="578" w:lineRule="exact"/>
        <w:ind w:firstLine="643" w:firstLineChars="200"/>
        <w:contextualSpacing/>
        <w:jc w:val="left"/>
        <w:rPr>
          <w:rFonts w:ascii="Times New Roman" w:hAnsi="Times New Roman" w:eastAsia="仿宋_GB2312"/>
          <w:sz w:val="32"/>
          <w:szCs w:val="32"/>
          <w:lang w:val="zh-CN"/>
        </w:rPr>
      </w:pPr>
      <w:r>
        <w:rPr>
          <w:rFonts w:ascii="Times New Roman" w:hAnsi="Times New Roman" w:eastAsia="楷体_GB2312"/>
          <w:b/>
          <w:bCs/>
          <w:kern w:val="0"/>
          <w:sz w:val="32"/>
          <w:szCs w:val="32"/>
          <w:shd w:val="clear" w:color="auto" w:fill="FFFFFF"/>
          <w:lang w:val="zh-CN"/>
        </w:rPr>
        <w:t>（四）绩效结果应用情况</w:t>
      </w:r>
      <w:r>
        <w:rPr>
          <w:rFonts w:hint="eastAsia" w:ascii="Times New Roman" w:hAnsi="Times New Roman" w:eastAsia="楷体_GB2312"/>
          <w:b/>
          <w:bCs/>
          <w:kern w:val="0"/>
          <w:sz w:val="32"/>
          <w:szCs w:val="32"/>
          <w:shd w:val="clear" w:color="auto" w:fill="FFFFFF"/>
          <w:lang w:val="zh-CN"/>
        </w:rPr>
        <w:t>。</w:t>
      </w:r>
      <w:r>
        <w:rPr>
          <w:rFonts w:hint="eastAsia" w:ascii="Times New Roman" w:hAnsi="Times New Roman" w:eastAsia="仿宋_GB2312"/>
          <w:sz w:val="32"/>
          <w:szCs w:val="32"/>
          <w:lang w:val="zh-CN"/>
        </w:rPr>
        <w:t>出台了《广元市公安局预算绩效管理办法（试行）》，对预算绩效的事前审批、目标设置、事中监控、事后评价和结果运用等环节作出了详实规定。对预算资金执行进度慢、不按规定开展事前评估、不按时报送预算绩效和采取弄虚作假方式开展绩效评价的单位，及时发出提醒督促通知书和整改通知书、对项目主要负责人进行定期约谈，并扣减部门目标绩效考核的相应分值，多措并举，不断强化绩效理念，推动预算绩效管理水平不断提升，切实将有限的资金用在刀刃上、用在紧要处。同时，按照要求及时在电子政务网和广元市公安局门户网站上对预算绩效进行公开。</w:t>
      </w:r>
    </w:p>
    <w:p w14:paraId="0E2E4F72">
      <w:pPr>
        <w:adjustRightInd w:val="0"/>
        <w:snapToGrid w:val="0"/>
        <w:spacing w:line="580" w:lineRule="exact"/>
        <w:ind w:firstLine="720"/>
        <w:outlineLvl w:val="1"/>
        <w:rPr>
          <w:rFonts w:ascii="黑体" w:hAnsi="黑体" w:eastAsia="黑体" w:cs="黑体"/>
          <w:bCs/>
          <w:sz w:val="32"/>
          <w:szCs w:val="32"/>
        </w:rPr>
      </w:pPr>
      <w:bookmarkStart w:id="83" w:name="_Toc4092"/>
      <w:r>
        <w:rPr>
          <w:rFonts w:ascii="黑体" w:hAnsi="黑体" w:eastAsia="黑体" w:cs="黑体"/>
          <w:bCs/>
          <w:sz w:val="32"/>
          <w:szCs w:val="32"/>
        </w:rPr>
        <w:t>四、评价结论及建议</w:t>
      </w:r>
      <w:bookmarkEnd w:id="83"/>
    </w:p>
    <w:p w14:paraId="7329A738">
      <w:pPr>
        <w:widowControl/>
        <w:adjustRightInd w:val="0"/>
        <w:snapToGrid w:val="0"/>
        <w:spacing w:line="578" w:lineRule="exact"/>
        <w:ind w:firstLine="643" w:firstLineChars="200"/>
        <w:contextualSpacing/>
        <w:jc w:val="left"/>
        <w:rPr>
          <w:rFonts w:ascii="Times New Roman" w:hAnsi="Times New Roman" w:eastAsia="仿宋_GB2312"/>
          <w:sz w:val="32"/>
          <w:szCs w:val="32"/>
        </w:rPr>
      </w:pPr>
      <w:r>
        <w:rPr>
          <w:rFonts w:ascii="Times New Roman" w:hAnsi="Times New Roman" w:eastAsia="楷体_GB2312"/>
          <w:b/>
          <w:bCs/>
          <w:kern w:val="0"/>
          <w:sz w:val="32"/>
          <w:szCs w:val="32"/>
          <w:shd w:val="clear" w:color="auto" w:fill="FFFFFF"/>
          <w:lang w:val="zh-CN"/>
        </w:rPr>
        <w:t>（一）评价结论。</w:t>
      </w:r>
    </w:p>
    <w:p w14:paraId="7BBD10C4">
      <w:pPr>
        <w:spacing w:line="560" w:lineRule="exact"/>
        <w:ind w:firstLine="640" w:firstLineChars="200"/>
        <w:rPr>
          <w:rFonts w:ascii="Times New Roman" w:hAnsi="Times New Roman" w:eastAsia="仿宋_GB2312"/>
          <w:sz w:val="32"/>
          <w:szCs w:val="32"/>
          <w:lang w:val="zh-CN"/>
        </w:rPr>
      </w:pPr>
      <w:r>
        <w:rPr>
          <w:rFonts w:hint="eastAsia" w:ascii="Times New Roman" w:hAnsi="Times New Roman" w:eastAsia="仿宋_GB2312"/>
          <w:sz w:val="32"/>
          <w:szCs w:val="32"/>
          <w:lang w:val="zh-CN"/>
        </w:rPr>
        <w:t>经自评，2023年度市公安局整体支出情况良好，有效保证了市级公安机关的高效运转，各项公安业务和重点工作取得了长足发展，切实维护了全市社会治安和谐稳定，连续10年“群众安全感满意度”全省领先，连续8年入选“全国最安全城市”，营商环境名列全省前列。经自评，市公安局部门整体支出自评得9</w:t>
      </w:r>
      <w:r>
        <w:rPr>
          <w:rFonts w:hint="eastAsia" w:ascii="Times New Roman" w:hAnsi="Times New Roman" w:eastAsia="仿宋_GB2312"/>
          <w:sz w:val="32"/>
          <w:szCs w:val="32"/>
        </w:rPr>
        <w:t>6.803</w:t>
      </w:r>
      <w:r>
        <w:rPr>
          <w:rFonts w:hint="eastAsia" w:ascii="Times New Roman" w:hAnsi="Times New Roman" w:eastAsia="仿宋_GB2312"/>
          <w:sz w:val="32"/>
          <w:szCs w:val="32"/>
          <w:lang w:val="zh-CN"/>
        </w:rPr>
        <w:t>分。</w:t>
      </w:r>
    </w:p>
    <w:p w14:paraId="4B020972">
      <w:pPr>
        <w:spacing w:line="560" w:lineRule="exact"/>
        <w:ind w:firstLine="643" w:firstLineChars="200"/>
        <w:rPr>
          <w:rFonts w:ascii="Times New Roman" w:hAnsi="Times New Roman" w:eastAsia="仿宋_GB2312"/>
          <w:sz w:val="32"/>
          <w:szCs w:val="32"/>
          <w:lang w:val="zh-CN"/>
        </w:rPr>
      </w:pPr>
      <w:r>
        <w:rPr>
          <w:rFonts w:hint="eastAsia" w:ascii="Times New Roman" w:hAnsi="Times New Roman" w:eastAsia="楷体_GB2312"/>
          <w:b/>
          <w:bCs/>
          <w:kern w:val="0"/>
          <w:sz w:val="32"/>
          <w:szCs w:val="32"/>
          <w:shd w:val="clear" w:color="auto" w:fill="FFFFFF"/>
          <w:lang w:val="zh-CN"/>
        </w:rPr>
        <w:t>（二）存在问题。</w:t>
      </w:r>
      <w:r>
        <w:rPr>
          <w:rFonts w:hint="eastAsia" w:ascii="Times New Roman" w:hAnsi="Times New Roman" w:eastAsia="仿宋_GB2312"/>
          <w:sz w:val="32"/>
          <w:szCs w:val="32"/>
          <w:lang w:val="zh-CN"/>
        </w:rPr>
        <w:t>经自评，市公安局还存在编制绩效目标贴合度不高的现象。</w:t>
      </w:r>
    </w:p>
    <w:p w14:paraId="59B31074">
      <w:pPr>
        <w:spacing w:line="560" w:lineRule="exact"/>
        <w:ind w:firstLine="643" w:firstLineChars="200"/>
        <w:rPr>
          <w:rFonts w:ascii="Times New Roman" w:hAnsi="Times New Roman" w:eastAsia="仿宋_GB2312"/>
          <w:sz w:val="32"/>
          <w:szCs w:val="32"/>
          <w:lang w:val="zh-CN"/>
        </w:rPr>
      </w:pPr>
      <w:r>
        <w:rPr>
          <w:rFonts w:hint="eastAsia" w:ascii="Times New Roman" w:hAnsi="Times New Roman" w:eastAsia="楷体_GB2312"/>
          <w:b/>
          <w:bCs/>
          <w:kern w:val="0"/>
          <w:sz w:val="32"/>
          <w:szCs w:val="32"/>
          <w:shd w:val="clear" w:color="auto" w:fill="FFFFFF"/>
          <w:lang w:val="zh-CN"/>
        </w:rPr>
        <w:t>（三）改进建议。</w:t>
      </w:r>
      <w:r>
        <w:rPr>
          <w:rFonts w:hint="eastAsia" w:ascii="Times New Roman" w:hAnsi="Times New Roman" w:eastAsia="仿宋_GB2312"/>
          <w:sz w:val="32"/>
          <w:szCs w:val="32"/>
          <w:lang w:val="zh-CN"/>
        </w:rPr>
        <w:t>进一步加强预算绩效业务培训，加大预算绩效知识宣传，密切监控预算执行，逗硬预算绩效考核，扎实提高预算绩效管理的能力和水平。</w:t>
      </w:r>
    </w:p>
    <w:p w14:paraId="44F5D181">
      <w:pPr>
        <w:pStyle w:val="7"/>
        <w:spacing w:line="560" w:lineRule="exact"/>
        <w:ind w:leftChars="0" w:firstLine="640"/>
        <w:rPr>
          <w:rFonts w:hAnsi="仿宋_GB2312" w:eastAsia="仿宋_GB2312" w:cs="仿宋_GB2312"/>
          <w:sz w:val="32"/>
          <w:highlight w:val="none"/>
          <w:lang w:val="zh-CN"/>
        </w:rPr>
      </w:pPr>
      <w:r>
        <w:rPr>
          <w:rFonts w:hint="eastAsia" w:hAnsi="仿宋_GB2312" w:eastAsia="仿宋_GB2312" w:cs="仿宋_GB2312"/>
          <w:sz w:val="32"/>
          <w:highlight w:val="none"/>
          <w:lang w:val="zh-CN"/>
        </w:rPr>
        <w:t>附表：</w:t>
      </w:r>
      <w:r>
        <w:rPr>
          <w:rFonts w:hint="eastAsia" w:hAnsi="仿宋_GB2312" w:eastAsia="仿宋_GB2312" w:cs="仿宋_GB2312"/>
          <w:sz w:val="32"/>
          <w:highlight w:val="none"/>
        </w:rPr>
        <w:t>部门预算项目支出绩效自评表（2023年度）</w:t>
      </w:r>
    </w:p>
    <w:p w14:paraId="6F10DA1B">
      <w:pPr>
        <w:pStyle w:val="5"/>
        <w:rPr>
          <w:rFonts w:hint="default" w:hAnsi="宋体" w:eastAsia="宋体" w:cs="宋体"/>
          <w:color w:val="FF0000"/>
          <w:kern w:val="0"/>
          <w:sz w:val="32"/>
          <w:szCs w:val="32"/>
          <w:highlight w:val="none"/>
          <w:shd w:val="clear" w:color="auto" w:fill="FFFFFF"/>
          <w:lang w:val="en-US" w:eastAsia="zh-CN"/>
        </w:rPr>
      </w:pPr>
      <w:r>
        <w:rPr>
          <w:rFonts w:hint="eastAsia" w:hAnsi="宋体" w:cs="宋体"/>
          <w:color w:val="FF0000"/>
          <w:kern w:val="0"/>
          <w:sz w:val="32"/>
          <w:szCs w:val="32"/>
          <w:highlight w:val="none"/>
          <w:shd w:val="clear" w:color="auto" w:fill="FFFFFF"/>
          <w:lang w:val="en-US" w:eastAsia="zh-CN"/>
        </w:rPr>
        <w:t xml:space="preserve">    </w:t>
      </w:r>
      <w:r>
        <w:rPr>
          <w:rFonts w:hint="eastAsia" w:ascii="Times New Roman" w:hAnsi="Times New Roman" w:eastAsia="仿宋_GB2312" w:cs="Times New Roman"/>
          <w:kern w:val="2"/>
          <w:sz w:val="32"/>
          <w:szCs w:val="32"/>
          <w:lang w:val="en-US" w:eastAsia="zh-CN" w:bidi="ar-SA"/>
        </w:rPr>
        <w:t xml:space="preserve">   具体内容见附表</w:t>
      </w:r>
    </w:p>
    <w:p w14:paraId="1460523E">
      <w:pPr>
        <w:rPr>
          <w:rFonts w:ascii="黑体" w:hAnsi="黑体" w:eastAsia="黑体" w:cs="黑体"/>
          <w:color w:val="FF0000"/>
          <w:kern w:val="0"/>
          <w:sz w:val="32"/>
          <w:szCs w:val="32"/>
          <w:shd w:val="clear" w:color="auto" w:fill="FFFFFF"/>
          <w:lang w:val="zh-CN"/>
        </w:rPr>
      </w:pPr>
      <w:r>
        <w:rPr>
          <w:rFonts w:hint="eastAsia" w:ascii="黑体" w:hAnsi="黑体" w:eastAsia="黑体" w:cs="黑体"/>
          <w:color w:val="FF0000"/>
          <w:kern w:val="0"/>
          <w:sz w:val="32"/>
          <w:szCs w:val="32"/>
          <w:shd w:val="clear" w:color="auto" w:fill="FFFFFF"/>
          <w:lang w:val="zh-CN"/>
        </w:rPr>
        <w:br w:type="page"/>
      </w:r>
    </w:p>
    <w:p w14:paraId="05CF53A4">
      <w:pPr>
        <w:pStyle w:val="5"/>
        <w:outlineLvl w:val="1"/>
        <w:rPr>
          <w:rFonts w:ascii="黑体" w:hAnsi="黑体" w:eastAsia="黑体" w:cs="黑体"/>
          <w:kern w:val="0"/>
          <w:sz w:val="32"/>
          <w:szCs w:val="32"/>
          <w:shd w:val="clear" w:color="auto" w:fill="FFFFFF"/>
        </w:rPr>
      </w:pPr>
      <w:bookmarkStart w:id="84" w:name="_Toc2506"/>
      <w:r>
        <w:rPr>
          <w:rFonts w:hint="eastAsia" w:ascii="黑体" w:hAnsi="黑体" w:eastAsia="黑体" w:cs="黑体"/>
          <w:kern w:val="0"/>
          <w:sz w:val="32"/>
          <w:szCs w:val="32"/>
          <w:shd w:val="clear" w:color="auto" w:fill="FFFFFF"/>
          <w:lang w:val="zh-CN"/>
        </w:rPr>
        <w:t>附件</w:t>
      </w:r>
      <w:r>
        <w:rPr>
          <w:rFonts w:hint="eastAsia" w:ascii="黑体" w:hAnsi="黑体" w:eastAsia="黑体" w:cs="黑体"/>
          <w:kern w:val="0"/>
          <w:sz w:val="32"/>
          <w:szCs w:val="32"/>
          <w:shd w:val="clear" w:color="auto" w:fill="FFFFFF"/>
        </w:rPr>
        <w:t>2</w:t>
      </w:r>
      <w:bookmarkEnd w:id="84"/>
    </w:p>
    <w:p w14:paraId="7627A61A">
      <w:pPr>
        <w:pStyle w:val="28"/>
        <w:spacing w:line="578" w:lineRule="exact"/>
        <w:ind w:firstLine="440" w:firstLineChars="100"/>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广元市公安局</w:t>
      </w:r>
    </w:p>
    <w:p w14:paraId="0788F843">
      <w:pPr>
        <w:pStyle w:val="28"/>
        <w:spacing w:line="578" w:lineRule="exact"/>
        <w:ind w:firstLine="440" w:firstLineChars="100"/>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2023年铁路护路经费绩效评价报告</w:t>
      </w:r>
    </w:p>
    <w:p w14:paraId="0AF4D44F">
      <w:pPr>
        <w:pStyle w:val="28"/>
        <w:spacing w:line="578" w:lineRule="exact"/>
        <w:ind w:firstLine="640"/>
        <w:rPr>
          <w:rFonts w:ascii="宋体" w:hAnsi="宋体"/>
          <w:color w:val="auto"/>
          <w:kern w:val="2"/>
          <w:sz w:val="32"/>
          <w:szCs w:val="32"/>
        </w:rPr>
      </w:pPr>
    </w:p>
    <w:p w14:paraId="7E2BC6AB">
      <w:pPr>
        <w:adjustRightInd w:val="0"/>
        <w:snapToGrid w:val="0"/>
        <w:spacing w:line="580" w:lineRule="exact"/>
        <w:ind w:firstLine="720"/>
        <w:outlineLvl w:val="1"/>
        <w:rPr>
          <w:rFonts w:ascii="黑体" w:hAnsi="黑体" w:eastAsia="黑体" w:cs="黑体"/>
          <w:bCs/>
          <w:sz w:val="32"/>
          <w:szCs w:val="32"/>
        </w:rPr>
      </w:pPr>
      <w:bookmarkStart w:id="85" w:name="_Toc12111"/>
      <w:r>
        <w:rPr>
          <w:rFonts w:hint="eastAsia" w:ascii="黑体" w:hAnsi="黑体" w:eastAsia="黑体" w:cs="黑体"/>
          <w:bCs/>
          <w:sz w:val="32"/>
          <w:szCs w:val="32"/>
        </w:rPr>
        <w:t>一、项目概况</w:t>
      </w:r>
      <w:bookmarkEnd w:id="85"/>
    </w:p>
    <w:p w14:paraId="6D31FE38">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hint="eastAsia" w:ascii="Times New Roman" w:hAnsi="Times New Roman" w:eastAsia="楷体_GB2312"/>
          <w:b/>
          <w:bCs/>
          <w:kern w:val="0"/>
          <w:sz w:val="32"/>
          <w:szCs w:val="32"/>
          <w:shd w:val="clear" w:color="auto" w:fill="FFFFFF"/>
          <w:lang w:val="zh-CN"/>
        </w:rPr>
        <w:t>（一）设立背景及基本情况。</w:t>
      </w:r>
    </w:p>
    <w:p w14:paraId="3678E56A">
      <w:pPr>
        <w:spacing w:line="600" w:lineRule="exact"/>
        <w:ind w:firstLine="640" w:firstLineChars="200"/>
        <w:rPr>
          <w:rFonts w:ascii="仿宋_GB2312" w:hAnsi="仿宋_GB2312" w:eastAsia="仿宋_GB2312" w:cs="仿宋_GB2312"/>
          <w:kern w:val="0"/>
          <w:sz w:val="32"/>
          <w:szCs w:val="32"/>
          <w:lang w:val="zh-CN"/>
        </w:rPr>
      </w:pPr>
      <w:r>
        <w:rPr>
          <w:rFonts w:hint="eastAsia" w:ascii="仿宋_GB2312" w:hAnsi="仿宋_GB2312" w:eastAsia="仿宋_GB2312" w:cs="仿宋_GB2312"/>
          <w:kern w:val="0"/>
          <w:sz w:val="32"/>
          <w:szCs w:val="32"/>
          <w:lang w:val="zh-CN"/>
        </w:rPr>
        <w:t>1.立项依据</w:t>
      </w:r>
    </w:p>
    <w:p w14:paraId="490D02BC">
      <w:pPr>
        <w:spacing w:line="600" w:lineRule="exact"/>
        <w:ind w:firstLine="640" w:firstLineChars="200"/>
        <w:rPr>
          <w:rFonts w:ascii="仿宋_GB2312" w:hAnsi="仿宋_GB2312" w:eastAsia="仿宋_GB2312" w:cs="仿宋_GB2312"/>
          <w:kern w:val="0"/>
          <w:sz w:val="32"/>
          <w:szCs w:val="32"/>
          <w:lang w:val="zh-CN"/>
        </w:rPr>
      </w:pPr>
      <w:r>
        <w:rPr>
          <w:rFonts w:hint="eastAsia" w:ascii="仿宋_GB2312" w:hAnsi="仿宋_GB2312" w:eastAsia="仿宋_GB2312" w:cs="仿宋_GB2312"/>
          <w:kern w:val="0"/>
          <w:sz w:val="32"/>
          <w:szCs w:val="32"/>
          <w:lang w:val="zh-CN"/>
        </w:rPr>
        <w:t>2015年9月，《财政部国家发展改革委关于取消和暂停征收一批行政事业性收费有关问题的通知》（财税〔2015〕102号）取消了铁路运输物资安全管理费收费项目。为保障铁路大动脉安全畅通，中央综治办联合财政部、中央综治委铁路护路联防工作领导小组、中国铁路总公司下发了《关于进一步加强铁路护路联防工作保障的通知》（中综办〔2015〕31号），明确各省（区、市）财政部门要切实落实主体责任，将铁路护路联防工作经费纳入省级财政预算。2023年，根据《铁路法》、《铁路安全管理条例》（国务院令第639号）和《关于进一步加强铁路护路联防工作保障的通知》（中综办〔2015〕31号）等法律法规和政策文件，申报2023年铁路护路经费77万元。</w:t>
      </w:r>
    </w:p>
    <w:p w14:paraId="6EA95FC1">
      <w:pPr>
        <w:spacing w:line="600" w:lineRule="exact"/>
        <w:ind w:firstLine="640" w:firstLineChars="200"/>
        <w:rPr>
          <w:rFonts w:ascii="仿宋_GB2312" w:hAnsi="仿宋_GB2312" w:eastAsia="仿宋_GB2312" w:cs="仿宋_GB2312"/>
          <w:kern w:val="0"/>
          <w:sz w:val="32"/>
          <w:szCs w:val="32"/>
          <w:lang w:val="zh-CN"/>
        </w:rPr>
      </w:pPr>
      <w:r>
        <w:rPr>
          <w:rFonts w:hint="eastAsia" w:ascii="仿宋_GB2312" w:hAnsi="仿宋_GB2312" w:eastAsia="仿宋_GB2312" w:cs="仿宋_GB2312"/>
          <w:kern w:val="0"/>
          <w:sz w:val="32"/>
          <w:szCs w:val="32"/>
          <w:lang w:val="zh-CN"/>
        </w:rPr>
        <w:t>2.项目主要内容</w:t>
      </w:r>
    </w:p>
    <w:p w14:paraId="2BC001A1">
      <w:pPr>
        <w:spacing w:line="600" w:lineRule="exact"/>
        <w:ind w:firstLine="640" w:firstLineChars="200"/>
        <w:rPr>
          <w:rFonts w:ascii="仿宋_GB2312" w:hAnsi="仿宋_GB2312" w:eastAsia="仿宋_GB2312" w:cs="仿宋_GB2312"/>
          <w:kern w:val="0"/>
          <w:sz w:val="32"/>
          <w:szCs w:val="32"/>
          <w:lang w:val="zh-CN"/>
        </w:rPr>
      </w:pPr>
      <w:r>
        <w:rPr>
          <w:rFonts w:hint="eastAsia" w:ascii="仿宋_GB2312" w:hAnsi="仿宋_GB2312" w:eastAsia="仿宋_GB2312" w:cs="仿宋_GB2312"/>
          <w:kern w:val="0"/>
          <w:sz w:val="32"/>
          <w:szCs w:val="32"/>
          <w:lang w:val="zh-CN"/>
        </w:rPr>
        <w:t>（1）公用经费21万元，用于市护路办开展铁路护路联防工作所产生的日常公务支出和全市174名铁路护路队员购买保险；</w:t>
      </w:r>
    </w:p>
    <w:p w14:paraId="2BB39CBC">
      <w:pPr>
        <w:spacing w:line="600" w:lineRule="exact"/>
        <w:ind w:firstLine="640" w:firstLineChars="200"/>
        <w:rPr>
          <w:rFonts w:ascii="仿宋_GB2312" w:hAnsi="仿宋_GB2312" w:eastAsia="仿宋_GB2312" w:cs="仿宋_GB2312"/>
          <w:kern w:val="0"/>
          <w:sz w:val="32"/>
          <w:szCs w:val="32"/>
          <w:lang w:val="zh-CN"/>
        </w:rPr>
      </w:pPr>
      <w:r>
        <w:rPr>
          <w:rFonts w:hint="eastAsia" w:ascii="仿宋_GB2312" w:hAnsi="仿宋_GB2312" w:eastAsia="仿宋_GB2312" w:cs="仿宋_GB2312"/>
          <w:kern w:val="0"/>
          <w:sz w:val="32"/>
          <w:szCs w:val="32"/>
          <w:lang w:val="zh-CN"/>
        </w:rPr>
        <w:t>（2）重点整治费、信息化建设35万元，用于市（州）、县（市、区）护路办开展铁路沿线治安专项整治工作和《铁路护路联防信息管理系统》运维费用。</w:t>
      </w:r>
    </w:p>
    <w:p w14:paraId="70AAF37C">
      <w:pPr>
        <w:spacing w:line="600" w:lineRule="exact"/>
        <w:ind w:firstLine="640" w:firstLineChars="200"/>
        <w:rPr>
          <w:rFonts w:ascii="仿宋_GB2312" w:hAnsi="仿宋_GB2312" w:eastAsia="仿宋_GB2312" w:cs="仿宋_GB2312"/>
          <w:kern w:val="0"/>
          <w:sz w:val="32"/>
          <w:szCs w:val="32"/>
          <w:lang w:val="zh-CN"/>
        </w:rPr>
      </w:pPr>
      <w:r>
        <w:rPr>
          <w:rFonts w:hint="eastAsia" w:ascii="仿宋_GB2312" w:hAnsi="仿宋_GB2312" w:eastAsia="仿宋_GB2312" w:cs="仿宋_GB2312"/>
          <w:kern w:val="0"/>
          <w:sz w:val="32"/>
          <w:szCs w:val="32"/>
          <w:lang w:val="zh-CN"/>
        </w:rPr>
        <w:t>（3）绩效考核经费21万元。</w:t>
      </w:r>
    </w:p>
    <w:p w14:paraId="61475ABA">
      <w:pPr>
        <w:spacing w:line="600" w:lineRule="exact"/>
        <w:ind w:firstLine="640" w:firstLineChars="200"/>
        <w:rPr>
          <w:rFonts w:ascii="仿宋_GB2312" w:hAnsi="仿宋_GB2312" w:eastAsia="仿宋_GB2312" w:cs="仿宋_GB2312"/>
          <w:kern w:val="0"/>
          <w:sz w:val="32"/>
          <w:szCs w:val="32"/>
          <w:lang w:val="zh-CN"/>
        </w:rPr>
      </w:pPr>
      <w:r>
        <w:rPr>
          <w:rFonts w:hint="eastAsia" w:ascii="仿宋_GB2312" w:hAnsi="仿宋_GB2312" w:eastAsia="仿宋_GB2312" w:cs="仿宋_GB2312"/>
          <w:kern w:val="0"/>
          <w:sz w:val="32"/>
          <w:szCs w:val="32"/>
          <w:lang w:val="zh-CN"/>
        </w:rPr>
        <w:t>3.主管部门职能</w:t>
      </w:r>
    </w:p>
    <w:p w14:paraId="0C579DB7">
      <w:pPr>
        <w:widowControl/>
        <w:adjustRightInd w:val="0"/>
        <w:snapToGrid w:val="0"/>
        <w:spacing w:line="600" w:lineRule="exact"/>
        <w:ind w:firstLine="640" w:firstLineChars="200"/>
        <w:jc w:val="left"/>
        <w:rPr>
          <w:rFonts w:ascii="仿宋_GB2312" w:hAnsi="仿宋_GB2312" w:eastAsia="仿宋_GB2312" w:cs="仿宋_GB2312"/>
          <w:kern w:val="0"/>
          <w:sz w:val="32"/>
          <w:szCs w:val="32"/>
          <w:lang w:val="zh-CN"/>
        </w:rPr>
      </w:pPr>
      <w:r>
        <w:rPr>
          <w:rFonts w:hint="eastAsia" w:ascii="仿宋_GB2312" w:hAnsi="仿宋_GB2312" w:eastAsia="仿宋_GB2312" w:cs="仿宋_GB2312"/>
          <w:kern w:val="0"/>
          <w:sz w:val="32"/>
          <w:szCs w:val="32"/>
          <w:lang w:val="zh-CN"/>
        </w:rPr>
        <w:t>根据平安广元组〔2021〕7号规定，平安广元铁路护路联防组办公室主要负责铁路护路联防组日常工作，组织实施本辖内铁路护路联防工作，制定完善相关工作机制，定期开展绩效考核，组织开展队伍业务培训，协调解决重点难点问题，圆满完成铁路护路联防目标任务工作。</w:t>
      </w:r>
    </w:p>
    <w:p w14:paraId="110426A5">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hint="eastAsia" w:ascii="Times New Roman" w:hAnsi="Times New Roman" w:eastAsia="楷体_GB2312"/>
          <w:b/>
          <w:bCs/>
          <w:kern w:val="0"/>
          <w:sz w:val="32"/>
          <w:szCs w:val="32"/>
          <w:shd w:val="clear" w:color="auto" w:fill="FFFFFF"/>
          <w:lang w:val="zh-CN"/>
        </w:rPr>
        <w:t>（二）</w:t>
      </w:r>
      <w:r>
        <w:rPr>
          <w:rFonts w:ascii="Times New Roman" w:hAnsi="Times New Roman" w:eastAsia="楷体_GB2312"/>
          <w:b/>
          <w:bCs/>
          <w:kern w:val="0"/>
          <w:sz w:val="32"/>
          <w:szCs w:val="32"/>
          <w:shd w:val="clear" w:color="auto" w:fill="FFFFFF"/>
          <w:lang w:val="zh-CN"/>
        </w:rPr>
        <w:t>实施目的及支持方向</w:t>
      </w:r>
      <w:r>
        <w:rPr>
          <w:rFonts w:hint="eastAsia" w:ascii="Times New Roman" w:hAnsi="Times New Roman" w:eastAsia="楷体_GB2312"/>
          <w:b/>
          <w:bCs/>
          <w:kern w:val="0"/>
          <w:sz w:val="32"/>
          <w:szCs w:val="32"/>
          <w:shd w:val="clear" w:color="auto" w:fill="FFFFFF"/>
          <w:lang w:val="zh-CN"/>
        </w:rPr>
        <w:t>。</w:t>
      </w:r>
    </w:p>
    <w:p w14:paraId="3DD4F7E0">
      <w:pPr>
        <w:spacing w:line="600" w:lineRule="exact"/>
        <w:ind w:firstLine="640" w:firstLineChars="200"/>
        <w:rPr>
          <w:rFonts w:ascii="仿宋_GB2312" w:hAnsi="仿宋_GB2312" w:eastAsia="仿宋_GB2312" w:cs="仿宋_GB2312"/>
          <w:kern w:val="0"/>
          <w:sz w:val="32"/>
          <w:szCs w:val="32"/>
          <w:lang w:val="zh-CN"/>
        </w:rPr>
      </w:pPr>
      <w:r>
        <w:rPr>
          <w:rFonts w:hint="eastAsia" w:ascii="仿宋_GB2312" w:hAnsi="仿宋_GB2312" w:eastAsia="仿宋_GB2312" w:cs="仿宋_GB2312"/>
          <w:kern w:val="0"/>
          <w:sz w:val="32"/>
          <w:szCs w:val="32"/>
          <w:lang w:val="zh-CN"/>
        </w:rPr>
        <w:t>1.资金管理</w:t>
      </w:r>
    </w:p>
    <w:p w14:paraId="4D190938">
      <w:pPr>
        <w:spacing w:line="600" w:lineRule="exact"/>
        <w:ind w:firstLine="640" w:firstLineChars="200"/>
        <w:rPr>
          <w:rFonts w:ascii="仿宋_GB2312" w:hAnsi="仿宋_GB2312" w:eastAsia="仿宋_GB2312" w:cs="仿宋_GB2312"/>
          <w:kern w:val="0"/>
          <w:sz w:val="32"/>
          <w:szCs w:val="32"/>
          <w:lang w:val="zh-CN"/>
        </w:rPr>
      </w:pPr>
      <w:r>
        <w:rPr>
          <w:rFonts w:hint="eastAsia" w:ascii="仿宋_GB2312" w:hAnsi="仿宋_GB2312" w:eastAsia="仿宋_GB2312" w:cs="仿宋_GB2312"/>
          <w:kern w:val="0"/>
          <w:sz w:val="32"/>
          <w:szCs w:val="32"/>
          <w:lang w:val="zh-CN"/>
        </w:rPr>
        <w:t>（1）资金管理办法</w:t>
      </w:r>
    </w:p>
    <w:p w14:paraId="69473DCE">
      <w:pPr>
        <w:spacing w:line="600" w:lineRule="exact"/>
        <w:ind w:firstLine="640" w:firstLineChars="200"/>
        <w:rPr>
          <w:rFonts w:ascii="仿宋_GB2312" w:hAnsi="仿宋_GB2312" w:eastAsia="仿宋_GB2312" w:cs="仿宋_GB2312"/>
          <w:kern w:val="0"/>
          <w:sz w:val="32"/>
          <w:szCs w:val="32"/>
          <w:lang w:val="zh-CN"/>
        </w:rPr>
      </w:pPr>
      <w:r>
        <w:rPr>
          <w:rFonts w:hint="eastAsia" w:ascii="仿宋_GB2312" w:hAnsi="仿宋_GB2312" w:eastAsia="仿宋_GB2312" w:cs="仿宋_GB2312"/>
          <w:kern w:val="0"/>
          <w:sz w:val="32"/>
          <w:szCs w:val="32"/>
          <w:lang w:val="zh-CN"/>
        </w:rPr>
        <w:t>2023年度，项目资金管理按照《四川省财政厅四川省公安厅关于印发〈四川省省级铁路护路联防专项资金管理办法〉的通知》（川财行〔2021〕120号）文件执行。</w:t>
      </w:r>
    </w:p>
    <w:p w14:paraId="4D0E6AD8">
      <w:pPr>
        <w:spacing w:line="600" w:lineRule="exact"/>
        <w:ind w:firstLine="640" w:firstLineChars="200"/>
        <w:rPr>
          <w:rFonts w:ascii="仿宋_GB2312" w:hAnsi="仿宋_GB2312" w:eastAsia="仿宋_GB2312" w:cs="仿宋_GB2312"/>
          <w:kern w:val="0"/>
          <w:sz w:val="32"/>
          <w:szCs w:val="32"/>
          <w:lang w:val="zh-CN"/>
        </w:rPr>
      </w:pPr>
      <w:r>
        <w:rPr>
          <w:rFonts w:hint="eastAsia" w:ascii="仿宋_GB2312" w:hAnsi="仿宋_GB2312" w:eastAsia="仿宋_GB2312" w:cs="仿宋_GB2312"/>
          <w:kern w:val="0"/>
          <w:sz w:val="32"/>
          <w:szCs w:val="32"/>
          <w:lang w:val="zh-CN"/>
        </w:rPr>
        <w:t>（2）资金使用范围</w:t>
      </w:r>
    </w:p>
    <w:p w14:paraId="0BE77944">
      <w:pPr>
        <w:spacing w:line="600" w:lineRule="exact"/>
        <w:ind w:firstLine="640" w:firstLineChars="200"/>
        <w:rPr>
          <w:rFonts w:ascii="仿宋_GB2312" w:hAnsi="仿宋_GB2312" w:eastAsia="仿宋_GB2312" w:cs="仿宋_GB2312"/>
          <w:kern w:val="0"/>
          <w:sz w:val="32"/>
          <w:szCs w:val="32"/>
          <w:lang w:val="zh-CN"/>
        </w:rPr>
      </w:pPr>
      <w:r>
        <w:rPr>
          <w:rFonts w:hint="eastAsia" w:ascii="仿宋_GB2312" w:hAnsi="仿宋_GB2312" w:eastAsia="仿宋_GB2312" w:cs="仿宋_GB2312"/>
          <w:kern w:val="0"/>
          <w:sz w:val="32"/>
          <w:szCs w:val="32"/>
          <w:lang w:val="zh-CN"/>
        </w:rPr>
        <w:t>根据《四川省财政厅四川省公安厅关于印发〈四川省省级铁路护路联防专项资金管理办法〉的通知》（川财行〔2021〕120号）文件规定，项目资金主要用于支持平安四川建设领导小组铁路护路联防工作领导小组办公室（以下简称“平安四川护路办”）和各市（州）铁路护路联防工作领导小组办公室（以下简称“市（州）、县（市、区）护路办”）开展日常护路联防工作，包括铁路沿线社会综合治理，安全隐患排查整治，涉路矛盾纠纷排查化解，爱路护路宣传等；支持铁路护路部门开展专项重点整治；配备必要的设施设备相关支出；经省领导批准的其他铁路护路联防工作相关支出。不得用于基本建设等其他开支。</w:t>
      </w:r>
    </w:p>
    <w:p w14:paraId="27D6E1DF">
      <w:pPr>
        <w:spacing w:line="600" w:lineRule="exact"/>
        <w:ind w:firstLine="640" w:firstLineChars="200"/>
        <w:rPr>
          <w:rFonts w:ascii="仿宋_GB2312" w:hAnsi="仿宋_GB2312" w:eastAsia="仿宋_GB2312" w:cs="仿宋_GB2312"/>
          <w:kern w:val="0"/>
          <w:sz w:val="32"/>
          <w:szCs w:val="32"/>
          <w:lang w:val="zh-CN"/>
        </w:rPr>
      </w:pPr>
      <w:r>
        <w:rPr>
          <w:rFonts w:hint="eastAsia" w:ascii="仿宋_GB2312" w:hAnsi="仿宋_GB2312" w:eastAsia="仿宋_GB2312" w:cs="仿宋_GB2312"/>
          <w:kern w:val="0"/>
          <w:sz w:val="32"/>
          <w:szCs w:val="32"/>
          <w:lang w:val="zh-CN"/>
        </w:rPr>
        <w:t>2.项目实施</w:t>
      </w:r>
    </w:p>
    <w:p w14:paraId="0711A026">
      <w:pPr>
        <w:spacing w:line="600" w:lineRule="exact"/>
        <w:ind w:firstLine="640" w:firstLineChars="200"/>
        <w:rPr>
          <w:rFonts w:ascii="仿宋_GB2312" w:hAnsi="仿宋_GB2312" w:eastAsia="仿宋_GB2312" w:cs="仿宋_GB2312"/>
          <w:kern w:val="0"/>
          <w:sz w:val="32"/>
          <w:szCs w:val="32"/>
          <w:lang w:val="zh-CN"/>
        </w:rPr>
      </w:pPr>
      <w:r>
        <w:rPr>
          <w:rFonts w:hint="eastAsia" w:ascii="仿宋_GB2312" w:hAnsi="仿宋_GB2312" w:eastAsia="仿宋_GB2312" w:cs="仿宋_GB2312"/>
          <w:kern w:val="0"/>
          <w:sz w:val="32"/>
          <w:szCs w:val="32"/>
          <w:lang w:val="zh-CN"/>
        </w:rPr>
        <w:t>（1）主要目的</w:t>
      </w:r>
    </w:p>
    <w:p w14:paraId="2D441255">
      <w:pPr>
        <w:spacing w:line="600" w:lineRule="exact"/>
        <w:ind w:firstLine="640" w:firstLineChars="200"/>
        <w:rPr>
          <w:rFonts w:ascii="仿宋_GB2312" w:hAnsi="仿宋_GB2312" w:eastAsia="仿宋_GB2312" w:cs="仿宋_GB2312"/>
          <w:kern w:val="0"/>
          <w:sz w:val="32"/>
          <w:szCs w:val="32"/>
          <w:lang w:val="zh-CN"/>
        </w:rPr>
      </w:pPr>
      <w:r>
        <w:rPr>
          <w:rFonts w:hint="eastAsia" w:ascii="仿宋_GB2312" w:hAnsi="仿宋_GB2312" w:eastAsia="仿宋_GB2312" w:cs="仿宋_GB2312"/>
          <w:kern w:val="0"/>
          <w:sz w:val="32"/>
          <w:szCs w:val="32"/>
          <w:lang w:val="zh-CN"/>
        </w:rPr>
        <w:t>支持全市铁路护路联防工作顺利开展，包括铁路沿线社会综合治理、安全隐患排查整治，涉路矛盾纠纷排查化解，爱路护路宣传，专项重点整治，路地联合完成护路联防等工作，维护铁路治安稳定，确保全市铁路设施设备和运输安全。</w:t>
      </w:r>
    </w:p>
    <w:p w14:paraId="7C977517">
      <w:pPr>
        <w:numPr>
          <w:ilvl w:val="0"/>
          <w:numId w:val="5"/>
        </w:numPr>
        <w:suppressAutoHyphens w:val="0"/>
        <w:spacing w:line="600" w:lineRule="exact"/>
        <w:ind w:firstLine="640" w:firstLineChars="200"/>
        <w:rPr>
          <w:rFonts w:ascii="仿宋_GB2312" w:hAnsi="仿宋_GB2312" w:eastAsia="仿宋_GB2312" w:cs="仿宋_GB2312"/>
          <w:kern w:val="0"/>
          <w:sz w:val="32"/>
          <w:szCs w:val="32"/>
          <w:lang w:val="zh-CN"/>
        </w:rPr>
      </w:pPr>
      <w:r>
        <w:rPr>
          <w:rFonts w:hint="eastAsia" w:ascii="仿宋_GB2312" w:hAnsi="仿宋_GB2312" w:eastAsia="仿宋_GB2312" w:cs="仿宋_GB2312"/>
          <w:kern w:val="0"/>
          <w:sz w:val="32"/>
          <w:szCs w:val="32"/>
          <w:lang w:val="zh-CN"/>
        </w:rPr>
        <w:t>主要工作任务</w:t>
      </w:r>
    </w:p>
    <w:p w14:paraId="64DAB68A">
      <w:pPr>
        <w:spacing w:line="600" w:lineRule="exact"/>
        <w:ind w:firstLine="640" w:firstLineChars="200"/>
        <w:rPr>
          <w:rFonts w:ascii="仿宋_GB2312" w:hAnsi="仿宋_GB2312" w:eastAsia="仿宋_GB2312" w:cs="仿宋_GB2312"/>
          <w:kern w:val="0"/>
          <w:sz w:val="32"/>
          <w:szCs w:val="32"/>
          <w:lang w:val="zh-CN"/>
        </w:rPr>
      </w:pPr>
      <w:r>
        <w:rPr>
          <w:rFonts w:hint="eastAsia" w:ascii="仿宋_GB2312" w:hAnsi="仿宋_GB2312" w:eastAsia="仿宋_GB2312" w:cs="仿宋_GB2312"/>
          <w:kern w:val="0"/>
          <w:sz w:val="32"/>
          <w:szCs w:val="32"/>
          <w:lang w:val="zh-CN"/>
        </w:rPr>
        <w:t>我办在市委、市政府和市公安局党委的坚强领导下，及时健全领导机制，迅速理顺工作秩序，积极担当作为，统筹协调联动，持续治隐患、防风险、压危行、控路伤，圆满完成铁路过境重要任务30余件，党的二十大、全国“两会”、成都大运会及重大节假日铁路护路联防工作全胜完胜，确保了进蜀出川铁路大动脉平安畅通。</w:t>
      </w:r>
    </w:p>
    <w:p w14:paraId="7487990D">
      <w:pPr>
        <w:spacing w:line="600" w:lineRule="exact"/>
        <w:ind w:firstLine="640" w:firstLineChars="200"/>
        <w:rPr>
          <w:rFonts w:ascii="仿宋_GB2312" w:hAnsi="仿宋_GB2312" w:eastAsia="仿宋_GB2312" w:cs="仿宋_GB2312"/>
          <w:kern w:val="0"/>
          <w:sz w:val="32"/>
          <w:szCs w:val="32"/>
          <w:lang w:val="zh-CN"/>
        </w:rPr>
      </w:pPr>
      <w:r>
        <w:rPr>
          <w:rFonts w:hint="eastAsia" w:ascii="仿宋_GB2312" w:hAnsi="仿宋_GB2312" w:eastAsia="仿宋_GB2312" w:cs="仿宋_GB2312"/>
          <w:kern w:val="0"/>
          <w:sz w:val="32"/>
          <w:szCs w:val="32"/>
          <w:lang w:val="zh-CN"/>
        </w:rPr>
        <w:t>督导及联合检查62次，隐患排查、整治、矛盾纠纷协调化解共计27起，铁路护路宣传40次，组织开展铁路护路联防队伍专项清理整顿，清理责任心不强、身患重病、超龄专（兼）职护路骨干、护路队员11名，进一步纯洁、优化了护路联防队伍。先后选派8名护路队员参加全省护路联防培训，分区分片组织护路队员培训33批次轮训516人次，有效提升了基层护路队伍业务能力。深入推进公共安全视频监控建设向铁路沿线延伸覆盖，优化整合167套涉及铁路沿线安全的视频监控资源互联共享。</w:t>
      </w:r>
    </w:p>
    <w:p w14:paraId="6A655B12">
      <w:pPr>
        <w:spacing w:line="600" w:lineRule="exact"/>
        <w:ind w:firstLine="640" w:firstLineChars="200"/>
        <w:rPr>
          <w:rFonts w:ascii="仿宋_GB2312" w:hAnsi="仿宋_GB2312" w:eastAsia="仿宋_GB2312" w:cs="仿宋_GB2312"/>
          <w:kern w:val="0"/>
          <w:sz w:val="32"/>
          <w:szCs w:val="32"/>
          <w:lang w:val="zh-CN"/>
        </w:rPr>
      </w:pPr>
      <w:r>
        <w:rPr>
          <w:rFonts w:hint="eastAsia" w:ascii="仿宋_GB2312" w:hAnsi="仿宋_GB2312" w:eastAsia="仿宋_GB2312" w:cs="仿宋_GB2312"/>
          <w:kern w:val="0"/>
          <w:sz w:val="32"/>
          <w:szCs w:val="32"/>
          <w:lang w:val="zh-CN"/>
        </w:rPr>
        <w:t>协同国铁企业先后完成了昭化区元坝镇长坝社区、马克思街社区、柳桥村、火车东站，苍溪鸳溪镇等路段防护网建设及波形护栏1000余米，协调绵阳工务段、广元车务段先后新增语音提示报警设备2套、监控设备4套、语音广播1台，铁路沿线安全防范能力不断提升。深入推进公共安全视频监控建设向铁路沿线延伸覆盖，优化整合167套涉及铁路沿线安全的视频监控资源互联共享。持续深化“控危行、压路伤”专项整治、“平安铁道线”争创活动，市护路办运用“两函一通报一约谈”机制，下发《预警函》5份、《督办函》3份，坚决遏制路外伤亡事故。抓好重点安保，围绕全国“两会”、暑期专运、成都大运会等重点时期及重大活动安保工作，联合开展铁路安全隐患专项整治活动，构筑了铁路安全的坚固屏障，大运安保被省厅张挂红榜第一档。</w:t>
      </w:r>
    </w:p>
    <w:p w14:paraId="329B61A1">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hint="eastAsia" w:ascii="Times New Roman" w:hAnsi="Times New Roman" w:eastAsia="楷体_GB2312"/>
          <w:b/>
          <w:bCs/>
          <w:kern w:val="0"/>
          <w:sz w:val="32"/>
          <w:szCs w:val="32"/>
          <w:shd w:val="clear" w:color="auto" w:fill="FFFFFF"/>
          <w:lang w:val="zh-CN"/>
        </w:rPr>
        <w:t>（三）</w:t>
      </w:r>
      <w:r>
        <w:rPr>
          <w:rFonts w:ascii="Times New Roman" w:hAnsi="Times New Roman" w:eastAsia="楷体_GB2312"/>
          <w:b/>
          <w:bCs/>
          <w:kern w:val="0"/>
          <w:sz w:val="32"/>
          <w:szCs w:val="32"/>
          <w:shd w:val="clear" w:color="auto" w:fill="FFFFFF"/>
          <w:lang w:val="zh-CN"/>
        </w:rPr>
        <w:t>预算安排及分配管理</w:t>
      </w:r>
      <w:r>
        <w:rPr>
          <w:rFonts w:hint="eastAsia" w:ascii="Times New Roman" w:hAnsi="Times New Roman" w:eastAsia="楷体_GB2312"/>
          <w:b/>
          <w:bCs/>
          <w:kern w:val="0"/>
          <w:sz w:val="32"/>
          <w:szCs w:val="32"/>
          <w:shd w:val="clear" w:color="auto" w:fill="FFFFFF"/>
          <w:lang w:val="zh-CN"/>
        </w:rPr>
        <w:t>。</w:t>
      </w:r>
    </w:p>
    <w:p w14:paraId="2CD179BA">
      <w:pPr>
        <w:pStyle w:val="32"/>
        <w:widowControl/>
        <w:snapToGrid w:val="0"/>
        <w:spacing w:line="600" w:lineRule="exact"/>
        <w:ind w:firstLine="640" w:firstLineChars="200"/>
        <w:contextualSpacing/>
        <w:jc w:val="left"/>
        <w:rPr>
          <w:kern w:val="0"/>
          <w:shd w:val="clear" w:color="auto" w:fill="FFFFFF"/>
          <w:lang w:val="zh-CN"/>
        </w:rPr>
      </w:pPr>
      <w:r>
        <w:rPr>
          <w:rFonts w:hint="eastAsia"/>
        </w:rPr>
        <w:t>（1）预算安排</w:t>
      </w:r>
    </w:p>
    <w:p w14:paraId="7E454567">
      <w:pPr>
        <w:pStyle w:val="32"/>
        <w:widowControl/>
        <w:snapToGrid w:val="0"/>
        <w:spacing w:line="600" w:lineRule="exact"/>
        <w:ind w:firstLine="640" w:firstLineChars="200"/>
        <w:contextualSpacing/>
        <w:jc w:val="left"/>
        <w:rPr>
          <w:rFonts w:ascii="宋体" w:hAnsi="宋体" w:eastAsia="宋体" w:cs="宋体"/>
          <w:sz w:val="18"/>
          <w:szCs w:val="18"/>
        </w:rPr>
      </w:pPr>
      <w:r>
        <w:rPr>
          <w:rFonts w:hint="eastAsia"/>
        </w:rPr>
        <w:t>2023年铁路护路经费，</w:t>
      </w:r>
      <w:r>
        <w:rPr>
          <w:rFonts w:hint="eastAsia" w:hAnsi="宋体"/>
        </w:rPr>
        <w:t>由四川省财政厅通过转移支付方式下达全省各地</w:t>
      </w:r>
      <w:r>
        <w:rPr>
          <w:rFonts w:hint="eastAsia"/>
        </w:rPr>
        <w:t>。</w:t>
      </w:r>
      <w:r>
        <w:rPr>
          <w:rFonts w:ascii="仿宋_GB2312" w:hAnsi="仿宋_GB2312" w:cs="仿宋_GB2312"/>
          <w:lang w:val="zh-CN"/>
        </w:rPr>
        <w:t>资金支付范围、支付标准、支付进度、支付依据等合规合法，与预算相符。</w:t>
      </w:r>
      <w:r>
        <w:rPr>
          <w:rFonts w:hint="eastAsia" w:ascii="仿宋_GB2312" w:hAnsi="仿宋_GB2312" w:cs="仿宋_GB2312"/>
        </w:rPr>
        <w:t>资金到位及使用明细详见表1。</w:t>
      </w:r>
    </w:p>
    <w:p w14:paraId="08DB8FB2">
      <w:pPr>
        <w:pStyle w:val="32"/>
        <w:widowControl/>
        <w:snapToGrid w:val="0"/>
        <w:spacing w:line="600" w:lineRule="exact"/>
        <w:ind w:firstLine="2700" w:firstLineChars="1500"/>
        <w:contextualSpacing/>
        <w:jc w:val="left"/>
        <w:rPr>
          <w:rFonts w:ascii="仿宋_GB2312" w:hAnsi="宋体" w:cs="宋体"/>
          <w:sz w:val="18"/>
          <w:szCs w:val="18"/>
        </w:rPr>
      </w:pPr>
      <w:r>
        <w:rPr>
          <w:rFonts w:hint="eastAsia" w:ascii="仿宋_GB2312" w:hAnsi="宋体" w:cs="宋体"/>
          <w:kern w:val="0"/>
          <w:sz w:val="18"/>
          <w:szCs w:val="18"/>
        </w:rPr>
        <w:t>表1：资金到位使用情况表</w:t>
      </w:r>
    </w:p>
    <w:tbl>
      <w:tblPr>
        <w:tblStyle w:val="16"/>
        <w:tblW w:w="9559" w:type="dxa"/>
        <w:tblInd w:w="-472" w:type="dxa"/>
        <w:tblLayout w:type="fixed"/>
        <w:tblCellMar>
          <w:top w:w="0" w:type="dxa"/>
          <w:left w:w="108" w:type="dxa"/>
          <w:bottom w:w="0" w:type="dxa"/>
          <w:right w:w="108" w:type="dxa"/>
        </w:tblCellMar>
      </w:tblPr>
      <w:tblGrid>
        <w:gridCol w:w="709"/>
        <w:gridCol w:w="885"/>
        <w:gridCol w:w="1305"/>
        <w:gridCol w:w="1350"/>
        <w:gridCol w:w="1155"/>
        <w:gridCol w:w="1155"/>
        <w:gridCol w:w="1140"/>
        <w:gridCol w:w="1005"/>
        <w:gridCol w:w="855"/>
      </w:tblGrid>
      <w:tr w14:paraId="480F687F">
        <w:tblPrEx>
          <w:tblCellMar>
            <w:top w:w="0" w:type="dxa"/>
            <w:left w:w="108" w:type="dxa"/>
            <w:bottom w:w="0" w:type="dxa"/>
            <w:right w:w="108" w:type="dxa"/>
          </w:tblCellMar>
        </w:tblPrEx>
        <w:trPr>
          <w:trHeight w:val="375" w:hRule="atLeast"/>
        </w:trPr>
        <w:tc>
          <w:tcPr>
            <w:tcW w:w="9559" w:type="dxa"/>
            <w:gridSpan w:val="9"/>
            <w:tcBorders>
              <w:top w:val="single" w:color="000000" w:sz="4" w:space="0"/>
              <w:left w:val="single" w:color="000000" w:sz="4" w:space="0"/>
              <w:bottom w:val="single" w:color="000000" w:sz="4" w:space="0"/>
              <w:right w:val="single" w:color="000000" w:sz="4" w:space="0"/>
            </w:tcBorders>
            <w:vAlign w:val="center"/>
          </w:tcPr>
          <w:p w14:paraId="0DD2446C">
            <w:pPr>
              <w:widowControl/>
              <w:spacing w:line="240" w:lineRule="exact"/>
              <w:jc w:val="center"/>
              <w:textAlignment w:val="center"/>
              <w:rPr>
                <w:rFonts w:ascii="仿宋_GB2312" w:hAnsi="宋体" w:eastAsia="仿宋_GB2312" w:cs="宋体"/>
                <w:sz w:val="18"/>
                <w:szCs w:val="18"/>
              </w:rPr>
            </w:pPr>
            <w:r>
              <w:rPr>
                <w:rFonts w:hint="eastAsia" w:ascii="仿宋_GB2312" w:hAnsi="宋体" w:eastAsia="仿宋_GB2312" w:cs="宋体"/>
                <w:kern w:val="0"/>
                <w:sz w:val="18"/>
                <w:szCs w:val="18"/>
              </w:rPr>
              <w:t>资金到位使用情况表                            单位（万元）</w:t>
            </w:r>
          </w:p>
        </w:tc>
      </w:tr>
      <w:tr w14:paraId="6C931F63">
        <w:tblPrEx>
          <w:tblCellMar>
            <w:top w:w="0" w:type="dxa"/>
            <w:left w:w="108" w:type="dxa"/>
            <w:bottom w:w="0" w:type="dxa"/>
            <w:right w:w="108" w:type="dxa"/>
          </w:tblCellMar>
        </w:tblPrEx>
        <w:trPr>
          <w:trHeight w:val="270" w:hRule="atLeast"/>
        </w:trPr>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4608F126">
            <w:pPr>
              <w:widowControl/>
              <w:spacing w:line="240" w:lineRule="exact"/>
              <w:jc w:val="center"/>
              <w:textAlignment w:val="center"/>
              <w:rPr>
                <w:rFonts w:ascii="仿宋_GB2312" w:hAnsi="宋体" w:eastAsia="仿宋_GB2312" w:cs="宋体"/>
                <w:sz w:val="18"/>
                <w:szCs w:val="18"/>
              </w:rPr>
            </w:pPr>
            <w:r>
              <w:rPr>
                <w:rFonts w:hint="eastAsia" w:ascii="仿宋_GB2312" w:hAnsi="宋体" w:eastAsia="仿宋_GB2312" w:cs="宋体"/>
                <w:kern w:val="0"/>
                <w:sz w:val="18"/>
                <w:szCs w:val="18"/>
              </w:rPr>
              <w:t>层级</w:t>
            </w:r>
          </w:p>
        </w:tc>
        <w:tc>
          <w:tcPr>
            <w:tcW w:w="885" w:type="dxa"/>
            <w:vMerge w:val="restart"/>
            <w:tcBorders>
              <w:top w:val="single" w:color="000000" w:sz="4" w:space="0"/>
              <w:left w:val="single" w:color="000000" w:sz="4" w:space="0"/>
              <w:bottom w:val="single" w:color="000000" w:sz="4" w:space="0"/>
              <w:right w:val="single" w:color="000000" w:sz="4" w:space="0"/>
            </w:tcBorders>
            <w:vAlign w:val="center"/>
          </w:tcPr>
          <w:p w14:paraId="4729D694">
            <w:pPr>
              <w:widowControl/>
              <w:spacing w:line="240" w:lineRule="exact"/>
              <w:jc w:val="center"/>
              <w:textAlignment w:val="center"/>
              <w:rPr>
                <w:rFonts w:ascii="仿宋_GB2312" w:hAnsi="宋体" w:eastAsia="仿宋_GB2312" w:cs="宋体"/>
                <w:sz w:val="18"/>
                <w:szCs w:val="18"/>
              </w:rPr>
            </w:pPr>
            <w:r>
              <w:rPr>
                <w:rFonts w:hint="eastAsia" w:ascii="仿宋_GB2312" w:hAnsi="宋体" w:eastAsia="仿宋_GB2312" w:cs="宋体"/>
                <w:kern w:val="0"/>
                <w:sz w:val="18"/>
                <w:szCs w:val="18"/>
              </w:rPr>
              <w:t>区域</w:t>
            </w:r>
          </w:p>
        </w:tc>
        <w:tc>
          <w:tcPr>
            <w:tcW w:w="1305" w:type="dxa"/>
            <w:vMerge w:val="restart"/>
            <w:tcBorders>
              <w:top w:val="single" w:color="000000" w:sz="4" w:space="0"/>
              <w:left w:val="single" w:color="000000" w:sz="4" w:space="0"/>
              <w:bottom w:val="single" w:color="000000" w:sz="4" w:space="0"/>
              <w:right w:val="single" w:color="000000" w:sz="4" w:space="0"/>
            </w:tcBorders>
            <w:vAlign w:val="center"/>
          </w:tcPr>
          <w:p w14:paraId="192EB358">
            <w:pPr>
              <w:widowControl/>
              <w:spacing w:line="240" w:lineRule="exact"/>
              <w:jc w:val="center"/>
              <w:textAlignment w:val="center"/>
              <w:rPr>
                <w:rFonts w:ascii="仿宋_GB2312" w:hAnsi="宋体" w:eastAsia="仿宋_GB2312" w:cs="宋体"/>
                <w:sz w:val="18"/>
                <w:szCs w:val="18"/>
              </w:rPr>
            </w:pPr>
            <w:r>
              <w:rPr>
                <w:rFonts w:hint="eastAsia" w:ascii="仿宋_GB2312" w:hAnsi="宋体" w:eastAsia="仿宋_GB2312" w:cs="宋体"/>
                <w:kern w:val="0"/>
                <w:sz w:val="18"/>
                <w:szCs w:val="18"/>
              </w:rPr>
              <w:t>预算安排情况</w:t>
            </w:r>
          </w:p>
        </w:tc>
        <w:tc>
          <w:tcPr>
            <w:tcW w:w="1350" w:type="dxa"/>
            <w:vMerge w:val="restart"/>
            <w:tcBorders>
              <w:top w:val="single" w:color="000000" w:sz="4" w:space="0"/>
              <w:left w:val="single" w:color="000000" w:sz="4" w:space="0"/>
              <w:bottom w:val="single" w:color="000000" w:sz="4" w:space="0"/>
              <w:right w:val="single" w:color="000000" w:sz="4" w:space="0"/>
            </w:tcBorders>
            <w:vAlign w:val="center"/>
          </w:tcPr>
          <w:p w14:paraId="1CF1A2C3">
            <w:pPr>
              <w:widowControl/>
              <w:spacing w:line="240" w:lineRule="exact"/>
              <w:jc w:val="center"/>
              <w:textAlignment w:val="center"/>
              <w:rPr>
                <w:rFonts w:ascii="仿宋_GB2312" w:hAnsi="宋体" w:eastAsia="仿宋_GB2312" w:cs="宋体"/>
                <w:sz w:val="18"/>
                <w:szCs w:val="18"/>
              </w:rPr>
            </w:pPr>
            <w:r>
              <w:rPr>
                <w:rFonts w:hint="eastAsia" w:ascii="仿宋_GB2312" w:hAnsi="宋体" w:eastAsia="仿宋_GB2312" w:cs="宋体"/>
                <w:kern w:val="0"/>
                <w:sz w:val="18"/>
                <w:szCs w:val="18"/>
              </w:rPr>
              <w:t>资金到位情况</w:t>
            </w:r>
          </w:p>
        </w:tc>
        <w:tc>
          <w:tcPr>
            <w:tcW w:w="1155" w:type="dxa"/>
            <w:vMerge w:val="restart"/>
            <w:tcBorders>
              <w:top w:val="single" w:color="000000" w:sz="4" w:space="0"/>
              <w:left w:val="single" w:color="000000" w:sz="4" w:space="0"/>
              <w:bottom w:val="single" w:color="000000" w:sz="4" w:space="0"/>
              <w:right w:val="single" w:color="000000" w:sz="4" w:space="0"/>
            </w:tcBorders>
            <w:vAlign w:val="center"/>
          </w:tcPr>
          <w:p w14:paraId="50DBF639">
            <w:pPr>
              <w:widowControl/>
              <w:spacing w:line="240" w:lineRule="exact"/>
              <w:jc w:val="center"/>
              <w:textAlignment w:val="center"/>
              <w:rPr>
                <w:rFonts w:ascii="仿宋_GB2312" w:hAnsi="宋体" w:eastAsia="仿宋_GB2312" w:cs="宋体"/>
                <w:sz w:val="18"/>
                <w:szCs w:val="18"/>
              </w:rPr>
            </w:pPr>
            <w:r>
              <w:rPr>
                <w:rFonts w:hint="eastAsia" w:ascii="仿宋_GB2312" w:hAnsi="宋体" w:eastAsia="仿宋_GB2312" w:cs="宋体"/>
                <w:kern w:val="0"/>
                <w:sz w:val="18"/>
                <w:szCs w:val="18"/>
              </w:rPr>
              <w:t>资金到位率</w:t>
            </w:r>
          </w:p>
        </w:tc>
        <w:tc>
          <w:tcPr>
            <w:tcW w:w="2295" w:type="dxa"/>
            <w:gridSpan w:val="2"/>
            <w:tcBorders>
              <w:top w:val="single" w:color="000000" w:sz="4" w:space="0"/>
              <w:left w:val="single" w:color="000000" w:sz="4" w:space="0"/>
              <w:bottom w:val="single" w:color="000000" w:sz="4" w:space="0"/>
              <w:right w:val="single" w:color="000000" w:sz="4" w:space="0"/>
            </w:tcBorders>
            <w:vAlign w:val="center"/>
          </w:tcPr>
          <w:p w14:paraId="29E8AC94">
            <w:pPr>
              <w:widowControl/>
              <w:spacing w:line="240" w:lineRule="exact"/>
              <w:jc w:val="center"/>
              <w:textAlignment w:val="center"/>
              <w:rPr>
                <w:rFonts w:ascii="仿宋_GB2312" w:hAnsi="宋体" w:eastAsia="仿宋_GB2312" w:cs="宋体"/>
                <w:sz w:val="18"/>
                <w:szCs w:val="18"/>
              </w:rPr>
            </w:pPr>
            <w:r>
              <w:rPr>
                <w:rFonts w:hint="eastAsia" w:ascii="仿宋_GB2312" w:hAnsi="宋体" w:eastAsia="仿宋_GB2312" w:cs="宋体"/>
                <w:kern w:val="0"/>
                <w:sz w:val="18"/>
                <w:szCs w:val="18"/>
              </w:rPr>
              <w:t>资金使用情况</w:t>
            </w:r>
          </w:p>
        </w:tc>
        <w:tc>
          <w:tcPr>
            <w:tcW w:w="1005" w:type="dxa"/>
            <w:tcBorders>
              <w:top w:val="single" w:color="000000" w:sz="4" w:space="0"/>
              <w:left w:val="single" w:color="000000" w:sz="4" w:space="0"/>
              <w:bottom w:val="single" w:color="000000" w:sz="4" w:space="0"/>
              <w:right w:val="single" w:color="000000" w:sz="4" w:space="0"/>
            </w:tcBorders>
            <w:vAlign w:val="center"/>
          </w:tcPr>
          <w:p w14:paraId="002EB8F1">
            <w:pPr>
              <w:widowControl/>
              <w:spacing w:line="240" w:lineRule="exact"/>
              <w:jc w:val="center"/>
              <w:textAlignment w:val="center"/>
              <w:rPr>
                <w:rFonts w:ascii="仿宋_GB2312" w:hAnsi="宋体" w:eastAsia="仿宋_GB2312" w:cs="宋体"/>
                <w:sz w:val="18"/>
                <w:szCs w:val="18"/>
              </w:rPr>
            </w:pPr>
            <w:r>
              <w:rPr>
                <w:rFonts w:hint="eastAsia" w:ascii="仿宋_GB2312" w:hAnsi="宋体" w:eastAsia="仿宋_GB2312" w:cs="宋体"/>
                <w:kern w:val="0"/>
                <w:sz w:val="18"/>
                <w:szCs w:val="18"/>
              </w:rPr>
              <w:t>资金结转结余情况</w:t>
            </w:r>
          </w:p>
        </w:tc>
        <w:tc>
          <w:tcPr>
            <w:tcW w:w="855" w:type="dxa"/>
            <w:vMerge w:val="restart"/>
            <w:tcBorders>
              <w:top w:val="single" w:color="000000" w:sz="4" w:space="0"/>
              <w:left w:val="single" w:color="000000" w:sz="4" w:space="0"/>
              <w:bottom w:val="single" w:color="000000" w:sz="4" w:space="0"/>
              <w:right w:val="single" w:color="000000" w:sz="4" w:space="0"/>
            </w:tcBorders>
            <w:vAlign w:val="center"/>
          </w:tcPr>
          <w:p w14:paraId="62B0D6D1">
            <w:pPr>
              <w:widowControl/>
              <w:spacing w:line="240" w:lineRule="exact"/>
              <w:jc w:val="center"/>
              <w:textAlignment w:val="center"/>
              <w:rPr>
                <w:rFonts w:ascii="仿宋_GB2312" w:hAnsi="宋体" w:eastAsia="仿宋_GB2312" w:cs="宋体"/>
                <w:sz w:val="18"/>
                <w:szCs w:val="18"/>
              </w:rPr>
            </w:pPr>
            <w:r>
              <w:rPr>
                <w:rFonts w:hint="eastAsia" w:ascii="仿宋_GB2312" w:hAnsi="宋体" w:eastAsia="仿宋_GB2312" w:cs="宋体"/>
                <w:kern w:val="0"/>
                <w:sz w:val="18"/>
                <w:szCs w:val="18"/>
              </w:rPr>
              <w:t>资金执行率</w:t>
            </w:r>
          </w:p>
        </w:tc>
      </w:tr>
      <w:tr w14:paraId="4EC08991">
        <w:tblPrEx>
          <w:tblCellMar>
            <w:top w:w="0" w:type="dxa"/>
            <w:left w:w="108" w:type="dxa"/>
            <w:bottom w:w="0" w:type="dxa"/>
            <w:right w:w="108" w:type="dxa"/>
          </w:tblCellMar>
        </w:tblPrEx>
        <w:trPr>
          <w:trHeight w:val="1015" w:hRule="atLeast"/>
        </w:trPr>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152DE8BA">
            <w:pPr>
              <w:widowControl/>
              <w:spacing w:line="240" w:lineRule="exact"/>
              <w:jc w:val="center"/>
              <w:rPr>
                <w:rFonts w:ascii="仿宋_GB2312" w:hAnsi="宋体" w:eastAsia="仿宋_GB2312" w:cs="宋体"/>
                <w:b/>
                <w:bCs/>
                <w:sz w:val="18"/>
                <w:szCs w:val="18"/>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67BA4F6E">
            <w:pPr>
              <w:widowControl/>
              <w:spacing w:line="240" w:lineRule="exact"/>
              <w:jc w:val="center"/>
              <w:rPr>
                <w:rFonts w:ascii="仿宋_GB2312" w:hAnsi="宋体" w:eastAsia="仿宋_GB2312" w:cs="宋体"/>
                <w:b/>
                <w:bCs/>
                <w:sz w:val="18"/>
                <w:szCs w:val="18"/>
              </w:rPr>
            </w:pPr>
          </w:p>
        </w:tc>
        <w:tc>
          <w:tcPr>
            <w:tcW w:w="1305" w:type="dxa"/>
            <w:vMerge w:val="continue"/>
            <w:tcBorders>
              <w:top w:val="single" w:color="000000" w:sz="4" w:space="0"/>
              <w:left w:val="single" w:color="000000" w:sz="4" w:space="0"/>
              <w:bottom w:val="single" w:color="000000" w:sz="4" w:space="0"/>
              <w:right w:val="single" w:color="000000" w:sz="4" w:space="0"/>
            </w:tcBorders>
            <w:vAlign w:val="center"/>
          </w:tcPr>
          <w:p w14:paraId="67DF8360">
            <w:pPr>
              <w:widowControl/>
              <w:spacing w:line="240" w:lineRule="exact"/>
              <w:jc w:val="center"/>
              <w:rPr>
                <w:rFonts w:ascii="仿宋_GB2312" w:hAnsi="宋体" w:eastAsia="仿宋_GB2312" w:cs="宋体"/>
                <w:b/>
                <w:bCs/>
                <w:sz w:val="18"/>
                <w:szCs w:val="18"/>
              </w:rPr>
            </w:pPr>
          </w:p>
        </w:tc>
        <w:tc>
          <w:tcPr>
            <w:tcW w:w="1350" w:type="dxa"/>
            <w:vMerge w:val="continue"/>
            <w:tcBorders>
              <w:top w:val="single" w:color="000000" w:sz="4" w:space="0"/>
              <w:left w:val="single" w:color="000000" w:sz="4" w:space="0"/>
              <w:bottom w:val="single" w:color="000000" w:sz="4" w:space="0"/>
              <w:right w:val="single" w:color="000000" w:sz="4" w:space="0"/>
            </w:tcBorders>
            <w:vAlign w:val="center"/>
          </w:tcPr>
          <w:p w14:paraId="230D5665">
            <w:pPr>
              <w:widowControl/>
              <w:spacing w:line="240" w:lineRule="exact"/>
              <w:jc w:val="center"/>
              <w:rPr>
                <w:rFonts w:ascii="仿宋_GB2312" w:hAnsi="宋体" w:eastAsia="仿宋_GB2312" w:cs="宋体"/>
                <w:b/>
                <w:bCs/>
                <w:sz w:val="18"/>
                <w:szCs w:val="18"/>
              </w:rPr>
            </w:pPr>
          </w:p>
        </w:tc>
        <w:tc>
          <w:tcPr>
            <w:tcW w:w="1155" w:type="dxa"/>
            <w:vMerge w:val="continue"/>
            <w:tcBorders>
              <w:top w:val="single" w:color="000000" w:sz="4" w:space="0"/>
              <w:left w:val="single" w:color="000000" w:sz="4" w:space="0"/>
              <w:bottom w:val="single" w:color="000000" w:sz="4" w:space="0"/>
              <w:right w:val="single" w:color="000000" w:sz="4" w:space="0"/>
            </w:tcBorders>
            <w:vAlign w:val="center"/>
          </w:tcPr>
          <w:p w14:paraId="5AB83F71">
            <w:pPr>
              <w:widowControl/>
              <w:spacing w:line="240" w:lineRule="exact"/>
              <w:jc w:val="center"/>
              <w:rPr>
                <w:rFonts w:ascii="仿宋_GB2312" w:hAnsi="宋体" w:eastAsia="仿宋_GB2312" w:cs="宋体"/>
                <w:b/>
                <w:bCs/>
                <w:sz w:val="18"/>
                <w:szCs w:val="18"/>
              </w:rPr>
            </w:pPr>
          </w:p>
        </w:tc>
        <w:tc>
          <w:tcPr>
            <w:tcW w:w="1155" w:type="dxa"/>
            <w:tcBorders>
              <w:top w:val="single" w:color="000000" w:sz="4" w:space="0"/>
              <w:left w:val="single" w:color="000000" w:sz="4" w:space="0"/>
              <w:bottom w:val="single" w:color="000000" w:sz="4" w:space="0"/>
              <w:right w:val="single" w:color="000000" w:sz="4" w:space="0"/>
            </w:tcBorders>
            <w:vAlign w:val="center"/>
          </w:tcPr>
          <w:p w14:paraId="4E70BCB2">
            <w:pPr>
              <w:widowControl/>
              <w:spacing w:line="240" w:lineRule="exact"/>
              <w:jc w:val="center"/>
              <w:textAlignment w:val="center"/>
              <w:rPr>
                <w:rFonts w:ascii="仿宋_GB2312" w:hAnsi="宋体" w:eastAsia="仿宋_GB2312" w:cs="宋体"/>
                <w:sz w:val="18"/>
                <w:szCs w:val="18"/>
              </w:rPr>
            </w:pPr>
            <w:r>
              <w:rPr>
                <w:rFonts w:hint="eastAsia" w:ascii="仿宋_GB2312" w:hAnsi="宋体" w:eastAsia="仿宋_GB2312" w:cs="宋体"/>
                <w:kern w:val="0"/>
                <w:sz w:val="18"/>
                <w:szCs w:val="18"/>
              </w:rPr>
              <w:t>2023年（截至2023年12月31日）</w:t>
            </w:r>
          </w:p>
        </w:tc>
        <w:tc>
          <w:tcPr>
            <w:tcW w:w="1140" w:type="dxa"/>
            <w:tcBorders>
              <w:top w:val="single" w:color="000000" w:sz="4" w:space="0"/>
              <w:left w:val="single" w:color="000000" w:sz="4" w:space="0"/>
              <w:bottom w:val="single" w:color="000000" w:sz="4" w:space="0"/>
              <w:right w:val="single" w:color="000000" w:sz="4" w:space="0"/>
            </w:tcBorders>
            <w:vAlign w:val="center"/>
          </w:tcPr>
          <w:p w14:paraId="323C61BB">
            <w:pPr>
              <w:widowControl/>
              <w:spacing w:line="240" w:lineRule="exact"/>
              <w:jc w:val="center"/>
              <w:textAlignment w:val="center"/>
              <w:rPr>
                <w:rFonts w:ascii="仿宋_GB2312" w:hAnsi="宋体" w:eastAsia="仿宋_GB2312" w:cs="宋体"/>
                <w:sz w:val="18"/>
                <w:szCs w:val="18"/>
              </w:rPr>
            </w:pPr>
            <w:r>
              <w:rPr>
                <w:rFonts w:hint="eastAsia" w:ascii="仿宋_GB2312" w:hAnsi="宋体" w:eastAsia="仿宋_GB2312" w:cs="宋体"/>
                <w:kern w:val="0"/>
                <w:sz w:val="18"/>
                <w:szCs w:val="18"/>
              </w:rPr>
              <w:t>2024年（截至2024年06月30日）</w:t>
            </w:r>
          </w:p>
        </w:tc>
        <w:tc>
          <w:tcPr>
            <w:tcW w:w="1005" w:type="dxa"/>
            <w:tcBorders>
              <w:top w:val="single" w:color="000000" w:sz="4" w:space="0"/>
              <w:left w:val="single" w:color="000000" w:sz="4" w:space="0"/>
              <w:bottom w:val="single" w:color="000000" w:sz="4" w:space="0"/>
              <w:right w:val="single" w:color="000000" w:sz="4" w:space="0"/>
            </w:tcBorders>
            <w:vAlign w:val="center"/>
          </w:tcPr>
          <w:p w14:paraId="5F3D5CFD">
            <w:pPr>
              <w:widowControl/>
              <w:spacing w:line="240" w:lineRule="exact"/>
              <w:jc w:val="center"/>
              <w:textAlignment w:val="center"/>
              <w:rPr>
                <w:rFonts w:ascii="仿宋_GB2312" w:hAnsi="宋体" w:eastAsia="仿宋_GB2312" w:cs="宋体"/>
                <w:sz w:val="18"/>
                <w:szCs w:val="18"/>
              </w:rPr>
            </w:pPr>
            <w:r>
              <w:rPr>
                <w:rFonts w:hint="eastAsia" w:ascii="仿宋_GB2312" w:hAnsi="宋体" w:eastAsia="仿宋_GB2312" w:cs="宋体"/>
                <w:kern w:val="0"/>
                <w:sz w:val="18"/>
                <w:szCs w:val="18"/>
              </w:rPr>
              <w:t>2023年（截至2023年12月31日）</w:t>
            </w:r>
          </w:p>
        </w:tc>
        <w:tc>
          <w:tcPr>
            <w:tcW w:w="855" w:type="dxa"/>
            <w:vMerge w:val="continue"/>
            <w:tcBorders>
              <w:top w:val="single" w:color="000000" w:sz="4" w:space="0"/>
              <w:left w:val="single" w:color="000000" w:sz="4" w:space="0"/>
              <w:bottom w:val="single" w:color="000000" w:sz="4" w:space="0"/>
              <w:right w:val="single" w:color="000000" w:sz="4" w:space="0"/>
            </w:tcBorders>
            <w:vAlign w:val="center"/>
          </w:tcPr>
          <w:p w14:paraId="4267F69C">
            <w:pPr>
              <w:widowControl/>
              <w:spacing w:line="240" w:lineRule="exact"/>
              <w:jc w:val="center"/>
              <w:rPr>
                <w:rFonts w:ascii="仿宋_GB2312" w:hAnsi="宋体" w:eastAsia="仿宋_GB2312" w:cs="宋体"/>
                <w:b/>
                <w:bCs/>
                <w:sz w:val="18"/>
                <w:szCs w:val="18"/>
              </w:rPr>
            </w:pPr>
          </w:p>
        </w:tc>
      </w:tr>
      <w:tr w14:paraId="0B435972">
        <w:tblPrEx>
          <w:tblCellMar>
            <w:top w:w="0" w:type="dxa"/>
            <w:left w:w="108" w:type="dxa"/>
            <w:bottom w:w="0" w:type="dxa"/>
            <w:right w:w="108" w:type="dxa"/>
          </w:tblCellMar>
        </w:tblPrEx>
        <w:trPr>
          <w:trHeight w:val="54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70827ED9">
            <w:pPr>
              <w:widowControl/>
              <w:spacing w:line="240" w:lineRule="exact"/>
              <w:jc w:val="center"/>
              <w:textAlignment w:val="center"/>
              <w:rPr>
                <w:rFonts w:ascii="仿宋_GB2312" w:hAnsi="宋体" w:eastAsia="仿宋_GB2312" w:cs="宋体"/>
                <w:sz w:val="18"/>
                <w:szCs w:val="18"/>
              </w:rPr>
            </w:pPr>
            <w:r>
              <w:rPr>
                <w:rFonts w:hint="eastAsia" w:ascii="仿宋_GB2312" w:hAnsi="宋体" w:eastAsia="仿宋_GB2312" w:cs="宋体"/>
                <w:kern w:val="0"/>
                <w:sz w:val="18"/>
                <w:szCs w:val="18"/>
              </w:rPr>
              <w:t>市州</w:t>
            </w:r>
          </w:p>
        </w:tc>
        <w:tc>
          <w:tcPr>
            <w:tcW w:w="885" w:type="dxa"/>
            <w:tcBorders>
              <w:top w:val="single" w:color="000000" w:sz="4" w:space="0"/>
              <w:left w:val="single" w:color="000000" w:sz="4" w:space="0"/>
              <w:bottom w:val="single" w:color="000000" w:sz="4" w:space="0"/>
              <w:right w:val="single" w:color="000000" w:sz="4" w:space="0"/>
            </w:tcBorders>
            <w:vAlign w:val="center"/>
          </w:tcPr>
          <w:p w14:paraId="53E133C8">
            <w:pPr>
              <w:widowControl/>
              <w:spacing w:line="240" w:lineRule="exact"/>
              <w:jc w:val="center"/>
              <w:textAlignment w:val="center"/>
              <w:rPr>
                <w:rFonts w:ascii="仿宋_GB2312" w:hAnsi="宋体" w:eastAsia="仿宋_GB2312" w:cs="宋体"/>
                <w:sz w:val="18"/>
                <w:szCs w:val="18"/>
              </w:rPr>
            </w:pPr>
            <w:r>
              <w:rPr>
                <w:rFonts w:hint="eastAsia" w:ascii="仿宋_GB2312" w:hAnsi="宋体" w:eastAsia="仿宋_GB2312" w:cs="宋体"/>
                <w:kern w:val="0"/>
                <w:sz w:val="18"/>
                <w:szCs w:val="18"/>
              </w:rPr>
              <w:t>广元市</w:t>
            </w:r>
          </w:p>
        </w:tc>
        <w:tc>
          <w:tcPr>
            <w:tcW w:w="1305" w:type="dxa"/>
            <w:tcBorders>
              <w:top w:val="single" w:color="000000" w:sz="4" w:space="0"/>
              <w:left w:val="single" w:color="000000" w:sz="4" w:space="0"/>
              <w:bottom w:val="single" w:color="000000" w:sz="4" w:space="0"/>
              <w:right w:val="single" w:color="000000" w:sz="4" w:space="0"/>
            </w:tcBorders>
            <w:vAlign w:val="center"/>
          </w:tcPr>
          <w:p w14:paraId="07C979D4">
            <w:pPr>
              <w:widowControl/>
              <w:spacing w:line="240" w:lineRule="exact"/>
              <w:jc w:val="center"/>
              <w:textAlignment w:val="center"/>
              <w:rPr>
                <w:rFonts w:ascii="仿宋_GB2312" w:hAnsi="宋体" w:eastAsia="仿宋_GB2312" w:cs="宋体"/>
                <w:sz w:val="18"/>
                <w:szCs w:val="18"/>
              </w:rPr>
            </w:pPr>
            <w:r>
              <w:rPr>
                <w:rFonts w:hint="eastAsia" w:ascii="仿宋_GB2312" w:hAnsi="宋体" w:eastAsia="仿宋_GB2312" w:cs="宋体"/>
                <w:sz w:val="18"/>
                <w:szCs w:val="18"/>
              </w:rPr>
              <w:t>77</w:t>
            </w:r>
          </w:p>
        </w:tc>
        <w:tc>
          <w:tcPr>
            <w:tcW w:w="1350" w:type="dxa"/>
            <w:tcBorders>
              <w:top w:val="single" w:color="000000" w:sz="4" w:space="0"/>
              <w:left w:val="single" w:color="000000" w:sz="4" w:space="0"/>
              <w:bottom w:val="single" w:color="000000" w:sz="4" w:space="0"/>
              <w:right w:val="single" w:color="000000" w:sz="4" w:space="0"/>
            </w:tcBorders>
            <w:vAlign w:val="center"/>
          </w:tcPr>
          <w:p w14:paraId="0D0E2B9A">
            <w:pPr>
              <w:widowControl/>
              <w:spacing w:line="240" w:lineRule="exact"/>
              <w:jc w:val="center"/>
              <w:textAlignment w:val="center"/>
              <w:rPr>
                <w:rFonts w:ascii="仿宋_GB2312" w:hAnsi="宋体" w:eastAsia="仿宋_GB2312" w:cs="宋体"/>
                <w:sz w:val="18"/>
                <w:szCs w:val="18"/>
              </w:rPr>
            </w:pPr>
            <w:r>
              <w:rPr>
                <w:rFonts w:hint="eastAsia" w:ascii="仿宋_GB2312" w:hAnsi="宋体" w:eastAsia="仿宋_GB2312" w:cs="宋体"/>
                <w:sz w:val="18"/>
                <w:szCs w:val="18"/>
              </w:rPr>
              <w:t>77</w:t>
            </w:r>
          </w:p>
        </w:tc>
        <w:tc>
          <w:tcPr>
            <w:tcW w:w="1155" w:type="dxa"/>
            <w:tcBorders>
              <w:top w:val="single" w:color="000000" w:sz="4" w:space="0"/>
              <w:left w:val="single" w:color="000000" w:sz="4" w:space="0"/>
              <w:bottom w:val="single" w:color="000000" w:sz="4" w:space="0"/>
              <w:right w:val="single" w:color="000000" w:sz="4" w:space="0"/>
            </w:tcBorders>
            <w:vAlign w:val="center"/>
          </w:tcPr>
          <w:p w14:paraId="73A690EE">
            <w:pPr>
              <w:widowControl/>
              <w:spacing w:line="240" w:lineRule="exact"/>
              <w:jc w:val="center"/>
              <w:textAlignment w:val="center"/>
              <w:rPr>
                <w:rFonts w:ascii="仿宋_GB2312" w:hAnsi="宋体" w:eastAsia="仿宋_GB2312" w:cs="宋体"/>
                <w:sz w:val="18"/>
                <w:szCs w:val="18"/>
              </w:rPr>
            </w:pPr>
            <w:r>
              <w:rPr>
                <w:rFonts w:hint="eastAsia" w:ascii="仿宋_GB2312" w:hAnsi="宋体" w:eastAsia="仿宋_GB2312" w:cs="宋体"/>
                <w:sz w:val="18"/>
                <w:szCs w:val="18"/>
              </w:rPr>
              <w:t>100%</w:t>
            </w:r>
          </w:p>
        </w:tc>
        <w:tc>
          <w:tcPr>
            <w:tcW w:w="1155" w:type="dxa"/>
            <w:tcBorders>
              <w:top w:val="single" w:color="000000" w:sz="4" w:space="0"/>
              <w:left w:val="single" w:color="000000" w:sz="4" w:space="0"/>
              <w:bottom w:val="single" w:color="000000" w:sz="4" w:space="0"/>
              <w:right w:val="single" w:color="000000" w:sz="4" w:space="0"/>
            </w:tcBorders>
            <w:vAlign w:val="center"/>
          </w:tcPr>
          <w:p w14:paraId="6D19DBC7">
            <w:pPr>
              <w:widowControl/>
              <w:spacing w:line="240" w:lineRule="exact"/>
              <w:jc w:val="center"/>
              <w:textAlignment w:val="center"/>
              <w:rPr>
                <w:rFonts w:ascii="仿宋_GB2312" w:hAnsi="宋体" w:eastAsia="仿宋_GB2312" w:cs="宋体"/>
                <w:sz w:val="18"/>
                <w:szCs w:val="18"/>
              </w:rPr>
            </w:pPr>
            <w:r>
              <w:rPr>
                <w:rFonts w:hint="eastAsia" w:ascii="仿宋_GB2312" w:hAnsi="宋体" w:eastAsia="仿宋_GB2312" w:cs="宋体"/>
                <w:sz w:val="18"/>
                <w:szCs w:val="18"/>
              </w:rPr>
              <w:t>49.7</w:t>
            </w:r>
          </w:p>
        </w:tc>
        <w:tc>
          <w:tcPr>
            <w:tcW w:w="1140" w:type="dxa"/>
            <w:tcBorders>
              <w:top w:val="single" w:color="000000" w:sz="4" w:space="0"/>
              <w:left w:val="single" w:color="000000" w:sz="4" w:space="0"/>
              <w:bottom w:val="single" w:color="000000" w:sz="4" w:space="0"/>
              <w:right w:val="single" w:color="000000" w:sz="4" w:space="0"/>
            </w:tcBorders>
            <w:vAlign w:val="center"/>
          </w:tcPr>
          <w:p w14:paraId="75B173AD">
            <w:pPr>
              <w:widowControl/>
              <w:spacing w:line="240" w:lineRule="exact"/>
              <w:jc w:val="center"/>
              <w:textAlignment w:val="center"/>
              <w:rPr>
                <w:rFonts w:ascii="仿宋_GB2312" w:hAnsi="宋体" w:eastAsia="仿宋_GB2312" w:cs="宋体"/>
                <w:sz w:val="18"/>
                <w:szCs w:val="18"/>
              </w:rPr>
            </w:pPr>
            <w:r>
              <w:rPr>
                <w:rFonts w:hint="eastAsia" w:ascii="仿宋_GB2312" w:hAnsi="宋体" w:eastAsia="仿宋_GB2312" w:cs="宋体"/>
                <w:sz w:val="18"/>
                <w:szCs w:val="18"/>
              </w:rPr>
              <w:t>77</w:t>
            </w:r>
          </w:p>
        </w:tc>
        <w:tc>
          <w:tcPr>
            <w:tcW w:w="1005" w:type="dxa"/>
            <w:tcBorders>
              <w:top w:val="single" w:color="000000" w:sz="4" w:space="0"/>
              <w:left w:val="single" w:color="000000" w:sz="4" w:space="0"/>
              <w:bottom w:val="single" w:color="000000" w:sz="4" w:space="0"/>
              <w:right w:val="single" w:color="000000" w:sz="4" w:space="0"/>
            </w:tcBorders>
            <w:vAlign w:val="center"/>
          </w:tcPr>
          <w:p w14:paraId="06BD8477">
            <w:pPr>
              <w:widowControl/>
              <w:spacing w:line="240" w:lineRule="exact"/>
              <w:jc w:val="center"/>
              <w:textAlignment w:val="center"/>
              <w:rPr>
                <w:rFonts w:ascii="仿宋_GB2312" w:hAnsi="宋体" w:eastAsia="仿宋_GB2312" w:cs="宋体"/>
                <w:sz w:val="18"/>
                <w:szCs w:val="18"/>
              </w:rPr>
            </w:pPr>
            <w:r>
              <w:rPr>
                <w:rFonts w:hint="eastAsia" w:ascii="仿宋_GB2312" w:hAnsi="宋体" w:eastAsia="仿宋_GB2312" w:cs="宋体"/>
                <w:sz w:val="18"/>
                <w:szCs w:val="18"/>
              </w:rPr>
              <w:t>27.3</w:t>
            </w:r>
          </w:p>
        </w:tc>
        <w:tc>
          <w:tcPr>
            <w:tcW w:w="855" w:type="dxa"/>
            <w:tcBorders>
              <w:top w:val="single" w:color="000000" w:sz="4" w:space="0"/>
              <w:left w:val="single" w:color="000000" w:sz="4" w:space="0"/>
              <w:bottom w:val="single" w:color="000000" w:sz="4" w:space="0"/>
              <w:right w:val="single" w:color="000000" w:sz="4" w:space="0"/>
            </w:tcBorders>
            <w:vAlign w:val="center"/>
          </w:tcPr>
          <w:p w14:paraId="205764D5">
            <w:pPr>
              <w:widowControl/>
              <w:spacing w:line="240" w:lineRule="exact"/>
              <w:jc w:val="center"/>
              <w:textAlignment w:val="center"/>
              <w:rPr>
                <w:rFonts w:ascii="仿宋_GB2312" w:hAnsi="宋体" w:eastAsia="仿宋_GB2312" w:cs="宋体"/>
                <w:sz w:val="18"/>
                <w:szCs w:val="18"/>
              </w:rPr>
            </w:pPr>
            <w:r>
              <w:rPr>
                <w:rFonts w:hint="eastAsia" w:ascii="仿宋_GB2312" w:hAnsi="宋体" w:eastAsia="仿宋_GB2312" w:cs="宋体"/>
                <w:sz w:val="18"/>
                <w:szCs w:val="18"/>
              </w:rPr>
              <w:t>64.55%</w:t>
            </w:r>
          </w:p>
        </w:tc>
      </w:tr>
    </w:tbl>
    <w:p w14:paraId="709795F5">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（2）</w:t>
      </w:r>
      <w:r>
        <w:rPr>
          <w:rFonts w:ascii="仿宋_GB2312" w:hAnsi="仿宋_GB2312" w:eastAsia="仿宋_GB2312" w:cs="仿宋_GB2312"/>
          <w:sz w:val="32"/>
          <w:szCs w:val="32"/>
          <w:lang w:val="zh-CN"/>
        </w:rPr>
        <w:t>资金分配</w:t>
      </w:r>
      <w:r>
        <w:rPr>
          <w:rFonts w:hint="eastAsia" w:ascii="仿宋_GB2312" w:hAnsi="仿宋_GB2312" w:eastAsia="仿宋_GB2312" w:cs="仿宋_GB2312"/>
          <w:sz w:val="32"/>
          <w:szCs w:val="32"/>
          <w:lang w:val="zh-CN"/>
        </w:rPr>
        <w:t>原则</w:t>
      </w:r>
    </w:p>
    <w:p w14:paraId="5A44E168">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项目资金按照“因素法”进行分配。具体分配测算方式为：根据铁路护路联防工作特点，选取对铁路护路联防工作支出影响较大的铁路线路管辖责任里程数、铁路护路联防工作及年终考核结果（铁路线路管辖责任里程数、铁路护路联防队员人数、铁路护路联防工作及绩效考核结果）等作为专项资金分配主要因素。其中，铁路线路管辖责任里程数权重为90%，铁路护路联防工作年终考核结果权重为10%。</w:t>
      </w:r>
    </w:p>
    <w:p w14:paraId="583D4E37">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hint="eastAsia" w:ascii="Times New Roman" w:hAnsi="Times New Roman" w:eastAsia="楷体_GB2312"/>
          <w:b/>
          <w:bCs/>
          <w:kern w:val="0"/>
          <w:sz w:val="32"/>
          <w:szCs w:val="32"/>
          <w:shd w:val="clear" w:color="auto" w:fill="FFFFFF"/>
          <w:lang w:val="zh-CN"/>
        </w:rPr>
        <w:t>（四）项目绩效目标设置。</w:t>
      </w:r>
    </w:p>
    <w:p w14:paraId="753F66D1">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（1）项目绩效目标</w:t>
      </w:r>
    </w:p>
    <w:p w14:paraId="21F79B3A">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2023年铁路护路经费申报绩效目标如下：</w:t>
      </w:r>
    </w:p>
    <w:tbl>
      <w:tblPr>
        <w:tblStyle w:val="16"/>
        <w:tblW w:w="8342" w:type="dxa"/>
        <w:tblInd w:w="0" w:type="dxa"/>
        <w:tblLayout w:type="fixed"/>
        <w:tblCellMar>
          <w:top w:w="15" w:type="dxa"/>
          <w:left w:w="15" w:type="dxa"/>
          <w:bottom w:w="15" w:type="dxa"/>
          <w:right w:w="15" w:type="dxa"/>
        </w:tblCellMar>
      </w:tblPr>
      <w:tblGrid>
        <w:gridCol w:w="1175"/>
        <w:gridCol w:w="1359"/>
        <w:gridCol w:w="1602"/>
        <w:gridCol w:w="4206"/>
      </w:tblGrid>
      <w:tr w14:paraId="24B26AB4">
        <w:tblPrEx>
          <w:tblCellMar>
            <w:top w:w="15" w:type="dxa"/>
            <w:left w:w="15" w:type="dxa"/>
            <w:bottom w:w="15" w:type="dxa"/>
            <w:right w:w="15" w:type="dxa"/>
          </w:tblCellMar>
        </w:tblPrEx>
        <w:trPr>
          <w:trHeight w:val="23" w:hRule="atLeast"/>
        </w:trPr>
        <w:tc>
          <w:tcPr>
            <w:tcW w:w="11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15701">
            <w:pPr>
              <w:widowControl/>
              <w:spacing w:line="300" w:lineRule="exact"/>
              <w:jc w:val="center"/>
              <w:textAlignment w:val="center"/>
              <w:rPr>
                <w:rFonts w:ascii="仿宋_GB2312" w:hAnsi="宋体" w:eastAsia="仿宋_GB2312" w:cs="宋体"/>
                <w:kern w:val="0"/>
                <w:sz w:val="18"/>
                <w:szCs w:val="18"/>
              </w:rPr>
            </w:pPr>
            <w:r>
              <w:rPr>
                <w:rFonts w:hint="eastAsia" w:ascii="仿宋_GB2312" w:hAnsi="宋体" w:eastAsia="仿宋_GB2312" w:cs="宋体"/>
                <w:kern w:val="0"/>
                <w:sz w:val="18"/>
                <w:szCs w:val="18"/>
              </w:rPr>
              <w:t>一级指标</w:t>
            </w:r>
          </w:p>
        </w:tc>
        <w:tc>
          <w:tcPr>
            <w:tcW w:w="13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DFD4D">
            <w:pPr>
              <w:widowControl/>
              <w:spacing w:line="300" w:lineRule="exact"/>
              <w:jc w:val="center"/>
              <w:textAlignment w:val="center"/>
              <w:rPr>
                <w:rFonts w:ascii="仿宋_GB2312" w:hAnsi="宋体" w:eastAsia="仿宋_GB2312" w:cs="宋体"/>
                <w:kern w:val="0"/>
                <w:sz w:val="18"/>
                <w:szCs w:val="18"/>
              </w:rPr>
            </w:pPr>
            <w:r>
              <w:rPr>
                <w:rFonts w:hint="eastAsia" w:ascii="仿宋_GB2312" w:hAnsi="宋体" w:eastAsia="仿宋_GB2312" w:cs="宋体"/>
                <w:kern w:val="0"/>
                <w:sz w:val="18"/>
                <w:szCs w:val="18"/>
              </w:rPr>
              <w:t>二级指标</w:t>
            </w: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7896F">
            <w:pPr>
              <w:widowControl/>
              <w:spacing w:line="300" w:lineRule="exact"/>
              <w:jc w:val="center"/>
              <w:textAlignment w:val="center"/>
              <w:rPr>
                <w:rFonts w:ascii="仿宋_GB2312" w:hAnsi="宋体" w:eastAsia="仿宋_GB2312" w:cs="宋体"/>
                <w:kern w:val="0"/>
                <w:sz w:val="18"/>
                <w:szCs w:val="18"/>
              </w:rPr>
            </w:pPr>
            <w:r>
              <w:rPr>
                <w:rFonts w:hint="eastAsia" w:ascii="仿宋_GB2312" w:hAnsi="宋体" w:eastAsia="仿宋_GB2312" w:cs="宋体"/>
                <w:kern w:val="0"/>
                <w:sz w:val="18"/>
                <w:szCs w:val="18"/>
              </w:rPr>
              <w:t>三级指标</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A360F">
            <w:pPr>
              <w:widowControl/>
              <w:spacing w:line="300" w:lineRule="exact"/>
              <w:jc w:val="center"/>
              <w:textAlignment w:val="center"/>
              <w:rPr>
                <w:rFonts w:ascii="仿宋_GB2312" w:hAnsi="宋体" w:eastAsia="仿宋_GB2312" w:cs="宋体"/>
                <w:kern w:val="0"/>
                <w:sz w:val="18"/>
                <w:szCs w:val="18"/>
              </w:rPr>
            </w:pPr>
            <w:r>
              <w:rPr>
                <w:rFonts w:hint="eastAsia" w:ascii="仿宋_GB2312" w:hAnsi="宋体" w:eastAsia="仿宋_GB2312" w:cs="宋体"/>
                <w:kern w:val="0"/>
                <w:sz w:val="18"/>
                <w:szCs w:val="18"/>
              </w:rPr>
              <w:t>指标值</w:t>
            </w:r>
          </w:p>
        </w:tc>
      </w:tr>
      <w:tr w14:paraId="1B45B7F3">
        <w:tblPrEx>
          <w:tblCellMar>
            <w:top w:w="15" w:type="dxa"/>
            <w:left w:w="15" w:type="dxa"/>
            <w:bottom w:w="15" w:type="dxa"/>
            <w:right w:w="15" w:type="dxa"/>
          </w:tblCellMar>
        </w:tblPrEx>
        <w:trPr>
          <w:trHeight w:val="23" w:hRule="atLeast"/>
        </w:trPr>
        <w:tc>
          <w:tcPr>
            <w:tcW w:w="1175" w:type="dxa"/>
            <w:vMerge w:val="restart"/>
            <w:tcBorders>
              <w:top w:val="single" w:color="000000" w:sz="4" w:space="0"/>
              <w:left w:val="single" w:color="000000" w:sz="4" w:space="0"/>
              <w:right w:val="single" w:color="000000" w:sz="4" w:space="0"/>
            </w:tcBorders>
            <w:shd w:val="clear" w:color="auto" w:fill="auto"/>
            <w:vAlign w:val="center"/>
          </w:tcPr>
          <w:p w14:paraId="301EE717">
            <w:pPr>
              <w:widowControl/>
              <w:spacing w:line="300" w:lineRule="exact"/>
              <w:jc w:val="center"/>
              <w:textAlignment w:val="center"/>
              <w:rPr>
                <w:rFonts w:ascii="仿宋_GB2312" w:hAnsi="宋体" w:eastAsia="仿宋_GB2312" w:cs="宋体"/>
                <w:kern w:val="0"/>
                <w:sz w:val="18"/>
                <w:szCs w:val="18"/>
              </w:rPr>
            </w:pPr>
            <w:r>
              <w:rPr>
                <w:rFonts w:hint="eastAsia" w:ascii="仿宋_GB2312" w:hAnsi="宋体" w:eastAsia="仿宋_GB2312" w:cs="宋体"/>
                <w:kern w:val="0"/>
                <w:sz w:val="18"/>
                <w:szCs w:val="18"/>
              </w:rPr>
              <w:t>产出指标</w:t>
            </w:r>
          </w:p>
        </w:tc>
        <w:tc>
          <w:tcPr>
            <w:tcW w:w="1359" w:type="dxa"/>
            <w:vMerge w:val="restart"/>
            <w:tcBorders>
              <w:top w:val="single" w:color="000000" w:sz="4" w:space="0"/>
              <w:left w:val="single" w:color="000000" w:sz="4" w:space="0"/>
              <w:right w:val="single" w:color="000000" w:sz="4" w:space="0"/>
            </w:tcBorders>
            <w:shd w:val="clear" w:color="auto" w:fill="auto"/>
            <w:vAlign w:val="center"/>
          </w:tcPr>
          <w:p w14:paraId="701CFB98">
            <w:pPr>
              <w:widowControl/>
              <w:spacing w:line="300" w:lineRule="exact"/>
              <w:jc w:val="center"/>
              <w:textAlignment w:val="center"/>
              <w:rPr>
                <w:rFonts w:ascii="仿宋_GB2312" w:hAnsi="宋体" w:eastAsia="仿宋_GB2312" w:cs="宋体"/>
                <w:kern w:val="0"/>
                <w:sz w:val="18"/>
                <w:szCs w:val="18"/>
              </w:rPr>
            </w:pPr>
            <w:r>
              <w:rPr>
                <w:rFonts w:hint="eastAsia" w:ascii="仿宋_GB2312" w:hAnsi="宋体" w:eastAsia="仿宋_GB2312" w:cs="宋体"/>
                <w:kern w:val="0"/>
                <w:sz w:val="18"/>
                <w:szCs w:val="18"/>
              </w:rPr>
              <w:t>数量指标</w:t>
            </w: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4438F">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出动护路人次</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18FFB">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不定期巡络，确保出动护路人次不低于460人次。</w:t>
            </w:r>
          </w:p>
        </w:tc>
      </w:tr>
      <w:tr w14:paraId="4ECEC5D3">
        <w:tblPrEx>
          <w:tblCellMar>
            <w:top w:w="15" w:type="dxa"/>
            <w:left w:w="15" w:type="dxa"/>
            <w:bottom w:w="15" w:type="dxa"/>
            <w:right w:w="15" w:type="dxa"/>
          </w:tblCellMar>
        </w:tblPrEx>
        <w:trPr>
          <w:trHeight w:val="23" w:hRule="atLeast"/>
        </w:trPr>
        <w:tc>
          <w:tcPr>
            <w:tcW w:w="1175" w:type="dxa"/>
            <w:vMerge w:val="continue"/>
            <w:tcBorders>
              <w:left w:val="single" w:color="000000" w:sz="4" w:space="0"/>
              <w:right w:val="single" w:color="000000" w:sz="4" w:space="0"/>
            </w:tcBorders>
            <w:shd w:val="clear" w:color="auto" w:fill="auto"/>
            <w:vAlign w:val="center"/>
          </w:tcPr>
          <w:p w14:paraId="62B4995B">
            <w:pPr>
              <w:widowControl/>
              <w:spacing w:line="300" w:lineRule="exact"/>
              <w:jc w:val="center"/>
              <w:textAlignment w:val="center"/>
              <w:rPr>
                <w:rFonts w:ascii="仿宋_GB2312" w:hAnsi="宋体" w:eastAsia="仿宋_GB2312" w:cs="宋体"/>
                <w:kern w:val="0"/>
                <w:sz w:val="18"/>
                <w:szCs w:val="18"/>
              </w:rPr>
            </w:pPr>
          </w:p>
        </w:tc>
        <w:tc>
          <w:tcPr>
            <w:tcW w:w="1359" w:type="dxa"/>
            <w:vMerge w:val="continue"/>
            <w:tcBorders>
              <w:left w:val="single" w:color="000000" w:sz="4" w:space="0"/>
              <w:right w:val="single" w:color="000000" w:sz="4" w:space="0"/>
            </w:tcBorders>
            <w:shd w:val="clear" w:color="auto" w:fill="auto"/>
            <w:vAlign w:val="center"/>
          </w:tcPr>
          <w:p w14:paraId="6168A1E3">
            <w:pPr>
              <w:widowControl/>
              <w:spacing w:line="300" w:lineRule="exact"/>
              <w:jc w:val="center"/>
              <w:textAlignment w:val="center"/>
              <w:rPr>
                <w:rFonts w:ascii="仿宋_GB2312" w:hAnsi="宋体" w:eastAsia="仿宋_GB2312" w:cs="宋体"/>
                <w:kern w:val="0"/>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39218">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宣传次数</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8C59E4">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不定期开展爱路护路宣传教育活动，全省每年不少于37次。</w:t>
            </w:r>
          </w:p>
        </w:tc>
      </w:tr>
      <w:tr w14:paraId="7AF24D68">
        <w:tblPrEx>
          <w:tblCellMar>
            <w:top w:w="15" w:type="dxa"/>
            <w:left w:w="15" w:type="dxa"/>
            <w:bottom w:w="15" w:type="dxa"/>
            <w:right w:w="15" w:type="dxa"/>
          </w:tblCellMar>
        </w:tblPrEx>
        <w:trPr>
          <w:trHeight w:val="23" w:hRule="atLeast"/>
        </w:trPr>
        <w:tc>
          <w:tcPr>
            <w:tcW w:w="1175" w:type="dxa"/>
            <w:vMerge w:val="continue"/>
            <w:tcBorders>
              <w:left w:val="single" w:color="000000" w:sz="4" w:space="0"/>
              <w:right w:val="single" w:color="000000" w:sz="4" w:space="0"/>
            </w:tcBorders>
            <w:shd w:val="clear" w:color="auto" w:fill="auto"/>
            <w:vAlign w:val="center"/>
          </w:tcPr>
          <w:p w14:paraId="56BB5377">
            <w:pPr>
              <w:spacing w:line="300" w:lineRule="exact"/>
              <w:jc w:val="center"/>
              <w:rPr>
                <w:rFonts w:ascii="仿宋_GB2312" w:hAnsi="宋体" w:eastAsia="仿宋_GB2312" w:cs="宋体"/>
                <w:kern w:val="0"/>
                <w:sz w:val="18"/>
                <w:szCs w:val="18"/>
              </w:rPr>
            </w:pPr>
          </w:p>
        </w:tc>
        <w:tc>
          <w:tcPr>
            <w:tcW w:w="1359" w:type="dxa"/>
            <w:vMerge w:val="continue"/>
            <w:tcBorders>
              <w:left w:val="single" w:color="000000" w:sz="4" w:space="0"/>
              <w:right w:val="single" w:color="000000" w:sz="4" w:space="0"/>
            </w:tcBorders>
            <w:shd w:val="clear" w:color="auto" w:fill="auto"/>
            <w:vAlign w:val="center"/>
          </w:tcPr>
          <w:p w14:paraId="1779F443">
            <w:pPr>
              <w:spacing w:line="300" w:lineRule="exact"/>
              <w:jc w:val="center"/>
              <w:rPr>
                <w:rFonts w:ascii="仿宋_GB2312" w:hAnsi="宋体" w:eastAsia="仿宋_GB2312" w:cs="宋体"/>
                <w:kern w:val="0"/>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839A3">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护路里程</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C2501">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全市608公里</w:t>
            </w:r>
          </w:p>
        </w:tc>
      </w:tr>
      <w:tr w14:paraId="5B9C913D">
        <w:tblPrEx>
          <w:tblCellMar>
            <w:top w:w="15" w:type="dxa"/>
            <w:left w:w="15" w:type="dxa"/>
            <w:bottom w:w="15" w:type="dxa"/>
            <w:right w:w="15" w:type="dxa"/>
          </w:tblCellMar>
        </w:tblPrEx>
        <w:trPr>
          <w:trHeight w:val="23" w:hRule="atLeast"/>
        </w:trPr>
        <w:tc>
          <w:tcPr>
            <w:tcW w:w="1175" w:type="dxa"/>
            <w:vMerge w:val="continue"/>
            <w:tcBorders>
              <w:left w:val="single" w:color="000000" w:sz="4" w:space="0"/>
              <w:right w:val="single" w:color="000000" w:sz="4" w:space="0"/>
            </w:tcBorders>
            <w:shd w:val="clear" w:color="auto" w:fill="auto"/>
            <w:vAlign w:val="center"/>
          </w:tcPr>
          <w:p w14:paraId="5BA02AC4">
            <w:pPr>
              <w:spacing w:line="300" w:lineRule="exact"/>
              <w:jc w:val="center"/>
              <w:rPr>
                <w:rFonts w:ascii="仿宋_GB2312" w:hAnsi="宋体" w:eastAsia="仿宋_GB2312" w:cs="宋体"/>
                <w:kern w:val="0"/>
                <w:sz w:val="18"/>
                <w:szCs w:val="18"/>
              </w:rPr>
            </w:pPr>
          </w:p>
        </w:tc>
        <w:tc>
          <w:tcPr>
            <w:tcW w:w="1359" w:type="dxa"/>
            <w:vMerge w:val="continue"/>
            <w:tcBorders>
              <w:left w:val="single" w:color="000000" w:sz="4" w:space="0"/>
              <w:bottom w:val="single" w:color="000000" w:sz="4" w:space="0"/>
              <w:right w:val="single" w:color="000000" w:sz="4" w:space="0"/>
            </w:tcBorders>
            <w:shd w:val="clear" w:color="auto" w:fill="auto"/>
            <w:vAlign w:val="center"/>
          </w:tcPr>
          <w:p w14:paraId="0621EEC1">
            <w:pPr>
              <w:spacing w:line="300" w:lineRule="exact"/>
              <w:jc w:val="center"/>
              <w:rPr>
                <w:rFonts w:ascii="仿宋_GB2312" w:hAnsi="宋体" w:eastAsia="仿宋_GB2312" w:cs="宋体"/>
                <w:kern w:val="0"/>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C3117">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隐患排查</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286D1">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不定期开展安全隐患排查，不低于24次</w:t>
            </w:r>
          </w:p>
        </w:tc>
      </w:tr>
      <w:tr w14:paraId="68C37D7D">
        <w:tblPrEx>
          <w:tblCellMar>
            <w:top w:w="15" w:type="dxa"/>
            <w:left w:w="15" w:type="dxa"/>
            <w:bottom w:w="15" w:type="dxa"/>
            <w:right w:w="15" w:type="dxa"/>
          </w:tblCellMar>
        </w:tblPrEx>
        <w:trPr>
          <w:trHeight w:val="23" w:hRule="atLeast"/>
        </w:trPr>
        <w:tc>
          <w:tcPr>
            <w:tcW w:w="1175" w:type="dxa"/>
            <w:vMerge w:val="continue"/>
            <w:tcBorders>
              <w:left w:val="single" w:color="000000" w:sz="4" w:space="0"/>
              <w:right w:val="single" w:color="000000" w:sz="4" w:space="0"/>
            </w:tcBorders>
            <w:shd w:val="clear" w:color="auto" w:fill="auto"/>
            <w:vAlign w:val="center"/>
          </w:tcPr>
          <w:p w14:paraId="2395E0A1">
            <w:pPr>
              <w:spacing w:line="300" w:lineRule="exact"/>
              <w:jc w:val="center"/>
              <w:rPr>
                <w:rFonts w:ascii="仿宋_GB2312" w:hAnsi="宋体" w:eastAsia="仿宋_GB2312" w:cs="宋体"/>
                <w:kern w:val="0"/>
                <w:sz w:val="18"/>
                <w:szCs w:val="18"/>
              </w:rPr>
            </w:pPr>
          </w:p>
        </w:tc>
        <w:tc>
          <w:tcPr>
            <w:tcW w:w="135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33B07C">
            <w:pPr>
              <w:widowControl/>
              <w:spacing w:line="300" w:lineRule="exact"/>
              <w:jc w:val="center"/>
              <w:textAlignment w:val="center"/>
              <w:rPr>
                <w:rFonts w:ascii="仿宋_GB2312" w:hAnsi="宋体" w:eastAsia="仿宋_GB2312" w:cs="宋体"/>
                <w:kern w:val="0"/>
                <w:sz w:val="18"/>
                <w:szCs w:val="18"/>
              </w:rPr>
            </w:pPr>
            <w:r>
              <w:rPr>
                <w:rFonts w:hint="eastAsia" w:ascii="仿宋_GB2312" w:hAnsi="宋体" w:eastAsia="仿宋_GB2312" w:cs="宋体"/>
                <w:kern w:val="0"/>
                <w:sz w:val="18"/>
                <w:szCs w:val="18"/>
              </w:rPr>
              <w:t>质量指标</w:t>
            </w: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940A4">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安全事故发生率</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7A763">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全年安全事故小于等于2次</w:t>
            </w:r>
          </w:p>
        </w:tc>
      </w:tr>
      <w:tr w14:paraId="2F92A5C4">
        <w:tblPrEx>
          <w:tblCellMar>
            <w:top w:w="15" w:type="dxa"/>
            <w:left w:w="15" w:type="dxa"/>
            <w:bottom w:w="15" w:type="dxa"/>
            <w:right w:w="15" w:type="dxa"/>
          </w:tblCellMar>
        </w:tblPrEx>
        <w:trPr>
          <w:trHeight w:val="23" w:hRule="atLeast"/>
        </w:trPr>
        <w:tc>
          <w:tcPr>
            <w:tcW w:w="1175" w:type="dxa"/>
            <w:vMerge w:val="continue"/>
            <w:tcBorders>
              <w:left w:val="single" w:color="000000" w:sz="4" w:space="0"/>
              <w:right w:val="single" w:color="000000" w:sz="4" w:space="0"/>
            </w:tcBorders>
            <w:shd w:val="clear" w:color="auto" w:fill="auto"/>
            <w:vAlign w:val="center"/>
          </w:tcPr>
          <w:p w14:paraId="01BBE690">
            <w:pPr>
              <w:spacing w:line="300" w:lineRule="exact"/>
              <w:jc w:val="center"/>
              <w:rPr>
                <w:rFonts w:ascii="仿宋_GB2312" w:hAnsi="宋体" w:eastAsia="仿宋_GB2312" w:cs="宋体"/>
                <w:kern w:val="0"/>
                <w:sz w:val="18"/>
                <w:szCs w:val="18"/>
              </w:rPr>
            </w:pPr>
          </w:p>
        </w:tc>
        <w:tc>
          <w:tcPr>
            <w:tcW w:w="13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E7D3F8">
            <w:pPr>
              <w:spacing w:line="300" w:lineRule="exact"/>
              <w:jc w:val="center"/>
              <w:rPr>
                <w:rFonts w:ascii="仿宋_GB2312" w:hAnsi="宋体" w:eastAsia="仿宋_GB2312" w:cs="宋体"/>
                <w:kern w:val="0"/>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6B818">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护路安全率</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F2134">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确保安全率达到99%</w:t>
            </w:r>
          </w:p>
        </w:tc>
      </w:tr>
      <w:tr w14:paraId="531B8B76">
        <w:tblPrEx>
          <w:tblCellMar>
            <w:top w:w="15" w:type="dxa"/>
            <w:left w:w="15" w:type="dxa"/>
            <w:bottom w:w="15" w:type="dxa"/>
            <w:right w:w="15" w:type="dxa"/>
          </w:tblCellMar>
        </w:tblPrEx>
        <w:trPr>
          <w:trHeight w:val="23" w:hRule="atLeast"/>
        </w:trPr>
        <w:tc>
          <w:tcPr>
            <w:tcW w:w="1175" w:type="dxa"/>
            <w:vMerge w:val="continue"/>
            <w:tcBorders>
              <w:left w:val="single" w:color="000000" w:sz="4" w:space="0"/>
              <w:right w:val="single" w:color="000000" w:sz="4" w:space="0"/>
            </w:tcBorders>
            <w:shd w:val="clear" w:color="auto" w:fill="auto"/>
            <w:vAlign w:val="center"/>
          </w:tcPr>
          <w:p w14:paraId="74BCAB93">
            <w:pPr>
              <w:spacing w:line="300" w:lineRule="exact"/>
              <w:jc w:val="center"/>
              <w:rPr>
                <w:rFonts w:ascii="仿宋_GB2312" w:hAnsi="宋体" w:eastAsia="仿宋_GB2312" w:cs="宋体"/>
                <w:kern w:val="0"/>
                <w:sz w:val="18"/>
                <w:szCs w:val="18"/>
              </w:rPr>
            </w:pPr>
          </w:p>
        </w:tc>
        <w:tc>
          <w:tcPr>
            <w:tcW w:w="1359" w:type="dxa"/>
            <w:vMerge w:val="restart"/>
            <w:tcBorders>
              <w:top w:val="single" w:color="000000" w:sz="4" w:space="0"/>
              <w:left w:val="single" w:color="000000" w:sz="4" w:space="0"/>
              <w:right w:val="single" w:color="000000" w:sz="4" w:space="0"/>
            </w:tcBorders>
            <w:shd w:val="clear" w:color="auto" w:fill="auto"/>
            <w:vAlign w:val="center"/>
          </w:tcPr>
          <w:p w14:paraId="46E19C51">
            <w:pPr>
              <w:widowControl/>
              <w:spacing w:line="300" w:lineRule="exact"/>
              <w:jc w:val="center"/>
              <w:textAlignment w:val="center"/>
              <w:rPr>
                <w:rFonts w:ascii="仿宋_GB2312" w:hAnsi="宋体" w:eastAsia="仿宋_GB2312" w:cs="宋体"/>
                <w:kern w:val="0"/>
                <w:sz w:val="18"/>
                <w:szCs w:val="18"/>
              </w:rPr>
            </w:pPr>
            <w:r>
              <w:rPr>
                <w:rFonts w:hint="eastAsia" w:ascii="仿宋_GB2312" w:hAnsi="宋体" w:eastAsia="仿宋_GB2312" w:cs="宋体"/>
                <w:kern w:val="0"/>
                <w:sz w:val="18"/>
                <w:szCs w:val="18"/>
              </w:rPr>
              <w:t>时效指标</w:t>
            </w: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5EDDB7">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处置铁路沿线隐患事故</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E4A76">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发现隐患后，处置时间小于等于30分钟</w:t>
            </w:r>
          </w:p>
        </w:tc>
      </w:tr>
      <w:tr w14:paraId="29050456">
        <w:tblPrEx>
          <w:tblCellMar>
            <w:top w:w="15" w:type="dxa"/>
            <w:left w:w="15" w:type="dxa"/>
            <w:bottom w:w="15" w:type="dxa"/>
            <w:right w:w="15" w:type="dxa"/>
          </w:tblCellMar>
        </w:tblPrEx>
        <w:trPr>
          <w:trHeight w:val="23" w:hRule="atLeast"/>
        </w:trPr>
        <w:tc>
          <w:tcPr>
            <w:tcW w:w="1175" w:type="dxa"/>
            <w:vMerge w:val="continue"/>
            <w:tcBorders>
              <w:left w:val="single" w:color="000000" w:sz="4" w:space="0"/>
              <w:right w:val="single" w:color="000000" w:sz="4" w:space="0"/>
            </w:tcBorders>
            <w:shd w:val="clear" w:color="auto" w:fill="auto"/>
            <w:vAlign w:val="center"/>
          </w:tcPr>
          <w:p w14:paraId="48BDE354">
            <w:pPr>
              <w:spacing w:line="300" w:lineRule="exact"/>
              <w:jc w:val="center"/>
              <w:rPr>
                <w:rFonts w:ascii="仿宋_GB2312" w:hAnsi="宋体" w:eastAsia="仿宋_GB2312" w:cs="宋体"/>
                <w:kern w:val="0"/>
                <w:sz w:val="18"/>
                <w:szCs w:val="18"/>
              </w:rPr>
            </w:pPr>
          </w:p>
        </w:tc>
        <w:tc>
          <w:tcPr>
            <w:tcW w:w="1359" w:type="dxa"/>
            <w:vMerge w:val="continue"/>
            <w:tcBorders>
              <w:left w:val="single" w:color="000000" w:sz="4" w:space="0"/>
              <w:right w:val="single" w:color="000000" w:sz="4" w:space="0"/>
            </w:tcBorders>
            <w:shd w:val="clear" w:color="auto" w:fill="auto"/>
            <w:vAlign w:val="center"/>
          </w:tcPr>
          <w:p w14:paraId="1C9DB090">
            <w:pPr>
              <w:spacing w:line="300" w:lineRule="exact"/>
              <w:jc w:val="center"/>
              <w:rPr>
                <w:rFonts w:ascii="仿宋_GB2312" w:hAnsi="宋体" w:eastAsia="仿宋_GB2312" w:cs="宋体"/>
                <w:kern w:val="0"/>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CF543">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铁路沿线信息收集</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0776A">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铁路沿线信息收集时间小于等于30分钟</w:t>
            </w:r>
          </w:p>
        </w:tc>
      </w:tr>
      <w:tr w14:paraId="4AF03F0A">
        <w:tblPrEx>
          <w:tblCellMar>
            <w:top w:w="15" w:type="dxa"/>
            <w:left w:w="15" w:type="dxa"/>
            <w:bottom w:w="15" w:type="dxa"/>
            <w:right w:w="15" w:type="dxa"/>
          </w:tblCellMar>
        </w:tblPrEx>
        <w:trPr>
          <w:trHeight w:val="23" w:hRule="atLeast"/>
        </w:trPr>
        <w:tc>
          <w:tcPr>
            <w:tcW w:w="1175" w:type="dxa"/>
            <w:vMerge w:val="continue"/>
            <w:tcBorders>
              <w:left w:val="single" w:color="000000" w:sz="4" w:space="0"/>
              <w:right w:val="single" w:color="000000" w:sz="4" w:space="0"/>
            </w:tcBorders>
            <w:shd w:val="clear" w:color="auto" w:fill="auto"/>
            <w:vAlign w:val="center"/>
          </w:tcPr>
          <w:p w14:paraId="174E9C1D">
            <w:pPr>
              <w:spacing w:line="300" w:lineRule="exact"/>
              <w:jc w:val="center"/>
              <w:rPr>
                <w:rFonts w:ascii="仿宋_GB2312" w:hAnsi="宋体" w:eastAsia="仿宋_GB2312" w:cs="宋体"/>
                <w:kern w:val="0"/>
                <w:sz w:val="18"/>
                <w:szCs w:val="18"/>
              </w:rPr>
            </w:pPr>
          </w:p>
        </w:tc>
        <w:tc>
          <w:tcPr>
            <w:tcW w:w="1359" w:type="dxa"/>
            <w:vMerge w:val="continue"/>
            <w:tcBorders>
              <w:left w:val="single" w:color="000000" w:sz="4" w:space="0"/>
              <w:bottom w:val="single" w:color="000000" w:sz="4" w:space="0"/>
              <w:right w:val="single" w:color="000000" w:sz="4" w:space="0"/>
            </w:tcBorders>
            <w:shd w:val="clear" w:color="auto" w:fill="auto"/>
            <w:vAlign w:val="center"/>
          </w:tcPr>
          <w:p w14:paraId="580944EB">
            <w:pPr>
              <w:widowControl/>
              <w:spacing w:line="300" w:lineRule="exact"/>
              <w:jc w:val="center"/>
              <w:textAlignment w:val="center"/>
              <w:rPr>
                <w:rFonts w:ascii="仿宋_GB2312" w:hAnsi="宋体" w:eastAsia="仿宋_GB2312" w:cs="宋体"/>
                <w:kern w:val="0"/>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0554A">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铁路沿线治安防控</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726AF">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铁路沿线治安防控时间小于等于30分钟</w:t>
            </w:r>
          </w:p>
        </w:tc>
      </w:tr>
      <w:tr w14:paraId="7BD7BD81">
        <w:tblPrEx>
          <w:tblCellMar>
            <w:top w:w="15" w:type="dxa"/>
            <w:left w:w="15" w:type="dxa"/>
            <w:bottom w:w="15" w:type="dxa"/>
            <w:right w:w="15" w:type="dxa"/>
          </w:tblCellMar>
        </w:tblPrEx>
        <w:trPr>
          <w:trHeight w:val="23" w:hRule="atLeast"/>
        </w:trPr>
        <w:tc>
          <w:tcPr>
            <w:tcW w:w="11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D65F91">
            <w:pPr>
              <w:widowControl/>
              <w:spacing w:line="300" w:lineRule="exact"/>
              <w:jc w:val="center"/>
              <w:textAlignment w:val="center"/>
              <w:rPr>
                <w:rFonts w:ascii="仿宋_GB2312" w:hAnsi="宋体" w:eastAsia="仿宋_GB2312" w:cs="宋体"/>
                <w:kern w:val="0"/>
                <w:sz w:val="18"/>
                <w:szCs w:val="18"/>
              </w:rPr>
            </w:pPr>
            <w:r>
              <w:rPr>
                <w:rFonts w:hint="eastAsia" w:ascii="仿宋_GB2312" w:hAnsi="宋体" w:eastAsia="仿宋_GB2312" w:cs="宋体"/>
                <w:kern w:val="0"/>
                <w:sz w:val="18"/>
                <w:szCs w:val="18"/>
              </w:rPr>
              <w:t>效益指标</w:t>
            </w:r>
          </w:p>
        </w:tc>
        <w:tc>
          <w:tcPr>
            <w:tcW w:w="135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71BD4EB">
            <w:pPr>
              <w:widowControl/>
              <w:spacing w:line="300" w:lineRule="exact"/>
              <w:jc w:val="center"/>
              <w:textAlignment w:val="center"/>
              <w:rPr>
                <w:rFonts w:ascii="仿宋_GB2312" w:hAnsi="宋体" w:eastAsia="仿宋_GB2312" w:cs="宋体"/>
                <w:kern w:val="0"/>
                <w:sz w:val="18"/>
                <w:szCs w:val="18"/>
              </w:rPr>
            </w:pPr>
            <w:r>
              <w:rPr>
                <w:rFonts w:hint="eastAsia" w:ascii="仿宋_GB2312" w:hAnsi="宋体" w:eastAsia="仿宋_GB2312" w:cs="宋体"/>
                <w:kern w:val="0"/>
                <w:sz w:val="18"/>
                <w:szCs w:val="18"/>
              </w:rPr>
              <w:t>经济效益</w:t>
            </w:r>
          </w:p>
          <w:p w14:paraId="0284DA7F">
            <w:pPr>
              <w:widowControl/>
              <w:spacing w:line="300" w:lineRule="exact"/>
              <w:jc w:val="center"/>
              <w:textAlignment w:val="center"/>
              <w:rPr>
                <w:rFonts w:ascii="仿宋_GB2312" w:hAnsi="宋体" w:eastAsia="仿宋_GB2312" w:cs="宋体"/>
                <w:kern w:val="0"/>
                <w:sz w:val="18"/>
                <w:szCs w:val="18"/>
              </w:rPr>
            </w:pPr>
            <w:r>
              <w:rPr>
                <w:rFonts w:hint="eastAsia" w:ascii="仿宋_GB2312" w:hAnsi="宋体" w:eastAsia="仿宋_GB2312" w:cs="宋体"/>
                <w:kern w:val="0"/>
                <w:sz w:val="18"/>
                <w:szCs w:val="18"/>
              </w:rPr>
              <w:t>指标</w:t>
            </w: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7EA1A">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抢劫铁路物资事件</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EE6C3">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铁路沿线，抢劫铁路物资事件小于等于1次</w:t>
            </w:r>
          </w:p>
        </w:tc>
      </w:tr>
      <w:tr w14:paraId="2100D594">
        <w:tblPrEx>
          <w:tblCellMar>
            <w:top w:w="15" w:type="dxa"/>
            <w:left w:w="15" w:type="dxa"/>
            <w:bottom w:w="15" w:type="dxa"/>
            <w:right w:w="15" w:type="dxa"/>
          </w:tblCellMar>
        </w:tblPrEx>
        <w:trPr>
          <w:trHeight w:val="23" w:hRule="atLeast"/>
        </w:trPr>
        <w:tc>
          <w:tcPr>
            <w:tcW w:w="11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CCFFF8">
            <w:pPr>
              <w:spacing w:line="300" w:lineRule="exact"/>
              <w:jc w:val="center"/>
              <w:rPr>
                <w:rFonts w:ascii="仿宋_GB2312" w:hAnsi="宋体" w:eastAsia="仿宋_GB2312" w:cs="宋体"/>
                <w:kern w:val="0"/>
                <w:sz w:val="18"/>
                <w:szCs w:val="18"/>
              </w:rPr>
            </w:pPr>
          </w:p>
        </w:tc>
        <w:tc>
          <w:tcPr>
            <w:tcW w:w="13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5D2444">
            <w:pPr>
              <w:spacing w:line="300" w:lineRule="exact"/>
              <w:jc w:val="center"/>
              <w:rPr>
                <w:rFonts w:ascii="仿宋_GB2312" w:hAnsi="宋体" w:eastAsia="仿宋_GB2312" w:cs="宋体"/>
                <w:kern w:val="0"/>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F4DC6">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铁路设施被盗</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A9DFD">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铁路沿线，铁路设施被盗事件小于等于1次</w:t>
            </w:r>
          </w:p>
        </w:tc>
      </w:tr>
      <w:tr w14:paraId="411164A6">
        <w:tblPrEx>
          <w:tblCellMar>
            <w:top w:w="15" w:type="dxa"/>
            <w:left w:w="15" w:type="dxa"/>
            <w:bottom w:w="15" w:type="dxa"/>
            <w:right w:w="15" w:type="dxa"/>
          </w:tblCellMar>
        </w:tblPrEx>
        <w:trPr>
          <w:trHeight w:val="23" w:hRule="atLeast"/>
        </w:trPr>
        <w:tc>
          <w:tcPr>
            <w:tcW w:w="11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C8DF36">
            <w:pPr>
              <w:spacing w:line="300" w:lineRule="exact"/>
              <w:jc w:val="center"/>
              <w:rPr>
                <w:rFonts w:ascii="仿宋_GB2312" w:hAnsi="宋体" w:eastAsia="仿宋_GB2312" w:cs="宋体"/>
                <w:kern w:val="0"/>
                <w:sz w:val="18"/>
                <w:szCs w:val="18"/>
              </w:rPr>
            </w:pPr>
          </w:p>
        </w:tc>
        <w:tc>
          <w:tcPr>
            <w:tcW w:w="1359" w:type="dxa"/>
            <w:vMerge w:val="restart"/>
            <w:tcBorders>
              <w:top w:val="single" w:color="000000" w:sz="4" w:space="0"/>
              <w:left w:val="single" w:color="000000" w:sz="4" w:space="0"/>
              <w:right w:val="single" w:color="000000" w:sz="4" w:space="0"/>
            </w:tcBorders>
            <w:shd w:val="clear" w:color="auto" w:fill="auto"/>
            <w:vAlign w:val="center"/>
          </w:tcPr>
          <w:p w14:paraId="5409C514">
            <w:pPr>
              <w:widowControl/>
              <w:spacing w:line="300" w:lineRule="exact"/>
              <w:jc w:val="center"/>
              <w:textAlignment w:val="center"/>
              <w:rPr>
                <w:rFonts w:ascii="仿宋_GB2312" w:hAnsi="宋体" w:eastAsia="仿宋_GB2312" w:cs="宋体"/>
                <w:kern w:val="0"/>
                <w:sz w:val="18"/>
                <w:szCs w:val="18"/>
              </w:rPr>
            </w:pPr>
            <w:r>
              <w:rPr>
                <w:rFonts w:hint="eastAsia" w:ascii="仿宋_GB2312" w:hAnsi="宋体" w:eastAsia="仿宋_GB2312" w:cs="宋体"/>
                <w:kern w:val="0"/>
                <w:sz w:val="18"/>
                <w:szCs w:val="18"/>
              </w:rPr>
              <w:t>社会效益</w:t>
            </w:r>
          </w:p>
          <w:p w14:paraId="0EFB5535">
            <w:pPr>
              <w:widowControl/>
              <w:spacing w:line="300" w:lineRule="exact"/>
              <w:jc w:val="center"/>
              <w:textAlignment w:val="center"/>
              <w:rPr>
                <w:rFonts w:ascii="仿宋_GB2312" w:hAnsi="宋体" w:eastAsia="仿宋_GB2312" w:cs="宋体"/>
                <w:kern w:val="0"/>
                <w:sz w:val="18"/>
                <w:szCs w:val="18"/>
              </w:rPr>
            </w:pPr>
            <w:r>
              <w:rPr>
                <w:rFonts w:hint="eastAsia" w:ascii="仿宋_GB2312" w:hAnsi="宋体" w:eastAsia="仿宋_GB2312" w:cs="宋体"/>
                <w:kern w:val="0"/>
                <w:sz w:val="18"/>
                <w:szCs w:val="18"/>
              </w:rPr>
              <w:t>指标</w:t>
            </w: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15BC5">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路外伤亡事故</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198AA">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路外伤亡事故小于等于1次</w:t>
            </w:r>
          </w:p>
        </w:tc>
      </w:tr>
      <w:tr w14:paraId="536650AC">
        <w:tblPrEx>
          <w:tblCellMar>
            <w:top w:w="15" w:type="dxa"/>
            <w:left w:w="15" w:type="dxa"/>
            <w:bottom w:w="15" w:type="dxa"/>
            <w:right w:w="15" w:type="dxa"/>
          </w:tblCellMar>
        </w:tblPrEx>
        <w:trPr>
          <w:trHeight w:val="23" w:hRule="atLeast"/>
        </w:trPr>
        <w:tc>
          <w:tcPr>
            <w:tcW w:w="11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67322F">
            <w:pPr>
              <w:spacing w:line="300" w:lineRule="exact"/>
              <w:jc w:val="center"/>
              <w:rPr>
                <w:rFonts w:ascii="仿宋_GB2312" w:hAnsi="宋体" w:eastAsia="仿宋_GB2312" w:cs="宋体"/>
                <w:kern w:val="0"/>
                <w:sz w:val="18"/>
                <w:szCs w:val="18"/>
              </w:rPr>
            </w:pPr>
          </w:p>
        </w:tc>
        <w:tc>
          <w:tcPr>
            <w:tcW w:w="1359" w:type="dxa"/>
            <w:vMerge w:val="continue"/>
            <w:tcBorders>
              <w:left w:val="single" w:color="000000" w:sz="4" w:space="0"/>
              <w:right w:val="single" w:color="000000" w:sz="4" w:space="0"/>
            </w:tcBorders>
            <w:shd w:val="clear" w:color="auto" w:fill="auto"/>
            <w:vAlign w:val="center"/>
          </w:tcPr>
          <w:p w14:paraId="7DFAEFC9">
            <w:pPr>
              <w:widowControl/>
              <w:spacing w:line="300" w:lineRule="exact"/>
              <w:jc w:val="center"/>
              <w:textAlignment w:val="center"/>
              <w:rPr>
                <w:rFonts w:ascii="仿宋_GB2312" w:hAnsi="宋体" w:eastAsia="仿宋_GB2312" w:cs="宋体"/>
                <w:kern w:val="0"/>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C090B">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影响行车安全事故</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27A25">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影响行车安全事故小于等于1次</w:t>
            </w:r>
          </w:p>
        </w:tc>
      </w:tr>
      <w:tr w14:paraId="634071BC">
        <w:tblPrEx>
          <w:tblCellMar>
            <w:top w:w="15" w:type="dxa"/>
            <w:left w:w="15" w:type="dxa"/>
            <w:bottom w:w="15" w:type="dxa"/>
            <w:right w:w="15" w:type="dxa"/>
          </w:tblCellMar>
        </w:tblPrEx>
        <w:trPr>
          <w:trHeight w:val="23" w:hRule="atLeast"/>
        </w:trPr>
        <w:tc>
          <w:tcPr>
            <w:tcW w:w="11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E5FE07">
            <w:pPr>
              <w:spacing w:line="300" w:lineRule="exact"/>
              <w:jc w:val="center"/>
              <w:rPr>
                <w:rFonts w:ascii="仿宋_GB2312" w:hAnsi="宋体" w:eastAsia="仿宋_GB2312" w:cs="宋体"/>
                <w:kern w:val="0"/>
                <w:sz w:val="18"/>
                <w:szCs w:val="18"/>
              </w:rPr>
            </w:pPr>
          </w:p>
        </w:tc>
        <w:tc>
          <w:tcPr>
            <w:tcW w:w="1359" w:type="dxa"/>
            <w:vMerge w:val="continue"/>
            <w:tcBorders>
              <w:top w:val="single" w:color="000000" w:sz="4" w:space="0"/>
              <w:left w:val="single" w:color="000000" w:sz="4" w:space="0"/>
              <w:right w:val="single" w:color="000000" w:sz="4" w:space="0"/>
            </w:tcBorders>
            <w:shd w:val="clear" w:color="auto" w:fill="auto"/>
            <w:vAlign w:val="center"/>
          </w:tcPr>
          <w:p w14:paraId="7C3D8967">
            <w:pPr>
              <w:spacing w:line="300" w:lineRule="exact"/>
              <w:jc w:val="center"/>
              <w:rPr>
                <w:rFonts w:ascii="仿宋_GB2312" w:hAnsi="宋体" w:eastAsia="仿宋_GB2312" w:cs="宋体"/>
                <w:kern w:val="0"/>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56C3B">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危及行车安全事件</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E923A">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危及行车安全事件小于等于1次</w:t>
            </w:r>
          </w:p>
        </w:tc>
      </w:tr>
      <w:tr w14:paraId="0F853322">
        <w:tblPrEx>
          <w:tblCellMar>
            <w:top w:w="15" w:type="dxa"/>
            <w:left w:w="15" w:type="dxa"/>
            <w:bottom w:w="15" w:type="dxa"/>
            <w:right w:w="15" w:type="dxa"/>
          </w:tblCellMar>
        </w:tblPrEx>
        <w:trPr>
          <w:trHeight w:val="23" w:hRule="atLeast"/>
        </w:trPr>
        <w:tc>
          <w:tcPr>
            <w:tcW w:w="11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41FF28">
            <w:pPr>
              <w:spacing w:line="300" w:lineRule="exact"/>
              <w:jc w:val="center"/>
              <w:rPr>
                <w:rFonts w:ascii="仿宋_GB2312" w:hAnsi="宋体" w:eastAsia="仿宋_GB2312" w:cs="宋体"/>
                <w:kern w:val="0"/>
                <w:sz w:val="18"/>
                <w:szCs w:val="18"/>
              </w:rPr>
            </w:pPr>
          </w:p>
        </w:tc>
        <w:tc>
          <w:tcPr>
            <w:tcW w:w="1359" w:type="dxa"/>
            <w:vMerge w:val="restart"/>
            <w:tcBorders>
              <w:top w:val="single" w:color="000000" w:sz="4" w:space="0"/>
              <w:left w:val="single" w:color="000000" w:sz="4" w:space="0"/>
              <w:right w:val="single" w:color="000000" w:sz="4" w:space="0"/>
            </w:tcBorders>
            <w:shd w:val="clear" w:color="auto" w:fill="auto"/>
            <w:vAlign w:val="center"/>
          </w:tcPr>
          <w:p w14:paraId="7B0673DD">
            <w:pPr>
              <w:widowControl/>
              <w:spacing w:line="300" w:lineRule="exact"/>
              <w:jc w:val="center"/>
              <w:textAlignment w:val="center"/>
              <w:rPr>
                <w:rFonts w:ascii="仿宋_GB2312" w:hAnsi="宋体" w:eastAsia="仿宋_GB2312" w:cs="宋体"/>
                <w:kern w:val="0"/>
                <w:sz w:val="18"/>
                <w:szCs w:val="18"/>
              </w:rPr>
            </w:pPr>
            <w:r>
              <w:rPr>
                <w:rFonts w:hint="eastAsia" w:ascii="仿宋_GB2312" w:hAnsi="宋体" w:eastAsia="仿宋_GB2312" w:cs="宋体"/>
                <w:kern w:val="0"/>
                <w:sz w:val="18"/>
                <w:szCs w:val="18"/>
              </w:rPr>
              <w:t>可持续发展指标</w:t>
            </w:r>
            <w:r>
              <w:rPr>
                <w:rFonts w:hint="eastAsia" w:ascii="仿宋_GB2312" w:hAnsi="宋体" w:eastAsia="仿宋_GB2312" w:cs="宋体"/>
                <w:kern w:val="0"/>
                <w:sz w:val="18"/>
                <w:szCs w:val="18"/>
              </w:rPr>
              <w:tab/>
            </w:r>
            <w:r>
              <w:rPr>
                <w:rFonts w:hint="eastAsia" w:ascii="仿宋_GB2312" w:hAnsi="宋体" w:eastAsia="仿宋_GB2312" w:cs="宋体"/>
                <w:kern w:val="0"/>
                <w:sz w:val="18"/>
                <w:szCs w:val="18"/>
              </w:rPr>
              <w:tab/>
            </w:r>
            <w:r>
              <w:rPr>
                <w:rFonts w:hint="eastAsia" w:ascii="仿宋_GB2312" w:hAnsi="宋体" w:eastAsia="仿宋_GB2312" w:cs="宋体"/>
                <w:kern w:val="0"/>
                <w:sz w:val="18"/>
                <w:szCs w:val="18"/>
              </w:rPr>
              <w:tab/>
            </w: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ECBE8">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沿线治安环境稳定</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E78C6">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沿线治安环境稳定大于等于98%</w:t>
            </w:r>
          </w:p>
        </w:tc>
      </w:tr>
      <w:tr w14:paraId="40BC3A50">
        <w:tblPrEx>
          <w:tblCellMar>
            <w:top w:w="15" w:type="dxa"/>
            <w:left w:w="15" w:type="dxa"/>
            <w:bottom w:w="15" w:type="dxa"/>
            <w:right w:w="15" w:type="dxa"/>
          </w:tblCellMar>
        </w:tblPrEx>
        <w:trPr>
          <w:trHeight w:val="23" w:hRule="atLeast"/>
        </w:trPr>
        <w:tc>
          <w:tcPr>
            <w:tcW w:w="11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ED570C">
            <w:pPr>
              <w:spacing w:line="300" w:lineRule="exact"/>
              <w:jc w:val="center"/>
              <w:rPr>
                <w:rFonts w:ascii="仿宋_GB2312" w:hAnsi="宋体" w:eastAsia="仿宋_GB2312" w:cs="宋体"/>
                <w:kern w:val="0"/>
                <w:sz w:val="18"/>
                <w:szCs w:val="18"/>
              </w:rPr>
            </w:pPr>
          </w:p>
        </w:tc>
        <w:tc>
          <w:tcPr>
            <w:tcW w:w="1359" w:type="dxa"/>
            <w:vMerge w:val="continue"/>
            <w:tcBorders>
              <w:left w:val="single" w:color="000000" w:sz="4" w:space="0"/>
              <w:bottom w:val="single" w:color="000000" w:sz="4" w:space="0"/>
              <w:right w:val="single" w:color="000000" w:sz="4" w:space="0"/>
            </w:tcBorders>
            <w:shd w:val="clear" w:color="auto" w:fill="auto"/>
            <w:vAlign w:val="center"/>
          </w:tcPr>
          <w:p w14:paraId="39AFD526">
            <w:pPr>
              <w:widowControl/>
              <w:spacing w:line="300" w:lineRule="exact"/>
              <w:jc w:val="center"/>
              <w:textAlignment w:val="center"/>
              <w:rPr>
                <w:rFonts w:ascii="仿宋_GB2312" w:hAnsi="宋体" w:eastAsia="仿宋_GB2312" w:cs="宋体"/>
                <w:kern w:val="0"/>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072DA">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铁路安全畅通</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6C59F">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铁路安全畅通大于等于98%</w:t>
            </w:r>
          </w:p>
        </w:tc>
      </w:tr>
      <w:tr w14:paraId="61710EC7">
        <w:tblPrEx>
          <w:tblCellMar>
            <w:top w:w="15" w:type="dxa"/>
            <w:left w:w="15" w:type="dxa"/>
            <w:bottom w:w="15" w:type="dxa"/>
            <w:right w:w="15" w:type="dxa"/>
          </w:tblCellMar>
        </w:tblPrEx>
        <w:trPr>
          <w:trHeight w:val="23" w:hRule="atLeast"/>
        </w:trPr>
        <w:tc>
          <w:tcPr>
            <w:tcW w:w="1175" w:type="dxa"/>
            <w:vMerge w:val="restart"/>
            <w:tcBorders>
              <w:top w:val="single" w:color="000000" w:sz="4" w:space="0"/>
              <w:left w:val="single" w:color="000000" w:sz="4" w:space="0"/>
              <w:right w:val="single" w:color="000000" w:sz="4" w:space="0"/>
            </w:tcBorders>
            <w:shd w:val="clear" w:color="auto" w:fill="auto"/>
            <w:vAlign w:val="center"/>
          </w:tcPr>
          <w:p w14:paraId="68109E96">
            <w:pPr>
              <w:widowControl/>
              <w:spacing w:line="300" w:lineRule="exact"/>
              <w:jc w:val="center"/>
              <w:textAlignment w:val="center"/>
              <w:rPr>
                <w:rFonts w:ascii="仿宋_GB2312" w:hAnsi="宋体" w:eastAsia="仿宋_GB2312" w:cs="宋体"/>
                <w:kern w:val="0"/>
                <w:sz w:val="18"/>
                <w:szCs w:val="18"/>
              </w:rPr>
            </w:pPr>
            <w:r>
              <w:rPr>
                <w:rFonts w:hint="eastAsia" w:ascii="仿宋_GB2312" w:hAnsi="宋体" w:eastAsia="仿宋_GB2312" w:cs="宋体"/>
                <w:kern w:val="0"/>
                <w:sz w:val="18"/>
                <w:szCs w:val="18"/>
              </w:rPr>
              <w:t>满意度</w:t>
            </w:r>
          </w:p>
          <w:p w14:paraId="1E4E5861">
            <w:pPr>
              <w:widowControl/>
              <w:spacing w:line="300" w:lineRule="exact"/>
              <w:jc w:val="center"/>
              <w:textAlignment w:val="center"/>
              <w:rPr>
                <w:rFonts w:ascii="仿宋_GB2312" w:hAnsi="宋体" w:eastAsia="仿宋_GB2312" w:cs="宋体"/>
                <w:kern w:val="0"/>
                <w:sz w:val="18"/>
                <w:szCs w:val="18"/>
              </w:rPr>
            </w:pPr>
            <w:r>
              <w:rPr>
                <w:rFonts w:hint="eastAsia" w:ascii="仿宋_GB2312" w:hAnsi="宋体" w:eastAsia="仿宋_GB2312" w:cs="宋体"/>
                <w:kern w:val="0"/>
                <w:sz w:val="18"/>
                <w:szCs w:val="18"/>
              </w:rPr>
              <w:t>指标</w:t>
            </w:r>
          </w:p>
        </w:tc>
        <w:tc>
          <w:tcPr>
            <w:tcW w:w="1359" w:type="dxa"/>
            <w:vMerge w:val="restart"/>
            <w:tcBorders>
              <w:top w:val="single" w:color="000000" w:sz="4" w:space="0"/>
              <w:left w:val="single" w:color="000000" w:sz="4" w:space="0"/>
              <w:right w:val="single" w:color="000000" w:sz="4" w:space="0"/>
            </w:tcBorders>
            <w:shd w:val="clear" w:color="auto" w:fill="auto"/>
            <w:vAlign w:val="center"/>
          </w:tcPr>
          <w:p w14:paraId="3A5B1297">
            <w:pPr>
              <w:widowControl/>
              <w:spacing w:line="300" w:lineRule="exact"/>
              <w:jc w:val="center"/>
              <w:textAlignment w:val="center"/>
              <w:rPr>
                <w:rFonts w:ascii="仿宋_GB2312" w:hAnsi="宋体" w:eastAsia="仿宋_GB2312" w:cs="宋体"/>
                <w:kern w:val="0"/>
                <w:sz w:val="18"/>
                <w:szCs w:val="18"/>
              </w:rPr>
            </w:pPr>
            <w:r>
              <w:rPr>
                <w:rFonts w:hint="eastAsia" w:ascii="仿宋_GB2312" w:hAnsi="宋体" w:eastAsia="仿宋_GB2312" w:cs="宋体"/>
                <w:kern w:val="0"/>
                <w:sz w:val="18"/>
                <w:szCs w:val="18"/>
              </w:rPr>
              <w:t>服务对象</w:t>
            </w:r>
          </w:p>
          <w:p w14:paraId="5565DAA7">
            <w:pPr>
              <w:widowControl/>
              <w:spacing w:line="300" w:lineRule="exact"/>
              <w:jc w:val="center"/>
              <w:textAlignment w:val="center"/>
              <w:rPr>
                <w:rFonts w:ascii="仿宋_GB2312" w:hAnsi="宋体" w:eastAsia="仿宋_GB2312" w:cs="宋体"/>
                <w:kern w:val="0"/>
                <w:sz w:val="18"/>
                <w:szCs w:val="18"/>
              </w:rPr>
            </w:pPr>
            <w:r>
              <w:rPr>
                <w:rFonts w:hint="eastAsia" w:ascii="仿宋_GB2312" w:hAnsi="宋体" w:eastAsia="仿宋_GB2312" w:cs="宋体"/>
                <w:kern w:val="0"/>
                <w:sz w:val="18"/>
                <w:szCs w:val="18"/>
              </w:rPr>
              <w:t>满意度指标</w:t>
            </w: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27B39">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沿线居民满意度</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B3B5D">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沿线居民满意度大于等于98%</w:t>
            </w:r>
          </w:p>
        </w:tc>
      </w:tr>
      <w:tr w14:paraId="350C4D59">
        <w:tblPrEx>
          <w:tblCellMar>
            <w:top w:w="15" w:type="dxa"/>
            <w:left w:w="15" w:type="dxa"/>
            <w:bottom w:w="15" w:type="dxa"/>
            <w:right w:w="15" w:type="dxa"/>
          </w:tblCellMar>
        </w:tblPrEx>
        <w:trPr>
          <w:trHeight w:val="23" w:hRule="atLeast"/>
        </w:trPr>
        <w:tc>
          <w:tcPr>
            <w:tcW w:w="1175" w:type="dxa"/>
            <w:vMerge w:val="continue"/>
            <w:tcBorders>
              <w:left w:val="single" w:color="000000" w:sz="4" w:space="0"/>
              <w:right w:val="single" w:color="000000" w:sz="4" w:space="0"/>
            </w:tcBorders>
            <w:shd w:val="clear" w:color="auto" w:fill="auto"/>
            <w:vAlign w:val="center"/>
          </w:tcPr>
          <w:p w14:paraId="73575AD3">
            <w:pPr>
              <w:widowControl/>
              <w:spacing w:line="300" w:lineRule="exact"/>
              <w:jc w:val="center"/>
              <w:textAlignment w:val="center"/>
              <w:rPr>
                <w:rFonts w:ascii="仿宋_GB2312" w:hAnsi="宋体" w:eastAsia="仿宋_GB2312" w:cs="宋体"/>
                <w:kern w:val="0"/>
                <w:sz w:val="18"/>
                <w:szCs w:val="18"/>
              </w:rPr>
            </w:pPr>
          </w:p>
        </w:tc>
        <w:tc>
          <w:tcPr>
            <w:tcW w:w="1359" w:type="dxa"/>
            <w:vMerge w:val="continue"/>
            <w:tcBorders>
              <w:left w:val="single" w:color="000000" w:sz="4" w:space="0"/>
              <w:right w:val="single" w:color="000000" w:sz="4" w:space="0"/>
            </w:tcBorders>
            <w:shd w:val="clear" w:color="auto" w:fill="auto"/>
            <w:vAlign w:val="center"/>
          </w:tcPr>
          <w:p w14:paraId="7E1DD71F">
            <w:pPr>
              <w:widowControl/>
              <w:spacing w:line="300" w:lineRule="exact"/>
              <w:jc w:val="center"/>
              <w:textAlignment w:val="center"/>
              <w:rPr>
                <w:rFonts w:ascii="仿宋_GB2312" w:hAnsi="宋体" w:eastAsia="仿宋_GB2312" w:cs="宋体"/>
                <w:kern w:val="0"/>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51BBC">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乘客满意度</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68CD5">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乘客满意度大于等于98%</w:t>
            </w:r>
          </w:p>
        </w:tc>
      </w:tr>
      <w:tr w14:paraId="5D25BABB">
        <w:tblPrEx>
          <w:tblCellMar>
            <w:top w:w="15" w:type="dxa"/>
            <w:left w:w="15" w:type="dxa"/>
            <w:bottom w:w="15" w:type="dxa"/>
            <w:right w:w="15" w:type="dxa"/>
          </w:tblCellMar>
        </w:tblPrEx>
        <w:trPr>
          <w:trHeight w:val="23" w:hRule="atLeast"/>
        </w:trPr>
        <w:tc>
          <w:tcPr>
            <w:tcW w:w="1175" w:type="dxa"/>
            <w:vMerge w:val="continue"/>
            <w:tcBorders>
              <w:left w:val="single" w:color="000000" w:sz="4" w:space="0"/>
              <w:right w:val="single" w:color="000000" w:sz="4" w:space="0"/>
            </w:tcBorders>
            <w:shd w:val="clear" w:color="auto" w:fill="auto"/>
            <w:vAlign w:val="center"/>
          </w:tcPr>
          <w:p w14:paraId="3D1FEB27">
            <w:pPr>
              <w:widowControl/>
              <w:spacing w:line="300" w:lineRule="exact"/>
              <w:jc w:val="center"/>
              <w:textAlignment w:val="center"/>
              <w:rPr>
                <w:rFonts w:ascii="仿宋_GB2312" w:hAnsi="宋体" w:eastAsia="仿宋_GB2312" w:cs="宋体"/>
                <w:kern w:val="0"/>
                <w:sz w:val="18"/>
                <w:szCs w:val="18"/>
              </w:rPr>
            </w:pPr>
          </w:p>
        </w:tc>
        <w:tc>
          <w:tcPr>
            <w:tcW w:w="1359" w:type="dxa"/>
            <w:vMerge w:val="continue"/>
            <w:tcBorders>
              <w:left w:val="single" w:color="000000" w:sz="4" w:space="0"/>
              <w:right w:val="single" w:color="000000" w:sz="4" w:space="0"/>
            </w:tcBorders>
            <w:shd w:val="clear" w:color="auto" w:fill="auto"/>
            <w:vAlign w:val="center"/>
          </w:tcPr>
          <w:p w14:paraId="4EC765E2">
            <w:pPr>
              <w:widowControl/>
              <w:spacing w:line="300" w:lineRule="exact"/>
              <w:jc w:val="center"/>
              <w:textAlignment w:val="center"/>
              <w:rPr>
                <w:rFonts w:ascii="仿宋_GB2312" w:hAnsi="宋体" w:eastAsia="仿宋_GB2312" w:cs="宋体"/>
                <w:kern w:val="0"/>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63AC5">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护路队员满意度</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A4F5C">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护路队员满意度大于等于98%</w:t>
            </w:r>
          </w:p>
        </w:tc>
      </w:tr>
      <w:tr w14:paraId="3F6FE225">
        <w:tblPrEx>
          <w:tblCellMar>
            <w:top w:w="15" w:type="dxa"/>
            <w:left w:w="15" w:type="dxa"/>
            <w:bottom w:w="15" w:type="dxa"/>
            <w:right w:w="15" w:type="dxa"/>
          </w:tblCellMar>
        </w:tblPrEx>
        <w:trPr>
          <w:trHeight w:val="23" w:hRule="atLeast"/>
        </w:trPr>
        <w:tc>
          <w:tcPr>
            <w:tcW w:w="11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4D6A75">
            <w:pPr>
              <w:widowControl/>
              <w:spacing w:line="300" w:lineRule="exact"/>
              <w:jc w:val="center"/>
              <w:textAlignment w:val="center"/>
              <w:rPr>
                <w:rFonts w:ascii="仿宋_GB2312" w:hAnsi="宋体" w:eastAsia="仿宋_GB2312" w:cs="宋体"/>
                <w:kern w:val="0"/>
                <w:sz w:val="18"/>
                <w:szCs w:val="18"/>
              </w:rPr>
            </w:pPr>
            <w:r>
              <w:rPr>
                <w:rFonts w:hint="eastAsia" w:ascii="仿宋_GB2312" w:hAnsi="宋体" w:eastAsia="仿宋_GB2312" w:cs="宋体"/>
                <w:kern w:val="0"/>
                <w:sz w:val="18"/>
                <w:szCs w:val="18"/>
              </w:rPr>
              <w:t>成本指标</w:t>
            </w:r>
          </w:p>
        </w:tc>
        <w:tc>
          <w:tcPr>
            <w:tcW w:w="1359" w:type="dxa"/>
            <w:vMerge w:val="restart"/>
            <w:tcBorders>
              <w:top w:val="single" w:color="000000" w:sz="4" w:space="0"/>
              <w:left w:val="single" w:color="000000" w:sz="4" w:space="0"/>
              <w:right w:val="single" w:color="000000" w:sz="4" w:space="0"/>
            </w:tcBorders>
            <w:shd w:val="clear" w:color="auto" w:fill="auto"/>
            <w:vAlign w:val="center"/>
          </w:tcPr>
          <w:p w14:paraId="53F7EA6D">
            <w:pPr>
              <w:widowControl/>
              <w:spacing w:line="300" w:lineRule="exact"/>
              <w:jc w:val="center"/>
              <w:textAlignment w:val="center"/>
              <w:rPr>
                <w:rFonts w:ascii="仿宋_GB2312" w:hAnsi="宋体" w:eastAsia="仿宋_GB2312" w:cs="宋体"/>
                <w:kern w:val="0"/>
                <w:sz w:val="18"/>
                <w:szCs w:val="18"/>
              </w:rPr>
            </w:pPr>
            <w:r>
              <w:rPr>
                <w:rFonts w:hint="eastAsia" w:ascii="仿宋_GB2312" w:hAnsi="宋体" w:eastAsia="仿宋_GB2312" w:cs="宋体"/>
                <w:kern w:val="0"/>
                <w:sz w:val="18"/>
                <w:szCs w:val="18"/>
              </w:rPr>
              <w:t>经济成本</w:t>
            </w:r>
          </w:p>
          <w:p w14:paraId="28877A36">
            <w:pPr>
              <w:widowControl/>
              <w:spacing w:line="300" w:lineRule="exact"/>
              <w:jc w:val="center"/>
              <w:textAlignment w:val="center"/>
              <w:rPr>
                <w:rFonts w:ascii="仿宋_GB2312" w:hAnsi="宋体" w:eastAsia="仿宋_GB2312" w:cs="宋体"/>
                <w:kern w:val="0"/>
                <w:sz w:val="18"/>
                <w:szCs w:val="18"/>
              </w:rPr>
            </w:pPr>
            <w:r>
              <w:rPr>
                <w:rFonts w:hint="eastAsia" w:ascii="仿宋_GB2312" w:hAnsi="宋体" w:eastAsia="仿宋_GB2312" w:cs="宋体"/>
                <w:kern w:val="0"/>
                <w:sz w:val="18"/>
                <w:szCs w:val="18"/>
              </w:rPr>
              <w:t>指标</w:t>
            </w:r>
          </w:p>
          <w:p w14:paraId="520AC977">
            <w:pPr>
              <w:widowControl/>
              <w:spacing w:line="300" w:lineRule="exact"/>
              <w:jc w:val="center"/>
              <w:textAlignment w:val="center"/>
              <w:rPr>
                <w:rFonts w:ascii="仿宋_GB2312" w:hAnsi="宋体" w:eastAsia="仿宋_GB2312" w:cs="宋体"/>
                <w:kern w:val="0"/>
                <w:sz w:val="18"/>
                <w:szCs w:val="18"/>
              </w:rPr>
            </w:pPr>
          </w:p>
        </w:tc>
        <w:tc>
          <w:tcPr>
            <w:tcW w:w="1602" w:type="dxa"/>
            <w:tcBorders>
              <w:top w:val="single" w:color="000000" w:sz="4" w:space="0"/>
              <w:bottom w:val="single" w:color="000000" w:sz="4" w:space="0"/>
              <w:right w:val="single" w:color="000000" w:sz="4" w:space="0"/>
            </w:tcBorders>
            <w:shd w:val="clear" w:color="auto" w:fill="auto"/>
            <w:vAlign w:val="center"/>
          </w:tcPr>
          <w:p w14:paraId="30F00A9F">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专项行动经费</w:t>
            </w:r>
          </w:p>
        </w:tc>
        <w:tc>
          <w:tcPr>
            <w:tcW w:w="4206" w:type="dxa"/>
            <w:tcBorders>
              <w:top w:val="single" w:color="000000" w:sz="4" w:space="0"/>
              <w:bottom w:val="single" w:color="000000" w:sz="4" w:space="0"/>
              <w:right w:val="single" w:color="000000" w:sz="4" w:space="0"/>
            </w:tcBorders>
            <w:shd w:val="clear" w:color="auto" w:fill="auto"/>
            <w:vAlign w:val="center"/>
          </w:tcPr>
          <w:p w14:paraId="30DD9E85">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小于等于3万元</w:t>
            </w:r>
          </w:p>
        </w:tc>
      </w:tr>
      <w:tr w14:paraId="28F4B4C5">
        <w:tblPrEx>
          <w:tblCellMar>
            <w:top w:w="15" w:type="dxa"/>
            <w:left w:w="15" w:type="dxa"/>
            <w:bottom w:w="15" w:type="dxa"/>
            <w:right w:w="15" w:type="dxa"/>
          </w:tblCellMar>
        </w:tblPrEx>
        <w:trPr>
          <w:trHeight w:val="23" w:hRule="atLeast"/>
        </w:trPr>
        <w:tc>
          <w:tcPr>
            <w:tcW w:w="11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FCEAFA">
            <w:pPr>
              <w:spacing w:line="300" w:lineRule="exact"/>
              <w:jc w:val="left"/>
              <w:rPr>
                <w:rFonts w:ascii="仿宋_GB2312" w:hAnsi="宋体" w:eastAsia="仿宋_GB2312" w:cs="宋体"/>
                <w:kern w:val="0"/>
                <w:sz w:val="18"/>
                <w:szCs w:val="18"/>
              </w:rPr>
            </w:pPr>
          </w:p>
        </w:tc>
        <w:tc>
          <w:tcPr>
            <w:tcW w:w="1359" w:type="dxa"/>
            <w:vMerge w:val="continue"/>
            <w:tcBorders>
              <w:left w:val="single" w:color="000000" w:sz="4" w:space="0"/>
              <w:right w:val="single" w:color="000000" w:sz="4" w:space="0"/>
            </w:tcBorders>
            <w:shd w:val="clear" w:color="auto" w:fill="auto"/>
            <w:vAlign w:val="center"/>
          </w:tcPr>
          <w:p w14:paraId="071BE65A">
            <w:pPr>
              <w:widowControl/>
              <w:spacing w:line="300" w:lineRule="exact"/>
              <w:jc w:val="center"/>
              <w:textAlignment w:val="center"/>
              <w:rPr>
                <w:rFonts w:ascii="仿宋_GB2312" w:hAnsi="宋体" w:eastAsia="仿宋_GB2312" w:cs="宋体"/>
                <w:kern w:val="0"/>
                <w:sz w:val="18"/>
                <w:szCs w:val="18"/>
              </w:rPr>
            </w:pPr>
          </w:p>
        </w:tc>
        <w:tc>
          <w:tcPr>
            <w:tcW w:w="1602" w:type="dxa"/>
            <w:tcBorders>
              <w:top w:val="single" w:color="000000" w:sz="4" w:space="0"/>
              <w:bottom w:val="single" w:color="000000" w:sz="4" w:space="0"/>
              <w:right w:val="single" w:color="000000" w:sz="4" w:space="0"/>
            </w:tcBorders>
            <w:shd w:val="clear" w:color="auto" w:fill="auto"/>
            <w:vAlign w:val="center"/>
          </w:tcPr>
          <w:p w14:paraId="4BCE9FD2">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车辆燃油费</w:t>
            </w:r>
          </w:p>
        </w:tc>
        <w:tc>
          <w:tcPr>
            <w:tcW w:w="4206" w:type="dxa"/>
            <w:tcBorders>
              <w:top w:val="single" w:color="000000" w:sz="4" w:space="0"/>
              <w:bottom w:val="single" w:color="000000" w:sz="4" w:space="0"/>
              <w:right w:val="single" w:color="000000" w:sz="4" w:space="0"/>
            </w:tcBorders>
            <w:shd w:val="clear" w:color="auto" w:fill="auto"/>
            <w:vAlign w:val="center"/>
          </w:tcPr>
          <w:p w14:paraId="78BB9908">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小于等于1万元</w:t>
            </w:r>
          </w:p>
        </w:tc>
      </w:tr>
      <w:tr w14:paraId="34CCE985">
        <w:tblPrEx>
          <w:tblCellMar>
            <w:top w:w="15" w:type="dxa"/>
            <w:left w:w="15" w:type="dxa"/>
            <w:bottom w:w="15" w:type="dxa"/>
            <w:right w:w="15" w:type="dxa"/>
          </w:tblCellMar>
        </w:tblPrEx>
        <w:trPr>
          <w:trHeight w:val="23" w:hRule="atLeast"/>
        </w:trPr>
        <w:tc>
          <w:tcPr>
            <w:tcW w:w="11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5AC09E">
            <w:pPr>
              <w:spacing w:line="300" w:lineRule="exact"/>
              <w:jc w:val="left"/>
              <w:rPr>
                <w:rFonts w:ascii="仿宋_GB2312" w:hAnsi="宋体" w:eastAsia="仿宋_GB2312" w:cs="宋体"/>
                <w:kern w:val="0"/>
                <w:sz w:val="18"/>
                <w:szCs w:val="18"/>
              </w:rPr>
            </w:pPr>
          </w:p>
        </w:tc>
        <w:tc>
          <w:tcPr>
            <w:tcW w:w="1359" w:type="dxa"/>
            <w:vMerge w:val="continue"/>
            <w:tcBorders>
              <w:left w:val="single" w:color="000000" w:sz="4" w:space="0"/>
              <w:bottom w:val="single" w:color="000000" w:sz="4" w:space="0"/>
              <w:right w:val="single" w:color="000000" w:sz="4" w:space="0"/>
            </w:tcBorders>
            <w:shd w:val="clear" w:color="auto" w:fill="auto"/>
            <w:vAlign w:val="center"/>
          </w:tcPr>
          <w:p w14:paraId="7AC9C22D">
            <w:pPr>
              <w:widowControl/>
              <w:spacing w:line="300" w:lineRule="exact"/>
              <w:jc w:val="center"/>
              <w:textAlignment w:val="center"/>
              <w:rPr>
                <w:rFonts w:ascii="仿宋_GB2312" w:hAnsi="宋体" w:eastAsia="仿宋_GB2312" w:cs="宋体"/>
                <w:kern w:val="0"/>
                <w:sz w:val="18"/>
                <w:szCs w:val="18"/>
              </w:rPr>
            </w:pPr>
          </w:p>
        </w:tc>
        <w:tc>
          <w:tcPr>
            <w:tcW w:w="1602" w:type="dxa"/>
            <w:tcBorders>
              <w:top w:val="single" w:color="000000" w:sz="4" w:space="0"/>
              <w:bottom w:val="single" w:color="000000" w:sz="4" w:space="0"/>
              <w:right w:val="single" w:color="000000" w:sz="4" w:space="0"/>
            </w:tcBorders>
            <w:shd w:val="clear" w:color="auto" w:fill="auto"/>
            <w:vAlign w:val="center"/>
          </w:tcPr>
          <w:p w14:paraId="39536542">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办公差旅费</w:t>
            </w:r>
          </w:p>
        </w:tc>
        <w:tc>
          <w:tcPr>
            <w:tcW w:w="4206" w:type="dxa"/>
            <w:tcBorders>
              <w:top w:val="single" w:color="000000" w:sz="4" w:space="0"/>
              <w:bottom w:val="single" w:color="000000" w:sz="4" w:space="0"/>
              <w:right w:val="single" w:color="000000" w:sz="4" w:space="0"/>
            </w:tcBorders>
            <w:shd w:val="clear" w:color="auto" w:fill="auto"/>
            <w:vAlign w:val="center"/>
          </w:tcPr>
          <w:p w14:paraId="3BA6346B">
            <w:pPr>
              <w:spacing w:line="300" w:lineRule="exact"/>
              <w:rPr>
                <w:rFonts w:ascii="仿宋_GB2312" w:hAnsi="宋体" w:eastAsia="仿宋_GB2312" w:cs="宋体"/>
                <w:kern w:val="0"/>
                <w:sz w:val="18"/>
                <w:szCs w:val="18"/>
              </w:rPr>
            </w:pPr>
            <w:r>
              <w:rPr>
                <w:rFonts w:hint="eastAsia" w:ascii="仿宋_GB2312" w:hAnsi="宋体" w:eastAsia="仿宋_GB2312" w:cs="宋体"/>
                <w:kern w:val="0"/>
                <w:sz w:val="18"/>
                <w:szCs w:val="18"/>
              </w:rPr>
              <w:t>小于等于73万元</w:t>
            </w:r>
          </w:p>
        </w:tc>
      </w:tr>
    </w:tbl>
    <w:p w14:paraId="2858ACD0">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（2）绩效目标完成</w:t>
      </w:r>
    </w:p>
    <w:p w14:paraId="3B77EDC5">
      <w:pPr>
        <w:spacing w:line="600" w:lineRule="exact"/>
        <w:ind w:firstLine="640" w:firstLineChars="200"/>
        <w:rPr>
          <w:rFonts w:ascii="仿宋_GB2312" w:hAnsi="仿宋_GB2312" w:eastAsia="仿宋_GB2312" w:cs="仿宋_GB2312"/>
          <w:sz w:val="32"/>
          <w:szCs w:val="32"/>
          <w:lang w:val="zh-CN"/>
        </w:rPr>
      </w:pPr>
      <w:r>
        <w:rPr>
          <w:rFonts w:ascii="仿宋_GB2312" w:hAnsi="仿宋_GB2312" w:eastAsia="仿宋_GB2312" w:cs="仿宋_GB2312"/>
          <w:sz w:val="32"/>
          <w:szCs w:val="32"/>
          <w:lang w:val="zh-CN"/>
        </w:rPr>
        <w:t>各项指标的完成情况与年初绩效目标相符。20</w:t>
      </w:r>
      <w:r>
        <w:rPr>
          <w:rFonts w:hint="eastAsia" w:ascii="仿宋_GB2312" w:hAnsi="仿宋_GB2312" w:eastAsia="仿宋_GB2312" w:cs="仿宋_GB2312"/>
          <w:sz w:val="32"/>
          <w:szCs w:val="32"/>
          <w:lang w:val="zh-CN"/>
        </w:rPr>
        <w:t>23</w:t>
      </w:r>
      <w:r>
        <w:rPr>
          <w:rFonts w:ascii="仿宋_GB2312" w:hAnsi="仿宋_GB2312" w:eastAsia="仿宋_GB2312" w:cs="仿宋_GB2312"/>
          <w:sz w:val="32"/>
          <w:szCs w:val="32"/>
          <w:lang w:val="zh-CN"/>
        </w:rPr>
        <w:t>年，</w:t>
      </w:r>
      <w:r>
        <w:rPr>
          <w:rFonts w:hint="eastAsia" w:ascii="仿宋_GB2312" w:hAnsi="仿宋_GB2312" w:eastAsia="仿宋_GB2312" w:cs="仿宋_GB2312"/>
          <w:sz w:val="32"/>
          <w:szCs w:val="32"/>
          <w:lang w:val="zh-CN"/>
        </w:rPr>
        <w:t>本单位紧紧围绕铁路护路联防工作目标，做好重点时期安保、强化基层基础建设、扎实隐患排查治理、加强沿线治安防控、深化护路宣传教育，扎实推进各项工作措施的落实，确保了全省境内铁路安全畅通和沿线治安稳定。目标完成率为90%。</w:t>
      </w:r>
    </w:p>
    <w:p w14:paraId="7D94BAA1">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项目自评步骤及方法</w:t>
      </w:r>
    </w:p>
    <w:p w14:paraId="48B81B17">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本单位成立了绩效自评领导小组，负责牵头开展各项目绩效自评工作。自评小组依据专项资金绩效考评指标体系，对项目开展综合评分，全面考量项目实施程序的规范性、财务管理的合规性，以及项目执行率和目标绩效完成情况。</w:t>
      </w:r>
    </w:p>
    <w:p w14:paraId="38FD5B72">
      <w:pPr>
        <w:adjustRightInd w:val="0"/>
        <w:snapToGrid w:val="0"/>
        <w:spacing w:line="580" w:lineRule="exact"/>
        <w:ind w:firstLine="720"/>
        <w:outlineLvl w:val="1"/>
        <w:rPr>
          <w:rFonts w:ascii="黑体" w:hAnsi="黑体" w:eastAsia="黑体" w:cs="黑体"/>
          <w:bCs/>
          <w:sz w:val="32"/>
          <w:szCs w:val="32"/>
        </w:rPr>
      </w:pPr>
      <w:bookmarkStart w:id="86" w:name="_Toc1184"/>
      <w:r>
        <w:rPr>
          <w:rFonts w:hint="eastAsia" w:ascii="黑体" w:hAnsi="黑体" w:eastAsia="黑体" w:cs="黑体"/>
          <w:bCs/>
          <w:sz w:val="32"/>
          <w:szCs w:val="32"/>
        </w:rPr>
        <w:t>二、评价实施</w:t>
      </w:r>
      <w:bookmarkEnd w:id="86"/>
    </w:p>
    <w:p w14:paraId="62E78574">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hint="eastAsia" w:ascii="Times New Roman" w:hAnsi="Times New Roman" w:eastAsia="楷体_GB2312"/>
          <w:b/>
          <w:bCs/>
          <w:kern w:val="0"/>
          <w:sz w:val="32"/>
          <w:szCs w:val="32"/>
          <w:shd w:val="clear" w:color="auto" w:fill="FFFFFF"/>
          <w:lang w:val="zh-CN"/>
        </w:rPr>
        <w:t>（一）评价目的。</w:t>
      </w:r>
    </w:p>
    <w:p w14:paraId="3E8CE869">
      <w:pPr>
        <w:spacing w:line="600" w:lineRule="exact"/>
        <w:ind w:firstLine="64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财政专项资金绩效自评是对财政资金使用情况和项目实施效果进行评估和总结的重要手段。通过绩效自评，可以客观地了解专项资金使用的效果和问题，为进一步改进和优化财政资金管理提供参考依据。同时，绩效自评还可以增强资金使用部门的自觉性和责任感，促进财政资金的合理配置和有效利用。</w:t>
      </w:r>
    </w:p>
    <w:p w14:paraId="3E9D820B">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hint="eastAsia" w:ascii="Times New Roman" w:hAnsi="Times New Roman" w:eastAsia="楷体_GB2312"/>
          <w:b/>
          <w:bCs/>
          <w:kern w:val="0"/>
          <w:sz w:val="32"/>
          <w:szCs w:val="32"/>
          <w:shd w:val="clear" w:color="auto" w:fill="FFFFFF"/>
          <w:lang w:val="zh-CN"/>
        </w:rPr>
        <w:t>（二）预设问题及评价重点。</w:t>
      </w:r>
    </w:p>
    <w:p w14:paraId="499EF29C">
      <w:pPr>
        <w:adjustRightInd w:val="0"/>
        <w:snapToGrid w:val="0"/>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1.预设问题</w:t>
      </w:r>
    </w:p>
    <w:p w14:paraId="6931BCD3">
      <w:pPr>
        <w:adjustRightInd w:val="0"/>
        <w:snapToGrid w:val="0"/>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数据收集和分析的难度：绩效自评需要大量的数据支持，但部分数据收集和整理工作还不够完善，可能存在一定的困难。</w:t>
      </w:r>
    </w:p>
    <w:p w14:paraId="77358DDC">
      <w:pPr>
        <w:adjustRightInd w:val="0"/>
        <w:snapToGrid w:val="0"/>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2.评价重点</w:t>
      </w:r>
    </w:p>
    <w:p w14:paraId="048A2AEA">
      <w:pPr>
        <w:adjustRightInd w:val="0"/>
        <w:snapToGrid w:val="0"/>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严格落实项目目标绩效拟定、执行跟踪、完成评价的相关要求，做到了有计划，有安排，扎实开展本次自评工作。按照上级下达的项目支出绩效评价指标体系，对申报内容、实施情况、资金支付、财务管理、社会效益等做出了自我评价。</w:t>
      </w:r>
    </w:p>
    <w:p w14:paraId="2100BB87">
      <w:pPr>
        <w:spacing w:line="600" w:lineRule="exact"/>
        <w:ind w:firstLine="643" w:firstLineChars="200"/>
        <w:rPr>
          <w:rFonts w:ascii="楷体_GB2312" w:hAnsi="楷体_GB2312" w:eastAsia="楷体_GB2312" w:cs="楷体_GB2312"/>
        </w:rPr>
      </w:pPr>
      <w:r>
        <w:rPr>
          <w:rFonts w:hint="eastAsia" w:ascii="Times New Roman" w:hAnsi="Times New Roman" w:eastAsia="楷体_GB2312"/>
          <w:b/>
          <w:bCs/>
          <w:kern w:val="0"/>
          <w:sz w:val="32"/>
          <w:szCs w:val="32"/>
          <w:shd w:val="clear" w:color="auto" w:fill="FFFFFF"/>
          <w:lang w:val="zh-CN"/>
        </w:rPr>
        <w:t>（三）评价选点。</w:t>
      </w:r>
      <w:r>
        <w:rPr>
          <w:rFonts w:hint="eastAsia" w:ascii="仿宋_GB2312" w:hAnsi="仿宋_GB2312" w:eastAsia="仿宋_GB2312" w:cs="仿宋_GB2312"/>
          <w:sz w:val="32"/>
          <w:szCs w:val="32"/>
          <w:lang w:val="zh-CN"/>
        </w:rPr>
        <w:t>隐患整治内容：加装波形护栏</w:t>
      </w:r>
    </w:p>
    <w:p w14:paraId="041051CA">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地点：苍溪县陵江镇茶店社区九宝村八组兰渝线K592+370-550处。</w:t>
      </w:r>
    </w:p>
    <w:p w14:paraId="6B21DD88">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整治措施：加装波形护栏200米</w:t>
      </w:r>
    </w:p>
    <w:p w14:paraId="3970FA27">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完成时间：2023年1月12日</w:t>
      </w:r>
    </w:p>
    <w:tbl>
      <w:tblPr>
        <w:tblStyle w:val="17"/>
        <w:tblW w:w="89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1"/>
        <w:gridCol w:w="3055"/>
        <w:gridCol w:w="2872"/>
      </w:tblGrid>
      <w:tr w14:paraId="55962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0" w:hRule="atLeast"/>
        </w:trPr>
        <w:tc>
          <w:tcPr>
            <w:tcW w:w="3011" w:type="dxa"/>
          </w:tcPr>
          <w:p w14:paraId="42783B71">
            <w:pPr>
              <w:autoSpaceDE w:val="0"/>
              <w:autoSpaceDN w:val="0"/>
              <w:adjustRightInd w:val="0"/>
              <w:jc w:val="left"/>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整治前照片：</w:t>
            </w:r>
          </w:p>
          <w:p w14:paraId="36296DC0">
            <w:pPr>
              <w:autoSpaceDE w:val="0"/>
              <w:autoSpaceDN w:val="0"/>
              <w:adjustRightInd w:val="0"/>
              <w:jc w:val="left"/>
              <w:rPr>
                <w:rFonts w:ascii="仿宋_GB2312" w:hAnsi="仿宋_GB2312" w:eastAsia="仿宋_GB2312" w:cs="仿宋_GB2312"/>
                <w:sz w:val="32"/>
                <w:szCs w:val="32"/>
                <w:lang w:val="zh-CN"/>
              </w:rPr>
            </w:pPr>
            <w:r>
              <w:rPr>
                <w:rFonts w:ascii="仿宋_GB2312" w:hAnsi="仿宋_GB2312" w:eastAsia="仿宋_GB2312" w:cs="仿宋_GB2312"/>
                <w:sz w:val="32"/>
                <w:szCs w:val="32"/>
              </w:rPr>
              <w:drawing>
                <wp:inline distT="0" distB="0" distL="114300" distR="114300">
                  <wp:extent cx="1772285" cy="2134235"/>
                  <wp:effectExtent l="0" t="0" r="18415" b="18415"/>
                  <wp:docPr id="20" name="图片 20" descr="d41dd4ba869641fe2c2f3815492be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d41dd4ba869641fe2c2f3815492beb9"/>
                          <pic:cNvPicPr>
                            <a:picLocks noChangeAspect="1"/>
                          </pic:cNvPicPr>
                        </pic:nvPicPr>
                        <pic:blipFill>
                          <a:blip r:embed="rId12"/>
                          <a:stretch>
                            <a:fillRect/>
                          </a:stretch>
                        </pic:blipFill>
                        <pic:spPr>
                          <a:xfrm>
                            <a:off x="0" y="0"/>
                            <a:ext cx="1772285" cy="2134235"/>
                          </a:xfrm>
                          <a:prstGeom prst="rect">
                            <a:avLst/>
                          </a:prstGeom>
                        </pic:spPr>
                      </pic:pic>
                    </a:graphicData>
                  </a:graphic>
                </wp:inline>
              </w:drawing>
            </w:r>
          </w:p>
        </w:tc>
        <w:tc>
          <w:tcPr>
            <w:tcW w:w="3055" w:type="dxa"/>
          </w:tcPr>
          <w:p w14:paraId="2852DBBD">
            <w:pPr>
              <w:autoSpaceDE w:val="0"/>
              <w:autoSpaceDN w:val="0"/>
              <w:adjustRightInd w:val="0"/>
              <w:jc w:val="left"/>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整治后照片：</w:t>
            </w:r>
          </w:p>
          <w:p w14:paraId="49C92A45">
            <w:pPr>
              <w:autoSpaceDE w:val="0"/>
              <w:autoSpaceDN w:val="0"/>
              <w:adjustRightInd w:val="0"/>
              <w:jc w:val="left"/>
              <w:rPr>
                <w:rFonts w:ascii="仿宋_GB2312" w:hAnsi="仿宋_GB2312" w:eastAsia="仿宋_GB2312" w:cs="仿宋_GB2312"/>
                <w:sz w:val="32"/>
                <w:szCs w:val="32"/>
                <w:lang w:val="zh-CN"/>
              </w:rPr>
            </w:pPr>
            <w:r>
              <w:rPr>
                <w:rFonts w:hint="eastAsia" w:ascii="仿宋_GB2312" w:hAnsi="仿宋_GB2312" w:eastAsia="仿宋_GB2312" w:cs="仿宋_GB2312"/>
                <w:sz w:val="32"/>
                <w:szCs w:val="32"/>
              </w:rPr>
              <w:drawing>
                <wp:inline distT="0" distB="0" distL="114300" distR="114300">
                  <wp:extent cx="1791970" cy="2098675"/>
                  <wp:effectExtent l="0" t="0" r="17780" b="15875"/>
                  <wp:docPr id="21" name="图片 21" descr="800ab0cfb0e683c1a576a23d4b2c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800ab0cfb0e683c1a576a23d4b2c048"/>
                          <pic:cNvPicPr>
                            <a:picLocks noChangeAspect="1"/>
                          </pic:cNvPicPr>
                        </pic:nvPicPr>
                        <pic:blipFill>
                          <a:blip r:embed="rId13"/>
                          <a:stretch>
                            <a:fillRect/>
                          </a:stretch>
                        </pic:blipFill>
                        <pic:spPr>
                          <a:xfrm>
                            <a:off x="0" y="0"/>
                            <a:ext cx="1791970" cy="2098675"/>
                          </a:xfrm>
                          <a:prstGeom prst="rect">
                            <a:avLst/>
                          </a:prstGeom>
                        </pic:spPr>
                      </pic:pic>
                    </a:graphicData>
                  </a:graphic>
                </wp:inline>
              </w:drawing>
            </w:r>
          </w:p>
        </w:tc>
        <w:tc>
          <w:tcPr>
            <w:tcW w:w="2872" w:type="dxa"/>
          </w:tcPr>
          <w:p w14:paraId="1A153F93">
            <w:pPr>
              <w:autoSpaceDE w:val="0"/>
              <w:autoSpaceDN w:val="0"/>
              <w:adjustRightInd w:val="0"/>
              <w:jc w:val="left"/>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转账凭证照片：</w:t>
            </w:r>
          </w:p>
          <w:p w14:paraId="31533997">
            <w:pPr>
              <w:autoSpaceDE w:val="0"/>
              <w:autoSpaceDN w:val="0"/>
              <w:adjustRightInd w:val="0"/>
              <w:jc w:val="left"/>
              <w:rPr>
                <w:rFonts w:ascii="仿宋_GB2312" w:hAnsi="仿宋_GB2312" w:eastAsia="仿宋_GB2312" w:cs="仿宋_GB2312"/>
                <w:sz w:val="32"/>
                <w:szCs w:val="32"/>
                <w:lang w:val="zh-CN"/>
              </w:rPr>
            </w:pPr>
            <w:r>
              <w:rPr>
                <w:rFonts w:hint="eastAsia" w:ascii="仿宋_GB2312" w:hAnsi="仿宋_GB2312" w:eastAsia="仿宋_GB2312" w:cs="仿宋_GB2312"/>
                <w:sz w:val="32"/>
                <w:szCs w:val="32"/>
              </w:rPr>
              <w:drawing>
                <wp:inline distT="0" distB="0" distL="114300" distR="114300">
                  <wp:extent cx="1677035" cy="2096135"/>
                  <wp:effectExtent l="0" t="0" r="18415" b="18415"/>
                  <wp:docPr id="1" name="图片 2" descr="7185fdf4c643d1eb7982ba9b5f63a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7185fdf4c643d1eb7982ba9b5f63af1"/>
                          <pic:cNvPicPr>
                            <a:picLocks noChangeAspect="1"/>
                          </pic:cNvPicPr>
                        </pic:nvPicPr>
                        <pic:blipFill>
                          <a:blip r:embed="rId14"/>
                          <a:stretch>
                            <a:fillRect/>
                          </a:stretch>
                        </pic:blipFill>
                        <pic:spPr>
                          <a:xfrm>
                            <a:off x="0" y="0"/>
                            <a:ext cx="1677035" cy="2096135"/>
                          </a:xfrm>
                          <a:prstGeom prst="rect">
                            <a:avLst/>
                          </a:prstGeom>
                        </pic:spPr>
                      </pic:pic>
                    </a:graphicData>
                  </a:graphic>
                </wp:inline>
              </w:drawing>
            </w:r>
          </w:p>
        </w:tc>
      </w:tr>
    </w:tbl>
    <w:p w14:paraId="6C9E6932">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hint="eastAsia" w:ascii="Times New Roman" w:hAnsi="Times New Roman" w:eastAsia="楷体_GB2312"/>
          <w:b/>
          <w:bCs/>
          <w:kern w:val="0"/>
          <w:sz w:val="32"/>
          <w:szCs w:val="32"/>
          <w:shd w:val="clear" w:color="auto" w:fill="FFFFFF"/>
          <w:lang w:val="zh-CN"/>
        </w:rPr>
        <w:t>（四）评价方法。</w:t>
      </w:r>
    </w:p>
    <w:p w14:paraId="54B79839">
      <w:pPr>
        <w:adjustRightInd w:val="0"/>
        <w:snapToGrid w:val="0"/>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根据项目情况和评价重点，采用案例分析法、单位自评法、实地勘察法、座谈调研法等多种方法进行项目资料搜集和项目评价工作的开展。通过数据分析，可以对项目实施进展和成果进行量化评估；通过实地考察和案例分析，可以深入了解项目运行情况和存在的问题。</w:t>
      </w:r>
    </w:p>
    <w:p w14:paraId="3A52114C">
      <w:pPr>
        <w:adjustRightInd w:val="0"/>
        <w:snapToGrid w:val="0"/>
        <w:spacing w:line="600" w:lineRule="exact"/>
        <w:ind w:firstLine="643" w:firstLineChars="200"/>
        <w:rPr>
          <w:rFonts w:ascii="仿宋_GB2312" w:hAnsi="仿宋_GB2312" w:eastAsia="仿宋_GB2312" w:cs="仿宋_GB2312"/>
          <w:sz w:val="32"/>
          <w:szCs w:val="32"/>
          <w:lang w:val="zh-CN"/>
        </w:rPr>
      </w:pPr>
      <w:r>
        <w:rPr>
          <w:rFonts w:hint="eastAsia" w:ascii="Times New Roman" w:hAnsi="Times New Roman" w:eastAsia="楷体_GB2312"/>
          <w:b/>
          <w:bCs/>
          <w:kern w:val="0"/>
          <w:sz w:val="32"/>
          <w:szCs w:val="32"/>
          <w:shd w:val="clear" w:color="auto" w:fill="FFFFFF"/>
          <w:lang w:val="zh-CN"/>
        </w:rPr>
        <w:t>（五）评价组织。</w:t>
      </w:r>
      <w:r>
        <w:rPr>
          <w:rFonts w:hint="eastAsia" w:ascii="仿宋_GB2312" w:hAnsi="仿宋_GB2312" w:eastAsia="仿宋_GB2312" w:cs="仿宋_GB2312"/>
          <w:sz w:val="32"/>
          <w:szCs w:val="32"/>
          <w:lang w:val="zh-CN"/>
        </w:rPr>
        <w:t>评价组人员构成和职责分工。</w:t>
      </w:r>
    </w:p>
    <w:p w14:paraId="218D947A">
      <w:pPr>
        <w:adjustRightInd w:val="0"/>
        <w:snapToGrid w:val="0"/>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评价组组长：李燕成（广元市公安局警务保障处处长)</w:t>
      </w:r>
    </w:p>
    <w:p w14:paraId="3D265913">
      <w:pPr>
        <w:adjustRightInd w:val="0"/>
        <w:snapToGrid w:val="0"/>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评价组组员：李海滨（平安广元铁路护路联防组办公室副主任)</w:t>
      </w:r>
    </w:p>
    <w:p w14:paraId="7ECE6752">
      <w:pPr>
        <w:adjustRightInd w:val="0"/>
        <w:snapToGrid w:val="0"/>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王宇林（广元市公安局警务保障处主任)</w:t>
      </w:r>
    </w:p>
    <w:p w14:paraId="44DE3213">
      <w:pPr>
        <w:adjustRightInd w:val="0"/>
        <w:snapToGrid w:val="0"/>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陈小芬（平安广元铁路护路联防组办公室)</w:t>
      </w:r>
    </w:p>
    <w:p w14:paraId="12FB76CD">
      <w:pPr>
        <w:adjustRightInd w:val="0"/>
        <w:snapToGrid w:val="0"/>
        <w:spacing w:line="580" w:lineRule="exact"/>
        <w:ind w:firstLine="720"/>
        <w:outlineLvl w:val="1"/>
        <w:rPr>
          <w:rFonts w:ascii="黑体" w:hAnsi="黑体" w:eastAsia="黑体" w:cs="黑体"/>
          <w:bCs/>
          <w:sz w:val="32"/>
          <w:szCs w:val="32"/>
        </w:rPr>
      </w:pPr>
      <w:bookmarkStart w:id="87" w:name="_Toc30461"/>
      <w:r>
        <w:rPr>
          <w:rFonts w:hint="eastAsia" w:ascii="黑体" w:hAnsi="黑体" w:eastAsia="黑体" w:cs="黑体"/>
          <w:bCs/>
          <w:sz w:val="32"/>
          <w:szCs w:val="32"/>
        </w:rPr>
        <w:t>三、绩效分析</w:t>
      </w:r>
      <w:bookmarkEnd w:id="87"/>
      <w:r>
        <w:rPr>
          <w:rFonts w:hint="eastAsia" w:ascii="黑体" w:hAnsi="黑体" w:eastAsia="黑体" w:cs="黑体"/>
          <w:bCs/>
          <w:sz w:val="32"/>
          <w:szCs w:val="32"/>
        </w:rPr>
        <w:tab/>
      </w:r>
    </w:p>
    <w:p w14:paraId="1F7CE425">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hint="eastAsia" w:ascii="Times New Roman" w:hAnsi="Times New Roman" w:eastAsia="楷体_GB2312"/>
          <w:b/>
          <w:bCs/>
          <w:kern w:val="0"/>
          <w:sz w:val="32"/>
          <w:szCs w:val="32"/>
          <w:shd w:val="clear" w:color="auto" w:fill="FFFFFF"/>
          <w:lang w:val="zh-CN"/>
        </w:rPr>
        <w:t>（一）通用指标</w:t>
      </w:r>
      <w:r>
        <w:rPr>
          <w:rFonts w:ascii="Times New Roman" w:hAnsi="Times New Roman" w:eastAsia="楷体_GB2312"/>
          <w:b/>
          <w:bCs/>
          <w:kern w:val="0"/>
          <w:sz w:val="32"/>
          <w:szCs w:val="32"/>
          <w:shd w:val="clear" w:color="auto" w:fill="FFFFFF"/>
          <w:lang w:val="zh-CN"/>
        </w:rPr>
        <w:t>绩效分析。</w:t>
      </w:r>
    </w:p>
    <w:p w14:paraId="6207667D">
      <w:pPr>
        <w:spacing w:line="600" w:lineRule="exact"/>
        <w:ind w:firstLine="64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1.项目决策。为保障铁路大动脉安全畅通，中央综治办联合财政部、中央综治委铁路护路联防工作领导小组、中国铁路总公司下发了《关于进一步加强铁路护路联防工作保障的通知》（中综办〔2015〕31号），明确各省（区、市）财政部门要切实落实主体责任，将铁路护路联防工作经费纳入省级财政预算。项目设立、调整延续等方面严格按照资金管理基本规范和决策程序要求执行，规划符合中央、省委省政府有关决策部署安排，充分评估论证了项目立项的必要性、前瞻性、合理性和可行性，属于政府支持范围，且符合财政事权支出责任划分规定，本项目共设置了4个科学合理、规范完整、量化细化、预算匹配的绩效目标；资金投向与项目总体规划、相关行业事业发展相匹配，聚焦重大任务、重点领域、重点环节和重点项目，体现“集中财力办大事”原则，避免“撒胡椒面”，未出现与其他同类项目或部门内部相关项目交叉重复的情况，该项自评得分为18分。</w:t>
      </w:r>
    </w:p>
    <w:p w14:paraId="19DDB85A">
      <w:pPr>
        <w:spacing w:line="600" w:lineRule="exact"/>
        <w:ind w:firstLine="64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2.项目管理。</w:t>
      </w:r>
    </w:p>
    <w:p w14:paraId="53AD0D7B">
      <w:pPr>
        <w:pStyle w:val="7"/>
        <w:spacing w:after="0" w:line="600" w:lineRule="exact"/>
        <w:ind w:left="0" w:leftChars="0" w:firstLine="640"/>
        <w:rPr>
          <w:rFonts w:hAnsi="仿宋_GB2312" w:eastAsia="仿宋_GB2312" w:cs="仿宋_GB2312"/>
          <w:sz w:val="32"/>
          <w:lang w:val="zh-CN"/>
        </w:rPr>
      </w:pPr>
      <w:r>
        <w:rPr>
          <w:rFonts w:hint="eastAsia" w:hAnsi="仿宋_GB2312" w:eastAsia="仿宋_GB2312" w:cs="仿宋_GB2312"/>
          <w:sz w:val="32"/>
          <w:lang w:val="zh-CN"/>
        </w:rPr>
        <w:t>2023年度，本项目资金管理按照《四川省财政厅四川省公安厅关于印发〈四川省省级铁路护路联防专项资金管理办法〉的通知》（川财行〔2021〕120号）文件执行，不存在管理制度缺失、管理办法过期情况；平安四川铁路护路联防办按照各市（州)铁路线路管辖责任里程数、铁路护路联防队员人数、铁路护路联防工作及绩效考核结果等作为专项资金分配主要因素，对铁路护路联防专项资金进行了分配，资金分配因素选取充分考虑相关行业事业发展实际和发展需求，权重设置有效突出项目实施重点，资金区域分布结果公平合理。项目按中省要求全面完成绩效目标（含事前评估）、绩效评价、以前年度问题整改等预算绩效管理工作；平安四川铁路护路联防办对本单位预算绩效管理提出了相关要求，并对资金分配和项目管理进行了有力指导，同时开展了评价、监督、指导等工作，该项自评得分为10分。</w:t>
      </w:r>
    </w:p>
    <w:p w14:paraId="028D5009">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3.项目实施。</w:t>
      </w:r>
    </w:p>
    <w:p w14:paraId="48991C23">
      <w:pPr>
        <w:pStyle w:val="7"/>
        <w:spacing w:line="600" w:lineRule="exact"/>
        <w:ind w:left="0" w:leftChars="0" w:firstLine="640"/>
        <w:rPr>
          <w:rFonts w:hAnsi="仿宋_GB2312" w:eastAsia="仿宋_GB2312" w:cs="仿宋_GB2312"/>
          <w:sz w:val="32"/>
          <w:lang w:val="zh-CN"/>
        </w:rPr>
      </w:pPr>
      <w:r>
        <w:rPr>
          <w:rFonts w:hint="eastAsia" w:hAnsi="仿宋_GB2312" w:eastAsia="仿宋_GB2312" w:cs="仿宋_GB2312"/>
          <w:sz w:val="32"/>
          <w:lang w:val="zh-CN"/>
        </w:rPr>
        <w:t>项目资金使用、拨付按照国家财经法规、财务管理制度及有关专项资金管理制度办法规定和审批程序，不存在超范围、超标准、超进度使用专项资金，以及资金损失浪费、长期沉淀、截留、挤占、挪用、虚列支出等情况，本项目财政资金拨付率100%，资金使用率64.55%，该项自评得分为9分。</w:t>
      </w:r>
    </w:p>
    <w:p w14:paraId="564ED9C8">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4.项目结果。</w:t>
      </w:r>
    </w:p>
    <w:p w14:paraId="3D7B2B7F">
      <w:pPr>
        <w:pStyle w:val="7"/>
        <w:spacing w:line="600" w:lineRule="exact"/>
        <w:ind w:left="0" w:leftChars="0" w:firstLine="640"/>
        <w:rPr>
          <w:rFonts w:hAnsi="仿宋_GB2312" w:eastAsia="仿宋_GB2312" w:cs="仿宋_GB2312"/>
          <w:sz w:val="32"/>
          <w:lang w:val="zh-CN"/>
        </w:rPr>
      </w:pPr>
      <w:r>
        <w:rPr>
          <w:rFonts w:hint="eastAsia" w:hAnsi="仿宋_GB2312" w:eastAsia="仿宋_GB2312" w:cs="仿宋_GB2312"/>
          <w:sz w:val="32"/>
          <w:lang w:val="zh-CN"/>
        </w:rPr>
        <w:t>本项目首次批复立项设定绩效目标任务总量19个，实际完成目标19个。计划于2023年12月31日前完成，共计215天，实际于2023年12月31日前完成，共计215天，该项自评得分为7分。</w:t>
      </w:r>
    </w:p>
    <w:p w14:paraId="349CB823">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hint="eastAsia" w:ascii="Times New Roman" w:hAnsi="Times New Roman" w:eastAsia="楷体_GB2312"/>
          <w:b/>
          <w:bCs/>
          <w:kern w:val="0"/>
          <w:sz w:val="32"/>
          <w:szCs w:val="32"/>
          <w:shd w:val="clear" w:color="auto" w:fill="FFFFFF"/>
          <w:lang w:val="zh-CN"/>
        </w:rPr>
        <w:t>（二）专用指标</w:t>
      </w:r>
      <w:r>
        <w:rPr>
          <w:rFonts w:ascii="Times New Roman" w:hAnsi="Times New Roman" w:eastAsia="楷体_GB2312"/>
          <w:b/>
          <w:bCs/>
          <w:kern w:val="0"/>
          <w:sz w:val="32"/>
          <w:szCs w:val="32"/>
          <w:shd w:val="clear" w:color="auto" w:fill="FFFFFF"/>
          <w:lang w:val="zh-CN"/>
        </w:rPr>
        <w:t>绩效分析。</w:t>
      </w:r>
    </w:p>
    <w:p w14:paraId="3BEF70A0">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1.行政运转。</w:t>
      </w:r>
    </w:p>
    <w:p w14:paraId="5FB462C9">
      <w:pPr>
        <w:pStyle w:val="7"/>
        <w:spacing w:after="0" w:line="600" w:lineRule="exact"/>
        <w:ind w:left="0" w:leftChars="0" w:firstLine="640"/>
        <w:rPr>
          <w:rFonts w:hAnsi="仿宋_GB2312" w:eastAsia="仿宋_GB2312" w:cs="仿宋_GB2312"/>
          <w:sz w:val="32"/>
          <w:lang w:val="zh-CN"/>
        </w:rPr>
      </w:pPr>
      <w:r>
        <w:rPr>
          <w:rFonts w:hint="eastAsia" w:hAnsi="仿宋_GB2312" w:eastAsia="仿宋_GB2312" w:cs="仿宋_GB2312"/>
          <w:sz w:val="32"/>
          <w:lang w:val="zh-CN"/>
        </w:rPr>
        <w:t>本项目按规定用途、适用范围进行本地区专项资金分配，资金分配标准符合专项资金管理要求，资金管理程序符合专项资金管理要求。平安广元铁路护路联防办按照各县（区)铁路线路管辖责任里程数、铁路护路联防队员人数、铁路护路联防工作及绩效考核结果等作为专项资金分配主要因素，对铁路护路联防专项资金进行了分配，资金分配因素选取充分考虑相关行业事业发展实际和发展需求，权重设置有效突出项目实施重点。项目资金管理按照《四川省财政厅四川省公安厅关于印发〈四川省省级铁路护路联防专项资金管理办法〉的通知》（川财行〔2021〕120号）文件执行，该项自评得分为30分。</w:t>
      </w:r>
    </w:p>
    <w:p w14:paraId="57E5A2E7">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hint="eastAsia" w:ascii="Times New Roman" w:hAnsi="Times New Roman" w:eastAsia="楷体_GB2312"/>
          <w:b/>
          <w:bCs/>
          <w:kern w:val="0"/>
          <w:sz w:val="32"/>
          <w:szCs w:val="32"/>
          <w:shd w:val="clear" w:color="auto" w:fill="FFFFFF"/>
          <w:lang w:val="zh-CN"/>
        </w:rPr>
        <w:t>（三）个性指标</w:t>
      </w:r>
      <w:r>
        <w:rPr>
          <w:rFonts w:ascii="Times New Roman" w:hAnsi="Times New Roman" w:eastAsia="楷体_GB2312"/>
          <w:b/>
          <w:bCs/>
          <w:kern w:val="0"/>
          <w:sz w:val="32"/>
          <w:szCs w:val="32"/>
          <w:shd w:val="clear" w:color="auto" w:fill="FFFFFF"/>
          <w:lang w:val="zh-CN"/>
        </w:rPr>
        <w:t>绩效分析。</w:t>
      </w:r>
    </w:p>
    <w:p w14:paraId="5CF7E276">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1.涉路案（事）件发生数降幅</w:t>
      </w:r>
    </w:p>
    <w:p w14:paraId="238FE2AB">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2023年全市共发生危及行车的案（事）件1起，比上年度增加0起；路外伤亡2人，比上年度增加2人 。</w:t>
      </w:r>
    </w:p>
    <w:p w14:paraId="4CEE977F">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2.铁路安全隐患排查</w:t>
      </w:r>
    </w:p>
    <w:p w14:paraId="2E99B785">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2023年在铁路沿线开展涉路安全隐患排查整治，化解涉路矛盾纠纷，全市计划排查铁路安全隐患点位24个，实际排查26个。</w:t>
      </w:r>
    </w:p>
    <w:p w14:paraId="29194E2D">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3.铁路安全宣传教育</w:t>
      </w:r>
    </w:p>
    <w:p w14:paraId="0864A4B9">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2023年全市计划开展铁路安全宣传教育37次，实际开展40次。该项自评得分为11分。</w:t>
      </w:r>
    </w:p>
    <w:p w14:paraId="4ED891AC">
      <w:pPr>
        <w:adjustRightInd w:val="0"/>
        <w:snapToGrid w:val="0"/>
        <w:spacing w:line="580" w:lineRule="exact"/>
        <w:ind w:firstLine="720"/>
        <w:outlineLvl w:val="1"/>
        <w:rPr>
          <w:rFonts w:ascii="黑体" w:hAnsi="黑体" w:eastAsia="黑体" w:cs="黑体"/>
          <w:bCs/>
          <w:sz w:val="32"/>
          <w:szCs w:val="32"/>
        </w:rPr>
      </w:pPr>
      <w:bookmarkStart w:id="88" w:name="_Toc15657"/>
      <w:r>
        <w:rPr>
          <w:rFonts w:hint="eastAsia" w:ascii="黑体" w:hAnsi="黑体" w:eastAsia="黑体" w:cs="黑体"/>
          <w:bCs/>
          <w:sz w:val="32"/>
          <w:szCs w:val="32"/>
        </w:rPr>
        <w:t>四、评价结论</w:t>
      </w:r>
      <w:bookmarkEnd w:id="88"/>
    </w:p>
    <w:p w14:paraId="7FBE9CFC">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经过严格评估，我们认为铁路护路专项预算项目整体实施效果良好，评价得分85分。这表明项目在预算执行方面，得分率为85%，项目资金使用效率较高，基本实现了预算目标。在政策完善方面，得分率为85%，项目政策在一定程度上提高了铁路护路工作的规范性和有效性。在管理改进方面，得分率为85%。</w:t>
      </w:r>
    </w:p>
    <w:p w14:paraId="40143F19">
      <w:pPr>
        <w:adjustRightInd w:val="0"/>
        <w:snapToGrid w:val="0"/>
        <w:spacing w:line="580" w:lineRule="exact"/>
        <w:ind w:firstLine="720"/>
        <w:outlineLvl w:val="1"/>
        <w:rPr>
          <w:rFonts w:ascii="黑体" w:hAnsi="黑体" w:eastAsia="黑体" w:cs="黑体"/>
          <w:bCs/>
          <w:sz w:val="32"/>
          <w:szCs w:val="32"/>
        </w:rPr>
      </w:pPr>
      <w:bookmarkStart w:id="89" w:name="_Toc30287"/>
      <w:r>
        <w:rPr>
          <w:rFonts w:hint="eastAsia" w:ascii="黑体" w:hAnsi="黑体" w:eastAsia="黑体" w:cs="黑体"/>
          <w:bCs/>
          <w:sz w:val="32"/>
          <w:szCs w:val="32"/>
        </w:rPr>
        <w:t>五、存在主要问题</w:t>
      </w:r>
      <w:bookmarkEnd w:id="89"/>
    </w:p>
    <w:p w14:paraId="0BD60AB6">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尽管项目实施取得了显著成果，但仍然存在一些问题。主要问题包括：一是预算资金安排不够完善；二是部分项目资金使用效率较低；三是政策体系不完善，部分政策实施效果不明显，项目管理不够精细。</w:t>
      </w:r>
    </w:p>
    <w:p w14:paraId="45D6582D">
      <w:pPr>
        <w:adjustRightInd w:val="0"/>
        <w:snapToGrid w:val="0"/>
        <w:spacing w:line="580" w:lineRule="exact"/>
        <w:ind w:firstLine="720"/>
        <w:outlineLvl w:val="1"/>
        <w:rPr>
          <w:rFonts w:ascii="黑体" w:hAnsi="黑体" w:eastAsia="黑体" w:cs="黑体"/>
          <w:bCs/>
          <w:sz w:val="32"/>
          <w:szCs w:val="32"/>
        </w:rPr>
      </w:pPr>
      <w:bookmarkStart w:id="90" w:name="_Toc15758"/>
      <w:r>
        <w:rPr>
          <w:rFonts w:hint="eastAsia" w:ascii="黑体" w:hAnsi="黑体" w:eastAsia="黑体" w:cs="黑体"/>
          <w:bCs/>
          <w:sz w:val="32"/>
          <w:szCs w:val="32"/>
        </w:rPr>
        <w:t>六、改进建议</w:t>
      </w:r>
      <w:bookmarkEnd w:id="90"/>
    </w:p>
    <w:p w14:paraId="291C0FEC">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针对上述问题，我们提出以下改进措施建议：</w:t>
      </w:r>
    </w:p>
    <w:p w14:paraId="6CBE70A1">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（1）优化预算资金安排。对铁路护路项目进行精细化管理，确保资金使用效率最大化。</w:t>
      </w:r>
    </w:p>
    <w:p w14:paraId="232C0E8D">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（2）加强专项资金使用。加强对铁路护路资金调研和评估，提高政策实施效果，确保专项资金使用时限。</w:t>
      </w:r>
    </w:p>
    <w:p w14:paraId="757D8361">
      <w:pPr>
        <w:spacing w:line="600" w:lineRule="exact"/>
        <w:ind w:firstLine="640" w:firstLineChars="200"/>
        <w:rPr>
          <w:rFonts w:ascii="仿宋_GB2312" w:hAnsi="仿宋_GB2312" w:eastAsia="仿宋_GB2312" w:cs="仿宋_GB2312"/>
          <w:sz w:val="32"/>
          <w:szCs w:val="32"/>
          <w:lang w:val="zh-CN"/>
        </w:rPr>
      </w:pPr>
      <w:r>
        <w:rPr>
          <w:rFonts w:hint="eastAsia" w:ascii="仿宋_GB2312" w:hAnsi="仿宋_GB2312" w:eastAsia="仿宋_GB2312" w:cs="仿宋_GB2312"/>
          <w:sz w:val="32"/>
          <w:szCs w:val="32"/>
          <w:lang w:val="zh-CN"/>
        </w:rPr>
        <w:t>（3）改进项目管理。建立健全项目资金监管和评估机制，确保项目各个环节的顺利进行。</w:t>
      </w:r>
    </w:p>
    <w:p w14:paraId="708BD051">
      <w:pPr>
        <w:pStyle w:val="5"/>
      </w:pPr>
    </w:p>
    <w:p w14:paraId="69FE6CFC">
      <w:pPr>
        <w:pStyle w:val="28"/>
        <w:spacing w:line="578" w:lineRule="exact"/>
        <w:ind w:firstLine="440" w:firstLineChars="100"/>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广元市公安局</w:t>
      </w:r>
    </w:p>
    <w:p w14:paraId="0192E612">
      <w:pPr>
        <w:pStyle w:val="28"/>
        <w:spacing w:line="578" w:lineRule="exact"/>
        <w:ind w:firstLine="440" w:firstLineChars="100"/>
        <w:jc w:val="center"/>
        <w:rPr>
          <w:rFonts w:ascii="宋体" w:hAnsi="宋体"/>
          <w:color w:val="auto"/>
          <w:kern w:val="2"/>
          <w:sz w:val="32"/>
          <w:szCs w:val="32"/>
        </w:rPr>
      </w:pPr>
      <w:r>
        <w:rPr>
          <w:rFonts w:hint="eastAsia" w:ascii="方正小标宋简体" w:hAnsi="方正小标宋简体" w:eastAsia="方正小标宋简体" w:cs="方正小标宋简体"/>
          <w:color w:val="auto"/>
          <w:kern w:val="2"/>
          <w:sz w:val="44"/>
          <w:szCs w:val="44"/>
          <w:lang w:val="en-US"/>
        </w:rPr>
        <w:t>房屋及附属设施运行维护绩效评价报告</w:t>
      </w:r>
    </w:p>
    <w:p w14:paraId="59E75B5E">
      <w:pPr>
        <w:adjustRightInd w:val="0"/>
        <w:snapToGrid w:val="0"/>
        <w:spacing w:line="580" w:lineRule="exact"/>
        <w:ind w:firstLine="720"/>
        <w:outlineLvl w:val="1"/>
        <w:rPr>
          <w:rFonts w:ascii="黑体" w:hAnsi="黑体" w:eastAsia="黑体" w:cs="黑体"/>
          <w:bCs/>
          <w:sz w:val="32"/>
          <w:szCs w:val="32"/>
        </w:rPr>
      </w:pPr>
      <w:bookmarkStart w:id="91" w:name="_Toc3753"/>
      <w:r>
        <w:rPr>
          <w:rFonts w:hint="eastAsia" w:ascii="黑体" w:hAnsi="黑体" w:eastAsia="黑体" w:cs="黑体"/>
          <w:bCs/>
          <w:sz w:val="32"/>
          <w:szCs w:val="32"/>
        </w:rPr>
        <w:t>一、项目概况</w:t>
      </w:r>
      <w:bookmarkEnd w:id="91"/>
    </w:p>
    <w:p w14:paraId="79D931CB">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hint="eastAsia" w:ascii="Times New Roman" w:hAnsi="Times New Roman" w:eastAsia="楷体_GB2312"/>
          <w:b/>
          <w:bCs/>
          <w:kern w:val="0"/>
          <w:sz w:val="32"/>
          <w:szCs w:val="32"/>
          <w:shd w:val="clear" w:color="auto" w:fill="FFFFFF"/>
          <w:lang w:val="zh-CN"/>
        </w:rPr>
        <w:t>（一）设立背景及基本情况。</w:t>
      </w:r>
    </w:p>
    <w:p w14:paraId="14016CBF">
      <w:pPr>
        <w:adjustRightInd w:val="0"/>
        <w:snapToGrid w:val="0"/>
        <w:spacing w:line="600" w:lineRule="exact"/>
        <w:ind w:firstLine="720"/>
        <w:rPr>
          <w:rFonts w:ascii="仿宋_GB2312" w:hAnsi="仿宋" w:eastAsia="仿宋_GB2312"/>
          <w:sz w:val="32"/>
          <w:szCs w:val="32"/>
          <w:lang w:val="zh-CN"/>
        </w:rPr>
      </w:pPr>
      <w:r>
        <w:rPr>
          <w:rFonts w:hint="eastAsia" w:ascii="仿宋_GB2312" w:hAnsi="仿宋_GB2312" w:eastAsia="仿宋_GB2312" w:cs="仿宋_GB2312"/>
          <w:color w:val="000000" w:themeColor="text1"/>
          <w:kern w:val="0"/>
          <w:sz w:val="32"/>
          <w:szCs w:val="32"/>
          <w:shd w:val="clear" w:color="auto" w:fill="FFFFFF"/>
        </w:rPr>
        <w:t>市局机关办公楼修建时间较长，房屋楼面墙面渗水、部分门窗损坏，排水系统老化</w:t>
      </w:r>
      <w:r>
        <w:rPr>
          <w:rFonts w:hint="eastAsia" w:ascii="仿宋_GB2312" w:hAnsi="仿宋_GB2312" w:eastAsia="仿宋_GB2312" w:cs="仿宋_GB2312"/>
          <w:color w:val="000000" w:themeColor="text1"/>
          <w:kern w:val="0"/>
          <w:sz w:val="32"/>
          <w:szCs w:val="32"/>
          <w:shd w:val="clear" w:color="auto" w:fill="FFFFFF"/>
          <w:lang w:eastAsia="zh-CN"/>
        </w:rPr>
        <w:t>，</w:t>
      </w:r>
      <w:r>
        <w:rPr>
          <w:rFonts w:hint="eastAsia" w:ascii="仿宋_GB2312" w:hAnsi="仿宋_GB2312" w:eastAsia="仿宋_GB2312" w:cs="仿宋_GB2312"/>
          <w:color w:val="000000" w:themeColor="text1"/>
          <w:kern w:val="0"/>
          <w:sz w:val="32"/>
          <w:szCs w:val="32"/>
          <w:shd w:val="clear" w:color="auto" w:fill="FFFFFF"/>
        </w:rPr>
        <w:t>需进行修缮改造。稳定单位办公环境，提升房屋使用周期，保障日常办公正常运转；</w:t>
      </w:r>
      <w:r>
        <w:rPr>
          <w:rFonts w:hint="eastAsia" w:ascii="仿宋_GB2312" w:hAnsi="仿宋" w:eastAsia="仿宋_GB2312"/>
          <w:sz w:val="32"/>
          <w:szCs w:val="32"/>
          <w:lang w:val="zh-CN"/>
        </w:rPr>
        <w:t>依据公安部《关于印发公安支出功能分类科目和公安支出类专用预算科目的通知》和四川省财政厅 四川省公安厅《关于完善全省公安公用经费保障机制的通知》（川财行〔2021〕122号）文件，对市公安局</w:t>
      </w:r>
      <w:r>
        <w:rPr>
          <w:rFonts w:hint="eastAsia" w:ascii="仿宋_GB2312" w:hAnsi="仿宋" w:eastAsia="仿宋_GB2312"/>
          <w:sz w:val="32"/>
          <w:szCs w:val="32"/>
        </w:rPr>
        <w:t>房屋及附属设施运行维护</w:t>
      </w:r>
      <w:r>
        <w:rPr>
          <w:rFonts w:hint="eastAsia" w:ascii="仿宋_GB2312" w:hAnsi="仿宋" w:eastAsia="仿宋_GB2312"/>
          <w:sz w:val="32"/>
          <w:szCs w:val="32"/>
          <w:lang w:val="zh-CN"/>
        </w:rPr>
        <w:t>项目进行立项申报；市公安局对该项目的资金执行进度、资金使用进行监管，对房屋及附属设施运行维护进行检查、验收。</w:t>
      </w:r>
    </w:p>
    <w:p w14:paraId="40373D22">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hint="eastAsia" w:ascii="Times New Roman" w:hAnsi="Times New Roman" w:eastAsia="楷体_GB2312"/>
          <w:b/>
          <w:bCs/>
          <w:kern w:val="0"/>
          <w:sz w:val="32"/>
          <w:szCs w:val="32"/>
          <w:shd w:val="clear" w:color="auto" w:fill="FFFFFF"/>
          <w:lang w:val="zh-CN"/>
        </w:rPr>
        <w:t>（二）</w:t>
      </w:r>
      <w:r>
        <w:rPr>
          <w:rFonts w:ascii="Times New Roman" w:hAnsi="Times New Roman" w:eastAsia="楷体_GB2312"/>
          <w:b/>
          <w:bCs/>
          <w:kern w:val="0"/>
          <w:sz w:val="32"/>
          <w:szCs w:val="32"/>
          <w:shd w:val="clear" w:color="auto" w:fill="FFFFFF"/>
          <w:lang w:val="zh-CN"/>
        </w:rPr>
        <w:t>实施目的及支持方向</w:t>
      </w:r>
      <w:r>
        <w:rPr>
          <w:rFonts w:hint="eastAsia" w:ascii="Times New Roman" w:hAnsi="Times New Roman" w:eastAsia="楷体_GB2312"/>
          <w:b/>
          <w:bCs/>
          <w:kern w:val="0"/>
          <w:sz w:val="32"/>
          <w:szCs w:val="32"/>
          <w:shd w:val="clear" w:color="auto" w:fill="FFFFFF"/>
          <w:lang w:val="zh-CN"/>
        </w:rPr>
        <w:t>。</w:t>
      </w:r>
    </w:p>
    <w:p w14:paraId="78D4B6F1">
      <w:pPr>
        <w:adjustRightInd w:val="0"/>
        <w:snapToGrid w:val="0"/>
        <w:spacing w:line="600" w:lineRule="exact"/>
        <w:ind w:firstLine="720"/>
        <w:rPr>
          <w:rFonts w:ascii="仿宋_GB2312" w:hAnsi="仿宋" w:eastAsia="仿宋_GB2312"/>
          <w:sz w:val="32"/>
          <w:szCs w:val="32"/>
          <w:lang w:val="zh-CN"/>
        </w:rPr>
      </w:pPr>
      <w:r>
        <w:rPr>
          <w:rFonts w:hint="eastAsia" w:ascii="仿宋_GB2312" w:hAnsi="仿宋" w:eastAsia="仿宋_GB2312"/>
          <w:sz w:val="32"/>
          <w:szCs w:val="32"/>
          <w:lang w:val="zh-CN"/>
        </w:rPr>
        <w:t>在资金管理方面，按照《预算法》等相关法规、制度，坚持先有预算、后有支出，没有预算不得支出。该项资金用于局机关办公楼及办公设施修缮改造、办公设备购置、办公环境保洁等支出，保障了局机关的日常工作正常运转。</w:t>
      </w:r>
    </w:p>
    <w:p w14:paraId="39D74795">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hint="eastAsia" w:ascii="Times New Roman" w:hAnsi="Times New Roman" w:eastAsia="楷体_GB2312"/>
          <w:b/>
          <w:bCs/>
          <w:kern w:val="0"/>
          <w:sz w:val="32"/>
          <w:szCs w:val="32"/>
          <w:shd w:val="clear" w:color="auto" w:fill="FFFFFF"/>
          <w:lang w:val="zh-CN"/>
        </w:rPr>
        <w:t>（三）</w:t>
      </w:r>
      <w:r>
        <w:rPr>
          <w:rFonts w:ascii="Times New Roman" w:hAnsi="Times New Roman" w:eastAsia="楷体_GB2312"/>
          <w:b/>
          <w:bCs/>
          <w:kern w:val="0"/>
          <w:sz w:val="32"/>
          <w:szCs w:val="32"/>
          <w:shd w:val="clear" w:color="auto" w:fill="FFFFFF"/>
          <w:lang w:val="zh-CN"/>
        </w:rPr>
        <w:t>预算安排及分配管理</w:t>
      </w:r>
      <w:r>
        <w:rPr>
          <w:rFonts w:hint="eastAsia" w:ascii="Times New Roman" w:hAnsi="Times New Roman" w:eastAsia="楷体_GB2312"/>
          <w:b/>
          <w:bCs/>
          <w:kern w:val="0"/>
          <w:sz w:val="32"/>
          <w:szCs w:val="32"/>
          <w:shd w:val="clear" w:color="auto" w:fill="FFFFFF"/>
          <w:lang w:val="zh-CN"/>
        </w:rPr>
        <w:t>。</w:t>
      </w:r>
    </w:p>
    <w:p w14:paraId="085C42B5">
      <w:pPr>
        <w:adjustRightInd w:val="0"/>
        <w:snapToGrid w:val="0"/>
        <w:spacing w:line="600" w:lineRule="exact"/>
        <w:ind w:firstLine="720"/>
        <w:rPr>
          <w:rFonts w:ascii="仿宋_GB2312" w:hAnsi="仿宋" w:eastAsia="仿宋_GB2312"/>
          <w:sz w:val="32"/>
          <w:szCs w:val="32"/>
          <w:lang w:val="zh-CN"/>
        </w:rPr>
      </w:pPr>
      <w:r>
        <w:rPr>
          <w:rFonts w:hint="eastAsia" w:ascii="仿宋_GB2312" w:hAnsi="仿宋" w:eastAsia="仿宋_GB2312"/>
          <w:sz w:val="32"/>
          <w:szCs w:val="32"/>
          <w:lang w:val="zh-CN"/>
        </w:rPr>
        <w:t>民警食堂安装监控设施，局机关院内化类池维修，警犬基地犬舍及院墙维修，局机关更换车库彩钢棚，看守所挡土墙维修，办公楼屋顶防水处理，局机关院内水管破裂维修，局机关院内零星维修等。维修项目按照相关程序组织了实施，维修项目与资金使用相符，管理科学合理，效果良好。年初申报房屋及附属设施运行维护计划资金50万元，经市人大讨论通过，批复50万元，到位率100%；市公安局按要求及时进行了房屋及附属设施维修，并按申报资金合理使用，支付依据合规合法，资金支付与预算相符。执行进度100%。</w:t>
      </w:r>
    </w:p>
    <w:p w14:paraId="1F257D19">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hint="eastAsia" w:ascii="Times New Roman" w:hAnsi="Times New Roman" w:eastAsia="楷体_GB2312"/>
          <w:b/>
          <w:bCs/>
          <w:kern w:val="0"/>
          <w:sz w:val="32"/>
          <w:szCs w:val="32"/>
          <w:shd w:val="clear" w:color="auto" w:fill="FFFFFF"/>
          <w:lang w:val="zh-CN"/>
        </w:rPr>
        <w:t>（四）项目绩效目标设置。</w:t>
      </w:r>
    </w:p>
    <w:p w14:paraId="554770AB">
      <w:pPr>
        <w:adjustRightInd w:val="0"/>
        <w:snapToGrid w:val="0"/>
        <w:spacing w:line="600" w:lineRule="exact"/>
        <w:ind w:firstLine="720"/>
        <w:rPr>
          <w:rFonts w:ascii="仿宋_GB2312" w:hAnsi="仿宋" w:eastAsia="仿宋_GB2312"/>
          <w:sz w:val="32"/>
          <w:szCs w:val="32"/>
          <w:lang w:val="zh-CN"/>
        </w:rPr>
      </w:pPr>
      <w:r>
        <w:rPr>
          <w:rFonts w:hint="eastAsia" w:ascii="仿宋_GB2312" w:hAnsi="仿宋" w:eastAsia="仿宋_GB2312"/>
          <w:sz w:val="32"/>
          <w:szCs w:val="32"/>
          <w:lang w:val="zh-CN"/>
        </w:rPr>
        <w:t>年初设置了年度目标任务，设置了产出指标、效益指标、成本指标和满意度指标4个一级指标，数量指标、质量指标、时效指标等8个二级指标，完成维修次数、检验维修工人次等20个三级指标。按照年初既定目标，认真开展预算绩效自评，对指标完成情况进行梳理填报，自评情况良好。</w:t>
      </w:r>
    </w:p>
    <w:p w14:paraId="357785A9">
      <w:pPr>
        <w:adjustRightInd w:val="0"/>
        <w:snapToGrid w:val="0"/>
        <w:spacing w:line="580" w:lineRule="exact"/>
        <w:ind w:firstLine="720"/>
        <w:outlineLvl w:val="1"/>
        <w:rPr>
          <w:rFonts w:ascii="黑体" w:hAnsi="黑体" w:eastAsia="黑体" w:cs="黑体"/>
          <w:bCs/>
          <w:sz w:val="32"/>
          <w:szCs w:val="32"/>
        </w:rPr>
      </w:pPr>
      <w:bookmarkStart w:id="92" w:name="_Toc27140"/>
      <w:r>
        <w:rPr>
          <w:rFonts w:hint="eastAsia" w:ascii="黑体" w:hAnsi="黑体" w:eastAsia="黑体" w:cs="黑体"/>
          <w:bCs/>
          <w:sz w:val="32"/>
          <w:szCs w:val="32"/>
        </w:rPr>
        <w:t>二、评价实施</w:t>
      </w:r>
      <w:bookmarkEnd w:id="92"/>
    </w:p>
    <w:p w14:paraId="1A087D69">
      <w:pPr>
        <w:spacing w:line="578" w:lineRule="exact"/>
        <w:ind w:firstLine="640"/>
        <w:rPr>
          <w:rFonts w:ascii="仿宋_GB2312" w:hAnsi="仿宋" w:eastAsia="仿宋_GB2312"/>
          <w:sz w:val="32"/>
          <w:szCs w:val="32"/>
          <w:lang w:val="zh-CN"/>
        </w:rPr>
      </w:pPr>
      <w:r>
        <w:rPr>
          <w:rFonts w:hint="eastAsia" w:ascii="Times New Roman" w:hAnsi="Times New Roman" w:eastAsia="楷体_GB2312"/>
          <w:b/>
          <w:bCs/>
          <w:kern w:val="0"/>
          <w:sz w:val="32"/>
          <w:szCs w:val="32"/>
          <w:shd w:val="clear" w:color="auto" w:fill="FFFFFF"/>
          <w:lang w:val="zh-CN"/>
        </w:rPr>
        <w:t>（一）评价目的。</w:t>
      </w:r>
      <w:r>
        <w:rPr>
          <w:rFonts w:ascii="仿宋_GB2312" w:hAnsi="仿宋" w:eastAsia="仿宋_GB2312"/>
          <w:sz w:val="32"/>
          <w:szCs w:val="32"/>
          <w:lang w:val="zh-CN"/>
        </w:rPr>
        <w:t>通过</w:t>
      </w:r>
      <w:r>
        <w:rPr>
          <w:rFonts w:hint="eastAsia" w:ascii="仿宋_GB2312" w:hAnsi="仿宋" w:eastAsia="仿宋_GB2312"/>
          <w:sz w:val="32"/>
          <w:szCs w:val="32"/>
          <w:lang w:val="zh-CN"/>
        </w:rPr>
        <w:t>项目绩效自评提高财政资金的使用效益，确保资金使用合规合法，促进工作效率提高，保障机关正常运转；进一步加强预算执行进度的监督管理，及时发现该项目预算执行中存在的问题并做出相应的解决措施，为来年该项目的申报提供科学合理的标准。</w:t>
      </w:r>
    </w:p>
    <w:p w14:paraId="4921D2AF">
      <w:pPr>
        <w:spacing w:line="578" w:lineRule="exact"/>
        <w:ind w:firstLine="640"/>
        <w:rPr>
          <w:rFonts w:ascii="仿宋_GB2312" w:hAnsi="仿宋" w:eastAsia="仿宋_GB2312"/>
          <w:sz w:val="32"/>
          <w:szCs w:val="32"/>
          <w:lang w:val="zh-CN"/>
        </w:rPr>
      </w:pPr>
      <w:r>
        <w:rPr>
          <w:rFonts w:hint="eastAsia" w:ascii="Times New Roman" w:hAnsi="Times New Roman" w:eastAsia="楷体_GB2312"/>
          <w:b/>
          <w:bCs/>
          <w:kern w:val="0"/>
          <w:sz w:val="32"/>
          <w:szCs w:val="32"/>
          <w:shd w:val="clear" w:color="auto" w:fill="FFFFFF"/>
          <w:lang w:val="zh-CN"/>
        </w:rPr>
        <w:t>（二）预设问题及评价重点。</w:t>
      </w:r>
      <w:r>
        <w:rPr>
          <w:rFonts w:hint="eastAsia" w:ascii="仿宋_GB2312" w:hAnsi="仿宋" w:eastAsia="仿宋_GB2312"/>
          <w:sz w:val="32"/>
          <w:szCs w:val="32"/>
          <w:lang w:val="zh-CN"/>
        </w:rPr>
        <w:t>按照绩效评价指标体系，对资金支出使用全过程及其实施效果进行综合评价和判断。</w:t>
      </w:r>
    </w:p>
    <w:p w14:paraId="77B5D79E">
      <w:pPr>
        <w:adjustRightInd w:val="0"/>
        <w:snapToGrid w:val="0"/>
        <w:spacing w:line="578" w:lineRule="exact"/>
        <w:ind w:firstLine="643" w:firstLineChars="200"/>
        <w:rPr>
          <w:rFonts w:ascii="仿宋_GB2312" w:hAnsi="仿宋" w:eastAsia="仿宋_GB2312"/>
          <w:sz w:val="32"/>
          <w:szCs w:val="32"/>
          <w:lang w:val="zh-CN"/>
        </w:rPr>
      </w:pPr>
      <w:r>
        <w:rPr>
          <w:rFonts w:hint="eastAsia" w:ascii="Times New Roman" w:hAnsi="Times New Roman" w:eastAsia="楷体_GB2312"/>
          <w:b/>
          <w:bCs/>
          <w:kern w:val="0"/>
          <w:sz w:val="32"/>
          <w:szCs w:val="32"/>
          <w:shd w:val="clear" w:color="auto" w:fill="FFFFFF"/>
          <w:lang w:val="zh-CN"/>
        </w:rPr>
        <w:t>（三）评价选点。</w:t>
      </w:r>
      <w:r>
        <w:rPr>
          <w:rFonts w:hint="eastAsia" w:ascii="仿宋_GB2312" w:hAnsi="仿宋" w:eastAsia="仿宋_GB2312"/>
          <w:sz w:val="32"/>
          <w:szCs w:val="32"/>
          <w:lang w:val="zh-CN"/>
        </w:rPr>
        <w:t>项目选取维修次数、维护房屋栋数等指标进行评价，均达到年初预算目标设置情况。</w:t>
      </w:r>
    </w:p>
    <w:p w14:paraId="7E6F4B1D">
      <w:pPr>
        <w:spacing w:line="578" w:lineRule="exact"/>
        <w:ind w:firstLine="640"/>
        <w:rPr>
          <w:lang w:val="zh-CN"/>
        </w:rPr>
      </w:pPr>
      <w:r>
        <w:rPr>
          <w:rFonts w:hint="eastAsia" w:ascii="Times New Roman" w:hAnsi="Times New Roman" w:eastAsia="楷体_GB2312"/>
          <w:b/>
          <w:bCs/>
          <w:kern w:val="0"/>
          <w:sz w:val="32"/>
          <w:szCs w:val="32"/>
          <w:shd w:val="clear" w:color="auto" w:fill="FFFFFF"/>
          <w:lang w:val="zh-CN"/>
        </w:rPr>
        <w:t>（四）评价方法。</w:t>
      </w:r>
      <w:r>
        <w:rPr>
          <w:rFonts w:hint="eastAsia" w:ascii="仿宋_GB2312" w:hAnsi="仿宋" w:eastAsia="仿宋_GB2312"/>
          <w:sz w:val="32"/>
          <w:szCs w:val="32"/>
          <w:lang w:val="zh-CN"/>
        </w:rPr>
        <w:t>该项资金用于办公楼及办公设施设备修缮改造，该项经费的投入使用，改善了办公环境，得到了广大民警职工的好评。本项目采取单位自评的方法开展评价，结果项目和资金管理科学合理，整体项目效果良好，达到了预期绩效目标。</w:t>
      </w:r>
    </w:p>
    <w:p w14:paraId="3E6FA1F9">
      <w:pPr>
        <w:spacing w:line="578" w:lineRule="exact"/>
        <w:ind w:firstLine="640"/>
        <w:rPr>
          <w:rFonts w:ascii="仿宋_GB2312" w:hAnsi="仿宋" w:eastAsia="仿宋_GB2312"/>
          <w:sz w:val="32"/>
          <w:szCs w:val="32"/>
          <w:lang w:val="zh-CN"/>
        </w:rPr>
      </w:pPr>
      <w:r>
        <w:rPr>
          <w:rFonts w:hint="eastAsia" w:ascii="Times New Roman" w:hAnsi="Times New Roman" w:eastAsia="楷体_GB2312"/>
          <w:b/>
          <w:bCs/>
          <w:kern w:val="0"/>
          <w:sz w:val="32"/>
          <w:szCs w:val="32"/>
          <w:shd w:val="clear" w:color="auto" w:fill="FFFFFF"/>
          <w:lang w:val="zh-CN"/>
        </w:rPr>
        <w:t>（五）评价组织。</w:t>
      </w:r>
      <w:r>
        <w:rPr>
          <w:rFonts w:hint="eastAsia" w:ascii="仿宋_GB2312" w:hAnsi="仿宋" w:eastAsia="仿宋_GB2312"/>
          <w:sz w:val="32"/>
          <w:szCs w:val="32"/>
          <w:lang w:val="zh-CN"/>
        </w:rPr>
        <w:t>按照广元市公安局《预算绩效管理办法（试行）》，该项目自评工作由审计处、警务保障处、市局纪委等部门围绕总体目标、绩效指标的完成情况及使用效益开展。</w:t>
      </w:r>
    </w:p>
    <w:p w14:paraId="5D8611B1">
      <w:pPr>
        <w:adjustRightInd w:val="0"/>
        <w:snapToGrid w:val="0"/>
        <w:spacing w:line="580" w:lineRule="exact"/>
        <w:ind w:firstLine="720"/>
        <w:outlineLvl w:val="1"/>
        <w:rPr>
          <w:rFonts w:ascii="黑体" w:hAnsi="黑体" w:eastAsia="黑体" w:cs="黑体"/>
          <w:bCs/>
          <w:sz w:val="32"/>
          <w:szCs w:val="32"/>
        </w:rPr>
      </w:pPr>
      <w:bookmarkStart w:id="93" w:name="_Toc25186"/>
      <w:r>
        <w:rPr>
          <w:rFonts w:hint="eastAsia" w:ascii="黑体" w:hAnsi="黑体" w:eastAsia="黑体" w:cs="黑体"/>
          <w:bCs/>
          <w:sz w:val="32"/>
          <w:szCs w:val="32"/>
        </w:rPr>
        <w:t>三、绩效分析</w:t>
      </w:r>
      <w:bookmarkEnd w:id="93"/>
      <w:r>
        <w:rPr>
          <w:rFonts w:hint="eastAsia" w:ascii="黑体" w:hAnsi="黑体" w:eastAsia="黑体" w:cs="黑体"/>
          <w:bCs/>
          <w:sz w:val="32"/>
          <w:szCs w:val="32"/>
        </w:rPr>
        <w:tab/>
      </w:r>
    </w:p>
    <w:p w14:paraId="625B8C6F">
      <w:pPr>
        <w:widowControl/>
        <w:adjustRightInd w:val="0"/>
        <w:snapToGrid w:val="0"/>
        <w:spacing w:line="578" w:lineRule="exact"/>
        <w:ind w:firstLine="643" w:firstLineChars="200"/>
        <w:contextualSpacing/>
        <w:jc w:val="left"/>
        <w:rPr>
          <w:rFonts w:ascii="Times New Roman" w:hAnsi="Times New Roman" w:eastAsia="楷体_GB2312"/>
          <w:b/>
          <w:bCs/>
          <w:kern w:val="0"/>
          <w:sz w:val="32"/>
          <w:szCs w:val="32"/>
          <w:shd w:val="clear" w:color="auto" w:fill="FFFFFF"/>
          <w:lang w:val="zh-CN"/>
        </w:rPr>
      </w:pPr>
      <w:r>
        <w:rPr>
          <w:rFonts w:hint="eastAsia" w:ascii="Times New Roman" w:hAnsi="Times New Roman" w:eastAsia="楷体_GB2312"/>
          <w:b/>
          <w:bCs/>
          <w:kern w:val="0"/>
          <w:sz w:val="32"/>
          <w:szCs w:val="32"/>
          <w:shd w:val="clear" w:color="auto" w:fill="FFFFFF"/>
          <w:lang w:val="zh-CN"/>
        </w:rPr>
        <w:t>（一）通用指标</w:t>
      </w:r>
      <w:r>
        <w:rPr>
          <w:rFonts w:ascii="Times New Roman" w:hAnsi="Times New Roman" w:eastAsia="楷体_GB2312"/>
          <w:b/>
          <w:bCs/>
          <w:kern w:val="0"/>
          <w:sz w:val="32"/>
          <w:szCs w:val="32"/>
          <w:shd w:val="clear" w:color="auto" w:fill="FFFFFF"/>
          <w:lang w:val="zh-CN"/>
        </w:rPr>
        <w:t>绩效分析。</w:t>
      </w:r>
    </w:p>
    <w:p w14:paraId="7F3CD97D">
      <w:pPr>
        <w:spacing w:line="578" w:lineRule="exact"/>
        <w:ind w:firstLine="640"/>
        <w:rPr>
          <w:rFonts w:ascii="仿宋_GB2312" w:hAnsi="仿宋" w:eastAsia="仿宋_GB2312"/>
          <w:sz w:val="32"/>
          <w:szCs w:val="32"/>
          <w:lang w:val="zh-CN"/>
        </w:rPr>
      </w:pPr>
      <w:r>
        <w:rPr>
          <w:rFonts w:hint="eastAsia" w:ascii="仿宋_GB2312" w:hAnsi="仿宋" w:eastAsia="仿宋_GB2312"/>
          <w:sz w:val="32"/>
          <w:szCs w:val="32"/>
          <w:lang w:val="zh-CN"/>
        </w:rPr>
        <w:t>1.项目决策。（1）决策程序。该项目的设立、调整延续等方面符合资金管理基本规范和决策程序要求，该项自评得6分。（2）规划论证。按照省财政厅、省公安厅文件要求以及市委市政府有关决策部署安排，项目实施前开展了项目事前绩效评价，评估内容包含立项必要性、前瞻性、合理性和可行性；项目总体绩效目标设置合理性的偏离度≤15%；绩效目标科学合理、规范完整、量化细化、预算匹配。该项自评得6分。（3）资金投向。本项目属于政府支持范围，且符合财政事权支出责任划分规定，资金投向明确，未与其他同类项目或部门内部相关项目交叉重复，该项自评得6分。</w:t>
      </w:r>
    </w:p>
    <w:p w14:paraId="45211832">
      <w:pPr>
        <w:spacing w:line="578" w:lineRule="exact"/>
        <w:ind w:firstLine="640"/>
        <w:rPr>
          <w:rFonts w:ascii="仿宋_GB2312" w:hAnsi="仿宋" w:eastAsia="仿宋_GB2312"/>
          <w:sz w:val="32"/>
          <w:szCs w:val="32"/>
          <w:lang w:val="zh-CN"/>
        </w:rPr>
      </w:pPr>
      <w:r>
        <w:rPr>
          <w:rFonts w:hint="eastAsia" w:ascii="仿宋_GB2312" w:hAnsi="仿宋" w:eastAsia="仿宋_GB2312"/>
          <w:sz w:val="32"/>
          <w:szCs w:val="32"/>
          <w:lang w:val="zh-CN"/>
        </w:rPr>
        <w:t>2.项目管理。（1）制度办法。资金管理体系健全完善，不存在管理制度缺失、管理办法过期情况，该项自评得2分。（2）分配管理。本项目资金分配因素选取充分考虑局机关维修及维护工作实际和发展需求；资金分配因素的权重设置有效突出项目实施重点；资金区域分布结果公平合理。项目资金的分配严格按照财务管理办法执行，资金使用全程监控，使用合理合规。该项自评得10分。（3）绩效监管。本项目严格按照中央和省、市要求全面完成绩效目标（含事前评估）、绩效评价、以前年度问题整改等预算绩效管理工作；市公安局绩效管理小组全过程对业务部门使用项目经费开展评价、监督、指导等工作，该项自评得6分。</w:t>
      </w:r>
    </w:p>
    <w:p w14:paraId="0D9B1578">
      <w:pPr>
        <w:spacing w:line="578" w:lineRule="exact"/>
        <w:ind w:firstLine="640"/>
        <w:rPr>
          <w:rFonts w:ascii="仿宋_GB2312" w:hAnsi="仿宋" w:eastAsia="仿宋_GB2312"/>
          <w:sz w:val="32"/>
          <w:szCs w:val="32"/>
          <w:lang w:val="zh-CN"/>
        </w:rPr>
      </w:pPr>
      <w:r>
        <w:rPr>
          <w:rFonts w:hint="eastAsia" w:ascii="仿宋_GB2312" w:hAnsi="仿宋" w:eastAsia="仿宋_GB2312"/>
          <w:sz w:val="32"/>
          <w:szCs w:val="32"/>
          <w:lang w:val="zh-CN"/>
        </w:rPr>
        <w:t>3.项目实施。（1）预算执行。本项目是由市财政资金全额保障，该项指标得分=财政资金拨付率×100%×6=6，该项自评得6分。（2）资金使用。项目资金使用、拨付是符合国家财经法规、财务管理制度及有关专项资金管理制度办法规定和审批程序，坚持项目资金专款专用，未存在截留、挤占、挪用、虚列支出等情况，该项自评得3分。</w:t>
      </w:r>
    </w:p>
    <w:p w14:paraId="5030EE6B">
      <w:pPr>
        <w:spacing w:line="578" w:lineRule="exact"/>
        <w:ind w:firstLine="640"/>
        <w:rPr>
          <w:rFonts w:ascii="仿宋_GB2312" w:hAnsi="仿宋" w:eastAsia="仿宋_GB2312"/>
          <w:sz w:val="32"/>
          <w:szCs w:val="32"/>
          <w:lang w:val="zh-CN"/>
        </w:rPr>
      </w:pPr>
      <w:r>
        <w:rPr>
          <w:rFonts w:hint="eastAsia" w:ascii="仿宋_GB2312" w:hAnsi="仿宋" w:eastAsia="仿宋_GB2312"/>
          <w:sz w:val="32"/>
          <w:szCs w:val="32"/>
          <w:lang w:val="zh-CN"/>
        </w:rPr>
        <w:t>4.项目结果。（1）目标完成。该项指标得分=实际完成目标任务量÷首次批复立项设定绩效目标任务总量×100%×6=6，该项自评得6分。（2）完成时效。该项指标得分=（1-(实际完成时间-计划完成时间)÷计划完成时间）×100%×3=3，该项自评得3分。</w:t>
      </w:r>
    </w:p>
    <w:p w14:paraId="180163F2">
      <w:pPr>
        <w:adjustRightInd w:val="0"/>
        <w:snapToGrid w:val="0"/>
        <w:spacing w:line="600" w:lineRule="exact"/>
        <w:ind w:firstLine="720"/>
        <w:rPr>
          <w:rFonts w:ascii="仿宋_GB2312" w:hAnsi="仿宋" w:eastAsia="仿宋_GB2312"/>
          <w:sz w:val="32"/>
          <w:szCs w:val="32"/>
          <w:lang w:val="zh-CN"/>
        </w:rPr>
      </w:pPr>
      <w:r>
        <w:rPr>
          <w:rFonts w:hint="eastAsia" w:ascii="Times New Roman" w:hAnsi="Times New Roman" w:eastAsia="楷体_GB2312"/>
          <w:b/>
          <w:bCs/>
          <w:kern w:val="0"/>
          <w:sz w:val="32"/>
          <w:szCs w:val="32"/>
          <w:shd w:val="clear" w:color="auto" w:fill="FFFFFF"/>
          <w:lang w:val="zh-CN"/>
        </w:rPr>
        <w:t>（二）专用指标</w:t>
      </w:r>
      <w:r>
        <w:rPr>
          <w:rFonts w:ascii="Times New Roman" w:hAnsi="Times New Roman" w:eastAsia="楷体_GB2312"/>
          <w:b/>
          <w:bCs/>
          <w:kern w:val="0"/>
          <w:sz w:val="32"/>
          <w:szCs w:val="32"/>
          <w:shd w:val="clear" w:color="auto" w:fill="FFFFFF"/>
          <w:lang w:val="zh-CN"/>
        </w:rPr>
        <w:t>绩效分析。</w:t>
      </w:r>
      <w:r>
        <w:rPr>
          <w:rFonts w:hint="eastAsia" w:ascii="仿宋_GB2312" w:hAnsi="仿宋" w:eastAsia="仿宋_GB2312"/>
          <w:sz w:val="32"/>
          <w:szCs w:val="32"/>
          <w:lang w:val="zh-CN"/>
        </w:rPr>
        <w:t>本项目行政运转类项目。我局建立了房屋及附属设施运行维护费用管理办法，按维护项目支付维护费，对照项目资金管理办法，评价项目严格执行财务管理制度、财务处理及时、会计核算规范；按市政府维修项目相关规定，根据项目的规模，资金多少，进行招投标、政府采购、项目公示相关程序组织实施，并对完成项目进行验收；市公安局严格按照市政府及财政局房屋及附属设施项目管理相关规定，对项目进行招投标、项目公示；市公安局审计处、市局纪委对项目执行进行监管，对存疑问题及时指正，确保项目合理合规，高效运行。该项自评得30分。</w:t>
      </w:r>
    </w:p>
    <w:p w14:paraId="28EE12AF">
      <w:pPr>
        <w:spacing w:line="578" w:lineRule="exact"/>
        <w:ind w:firstLine="640"/>
        <w:rPr>
          <w:rFonts w:ascii="仿宋_GB2312" w:hAnsi="仿宋" w:eastAsia="仿宋_GB2312"/>
          <w:sz w:val="32"/>
          <w:szCs w:val="32"/>
          <w:lang w:val="zh-CN"/>
        </w:rPr>
      </w:pPr>
      <w:r>
        <w:rPr>
          <w:rFonts w:hint="eastAsia" w:ascii="楷体_GB2312" w:hAnsi="宋体" w:eastAsia="楷体_GB2312"/>
          <w:b/>
          <w:sz w:val="32"/>
          <w:szCs w:val="32"/>
          <w:lang w:val="zh-CN"/>
        </w:rPr>
        <w:t>（</w:t>
      </w:r>
      <w:r>
        <w:rPr>
          <w:rFonts w:hint="eastAsia" w:ascii="Times New Roman" w:hAnsi="Times New Roman" w:eastAsia="楷体_GB2312"/>
          <w:b/>
          <w:bCs/>
          <w:kern w:val="0"/>
          <w:sz w:val="32"/>
          <w:szCs w:val="32"/>
          <w:shd w:val="clear" w:color="auto" w:fill="FFFFFF"/>
          <w:lang w:val="zh-CN"/>
        </w:rPr>
        <w:t>三）个性指标</w:t>
      </w:r>
      <w:r>
        <w:rPr>
          <w:rFonts w:ascii="Times New Roman" w:hAnsi="Times New Roman" w:eastAsia="楷体_GB2312"/>
          <w:b/>
          <w:bCs/>
          <w:kern w:val="0"/>
          <w:sz w:val="32"/>
          <w:szCs w:val="32"/>
          <w:shd w:val="clear" w:color="auto" w:fill="FFFFFF"/>
          <w:lang w:val="zh-CN"/>
        </w:rPr>
        <w:t>绩效分析。</w:t>
      </w:r>
      <w:r>
        <w:rPr>
          <w:rFonts w:hint="eastAsia" w:ascii="仿宋_GB2312" w:hAnsi="仿宋" w:eastAsia="仿宋_GB2312"/>
          <w:sz w:val="32"/>
          <w:szCs w:val="32"/>
          <w:lang w:val="zh-CN"/>
        </w:rPr>
        <w:t>根据本项目的实际，项目选取基础设施维修维护资金使用个性指标，包含维修维护目标完成率和竣工验收资料完整度2个三级指标，分别采用分级评分法和是否评分法对个性指标的完成情况开展自评。经自评，该项自评得15分。</w:t>
      </w:r>
    </w:p>
    <w:p w14:paraId="0E5FFAE5">
      <w:pPr>
        <w:adjustRightInd w:val="0"/>
        <w:snapToGrid w:val="0"/>
        <w:spacing w:line="580" w:lineRule="exact"/>
        <w:ind w:firstLine="720"/>
        <w:outlineLvl w:val="1"/>
        <w:rPr>
          <w:rFonts w:ascii="黑体" w:hAnsi="黑体" w:eastAsia="黑体" w:cs="黑体"/>
          <w:bCs/>
          <w:sz w:val="32"/>
          <w:szCs w:val="32"/>
        </w:rPr>
      </w:pPr>
      <w:bookmarkStart w:id="94" w:name="_Toc13993"/>
      <w:r>
        <w:rPr>
          <w:rFonts w:hint="eastAsia" w:ascii="黑体" w:hAnsi="黑体" w:eastAsia="黑体" w:cs="黑体"/>
          <w:bCs/>
          <w:sz w:val="32"/>
          <w:szCs w:val="32"/>
        </w:rPr>
        <w:t>四、评价结论</w:t>
      </w:r>
      <w:bookmarkEnd w:id="94"/>
    </w:p>
    <w:p w14:paraId="087723F0">
      <w:pPr>
        <w:pStyle w:val="5"/>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项目定质、定量、定时进行施工，解决了问题，得到了广大民警职工好评，该项目自评得99分。</w:t>
      </w:r>
    </w:p>
    <w:p w14:paraId="28791857">
      <w:pPr>
        <w:adjustRightInd w:val="0"/>
        <w:snapToGrid w:val="0"/>
        <w:spacing w:line="580" w:lineRule="exact"/>
        <w:ind w:firstLine="720"/>
        <w:outlineLvl w:val="1"/>
        <w:rPr>
          <w:rFonts w:ascii="黑体" w:hAnsi="黑体" w:eastAsia="黑体" w:cs="黑体"/>
          <w:bCs/>
          <w:sz w:val="32"/>
          <w:szCs w:val="32"/>
        </w:rPr>
      </w:pPr>
      <w:bookmarkStart w:id="95" w:name="_Toc11166"/>
      <w:r>
        <w:rPr>
          <w:rFonts w:hint="eastAsia" w:ascii="黑体" w:hAnsi="黑体" w:eastAsia="黑体" w:cs="黑体"/>
          <w:bCs/>
          <w:sz w:val="32"/>
          <w:szCs w:val="32"/>
        </w:rPr>
        <w:t>五、存在主要问题</w:t>
      </w:r>
      <w:bookmarkEnd w:id="95"/>
    </w:p>
    <w:p w14:paraId="355DA02E">
      <w:pPr>
        <w:pStyle w:val="5"/>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对设施设备的日常维护保养有待加强。</w:t>
      </w:r>
    </w:p>
    <w:p w14:paraId="4B383B94">
      <w:pPr>
        <w:adjustRightInd w:val="0"/>
        <w:snapToGrid w:val="0"/>
        <w:spacing w:line="580" w:lineRule="exact"/>
        <w:ind w:firstLine="720"/>
        <w:outlineLvl w:val="1"/>
        <w:rPr>
          <w:rFonts w:ascii="黑体" w:hAnsi="黑体" w:eastAsia="黑体" w:cs="黑体"/>
          <w:bCs/>
          <w:sz w:val="32"/>
          <w:szCs w:val="32"/>
        </w:rPr>
      </w:pPr>
      <w:bookmarkStart w:id="96" w:name="_Toc14736"/>
      <w:r>
        <w:rPr>
          <w:rFonts w:hint="eastAsia" w:ascii="黑体" w:hAnsi="黑体" w:eastAsia="黑体" w:cs="黑体"/>
          <w:bCs/>
          <w:sz w:val="32"/>
          <w:szCs w:val="32"/>
        </w:rPr>
        <w:t>六、改进建议</w:t>
      </w:r>
      <w:bookmarkEnd w:id="96"/>
    </w:p>
    <w:p w14:paraId="3D7FCD64">
      <w:pPr>
        <w:snapToGrid w:val="0"/>
        <w:spacing w:line="600" w:lineRule="exact"/>
        <w:ind w:firstLine="640" w:firstLineChars="200"/>
        <w:rPr>
          <w:rFonts w:ascii="仿宋_GB2312" w:hAnsi="仿宋" w:eastAsia="仿宋_GB2312"/>
          <w:sz w:val="32"/>
          <w:szCs w:val="32"/>
          <w:lang w:val="zh-CN"/>
        </w:rPr>
      </w:pPr>
      <w:r>
        <w:rPr>
          <w:rFonts w:hint="eastAsia" w:ascii="仿宋_GB2312" w:hAnsi="仿宋" w:eastAsia="仿宋_GB2312"/>
          <w:sz w:val="32"/>
          <w:szCs w:val="32"/>
          <w:lang w:val="zh-CN"/>
        </w:rPr>
        <w:t>加强日常设施设备保养，定期巡视，节约维修资金。</w:t>
      </w:r>
    </w:p>
    <w:p w14:paraId="0C7027BB">
      <w:pPr>
        <w:snapToGrid w:val="0"/>
        <w:spacing w:line="600" w:lineRule="exact"/>
        <w:ind w:firstLine="640" w:firstLineChars="200"/>
        <w:rPr>
          <w:rFonts w:ascii="仿宋_GB2312" w:hAnsi="仿宋" w:eastAsia="仿宋_GB2312"/>
          <w:sz w:val="32"/>
          <w:szCs w:val="32"/>
          <w:lang w:val="zh-CN"/>
        </w:rPr>
      </w:pPr>
    </w:p>
    <w:p w14:paraId="5874916C">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广元市公安局</w:t>
      </w:r>
    </w:p>
    <w:p w14:paraId="5AE21D75">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公安通讯链路租赁费项目绩效评价报告</w:t>
      </w:r>
    </w:p>
    <w:p w14:paraId="4A2FAF54">
      <w:pPr>
        <w:adjustRightInd w:val="0"/>
        <w:snapToGrid w:val="0"/>
        <w:spacing w:line="580" w:lineRule="exact"/>
        <w:ind w:firstLine="720"/>
        <w:outlineLvl w:val="1"/>
        <w:rPr>
          <w:rFonts w:ascii="黑体" w:hAnsi="黑体" w:eastAsia="黑体" w:cs="黑体"/>
          <w:bCs/>
          <w:sz w:val="32"/>
          <w:szCs w:val="32"/>
        </w:rPr>
      </w:pPr>
      <w:bookmarkStart w:id="97" w:name="_Toc17082"/>
      <w:r>
        <w:rPr>
          <w:rFonts w:hint="eastAsia" w:ascii="黑体" w:hAnsi="黑体" w:eastAsia="黑体" w:cs="黑体"/>
          <w:bCs/>
          <w:sz w:val="32"/>
          <w:szCs w:val="32"/>
        </w:rPr>
        <w:t>一、项目概况</w:t>
      </w:r>
      <w:bookmarkEnd w:id="97"/>
    </w:p>
    <w:p w14:paraId="7895AC4C">
      <w:pPr>
        <w:adjustRightInd w:val="0"/>
        <w:snapToGrid w:val="0"/>
        <w:spacing w:line="600" w:lineRule="exact"/>
        <w:ind w:firstLine="720"/>
        <w:rPr>
          <w:rFonts w:ascii="仿宋_GB2312" w:hAnsi="仿宋" w:eastAsia="仿宋_GB2312"/>
          <w:sz w:val="32"/>
          <w:szCs w:val="32"/>
        </w:rPr>
      </w:pPr>
      <w:r>
        <w:rPr>
          <w:rFonts w:hint="eastAsia" w:ascii="楷体_GB2312" w:hAnsi="宋体" w:eastAsia="楷体_GB2312"/>
          <w:b/>
          <w:sz w:val="32"/>
          <w:szCs w:val="32"/>
          <w:lang w:val="zh-CN"/>
        </w:rPr>
        <w:t>（一）设立背景及基本情况。</w:t>
      </w:r>
      <w:r>
        <w:rPr>
          <w:rFonts w:hint="eastAsia" w:ascii="仿宋_GB2312" w:hAnsi="仿宋" w:eastAsia="仿宋_GB2312"/>
          <w:sz w:val="32"/>
          <w:szCs w:val="32"/>
        </w:rPr>
        <w:t>依据公安部《关于印发公安支出功能分类科目和公安支出类专用预算科目的通知》和四川省财政厅 四川省公安厅《关于完善全省公安公用经费保障机制的通知》（川财行〔2021〕122号）文件，对市公安局公安通讯链路租赁费（单列）项目进行立项申报。按照财政部、公安部《公安机关财务管理办法》、“三重一大”集体决策制度、公安部《关于印发公安支出功能分类科目和公安支出类专用预算科目的通知》和《广元市公安局财务管理办法》对项目资金进行管理，严格按照规定的范围支持和审核资金的支付。该项经费主要服务于</w:t>
      </w:r>
      <w:r>
        <w:rPr>
          <w:rFonts w:hint="eastAsia" w:ascii="仿宋_GB2312" w:hAnsi="Times New Roman" w:eastAsia="仿宋_GB2312"/>
          <w:sz w:val="32"/>
          <w:szCs w:val="32"/>
        </w:rPr>
        <w:t>我市公安通信网络</w:t>
      </w:r>
      <w:r>
        <w:rPr>
          <w:rFonts w:hint="eastAsia" w:ascii="仿宋_GB2312" w:eastAsia="仿宋_GB2312"/>
          <w:sz w:val="32"/>
          <w:szCs w:val="32"/>
        </w:rPr>
        <w:t>、</w:t>
      </w:r>
      <w:r>
        <w:rPr>
          <w:rFonts w:hint="eastAsia" w:ascii="仿宋_GB2312" w:hAnsi="Times New Roman" w:eastAsia="仿宋_GB2312"/>
          <w:sz w:val="32"/>
          <w:szCs w:val="32"/>
        </w:rPr>
        <w:t>应急指挥平台、城市电子监控</w:t>
      </w:r>
      <w:r>
        <w:rPr>
          <w:rFonts w:hint="eastAsia" w:ascii="仿宋_GB2312" w:eastAsia="仿宋_GB2312"/>
          <w:sz w:val="32"/>
          <w:szCs w:val="32"/>
        </w:rPr>
        <w:t>、</w:t>
      </w:r>
      <w:r>
        <w:rPr>
          <w:rFonts w:hint="eastAsia" w:ascii="仿宋_GB2312" w:hAnsi="Times New Roman" w:eastAsia="仿宋_GB2312"/>
          <w:sz w:val="32"/>
          <w:szCs w:val="32"/>
        </w:rPr>
        <w:t>交通违法抓拍、动力</w:t>
      </w:r>
      <w:r>
        <w:rPr>
          <w:rFonts w:hint="eastAsia" w:ascii="仿宋_GB2312" w:eastAsia="仿宋_GB2312"/>
          <w:sz w:val="32"/>
          <w:szCs w:val="32"/>
        </w:rPr>
        <w:t>电源设备及电路</w:t>
      </w:r>
      <w:r>
        <w:rPr>
          <w:rFonts w:hint="eastAsia" w:ascii="仿宋_GB2312" w:hAnsi="仿宋" w:eastAsia="仿宋_GB2312"/>
          <w:sz w:val="32"/>
          <w:szCs w:val="32"/>
        </w:rPr>
        <w:t>等租赁费用支出。市公安局对项目资金执行进度、项目资金使用情况进行监督，对资金的使用及报销进行审核。</w:t>
      </w:r>
    </w:p>
    <w:p w14:paraId="22AC57FF">
      <w:pPr>
        <w:adjustRightInd w:val="0"/>
        <w:snapToGrid w:val="0"/>
        <w:spacing w:line="600" w:lineRule="exact"/>
        <w:ind w:firstLine="720"/>
        <w:rPr>
          <w:rFonts w:ascii="仿宋_GB2312" w:hAnsi="仿宋" w:eastAsia="仿宋_GB2312"/>
          <w:sz w:val="32"/>
          <w:szCs w:val="32"/>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r>
        <w:rPr>
          <w:rFonts w:hint="eastAsia" w:ascii="楷体_GB2312" w:hAnsi="宋体" w:eastAsia="楷体_GB2312"/>
          <w:b/>
          <w:sz w:val="32"/>
          <w:szCs w:val="32"/>
          <w:lang w:val="zh-CN"/>
        </w:rPr>
        <w:t>。</w:t>
      </w:r>
      <w:r>
        <w:rPr>
          <w:rFonts w:hint="eastAsia" w:ascii="仿宋_GB2312" w:hAnsi="仿宋" w:eastAsia="仿宋_GB2312"/>
          <w:sz w:val="32"/>
          <w:szCs w:val="32"/>
        </w:rPr>
        <w:t>按照《公安机关财务管理办法》中的相关范围执行，该项目提高了我市公安科技信息化水平，为公安机关扁平化指挥体系提供了较好的技术支撑环境和应用环境，有力保障了110接处警业务的顺利开展。所建设使用的天网、人脸和卡口系统等前端感知设备，构建和织密了市主城区的智能化防控网，可以适时掌握人、车的轨迹信息。申报的项目经费符合公安机关的职业特点和工作实际。</w:t>
      </w:r>
    </w:p>
    <w:p w14:paraId="73607F0F">
      <w:pPr>
        <w:adjustRightInd w:val="0"/>
        <w:snapToGrid w:val="0"/>
        <w:spacing w:line="600" w:lineRule="exact"/>
        <w:ind w:firstLine="720"/>
        <w:rPr>
          <w:rFonts w:ascii="仿宋_GB2312" w:hAnsi="仿宋" w:eastAsia="仿宋_GB2312"/>
          <w:sz w:val="32"/>
          <w:szCs w:val="32"/>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r>
        <w:rPr>
          <w:rFonts w:hint="eastAsia" w:ascii="楷体_GB2312" w:hAnsi="宋体" w:eastAsia="楷体_GB2312"/>
          <w:b/>
          <w:sz w:val="32"/>
          <w:szCs w:val="32"/>
          <w:lang w:val="zh-CN"/>
        </w:rPr>
        <w:t>。</w:t>
      </w:r>
      <w:r>
        <w:rPr>
          <w:rFonts w:hint="eastAsia" w:ascii="仿宋_GB2312" w:hAnsi="仿宋" w:eastAsia="仿宋_GB2312"/>
          <w:sz w:val="32"/>
          <w:szCs w:val="32"/>
        </w:rPr>
        <w:t>该项目已列入每年度市财政预算资金，项目资金每年到位486.4万元，到位率100%。资金使用专款专用，资金使用合法合规，严格按照预算进度执行，执行率97.11%。</w:t>
      </w:r>
    </w:p>
    <w:p w14:paraId="4A9A9B79">
      <w:pPr>
        <w:adjustRightInd w:val="0"/>
        <w:snapToGrid w:val="0"/>
        <w:spacing w:line="578" w:lineRule="exact"/>
        <w:ind w:firstLine="643" w:firstLineChars="200"/>
        <w:rPr>
          <w:rFonts w:ascii="仿宋_GB2312" w:hAnsi="仿宋_GB2312" w:cs="仿宋_GB2312"/>
          <w:kern w:val="0"/>
          <w:shd w:val="clear" w:color="auto" w:fill="FFFFFF"/>
          <w:lang w:val="zh-CN"/>
        </w:rPr>
      </w:pPr>
      <w:r>
        <w:rPr>
          <w:rFonts w:hint="eastAsia" w:ascii="楷体_GB2312" w:hAnsi="宋体" w:eastAsia="楷体_GB2312"/>
          <w:b/>
          <w:sz w:val="32"/>
          <w:szCs w:val="32"/>
          <w:lang w:val="zh-CN"/>
        </w:rPr>
        <w:t>（四）项目绩效目标设置。</w:t>
      </w:r>
      <w:r>
        <w:rPr>
          <w:rFonts w:hint="eastAsia" w:ascii="仿宋_GB2312" w:hAnsi="仿宋" w:eastAsia="仿宋_GB2312"/>
          <w:sz w:val="32"/>
          <w:szCs w:val="32"/>
        </w:rPr>
        <w:t>年初设置了年度目标任务，设置了产出指标、成本指标、效益指标和满意度指标4个一级指标，数量指标、质量指标、时效指标等8个二级指标，完成公安的三网通信链路、应急联动指挥平台运行合格率等22个三级指标。按照年初既定目标，认真开展预算绩效自评，对指标完成情况进行梳理填报，自评情况良好。</w:t>
      </w:r>
    </w:p>
    <w:p w14:paraId="410085F3">
      <w:pPr>
        <w:adjustRightInd w:val="0"/>
        <w:snapToGrid w:val="0"/>
        <w:spacing w:line="580" w:lineRule="exact"/>
        <w:ind w:firstLine="720"/>
        <w:outlineLvl w:val="1"/>
        <w:rPr>
          <w:rFonts w:ascii="黑体" w:hAnsi="黑体" w:eastAsia="黑体" w:cs="黑体"/>
          <w:bCs/>
          <w:sz w:val="32"/>
          <w:szCs w:val="32"/>
        </w:rPr>
      </w:pPr>
      <w:bookmarkStart w:id="98" w:name="_Toc25066"/>
      <w:r>
        <w:rPr>
          <w:rFonts w:hint="eastAsia" w:ascii="黑体" w:hAnsi="黑体" w:eastAsia="黑体" w:cs="黑体"/>
          <w:bCs/>
          <w:sz w:val="32"/>
          <w:szCs w:val="32"/>
        </w:rPr>
        <w:t>二、评价实施</w:t>
      </w:r>
      <w:bookmarkEnd w:id="98"/>
    </w:p>
    <w:p w14:paraId="33F98A52">
      <w:pPr>
        <w:spacing w:line="578" w:lineRule="exact"/>
        <w:ind w:firstLine="640"/>
        <w:rPr>
          <w:rFonts w:ascii="仿宋_GB2312" w:hAnsi="仿宋" w:eastAsia="仿宋_GB2312"/>
          <w:sz w:val="32"/>
          <w:szCs w:val="32"/>
        </w:rPr>
      </w:pPr>
      <w:r>
        <w:rPr>
          <w:rFonts w:hint="eastAsia" w:ascii="楷体_GB2312" w:hAnsi="宋体" w:eastAsia="楷体_GB2312"/>
          <w:b/>
          <w:sz w:val="32"/>
          <w:szCs w:val="32"/>
          <w:lang w:val="zh-CN"/>
        </w:rPr>
        <w:t>（一）评价目的。</w:t>
      </w:r>
      <w:r>
        <w:rPr>
          <w:rFonts w:ascii="仿宋_GB2312" w:hAnsi="仿宋" w:eastAsia="仿宋_GB2312"/>
          <w:sz w:val="32"/>
          <w:szCs w:val="32"/>
        </w:rPr>
        <w:t>通过</w:t>
      </w:r>
      <w:r>
        <w:rPr>
          <w:rFonts w:hint="eastAsia" w:ascii="仿宋_GB2312" w:hAnsi="仿宋" w:eastAsia="仿宋_GB2312"/>
          <w:sz w:val="32"/>
          <w:szCs w:val="32"/>
        </w:rPr>
        <w:t>项目绩效自评提高财政资金的使用效益，确保资金得到合理有效的利用；进一步加强预算执行进度的监督管理，及时发现该项目预算执行中存在的问题并做出相应的解决措施，为来年该项目的申报提供科学合理的标准。</w:t>
      </w:r>
    </w:p>
    <w:p w14:paraId="76074639">
      <w:pPr>
        <w:adjustRightInd w:val="0"/>
        <w:snapToGrid w:val="0"/>
        <w:spacing w:line="600" w:lineRule="exact"/>
        <w:ind w:firstLine="720"/>
        <w:rPr>
          <w:rFonts w:ascii="仿宋_GB2312" w:hAnsi="仿宋" w:eastAsia="仿宋_GB2312"/>
          <w:sz w:val="32"/>
          <w:szCs w:val="32"/>
        </w:rPr>
      </w:pPr>
      <w:r>
        <w:rPr>
          <w:rFonts w:hint="eastAsia" w:ascii="楷体_GB2312" w:hAnsi="宋体" w:eastAsia="楷体_GB2312"/>
          <w:b/>
          <w:sz w:val="32"/>
          <w:szCs w:val="32"/>
          <w:lang w:val="zh-CN"/>
        </w:rPr>
        <w:t>（二）预设问题及评价重点。</w:t>
      </w:r>
      <w:r>
        <w:rPr>
          <w:rFonts w:hint="eastAsia" w:ascii="仿宋_GB2312" w:hAnsi="仿宋" w:eastAsia="仿宋_GB2312"/>
          <w:sz w:val="32"/>
          <w:szCs w:val="32"/>
        </w:rPr>
        <w:t>本项目预设“资金分配和使用计划是否明确？”，该项目由市公安局警务保障处进行综合管理，设立专职会计、出纳等岗位，各部门相关费用支出由其财务人员统一进行报销，做到专人专司财务管理职责，对项目资金严格执行财务管理制度，及时进行财务处理和核算，使财政资金达到了最大的效益。</w:t>
      </w:r>
    </w:p>
    <w:p w14:paraId="3AFE3985">
      <w:pPr>
        <w:adjustRightInd w:val="0"/>
        <w:snapToGrid w:val="0"/>
        <w:spacing w:line="578" w:lineRule="exact"/>
        <w:ind w:firstLine="643" w:firstLineChars="200"/>
        <w:rPr>
          <w:rFonts w:ascii="仿宋_GB2312" w:hAnsi="仿宋" w:eastAsia="仿宋_GB2312"/>
          <w:sz w:val="32"/>
          <w:szCs w:val="32"/>
        </w:rPr>
      </w:pPr>
      <w:r>
        <w:rPr>
          <w:rFonts w:hint="eastAsia" w:ascii="楷体_GB2312" w:hAnsi="宋体" w:eastAsia="楷体_GB2312"/>
          <w:b/>
          <w:sz w:val="32"/>
          <w:szCs w:val="32"/>
          <w:lang w:val="zh-CN"/>
        </w:rPr>
        <w:t>（三）评价选点。</w:t>
      </w:r>
      <w:r>
        <w:rPr>
          <w:rFonts w:hint="eastAsia" w:ascii="仿宋_GB2312" w:hAnsi="仿宋" w:eastAsia="仿宋_GB2312"/>
          <w:sz w:val="32"/>
          <w:szCs w:val="32"/>
        </w:rPr>
        <w:t>项目保障了我市公安信息网、互联网、公安视频专网等网络及办公固定电话的正常运行及维护管理，提高了公安科技信息化水平，提高了城市治安综合防控能力，提高了城市智能交通管理水平。</w:t>
      </w:r>
    </w:p>
    <w:p w14:paraId="5543629A">
      <w:pPr>
        <w:adjustRightInd w:val="0"/>
        <w:snapToGrid w:val="0"/>
        <w:spacing w:line="600" w:lineRule="exact"/>
        <w:ind w:firstLine="720"/>
        <w:rPr>
          <w:rFonts w:ascii="仿宋_GB2312" w:hAnsi="仿宋" w:eastAsia="仿宋_GB2312"/>
          <w:sz w:val="32"/>
          <w:szCs w:val="32"/>
        </w:rPr>
      </w:pPr>
      <w:r>
        <w:rPr>
          <w:rFonts w:hint="eastAsia" w:ascii="楷体_GB2312" w:hAnsi="宋体" w:eastAsia="楷体_GB2312"/>
          <w:b/>
          <w:sz w:val="32"/>
          <w:szCs w:val="32"/>
          <w:lang w:val="zh-CN"/>
        </w:rPr>
        <w:t>（四）评价方法。</w:t>
      </w:r>
      <w:r>
        <w:rPr>
          <w:rFonts w:ascii="仿宋_GB2312" w:hAnsi="仿宋" w:eastAsia="仿宋_GB2312"/>
          <w:sz w:val="32"/>
          <w:szCs w:val="32"/>
        </w:rPr>
        <w:t>根据项目情况和评价重点，</w:t>
      </w:r>
      <w:r>
        <w:rPr>
          <w:rFonts w:hint="eastAsia" w:ascii="仿宋_GB2312" w:hAnsi="仿宋" w:eastAsia="仿宋_GB2312"/>
          <w:sz w:val="32"/>
          <w:szCs w:val="32"/>
        </w:rPr>
        <w:t>我单位采取</w:t>
      </w:r>
      <w:r>
        <w:rPr>
          <w:rFonts w:ascii="仿宋_GB2312" w:hAnsi="仿宋" w:eastAsia="仿宋_GB2312"/>
          <w:sz w:val="32"/>
          <w:szCs w:val="32"/>
        </w:rPr>
        <w:t>单位自评法</w:t>
      </w:r>
      <w:r>
        <w:rPr>
          <w:rFonts w:hint="eastAsia" w:ascii="仿宋_GB2312" w:hAnsi="仿宋" w:eastAsia="仿宋_GB2312"/>
          <w:sz w:val="32"/>
          <w:szCs w:val="32"/>
        </w:rPr>
        <w:t>对该项目预算绩效开展自评。</w:t>
      </w:r>
    </w:p>
    <w:p w14:paraId="33C2929E">
      <w:pPr>
        <w:spacing w:line="578" w:lineRule="exact"/>
        <w:ind w:firstLine="640"/>
        <w:rPr>
          <w:rFonts w:ascii="仿宋_GB2312" w:hAnsi="仿宋" w:eastAsia="仿宋_GB2312"/>
          <w:sz w:val="32"/>
          <w:szCs w:val="32"/>
        </w:rPr>
      </w:pPr>
      <w:r>
        <w:rPr>
          <w:rFonts w:hint="eastAsia" w:ascii="楷体_GB2312" w:hAnsi="宋体" w:eastAsia="楷体_GB2312"/>
          <w:b/>
          <w:sz w:val="32"/>
          <w:szCs w:val="32"/>
          <w:lang w:val="zh-CN"/>
        </w:rPr>
        <w:t>（五）评价组织。</w:t>
      </w:r>
      <w:r>
        <w:rPr>
          <w:rFonts w:hint="eastAsia" w:ascii="仿宋_GB2312" w:hAnsi="仿宋" w:eastAsia="仿宋_GB2312"/>
          <w:sz w:val="32"/>
          <w:szCs w:val="32"/>
        </w:rPr>
        <w:t>按照广元市公安局《预算绩效管理办法（试行）》，该项目自评工作由市公安局警务保障处牵头，科信、情指、交警等部门协助，围绕总体目标、绩效指标的完成情况及使用效益开展。</w:t>
      </w:r>
    </w:p>
    <w:p w14:paraId="21C03CF0">
      <w:pPr>
        <w:adjustRightInd w:val="0"/>
        <w:snapToGrid w:val="0"/>
        <w:spacing w:line="580" w:lineRule="exact"/>
        <w:ind w:firstLine="720"/>
        <w:outlineLvl w:val="1"/>
        <w:rPr>
          <w:rFonts w:ascii="黑体" w:hAnsi="黑体" w:eastAsia="黑体" w:cs="黑体"/>
          <w:bCs/>
          <w:sz w:val="32"/>
          <w:szCs w:val="32"/>
        </w:rPr>
      </w:pPr>
      <w:bookmarkStart w:id="99" w:name="_Toc6468"/>
      <w:r>
        <w:rPr>
          <w:rFonts w:hint="eastAsia" w:ascii="黑体" w:hAnsi="黑体" w:eastAsia="黑体" w:cs="黑体"/>
          <w:bCs/>
          <w:sz w:val="32"/>
          <w:szCs w:val="32"/>
        </w:rPr>
        <w:t>三、绩效分析</w:t>
      </w:r>
      <w:bookmarkEnd w:id="99"/>
      <w:r>
        <w:rPr>
          <w:rFonts w:hint="eastAsia" w:ascii="黑体" w:hAnsi="黑体" w:eastAsia="黑体" w:cs="黑体"/>
          <w:bCs/>
          <w:sz w:val="32"/>
          <w:szCs w:val="32"/>
        </w:rPr>
        <w:tab/>
      </w:r>
    </w:p>
    <w:p w14:paraId="78A0CE0C">
      <w:pPr>
        <w:spacing w:line="578"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（一）通用指标</w:t>
      </w:r>
      <w:r>
        <w:rPr>
          <w:rFonts w:ascii="楷体_GB2312" w:hAnsi="宋体" w:eastAsia="楷体_GB2312"/>
          <w:b/>
          <w:sz w:val="32"/>
          <w:szCs w:val="32"/>
          <w:lang w:val="zh-CN"/>
        </w:rPr>
        <w:t>绩效分析。</w:t>
      </w:r>
    </w:p>
    <w:p w14:paraId="53E31FC8">
      <w:pPr>
        <w:spacing w:line="578" w:lineRule="exact"/>
        <w:ind w:firstLine="640"/>
        <w:rPr>
          <w:rFonts w:ascii="仿宋_GB2312" w:hAnsi="仿宋" w:eastAsia="仿宋_GB2312"/>
          <w:sz w:val="32"/>
          <w:szCs w:val="32"/>
        </w:rPr>
      </w:pPr>
      <w:r>
        <w:rPr>
          <w:rFonts w:hint="eastAsia" w:ascii="仿宋_GB2312" w:hAnsi="仿宋" w:eastAsia="仿宋_GB2312"/>
          <w:sz w:val="32"/>
          <w:szCs w:val="32"/>
        </w:rPr>
        <w:t>1.项目决策。（1）决策程序。该项目的设立、调整延续等方面符合资金管理基本规范和决策程序要求，该项自评得6分。（2）规划论证。按照市委市政府有关决策部署安排，项目实施前开展了项目事前绩效评价，评估内容包含立项必要性、前瞻性、合理性和可行性；项目总体绩效目标设置合理性的偏离度≤15%；绩效目标科学合理、规范完整、量化细化、预算匹配。该项自评得6分。（3）资金投向。本项目属于政府支持范围，且符合财政事权支出责任划分规定，资金投向与项目总体规划、公安事业发展相匹配，聚焦重大任务、重点领域，未与其他同类项目或部门内部相关项目交叉重复，该项自评得6分。</w:t>
      </w:r>
    </w:p>
    <w:p w14:paraId="2F022C95">
      <w:pPr>
        <w:spacing w:line="578" w:lineRule="exact"/>
        <w:ind w:firstLine="640"/>
        <w:rPr>
          <w:rFonts w:ascii="仿宋_GB2312" w:hAnsi="仿宋" w:eastAsia="仿宋_GB2312"/>
          <w:sz w:val="32"/>
          <w:szCs w:val="32"/>
        </w:rPr>
      </w:pPr>
      <w:r>
        <w:rPr>
          <w:rFonts w:hint="eastAsia" w:ascii="仿宋_GB2312" w:hAnsi="仿宋" w:eastAsia="仿宋_GB2312"/>
          <w:sz w:val="32"/>
          <w:szCs w:val="32"/>
        </w:rPr>
        <w:t>2.项目管理。（1）制度办法。资金管理体系健全完善，不存在管理制度缺失、管理办法过期情况，该项自评得2分。（2）分配管理。本项目资金分配因素选取充分考虑公安事业发展实际和发展需求；资金分配因素的权重设置有效突出项目实施重点；资金区域分布结果公平合理。项目资金的分配严格按照财务管理办法执行，资金使用全程监控，使用合理合规。该项自评得10分。（3）绩效监管。本项目严格按照中央和省、市要求全面完成绩效目标（含事前评估）、绩效评价、以前年度问题整改等预算绩效管理工作；市公安局绩效管理小组全过程对业务部门使用项目经费开展评价、监督、指导等工作，该项自评得6分。</w:t>
      </w:r>
    </w:p>
    <w:p w14:paraId="75946E29">
      <w:pPr>
        <w:spacing w:line="578" w:lineRule="exact"/>
        <w:ind w:firstLine="640"/>
        <w:rPr>
          <w:rFonts w:ascii="仿宋_GB2312" w:hAnsi="仿宋" w:eastAsia="仿宋_GB2312"/>
          <w:sz w:val="32"/>
          <w:szCs w:val="32"/>
        </w:rPr>
      </w:pPr>
      <w:r>
        <w:rPr>
          <w:rFonts w:hint="eastAsia" w:ascii="仿宋_GB2312" w:hAnsi="仿宋" w:eastAsia="仿宋_GB2312"/>
          <w:sz w:val="32"/>
          <w:szCs w:val="32"/>
        </w:rPr>
        <w:t>3.项目实施。（1）预算执行。本项目是由市财政资金全额保障，该项指标得分=财政资金拨付率×100%×6=6，该项自评得5.94分。（2）资金使用。项目资金使用、拨付是符合国家财经法规、财务管理制度及有关专项资金管理制度办法规定和审批程序，坚持项目资金专款专用，未存在截留、挤占、挪用、虚列支出等情况，该项自评得3分。</w:t>
      </w:r>
    </w:p>
    <w:p w14:paraId="69E0D670">
      <w:pPr>
        <w:spacing w:line="578" w:lineRule="exact"/>
        <w:ind w:firstLine="640"/>
        <w:rPr>
          <w:rFonts w:ascii="仿宋_GB2312" w:hAnsi="仿宋" w:eastAsia="仿宋_GB2312"/>
          <w:sz w:val="32"/>
          <w:szCs w:val="32"/>
        </w:rPr>
      </w:pPr>
      <w:r>
        <w:rPr>
          <w:rFonts w:hint="eastAsia" w:ascii="仿宋_GB2312" w:hAnsi="仿宋" w:eastAsia="仿宋_GB2312"/>
          <w:sz w:val="32"/>
          <w:szCs w:val="32"/>
        </w:rPr>
        <w:t>4.项目结果。（1）目标完成。该项指标得分=实际完成目标任务量÷首次批复立项设定绩效目标任务总量×100%×6=6，该项自评得6分。（2）完成时效。该项指标得分=（1-(实际完成时间-计划完成时间)÷计划完成时间）×100%×3=3，该项自评得3分。</w:t>
      </w:r>
    </w:p>
    <w:p w14:paraId="071FAB33">
      <w:pPr>
        <w:adjustRightInd w:val="0"/>
        <w:snapToGrid w:val="0"/>
        <w:spacing w:line="600" w:lineRule="exact"/>
        <w:ind w:firstLine="720"/>
        <w:rPr>
          <w:rFonts w:ascii="仿宋_GB2312" w:hAnsi="仿宋" w:eastAsia="仿宋_GB2312"/>
          <w:sz w:val="32"/>
          <w:szCs w:val="32"/>
        </w:rPr>
      </w:pPr>
      <w:r>
        <w:rPr>
          <w:rFonts w:hint="eastAsia" w:ascii="楷体_GB2312" w:hAnsi="宋体" w:eastAsia="楷体_GB2312"/>
          <w:b/>
          <w:sz w:val="32"/>
          <w:szCs w:val="32"/>
          <w:lang w:val="zh-CN"/>
        </w:rPr>
        <w:t>（二）专用指标</w:t>
      </w:r>
      <w:r>
        <w:rPr>
          <w:rFonts w:ascii="楷体_GB2312" w:hAnsi="宋体" w:eastAsia="楷体_GB2312"/>
          <w:b/>
          <w:sz w:val="32"/>
          <w:szCs w:val="32"/>
          <w:lang w:val="zh-CN"/>
        </w:rPr>
        <w:t>绩效分析。</w:t>
      </w:r>
      <w:r>
        <w:rPr>
          <w:rFonts w:hint="eastAsia" w:ascii="仿宋_GB2312" w:hAnsi="仿宋" w:eastAsia="仿宋_GB2312"/>
          <w:sz w:val="32"/>
          <w:szCs w:val="32"/>
        </w:rPr>
        <w:t>本项目行政运转类项目。项目由市公安局警务保障处进行综合管理，设立专职会计、出纳等岗位，各部门相关费用支出由其财务人员统一进行报销，做到专人专司财务管理职责；项目资金使用严格按照财务管理制度要求执行，履行完整报销手续，确保其真实可靠性、合法合规。市公安局机关纪委、审计处成立项目核查专班，定期核查项目资金支出情况，使其发挥最大效益。该项自评得30分。</w:t>
      </w:r>
    </w:p>
    <w:p w14:paraId="703B6A56">
      <w:pPr>
        <w:spacing w:line="578" w:lineRule="exact"/>
        <w:ind w:firstLine="640"/>
        <w:rPr>
          <w:rFonts w:ascii="仿宋_GB2312" w:hAnsi="仿宋" w:eastAsia="仿宋_GB2312"/>
          <w:sz w:val="32"/>
          <w:szCs w:val="32"/>
        </w:rPr>
      </w:pPr>
      <w:r>
        <w:rPr>
          <w:rFonts w:hint="eastAsia" w:ascii="楷体_GB2312" w:hAnsi="宋体" w:eastAsia="楷体_GB2312"/>
          <w:b/>
          <w:sz w:val="32"/>
          <w:szCs w:val="32"/>
          <w:lang w:val="zh-CN"/>
        </w:rPr>
        <w:t>（三）个性指标</w:t>
      </w:r>
      <w:r>
        <w:rPr>
          <w:rFonts w:ascii="楷体_GB2312" w:hAnsi="宋体" w:eastAsia="楷体_GB2312"/>
          <w:b/>
          <w:sz w:val="32"/>
          <w:szCs w:val="32"/>
          <w:lang w:val="zh-CN"/>
        </w:rPr>
        <w:t>绩效分析。</w:t>
      </w:r>
      <w:r>
        <w:rPr>
          <w:rFonts w:hint="eastAsia" w:ascii="仿宋_GB2312" w:hAnsi="仿宋" w:eastAsia="仿宋_GB2312"/>
          <w:sz w:val="32"/>
          <w:szCs w:val="32"/>
        </w:rPr>
        <w:t>根据本项目的实际，项目选取项目效益个性指标，包含对提升应急通信保障能力、强化网络数据安全保障、质量验收合格率等3个三级指标。根据项目实施的实际效果，采取分级评分法，经自评，该项自评得16分。</w:t>
      </w:r>
    </w:p>
    <w:p w14:paraId="56902B3F">
      <w:pPr>
        <w:adjustRightInd w:val="0"/>
        <w:snapToGrid w:val="0"/>
        <w:spacing w:line="580" w:lineRule="exact"/>
        <w:ind w:firstLine="720"/>
        <w:outlineLvl w:val="1"/>
        <w:rPr>
          <w:rFonts w:ascii="黑体" w:hAnsi="黑体" w:eastAsia="黑体" w:cs="黑体"/>
          <w:bCs/>
          <w:sz w:val="32"/>
          <w:szCs w:val="32"/>
        </w:rPr>
      </w:pPr>
      <w:bookmarkStart w:id="100" w:name="_Toc9639"/>
      <w:r>
        <w:rPr>
          <w:rFonts w:hint="eastAsia" w:ascii="黑体" w:hAnsi="黑体" w:eastAsia="黑体" w:cs="黑体"/>
          <w:bCs/>
          <w:sz w:val="32"/>
          <w:szCs w:val="32"/>
        </w:rPr>
        <w:t>四、评价结论</w:t>
      </w:r>
      <w:bookmarkEnd w:id="100"/>
    </w:p>
    <w:p w14:paraId="4DF40F9C">
      <w:pPr>
        <w:pStyle w:val="5"/>
        <w:spacing w:line="600" w:lineRule="exact"/>
        <w:ind w:firstLine="640" w:firstLineChars="200"/>
        <w:rPr>
          <w:rFonts w:ascii="仿宋_GB2312" w:hAnsi="仿宋" w:eastAsia="仿宋_GB2312"/>
          <w:sz w:val="32"/>
          <w:szCs w:val="32"/>
        </w:rPr>
      </w:pPr>
      <w:r>
        <w:rPr>
          <w:rFonts w:hint="eastAsia" w:ascii="仿宋_GB2312" w:hAnsi="仿宋" w:eastAsia="仿宋_GB2312"/>
          <w:sz w:val="32"/>
          <w:szCs w:val="32"/>
        </w:rPr>
        <w:t>项目实施保障了我市公安科技信息化办公办案，为我市公安业务支撑保障以及服务民生等方面发挥了极其重要的作用。经自评，该项目得99.94分。</w:t>
      </w:r>
    </w:p>
    <w:p w14:paraId="0EEC8D7B">
      <w:pPr>
        <w:adjustRightInd w:val="0"/>
        <w:snapToGrid w:val="0"/>
        <w:spacing w:line="580" w:lineRule="exact"/>
        <w:ind w:firstLine="720"/>
        <w:outlineLvl w:val="1"/>
        <w:rPr>
          <w:rFonts w:ascii="黑体" w:hAnsi="黑体" w:eastAsia="黑体" w:cs="黑体"/>
          <w:bCs/>
          <w:sz w:val="32"/>
          <w:szCs w:val="32"/>
        </w:rPr>
      </w:pPr>
      <w:bookmarkStart w:id="101" w:name="_Toc21917"/>
      <w:r>
        <w:rPr>
          <w:rFonts w:hint="eastAsia" w:ascii="黑体" w:hAnsi="黑体" w:eastAsia="黑体" w:cs="黑体"/>
          <w:bCs/>
          <w:sz w:val="32"/>
          <w:szCs w:val="32"/>
        </w:rPr>
        <w:t>五、存在主要问题</w:t>
      </w:r>
      <w:bookmarkEnd w:id="101"/>
    </w:p>
    <w:p w14:paraId="2CC19FF0">
      <w:pPr>
        <w:adjustRightInd w:val="0"/>
        <w:snapToGrid w:val="0"/>
        <w:spacing w:line="600" w:lineRule="exact"/>
        <w:ind w:firstLine="640" w:firstLineChars="200"/>
        <w:rPr>
          <w:rFonts w:ascii="仿宋_GB2312" w:hAnsi="仿宋" w:eastAsia="仿宋_GB2312"/>
          <w:sz w:val="32"/>
          <w:szCs w:val="32"/>
        </w:rPr>
      </w:pPr>
      <w:r>
        <w:rPr>
          <w:rFonts w:hint="eastAsia" w:ascii="仿宋_GB2312" w:hAnsi="仿宋" w:eastAsia="仿宋_GB2312"/>
          <w:sz w:val="32"/>
          <w:szCs w:val="32"/>
        </w:rPr>
        <w:t>本项目中端设备开始老旧，面临更新换代的问题，保障经费紧张。</w:t>
      </w:r>
    </w:p>
    <w:p w14:paraId="0FB3308E">
      <w:pPr>
        <w:adjustRightInd w:val="0"/>
        <w:snapToGrid w:val="0"/>
        <w:spacing w:line="580" w:lineRule="exact"/>
        <w:ind w:firstLine="720"/>
        <w:outlineLvl w:val="1"/>
        <w:rPr>
          <w:rFonts w:ascii="黑体" w:hAnsi="黑体" w:eastAsia="黑体" w:cs="黑体"/>
          <w:bCs/>
          <w:sz w:val="32"/>
          <w:szCs w:val="32"/>
        </w:rPr>
      </w:pPr>
      <w:bookmarkStart w:id="102" w:name="_Toc16654"/>
      <w:r>
        <w:rPr>
          <w:rFonts w:hint="eastAsia" w:ascii="黑体" w:hAnsi="黑体" w:eastAsia="黑体" w:cs="黑体"/>
          <w:bCs/>
          <w:sz w:val="32"/>
          <w:szCs w:val="32"/>
        </w:rPr>
        <w:t>六、改进建议</w:t>
      </w:r>
      <w:bookmarkEnd w:id="102"/>
    </w:p>
    <w:p w14:paraId="77CCBCD8">
      <w:pPr>
        <w:pStyle w:val="5"/>
        <w:ind w:firstLine="640" w:firstLineChars="200"/>
        <w:rPr>
          <w:rFonts w:ascii="仿宋_GB2312" w:hAnsi="仿宋_GB2312" w:cs="仿宋_GB2312"/>
          <w:kern w:val="0"/>
        </w:rPr>
      </w:pPr>
      <w:r>
        <w:rPr>
          <w:rFonts w:hint="eastAsia" w:ascii="仿宋_GB2312" w:hAnsi="仿宋" w:eastAsia="仿宋_GB2312"/>
          <w:sz w:val="32"/>
          <w:szCs w:val="32"/>
        </w:rPr>
        <w:t>建议市财政在项目原经费保障的基础上，根据公安业务工作的实际，适度提高项目经费的预算，进一步确保公安业务工作的高效开展。</w:t>
      </w:r>
    </w:p>
    <w:p w14:paraId="65DA54B3">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广元市公安局</w:t>
      </w:r>
    </w:p>
    <w:p w14:paraId="59E31778">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警犬及市消防救援支队搜救犬基地项目养老保险金项目绩效评价报告</w:t>
      </w:r>
    </w:p>
    <w:p w14:paraId="45EEC4D5">
      <w:pPr>
        <w:adjustRightInd w:val="0"/>
        <w:snapToGrid w:val="0"/>
        <w:spacing w:line="580" w:lineRule="exact"/>
        <w:ind w:firstLine="720"/>
        <w:outlineLvl w:val="1"/>
        <w:rPr>
          <w:rFonts w:ascii="黑体" w:hAnsi="黑体" w:eastAsia="黑体" w:cs="黑体"/>
          <w:bCs/>
          <w:sz w:val="32"/>
          <w:szCs w:val="32"/>
        </w:rPr>
      </w:pPr>
      <w:bookmarkStart w:id="103" w:name="_Toc23728"/>
      <w:r>
        <w:rPr>
          <w:rFonts w:hint="eastAsia" w:ascii="黑体" w:hAnsi="黑体" w:eastAsia="黑体" w:cs="黑体"/>
          <w:bCs/>
          <w:sz w:val="32"/>
          <w:szCs w:val="32"/>
        </w:rPr>
        <w:t>一、项目概况</w:t>
      </w:r>
      <w:bookmarkEnd w:id="103"/>
    </w:p>
    <w:p w14:paraId="5BE8F47E">
      <w:pPr>
        <w:widowControl/>
        <w:adjustRightInd w:val="0"/>
        <w:snapToGrid w:val="0"/>
        <w:spacing w:line="578" w:lineRule="exact"/>
        <w:ind w:firstLine="643" w:firstLineChars="200"/>
        <w:contextualSpacing/>
        <w:jc w:val="left"/>
        <w:rPr>
          <w:rFonts w:ascii="仿宋_GB2312" w:hAnsi="仿宋_GB2312" w:eastAsia="仿宋_GB2312" w:cs="仿宋_GB2312"/>
          <w:sz w:val="32"/>
          <w:szCs w:val="32"/>
        </w:rPr>
      </w:pPr>
      <w:r>
        <w:rPr>
          <w:rFonts w:hint="eastAsia" w:ascii="楷体_GB2312" w:hAnsi="宋体" w:eastAsia="楷体_GB2312"/>
          <w:b/>
          <w:sz w:val="32"/>
          <w:szCs w:val="32"/>
          <w:lang w:val="zh-CN"/>
        </w:rPr>
        <w:t>（一）设立背景及基本情况。</w:t>
      </w:r>
      <w:r>
        <w:rPr>
          <w:rFonts w:hint="eastAsia" w:ascii="仿宋_GB2312" w:hAnsi="仿宋_GB2312" w:eastAsia="仿宋_GB2312" w:cs="仿宋_GB2312"/>
          <w:sz w:val="32"/>
          <w:szCs w:val="32"/>
        </w:rPr>
        <w:t>广元市公安局及消防救援支队搜救犬基地项目已经市政府常务会批准实施，与2022年9月在发改委立项。进行土地报征工作，其中需要加纳失地农民养老保险金缴纳。经市社保局测算，需缴纳金额340余万元。该项目已纳入基建预算，资金为市级财政。</w:t>
      </w:r>
    </w:p>
    <w:p w14:paraId="5ABDC549">
      <w:pPr>
        <w:adjustRightInd w:val="0"/>
        <w:snapToGrid w:val="0"/>
        <w:spacing w:line="578" w:lineRule="exact"/>
        <w:ind w:firstLine="643" w:firstLineChars="200"/>
        <w:rPr>
          <w:rFonts w:ascii="楷体_GB2312" w:hAnsi="宋体" w:eastAsia="楷体_GB2312"/>
          <w:b/>
          <w:lang w:val="zh-CN"/>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r>
        <w:rPr>
          <w:rFonts w:hint="eastAsia" w:ascii="楷体_GB2312" w:hAnsi="宋体" w:eastAsia="楷体_GB2312"/>
          <w:b/>
          <w:sz w:val="32"/>
          <w:szCs w:val="32"/>
          <w:lang w:val="zh-CN"/>
        </w:rPr>
        <w:t>。</w:t>
      </w:r>
      <w:r>
        <w:rPr>
          <w:rFonts w:hint="eastAsia" w:ascii="仿宋_GB2312" w:hAnsi="仿宋_GB2312" w:eastAsia="仿宋_GB2312" w:cs="仿宋_GB2312"/>
          <w:sz w:val="32"/>
          <w:szCs w:val="32"/>
        </w:rPr>
        <w:t>主要缴纳失地农民养老保险金。</w:t>
      </w:r>
    </w:p>
    <w:p w14:paraId="75B7D373">
      <w:pPr>
        <w:adjustRightInd w:val="0"/>
        <w:snapToGrid w:val="0"/>
        <w:spacing w:line="600" w:lineRule="exact"/>
        <w:ind w:firstLine="720"/>
        <w:rPr>
          <w:rFonts w:ascii="仿宋_GB2312" w:hAnsi="仿宋_GB2312" w:eastAsia="仿宋_GB2312" w:cs="仿宋_GB2312"/>
          <w:sz w:val="32"/>
          <w:szCs w:val="32"/>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r>
        <w:rPr>
          <w:rFonts w:hint="eastAsia" w:ascii="楷体_GB2312" w:hAnsi="宋体" w:eastAsia="楷体_GB2312"/>
          <w:b/>
          <w:sz w:val="32"/>
          <w:szCs w:val="32"/>
          <w:lang w:val="zh-CN"/>
        </w:rPr>
        <w:t>。</w:t>
      </w:r>
      <w:r>
        <w:rPr>
          <w:rFonts w:hint="eastAsia" w:ascii="仿宋_GB2312" w:hAnsi="仿宋_GB2312" w:eastAsia="仿宋_GB2312" w:cs="仿宋_GB2312"/>
          <w:sz w:val="32"/>
          <w:szCs w:val="32"/>
        </w:rPr>
        <w:t>2023年市公安局向市财政局申请拨付失地农民养老保险金348.06万元，经市政府批准到位348.06万元，到位率100%。资金使用专款专用，资金使用合法合规，严格按照预算进度执行，后因土地范围调整，相应养老保险金也做调整，共支出327.61万元，执行率94.13%。</w:t>
      </w:r>
    </w:p>
    <w:p w14:paraId="3DD5C0EF">
      <w:pPr>
        <w:adjustRightInd w:val="0"/>
        <w:snapToGrid w:val="0"/>
        <w:spacing w:line="578" w:lineRule="exact"/>
        <w:ind w:firstLine="643" w:firstLineChars="200"/>
        <w:rPr>
          <w:rFonts w:ascii="仿宋_GB2312" w:hAnsi="仿宋_GB2312" w:eastAsia="仿宋_GB2312" w:cs="仿宋_GB2312"/>
          <w:sz w:val="32"/>
          <w:szCs w:val="32"/>
        </w:rPr>
      </w:pPr>
      <w:r>
        <w:rPr>
          <w:rFonts w:hint="eastAsia" w:ascii="楷体_GB2312" w:hAnsi="宋体" w:eastAsia="楷体_GB2312"/>
          <w:b/>
          <w:sz w:val="32"/>
          <w:szCs w:val="32"/>
          <w:lang w:val="zh-CN"/>
        </w:rPr>
        <w:t>（四）项目绩效目标设置。</w:t>
      </w:r>
      <w:r>
        <w:rPr>
          <w:rFonts w:hint="eastAsia" w:ascii="仿宋_GB2312" w:hAnsi="仿宋_GB2312" w:eastAsia="仿宋_GB2312" w:cs="仿宋_GB2312"/>
          <w:sz w:val="32"/>
          <w:szCs w:val="32"/>
        </w:rPr>
        <w:t>年初设置了年度目标任务，设置了产出指标、效益指标、成本指标和满意度指标4个一级指标，数量指标、质量指标、时效指标等9个二级指标，完成人员保险缴纳、按时完成等9个三级指标。按照追加项目目标，认真开展预算绩效自评，对指标完成情况进行梳理填报，自评情况良好。</w:t>
      </w:r>
    </w:p>
    <w:p w14:paraId="50B14DB8">
      <w:pPr>
        <w:adjustRightInd w:val="0"/>
        <w:snapToGrid w:val="0"/>
        <w:spacing w:line="580" w:lineRule="exact"/>
        <w:ind w:firstLine="720"/>
        <w:outlineLvl w:val="1"/>
        <w:rPr>
          <w:rFonts w:ascii="黑体" w:hAnsi="黑体" w:eastAsia="黑体" w:cs="黑体"/>
          <w:bCs/>
          <w:sz w:val="32"/>
          <w:szCs w:val="32"/>
        </w:rPr>
      </w:pPr>
      <w:bookmarkStart w:id="104" w:name="_Toc16408"/>
      <w:r>
        <w:rPr>
          <w:rFonts w:hint="eastAsia" w:ascii="黑体" w:hAnsi="黑体" w:eastAsia="黑体" w:cs="黑体"/>
          <w:bCs/>
          <w:sz w:val="32"/>
          <w:szCs w:val="32"/>
        </w:rPr>
        <w:t>二、评价实施</w:t>
      </w:r>
      <w:bookmarkEnd w:id="104"/>
    </w:p>
    <w:p w14:paraId="1474FF6A">
      <w:pPr>
        <w:spacing w:line="578" w:lineRule="exact"/>
        <w:ind w:firstLine="640"/>
        <w:rPr>
          <w:rFonts w:ascii="仿宋_GB2312" w:hAnsi="仿宋_GB2312" w:eastAsia="仿宋_GB2312" w:cs="仿宋_GB2312"/>
          <w:sz w:val="32"/>
          <w:szCs w:val="32"/>
        </w:rPr>
      </w:pPr>
      <w:r>
        <w:rPr>
          <w:rFonts w:hint="eastAsia" w:ascii="楷体_GB2312" w:hAnsi="宋体" w:eastAsia="楷体_GB2312"/>
          <w:b/>
          <w:sz w:val="32"/>
          <w:szCs w:val="32"/>
          <w:lang w:val="zh-CN"/>
        </w:rPr>
        <w:t>（一）评价目的。</w:t>
      </w:r>
      <w:r>
        <w:rPr>
          <w:rFonts w:ascii="仿宋_GB2312" w:hAnsi="仿宋_GB2312" w:eastAsia="仿宋_GB2312" w:cs="仿宋_GB2312"/>
          <w:sz w:val="32"/>
          <w:szCs w:val="32"/>
        </w:rPr>
        <w:t>通过</w:t>
      </w:r>
      <w:r>
        <w:rPr>
          <w:rFonts w:hint="eastAsia" w:ascii="仿宋_GB2312" w:hAnsi="仿宋_GB2312" w:eastAsia="仿宋_GB2312" w:cs="仿宋_GB2312"/>
          <w:sz w:val="32"/>
          <w:szCs w:val="32"/>
        </w:rPr>
        <w:t>项目绩效自评提高财政资金的使用效益，确保资金得到合理有效的利用；进一步加强预算执行进度的监督管理，及时发现该项目预算执行中存在的问题并做出相应的解决措施，为来年该项目的申报提供科学合理的标准。</w:t>
      </w:r>
    </w:p>
    <w:p w14:paraId="4B40BE84">
      <w:pPr>
        <w:adjustRightInd w:val="0"/>
        <w:snapToGrid w:val="0"/>
        <w:spacing w:line="600" w:lineRule="exact"/>
        <w:ind w:firstLine="720"/>
        <w:rPr>
          <w:rFonts w:ascii="仿宋_GB2312" w:hAnsi="仿宋_GB2312" w:eastAsia="仿宋_GB2312" w:cs="仿宋_GB2312"/>
          <w:sz w:val="32"/>
          <w:szCs w:val="32"/>
        </w:rPr>
      </w:pPr>
      <w:r>
        <w:rPr>
          <w:rFonts w:hint="eastAsia" w:ascii="楷体_GB2312" w:hAnsi="宋体" w:eastAsia="楷体_GB2312"/>
          <w:b/>
          <w:sz w:val="32"/>
          <w:szCs w:val="32"/>
          <w:lang w:val="zh-CN"/>
        </w:rPr>
        <w:t>（二）预设问题及评价重点。</w:t>
      </w:r>
      <w:r>
        <w:rPr>
          <w:rFonts w:hint="eastAsia" w:ascii="仿宋_GB2312" w:hAnsi="仿宋_GB2312" w:eastAsia="仿宋_GB2312" w:cs="仿宋_GB2312"/>
          <w:sz w:val="32"/>
          <w:szCs w:val="32"/>
        </w:rPr>
        <w:t>该项目由市公安局刑侦支队主办，市局警保处设立专职人员，相关费用支出由专职人员统一进行报销，做到专人专司财务管理职责，对项目资金严格执行财务管理制度，及时进行财务处理和核算，使财政资金达到了最大的效益。</w:t>
      </w:r>
    </w:p>
    <w:p w14:paraId="3795B01C">
      <w:pPr>
        <w:adjustRightInd w:val="0"/>
        <w:snapToGrid w:val="0"/>
        <w:spacing w:line="578" w:lineRule="exact"/>
        <w:ind w:firstLine="643" w:firstLineChars="200"/>
        <w:rPr>
          <w:rFonts w:ascii="仿宋_GB2312" w:hAnsi="仿宋_GB2312" w:eastAsia="仿宋_GB2312" w:cs="仿宋_GB2312"/>
          <w:sz w:val="32"/>
          <w:szCs w:val="32"/>
        </w:rPr>
      </w:pPr>
      <w:r>
        <w:rPr>
          <w:rFonts w:hint="eastAsia" w:ascii="楷体_GB2312" w:hAnsi="宋体" w:eastAsia="楷体_GB2312"/>
          <w:b/>
          <w:sz w:val="32"/>
          <w:szCs w:val="32"/>
          <w:lang w:val="zh-CN"/>
        </w:rPr>
        <w:t>（三）评价选点。</w:t>
      </w:r>
      <w:r>
        <w:rPr>
          <w:rFonts w:hint="eastAsia" w:ascii="仿宋_GB2312" w:hAnsi="仿宋_GB2312" w:eastAsia="仿宋_GB2312" w:cs="仿宋_GB2312"/>
          <w:sz w:val="32"/>
          <w:szCs w:val="32"/>
        </w:rPr>
        <w:t>资金到位情况，资金使用情况。</w:t>
      </w:r>
    </w:p>
    <w:p w14:paraId="495F9F80">
      <w:pPr>
        <w:spacing w:line="578" w:lineRule="exact"/>
        <w:ind w:firstLine="640"/>
        <w:rPr>
          <w:rFonts w:ascii="仿宋_GB2312" w:hAnsi="仿宋_GB2312" w:eastAsia="仿宋_GB2312" w:cs="仿宋_GB2312"/>
          <w:sz w:val="32"/>
          <w:szCs w:val="32"/>
        </w:rPr>
      </w:pPr>
      <w:r>
        <w:rPr>
          <w:rFonts w:hint="eastAsia" w:ascii="楷体_GB2312" w:hAnsi="宋体" w:eastAsia="楷体_GB2312"/>
          <w:b/>
          <w:sz w:val="32"/>
          <w:szCs w:val="32"/>
          <w:lang w:val="zh-CN"/>
        </w:rPr>
        <w:t>（四）评价方法。</w:t>
      </w:r>
      <w:r>
        <w:rPr>
          <w:rFonts w:ascii="仿宋_GB2312" w:hAnsi="仿宋_GB2312" w:eastAsia="仿宋_GB2312" w:cs="仿宋_GB2312"/>
          <w:sz w:val="32"/>
          <w:szCs w:val="32"/>
        </w:rPr>
        <w:t>根据项目情况和评价重点，</w:t>
      </w:r>
      <w:r>
        <w:rPr>
          <w:rFonts w:hint="eastAsia" w:ascii="仿宋_GB2312" w:hAnsi="仿宋_GB2312" w:eastAsia="仿宋_GB2312" w:cs="仿宋_GB2312"/>
          <w:sz w:val="32"/>
          <w:szCs w:val="32"/>
        </w:rPr>
        <w:t>我单位采取</w:t>
      </w:r>
      <w:r>
        <w:rPr>
          <w:rFonts w:ascii="仿宋_GB2312" w:hAnsi="仿宋_GB2312" w:eastAsia="仿宋_GB2312" w:cs="仿宋_GB2312"/>
          <w:sz w:val="32"/>
          <w:szCs w:val="32"/>
        </w:rPr>
        <w:t>单位自评法</w:t>
      </w:r>
      <w:r>
        <w:rPr>
          <w:rFonts w:hint="eastAsia" w:ascii="仿宋_GB2312" w:hAnsi="仿宋_GB2312" w:eastAsia="仿宋_GB2312" w:cs="仿宋_GB2312"/>
          <w:sz w:val="32"/>
          <w:szCs w:val="32"/>
        </w:rPr>
        <w:t>对该项目预算绩效开展自评。</w:t>
      </w:r>
    </w:p>
    <w:p w14:paraId="0551BC74">
      <w:pPr>
        <w:spacing w:line="578" w:lineRule="exact"/>
        <w:ind w:firstLine="640"/>
        <w:rPr>
          <w:rFonts w:ascii="仿宋_GB2312" w:hAnsi="仿宋_GB2312" w:eastAsia="仿宋_GB2312" w:cs="仿宋_GB2312"/>
          <w:sz w:val="32"/>
          <w:szCs w:val="32"/>
        </w:rPr>
      </w:pPr>
      <w:r>
        <w:rPr>
          <w:rFonts w:hint="eastAsia" w:ascii="楷体_GB2312" w:hAnsi="宋体" w:eastAsia="楷体_GB2312"/>
          <w:b/>
          <w:sz w:val="32"/>
          <w:szCs w:val="32"/>
          <w:lang w:val="zh-CN"/>
        </w:rPr>
        <w:t>（五）评价组织。</w:t>
      </w:r>
      <w:r>
        <w:rPr>
          <w:rFonts w:hint="eastAsia" w:ascii="仿宋_GB2312" w:hAnsi="仿宋_GB2312" w:eastAsia="仿宋_GB2312" w:cs="仿宋_GB2312"/>
          <w:sz w:val="32"/>
          <w:szCs w:val="32"/>
        </w:rPr>
        <w:t>按照广元市公安局《预算绩效管理办法（试行）》，该项目自评工作由市公安局警务保障处牵头，刑侦支队协助，围绕总体目标、绩效指标的完成情况及使用效益开展。</w:t>
      </w:r>
    </w:p>
    <w:p w14:paraId="0D693FD4">
      <w:pPr>
        <w:adjustRightInd w:val="0"/>
        <w:snapToGrid w:val="0"/>
        <w:spacing w:line="580" w:lineRule="exact"/>
        <w:ind w:firstLine="720"/>
        <w:outlineLvl w:val="1"/>
        <w:rPr>
          <w:rFonts w:ascii="黑体" w:hAnsi="黑体" w:eastAsia="黑体" w:cs="黑体"/>
          <w:bCs/>
          <w:sz w:val="32"/>
          <w:szCs w:val="32"/>
        </w:rPr>
      </w:pPr>
      <w:bookmarkStart w:id="105" w:name="_Toc17000"/>
      <w:r>
        <w:rPr>
          <w:rFonts w:hint="eastAsia" w:ascii="黑体" w:hAnsi="黑体" w:eastAsia="黑体" w:cs="黑体"/>
          <w:bCs/>
          <w:sz w:val="32"/>
          <w:szCs w:val="32"/>
        </w:rPr>
        <w:t>三、绩效分析</w:t>
      </w:r>
      <w:bookmarkEnd w:id="105"/>
      <w:r>
        <w:rPr>
          <w:rFonts w:hint="eastAsia" w:ascii="黑体" w:hAnsi="黑体" w:eastAsia="黑体" w:cs="黑体"/>
          <w:bCs/>
          <w:sz w:val="32"/>
          <w:szCs w:val="32"/>
        </w:rPr>
        <w:tab/>
      </w:r>
    </w:p>
    <w:p w14:paraId="2C920D6E">
      <w:pPr>
        <w:spacing w:line="578"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（一）通用指标</w:t>
      </w:r>
      <w:r>
        <w:rPr>
          <w:rFonts w:ascii="楷体_GB2312" w:hAnsi="宋体" w:eastAsia="楷体_GB2312"/>
          <w:b/>
          <w:sz w:val="32"/>
          <w:szCs w:val="32"/>
          <w:lang w:val="zh-CN"/>
        </w:rPr>
        <w:t>绩效分析。</w:t>
      </w:r>
    </w:p>
    <w:p w14:paraId="03781282">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1.项目决策。（1）决策程序。该项目的设立、调整延续等方面符合资金管理基本规范和决策程序要求，该项自评得6分。（2）规划论证。按照市委市政府有关决策部署安排，项目实施前开展了项目事前绩效评价，评估内容包含立项必要性、前瞻性、合理性和可行性；项目总体绩效目标设置合理性的偏离度≤15%；绩效目标科学合理、规范完整、量化细化、预算匹配。该项自评得6分。（3）资金投向。本项目属于政府支持范围，且符合财政事权支出责任划分规定，资金投向与项目总体规划、公安事业发展相匹配，聚焦重大任务、重点领域，未与其他同类项目或部门内部相关项目交叉重复，该项自评得6分。</w:t>
      </w:r>
    </w:p>
    <w:p w14:paraId="39CD3DF1">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2.项目管理。（1）制度办法。资金管理体系健全完善，不存在管理制度缺失、管理办法过期情况，该项自评得2分。（2）分配管理。本项目资金分配因素选取充分考虑公安事业发展实际和发展需求；资金分配因素的权重设置有效突出项目实施重点；资金区域分布结果公平合理。项目资金的分配严格按照财务管理办法执行，资金使用全程监控，使用合理合规。该项自评得10分。（3）绩效监管。本项目严格按照中央和省、市要求全面完成绩效目标（含事前评估）、绩效评价、以前年度问题整改等预算绩效管理工作；市公安局绩效管理小组全过程对业务部门使用项目经费开展评价、监督、指导等工作，该项自评得6分。</w:t>
      </w:r>
    </w:p>
    <w:p w14:paraId="69EC7392">
      <w:pPr>
        <w:spacing w:line="578" w:lineRule="exact"/>
        <w:rPr>
          <w:rFonts w:ascii="仿宋_GB2312" w:hAnsi="仿宋_GB2312" w:eastAsia="仿宋_GB2312" w:cs="仿宋_GB2312"/>
          <w:sz w:val="32"/>
          <w:szCs w:val="32"/>
        </w:rPr>
      </w:pPr>
      <w:r>
        <w:rPr>
          <w:rFonts w:hint="eastAsia" w:ascii="仿宋_GB2312" w:hAnsi="仿宋_GB2312" w:eastAsia="仿宋_GB2312" w:cs="仿宋_GB2312"/>
          <w:sz w:val="32"/>
          <w:szCs w:val="32"/>
        </w:rPr>
        <w:t>3.项目实施。（1）预算执行。本项目是由市财政资金全额保障，该项指标得分=财政资金拨付率×100%×6=6，该项自评得6分。（2）资金使用。项目资金使用、拨付是符合国家财经法规、财务管理制度及有关专项资金管理制度办法规定和审批程序，坚持项目资金专款专用，未存在截留、挤占、挪用、虚列支出等情况，该项自评得3分。</w:t>
      </w:r>
    </w:p>
    <w:p w14:paraId="60AEA8D2">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4.项目结果。（1）目标完成。该项指标得分=实际完成目标任务量÷首次批复立项设定绩效目标任务总量×100%×6=6，该项自评得6分。（2）完成时效。该项指标得分=（1-(实际完成时间-计划完成时间)÷计划完成时间）×100%×3=3，该项自评得3分。</w:t>
      </w:r>
    </w:p>
    <w:p w14:paraId="5550B76D">
      <w:pPr>
        <w:numPr>
          <w:ilvl w:val="0"/>
          <w:numId w:val="6"/>
        </w:numPr>
        <w:suppressAutoHyphens w:val="0"/>
        <w:adjustRightInd w:val="0"/>
        <w:snapToGrid w:val="0"/>
        <w:spacing w:line="600" w:lineRule="exact"/>
        <w:ind w:firstLine="720"/>
        <w:rPr>
          <w:rFonts w:ascii="仿宋_GB2312" w:hAnsi="仿宋_GB2312" w:eastAsia="仿宋_GB2312" w:cs="仿宋_GB2312"/>
          <w:sz w:val="32"/>
          <w:szCs w:val="32"/>
        </w:rPr>
      </w:pPr>
      <w:r>
        <w:rPr>
          <w:rFonts w:hint="eastAsia" w:ascii="Times New Roman" w:hAnsi="Times New Roman" w:eastAsia="楷体_GB2312"/>
          <w:b/>
          <w:bCs/>
          <w:kern w:val="0"/>
          <w:sz w:val="32"/>
          <w:szCs w:val="32"/>
          <w:shd w:val="clear" w:color="auto" w:fill="FFFFFF"/>
          <w:lang w:val="zh-CN"/>
        </w:rPr>
        <w:t>专用指标</w:t>
      </w:r>
      <w:r>
        <w:rPr>
          <w:rFonts w:ascii="Times New Roman" w:hAnsi="Times New Roman" w:eastAsia="楷体_GB2312"/>
          <w:b/>
          <w:bCs/>
          <w:kern w:val="0"/>
          <w:sz w:val="32"/>
          <w:szCs w:val="32"/>
          <w:shd w:val="clear" w:color="auto" w:fill="FFFFFF"/>
          <w:lang w:val="zh-CN"/>
        </w:rPr>
        <w:t>绩效分析。</w:t>
      </w:r>
      <w:r>
        <w:rPr>
          <w:rFonts w:hint="eastAsia" w:ascii="仿宋_GB2312" w:hAnsi="仿宋_GB2312" w:eastAsia="仿宋_GB2312" w:cs="仿宋_GB2312"/>
          <w:sz w:val="32"/>
          <w:szCs w:val="32"/>
        </w:rPr>
        <w:t>项目由市公安局警务保障处进行综合管理，设立专职会计、出纳等岗位，各部门相关费用支出由其财务人员统一进行报销，做到专人专司财务管理职责；项目资金使用严格按照财务管理制度要求，支出经费按照市区两级人社局核定后的金额支付。市公安局机关纪委、审计处成立项目核查专班，定期核查项目资金支出情况，使其发挥最大效益。该项自评得30分。</w:t>
      </w:r>
    </w:p>
    <w:p w14:paraId="438094E8">
      <w:pPr>
        <w:spacing w:line="578" w:lineRule="exact"/>
        <w:ind w:firstLine="640"/>
        <w:rPr>
          <w:rFonts w:ascii="仿宋_GB2312" w:hAnsi="仿宋_GB2312" w:eastAsia="仿宋_GB2312" w:cs="仿宋_GB2312"/>
          <w:sz w:val="32"/>
          <w:szCs w:val="32"/>
        </w:rPr>
      </w:pPr>
      <w:r>
        <w:rPr>
          <w:rFonts w:hint="eastAsia" w:ascii="楷体_GB2312" w:hAnsi="宋体" w:eastAsia="楷体_GB2312"/>
          <w:b/>
          <w:sz w:val="32"/>
          <w:szCs w:val="32"/>
          <w:lang w:val="zh-CN"/>
        </w:rPr>
        <w:t>（三）个性指标</w:t>
      </w:r>
      <w:r>
        <w:rPr>
          <w:rFonts w:ascii="楷体_GB2312" w:hAnsi="宋体" w:eastAsia="楷体_GB2312"/>
          <w:b/>
          <w:sz w:val="32"/>
          <w:szCs w:val="32"/>
          <w:lang w:val="zh-CN"/>
        </w:rPr>
        <w:t>绩效分析。</w:t>
      </w:r>
      <w:r>
        <w:rPr>
          <w:rFonts w:hint="eastAsia" w:ascii="仿宋_GB2312" w:hAnsi="仿宋_GB2312" w:eastAsia="仿宋_GB2312" w:cs="仿宋_GB2312"/>
          <w:sz w:val="32"/>
          <w:szCs w:val="32"/>
        </w:rPr>
        <w:t>根据本项目的实际，项目选取项目效益个性指标，包含对维护社会治安的辅助作用、维护社会和谐稳定、保障政治大局平稳、持续发展等4个三级指标。根据项目实施的实际效果，采取是否评分法，经自评，该项自评得15分。</w:t>
      </w:r>
    </w:p>
    <w:p w14:paraId="78D92339">
      <w:pPr>
        <w:adjustRightInd w:val="0"/>
        <w:snapToGrid w:val="0"/>
        <w:spacing w:line="580" w:lineRule="exact"/>
        <w:ind w:firstLine="720"/>
        <w:outlineLvl w:val="1"/>
        <w:rPr>
          <w:rFonts w:ascii="黑体" w:hAnsi="黑体" w:eastAsia="黑体" w:cs="黑体"/>
          <w:bCs/>
          <w:sz w:val="32"/>
          <w:szCs w:val="32"/>
        </w:rPr>
      </w:pPr>
      <w:bookmarkStart w:id="106" w:name="_Toc1935"/>
      <w:r>
        <w:rPr>
          <w:rFonts w:hint="eastAsia" w:ascii="黑体" w:hAnsi="黑体" w:eastAsia="黑体" w:cs="黑体"/>
          <w:bCs/>
          <w:sz w:val="32"/>
          <w:szCs w:val="32"/>
        </w:rPr>
        <w:t>四、评价结论</w:t>
      </w:r>
      <w:bookmarkEnd w:id="106"/>
    </w:p>
    <w:p w14:paraId="3292AFB6">
      <w:pPr>
        <w:pStyle w:val="5"/>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项目实施确保了市公安局警犬及市消防救援支队搜救犬基地项目的顺利实施，经自评，该项目得99分。</w:t>
      </w:r>
    </w:p>
    <w:p w14:paraId="007B0F97">
      <w:pPr>
        <w:adjustRightInd w:val="0"/>
        <w:snapToGrid w:val="0"/>
        <w:spacing w:line="580" w:lineRule="exact"/>
        <w:ind w:firstLine="720"/>
        <w:outlineLvl w:val="1"/>
        <w:rPr>
          <w:rFonts w:ascii="黑体" w:hAnsi="黑体" w:eastAsia="黑体" w:cs="黑体"/>
          <w:bCs/>
          <w:sz w:val="32"/>
          <w:szCs w:val="32"/>
        </w:rPr>
      </w:pPr>
      <w:bookmarkStart w:id="107" w:name="_Toc7880"/>
      <w:r>
        <w:rPr>
          <w:rFonts w:hint="eastAsia" w:ascii="黑体" w:hAnsi="黑体" w:eastAsia="黑体" w:cs="黑体"/>
          <w:bCs/>
          <w:sz w:val="32"/>
          <w:szCs w:val="32"/>
        </w:rPr>
        <w:t>五、存在主要问题</w:t>
      </w:r>
      <w:bookmarkEnd w:id="107"/>
    </w:p>
    <w:p w14:paraId="2789045E">
      <w:pPr>
        <w:pStyle w:val="5"/>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无。</w:t>
      </w:r>
    </w:p>
    <w:p w14:paraId="7DE407AD">
      <w:pPr>
        <w:adjustRightInd w:val="0"/>
        <w:snapToGrid w:val="0"/>
        <w:spacing w:line="580" w:lineRule="exact"/>
        <w:ind w:firstLine="720"/>
        <w:outlineLvl w:val="1"/>
        <w:rPr>
          <w:rFonts w:ascii="黑体" w:hAnsi="黑体" w:eastAsia="黑体" w:cs="黑体"/>
          <w:bCs/>
          <w:sz w:val="32"/>
          <w:szCs w:val="32"/>
        </w:rPr>
      </w:pPr>
      <w:bookmarkStart w:id="108" w:name="_Toc1090"/>
      <w:r>
        <w:rPr>
          <w:rFonts w:hint="eastAsia" w:ascii="黑体" w:hAnsi="黑体" w:eastAsia="黑体" w:cs="黑体"/>
          <w:bCs/>
          <w:sz w:val="32"/>
          <w:szCs w:val="32"/>
        </w:rPr>
        <w:t>六、改进建议</w:t>
      </w:r>
      <w:bookmarkEnd w:id="108"/>
    </w:p>
    <w:p w14:paraId="6373E23B">
      <w:pPr>
        <w:tabs>
          <w:tab w:val="left" w:pos="1911"/>
        </w:tabs>
        <w:ind w:firstLine="640" w:firstLineChars="200"/>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无。</w:t>
      </w:r>
    </w:p>
    <w:p w14:paraId="41733645">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广元市公安局</w:t>
      </w:r>
    </w:p>
    <w:p w14:paraId="638760DD">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七盘关公安检查站建设项目绩效评价报告</w:t>
      </w:r>
    </w:p>
    <w:p w14:paraId="47912814">
      <w:pPr>
        <w:pStyle w:val="28"/>
        <w:spacing w:line="578" w:lineRule="exact"/>
        <w:ind w:firstLine="640"/>
        <w:jc w:val="center"/>
        <w:rPr>
          <w:rFonts w:ascii="宋体" w:hAnsi="宋体"/>
          <w:color w:val="auto"/>
          <w:kern w:val="2"/>
          <w:sz w:val="32"/>
          <w:szCs w:val="32"/>
        </w:rPr>
      </w:pPr>
    </w:p>
    <w:p w14:paraId="3BB12FC0">
      <w:pPr>
        <w:adjustRightInd w:val="0"/>
        <w:snapToGrid w:val="0"/>
        <w:spacing w:line="580" w:lineRule="exact"/>
        <w:ind w:firstLine="720"/>
        <w:outlineLvl w:val="1"/>
        <w:rPr>
          <w:rFonts w:ascii="黑体" w:hAnsi="黑体" w:eastAsia="黑体" w:cs="黑体"/>
          <w:bCs/>
          <w:sz w:val="32"/>
          <w:szCs w:val="32"/>
        </w:rPr>
      </w:pPr>
      <w:bookmarkStart w:id="109" w:name="_Toc29908"/>
      <w:r>
        <w:rPr>
          <w:rFonts w:hint="eastAsia" w:ascii="黑体" w:hAnsi="黑体" w:eastAsia="黑体" w:cs="黑体"/>
          <w:bCs/>
          <w:sz w:val="32"/>
          <w:szCs w:val="32"/>
        </w:rPr>
        <w:t>一、项目概况</w:t>
      </w:r>
      <w:bookmarkEnd w:id="109"/>
    </w:p>
    <w:p w14:paraId="63FF0CCE">
      <w:pPr>
        <w:spacing w:line="600" w:lineRule="exact"/>
        <w:ind w:firstLine="643" w:firstLineChars="200"/>
        <w:rPr>
          <w:rFonts w:ascii="楷体_GB2312" w:hAnsi="宋体" w:eastAsia="楷体_GB2312"/>
          <w:b/>
          <w:sz w:val="32"/>
          <w:szCs w:val="32"/>
          <w:lang w:val="zh-CN"/>
        </w:rPr>
      </w:pPr>
      <w:r>
        <w:rPr>
          <w:rFonts w:hint="eastAsia" w:ascii="楷体_GB2312" w:hAnsi="宋体" w:eastAsia="楷体_GB2312"/>
          <w:b/>
          <w:sz w:val="32"/>
          <w:szCs w:val="32"/>
          <w:lang w:val="zh-CN"/>
        </w:rPr>
        <w:t>（一）设立背景及基本情况</w:t>
      </w:r>
    </w:p>
    <w:p w14:paraId="6A322754">
      <w:pPr>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广元市七盘关公安检查站建设项目经广元市发改委以广发改〔2015〕302号、广发改函〔2016〕136号批复同意新建。新建建筑面积950平方米，配套建设相关附属设施，估算总投资797万元，资金来源为市财政资金。该项目2017年1月开工，2018年6月竣工，现已交付使用。2022年4月已完成项目竣工财务决算，已拨付到位资金548.16万元，2022年预算支付资金125.104万元，主要用于工程款10.9753万元（含316982.65元工程质量保证金，质保期已满）和设计费等待摊费4.1287万元。2023年度预算资金1.34万元为项目结余资金。</w:t>
      </w:r>
    </w:p>
    <w:p w14:paraId="59A5D3D1">
      <w:pPr>
        <w:spacing w:line="600" w:lineRule="exact"/>
        <w:ind w:firstLine="643" w:firstLineChars="200"/>
        <w:rPr>
          <w:rFonts w:ascii="楷体_GB2312" w:hAnsi="宋体" w:eastAsia="楷体_GB2312"/>
          <w:b/>
          <w:sz w:val="32"/>
          <w:szCs w:val="32"/>
          <w:lang w:val="zh-CN"/>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p>
    <w:p w14:paraId="60FBB87D">
      <w:pPr>
        <w:pStyle w:val="26"/>
        <w:adjustRightInd w:val="0"/>
        <w:snapToGrid w:val="0"/>
        <w:spacing w:line="578" w:lineRule="exact"/>
        <w:ind w:left="160" w:leftChars="76"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项目已完成，后期资金也于2022年支付完毕，该预算资金为项目结余资金。</w:t>
      </w:r>
    </w:p>
    <w:p w14:paraId="4203C71C">
      <w:pPr>
        <w:spacing w:line="600" w:lineRule="exact"/>
        <w:ind w:firstLine="643" w:firstLineChars="200"/>
        <w:rPr>
          <w:rFonts w:ascii="楷体_GB2312" w:hAnsi="宋体" w:eastAsia="楷体_GB2312"/>
          <w:b/>
          <w:sz w:val="32"/>
          <w:szCs w:val="32"/>
          <w:lang w:val="zh-CN"/>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p>
    <w:p w14:paraId="7C933A7E">
      <w:pPr>
        <w:widowControl/>
        <w:adjustRightInd w:val="0"/>
        <w:snapToGrid w:val="0"/>
        <w:spacing w:line="578" w:lineRule="exact"/>
        <w:ind w:firstLine="960" w:firstLineChars="300"/>
        <w:contextualSpacing/>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项目预算资金为结余资金。</w:t>
      </w:r>
    </w:p>
    <w:p w14:paraId="6B21C763">
      <w:pPr>
        <w:spacing w:line="600" w:lineRule="exact"/>
        <w:ind w:firstLine="643" w:firstLineChars="200"/>
        <w:rPr>
          <w:rFonts w:ascii="楷体_GB2312" w:hAnsi="宋体" w:eastAsia="楷体_GB2312"/>
          <w:b/>
          <w:sz w:val="32"/>
          <w:szCs w:val="32"/>
          <w:lang w:val="zh-CN"/>
        </w:rPr>
      </w:pPr>
      <w:r>
        <w:rPr>
          <w:rFonts w:hint="eastAsia" w:ascii="楷体_GB2312" w:hAnsi="宋体" w:eastAsia="楷体_GB2312"/>
          <w:b/>
          <w:sz w:val="32"/>
          <w:szCs w:val="32"/>
          <w:lang w:val="zh-CN"/>
        </w:rPr>
        <w:t>（四）项目绩效目标设置</w:t>
      </w:r>
    </w:p>
    <w:p w14:paraId="7C95FD1D">
      <w:pPr>
        <w:adjustRightInd w:val="0"/>
        <w:snapToGrid w:val="0"/>
        <w:spacing w:line="578" w:lineRule="exact"/>
        <w:ind w:left="420" w:leftChars="200"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项目整体、区域和具体绩效目标设置情况已完成，按照规定已完成项目自评工作。</w:t>
      </w:r>
    </w:p>
    <w:p w14:paraId="415DC109">
      <w:pPr>
        <w:adjustRightInd w:val="0"/>
        <w:snapToGrid w:val="0"/>
        <w:spacing w:line="580" w:lineRule="exact"/>
        <w:ind w:firstLine="720"/>
        <w:outlineLvl w:val="1"/>
        <w:rPr>
          <w:rFonts w:ascii="黑体" w:hAnsi="黑体" w:eastAsia="黑体" w:cs="黑体"/>
          <w:bCs/>
          <w:sz w:val="32"/>
          <w:szCs w:val="32"/>
        </w:rPr>
      </w:pPr>
      <w:bookmarkStart w:id="110" w:name="_Toc6354"/>
      <w:r>
        <w:rPr>
          <w:rFonts w:hint="eastAsia" w:ascii="黑体" w:hAnsi="黑体" w:eastAsia="黑体" w:cs="黑体"/>
          <w:bCs/>
          <w:sz w:val="32"/>
          <w:szCs w:val="32"/>
        </w:rPr>
        <w:t>二、评价实施</w:t>
      </w:r>
      <w:bookmarkEnd w:id="110"/>
    </w:p>
    <w:p w14:paraId="0C17658F">
      <w:pPr>
        <w:spacing w:line="578"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（一）评价目的</w:t>
      </w:r>
    </w:p>
    <w:p w14:paraId="151CD7AE">
      <w:pPr>
        <w:spacing w:line="578" w:lineRule="exact"/>
        <w:ind w:firstLine="640"/>
        <w:rPr>
          <w:rFonts w:ascii="仿宋_GB2312" w:hAnsi="仿宋_GB2312" w:eastAsia="仿宋_GB2312" w:cs="仿宋_GB2312"/>
          <w:sz w:val="32"/>
          <w:szCs w:val="32"/>
        </w:rPr>
      </w:pPr>
      <w:r>
        <w:rPr>
          <w:rFonts w:ascii="仿宋_GB2312" w:hAnsi="仿宋_GB2312" w:eastAsia="仿宋_GB2312" w:cs="仿宋_GB2312"/>
          <w:sz w:val="32"/>
          <w:szCs w:val="32"/>
        </w:rPr>
        <w:t>通过</w:t>
      </w:r>
      <w:r>
        <w:rPr>
          <w:rFonts w:hint="eastAsia" w:ascii="仿宋_GB2312" w:hAnsi="仿宋_GB2312" w:eastAsia="仿宋_GB2312" w:cs="仿宋_GB2312"/>
          <w:sz w:val="32"/>
          <w:szCs w:val="32"/>
        </w:rPr>
        <w:t>项目绩效自评提高财政资金的使用效益，确保资金得到合理有效的利用；进一步加强预算执行进度的监督管理，及时发现该项目预算执行中存在的问题并做出相应的解决措施，为来年该项目的申报提供科学合理的标准。</w:t>
      </w:r>
    </w:p>
    <w:p w14:paraId="7ED54CB8">
      <w:pPr>
        <w:numPr>
          <w:ilvl w:val="0"/>
          <w:numId w:val="7"/>
        </w:numPr>
        <w:spacing w:line="578"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预设问题及评价重点</w:t>
      </w:r>
    </w:p>
    <w:p w14:paraId="71D51CD1">
      <w:pPr>
        <w:spacing w:line="578"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按照绩效评价指标体系，对资金支出使用全过程及其实施效果进行综合评价和判断。</w:t>
      </w:r>
    </w:p>
    <w:p w14:paraId="7FBBEAA3">
      <w:pPr>
        <w:numPr>
          <w:ilvl w:val="0"/>
          <w:numId w:val="7"/>
        </w:numPr>
        <w:adjustRightInd w:val="0"/>
        <w:snapToGrid w:val="0"/>
        <w:spacing w:line="578"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评价选点</w:t>
      </w:r>
    </w:p>
    <w:p w14:paraId="01CFE820">
      <w:pPr>
        <w:adjustRightInd w:val="0"/>
        <w:snapToGrid w:val="0"/>
        <w:spacing w:line="578"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项目绩效自评所抽样点位主要为项目是否竣工，是否完成资金支付。</w:t>
      </w:r>
    </w:p>
    <w:p w14:paraId="6CFCFDDB">
      <w:pPr>
        <w:numPr>
          <w:ilvl w:val="0"/>
          <w:numId w:val="7"/>
        </w:numPr>
        <w:spacing w:line="578"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评价方法</w:t>
      </w:r>
    </w:p>
    <w:p w14:paraId="237498F5">
      <w:pPr>
        <w:spacing w:line="578" w:lineRule="exact"/>
        <w:ind w:firstLine="640" w:firstLineChars="200"/>
        <w:rPr>
          <w:rFonts w:ascii="仿宋_GB2312" w:hAnsi="仿宋_GB2312" w:eastAsia="仿宋_GB2312" w:cs="仿宋_GB2312"/>
          <w:sz w:val="32"/>
          <w:szCs w:val="32"/>
        </w:rPr>
      </w:pPr>
      <w:r>
        <w:rPr>
          <w:rFonts w:ascii="仿宋_GB2312" w:hAnsi="仿宋_GB2312" w:eastAsia="仿宋_GB2312" w:cs="仿宋_GB2312"/>
          <w:sz w:val="32"/>
          <w:szCs w:val="32"/>
        </w:rPr>
        <w:t>根据项目情况和评价重点，</w:t>
      </w:r>
      <w:r>
        <w:rPr>
          <w:rFonts w:hint="eastAsia" w:ascii="仿宋_GB2312" w:hAnsi="仿宋_GB2312" w:eastAsia="仿宋_GB2312" w:cs="仿宋_GB2312"/>
          <w:sz w:val="32"/>
          <w:szCs w:val="32"/>
        </w:rPr>
        <w:t>采取</w:t>
      </w:r>
      <w:r>
        <w:rPr>
          <w:rFonts w:ascii="仿宋_GB2312" w:hAnsi="仿宋_GB2312" w:eastAsia="仿宋_GB2312" w:cs="仿宋_GB2312"/>
          <w:sz w:val="32"/>
          <w:szCs w:val="32"/>
        </w:rPr>
        <w:t>单位自评、实地勘察、座谈调研法等多种方法</w:t>
      </w:r>
      <w:r>
        <w:rPr>
          <w:rFonts w:hint="eastAsia" w:ascii="仿宋_GB2312" w:hAnsi="仿宋_GB2312" w:eastAsia="仿宋_GB2312" w:cs="仿宋_GB2312"/>
          <w:sz w:val="32"/>
          <w:szCs w:val="32"/>
        </w:rPr>
        <w:t>。</w:t>
      </w:r>
    </w:p>
    <w:p w14:paraId="2AEE5B5A">
      <w:pPr>
        <w:numPr>
          <w:ilvl w:val="0"/>
          <w:numId w:val="7"/>
        </w:numPr>
        <w:spacing w:line="578"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评价组织</w:t>
      </w:r>
    </w:p>
    <w:p w14:paraId="41EE6BA1">
      <w:pPr>
        <w:spacing w:line="578"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按照广元市公安局《预算绩效管理办法（试行）》，该项目自评工作由市公安局警务保障处牵头，七盘关公安检查站、审计处等部门协助，围绕总体目标、项目完成情况及使用效益开展。</w:t>
      </w:r>
    </w:p>
    <w:p w14:paraId="63273FF5">
      <w:pPr>
        <w:adjustRightInd w:val="0"/>
        <w:snapToGrid w:val="0"/>
        <w:spacing w:line="580" w:lineRule="exact"/>
        <w:ind w:firstLine="720"/>
        <w:outlineLvl w:val="1"/>
        <w:rPr>
          <w:rFonts w:ascii="黑体" w:hAnsi="黑体" w:eastAsia="黑体" w:cs="黑体"/>
          <w:bCs/>
          <w:sz w:val="32"/>
          <w:szCs w:val="32"/>
        </w:rPr>
      </w:pPr>
      <w:bookmarkStart w:id="111" w:name="_Toc424"/>
      <w:r>
        <w:rPr>
          <w:rFonts w:hint="eastAsia" w:ascii="黑体" w:hAnsi="黑体" w:eastAsia="黑体" w:cs="黑体"/>
          <w:bCs/>
          <w:sz w:val="32"/>
          <w:szCs w:val="32"/>
        </w:rPr>
        <w:t>三、绩效分析</w:t>
      </w:r>
      <w:bookmarkEnd w:id="111"/>
      <w:r>
        <w:rPr>
          <w:rFonts w:hint="eastAsia" w:ascii="黑体" w:hAnsi="黑体" w:eastAsia="黑体" w:cs="黑体"/>
          <w:bCs/>
          <w:sz w:val="32"/>
          <w:szCs w:val="32"/>
        </w:rPr>
        <w:tab/>
      </w:r>
    </w:p>
    <w:p w14:paraId="5F04E99A">
      <w:pPr>
        <w:spacing w:line="578"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（一）通用指标</w:t>
      </w:r>
      <w:r>
        <w:rPr>
          <w:rFonts w:ascii="楷体_GB2312" w:hAnsi="宋体" w:eastAsia="楷体_GB2312"/>
          <w:b/>
          <w:sz w:val="32"/>
          <w:szCs w:val="32"/>
          <w:lang w:val="zh-CN"/>
        </w:rPr>
        <w:t>绩效分析。</w:t>
      </w:r>
    </w:p>
    <w:p w14:paraId="71615962">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1.项目决策。（1）决策程序。该项目的设立、调整延续等方面符合资金管理基本规范和决策程序要求，该项自评得6分。（2）规划论证。本项目按照省人民政府、市委市政府和省公安厅有关决策部署安排，项目实施前开展了项目事前绩效评价，评估内容包含立项必要性、前瞻性、合理性和可行性；项目总体绩效目标设置合理性的偏离度≤15%；绩效目标科学合理、规范完整、量化细化、预算匹配。该项自评得6分。（3）资金投向。本项目属于政府支持范围，资金投向与项目总体规划、公安事业发展相匹配，聚焦重大任务、重点领域，未与其他同类项目或部门内部相关项目交叉重复，该项自评得6分。</w:t>
      </w:r>
    </w:p>
    <w:p w14:paraId="49C0793E">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2.项目管理。（1）制度办法。资金管理体系健全完善，该项自评得2分。（2）分配管理。本项目资金分配因素选取充分考虑公安事业发展实际和发展需求；资金分配因素的权重设置有效突出项目实施重点；资金全部用于七盘关检查站项目的建设。项目资金的分配严格按照财务管理办法执行，资金使用全程监控，使用合理合规。该项自评得10分。（3）绩效监管。本项目严格按照中央和省、市要求全面完成绩效目标（含事前评估）、绩效评价、以前年度问题整改等预算绩效管理工作；市公安局绩效管理小组全过程对业务部门使用项目经费开展评价、监督、指导等工作，该项自评得6分。</w:t>
      </w:r>
    </w:p>
    <w:p w14:paraId="685181CE">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3.项目实施。（1）预算执行。本项目是由市财政资金全额保障，该项指标得分=财政资金拨付率×100%×6=6，该项自评得6分。（2）资金使用。项目资金使用、拨付是符合国家财经法规、财务管理制度及有关专项资金管理制度办法规定和审批程序，坚持项目资金专款专用，未存在截留、挤占、挪用、虚列支出等情况，该项自评得3分。</w:t>
      </w:r>
    </w:p>
    <w:p w14:paraId="5DC2DC76">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4.项目结果。（1）目标完成。该项指标得分=实际完成目标任务量÷首次批复立项设定绩效目标任务总量×100%×6=6，该项自评得6分。（2）完成时效。该项指标得分=（1-(实际完成时间-计划完成时间)÷计划完成时间）×100%×3=3，该项自评得3分。</w:t>
      </w:r>
    </w:p>
    <w:p w14:paraId="480504D7">
      <w:pPr>
        <w:spacing w:line="578" w:lineRule="exact"/>
        <w:ind w:firstLine="643" w:firstLineChars="200"/>
        <w:rPr>
          <w:rFonts w:ascii="楷体_GB2312" w:hAnsi="宋体" w:eastAsia="楷体_GB2312"/>
          <w:b/>
          <w:sz w:val="32"/>
          <w:szCs w:val="32"/>
          <w:lang w:val="zh-CN"/>
        </w:rPr>
      </w:pPr>
      <w:r>
        <w:rPr>
          <w:rFonts w:hint="eastAsia" w:ascii="楷体_GB2312" w:hAnsi="宋体" w:eastAsia="楷体_GB2312"/>
          <w:b/>
          <w:sz w:val="32"/>
          <w:szCs w:val="32"/>
          <w:lang w:val="zh-CN"/>
        </w:rPr>
        <w:t>（二）专用指标</w:t>
      </w:r>
      <w:r>
        <w:rPr>
          <w:rFonts w:ascii="楷体_GB2312" w:hAnsi="宋体" w:eastAsia="楷体_GB2312"/>
          <w:b/>
          <w:sz w:val="32"/>
          <w:szCs w:val="32"/>
          <w:lang w:val="zh-CN"/>
        </w:rPr>
        <w:t>绩效分析</w:t>
      </w:r>
    </w:p>
    <w:p w14:paraId="0DE05D25">
      <w:pPr>
        <w:spacing w:line="578"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本项目主要为新建建筑面积950平方米及道路、检查场地等附属工程，总投资797万元。该项目2017年1月开工，2018年6月竣工，现已交付使用。2022年4月已完成项目竣工财务决算，已拨付到位资金548.16万元，2022年预算支付资金125.104万元，主要用于工程款10.9753万元（含316982.65元工程质量保证金，质保期已满）和设计费等待摊费4.1287万元。2022年项目竣工验收结余资金1.34万元，建议市财政收回。此项自评得20分。</w:t>
      </w:r>
    </w:p>
    <w:p w14:paraId="10FB0FBA">
      <w:pPr>
        <w:numPr>
          <w:ilvl w:val="0"/>
          <w:numId w:val="8"/>
        </w:numPr>
        <w:spacing w:line="578" w:lineRule="exact"/>
        <w:ind w:firstLine="643" w:firstLineChars="200"/>
        <w:rPr>
          <w:rFonts w:ascii="楷体_GB2312" w:hAnsi="宋体" w:eastAsia="楷体_GB2312"/>
          <w:b/>
          <w:sz w:val="32"/>
          <w:szCs w:val="32"/>
          <w:lang w:val="zh-CN"/>
        </w:rPr>
      </w:pPr>
      <w:r>
        <w:rPr>
          <w:rFonts w:hint="eastAsia" w:ascii="楷体_GB2312" w:hAnsi="宋体" w:eastAsia="楷体_GB2312"/>
          <w:b/>
          <w:sz w:val="32"/>
          <w:szCs w:val="32"/>
          <w:lang w:val="zh-CN"/>
        </w:rPr>
        <w:t>个性指标</w:t>
      </w:r>
      <w:r>
        <w:rPr>
          <w:rFonts w:ascii="楷体_GB2312" w:hAnsi="宋体" w:eastAsia="楷体_GB2312"/>
          <w:b/>
          <w:sz w:val="32"/>
          <w:szCs w:val="32"/>
          <w:lang w:val="zh-CN"/>
        </w:rPr>
        <w:t>绩效分析</w:t>
      </w:r>
    </w:p>
    <w:p w14:paraId="26906936">
      <w:pPr>
        <w:spacing w:line="578" w:lineRule="exact"/>
        <w:ind w:firstLine="640" w:firstLineChars="200"/>
      </w:pPr>
      <w:r>
        <w:rPr>
          <w:rFonts w:hint="eastAsia" w:ascii="仿宋_GB2312" w:hAnsi="仿宋_GB2312" w:eastAsia="仿宋_GB2312" w:cs="仿宋_GB2312"/>
          <w:sz w:val="32"/>
          <w:szCs w:val="32"/>
        </w:rPr>
        <w:t>根据本项目的实际，项目项目完成情况预算内基本建设资金二级指标，设置满足反恐查缉需要、生态环境保护两个个性指标，按照是否评分法对两个指标的完成情况开展自评，经自评，该项自评得16分。</w:t>
      </w:r>
    </w:p>
    <w:p w14:paraId="7F1490D5">
      <w:pPr>
        <w:adjustRightInd w:val="0"/>
        <w:snapToGrid w:val="0"/>
        <w:spacing w:line="580" w:lineRule="exact"/>
        <w:ind w:firstLine="720"/>
        <w:outlineLvl w:val="1"/>
        <w:rPr>
          <w:rFonts w:ascii="黑体" w:hAnsi="黑体" w:eastAsia="黑体" w:cs="黑体"/>
          <w:bCs/>
          <w:sz w:val="32"/>
          <w:szCs w:val="32"/>
        </w:rPr>
      </w:pPr>
      <w:bookmarkStart w:id="112" w:name="_Toc26337"/>
      <w:r>
        <w:rPr>
          <w:rFonts w:hint="eastAsia" w:ascii="黑体" w:hAnsi="黑体" w:eastAsia="黑体" w:cs="黑体"/>
          <w:bCs/>
          <w:sz w:val="32"/>
          <w:szCs w:val="32"/>
        </w:rPr>
        <w:t>四、评价结论</w:t>
      </w:r>
      <w:bookmarkEnd w:id="112"/>
    </w:p>
    <w:p w14:paraId="13C36572">
      <w:pPr>
        <w:pStyle w:val="5"/>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广元市七盘关公安检查站专项预算项目绩效自评90分，项目已实施完成，2023年度预算资金1.34万元为项目结余资金。</w:t>
      </w:r>
    </w:p>
    <w:p w14:paraId="1CC840EE">
      <w:pPr>
        <w:adjustRightInd w:val="0"/>
        <w:snapToGrid w:val="0"/>
        <w:spacing w:line="580" w:lineRule="exact"/>
        <w:ind w:firstLine="720"/>
        <w:outlineLvl w:val="1"/>
        <w:rPr>
          <w:rFonts w:ascii="黑体" w:hAnsi="黑体" w:eastAsia="黑体" w:cs="黑体"/>
          <w:bCs/>
          <w:sz w:val="32"/>
          <w:szCs w:val="32"/>
        </w:rPr>
      </w:pPr>
      <w:bookmarkStart w:id="113" w:name="_Toc15736"/>
      <w:r>
        <w:rPr>
          <w:rFonts w:hint="eastAsia" w:ascii="黑体" w:hAnsi="黑体" w:eastAsia="黑体" w:cs="黑体"/>
          <w:bCs/>
          <w:sz w:val="32"/>
          <w:szCs w:val="32"/>
        </w:rPr>
        <w:t>五、存在主要问题</w:t>
      </w:r>
      <w:bookmarkEnd w:id="113"/>
    </w:p>
    <w:p w14:paraId="222DD4B1">
      <w:pPr>
        <w:pStyle w:val="5"/>
        <w:spacing w:line="600" w:lineRule="exact"/>
        <w:ind w:firstLine="640" w:firstLineChars="200"/>
        <w:rPr>
          <w:rFonts w:ascii="黑体" w:hAnsi="黑体" w:cs="黑体"/>
          <w:sz w:val="32"/>
          <w:szCs w:val="32"/>
        </w:rPr>
      </w:pPr>
      <w:r>
        <w:rPr>
          <w:rFonts w:hint="eastAsia" w:ascii="仿宋_GB2312" w:hAnsi="仿宋_GB2312" w:eastAsia="仿宋_GB2312" w:cs="仿宋_GB2312"/>
          <w:sz w:val="32"/>
          <w:szCs w:val="32"/>
        </w:rPr>
        <w:t>无</w:t>
      </w:r>
    </w:p>
    <w:p w14:paraId="096CD98D">
      <w:pPr>
        <w:adjustRightInd w:val="0"/>
        <w:snapToGrid w:val="0"/>
        <w:spacing w:line="580" w:lineRule="exact"/>
        <w:ind w:firstLine="720"/>
        <w:outlineLvl w:val="1"/>
        <w:rPr>
          <w:rFonts w:ascii="黑体" w:hAnsi="黑体" w:eastAsia="黑体" w:cs="黑体"/>
          <w:bCs/>
          <w:sz w:val="32"/>
          <w:szCs w:val="32"/>
        </w:rPr>
      </w:pPr>
      <w:bookmarkStart w:id="114" w:name="_Toc13986"/>
      <w:r>
        <w:rPr>
          <w:rFonts w:hint="eastAsia" w:ascii="黑体" w:hAnsi="黑体" w:eastAsia="黑体" w:cs="黑体"/>
          <w:bCs/>
          <w:sz w:val="32"/>
          <w:szCs w:val="32"/>
        </w:rPr>
        <w:t>六、改进建议</w:t>
      </w:r>
      <w:bookmarkEnd w:id="114"/>
    </w:p>
    <w:p w14:paraId="5D4D3AB4">
      <w:pPr>
        <w:pStyle w:val="5"/>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建议市财政收回项目结余资金。</w:t>
      </w:r>
    </w:p>
    <w:p w14:paraId="5B72F5B0">
      <w:pPr>
        <w:pStyle w:val="5"/>
        <w:spacing w:line="600" w:lineRule="exact"/>
        <w:ind w:firstLine="640" w:firstLineChars="200"/>
        <w:rPr>
          <w:rFonts w:ascii="仿宋_GB2312" w:hAnsi="仿宋_GB2312" w:eastAsia="仿宋_GB2312" w:cs="仿宋_GB2312"/>
          <w:sz w:val="32"/>
          <w:szCs w:val="32"/>
        </w:rPr>
      </w:pPr>
    </w:p>
    <w:p w14:paraId="018FF99F">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广元市公安局</w:t>
      </w:r>
    </w:p>
    <w:p w14:paraId="47A389DC">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监管中心医疗服务及药品费（2023年上半年）绩效评价报告</w:t>
      </w:r>
    </w:p>
    <w:p w14:paraId="33C1A72A">
      <w:pPr>
        <w:pStyle w:val="28"/>
        <w:spacing w:line="578" w:lineRule="exact"/>
        <w:ind w:firstLine="640"/>
        <w:jc w:val="center"/>
        <w:rPr>
          <w:rFonts w:ascii="宋体" w:hAnsi="宋体"/>
          <w:color w:val="auto"/>
          <w:kern w:val="2"/>
          <w:sz w:val="32"/>
          <w:szCs w:val="32"/>
          <w:lang w:val="en-US"/>
        </w:rPr>
      </w:pPr>
    </w:p>
    <w:p w14:paraId="64C5A889">
      <w:pPr>
        <w:adjustRightInd w:val="0"/>
        <w:snapToGrid w:val="0"/>
        <w:spacing w:line="580" w:lineRule="exact"/>
        <w:ind w:firstLine="720"/>
        <w:outlineLvl w:val="1"/>
        <w:rPr>
          <w:rFonts w:ascii="黑体" w:hAnsi="黑体" w:eastAsia="黑体" w:cs="黑体"/>
          <w:bCs/>
          <w:sz w:val="32"/>
          <w:szCs w:val="32"/>
        </w:rPr>
      </w:pPr>
      <w:bookmarkStart w:id="115" w:name="_Toc25925"/>
      <w:r>
        <w:rPr>
          <w:rFonts w:hint="eastAsia" w:ascii="黑体" w:hAnsi="黑体" w:eastAsia="黑体" w:cs="黑体"/>
          <w:bCs/>
          <w:sz w:val="32"/>
          <w:szCs w:val="32"/>
        </w:rPr>
        <w:t>一、项目概况</w:t>
      </w:r>
      <w:bookmarkEnd w:id="115"/>
    </w:p>
    <w:p w14:paraId="680E0074">
      <w:pPr>
        <w:pStyle w:val="5"/>
        <w:spacing w:line="600" w:lineRule="exact"/>
        <w:ind w:firstLine="643" w:firstLineChars="200"/>
        <w:rPr>
          <w:rFonts w:ascii="仿宋_GB2312" w:hAnsi="仿宋_GB2312" w:eastAsia="仿宋_GB2312" w:cs="仿宋_GB2312"/>
          <w:sz w:val="32"/>
          <w:szCs w:val="32"/>
        </w:rPr>
      </w:pPr>
      <w:r>
        <w:rPr>
          <w:rFonts w:hint="eastAsia" w:ascii="楷体_GB2312" w:hAnsi="宋体" w:eastAsia="楷体_GB2312"/>
          <w:b/>
          <w:sz w:val="32"/>
          <w:szCs w:val="32"/>
          <w:lang w:val="zh-CN"/>
        </w:rPr>
        <w:t>（一）设立背景及基本情况。</w:t>
      </w:r>
      <w:r>
        <w:rPr>
          <w:rFonts w:hint="eastAsia" w:ascii="仿宋_GB2312" w:hAnsi="仿宋_GB2312" w:eastAsia="仿宋_GB2312" w:cs="仿宋_GB2312"/>
          <w:sz w:val="32"/>
          <w:szCs w:val="32"/>
        </w:rPr>
        <w:t>根据公通字〔2009〕60号《公安部卫生部关于切实加强和改进公安监管场所医疗卫生工作的通知》和公监管〔2015〕6号关于贯彻落实《公安部卫生部关于印发〈公安监管场所医疗卫生专业化建设工作方案〉的通知》积极探索公安监管场所医疗卫生工作社会化模式和公安监所根据本所实际妥善合理地安排社会医护力量。</w:t>
      </w:r>
    </w:p>
    <w:p w14:paraId="10283898">
      <w:pPr>
        <w:pStyle w:val="5"/>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市公安局主要对项目资金执行进度、项目资金使用情况进行监督，对资金的使用及报销进行审核。</w:t>
      </w:r>
    </w:p>
    <w:p w14:paraId="359B87EE">
      <w:pPr>
        <w:widowControl/>
        <w:adjustRightInd w:val="0"/>
        <w:snapToGrid w:val="0"/>
        <w:spacing w:line="578" w:lineRule="exact"/>
        <w:ind w:firstLine="643" w:firstLineChars="200"/>
        <w:contextualSpacing/>
        <w:jc w:val="left"/>
        <w:rPr>
          <w:rFonts w:ascii="仿宋_GB2312" w:hAnsi="仿宋_GB2312" w:eastAsia="仿宋_GB2312" w:cs="仿宋_GB2312"/>
          <w:sz w:val="32"/>
          <w:szCs w:val="32"/>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r>
        <w:rPr>
          <w:rFonts w:hint="eastAsia" w:ascii="楷体_GB2312" w:hAnsi="宋体" w:eastAsia="楷体_GB2312"/>
          <w:b/>
          <w:sz w:val="32"/>
          <w:szCs w:val="32"/>
          <w:lang w:val="zh-CN"/>
        </w:rPr>
        <w:t>。</w:t>
      </w:r>
      <w:r>
        <w:rPr>
          <w:rFonts w:hint="eastAsia" w:ascii="仿宋_GB2312" w:hAnsi="仿宋_GB2312" w:eastAsia="仿宋_GB2312" w:cs="仿宋_GB2312"/>
          <w:sz w:val="32"/>
          <w:szCs w:val="32"/>
        </w:rPr>
        <w:t>本项目目的是将监所卫生工作的责任主体转交给社会医院负责，实现公安监管医疗卫生专业化、社会化，提升监所医疗基础保障水平，确保监所医疗工作安全高效运行，保障在押（拘戒）人员的生命健康合法权益。</w:t>
      </w:r>
    </w:p>
    <w:p w14:paraId="0AA3790D">
      <w:pPr>
        <w:widowControl/>
        <w:adjustRightInd w:val="0"/>
        <w:snapToGrid w:val="0"/>
        <w:spacing w:line="578" w:lineRule="exact"/>
        <w:ind w:firstLine="643" w:firstLineChars="200"/>
        <w:contextualSpacing/>
        <w:jc w:val="left"/>
        <w:rPr>
          <w:rFonts w:ascii="仿宋_GB2312" w:hAnsi="仿宋_GB2312" w:eastAsia="仿宋_GB2312" w:cs="仿宋_GB2312"/>
          <w:sz w:val="32"/>
          <w:szCs w:val="32"/>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r>
        <w:rPr>
          <w:rFonts w:hint="eastAsia" w:ascii="楷体_GB2312" w:hAnsi="宋体" w:eastAsia="楷体_GB2312"/>
          <w:b/>
          <w:lang w:val="zh-CN"/>
        </w:rPr>
        <w:t>。</w:t>
      </w:r>
      <w:r>
        <w:rPr>
          <w:rFonts w:hint="eastAsia" w:ascii="仿宋_GB2312" w:hAnsi="仿宋_GB2312" w:eastAsia="仿宋_GB2312" w:cs="仿宋_GB2312"/>
          <w:sz w:val="32"/>
          <w:szCs w:val="32"/>
        </w:rPr>
        <w:t>项目资金管理按照《广元市公安局监管中心医疗服务社会化采购项目合同》要求，项目资金分为两部分。第一部分为固定费用，三年服务总费用423万（每年141万元）；第二部分为实际发生费用，即在押（拘戒）人员的药品费、门诊费、住院费、耗材费等实际发生额，经财务审核后实报实销。</w:t>
      </w:r>
    </w:p>
    <w:p w14:paraId="2C3E5803">
      <w:pPr>
        <w:adjustRightInd w:val="0"/>
        <w:snapToGrid w:val="0"/>
        <w:spacing w:line="600" w:lineRule="exact"/>
        <w:ind w:firstLine="643" w:firstLineChars="200"/>
        <w:rPr>
          <w:rFonts w:ascii="楷体_GB2312" w:hAnsi="宋体" w:eastAsia="楷体_GB2312"/>
          <w:b/>
          <w:sz w:val="32"/>
          <w:szCs w:val="32"/>
          <w:lang w:val="zh-CN"/>
        </w:rPr>
      </w:pPr>
      <w:r>
        <w:rPr>
          <w:rFonts w:hint="eastAsia" w:ascii="楷体_GB2312" w:hAnsi="宋体" w:eastAsia="楷体_GB2312"/>
          <w:b/>
          <w:sz w:val="32"/>
          <w:szCs w:val="32"/>
          <w:lang w:val="zh-CN"/>
        </w:rPr>
        <w:t>（四）项目绩效目标设置。</w:t>
      </w:r>
    </w:p>
    <w:p w14:paraId="522C9D86">
      <w:pPr>
        <w:adjustRightInd w:val="0"/>
        <w:snapToGrid w:val="0"/>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1.该项经费主要为进一步保障在押（拘戒）人员健康，确保监所安全文明，确保监所等级达标。</w:t>
      </w:r>
    </w:p>
    <w:p w14:paraId="7B692BCE">
      <w:pPr>
        <w:adjustRightInd w:val="0"/>
        <w:snapToGrid w:val="0"/>
        <w:spacing w:line="600" w:lineRule="exact"/>
        <w:ind w:firstLine="720"/>
        <w:rPr>
          <w:rFonts w:ascii="仿宋_GB2312" w:hAnsi="仿宋_GB2312" w:eastAsia="仿宋_GB2312" w:cs="仿宋_GB2312"/>
          <w:sz w:val="32"/>
          <w:szCs w:val="32"/>
        </w:rPr>
      </w:pPr>
      <w:r>
        <w:rPr>
          <w:rFonts w:hint="eastAsia" w:ascii="仿宋_GB2312" w:hAnsi="仿宋_GB2312" w:eastAsia="仿宋_GB2312" w:cs="仿宋_GB2312"/>
          <w:sz w:val="32"/>
          <w:szCs w:val="32"/>
        </w:rPr>
        <w:t>2. 项目主要用于市看守所在押人员、市拘戒所戒毒拘留人员体检、巡诊、吃药、心理辅导、住院等医疗服务。进行规范化科学文明管理，确保监所安全文明，确保监所等级达标，确保监所在押人员生命和身体健康，产出较高的社会效益。</w:t>
      </w:r>
    </w:p>
    <w:p w14:paraId="5FEAD1F9">
      <w:pPr>
        <w:adjustRightInd w:val="0"/>
        <w:snapToGrid w:val="0"/>
        <w:spacing w:line="600" w:lineRule="exact"/>
        <w:ind w:firstLine="720"/>
        <w:rPr>
          <w:rFonts w:ascii="仿宋_GB2312" w:hAnsi="仿宋_GB2312" w:eastAsia="仿宋_GB2312" w:cs="仿宋_GB2312"/>
          <w:sz w:val="32"/>
          <w:szCs w:val="32"/>
        </w:rPr>
      </w:pPr>
      <w:r>
        <w:rPr>
          <w:rFonts w:hint="eastAsia" w:ascii="仿宋_GB2312" w:hAnsi="仿宋_GB2312" w:eastAsia="仿宋_GB2312" w:cs="仿宋_GB2312"/>
          <w:sz w:val="32"/>
          <w:szCs w:val="32"/>
        </w:rPr>
        <w:t>3. 结合广元监所实际情况，并参加历年实际消耗情况，项目科学合理，项目申报目标切合实际，合理可行。</w:t>
      </w:r>
    </w:p>
    <w:p w14:paraId="2134E86C">
      <w:pPr>
        <w:adjustRightInd w:val="0"/>
        <w:snapToGrid w:val="0"/>
        <w:spacing w:line="580" w:lineRule="exact"/>
        <w:ind w:firstLine="720"/>
        <w:outlineLvl w:val="1"/>
        <w:rPr>
          <w:rFonts w:ascii="黑体" w:hAnsi="黑体" w:eastAsia="黑体" w:cs="黑体"/>
          <w:bCs/>
          <w:sz w:val="32"/>
          <w:szCs w:val="32"/>
        </w:rPr>
      </w:pPr>
      <w:bookmarkStart w:id="116" w:name="_Toc6183"/>
      <w:r>
        <w:rPr>
          <w:rFonts w:hint="eastAsia" w:ascii="黑体" w:hAnsi="黑体" w:eastAsia="黑体" w:cs="黑体"/>
          <w:bCs/>
          <w:sz w:val="32"/>
          <w:szCs w:val="32"/>
        </w:rPr>
        <w:t>二、评价实施</w:t>
      </w:r>
      <w:bookmarkEnd w:id="116"/>
    </w:p>
    <w:p w14:paraId="316F3264">
      <w:pPr>
        <w:spacing w:line="578" w:lineRule="exact"/>
        <w:ind w:firstLine="640"/>
        <w:rPr>
          <w:rFonts w:ascii="仿宋_GB2312" w:hAnsi="仿宋_GB2312" w:eastAsia="仿宋_GB2312" w:cs="仿宋_GB2312"/>
          <w:sz w:val="32"/>
          <w:szCs w:val="32"/>
        </w:rPr>
      </w:pPr>
      <w:r>
        <w:rPr>
          <w:rFonts w:hint="eastAsia" w:ascii="黑体" w:hAnsi="黑体" w:eastAsia="黑体" w:cs="黑体"/>
          <w:bCs/>
          <w:sz w:val="32"/>
          <w:szCs w:val="32"/>
        </w:rPr>
        <w:t>（一）评价目的。通过绩效自评，客观了解资金使用效</w:t>
      </w:r>
      <w:r>
        <w:rPr>
          <w:rFonts w:hint="eastAsia" w:ascii="仿宋_GB2312" w:hAnsi="仿宋_GB2312" w:eastAsia="仿宋_GB2312" w:cs="仿宋_GB2312"/>
          <w:sz w:val="32"/>
          <w:szCs w:val="32"/>
        </w:rPr>
        <w:t>果和出现的问题，为进一步改进和优化财政资金管理提供重要依据。</w:t>
      </w:r>
    </w:p>
    <w:p w14:paraId="7BF36234">
      <w:pPr>
        <w:adjustRightInd w:val="0"/>
        <w:snapToGrid w:val="0"/>
        <w:spacing w:line="578" w:lineRule="exact"/>
        <w:ind w:firstLine="643" w:firstLineChars="200"/>
        <w:rPr>
          <w:rFonts w:ascii="仿宋_GB2312" w:hAnsi="仿宋_GB2312" w:eastAsia="仿宋_GB2312" w:cs="仿宋_GB2312"/>
          <w:sz w:val="32"/>
          <w:szCs w:val="32"/>
        </w:rPr>
      </w:pPr>
      <w:r>
        <w:rPr>
          <w:rFonts w:hint="eastAsia" w:ascii="楷体_GB2312" w:hAnsi="宋体" w:eastAsia="楷体_GB2312"/>
          <w:b/>
          <w:sz w:val="32"/>
          <w:szCs w:val="32"/>
          <w:lang w:val="zh-CN"/>
        </w:rPr>
        <w:t>（二）预设问题及评价重点。</w:t>
      </w:r>
      <w:r>
        <w:rPr>
          <w:rFonts w:hint="eastAsia" w:ascii="仿宋_GB2312" w:hAnsi="仿宋_GB2312" w:eastAsia="仿宋_GB2312" w:cs="仿宋_GB2312"/>
          <w:sz w:val="32"/>
          <w:szCs w:val="32"/>
        </w:rPr>
        <w:t>该项费用存在医疗专业性强，相关医疗类数据收集和分析难，需按照上级下达的项目支出绩效评价指标体系，对申报内容、实施情况、资金管理、社会效益等做出自我评价。</w:t>
      </w:r>
    </w:p>
    <w:p w14:paraId="1AEA9576">
      <w:pPr>
        <w:adjustRightInd w:val="0"/>
        <w:snapToGrid w:val="0"/>
        <w:spacing w:line="578" w:lineRule="exact"/>
        <w:ind w:firstLine="643" w:firstLineChars="200"/>
        <w:rPr>
          <w:rFonts w:ascii="仿宋_GB2312" w:hAnsi="仿宋_GB2312" w:eastAsia="仿宋_GB2312" w:cs="仿宋_GB2312"/>
          <w:sz w:val="32"/>
          <w:szCs w:val="32"/>
        </w:rPr>
      </w:pPr>
      <w:r>
        <w:rPr>
          <w:rFonts w:hint="eastAsia" w:ascii="楷体_GB2312" w:hAnsi="宋体" w:eastAsia="楷体_GB2312"/>
          <w:b/>
          <w:sz w:val="32"/>
          <w:szCs w:val="32"/>
          <w:lang w:val="zh-CN"/>
        </w:rPr>
        <w:t>（三）评价选点。</w:t>
      </w:r>
      <w:r>
        <w:rPr>
          <w:rFonts w:hint="eastAsia" w:ascii="仿宋_GB2312" w:hAnsi="仿宋_GB2312" w:eastAsia="仿宋_GB2312" w:cs="仿宋_GB2312"/>
          <w:sz w:val="32"/>
          <w:szCs w:val="32"/>
        </w:rPr>
        <w:t>广元市公安局监管中心医务室。</w:t>
      </w:r>
    </w:p>
    <w:p w14:paraId="163CCBBF">
      <w:pPr>
        <w:spacing w:line="578" w:lineRule="exact"/>
        <w:ind w:firstLine="640"/>
        <w:rPr>
          <w:rFonts w:ascii="仿宋_GB2312" w:hAnsi="仿宋_GB2312" w:eastAsia="仿宋_GB2312" w:cs="仿宋_GB2312"/>
          <w:sz w:val="32"/>
          <w:szCs w:val="32"/>
        </w:rPr>
      </w:pPr>
      <w:r>
        <w:rPr>
          <w:rFonts w:hint="eastAsia" w:ascii="楷体_GB2312" w:hAnsi="宋体" w:eastAsia="楷体_GB2312"/>
          <w:b/>
          <w:sz w:val="32"/>
          <w:szCs w:val="32"/>
          <w:lang w:val="zh-CN"/>
        </w:rPr>
        <w:t>（四）评价方法。</w:t>
      </w:r>
      <w:r>
        <w:rPr>
          <w:rFonts w:hint="eastAsia" w:ascii="仿宋_GB2312" w:hAnsi="仿宋_GB2312" w:eastAsia="仿宋_GB2312" w:cs="仿宋_GB2312"/>
          <w:sz w:val="32"/>
          <w:szCs w:val="32"/>
        </w:rPr>
        <w:t>根据项目情况和评价重点，采用日常工作监督法、调取监控视频法、访问服务对象法、实地查看法、座谈调研法等多种方法名进行项目资料收集，深入了解项目运行情况和存在的问题。</w:t>
      </w:r>
    </w:p>
    <w:p w14:paraId="7FBA5C97">
      <w:pPr>
        <w:spacing w:line="578"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（五）评价组织。</w:t>
      </w:r>
    </w:p>
    <w:p w14:paraId="2A000D89">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评价组组长：</w:t>
      </w:r>
    </w:p>
    <w:p w14:paraId="052F3F4A">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李燕成（广元市公安局警务保障处处长）</w:t>
      </w:r>
    </w:p>
    <w:p w14:paraId="237CA224">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评价组组员：</w:t>
      </w:r>
    </w:p>
    <w:p w14:paraId="2EFE9200">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张彦（广元市公安局监管支队支队长）</w:t>
      </w:r>
    </w:p>
    <w:p w14:paraId="38941F3E">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张宝玉（广元市公安局市看守所所长）</w:t>
      </w:r>
    </w:p>
    <w:p w14:paraId="6437F343">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黄华群（广元市公安局市强制隔离戒毒所所长）</w:t>
      </w:r>
    </w:p>
    <w:p w14:paraId="350AAB2D">
      <w:pPr>
        <w:adjustRightInd w:val="0"/>
        <w:snapToGrid w:val="0"/>
        <w:spacing w:line="580" w:lineRule="exact"/>
        <w:ind w:firstLine="720"/>
        <w:outlineLvl w:val="1"/>
        <w:rPr>
          <w:rFonts w:ascii="黑体" w:hAnsi="黑体" w:eastAsia="黑体" w:cs="黑体"/>
          <w:bCs/>
          <w:sz w:val="32"/>
          <w:szCs w:val="32"/>
        </w:rPr>
      </w:pPr>
      <w:bookmarkStart w:id="117" w:name="_Toc23439"/>
      <w:r>
        <w:rPr>
          <w:rFonts w:hint="eastAsia" w:ascii="黑体" w:hAnsi="黑体" w:eastAsia="黑体" w:cs="黑体"/>
          <w:bCs/>
          <w:sz w:val="32"/>
          <w:szCs w:val="32"/>
        </w:rPr>
        <w:t>三、绩效分析</w:t>
      </w:r>
      <w:bookmarkEnd w:id="117"/>
      <w:r>
        <w:rPr>
          <w:rFonts w:hint="eastAsia" w:ascii="黑体" w:hAnsi="黑体" w:eastAsia="黑体" w:cs="黑体"/>
          <w:bCs/>
          <w:sz w:val="32"/>
          <w:szCs w:val="32"/>
        </w:rPr>
        <w:tab/>
      </w:r>
    </w:p>
    <w:p w14:paraId="1D96A77F">
      <w:pPr>
        <w:spacing w:line="578"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（一）通用指标</w:t>
      </w:r>
      <w:r>
        <w:rPr>
          <w:rFonts w:ascii="楷体_GB2312" w:hAnsi="宋体" w:eastAsia="楷体_GB2312"/>
          <w:b/>
          <w:sz w:val="32"/>
          <w:szCs w:val="32"/>
          <w:lang w:val="zh-CN"/>
        </w:rPr>
        <w:t>绩效分析。</w:t>
      </w:r>
    </w:p>
    <w:p w14:paraId="09411D0D">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1.项目决策。根据公通字〔2009〕60号《公安部卫生部关于切实加强和改进公安监管场所医疗卫生工作的通知》和公监管〔2015〕6号关于贯彻落实《公安部卫生部关于印发〈公安监管场所医疗卫生专业化建设工作方案〉的通知》积极探索公安监管场所医疗卫生工作社会化模式和公安监所根据本所实际妥善合理地安排社会医护力量。</w:t>
      </w:r>
    </w:p>
    <w:p w14:paraId="2AFC7CCD">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2.项目管理。项目依托市公务局警务保障处财务室进行综合管理，监管支队由一名监管民警兼职财务管理，做到专人专司财务管理职责，对项目资金严格执行财务管理制度，及时进行财务处理和核算。</w:t>
      </w:r>
    </w:p>
    <w:p w14:paraId="1FEFD948">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3.项目实施。经费拨付主要由警务保障处与财政部门进行对接，根据监管支队正常工作运转保障经费，发生的每一笔支出都要履行完整报销手续，确保其真实可靠性。</w:t>
      </w:r>
    </w:p>
    <w:p w14:paraId="3BAB50C8">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4.项目结果。完成市看守所在押人员、市拘戒所戒毒拘留人员体检、巡诊、吃药、心理辅导、住院医等疗服务。</w:t>
      </w:r>
    </w:p>
    <w:p w14:paraId="2039DBDF">
      <w:pPr>
        <w:spacing w:line="578" w:lineRule="exact"/>
        <w:ind w:firstLine="640"/>
        <w:rPr>
          <w:rFonts w:ascii="仿宋_GB2312" w:hAnsi="仿宋_GB2312" w:eastAsia="仿宋_GB2312" w:cs="仿宋_GB2312"/>
          <w:sz w:val="32"/>
          <w:szCs w:val="32"/>
        </w:rPr>
      </w:pPr>
      <w:r>
        <w:rPr>
          <w:rFonts w:hint="eastAsia" w:ascii="楷体_GB2312" w:hAnsi="宋体" w:eastAsia="楷体_GB2312"/>
          <w:b/>
          <w:sz w:val="32"/>
          <w:szCs w:val="32"/>
          <w:lang w:val="zh-CN"/>
        </w:rPr>
        <w:t>（二）专用指标</w:t>
      </w:r>
      <w:r>
        <w:rPr>
          <w:rFonts w:ascii="楷体_GB2312" w:hAnsi="宋体" w:eastAsia="楷体_GB2312"/>
          <w:b/>
          <w:sz w:val="32"/>
          <w:szCs w:val="32"/>
          <w:lang w:val="zh-CN"/>
        </w:rPr>
        <w:t>绩效分析。</w:t>
      </w:r>
      <w:r>
        <w:rPr>
          <w:rFonts w:hint="eastAsia" w:ascii="仿宋_GB2312" w:hAnsi="仿宋_GB2312" w:eastAsia="仿宋_GB2312" w:cs="仿宋_GB2312"/>
          <w:sz w:val="32"/>
          <w:szCs w:val="32"/>
        </w:rPr>
        <w:t>广元市公安局监管中心医务室按照发药数量、开展健康宣讲、诊治在押（拘戒）人数、派遣医护人员等绩效考核结果作为专项资金分配的主要因素。</w:t>
      </w:r>
    </w:p>
    <w:p w14:paraId="63433DFA">
      <w:pPr>
        <w:spacing w:line="578" w:lineRule="exact"/>
        <w:ind w:firstLine="640"/>
        <w:rPr>
          <w:rFonts w:ascii="仿宋_GB2312" w:hAnsi="仿宋_GB2312" w:eastAsia="仿宋_GB2312" w:cs="仿宋_GB2312"/>
          <w:sz w:val="32"/>
          <w:szCs w:val="32"/>
        </w:rPr>
      </w:pPr>
      <w:r>
        <w:rPr>
          <w:rFonts w:hint="eastAsia" w:ascii="楷体_GB2312" w:hAnsi="宋体" w:eastAsia="楷体_GB2312"/>
          <w:b/>
          <w:sz w:val="32"/>
          <w:szCs w:val="32"/>
          <w:lang w:val="zh-CN"/>
        </w:rPr>
        <w:t>（三）个性指标</w:t>
      </w:r>
      <w:r>
        <w:rPr>
          <w:rFonts w:ascii="楷体_GB2312" w:hAnsi="宋体" w:eastAsia="楷体_GB2312"/>
          <w:b/>
          <w:sz w:val="32"/>
          <w:szCs w:val="32"/>
          <w:lang w:val="zh-CN"/>
        </w:rPr>
        <w:t>绩效分析。</w:t>
      </w:r>
      <w:r>
        <w:rPr>
          <w:rFonts w:hint="eastAsia" w:ascii="仿宋_GB2312" w:hAnsi="仿宋_GB2312" w:eastAsia="仿宋_GB2312" w:cs="仿宋_GB2312"/>
          <w:sz w:val="32"/>
          <w:szCs w:val="32"/>
        </w:rPr>
        <w:t>确保对在押（拘戒）人员开展日常医疗工作，其中包括入所健康检查、每日巡诊、传染病防控及治疗、常见病救治等工作。</w:t>
      </w:r>
    </w:p>
    <w:p w14:paraId="0B3587D8">
      <w:pPr>
        <w:adjustRightInd w:val="0"/>
        <w:snapToGrid w:val="0"/>
        <w:spacing w:line="580" w:lineRule="exact"/>
        <w:ind w:firstLine="720"/>
        <w:outlineLvl w:val="1"/>
        <w:rPr>
          <w:rFonts w:ascii="黑体" w:hAnsi="黑体" w:eastAsia="黑体" w:cs="黑体"/>
          <w:bCs/>
          <w:sz w:val="32"/>
          <w:szCs w:val="32"/>
        </w:rPr>
      </w:pPr>
      <w:bookmarkStart w:id="118" w:name="_Toc29661"/>
      <w:r>
        <w:rPr>
          <w:rFonts w:hint="eastAsia" w:ascii="黑体" w:hAnsi="黑体" w:eastAsia="黑体" w:cs="黑体"/>
          <w:bCs/>
          <w:sz w:val="32"/>
          <w:szCs w:val="32"/>
        </w:rPr>
        <w:t>四、评价结论</w:t>
      </w:r>
      <w:bookmarkEnd w:id="118"/>
    </w:p>
    <w:p w14:paraId="7B6B5C49">
      <w:pPr>
        <w:pStyle w:val="5"/>
        <w:spacing w:line="600" w:lineRule="exact"/>
        <w:ind w:firstLine="640" w:firstLineChars="200"/>
        <w:rPr>
          <w:rFonts w:ascii="黑体" w:hAnsi="黑体" w:cs="黑体"/>
          <w:sz w:val="32"/>
          <w:szCs w:val="32"/>
        </w:rPr>
      </w:pPr>
      <w:r>
        <w:rPr>
          <w:rFonts w:hint="eastAsia" w:ascii="仿宋_GB2312" w:hAnsi="仿宋_GB2312" w:eastAsia="仿宋_GB2312" w:cs="仿宋_GB2312"/>
          <w:sz w:val="32"/>
          <w:szCs w:val="32"/>
        </w:rPr>
        <w:t>经过评估，广元市公安局监管中心医疗服务社会化采购项目在预算执行方面、资金使用效率上整体实施效果良好，评价得分100分。</w:t>
      </w:r>
    </w:p>
    <w:p w14:paraId="4936C524">
      <w:pPr>
        <w:adjustRightInd w:val="0"/>
        <w:snapToGrid w:val="0"/>
        <w:spacing w:line="580" w:lineRule="exact"/>
        <w:ind w:firstLine="720"/>
        <w:outlineLvl w:val="1"/>
        <w:rPr>
          <w:rFonts w:ascii="黑体" w:hAnsi="黑体" w:eastAsia="黑体" w:cs="黑体"/>
          <w:bCs/>
          <w:sz w:val="32"/>
          <w:szCs w:val="32"/>
        </w:rPr>
      </w:pPr>
      <w:bookmarkStart w:id="119" w:name="_Toc24400"/>
      <w:r>
        <w:rPr>
          <w:rFonts w:hint="eastAsia" w:ascii="黑体" w:hAnsi="黑体" w:eastAsia="黑体" w:cs="黑体"/>
          <w:bCs/>
          <w:sz w:val="32"/>
          <w:szCs w:val="32"/>
        </w:rPr>
        <w:t>五、存在主要问题</w:t>
      </w:r>
      <w:bookmarkEnd w:id="119"/>
    </w:p>
    <w:p w14:paraId="1BD8872C">
      <w:pPr>
        <w:pStyle w:val="5"/>
        <w:spacing w:line="600" w:lineRule="exact"/>
        <w:ind w:firstLine="640" w:firstLineChars="200"/>
        <w:rPr>
          <w:rFonts w:ascii="黑体" w:hAnsi="宋体"/>
          <w:sz w:val="32"/>
          <w:szCs w:val="32"/>
        </w:rPr>
      </w:pPr>
      <w:r>
        <w:rPr>
          <w:rFonts w:hint="eastAsia" w:ascii="黑体" w:hAnsi="宋体"/>
          <w:sz w:val="32"/>
          <w:szCs w:val="32"/>
        </w:rPr>
        <w:t>无。</w:t>
      </w:r>
    </w:p>
    <w:p w14:paraId="7FB27B3E">
      <w:pPr>
        <w:adjustRightInd w:val="0"/>
        <w:snapToGrid w:val="0"/>
        <w:spacing w:line="580" w:lineRule="exact"/>
        <w:ind w:firstLine="720"/>
        <w:outlineLvl w:val="1"/>
        <w:rPr>
          <w:rFonts w:ascii="黑体" w:hAnsi="黑体" w:eastAsia="黑体" w:cs="黑体"/>
          <w:bCs/>
          <w:sz w:val="32"/>
          <w:szCs w:val="32"/>
        </w:rPr>
      </w:pPr>
      <w:bookmarkStart w:id="120" w:name="_Toc11279"/>
      <w:r>
        <w:rPr>
          <w:rFonts w:hint="eastAsia" w:ascii="黑体" w:hAnsi="黑体" w:eastAsia="黑体" w:cs="黑体"/>
          <w:bCs/>
          <w:sz w:val="32"/>
          <w:szCs w:val="32"/>
        </w:rPr>
        <w:t>六、改进建议</w:t>
      </w:r>
      <w:bookmarkEnd w:id="120"/>
    </w:p>
    <w:p w14:paraId="68A2100C">
      <w:pPr>
        <w:tabs>
          <w:tab w:val="left" w:pos="1911"/>
        </w:tabs>
        <w:jc w:val="left"/>
        <w:rPr>
          <w:rFonts w:ascii="黑体" w:hAnsi="宋体"/>
          <w:sz w:val="32"/>
          <w:szCs w:val="32"/>
        </w:rPr>
      </w:pPr>
      <w:r>
        <w:rPr>
          <w:rFonts w:hint="eastAsia" w:ascii="黑体" w:hAnsi="宋体"/>
          <w:sz w:val="32"/>
          <w:szCs w:val="32"/>
        </w:rPr>
        <w:t xml:space="preserve">    无。</w:t>
      </w:r>
    </w:p>
    <w:p w14:paraId="5BF03A8A">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广元市公安局</w:t>
      </w:r>
    </w:p>
    <w:p w14:paraId="3A2748E8">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监管中心医疗服务及药品费（下半年）项目绩效评价报告</w:t>
      </w:r>
    </w:p>
    <w:p w14:paraId="14B5D6ED">
      <w:pPr>
        <w:pStyle w:val="28"/>
        <w:spacing w:line="578" w:lineRule="exact"/>
        <w:ind w:firstLine="640"/>
        <w:jc w:val="center"/>
        <w:rPr>
          <w:rFonts w:ascii="宋体" w:hAnsi="宋体"/>
          <w:color w:val="auto"/>
          <w:kern w:val="2"/>
          <w:sz w:val="32"/>
          <w:szCs w:val="32"/>
          <w:lang w:val="en-US"/>
        </w:rPr>
      </w:pPr>
    </w:p>
    <w:p w14:paraId="5FE21CC9">
      <w:pPr>
        <w:adjustRightInd w:val="0"/>
        <w:snapToGrid w:val="0"/>
        <w:spacing w:line="580" w:lineRule="exact"/>
        <w:ind w:firstLine="720"/>
        <w:outlineLvl w:val="1"/>
        <w:rPr>
          <w:rFonts w:ascii="黑体" w:hAnsi="黑体" w:eastAsia="黑体" w:cs="黑体"/>
          <w:bCs/>
          <w:sz w:val="32"/>
          <w:szCs w:val="32"/>
        </w:rPr>
      </w:pPr>
      <w:bookmarkStart w:id="121" w:name="_Toc21500"/>
      <w:r>
        <w:rPr>
          <w:rFonts w:hint="eastAsia" w:ascii="黑体" w:hAnsi="黑体" w:eastAsia="黑体" w:cs="黑体"/>
          <w:bCs/>
          <w:sz w:val="32"/>
          <w:szCs w:val="32"/>
        </w:rPr>
        <w:t>一、项目概况</w:t>
      </w:r>
      <w:bookmarkEnd w:id="121"/>
    </w:p>
    <w:p w14:paraId="6BF6179D">
      <w:pPr>
        <w:widowControl/>
        <w:adjustRightInd w:val="0"/>
        <w:snapToGrid w:val="0"/>
        <w:spacing w:line="578" w:lineRule="exact"/>
        <w:ind w:firstLine="643" w:firstLineChars="200"/>
        <w:contextualSpacing/>
        <w:jc w:val="left"/>
        <w:rPr>
          <w:rFonts w:ascii="仿宋_GB2312" w:hAnsi="仿宋_GB2312" w:eastAsia="仿宋_GB2312" w:cs="仿宋_GB2312"/>
          <w:sz w:val="32"/>
          <w:szCs w:val="32"/>
        </w:rPr>
      </w:pPr>
      <w:r>
        <w:rPr>
          <w:rFonts w:hint="eastAsia" w:ascii="楷体_GB2312" w:hAnsi="宋体" w:eastAsia="楷体_GB2312"/>
          <w:b/>
          <w:sz w:val="32"/>
          <w:szCs w:val="32"/>
          <w:lang w:val="zh-CN"/>
        </w:rPr>
        <w:t>（一）设立背景及基本情况。</w:t>
      </w:r>
      <w:r>
        <w:rPr>
          <w:rFonts w:hint="eastAsia" w:ascii="仿宋_GB2312" w:hAnsi="仿宋_GB2312" w:eastAsia="仿宋_GB2312" w:cs="仿宋_GB2312"/>
          <w:sz w:val="32"/>
          <w:szCs w:val="32"/>
        </w:rPr>
        <w:t>根据公通字〔2009〕60号《公安部卫生部关于切实加强和改进公安监管场所医疗卫生工作的通知》和公监管〔2015〕6号关于贯彻落实《公安部卫生部关于印发〈公安监管场所医疗卫生专业化建设工作方案〉的通知》积极探索公安监管场所医疗卫生工作社会化模式和公安监所根据本所实际妥善合理地安排社会医护力量。</w:t>
      </w:r>
    </w:p>
    <w:p w14:paraId="1A3709C6">
      <w:pPr>
        <w:widowControl/>
        <w:adjustRightInd w:val="0"/>
        <w:snapToGrid w:val="0"/>
        <w:spacing w:line="578" w:lineRule="exact"/>
        <w:ind w:firstLine="640" w:firstLineChars="200"/>
        <w:contextualSpacing/>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市公安局主要对项目资金执行进度、项目资金使用情况进行监督，对资金的使用及报销进行审核。</w:t>
      </w:r>
    </w:p>
    <w:p w14:paraId="5DEE2849">
      <w:pPr>
        <w:widowControl/>
        <w:adjustRightInd w:val="0"/>
        <w:snapToGrid w:val="0"/>
        <w:spacing w:line="578" w:lineRule="exact"/>
        <w:ind w:firstLine="643" w:firstLineChars="200"/>
        <w:contextualSpacing/>
        <w:jc w:val="left"/>
        <w:rPr>
          <w:rFonts w:ascii="楷体_GB2312" w:hAnsi="宋体" w:eastAsia="楷体_GB2312"/>
          <w:b/>
          <w:lang w:val="zh-CN"/>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r>
        <w:rPr>
          <w:rFonts w:hint="eastAsia" w:ascii="楷体_GB2312" w:hAnsi="宋体" w:eastAsia="楷体_GB2312"/>
          <w:b/>
          <w:sz w:val="32"/>
          <w:szCs w:val="32"/>
          <w:lang w:val="zh-CN"/>
        </w:rPr>
        <w:t>。</w:t>
      </w:r>
      <w:r>
        <w:rPr>
          <w:rFonts w:hint="eastAsia" w:ascii="仿宋_GB2312" w:hAnsi="仿宋_GB2312" w:eastAsia="仿宋_GB2312" w:cs="仿宋_GB2312"/>
          <w:sz w:val="32"/>
          <w:szCs w:val="32"/>
        </w:rPr>
        <w:t>本项目目的是将监所卫生工作的责任主体转交给社会医院负责，实现公安监管医疗卫生专业化、社会化，提升监所医疗基础保障水平，确保监所医疗工作安全高效运行，保障在押（拘戒）人员的生命健康合法权益。</w:t>
      </w:r>
    </w:p>
    <w:p w14:paraId="2BB81DA0">
      <w:pPr>
        <w:widowControl/>
        <w:adjustRightInd w:val="0"/>
        <w:snapToGrid w:val="0"/>
        <w:spacing w:line="578" w:lineRule="exact"/>
        <w:ind w:firstLine="643" w:firstLineChars="200"/>
        <w:contextualSpacing/>
        <w:jc w:val="left"/>
        <w:rPr>
          <w:rFonts w:ascii="仿宋_GB2312" w:hAnsi="仿宋_GB2312" w:cs="仿宋_GB2312"/>
          <w:kern w:val="0"/>
          <w:shd w:val="clear" w:color="auto" w:fill="FFFFFF"/>
          <w:lang w:val="zh-CN"/>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r>
        <w:rPr>
          <w:rFonts w:hint="eastAsia" w:ascii="楷体_GB2312" w:hAnsi="宋体" w:eastAsia="楷体_GB2312"/>
          <w:b/>
          <w:sz w:val="32"/>
          <w:szCs w:val="32"/>
          <w:lang w:val="zh-CN"/>
        </w:rPr>
        <w:t>。</w:t>
      </w:r>
      <w:r>
        <w:rPr>
          <w:rFonts w:hint="eastAsia" w:ascii="仿宋_GB2312" w:hAnsi="仿宋_GB2312" w:eastAsia="仿宋_GB2312" w:cs="仿宋_GB2312"/>
          <w:sz w:val="32"/>
          <w:szCs w:val="32"/>
        </w:rPr>
        <w:t>项目资金管理按照《广元市公安局监管中心医疗服务社会化采购项目合同》要求，项目资金分为两部分。第一部分为固定费用，三年服务总费用423万（每年141万元）；第二部分为实际发生费用，即在押（拘戒）人员的药品费、门诊费、住院费、耗材费等实际发生额，经财务审核后实报实销。</w:t>
      </w:r>
    </w:p>
    <w:p w14:paraId="35411B60">
      <w:pPr>
        <w:adjustRightInd w:val="0"/>
        <w:snapToGrid w:val="0"/>
        <w:spacing w:line="600" w:lineRule="exact"/>
        <w:ind w:firstLine="643" w:firstLineChars="200"/>
        <w:rPr>
          <w:rFonts w:ascii="楷体_GB2312" w:hAnsi="宋体" w:eastAsia="楷体_GB2312"/>
          <w:b/>
          <w:sz w:val="32"/>
          <w:szCs w:val="32"/>
          <w:lang w:val="zh-CN"/>
        </w:rPr>
      </w:pPr>
      <w:r>
        <w:rPr>
          <w:rFonts w:hint="eastAsia" w:ascii="楷体_GB2312" w:hAnsi="宋体" w:eastAsia="楷体_GB2312"/>
          <w:b/>
          <w:sz w:val="32"/>
          <w:szCs w:val="32"/>
          <w:lang w:val="zh-CN"/>
        </w:rPr>
        <w:t>（四）项目绩效目标设置。</w:t>
      </w:r>
    </w:p>
    <w:p w14:paraId="49560ACA">
      <w:pPr>
        <w:adjustRightInd w:val="0"/>
        <w:snapToGrid w:val="0"/>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1.该项经费主要为进一步保障在押（拘戒）人员健康，确保监所安全文明，确保监所等级达标。</w:t>
      </w:r>
    </w:p>
    <w:p w14:paraId="08E861FA">
      <w:pPr>
        <w:adjustRightInd w:val="0"/>
        <w:snapToGrid w:val="0"/>
        <w:spacing w:line="600" w:lineRule="exact"/>
        <w:ind w:firstLine="720"/>
        <w:rPr>
          <w:rFonts w:ascii="仿宋_GB2312" w:hAnsi="仿宋_GB2312" w:eastAsia="仿宋_GB2312" w:cs="仿宋_GB2312"/>
          <w:sz w:val="32"/>
          <w:szCs w:val="32"/>
        </w:rPr>
      </w:pPr>
      <w:r>
        <w:rPr>
          <w:rFonts w:hint="eastAsia" w:ascii="仿宋_GB2312" w:hAnsi="仿宋_GB2312" w:eastAsia="仿宋_GB2312" w:cs="仿宋_GB2312"/>
          <w:sz w:val="32"/>
          <w:szCs w:val="32"/>
        </w:rPr>
        <w:t>2. 项目主要用于市看守所在押人员、市拘戒所戒毒拘留人员体检、巡诊、吃药、心理辅导、住院等医疗服务。进行规范化科学文明管理，确保监所安全文明，确保监所等级达标，确保监所在押人员生命和身体健康，产出较高的社会效益。</w:t>
      </w:r>
    </w:p>
    <w:p w14:paraId="0499CF80">
      <w:pPr>
        <w:adjustRightInd w:val="0"/>
        <w:snapToGrid w:val="0"/>
        <w:spacing w:line="600" w:lineRule="exact"/>
        <w:ind w:firstLine="720"/>
        <w:rPr>
          <w:rFonts w:ascii="仿宋_GB2312" w:hAnsi="仿宋_GB2312" w:eastAsia="仿宋_GB2312" w:cs="仿宋_GB2312"/>
          <w:sz w:val="32"/>
          <w:szCs w:val="32"/>
        </w:rPr>
      </w:pPr>
      <w:r>
        <w:rPr>
          <w:rFonts w:hint="eastAsia" w:ascii="仿宋_GB2312" w:hAnsi="仿宋_GB2312" w:eastAsia="仿宋_GB2312" w:cs="仿宋_GB2312"/>
          <w:sz w:val="32"/>
          <w:szCs w:val="32"/>
        </w:rPr>
        <w:t>3. 结合广元监所实际情况，并参加历年实际消耗情况，项目科学合理，项目申报目标切合实际，合理可行。</w:t>
      </w:r>
    </w:p>
    <w:p w14:paraId="110CA58F">
      <w:pPr>
        <w:adjustRightInd w:val="0"/>
        <w:snapToGrid w:val="0"/>
        <w:spacing w:line="580" w:lineRule="exact"/>
        <w:ind w:firstLine="720"/>
        <w:outlineLvl w:val="1"/>
        <w:rPr>
          <w:rFonts w:ascii="黑体" w:hAnsi="黑体" w:eastAsia="黑体" w:cs="黑体"/>
          <w:bCs/>
          <w:sz w:val="32"/>
          <w:szCs w:val="32"/>
        </w:rPr>
      </w:pPr>
      <w:bookmarkStart w:id="122" w:name="_Toc16237"/>
      <w:r>
        <w:rPr>
          <w:rFonts w:hint="eastAsia" w:ascii="黑体" w:hAnsi="黑体" w:eastAsia="黑体" w:cs="黑体"/>
          <w:bCs/>
          <w:sz w:val="32"/>
          <w:szCs w:val="32"/>
        </w:rPr>
        <w:t>二、评价实施</w:t>
      </w:r>
      <w:bookmarkEnd w:id="122"/>
    </w:p>
    <w:p w14:paraId="5F3A4940">
      <w:pPr>
        <w:spacing w:line="578" w:lineRule="exact"/>
        <w:ind w:firstLine="640"/>
        <w:rPr>
          <w:rFonts w:ascii="仿宋_GB2312" w:hAnsi="仿宋_GB2312" w:eastAsia="仿宋_GB2312" w:cs="仿宋_GB2312"/>
          <w:sz w:val="32"/>
          <w:szCs w:val="32"/>
        </w:rPr>
      </w:pPr>
      <w:r>
        <w:rPr>
          <w:rFonts w:hint="eastAsia" w:ascii="楷体_GB2312" w:hAnsi="宋体" w:eastAsia="楷体_GB2312"/>
          <w:b/>
          <w:sz w:val="32"/>
          <w:szCs w:val="32"/>
          <w:lang w:val="zh-CN"/>
        </w:rPr>
        <w:t>（一）评价目的。</w:t>
      </w:r>
      <w:r>
        <w:rPr>
          <w:rFonts w:hint="eastAsia" w:ascii="仿宋_GB2312" w:hAnsi="仿宋_GB2312" w:eastAsia="仿宋_GB2312" w:cs="仿宋_GB2312"/>
          <w:sz w:val="32"/>
          <w:szCs w:val="32"/>
        </w:rPr>
        <w:t>通过绩效自评，客观了解资金使用效果和出现的问题，为进一步改进和优化财政资金管理提供重要依据。</w:t>
      </w:r>
    </w:p>
    <w:p w14:paraId="019D423F">
      <w:pPr>
        <w:adjustRightInd w:val="0"/>
        <w:snapToGrid w:val="0"/>
        <w:spacing w:line="578" w:lineRule="exact"/>
        <w:ind w:firstLine="643" w:firstLineChars="200"/>
        <w:rPr>
          <w:rFonts w:ascii="仿宋_GB2312" w:hAnsi="仿宋_GB2312" w:eastAsia="仿宋_GB2312" w:cs="仿宋_GB2312"/>
          <w:sz w:val="32"/>
          <w:szCs w:val="32"/>
        </w:rPr>
      </w:pPr>
      <w:r>
        <w:rPr>
          <w:rFonts w:hint="eastAsia" w:ascii="楷体_GB2312" w:hAnsi="宋体" w:eastAsia="楷体_GB2312"/>
          <w:b/>
          <w:sz w:val="32"/>
          <w:szCs w:val="32"/>
          <w:lang w:val="zh-CN"/>
        </w:rPr>
        <w:t>（二）预设问题及评价重点。</w:t>
      </w:r>
      <w:r>
        <w:rPr>
          <w:rFonts w:hint="eastAsia" w:ascii="仿宋_GB2312" w:hAnsi="仿宋_GB2312" w:eastAsia="仿宋_GB2312" w:cs="仿宋_GB2312"/>
          <w:sz w:val="32"/>
          <w:szCs w:val="32"/>
        </w:rPr>
        <w:t>该项费用存在医疗专业性强，相关医疗类数据收集和分析难，需按照上级下达的项目支出绩效评价指标体系，对申报内容、实施情况、资金管理、社会效益等做出自我评价。</w:t>
      </w:r>
    </w:p>
    <w:p w14:paraId="7825B61E">
      <w:pPr>
        <w:adjustRightInd w:val="0"/>
        <w:snapToGrid w:val="0"/>
        <w:spacing w:line="578" w:lineRule="exact"/>
        <w:ind w:firstLine="643" w:firstLineChars="200"/>
        <w:rPr>
          <w:rFonts w:ascii="仿宋_GB2312" w:hAnsi="仿宋_GB2312" w:eastAsia="仿宋_GB2312" w:cs="仿宋_GB2312"/>
          <w:sz w:val="32"/>
          <w:szCs w:val="32"/>
        </w:rPr>
      </w:pPr>
      <w:r>
        <w:rPr>
          <w:rFonts w:hint="eastAsia" w:ascii="楷体_GB2312" w:hAnsi="宋体" w:eastAsia="楷体_GB2312"/>
          <w:b/>
          <w:sz w:val="32"/>
          <w:szCs w:val="32"/>
          <w:lang w:val="zh-CN"/>
        </w:rPr>
        <w:t>（三）评价选点。</w:t>
      </w:r>
      <w:r>
        <w:rPr>
          <w:rFonts w:hint="eastAsia" w:ascii="仿宋_GB2312" w:hAnsi="仿宋_GB2312" w:eastAsia="仿宋_GB2312" w:cs="仿宋_GB2312"/>
          <w:sz w:val="32"/>
          <w:szCs w:val="32"/>
        </w:rPr>
        <w:t>广元市公安局监管中心医务室。</w:t>
      </w:r>
    </w:p>
    <w:p w14:paraId="117D5BA8">
      <w:pPr>
        <w:spacing w:line="578" w:lineRule="exact"/>
        <w:ind w:firstLine="640"/>
        <w:rPr>
          <w:rFonts w:ascii="仿宋_GB2312" w:hAnsi="仿宋_GB2312" w:eastAsia="仿宋_GB2312" w:cs="仿宋_GB2312"/>
          <w:sz w:val="32"/>
          <w:szCs w:val="32"/>
        </w:rPr>
      </w:pPr>
      <w:r>
        <w:rPr>
          <w:rFonts w:hint="eastAsia" w:ascii="楷体_GB2312" w:hAnsi="宋体" w:eastAsia="楷体_GB2312"/>
          <w:b/>
          <w:sz w:val="32"/>
          <w:szCs w:val="32"/>
          <w:lang w:val="zh-CN"/>
        </w:rPr>
        <w:t>（四）评价方法。</w:t>
      </w:r>
      <w:r>
        <w:rPr>
          <w:rFonts w:hint="eastAsia" w:ascii="仿宋_GB2312" w:hAnsi="仿宋_GB2312" w:eastAsia="仿宋_GB2312" w:cs="仿宋_GB2312"/>
          <w:sz w:val="32"/>
          <w:szCs w:val="32"/>
        </w:rPr>
        <w:t>根据项目情况和评价重点，采用日常工作监督法、调取监控视频法、访问服务对象法、实地查看法、座谈调研法等多种方法名进行项目资料收集，深入了解项目运行情况和存在的问题。</w:t>
      </w:r>
    </w:p>
    <w:p w14:paraId="07AE73BB">
      <w:pPr>
        <w:spacing w:line="578"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（五）评价组织。</w:t>
      </w:r>
    </w:p>
    <w:p w14:paraId="5C24107C">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评价组组长：</w:t>
      </w:r>
    </w:p>
    <w:p w14:paraId="37393A7F">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李燕成（广元市公安局警务保障处处长）</w:t>
      </w:r>
    </w:p>
    <w:p w14:paraId="3F135E58">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评价组组员：</w:t>
      </w:r>
    </w:p>
    <w:p w14:paraId="4E6700D4">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张彦（广元市公安局监管支队支队长）</w:t>
      </w:r>
    </w:p>
    <w:p w14:paraId="6EE5DB2C">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张宝玉（广元市公安局市看守所所长）</w:t>
      </w:r>
    </w:p>
    <w:p w14:paraId="65C28660">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黄华群（广元市公安局市强制隔离戒毒所所长）</w:t>
      </w:r>
    </w:p>
    <w:p w14:paraId="762C2DA0">
      <w:pPr>
        <w:adjustRightInd w:val="0"/>
        <w:snapToGrid w:val="0"/>
        <w:spacing w:line="580" w:lineRule="exact"/>
        <w:ind w:firstLine="720"/>
        <w:outlineLvl w:val="1"/>
        <w:rPr>
          <w:rFonts w:ascii="黑体" w:hAnsi="黑体" w:eastAsia="黑体" w:cs="黑体"/>
          <w:bCs/>
          <w:sz w:val="32"/>
          <w:szCs w:val="32"/>
        </w:rPr>
      </w:pPr>
      <w:bookmarkStart w:id="123" w:name="_Toc27230"/>
      <w:r>
        <w:rPr>
          <w:rFonts w:hint="eastAsia" w:ascii="黑体" w:hAnsi="黑体" w:eastAsia="黑体" w:cs="黑体"/>
          <w:bCs/>
          <w:sz w:val="32"/>
          <w:szCs w:val="32"/>
        </w:rPr>
        <w:t>三、绩效分析</w:t>
      </w:r>
      <w:bookmarkEnd w:id="123"/>
      <w:r>
        <w:rPr>
          <w:rFonts w:hint="eastAsia" w:ascii="黑体" w:hAnsi="黑体" w:eastAsia="黑体" w:cs="黑体"/>
          <w:bCs/>
          <w:sz w:val="32"/>
          <w:szCs w:val="32"/>
        </w:rPr>
        <w:tab/>
      </w:r>
    </w:p>
    <w:p w14:paraId="12E6ED09">
      <w:pPr>
        <w:spacing w:line="600" w:lineRule="exact"/>
        <w:ind w:firstLine="643" w:firstLineChars="200"/>
        <w:rPr>
          <w:rFonts w:ascii="楷体_GB2312" w:hAnsi="宋体" w:eastAsia="楷体_GB2312"/>
          <w:b/>
          <w:sz w:val="32"/>
          <w:szCs w:val="32"/>
          <w:lang w:val="zh-CN"/>
        </w:rPr>
      </w:pPr>
      <w:r>
        <w:rPr>
          <w:rFonts w:hint="eastAsia" w:ascii="楷体_GB2312" w:hAnsi="宋体" w:eastAsia="楷体_GB2312"/>
          <w:b/>
          <w:sz w:val="32"/>
          <w:szCs w:val="32"/>
          <w:lang w:val="zh-CN"/>
        </w:rPr>
        <w:t>（一）通用指标</w:t>
      </w:r>
      <w:r>
        <w:rPr>
          <w:rFonts w:ascii="楷体_GB2312" w:hAnsi="宋体" w:eastAsia="楷体_GB2312"/>
          <w:b/>
          <w:sz w:val="32"/>
          <w:szCs w:val="32"/>
          <w:lang w:val="zh-CN"/>
        </w:rPr>
        <w:t>绩效分析。</w:t>
      </w:r>
    </w:p>
    <w:p w14:paraId="4D9BB5C8">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1.项目决策。根据公通字〔2009〕60号《公安部卫生部关于切实加强和改进公安监管场所医疗卫生工作的通知》和公监管〔2015〕6号关于贯彻落实《公安部卫生部关于印发〈公安监管场所医疗卫生专业化建设工作方案〉的通知》积极探索公安监管场所医疗卫生工作社会化模式和公安监所根据本所实际妥善合理地安排社会医护力量。</w:t>
      </w:r>
    </w:p>
    <w:p w14:paraId="43F5B221">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2.项目管理。项目依托市公务局警务保障处财务室进行综合管理，监管支队由一名监管民警兼职财务管理，做到专人专司财务管理职责，对项目资金严格执行财务管理制度，及时进行财务处理和核算。</w:t>
      </w:r>
    </w:p>
    <w:p w14:paraId="4F293C70">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3.项目实施。经费拨付主要由警务保障处与财政部门进行对接，根据监管支队正常工作运转保障经费，发生的每一笔支出都要履行完整报销手续，确保其真实可靠性。</w:t>
      </w:r>
    </w:p>
    <w:p w14:paraId="0685D64F">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4.项目结果。完成市看守所在押人员、市拘戒所戒毒拘留人员体检、巡诊、吃药、心理辅导、住院医等疗服务。</w:t>
      </w:r>
    </w:p>
    <w:p w14:paraId="02B567AC">
      <w:pPr>
        <w:spacing w:line="578" w:lineRule="exact"/>
        <w:ind w:firstLine="640"/>
        <w:rPr>
          <w:rFonts w:ascii="仿宋_GB2312" w:hAnsi="仿宋_GB2312" w:eastAsia="仿宋_GB2312" w:cs="仿宋_GB2312"/>
          <w:sz w:val="32"/>
          <w:szCs w:val="32"/>
        </w:rPr>
      </w:pPr>
      <w:r>
        <w:rPr>
          <w:rFonts w:hint="eastAsia" w:ascii="楷体_GB2312" w:hAnsi="宋体" w:eastAsia="楷体_GB2312"/>
          <w:b/>
          <w:sz w:val="32"/>
          <w:szCs w:val="32"/>
          <w:lang w:val="zh-CN"/>
        </w:rPr>
        <w:t>（二）专用指标</w:t>
      </w:r>
      <w:r>
        <w:rPr>
          <w:rFonts w:ascii="楷体_GB2312" w:hAnsi="宋体" w:eastAsia="楷体_GB2312"/>
          <w:b/>
          <w:sz w:val="32"/>
          <w:szCs w:val="32"/>
          <w:lang w:val="zh-CN"/>
        </w:rPr>
        <w:t>绩效分析。</w:t>
      </w:r>
      <w:r>
        <w:rPr>
          <w:rFonts w:hint="eastAsia" w:ascii="仿宋_GB2312" w:hAnsi="仿宋_GB2312" w:eastAsia="仿宋_GB2312" w:cs="仿宋_GB2312"/>
          <w:sz w:val="32"/>
          <w:szCs w:val="32"/>
        </w:rPr>
        <w:t>广元市公安局监管中心医务室按照发药数量、开展健康宣讲、诊治在押（拘戒）人数、派遣医护人员等绩效考核结果作为专项资金分配的主要因素。</w:t>
      </w:r>
    </w:p>
    <w:p w14:paraId="032D60AB">
      <w:pPr>
        <w:spacing w:line="578" w:lineRule="exact"/>
        <w:ind w:firstLine="640"/>
      </w:pPr>
      <w:r>
        <w:rPr>
          <w:rFonts w:hint="eastAsia" w:ascii="楷体_GB2312" w:hAnsi="宋体" w:eastAsia="楷体_GB2312"/>
          <w:b/>
          <w:sz w:val="32"/>
          <w:szCs w:val="32"/>
          <w:lang w:val="zh-CN"/>
        </w:rPr>
        <w:t>（三）个性指标</w:t>
      </w:r>
      <w:r>
        <w:rPr>
          <w:rFonts w:ascii="楷体_GB2312" w:hAnsi="宋体" w:eastAsia="楷体_GB2312"/>
          <w:b/>
          <w:sz w:val="32"/>
          <w:szCs w:val="32"/>
          <w:lang w:val="zh-CN"/>
        </w:rPr>
        <w:t>绩效分析。</w:t>
      </w:r>
      <w:r>
        <w:rPr>
          <w:rFonts w:hint="eastAsia" w:ascii="仿宋_GB2312" w:hAnsi="仿宋_GB2312" w:eastAsia="仿宋_GB2312" w:cs="仿宋_GB2312"/>
          <w:sz w:val="32"/>
          <w:szCs w:val="32"/>
        </w:rPr>
        <w:t>确保对在押（拘戒）人员开展日常医疗工作，其中包括入所健康检查、每日巡诊、传染病防控及治疗、常见病救治等工作。</w:t>
      </w:r>
    </w:p>
    <w:p w14:paraId="1C82004B">
      <w:pPr>
        <w:adjustRightInd w:val="0"/>
        <w:snapToGrid w:val="0"/>
        <w:spacing w:line="580" w:lineRule="exact"/>
        <w:ind w:firstLine="720"/>
        <w:outlineLvl w:val="1"/>
        <w:rPr>
          <w:rFonts w:ascii="黑体" w:hAnsi="黑体" w:eastAsia="黑体" w:cs="黑体"/>
          <w:bCs/>
          <w:sz w:val="32"/>
          <w:szCs w:val="32"/>
        </w:rPr>
      </w:pPr>
      <w:bookmarkStart w:id="124" w:name="_Toc7406"/>
      <w:r>
        <w:rPr>
          <w:rFonts w:hint="eastAsia" w:ascii="黑体" w:hAnsi="黑体" w:eastAsia="黑体" w:cs="黑体"/>
          <w:bCs/>
          <w:sz w:val="32"/>
          <w:szCs w:val="32"/>
        </w:rPr>
        <w:t>四、评价结论</w:t>
      </w:r>
      <w:bookmarkEnd w:id="124"/>
    </w:p>
    <w:p w14:paraId="15AA26B8">
      <w:pPr>
        <w:pStyle w:val="5"/>
        <w:spacing w:line="600" w:lineRule="exact"/>
        <w:ind w:firstLine="640" w:firstLineChars="200"/>
        <w:rPr>
          <w:rFonts w:ascii="黑体" w:hAnsi="黑体" w:cs="黑体"/>
          <w:sz w:val="32"/>
          <w:szCs w:val="32"/>
        </w:rPr>
      </w:pPr>
      <w:r>
        <w:rPr>
          <w:rFonts w:hint="eastAsia" w:ascii="仿宋_GB2312" w:hAnsi="仿宋_GB2312" w:eastAsia="仿宋_GB2312" w:cs="仿宋_GB2312"/>
          <w:sz w:val="32"/>
          <w:szCs w:val="32"/>
        </w:rPr>
        <w:t>经过评估，广元市公安局监管中心医疗服务社会化采购项目在预算执行方面、资金使用效率上整体实施效果良好，评价得分100分。</w:t>
      </w:r>
    </w:p>
    <w:p w14:paraId="2D499CB4">
      <w:pPr>
        <w:adjustRightInd w:val="0"/>
        <w:snapToGrid w:val="0"/>
        <w:spacing w:line="580" w:lineRule="exact"/>
        <w:ind w:firstLine="720"/>
        <w:outlineLvl w:val="1"/>
        <w:rPr>
          <w:rFonts w:ascii="黑体" w:hAnsi="黑体" w:eastAsia="黑体" w:cs="黑体"/>
          <w:bCs/>
          <w:sz w:val="32"/>
          <w:szCs w:val="32"/>
        </w:rPr>
      </w:pPr>
      <w:bookmarkStart w:id="125" w:name="_Toc14731"/>
      <w:r>
        <w:rPr>
          <w:rFonts w:hint="eastAsia" w:ascii="黑体" w:hAnsi="黑体" w:eastAsia="黑体" w:cs="黑体"/>
          <w:bCs/>
          <w:sz w:val="32"/>
          <w:szCs w:val="32"/>
        </w:rPr>
        <w:t>五、存在主要问题</w:t>
      </w:r>
      <w:bookmarkEnd w:id="125"/>
    </w:p>
    <w:p w14:paraId="724F4403">
      <w:pPr>
        <w:pStyle w:val="5"/>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无。</w:t>
      </w:r>
    </w:p>
    <w:p w14:paraId="7934DEE8">
      <w:pPr>
        <w:adjustRightInd w:val="0"/>
        <w:snapToGrid w:val="0"/>
        <w:spacing w:line="580" w:lineRule="exact"/>
        <w:ind w:firstLine="720"/>
        <w:outlineLvl w:val="1"/>
        <w:rPr>
          <w:rFonts w:ascii="黑体" w:hAnsi="黑体" w:eastAsia="黑体" w:cs="黑体"/>
          <w:bCs/>
          <w:sz w:val="32"/>
          <w:szCs w:val="32"/>
        </w:rPr>
      </w:pPr>
      <w:bookmarkStart w:id="126" w:name="_Toc7034"/>
      <w:r>
        <w:rPr>
          <w:rFonts w:hint="eastAsia" w:ascii="黑体" w:hAnsi="黑体" w:eastAsia="黑体" w:cs="黑体"/>
          <w:bCs/>
          <w:sz w:val="32"/>
          <w:szCs w:val="32"/>
        </w:rPr>
        <w:t>六、改进建议</w:t>
      </w:r>
      <w:bookmarkEnd w:id="126"/>
    </w:p>
    <w:p w14:paraId="73319C05">
      <w:pPr>
        <w:tabs>
          <w:tab w:val="left" w:pos="1911"/>
        </w:tabs>
        <w:ind w:firstLine="640" w:firstLineChars="200"/>
        <w:jc w:val="left"/>
        <w:rPr>
          <w:rFonts w:ascii="仿宋_GB2312" w:hAnsi="仿宋_GB2312" w:cs="仿宋_GB2312"/>
          <w:kern w:val="0"/>
        </w:rPr>
      </w:pPr>
      <w:r>
        <w:rPr>
          <w:rFonts w:hint="eastAsia" w:ascii="仿宋_GB2312" w:hAnsi="仿宋_GB2312" w:eastAsia="仿宋_GB2312" w:cs="仿宋_GB2312"/>
          <w:sz w:val="32"/>
          <w:szCs w:val="32"/>
        </w:rPr>
        <w:t>无。</w:t>
      </w:r>
    </w:p>
    <w:p w14:paraId="6D8119B4">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广元市公安局</w:t>
      </w:r>
    </w:p>
    <w:p w14:paraId="119969AD">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教育训练经费项目绩效评价报告</w:t>
      </w:r>
    </w:p>
    <w:p w14:paraId="56844F7A">
      <w:pPr>
        <w:pStyle w:val="28"/>
        <w:spacing w:line="578" w:lineRule="exact"/>
        <w:ind w:firstLine="640"/>
        <w:jc w:val="center"/>
        <w:rPr>
          <w:rFonts w:ascii="宋体" w:hAnsi="宋体"/>
          <w:color w:val="auto"/>
          <w:kern w:val="2"/>
          <w:sz w:val="32"/>
          <w:szCs w:val="32"/>
        </w:rPr>
      </w:pPr>
    </w:p>
    <w:p w14:paraId="4D523FDB">
      <w:pPr>
        <w:adjustRightInd w:val="0"/>
        <w:snapToGrid w:val="0"/>
        <w:spacing w:line="580" w:lineRule="exact"/>
        <w:ind w:firstLine="720"/>
        <w:outlineLvl w:val="1"/>
        <w:rPr>
          <w:rFonts w:ascii="黑体" w:hAnsi="黑体" w:eastAsia="黑体" w:cs="黑体"/>
          <w:bCs/>
          <w:sz w:val="32"/>
          <w:szCs w:val="32"/>
        </w:rPr>
      </w:pPr>
      <w:bookmarkStart w:id="127" w:name="_Toc4165"/>
      <w:r>
        <w:rPr>
          <w:rFonts w:hint="eastAsia" w:ascii="黑体" w:hAnsi="黑体" w:eastAsia="黑体" w:cs="黑体"/>
          <w:bCs/>
          <w:sz w:val="32"/>
          <w:szCs w:val="32"/>
        </w:rPr>
        <w:t>一、项目概况</w:t>
      </w:r>
      <w:bookmarkEnd w:id="127"/>
    </w:p>
    <w:p w14:paraId="54A6B9A3">
      <w:pPr>
        <w:adjustRightInd w:val="0"/>
        <w:snapToGrid w:val="0"/>
        <w:spacing w:line="600" w:lineRule="exact"/>
        <w:ind w:firstLine="720"/>
        <w:rPr>
          <w:rFonts w:ascii="仿宋_GB2312" w:hAnsi="仿宋_GB2312" w:eastAsia="仿宋_GB2312" w:cs="仿宋_GB2312"/>
          <w:sz w:val="32"/>
          <w:szCs w:val="32"/>
        </w:rPr>
      </w:pPr>
      <w:r>
        <w:rPr>
          <w:rFonts w:hint="eastAsia" w:ascii="楷体_GB2312" w:hAnsi="宋体" w:eastAsia="楷体_GB2312"/>
          <w:b/>
          <w:sz w:val="32"/>
          <w:szCs w:val="32"/>
          <w:lang w:val="zh-CN"/>
        </w:rPr>
        <w:t>（一）设立背景及基本情况。</w:t>
      </w:r>
      <w:r>
        <w:rPr>
          <w:rFonts w:hint="eastAsia" w:ascii="仿宋_GB2312" w:hAnsi="仿宋_GB2312" w:eastAsia="仿宋_GB2312" w:cs="仿宋_GB2312"/>
          <w:sz w:val="32"/>
          <w:szCs w:val="32"/>
        </w:rPr>
        <w:t>依据公安部《关于印发公安支出功能分类科目和公安支出类专用预算科目的通知》和四川省财政厅 四川省公安厅《关于完善全省公安公用经费保障机制的通知》（川财行〔2021〕122号）文件，对教育训练经费进行立项申报。</w:t>
      </w:r>
    </w:p>
    <w:p w14:paraId="3B5B08CC">
      <w:pPr>
        <w:adjustRightInd w:val="0"/>
        <w:snapToGrid w:val="0"/>
        <w:spacing w:line="600" w:lineRule="exact"/>
        <w:ind w:firstLine="720"/>
        <w:rPr>
          <w:rFonts w:ascii="仿宋_GB2312" w:hAnsi="仿宋_GB2312" w:eastAsia="仿宋_GB2312" w:cs="仿宋_GB2312"/>
          <w:sz w:val="32"/>
          <w:szCs w:val="32"/>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r>
        <w:rPr>
          <w:rFonts w:hint="eastAsia" w:ascii="楷体_GB2312" w:hAnsi="宋体" w:eastAsia="楷体_GB2312"/>
          <w:b/>
          <w:sz w:val="32"/>
          <w:szCs w:val="32"/>
          <w:lang w:val="zh-CN"/>
        </w:rPr>
        <w:t>。</w:t>
      </w:r>
      <w:r>
        <w:rPr>
          <w:rFonts w:hint="eastAsia" w:ascii="仿宋_GB2312" w:hAnsi="仿宋_GB2312" w:eastAsia="仿宋_GB2312" w:cs="仿宋_GB2312"/>
          <w:sz w:val="32"/>
          <w:szCs w:val="32"/>
        </w:rPr>
        <w:t>市公安局主要对该项目的资金执行进度、资金使用进行监管，对教育训练成果进行检查、验收。</w:t>
      </w:r>
    </w:p>
    <w:p w14:paraId="71430DDC">
      <w:pPr>
        <w:adjustRightInd w:val="0"/>
        <w:snapToGrid w:val="0"/>
        <w:spacing w:line="600" w:lineRule="exact"/>
        <w:ind w:firstLine="720"/>
        <w:rPr>
          <w:rFonts w:ascii="仿宋_GB2312" w:hAnsi="仿宋_GB2312" w:eastAsia="仿宋_GB2312" w:cs="仿宋_GB2312"/>
          <w:sz w:val="32"/>
          <w:szCs w:val="32"/>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r>
        <w:rPr>
          <w:rFonts w:hint="eastAsia" w:ascii="楷体_GB2312" w:hAnsi="宋体" w:eastAsia="楷体_GB2312"/>
          <w:b/>
          <w:sz w:val="32"/>
          <w:szCs w:val="32"/>
          <w:lang w:val="zh-CN"/>
        </w:rPr>
        <w:t>。</w:t>
      </w:r>
      <w:r>
        <w:rPr>
          <w:rFonts w:hint="eastAsia" w:ascii="仿宋_GB2312" w:hAnsi="仿宋_GB2312" w:eastAsia="仿宋_GB2312" w:cs="仿宋_GB2312"/>
          <w:sz w:val="32"/>
          <w:szCs w:val="32"/>
        </w:rPr>
        <w:t>教育训练经费由市公安局向市财政局申报教育训练项目经费30万元，批复资金30万元，资金到位率100%</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到位及时。主要用于训练民警伙食费、资料费、药品费、课酬费、物业管理、学习资料、学员用品费、洗涤费、车辆运行费、宣传费、设施设备维护费以及用于教学训练活动的其他费用等支出，培训费标准按相关要求执行。</w:t>
      </w:r>
    </w:p>
    <w:p w14:paraId="15055FA7">
      <w:pPr>
        <w:adjustRightInd w:val="0"/>
        <w:snapToGrid w:val="0"/>
        <w:spacing w:line="578" w:lineRule="exact"/>
        <w:ind w:firstLine="643" w:firstLineChars="200"/>
        <w:rPr>
          <w:rFonts w:ascii="仿宋_GB2312" w:hAnsi="仿宋_GB2312" w:eastAsia="仿宋_GB2312" w:cs="仿宋_GB2312"/>
          <w:sz w:val="32"/>
          <w:szCs w:val="32"/>
        </w:rPr>
      </w:pPr>
      <w:r>
        <w:rPr>
          <w:rFonts w:hint="eastAsia" w:ascii="楷体_GB2312" w:hAnsi="宋体" w:eastAsia="楷体_GB2312"/>
          <w:b/>
          <w:sz w:val="32"/>
          <w:szCs w:val="32"/>
          <w:lang w:val="zh-CN"/>
        </w:rPr>
        <w:t>（四）项目绩效目标设置。</w:t>
      </w:r>
      <w:r>
        <w:rPr>
          <w:rFonts w:hint="eastAsia" w:ascii="仿宋_GB2312" w:hAnsi="仿宋_GB2312" w:eastAsia="仿宋_GB2312" w:cs="仿宋_GB2312"/>
          <w:sz w:val="32"/>
          <w:szCs w:val="32"/>
        </w:rPr>
        <w:t>民警专项业务技能培训及警衔晋升培训是公安部在公安教育方面所作出的一项重大决策</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它对于贯彻党的路线、方针政策，更好地完成公安任务；对于提高公安民警整体素质和公安工作水平，加强公安队伍建设，培养政治合格，纪律严明、作风过硬、业务精通、执法如山的党和人民的忠诚卫士具有重要意义。年初设定了培训期次、培训人数等16个三级指标，全年按照年初既定目标规范使用，同时按要求开展了绩效自评，效果良好。</w:t>
      </w:r>
    </w:p>
    <w:p w14:paraId="77E6E58A">
      <w:pPr>
        <w:adjustRightInd w:val="0"/>
        <w:snapToGrid w:val="0"/>
        <w:spacing w:line="580" w:lineRule="exact"/>
        <w:ind w:firstLine="720"/>
        <w:outlineLvl w:val="1"/>
        <w:rPr>
          <w:rFonts w:ascii="黑体" w:hAnsi="黑体" w:eastAsia="黑体" w:cs="黑体"/>
          <w:bCs/>
          <w:sz w:val="32"/>
          <w:szCs w:val="32"/>
        </w:rPr>
      </w:pPr>
      <w:bookmarkStart w:id="128" w:name="_Toc23626"/>
      <w:r>
        <w:rPr>
          <w:rFonts w:hint="eastAsia" w:ascii="黑体" w:hAnsi="黑体" w:eastAsia="黑体" w:cs="黑体"/>
          <w:bCs/>
          <w:sz w:val="32"/>
          <w:szCs w:val="32"/>
        </w:rPr>
        <w:t>二、评价实施</w:t>
      </w:r>
      <w:bookmarkEnd w:id="128"/>
    </w:p>
    <w:p w14:paraId="27576815">
      <w:pPr>
        <w:spacing w:line="578" w:lineRule="exact"/>
        <w:ind w:firstLine="640"/>
      </w:pPr>
      <w:r>
        <w:rPr>
          <w:rFonts w:hint="eastAsia" w:ascii="楷体_GB2312" w:hAnsi="宋体" w:eastAsia="楷体_GB2312"/>
          <w:b/>
          <w:sz w:val="32"/>
          <w:szCs w:val="32"/>
          <w:lang w:val="zh-CN"/>
        </w:rPr>
        <w:t>（一）评价目的。</w:t>
      </w:r>
      <w:r>
        <w:rPr>
          <w:rFonts w:ascii="仿宋_GB2312" w:hAnsi="仿宋_GB2312" w:eastAsia="仿宋_GB2312" w:cs="仿宋_GB2312"/>
          <w:sz w:val="32"/>
          <w:szCs w:val="32"/>
        </w:rPr>
        <w:t>通过</w:t>
      </w:r>
      <w:r>
        <w:rPr>
          <w:rFonts w:hint="eastAsia" w:ascii="仿宋_GB2312" w:hAnsi="仿宋_GB2312" w:eastAsia="仿宋_GB2312" w:cs="仿宋_GB2312"/>
          <w:sz w:val="32"/>
          <w:szCs w:val="32"/>
        </w:rPr>
        <w:t>项目绩效自评提高财政资金的使用效益，确保资金得到合理有效的利用；进一步加强预算执行进度的监督管理，及时发现该项目预算执行中存在的问题并做出相应的解决措施，为来年该项目的申报提供科学合理的标准。</w:t>
      </w:r>
    </w:p>
    <w:p w14:paraId="121507BB">
      <w:pPr>
        <w:adjustRightInd w:val="0"/>
        <w:snapToGrid w:val="0"/>
        <w:spacing w:line="600" w:lineRule="exact"/>
        <w:ind w:firstLine="720"/>
        <w:rPr>
          <w:rFonts w:ascii="仿宋_GB2312" w:hAnsi="仿宋_GB2312" w:eastAsia="仿宋_GB2312" w:cs="仿宋_GB2312"/>
          <w:sz w:val="32"/>
          <w:szCs w:val="32"/>
        </w:rPr>
      </w:pPr>
      <w:r>
        <w:rPr>
          <w:rFonts w:hint="eastAsia" w:ascii="楷体_GB2312" w:hAnsi="宋体" w:eastAsia="楷体_GB2312"/>
          <w:b/>
          <w:sz w:val="32"/>
          <w:szCs w:val="32"/>
          <w:lang w:val="zh-CN"/>
        </w:rPr>
        <w:t>（二）预设问题及评价重点。</w:t>
      </w:r>
      <w:r>
        <w:rPr>
          <w:rFonts w:hint="eastAsia" w:ascii="仿宋_GB2312" w:hAnsi="仿宋_GB2312" w:eastAsia="仿宋_GB2312" w:cs="仿宋_GB2312"/>
          <w:sz w:val="32"/>
          <w:szCs w:val="32"/>
        </w:rPr>
        <w:t>本项目预设“资金分配和使用计划是否明确？”，该项目由市公安局战训支队进行综合管理，相关费用支出由财务人员统一进行报销，做到专人专司财务管理职责，对项目资金严格执行财务管理制度，及时进行财务处理和核算，使财政资金达到了最大的效益。</w:t>
      </w:r>
    </w:p>
    <w:p w14:paraId="3A112143">
      <w:pPr>
        <w:adjustRightInd w:val="0"/>
        <w:snapToGrid w:val="0"/>
        <w:spacing w:line="578" w:lineRule="exact"/>
        <w:ind w:firstLine="643" w:firstLineChars="200"/>
        <w:rPr>
          <w:lang w:val="zh-CN"/>
        </w:rPr>
      </w:pPr>
      <w:r>
        <w:rPr>
          <w:rFonts w:hint="eastAsia" w:ascii="楷体_GB2312" w:hAnsi="宋体" w:eastAsia="楷体_GB2312"/>
          <w:b/>
          <w:sz w:val="32"/>
          <w:szCs w:val="32"/>
          <w:lang w:val="zh-CN"/>
        </w:rPr>
        <w:t>（三）评价选点。</w:t>
      </w:r>
      <w:r>
        <w:rPr>
          <w:rFonts w:hint="eastAsia" w:ascii="仿宋_GB2312" w:hAnsi="仿宋_GB2312" w:eastAsia="仿宋_GB2312" w:cs="仿宋_GB2312"/>
          <w:sz w:val="32"/>
          <w:szCs w:val="32"/>
        </w:rPr>
        <w:t>培训期次，培训人数。</w:t>
      </w:r>
    </w:p>
    <w:p w14:paraId="44E7306B">
      <w:pPr>
        <w:adjustRightInd w:val="0"/>
        <w:snapToGrid w:val="0"/>
        <w:spacing w:line="600" w:lineRule="exact"/>
        <w:ind w:firstLine="630" w:firstLineChars="196"/>
        <w:rPr>
          <w:rFonts w:ascii="仿宋_GB2312" w:hAnsi="仿宋_GB2312" w:eastAsia="仿宋_GB2312" w:cs="仿宋_GB2312"/>
          <w:sz w:val="32"/>
          <w:szCs w:val="32"/>
        </w:rPr>
      </w:pPr>
      <w:r>
        <w:rPr>
          <w:rFonts w:hint="eastAsia" w:ascii="楷体_GB2312" w:hAnsi="宋体" w:eastAsia="楷体_GB2312"/>
          <w:b/>
          <w:sz w:val="32"/>
          <w:szCs w:val="32"/>
          <w:lang w:val="zh-CN"/>
        </w:rPr>
        <w:t>（四）评价方法。</w:t>
      </w:r>
      <w:r>
        <w:rPr>
          <w:rFonts w:ascii="仿宋_GB2312" w:hAnsi="仿宋_GB2312" w:eastAsia="仿宋_GB2312" w:cs="仿宋_GB2312"/>
          <w:sz w:val="32"/>
          <w:szCs w:val="32"/>
        </w:rPr>
        <w:t>根据项目情况和评价重点，</w:t>
      </w:r>
      <w:r>
        <w:rPr>
          <w:rFonts w:hint="eastAsia" w:ascii="仿宋_GB2312" w:hAnsi="仿宋_GB2312" w:eastAsia="仿宋_GB2312" w:cs="仿宋_GB2312"/>
          <w:sz w:val="32"/>
          <w:szCs w:val="32"/>
        </w:rPr>
        <w:t>我单位采取</w:t>
      </w:r>
      <w:r>
        <w:rPr>
          <w:rFonts w:ascii="仿宋_GB2312" w:hAnsi="仿宋_GB2312" w:eastAsia="仿宋_GB2312" w:cs="仿宋_GB2312"/>
          <w:sz w:val="32"/>
          <w:szCs w:val="32"/>
        </w:rPr>
        <w:t>单位自评法</w:t>
      </w:r>
      <w:r>
        <w:rPr>
          <w:rFonts w:hint="eastAsia" w:ascii="仿宋_GB2312" w:hAnsi="仿宋_GB2312" w:eastAsia="仿宋_GB2312" w:cs="仿宋_GB2312"/>
          <w:sz w:val="32"/>
          <w:szCs w:val="32"/>
        </w:rPr>
        <w:t>对该项目预算绩效开展自评。</w:t>
      </w:r>
    </w:p>
    <w:p w14:paraId="1FEE33E0">
      <w:pPr>
        <w:spacing w:line="578" w:lineRule="exact"/>
        <w:ind w:firstLine="640"/>
      </w:pPr>
      <w:r>
        <w:rPr>
          <w:rFonts w:hint="eastAsia" w:ascii="楷体_GB2312" w:hAnsi="宋体" w:eastAsia="楷体_GB2312"/>
          <w:b/>
          <w:sz w:val="32"/>
          <w:szCs w:val="32"/>
          <w:lang w:val="zh-CN"/>
        </w:rPr>
        <w:t>（五）评价组织。</w:t>
      </w:r>
      <w:r>
        <w:rPr>
          <w:rFonts w:hint="eastAsia" w:ascii="仿宋_GB2312" w:hAnsi="仿宋_GB2312" w:eastAsia="仿宋_GB2312" w:cs="仿宋_GB2312"/>
          <w:sz w:val="32"/>
          <w:szCs w:val="32"/>
        </w:rPr>
        <w:t>按照广元市公安局《预算绩效管理办法（试行）》，该项目自评工作由战训支队围绕总体目标、绩效指标的完成情况及使用效益开展。</w:t>
      </w:r>
    </w:p>
    <w:p w14:paraId="03D125C9">
      <w:pPr>
        <w:adjustRightInd w:val="0"/>
        <w:snapToGrid w:val="0"/>
        <w:spacing w:line="580" w:lineRule="exact"/>
        <w:ind w:firstLine="720"/>
        <w:outlineLvl w:val="1"/>
        <w:rPr>
          <w:rFonts w:ascii="黑体" w:hAnsi="黑体" w:eastAsia="黑体" w:cs="黑体"/>
          <w:bCs/>
          <w:sz w:val="32"/>
          <w:szCs w:val="32"/>
        </w:rPr>
      </w:pPr>
      <w:bookmarkStart w:id="129" w:name="_Toc19066"/>
      <w:r>
        <w:rPr>
          <w:rFonts w:hint="eastAsia" w:ascii="黑体" w:hAnsi="黑体" w:eastAsia="黑体" w:cs="黑体"/>
          <w:bCs/>
          <w:sz w:val="32"/>
          <w:szCs w:val="32"/>
        </w:rPr>
        <w:t>三、绩效分析</w:t>
      </w:r>
      <w:bookmarkEnd w:id="129"/>
      <w:r>
        <w:rPr>
          <w:rFonts w:hint="eastAsia" w:ascii="黑体" w:hAnsi="黑体" w:eastAsia="黑体" w:cs="黑体"/>
          <w:bCs/>
          <w:sz w:val="32"/>
          <w:szCs w:val="32"/>
        </w:rPr>
        <w:tab/>
      </w:r>
    </w:p>
    <w:p w14:paraId="1C182730">
      <w:pPr>
        <w:spacing w:line="600" w:lineRule="exact"/>
        <w:ind w:firstLine="643" w:firstLineChars="200"/>
        <w:rPr>
          <w:rFonts w:ascii="楷体_GB2312" w:hAnsi="宋体" w:eastAsia="楷体_GB2312"/>
          <w:b/>
          <w:sz w:val="32"/>
          <w:szCs w:val="32"/>
          <w:lang w:val="zh-CN"/>
        </w:rPr>
      </w:pPr>
      <w:r>
        <w:rPr>
          <w:rFonts w:hint="eastAsia" w:ascii="楷体_GB2312" w:hAnsi="宋体" w:eastAsia="楷体_GB2312"/>
          <w:b/>
          <w:sz w:val="32"/>
          <w:szCs w:val="32"/>
          <w:lang w:val="zh-CN"/>
        </w:rPr>
        <w:t>（一）通用指标</w:t>
      </w:r>
      <w:r>
        <w:rPr>
          <w:rFonts w:ascii="楷体_GB2312" w:hAnsi="宋体" w:eastAsia="楷体_GB2312"/>
          <w:b/>
          <w:sz w:val="32"/>
          <w:szCs w:val="32"/>
          <w:lang w:val="zh-CN"/>
        </w:rPr>
        <w:t>绩效分析。</w:t>
      </w:r>
    </w:p>
    <w:p w14:paraId="40750F23">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1.项目决策。（1）决策程序。该项目的设立、调整延续等方面符合资金管理基本规范和决策程序要求，该项自评得6分。（2）规划论证。按照省财政厅、省公安厅有关决策部署安排，项目实施前开展了项目事前绩效评价，评估内容包含立项必要性、前瞻性、合理性和可行性；项目总体绩效目标设置合理性的偏离度≤15%；绩效目标科学合理、规范完整、量化细化、预算匹配。该项自评得6分。（3）资金投向。本项目属于政府支持范围，且符合财政事权支出责任划分规定，资金投向与项目总体规划、公安事业发展相匹配，聚焦重大任务、重点领域，未与其他同类项目或部门内部相关项目交叉重复，该项自评得6分。</w:t>
      </w:r>
    </w:p>
    <w:p w14:paraId="3A8F094E">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2.项目管理。（1）制度办法。资金管理体系健全完善，不存在管理制度缺失、管理办法过期情况，该项自评得2分。（2）分配管理。本项目资金分配因素选取充分考虑公安事业发展实际和发展需求；资金分配因素的权重设置有效突出项目实施重点；资金区域分布结果公平合理。项目资金的分配严格按照财务管理办法执行，资金使用全程监控，使用合理合规。该项自评得10分。（3）绩效监管。本项目严格按照中央和省、市要求全面完成绩效目标（含事前评估）、绩效评价、以前年度问题整改等预算绩效管理工作；市公安局绩效管理小组全过程对业务部门使用项目经费开展评价、监督、指导等工作，该项自评得6分。</w:t>
      </w:r>
    </w:p>
    <w:p w14:paraId="2F07F7F9">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3.项目实施。（1）预算执行。本项目是由市财政资金全额保障，该项指标得分=财政资金拨付率×100%×6=6，该项自评得6分。（2）资金使用。项目资金使用、拨付是符合国家财经法规、财务管理制度及有关专项资金管理制度办法规定和审批程序，坚持项目资金专款专用，未存在截留、挤占、挪用、虚列支出等情况，该项自评得3分。</w:t>
      </w:r>
    </w:p>
    <w:p w14:paraId="6516D87B">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4.项目结果。（1）目标完成。该项指标得分=实际完成目标任务量÷首次批复立项设定绩效目标任务总量×100%×6=6，该项自评得6分。（2）完成时效。该项指标得分=（1-(实际完成时间-计划完成时间)÷计划完成时间）×100%×3=3，该项自评得3分。</w:t>
      </w:r>
    </w:p>
    <w:p w14:paraId="531FF074">
      <w:pPr>
        <w:adjustRightInd w:val="0"/>
        <w:snapToGrid w:val="0"/>
        <w:spacing w:line="600" w:lineRule="exact"/>
        <w:ind w:firstLine="720"/>
        <w:rPr>
          <w:rFonts w:ascii="仿宋_GB2312" w:hAnsi="仿宋_GB2312" w:eastAsia="仿宋_GB2312" w:cs="仿宋_GB2312"/>
          <w:sz w:val="32"/>
          <w:szCs w:val="32"/>
        </w:rPr>
      </w:pPr>
      <w:r>
        <w:rPr>
          <w:rFonts w:hint="eastAsia" w:ascii="楷体_GB2312" w:hAnsi="宋体" w:eastAsia="楷体_GB2312"/>
          <w:b/>
          <w:sz w:val="32"/>
          <w:szCs w:val="32"/>
          <w:lang w:val="zh-CN"/>
        </w:rPr>
        <w:t>（二）专用指标</w:t>
      </w:r>
      <w:r>
        <w:rPr>
          <w:rFonts w:ascii="楷体_GB2312" w:hAnsi="宋体" w:eastAsia="楷体_GB2312"/>
          <w:b/>
          <w:sz w:val="32"/>
          <w:szCs w:val="32"/>
          <w:lang w:val="zh-CN"/>
        </w:rPr>
        <w:t>绩效分析。</w:t>
      </w:r>
      <w:r>
        <w:rPr>
          <w:rFonts w:hint="eastAsia" w:ascii="仿宋_GB2312" w:hAnsi="仿宋_GB2312" w:eastAsia="仿宋_GB2312" w:cs="仿宋_GB2312"/>
          <w:sz w:val="32"/>
          <w:szCs w:val="32"/>
        </w:rPr>
        <w:t>本项目行政运转类项目。项目由市公安局战训支队进行综合管理，相关费用支出由其财务人员统一进行报销，做到专人专司财务管理职责；项目资金使用严格按照财务管理制度要求，发生的每一笔支出都履行完整报销手续，确保其真实可靠性、合法合规。市公安局机关纪委、审计处成立项目核查专班，定期核查项目资金支出情况，使其发挥最大效益。该项自评得30分。</w:t>
      </w:r>
    </w:p>
    <w:p w14:paraId="6D2A4862">
      <w:pPr>
        <w:spacing w:line="578" w:lineRule="exact"/>
        <w:ind w:firstLine="640"/>
        <w:rPr>
          <w:rFonts w:ascii="仿宋_GB2312" w:hAnsi="仿宋_GB2312" w:eastAsia="仿宋_GB2312" w:cs="仿宋_GB2312"/>
          <w:sz w:val="32"/>
          <w:szCs w:val="32"/>
        </w:rPr>
      </w:pPr>
      <w:r>
        <w:rPr>
          <w:rFonts w:hint="eastAsia" w:ascii="楷体_GB2312" w:hAnsi="宋体" w:eastAsia="楷体_GB2312"/>
          <w:b/>
          <w:sz w:val="32"/>
          <w:szCs w:val="32"/>
          <w:lang w:val="zh-CN"/>
        </w:rPr>
        <w:t>（三）个性指标</w:t>
      </w:r>
      <w:r>
        <w:rPr>
          <w:rFonts w:ascii="楷体_GB2312" w:hAnsi="宋体" w:eastAsia="楷体_GB2312"/>
          <w:b/>
          <w:sz w:val="32"/>
          <w:szCs w:val="32"/>
          <w:lang w:val="zh-CN"/>
        </w:rPr>
        <w:t>绩效分析。</w:t>
      </w:r>
      <w:r>
        <w:rPr>
          <w:rFonts w:hint="eastAsia" w:ascii="仿宋_GB2312" w:hAnsi="仿宋_GB2312" w:eastAsia="仿宋_GB2312" w:cs="仿宋_GB2312"/>
          <w:sz w:val="32"/>
          <w:szCs w:val="32"/>
        </w:rPr>
        <w:t>根据本项目的实际，项目选取提升实战处置、增强民警警务能力2个三级指标。根据项目实施的实际效果，采取是否评分法，经自评，该项自评得16分。</w:t>
      </w:r>
    </w:p>
    <w:p w14:paraId="1A76C521">
      <w:pPr>
        <w:adjustRightInd w:val="0"/>
        <w:snapToGrid w:val="0"/>
        <w:spacing w:line="580" w:lineRule="exact"/>
        <w:ind w:firstLine="720"/>
        <w:outlineLvl w:val="1"/>
        <w:rPr>
          <w:rFonts w:ascii="黑体" w:hAnsi="黑体" w:eastAsia="黑体" w:cs="黑体"/>
          <w:bCs/>
          <w:sz w:val="32"/>
          <w:szCs w:val="32"/>
        </w:rPr>
      </w:pPr>
      <w:bookmarkStart w:id="130" w:name="_Toc21726"/>
      <w:r>
        <w:rPr>
          <w:rFonts w:hint="eastAsia" w:ascii="黑体" w:hAnsi="黑体" w:eastAsia="黑体" w:cs="黑体"/>
          <w:bCs/>
          <w:sz w:val="32"/>
          <w:szCs w:val="32"/>
        </w:rPr>
        <w:t>四、评价结论</w:t>
      </w:r>
      <w:bookmarkEnd w:id="130"/>
    </w:p>
    <w:p w14:paraId="56A63DC2">
      <w:pPr>
        <w:pStyle w:val="5"/>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项目完成度良好，培训期数大于20次，培训人数大于1000人次，合格率大于98%，培训率100%，培训时间大于180天。提升了实战处置能力，增强民警警务能力。群众满意度、民警满意度及参训民警单位满意度均大于90%。伙食费、课酬费及其他运行费均控制在预算成本之内。经自评，该项自评得100分。</w:t>
      </w:r>
    </w:p>
    <w:p w14:paraId="2A1BD05A">
      <w:pPr>
        <w:adjustRightInd w:val="0"/>
        <w:snapToGrid w:val="0"/>
        <w:spacing w:line="580" w:lineRule="exact"/>
        <w:ind w:firstLine="720"/>
        <w:outlineLvl w:val="1"/>
        <w:rPr>
          <w:rFonts w:ascii="黑体" w:hAnsi="黑体" w:eastAsia="黑体" w:cs="黑体"/>
          <w:bCs/>
          <w:sz w:val="32"/>
          <w:szCs w:val="32"/>
        </w:rPr>
      </w:pPr>
      <w:bookmarkStart w:id="131" w:name="_Toc5065"/>
      <w:r>
        <w:rPr>
          <w:rFonts w:hint="eastAsia" w:ascii="黑体" w:hAnsi="黑体" w:eastAsia="黑体" w:cs="黑体"/>
          <w:bCs/>
          <w:sz w:val="32"/>
          <w:szCs w:val="32"/>
        </w:rPr>
        <w:t>五、存在主要问题</w:t>
      </w:r>
      <w:bookmarkEnd w:id="131"/>
    </w:p>
    <w:p w14:paraId="076F58EA">
      <w:pPr>
        <w:pStyle w:val="5"/>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无。</w:t>
      </w:r>
    </w:p>
    <w:p w14:paraId="15E329AB">
      <w:pPr>
        <w:adjustRightInd w:val="0"/>
        <w:snapToGrid w:val="0"/>
        <w:spacing w:line="580" w:lineRule="exact"/>
        <w:ind w:firstLine="720"/>
        <w:outlineLvl w:val="1"/>
        <w:rPr>
          <w:rFonts w:ascii="黑体" w:hAnsi="黑体" w:eastAsia="黑体" w:cs="黑体"/>
          <w:bCs/>
          <w:sz w:val="32"/>
          <w:szCs w:val="32"/>
        </w:rPr>
      </w:pPr>
      <w:bookmarkStart w:id="132" w:name="_Toc26096"/>
      <w:r>
        <w:rPr>
          <w:rFonts w:hint="eastAsia" w:ascii="黑体" w:hAnsi="黑体" w:eastAsia="黑体" w:cs="黑体"/>
          <w:bCs/>
          <w:sz w:val="32"/>
          <w:szCs w:val="32"/>
        </w:rPr>
        <w:t>六、改进建议</w:t>
      </w:r>
      <w:bookmarkEnd w:id="132"/>
    </w:p>
    <w:p w14:paraId="7BBAE788">
      <w:pPr>
        <w:pStyle w:val="5"/>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无。</w:t>
      </w:r>
    </w:p>
    <w:p w14:paraId="6EACBC4B">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广元市公安局</w:t>
      </w:r>
    </w:p>
    <w:p w14:paraId="450D6113">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警务辅助人员经费（含留置看护勤务辅警专项经费100万）项目绩效评价报告</w:t>
      </w:r>
    </w:p>
    <w:p w14:paraId="349C65DA">
      <w:pPr>
        <w:pStyle w:val="28"/>
        <w:spacing w:line="578" w:lineRule="exact"/>
        <w:ind w:firstLine="640"/>
        <w:jc w:val="center"/>
        <w:rPr>
          <w:rFonts w:ascii="宋体" w:hAnsi="宋体"/>
          <w:color w:val="auto"/>
          <w:kern w:val="2"/>
          <w:sz w:val="32"/>
          <w:szCs w:val="32"/>
        </w:rPr>
      </w:pPr>
    </w:p>
    <w:p w14:paraId="6AC048C0">
      <w:pPr>
        <w:adjustRightInd w:val="0"/>
        <w:snapToGrid w:val="0"/>
        <w:spacing w:line="580" w:lineRule="exact"/>
        <w:ind w:firstLine="720"/>
        <w:outlineLvl w:val="1"/>
        <w:rPr>
          <w:rFonts w:ascii="黑体" w:hAnsi="黑体" w:eastAsia="黑体" w:cs="黑体"/>
          <w:bCs/>
          <w:sz w:val="32"/>
          <w:szCs w:val="32"/>
        </w:rPr>
      </w:pPr>
      <w:bookmarkStart w:id="133" w:name="_Toc1848"/>
      <w:r>
        <w:rPr>
          <w:rFonts w:hint="eastAsia" w:ascii="黑体" w:hAnsi="黑体" w:eastAsia="黑体" w:cs="黑体"/>
          <w:bCs/>
          <w:sz w:val="32"/>
          <w:szCs w:val="32"/>
        </w:rPr>
        <w:t>一、项目概况</w:t>
      </w:r>
      <w:bookmarkEnd w:id="133"/>
    </w:p>
    <w:p w14:paraId="51368F71">
      <w:pPr>
        <w:adjustRightInd w:val="0"/>
        <w:snapToGrid w:val="0"/>
        <w:spacing w:line="600" w:lineRule="exact"/>
        <w:ind w:firstLine="720"/>
        <w:rPr>
          <w:rFonts w:ascii="仿宋_GB2312" w:hAnsi="仿宋"/>
        </w:rPr>
      </w:pPr>
      <w:r>
        <w:rPr>
          <w:rFonts w:hint="eastAsia" w:ascii="楷体_GB2312" w:hAnsi="宋体" w:eastAsia="楷体_GB2312"/>
          <w:b/>
          <w:sz w:val="32"/>
          <w:szCs w:val="32"/>
          <w:lang w:val="zh-CN"/>
        </w:rPr>
        <w:t>（一）设立背景及基本情况。</w:t>
      </w:r>
      <w:r>
        <w:rPr>
          <w:rFonts w:hint="eastAsia" w:ascii="仿宋_GB2312" w:hAnsi="仿宋_GB2312" w:eastAsia="仿宋_GB2312" w:cs="仿宋_GB2312"/>
          <w:sz w:val="32"/>
          <w:szCs w:val="32"/>
        </w:rPr>
        <w:t>依照公安部、省公安厅和市公安局对辅警工作运转和业务培训的相关要求，对市公安局辅警人员工作经费项目进行立项申报。</w:t>
      </w:r>
    </w:p>
    <w:p w14:paraId="353D482B">
      <w:pPr>
        <w:adjustRightInd w:val="0"/>
        <w:snapToGrid w:val="0"/>
        <w:spacing w:line="600" w:lineRule="exact"/>
        <w:ind w:firstLine="720"/>
        <w:rPr>
          <w:rFonts w:ascii="仿宋_GB2312" w:hAnsi="仿宋_GB2312" w:eastAsia="仿宋_GB2312" w:cs="仿宋_GB2312"/>
          <w:sz w:val="32"/>
          <w:szCs w:val="32"/>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r>
        <w:rPr>
          <w:rFonts w:hint="eastAsia" w:ascii="楷体_GB2312" w:hAnsi="宋体" w:eastAsia="楷体_GB2312"/>
          <w:b/>
          <w:sz w:val="32"/>
          <w:szCs w:val="32"/>
          <w:lang w:val="zh-CN"/>
        </w:rPr>
        <w:t>。</w:t>
      </w:r>
      <w:r>
        <w:rPr>
          <w:rFonts w:hint="eastAsia" w:ascii="仿宋_GB2312" w:hAnsi="仿宋_GB2312" w:eastAsia="仿宋_GB2312" w:cs="仿宋_GB2312"/>
          <w:sz w:val="32"/>
          <w:szCs w:val="32"/>
        </w:rPr>
        <w:t>完成对全局177名警务辅助人员的工作正常运转保障及工作业务培训。包括培训费、服装费、装备费等；申报的辅警人员工作经费符合公安机关的职业特点和工作实际，提高对违法犯罪行为的惩治力度，确保我市社会政治和治安大局持续稳定。</w:t>
      </w:r>
    </w:p>
    <w:p w14:paraId="7D99DD7D">
      <w:pPr>
        <w:adjustRightInd w:val="0"/>
        <w:snapToGrid w:val="0"/>
        <w:spacing w:line="600" w:lineRule="exact"/>
        <w:ind w:firstLine="720"/>
        <w:rPr>
          <w:rFonts w:ascii="仿宋_GB2312" w:hAnsi="仿宋_GB2312" w:eastAsia="仿宋_GB2312" w:cs="仿宋_GB2312"/>
          <w:sz w:val="32"/>
          <w:szCs w:val="32"/>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r>
        <w:rPr>
          <w:rFonts w:hint="eastAsia" w:ascii="楷体_GB2312" w:hAnsi="宋体" w:eastAsia="楷体_GB2312"/>
          <w:b/>
          <w:sz w:val="32"/>
          <w:szCs w:val="32"/>
          <w:lang w:val="zh-CN"/>
        </w:rPr>
        <w:t>。</w:t>
      </w:r>
      <w:r>
        <w:rPr>
          <w:rFonts w:hint="eastAsia" w:ascii="仿宋_GB2312" w:hAnsi="仿宋_GB2312" w:eastAsia="仿宋_GB2312" w:cs="仿宋_GB2312"/>
          <w:sz w:val="32"/>
          <w:szCs w:val="32"/>
        </w:rPr>
        <w:t>2023年市公安局向市财政局申报了辅警人员工作经费项目资金841.5万元，财政批复资金841.5万元，到位率100%。截止2023年12月31日，已按照既定的辅警工作正常运转和业务培训要求，全部及时完成支付。资金使用合规合法，与预算相符，执行率达到100%。</w:t>
      </w:r>
    </w:p>
    <w:p w14:paraId="6AAB4FD7">
      <w:pPr>
        <w:adjustRightInd w:val="0"/>
        <w:snapToGrid w:val="0"/>
        <w:spacing w:line="600" w:lineRule="exact"/>
        <w:ind w:firstLine="720"/>
        <w:rPr>
          <w:rFonts w:ascii="仿宋_GB2312" w:hAnsi="仿宋_GB2312" w:eastAsia="仿宋_GB2312" w:cs="仿宋_GB2312"/>
          <w:sz w:val="32"/>
          <w:szCs w:val="32"/>
        </w:rPr>
      </w:pPr>
      <w:r>
        <w:rPr>
          <w:rFonts w:hint="eastAsia" w:ascii="楷体_GB2312" w:hAnsi="宋体" w:eastAsia="楷体_GB2312"/>
          <w:b/>
          <w:sz w:val="32"/>
          <w:szCs w:val="32"/>
          <w:lang w:val="zh-CN"/>
        </w:rPr>
        <w:t>（四）项目绩效目标设置。</w:t>
      </w:r>
      <w:r>
        <w:rPr>
          <w:rFonts w:hint="eastAsia" w:ascii="仿宋_GB2312" w:hAnsi="仿宋_GB2312" w:eastAsia="仿宋_GB2312" w:cs="仿宋_GB2312"/>
          <w:sz w:val="32"/>
          <w:szCs w:val="32"/>
        </w:rPr>
        <w:t>总体目标为保障177名辅警人员必需经费，通过辅助开展110接处警、街面巡逻防控、窗口服务、案件侦办、卡点查缉、监管场所值守等工作，更好地维护广元全市的社会治安稳定。同时设置了产出指标、效益指标、成本指标和满意度指标4个一级指标，数量指标、质量指标、时效指标等8个二级指标，完成保障人数、巡逻次数等31个三级指标。按照年初既定目标，认真开展预算绩效自评，对指标完成情况进行梳理填报，自评情况良好。</w:t>
      </w:r>
    </w:p>
    <w:p w14:paraId="68CAE39B">
      <w:pPr>
        <w:adjustRightInd w:val="0"/>
        <w:snapToGrid w:val="0"/>
        <w:spacing w:line="580" w:lineRule="exact"/>
        <w:ind w:firstLine="720"/>
        <w:outlineLvl w:val="1"/>
        <w:rPr>
          <w:rFonts w:ascii="黑体" w:hAnsi="黑体" w:eastAsia="黑体" w:cs="黑体"/>
          <w:bCs/>
          <w:sz w:val="32"/>
          <w:szCs w:val="32"/>
        </w:rPr>
      </w:pPr>
      <w:bookmarkStart w:id="134" w:name="_Toc20186"/>
      <w:r>
        <w:rPr>
          <w:rFonts w:hint="eastAsia" w:ascii="黑体" w:hAnsi="黑体" w:eastAsia="黑体" w:cs="黑体"/>
          <w:bCs/>
          <w:sz w:val="32"/>
          <w:szCs w:val="32"/>
        </w:rPr>
        <w:t>二、评价实施</w:t>
      </w:r>
      <w:bookmarkEnd w:id="134"/>
    </w:p>
    <w:p w14:paraId="3E17186C">
      <w:pPr>
        <w:spacing w:line="578" w:lineRule="exact"/>
        <w:ind w:firstLine="640"/>
        <w:rPr>
          <w:rFonts w:ascii="仿宋_GB2312" w:hAnsi="仿宋_GB2312" w:eastAsia="仿宋_GB2312" w:cs="仿宋_GB2312"/>
          <w:sz w:val="32"/>
          <w:szCs w:val="32"/>
        </w:rPr>
      </w:pPr>
      <w:r>
        <w:rPr>
          <w:rFonts w:hint="eastAsia" w:ascii="楷体_GB2312" w:hAnsi="宋体" w:eastAsia="楷体_GB2312"/>
          <w:b/>
          <w:sz w:val="32"/>
          <w:szCs w:val="32"/>
          <w:lang w:val="zh-CN"/>
        </w:rPr>
        <w:t>（一）评价目的。</w:t>
      </w:r>
      <w:r>
        <w:rPr>
          <w:rFonts w:ascii="仿宋_GB2312" w:hAnsi="仿宋_GB2312" w:eastAsia="仿宋_GB2312" w:cs="仿宋_GB2312"/>
          <w:sz w:val="32"/>
          <w:szCs w:val="32"/>
        </w:rPr>
        <w:t>通过</w:t>
      </w:r>
      <w:r>
        <w:rPr>
          <w:rFonts w:hint="eastAsia" w:ascii="仿宋_GB2312" w:hAnsi="仿宋_GB2312" w:eastAsia="仿宋_GB2312" w:cs="仿宋_GB2312"/>
          <w:sz w:val="32"/>
          <w:szCs w:val="32"/>
        </w:rPr>
        <w:t>项目绩效自评提高财政资金的使用效益，确保资金得到合理有效的利用；进一步加强预算执行进度的监督管理，及时发现该项目预算执行中存在的问题并做出相应的解决措施，为来年该项目的申报提供科学合理的标准。</w:t>
      </w:r>
    </w:p>
    <w:p w14:paraId="385D2ED0">
      <w:pPr>
        <w:adjustRightInd w:val="0"/>
        <w:snapToGrid w:val="0"/>
        <w:spacing w:line="600" w:lineRule="exact"/>
        <w:ind w:firstLine="720"/>
        <w:rPr>
          <w:rFonts w:ascii="仿宋_GB2312" w:hAnsi="仿宋"/>
        </w:rPr>
      </w:pPr>
      <w:r>
        <w:rPr>
          <w:rFonts w:hint="eastAsia" w:ascii="楷体_GB2312" w:hAnsi="宋体" w:eastAsia="楷体_GB2312"/>
          <w:b/>
          <w:sz w:val="32"/>
          <w:szCs w:val="32"/>
          <w:lang w:val="zh-CN"/>
        </w:rPr>
        <w:t>（二）预设问题及评价重点。</w:t>
      </w:r>
      <w:r>
        <w:rPr>
          <w:rFonts w:hint="eastAsia" w:ascii="仿宋_GB2312" w:hAnsi="仿宋_GB2312" w:eastAsia="仿宋_GB2312" w:cs="仿宋_GB2312"/>
          <w:sz w:val="32"/>
          <w:szCs w:val="32"/>
        </w:rPr>
        <w:t>本项目预设“资金分配和使用计划是否明确？”，该项目由市公安局警务保障处进行综合管理，设立专职会计、出纳等岗位，对项目资金严格执行财务管理制度，及时进行财务处理和核算，使财政资金达到了最大的效益。</w:t>
      </w:r>
    </w:p>
    <w:p w14:paraId="326E58C0">
      <w:pPr>
        <w:adjustRightInd w:val="0"/>
        <w:snapToGrid w:val="0"/>
        <w:spacing w:line="578" w:lineRule="exact"/>
        <w:ind w:firstLine="643" w:firstLineChars="200"/>
        <w:rPr>
          <w:rFonts w:ascii="仿宋_GB2312" w:hAnsi="仿宋_GB2312" w:eastAsia="仿宋_GB2312" w:cs="仿宋_GB2312"/>
          <w:sz w:val="32"/>
          <w:szCs w:val="32"/>
        </w:rPr>
      </w:pPr>
      <w:r>
        <w:rPr>
          <w:rFonts w:hint="eastAsia" w:ascii="楷体_GB2312" w:hAnsi="宋体" w:eastAsia="楷体_GB2312"/>
          <w:b/>
          <w:sz w:val="32"/>
          <w:szCs w:val="32"/>
          <w:lang w:val="zh-CN"/>
        </w:rPr>
        <w:t>（三）评价选点。</w:t>
      </w:r>
      <w:r>
        <w:rPr>
          <w:rFonts w:hint="eastAsia" w:ascii="仿宋_GB2312" w:hAnsi="仿宋_GB2312" w:eastAsia="仿宋_GB2312" w:cs="仿宋_GB2312"/>
          <w:sz w:val="32"/>
          <w:szCs w:val="32"/>
        </w:rPr>
        <w:t>协助案件办结率、对维护社会治安的辅助作用。</w:t>
      </w:r>
    </w:p>
    <w:p w14:paraId="7CCFD832">
      <w:pPr>
        <w:adjustRightInd w:val="0"/>
        <w:snapToGrid w:val="0"/>
        <w:spacing w:line="600" w:lineRule="exact"/>
        <w:ind w:firstLine="720"/>
        <w:rPr>
          <w:rFonts w:ascii="仿宋_GB2312" w:hAnsi="仿宋_GB2312" w:eastAsia="仿宋_GB2312" w:cs="仿宋_GB2312"/>
          <w:sz w:val="32"/>
          <w:szCs w:val="32"/>
        </w:rPr>
      </w:pPr>
      <w:r>
        <w:rPr>
          <w:rFonts w:hint="eastAsia" w:ascii="楷体_GB2312" w:hAnsi="宋体" w:eastAsia="楷体_GB2312"/>
          <w:b/>
          <w:sz w:val="32"/>
          <w:szCs w:val="32"/>
          <w:lang w:val="zh-CN"/>
        </w:rPr>
        <w:t>（四）评价方法。</w:t>
      </w:r>
      <w:r>
        <w:rPr>
          <w:rFonts w:ascii="仿宋_GB2312" w:hAnsi="仿宋_GB2312" w:eastAsia="仿宋_GB2312" w:cs="仿宋_GB2312"/>
          <w:sz w:val="32"/>
          <w:szCs w:val="32"/>
        </w:rPr>
        <w:t>根据项目情况和评价重点，</w:t>
      </w:r>
      <w:r>
        <w:rPr>
          <w:rFonts w:hint="eastAsia" w:ascii="仿宋_GB2312" w:hAnsi="仿宋_GB2312" w:eastAsia="仿宋_GB2312" w:cs="仿宋_GB2312"/>
          <w:sz w:val="32"/>
          <w:szCs w:val="32"/>
        </w:rPr>
        <w:t>我单位采取</w:t>
      </w:r>
      <w:r>
        <w:rPr>
          <w:rFonts w:ascii="仿宋_GB2312" w:hAnsi="仿宋_GB2312" w:eastAsia="仿宋_GB2312" w:cs="仿宋_GB2312"/>
          <w:sz w:val="32"/>
          <w:szCs w:val="32"/>
        </w:rPr>
        <w:t>单位自评法</w:t>
      </w:r>
      <w:r>
        <w:rPr>
          <w:rFonts w:hint="eastAsia" w:ascii="仿宋_GB2312" w:hAnsi="仿宋_GB2312" w:eastAsia="仿宋_GB2312" w:cs="仿宋_GB2312"/>
          <w:sz w:val="32"/>
          <w:szCs w:val="32"/>
        </w:rPr>
        <w:t>对该项目预算绩效开展自评。</w:t>
      </w:r>
    </w:p>
    <w:p w14:paraId="5B878F48">
      <w:pPr>
        <w:spacing w:line="578" w:lineRule="exact"/>
        <w:ind w:firstLine="640"/>
        <w:rPr>
          <w:rFonts w:ascii="仿宋_GB2312" w:hAnsi="仿宋_GB2312" w:eastAsia="仿宋_GB2312" w:cs="仿宋_GB2312"/>
          <w:sz w:val="32"/>
          <w:szCs w:val="32"/>
        </w:rPr>
      </w:pPr>
      <w:r>
        <w:rPr>
          <w:rFonts w:hint="eastAsia" w:ascii="楷体_GB2312" w:hAnsi="宋体" w:eastAsia="楷体_GB2312"/>
          <w:b/>
          <w:sz w:val="32"/>
          <w:szCs w:val="32"/>
          <w:lang w:val="zh-CN"/>
        </w:rPr>
        <w:t>（五）评价组织。</w:t>
      </w:r>
      <w:r>
        <w:rPr>
          <w:rFonts w:hint="eastAsia" w:ascii="仿宋_GB2312" w:hAnsi="仿宋_GB2312" w:eastAsia="仿宋_GB2312" w:cs="仿宋_GB2312"/>
          <w:sz w:val="32"/>
          <w:szCs w:val="32"/>
        </w:rPr>
        <w:t>按照广元市公安局《预算绩效管理办法（试行）》，该项目自评工作由市公安局人事处牵头，围绕总体目标、绩效指标的完成情况及使用效益开展。</w:t>
      </w:r>
    </w:p>
    <w:p w14:paraId="41FBF870">
      <w:pPr>
        <w:adjustRightInd w:val="0"/>
        <w:snapToGrid w:val="0"/>
        <w:spacing w:line="580" w:lineRule="exact"/>
        <w:ind w:firstLine="720"/>
        <w:outlineLvl w:val="1"/>
        <w:rPr>
          <w:rFonts w:ascii="黑体" w:hAnsi="黑体" w:eastAsia="黑体" w:cs="黑体"/>
          <w:bCs/>
          <w:sz w:val="32"/>
          <w:szCs w:val="32"/>
        </w:rPr>
      </w:pPr>
      <w:bookmarkStart w:id="135" w:name="_Toc23928"/>
      <w:r>
        <w:rPr>
          <w:rFonts w:hint="eastAsia" w:ascii="黑体" w:hAnsi="黑体" w:eastAsia="黑体" w:cs="黑体"/>
          <w:bCs/>
          <w:sz w:val="32"/>
          <w:szCs w:val="32"/>
        </w:rPr>
        <w:t>三、绩效分析</w:t>
      </w:r>
      <w:bookmarkEnd w:id="135"/>
      <w:r>
        <w:rPr>
          <w:rFonts w:hint="eastAsia" w:ascii="黑体" w:hAnsi="黑体" w:eastAsia="黑体" w:cs="黑体"/>
          <w:bCs/>
          <w:sz w:val="32"/>
          <w:szCs w:val="32"/>
        </w:rPr>
        <w:tab/>
      </w:r>
    </w:p>
    <w:p w14:paraId="2F4856B7">
      <w:pPr>
        <w:spacing w:line="578" w:lineRule="exact"/>
        <w:ind w:firstLine="640"/>
        <w:rPr>
          <w:rFonts w:ascii="楷体_GB2312" w:hAnsi="宋体" w:eastAsia="楷体_GB2312"/>
          <w:b/>
        </w:rPr>
      </w:pPr>
      <w:r>
        <w:rPr>
          <w:rFonts w:hint="eastAsia" w:ascii="楷体_GB2312" w:hAnsi="宋体" w:eastAsia="楷体_GB2312"/>
          <w:b/>
          <w:sz w:val="32"/>
          <w:szCs w:val="32"/>
          <w:lang w:val="zh-CN"/>
        </w:rPr>
        <w:t>（一）通用指标</w:t>
      </w:r>
      <w:r>
        <w:rPr>
          <w:rFonts w:ascii="楷体_GB2312" w:hAnsi="宋体" w:eastAsia="楷体_GB2312"/>
          <w:b/>
          <w:sz w:val="32"/>
          <w:szCs w:val="32"/>
          <w:lang w:val="zh-CN"/>
        </w:rPr>
        <w:t>绩效分析。</w:t>
      </w:r>
    </w:p>
    <w:p w14:paraId="348A567B">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1.项目决策。（1）决策程序。该项目的设立、调整延续等方面符合资金管理基本规范和决策程序要求，该项自评得6分。（2）规划论证。按照省财政厅、省公安厅和市委市政府有关决策部署安排，项目实施前开展了项目事前绩效评价，评估内容包含立项必要性、前瞻性、合理性和可行性；项目总体绩效目标设置合理性的偏离度≤15%；绩效目标科学合理、规范完整、量化细化、预算匹配。该项自评得6分。（3）资金投向。本项目属于政府支持范围，且符合财政事权支出责任划分规定，资金投向与项目总体规划、公安事业发展相匹配，聚焦重大任务、重点领域，未与其他同类项目或部门内部相关项目交叉重复，该项自评得6分。</w:t>
      </w:r>
    </w:p>
    <w:p w14:paraId="25FEEDA2">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2.项目管理。（1）制度办法。资金管理体系健全完善，不存在管理制度缺失、管理办法过期情况，该项自评得2分。（2）分配管理。本项目资金分配因素选取充分考虑公安事业发展实际和发展需求；资金分配因素的权重设置有效突出项目实施重点；资金区域分布结果公平合理。项目资金的分配严格按照财务管理办法执行，资金使用全程监控，使用合理合规。该项自评得10分。（3）绩效监管。本项目严格按照中央和省、市要求全面完成绩效目标（含事前评估）、绩效评价、以前年度问题整改等预算绩效管理工作；市公安局绩效管理小组全过程对业务部门使用项目经费开展评价、监督、指导等工作，该项自评得6分。</w:t>
      </w:r>
    </w:p>
    <w:p w14:paraId="2430AD26">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3.项目实施。（1）预算执行。本项目是由市财政资金全额保障，该项指标得分=财政资金拨付率×100%×6=6，该项自评得6分。（2）资金使用。项目资金使用、拨付是符合国家财经法规、财务管理制度及有关专项资金管理制度办法规定和审批程序，坚持项目资金专款专用，未存在截留、挤占、挪用、虚列支出等情况，该项自评得3分。</w:t>
      </w:r>
    </w:p>
    <w:p w14:paraId="46F69E54">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4.项目结果。（1）目标完成。该项指标得分=实际完成目标任务量÷首次批复立项设定绩效目标任务总量×100%×6=6，该项自评得6分。（2）完成时效。该项指标得分=（1-(实际完成时间-计划完成时间)÷计划完成时间）×100%×3=3，该项自评得3分。</w:t>
      </w:r>
    </w:p>
    <w:p w14:paraId="718467A5">
      <w:pPr>
        <w:adjustRightInd w:val="0"/>
        <w:snapToGrid w:val="0"/>
        <w:spacing w:line="600" w:lineRule="exact"/>
        <w:ind w:firstLine="720"/>
        <w:rPr>
          <w:rFonts w:ascii="仿宋_GB2312" w:hAnsi="仿宋_GB2312" w:eastAsia="仿宋_GB2312" w:cs="仿宋_GB2312"/>
          <w:sz w:val="32"/>
          <w:szCs w:val="32"/>
        </w:rPr>
      </w:pPr>
      <w:r>
        <w:rPr>
          <w:rFonts w:hint="eastAsia" w:ascii="楷体_GB2312" w:hAnsi="宋体" w:eastAsia="楷体_GB2312"/>
          <w:b/>
          <w:sz w:val="32"/>
          <w:szCs w:val="32"/>
          <w:lang w:val="zh-CN"/>
        </w:rPr>
        <w:t>（二）专用指标</w:t>
      </w:r>
      <w:r>
        <w:rPr>
          <w:rFonts w:ascii="楷体_GB2312" w:hAnsi="宋体" w:eastAsia="楷体_GB2312"/>
          <w:b/>
          <w:sz w:val="32"/>
          <w:szCs w:val="32"/>
          <w:lang w:val="zh-CN"/>
        </w:rPr>
        <w:t>绩效分析。</w:t>
      </w:r>
      <w:r>
        <w:rPr>
          <w:rFonts w:hint="eastAsia" w:ascii="仿宋_GB2312" w:hAnsi="仿宋_GB2312" w:eastAsia="仿宋_GB2312" w:cs="仿宋_GB2312"/>
          <w:sz w:val="32"/>
          <w:szCs w:val="32"/>
        </w:rPr>
        <w:t>本项目行政运转类项目。项目由市公安局警务保障处进行综合管理，设立专职会计、出纳等岗位，做到专人专司财务管理职责；项目资金使用严格按照财务管理制度要求，确保发生的每一笔支出的真实可靠、合法合规。市公安局机关纪委、审计处成立项目核查专班，定期核查项目资金支出情况，使其发挥最大效益。该项自评得30分。</w:t>
      </w:r>
    </w:p>
    <w:p w14:paraId="1984B7F8">
      <w:pPr>
        <w:spacing w:line="578" w:lineRule="exact"/>
        <w:ind w:firstLine="640"/>
        <w:rPr>
          <w:rFonts w:ascii="仿宋_GB2312" w:hAnsi="仿宋_GB2312" w:eastAsia="仿宋_GB2312" w:cs="仿宋_GB2312"/>
          <w:sz w:val="32"/>
          <w:szCs w:val="32"/>
        </w:rPr>
      </w:pPr>
      <w:r>
        <w:rPr>
          <w:rFonts w:hint="eastAsia" w:ascii="楷体_GB2312" w:hAnsi="宋体" w:eastAsia="楷体_GB2312"/>
          <w:b/>
          <w:sz w:val="32"/>
          <w:szCs w:val="32"/>
          <w:lang w:val="zh-CN"/>
        </w:rPr>
        <w:t>（三）个性指标</w:t>
      </w:r>
      <w:r>
        <w:rPr>
          <w:rFonts w:ascii="楷体_GB2312" w:hAnsi="宋体" w:eastAsia="楷体_GB2312"/>
          <w:b/>
          <w:sz w:val="32"/>
          <w:szCs w:val="32"/>
          <w:lang w:val="zh-CN"/>
        </w:rPr>
        <w:t>绩效分析。</w:t>
      </w:r>
      <w:r>
        <w:rPr>
          <w:rFonts w:hint="eastAsia" w:ascii="仿宋_GB2312" w:hAnsi="仿宋_GB2312" w:eastAsia="仿宋_GB2312" w:cs="仿宋_GB2312"/>
          <w:sz w:val="32"/>
          <w:szCs w:val="32"/>
        </w:rPr>
        <w:t>根据本项目的实际，项目选取项目效益个性指标，包含对监所安全有序、社会治安稳定等2个三级指标。根据项目实施的实际效果，采取是否评分法，经自评，该项自评得16分。</w:t>
      </w:r>
    </w:p>
    <w:p w14:paraId="2E7C96A9">
      <w:pPr>
        <w:adjustRightInd w:val="0"/>
        <w:snapToGrid w:val="0"/>
        <w:spacing w:line="580" w:lineRule="exact"/>
        <w:ind w:firstLine="720"/>
        <w:outlineLvl w:val="1"/>
        <w:rPr>
          <w:rFonts w:ascii="黑体" w:hAnsi="黑体" w:eastAsia="黑体" w:cs="黑体"/>
          <w:bCs/>
          <w:sz w:val="32"/>
          <w:szCs w:val="32"/>
        </w:rPr>
      </w:pPr>
      <w:bookmarkStart w:id="136" w:name="_Toc2369"/>
      <w:r>
        <w:rPr>
          <w:rFonts w:hint="eastAsia" w:ascii="黑体" w:hAnsi="黑体" w:eastAsia="黑体" w:cs="黑体"/>
          <w:bCs/>
          <w:sz w:val="32"/>
          <w:szCs w:val="32"/>
        </w:rPr>
        <w:t>四、评价结论</w:t>
      </w:r>
      <w:bookmarkEnd w:id="136"/>
    </w:p>
    <w:p w14:paraId="4D6919EC">
      <w:pPr>
        <w:pStyle w:val="5"/>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项目实施有效提升了辅警工作人员的技能，增强了对维护社会治安的辅助作用，带动了就业率，促进了社会和谐稳定及队伍稳定，辅警满意度进一步提高。经自评，该项目自评得分100分。</w:t>
      </w:r>
    </w:p>
    <w:p w14:paraId="2EFA5223">
      <w:pPr>
        <w:adjustRightInd w:val="0"/>
        <w:snapToGrid w:val="0"/>
        <w:spacing w:line="580" w:lineRule="exact"/>
        <w:ind w:firstLine="720"/>
        <w:outlineLvl w:val="1"/>
        <w:rPr>
          <w:rFonts w:ascii="黑体" w:hAnsi="黑体" w:eastAsia="黑体" w:cs="黑体"/>
          <w:bCs/>
          <w:sz w:val="32"/>
          <w:szCs w:val="32"/>
        </w:rPr>
      </w:pPr>
      <w:bookmarkStart w:id="137" w:name="_Toc9836"/>
      <w:r>
        <w:rPr>
          <w:rFonts w:hint="eastAsia" w:ascii="黑体" w:hAnsi="黑体" w:eastAsia="黑体" w:cs="黑体"/>
          <w:bCs/>
          <w:sz w:val="32"/>
          <w:szCs w:val="32"/>
        </w:rPr>
        <w:t>五、存在主要问题</w:t>
      </w:r>
      <w:bookmarkEnd w:id="137"/>
    </w:p>
    <w:p w14:paraId="351B3423">
      <w:pPr>
        <w:pStyle w:val="5"/>
        <w:spacing w:line="600" w:lineRule="exact"/>
        <w:ind w:firstLine="640" w:firstLineChars="200"/>
        <w:rPr>
          <w:rFonts w:ascii="黑体" w:hAnsi="黑体" w:cs="黑体"/>
          <w:sz w:val="32"/>
          <w:szCs w:val="32"/>
        </w:rPr>
      </w:pPr>
      <w:r>
        <w:rPr>
          <w:rFonts w:hint="eastAsia" w:ascii="仿宋_GB2312" w:hAnsi="仿宋_GB2312" w:eastAsia="仿宋_GB2312" w:cs="仿宋_GB2312"/>
          <w:sz w:val="32"/>
          <w:szCs w:val="32"/>
        </w:rPr>
        <w:t>无。</w:t>
      </w:r>
    </w:p>
    <w:p w14:paraId="40D48B02">
      <w:pPr>
        <w:adjustRightInd w:val="0"/>
        <w:snapToGrid w:val="0"/>
        <w:spacing w:line="580" w:lineRule="exact"/>
        <w:ind w:firstLine="720"/>
        <w:outlineLvl w:val="1"/>
        <w:rPr>
          <w:rFonts w:ascii="黑体" w:hAnsi="黑体" w:eastAsia="黑体" w:cs="黑体"/>
          <w:bCs/>
          <w:sz w:val="32"/>
          <w:szCs w:val="32"/>
        </w:rPr>
      </w:pPr>
      <w:bookmarkStart w:id="138" w:name="_Toc14087"/>
      <w:r>
        <w:rPr>
          <w:rFonts w:hint="eastAsia" w:ascii="黑体" w:hAnsi="黑体" w:eastAsia="黑体" w:cs="黑体"/>
          <w:bCs/>
          <w:sz w:val="32"/>
          <w:szCs w:val="32"/>
        </w:rPr>
        <w:t>六、改进建议</w:t>
      </w:r>
      <w:bookmarkEnd w:id="138"/>
    </w:p>
    <w:p w14:paraId="409629AB">
      <w:pPr>
        <w:pStyle w:val="5"/>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建议市财政根据公安业务工作的实际，适当提高辅警专项经费的预算，进一步确保公安业务工作的高效开展。</w:t>
      </w:r>
    </w:p>
    <w:p w14:paraId="28675685">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广元市公安局</w:t>
      </w:r>
    </w:p>
    <w:p w14:paraId="77130E3B">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民警法定节假日之外加班补贴项目</w:t>
      </w:r>
    </w:p>
    <w:p w14:paraId="1C260979">
      <w:pPr>
        <w:pStyle w:val="28"/>
        <w:spacing w:line="578" w:lineRule="exact"/>
        <w:ind w:firstLine="640"/>
        <w:jc w:val="center"/>
        <w:rPr>
          <w:rFonts w:ascii="宋体" w:hAnsi="宋体"/>
          <w:color w:val="auto"/>
          <w:kern w:val="2"/>
          <w:sz w:val="32"/>
          <w:szCs w:val="32"/>
        </w:rPr>
      </w:pPr>
      <w:r>
        <w:rPr>
          <w:rFonts w:hint="eastAsia" w:ascii="方正小标宋简体" w:hAnsi="方正小标宋简体" w:eastAsia="方正小标宋简体" w:cs="方正小标宋简体"/>
          <w:color w:val="auto"/>
          <w:kern w:val="2"/>
          <w:sz w:val="44"/>
          <w:szCs w:val="44"/>
          <w:lang w:val="en-US"/>
        </w:rPr>
        <w:t>绩效评价报告</w:t>
      </w:r>
    </w:p>
    <w:p w14:paraId="043D6DE5">
      <w:pPr>
        <w:adjustRightInd w:val="0"/>
        <w:snapToGrid w:val="0"/>
        <w:spacing w:line="580" w:lineRule="exact"/>
        <w:ind w:firstLine="720"/>
        <w:outlineLvl w:val="1"/>
        <w:rPr>
          <w:rFonts w:ascii="黑体" w:hAnsi="黑体" w:eastAsia="黑体" w:cs="黑体"/>
          <w:bCs/>
          <w:sz w:val="32"/>
          <w:szCs w:val="32"/>
        </w:rPr>
      </w:pPr>
      <w:bookmarkStart w:id="139" w:name="_Toc12242"/>
      <w:r>
        <w:rPr>
          <w:rFonts w:hint="eastAsia" w:ascii="黑体" w:hAnsi="黑体" w:eastAsia="黑体" w:cs="黑体"/>
          <w:bCs/>
          <w:sz w:val="32"/>
          <w:szCs w:val="32"/>
        </w:rPr>
        <w:t>一、项目概况</w:t>
      </w:r>
      <w:bookmarkEnd w:id="139"/>
    </w:p>
    <w:p w14:paraId="0DB4F6D1">
      <w:pPr>
        <w:adjustRightInd w:val="0"/>
        <w:snapToGrid w:val="0"/>
        <w:spacing w:line="600" w:lineRule="exact"/>
        <w:ind w:firstLine="720"/>
        <w:rPr>
          <w:rFonts w:ascii="仿宋_GB2312" w:hAnsi="仿宋_GB2312" w:eastAsia="仿宋_GB2312" w:cs="仿宋_GB2312"/>
          <w:sz w:val="32"/>
          <w:szCs w:val="32"/>
        </w:rPr>
      </w:pPr>
      <w:r>
        <w:rPr>
          <w:rFonts w:hint="eastAsia" w:ascii="楷体_GB2312" w:hAnsi="宋体" w:eastAsia="楷体_GB2312"/>
          <w:b/>
          <w:sz w:val="32"/>
          <w:szCs w:val="32"/>
          <w:lang w:val="zh-CN"/>
        </w:rPr>
        <w:t>（一）设立背景及基本情况。</w:t>
      </w:r>
      <w:r>
        <w:rPr>
          <w:rFonts w:hint="eastAsia" w:ascii="仿宋_GB2312" w:hAnsi="仿宋_GB2312" w:eastAsia="仿宋_GB2312" w:cs="仿宋_GB2312"/>
          <w:sz w:val="32"/>
          <w:szCs w:val="32"/>
        </w:rPr>
        <w:t>根据《人力资源社会保障部 财政部关于执行人民警察法定工作日之外加班补贴有关问题的通知》人社部规{2017}19号文件规定，对市公安局民警法定节假日之外加班补贴项目进行立项申报。市公安局警务保障处、政治部人事处共同对该项目实施进行管理，坚持考核上网，严格按照规定的范围支持和审核支付。</w:t>
      </w:r>
    </w:p>
    <w:p w14:paraId="031486BC">
      <w:pPr>
        <w:adjustRightInd w:val="0"/>
        <w:snapToGrid w:val="0"/>
        <w:spacing w:line="578" w:lineRule="exact"/>
        <w:ind w:firstLine="643" w:firstLineChars="200"/>
        <w:rPr>
          <w:rFonts w:ascii="仿宋_GB2312" w:hAnsi="仿宋_GB2312" w:eastAsia="仿宋_GB2312" w:cs="仿宋_GB2312"/>
          <w:sz w:val="32"/>
          <w:szCs w:val="32"/>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r>
        <w:rPr>
          <w:rFonts w:hint="eastAsia" w:ascii="楷体_GB2312" w:hAnsi="宋体" w:eastAsia="楷体_GB2312"/>
          <w:b/>
          <w:sz w:val="32"/>
          <w:szCs w:val="32"/>
          <w:lang w:val="zh-CN"/>
        </w:rPr>
        <w:t>。</w:t>
      </w:r>
      <w:r>
        <w:rPr>
          <w:rFonts w:hint="eastAsia" w:ascii="仿宋_GB2312" w:hAnsi="仿宋_GB2312" w:eastAsia="仿宋_GB2312" w:cs="仿宋_GB2312"/>
          <w:sz w:val="32"/>
          <w:szCs w:val="32"/>
        </w:rPr>
        <w:t>各级人力资源社会保障、财政部门按照月人均710元和本级各相关单位的国家政法专项编制内人民警察实有人数预算，对人民警察法定工作日之外加班给予补助。项目严格按照广元市公安局《预算绩效管理办法（试行）》《机关财务管理办法》对项目资金执行情况进行全覆盖绩效监控，坚持专款专用，切实发挥好财政资金效益。</w:t>
      </w:r>
    </w:p>
    <w:p w14:paraId="0D74502A">
      <w:pPr>
        <w:adjustRightInd w:val="0"/>
        <w:snapToGrid w:val="0"/>
        <w:spacing w:line="600" w:lineRule="exact"/>
        <w:ind w:firstLine="720"/>
        <w:rPr>
          <w:rFonts w:ascii="仿宋_GB2312" w:hAnsi="仿宋_GB2312" w:eastAsia="仿宋_GB2312" w:cs="仿宋_GB2312"/>
          <w:sz w:val="32"/>
          <w:szCs w:val="32"/>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r>
        <w:rPr>
          <w:rFonts w:hint="eastAsia" w:ascii="楷体_GB2312" w:hAnsi="宋体" w:eastAsia="楷体_GB2312"/>
          <w:b/>
          <w:sz w:val="32"/>
          <w:szCs w:val="32"/>
          <w:lang w:val="zh-CN"/>
        </w:rPr>
        <w:t>。</w:t>
      </w:r>
      <w:r>
        <w:rPr>
          <w:rFonts w:hint="eastAsia" w:ascii="仿宋_GB2312" w:hAnsi="仿宋_GB2312" w:eastAsia="仿宋_GB2312" w:cs="仿宋_GB2312"/>
          <w:sz w:val="32"/>
          <w:szCs w:val="32"/>
        </w:rPr>
        <w:t>2023年市公安局按照月人均710元的标准和实有政法专项编制民警数向市财政局申报了民警法定节假日之外加班补贴项目资金397.03万元，经人大批准，财政批复资金397.03万元。项目资金全部用于对市公安局本级466名人民警察实际法定节假日之外补助的发放，资金使用合规合法，与预算相符，执行率100%。</w:t>
      </w:r>
    </w:p>
    <w:p w14:paraId="0DC8A21B">
      <w:pPr>
        <w:adjustRightInd w:val="0"/>
        <w:snapToGrid w:val="0"/>
        <w:spacing w:line="578" w:lineRule="exact"/>
        <w:ind w:firstLine="643" w:firstLineChars="200"/>
        <w:rPr>
          <w:rFonts w:ascii="仿宋_GB2312" w:hAnsi="仿宋_GB2312" w:eastAsia="仿宋_GB2312" w:cs="仿宋_GB2312"/>
          <w:sz w:val="32"/>
          <w:szCs w:val="32"/>
        </w:rPr>
      </w:pPr>
      <w:r>
        <w:rPr>
          <w:rFonts w:hint="eastAsia" w:ascii="楷体_GB2312" w:hAnsi="宋体" w:eastAsia="楷体_GB2312"/>
          <w:b/>
          <w:sz w:val="32"/>
          <w:szCs w:val="32"/>
          <w:lang w:val="zh-CN"/>
        </w:rPr>
        <w:t>（四）项目绩效目标设置。</w:t>
      </w:r>
      <w:r>
        <w:rPr>
          <w:rFonts w:hint="eastAsia" w:ascii="仿宋_GB2312" w:hAnsi="仿宋_GB2312" w:eastAsia="仿宋_GB2312" w:cs="仿宋_GB2312"/>
          <w:sz w:val="32"/>
          <w:szCs w:val="32"/>
        </w:rPr>
        <w:t>本项目设置了产出指标、效益指标、成本指标和满意度指标4个一级指标，数量指标、质量指标、时效指标等9个二级指标，完成维稳人次、完成安保执勤任务等15个三级指标。按照年初既定目标，认真开展预算绩效自评，对指标完成情况进行梳理填报，自评情况良好。</w:t>
      </w:r>
    </w:p>
    <w:p w14:paraId="16AF27FF">
      <w:pPr>
        <w:adjustRightInd w:val="0"/>
        <w:snapToGrid w:val="0"/>
        <w:spacing w:line="580" w:lineRule="exact"/>
        <w:ind w:firstLine="720"/>
        <w:outlineLvl w:val="1"/>
        <w:rPr>
          <w:rFonts w:ascii="黑体" w:hAnsi="黑体" w:eastAsia="黑体" w:cs="黑体"/>
          <w:bCs/>
          <w:sz w:val="32"/>
          <w:szCs w:val="32"/>
        </w:rPr>
      </w:pPr>
      <w:bookmarkStart w:id="140" w:name="_Toc23757"/>
      <w:r>
        <w:rPr>
          <w:rFonts w:hint="eastAsia" w:ascii="黑体" w:hAnsi="黑体" w:eastAsia="黑体" w:cs="黑体"/>
          <w:bCs/>
          <w:sz w:val="32"/>
          <w:szCs w:val="32"/>
        </w:rPr>
        <w:t>二、评价实施</w:t>
      </w:r>
      <w:bookmarkEnd w:id="140"/>
    </w:p>
    <w:p w14:paraId="167A43A9">
      <w:pPr>
        <w:spacing w:line="578" w:lineRule="exact"/>
        <w:ind w:firstLine="640"/>
        <w:rPr>
          <w:rFonts w:ascii="仿宋_GB2312" w:hAnsi="仿宋_GB2312" w:eastAsia="仿宋_GB2312" w:cs="仿宋_GB2312"/>
          <w:sz w:val="32"/>
          <w:szCs w:val="32"/>
        </w:rPr>
      </w:pPr>
      <w:r>
        <w:rPr>
          <w:rFonts w:hint="eastAsia" w:ascii="楷体_GB2312" w:hAnsi="宋体" w:eastAsia="楷体_GB2312"/>
          <w:b/>
          <w:sz w:val="32"/>
          <w:szCs w:val="32"/>
          <w:lang w:val="zh-CN"/>
        </w:rPr>
        <w:t>（一）评价目的。</w:t>
      </w:r>
      <w:r>
        <w:rPr>
          <w:rFonts w:ascii="仿宋_GB2312" w:hAnsi="仿宋_GB2312" w:eastAsia="仿宋_GB2312" w:cs="仿宋_GB2312"/>
          <w:sz w:val="32"/>
          <w:szCs w:val="32"/>
        </w:rPr>
        <w:t>通过</w:t>
      </w:r>
      <w:r>
        <w:rPr>
          <w:rFonts w:hint="eastAsia" w:ascii="仿宋_GB2312" w:hAnsi="仿宋_GB2312" w:eastAsia="仿宋_GB2312" w:cs="仿宋_GB2312"/>
          <w:sz w:val="32"/>
          <w:szCs w:val="32"/>
        </w:rPr>
        <w:t>项目绩效自评提高财政资金的使用效益，确保资金得到合理有效的利用；进一步加强预算执行进度的监督管理，及时发现该项目预算执行中存在的问题并做出相应的解决措施，为来年该项目的申报提供科学合理的标准。</w:t>
      </w:r>
    </w:p>
    <w:p w14:paraId="4C997E55">
      <w:pPr>
        <w:adjustRightInd w:val="0"/>
        <w:snapToGrid w:val="0"/>
        <w:spacing w:line="600" w:lineRule="exact"/>
        <w:ind w:firstLine="720"/>
        <w:rPr>
          <w:rFonts w:ascii="仿宋_GB2312" w:hAnsi="仿宋_GB2312" w:eastAsia="仿宋_GB2312" w:cs="仿宋_GB2312"/>
          <w:sz w:val="32"/>
          <w:szCs w:val="32"/>
        </w:rPr>
      </w:pPr>
      <w:r>
        <w:rPr>
          <w:rFonts w:hint="eastAsia" w:ascii="楷体_GB2312" w:hAnsi="宋体" w:eastAsia="楷体_GB2312"/>
          <w:b/>
          <w:sz w:val="32"/>
          <w:szCs w:val="32"/>
          <w:lang w:val="zh-CN"/>
        </w:rPr>
        <w:t>（二）预设问题及评价重点。</w:t>
      </w:r>
      <w:r>
        <w:rPr>
          <w:rFonts w:hint="eastAsia" w:ascii="仿宋_GB2312" w:hAnsi="仿宋_GB2312" w:eastAsia="仿宋_GB2312" w:cs="仿宋_GB2312"/>
          <w:sz w:val="32"/>
          <w:szCs w:val="32"/>
        </w:rPr>
        <w:t>本项目预设“受益人是否明确，操作性如何？”，该项目受益人是按照市委组织部核定的国家政法专项编制民警，同时由市财政局实核实际在岗民警数，市公安局根据核定的编制数实行考核发放，考核由市公安局人事处负责，考核结果上网公示，由市公安局警务保障处对项目资金综合管理，设立专职会计、出纳等岗位。项目受益人明确，项目资金专款专用，达到了财政资金的预期使用效果。</w:t>
      </w:r>
    </w:p>
    <w:p w14:paraId="56D6434A">
      <w:pPr>
        <w:adjustRightInd w:val="0"/>
        <w:snapToGrid w:val="0"/>
        <w:spacing w:line="578" w:lineRule="exact"/>
        <w:ind w:firstLine="643" w:firstLineChars="200"/>
        <w:rPr>
          <w:lang w:val="zh-CN"/>
        </w:rPr>
      </w:pPr>
      <w:r>
        <w:rPr>
          <w:rFonts w:hint="eastAsia" w:ascii="楷体_GB2312" w:hAnsi="宋体" w:eastAsia="楷体_GB2312"/>
          <w:b/>
          <w:sz w:val="32"/>
          <w:szCs w:val="32"/>
          <w:lang w:val="zh-CN"/>
        </w:rPr>
        <w:t>（三）评价选点。</w:t>
      </w:r>
      <w:r>
        <w:rPr>
          <w:rFonts w:hint="eastAsia" w:ascii="仿宋_GB2312" w:hAnsi="仿宋_GB2312" w:eastAsia="仿宋_GB2312" w:cs="仿宋_GB2312"/>
          <w:sz w:val="32"/>
          <w:szCs w:val="32"/>
        </w:rPr>
        <w:t>民警满意度。</w:t>
      </w:r>
    </w:p>
    <w:p w14:paraId="6553A14F">
      <w:pPr>
        <w:adjustRightInd w:val="0"/>
        <w:snapToGrid w:val="0"/>
        <w:spacing w:line="600" w:lineRule="exact"/>
        <w:ind w:firstLine="630" w:firstLineChars="196"/>
        <w:rPr>
          <w:rFonts w:ascii="仿宋_GB2312" w:hAnsi="仿宋"/>
        </w:rPr>
      </w:pPr>
      <w:r>
        <w:rPr>
          <w:rFonts w:hint="eastAsia" w:ascii="楷体_GB2312" w:hAnsi="宋体" w:eastAsia="楷体_GB2312"/>
          <w:b/>
          <w:sz w:val="32"/>
          <w:szCs w:val="32"/>
          <w:lang w:val="zh-CN"/>
        </w:rPr>
        <w:t>（四）评价方法。</w:t>
      </w:r>
      <w:r>
        <w:rPr>
          <w:rFonts w:ascii="仿宋_GB2312" w:hAnsi="仿宋_GB2312" w:eastAsia="仿宋_GB2312" w:cs="仿宋_GB2312"/>
          <w:sz w:val="32"/>
          <w:szCs w:val="32"/>
        </w:rPr>
        <w:t>根据项目情况和评价重点，</w:t>
      </w:r>
      <w:r>
        <w:rPr>
          <w:rFonts w:hint="eastAsia" w:ascii="仿宋_GB2312" w:hAnsi="仿宋_GB2312" w:eastAsia="仿宋_GB2312" w:cs="仿宋_GB2312"/>
          <w:sz w:val="32"/>
          <w:szCs w:val="32"/>
        </w:rPr>
        <w:t>结合实际受益人均为我单位在编民警的实际情况，我单位采取</w:t>
      </w:r>
      <w:r>
        <w:rPr>
          <w:rFonts w:ascii="仿宋_GB2312" w:hAnsi="仿宋_GB2312" w:eastAsia="仿宋_GB2312" w:cs="仿宋_GB2312"/>
          <w:sz w:val="32"/>
          <w:szCs w:val="32"/>
        </w:rPr>
        <w:t>单位自评法</w:t>
      </w:r>
      <w:r>
        <w:rPr>
          <w:rFonts w:hint="eastAsia" w:ascii="仿宋_GB2312" w:hAnsi="仿宋_GB2312" w:eastAsia="仿宋_GB2312" w:cs="仿宋_GB2312"/>
          <w:sz w:val="32"/>
          <w:szCs w:val="32"/>
        </w:rPr>
        <w:t>对该项目预算绩效开展自评。</w:t>
      </w:r>
    </w:p>
    <w:p w14:paraId="39875D06">
      <w:pPr>
        <w:spacing w:line="578" w:lineRule="exact"/>
        <w:ind w:firstLine="640"/>
        <w:rPr>
          <w:rFonts w:ascii="仿宋_GB2312" w:hAnsi="仿宋_GB2312" w:eastAsia="仿宋_GB2312" w:cs="仿宋_GB2312"/>
          <w:sz w:val="32"/>
          <w:szCs w:val="32"/>
        </w:rPr>
      </w:pPr>
      <w:r>
        <w:rPr>
          <w:rFonts w:hint="eastAsia" w:ascii="楷体_GB2312" w:hAnsi="宋体" w:eastAsia="楷体_GB2312"/>
          <w:b/>
          <w:sz w:val="32"/>
          <w:szCs w:val="32"/>
          <w:lang w:val="zh-CN"/>
        </w:rPr>
        <w:t>（五）评价组织。</w:t>
      </w:r>
      <w:r>
        <w:rPr>
          <w:rFonts w:hint="eastAsia" w:ascii="仿宋_GB2312" w:hAnsi="仿宋_GB2312" w:eastAsia="仿宋_GB2312" w:cs="仿宋_GB2312"/>
          <w:sz w:val="32"/>
          <w:szCs w:val="32"/>
        </w:rPr>
        <w:t>按照广元市公安局《预算绩效管理办法（试行）》，该项目自评工作由市公安局警务保障处牵头，人事处协助，围绕总体目标、绩效指标的完成情况及使用效益开展。</w:t>
      </w:r>
    </w:p>
    <w:p w14:paraId="1A99D219">
      <w:pPr>
        <w:adjustRightInd w:val="0"/>
        <w:snapToGrid w:val="0"/>
        <w:spacing w:line="580" w:lineRule="exact"/>
        <w:ind w:firstLine="720"/>
        <w:outlineLvl w:val="1"/>
        <w:rPr>
          <w:rFonts w:ascii="黑体" w:hAnsi="黑体" w:eastAsia="黑体" w:cs="黑体"/>
          <w:bCs/>
          <w:sz w:val="32"/>
          <w:szCs w:val="32"/>
        </w:rPr>
      </w:pPr>
      <w:bookmarkStart w:id="141" w:name="_Toc2617"/>
      <w:r>
        <w:rPr>
          <w:rFonts w:hint="eastAsia" w:ascii="黑体" w:hAnsi="黑体" w:eastAsia="黑体" w:cs="黑体"/>
          <w:bCs/>
          <w:sz w:val="32"/>
          <w:szCs w:val="32"/>
        </w:rPr>
        <w:t>三、绩效分析</w:t>
      </w:r>
      <w:bookmarkEnd w:id="141"/>
      <w:r>
        <w:rPr>
          <w:rFonts w:hint="eastAsia" w:ascii="黑体" w:hAnsi="黑体" w:eastAsia="黑体" w:cs="黑体"/>
          <w:bCs/>
          <w:sz w:val="32"/>
          <w:szCs w:val="32"/>
        </w:rPr>
        <w:tab/>
      </w:r>
    </w:p>
    <w:p w14:paraId="1B739C5C">
      <w:pPr>
        <w:spacing w:line="578"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（一）通用指标</w:t>
      </w:r>
      <w:r>
        <w:rPr>
          <w:rFonts w:ascii="楷体_GB2312" w:hAnsi="宋体" w:eastAsia="楷体_GB2312"/>
          <w:b/>
          <w:sz w:val="32"/>
          <w:szCs w:val="32"/>
          <w:lang w:val="zh-CN"/>
        </w:rPr>
        <w:t>绩效分析。</w:t>
      </w:r>
    </w:p>
    <w:p w14:paraId="25C60912">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1.项目决策。（1）决策程序。该项目的设立、调整延续等方面符合资金管理基本规范和决策程序要求，该项自评得6分。（2）规划论证。本项目符合国务院有关部门决策部署安排，项目实施前开展了项目事前绩效评价，评估内容包含立项必要性、前瞻性、合理性和可行性；项目总体绩效目标设置合理性的偏离度≤15%；绩效目标科学合理、规范完整、量化细化、预算匹配。该项自评得6分。（3）资金投向。本项目属于政府支持范围，且符合财政事权支出责任划分规定，资金投向与项目总体规划、公安事业发展相匹配，未与其他同类项目或部门内部相关项目交叉重复，该项自评得6分。</w:t>
      </w:r>
    </w:p>
    <w:p w14:paraId="7462D83F">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2.项目管理。（1）制度办法。资金管理体系健全完善，不存在管理制度缺失、管理办法过期情况，该项自评得2分。（2）分配管理。本项目的分配依据《人力资源社会保障部 财政部关于执行人民警察法定工作日之外加班补贴有关问题的通知》人社部规{2017}19号文件规定，按照月人均710元的标准发放。该项自评得10分。（3）绩效监管。本项目严格按照中央和省、市要求全面完成绩效目标（含事前评估）、绩效评价、以前年度问题整改等预算绩效管理工作；市公安局绩效管理小组全过程对业务部门使用项目经费开展评价、监督、指导等工作，该项自评得6分。</w:t>
      </w:r>
    </w:p>
    <w:p w14:paraId="01AC34E5">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3.项目实施。（1）预算执行。本项目是由市财政资金全额保障，该项指标得分=财政资金拨付率×100%×6=6，该项自评得6分。（2）资金使用。项目资金的使用财务管理制度及有关专项资金管理制度办法规定和审批程序，全部用于市公安局在编民警法定节假日之外加班补贴，未存在截留、挤占、挪用、虚列支出等情况，该项自评得3分。</w:t>
      </w:r>
    </w:p>
    <w:p w14:paraId="72401A46">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4.项目结果。（1）目标完成。该项指标得分=实际完成目标任务量÷首次批复立项设定绩效目标任务总量×100%×6=6，该项自评得6分。（2）完成时效。该项指标得分=（1-(实际完成时间-计划完成时间)÷计划完成时间）×100%×3=3，该项自评得3分。</w:t>
      </w:r>
    </w:p>
    <w:p w14:paraId="010A701B">
      <w:pPr>
        <w:adjustRightInd w:val="0"/>
        <w:snapToGrid w:val="0"/>
        <w:spacing w:line="600" w:lineRule="exact"/>
        <w:ind w:firstLine="720"/>
        <w:rPr>
          <w:rFonts w:ascii="仿宋_GB2312" w:hAnsi="仿宋_GB2312" w:eastAsia="仿宋_GB2312" w:cs="仿宋_GB2312"/>
          <w:sz w:val="32"/>
          <w:szCs w:val="32"/>
        </w:rPr>
      </w:pPr>
      <w:r>
        <w:rPr>
          <w:rFonts w:hint="eastAsia" w:ascii="楷体_GB2312" w:hAnsi="宋体" w:eastAsia="楷体_GB2312"/>
          <w:b/>
          <w:sz w:val="32"/>
          <w:szCs w:val="32"/>
          <w:lang w:val="zh-CN"/>
        </w:rPr>
        <w:t>（二）专用指标</w:t>
      </w:r>
      <w:r>
        <w:rPr>
          <w:rFonts w:ascii="楷体_GB2312" w:hAnsi="宋体" w:eastAsia="楷体_GB2312"/>
          <w:b/>
          <w:sz w:val="32"/>
          <w:szCs w:val="32"/>
          <w:lang w:val="zh-CN"/>
        </w:rPr>
        <w:t>绩效分析。</w:t>
      </w:r>
      <w:r>
        <w:rPr>
          <w:rFonts w:hint="eastAsia" w:ascii="仿宋_GB2312" w:hAnsi="仿宋_GB2312" w:eastAsia="仿宋_GB2312" w:cs="仿宋_GB2312"/>
          <w:sz w:val="32"/>
          <w:szCs w:val="32"/>
        </w:rPr>
        <w:t>本项目行政运转类项目。本项目由市公安局警务保障处进行综合管理，人事处进行具体实施，严格考核，上网公示；项目资金使用严格按照财务管理制度要求，据实核发，真实可靠、合法合规。市公安局机关纪委、审计处定期审查，资金管理及使用均符合规定。该项自评得30分。</w:t>
      </w:r>
    </w:p>
    <w:p w14:paraId="7DF84C11">
      <w:pPr>
        <w:spacing w:line="578" w:lineRule="exact"/>
        <w:ind w:firstLine="640"/>
        <w:rPr>
          <w:rFonts w:ascii="仿宋_GB2312" w:hAnsi="仿宋_GB2312" w:eastAsia="仿宋_GB2312" w:cs="仿宋_GB2312"/>
          <w:sz w:val="32"/>
          <w:szCs w:val="32"/>
        </w:rPr>
      </w:pPr>
      <w:r>
        <w:rPr>
          <w:rFonts w:hint="eastAsia" w:ascii="楷体_GB2312" w:hAnsi="宋体" w:eastAsia="楷体_GB2312"/>
          <w:b/>
          <w:sz w:val="32"/>
          <w:szCs w:val="32"/>
          <w:lang w:val="zh-CN"/>
        </w:rPr>
        <w:t>（三）个性指标</w:t>
      </w:r>
      <w:r>
        <w:rPr>
          <w:rFonts w:ascii="楷体_GB2312" w:hAnsi="宋体" w:eastAsia="楷体_GB2312"/>
          <w:b/>
          <w:sz w:val="32"/>
          <w:szCs w:val="32"/>
          <w:lang w:val="zh-CN"/>
        </w:rPr>
        <w:t>绩效分析。</w:t>
      </w:r>
      <w:r>
        <w:rPr>
          <w:rFonts w:hint="eastAsia" w:ascii="仿宋_GB2312" w:hAnsi="仿宋_GB2312" w:eastAsia="仿宋_GB2312" w:cs="仿宋_GB2312"/>
          <w:sz w:val="32"/>
          <w:szCs w:val="32"/>
        </w:rPr>
        <w:t>项目设置了“持续发展”个性指标。经自评，项目实施切实提升了人民警察的幸福感和执行力，推动了公安工作的持续发展，对维护广元政治大局稳定，营商环境优良起到了重要作用。该项自评得16分。</w:t>
      </w:r>
    </w:p>
    <w:p w14:paraId="2B9D86FB">
      <w:pPr>
        <w:adjustRightInd w:val="0"/>
        <w:snapToGrid w:val="0"/>
        <w:spacing w:line="580" w:lineRule="exact"/>
        <w:ind w:firstLine="720"/>
        <w:outlineLvl w:val="1"/>
        <w:rPr>
          <w:rFonts w:ascii="黑体" w:hAnsi="黑体" w:eastAsia="黑体" w:cs="黑体"/>
          <w:bCs/>
          <w:sz w:val="32"/>
          <w:szCs w:val="32"/>
        </w:rPr>
      </w:pPr>
      <w:bookmarkStart w:id="142" w:name="_Toc13711"/>
      <w:r>
        <w:rPr>
          <w:rFonts w:hint="eastAsia" w:ascii="黑体" w:hAnsi="黑体" w:eastAsia="黑体" w:cs="黑体"/>
          <w:bCs/>
          <w:sz w:val="32"/>
          <w:szCs w:val="32"/>
        </w:rPr>
        <w:t>四、评价结论</w:t>
      </w:r>
      <w:bookmarkEnd w:id="142"/>
    </w:p>
    <w:p w14:paraId="392FABD1">
      <w:pPr>
        <w:pStyle w:val="5"/>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项目的实施保障了全局机关466名警察法定节假日之外加班补贴按时发放。经自评，该项目得100分。 </w:t>
      </w:r>
    </w:p>
    <w:p w14:paraId="4AED3B8D">
      <w:pPr>
        <w:adjustRightInd w:val="0"/>
        <w:snapToGrid w:val="0"/>
        <w:spacing w:line="580" w:lineRule="exact"/>
        <w:ind w:firstLine="720"/>
        <w:outlineLvl w:val="1"/>
        <w:rPr>
          <w:rFonts w:ascii="黑体" w:hAnsi="黑体" w:eastAsia="黑体" w:cs="黑体"/>
          <w:bCs/>
          <w:sz w:val="32"/>
          <w:szCs w:val="32"/>
        </w:rPr>
      </w:pPr>
      <w:bookmarkStart w:id="143" w:name="_Toc26285"/>
      <w:r>
        <w:rPr>
          <w:rFonts w:hint="eastAsia" w:ascii="黑体" w:hAnsi="黑体" w:eastAsia="黑体" w:cs="黑体"/>
          <w:bCs/>
          <w:sz w:val="32"/>
          <w:szCs w:val="32"/>
        </w:rPr>
        <w:t>五、存在主要问题</w:t>
      </w:r>
      <w:bookmarkEnd w:id="143"/>
    </w:p>
    <w:p w14:paraId="1F72461D">
      <w:pPr>
        <w:pStyle w:val="5"/>
        <w:spacing w:line="600" w:lineRule="exact"/>
        <w:ind w:firstLine="640" w:firstLineChars="200"/>
        <w:rPr>
          <w:rFonts w:ascii="黑体" w:hAnsi="黑体" w:cs="黑体"/>
          <w:sz w:val="32"/>
          <w:szCs w:val="32"/>
        </w:rPr>
      </w:pPr>
      <w:r>
        <w:rPr>
          <w:rFonts w:hint="eastAsia" w:ascii="仿宋_GB2312" w:hAnsi="仿宋_GB2312" w:eastAsia="仿宋_GB2312" w:cs="仿宋_GB2312"/>
          <w:sz w:val="32"/>
          <w:szCs w:val="32"/>
        </w:rPr>
        <w:t>无。</w:t>
      </w:r>
    </w:p>
    <w:p w14:paraId="7FA8278C">
      <w:pPr>
        <w:adjustRightInd w:val="0"/>
        <w:snapToGrid w:val="0"/>
        <w:spacing w:line="580" w:lineRule="exact"/>
        <w:ind w:firstLine="720"/>
        <w:outlineLvl w:val="1"/>
        <w:rPr>
          <w:rFonts w:ascii="黑体" w:hAnsi="黑体" w:eastAsia="黑体" w:cs="黑体"/>
          <w:bCs/>
          <w:sz w:val="32"/>
          <w:szCs w:val="32"/>
        </w:rPr>
      </w:pPr>
      <w:bookmarkStart w:id="144" w:name="_Toc4131"/>
      <w:r>
        <w:rPr>
          <w:rFonts w:hint="eastAsia" w:ascii="黑体" w:hAnsi="黑体" w:eastAsia="黑体" w:cs="黑体"/>
          <w:bCs/>
          <w:sz w:val="32"/>
          <w:szCs w:val="32"/>
        </w:rPr>
        <w:t>六、改进建议</w:t>
      </w:r>
      <w:bookmarkEnd w:id="144"/>
    </w:p>
    <w:p w14:paraId="1DB52AE1">
      <w:pPr>
        <w:pStyle w:val="5"/>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无。</w:t>
      </w:r>
    </w:p>
    <w:p w14:paraId="27221D1F">
      <w:pPr>
        <w:pStyle w:val="28"/>
        <w:spacing w:line="578" w:lineRule="exact"/>
        <w:jc w:val="center"/>
        <w:rPr>
          <w:rFonts w:ascii="方正小标宋简体" w:hAnsi="方正小标宋简体" w:eastAsia="方正小标宋简体" w:cs="方正小标宋简体"/>
          <w:color w:val="auto"/>
          <w:kern w:val="2"/>
          <w:sz w:val="44"/>
          <w:szCs w:val="44"/>
          <w:lang w:val="en-US"/>
        </w:rPr>
      </w:pPr>
    </w:p>
    <w:p w14:paraId="431D30C3">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广元市公安局</w:t>
      </w:r>
    </w:p>
    <w:p w14:paraId="482A74B7">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七盘关公安检查站运维费绩效评价报告</w:t>
      </w:r>
    </w:p>
    <w:p w14:paraId="0FD1B4A4">
      <w:pPr>
        <w:pStyle w:val="28"/>
        <w:spacing w:line="578" w:lineRule="exact"/>
        <w:ind w:firstLine="640"/>
        <w:jc w:val="center"/>
        <w:rPr>
          <w:rFonts w:ascii="宋体" w:hAnsi="宋体"/>
          <w:color w:val="auto"/>
          <w:kern w:val="2"/>
          <w:sz w:val="32"/>
          <w:szCs w:val="32"/>
        </w:rPr>
      </w:pPr>
    </w:p>
    <w:p w14:paraId="42FF6DC6">
      <w:pPr>
        <w:adjustRightInd w:val="0"/>
        <w:snapToGrid w:val="0"/>
        <w:spacing w:line="580" w:lineRule="exact"/>
        <w:ind w:firstLine="720"/>
        <w:outlineLvl w:val="1"/>
        <w:rPr>
          <w:rFonts w:ascii="黑体" w:hAnsi="黑体" w:eastAsia="黑体" w:cs="黑体"/>
          <w:bCs/>
          <w:sz w:val="32"/>
          <w:szCs w:val="32"/>
        </w:rPr>
      </w:pPr>
      <w:bookmarkStart w:id="145" w:name="_Toc6848"/>
      <w:r>
        <w:rPr>
          <w:rFonts w:hint="eastAsia" w:ascii="黑体" w:hAnsi="黑体" w:eastAsia="黑体" w:cs="黑体"/>
          <w:bCs/>
          <w:sz w:val="32"/>
          <w:szCs w:val="32"/>
        </w:rPr>
        <w:t>一、项目概况</w:t>
      </w:r>
      <w:bookmarkEnd w:id="145"/>
    </w:p>
    <w:p w14:paraId="5FED04C0">
      <w:pPr>
        <w:snapToGrid w:val="0"/>
        <w:spacing w:line="576" w:lineRule="exact"/>
        <w:ind w:firstLine="643" w:firstLineChars="200"/>
        <w:rPr>
          <w:rFonts w:ascii="仿宋_GB2312" w:hAnsi="仿宋_GB2312" w:eastAsia="仿宋_GB2312" w:cs="仿宋_GB2312"/>
          <w:sz w:val="32"/>
          <w:szCs w:val="32"/>
        </w:rPr>
      </w:pPr>
      <w:r>
        <w:rPr>
          <w:rFonts w:hint="eastAsia" w:ascii="楷体_GB2312" w:hAnsi="宋体" w:eastAsia="楷体_GB2312"/>
          <w:b/>
          <w:sz w:val="32"/>
          <w:szCs w:val="32"/>
          <w:lang w:val="zh-CN"/>
        </w:rPr>
        <w:t>（一）设立背景及基本情况。</w:t>
      </w:r>
      <w:r>
        <w:rPr>
          <w:rFonts w:hint="eastAsia" w:ascii="仿宋_GB2312" w:hAnsi="仿宋_GB2312" w:eastAsia="仿宋_GB2312" w:cs="仿宋_GB2312"/>
          <w:sz w:val="32"/>
          <w:szCs w:val="32"/>
        </w:rPr>
        <w:t>根据市委政府两办《关于进一步加强禁毒工作实施意见》（4号）和《中共广元市委机构编制委员会关于健全完善七盘关木鱼检查站机制体制的通知》（广编发[2016]39号）文件要求，结合七盘关公安检查工作实际，市公安局决定安排14名驻站警力开展日常查缉工作（其中市局民警9人，朝天5人），主要负责社会治安防控、毒品查缉、反恐防暴等工作，确保全市政治稳定、治安良好，人民群众的安全感、获得感、幸福感进一步提升，有效处置犯罪行为和不稳定因素，防止涉稳风险外溢，设立该项目。由市公安局对项目资金执行进度、项目资金使用情况进行监督，对资金的使用及报销进行审核。</w:t>
      </w:r>
    </w:p>
    <w:p w14:paraId="4FBAF943">
      <w:pPr>
        <w:snapToGrid w:val="0"/>
        <w:spacing w:line="576" w:lineRule="exact"/>
        <w:ind w:firstLine="643" w:firstLineChars="200"/>
        <w:rPr>
          <w:rFonts w:ascii="仿宋_GB2312" w:hAnsi="仿宋_GB2312" w:eastAsia="仿宋_GB2312" w:cs="仿宋_GB2312"/>
          <w:sz w:val="32"/>
          <w:szCs w:val="32"/>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r>
        <w:rPr>
          <w:rFonts w:hint="eastAsia" w:ascii="楷体_GB2312" w:hAnsi="宋体" w:eastAsia="楷体_GB2312"/>
          <w:b/>
          <w:sz w:val="32"/>
          <w:szCs w:val="32"/>
          <w:lang w:val="zh-CN"/>
        </w:rPr>
        <w:t>。</w:t>
      </w:r>
      <w:r>
        <w:rPr>
          <w:rFonts w:hint="eastAsia" w:ascii="仿宋_GB2312" w:hAnsi="仿宋_GB2312" w:eastAsia="仿宋_GB2312" w:cs="仿宋_GB2312"/>
          <w:sz w:val="32"/>
          <w:szCs w:val="32"/>
        </w:rPr>
        <w:t>项目主要用于2023年度七盘关公安检查站运行维护费，用于支付检查站水费、电费、天然气费、劳务费用、基础设施维修费、人证系统升级改造费及购买安全防护装备、购买执法记录仪、购买保障药品、购买查缉用品专用耗材等工作支出。</w:t>
      </w:r>
    </w:p>
    <w:p w14:paraId="090C7759">
      <w:pPr>
        <w:widowControl/>
        <w:adjustRightInd w:val="0"/>
        <w:snapToGrid w:val="0"/>
        <w:spacing w:line="578" w:lineRule="exact"/>
        <w:ind w:firstLine="643" w:firstLineChars="200"/>
        <w:contextualSpacing/>
        <w:jc w:val="left"/>
        <w:rPr>
          <w:rFonts w:ascii="仿宋_GB2312" w:hAnsi="仿宋_GB2312" w:eastAsia="仿宋_GB2312" w:cs="仿宋_GB2312"/>
          <w:sz w:val="32"/>
          <w:szCs w:val="32"/>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r>
        <w:rPr>
          <w:rFonts w:hint="eastAsia" w:ascii="楷体_GB2312" w:hAnsi="宋体" w:eastAsia="楷体_GB2312"/>
          <w:b/>
          <w:sz w:val="32"/>
          <w:szCs w:val="32"/>
          <w:lang w:val="zh-CN"/>
        </w:rPr>
        <w:t>。</w:t>
      </w:r>
      <w:r>
        <w:rPr>
          <w:rFonts w:hint="eastAsia" w:ascii="仿宋_GB2312" w:hAnsi="仿宋_GB2312" w:eastAsia="仿宋_GB2312" w:cs="仿宋_GB2312"/>
          <w:sz w:val="32"/>
          <w:szCs w:val="32"/>
        </w:rPr>
        <w:t>根据市委政府两办《关于进一步加强禁毒工作实施意见》（4号）、中共广元市委机构编制委员会关于健全完善七盘关木鱼检查站机制体制的通知》（广编发[2016]39号）文件及相关规定，制定了相应的预算安排，预算了2023年度七盘关检查站运行维护费21.50万元。检查站严格按照</w:t>
      </w:r>
      <w:r>
        <w:rPr>
          <w:rFonts w:ascii="仿宋_GB2312" w:hAnsi="仿宋_GB2312" w:eastAsia="仿宋_GB2312" w:cs="仿宋_GB2312"/>
          <w:sz w:val="32"/>
          <w:szCs w:val="32"/>
        </w:rPr>
        <w:t>《广元市公安局机关财务管理办法》</w:t>
      </w:r>
      <w:r>
        <w:rPr>
          <w:rFonts w:hint="eastAsia" w:ascii="仿宋_GB2312" w:hAnsi="仿宋_GB2312" w:eastAsia="仿宋_GB2312" w:cs="仿宋_GB2312"/>
          <w:sz w:val="32"/>
          <w:szCs w:val="32"/>
        </w:rPr>
        <w:t>规定的使用范围合理使用项目资金，每月在市局凭票报销。用于支付检查站水费、电费、天然气费、劳务费用、基础设施维修费、人证系统升级改造费及购买安全防护装备、购买执法记录仪、购买保障药品、购买查缉用品专用耗材等工作支出，共计21.50万元。</w:t>
      </w:r>
    </w:p>
    <w:p w14:paraId="6AD3D66D">
      <w:pPr>
        <w:adjustRightInd w:val="0"/>
        <w:snapToGrid w:val="0"/>
        <w:spacing w:line="578" w:lineRule="exact"/>
        <w:ind w:firstLine="643" w:firstLineChars="200"/>
        <w:rPr>
          <w:rFonts w:ascii="仿宋_GB2312" w:hAnsi="仿宋_GB2312" w:eastAsia="仿宋_GB2312" w:cs="仿宋_GB2312"/>
          <w:sz w:val="32"/>
          <w:szCs w:val="32"/>
        </w:rPr>
      </w:pPr>
      <w:r>
        <w:rPr>
          <w:rFonts w:hint="eastAsia" w:ascii="楷体_GB2312" w:hAnsi="宋体" w:eastAsia="楷体_GB2312"/>
          <w:b/>
          <w:sz w:val="32"/>
          <w:szCs w:val="32"/>
          <w:lang w:val="zh-CN"/>
        </w:rPr>
        <w:t>（四）项目绩效目标设置。</w:t>
      </w:r>
      <w:r>
        <w:rPr>
          <w:rFonts w:hint="eastAsia" w:ascii="仿宋_GB2312" w:hAnsi="仿宋_GB2312" w:eastAsia="仿宋_GB2312" w:cs="仿宋_GB2312"/>
          <w:sz w:val="32"/>
          <w:szCs w:val="32"/>
        </w:rPr>
        <w:t>由预算项目申报单位按照市财政局文件要求对项目绩效自评后，报市公安局主管部门对绩效自评情况进行部门审核。市公安局依照相关管理办法，组织警务保障处、审计处、市局纪委及经费预算申报项目单位等，严格按照市财政局项目绩效评价体系对项目进行审核，严格打分。</w:t>
      </w:r>
    </w:p>
    <w:p w14:paraId="4D074204">
      <w:pPr>
        <w:adjustRightInd w:val="0"/>
        <w:snapToGrid w:val="0"/>
        <w:spacing w:line="580" w:lineRule="exact"/>
        <w:ind w:firstLine="720"/>
        <w:outlineLvl w:val="1"/>
        <w:rPr>
          <w:rFonts w:ascii="黑体" w:hAnsi="黑体" w:eastAsia="黑体" w:cs="黑体"/>
          <w:bCs/>
          <w:sz w:val="32"/>
          <w:szCs w:val="32"/>
        </w:rPr>
      </w:pPr>
      <w:bookmarkStart w:id="146" w:name="_Toc28060"/>
      <w:r>
        <w:rPr>
          <w:rFonts w:hint="eastAsia" w:ascii="黑体" w:hAnsi="黑体" w:eastAsia="黑体" w:cs="黑体"/>
          <w:bCs/>
          <w:sz w:val="32"/>
          <w:szCs w:val="32"/>
        </w:rPr>
        <w:t>二、评价实施</w:t>
      </w:r>
      <w:bookmarkEnd w:id="146"/>
    </w:p>
    <w:p w14:paraId="51DBE4C3">
      <w:pPr>
        <w:spacing w:line="578" w:lineRule="exact"/>
        <w:ind w:firstLine="640"/>
        <w:rPr>
          <w:rFonts w:ascii="仿宋_GB2312" w:hAnsi="仿宋_GB2312" w:eastAsia="仿宋_GB2312" w:cs="仿宋_GB2312"/>
          <w:sz w:val="32"/>
          <w:szCs w:val="32"/>
        </w:rPr>
      </w:pPr>
      <w:r>
        <w:rPr>
          <w:rFonts w:hint="eastAsia" w:ascii="楷体_GB2312" w:hAnsi="宋体" w:eastAsia="楷体_GB2312"/>
          <w:b/>
          <w:sz w:val="32"/>
          <w:szCs w:val="32"/>
          <w:lang w:val="zh-CN"/>
        </w:rPr>
        <w:t>（一）评价目的。</w:t>
      </w:r>
      <w:r>
        <w:rPr>
          <w:rFonts w:ascii="仿宋_GB2312" w:hAnsi="仿宋_GB2312" w:eastAsia="仿宋_GB2312" w:cs="仿宋_GB2312"/>
          <w:sz w:val="32"/>
          <w:szCs w:val="32"/>
        </w:rPr>
        <w:t>通过</w:t>
      </w:r>
      <w:r>
        <w:rPr>
          <w:rFonts w:hint="eastAsia" w:ascii="仿宋_GB2312" w:hAnsi="仿宋_GB2312" w:eastAsia="仿宋_GB2312" w:cs="仿宋_GB2312"/>
          <w:sz w:val="32"/>
          <w:szCs w:val="32"/>
        </w:rPr>
        <w:t>项目绩效自评，对项目资金使用情况进行评估，及时发现可能存在的问题。</w:t>
      </w:r>
    </w:p>
    <w:p w14:paraId="3FD77D41">
      <w:pPr>
        <w:adjustRightInd w:val="0"/>
        <w:snapToGrid w:val="0"/>
        <w:spacing w:line="578" w:lineRule="exact"/>
        <w:ind w:firstLine="643" w:firstLineChars="200"/>
        <w:rPr>
          <w:rFonts w:ascii="仿宋_GB2312" w:hAnsi="仿宋_GB2312" w:eastAsia="仿宋_GB2312" w:cs="仿宋_GB2312"/>
          <w:sz w:val="32"/>
          <w:szCs w:val="32"/>
        </w:rPr>
      </w:pPr>
      <w:r>
        <w:rPr>
          <w:rFonts w:hint="eastAsia" w:ascii="楷体_GB2312" w:hAnsi="宋体" w:eastAsia="楷体_GB2312"/>
          <w:b/>
          <w:sz w:val="32"/>
          <w:szCs w:val="32"/>
          <w:lang w:val="zh-CN"/>
        </w:rPr>
        <w:t>（二）预设问题及评价重点。</w:t>
      </w:r>
      <w:r>
        <w:rPr>
          <w:rFonts w:hint="eastAsia" w:ascii="仿宋_GB2312" w:hAnsi="仿宋_GB2312" w:eastAsia="仿宋_GB2312" w:cs="仿宋_GB2312"/>
          <w:sz w:val="32"/>
          <w:szCs w:val="32"/>
        </w:rPr>
        <w:t>评价项目是否在预算范围内有效运作，包括成本效益分析和资源利用效率，对资金支出使用全过程及其实施效果进行重点评价和判断。</w:t>
      </w:r>
    </w:p>
    <w:p w14:paraId="218FA1B9">
      <w:pPr>
        <w:adjustRightInd w:val="0"/>
        <w:snapToGrid w:val="0"/>
        <w:spacing w:line="578" w:lineRule="exact"/>
        <w:ind w:firstLine="643" w:firstLineChars="200"/>
        <w:rPr>
          <w:rFonts w:ascii="仿宋_GB2312" w:hAnsi="仿宋_GB2312" w:eastAsia="仿宋_GB2312" w:cs="仿宋_GB2312"/>
          <w:sz w:val="32"/>
          <w:szCs w:val="32"/>
        </w:rPr>
      </w:pPr>
      <w:r>
        <w:rPr>
          <w:rFonts w:hint="eastAsia" w:ascii="楷体_GB2312" w:hAnsi="宋体" w:eastAsia="楷体_GB2312"/>
          <w:b/>
          <w:sz w:val="32"/>
          <w:szCs w:val="32"/>
          <w:lang w:val="zh-CN"/>
        </w:rPr>
        <w:t>（三）评价选点。</w:t>
      </w:r>
      <w:r>
        <w:rPr>
          <w:rFonts w:hint="eastAsia" w:ascii="仿宋_GB2312" w:hAnsi="仿宋_GB2312" w:eastAsia="仿宋_GB2312" w:cs="仿宋_GB2312"/>
          <w:sz w:val="32"/>
          <w:szCs w:val="32"/>
        </w:rPr>
        <w:t>项目绩效自评所抽样点位情况。</w:t>
      </w:r>
    </w:p>
    <w:p w14:paraId="093ED0FB">
      <w:pPr>
        <w:spacing w:line="578" w:lineRule="exact"/>
        <w:ind w:firstLine="640"/>
      </w:pPr>
      <w:r>
        <w:rPr>
          <w:rFonts w:hint="eastAsia" w:ascii="楷体_GB2312" w:hAnsi="宋体" w:eastAsia="楷体_GB2312"/>
          <w:b/>
          <w:sz w:val="32"/>
          <w:szCs w:val="32"/>
          <w:lang w:val="zh-CN"/>
        </w:rPr>
        <w:t>（四）评价方法。</w:t>
      </w:r>
      <w:r>
        <w:rPr>
          <w:rFonts w:hint="eastAsia" w:ascii="仿宋_GB2312" w:hAnsi="仿宋_GB2312" w:eastAsia="仿宋_GB2312" w:cs="仿宋_GB2312"/>
          <w:sz w:val="32"/>
          <w:szCs w:val="32"/>
        </w:rPr>
        <w:t>本项目通过与项目相关人员座谈或讨论</w:t>
      </w:r>
      <w:r>
        <w:rPr>
          <w:rFonts w:ascii="仿宋_GB2312" w:hAnsi="仿宋_GB2312" w:eastAsia="仿宋_GB2312" w:cs="仿宋_GB2312"/>
          <w:sz w:val="32"/>
          <w:szCs w:val="32"/>
        </w:rPr>
        <w:t>了解项目情况</w:t>
      </w:r>
      <w:r>
        <w:rPr>
          <w:rFonts w:hint="eastAsia" w:ascii="仿宋_GB2312" w:hAnsi="仿宋_GB2312" w:eastAsia="仿宋_GB2312" w:cs="仿宋_GB2312"/>
          <w:sz w:val="32"/>
          <w:szCs w:val="32"/>
        </w:rPr>
        <w:t>，收集相关资料，综合分析相关情况后，对项目的立项必要性、投入经济性、目标合理性、方案可行性以及筹资合规性实施评估。</w:t>
      </w:r>
    </w:p>
    <w:p w14:paraId="0C371F88">
      <w:pPr>
        <w:spacing w:line="578" w:lineRule="exact"/>
        <w:ind w:firstLine="640"/>
        <w:rPr>
          <w:rFonts w:ascii="仿宋_GB2312" w:hAnsi="仿宋_GB2312" w:eastAsia="仿宋_GB2312" w:cs="仿宋_GB2312"/>
          <w:sz w:val="32"/>
          <w:szCs w:val="32"/>
        </w:rPr>
      </w:pPr>
      <w:r>
        <w:rPr>
          <w:rFonts w:hint="eastAsia" w:ascii="楷体_GB2312" w:hAnsi="宋体" w:eastAsia="楷体_GB2312"/>
          <w:b/>
          <w:sz w:val="32"/>
          <w:szCs w:val="32"/>
          <w:lang w:val="zh-CN"/>
        </w:rPr>
        <w:t>（五）评价组织。</w:t>
      </w:r>
      <w:r>
        <w:rPr>
          <w:rFonts w:hint="eastAsia" w:ascii="仿宋_GB2312" w:hAnsi="仿宋_GB2312" w:eastAsia="仿宋_GB2312" w:cs="仿宋_GB2312"/>
          <w:sz w:val="32"/>
          <w:szCs w:val="32"/>
        </w:rPr>
        <w:t>广元市公安局七盘关关公安检查站成立了以主要负责人为组长的资金管理小组，严格执行资金管理办法等相关规定，对资金的使用范围、审批制度、报销流程作了严格规定。</w:t>
      </w:r>
    </w:p>
    <w:p w14:paraId="309E1553">
      <w:pPr>
        <w:adjustRightInd w:val="0"/>
        <w:snapToGrid w:val="0"/>
        <w:spacing w:line="580" w:lineRule="exact"/>
        <w:ind w:firstLine="720"/>
        <w:outlineLvl w:val="1"/>
        <w:rPr>
          <w:rFonts w:ascii="黑体" w:hAnsi="黑体" w:eastAsia="黑体" w:cs="黑体"/>
          <w:bCs/>
          <w:sz w:val="32"/>
          <w:szCs w:val="32"/>
        </w:rPr>
      </w:pPr>
      <w:bookmarkStart w:id="147" w:name="_Toc17880"/>
      <w:r>
        <w:rPr>
          <w:rFonts w:hint="eastAsia" w:ascii="黑体" w:hAnsi="黑体" w:eastAsia="黑体" w:cs="黑体"/>
          <w:bCs/>
          <w:sz w:val="32"/>
          <w:szCs w:val="32"/>
        </w:rPr>
        <w:t>三、绩效分析</w:t>
      </w:r>
      <w:bookmarkEnd w:id="147"/>
      <w:r>
        <w:rPr>
          <w:rFonts w:hint="eastAsia" w:ascii="黑体" w:hAnsi="黑体" w:eastAsia="黑体" w:cs="黑体"/>
          <w:bCs/>
          <w:sz w:val="32"/>
          <w:szCs w:val="32"/>
        </w:rPr>
        <w:tab/>
      </w:r>
    </w:p>
    <w:p w14:paraId="1B886C81">
      <w:pPr>
        <w:snapToGrid w:val="0"/>
        <w:spacing w:line="576" w:lineRule="exact"/>
        <w:ind w:firstLine="643" w:firstLineChars="200"/>
        <w:rPr>
          <w:rFonts w:eastAsia="楷体_GB2312"/>
          <w:b/>
          <w:bCs/>
          <w:color w:val="000000"/>
          <w:kern w:val="0"/>
          <w:shd w:val="clear" w:color="auto" w:fill="FFFFFF"/>
          <w:lang w:val="zh-CN"/>
        </w:rPr>
      </w:pPr>
      <w:r>
        <w:rPr>
          <w:rFonts w:hint="eastAsia" w:ascii="楷体_GB2312" w:hAnsi="宋体" w:eastAsia="楷体_GB2312"/>
          <w:b/>
          <w:sz w:val="32"/>
          <w:szCs w:val="32"/>
          <w:lang w:val="zh-CN"/>
        </w:rPr>
        <w:t>（一）通用指标</w:t>
      </w:r>
      <w:r>
        <w:rPr>
          <w:rFonts w:ascii="楷体_GB2312" w:hAnsi="宋体" w:eastAsia="楷体_GB2312"/>
          <w:b/>
          <w:sz w:val="32"/>
          <w:szCs w:val="32"/>
          <w:lang w:val="zh-CN"/>
        </w:rPr>
        <w:t>绩效分析。</w:t>
      </w:r>
      <w:r>
        <w:rPr>
          <w:rFonts w:ascii="仿宋_GB2312" w:hAnsi="仿宋_GB2312" w:eastAsia="仿宋_GB2312" w:cs="仿宋_GB2312"/>
          <w:sz w:val="32"/>
          <w:szCs w:val="32"/>
        </w:rPr>
        <w:t>1.项目决策。（1）决策程序。该项目的设立、调整延续等方面符合资金管理基本规范和决策程序要求，该项自评得6分。（2）规划论证。按照市委市政府有关决策部署安排，项目实施前开展了项目事前绩效评价，评估内容包含立项必要性、前瞻性、合理性和可行性；项目总体绩效目标设置合理性的偏离度≤15%；绩效目标科学合理、规范完整、量化细化、预算匹配。该项自评得6分。（3）资金投向。本项目属于政府支持范围，且符合财政事权支出责任划分规定，资金投向与项目总体规划、公安事业发展相匹配，聚焦重大任务、重点领域，未与其他同类项目或部门内部相关项目交叉重复，该项自评得6分。</w:t>
      </w:r>
      <w:r>
        <w:rPr>
          <w:rFonts w:ascii="仿宋_GB2312" w:hAnsi="仿宋_GB2312" w:eastAsia="仿宋_GB2312" w:cs="仿宋_GB2312"/>
          <w:sz w:val="32"/>
          <w:szCs w:val="32"/>
        </w:rPr>
        <w:br w:type="textWrapping"/>
      </w:r>
      <w:r>
        <w:rPr>
          <w:rFonts w:ascii="仿宋_GB2312" w:hAnsi="仿宋_GB2312" w:eastAsia="仿宋_GB2312" w:cs="仿宋_GB2312"/>
          <w:sz w:val="32"/>
          <w:szCs w:val="32"/>
        </w:rPr>
        <w:t>2.项目管理。（1）制度办法。资金管理体系健全完善，不存在管理制度缺失、管理办法过期情况，该项自评得2分。（2）分配管理。本项目资金分配因素选取充分考虑公安事业发展实际和发展需求；资金分配因素的权重设置有效突出项目实施重点；资金区域分布结果公平合理。项目资金的分配严格按照财务管理办法执行，资金使用全程监控，使用合理合规。该项自评得10分。（3）绩效监管。本项目严格按照中央和省、市要求全面完成绩效目标（含事前评估）、绩效评价、以前年度问题整改等预算绩效管理工作；市公安局绩效管理小组全过程对业务部门使用项目经费开展评价、监督、指导等工作，该项自评得6分。</w:t>
      </w:r>
      <w:r>
        <w:rPr>
          <w:rFonts w:ascii="仿宋_GB2312" w:hAnsi="仿宋_GB2312" w:eastAsia="仿宋_GB2312" w:cs="仿宋_GB2312"/>
          <w:sz w:val="32"/>
          <w:szCs w:val="32"/>
        </w:rPr>
        <w:br w:type="textWrapping"/>
      </w:r>
      <w:r>
        <w:rPr>
          <w:rFonts w:ascii="仿宋_GB2312" w:hAnsi="仿宋_GB2312" w:eastAsia="仿宋_GB2312" w:cs="仿宋_GB2312"/>
          <w:sz w:val="32"/>
          <w:szCs w:val="32"/>
        </w:rPr>
        <w:t>3.项目实施。（1）预算执行。本项目是由市财政资金全额保障，该项指标得分=财政资金拨付率×100%×6=6，该项自评得6分。（2）资金使用。项目资金使用、拨付是符合国家财经法规、财务管理制度及有关专项资金管理制度办法规定和审批程序，坚持项目资金专款专用，未存在截留、挤占、挪用、虚列支出等情况，该项自评得3分。</w:t>
      </w:r>
      <w:r>
        <w:rPr>
          <w:rFonts w:ascii="仿宋_GB2312" w:hAnsi="仿宋_GB2312" w:eastAsia="仿宋_GB2312" w:cs="仿宋_GB2312"/>
          <w:sz w:val="32"/>
          <w:szCs w:val="32"/>
        </w:rPr>
        <w:br w:type="textWrapping"/>
      </w:r>
      <w:r>
        <w:rPr>
          <w:rFonts w:ascii="仿宋_GB2312" w:hAnsi="仿宋_GB2312" w:eastAsia="仿宋_GB2312" w:cs="仿宋_GB2312"/>
          <w:sz w:val="32"/>
          <w:szCs w:val="32"/>
        </w:rPr>
        <w:t>4.项目结果。（1）目标完成。该项指标得分=实际完成目标任务量÷首次批复立项设定绩效目标任务总量×100%×6=6，该项自评得6分。（2）完成时效。该项指标得分=（1-(实际完成时间-计划完成时间)÷计划完成时间）×100%×3=3，该项自评得3分。</w:t>
      </w:r>
      <w:r>
        <w:rPr>
          <w:rFonts w:hint="eastAsia" w:ascii="仿宋_GB2312" w:hAnsi="仿宋_GB2312" w:eastAsia="仿宋_GB2312" w:cs="仿宋_GB2312"/>
          <w:sz w:val="32"/>
          <w:szCs w:val="32"/>
        </w:rPr>
        <w:t>广元市七盘关公安检查站按照工作任务需求，规范使用项目预算资金，支付依据合规合法，资金支付与预算相符，资金执行率100%。为保障人民道路出行安全，提高对毒品犯罪、涉恐涉暴等违法行为的打击力度，确保全市政治稳定、治安良好，人民群众的安全感、获得感、幸福感不断提升。</w:t>
      </w:r>
    </w:p>
    <w:p w14:paraId="3A2C590F">
      <w:pPr>
        <w:spacing w:line="578" w:lineRule="exact"/>
        <w:ind w:firstLine="643" w:firstLineChars="200"/>
        <w:rPr>
          <w:rFonts w:ascii="仿宋_GB2312" w:hAnsi="仿宋_GB2312" w:eastAsia="仿宋_GB2312" w:cs="仿宋_GB2312"/>
          <w:sz w:val="32"/>
          <w:szCs w:val="32"/>
        </w:rPr>
      </w:pPr>
      <w:r>
        <w:rPr>
          <w:rFonts w:hint="eastAsia" w:ascii="楷体_GB2312" w:hAnsi="宋体" w:eastAsia="楷体_GB2312"/>
          <w:b/>
          <w:sz w:val="32"/>
          <w:szCs w:val="32"/>
          <w:lang w:val="zh-CN"/>
        </w:rPr>
        <w:t>（二）专用指标</w:t>
      </w:r>
      <w:r>
        <w:rPr>
          <w:rFonts w:ascii="楷体_GB2312" w:hAnsi="宋体" w:eastAsia="楷体_GB2312"/>
          <w:b/>
          <w:sz w:val="32"/>
          <w:szCs w:val="32"/>
          <w:lang w:val="zh-CN"/>
        </w:rPr>
        <w:t>绩效分析。</w:t>
      </w:r>
      <w:r>
        <w:rPr>
          <w:rFonts w:ascii="仿宋_GB2312" w:hAnsi="仿宋_GB2312" w:eastAsia="仿宋_GB2312" w:cs="仿宋_GB2312"/>
          <w:sz w:val="32"/>
          <w:szCs w:val="32"/>
        </w:rPr>
        <w:t>本项目行政运转类项目。项目由市公安局警务保障处进行综合管理，设立专职会计、出纳等岗位，各部门相关费用支出由其财务人员统一进行报销，做到专人专司财务管理职责；项目资金使用严格按照财务管理制度要求，实行公务卡结算，不能使用公务卡结算的进行转账，发生的每一笔支出都要履行完整报销手续，确保其真实可靠性、合法合规。市公安局机关纪委、审计处成立项目核查专班，定期核查项目资金支出情况，使其发挥最大效益。该项自评得30分。</w:t>
      </w:r>
      <w:r>
        <w:rPr>
          <w:rFonts w:hint="eastAsia" w:ascii="仿宋_GB2312" w:hAnsi="仿宋_GB2312" w:eastAsia="仿宋_GB2312" w:cs="仿宋_GB2312"/>
          <w:sz w:val="32"/>
          <w:szCs w:val="32"/>
        </w:rPr>
        <w:t>本项目资金在行政运转指标方面按照了相应规定用途、适用范围进行专项资金分配，资金管理程序符合专项资金管理，资金分配标准符合专项资金管理要求。</w:t>
      </w:r>
    </w:p>
    <w:p w14:paraId="692F4DBD">
      <w:pPr>
        <w:ind w:firstLine="643" w:firstLineChars="200"/>
        <w:rPr>
          <w:rFonts w:ascii="仿宋_GB2312" w:hAnsi="仿宋_GB2312" w:eastAsia="仿宋_GB2312" w:cs="仿宋_GB2312"/>
          <w:sz w:val="32"/>
          <w:szCs w:val="32"/>
        </w:rPr>
      </w:pPr>
      <w:r>
        <w:rPr>
          <w:rFonts w:hint="eastAsia" w:ascii="楷体_GB2312" w:hAnsi="宋体" w:eastAsia="楷体_GB2312"/>
          <w:b/>
          <w:sz w:val="32"/>
          <w:szCs w:val="32"/>
          <w:lang w:val="zh-CN"/>
        </w:rPr>
        <w:t>（三）个性指标</w:t>
      </w:r>
      <w:r>
        <w:rPr>
          <w:rFonts w:ascii="楷体_GB2312" w:hAnsi="宋体" w:eastAsia="楷体_GB2312"/>
          <w:b/>
          <w:sz w:val="32"/>
          <w:szCs w:val="32"/>
          <w:lang w:val="zh-CN"/>
        </w:rPr>
        <w:t>绩效分析。</w:t>
      </w:r>
      <w:r>
        <w:rPr>
          <w:rFonts w:ascii="仿宋_GB2312" w:hAnsi="仿宋_GB2312" w:eastAsia="仿宋_GB2312" w:cs="仿宋_GB2312"/>
          <w:sz w:val="32"/>
          <w:szCs w:val="32"/>
        </w:rPr>
        <w:t>根据本项目的实际，项目选取项目效益个性指标，包含对维护社会治安的辅助作用、维护社会和谐稳定、保障政治大局平稳、持续发展等</w:t>
      </w:r>
      <w:r>
        <w:rPr>
          <w:rFonts w:hint="eastAsia" w:ascii="仿宋_GB2312" w:hAnsi="仿宋_GB2312" w:eastAsia="仿宋_GB2312" w:cs="仿宋_GB2312"/>
          <w:sz w:val="32"/>
          <w:szCs w:val="32"/>
        </w:rPr>
        <w:t>6</w:t>
      </w:r>
      <w:r>
        <w:rPr>
          <w:rFonts w:ascii="仿宋_GB2312" w:hAnsi="仿宋_GB2312" w:eastAsia="仿宋_GB2312" w:cs="仿宋_GB2312"/>
          <w:sz w:val="32"/>
          <w:szCs w:val="32"/>
        </w:rPr>
        <w:t>个三级指标。根据项目实施的实际效果，采取是否评分法，经自评，该项自评得1</w:t>
      </w:r>
      <w:r>
        <w:rPr>
          <w:rFonts w:hint="eastAsia" w:ascii="仿宋_GB2312" w:hAnsi="仿宋_GB2312" w:eastAsia="仿宋_GB2312" w:cs="仿宋_GB2312"/>
          <w:sz w:val="32"/>
          <w:szCs w:val="32"/>
        </w:rPr>
        <w:t>6分。本项目资金通过开展治安防控、毒品查缉、反恐防暴等工作，进一步确保全市政治稳定、治安良好，人民群众的安全感、获得感、幸福感进一步提升；有效处置犯罪行为和不稳定因素，防止涉稳风险外溢。</w:t>
      </w:r>
    </w:p>
    <w:p w14:paraId="1DDFC16A">
      <w:pPr>
        <w:adjustRightInd w:val="0"/>
        <w:snapToGrid w:val="0"/>
        <w:spacing w:line="580" w:lineRule="exact"/>
        <w:ind w:firstLine="720"/>
        <w:outlineLvl w:val="1"/>
        <w:rPr>
          <w:rFonts w:ascii="黑体" w:hAnsi="黑体" w:eastAsia="黑体" w:cs="黑体"/>
          <w:bCs/>
          <w:sz w:val="32"/>
          <w:szCs w:val="32"/>
        </w:rPr>
      </w:pPr>
      <w:bookmarkStart w:id="148" w:name="_Toc4070"/>
      <w:r>
        <w:rPr>
          <w:rFonts w:hint="eastAsia" w:ascii="黑体" w:hAnsi="黑体" w:eastAsia="黑体" w:cs="黑体"/>
          <w:bCs/>
          <w:sz w:val="32"/>
          <w:szCs w:val="32"/>
        </w:rPr>
        <w:t>四、评价结论</w:t>
      </w:r>
      <w:bookmarkEnd w:id="148"/>
    </w:p>
    <w:p w14:paraId="43A81F5A">
      <w:pPr>
        <w:pStyle w:val="5"/>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七盘关公安检查站按照工作任务需求，采取平战结合的模式开展查缉工作，日常查缉由13名驻站民辅警完成，高等级勤务期间，同分县局、相关警种、武警开展联合检查。工作中，规范使用项目预算资金，支付依据合规合法，资金支付与预算相符，资金执行率100%。为保障人民道路出行安全，提高对毒品犯罪、涉恐涉暴等违法行为的打击力度，确保全市政治稳定、治安良好，人民群众的安全感、获得感、幸福感不断提升。经自评，该项目自评得100分。</w:t>
      </w:r>
    </w:p>
    <w:p w14:paraId="1CB0D3C0">
      <w:pPr>
        <w:adjustRightInd w:val="0"/>
        <w:snapToGrid w:val="0"/>
        <w:spacing w:line="580" w:lineRule="exact"/>
        <w:ind w:firstLine="720"/>
        <w:outlineLvl w:val="1"/>
        <w:rPr>
          <w:rFonts w:ascii="黑体" w:hAnsi="黑体" w:eastAsia="黑体" w:cs="黑体"/>
          <w:bCs/>
          <w:sz w:val="32"/>
          <w:szCs w:val="32"/>
        </w:rPr>
      </w:pPr>
      <w:bookmarkStart w:id="149" w:name="_Toc10727"/>
      <w:r>
        <w:rPr>
          <w:rFonts w:hint="eastAsia" w:ascii="黑体" w:hAnsi="黑体" w:eastAsia="黑体" w:cs="黑体"/>
          <w:bCs/>
          <w:sz w:val="32"/>
          <w:szCs w:val="32"/>
        </w:rPr>
        <w:t>五、存在主要问题</w:t>
      </w:r>
      <w:bookmarkEnd w:id="149"/>
    </w:p>
    <w:p w14:paraId="4EFB6294">
      <w:pPr>
        <w:pStyle w:val="5"/>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项目经费实际使用中，未发现问题。</w:t>
      </w:r>
    </w:p>
    <w:p w14:paraId="5D13A6A6">
      <w:pPr>
        <w:adjustRightInd w:val="0"/>
        <w:snapToGrid w:val="0"/>
        <w:spacing w:line="580" w:lineRule="exact"/>
        <w:ind w:firstLine="720"/>
        <w:outlineLvl w:val="1"/>
        <w:rPr>
          <w:rFonts w:ascii="黑体" w:hAnsi="黑体" w:eastAsia="黑体" w:cs="黑体"/>
          <w:bCs/>
          <w:sz w:val="32"/>
          <w:szCs w:val="32"/>
        </w:rPr>
      </w:pPr>
      <w:bookmarkStart w:id="150" w:name="_Toc25105"/>
      <w:r>
        <w:rPr>
          <w:rFonts w:hint="eastAsia" w:ascii="黑体" w:hAnsi="黑体" w:eastAsia="黑体" w:cs="黑体"/>
          <w:bCs/>
          <w:sz w:val="32"/>
          <w:szCs w:val="32"/>
        </w:rPr>
        <w:t>六、改进建议</w:t>
      </w:r>
      <w:bookmarkEnd w:id="150"/>
    </w:p>
    <w:p w14:paraId="0935C25C">
      <w:pPr>
        <w:pStyle w:val="5"/>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无相关建议。</w:t>
      </w:r>
    </w:p>
    <w:p w14:paraId="7ADC6B9A">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广元市公安局</w:t>
      </w:r>
    </w:p>
    <w:p w14:paraId="094B12D6">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市禁毒办专项工作经费项目绩效评价报告</w:t>
      </w:r>
    </w:p>
    <w:p w14:paraId="69943274">
      <w:pPr>
        <w:pStyle w:val="28"/>
        <w:spacing w:line="578" w:lineRule="exact"/>
        <w:ind w:firstLine="640"/>
        <w:jc w:val="center"/>
        <w:rPr>
          <w:rFonts w:ascii="宋体" w:hAnsi="宋体"/>
          <w:color w:val="auto"/>
          <w:kern w:val="2"/>
          <w:sz w:val="32"/>
          <w:szCs w:val="32"/>
        </w:rPr>
      </w:pPr>
    </w:p>
    <w:p w14:paraId="1B92C524">
      <w:pPr>
        <w:adjustRightInd w:val="0"/>
        <w:snapToGrid w:val="0"/>
        <w:spacing w:line="580" w:lineRule="exact"/>
        <w:ind w:firstLine="720"/>
        <w:outlineLvl w:val="1"/>
        <w:rPr>
          <w:rFonts w:ascii="黑体" w:hAnsi="黑体" w:eastAsia="黑体" w:cs="黑体"/>
          <w:bCs/>
          <w:sz w:val="32"/>
          <w:szCs w:val="32"/>
        </w:rPr>
      </w:pPr>
      <w:bookmarkStart w:id="151" w:name="_Toc6911"/>
      <w:r>
        <w:rPr>
          <w:rFonts w:hint="eastAsia" w:ascii="黑体" w:hAnsi="黑体" w:eastAsia="黑体" w:cs="黑体"/>
          <w:bCs/>
          <w:sz w:val="32"/>
          <w:szCs w:val="32"/>
        </w:rPr>
        <w:t>一、项目概况</w:t>
      </w:r>
      <w:bookmarkEnd w:id="151"/>
    </w:p>
    <w:p w14:paraId="3A0002EA">
      <w:pPr>
        <w:widowControl/>
        <w:adjustRightInd w:val="0"/>
        <w:snapToGrid w:val="0"/>
        <w:spacing w:line="578" w:lineRule="exact"/>
        <w:ind w:firstLine="643" w:firstLineChars="200"/>
        <w:contextualSpacing/>
        <w:jc w:val="left"/>
        <w:rPr>
          <w:rFonts w:ascii="仿宋_GB2312" w:hAnsi="仿宋_GB2312" w:eastAsia="仿宋_GB2312" w:cs="仿宋_GB2312"/>
          <w:sz w:val="32"/>
          <w:szCs w:val="32"/>
        </w:rPr>
      </w:pPr>
      <w:r>
        <w:rPr>
          <w:rFonts w:hint="eastAsia" w:ascii="楷体_GB2312" w:hAnsi="宋体" w:eastAsia="楷体_GB2312"/>
          <w:b/>
          <w:sz w:val="32"/>
          <w:szCs w:val="32"/>
          <w:lang w:val="zh-CN"/>
        </w:rPr>
        <w:t>（一）设立背景及基本情况。</w:t>
      </w:r>
      <w:r>
        <w:rPr>
          <w:rFonts w:hint="eastAsia" w:ascii="仿宋_GB2312" w:hAnsi="仿宋_GB2312" w:eastAsia="仿宋_GB2312" w:cs="仿宋_GB2312"/>
          <w:sz w:val="32"/>
          <w:szCs w:val="32"/>
        </w:rPr>
        <w:t>禁毒工作是国家安全、社会稳定和人民幸福的重要保障，当前，我国面临的禁毒形式依然严峻复杂，毒品犯罪活动呈现新的特点和趋势，给社会治安和公共安全带来了严重威胁。为有效应对禁毒工作面临的挑战，提高禁毒工作的科学性和针对性，制定并实施禁毒办工作实施方案具有重要意义。《禁毒法》规定国务院设立国家禁毒委员会，县级以上地方各级人民政府设立委员会。禁毒经费项目立项和资金申报依据主要是《禁毒法》和《预算法》，项目主要内容是禁毒办工作经费，禁毒办主要负责组织、协调、指导本行政区域内的禁毒工作。</w:t>
      </w:r>
    </w:p>
    <w:p w14:paraId="6BFB01B7">
      <w:pPr>
        <w:adjustRightInd w:val="0"/>
        <w:snapToGrid w:val="0"/>
        <w:spacing w:line="578" w:lineRule="exact"/>
        <w:ind w:firstLine="643" w:firstLineChars="200"/>
        <w:rPr>
          <w:rFonts w:ascii="仿宋_GB2312" w:hAnsi="仿宋_GB2312" w:eastAsia="仿宋_GB2312" w:cs="仿宋_GB2312"/>
          <w:sz w:val="32"/>
          <w:szCs w:val="32"/>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r>
        <w:rPr>
          <w:rFonts w:hint="eastAsia" w:ascii="楷体_GB2312" w:hAnsi="宋体" w:eastAsia="楷体_GB2312"/>
          <w:b/>
          <w:sz w:val="32"/>
          <w:szCs w:val="32"/>
          <w:lang w:val="zh-CN"/>
        </w:rPr>
        <w:t>。</w:t>
      </w:r>
      <w:r>
        <w:rPr>
          <w:rFonts w:hint="eastAsia" w:ascii="仿宋_GB2312" w:hAnsi="仿宋_GB2312" w:eastAsia="仿宋_GB2312" w:cs="仿宋_GB2312"/>
          <w:sz w:val="32"/>
          <w:szCs w:val="32"/>
        </w:rPr>
        <w:t>禁毒办资金是用于禁毒工作的政府专门财政拨款资金，包括中央和地方财政拨款。项目实施目的和主要目的是禁毒教育宣传、禁毒技术装备、禁毒人员培训、禁毒社区建设、禁毒科研项目等。禁毒办经费的合理运用是保障禁毒工作有效开展的关键。</w:t>
      </w:r>
    </w:p>
    <w:p w14:paraId="38FA3656">
      <w:pPr>
        <w:widowControl/>
        <w:adjustRightInd w:val="0"/>
        <w:snapToGrid w:val="0"/>
        <w:spacing w:line="578" w:lineRule="exact"/>
        <w:ind w:firstLine="643" w:firstLineChars="200"/>
        <w:contextualSpacing/>
        <w:jc w:val="left"/>
        <w:rPr>
          <w:rFonts w:ascii="仿宋_GB2312" w:hAnsi="仿宋_GB2312" w:eastAsia="仿宋_GB2312" w:cs="仿宋_GB2312"/>
          <w:sz w:val="32"/>
          <w:szCs w:val="32"/>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r>
        <w:rPr>
          <w:rFonts w:hint="eastAsia" w:ascii="楷体_GB2312" w:hAnsi="宋体" w:eastAsia="楷体_GB2312"/>
          <w:b/>
          <w:sz w:val="32"/>
          <w:szCs w:val="32"/>
          <w:lang w:val="zh-CN"/>
        </w:rPr>
        <w:t>。</w:t>
      </w:r>
      <w:r>
        <w:rPr>
          <w:rFonts w:hint="eastAsia" w:ascii="仿宋_GB2312" w:hAnsi="仿宋_GB2312" w:eastAsia="仿宋_GB2312" w:cs="仿宋_GB2312"/>
          <w:sz w:val="32"/>
          <w:szCs w:val="32"/>
        </w:rPr>
        <w:t>禁毒办经费主要用于禁毒预防教育宣传、禁毒宣传物资采购、禁毒宣传活动组织、禁毒社会服务中心建设、禁毒志愿者培训等禁毒工作相关支出。预算30%用于禁毒宣传教育，包括宣传资料制作（宣传资料、禁毒知识讲座、禁毒教育活动等）、采购禁毒宣传物资（海报、视频等），预算80%用于禁毒文艺晚会，反响不错。</w:t>
      </w:r>
    </w:p>
    <w:p w14:paraId="59D51EB5">
      <w:pPr>
        <w:adjustRightInd w:val="0"/>
        <w:snapToGrid w:val="0"/>
        <w:spacing w:line="578" w:lineRule="exact"/>
        <w:ind w:firstLine="643" w:firstLineChars="200"/>
        <w:rPr>
          <w:rFonts w:ascii="仿宋_GB2312" w:hAnsi="仿宋_GB2312" w:eastAsia="仿宋_GB2312" w:cs="仿宋_GB2312"/>
          <w:sz w:val="32"/>
          <w:szCs w:val="32"/>
        </w:rPr>
      </w:pPr>
      <w:r>
        <w:rPr>
          <w:rFonts w:hint="eastAsia" w:ascii="楷体_GB2312" w:hAnsi="宋体" w:eastAsia="楷体_GB2312"/>
          <w:b/>
          <w:sz w:val="32"/>
          <w:szCs w:val="32"/>
          <w:lang w:val="zh-CN"/>
        </w:rPr>
        <w:t>（四）项目绩效目标设置。</w:t>
      </w:r>
      <w:r>
        <w:rPr>
          <w:rFonts w:hint="eastAsia" w:ascii="仿宋_GB2312" w:hAnsi="仿宋_GB2312" w:eastAsia="仿宋_GB2312" w:cs="仿宋_GB2312"/>
          <w:sz w:val="32"/>
          <w:szCs w:val="32"/>
        </w:rPr>
        <w:t>本项目绩效自评得分100分，等级为优，设置绩效目标10个，具体完成10个.具体情况见附件2.</w:t>
      </w:r>
    </w:p>
    <w:p w14:paraId="587DD213">
      <w:pPr>
        <w:adjustRightInd w:val="0"/>
        <w:snapToGrid w:val="0"/>
        <w:spacing w:line="580" w:lineRule="exact"/>
        <w:ind w:firstLine="720"/>
        <w:outlineLvl w:val="1"/>
        <w:rPr>
          <w:rFonts w:ascii="黑体" w:hAnsi="黑体" w:eastAsia="黑体" w:cs="黑体"/>
          <w:bCs/>
          <w:sz w:val="32"/>
          <w:szCs w:val="32"/>
        </w:rPr>
      </w:pPr>
      <w:bookmarkStart w:id="152" w:name="_Toc12324"/>
      <w:r>
        <w:rPr>
          <w:rFonts w:hint="eastAsia" w:ascii="黑体" w:hAnsi="黑体" w:eastAsia="黑体" w:cs="黑体"/>
          <w:bCs/>
          <w:sz w:val="32"/>
          <w:szCs w:val="32"/>
        </w:rPr>
        <w:t>二、评价实施</w:t>
      </w:r>
      <w:bookmarkEnd w:id="152"/>
    </w:p>
    <w:p w14:paraId="55A9147E">
      <w:pPr>
        <w:spacing w:line="578" w:lineRule="exact"/>
        <w:ind w:firstLine="640"/>
        <w:rPr>
          <w:rFonts w:ascii="仿宋_GB2312" w:hAnsi="仿宋_GB2312" w:eastAsia="仿宋_GB2312" w:cs="仿宋_GB2312"/>
          <w:sz w:val="32"/>
          <w:szCs w:val="32"/>
        </w:rPr>
      </w:pPr>
      <w:r>
        <w:rPr>
          <w:rFonts w:hint="eastAsia" w:ascii="楷体_GB2312" w:hAnsi="宋体" w:eastAsia="楷体_GB2312"/>
          <w:b/>
          <w:sz w:val="32"/>
          <w:szCs w:val="32"/>
          <w:lang w:val="zh-CN"/>
        </w:rPr>
        <w:t>（一）评价目的。</w:t>
      </w:r>
      <w:r>
        <w:rPr>
          <w:rFonts w:hint="eastAsia" w:ascii="仿宋_GB2312" w:hAnsi="仿宋_GB2312" w:eastAsia="仿宋_GB2312" w:cs="仿宋_GB2312"/>
          <w:sz w:val="32"/>
          <w:szCs w:val="32"/>
        </w:rPr>
        <w:t>资金的有效使用，着力普及毒品的严重危害和防范知识，积极动员社会力量参与，在全社会形成自觉抵制毒品的浓厚氛围，坚决减少新增吸毒人员，提高群众满意度。</w:t>
      </w:r>
    </w:p>
    <w:p w14:paraId="261BB929">
      <w:pPr>
        <w:adjustRightInd w:val="0"/>
        <w:snapToGrid w:val="0"/>
        <w:spacing w:line="578" w:lineRule="exact"/>
        <w:ind w:firstLine="643" w:firstLineChars="200"/>
        <w:rPr>
          <w:rFonts w:ascii="仿宋_GB2312" w:hAnsi="仿宋_GB2312" w:eastAsia="仿宋_GB2312" w:cs="仿宋_GB2312"/>
          <w:sz w:val="32"/>
          <w:szCs w:val="32"/>
        </w:rPr>
      </w:pPr>
      <w:r>
        <w:rPr>
          <w:rFonts w:hint="eastAsia" w:ascii="楷体_GB2312" w:hAnsi="宋体" w:eastAsia="楷体_GB2312"/>
          <w:b/>
          <w:sz w:val="32"/>
          <w:szCs w:val="32"/>
          <w:lang w:val="zh-CN"/>
        </w:rPr>
        <w:t>（二）预设问题及评价重点。</w:t>
      </w:r>
      <w:r>
        <w:rPr>
          <w:rFonts w:hint="eastAsia" w:ascii="仿宋_GB2312" w:hAnsi="仿宋_GB2312" w:eastAsia="仿宋_GB2312" w:cs="仿宋_GB2312"/>
          <w:sz w:val="32"/>
          <w:szCs w:val="32"/>
        </w:rPr>
        <w:t>按照设置绩效目标10个，全面完成，自我评价为优秀。</w:t>
      </w:r>
    </w:p>
    <w:p w14:paraId="7509233E">
      <w:pPr>
        <w:adjustRightInd w:val="0"/>
        <w:snapToGrid w:val="0"/>
        <w:spacing w:line="578" w:lineRule="exact"/>
        <w:ind w:firstLine="643" w:firstLineChars="200"/>
        <w:rPr>
          <w:lang w:val="zh-CN"/>
        </w:rPr>
      </w:pPr>
      <w:r>
        <w:rPr>
          <w:rFonts w:hint="eastAsia" w:ascii="楷体_GB2312" w:hAnsi="宋体" w:eastAsia="楷体_GB2312"/>
          <w:b/>
          <w:sz w:val="32"/>
          <w:szCs w:val="32"/>
          <w:lang w:val="zh-CN"/>
        </w:rPr>
        <w:t>（三）评价选点。</w:t>
      </w:r>
      <w:r>
        <w:rPr>
          <w:rFonts w:hint="eastAsia" w:ascii="仿宋_GB2312" w:hAnsi="仿宋_GB2312" w:eastAsia="仿宋_GB2312" w:cs="仿宋_GB2312"/>
          <w:sz w:val="32"/>
          <w:szCs w:val="32"/>
        </w:rPr>
        <w:t>禁毒办经费使用情况，可以通过经费报账单反应出来，可以随意抽取2023年度禁毒办工作经费凭证。</w:t>
      </w:r>
    </w:p>
    <w:p w14:paraId="79905E19">
      <w:pPr>
        <w:spacing w:line="578" w:lineRule="exact"/>
        <w:ind w:firstLine="640"/>
        <w:rPr>
          <w:lang w:val="zh-CN"/>
        </w:rPr>
      </w:pPr>
      <w:r>
        <w:rPr>
          <w:rFonts w:hint="eastAsia" w:ascii="楷体_GB2312" w:hAnsi="宋体" w:eastAsia="楷体_GB2312"/>
          <w:b/>
          <w:sz w:val="32"/>
          <w:szCs w:val="32"/>
          <w:lang w:val="zh-CN"/>
        </w:rPr>
        <w:t>（四）评价方法。</w:t>
      </w:r>
      <w:r>
        <w:rPr>
          <w:rFonts w:hint="eastAsia" w:ascii="仿宋_GB2312" w:hAnsi="仿宋_GB2312" w:eastAsia="仿宋_GB2312" w:cs="仿宋_GB2312"/>
          <w:sz w:val="32"/>
          <w:szCs w:val="32"/>
        </w:rPr>
        <w:t>本项目通过与项目相关人员座谈或讨论</w:t>
      </w:r>
      <w:r>
        <w:rPr>
          <w:rFonts w:ascii="仿宋_GB2312" w:hAnsi="仿宋_GB2312" w:eastAsia="仿宋_GB2312" w:cs="仿宋_GB2312"/>
          <w:sz w:val="32"/>
          <w:szCs w:val="32"/>
        </w:rPr>
        <w:t>了解项目情况</w:t>
      </w:r>
      <w:r>
        <w:rPr>
          <w:rFonts w:hint="eastAsia" w:ascii="仿宋_GB2312" w:hAnsi="仿宋_GB2312" w:eastAsia="仿宋_GB2312" w:cs="仿宋_GB2312"/>
          <w:sz w:val="32"/>
          <w:szCs w:val="32"/>
        </w:rPr>
        <w:t>，收集相关资料，综合分析相关情况后，对项目的立项必要性、投入经济性、目标合理性、方案可行性以及筹资合规性实施评估。</w:t>
      </w:r>
    </w:p>
    <w:p w14:paraId="5594B4A3">
      <w:pPr>
        <w:spacing w:line="578" w:lineRule="exact"/>
        <w:ind w:firstLine="640"/>
      </w:pPr>
      <w:r>
        <w:rPr>
          <w:rFonts w:hint="eastAsia" w:ascii="楷体_GB2312" w:hAnsi="宋体" w:eastAsia="楷体_GB2312"/>
          <w:b/>
          <w:sz w:val="32"/>
          <w:szCs w:val="32"/>
          <w:lang w:val="zh-CN"/>
        </w:rPr>
        <w:t>（五）评价组织。</w:t>
      </w:r>
      <w:r>
        <w:rPr>
          <w:rFonts w:ascii="仿宋_GB2312" w:hAnsi="仿宋_GB2312" w:eastAsia="仿宋_GB2312" w:cs="仿宋_GB2312"/>
          <w:sz w:val="32"/>
          <w:szCs w:val="32"/>
        </w:rPr>
        <w:t>评价组人员构成</w:t>
      </w:r>
      <w:r>
        <w:rPr>
          <w:rFonts w:hint="eastAsia" w:ascii="仿宋_GB2312" w:hAnsi="仿宋_GB2312" w:eastAsia="仿宋_GB2312" w:cs="仿宋_GB2312"/>
          <w:sz w:val="32"/>
          <w:szCs w:val="32"/>
        </w:rPr>
        <w:t>和</w:t>
      </w:r>
      <w:r>
        <w:rPr>
          <w:rFonts w:ascii="仿宋_GB2312" w:hAnsi="仿宋_GB2312" w:eastAsia="仿宋_GB2312" w:cs="仿宋_GB2312"/>
          <w:sz w:val="32"/>
          <w:szCs w:val="32"/>
        </w:rPr>
        <w:t>职责分工</w:t>
      </w:r>
      <w:r>
        <w:rPr>
          <w:rFonts w:hint="eastAsia" w:ascii="仿宋_GB2312" w:hAnsi="仿宋_GB2312" w:eastAsia="仿宋_GB2312" w:cs="仿宋_GB2312"/>
          <w:sz w:val="32"/>
          <w:szCs w:val="32"/>
        </w:rPr>
        <w:t>。评价组人员由禁毒办、警保处、审计处、办公室、机关纪委等部门构成，分别按照其职责职能来分工评价。</w:t>
      </w:r>
    </w:p>
    <w:p w14:paraId="3CB0E211">
      <w:pPr>
        <w:adjustRightInd w:val="0"/>
        <w:snapToGrid w:val="0"/>
        <w:spacing w:line="580" w:lineRule="exact"/>
        <w:ind w:firstLine="720"/>
        <w:outlineLvl w:val="1"/>
        <w:rPr>
          <w:rFonts w:ascii="黑体" w:hAnsi="黑体" w:eastAsia="黑体" w:cs="黑体"/>
          <w:bCs/>
          <w:sz w:val="32"/>
          <w:szCs w:val="32"/>
        </w:rPr>
      </w:pPr>
      <w:bookmarkStart w:id="153" w:name="_Toc17497"/>
      <w:r>
        <w:rPr>
          <w:rFonts w:hint="eastAsia" w:ascii="黑体" w:hAnsi="黑体" w:eastAsia="黑体" w:cs="黑体"/>
          <w:bCs/>
          <w:sz w:val="32"/>
          <w:szCs w:val="32"/>
        </w:rPr>
        <w:t>三、绩效分析</w:t>
      </w:r>
      <w:bookmarkEnd w:id="153"/>
      <w:r>
        <w:rPr>
          <w:rFonts w:hint="eastAsia" w:ascii="黑体" w:hAnsi="黑体" w:eastAsia="黑体" w:cs="黑体"/>
          <w:bCs/>
          <w:sz w:val="32"/>
          <w:szCs w:val="32"/>
        </w:rPr>
        <w:tab/>
      </w:r>
    </w:p>
    <w:p w14:paraId="3DEF703A">
      <w:pPr>
        <w:spacing w:line="578" w:lineRule="exact"/>
        <w:ind w:firstLine="640"/>
        <w:rPr>
          <w:rFonts w:ascii="楷体_GB2312" w:hAnsi="宋体" w:eastAsia="楷体_GB2312"/>
          <w:b/>
        </w:rPr>
      </w:pPr>
      <w:r>
        <w:rPr>
          <w:rFonts w:hint="eastAsia" w:ascii="楷体_GB2312" w:hAnsi="宋体" w:eastAsia="楷体_GB2312"/>
          <w:b/>
          <w:sz w:val="32"/>
          <w:szCs w:val="32"/>
          <w:lang w:val="zh-CN"/>
        </w:rPr>
        <w:t>（一）通用指标</w:t>
      </w:r>
      <w:r>
        <w:rPr>
          <w:rFonts w:ascii="楷体_GB2312" w:hAnsi="宋体" w:eastAsia="楷体_GB2312"/>
          <w:b/>
          <w:sz w:val="32"/>
          <w:szCs w:val="32"/>
          <w:lang w:val="zh-CN"/>
        </w:rPr>
        <w:t>绩效分析</w:t>
      </w:r>
    </w:p>
    <w:p w14:paraId="7AC59BA1">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1.项目决策。（1）决策程序。该项目的设立、调整延续等方面符合资金管理基本规范和决策程序要求，该项自评得6分。（2）规划论证。按照市委市政府两办文件要求，项目实施前开展了项目事前绩效评价，评估内容包含立项必要性、前瞻性、合理性和可行性；项目总体绩效目标设置合理性的偏离度≤15%；绩效目标科学合理、规范完整、量化细化、预算匹配。该项自评得6分。（3）资金投向。本项目属于政府支持范围，且符合财政事权支出责任划分规定，资金投向与项目总体规划、禁毒办发展相匹配，聚焦重大任务、重点领域，未与其他同类项目或部门内部相关项目交叉重复，该项自评得6分。</w:t>
      </w:r>
    </w:p>
    <w:p w14:paraId="7C8F522F">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2.项目管理。（1）制度办法。资金管理体系健全完善，不存在管理制度缺失、管理办法过期等情况，该项自评得2分。（2）分配管理。本项目资金分配因素选取充分考虑禁毒工作发展实际和发展需求；资金分配因素的权重设置有效突出项目实施重点；资金区域分布结果公平合理。项目资金的分配严格按照财务管理办法执行，资金使用全程监控，使用合理合规。该项自评得10分。（3）绩效监管。本项目严格按照中央和省、市要求全面完成绩效目标（含事前评估）、绩效评价、年度问题整改等预算绩效管理工作；市公安局绩效管理小组全过程对业务部门使用项目经费开展评价、监督、指导等工作，该项自评得6分。</w:t>
      </w:r>
    </w:p>
    <w:p w14:paraId="324D7477">
      <w:pPr>
        <w:spacing w:line="578" w:lineRule="exact"/>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3.项目实施。（1）预算执行。本项目是由市财政资金全额保障，该项指标得分=财政资金拨付率×100%×6=6，该项自评得6分。（2）资金使用。项目资金使用、拨付是符合国家财经法规、财务管理制度及有关专项资金管理制度办法规定和审批程序，坚持项目禁毒办专项资金专款专用，未存在截留、挤占、挪用、虚列支出等情况，该项自评得3分。</w:t>
      </w:r>
    </w:p>
    <w:p w14:paraId="67EB9D56">
      <w:pPr>
        <w:spacing w:line="578" w:lineRule="exact"/>
        <w:rPr>
          <w:color w:val="FF0000"/>
        </w:rPr>
      </w:pPr>
      <w:r>
        <w:rPr>
          <w:rFonts w:hint="eastAsia" w:ascii="仿宋_GB2312" w:hAnsi="仿宋_GB2312" w:eastAsia="仿宋_GB2312" w:cs="仿宋_GB2312"/>
          <w:sz w:val="32"/>
          <w:szCs w:val="32"/>
        </w:rPr>
        <w:t xml:space="preserve">   4.项目结果。（1）目标完成。该项指标得分=实际完成目标任务量÷首次批复立项设定绩效目标任务总量×100%×6=6，该项自评得6分。（2）完成时效。该项指标得分=（1-(实际完成时间-计划完成时间)÷计划完成时间）×100%×3=3，该项自评得3分。</w:t>
      </w:r>
    </w:p>
    <w:p w14:paraId="78F9260D">
      <w:pPr>
        <w:spacing w:line="578"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（二）专用指标</w:t>
      </w:r>
      <w:r>
        <w:rPr>
          <w:rFonts w:ascii="楷体_GB2312" w:hAnsi="宋体" w:eastAsia="楷体_GB2312"/>
          <w:b/>
          <w:sz w:val="32"/>
          <w:szCs w:val="32"/>
          <w:lang w:val="zh-CN"/>
        </w:rPr>
        <w:t>绩效分析</w:t>
      </w:r>
    </w:p>
    <w:p w14:paraId="24E6521C">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本项目行政运转类项目。该项目由市公安局警务保障处管理，拥有专职会计、出纳等岗位，禁毒办工作经费支出由其财务人员统一进行报销，做到专人专司财务管理职责；项目资金使用严格按照财务管理制度要求，实行公务卡结算，不能使用公务卡结算需对公转账，允许少量零星现金报销，发生的每一笔支出都履行完整报销手续，确保其真实可靠性、合法合规。市局机关纪委、审计处成立项目核查专班，定期核查项目资金支出情况，使其发挥最大效益。该项自评得30分。</w:t>
      </w:r>
    </w:p>
    <w:p w14:paraId="39B56A4C">
      <w:pPr>
        <w:spacing w:line="578"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（三）个性指标</w:t>
      </w:r>
      <w:r>
        <w:rPr>
          <w:rFonts w:ascii="楷体_GB2312" w:hAnsi="宋体" w:eastAsia="楷体_GB2312"/>
          <w:b/>
          <w:sz w:val="32"/>
          <w:szCs w:val="32"/>
          <w:lang w:val="zh-CN"/>
        </w:rPr>
        <w:t>绩效分析</w:t>
      </w:r>
    </w:p>
    <w:p w14:paraId="1984010F">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根据本项目的实际，项目选取项目效益个性指标，包含污水指数持续下降、吸毒人员管控持续减少2个三级指标。根据项目实施的实际效果，采取是否评分法，经自评，该项自评得16分。</w:t>
      </w:r>
    </w:p>
    <w:p w14:paraId="2A833EFB">
      <w:pPr>
        <w:adjustRightInd w:val="0"/>
        <w:snapToGrid w:val="0"/>
        <w:spacing w:line="580" w:lineRule="exact"/>
        <w:ind w:firstLine="720"/>
        <w:outlineLvl w:val="1"/>
        <w:rPr>
          <w:rFonts w:ascii="黑体" w:hAnsi="黑体" w:eastAsia="黑体" w:cs="黑体"/>
          <w:bCs/>
          <w:sz w:val="32"/>
          <w:szCs w:val="32"/>
        </w:rPr>
      </w:pPr>
      <w:bookmarkStart w:id="154" w:name="_Toc4729"/>
      <w:r>
        <w:rPr>
          <w:rFonts w:hint="eastAsia" w:ascii="黑体" w:hAnsi="黑体" w:eastAsia="黑体" w:cs="黑体"/>
          <w:bCs/>
          <w:sz w:val="32"/>
          <w:szCs w:val="32"/>
        </w:rPr>
        <w:t>四、评价结论</w:t>
      </w:r>
      <w:bookmarkEnd w:id="154"/>
    </w:p>
    <w:p w14:paraId="319BE738">
      <w:pPr>
        <w:pStyle w:val="5"/>
        <w:spacing w:line="600" w:lineRule="exact"/>
        <w:ind w:firstLine="640" w:firstLineChars="200"/>
        <w:rPr>
          <w:rFonts w:ascii="黑体" w:hAnsi="黑体" w:cs="黑体"/>
          <w:sz w:val="32"/>
          <w:szCs w:val="32"/>
        </w:rPr>
      </w:pPr>
      <w:r>
        <w:rPr>
          <w:rFonts w:hint="eastAsia" w:ascii="仿宋_GB2312" w:hAnsi="仿宋_GB2312" w:eastAsia="仿宋_GB2312" w:cs="仿宋_GB2312"/>
          <w:sz w:val="32"/>
          <w:szCs w:val="32"/>
        </w:rPr>
        <w:t>全年通过开展多种形式的禁毒宣传，加强毒品预防教育；掌握、分析禁毒工作进展情况、研究制定针对性措施；组织、协调、指导、督查禁毒办成员单位和各社区的工作，对社区戒毒康复人员进行监督；确保全市政治稳定、治安良好，人民群众的安全感、获得感、幸福感进一步提升，未发生吸毒人员肇事肇祸案事件。</w:t>
      </w:r>
    </w:p>
    <w:p w14:paraId="2CF9E45E">
      <w:pPr>
        <w:adjustRightInd w:val="0"/>
        <w:snapToGrid w:val="0"/>
        <w:spacing w:line="580" w:lineRule="exact"/>
        <w:ind w:firstLine="720"/>
        <w:outlineLvl w:val="1"/>
        <w:rPr>
          <w:rFonts w:ascii="黑体" w:hAnsi="黑体" w:eastAsia="黑体" w:cs="黑体"/>
          <w:bCs/>
          <w:sz w:val="32"/>
          <w:szCs w:val="32"/>
        </w:rPr>
      </w:pPr>
      <w:bookmarkStart w:id="155" w:name="_Toc14030"/>
      <w:r>
        <w:rPr>
          <w:rFonts w:hint="eastAsia" w:ascii="黑体" w:hAnsi="黑体" w:eastAsia="黑体" w:cs="黑体"/>
          <w:bCs/>
          <w:sz w:val="32"/>
          <w:szCs w:val="32"/>
        </w:rPr>
        <w:t>五、存在主要问题</w:t>
      </w:r>
      <w:bookmarkEnd w:id="155"/>
    </w:p>
    <w:p w14:paraId="61A76702">
      <w:pPr>
        <w:pStyle w:val="5"/>
        <w:spacing w:line="600" w:lineRule="exact"/>
        <w:ind w:firstLine="640" w:firstLineChars="200"/>
        <w:rPr>
          <w:rFonts w:ascii="黑体" w:hAnsi="黑体" w:cs="黑体"/>
          <w:sz w:val="32"/>
          <w:szCs w:val="32"/>
        </w:rPr>
      </w:pPr>
      <w:r>
        <w:rPr>
          <w:rFonts w:hint="eastAsia" w:ascii="仿宋_GB2312" w:hAnsi="仿宋_GB2312" w:eastAsia="仿宋_GB2312" w:cs="仿宋_GB2312"/>
          <w:sz w:val="32"/>
          <w:szCs w:val="32"/>
        </w:rPr>
        <w:t>无</w:t>
      </w:r>
    </w:p>
    <w:p w14:paraId="567BD83A">
      <w:pPr>
        <w:adjustRightInd w:val="0"/>
        <w:snapToGrid w:val="0"/>
        <w:spacing w:line="580" w:lineRule="exact"/>
        <w:ind w:firstLine="720"/>
        <w:outlineLvl w:val="1"/>
        <w:rPr>
          <w:rFonts w:ascii="黑体" w:hAnsi="黑体" w:eastAsia="黑体" w:cs="黑体"/>
          <w:bCs/>
          <w:sz w:val="32"/>
          <w:szCs w:val="32"/>
        </w:rPr>
      </w:pPr>
      <w:bookmarkStart w:id="156" w:name="_Toc20708"/>
      <w:r>
        <w:rPr>
          <w:rFonts w:hint="eastAsia" w:ascii="黑体" w:hAnsi="黑体" w:eastAsia="黑体" w:cs="黑体"/>
          <w:bCs/>
          <w:sz w:val="32"/>
          <w:szCs w:val="32"/>
        </w:rPr>
        <w:t>六、改进建议</w:t>
      </w:r>
      <w:bookmarkEnd w:id="156"/>
    </w:p>
    <w:p w14:paraId="47CE2CBB">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建议市财政根据禁毒工作的实际，适当提高禁毒办专项工作经费的预算，进一步确保业务工作的有序高效开展。</w:t>
      </w:r>
    </w:p>
    <w:p w14:paraId="6C0449BA">
      <w:pPr>
        <w:pStyle w:val="28"/>
        <w:spacing w:line="578" w:lineRule="exact"/>
        <w:jc w:val="center"/>
        <w:rPr>
          <w:rFonts w:ascii="方正小标宋简体" w:hAnsi="方正小标宋简体" w:eastAsia="方正小标宋简体" w:cs="方正小标宋简体"/>
          <w:color w:val="auto"/>
          <w:kern w:val="2"/>
          <w:sz w:val="44"/>
          <w:szCs w:val="44"/>
          <w:lang w:val="en-US"/>
        </w:rPr>
      </w:pPr>
    </w:p>
    <w:p w14:paraId="578CD348">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广元市公安局</w:t>
      </w:r>
    </w:p>
    <w:p w14:paraId="763079EF">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市看守所经费项目绩效评价报告</w:t>
      </w:r>
    </w:p>
    <w:p w14:paraId="1FD6910F">
      <w:pPr>
        <w:pStyle w:val="28"/>
        <w:spacing w:line="578" w:lineRule="exact"/>
        <w:ind w:firstLine="640"/>
        <w:jc w:val="center"/>
        <w:rPr>
          <w:rFonts w:ascii="宋体" w:hAnsi="宋体"/>
          <w:color w:val="auto"/>
          <w:kern w:val="2"/>
          <w:sz w:val="32"/>
          <w:szCs w:val="32"/>
        </w:rPr>
      </w:pPr>
    </w:p>
    <w:p w14:paraId="2D7969B1">
      <w:pPr>
        <w:adjustRightInd w:val="0"/>
        <w:snapToGrid w:val="0"/>
        <w:spacing w:line="580" w:lineRule="exact"/>
        <w:ind w:firstLine="720"/>
        <w:outlineLvl w:val="1"/>
        <w:rPr>
          <w:rFonts w:ascii="黑体" w:hAnsi="黑体" w:eastAsia="黑体" w:cs="黑体"/>
          <w:bCs/>
          <w:sz w:val="32"/>
          <w:szCs w:val="32"/>
        </w:rPr>
      </w:pPr>
      <w:bookmarkStart w:id="157" w:name="_Toc5071"/>
      <w:r>
        <w:rPr>
          <w:rFonts w:hint="eastAsia" w:ascii="黑体" w:hAnsi="黑体" w:eastAsia="黑体" w:cs="黑体"/>
          <w:bCs/>
          <w:sz w:val="32"/>
          <w:szCs w:val="32"/>
        </w:rPr>
        <w:t>一、项目概况</w:t>
      </w:r>
      <w:bookmarkEnd w:id="157"/>
    </w:p>
    <w:p w14:paraId="18B764D8">
      <w:pPr>
        <w:widowControl/>
        <w:adjustRightInd w:val="0"/>
        <w:snapToGrid w:val="0"/>
        <w:spacing w:line="578" w:lineRule="exact"/>
        <w:ind w:firstLine="643" w:firstLineChars="200"/>
        <w:contextualSpacing/>
        <w:jc w:val="left"/>
        <w:rPr>
          <w:rFonts w:ascii="仿宋_GB2312" w:hAnsi="仿宋_GB2312" w:cs="仿宋_GB2312"/>
          <w:kern w:val="0"/>
          <w:shd w:val="clear" w:color="auto" w:fill="FFFFFF"/>
          <w:lang w:val="zh-CN"/>
        </w:rPr>
      </w:pPr>
      <w:r>
        <w:rPr>
          <w:rFonts w:hint="eastAsia" w:ascii="楷体_GB2312" w:hAnsi="宋体" w:eastAsia="楷体_GB2312"/>
          <w:b/>
          <w:sz w:val="32"/>
          <w:szCs w:val="32"/>
          <w:lang w:val="zh-CN"/>
        </w:rPr>
        <w:t>（一）设立背景及基本情况。</w:t>
      </w:r>
      <w:r>
        <w:rPr>
          <w:rFonts w:hint="eastAsia" w:ascii="仿宋_GB2312" w:hAnsi="仿宋_GB2312" w:eastAsia="仿宋_GB2312" w:cs="仿宋_GB2312"/>
          <w:sz w:val="32"/>
          <w:szCs w:val="32"/>
        </w:rPr>
        <w:t>依据公安部、财政部关于《看守所经费开支范围和管理办法的规定》，对市公安局看守所在押人员给养费项目进行立项申报。</w:t>
      </w:r>
    </w:p>
    <w:p w14:paraId="67FE2A8D">
      <w:pPr>
        <w:adjustRightInd w:val="0"/>
        <w:snapToGrid w:val="0"/>
        <w:spacing w:line="578" w:lineRule="exact"/>
        <w:ind w:firstLine="643" w:firstLineChars="200"/>
        <w:rPr>
          <w:rFonts w:ascii="仿宋_GB2312" w:hAnsi="仿宋_GB2312" w:eastAsia="仿宋_GB2312" w:cs="仿宋_GB2312"/>
          <w:sz w:val="32"/>
          <w:szCs w:val="32"/>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r>
        <w:rPr>
          <w:rFonts w:hint="eastAsia" w:ascii="楷体_GB2312" w:hAnsi="宋体" w:eastAsia="楷体_GB2312"/>
          <w:b/>
          <w:sz w:val="32"/>
          <w:szCs w:val="32"/>
          <w:lang w:val="zh-CN"/>
        </w:rPr>
        <w:t>。</w:t>
      </w:r>
      <w:r>
        <w:rPr>
          <w:rFonts w:hint="eastAsia" w:ascii="仿宋_GB2312" w:hAnsi="仿宋_GB2312" w:eastAsia="仿宋_GB2312" w:cs="仿宋_GB2312"/>
          <w:sz w:val="32"/>
          <w:szCs w:val="32"/>
        </w:rPr>
        <w:t>通过项目的实施，完成在押人员一日三餐供应，监所环境整治，保障刑事诉讼活动顺利进行，保障在押人员合法权益。</w:t>
      </w:r>
    </w:p>
    <w:p w14:paraId="18D05115">
      <w:pPr>
        <w:adjustRightInd w:val="0"/>
        <w:snapToGrid w:val="0"/>
        <w:spacing w:line="600" w:lineRule="exact"/>
        <w:ind w:firstLine="643" w:firstLineChars="200"/>
        <w:rPr>
          <w:rFonts w:ascii="楷体_GB2312" w:hAnsi="宋体" w:eastAsia="楷体_GB2312"/>
          <w:b/>
          <w:sz w:val="32"/>
          <w:szCs w:val="32"/>
          <w:lang w:val="zh-CN"/>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r>
        <w:rPr>
          <w:rFonts w:hint="eastAsia" w:ascii="楷体_GB2312" w:hAnsi="宋体" w:eastAsia="楷体_GB2312"/>
          <w:b/>
          <w:sz w:val="32"/>
          <w:szCs w:val="32"/>
          <w:lang w:val="zh-CN"/>
        </w:rPr>
        <w:t>。</w:t>
      </w:r>
    </w:p>
    <w:p w14:paraId="73CC33C5">
      <w:pPr>
        <w:adjustRightInd w:val="0"/>
        <w:snapToGrid w:val="0"/>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1.市公安局主要对项目资金执行进度、项目资金使用情况进行监督，对资金的使用及报销进行审核。</w:t>
      </w:r>
    </w:p>
    <w:p w14:paraId="52090FB1">
      <w:pPr>
        <w:adjustRightInd w:val="0"/>
        <w:snapToGrid w:val="0"/>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2.依据公安部、财政部关于《看守所经费开支范围和管理办法的规定》，对市公安局看守所在押人员给养费项目进行立项申报。</w:t>
      </w:r>
    </w:p>
    <w:p w14:paraId="62AB0597">
      <w:pPr>
        <w:adjustRightInd w:val="0"/>
        <w:snapToGrid w:val="0"/>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3.按照公安部、财政部关于《看守所经费开支范围和管理办法的规定》，市公安局对项目资金进行管理，严格按照规定的范围支持和审核资金的支付。</w:t>
      </w:r>
    </w:p>
    <w:p w14:paraId="3F0CE6BA">
      <w:pPr>
        <w:adjustRightInd w:val="0"/>
        <w:snapToGrid w:val="0"/>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4.按照项目的使用范围，坚持实事求是的原则，严格资金使用和分配。</w:t>
      </w:r>
    </w:p>
    <w:p w14:paraId="13345162">
      <w:pPr>
        <w:adjustRightInd w:val="0"/>
        <w:snapToGrid w:val="0"/>
        <w:spacing w:line="600" w:lineRule="exact"/>
        <w:ind w:firstLine="643" w:firstLineChars="200"/>
        <w:rPr>
          <w:rFonts w:ascii="楷体_GB2312" w:hAnsi="宋体" w:eastAsia="楷体_GB2312"/>
          <w:b/>
          <w:sz w:val="32"/>
          <w:szCs w:val="32"/>
          <w:lang w:val="zh-CN"/>
        </w:rPr>
      </w:pPr>
      <w:r>
        <w:rPr>
          <w:rFonts w:hint="eastAsia" w:ascii="楷体_GB2312" w:hAnsi="宋体" w:eastAsia="楷体_GB2312"/>
          <w:b/>
          <w:sz w:val="32"/>
          <w:szCs w:val="32"/>
          <w:lang w:val="zh-CN"/>
        </w:rPr>
        <w:t>（四）项目绩效目标设置。</w:t>
      </w:r>
    </w:p>
    <w:p w14:paraId="3F0CD485">
      <w:pPr>
        <w:adjustRightInd w:val="0"/>
        <w:snapToGrid w:val="0"/>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 该项经费主要为保障在押人员的合法权益，保障刑事诉讼的顺利进行，维护监管秩序的稳定。</w:t>
      </w:r>
    </w:p>
    <w:p w14:paraId="2A9748EA">
      <w:pPr>
        <w:adjustRightInd w:val="0"/>
        <w:snapToGrid w:val="0"/>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 根据公安部、财政部关于《看守所经费开支范围和管理办法的规定》，在押人员给养经费包括伙食费、衣被费、公杂费等。</w:t>
      </w:r>
    </w:p>
    <w:p w14:paraId="4AAB03A2">
      <w:pPr>
        <w:adjustRightInd w:val="0"/>
        <w:snapToGrid w:val="0"/>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3.申报内容与实际相符，申报目标合理可行。</w:t>
      </w:r>
    </w:p>
    <w:p w14:paraId="79C1ABC2">
      <w:pPr>
        <w:adjustRightInd w:val="0"/>
        <w:snapToGrid w:val="0"/>
        <w:spacing w:line="580" w:lineRule="exact"/>
        <w:ind w:firstLine="720"/>
        <w:outlineLvl w:val="1"/>
        <w:rPr>
          <w:rFonts w:ascii="黑体" w:hAnsi="黑体" w:eastAsia="黑体" w:cs="黑体"/>
          <w:bCs/>
          <w:sz w:val="32"/>
          <w:szCs w:val="32"/>
        </w:rPr>
      </w:pPr>
      <w:bookmarkStart w:id="158" w:name="_Toc25660"/>
      <w:r>
        <w:rPr>
          <w:rFonts w:hint="eastAsia" w:ascii="黑体" w:hAnsi="黑体" w:eastAsia="黑体" w:cs="黑体"/>
          <w:bCs/>
          <w:sz w:val="32"/>
          <w:szCs w:val="32"/>
        </w:rPr>
        <w:t>二、评价实施</w:t>
      </w:r>
      <w:bookmarkEnd w:id="158"/>
    </w:p>
    <w:p w14:paraId="6D72AD2A">
      <w:pPr>
        <w:spacing w:line="578" w:lineRule="exact"/>
        <w:ind w:firstLine="640"/>
      </w:pPr>
      <w:r>
        <w:rPr>
          <w:rFonts w:hint="eastAsia" w:ascii="楷体_GB2312" w:hAnsi="宋体" w:eastAsia="楷体_GB2312"/>
          <w:b/>
          <w:sz w:val="32"/>
          <w:szCs w:val="32"/>
          <w:lang w:val="zh-CN"/>
        </w:rPr>
        <w:t>（一）评价目的。</w:t>
      </w:r>
      <w:r>
        <w:rPr>
          <w:rFonts w:hint="eastAsia" w:ascii="仿宋_GB2312" w:hAnsi="仿宋_GB2312" w:eastAsia="仿宋_GB2312" w:cs="仿宋_GB2312"/>
          <w:sz w:val="32"/>
          <w:szCs w:val="32"/>
        </w:rPr>
        <w:t>通过绩效自评，达到客观了解资金使用情况，增强资金使用部门的自觉性和责任感，促进资金的合理配置与有效利用。</w:t>
      </w:r>
    </w:p>
    <w:p w14:paraId="6A7F5165">
      <w:pPr>
        <w:adjustRightInd w:val="0"/>
        <w:snapToGrid w:val="0"/>
        <w:spacing w:line="578" w:lineRule="exact"/>
        <w:ind w:firstLine="643" w:firstLineChars="200"/>
        <w:rPr>
          <w:rFonts w:ascii="楷体_GB2312" w:hAnsi="宋体" w:eastAsia="楷体_GB2312"/>
          <w:b/>
          <w:sz w:val="32"/>
          <w:szCs w:val="32"/>
          <w:lang w:val="zh-CN"/>
        </w:rPr>
      </w:pPr>
      <w:r>
        <w:rPr>
          <w:rFonts w:hint="eastAsia" w:ascii="楷体_GB2312" w:hAnsi="宋体" w:eastAsia="楷体_GB2312"/>
          <w:b/>
          <w:sz w:val="32"/>
          <w:szCs w:val="32"/>
          <w:lang w:val="zh-CN"/>
        </w:rPr>
        <w:t>（二）预设问题及评价重点。</w:t>
      </w:r>
    </w:p>
    <w:p w14:paraId="0D910B6D">
      <w:pPr>
        <w:adjustRightInd w:val="0"/>
        <w:snapToGrid w:val="0"/>
        <w:spacing w:line="578"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1.预设问题</w:t>
      </w:r>
    </w:p>
    <w:p w14:paraId="41F7C8D5">
      <w:pPr>
        <w:adjustRightInd w:val="0"/>
        <w:snapToGrid w:val="0"/>
        <w:spacing w:line="578"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部分数据收集整理工作不够科学、完善，对于之后的数据分析可能存在影响。</w:t>
      </w:r>
    </w:p>
    <w:p w14:paraId="7EBB9A31">
      <w:pPr>
        <w:adjustRightInd w:val="0"/>
        <w:snapToGrid w:val="0"/>
        <w:spacing w:line="578"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2.评价重点</w:t>
      </w:r>
    </w:p>
    <w:p w14:paraId="48401DB0">
      <w:pPr>
        <w:adjustRightInd w:val="0"/>
        <w:snapToGrid w:val="0"/>
        <w:spacing w:line="578"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严格落实项目目标绩效拟定、执行跟踪，完成评价的相关要求。</w:t>
      </w:r>
    </w:p>
    <w:p w14:paraId="478AE1F8">
      <w:pPr>
        <w:adjustRightInd w:val="0"/>
        <w:snapToGrid w:val="0"/>
        <w:spacing w:line="578" w:lineRule="exact"/>
        <w:ind w:firstLine="643" w:firstLineChars="200"/>
        <w:rPr>
          <w:lang w:val="zh-CN"/>
        </w:rPr>
      </w:pPr>
      <w:r>
        <w:rPr>
          <w:rFonts w:hint="eastAsia" w:ascii="楷体_GB2312" w:hAnsi="宋体" w:eastAsia="楷体_GB2312"/>
          <w:b/>
          <w:sz w:val="32"/>
          <w:szCs w:val="32"/>
          <w:lang w:val="zh-CN"/>
        </w:rPr>
        <w:t>（三）评价选点。</w:t>
      </w:r>
      <w:r>
        <w:rPr>
          <w:rFonts w:hint="eastAsia" w:ascii="仿宋_GB2312" w:hAnsi="仿宋_GB2312" w:eastAsia="仿宋_GB2312" w:cs="仿宋_GB2312"/>
          <w:sz w:val="32"/>
          <w:szCs w:val="32"/>
        </w:rPr>
        <w:t>广元市看守所。</w:t>
      </w:r>
    </w:p>
    <w:p w14:paraId="00999124">
      <w:pPr>
        <w:adjustRightInd w:val="0"/>
        <w:snapToGrid w:val="0"/>
        <w:spacing w:line="600" w:lineRule="exact"/>
        <w:ind w:firstLine="643" w:firstLineChars="200"/>
        <w:rPr>
          <w:rFonts w:ascii="仿宋_GB2312" w:hAnsi="仿宋_GB2312" w:eastAsia="仿宋_GB2312" w:cs="仿宋_GB2312"/>
          <w:sz w:val="32"/>
          <w:szCs w:val="32"/>
        </w:rPr>
      </w:pPr>
      <w:r>
        <w:rPr>
          <w:rFonts w:hint="eastAsia" w:ascii="楷体_GB2312" w:hAnsi="宋体" w:eastAsia="楷体_GB2312"/>
          <w:b/>
          <w:sz w:val="32"/>
          <w:szCs w:val="32"/>
          <w:lang w:val="zh-CN"/>
        </w:rPr>
        <w:t>（四）评价方法。</w:t>
      </w:r>
      <w:r>
        <w:rPr>
          <w:rFonts w:hint="eastAsia" w:ascii="仿宋_GB2312" w:hAnsi="仿宋_GB2312" w:eastAsia="仿宋_GB2312" w:cs="仿宋_GB2312"/>
          <w:sz w:val="32"/>
          <w:szCs w:val="32"/>
        </w:rPr>
        <w:t>由预算项目申报单位按照市财政局文件要求对项目绩效自评后，报市公安局主管部门对绩效自评情况进行部门审核。市公安局依照相关管理办法，组织警务保障处、审计处、市局纪委及经费预算申报项目单位等，严格按照市财政局项目绩效评价体系对项目进行审核。</w:t>
      </w:r>
    </w:p>
    <w:p w14:paraId="534229B5">
      <w:pPr>
        <w:spacing w:line="578"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（五）评价组织。</w:t>
      </w:r>
    </w:p>
    <w:p w14:paraId="50575C54">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评价组组长：</w:t>
      </w:r>
    </w:p>
    <w:p w14:paraId="6400D8A3">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张宝玉（广元市看守所所长）</w:t>
      </w:r>
    </w:p>
    <w:p w14:paraId="636F32AB">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评价组组员：</w:t>
      </w:r>
    </w:p>
    <w:p w14:paraId="0CA1FE62">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向宇（广元市看守所教导员）</w:t>
      </w:r>
    </w:p>
    <w:p w14:paraId="02395CE0">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冯源（广元市看守所民警）</w:t>
      </w:r>
    </w:p>
    <w:p w14:paraId="7CC5E656">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李斌（广元市看守所工勤）</w:t>
      </w:r>
    </w:p>
    <w:p w14:paraId="30F1F040">
      <w:pPr>
        <w:adjustRightInd w:val="0"/>
        <w:snapToGrid w:val="0"/>
        <w:spacing w:line="580" w:lineRule="exact"/>
        <w:ind w:firstLine="720"/>
        <w:outlineLvl w:val="1"/>
        <w:rPr>
          <w:rFonts w:ascii="黑体" w:hAnsi="黑体" w:eastAsia="黑体" w:cs="黑体"/>
          <w:bCs/>
          <w:sz w:val="32"/>
          <w:szCs w:val="32"/>
        </w:rPr>
      </w:pPr>
      <w:bookmarkStart w:id="159" w:name="_Toc345"/>
      <w:r>
        <w:rPr>
          <w:rFonts w:hint="eastAsia" w:ascii="黑体" w:hAnsi="黑体" w:eastAsia="黑体" w:cs="黑体"/>
          <w:bCs/>
          <w:sz w:val="32"/>
          <w:szCs w:val="32"/>
        </w:rPr>
        <w:t>三、绩效分析</w:t>
      </w:r>
      <w:bookmarkEnd w:id="159"/>
      <w:r>
        <w:rPr>
          <w:rFonts w:hint="eastAsia" w:ascii="黑体" w:hAnsi="黑体" w:eastAsia="黑体" w:cs="黑体"/>
          <w:bCs/>
          <w:sz w:val="32"/>
          <w:szCs w:val="32"/>
        </w:rPr>
        <w:tab/>
      </w:r>
    </w:p>
    <w:p w14:paraId="74AA1360">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1.项目决策。通过项目的实施，完成在押人员一日三餐供应，监所环境整治，保障刑事诉讼活动顺利进行，保障在押人员合法权益。</w:t>
      </w:r>
    </w:p>
    <w:p w14:paraId="2594BECC">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2.项目管理。项目资金管理按照国家财经法规、财务管理制度规定以及专项资金管理办法的规定和看守所经费开支范围和管理办法的规定办理。</w:t>
      </w:r>
    </w:p>
    <w:p w14:paraId="3D01ACA7">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3.项目实施。支出过程规范，未发现截留、挤占、挪用、虚列开支等情况。</w:t>
      </w:r>
    </w:p>
    <w:p w14:paraId="5A1EF610">
      <w:pPr>
        <w:spacing w:line="578" w:lineRule="exact"/>
        <w:ind w:firstLine="640"/>
      </w:pPr>
      <w:r>
        <w:rPr>
          <w:rFonts w:hint="eastAsia" w:ascii="仿宋_GB2312" w:hAnsi="仿宋_GB2312" w:eastAsia="仿宋_GB2312" w:cs="仿宋_GB2312"/>
          <w:sz w:val="32"/>
          <w:szCs w:val="32"/>
        </w:rPr>
        <w:t>4.项目结果。项目内控制度及财务核算制度执行良好。整体支出规范性较好。</w:t>
      </w:r>
    </w:p>
    <w:p w14:paraId="48BC6052">
      <w:pPr>
        <w:adjustRightInd w:val="0"/>
        <w:snapToGrid w:val="0"/>
        <w:spacing w:line="580" w:lineRule="exact"/>
        <w:ind w:firstLine="720"/>
        <w:outlineLvl w:val="1"/>
        <w:rPr>
          <w:rFonts w:ascii="黑体" w:hAnsi="黑体" w:eastAsia="黑体" w:cs="黑体"/>
          <w:bCs/>
          <w:sz w:val="32"/>
          <w:szCs w:val="32"/>
        </w:rPr>
      </w:pPr>
      <w:bookmarkStart w:id="160" w:name="_Toc12542"/>
      <w:r>
        <w:rPr>
          <w:rFonts w:hint="eastAsia" w:ascii="黑体" w:hAnsi="黑体" w:eastAsia="黑体" w:cs="黑体"/>
          <w:bCs/>
          <w:sz w:val="32"/>
          <w:szCs w:val="32"/>
        </w:rPr>
        <w:t>四、评价结论</w:t>
      </w:r>
      <w:bookmarkEnd w:id="160"/>
    </w:p>
    <w:p w14:paraId="2E8D27B2">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通过项目的实施，完成了在押人员一日三餐供应，监所环境整治，保障刑事诉讼活动顺利进行，保障在押人员合法权益。得分96分。</w:t>
      </w:r>
    </w:p>
    <w:p w14:paraId="5A4334F8">
      <w:pPr>
        <w:adjustRightInd w:val="0"/>
        <w:snapToGrid w:val="0"/>
        <w:spacing w:line="580" w:lineRule="exact"/>
        <w:ind w:firstLine="720"/>
        <w:outlineLvl w:val="1"/>
        <w:rPr>
          <w:rFonts w:ascii="黑体" w:hAnsi="黑体" w:eastAsia="黑体" w:cs="黑体"/>
          <w:bCs/>
          <w:sz w:val="32"/>
          <w:szCs w:val="32"/>
        </w:rPr>
      </w:pPr>
      <w:bookmarkStart w:id="161" w:name="_Toc13965"/>
      <w:r>
        <w:rPr>
          <w:rFonts w:hint="eastAsia" w:ascii="黑体" w:hAnsi="黑体" w:eastAsia="黑体" w:cs="黑体"/>
          <w:bCs/>
          <w:sz w:val="32"/>
          <w:szCs w:val="32"/>
        </w:rPr>
        <w:t>五、存在主要问题</w:t>
      </w:r>
      <w:bookmarkEnd w:id="161"/>
    </w:p>
    <w:p w14:paraId="77E288BE">
      <w:pPr>
        <w:pStyle w:val="5"/>
        <w:spacing w:line="600" w:lineRule="exact"/>
        <w:ind w:firstLine="640" w:firstLineChars="200"/>
        <w:rPr>
          <w:rFonts w:ascii="黑体" w:hAnsi="黑体" w:cs="黑体"/>
          <w:sz w:val="32"/>
          <w:szCs w:val="32"/>
        </w:rPr>
      </w:pPr>
      <w:r>
        <w:rPr>
          <w:rFonts w:hint="eastAsia" w:ascii="仿宋_GB2312" w:hAnsi="仿宋_GB2312" w:eastAsia="仿宋_GB2312" w:cs="仿宋_GB2312"/>
          <w:sz w:val="32"/>
          <w:szCs w:val="32"/>
        </w:rPr>
        <w:t>无。</w:t>
      </w:r>
    </w:p>
    <w:p w14:paraId="3B0FC8ED">
      <w:pPr>
        <w:adjustRightInd w:val="0"/>
        <w:snapToGrid w:val="0"/>
        <w:spacing w:line="580" w:lineRule="exact"/>
        <w:ind w:firstLine="720"/>
        <w:outlineLvl w:val="1"/>
        <w:rPr>
          <w:rFonts w:ascii="黑体" w:hAnsi="黑体" w:eastAsia="黑体" w:cs="黑体"/>
          <w:bCs/>
          <w:sz w:val="32"/>
          <w:szCs w:val="32"/>
        </w:rPr>
      </w:pPr>
      <w:bookmarkStart w:id="162" w:name="_Toc11289"/>
      <w:r>
        <w:rPr>
          <w:rFonts w:hint="eastAsia" w:ascii="黑体" w:hAnsi="黑体" w:eastAsia="黑体" w:cs="黑体"/>
          <w:bCs/>
          <w:sz w:val="32"/>
          <w:szCs w:val="32"/>
        </w:rPr>
        <w:t>六、改进建议</w:t>
      </w:r>
      <w:bookmarkEnd w:id="162"/>
    </w:p>
    <w:p w14:paraId="78AE074D">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建议加大对看守所在押人员给养费项目资金投入力度，根据实际情况调整项目资金的投入额度，保障在押人员生活。</w:t>
      </w:r>
    </w:p>
    <w:p w14:paraId="641FB2D1">
      <w:pPr>
        <w:spacing w:line="578" w:lineRule="exact"/>
        <w:ind w:firstLine="640"/>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广元市公安局</w:t>
      </w:r>
    </w:p>
    <w:p w14:paraId="56203969">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市强制隔离戒毒所经费项目绩效评价报告</w:t>
      </w:r>
    </w:p>
    <w:p w14:paraId="1A017462">
      <w:pPr>
        <w:adjustRightInd w:val="0"/>
        <w:snapToGrid w:val="0"/>
        <w:spacing w:line="578" w:lineRule="exact"/>
        <w:ind w:firstLine="420" w:firstLineChars="200"/>
        <w:rPr>
          <w:rFonts w:ascii="黑体" w:hAnsi="宋体" w:eastAsia="黑体"/>
        </w:rPr>
      </w:pPr>
    </w:p>
    <w:p w14:paraId="1F4FD711">
      <w:pPr>
        <w:adjustRightInd w:val="0"/>
        <w:snapToGrid w:val="0"/>
        <w:spacing w:line="580" w:lineRule="exact"/>
        <w:ind w:firstLine="720"/>
        <w:outlineLvl w:val="1"/>
        <w:rPr>
          <w:rFonts w:ascii="黑体" w:hAnsi="黑体" w:eastAsia="黑体" w:cs="黑体"/>
          <w:bCs/>
          <w:sz w:val="32"/>
          <w:szCs w:val="32"/>
        </w:rPr>
      </w:pPr>
      <w:bookmarkStart w:id="163" w:name="_Toc11708"/>
      <w:r>
        <w:rPr>
          <w:rFonts w:hint="eastAsia" w:ascii="黑体" w:hAnsi="黑体" w:eastAsia="黑体" w:cs="黑体"/>
          <w:bCs/>
          <w:sz w:val="32"/>
          <w:szCs w:val="32"/>
        </w:rPr>
        <w:t>一、项目概况</w:t>
      </w:r>
      <w:bookmarkEnd w:id="163"/>
    </w:p>
    <w:p w14:paraId="3CB5BE2E">
      <w:pPr>
        <w:adjustRightInd w:val="0"/>
        <w:snapToGrid w:val="0"/>
        <w:spacing w:line="60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（一）设立背景及基本情况。</w:t>
      </w:r>
    </w:p>
    <w:p w14:paraId="1AF1FC78">
      <w:pPr>
        <w:adjustRightInd w:val="0"/>
        <w:snapToGrid w:val="0"/>
        <w:spacing w:line="600" w:lineRule="exact"/>
        <w:ind w:firstLine="720"/>
        <w:rPr>
          <w:rFonts w:ascii="仿宋_GB2312" w:hAnsi="仿宋_GB2312" w:eastAsia="仿宋_GB2312" w:cs="仿宋_GB2312"/>
          <w:sz w:val="32"/>
          <w:szCs w:val="32"/>
        </w:rPr>
      </w:pPr>
      <w:r>
        <w:rPr>
          <w:rFonts w:hint="eastAsia" w:ascii="仿宋_GB2312" w:hAnsi="仿宋_GB2312" w:eastAsia="仿宋_GB2312" w:cs="仿宋_GB2312"/>
          <w:sz w:val="32"/>
          <w:szCs w:val="32"/>
        </w:rPr>
        <w:t>项目按照国务院《戒毒条例》、公安部《公安机关强制隔离戒毒所管理办法》《强制隔离戒毒所等级评定办法》等法规要求，结合广元强戒所实际情况，并参加历年实际消耗情况，项目科学合理，项目申报目标切合实际，合理可行。项目的主要内容是保障监所运转的水电气费用、在押人员伙食费、管理教育费、公杂费等。部门主要职能：2023年2月，市强戒所按照市公安局党委要求，对全市含市本级2所、一县三区拘留所共6所进行资源整合，实行“拘戒合设、市县区合一”集约化管理模式。履行拘留和戒毒职责。收拘市本级和剑阁利州昭化朝天以及法院、铁路、高交等依法决定的拘留人员，收戒全市戒毒人员。</w:t>
      </w:r>
    </w:p>
    <w:p w14:paraId="359B4220">
      <w:pPr>
        <w:adjustRightInd w:val="0"/>
        <w:snapToGrid w:val="0"/>
        <w:spacing w:line="578" w:lineRule="exact"/>
        <w:ind w:firstLine="643" w:firstLineChars="200"/>
        <w:rPr>
          <w:rFonts w:ascii="楷体_GB2312" w:hAnsi="宋体" w:eastAsia="楷体_GB2312"/>
          <w:b/>
          <w:sz w:val="32"/>
          <w:szCs w:val="32"/>
          <w:lang w:val="zh-CN"/>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r>
        <w:rPr>
          <w:rFonts w:hint="eastAsia" w:ascii="楷体_GB2312" w:hAnsi="宋体" w:eastAsia="楷体_GB2312"/>
          <w:b/>
          <w:sz w:val="32"/>
          <w:szCs w:val="32"/>
          <w:lang w:val="zh-CN"/>
        </w:rPr>
        <w:t>。</w:t>
      </w:r>
    </w:p>
    <w:p w14:paraId="5DD5C8C0">
      <w:pPr>
        <w:adjustRightInd w:val="0"/>
        <w:snapToGrid w:val="0"/>
        <w:spacing w:line="578"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结合监所工作实际，建立并实施了监所内部财务管理和监督控制制度，制定了《强戒所财务管理制度》《被监管人员财物管理制度》，明确了财务、后勤采购和经办人员职责权责，使其相互分离、相互制约，防止舞弊，杜绝各种漏洞，有效实施内部监督控制，保证经费开支的真实性、完整性以及单位财产的安全。该项目实施，确保了监所安全文明，确保监所等级达标，积极发挥社会职能作用，积极服务公安中心工作，服务社会大局稳定，产出较高的社会效益。资金来源为市级</w:t>
      </w:r>
      <w:r>
        <w:rPr>
          <w:rFonts w:ascii="仿宋_GB2312" w:hAnsi="仿宋_GB2312" w:eastAsia="仿宋_GB2312" w:cs="仿宋_GB2312"/>
          <w:sz w:val="32"/>
          <w:szCs w:val="32"/>
        </w:rPr>
        <w:t>财政资</w:t>
      </w:r>
      <w:r>
        <w:rPr>
          <w:rFonts w:hint="eastAsia" w:ascii="仿宋_GB2312" w:hAnsi="仿宋_GB2312" w:eastAsia="仿宋_GB2312" w:cs="仿宋_GB2312"/>
          <w:sz w:val="32"/>
          <w:szCs w:val="32"/>
        </w:rPr>
        <w:t>金，市强戒所本次对项目进行了事前绩效评估、预算测算，实施过程中坚持厉行节约的要求，同时，结合项目近年来实际需求和、相关费用标准及市场价格水平，重点对数量是否合理、投入是否经济、预算测算是否准确、测算过程是否详细、测算依据是否充分等方面进行了评价，项目应予支持。</w:t>
      </w:r>
    </w:p>
    <w:p w14:paraId="65770D36">
      <w:pPr>
        <w:widowControl/>
        <w:adjustRightInd w:val="0"/>
        <w:snapToGrid w:val="0"/>
        <w:spacing w:line="578" w:lineRule="exact"/>
        <w:ind w:firstLine="643" w:firstLineChars="200"/>
        <w:contextualSpacing/>
        <w:rPr>
          <w:rFonts w:ascii="楷体_GB2312" w:hAnsi="宋体" w:eastAsia="楷体_GB2312"/>
          <w:b/>
          <w:sz w:val="32"/>
          <w:szCs w:val="32"/>
          <w:lang w:val="zh-CN"/>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r>
        <w:rPr>
          <w:rFonts w:hint="eastAsia" w:ascii="楷体_GB2312" w:hAnsi="宋体" w:eastAsia="楷体_GB2312"/>
          <w:b/>
          <w:sz w:val="32"/>
          <w:szCs w:val="32"/>
          <w:lang w:val="zh-CN"/>
        </w:rPr>
        <w:t>。</w:t>
      </w:r>
    </w:p>
    <w:p w14:paraId="36EB92F8">
      <w:pPr>
        <w:widowControl/>
        <w:adjustRightInd w:val="0"/>
        <w:snapToGrid w:val="0"/>
        <w:spacing w:line="578" w:lineRule="exact"/>
        <w:ind w:firstLine="640" w:firstLineChars="200"/>
        <w:contextualSpacing/>
        <w:rPr>
          <w:rFonts w:ascii="仿宋_GB2312" w:hAnsi="仿宋_GB2312" w:eastAsia="仿宋_GB2312" w:cs="仿宋_GB2312"/>
          <w:sz w:val="32"/>
          <w:szCs w:val="32"/>
        </w:rPr>
      </w:pPr>
      <w:r>
        <w:rPr>
          <w:rFonts w:hint="eastAsia" w:ascii="仿宋_GB2312" w:hAnsi="仿宋_GB2312" w:eastAsia="仿宋_GB2312" w:cs="仿宋_GB2312"/>
          <w:sz w:val="32"/>
          <w:szCs w:val="32"/>
        </w:rPr>
        <w:t>项目预算资金100.93万元，按照厉行节约的要求，结合项目近年实际需求、相关费用标准及市场价格水平，重点对数量是否合理、投入是否经济、预算测算是否准确、测算过程是否详细、测算分配。戒（拘）人员伙房劳务费≤29万元、戒毒人员脱毒药品费≤1.7万元、戒（拘）人员衣被费≤2.23万元、戒（拘）人员伙食费＝25万元、戒（拘）人员公杂费≤2万元、水电气相关费用≤28万元、管理、教育相关费用≤10万元、维修维护相关费用≤3万元。</w:t>
      </w:r>
    </w:p>
    <w:p w14:paraId="29350501">
      <w:pPr>
        <w:adjustRightInd w:val="0"/>
        <w:snapToGrid w:val="0"/>
        <w:spacing w:line="578" w:lineRule="exact"/>
        <w:ind w:firstLine="643" w:firstLineChars="200"/>
        <w:rPr>
          <w:rFonts w:ascii="楷体_GB2312" w:hAnsi="宋体" w:eastAsia="楷体_GB2312"/>
          <w:b/>
          <w:sz w:val="32"/>
          <w:szCs w:val="32"/>
          <w:lang w:val="zh-CN"/>
        </w:rPr>
      </w:pPr>
      <w:r>
        <w:rPr>
          <w:rFonts w:hint="eastAsia" w:ascii="楷体_GB2312" w:hAnsi="宋体" w:eastAsia="楷体_GB2312"/>
          <w:b/>
          <w:sz w:val="32"/>
          <w:szCs w:val="32"/>
          <w:lang w:val="zh-CN"/>
        </w:rPr>
        <w:t>（四）项目绩效目标设置。</w:t>
      </w:r>
    </w:p>
    <w:p w14:paraId="76A11272">
      <w:pPr>
        <w:adjustRightInd w:val="0"/>
        <w:snapToGrid w:val="0"/>
        <w:spacing w:line="578"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该项目绩效目标的数量指标、质量指标、时效指标、成本指标、经济效益指标、社会效益指标、生态效益指标设置合理，切合实际、内容全面、符合强制隔离戒毒所执法细则要求，操作性强，与强戒所长期规划发展目标一致。项目共设置产出指标40分，其中：数量指标12分，质量指标16分，时效指标12分；效益指标30分，其中：经济效益指标6，社会效益指标15分，可持续影响指标9分；成本指标20分，主要是经济成本指标：市强戒所依照“专项预算项目绩效评价指标体系”在规定的时间内，实事求是的开展自评工作。</w:t>
      </w:r>
    </w:p>
    <w:p w14:paraId="765A76AF">
      <w:pPr>
        <w:adjustRightInd w:val="0"/>
        <w:snapToGrid w:val="0"/>
        <w:spacing w:line="580" w:lineRule="exact"/>
        <w:ind w:firstLine="720"/>
        <w:outlineLvl w:val="1"/>
        <w:rPr>
          <w:rFonts w:ascii="黑体" w:hAnsi="黑体" w:eastAsia="黑体" w:cs="黑体"/>
          <w:bCs/>
          <w:sz w:val="32"/>
          <w:szCs w:val="32"/>
        </w:rPr>
      </w:pPr>
      <w:bookmarkStart w:id="164" w:name="_Toc25392"/>
      <w:r>
        <w:rPr>
          <w:rFonts w:hint="eastAsia" w:ascii="黑体" w:hAnsi="黑体" w:eastAsia="黑体" w:cs="黑体"/>
          <w:bCs/>
          <w:sz w:val="32"/>
          <w:szCs w:val="32"/>
        </w:rPr>
        <w:t>二、评价实施</w:t>
      </w:r>
      <w:bookmarkEnd w:id="164"/>
    </w:p>
    <w:p w14:paraId="25440CB6">
      <w:pPr>
        <w:spacing w:line="578"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（一）评价目的。</w:t>
      </w:r>
    </w:p>
    <w:p w14:paraId="2A83D92A">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通过对该项目自评，检查项目预算的合理性，目标设置科学性，目标完成质量，为不断优化项目目标管理提供直接参考依据，提高预算编制科学性、合理性，优化财政支出结构，有效防控财政资源配置低效无效，提高财政资源配置效率和财政资金使用效益。</w:t>
      </w:r>
    </w:p>
    <w:p w14:paraId="65A5E948">
      <w:pPr>
        <w:adjustRightInd w:val="0"/>
        <w:snapToGrid w:val="0"/>
        <w:spacing w:line="578" w:lineRule="exact"/>
        <w:ind w:firstLine="643" w:firstLineChars="200"/>
        <w:rPr>
          <w:rFonts w:ascii="楷体_GB2312" w:hAnsi="宋体" w:eastAsia="楷体_GB2312"/>
          <w:b/>
          <w:sz w:val="32"/>
          <w:szCs w:val="32"/>
          <w:lang w:val="zh-CN"/>
        </w:rPr>
      </w:pPr>
      <w:r>
        <w:rPr>
          <w:rFonts w:hint="eastAsia" w:ascii="楷体_GB2312" w:hAnsi="宋体" w:eastAsia="楷体_GB2312"/>
          <w:b/>
          <w:sz w:val="32"/>
          <w:szCs w:val="32"/>
          <w:lang w:val="zh-CN"/>
        </w:rPr>
        <w:t>（二）预设问题及评价重点。</w:t>
      </w:r>
    </w:p>
    <w:p w14:paraId="0C306A5B">
      <w:pPr>
        <w:adjustRightInd w:val="0"/>
        <w:snapToGrid w:val="0"/>
        <w:spacing w:line="578"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在资金支出使用全过程，市强戒所坚持不懈地学习贯彻和落实中央八项规定精神，省委省政府十项规定和市委市政府规定，不折不扣地执行和落实市局党委、市纪委驻局纪检组关于加强党风廉政建设的相关规定和制度，坚持厉行节约的要求，制定了详细的资金使用管理办法，依据市公安局财务管理制度，严格落实报帐程序，对1000元以上的支出，先申请，由市局分管财务局领导审批后再交由采购部门采购或自行采购，每月在所务在上进行公布，严格使用人、经办人、验收人、领取人责任管理。把有限的资金用在“刀刃”上，有效杜绝了“跑、冒、漏”。</w:t>
      </w:r>
    </w:p>
    <w:p w14:paraId="5F21FABC">
      <w:pPr>
        <w:adjustRightInd w:val="0"/>
        <w:snapToGrid w:val="0"/>
        <w:spacing w:line="578" w:lineRule="exact"/>
        <w:ind w:firstLine="643" w:firstLineChars="200"/>
        <w:rPr>
          <w:rFonts w:ascii="楷体_GB2312" w:hAnsi="宋体" w:eastAsia="楷体_GB2312"/>
          <w:b/>
          <w:sz w:val="32"/>
          <w:szCs w:val="32"/>
          <w:lang w:val="zh-CN"/>
        </w:rPr>
      </w:pPr>
      <w:r>
        <w:rPr>
          <w:rFonts w:hint="eastAsia" w:ascii="楷体_GB2312" w:hAnsi="宋体" w:eastAsia="楷体_GB2312"/>
          <w:b/>
          <w:sz w:val="32"/>
          <w:szCs w:val="32"/>
          <w:lang w:val="zh-CN"/>
        </w:rPr>
        <w:t>（三）评价选点。</w:t>
      </w:r>
    </w:p>
    <w:p w14:paraId="45CD463F">
      <w:pPr>
        <w:adjustRightInd w:val="0"/>
        <w:snapToGrid w:val="0"/>
        <w:spacing w:line="578" w:lineRule="exact"/>
        <w:ind w:firstLine="640" w:firstLineChars="200"/>
      </w:pPr>
      <w:r>
        <w:rPr>
          <w:rFonts w:hint="eastAsia" w:ascii="仿宋_GB2312" w:hAnsi="仿宋_GB2312" w:eastAsia="仿宋_GB2312" w:cs="仿宋_GB2312"/>
          <w:sz w:val="32"/>
          <w:szCs w:val="32"/>
        </w:rPr>
        <w:t>该项目为行政运转项目，项目内容较为单一，在评价范围上坚持全方位、全过程评价，重点对数量指标进行了进行全面分析评价。</w:t>
      </w:r>
    </w:p>
    <w:p w14:paraId="11D1412D">
      <w:pPr>
        <w:spacing w:line="578"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（四）评价方法。</w:t>
      </w:r>
    </w:p>
    <w:p w14:paraId="684EEDAE">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本项目通过现场踏勘、与后勤管理人员等座谈或讨论、</w:t>
      </w:r>
      <w:r>
        <w:rPr>
          <w:rFonts w:ascii="仿宋_GB2312" w:hAnsi="仿宋_GB2312" w:eastAsia="仿宋_GB2312" w:cs="仿宋_GB2312"/>
          <w:sz w:val="32"/>
          <w:szCs w:val="32"/>
        </w:rPr>
        <w:t>聘请相关专业专家、</w:t>
      </w:r>
      <w:r>
        <w:rPr>
          <w:rFonts w:hint="eastAsia" w:ascii="仿宋_GB2312" w:hAnsi="仿宋_GB2312" w:eastAsia="仿宋_GB2312" w:cs="仿宋_GB2312"/>
          <w:sz w:val="32"/>
          <w:szCs w:val="32"/>
        </w:rPr>
        <w:t>调阅报账资料、检查固定资产等方法</w:t>
      </w:r>
      <w:r>
        <w:rPr>
          <w:rFonts w:ascii="仿宋_GB2312" w:hAnsi="仿宋_GB2312" w:eastAsia="仿宋_GB2312" w:cs="仿宋_GB2312"/>
          <w:sz w:val="32"/>
          <w:szCs w:val="32"/>
        </w:rPr>
        <w:t>了解项目</w:t>
      </w:r>
      <w:r>
        <w:rPr>
          <w:rFonts w:hint="eastAsia" w:ascii="仿宋_GB2312" w:hAnsi="仿宋_GB2312" w:eastAsia="仿宋_GB2312" w:cs="仿宋_GB2312"/>
          <w:sz w:val="32"/>
          <w:szCs w:val="32"/>
        </w:rPr>
        <w:t>目标数量、质量等绩效</w:t>
      </w:r>
      <w:r>
        <w:rPr>
          <w:rFonts w:ascii="仿宋_GB2312" w:hAnsi="仿宋_GB2312" w:eastAsia="仿宋_GB2312" w:cs="仿宋_GB2312"/>
          <w:sz w:val="32"/>
          <w:szCs w:val="32"/>
        </w:rPr>
        <w:t>情况</w:t>
      </w:r>
      <w:r>
        <w:rPr>
          <w:rFonts w:hint="eastAsia" w:ascii="仿宋_GB2312" w:hAnsi="仿宋_GB2312" w:eastAsia="仿宋_GB2312" w:cs="仿宋_GB2312"/>
          <w:sz w:val="32"/>
          <w:szCs w:val="32"/>
        </w:rPr>
        <w:t>，收集相关资料，综合分析目标完成情况后，对项目目标数量是否合理、投入是否经济、预算测算是否准确、测算过程是否详细、目标完成是否准确，目标效益是否真实实施科学评价。</w:t>
      </w:r>
    </w:p>
    <w:p w14:paraId="6E9A50D2">
      <w:pPr>
        <w:spacing w:line="578"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（五）评价组织。</w:t>
      </w:r>
    </w:p>
    <w:p w14:paraId="48EA3EDE">
      <w:pPr>
        <w:spacing w:line="578" w:lineRule="exact"/>
        <w:ind w:firstLine="640"/>
      </w:pPr>
      <w:r>
        <w:rPr>
          <w:rFonts w:ascii="仿宋_GB2312" w:hAnsi="仿宋_GB2312" w:eastAsia="仿宋_GB2312" w:cs="仿宋_GB2312"/>
          <w:sz w:val="32"/>
          <w:szCs w:val="32"/>
        </w:rPr>
        <w:t>20</w:t>
      </w:r>
      <w:r>
        <w:rPr>
          <w:rFonts w:hint="eastAsia" w:ascii="仿宋_GB2312" w:hAnsi="仿宋_GB2312" w:eastAsia="仿宋_GB2312" w:cs="仿宋_GB2312"/>
          <w:sz w:val="32"/>
          <w:szCs w:val="32"/>
        </w:rPr>
        <w:t>23年度市强戒所经费（单列）项目绩效评价，市强戒所按照相关规定和工作安排，成立了绩效评价工作小组，由分管局领导任组长，所长为副组长，分管后勤所领导和后勤管理人员为成员。</w:t>
      </w:r>
      <w:r>
        <w:rPr>
          <w:rFonts w:ascii="仿宋_GB2312" w:hAnsi="仿宋_GB2312" w:eastAsia="仿宋_GB2312" w:cs="仿宋_GB2312"/>
          <w:sz w:val="32"/>
          <w:szCs w:val="32"/>
        </w:rPr>
        <w:t>通过</w:t>
      </w:r>
      <w:r>
        <w:rPr>
          <w:rFonts w:hint="eastAsia" w:ascii="仿宋_GB2312" w:hAnsi="仿宋_GB2312" w:eastAsia="仿宋_GB2312" w:cs="仿宋_GB2312"/>
          <w:sz w:val="32"/>
          <w:szCs w:val="32"/>
        </w:rPr>
        <w:t>收集水电气、伙食费、管理教育等费用报财资料和相关台账，并</w:t>
      </w:r>
      <w:r>
        <w:rPr>
          <w:rFonts w:ascii="仿宋_GB2312" w:hAnsi="仿宋_GB2312" w:eastAsia="仿宋_GB2312" w:cs="仿宋_GB2312"/>
          <w:sz w:val="32"/>
          <w:szCs w:val="32"/>
        </w:rPr>
        <w:t>查阅资料、</w:t>
      </w:r>
      <w:r>
        <w:rPr>
          <w:rFonts w:hint="eastAsia" w:ascii="仿宋_GB2312" w:hAnsi="仿宋_GB2312" w:eastAsia="仿宋_GB2312" w:cs="仿宋_GB2312"/>
          <w:sz w:val="32"/>
          <w:szCs w:val="32"/>
        </w:rPr>
        <w:t>收集数据信息</w:t>
      </w:r>
      <w:r>
        <w:rPr>
          <w:rFonts w:ascii="仿宋_GB2312" w:hAnsi="仿宋_GB2312" w:eastAsia="仿宋_GB2312" w:cs="仿宋_GB2312"/>
          <w:sz w:val="32"/>
          <w:szCs w:val="32"/>
        </w:rPr>
        <w:t>等</w:t>
      </w:r>
      <w:r>
        <w:rPr>
          <w:rFonts w:hint="eastAsia" w:ascii="仿宋_GB2312" w:hAnsi="仿宋_GB2312" w:eastAsia="仿宋_GB2312" w:cs="仿宋_GB2312"/>
          <w:sz w:val="32"/>
          <w:szCs w:val="32"/>
        </w:rPr>
        <w:t>，深入评价</w:t>
      </w:r>
      <w:r>
        <w:rPr>
          <w:rFonts w:ascii="仿宋_GB2312" w:hAnsi="仿宋_GB2312" w:eastAsia="仿宋_GB2312" w:cs="仿宋_GB2312"/>
          <w:sz w:val="32"/>
          <w:szCs w:val="32"/>
        </w:rPr>
        <w:t>分析后，形成绩效</w:t>
      </w:r>
      <w:r>
        <w:rPr>
          <w:rFonts w:hint="eastAsia" w:ascii="仿宋_GB2312" w:hAnsi="仿宋_GB2312" w:eastAsia="仿宋_GB2312" w:cs="仿宋_GB2312"/>
          <w:sz w:val="32"/>
          <w:szCs w:val="32"/>
        </w:rPr>
        <w:t>评价</w:t>
      </w:r>
      <w:r>
        <w:rPr>
          <w:rFonts w:ascii="仿宋_GB2312" w:hAnsi="仿宋_GB2312" w:eastAsia="仿宋_GB2312" w:cs="仿宋_GB2312"/>
          <w:sz w:val="32"/>
          <w:szCs w:val="32"/>
        </w:rPr>
        <w:t>报告。</w:t>
      </w:r>
    </w:p>
    <w:p w14:paraId="1B63C30E">
      <w:pPr>
        <w:adjustRightInd w:val="0"/>
        <w:snapToGrid w:val="0"/>
        <w:spacing w:line="580" w:lineRule="exact"/>
        <w:ind w:firstLine="720"/>
        <w:outlineLvl w:val="1"/>
        <w:rPr>
          <w:rFonts w:ascii="黑体" w:hAnsi="黑体" w:eastAsia="黑体" w:cs="黑体"/>
          <w:bCs/>
          <w:sz w:val="32"/>
          <w:szCs w:val="32"/>
        </w:rPr>
      </w:pPr>
      <w:bookmarkStart w:id="165" w:name="_Toc12335"/>
      <w:r>
        <w:rPr>
          <w:rFonts w:hint="eastAsia" w:ascii="黑体" w:hAnsi="黑体" w:eastAsia="黑体" w:cs="黑体"/>
          <w:bCs/>
          <w:sz w:val="32"/>
          <w:szCs w:val="32"/>
        </w:rPr>
        <w:t>三、绩效分析</w:t>
      </w:r>
      <w:bookmarkEnd w:id="165"/>
      <w:r>
        <w:rPr>
          <w:rFonts w:hint="eastAsia" w:ascii="黑体" w:hAnsi="黑体" w:eastAsia="黑体" w:cs="黑体"/>
          <w:bCs/>
          <w:sz w:val="32"/>
          <w:szCs w:val="32"/>
        </w:rPr>
        <w:tab/>
      </w:r>
    </w:p>
    <w:p w14:paraId="3DE9435E">
      <w:pPr>
        <w:spacing w:line="578"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（一）通用指标</w:t>
      </w:r>
      <w:r>
        <w:rPr>
          <w:rFonts w:ascii="楷体_GB2312" w:hAnsi="宋体" w:eastAsia="楷体_GB2312"/>
          <w:b/>
          <w:sz w:val="32"/>
          <w:szCs w:val="32"/>
          <w:lang w:val="zh-CN"/>
        </w:rPr>
        <w:t>绩效分析</w:t>
      </w:r>
    </w:p>
    <w:p w14:paraId="574008E9">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1.项目决策。该项目为行政运转项目，项目决策主要是按照国务院《戒毒条例》，公安部《公安机关强制隔离戒毒所管理办法》《强制隔离戒毒所等级评定办法》等法规要求进行决策，对伙食费标准、管理教育费等上级都要明确的要求，对保障运转的水电气等费用都是本着节约原则，实报实销，资金投向、使用合理。该项自评得分18分。</w:t>
      </w:r>
    </w:p>
    <w:p w14:paraId="7BAF4328">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2.项目管理。在项目管理上，坚持“严谨、务实、求真”进行管理，重大支出坚持集体领导，集思广益，凡是涉及事关全所队伍建设和业务工作的事项，均实行一事一议，群策群力，按照少数服从多数的原则，民主议决，科学决策。在经费使用中做到</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一是严格执行审批权限，定期通报经费开支情况，大项开支班子集体决议，保证把有限的资金用到最需要的地方；二是细中求精，严格管理钱、财、物，加强对设施设备的维护保养，反对铺张浪费</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杜绝“跑、冒、漏”现象，全年没有违反中央八项规定精神和财经纪律的行为。三是认真执行</w:t>
      </w:r>
      <w:r>
        <w:rPr>
          <w:rFonts w:ascii="仿宋_GB2312" w:hAnsi="仿宋_GB2312" w:eastAsia="仿宋_GB2312" w:cs="仿宋_GB2312"/>
          <w:sz w:val="32"/>
          <w:szCs w:val="32"/>
        </w:rPr>
        <w:t>广元市财政局《关于实施市级预算单位公务卡强制结算目录的通知》要求</w:t>
      </w:r>
      <w:r>
        <w:rPr>
          <w:rFonts w:hint="eastAsia" w:ascii="仿宋_GB2312" w:hAnsi="仿宋_GB2312" w:eastAsia="仿宋_GB2312" w:cs="仿宋_GB2312"/>
          <w:sz w:val="32"/>
          <w:szCs w:val="32"/>
        </w:rPr>
        <w:t>，对照“通知”规定的12项公务卡强制结算目录，在出差及日常业务支出中，严格执行。该项自评得分18分。</w:t>
      </w:r>
    </w:p>
    <w:p w14:paraId="10EA4AAB">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3.项目实施。在项目实施过程中，一是在日常财务工作中严格内控管理，严把票据审核关，严格业务经费支出的范围和开支标准，坚持做好节能减排工作，坚决杜绝浪费现象的发生，把有限的经费用到正当其需。二是加强固定资产管理和使用，根据强戒所实际情况，特别是监所搬迁，对全所固定资产进行了全面细致的清理，老所的完整移交，新的严格登记，落实专人管理，定位定人定责，做好固定资产管理日常维护管理，及时记录增减变动情况，做到账物相符，全年没有固定资产不入账，公物私用及其他违规问题。该项自评得分9分。</w:t>
      </w:r>
    </w:p>
    <w:p w14:paraId="5AADC8BA">
      <w:pPr>
        <w:spacing w:line="578" w:lineRule="exact"/>
        <w:ind w:firstLine="640"/>
        <w:rPr>
          <w:rFonts w:ascii="仿宋_GB2312" w:hAnsi="仿宋_GB2312" w:eastAsia="仿宋_GB2312" w:cs="仿宋_GB2312"/>
          <w:sz w:val="32"/>
          <w:szCs w:val="32"/>
        </w:rPr>
      </w:pPr>
      <w:r>
        <w:rPr>
          <w:rFonts w:hint="eastAsia" w:ascii="仿宋_GB2312" w:hAnsi="仿宋_GB2312" w:eastAsia="仿宋_GB2312" w:cs="仿宋_GB2312"/>
          <w:sz w:val="32"/>
          <w:szCs w:val="32"/>
        </w:rPr>
        <w:t>4.项目结果。2023年度，该项目较好地完成项目设置的目标，取得了较好的社会效益、经济效益和可持续影响效益。其中数量指标，除“开展戒毒人员脱毒治疗人数≥100”由于社会面吸毒人员断崖下降，送押戒毒人员数量不足，全年仅收治戒毒人员14人，而没有达到数量目标外，其余各项指标全部完成或大幅度超额完成。质量指标，除“戒毒（拘留）人员伙食标准≥280元”因上级财政要求节约成本，没达到目标外，其余各项指标全部完成。效益指标和成本指标全部完成。该项自评得分7分。</w:t>
      </w:r>
    </w:p>
    <w:p w14:paraId="14470E88">
      <w:pPr>
        <w:spacing w:line="578" w:lineRule="exact"/>
        <w:ind w:firstLine="640"/>
        <w:rPr>
          <w:rFonts w:ascii="仿宋_GB2312" w:hAnsi="仿宋_GB2312" w:eastAsia="仿宋_GB2312" w:cs="仿宋_GB2312"/>
          <w:sz w:val="32"/>
          <w:szCs w:val="32"/>
        </w:rPr>
      </w:pPr>
      <w:r>
        <w:rPr>
          <w:rFonts w:hint="eastAsia" w:ascii="楷体_GB2312" w:hAnsi="宋体" w:eastAsia="楷体_GB2312"/>
          <w:b/>
          <w:sz w:val="32"/>
          <w:szCs w:val="32"/>
          <w:lang w:val="zh-CN"/>
        </w:rPr>
        <w:t>（二）专用指标</w:t>
      </w:r>
      <w:r>
        <w:rPr>
          <w:rFonts w:ascii="楷体_GB2312" w:hAnsi="宋体" w:eastAsia="楷体_GB2312"/>
          <w:b/>
          <w:sz w:val="32"/>
          <w:szCs w:val="32"/>
          <w:lang w:val="zh-CN"/>
        </w:rPr>
        <w:t>绩效分析。</w:t>
      </w:r>
      <w:r>
        <w:rPr>
          <w:rFonts w:hint="eastAsia" w:ascii="仿宋_GB2312" w:hAnsi="仿宋_GB2312" w:eastAsia="仿宋_GB2312" w:cs="仿宋_GB2312"/>
          <w:sz w:val="32"/>
          <w:szCs w:val="32"/>
        </w:rPr>
        <w:t>该项目为行政运转项目，项目主要用于保障强戒所正常运转，实施规范化管理。开展矫治教育，实现被监管人员身心康复，行为表现和社会适应能力全面合格，更好回归社会。项目用途是按照国务院《戒毒条例》，公安部《公安机关强制隔离戒毒所管理办法》《强制隔离戒毒所等级评定办法》等法规要求进行。项目程序上严格按照《预算法》《会计法》《政府采购法》《全面推进行政事业单位内部控制建设的指导意见》以及市局《</w:t>
      </w:r>
      <w:r>
        <w:rPr>
          <w:rFonts w:ascii="仿宋_GB2312" w:hAnsi="仿宋_GB2312" w:eastAsia="仿宋_GB2312" w:cs="仿宋_GB2312"/>
          <w:sz w:val="32"/>
          <w:szCs w:val="32"/>
        </w:rPr>
        <w:t>关于建立部门预算执行预警机制的通知</w:t>
      </w:r>
      <w:r>
        <w:rPr>
          <w:rFonts w:hint="eastAsia" w:ascii="仿宋_GB2312" w:hAnsi="仿宋_GB2312" w:eastAsia="仿宋_GB2312" w:cs="仿宋_GB2312"/>
          <w:sz w:val="32"/>
          <w:szCs w:val="32"/>
        </w:rPr>
        <w:t>》和财务管理制度规定的程序进行。在项目执行标准上，严格遵照公安部、财政部，四川省公安厅、财政厅经费保障和管理制度以及有关在押人员伙食标准执行。综上，项目程序完全合规、标准完全合规。该项自评得分30分。</w:t>
      </w:r>
    </w:p>
    <w:p w14:paraId="233C3555">
      <w:pPr>
        <w:spacing w:line="578" w:lineRule="exact"/>
        <w:ind w:firstLine="640"/>
        <w:rPr>
          <w:rFonts w:ascii="仿宋_GB2312" w:hAnsi="仿宋_GB2312" w:eastAsia="仿宋_GB2312" w:cs="仿宋_GB2312"/>
          <w:sz w:val="32"/>
          <w:szCs w:val="32"/>
        </w:rPr>
      </w:pPr>
      <w:r>
        <w:rPr>
          <w:rFonts w:hint="eastAsia" w:ascii="楷体_GB2312" w:hAnsi="宋体" w:eastAsia="楷体_GB2312"/>
          <w:b/>
          <w:sz w:val="32"/>
          <w:szCs w:val="32"/>
          <w:lang w:val="zh-CN"/>
        </w:rPr>
        <w:t>（三）个性指标</w:t>
      </w:r>
      <w:r>
        <w:rPr>
          <w:rFonts w:ascii="楷体_GB2312" w:hAnsi="宋体" w:eastAsia="楷体_GB2312"/>
          <w:b/>
          <w:sz w:val="32"/>
          <w:szCs w:val="32"/>
          <w:lang w:val="zh-CN"/>
        </w:rPr>
        <w:t>绩效分析。</w:t>
      </w:r>
      <w:r>
        <w:rPr>
          <w:rFonts w:hint="eastAsia" w:ascii="仿宋_GB2312" w:hAnsi="仿宋_GB2312" w:eastAsia="仿宋_GB2312" w:cs="仿宋_GB2312"/>
          <w:sz w:val="32"/>
          <w:szCs w:val="32"/>
        </w:rPr>
        <w:t>该项目个性指标为“服务公安中心工作，服务公安打击处罚违法犯罪，做到应收尽收”。2023年度共收</w:t>
      </w:r>
      <w:r>
        <w:rPr>
          <w:rFonts w:ascii="仿宋_GB2312" w:hAnsi="仿宋_GB2312" w:eastAsia="仿宋_GB2312" w:cs="仿宋_GB2312"/>
          <w:sz w:val="32"/>
          <w:szCs w:val="32"/>
        </w:rPr>
        <w:t>拘2575</w:t>
      </w:r>
      <w:r>
        <w:rPr>
          <w:rFonts w:hint="eastAsia" w:ascii="仿宋_GB2312" w:hAnsi="仿宋_GB2312" w:eastAsia="仿宋_GB2312" w:cs="仿宋_GB2312"/>
          <w:sz w:val="32"/>
          <w:szCs w:val="32"/>
        </w:rPr>
        <w:t>人（其中剑阁175人、利州784人、昭化324 人、朝天273人、铁路57人、法院110人、高交123 人、市局机关729人）</w:t>
      </w:r>
      <w:r>
        <w:rPr>
          <w:rFonts w:ascii="仿宋_GB2312" w:hAnsi="仿宋_GB2312" w:eastAsia="仿宋_GB2312" w:cs="仿宋_GB2312"/>
          <w:sz w:val="32"/>
          <w:szCs w:val="32"/>
        </w:rPr>
        <w:t>，</w:t>
      </w:r>
      <w:r>
        <w:rPr>
          <w:rFonts w:hint="eastAsia" w:ascii="仿宋_GB2312" w:hAnsi="仿宋_GB2312" w:eastAsia="仿宋_GB2312" w:cs="仿宋_GB2312"/>
          <w:sz w:val="32"/>
          <w:szCs w:val="32"/>
        </w:rPr>
        <w:t>占</w:t>
      </w:r>
      <w:r>
        <w:rPr>
          <w:rFonts w:ascii="仿宋_GB2312" w:hAnsi="仿宋_GB2312" w:eastAsia="仿宋_GB2312" w:cs="仿宋_GB2312"/>
          <w:sz w:val="32"/>
          <w:szCs w:val="32"/>
        </w:rPr>
        <w:t>全市</w:t>
      </w:r>
      <w:r>
        <w:rPr>
          <w:rFonts w:hint="eastAsia" w:ascii="仿宋_GB2312" w:hAnsi="仿宋_GB2312" w:eastAsia="仿宋_GB2312" w:cs="仿宋_GB2312"/>
          <w:sz w:val="32"/>
          <w:szCs w:val="32"/>
        </w:rPr>
        <w:t>（4042人）63.7</w:t>
      </w:r>
      <w:r>
        <w:rPr>
          <w:rFonts w:ascii="仿宋_GB2312" w:hAnsi="仿宋_GB2312" w:eastAsia="仿宋_GB2312" w:cs="仿宋_GB2312"/>
          <w:sz w:val="32"/>
          <w:szCs w:val="32"/>
        </w:rPr>
        <w:t>%</w:t>
      </w:r>
      <w:r>
        <w:rPr>
          <w:rFonts w:hint="eastAsia" w:ascii="仿宋_GB2312" w:hAnsi="仿宋_GB2312" w:eastAsia="仿宋_GB2312" w:cs="仿宋_GB2312"/>
          <w:sz w:val="32"/>
          <w:szCs w:val="32"/>
        </w:rPr>
        <w:t>；收治</w:t>
      </w:r>
      <w:r>
        <w:rPr>
          <w:rFonts w:ascii="仿宋_GB2312" w:hAnsi="仿宋_GB2312" w:eastAsia="仿宋_GB2312" w:cs="仿宋_GB2312"/>
          <w:sz w:val="32"/>
          <w:szCs w:val="32"/>
        </w:rPr>
        <w:t>戒毒</w:t>
      </w:r>
      <w:r>
        <w:rPr>
          <w:rFonts w:hint="eastAsia" w:ascii="仿宋_GB2312" w:hAnsi="仿宋_GB2312" w:eastAsia="仿宋_GB2312" w:cs="仿宋_GB2312"/>
          <w:sz w:val="32"/>
          <w:szCs w:val="32"/>
        </w:rPr>
        <w:t>人员14</w:t>
      </w:r>
      <w:r>
        <w:rPr>
          <w:rFonts w:ascii="仿宋_GB2312" w:hAnsi="仿宋_GB2312" w:eastAsia="仿宋_GB2312" w:cs="仿宋_GB2312"/>
          <w:sz w:val="32"/>
          <w:szCs w:val="32"/>
        </w:rPr>
        <w:t>人（男</w:t>
      </w:r>
      <w:r>
        <w:rPr>
          <w:rFonts w:hint="eastAsia" w:ascii="仿宋_GB2312" w:hAnsi="仿宋_GB2312" w:eastAsia="仿宋_GB2312" w:cs="仿宋_GB2312"/>
          <w:sz w:val="32"/>
          <w:szCs w:val="32"/>
        </w:rPr>
        <w:t>13</w:t>
      </w:r>
      <w:r>
        <w:rPr>
          <w:rFonts w:ascii="仿宋_GB2312" w:hAnsi="仿宋_GB2312" w:eastAsia="仿宋_GB2312" w:cs="仿宋_GB2312"/>
          <w:sz w:val="32"/>
          <w:szCs w:val="32"/>
        </w:rPr>
        <w:t>人，女</w:t>
      </w:r>
      <w:r>
        <w:rPr>
          <w:rFonts w:hint="eastAsia" w:ascii="仿宋_GB2312" w:hAnsi="仿宋_GB2312" w:eastAsia="仿宋_GB2312" w:cs="仿宋_GB2312"/>
          <w:sz w:val="32"/>
          <w:szCs w:val="32"/>
        </w:rPr>
        <w:t>1</w:t>
      </w:r>
      <w:r>
        <w:rPr>
          <w:rFonts w:ascii="仿宋_GB2312" w:hAnsi="仿宋_GB2312" w:eastAsia="仿宋_GB2312" w:cs="仿宋_GB2312"/>
          <w:sz w:val="32"/>
          <w:szCs w:val="32"/>
        </w:rPr>
        <w:t>人），安全转送司法强戒</w:t>
      </w:r>
      <w:r>
        <w:rPr>
          <w:rFonts w:hint="eastAsia" w:ascii="仿宋_GB2312" w:hAnsi="仿宋_GB2312" w:eastAsia="仿宋_GB2312" w:cs="仿宋_GB2312"/>
          <w:sz w:val="32"/>
          <w:szCs w:val="32"/>
        </w:rPr>
        <w:t>12</w:t>
      </w:r>
      <w:r>
        <w:rPr>
          <w:rFonts w:ascii="仿宋_GB2312" w:hAnsi="仿宋_GB2312" w:eastAsia="仿宋_GB2312" w:cs="仿宋_GB2312"/>
          <w:sz w:val="32"/>
          <w:szCs w:val="32"/>
        </w:rPr>
        <w:t>人，转刑事拘留</w:t>
      </w:r>
      <w:r>
        <w:rPr>
          <w:rFonts w:hint="eastAsia" w:ascii="仿宋_GB2312" w:hAnsi="仿宋_GB2312" w:eastAsia="仿宋_GB2312" w:cs="仿宋_GB2312"/>
          <w:sz w:val="32"/>
          <w:szCs w:val="32"/>
        </w:rPr>
        <w:t>1</w:t>
      </w:r>
      <w:r>
        <w:rPr>
          <w:rFonts w:ascii="仿宋_GB2312" w:hAnsi="仿宋_GB2312" w:eastAsia="仿宋_GB2312" w:cs="仿宋_GB2312"/>
          <w:sz w:val="32"/>
          <w:szCs w:val="32"/>
        </w:rPr>
        <w:t>人</w:t>
      </w:r>
      <w:r>
        <w:rPr>
          <w:rFonts w:hint="eastAsia" w:ascii="仿宋_GB2312" w:hAnsi="仿宋_GB2312" w:eastAsia="仿宋_GB2312" w:cs="仿宋_GB2312"/>
          <w:sz w:val="32"/>
          <w:szCs w:val="32"/>
        </w:rPr>
        <w:t>，按期出所1人</w:t>
      </w:r>
      <w:r>
        <w:rPr>
          <w:rFonts w:ascii="仿宋_GB2312" w:hAnsi="仿宋_GB2312" w:eastAsia="仿宋_GB2312" w:cs="仿宋_GB2312"/>
          <w:sz w:val="32"/>
          <w:szCs w:val="32"/>
        </w:rPr>
        <w:t>。</w:t>
      </w:r>
      <w:r>
        <w:rPr>
          <w:rFonts w:hint="eastAsia" w:ascii="仿宋_GB2312" w:hAnsi="仿宋_GB2312" w:eastAsia="仿宋_GB2312" w:cs="仿宋_GB2312"/>
          <w:sz w:val="32"/>
          <w:szCs w:val="32"/>
        </w:rPr>
        <w:t>做到“收得尽、管得好、不出事”，特别在全国两会、成都大会运、习总书记来广视察等重大敏感节点期间收拘涉稳涉诉稳邪被拘留人员38人较好策应了社会面安全稳控工作需要，收拘身患艾滋病、结核病、高血压高危等重大传染疾病，屡次盗窃、寻衅滋事，老百姓反响强烈的长期不予拘留人员25人， “拒收率”、“停执率”达到全国标兵所水平，监所实现了“零打架斗殴、零投诉、零事故”。做到“应调尽调、应谈尽谈”，扎实开展矛盾大调解，共排查调处民事债务、邻里纷争、劳资纠纷、缠访闹访等各类社会矛盾纠纷62起，成功化解54起，收到锦旗4面、感谢信2封，促停访息诉案件5起，履行纠纷款项709.43万元。有力服务了公安中心工作，确保社会大局稳定。该项自评得分16分。</w:t>
      </w:r>
    </w:p>
    <w:p w14:paraId="21254BCF">
      <w:pPr>
        <w:adjustRightInd w:val="0"/>
        <w:snapToGrid w:val="0"/>
        <w:spacing w:line="580" w:lineRule="exact"/>
        <w:ind w:firstLine="720"/>
        <w:outlineLvl w:val="1"/>
        <w:rPr>
          <w:rFonts w:ascii="黑体" w:hAnsi="黑体" w:eastAsia="黑体" w:cs="黑体"/>
          <w:bCs/>
          <w:sz w:val="32"/>
          <w:szCs w:val="32"/>
        </w:rPr>
      </w:pPr>
      <w:bookmarkStart w:id="166" w:name="_Toc27600"/>
      <w:r>
        <w:rPr>
          <w:rFonts w:hint="eastAsia" w:ascii="黑体" w:hAnsi="黑体" w:eastAsia="黑体" w:cs="黑体"/>
          <w:bCs/>
          <w:sz w:val="32"/>
          <w:szCs w:val="32"/>
        </w:rPr>
        <w:t>四、评价结论</w:t>
      </w:r>
      <w:bookmarkEnd w:id="166"/>
    </w:p>
    <w:p w14:paraId="7F3E611B">
      <w:pPr>
        <w:pStyle w:val="5"/>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该项目较好的完成了既定指标和目标任务，年内关押拘留人员2575人，戒毒人员14人，监所安全稳定，管理规范，无社会负面舆情炒作，无任何安全事故，较好地服务了社会稳定大局。自评得分98分。</w:t>
      </w:r>
    </w:p>
    <w:p w14:paraId="0F442B63">
      <w:pPr>
        <w:adjustRightInd w:val="0"/>
        <w:snapToGrid w:val="0"/>
        <w:spacing w:line="580" w:lineRule="exact"/>
        <w:ind w:firstLine="720"/>
        <w:outlineLvl w:val="1"/>
        <w:rPr>
          <w:rFonts w:ascii="黑体" w:hAnsi="黑体" w:eastAsia="黑体" w:cs="黑体"/>
          <w:bCs/>
          <w:sz w:val="32"/>
          <w:szCs w:val="32"/>
        </w:rPr>
      </w:pPr>
      <w:bookmarkStart w:id="167" w:name="_Toc20734"/>
      <w:r>
        <w:rPr>
          <w:rFonts w:hint="eastAsia" w:ascii="黑体" w:hAnsi="黑体" w:eastAsia="黑体" w:cs="黑体"/>
          <w:bCs/>
          <w:sz w:val="32"/>
          <w:szCs w:val="32"/>
        </w:rPr>
        <w:t>五、存在主要问题</w:t>
      </w:r>
      <w:bookmarkEnd w:id="167"/>
    </w:p>
    <w:p w14:paraId="6F724533">
      <w:pPr>
        <w:pStyle w:val="5"/>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由于调整后下达的预算资金不足，没有采购戒毒人员脱毒治疗特殊药品，仍然只能采用“干戒”的方式进行。另外由于社会面吸毒人员大量减少，戒毒人员收押量仅有14人，客观上影响了预算执行。</w:t>
      </w:r>
    </w:p>
    <w:p w14:paraId="40C41E14">
      <w:pPr>
        <w:adjustRightInd w:val="0"/>
        <w:snapToGrid w:val="0"/>
        <w:spacing w:line="580" w:lineRule="exact"/>
        <w:ind w:firstLine="720"/>
        <w:outlineLvl w:val="1"/>
        <w:rPr>
          <w:rFonts w:ascii="黑体" w:hAnsi="黑体" w:eastAsia="黑体" w:cs="黑体"/>
          <w:bCs/>
          <w:sz w:val="32"/>
          <w:szCs w:val="32"/>
        </w:rPr>
      </w:pPr>
      <w:bookmarkStart w:id="168" w:name="_Toc6509"/>
      <w:r>
        <w:rPr>
          <w:rFonts w:hint="eastAsia" w:ascii="黑体" w:hAnsi="黑体" w:eastAsia="黑体" w:cs="黑体"/>
          <w:bCs/>
          <w:sz w:val="32"/>
          <w:szCs w:val="32"/>
        </w:rPr>
        <w:t>六、改进建议</w:t>
      </w:r>
      <w:bookmarkEnd w:id="168"/>
    </w:p>
    <w:p w14:paraId="7A658616">
      <w:pPr>
        <w:tabs>
          <w:tab w:val="left" w:pos="1911"/>
        </w:tabs>
        <w:jc w:val="left"/>
        <w:rPr>
          <w:rFonts w:hint="eastAsia" w:ascii="仿宋_GB2312" w:hAnsi="Nimbus Roman No9 L" w:eastAsia="仿宋_GB2312" w:cs="Arial"/>
          <w:sz w:val="32"/>
          <w:szCs w:val="32"/>
        </w:rPr>
      </w:pPr>
      <w:r>
        <w:rPr>
          <w:rFonts w:hint="eastAsia" w:ascii="仿宋_GB2312" w:hAnsi="Nimbus Roman No9 L" w:eastAsia="仿宋_GB2312" w:cs="Arial"/>
          <w:sz w:val="32"/>
          <w:szCs w:val="32"/>
        </w:rPr>
        <w:t xml:space="preserve">  1.针对目前经济社会发展形势，吸毒人员断崖下降，年度关押戒毒人员较少，监所职能调整为以收拘拘留人员为主这一情况，建议：在下年度预算中对相关数量指标进行必要调整。2.针对经济社会发展，物价指数上涨，在押人员生活保障困难这一情况，建议：按照《四川省财政厅 四川省公安厅关于加强看守所在押人员生活保障的通知》（川财行[2016]270号）“各地可结合物价指数等因素适时提高保障标准”之规定，将目前2016年制定的最低保障标准240元/月，调整为280元/月，以更好保障在押人员权益。</w:t>
      </w:r>
    </w:p>
    <w:p w14:paraId="18F446D5">
      <w:pPr>
        <w:pStyle w:val="28"/>
        <w:spacing w:line="578" w:lineRule="exact"/>
        <w:ind w:firstLine="440" w:firstLineChars="100"/>
        <w:jc w:val="center"/>
        <w:rPr>
          <w:rFonts w:hint="eastAsia" w:ascii="方正小标宋简体" w:hAnsi="方正小标宋简体" w:eastAsia="方正小标宋简体" w:cs="方正小标宋简体"/>
          <w:color w:val="auto"/>
          <w:kern w:val="2"/>
          <w:sz w:val="44"/>
          <w:szCs w:val="44"/>
          <w:lang w:val="en-US"/>
        </w:rPr>
      </w:pPr>
    </w:p>
    <w:p w14:paraId="66A7814E">
      <w:pPr>
        <w:pStyle w:val="28"/>
        <w:spacing w:line="578" w:lineRule="exact"/>
        <w:ind w:firstLine="440" w:firstLineChars="100"/>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广元市公安局</w:t>
      </w:r>
    </w:p>
    <w:p w14:paraId="2D11CE03">
      <w:pPr>
        <w:pStyle w:val="28"/>
        <w:spacing w:line="578" w:lineRule="exact"/>
        <w:ind w:firstLine="440" w:firstLineChars="100"/>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铁路护路经费绩效评价报告</w:t>
      </w:r>
    </w:p>
    <w:p w14:paraId="74FA875E">
      <w:pPr>
        <w:pStyle w:val="28"/>
        <w:spacing w:line="578" w:lineRule="exact"/>
        <w:ind w:firstLine="640"/>
        <w:rPr>
          <w:rFonts w:ascii="宋体" w:hAnsi="宋体"/>
          <w:color w:val="auto"/>
          <w:kern w:val="2"/>
          <w:sz w:val="32"/>
          <w:szCs w:val="32"/>
        </w:rPr>
      </w:pPr>
    </w:p>
    <w:p w14:paraId="1A2557D2">
      <w:pPr>
        <w:adjustRightInd w:val="0"/>
        <w:snapToGrid w:val="0"/>
        <w:spacing w:line="580" w:lineRule="exact"/>
        <w:ind w:firstLine="720"/>
        <w:outlineLvl w:val="1"/>
        <w:rPr>
          <w:rFonts w:ascii="黑体" w:hAnsi="黑体" w:eastAsia="黑体" w:cs="黑体"/>
          <w:bCs/>
          <w:sz w:val="32"/>
          <w:szCs w:val="32"/>
        </w:rPr>
      </w:pPr>
      <w:bookmarkStart w:id="169" w:name="_Toc22437"/>
      <w:r>
        <w:rPr>
          <w:rFonts w:hint="eastAsia" w:ascii="黑体" w:hAnsi="黑体" w:eastAsia="黑体" w:cs="黑体"/>
          <w:bCs/>
          <w:sz w:val="32"/>
          <w:szCs w:val="32"/>
        </w:rPr>
        <w:t>一、项目概况</w:t>
      </w:r>
      <w:bookmarkEnd w:id="169"/>
    </w:p>
    <w:p w14:paraId="4D0A465F">
      <w:pPr>
        <w:widowControl/>
        <w:adjustRightInd w:val="0"/>
        <w:snapToGrid w:val="0"/>
        <w:spacing w:line="600" w:lineRule="exact"/>
        <w:ind w:firstLine="643" w:firstLineChars="200"/>
        <w:contextualSpacing/>
        <w:jc w:val="left"/>
        <w:rPr>
          <w:rFonts w:ascii="楷体_GB2312" w:hAnsi="宋体" w:eastAsia="楷体_GB2312"/>
          <w:b/>
          <w:sz w:val="32"/>
          <w:szCs w:val="32"/>
          <w:lang w:val="zh-CN"/>
        </w:rPr>
      </w:pPr>
      <w:r>
        <w:rPr>
          <w:rFonts w:hint="eastAsia" w:ascii="楷体_GB2312" w:hAnsi="宋体" w:eastAsia="楷体_GB2312"/>
          <w:b/>
          <w:sz w:val="32"/>
          <w:szCs w:val="32"/>
          <w:lang w:val="zh-CN"/>
        </w:rPr>
        <w:t>（一）设立背景及基本情况。</w:t>
      </w:r>
    </w:p>
    <w:p w14:paraId="04E0569E">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1.立项依据</w:t>
      </w:r>
    </w:p>
    <w:p w14:paraId="54EE56E1">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2015年9月，《财政部国家发展改革委关于取消和暂停征收一批行政事业性收费有关问题的通知》（财税〔2015〕102号）取消了铁路运输物资安全管理费收费项目。为保障铁路大动脉安全畅通，中央综治办联合财政部、中央综治委铁路护路联防工作领导小组、中国铁路总公司下发了《关于进一步加强铁路护路联防工作保障的通知》（中综办〔2015〕31号），明确各省（区、市）财政部门要切实落实主体责任，将铁路护路联防工作经费纳入省级财政预算。2023年，根据《铁路法》、《铁路安全管理条例》（国务院令第639号）和《关于进一步加强铁路护路联防工作保障的通知》（中综办〔2015〕31号）等法律法规和政策文件，申报铁路护路经费3.99万元。</w:t>
      </w:r>
    </w:p>
    <w:p w14:paraId="682D2CB4">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2.项目主要内容</w:t>
      </w:r>
    </w:p>
    <w:p w14:paraId="648D4D85">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1.公用经费3.99万元，用于市护路办开展铁路护路联防工作所产生的日常公务支出。</w:t>
      </w:r>
    </w:p>
    <w:p w14:paraId="6C8237A8">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3.主管部门职能</w:t>
      </w:r>
    </w:p>
    <w:p w14:paraId="215FE78C">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根据平安广元组〔2021〕7号规定，平安广元铁路护路联防组办公室主要负责铁路护路联防组日常工作，组织实施本辖内铁路护路联防工作，制定完善相关工作机制，定期开展绩效考核，组织开展队伍业务培训，协调解决重点难点问题</w:t>
      </w:r>
      <w:r>
        <w:rPr>
          <w:rFonts w:hint="eastAsia" w:ascii="仿宋_GB2312" w:hAnsi="Nimbus Roman No9 L" w:eastAsia="仿宋_GB2312" w:cs="Arial"/>
          <w:sz w:val="32"/>
          <w:szCs w:val="32"/>
          <w:lang w:eastAsia="zh-CN"/>
        </w:rPr>
        <w:t>，</w:t>
      </w:r>
      <w:r>
        <w:rPr>
          <w:rFonts w:hint="eastAsia" w:ascii="仿宋_GB2312" w:hAnsi="Nimbus Roman No9 L" w:eastAsia="仿宋_GB2312" w:cs="Arial"/>
          <w:sz w:val="32"/>
          <w:szCs w:val="32"/>
        </w:rPr>
        <w:t>圆满完成铁路护路联防目标任务工作。</w:t>
      </w:r>
    </w:p>
    <w:p w14:paraId="7BD5E51C">
      <w:pPr>
        <w:widowControl/>
        <w:adjustRightInd w:val="0"/>
        <w:snapToGrid w:val="0"/>
        <w:spacing w:line="600" w:lineRule="exact"/>
        <w:ind w:firstLine="643" w:firstLineChars="200"/>
        <w:contextualSpacing/>
        <w:jc w:val="left"/>
        <w:rPr>
          <w:rFonts w:ascii="楷体_GB2312" w:hAnsi="宋体" w:eastAsia="楷体_GB2312"/>
          <w:b/>
          <w:sz w:val="32"/>
          <w:szCs w:val="32"/>
          <w:lang w:val="zh-CN"/>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r>
        <w:rPr>
          <w:rFonts w:hint="eastAsia" w:ascii="楷体_GB2312" w:hAnsi="宋体" w:eastAsia="楷体_GB2312"/>
          <w:b/>
          <w:sz w:val="32"/>
          <w:szCs w:val="32"/>
          <w:lang w:val="zh-CN"/>
        </w:rPr>
        <w:t>。</w:t>
      </w:r>
    </w:p>
    <w:p w14:paraId="6A46DA90">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1.资金管理</w:t>
      </w:r>
    </w:p>
    <w:p w14:paraId="11EC923A">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（1）资金管理办法</w:t>
      </w:r>
    </w:p>
    <w:p w14:paraId="4811805D">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2023年度，项目资金管理按照《四川省财政厅四川省公安厅关于印发〈四川省省级铁路护路联防专项资金管理办法〉的通知》（川财行〔2021〕120号）文件执行。</w:t>
      </w:r>
    </w:p>
    <w:p w14:paraId="0735B687">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（2）资金使用范围</w:t>
      </w:r>
    </w:p>
    <w:p w14:paraId="1842C27D">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根据《四川省财政厅四川省公安厅关于印发〈四川省省级铁路护路联防专项资金管理办法〉的通知》（川财行〔2021〕120号）文件规定，项目资金主要用于支持平安四川建设领导小组铁路护路联防工作领导小组办公室（以下简称“平安四川护路办”）和各市（州）铁路护路联防工作领导小组办公室（以下简称“市（州）、县（市、区）护路办”）开展日常护路联防工作，包括铁路沿线社会综合治理，安全隐患排查整治，涉路矛盾纠纷排查化解，爱路护路宣传等；支持铁路护路部门开展专项重点整治；配备必要的设施设备相关支出；经省领导批准的其他铁路护路联防工作相关支出。不得用于基本建设等其他开支。</w:t>
      </w:r>
    </w:p>
    <w:p w14:paraId="27A8F43E">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2.项目实施</w:t>
      </w:r>
    </w:p>
    <w:p w14:paraId="311972DE">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（1）主要目的</w:t>
      </w:r>
    </w:p>
    <w:p w14:paraId="0011CE2A">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支持全市铁路护路联防工作顺利开展，包括铁路沿线社会综合治理、安全隐患排查整治，涉路矛盾纠纷排查化解，爱路护路宣传，专项重点整治，路地联合完成护路联防等工作，维护铁路治安稳定，确保全市铁路设施设备和运输安全。</w:t>
      </w:r>
    </w:p>
    <w:p w14:paraId="67FFDF9A">
      <w:pPr>
        <w:numPr>
          <w:ilvl w:val="0"/>
          <w:numId w:val="5"/>
        </w:numPr>
        <w:suppressAutoHyphens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主要工作任务</w:t>
      </w:r>
    </w:p>
    <w:p w14:paraId="3A88BA68">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我办在市委、市政府和市公安局党委的坚强领导下，及时健全领导机制，迅速理顺工作秩序，积极担当作为，统筹协调联动，持续治隐患、防风险、压危行、控路伤，圆满完成铁路过境重要任务30余件，党的二十大、全国“两会”、成都大运会及重大节假日铁路护路联防工作全胜完胜，确保了进蜀出川铁路大动脉平安畅通。平安广元铁路护路联防组组长、副市长、市公安局局长方万云、朝天区何澜副区长先后在2022年度、2023年度全省铁路护路联防工作会上交流护路工作经验。</w:t>
      </w:r>
    </w:p>
    <w:p w14:paraId="36CE28C2">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督导及联合检查62次，隐患排查、整治、矛盾纠纷协调化解共计27起，铁路护路宣传40次，组织开展铁路护路联防队伍专项清理整顿，清理责任心不强、身患重病、超龄专（兼）职护路骨干、护路队员11名，进一步纯洁、优化了护路联防队伍。先后选派8名护路队员参加全省护路联防培训，分区分片组织护路队员培训33批次轮训516人次，有效提升了基层护路队伍业务能力。深入推进公共安全视频监控建设向铁路沿线延伸覆盖，优化整合167套涉及铁路沿线安全的视频监控资源互联共享。</w:t>
      </w:r>
    </w:p>
    <w:p w14:paraId="3440E847">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协同国铁企业先后完成了昭化区元坝镇长坝社区、马克思街社区、柳桥村、火车东站，苍溪鸳溪镇等路段防护网建设及波形护栏1000余米，协调绵阳工务段、广元车务段先后新增语音提示报警设备2套、监控设备4套、语音广播1台，铁路沿线安全防范能力不断提升。深入推进公共安全视频监控建设向铁路沿线延伸覆盖，优化整合167套涉及铁路沿线安全的视频监控资源互联共享。持续深化“控危行、压路伤”专项整治、“平安铁道线”争创活动，市护路办运用“两函一通报一约谈”机制，下发《预警函》5份、《督办函》3份，坚决遏制路外伤亡事故。抓好重点安保，围绕全国“两会”、暑期专运、成都大运会等重点时期及重大活动安保工作，联合开展铁路安全隐患专项整治活动，构筑了铁路安全的坚固屏障，大运安保被省厅张挂红榜第一档。</w:t>
      </w:r>
    </w:p>
    <w:p w14:paraId="55F77CAB">
      <w:pPr>
        <w:widowControl/>
        <w:adjustRightInd w:val="0"/>
        <w:snapToGrid w:val="0"/>
        <w:spacing w:line="600" w:lineRule="exact"/>
        <w:ind w:firstLine="643" w:firstLineChars="200"/>
        <w:contextualSpacing/>
        <w:jc w:val="left"/>
        <w:rPr>
          <w:rFonts w:ascii="仿宋_GB2312" w:hAnsi="仿宋_GB2312" w:cs="仿宋_GB2312"/>
          <w:kern w:val="0"/>
          <w:shd w:val="clear" w:color="auto" w:fill="FFFFFF"/>
          <w:lang w:val="zh-CN"/>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r>
        <w:rPr>
          <w:rFonts w:hint="eastAsia" w:ascii="楷体_GB2312" w:hAnsi="宋体" w:eastAsia="楷体_GB2312"/>
          <w:b/>
          <w:sz w:val="32"/>
          <w:szCs w:val="32"/>
          <w:lang w:val="zh-CN"/>
        </w:rPr>
        <w:t>。</w:t>
      </w:r>
    </w:p>
    <w:p w14:paraId="71FC4E45">
      <w:pPr>
        <w:pStyle w:val="32"/>
        <w:widowControl/>
        <w:snapToGrid w:val="0"/>
        <w:spacing w:line="600" w:lineRule="exact"/>
        <w:ind w:firstLine="640" w:firstLineChars="200"/>
        <w:contextualSpacing/>
        <w:jc w:val="left"/>
        <w:rPr>
          <w:rFonts w:hint="eastAsia" w:ascii="仿宋_GB2312" w:hAnsi="Nimbus Roman No9 L" w:cs="Arial"/>
        </w:rPr>
      </w:pPr>
      <w:r>
        <w:rPr>
          <w:rFonts w:hint="eastAsia" w:ascii="仿宋_GB2312" w:hAnsi="Nimbus Roman No9 L" w:cs="Arial"/>
        </w:rPr>
        <w:t>（1）预算安排</w:t>
      </w:r>
    </w:p>
    <w:p w14:paraId="2A549CAC">
      <w:pPr>
        <w:pStyle w:val="32"/>
        <w:widowControl/>
        <w:snapToGrid w:val="0"/>
        <w:spacing w:line="600" w:lineRule="exact"/>
        <w:ind w:firstLine="640" w:firstLineChars="200"/>
        <w:contextualSpacing/>
        <w:jc w:val="left"/>
        <w:rPr>
          <w:rFonts w:hint="eastAsia" w:ascii="仿宋_GB2312" w:hAnsi="Nimbus Roman No9 L" w:cs="Arial"/>
        </w:rPr>
      </w:pPr>
      <w:r>
        <w:rPr>
          <w:rFonts w:hint="eastAsia" w:ascii="仿宋_GB2312" w:hAnsi="Nimbus Roman No9 L" w:cs="Arial"/>
        </w:rPr>
        <w:t>铁路护路经费，由四川省财政厅通过转移支付方式下达全省各地。</w:t>
      </w:r>
      <w:r>
        <w:rPr>
          <w:rFonts w:ascii="仿宋_GB2312" w:hAnsi="Nimbus Roman No9 L" w:cs="Arial"/>
        </w:rPr>
        <w:t>资金支付范围、支付标准、支付进度、支付依据等合规合法，与预算相符。</w:t>
      </w:r>
      <w:r>
        <w:rPr>
          <w:rFonts w:hint="eastAsia" w:ascii="仿宋_GB2312" w:hAnsi="Nimbus Roman No9 L" w:cs="Arial"/>
        </w:rPr>
        <w:t>资金到位及使用明细详见表1。</w:t>
      </w:r>
    </w:p>
    <w:p w14:paraId="13B467F7">
      <w:pPr>
        <w:pStyle w:val="32"/>
        <w:widowControl/>
        <w:snapToGrid w:val="0"/>
        <w:spacing w:line="600" w:lineRule="exact"/>
        <w:ind w:firstLine="2700" w:firstLineChars="1500"/>
        <w:contextualSpacing/>
        <w:jc w:val="left"/>
        <w:rPr>
          <w:rFonts w:ascii="宋体" w:hAnsi="宋体" w:eastAsia="宋体" w:cs="宋体"/>
          <w:sz w:val="18"/>
          <w:szCs w:val="18"/>
        </w:rPr>
      </w:pPr>
      <w:r>
        <w:rPr>
          <w:rFonts w:hint="eastAsia" w:ascii="宋体" w:hAnsi="宋体" w:cs="宋体"/>
          <w:kern w:val="0"/>
          <w:sz w:val="18"/>
          <w:szCs w:val="18"/>
        </w:rPr>
        <w:t>表1：</w:t>
      </w:r>
      <w:r>
        <w:rPr>
          <w:rFonts w:hint="eastAsia" w:ascii="宋体" w:hAnsi="宋体" w:eastAsia="宋体" w:cs="宋体"/>
          <w:kern w:val="0"/>
          <w:sz w:val="18"/>
          <w:szCs w:val="18"/>
        </w:rPr>
        <w:t>资金到位使用情况表</w:t>
      </w:r>
    </w:p>
    <w:tbl>
      <w:tblPr>
        <w:tblStyle w:val="16"/>
        <w:tblW w:w="9559" w:type="dxa"/>
        <w:tblInd w:w="-472" w:type="dxa"/>
        <w:tblLayout w:type="fixed"/>
        <w:tblCellMar>
          <w:top w:w="0" w:type="dxa"/>
          <w:left w:w="108" w:type="dxa"/>
          <w:bottom w:w="0" w:type="dxa"/>
          <w:right w:w="108" w:type="dxa"/>
        </w:tblCellMar>
      </w:tblPr>
      <w:tblGrid>
        <w:gridCol w:w="709"/>
        <w:gridCol w:w="885"/>
        <w:gridCol w:w="1305"/>
        <w:gridCol w:w="1350"/>
        <w:gridCol w:w="1155"/>
        <w:gridCol w:w="1155"/>
        <w:gridCol w:w="1140"/>
        <w:gridCol w:w="1005"/>
        <w:gridCol w:w="855"/>
      </w:tblGrid>
      <w:tr w14:paraId="5F235B56">
        <w:tblPrEx>
          <w:tblCellMar>
            <w:top w:w="0" w:type="dxa"/>
            <w:left w:w="108" w:type="dxa"/>
            <w:bottom w:w="0" w:type="dxa"/>
            <w:right w:w="108" w:type="dxa"/>
          </w:tblCellMar>
        </w:tblPrEx>
        <w:trPr>
          <w:trHeight w:val="375" w:hRule="atLeast"/>
        </w:trPr>
        <w:tc>
          <w:tcPr>
            <w:tcW w:w="9559" w:type="dxa"/>
            <w:gridSpan w:val="9"/>
            <w:tcBorders>
              <w:top w:val="single" w:color="000000" w:sz="4" w:space="0"/>
              <w:left w:val="single" w:color="000000" w:sz="4" w:space="0"/>
              <w:bottom w:val="single" w:color="000000" w:sz="4" w:space="0"/>
              <w:right w:val="single" w:color="000000" w:sz="4" w:space="0"/>
            </w:tcBorders>
            <w:vAlign w:val="center"/>
          </w:tcPr>
          <w:p w14:paraId="255454FB">
            <w:pPr>
              <w:widowControl/>
              <w:spacing w:line="240" w:lineRule="exact"/>
              <w:jc w:val="center"/>
              <w:textAlignment w:val="center"/>
              <w:rPr>
                <w:rFonts w:ascii="宋体" w:hAnsi="宋体" w:cs="宋体"/>
                <w:sz w:val="18"/>
                <w:szCs w:val="18"/>
              </w:rPr>
            </w:pPr>
            <w:r>
              <w:rPr>
                <w:rFonts w:hint="eastAsia" w:ascii="宋体" w:hAnsi="宋体" w:cs="宋体"/>
                <w:kern w:val="0"/>
                <w:sz w:val="18"/>
                <w:szCs w:val="18"/>
              </w:rPr>
              <w:t>资金到位使用情况表                            单位（万元）</w:t>
            </w:r>
          </w:p>
        </w:tc>
      </w:tr>
      <w:tr w14:paraId="0836B429">
        <w:tblPrEx>
          <w:tblCellMar>
            <w:top w:w="0" w:type="dxa"/>
            <w:left w:w="108" w:type="dxa"/>
            <w:bottom w:w="0" w:type="dxa"/>
            <w:right w:w="108" w:type="dxa"/>
          </w:tblCellMar>
        </w:tblPrEx>
        <w:trPr>
          <w:trHeight w:val="270" w:hRule="atLeast"/>
        </w:trPr>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5A541B45">
            <w:pPr>
              <w:widowControl/>
              <w:spacing w:line="240" w:lineRule="exact"/>
              <w:jc w:val="center"/>
              <w:textAlignment w:val="center"/>
              <w:rPr>
                <w:rFonts w:ascii="宋体" w:hAnsi="宋体" w:cs="宋体"/>
                <w:sz w:val="18"/>
                <w:szCs w:val="18"/>
              </w:rPr>
            </w:pPr>
            <w:r>
              <w:rPr>
                <w:rFonts w:hint="eastAsia" w:ascii="宋体" w:hAnsi="宋体" w:cs="宋体"/>
                <w:kern w:val="0"/>
                <w:sz w:val="18"/>
                <w:szCs w:val="18"/>
              </w:rPr>
              <w:t>层级</w:t>
            </w:r>
          </w:p>
        </w:tc>
        <w:tc>
          <w:tcPr>
            <w:tcW w:w="885" w:type="dxa"/>
            <w:vMerge w:val="restart"/>
            <w:tcBorders>
              <w:top w:val="single" w:color="000000" w:sz="4" w:space="0"/>
              <w:left w:val="single" w:color="000000" w:sz="4" w:space="0"/>
              <w:bottom w:val="single" w:color="000000" w:sz="4" w:space="0"/>
              <w:right w:val="single" w:color="000000" w:sz="4" w:space="0"/>
            </w:tcBorders>
            <w:vAlign w:val="center"/>
          </w:tcPr>
          <w:p w14:paraId="6E230671">
            <w:pPr>
              <w:widowControl/>
              <w:spacing w:line="240" w:lineRule="exact"/>
              <w:jc w:val="center"/>
              <w:textAlignment w:val="center"/>
              <w:rPr>
                <w:rFonts w:ascii="宋体" w:hAnsi="宋体" w:cs="宋体"/>
                <w:sz w:val="18"/>
                <w:szCs w:val="18"/>
              </w:rPr>
            </w:pPr>
            <w:r>
              <w:rPr>
                <w:rFonts w:hint="eastAsia" w:ascii="宋体" w:hAnsi="宋体" w:cs="宋体"/>
                <w:kern w:val="0"/>
                <w:sz w:val="18"/>
                <w:szCs w:val="18"/>
              </w:rPr>
              <w:t>区域</w:t>
            </w:r>
          </w:p>
        </w:tc>
        <w:tc>
          <w:tcPr>
            <w:tcW w:w="1305" w:type="dxa"/>
            <w:vMerge w:val="restart"/>
            <w:tcBorders>
              <w:top w:val="single" w:color="000000" w:sz="4" w:space="0"/>
              <w:left w:val="single" w:color="000000" w:sz="4" w:space="0"/>
              <w:bottom w:val="single" w:color="000000" w:sz="4" w:space="0"/>
              <w:right w:val="single" w:color="000000" w:sz="4" w:space="0"/>
            </w:tcBorders>
            <w:vAlign w:val="center"/>
          </w:tcPr>
          <w:p w14:paraId="37CF8837">
            <w:pPr>
              <w:widowControl/>
              <w:spacing w:line="240" w:lineRule="exact"/>
              <w:jc w:val="center"/>
              <w:textAlignment w:val="center"/>
              <w:rPr>
                <w:rFonts w:ascii="宋体" w:hAnsi="宋体" w:cs="宋体"/>
                <w:sz w:val="18"/>
                <w:szCs w:val="18"/>
              </w:rPr>
            </w:pPr>
            <w:r>
              <w:rPr>
                <w:rFonts w:hint="eastAsia" w:ascii="宋体" w:hAnsi="宋体" w:cs="宋体"/>
                <w:kern w:val="0"/>
                <w:sz w:val="18"/>
                <w:szCs w:val="18"/>
              </w:rPr>
              <w:t>预算安排情况</w:t>
            </w:r>
          </w:p>
        </w:tc>
        <w:tc>
          <w:tcPr>
            <w:tcW w:w="1350" w:type="dxa"/>
            <w:vMerge w:val="restart"/>
            <w:tcBorders>
              <w:top w:val="single" w:color="000000" w:sz="4" w:space="0"/>
              <w:left w:val="single" w:color="000000" w:sz="4" w:space="0"/>
              <w:bottom w:val="single" w:color="000000" w:sz="4" w:space="0"/>
              <w:right w:val="single" w:color="000000" w:sz="4" w:space="0"/>
            </w:tcBorders>
            <w:vAlign w:val="center"/>
          </w:tcPr>
          <w:p w14:paraId="6EF18518">
            <w:pPr>
              <w:widowControl/>
              <w:spacing w:line="240" w:lineRule="exact"/>
              <w:jc w:val="center"/>
              <w:textAlignment w:val="center"/>
              <w:rPr>
                <w:rFonts w:ascii="宋体" w:hAnsi="宋体" w:cs="宋体"/>
                <w:sz w:val="18"/>
                <w:szCs w:val="18"/>
              </w:rPr>
            </w:pPr>
            <w:r>
              <w:rPr>
                <w:rFonts w:hint="eastAsia" w:ascii="宋体" w:hAnsi="宋体" w:cs="宋体"/>
                <w:kern w:val="0"/>
                <w:sz w:val="18"/>
                <w:szCs w:val="18"/>
              </w:rPr>
              <w:t>资金到位情况</w:t>
            </w:r>
          </w:p>
        </w:tc>
        <w:tc>
          <w:tcPr>
            <w:tcW w:w="1155" w:type="dxa"/>
            <w:vMerge w:val="restart"/>
            <w:tcBorders>
              <w:top w:val="single" w:color="000000" w:sz="4" w:space="0"/>
              <w:left w:val="single" w:color="000000" w:sz="4" w:space="0"/>
              <w:bottom w:val="single" w:color="000000" w:sz="4" w:space="0"/>
              <w:right w:val="single" w:color="000000" w:sz="4" w:space="0"/>
            </w:tcBorders>
            <w:vAlign w:val="center"/>
          </w:tcPr>
          <w:p w14:paraId="547D9C2E">
            <w:pPr>
              <w:widowControl/>
              <w:spacing w:line="240" w:lineRule="exact"/>
              <w:jc w:val="center"/>
              <w:textAlignment w:val="center"/>
              <w:rPr>
                <w:rFonts w:ascii="宋体" w:hAnsi="宋体" w:cs="宋体"/>
                <w:sz w:val="18"/>
                <w:szCs w:val="18"/>
              </w:rPr>
            </w:pPr>
            <w:r>
              <w:rPr>
                <w:rFonts w:hint="eastAsia" w:ascii="宋体" w:hAnsi="宋体" w:cs="宋体"/>
                <w:kern w:val="0"/>
                <w:sz w:val="18"/>
                <w:szCs w:val="18"/>
              </w:rPr>
              <w:t>资金到位率</w:t>
            </w:r>
          </w:p>
        </w:tc>
        <w:tc>
          <w:tcPr>
            <w:tcW w:w="2295" w:type="dxa"/>
            <w:gridSpan w:val="2"/>
            <w:tcBorders>
              <w:top w:val="single" w:color="000000" w:sz="4" w:space="0"/>
              <w:left w:val="single" w:color="000000" w:sz="4" w:space="0"/>
              <w:bottom w:val="single" w:color="000000" w:sz="4" w:space="0"/>
              <w:right w:val="single" w:color="000000" w:sz="4" w:space="0"/>
            </w:tcBorders>
            <w:vAlign w:val="center"/>
          </w:tcPr>
          <w:p w14:paraId="6A6EC177">
            <w:pPr>
              <w:widowControl/>
              <w:spacing w:line="240" w:lineRule="exact"/>
              <w:jc w:val="center"/>
              <w:textAlignment w:val="center"/>
              <w:rPr>
                <w:rFonts w:ascii="宋体" w:hAnsi="宋体" w:cs="宋体"/>
                <w:sz w:val="18"/>
                <w:szCs w:val="18"/>
              </w:rPr>
            </w:pPr>
            <w:r>
              <w:rPr>
                <w:rFonts w:hint="eastAsia" w:ascii="宋体" w:hAnsi="宋体" w:cs="宋体"/>
                <w:kern w:val="0"/>
                <w:sz w:val="18"/>
                <w:szCs w:val="18"/>
              </w:rPr>
              <w:t>资金使用情况</w:t>
            </w:r>
          </w:p>
        </w:tc>
        <w:tc>
          <w:tcPr>
            <w:tcW w:w="1005" w:type="dxa"/>
            <w:tcBorders>
              <w:top w:val="single" w:color="000000" w:sz="4" w:space="0"/>
              <w:left w:val="single" w:color="000000" w:sz="4" w:space="0"/>
              <w:bottom w:val="single" w:color="000000" w:sz="4" w:space="0"/>
              <w:right w:val="single" w:color="000000" w:sz="4" w:space="0"/>
            </w:tcBorders>
            <w:vAlign w:val="center"/>
          </w:tcPr>
          <w:p w14:paraId="1600791E">
            <w:pPr>
              <w:widowControl/>
              <w:spacing w:line="240" w:lineRule="exact"/>
              <w:jc w:val="center"/>
              <w:textAlignment w:val="center"/>
              <w:rPr>
                <w:rFonts w:ascii="宋体" w:hAnsi="宋体" w:cs="宋体"/>
                <w:sz w:val="18"/>
                <w:szCs w:val="18"/>
              </w:rPr>
            </w:pPr>
            <w:r>
              <w:rPr>
                <w:rFonts w:hint="eastAsia" w:ascii="宋体" w:hAnsi="宋体" w:cs="宋体"/>
                <w:kern w:val="0"/>
                <w:sz w:val="18"/>
                <w:szCs w:val="18"/>
              </w:rPr>
              <w:t>资金结转结余情况</w:t>
            </w:r>
          </w:p>
        </w:tc>
        <w:tc>
          <w:tcPr>
            <w:tcW w:w="855" w:type="dxa"/>
            <w:vMerge w:val="restart"/>
            <w:tcBorders>
              <w:top w:val="single" w:color="000000" w:sz="4" w:space="0"/>
              <w:left w:val="single" w:color="000000" w:sz="4" w:space="0"/>
              <w:bottom w:val="single" w:color="000000" w:sz="4" w:space="0"/>
              <w:right w:val="single" w:color="000000" w:sz="4" w:space="0"/>
            </w:tcBorders>
            <w:vAlign w:val="center"/>
          </w:tcPr>
          <w:p w14:paraId="05CB4A28">
            <w:pPr>
              <w:widowControl/>
              <w:spacing w:line="240" w:lineRule="exact"/>
              <w:jc w:val="center"/>
              <w:textAlignment w:val="center"/>
              <w:rPr>
                <w:rFonts w:ascii="宋体" w:hAnsi="宋体" w:cs="宋体"/>
                <w:sz w:val="18"/>
                <w:szCs w:val="18"/>
              </w:rPr>
            </w:pPr>
            <w:r>
              <w:rPr>
                <w:rFonts w:hint="eastAsia" w:ascii="宋体" w:hAnsi="宋体" w:cs="宋体"/>
                <w:kern w:val="0"/>
                <w:sz w:val="18"/>
                <w:szCs w:val="18"/>
              </w:rPr>
              <w:t>资金执行率</w:t>
            </w:r>
          </w:p>
        </w:tc>
      </w:tr>
      <w:tr w14:paraId="3AC8784C">
        <w:tblPrEx>
          <w:tblCellMar>
            <w:top w:w="0" w:type="dxa"/>
            <w:left w:w="108" w:type="dxa"/>
            <w:bottom w:w="0" w:type="dxa"/>
            <w:right w:w="108" w:type="dxa"/>
          </w:tblCellMar>
        </w:tblPrEx>
        <w:trPr>
          <w:trHeight w:val="1015" w:hRule="atLeast"/>
        </w:trPr>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39BABD44">
            <w:pPr>
              <w:widowControl/>
              <w:spacing w:line="240" w:lineRule="exact"/>
              <w:jc w:val="center"/>
              <w:rPr>
                <w:rFonts w:ascii="宋体" w:hAnsi="宋体" w:cs="宋体"/>
                <w:b/>
                <w:bCs/>
                <w:sz w:val="18"/>
                <w:szCs w:val="18"/>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20624DFC">
            <w:pPr>
              <w:widowControl/>
              <w:spacing w:line="240" w:lineRule="exact"/>
              <w:jc w:val="center"/>
              <w:rPr>
                <w:rFonts w:ascii="宋体" w:hAnsi="宋体" w:cs="宋体"/>
                <w:b/>
                <w:bCs/>
                <w:sz w:val="18"/>
                <w:szCs w:val="18"/>
              </w:rPr>
            </w:pPr>
          </w:p>
        </w:tc>
        <w:tc>
          <w:tcPr>
            <w:tcW w:w="1305" w:type="dxa"/>
            <w:vMerge w:val="continue"/>
            <w:tcBorders>
              <w:top w:val="single" w:color="000000" w:sz="4" w:space="0"/>
              <w:left w:val="single" w:color="000000" w:sz="4" w:space="0"/>
              <w:bottom w:val="single" w:color="000000" w:sz="4" w:space="0"/>
              <w:right w:val="single" w:color="000000" w:sz="4" w:space="0"/>
            </w:tcBorders>
            <w:vAlign w:val="center"/>
          </w:tcPr>
          <w:p w14:paraId="5A68F8F9">
            <w:pPr>
              <w:widowControl/>
              <w:spacing w:line="240" w:lineRule="exact"/>
              <w:jc w:val="center"/>
              <w:rPr>
                <w:rFonts w:ascii="宋体" w:hAnsi="宋体" w:cs="宋体"/>
                <w:b/>
                <w:bCs/>
                <w:sz w:val="18"/>
                <w:szCs w:val="18"/>
              </w:rPr>
            </w:pPr>
          </w:p>
        </w:tc>
        <w:tc>
          <w:tcPr>
            <w:tcW w:w="1350" w:type="dxa"/>
            <w:vMerge w:val="continue"/>
            <w:tcBorders>
              <w:top w:val="single" w:color="000000" w:sz="4" w:space="0"/>
              <w:left w:val="single" w:color="000000" w:sz="4" w:space="0"/>
              <w:bottom w:val="single" w:color="000000" w:sz="4" w:space="0"/>
              <w:right w:val="single" w:color="000000" w:sz="4" w:space="0"/>
            </w:tcBorders>
            <w:vAlign w:val="center"/>
          </w:tcPr>
          <w:p w14:paraId="6F57E541">
            <w:pPr>
              <w:widowControl/>
              <w:spacing w:line="240" w:lineRule="exact"/>
              <w:jc w:val="center"/>
              <w:rPr>
                <w:rFonts w:ascii="宋体" w:hAnsi="宋体" w:cs="宋体"/>
                <w:b/>
                <w:bCs/>
                <w:sz w:val="18"/>
                <w:szCs w:val="18"/>
              </w:rPr>
            </w:pPr>
          </w:p>
        </w:tc>
        <w:tc>
          <w:tcPr>
            <w:tcW w:w="1155" w:type="dxa"/>
            <w:vMerge w:val="continue"/>
            <w:tcBorders>
              <w:top w:val="single" w:color="000000" w:sz="4" w:space="0"/>
              <w:left w:val="single" w:color="000000" w:sz="4" w:space="0"/>
              <w:bottom w:val="single" w:color="000000" w:sz="4" w:space="0"/>
              <w:right w:val="single" w:color="000000" w:sz="4" w:space="0"/>
            </w:tcBorders>
            <w:vAlign w:val="center"/>
          </w:tcPr>
          <w:p w14:paraId="25A5F050">
            <w:pPr>
              <w:widowControl/>
              <w:spacing w:line="240" w:lineRule="exact"/>
              <w:jc w:val="center"/>
              <w:rPr>
                <w:rFonts w:ascii="宋体" w:hAnsi="宋体" w:cs="宋体"/>
                <w:b/>
                <w:bCs/>
                <w:sz w:val="18"/>
                <w:szCs w:val="18"/>
              </w:rPr>
            </w:pPr>
          </w:p>
        </w:tc>
        <w:tc>
          <w:tcPr>
            <w:tcW w:w="1155" w:type="dxa"/>
            <w:tcBorders>
              <w:top w:val="single" w:color="000000" w:sz="4" w:space="0"/>
              <w:left w:val="single" w:color="000000" w:sz="4" w:space="0"/>
              <w:bottom w:val="single" w:color="000000" w:sz="4" w:space="0"/>
              <w:right w:val="single" w:color="000000" w:sz="4" w:space="0"/>
            </w:tcBorders>
            <w:vAlign w:val="center"/>
          </w:tcPr>
          <w:p w14:paraId="124786CF">
            <w:pPr>
              <w:widowControl/>
              <w:spacing w:line="240" w:lineRule="exact"/>
              <w:jc w:val="center"/>
              <w:textAlignment w:val="center"/>
              <w:rPr>
                <w:rFonts w:ascii="宋体" w:hAnsi="宋体" w:cs="宋体"/>
                <w:sz w:val="18"/>
                <w:szCs w:val="18"/>
              </w:rPr>
            </w:pPr>
            <w:r>
              <w:rPr>
                <w:rFonts w:hint="eastAsia" w:ascii="宋体" w:hAnsi="宋体" w:cs="宋体"/>
                <w:kern w:val="0"/>
                <w:sz w:val="18"/>
                <w:szCs w:val="18"/>
              </w:rPr>
              <w:t>2023年（截至2023年12月31日）</w:t>
            </w:r>
          </w:p>
        </w:tc>
        <w:tc>
          <w:tcPr>
            <w:tcW w:w="1140" w:type="dxa"/>
            <w:tcBorders>
              <w:top w:val="single" w:color="000000" w:sz="4" w:space="0"/>
              <w:left w:val="single" w:color="000000" w:sz="4" w:space="0"/>
              <w:bottom w:val="single" w:color="000000" w:sz="4" w:space="0"/>
              <w:right w:val="single" w:color="000000" w:sz="4" w:space="0"/>
            </w:tcBorders>
            <w:vAlign w:val="center"/>
          </w:tcPr>
          <w:p w14:paraId="5DCB03EF">
            <w:pPr>
              <w:widowControl/>
              <w:spacing w:line="240" w:lineRule="exact"/>
              <w:jc w:val="center"/>
              <w:textAlignment w:val="center"/>
              <w:rPr>
                <w:rFonts w:ascii="宋体" w:hAnsi="宋体" w:cs="宋体"/>
                <w:sz w:val="18"/>
                <w:szCs w:val="18"/>
              </w:rPr>
            </w:pPr>
            <w:r>
              <w:rPr>
                <w:rFonts w:hint="eastAsia" w:ascii="宋体" w:hAnsi="宋体" w:cs="宋体"/>
                <w:kern w:val="0"/>
                <w:sz w:val="18"/>
                <w:szCs w:val="18"/>
              </w:rPr>
              <w:t>2024年（截至2024年06月30日）</w:t>
            </w:r>
          </w:p>
        </w:tc>
        <w:tc>
          <w:tcPr>
            <w:tcW w:w="1005" w:type="dxa"/>
            <w:tcBorders>
              <w:top w:val="single" w:color="000000" w:sz="4" w:space="0"/>
              <w:left w:val="single" w:color="000000" w:sz="4" w:space="0"/>
              <w:bottom w:val="single" w:color="000000" w:sz="4" w:space="0"/>
              <w:right w:val="single" w:color="000000" w:sz="4" w:space="0"/>
            </w:tcBorders>
            <w:vAlign w:val="center"/>
          </w:tcPr>
          <w:p w14:paraId="0D60BBD8">
            <w:pPr>
              <w:widowControl/>
              <w:spacing w:line="240" w:lineRule="exact"/>
              <w:jc w:val="center"/>
              <w:textAlignment w:val="center"/>
              <w:rPr>
                <w:rFonts w:ascii="宋体" w:hAnsi="宋体" w:cs="宋体"/>
                <w:sz w:val="18"/>
                <w:szCs w:val="18"/>
              </w:rPr>
            </w:pPr>
            <w:r>
              <w:rPr>
                <w:rFonts w:hint="eastAsia" w:ascii="宋体" w:hAnsi="宋体" w:cs="宋体"/>
                <w:kern w:val="0"/>
                <w:sz w:val="18"/>
                <w:szCs w:val="18"/>
              </w:rPr>
              <w:t>2023年（截至2023年12月31日）</w:t>
            </w:r>
          </w:p>
        </w:tc>
        <w:tc>
          <w:tcPr>
            <w:tcW w:w="855" w:type="dxa"/>
            <w:vMerge w:val="continue"/>
            <w:tcBorders>
              <w:top w:val="single" w:color="000000" w:sz="4" w:space="0"/>
              <w:left w:val="single" w:color="000000" w:sz="4" w:space="0"/>
              <w:bottom w:val="single" w:color="000000" w:sz="4" w:space="0"/>
              <w:right w:val="single" w:color="000000" w:sz="4" w:space="0"/>
            </w:tcBorders>
            <w:vAlign w:val="center"/>
          </w:tcPr>
          <w:p w14:paraId="2F74F05F">
            <w:pPr>
              <w:widowControl/>
              <w:spacing w:line="240" w:lineRule="exact"/>
              <w:jc w:val="center"/>
              <w:rPr>
                <w:rFonts w:ascii="宋体" w:hAnsi="宋体" w:cs="宋体"/>
                <w:b/>
                <w:bCs/>
                <w:sz w:val="18"/>
                <w:szCs w:val="18"/>
              </w:rPr>
            </w:pPr>
          </w:p>
        </w:tc>
      </w:tr>
      <w:tr w14:paraId="665AFC13">
        <w:tblPrEx>
          <w:tblCellMar>
            <w:top w:w="0" w:type="dxa"/>
            <w:left w:w="108" w:type="dxa"/>
            <w:bottom w:w="0" w:type="dxa"/>
            <w:right w:w="108" w:type="dxa"/>
          </w:tblCellMar>
        </w:tblPrEx>
        <w:trPr>
          <w:trHeight w:val="27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77DC2BCB">
            <w:pPr>
              <w:widowControl/>
              <w:spacing w:line="240" w:lineRule="exact"/>
              <w:jc w:val="center"/>
              <w:textAlignment w:val="center"/>
              <w:rPr>
                <w:rFonts w:ascii="宋体" w:hAnsi="宋体" w:cs="宋体"/>
                <w:sz w:val="18"/>
                <w:szCs w:val="18"/>
              </w:rPr>
            </w:pPr>
            <w:r>
              <w:rPr>
                <w:rFonts w:hint="eastAsia" w:ascii="宋体" w:hAnsi="宋体" w:cs="宋体"/>
                <w:kern w:val="0"/>
                <w:sz w:val="18"/>
                <w:szCs w:val="18"/>
              </w:rPr>
              <w:t>市州</w:t>
            </w:r>
          </w:p>
        </w:tc>
        <w:tc>
          <w:tcPr>
            <w:tcW w:w="885" w:type="dxa"/>
            <w:tcBorders>
              <w:top w:val="single" w:color="000000" w:sz="4" w:space="0"/>
              <w:left w:val="single" w:color="000000" w:sz="4" w:space="0"/>
              <w:bottom w:val="single" w:color="000000" w:sz="4" w:space="0"/>
              <w:right w:val="single" w:color="000000" w:sz="4" w:space="0"/>
            </w:tcBorders>
            <w:vAlign w:val="center"/>
          </w:tcPr>
          <w:p w14:paraId="3FBBDF3D">
            <w:pPr>
              <w:widowControl/>
              <w:spacing w:line="240" w:lineRule="exact"/>
              <w:jc w:val="center"/>
              <w:textAlignment w:val="center"/>
              <w:rPr>
                <w:rFonts w:ascii="宋体" w:hAnsi="宋体" w:cs="宋体"/>
                <w:sz w:val="18"/>
                <w:szCs w:val="18"/>
              </w:rPr>
            </w:pPr>
            <w:r>
              <w:rPr>
                <w:rFonts w:hint="eastAsia" w:ascii="宋体" w:hAnsi="宋体" w:cs="宋体"/>
                <w:kern w:val="0"/>
                <w:sz w:val="18"/>
                <w:szCs w:val="18"/>
              </w:rPr>
              <w:t>广元市</w:t>
            </w:r>
          </w:p>
        </w:tc>
        <w:tc>
          <w:tcPr>
            <w:tcW w:w="1305" w:type="dxa"/>
            <w:tcBorders>
              <w:top w:val="single" w:color="000000" w:sz="4" w:space="0"/>
              <w:left w:val="single" w:color="000000" w:sz="4" w:space="0"/>
              <w:bottom w:val="single" w:color="000000" w:sz="4" w:space="0"/>
              <w:right w:val="single" w:color="000000" w:sz="4" w:space="0"/>
            </w:tcBorders>
            <w:vAlign w:val="center"/>
          </w:tcPr>
          <w:p w14:paraId="3E624B03">
            <w:pPr>
              <w:widowControl/>
              <w:spacing w:line="240" w:lineRule="exact"/>
              <w:jc w:val="center"/>
              <w:textAlignment w:val="center"/>
              <w:rPr>
                <w:rFonts w:ascii="宋体" w:hAnsi="宋体" w:cs="宋体"/>
                <w:sz w:val="18"/>
                <w:szCs w:val="18"/>
              </w:rPr>
            </w:pPr>
            <w:r>
              <w:rPr>
                <w:rFonts w:hint="eastAsia" w:ascii="宋体" w:hAnsi="宋体" w:cs="宋体"/>
                <w:sz w:val="18"/>
                <w:szCs w:val="18"/>
              </w:rPr>
              <w:t>3.99</w:t>
            </w:r>
          </w:p>
        </w:tc>
        <w:tc>
          <w:tcPr>
            <w:tcW w:w="1350" w:type="dxa"/>
            <w:tcBorders>
              <w:top w:val="single" w:color="000000" w:sz="4" w:space="0"/>
              <w:left w:val="single" w:color="000000" w:sz="4" w:space="0"/>
              <w:bottom w:val="single" w:color="000000" w:sz="4" w:space="0"/>
              <w:right w:val="single" w:color="000000" w:sz="4" w:space="0"/>
            </w:tcBorders>
            <w:vAlign w:val="center"/>
          </w:tcPr>
          <w:p w14:paraId="6326338D">
            <w:pPr>
              <w:widowControl/>
              <w:spacing w:line="240" w:lineRule="exact"/>
              <w:jc w:val="center"/>
              <w:textAlignment w:val="center"/>
              <w:rPr>
                <w:rFonts w:ascii="宋体" w:hAnsi="宋体" w:cs="宋体"/>
                <w:sz w:val="18"/>
                <w:szCs w:val="18"/>
              </w:rPr>
            </w:pPr>
            <w:r>
              <w:rPr>
                <w:rFonts w:hint="eastAsia" w:ascii="宋体" w:hAnsi="宋体" w:cs="宋体"/>
                <w:sz w:val="18"/>
                <w:szCs w:val="18"/>
              </w:rPr>
              <w:t>3.99</w:t>
            </w:r>
          </w:p>
        </w:tc>
        <w:tc>
          <w:tcPr>
            <w:tcW w:w="1155" w:type="dxa"/>
            <w:tcBorders>
              <w:top w:val="single" w:color="000000" w:sz="4" w:space="0"/>
              <w:left w:val="single" w:color="000000" w:sz="4" w:space="0"/>
              <w:bottom w:val="single" w:color="000000" w:sz="4" w:space="0"/>
              <w:right w:val="single" w:color="000000" w:sz="4" w:space="0"/>
            </w:tcBorders>
            <w:vAlign w:val="center"/>
          </w:tcPr>
          <w:p w14:paraId="570DFBFC">
            <w:pPr>
              <w:widowControl/>
              <w:spacing w:line="240" w:lineRule="exact"/>
              <w:jc w:val="center"/>
              <w:textAlignment w:val="center"/>
              <w:rPr>
                <w:rFonts w:ascii="宋体" w:hAnsi="宋体" w:cs="宋体"/>
                <w:sz w:val="18"/>
                <w:szCs w:val="18"/>
              </w:rPr>
            </w:pPr>
            <w:r>
              <w:rPr>
                <w:rFonts w:hint="eastAsia" w:ascii="宋体" w:hAnsi="宋体" w:cs="宋体"/>
                <w:sz w:val="18"/>
                <w:szCs w:val="18"/>
              </w:rPr>
              <w:t>100%</w:t>
            </w:r>
          </w:p>
        </w:tc>
        <w:tc>
          <w:tcPr>
            <w:tcW w:w="1155" w:type="dxa"/>
            <w:tcBorders>
              <w:top w:val="single" w:color="000000" w:sz="4" w:space="0"/>
              <w:left w:val="single" w:color="000000" w:sz="4" w:space="0"/>
              <w:bottom w:val="single" w:color="000000" w:sz="4" w:space="0"/>
              <w:right w:val="single" w:color="000000" w:sz="4" w:space="0"/>
            </w:tcBorders>
            <w:vAlign w:val="center"/>
          </w:tcPr>
          <w:p w14:paraId="20DE3A1C">
            <w:pPr>
              <w:widowControl/>
              <w:spacing w:line="240" w:lineRule="exact"/>
              <w:jc w:val="center"/>
              <w:textAlignment w:val="center"/>
              <w:rPr>
                <w:rFonts w:ascii="宋体" w:hAnsi="宋体" w:cs="宋体"/>
                <w:sz w:val="18"/>
                <w:szCs w:val="18"/>
              </w:rPr>
            </w:pPr>
            <w:r>
              <w:rPr>
                <w:rFonts w:hint="eastAsia" w:ascii="宋体" w:hAnsi="宋体" w:cs="宋体"/>
                <w:sz w:val="18"/>
                <w:szCs w:val="18"/>
              </w:rPr>
              <w:t>3.99</w:t>
            </w:r>
          </w:p>
        </w:tc>
        <w:tc>
          <w:tcPr>
            <w:tcW w:w="1140" w:type="dxa"/>
            <w:tcBorders>
              <w:top w:val="single" w:color="000000" w:sz="4" w:space="0"/>
              <w:left w:val="single" w:color="000000" w:sz="4" w:space="0"/>
              <w:bottom w:val="single" w:color="000000" w:sz="4" w:space="0"/>
              <w:right w:val="single" w:color="000000" w:sz="4" w:space="0"/>
            </w:tcBorders>
            <w:vAlign w:val="center"/>
          </w:tcPr>
          <w:p w14:paraId="5F14E184">
            <w:pPr>
              <w:widowControl/>
              <w:spacing w:line="240" w:lineRule="exact"/>
              <w:jc w:val="center"/>
              <w:textAlignment w:val="center"/>
              <w:rPr>
                <w:rFonts w:ascii="宋体" w:hAnsi="宋体" w:cs="宋体"/>
                <w:sz w:val="18"/>
                <w:szCs w:val="18"/>
              </w:rPr>
            </w:pPr>
            <w:r>
              <w:rPr>
                <w:rFonts w:hint="eastAsia" w:ascii="宋体" w:hAnsi="宋体" w:cs="宋体"/>
                <w:sz w:val="18"/>
                <w:szCs w:val="18"/>
              </w:rPr>
              <w:t>3.99</w:t>
            </w:r>
          </w:p>
        </w:tc>
        <w:tc>
          <w:tcPr>
            <w:tcW w:w="1005" w:type="dxa"/>
            <w:tcBorders>
              <w:top w:val="single" w:color="000000" w:sz="4" w:space="0"/>
              <w:left w:val="single" w:color="000000" w:sz="4" w:space="0"/>
              <w:bottom w:val="single" w:color="000000" w:sz="4" w:space="0"/>
              <w:right w:val="single" w:color="000000" w:sz="4" w:space="0"/>
            </w:tcBorders>
            <w:vAlign w:val="center"/>
          </w:tcPr>
          <w:p w14:paraId="03510EAA">
            <w:pPr>
              <w:widowControl/>
              <w:spacing w:line="240" w:lineRule="exact"/>
              <w:jc w:val="center"/>
              <w:textAlignment w:val="center"/>
              <w:rPr>
                <w:rFonts w:ascii="宋体" w:hAnsi="宋体" w:cs="宋体"/>
                <w:sz w:val="18"/>
                <w:szCs w:val="18"/>
              </w:rPr>
            </w:pPr>
            <w:r>
              <w:rPr>
                <w:rFonts w:hint="eastAsia" w:ascii="宋体" w:hAnsi="宋体" w:cs="宋体"/>
                <w:sz w:val="18"/>
                <w:szCs w:val="18"/>
              </w:rPr>
              <w:t>0</w:t>
            </w:r>
          </w:p>
        </w:tc>
        <w:tc>
          <w:tcPr>
            <w:tcW w:w="855" w:type="dxa"/>
            <w:tcBorders>
              <w:top w:val="single" w:color="000000" w:sz="4" w:space="0"/>
              <w:left w:val="single" w:color="000000" w:sz="4" w:space="0"/>
              <w:bottom w:val="single" w:color="000000" w:sz="4" w:space="0"/>
              <w:right w:val="single" w:color="000000" w:sz="4" w:space="0"/>
            </w:tcBorders>
            <w:vAlign w:val="center"/>
          </w:tcPr>
          <w:p w14:paraId="3DD0DD40">
            <w:pPr>
              <w:widowControl/>
              <w:spacing w:line="240" w:lineRule="exact"/>
              <w:jc w:val="center"/>
              <w:textAlignment w:val="center"/>
              <w:rPr>
                <w:rFonts w:ascii="宋体" w:hAnsi="宋体" w:cs="宋体"/>
                <w:sz w:val="18"/>
                <w:szCs w:val="18"/>
              </w:rPr>
            </w:pPr>
            <w:r>
              <w:rPr>
                <w:rFonts w:hint="eastAsia" w:ascii="宋体" w:hAnsi="宋体" w:cs="宋体"/>
                <w:sz w:val="18"/>
                <w:szCs w:val="18"/>
              </w:rPr>
              <w:t>100%</w:t>
            </w:r>
          </w:p>
        </w:tc>
      </w:tr>
    </w:tbl>
    <w:p w14:paraId="6CA17E75">
      <w:pPr>
        <w:pStyle w:val="32"/>
        <w:widowControl/>
        <w:snapToGrid w:val="0"/>
        <w:spacing w:line="600" w:lineRule="exact"/>
        <w:ind w:firstLine="640" w:firstLineChars="200"/>
        <w:contextualSpacing/>
        <w:jc w:val="left"/>
        <w:rPr>
          <w:rFonts w:hint="eastAsia" w:ascii="仿宋_GB2312" w:hAnsi="Nimbus Roman No9 L" w:cs="Arial"/>
        </w:rPr>
      </w:pPr>
      <w:r>
        <w:rPr>
          <w:rFonts w:hint="eastAsia" w:ascii="仿宋_GB2312" w:hAnsi="Nimbus Roman No9 L" w:cs="Arial"/>
        </w:rPr>
        <w:t>（2）</w:t>
      </w:r>
      <w:r>
        <w:rPr>
          <w:rFonts w:ascii="仿宋_GB2312" w:hAnsi="Nimbus Roman No9 L" w:cs="Arial"/>
        </w:rPr>
        <w:t>资金分配</w:t>
      </w:r>
      <w:r>
        <w:rPr>
          <w:rFonts w:hint="eastAsia" w:ascii="仿宋_GB2312" w:hAnsi="Nimbus Roman No9 L" w:cs="Arial"/>
        </w:rPr>
        <w:t>原则</w:t>
      </w:r>
    </w:p>
    <w:p w14:paraId="2FA92797">
      <w:pPr>
        <w:pStyle w:val="32"/>
        <w:widowControl/>
        <w:snapToGrid w:val="0"/>
        <w:spacing w:line="600" w:lineRule="exact"/>
        <w:ind w:firstLine="640" w:firstLineChars="200"/>
        <w:contextualSpacing/>
        <w:jc w:val="left"/>
        <w:rPr>
          <w:rFonts w:hint="eastAsia" w:ascii="仿宋_GB2312" w:hAnsi="Nimbus Roman No9 L" w:cs="Arial"/>
        </w:rPr>
      </w:pPr>
      <w:r>
        <w:rPr>
          <w:rFonts w:hint="eastAsia" w:ascii="仿宋_GB2312" w:hAnsi="Nimbus Roman No9 L" w:cs="Arial"/>
        </w:rPr>
        <w:t>项目资金按照“因素法”进行分配。具体分配测算方式为：根据铁路护路联防工作特点，选取对铁路护路联防工作支出影响较大的铁路线路管辖责任里程数、铁路护路联防工作及年终考核结果（铁路线路管辖责任里程数、铁路护路联防队员人数、铁路护路联防工作及绩效考核结果）等作为专项资金分配主要因素。其中，铁路线路管辖责任里程数权重为90%，铁路护路联防工作年终考核结果权重为10%。</w:t>
      </w:r>
    </w:p>
    <w:p w14:paraId="421BDFC6">
      <w:pPr>
        <w:widowControl/>
        <w:adjustRightInd w:val="0"/>
        <w:snapToGrid w:val="0"/>
        <w:spacing w:line="600" w:lineRule="exact"/>
        <w:ind w:firstLine="643" w:firstLineChars="200"/>
        <w:contextualSpacing/>
        <w:jc w:val="left"/>
        <w:rPr>
          <w:rFonts w:ascii="楷体_GB2312" w:hAnsi="宋体" w:eastAsia="楷体_GB2312"/>
          <w:b/>
          <w:sz w:val="32"/>
          <w:szCs w:val="32"/>
          <w:lang w:val="zh-CN"/>
        </w:rPr>
      </w:pPr>
      <w:r>
        <w:rPr>
          <w:rFonts w:hint="eastAsia" w:ascii="楷体_GB2312" w:hAnsi="宋体" w:eastAsia="楷体_GB2312"/>
          <w:b/>
          <w:sz w:val="32"/>
          <w:szCs w:val="32"/>
          <w:lang w:val="zh-CN"/>
        </w:rPr>
        <w:t>（四）项目绩效目标设置。</w:t>
      </w:r>
    </w:p>
    <w:p w14:paraId="7D79AF4F">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（1）项目绩效目标</w:t>
      </w:r>
    </w:p>
    <w:p w14:paraId="037EBD7D">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铁路护路经费绩效目标如下：</w:t>
      </w:r>
    </w:p>
    <w:tbl>
      <w:tblPr>
        <w:tblStyle w:val="16"/>
        <w:tblW w:w="8342" w:type="dxa"/>
        <w:tblInd w:w="0" w:type="dxa"/>
        <w:tblLayout w:type="fixed"/>
        <w:tblCellMar>
          <w:top w:w="15" w:type="dxa"/>
          <w:left w:w="15" w:type="dxa"/>
          <w:bottom w:w="15" w:type="dxa"/>
          <w:right w:w="15" w:type="dxa"/>
        </w:tblCellMar>
      </w:tblPr>
      <w:tblGrid>
        <w:gridCol w:w="1175"/>
        <w:gridCol w:w="1359"/>
        <w:gridCol w:w="1602"/>
        <w:gridCol w:w="4206"/>
      </w:tblGrid>
      <w:tr w14:paraId="7620632D">
        <w:tblPrEx>
          <w:tblCellMar>
            <w:top w:w="15" w:type="dxa"/>
            <w:left w:w="15" w:type="dxa"/>
            <w:bottom w:w="15" w:type="dxa"/>
            <w:right w:w="15" w:type="dxa"/>
          </w:tblCellMar>
        </w:tblPrEx>
        <w:trPr>
          <w:trHeight w:val="23" w:hRule="atLeast"/>
        </w:trPr>
        <w:tc>
          <w:tcPr>
            <w:tcW w:w="11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48C4E">
            <w:pPr>
              <w:widowControl/>
              <w:spacing w:line="300" w:lineRule="exact"/>
              <w:jc w:val="center"/>
              <w:textAlignment w:val="center"/>
              <w:rPr>
                <w:rFonts w:ascii="仿宋_GB2312" w:hAnsi="仿宋_GB2312" w:cs="仿宋_GB2312"/>
                <w:sz w:val="18"/>
                <w:szCs w:val="18"/>
              </w:rPr>
            </w:pPr>
            <w:r>
              <w:rPr>
                <w:rFonts w:hint="eastAsia" w:ascii="仿宋_GB2312" w:hAnsi="仿宋_GB2312" w:cs="仿宋_GB2312"/>
                <w:kern w:val="0"/>
                <w:sz w:val="18"/>
                <w:szCs w:val="18"/>
              </w:rPr>
              <w:t>一级指标</w:t>
            </w:r>
          </w:p>
        </w:tc>
        <w:tc>
          <w:tcPr>
            <w:tcW w:w="13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5BA95">
            <w:pPr>
              <w:widowControl/>
              <w:spacing w:line="300" w:lineRule="exact"/>
              <w:jc w:val="center"/>
              <w:textAlignment w:val="center"/>
              <w:rPr>
                <w:rFonts w:ascii="仿宋_GB2312" w:hAnsi="仿宋_GB2312" w:cs="仿宋_GB2312"/>
                <w:sz w:val="18"/>
                <w:szCs w:val="18"/>
              </w:rPr>
            </w:pPr>
            <w:r>
              <w:rPr>
                <w:rFonts w:hint="eastAsia" w:ascii="仿宋_GB2312" w:hAnsi="仿宋_GB2312" w:cs="仿宋_GB2312"/>
                <w:kern w:val="0"/>
                <w:sz w:val="18"/>
                <w:szCs w:val="18"/>
              </w:rPr>
              <w:t>二级指标</w:t>
            </w: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EDF387">
            <w:pPr>
              <w:widowControl/>
              <w:spacing w:line="300" w:lineRule="exact"/>
              <w:jc w:val="center"/>
              <w:textAlignment w:val="center"/>
              <w:rPr>
                <w:rFonts w:ascii="仿宋_GB2312" w:hAnsi="仿宋_GB2312" w:cs="仿宋_GB2312"/>
                <w:sz w:val="18"/>
                <w:szCs w:val="18"/>
              </w:rPr>
            </w:pPr>
            <w:r>
              <w:rPr>
                <w:rFonts w:hint="eastAsia" w:ascii="仿宋_GB2312" w:hAnsi="仿宋_GB2312" w:cs="仿宋_GB2312"/>
                <w:kern w:val="0"/>
                <w:sz w:val="18"/>
                <w:szCs w:val="18"/>
              </w:rPr>
              <w:t>三级指标</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E1DE7">
            <w:pPr>
              <w:widowControl/>
              <w:spacing w:line="300" w:lineRule="exact"/>
              <w:jc w:val="center"/>
              <w:textAlignment w:val="center"/>
              <w:rPr>
                <w:rFonts w:ascii="仿宋_GB2312" w:hAnsi="仿宋_GB2312" w:cs="仿宋_GB2312"/>
                <w:kern w:val="0"/>
                <w:sz w:val="18"/>
                <w:szCs w:val="18"/>
              </w:rPr>
            </w:pPr>
            <w:r>
              <w:rPr>
                <w:rFonts w:hint="eastAsia" w:ascii="仿宋_GB2312" w:hAnsi="仿宋_GB2312" w:cs="仿宋_GB2312"/>
                <w:sz w:val="18"/>
                <w:szCs w:val="18"/>
              </w:rPr>
              <w:t>指标值</w:t>
            </w:r>
          </w:p>
        </w:tc>
      </w:tr>
      <w:tr w14:paraId="7263A6F9">
        <w:tblPrEx>
          <w:tblCellMar>
            <w:top w:w="15" w:type="dxa"/>
            <w:left w:w="15" w:type="dxa"/>
            <w:bottom w:w="15" w:type="dxa"/>
            <w:right w:w="15" w:type="dxa"/>
          </w:tblCellMar>
        </w:tblPrEx>
        <w:trPr>
          <w:trHeight w:val="23" w:hRule="atLeast"/>
        </w:trPr>
        <w:tc>
          <w:tcPr>
            <w:tcW w:w="1175" w:type="dxa"/>
            <w:vMerge w:val="restart"/>
            <w:tcBorders>
              <w:top w:val="single" w:color="000000" w:sz="4" w:space="0"/>
              <w:left w:val="single" w:color="000000" w:sz="4" w:space="0"/>
              <w:right w:val="single" w:color="000000" w:sz="4" w:space="0"/>
            </w:tcBorders>
            <w:shd w:val="clear" w:color="auto" w:fill="auto"/>
            <w:vAlign w:val="center"/>
          </w:tcPr>
          <w:p w14:paraId="14F1E663">
            <w:pPr>
              <w:widowControl/>
              <w:spacing w:line="300" w:lineRule="exact"/>
              <w:jc w:val="center"/>
              <w:textAlignment w:val="center"/>
              <w:rPr>
                <w:rFonts w:ascii="仿宋_GB2312" w:hAnsi="仿宋_GB2312" w:cs="仿宋_GB2312"/>
                <w:sz w:val="18"/>
                <w:szCs w:val="18"/>
              </w:rPr>
            </w:pPr>
            <w:r>
              <w:rPr>
                <w:rFonts w:hint="eastAsia" w:ascii="仿宋_GB2312" w:hAnsi="仿宋_GB2312" w:cs="仿宋_GB2312"/>
                <w:kern w:val="0"/>
                <w:sz w:val="18"/>
                <w:szCs w:val="18"/>
              </w:rPr>
              <w:t>产出指标</w:t>
            </w:r>
          </w:p>
        </w:tc>
        <w:tc>
          <w:tcPr>
            <w:tcW w:w="1359" w:type="dxa"/>
            <w:vMerge w:val="restart"/>
            <w:tcBorders>
              <w:top w:val="single" w:color="000000" w:sz="4" w:space="0"/>
              <w:left w:val="single" w:color="000000" w:sz="4" w:space="0"/>
              <w:right w:val="single" w:color="000000" w:sz="4" w:space="0"/>
            </w:tcBorders>
            <w:shd w:val="clear" w:color="auto" w:fill="auto"/>
            <w:vAlign w:val="center"/>
          </w:tcPr>
          <w:p w14:paraId="6D6E824C">
            <w:pPr>
              <w:widowControl/>
              <w:spacing w:line="300" w:lineRule="exact"/>
              <w:jc w:val="center"/>
              <w:textAlignment w:val="center"/>
              <w:rPr>
                <w:rFonts w:ascii="仿宋_GB2312" w:hAnsi="仿宋_GB2312" w:cs="仿宋_GB2312"/>
                <w:sz w:val="18"/>
                <w:szCs w:val="18"/>
              </w:rPr>
            </w:pPr>
            <w:r>
              <w:rPr>
                <w:rFonts w:hint="eastAsia" w:ascii="仿宋_GB2312" w:hAnsi="仿宋_GB2312" w:cs="仿宋_GB2312"/>
                <w:kern w:val="0"/>
                <w:sz w:val="18"/>
                <w:szCs w:val="18"/>
              </w:rPr>
              <w:t>数量指标</w:t>
            </w: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18B89">
            <w:pPr>
              <w:spacing w:line="300" w:lineRule="exact"/>
              <w:rPr>
                <w:rFonts w:ascii="仿宋_GB2312" w:hAnsi="仿宋_GB2312" w:cs="仿宋_GB2312"/>
                <w:sz w:val="18"/>
                <w:szCs w:val="18"/>
              </w:rPr>
            </w:pPr>
            <w:r>
              <w:rPr>
                <w:rFonts w:hint="eastAsia" w:ascii="仿宋_GB2312" w:hAnsi="仿宋_GB2312" w:cs="仿宋_GB2312"/>
                <w:sz w:val="18"/>
                <w:szCs w:val="18"/>
              </w:rPr>
              <w:t>出动护路人次</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DC7A6">
            <w:pPr>
              <w:spacing w:line="300" w:lineRule="exact"/>
              <w:rPr>
                <w:rFonts w:ascii="仿宋_GB2312" w:hAnsi="仿宋_GB2312" w:cs="仿宋_GB2312"/>
                <w:sz w:val="18"/>
                <w:szCs w:val="18"/>
              </w:rPr>
            </w:pPr>
            <w:r>
              <w:rPr>
                <w:rFonts w:hint="eastAsia" w:ascii="仿宋_GB2312" w:hAnsi="仿宋_GB2312" w:cs="仿宋_GB2312"/>
                <w:sz w:val="18"/>
                <w:szCs w:val="18"/>
              </w:rPr>
              <w:t>不定期巡络，确保出动护路人次不低于460人次。</w:t>
            </w:r>
          </w:p>
        </w:tc>
      </w:tr>
      <w:tr w14:paraId="38F608DB">
        <w:tblPrEx>
          <w:tblCellMar>
            <w:top w:w="15" w:type="dxa"/>
            <w:left w:w="15" w:type="dxa"/>
            <w:bottom w:w="15" w:type="dxa"/>
            <w:right w:w="15" w:type="dxa"/>
          </w:tblCellMar>
        </w:tblPrEx>
        <w:trPr>
          <w:trHeight w:val="23" w:hRule="atLeast"/>
        </w:trPr>
        <w:tc>
          <w:tcPr>
            <w:tcW w:w="1175" w:type="dxa"/>
            <w:vMerge w:val="continue"/>
            <w:tcBorders>
              <w:left w:val="single" w:color="000000" w:sz="4" w:space="0"/>
              <w:right w:val="single" w:color="000000" w:sz="4" w:space="0"/>
            </w:tcBorders>
            <w:shd w:val="clear" w:color="auto" w:fill="auto"/>
            <w:vAlign w:val="center"/>
          </w:tcPr>
          <w:p w14:paraId="5CEF3D96">
            <w:pPr>
              <w:widowControl/>
              <w:spacing w:line="300" w:lineRule="exact"/>
              <w:jc w:val="center"/>
              <w:textAlignment w:val="center"/>
              <w:rPr>
                <w:rFonts w:ascii="仿宋_GB2312" w:hAnsi="仿宋_GB2312" w:cs="仿宋_GB2312"/>
                <w:kern w:val="0"/>
                <w:sz w:val="18"/>
                <w:szCs w:val="18"/>
              </w:rPr>
            </w:pPr>
          </w:p>
        </w:tc>
        <w:tc>
          <w:tcPr>
            <w:tcW w:w="1359" w:type="dxa"/>
            <w:vMerge w:val="continue"/>
            <w:tcBorders>
              <w:left w:val="single" w:color="000000" w:sz="4" w:space="0"/>
              <w:right w:val="single" w:color="000000" w:sz="4" w:space="0"/>
            </w:tcBorders>
            <w:shd w:val="clear" w:color="auto" w:fill="auto"/>
            <w:vAlign w:val="center"/>
          </w:tcPr>
          <w:p w14:paraId="05445941">
            <w:pPr>
              <w:widowControl/>
              <w:spacing w:line="300" w:lineRule="exact"/>
              <w:jc w:val="center"/>
              <w:textAlignment w:val="center"/>
              <w:rPr>
                <w:rFonts w:ascii="仿宋_GB2312" w:hAnsi="仿宋_GB2312" w:cs="仿宋_GB2312"/>
                <w:kern w:val="0"/>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99F0B">
            <w:pPr>
              <w:spacing w:line="300" w:lineRule="exact"/>
              <w:rPr>
                <w:rFonts w:ascii="仿宋_GB2312" w:hAnsi="仿宋_GB2312" w:cs="仿宋_GB2312"/>
                <w:sz w:val="18"/>
                <w:szCs w:val="18"/>
              </w:rPr>
            </w:pPr>
            <w:r>
              <w:rPr>
                <w:rFonts w:hint="eastAsia" w:ascii="仿宋_GB2312" w:hAnsi="仿宋_GB2312" w:cs="仿宋_GB2312"/>
                <w:sz w:val="18"/>
                <w:szCs w:val="18"/>
              </w:rPr>
              <w:t>宣传次数</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AE80A">
            <w:pPr>
              <w:spacing w:line="300" w:lineRule="exact"/>
              <w:rPr>
                <w:rFonts w:ascii="仿宋_GB2312" w:hAnsi="仿宋_GB2312" w:cs="仿宋_GB2312"/>
                <w:sz w:val="18"/>
                <w:szCs w:val="18"/>
              </w:rPr>
            </w:pPr>
            <w:r>
              <w:rPr>
                <w:rFonts w:hint="eastAsia" w:ascii="仿宋_GB2312" w:hAnsi="仿宋_GB2312" w:cs="仿宋_GB2312"/>
                <w:sz w:val="18"/>
                <w:szCs w:val="18"/>
              </w:rPr>
              <w:t>不定期开展爱路护路宣传教育活动，全省每年不少于37次。</w:t>
            </w:r>
          </w:p>
        </w:tc>
      </w:tr>
      <w:tr w14:paraId="2D8CF2B7">
        <w:tblPrEx>
          <w:tblCellMar>
            <w:top w:w="15" w:type="dxa"/>
            <w:left w:w="15" w:type="dxa"/>
            <w:bottom w:w="15" w:type="dxa"/>
            <w:right w:w="15" w:type="dxa"/>
          </w:tblCellMar>
        </w:tblPrEx>
        <w:trPr>
          <w:trHeight w:val="23" w:hRule="atLeast"/>
        </w:trPr>
        <w:tc>
          <w:tcPr>
            <w:tcW w:w="1175" w:type="dxa"/>
            <w:vMerge w:val="continue"/>
            <w:tcBorders>
              <w:left w:val="single" w:color="000000" w:sz="4" w:space="0"/>
              <w:right w:val="single" w:color="000000" w:sz="4" w:space="0"/>
            </w:tcBorders>
            <w:shd w:val="clear" w:color="auto" w:fill="auto"/>
            <w:vAlign w:val="center"/>
          </w:tcPr>
          <w:p w14:paraId="6EB094C3">
            <w:pPr>
              <w:spacing w:line="300" w:lineRule="exact"/>
              <w:jc w:val="center"/>
              <w:rPr>
                <w:rFonts w:ascii="仿宋_GB2312" w:hAnsi="仿宋_GB2312" w:cs="仿宋_GB2312"/>
                <w:sz w:val="18"/>
                <w:szCs w:val="18"/>
              </w:rPr>
            </w:pPr>
          </w:p>
        </w:tc>
        <w:tc>
          <w:tcPr>
            <w:tcW w:w="1359" w:type="dxa"/>
            <w:vMerge w:val="continue"/>
            <w:tcBorders>
              <w:left w:val="single" w:color="000000" w:sz="4" w:space="0"/>
              <w:right w:val="single" w:color="000000" w:sz="4" w:space="0"/>
            </w:tcBorders>
            <w:shd w:val="clear" w:color="auto" w:fill="auto"/>
            <w:vAlign w:val="center"/>
          </w:tcPr>
          <w:p w14:paraId="7D0A70CC">
            <w:pPr>
              <w:spacing w:line="300" w:lineRule="exact"/>
              <w:jc w:val="center"/>
              <w:rPr>
                <w:rFonts w:ascii="仿宋_GB2312" w:hAnsi="仿宋_GB2312" w:cs="仿宋_GB2312"/>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E6B73">
            <w:pPr>
              <w:spacing w:line="300" w:lineRule="exact"/>
              <w:rPr>
                <w:rFonts w:ascii="仿宋_GB2312" w:hAnsi="仿宋_GB2312" w:cs="仿宋_GB2312"/>
                <w:sz w:val="18"/>
                <w:szCs w:val="18"/>
              </w:rPr>
            </w:pPr>
            <w:r>
              <w:rPr>
                <w:rFonts w:hint="eastAsia" w:ascii="仿宋_GB2312" w:hAnsi="仿宋_GB2312" w:cs="仿宋_GB2312"/>
                <w:sz w:val="18"/>
                <w:szCs w:val="18"/>
              </w:rPr>
              <w:t>护路里程</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2554F">
            <w:pPr>
              <w:spacing w:line="300" w:lineRule="exact"/>
              <w:rPr>
                <w:rFonts w:ascii="仿宋_GB2312" w:hAnsi="仿宋_GB2312" w:cs="仿宋_GB2312"/>
                <w:sz w:val="18"/>
                <w:szCs w:val="18"/>
              </w:rPr>
            </w:pPr>
            <w:r>
              <w:rPr>
                <w:rFonts w:hint="eastAsia" w:ascii="仿宋_GB2312" w:hAnsi="仿宋_GB2312" w:cs="仿宋_GB2312"/>
                <w:sz w:val="18"/>
                <w:szCs w:val="18"/>
              </w:rPr>
              <w:t>全市608公里</w:t>
            </w:r>
          </w:p>
        </w:tc>
      </w:tr>
      <w:tr w14:paraId="5B4203AC">
        <w:tblPrEx>
          <w:tblCellMar>
            <w:top w:w="15" w:type="dxa"/>
            <w:left w:w="15" w:type="dxa"/>
            <w:bottom w:w="15" w:type="dxa"/>
            <w:right w:w="15" w:type="dxa"/>
          </w:tblCellMar>
        </w:tblPrEx>
        <w:trPr>
          <w:trHeight w:val="23" w:hRule="atLeast"/>
        </w:trPr>
        <w:tc>
          <w:tcPr>
            <w:tcW w:w="1175" w:type="dxa"/>
            <w:vMerge w:val="continue"/>
            <w:tcBorders>
              <w:left w:val="single" w:color="000000" w:sz="4" w:space="0"/>
              <w:right w:val="single" w:color="000000" w:sz="4" w:space="0"/>
            </w:tcBorders>
            <w:shd w:val="clear" w:color="auto" w:fill="auto"/>
            <w:vAlign w:val="center"/>
          </w:tcPr>
          <w:p w14:paraId="7BACDD22">
            <w:pPr>
              <w:spacing w:line="300" w:lineRule="exact"/>
              <w:jc w:val="center"/>
              <w:rPr>
                <w:rFonts w:ascii="仿宋_GB2312" w:hAnsi="仿宋_GB2312" w:cs="仿宋_GB2312"/>
                <w:sz w:val="18"/>
                <w:szCs w:val="18"/>
              </w:rPr>
            </w:pPr>
          </w:p>
        </w:tc>
        <w:tc>
          <w:tcPr>
            <w:tcW w:w="1359" w:type="dxa"/>
            <w:vMerge w:val="continue"/>
            <w:tcBorders>
              <w:left w:val="single" w:color="000000" w:sz="4" w:space="0"/>
              <w:bottom w:val="single" w:color="000000" w:sz="4" w:space="0"/>
              <w:right w:val="single" w:color="000000" w:sz="4" w:space="0"/>
            </w:tcBorders>
            <w:shd w:val="clear" w:color="auto" w:fill="auto"/>
            <w:vAlign w:val="center"/>
          </w:tcPr>
          <w:p w14:paraId="7E3AE737">
            <w:pPr>
              <w:spacing w:line="300" w:lineRule="exact"/>
              <w:jc w:val="center"/>
              <w:rPr>
                <w:rFonts w:ascii="仿宋_GB2312" w:hAnsi="仿宋_GB2312" w:cs="仿宋_GB2312"/>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727A2">
            <w:pPr>
              <w:spacing w:line="300" w:lineRule="exact"/>
              <w:rPr>
                <w:rFonts w:ascii="仿宋_GB2312" w:hAnsi="仿宋_GB2312" w:cs="仿宋_GB2312"/>
                <w:sz w:val="18"/>
                <w:szCs w:val="18"/>
              </w:rPr>
            </w:pPr>
            <w:r>
              <w:rPr>
                <w:rFonts w:hint="eastAsia" w:ascii="仿宋_GB2312" w:hAnsi="仿宋_GB2312" w:cs="仿宋_GB2312"/>
                <w:sz w:val="18"/>
                <w:szCs w:val="18"/>
              </w:rPr>
              <w:t>隐患排查</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7A3D9">
            <w:pPr>
              <w:spacing w:line="300" w:lineRule="exact"/>
              <w:rPr>
                <w:rFonts w:ascii="仿宋_GB2312" w:hAnsi="仿宋_GB2312" w:cs="仿宋_GB2312"/>
                <w:sz w:val="18"/>
                <w:szCs w:val="18"/>
              </w:rPr>
            </w:pPr>
            <w:r>
              <w:rPr>
                <w:rFonts w:hint="eastAsia" w:ascii="仿宋_GB2312" w:hAnsi="仿宋_GB2312" w:cs="仿宋_GB2312"/>
                <w:sz w:val="18"/>
                <w:szCs w:val="18"/>
              </w:rPr>
              <w:t>不定期开展安全隐患排查，不低于24次</w:t>
            </w:r>
          </w:p>
        </w:tc>
      </w:tr>
      <w:tr w14:paraId="17BD6D54">
        <w:tblPrEx>
          <w:tblCellMar>
            <w:top w:w="15" w:type="dxa"/>
            <w:left w:w="15" w:type="dxa"/>
            <w:bottom w:w="15" w:type="dxa"/>
            <w:right w:w="15" w:type="dxa"/>
          </w:tblCellMar>
        </w:tblPrEx>
        <w:trPr>
          <w:trHeight w:val="23" w:hRule="atLeast"/>
        </w:trPr>
        <w:tc>
          <w:tcPr>
            <w:tcW w:w="1175" w:type="dxa"/>
            <w:vMerge w:val="continue"/>
            <w:tcBorders>
              <w:left w:val="single" w:color="000000" w:sz="4" w:space="0"/>
              <w:right w:val="single" w:color="000000" w:sz="4" w:space="0"/>
            </w:tcBorders>
            <w:shd w:val="clear" w:color="auto" w:fill="auto"/>
            <w:vAlign w:val="center"/>
          </w:tcPr>
          <w:p w14:paraId="49A85362">
            <w:pPr>
              <w:spacing w:line="300" w:lineRule="exact"/>
              <w:jc w:val="center"/>
              <w:rPr>
                <w:rFonts w:ascii="仿宋_GB2312" w:hAnsi="仿宋_GB2312" w:cs="仿宋_GB2312"/>
                <w:sz w:val="18"/>
                <w:szCs w:val="18"/>
              </w:rPr>
            </w:pPr>
          </w:p>
        </w:tc>
        <w:tc>
          <w:tcPr>
            <w:tcW w:w="135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77A0BCF">
            <w:pPr>
              <w:widowControl/>
              <w:spacing w:line="300" w:lineRule="exact"/>
              <w:jc w:val="center"/>
              <w:textAlignment w:val="center"/>
              <w:rPr>
                <w:rFonts w:ascii="仿宋_GB2312" w:hAnsi="仿宋_GB2312" w:cs="仿宋_GB2312"/>
                <w:sz w:val="18"/>
                <w:szCs w:val="18"/>
              </w:rPr>
            </w:pPr>
            <w:r>
              <w:rPr>
                <w:rFonts w:hint="eastAsia" w:ascii="仿宋_GB2312" w:hAnsi="仿宋_GB2312" w:cs="仿宋_GB2312"/>
                <w:kern w:val="0"/>
                <w:sz w:val="18"/>
                <w:szCs w:val="18"/>
              </w:rPr>
              <w:t>质量指标</w:t>
            </w: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39977">
            <w:pPr>
              <w:spacing w:line="300" w:lineRule="exact"/>
              <w:rPr>
                <w:rFonts w:ascii="仿宋_GB2312" w:hAnsi="仿宋_GB2312" w:cs="仿宋_GB2312"/>
                <w:sz w:val="18"/>
                <w:szCs w:val="18"/>
              </w:rPr>
            </w:pPr>
            <w:r>
              <w:rPr>
                <w:rFonts w:hint="eastAsia" w:ascii="仿宋_GB2312" w:hAnsi="仿宋_GB2312" w:cs="仿宋_GB2312"/>
                <w:sz w:val="18"/>
                <w:szCs w:val="18"/>
              </w:rPr>
              <w:t>安全事故发生率</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81E2C2">
            <w:pPr>
              <w:spacing w:line="300" w:lineRule="exact"/>
              <w:rPr>
                <w:rFonts w:ascii="仿宋_GB2312" w:hAnsi="仿宋_GB2312" w:cs="仿宋_GB2312"/>
                <w:sz w:val="18"/>
                <w:szCs w:val="18"/>
              </w:rPr>
            </w:pPr>
            <w:r>
              <w:rPr>
                <w:rFonts w:hint="eastAsia" w:ascii="仿宋_GB2312" w:hAnsi="仿宋_GB2312" w:cs="仿宋_GB2312"/>
                <w:sz w:val="18"/>
                <w:szCs w:val="18"/>
              </w:rPr>
              <w:t>全年安全事故小于等于2次</w:t>
            </w:r>
          </w:p>
        </w:tc>
      </w:tr>
      <w:tr w14:paraId="66968DA4">
        <w:tblPrEx>
          <w:tblCellMar>
            <w:top w:w="15" w:type="dxa"/>
            <w:left w:w="15" w:type="dxa"/>
            <w:bottom w:w="15" w:type="dxa"/>
            <w:right w:w="15" w:type="dxa"/>
          </w:tblCellMar>
        </w:tblPrEx>
        <w:trPr>
          <w:trHeight w:val="23" w:hRule="atLeast"/>
        </w:trPr>
        <w:tc>
          <w:tcPr>
            <w:tcW w:w="1175" w:type="dxa"/>
            <w:vMerge w:val="continue"/>
            <w:tcBorders>
              <w:left w:val="single" w:color="000000" w:sz="4" w:space="0"/>
              <w:right w:val="single" w:color="000000" w:sz="4" w:space="0"/>
            </w:tcBorders>
            <w:shd w:val="clear" w:color="auto" w:fill="auto"/>
            <w:vAlign w:val="center"/>
          </w:tcPr>
          <w:p w14:paraId="6CD758BD">
            <w:pPr>
              <w:spacing w:line="300" w:lineRule="exact"/>
              <w:jc w:val="center"/>
              <w:rPr>
                <w:rFonts w:ascii="仿宋_GB2312" w:hAnsi="仿宋_GB2312" w:cs="仿宋_GB2312"/>
                <w:sz w:val="18"/>
                <w:szCs w:val="18"/>
              </w:rPr>
            </w:pPr>
          </w:p>
        </w:tc>
        <w:tc>
          <w:tcPr>
            <w:tcW w:w="13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A95146">
            <w:pPr>
              <w:spacing w:line="300" w:lineRule="exact"/>
              <w:jc w:val="center"/>
              <w:rPr>
                <w:rFonts w:ascii="仿宋_GB2312" w:hAnsi="仿宋_GB2312" w:cs="仿宋_GB2312"/>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63E3F">
            <w:pPr>
              <w:spacing w:line="300" w:lineRule="exact"/>
              <w:rPr>
                <w:rFonts w:ascii="仿宋_GB2312" w:hAnsi="仿宋_GB2312" w:cs="仿宋_GB2312"/>
                <w:sz w:val="18"/>
                <w:szCs w:val="18"/>
              </w:rPr>
            </w:pPr>
            <w:r>
              <w:rPr>
                <w:rFonts w:hint="eastAsia" w:ascii="仿宋_GB2312" w:hAnsi="仿宋_GB2312" w:cs="仿宋_GB2312"/>
                <w:sz w:val="18"/>
                <w:szCs w:val="18"/>
              </w:rPr>
              <w:t>护路安全率</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BBF35">
            <w:pPr>
              <w:spacing w:line="300" w:lineRule="exact"/>
              <w:rPr>
                <w:rFonts w:ascii="仿宋_GB2312" w:hAnsi="仿宋_GB2312" w:cs="仿宋_GB2312"/>
                <w:sz w:val="18"/>
                <w:szCs w:val="18"/>
              </w:rPr>
            </w:pPr>
            <w:r>
              <w:rPr>
                <w:rFonts w:hint="eastAsia" w:ascii="仿宋_GB2312" w:hAnsi="仿宋_GB2312" w:cs="仿宋_GB2312"/>
                <w:sz w:val="18"/>
                <w:szCs w:val="18"/>
              </w:rPr>
              <w:t>确保安全率达到99%</w:t>
            </w:r>
          </w:p>
        </w:tc>
      </w:tr>
      <w:tr w14:paraId="3F4CA2E5">
        <w:tblPrEx>
          <w:tblCellMar>
            <w:top w:w="15" w:type="dxa"/>
            <w:left w:w="15" w:type="dxa"/>
            <w:bottom w:w="15" w:type="dxa"/>
            <w:right w:w="15" w:type="dxa"/>
          </w:tblCellMar>
        </w:tblPrEx>
        <w:trPr>
          <w:trHeight w:val="23" w:hRule="atLeast"/>
        </w:trPr>
        <w:tc>
          <w:tcPr>
            <w:tcW w:w="1175" w:type="dxa"/>
            <w:vMerge w:val="continue"/>
            <w:tcBorders>
              <w:left w:val="single" w:color="000000" w:sz="4" w:space="0"/>
              <w:right w:val="single" w:color="000000" w:sz="4" w:space="0"/>
            </w:tcBorders>
            <w:shd w:val="clear" w:color="auto" w:fill="auto"/>
            <w:vAlign w:val="center"/>
          </w:tcPr>
          <w:p w14:paraId="466875E7">
            <w:pPr>
              <w:spacing w:line="300" w:lineRule="exact"/>
              <w:jc w:val="center"/>
              <w:rPr>
                <w:rFonts w:ascii="仿宋_GB2312" w:hAnsi="仿宋_GB2312" w:cs="仿宋_GB2312"/>
                <w:sz w:val="18"/>
                <w:szCs w:val="18"/>
              </w:rPr>
            </w:pPr>
          </w:p>
        </w:tc>
        <w:tc>
          <w:tcPr>
            <w:tcW w:w="1359" w:type="dxa"/>
            <w:vMerge w:val="restart"/>
            <w:tcBorders>
              <w:top w:val="single" w:color="000000" w:sz="4" w:space="0"/>
              <w:left w:val="single" w:color="000000" w:sz="4" w:space="0"/>
              <w:right w:val="single" w:color="000000" w:sz="4" w:space="0"/>
            </w:tcBorders>
            <w:shd w:val="clear" w:color="auto" w:fill="auto"/>
            <w:vAlign w:val="center"/>
          </w:tcPr>
          <w:p w14:paraId="54EB87BB">
            <w:pPr>
              <w:widowControl/>
              <w:spacing w:line="300" w:lineRule="exact"/>
              <w:jc w:val="center"/>
              <w:textAlignment w:val="center"/>
              <w:rPr>
                <w:rFonts w:ascii="仿宋_GB2312" w:hAnsi="仿宋_GB2312" w:cs="仿宋_GB2312"/>
                <w:sz w:val="18"/>
                <w:szCs w:val="18"/>
              </w:rPr>
            </w:pPr>
            <w:r>
              <w:rPr>
                <w:rFonts w:hint="eastAsia" w:ascii="仿宋_GB2312" w:hAnsi="仿宋_GB2312" w:cs="仿宋_GB2312"/>
                <w:kern w:val="0"/>
                <w:sz w:val="18"/>
                <w:szCs w:val="18"/>
              </w:rPr>
              <w:t>时效指标</w:t>
            </w: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A2CE7">
            <w:pPr>
              <w:spacing w:line="300" w:lineRule="exact"/>
              <w:rPr>
                <w:rFonts w:ascii="仿宋_GB2312" w:hAnsi="仿宋_GB2312" w:cs="仿宋_GB2312"/>
                <w:sz w:val="18"/>
                <w:szCs w:val="18"/>
              </w:rPr>
            </w:pPr>
            <w:r>
              <w:rPr>
                <w:rFonts w:hint="eastAsia" w:ascii="仿宋_GB2312" w:hAnsi="仿宋_GB2312" w:cs="仿宋_GB2312"/>
                <w:sz w:val="18"/>
                <w:szCs w:val="18"/>
              </w:rPr>
              <w:t>处置铁路沿线隐患事故</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E1B6C">
            <w:pPr>
              <w:spacing w:line="300" w:lineRule="exact"/>
              <w:rPr>
                <w:rFonts w:ascii="仿宋_GB2312" w:hAnsi="仿宋_GB2312" w:cs="仿宋_GB2312"/>
                <w:sz w:val="18"/>
                <w:szCs w:val="18"/>
              </w:rPr>
            </w:pPr>
            <w:r>
              <w:rPr>
                <w:rFonts w:hint="eastAsia" w:ascii="仿宋_GB2312" w:hAnsi="仿宋_GB2312" w:cs="仿宋_GB2312"/>
                <w:sz w:val="18"/>
                <w:szCs w:val="18"/>
              </w:rPr>
              <w:t>发现隐患后，处置时间小于等于30分钟</w:t>
            </w:r>
          </w:p>
        </w:tc>
      </w:tr>
      <w:tr w14:paraId="4DAFD26D">
        <w:tblPrEx>
          <w:tblCellMar>
            <w:top w:w="15" w:type="dxa"/>
            <w:left w:w="15" w:type="dxa"/>
            <w:bottom w:w="15" w:type="dxa"/>
            <w:right w:w="15" w:type="dxa"/>
          </w:tblCellMar>
        </w:tblPrEx>
        <w:trPr>
          <w:trHeight w:val="23" w:hRule="atLeast"/>
        </w:trPr>
        <w:tc>
          <w:tcPr>
            <w:tcW w:w="1175" w:type="dxa"/>
            <w:vMerge w:val="continue"/>
            <w:tcBorders>
              <w:left w:val="single" w:color="000000" w:sz="4" w:space="0"/>
              <w:right w:val="single" w:color="000000" w:sz="4" w:space="0"/>
            </w:tcBorders>
            <w:shd w:val="clear" w:color="auto" w:fill="auto"/>
            <w:vAlign w:val="center"/>
          </w:tcPr>
          <w:p w14:paraId="5E9A311A">
            <w:pPr>
              <w:spacing w:line="300" w:lineRule="exact"/>
              <w:jc w:val="center"/>
              <w:rPr>
                <w:rFonts w:ascii="仿宋_GB2312" w:hAnsi="仿宋_GB2312" w:cs="仿宋_GB2312"/>
                <w:sz w:val="18"/>
                <w:szCs w:val="18"/>
              </w:rPr>
            </w:pPr>
          </w:p>
        </w:tc>
        <w:tc>
          <w:tcPr>
            <w:tcW w:w="1359" w:type="dxa"/>
            <w:vMerge w:val="continue"/>
            <w:tcBorders>
              <w:left w:val="single" w:color="000000" w:sz="4" w:space="0"/>
              <w:right w:val="single" w:color="000000" w:sz="4" w:space="0"/>
            </w:tcBorders>
            <w:shd w:val="clear" w:color="auto" w:fill="auto"/>
            <w:vAlign w:val="center"/>
          </w:tcPr>
          <w:p w14:paraId="00121E46">
            <w:pPr>
              <w:spacing w:line="300" w:lineRule="exact"/>
              <w:jc w:val="center"/>
              <w:rPr>
                <w:rFonts w:ascii="仿宋_GB2312" w:hAnsi="仿宋_GB2312" w:cs="仿宋_GB2312"/>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A0ED8">
            <w:pPr>
              <w:spacing w:line="300" w:lineRule="exact"/>
              <w:rPr>
                <w:rFonts w:ascii="仿宋_GB2312" w:hAnsi="仿宋_GB2312" w:cs="仿宋_GB2312"/>
                <w:sz w:val="18"/>
                <w:szCs w:val="18"/>
              </w:rPr>
            </w:pPr>
            <w:r>
              <w:rPr>
                <w:rFonts w:hint="eastAsia" w:ascii="仿宋_GB2312" w:hAnsi="仿宋_GB2312" w:cs="仿宋_GB2312"/>
                <w:sz w:val="18"/>
                <w:szCs w:val="18"/>
              </w:rPr>
              <w:t>铁路沿线信息收集</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616F2">
            <w:pPr>
              <w:spacing w:line="300" w:lineRule="exact"/>
              <w:rPr>
                <w:rFonts w:ascii="仿宋_GB2312" w:hAnsi="仿宋_GB2312" w:cs="仿宋_GB2312"/>
                <w:sz w:val="18"/>
                <w:szCs w:val="18"/>
              </w:rPr>
            </w:pPr>
            <w:r>
              <w:rPr>
                <w:rFonts w:hint="eastAsia" w:ascii="仿宋_GB2312" w:hAnsi="仿宋_GB2312" w:cs="仿宋_GB2312"/>
                <w:sz w:val="18"/>
                <w:szCs w:val="18"/>
              </w:rPr>
              <w:t>铁路沿线信息收集时间小于等于30分钟</w:t>
            </w:r>
          </w:p>
        </w:tc>
      </w:tr>
      <w:tr w14:paraId="55BE4EDB">
        <w:tblPrEx>
          <w:tblCellMar>
            <w:top w:w="15" w:type="dxa"/>
            <w:left w:w="15" w:type="dxa"/>
            <w:bottom w:w="15" w:type="dxa"/>
            <w:right w:w="15" w:type="dxa"/>
          </w:tblCellMar>
        </w:tblPrEx>
        <w:trPr>
          <w:trHeight w:val="23" w:hRule="atLeast"/>
        </w:trPr>
        <w:tc>
          <w:tcPr>
            <w:tcW w:w="1175" w:type="dxa"/>
            <w:vMerge w:val="continue"/>
            <w:tcBorders>
              <w:left w:val="single" w:color="000000" w:sz="4" w:space="0"/>
              <w:right w:val="single" w:color="000000" w:sz="4" w:space="0"/>
            </w:tcBorders>
            <w:shd w:val="clear" w:color="auto" w:fill="auto"/>
            <w:vAlign w:val="center"/>
          </w:tcPr>
          <w:p w14:paraId="5B527A63">
            <w:pPr>
              <w:spacing w:line="300" w:lineRule="exact"/>
              <w:jc w:val="center"/>
              <w:rPr>
                <w:rFonts w:ascii="仿宋_GB2312" w:hAnsi="仿宋_GB2312" w:cs="仿宋_GB2312"/>
                <w:sz w:val="18"/>
                <w:szCs w:val="18"/>
              </w:rPr>
            </w:pPr>
          </w:p>
        </w:tc>
        <w:tc>
          <w:tcPr>
            <w:tcW w:w="1359" w:type="dxa"/>
            <w:vMerge w:val="continue"/>
            <w:tcBorders>
              <w:left w:val="single" w:color="000000" w:sz="4" w:space="0"/>
              <w:bottom w:val="single" w:color="000000" w:sz="4" w:space="0"/>
              <w:right w:val="single" w:color="000000" w:sz="4" w:space="0"/>
            </w:tcBorders>
            <w:shd w:val="clear" w:color="auto" w:fill="auto"/>
            <w:vAlign w:val="center"/>
          </w:tcPr>
          <w:p w14:paraId="778A4878">
            <w:pPr>
              <w:widowControl/>
              <w:spacing w:line="300" w:lineRule="exact"/>
              <w:jc w:val="center"/>
              <w:textAlignment w:val="center"/>
              <w:rPr>
                <w:rFonts w:ascii="仿宋_GB2312" w:hAnsi="仿宋_GB2312" w:cs="仿宋_GB2312"/>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88911">
            <w:pPr>
              <w:spacing w:line="300" w:lineRule="exact"/>
              <w:rPr>
                <w:rFonts w:ascii="仿宋_GB2312" w:hAnsi="仿宋_GB2312" w:cs="仿宋_GB2312"/>
                <w:sz w:val="18"/>
                <w:szCs w:val="18"/>
              </w:rPr>
            </w:pPr>
            <w:r>
              <w:rPr>
                <w:rFonts w:hint="eastAsia" w:ascii="仿宋_GB2312" w:hAnsi="仿宋_GB2312" w:cs="仿宋_GB2312"/>
                <w:sz w:val="18"/>
                <w:szCs w:val="18"/>
              </w:rPr>
              <w:t>铁路沿线治安防控</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F1BFC">
            <w:pPr>
              <w:spacing w:line="300" w:lineRule="exact"/>
              <w:rPr>
                <w:rFonts w:ascii="仿宋_GB2312" w:hAnsi="仿宋_GB2312" w:cs="仿宋_GB2312"/>
                <w:sz w:val="18"/>
                <w:szCs w:val="18"/>
              </w:rPr>
            </w:pPr>
            <w:r>
              <w:rPr>
                <w:rFonts w:hint="eastAsia" w:ascii="仿宋_GB2312" w:hAnsi="仿宋_GB2312" w:cs="仿宋_GB2312"/>
                <w:sz w:val="18"/>
                <w:szCs w:val="18"/>
              </w:rPr>
              <w:t>铁路沿线治安防控时间小于等于30分钟</w:t>
            </w:r>
          </w:p>
        </w:tc>
      </w:tr>
      <w:tr w14:paraId="6FC2494E">
        <w:tblPrEx>
          <w:tblCellMar>
            <w:top w:w="15" w:type="dxa"/>
            <w:left w:w="15" w:type="dxa"/>
            <w:bottom w:w="15" w:type="dxa"/>
            <w:right w:w="15" w:type="dxa"/>
          </w:tblCellMar>
        </w:tblPrEx>
        <w:trPr>
          <w:trHeight w:val="23" w:hRule="atLeast"/>
        </w:trPr>
        <w:tc>
          <w:tcPr>
            <w:tcW w:w="11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8BFC15">
            <w:pPr>
              <w:widowControl/>
              <w:spacing w:line="300" w:lineRule="exact"/>
              <w:jc w:val="center"/>
              <w:textAlignment w:val="center"/>
              <w:rPr>
                <w:rFonts w:ascii="仿宋_GB2312" w:hAnsi="仿宋_GB2312" w:cs="仿宋_GB2312"/>
                <w:sz w:val="18"/>
                <w:szCs w:val="18"/>
              </w:rPr>
            </w:pPr>
            <w:r>
              <w:rPr>
                <w:rFonts w:hint="eastAsia" w:ascii="仿宋_GB2312" w:hAnsi="仿宋_GB2312" w:cs="仿宋_GB2312"/>
                <w:kern w:val="0"/>
                <w:sz w:val="18"/>
                <w:szCs w:val="18"/>
              </w:rPr>
              <w:t>效益指标</w:t>
            </w:r>
          </w:p>
        </w:tc>
        <w:tc>
          <w:tcPr>
            <w:tcW w:w="135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9C373C">
            <w:pPr>
              <w:widowControl/>
              <w:spacing w:line="300" w:lineRule="exact"/>
              <w:jc w:val="center"/>
              <w:textAlignment w:val="center"/>
              <w:rPr>
                <w:rFonts w:ascii="仿宋_GB2312" w:hAnsi="仿宋_GB2312" w:cs="仿宋_GB2312"/>
                <w:kern w:val="0"/>
                <w:sz w:val="18"/>
                <w:szCs w:val="18"/>
              </w:rPr>
            </w:pPr>
            <w:r>
              <w:rPr>
                <w:rFonts w:hint="eastAsia" w:ascii="仿宋_GB2312" w:hAnsi="仿宋_GB2312" w:cs="仿宋_GB2312"/>
                <w:kern w:val="0"/>
                <w:sz w:val="18"/>
                <w:szCs w:val="18"/>
              </w:rPr>
              <w:t>经济效益</w:t>
            </w:r>
          </w:p>
          <w:p w14:paraId="7D1A12D9">
            <w:pPr>
              <w:widowControl/>
              <w:spacing w:line="300" w:lineRule="exact"/>
              <w:jc w:val="center"/>
              <w:textAlignment w:val="center"/>
              <w:rPr>
                <w:rFonts w:ascii="仿宋_GB2312" w:hAnsi="仿宋_GB2312" w:cs="仿宋_GB2312"/>
                <w:sz w:val="18"/>
                <w:szCs w:val="18"/>
              </w:rPr>
            </w:pPr>
            <w:r>
              <w:rPr>
                <w:rFonts w:hint="eastAsia" w:ascii="仿宋_GB2312" w:hAnsi="仿宋_GB2312" w:cs="仿宋_GB2312"/>
                <w:kern w:val="0"/>
                <w:sz w:val="18"/>
                <w:szCs w:val="18"/>
              </w:rPr>
              <w:t>指标</w:t>
            </w: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A8F25">
            <w:pPr>
              <w:spacing w:line="300" w:lineRule="exact"/>
              <w:rPr>
                <w:rFonts w:ascii="仿宋_GB2312" w:hAnsi="仿宋_GB2312" w:cs="仿宋_GB2312"/>
                <w:sz w:val="18"/>
                <w:szCs w:val="18"/>
              </w:rPr>
            </w:pPr>
            <w:r>
              <w:rPr>
                <w:rFonts w:hint="eastAsia" w:ascii="仿宋_GB2312" w:hAnsi="仿宋_GB2312" w:cs="仿宋_GB2312"/>
                <w:sz w:val="18"/>
                <w:szCs w:val="18"/>
              </w:rPr>
              <w:t>抢劫铁路物资事件</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002BD">
            <w:pPr>
              <w:spacing w:line="300" w:lineRule="exact"/>
              <w:rPr>
                <w:rFonts w:ascii="仿宋_GB2312" w:hAnsi="仿宋_GB2312" w:cs="仿宋_GB2312"/>
                <w:sz w:val="18"/>
                <w:szCs w:val="18"/>
              </w:rPr>
            </w:pPr>
            <w:r>
              <w:rPr>
                <w:rFonts w:hint="eastAsia" w:ascii="仿宋_GB2312" w:hAnsi="仿宋_GB2312" w:cs="仿宋_GB2312"/>
                <w:sz w:val="18"/>
                <w:szCs w:val="18"/>
              </w:rPr>
              <w:t>铁路沿线，抢劫铁路物资事件小于等于1次</w:t>
            </w:r>
          </w:p>
        </w:tc>
      </w:tr>
      <w:tr w14:paraId="435D657F">
        <w:tblPrEx>
          <w:tblCellMar>
            <w:top w:w="15" w:type="dxa"/>
            <w:left w:w="15" w:type="dxa"/>
            <w:bottom w:w="15" w:type="dxa"/>
            <w:right w:w="15" w:type="dxa"/>
          </w:tblCellMar>
        </w:tblPrEx>
        <w:trPr>
          <w:trHeight w:val="23" w:hRule="atLeast"/>
        </w:trPr>
        <w:tc>
          <w:tcPr>
            <w:tcW w:w="11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A8243F">
            <w:pPr>
              <w:spacing w:line="300" w:lineRule="exact"/>
              <w:jc w:val="center"/>
              <w:rPr>
                <w:rFonts w:ascii="仿宋_GB2312" w:hAnsi="仿宋_GB2312" w:cs="仿宋_GB2312"/>
                <w:sz w:val="18"/>
                <w:szCs w:val="18"/>
              </w:rPr>
            </w:pPr>
          </w:p>
        </w:tc>
        <w:tc>
          <w:tcPr>
            <w:tcW w:w="135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7B28E1">
            <w:pPr>
              <w:spacing w:line="300" w:lineRule="exact"/>
              <w:jc w:val="center"/>
              <w:rPr>
                <w:rFonts w:ascii="仿宋_GB2312" w:hAnsi="仿宋_GB2312" w:cs="仿宋_GB2312"/>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A822E">
            <w:pPr>
              <w:spacing w:line="300" w:lineRule="exact"/>
              <w:rPr>
                <w:rFonts w:ascii="仿宋_GB2312" w:hAnsi="仿宋_GB2312" w:cs="仿宋_GB2312"/>
                <w:sz w:val="18"/>
                <w:szCs w:val="18"/>
              </w:rPr>
            </w:pPr>
            <w:r>
              <w:rPr>
                <w:rFonts w:hint="eastAsia" w:ascii="仿宋_GB2312" w:hAnsi="仿宋_GB2312" w:cs="仿宋_GB2312"/>
                <w:sz w:val="18"/>
                <w:szCs w:val="18"/>
              </w:rPr>
              <w:t>铁路设施被盗</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9396A">
            <w:pPr>
              <w:spacing w:line="300" w:lineRule="exact"/>
              <w:rPr>
                <w:rFonts w:ascii="仿宋_GB2312" w:hAnsi="仿宋_GB2312" w:cs="仿宋_GB2312"/>
                <w:sz w:val="18"/>
                <w:szCs w:val="18"/>
              </w:rPr>
            </w:pPr>
            <w:r>
              <w:rPr>
                <w:rFonts w:hint="eastAsia" w:ascii="仿宋_GB2312" w:hAnsi="仿宋_GB2312" w:cs="仿宋_GB2312"/>
                <w:sz w:val="18"/>
                <w:szCs w:val="18"/>
              </w:rPr>
              <w:t>铁路沿线，铁路设施被盗事件小于等于1次</w:t>
            </w:r>
          </w:p>
        </w:tc>
      </w:tr>
      <w:tr w14:paraId="50092E7D">
        <w:tblPrEx>
          <w:tblCellMar>
            <w:top w:w="15" w:type="dxa"/>
            <w:left w:w="15" w:type="dxa"/>
            <w:bottom w:w="15" w:type="dxa"/>
            <w:right w:w="15" w:type="dxa"/>
          </w:tblCellMar>
        </w:tblPrEx>
        <w:trPr>
          <w:trHeight w:val="23" w:hRule="atLeast"/>
        </w:trPr>
        <w:tc>
          <w:tcPr>
            <w:tcW w:w="11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E681CF">
            <w:pPr>
              <w:spacing w:line="300" w:lineRule="exact"/>
              <w:jc w:val="center"/>
              <w:rPr>
                <w:rFonts w:ascii="仿宋_GB2312" w:hAnsi="仿宋_GB2312" w:cs="仿宋_GB2312"/>
                <w:sz w:val="18"/>
                <w:szCs w:val="18"/>
              </w:rPr>
            </w:pPr>
          </w:p>
        </w:tc>
        <w:tc>
          <w:tcPr>
            <w:tcW w:w="1359" w:type="dxa"/>
            <w:vMerge w:val="restart"/>
            <w:tcBorders>
              <w:top w:val="single" w:color="000000" w:sz="4" w:space="0"/>
              <w:left w:val="single" w:color="000000" w:sz="4" w:space="0"/>
              <w:right w:val="single" w:color="000000" w:sz="4" w:space="0"/>
            </w:tcBorders>
            <w:shd w:val="clear" w:color="auto" w:fill="auto"/>
            <w:vAlign w:val="center"/>
          </w:tcPr>
          <w:p w14:paraId="7AFBEB77">
            <w:pPr>
              <w:widowControl/>
              <w:spacing w:line="300" w:lineRule="exact"/>
              <w:jc w:val="center"/>
              <w:textAlignment w:val="center"/>
              <w:rPr>
                <w:rFonts w:ascii="仿宋_GB2312" w:hAnsi="仿宋_GB2312" w:cs="仿宋_GB2312"/>
                <w:kern w:val="0"/>
                <w:sz w:val="18"/>
                <w:szCs w:val="18"/>
              </w:rPr>
            </w:pPr>
            <w:r>
              <w:rPr>
                <w:rFonts w:hint="eastAsia" w:ascii="仿宋_GB2312" w:hAnsi="仿宋_GB2312" w:cs="仿宋_GB2312"/>
                <w:kern w:val="0"/>
                <w:sz w:val="18"/>
                <w:szCs w:val="18"/>
              </w:rPr>
              <w:t>社会效益</w:t>
            </w:r>
          </w:p>
          <w:p w14:paraId="4105544F">
            <w:pPr>
              <w:widowControl/>
              <w:spacing w:line="300" w:lineRule="exact"/>
              <w:jc w:val="center"/>
              <w:textAlignment w:val="center"/>
              <w:rPr>
                <w:rFonts w:ascii="仿宋_GB2312" w:hAnsi="仿宋_GB2312" w:cs="仿宋_GB2312"/>
                <w:sz w:val="18"/>
                <w:szCs w:val="18"/>
              </w:rPr>
            </w:pPr>
            <w:r>
              <w:rPr>
                <w:rFonts w:hint="eastAsia" w:ascii="仿宋_GB2312" w:hAnsi="仿宋_GB2312" w:cs="仿宋_GB2312"/>
                <w:kern w:val="0"/>
                <w:sz w:val="18"/>
                <w:szCs w:val="18"/>
              </w:rPr>
              <w:t>指标</w:t>
            </w: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2ECB8">
            <w:pPr>
              <w:spacing w:line="300" w:lineRule="exact"/>
              <w:rPr>
                <w:rFonts w:ascii="仿宋_GB2312" w:hAnsi="仿宋_GB2312" w:cs="仿宋_GB2312"/>
                <w:sz w:val="18"/>
                <w:szCs w:val="18"/>
              </w:rPr>
            </w:pPr>
            <w:r>
              <w:rPr>
                <w:rFonts w:hint="eastAsia" w:ascii="仿宋_GB2312" w:hAnsi="仿宋_GB2312" w:cs="仿宋_GB2312"/>
                <w:sz w:val="18"/>
                <w:szCs w:val="18"/>
              </w:rPr>
              <w:t>路外伤亡事故</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7A391">
            <w:pPr>
              <w:spacing w:line="300" w:lineRule="exact"/>
              <w:rPr>
                <w:rFonts w:ascii="仿宋_GB2312" w:hAnsi="仿宋_GB2312" w:cs="仿宋_GB2312"/>
                <w:sz w:val="18"/>
                <w:szCs w:val="18"/>
              </w:rPr>
            </w:pPr>
            <w:r>
              <w:rPr>
                <w:rFonts w:hint="eastAsia" w:ascii="仿宋_GB2312" w:hAnsi="仿宋_GB2312" w:cs="仿宋_GB2312"/>
                <w:sz w:val="18"/>
                <w:szCs w:val="18"/>
              </w:rPr>
              <w:t>路外伤亡事故小于等于1次</w:t>
            </w:r>
          </w:p>
        </w:tc>
      </w:tr>
      <w:tr w14:paraId="404B56F2">
        <w:tblPrEx>
          <w:tblCellMar>
            <w:top w:w="15" w:type="dxa"/>
            <w:left w:w="15" w:type="dxa"/>
            <w:bottom w:w="15" w:type="dxa"/>
            <w:right w:w="15" w:type="dxa"/>
          </w:tblCellMar>
        </w:tblPrEx>
        <w:trPr>
          <w:trHeight w:val="23" w:hRule="atLeast"/>
        </w:trPr>
        <w:tc>
          <w:tcPr>
            <w:tcW w:w="11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1E8504">
            <w:pPr>
              <w:spacing w:line="300" w:lineRule="exact"/>
              <w:jc w:val="center"/>
              <w:rPr>
                <w:rFonts w:ascii="仿宋_GB2312" w:hAnsi="仿宋_GB2312" w:cs="仿宋_GB2312"/>
                <w:sz w:val="18"/>
                <w:szCs w:val="18"/>
              </w:rPr>
            </w:pPr>
          </w:p>
        </w:tc>
        <w:tc>
          <w:tcPr>
            <w:tcW w:w="1359" w:type="dxa"/>
            <w:vMerge w:val="continue"/>
            <w:tcBorders>
              <w:left w:val="single" w:color="000000" w:sz="4" w:space="0"/>
              <w:right w:val="single" w:color="000000" w:sz="4" w:space="0"/>
            </w:tcBorders>
            <w:shd w:val="clear" w:color="auto" w:fill="auto"/>
            <w:vAlign w:val="center"/>
          </w:tcPr>
          <w:p w14:paraId="208DA871">
            <w:pPr>
              <w:widowControl/>
              <w:spacing w:line="300" w:lineRule="exact"/>
              <w:jc w:val="center"/>
              <w:textAlignment w:val="center"/>
              <w:rPr>
                <w:rFonts w:ascii="仿宋_GB2312" w:hAnsi="仿宋_GB2312" w:cs="仿宋_GB2312"/>
                <w:kern w:val="0"/>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D6256">
            <w:pPr>
              <w:spacing w:line="300" w:lineRule="exact"/>
              <w:rPr>
                <w:rFonts w:ascii="仿宋_GB2312" w:hAnsi="仿宋_GB2312" w:cs="仿宋_GB2312"/>
                <w:sz w:val="18"/>
                <w:szCs w:val="18"/>
              </w:rPr>
            </w:pPr>
            <w:r>
              <w:rPr>
                <w:rFonts w:hint="eastAsia" w:ascii="仿宋_GB2312" w:hAnsi="仿宋_GB2312" w:cs="仿宋_GB2312"/>
                <w:sz w:val="18"/>
                <w:szCs w:val="18"/>
              </w:rPr>
              <w:t>影响行车安全事故</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DCCD15">
            <w:pPr>
              <w:spacing w:line="300" w:lineRule="exact"/>
              <w:rPr>
                <w:rFonts w:ascii="仿宋_GB2312" w:hAnsi="仿宋_GB2312" w:cs="仿宋_GB2312"/>
                <w:sz w:val="18"/>
                <w:szCs w:val="18"/>
              </w:rPr>
            </w:pPr>
            <w:r>
              <w:rPr>
                <w:rFonts w:hint="eastAsia" w:ascii="仿宋_GB2312" w:hAnsi="仿宋_GB2312" w:cs="仿宋_GB2312"/>
                <w:sz w:val="18"/>
                <w:szCs w:val="18"/>
              </w:rPr>
              <w:t>影响行车安全事故小于等于1次</w:t>
            </w:r>
          </w:p>
        </w:tc>
      </w:tr>
      <w:tr w14:paraId="189641A2">
        <w:tblPrEx>
          <w:tblCellMar>
            <w:top w:w="15" w:type="dxa"/>
            <w:left w:w="15" w:type="dxa"/>
            <w:bottom w:w="15" w:type="dxa"/>
            <w:right w:w="15" w:type="dxa"/>
          </w:tblCellMar>
        </w:tblPrEx>
        <w:trPr>
          <w:trHeight w:val="23" w:hRule="atLeast"/>
        </w:trPr>
        <w:tc>
          <w:tcPr>
            <w:tcW w:w="11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059FA0">
            <w:pPr>
              <w:spacing w:line="300" w:lineRule="exact"/>
              <w:jc w:val="center"/>
              <w:rPr>
                <w:rFonts w:ascii="仿宋_GB2312" w:hAnsi="仿宋_GB2312" w:cs="仿宋_GB2312"/>
                <w:sz w:val="18"/>
                <w:szCs w:val="18"/>
              </w:rPr>
            </w:pPr>
          </w:p>
        </w:tc>
        <w:tc>
          <w:tcPr>
            <w:tcW w:w="1359" w:type="dxa"/>
            <w:vMerge w:val="continue"/>
            <w:tcBorders>
              <w:top w:val="single" w:color="000000" w:sz="4" w:space="0"/>
              <w:left w:val="single" w:color="000000" w:sz="4" w:space="0"/>
              <w:right w:val="single" w:color="000000" w:sz="4" w:space="0"/>
            </w:tcBorders>
            <w:shd w:val="clear" w:color="auto" w:fill="auto"/>
            <w:vAlign w:val="center"/>
          </w:tcPr>
          <w:p w14:paraId="12831A11">
            <w:pPr>
              <w:spacing w:line="300" w:lineRule="exact"/>
              <w:jc w:val="center"/>
              <w:rPr>
                <w:rFonts w:ascii="仿宋_GB2312" w:hAnsi="仿宋_GB2312" w:cs="仿宋_GB2312"/>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646AA">
            <w:pPr>
              <w:spacing w:line="300" w:lineRule="exact"/>
              <w:rPr>
                <w:rFonts w:ascii="仿宋_GB2312" w:hAnsi="仿宋_GB2312" w:cs="仿宋_GB2312"/>
                <w:sz w:val="18"/>
                <w:szCs w:val="18"/>
              </w:rPr>
            </w:pPr>
            <w:r>
              <w:rPr>
                <w:rFonts w:hint="eastAsia" w:ascii="仿宋_GB2312" w:hAnsi="仿宋_GB2312" w:cs="仿宋_GB2312"/>
                <w:sz w:val="18"/>
                <w:szCs w:val="18"/>
              </w:rPr>
              <w:t>危及行车安全事件</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BC072">
            <w:pPr>
              <w:spacing w:line="300" w:lineRule="exact"/>
              <w:rPr>
                <w:rFonts w:ascii="仿宋_GB2312" w:hAnsi="仿宋_GB2312" w:cs="仿宋_GB2312"/>
                <w:sz w:val="18"/>
                <w:szCs w:val="18"/>
              </w:rPr>
            </w:pPr>
            <w:r>
              <w:rPr>
                <w:rFonts w:hint="eastAsia" w:ascii="仿宋_GB2312" w:hAnsi="仿宋_GB2312" w:cs="仿宋_GB2312"/>
                <w:sz w:val="18"/>
                <w:szCs w:val="18"/>
              </w:rPr>
              <w:t>危及行车安全事件小于等于1次</w:t>
            </w:r>
          </w:p>
        </w:tc>
      </w:tr>
      <w:tr w14:paraId="48CF57C1">
        <w:tblPrEx>
          <w:tblCellMar>
            <w:top w:w="15" w:type="dxa"/>
            <w:left w:w="15" w:type="dxa"/>
            <w:bottom w:w="15" w:type="dxa"/>
            <w:right w:w="15" w:type="dxa"/>
          </w:tblCellMar>
        </w:tblPrEx>
        <w:trPr>
          <w:trHeight w:val="23" w:hRule="atLeast"/>
        </w:trPr>
        <w:tc>
          <w:tcPr>
            <w:tcW w:w="11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F7DC10">
            <w:pPr>
              <w:spacing w:line="300" w:lineRule="exact"/>
              <w:jc w:val="center"/>
              <w:rPr>
                <w:rFonts w:ascii="仿宋_GB2312" w:hAnsi="仿宋_GB2312" w:cs="仿宋_GB2312"/>
                <w:sz w:val="18"/>
                <w:szCs w:val="18"/>
              </w:rPr>
            </w:pPr>
          </w:p>
        </w:tc>
        <w:tc>
          <w:tcPr>
            <w:tcW w:w="1359" w:type="dxa"/>
            <w:vMerge w:val="restart"/>
            <w:tcBorders>
              <w:top w:val="single" w:color="000000" w:sz="4" w:space="0"/>
              <w:left w:val="single" w:color="000000" w:sz="4" w:space="0"/>
              <w:right w:val="single" w:color="000000" w:sz="4" w:space="0"/>
            </w:tcBorders>
            <w:shd w:val="clear" w:color="auto" w:fill="auto"/>
            <w:vAlign w:val="center"/>
          </w:tcPr>
          <w:p w14:paraId="6DC8A20D">
            <w:pPr>
              <w:widowControl/>
              <w:spacing w:line="300" w:lineRule="exact"/>
              <w:jc w:val="center"/>
              <w:textAlignment w:val="center"/>
              <w:rPr>
                <w:rFonts w:ascii="仿宋_GB2312" w:hAnsi="仿宋_GB2312" w:cs="仿宋_GB2312"/>
                <w:sz w:val="18"/>
                <w:szCs w:val="18"/>
              </w:rPr>
            </w:pPr>
            <w:r>
              <w:rPr>
                <w:rFonts w:hint="eastAsia" w:ascii="仿宋_GB2312" w:hAnsi="仿宋_GB2312" w:cs="仿宋_GB2312"/>
                <w:sz w:val="18"/>
                <w:szCs w:val="18"/>
              </w:rPr>
              <w:t>可持续发展指标</w:t>
            </w:r>
            <w:r>
              <w:rPr>
                <w:rFonts w:hint="eastAsia" w:ascii="仿宋_GB2312" w:hAnsi="仿宋_GB2312" w:cs="仿宋_GB2312"/>
                <w:sz w:val="18"/>
                <w:szCs w:val="18"/>
              </w:rPr>
              <w:tab/>
            </w:r>
            <w:r>
              <w:rPr>
                <w:rFonts w:hint="eastAsia" w:ascii="仿宋_GB2312" w:hAnsi="仿宋_GB2312" w:cs="仿宋_GB2312"/>
                <w:sz w:val="18"/>
                <w:szCs w:val="18"/>
              </w:rPr>
              <w:tab/>
            </w:r>
            <w:r>
              <w:rPr>
                <w:rFonts w:hint="eastAsia" w:ascii="仿宋_GB2312" w:hAnsi="仿宋_GB2312" w:cs="仿宋_GB2312"/>
                <w:sz w:val="18"/>
                <w:szCs w:val="18"/>
              </w:rPr>
              <w:tab/>
            </w: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26F8C">
            <w:pPr>
              <w:spacing w:line="300" w:lineRule="exact"/>
              <w:rPr>
                <w:rFonts w:ascii="仿宋_GB2312" w:hAnsi="仿宋_GB2312" w:cs="仿宋_GB2312"/>
                <w:sz w:val="18"/>
                <w:szCs w:val="18"/>
              </w:rPr>
            </w:pPr>
            <w:r>
              <w:rPr>
                <w:rFonts w:hint="eastAsia" w:ascii="仿宋_GB2312" w:hAnsi="仿宋_GB2312" w:cs="仿宋_GB2312"/>
                <w:sz w:val="18"/>
                <w:szCs w:val="18"/>
              </w:rPr>
              <w:t>沿线治安环境稳定</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C8A47">
            <w:pPr>
              <w:spacing w:line="300" w:lineRule="exact"/>
              <w:rPr>
                <w:rFonts w:ascii="仿宋_GB2312" w:hAnsi="仿宋_GB2312" w:cs="仿宋_GB2312"/>
                <w:sz w:val="18"/>
                <w:szCs w:val="18"/>
              </w:rPr>
            </w:pPr>
            <w:r>
              <w:rPr>
                <w:rFonts w:hint="eastAsia" w:ascii="仿宋_GB2312" w:hAnsi="仿宋_GB2312" w:cs="仿宋_GB2312"/>
                <w:sz w:val="18"/>
                <w:szCs w:val="18"/>
              </w:rPr>
              <w:t>沿线治安环境稳定大于等于98%</w:t>
            </w:r>
          </w:p>
        </w:tc>
      </w:tr>
      <w:tr w14:paraId="0AE1CEEC">
        <w:tblPrEx>
          <w:tblCellMar>
            <w:top w:w="15" w:type="dxa"/>
            <w:left w:w="15" w:type="dxa"/>
            <w:bottom w:w="15" w:type="dxa"/>
            <w:right w:w="15" w:type="dxa"/>
          </w:tblCellMar>
        </w:tblPrEx>
        <w:trPr>
          <w:trHeight w:val="23" w:hRule="atLeast"/>
        </w:trPr>
        <w:tc>
          <w:tcPr>
            <w:tcW w:w="11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2A52DD">
            <w:pPr>
              <w:spacing w:line="300" w:lineRule="exact"/>
              <w:jc w:val="center"/>
              <w:rPr>
                <w:rFonts w:ascii="仿宋_GB2312" w:hAnsi="仿宋_GB2312" w:cs="仿宋_GB2312"/>
                <w:sz w:val="18"/>
                <w:szCs w:val="18"/>
              </w:rPr>
            </w:pPr>
          </w:p>
        </w:tc>
        <w:tc>
          <w:tcPr>
            <w:tcW w:w="1359" w:type="dxa"/>
            <w:vMerge w:val="continue"/>
            <w:tcBorders>
              <w:left w:val="single" w:color="000000" w:sz="4" w:space="0"/>
              <w:bottom w:val="single" w:color="000000" w:sz="4" w:space="0"/>
              <w:right w:val="single" w:color="000000" w:sz="4" w:space="0"/>
            </w:tcBorders>
            <w:shd w:val="clear" w:color="auto" w:fill="auto"/>
            <w:vAlign w:val="center"/>
          </w:tcPr>
          <w:p w14:paraId="7CA32B30">
            <w:pPr>
              <w:widowControl/>
              <w:spacing w:line="300" w:lineRule="exact"/>
              <w:jc w:val="center"/>
              <w:textAlignment w:val="center"/>
              <w:rPr>
                <w:rFonts w:ascii="仿宋_GB2312" w:hAnsi="仿宋_GB2312" w:cs="仿宋_GB2312"/>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66E84D">
            <w:pPr>
              <w:spacing w:line="300" w:lineRule="exact"/>
              <w:rPr>
                <w:rFonts w:ascii="仿宋_GB2312" w:hAnsi="仿宋_GB2312" w:cs="仿宋_GB2312"/>
                <w:sz w:val="18"/>
                <w:szCs w:val="18"/>
              </w:rPr>
            </w:pPr>
            <w:r>
              <w:rPr>
                <w:rFonts w:hint="eastAsia" w:ascii="仿宋_GB2312" w:hAnsi="仿宋_GB2312" w:cs="仿宋_GB2312"/>
                <w:sz w:val="18"/>
                <w:szCs w:val="18"/>
              </w:rPr>
              <w:t>铁路安全畅通</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CD0D3">
            <w:pPr>
              <w:spacing w:line="300" w:lineRule="exact"/>
              <w:rPr>
                <w:rFonts w:ascii="仿宋_GB2312" w:hAnsi="仿宋_GB2312" w:cs="仿宋_GB2312"/>
                <w:sz w:val="18"/>
                <w:szCs w:val="18"/>
              </w:rPr>
            </w:pPr>
            <w:r>
              <w:rPr>
                <w:rFonts w:hint="eastAsia" w:ascii="仿宋_GB2312" w:hAnsi="仿宋_GB2312" w:cs="仿宋_GB2312"/>
                <w:sz w:val="18"/>
                <w:szCs w:val="18"/>
              </w:rPr>
              <w:t>铁路安全畅通大于等于98%</w:t>
            </w:r>
          </w:p>
        </w:tc>
      </w:tr>
      <w:tr w14:paraId="1709B3D2">
        <w:tblPrEx>
          <w:tblCellMar>
            <w:top w:w="15" w:type="dxa"/>
            <w:left w:w="15" w:type="dxa"/>
            <w:bottom w:w="15" w:type="dxa"/>
            <w:right w:w="15" w:type="dxa"/>
          </w:tblCellMar>
        </w:tblPrEx>
        <w:trPr>
          <w:trHeight w:val="23" w:hRule="atLeast"/>
        </w:trPr>
        <w:tc>
          <w:tcPr>
            <w:tcW w:w="1175" w:type="dxa"/>
            <w:vMerge w:val="restart"/>
            <w:tcBorders>
              <w:top w:val="single" w:color="000000" w:sz="4" w:space="0"/>
              <w:left w:val="single" w:color="000000" w:sz="4" w:space="0"/>
              <w:right w:val="single" w:color="000000" w:sz="4" w:space="0"/>
            </w:tcBorders>
            <w:shd w:val="clear" w:color="auto" w:fill="auto"/>
            <w:vAlign w:val="center"/>
          </w:tcPr>
          <w:p w14:paraId="3F63A6BC">
            <w:pPr>
              <w:widowControl/>
              <w:spacing w:line="300" w:lineRule="exact"/>
              <w:jc w:val="center"/>
              <w:textAlignment w:val="center"/>
              <w:rPr>
                <w:rFonts w:ascii="仿宋_GB2312" w:hAnsi="仿宋_GB2312" w:cs="仿宋_GB2312"/>
                <w:kern w:val="0"/>
                <w:sz w:val="18"/>
                <w:szCs w:val="18"/>
              </w:rPr>
            </w:pPr>
            <w:r>
              <w:rPr>
                <w:rFonts w:hint="eastAsia" w:ascii="仿宋_GB2312" w:hAnsi="仿宋_GB2312" w:cs="仿宋_GB2312"/>
                <w:kern w:val="0"/>
                <w:sz w:val="18"/>
                <w:szCs w:val="18"/>
              </w:rPr>
              <w:t>满意度</w:t>
            </w:r>
          </w:p>
          <w:p w14:paraId="3A29329A">
            <w:pPr>
              <w:widowControl/>
              <w:spacing w:line="300" w:lineRule="exact"/>
              <w:jc w:val="center"/>
              <w:textAlignment w:val="center"/>
              <w:rPr>
                <w:rFonts w:ascii="仿宋_GB2312" w:hAnsi="仿宋_GB2312" w:cs="仿宋_GB2312"/>
                <w:sz w:val="18"/>
                <w:szCs w:val="18"/>
              </w:rPr>
            </w:pPr>
            <w:r>
              <w:rPr>
                <w:rFonts w:hint="eastAsia" w:ascii="仿宋_GB2312" w:hAnsi="仿宋_GB2312" w:cs="仿宋_GB2312"/>
                <w:kern w:val="0"/>
                <w:sz w:val="18"/>
                <w:szCs w:val="18"/>
              </w:rPr>
              <w:t>指标</w:t>
            </w:r>
          </w:p>
        </w:tc>
        <w:tc>
          <w:tcPr>
            <w:tcW w:w="1359" w:type="dxa"/>
            <w:vMerge w:val="restart"/>
            <w:tcBorders>
              <w:top w:val="single" w:color="000000" w:sz="4" w:space="0"/>
              <w:left w:val="single" w:color="000000" w:sz="4" w:space="0"/>
              <w:right w:val="single" w:color="000000" w:sz="4" w:space="0"/>
            </w:tcBorders>
            <w:shd w:val="clear" w:color="auto" w:fill="auto"/>
            <w:vAlign w:val="center"/>
          </w:tcPr>
          <w:p w14:paraId="181B7E1A">
            <w:pPr>
              <w:widowControl/>
              <w:spacing w:line="300" w:lineRule="exact"/>
              <w:jc w:val="center"/>
              <w:textAlignment w:val="center"/>
              <w:rPr>
                <w:rFonts w:ascii="仿宋_GB2312" w:hAnsi="仿宋_GB2312" w:cs="仿宋_GB2312"/>
                <w:kern w:val="0"/>
                <w:sz w:val="18"/>
                <w:szCs w:val="18"/>
              </w:rPr>
            </w:pPr>
            <w:r>
              <w:rPr>
                <w:rFonts w:hint="eastAsia" w:ascii="仿宋_GB2312" w:hAnsi="仿宋_GB2312" w:cs="仿宋_GB2312"/>
                <w:kern w:val="0"/>
                <w:sz w:val="18"/>
                <w:szCs w:val="18"/>
              </w:rPr>
              <w:t>服务对象</w:t>
            </w:r>
          </w:p>
          <w:p w14:paraId="13778111">
            <w:pPr>
              <w:widowControl/>
              <w:spacing w:line="300" w:lineRule="exact"/>
              <w:jc w:val="center"/>
              <w:textAlignment w:val="center"/>
              <w:rPr>
                <w:rFonts w:ascii="仿宋_GB2312" w:hAnsi="仿宋_GB2312" w:cs="仿宋_GB2312"/>
                <w:sz w:val="18"/>
                <w:szCs w:val="18"/>
              </w:rPr>
            </w:pPr>
            <w:r>
              <w:rPr>
                <w:rFonts w:hint="eastAsia" w:ascii="仿宋_GB2312" w:hAnsi="仿宋_GB2312" w:cs="仿宋_GB2312"/>
                <w:kern w:val="0"/>
                <w:sz w:val="18"/>
                <w:szCs w:val="18"/>
              </w:rPr>
              <w:t>满意度指标</w:t>
            </w: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5070D">
            <w:pPr>
              <w:spacing w:line="300" w:lineRule="exact"/>
              <w:rPr>
                <w:rFonts w:ascii="仿宋_GB2312" w:hAnsi="仿宋_GB2312" w:cs="仿宋_GB2312"/>
                <w:sz w:val="18"/>
                <w:szCs w:val="18"/>
              </w:rPr>
            </w:pPr>
            <w:r>
              <w:rPr>
                <w:rFonts w:hint="eastAsia" w:ascii="仿宋_GB2312" w:hAnsi="仿宋_GB2312" w:cs="仿宋_GB2312"/>
                <w:sz w:val="18"/>
                <w:szCs w:val="18"/>
              </w:rPr>
              <w:t>沿线居民满意度</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8A02C6">
            <w:pPr>
              <w:spacing w:line="300" w:lineRule="exact"/>
              <w:rPr>
                <w:rFonts w:ascii="仿宋_GB2312" w:hAnsi="仿宋_GB2312" w:cs="仿宋_GB2312"/>
                <w:sz w:val="18"/>
                <w:szCs w:val="18"/>
              </w:rPr>
            </w:pPr>
            <w:r>
              <w:rPr>
                <w:rFonts w:hint="eastAsia" w:ascii="仿宋_GB2312" w:hAnsi="仿宋_GB2312" w:cs="仿宋_GB2312"/>
                <w:sz w:val="18"/>
                <w:szCs w:val="18"/>
              </w:rPr>
              <w:t>沿线居民满意度大于等于98%</w:t>
            </w:r>
          </w:p>
        </w:tc>
      </w:tr>
      <w:tr w14:paraId="02DA9505">
        <w:tblPrEx>
          <w:tblCellMar>
            <w:top w:w="15" w:type="dxa"/>
            <w:left w:w="15" w:type="dxa"/>
            <w:bottom w:w="15" w:type="dxa"/>
            <w:right w:w="15" w:type="dxa"/>
          </w:tblCellMar>
        </w:tblPrEx>
        <w:trPr>
          <w:trHeight w:val="23" w:hRule="atLeast"/>
        </w:trPr>
        <w:tc>
          <w:tcPr>
            <w:tcW w:w="1175" w:type="dxa"/>
            <w:vMerge w:val="continue"/>
            <w:tcBorders>
              <w:left w:val="single" w:color="000000" w:sz="4" w:space="0"/>
              <w:right w:val="single" w:color="000000" w:sz="4" w:space="0"/>
            </w:tcBorders>
            <w:shd w:val="clear" w:color="auto" w:fill="auto"/>
            <w:vAlign w:val="center"/>
          </w:tcPr>
          <w:p w14:paraId="29F396B3">
            <w:pPr>
              <w:widowControl/>
              <w:spacing w:line="300" w:lineRule="exact"/>
              <w:jc w:val="center"/>
              <w:textAlignment w:val="center"/>
              <w:rPr>
                <w:rFonts w:ascii="仿宋_GB2312" w:hAnsi="仿宋_GB2312" w:cs="仿宋_GB2312"/>
                <w:kern w:val="0"/>
                <w:sz w:val="18"/>
                <w:szCs w:val="18"/>
              </w:rPr>
            </w:pPr>
          </w:p>
        </w:tc>
        <w:tc>
          <w:tcPr>
            <w:tcW w:w="1359" w:type="dxa"/>
            <w:vMerge w:val="continue"/>
            <w:tcBorders>
              <w:left w:val="single" w:color="000000" w:sz="4" w:space="0"/>
              <w:right w:val="single" w:color="000000" w:sz="4" w:space="0"/>
            </w:tcBorders>
            <w:shd w:val="clear" w:color="auto" w:fill="auto"/>
            <w:vAlign w:val="center"/>
          </w:tcPr>
          <w:p w14:paraId="455EF8A8">
            <w:pPr>
              <w:widowControl/>
              <w:spacing w:line="300" w:lineRule="exact"/>
              <w:jc w:val="center"/>
              <w:textAlignment w:val="center"/>
              <w:rPr>
                <w:rFonts w:ascii="仿宋_GB2312" w:hAnsi="仿宋_GB2312" w:cs="仿宋_GB2312"/>
                <w:kern w:val="0"/>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FC682">
            <w:pPr>
              <w:spacing w:line="300" w:lineRule="exact"/>
              <w:rPr>
                <w:rFonts w:ascii="仿宋_GB2312" w:hAnsi="仿宋_GB2312" w:cs="仿宋_GB2312"/>
                <w:sz w:val="18"/>
                <w:szCs w:val="18"/>
              </w:rPr>
            </w:pPr>
            <w:r>
              <w:rPr>
                <w:rFonts w:hint="eastAsia" w:ascii="仿宋_GB2312" w:hAnsi="仿宋_GB2312" w:cs="仿宋_GB2312"/>
                <w:sz w:val="18"/>
                <w:szCs w:val="18"/>
              </w:rPr>
              <w:t>乘客满意度</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D328C">
            <w:pPr>
              <w:spacing w:line="300" w:lineRule="exact"/>
              <w:rPr>
                <w:rFonts w:ascii="仿宋_GB2312" w:hAnsi="仿宋_GB2312" w:cs="仿宋_GB2312"/>
                <w:sz w:val="18"/>
                <w:szCs w:val="18"/>
              </w:rPr>
            </w:pPr>
            <w:r>
              <w:rPr>
                <w:rFonts w:hint="eastAsia" w:ascii="仿宋_GB2312" w:hAnsi="仿宋_GB2312" w:cs="仿宋_GB2312"/>
                <w:sz w:val="18"/>
                <w:szCs w:val="18"/>
              </w:rPr>
              <w:t>乘客满意度大于等于98%</w:t>
            </w:r>
          </w:p>
        </w:tc>
      </w:tr>
      <w:tr w14:paraId="01B45172">
        <w:tblPrEx>
          <w:tblCellMar>
            <w:top w:w="15" w:type="dxa"/>
            <w:left w:w="15" w:type="dxa"/>
            <w:bottom w:w="15" w:type="dxa"/>
            <w:right w:w="15" w:type="dxa"/>
          </w:tblCellMar>
        </w:tblPrEx>
        <w:trPr>
          <w:trHeight w:val="23" w:hRule="atLeast"/>
        </w:trPr>
        <w:tc>
          <w:tcPr>
            <w:tcW w:w="1175" w:type="dxa"/>
            <w:vMerge w:val="continue"/>
            <w:tcBorders>
              <w:left w:val="single" w:color="000000" w:sz="4" w:space="0"/>
              <w:right w:val="single" w:color="000000" w:sz="4" w:space="0"/>
            </w:tcBorders>
            <w:shd w:val="clear" w:color="auto" w:fill="auto"/>
            <w:vAlign w:val="center"/>
          </w:tcPr>
          <w:p w14:paraId="1CC271E9">
            <w:pPr>
              <w:widowControl/>
              <w:spacing w:line="300" w:lineRule="exact"/>
              <w:jc w:val="center"/>
              <w:textAlignment w:val="center"/>
              <w:rPr>
                <w:rFonts w:ascii="仿宋_GB2312" w:hAnsi="仿宋_GB2312" w:cs="仿宋_GB2312"/>
                <w:kern w:val="0"/>
                <w:sz w:val="18"/>
                <w:szCs w:val="18"/>
              </w:rPr>
            </w:pPr>
          </w:p>
        </w:tc>
        <w:tc>
          <w:tcPr>
            <w:tcW w:w="1359" w:type="dxa"/>
            <w:vMerge w:val="continue"/>
            <w:tcBorders>
              <w:left w:val="single" w:color="000000" w:sz="4" w:space="0"/>
              <w:right w:val="single" w:color="000000" w:sz="4" w:space="0"/>
            </w:tcBorders>
            <w:shd w:val="clear" w:color="auto" w:fill="auto"/>
            <w:vAlign w:val="center"/>
          </w:tcPr>
          <w:p w14:paraId="542F5A9B">
            <w:pPr>
              <w:widowControl/>
              <w:spacing w:line="300" w:lineRule="exact"/>
              <w:jc w:val="center"/>
              <w:textAlignment w:val="center"/>
              <w:rPr>
                <w:rFonts w:ascii="仿宋_GB2312" w:hAnsi="仿宋_GB2312" w:cs="仿宋_GB2312"/>
                <w:kern w:val="0"/>
                <w:sz w:val="18"/>
                <w:szCs w:val="18"/>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B7657">
            <w:pPr>
              <w:spacing w:line="300" w:lineRule="exact"/>
              <w:rPr>
                <w:rFonts w:ascii="仿宋_GB2312" w:hAnsi="仿宋_GB2312" w:cs="仿宋_GB2312"/>
                <w:sz w:val="18"/>
                <w:szCs w:val="18"/>
              </w:rPr>
            </w:pPr>
            <w:r>
              <w:rPr>
                <w:rFonts w:hint="eastAsia" w:ascii="仿宋_GB2312" w:hAnsi="仿宋_GB2312" w:cs="仿宋_GB2312"/>
                <w:sz w:val="18"/>
                <w:szCs w:val="18"/>
              </w:rPr>
              <w:t>护路队员满意度</w:t>
            </w:r>
          </w:p>
        </w:tc>
        <w:tc>
          <w:tcPr>
            <w:tcW w:w="4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1F3A7">
            <w:pPr>
              <w:spacing w:line="300" w:lineRule="exact"/>
              <w:rPr>
                <w:rFonts w:ascii="仿宋_GB2312" w:hAnsi="仿宋_GB2312" w:cs="仿宋_GB2312"/>
                <w:sz w:val="18"/>
                <w:szCs w:val="18"/>
              </w:rPr>
            </w:pPr>
            <w:r>
              <w:rPr>
                <w:rFonts w:hint="eastAsia" w:ascii="仿宋_GB2312" w:hAnsi="仿宋_GB2312" w:cs="仿宋_GB2312"/>
                <w:sz w:val="18"/>
                <w:szCs w:val="18"/>
              </w:rPr>
              <w:t>护路队员满意度大于等于98%</w:t>
            </w:r>
          </w:p>
        </w:tc>
      </w:tr>
      <w:tr w14:paraId="13E9886E">
        <w:tblPrEx>
          <w:tblCellMar>
            <w:top w:w="15" w:type="dxa"/>
            <w:left w:w="15" w:type="dxa"/>
            <w:bottom w:w="15" w:type="dxa"/>
            <w:right w:w="15" w:type="dxa"/>
          </w:tblCellMar>
        </w:tblPrEx>
        <w:trPr>
          <w:trHeight w:val="23" w:hRule="atLeast"/>
        </w:trPr>
        <w:tc>
          <w:tcPr>
            <w:tcW w:w="11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E12706">
            <w:pPr>
              <w:widowControl/>
              <w:spacing w:line="300" w:lineRule="exact"/>
              <w:jc w:val="center"/>
              <w:textAlignment w:val="center"/>
              <w:rPr>
                <w:rFonts w:ascii="仿宋_GB2312" w:hAnsi="仿宋_GB2312" w:cs="仿宋_GB2312"/>
                <w:sz w:val="18"/>
                <w:szCs w:val="18"/>
              </w:rPr>
            </w:pPr>
            <w:r>
              <w:rPr>
                <w:rFonts w:hint="eastAsia" w:ascii="仿宋_GB2312" w:hAnsi="仿宋_GB2312" w:cs="仿宋_GB2312"/>
                <w:kern w:val="0"/>
                <w:sz w:val="18"/>
                <w:szCs w:val="18"/>
              </w:rPr>
              <w:t>成本指标</w:t>
            </w:r>
          </w:p>
        </w:tc>
        <w:tc>
          <w:tcPr>
            <w:tcW w:w="1359" w:type="dxa"/>
            <w:vMerge w:val="restart"/>
            <w:tcBorders>
              <w:top w:val="single" w:color="000000" w:sz="4" w:space="0"/>
              <w:left w:val="single" w:color="000000" w:sz="4" w:space="0"/>
              <w:right w:val="single" w:color="000000" w:sz="4" w:space="0"/>
            </w:tcBorders>
            <w:shd w:val="clear" w:color="auto" w:fill="auto"/>
            <w:vAlign w:val="center"/>
          </w:tcPr>
          <w:p w14:paraId="4C610A84">
            <w:pPr>
              <w:widowControl/>
              <w:spacing w:line="300" w:lineRule="exact"/>
              <w:jc w:val="center"/>
              <w:textAlignment w:val="center"/>
              <w:rPr>
                <w:rFonts w:ascii="仿宋_GB2312" w:hAnsi="仿宋_GB2312" w:cs="仿宋_GB2312"/>
                <w:kern w:val="0"/>
                <w:sz w:val="18"/>
                <w:szCs w:val="18"/>
              </w:rPr>
            </w:pPr>
            <w:r>
              <w:rPr>
                <w:rFonts w:hint="eastAsia" w:ascii="仿宋_GB2312" w:hAnsi="仿宋_GB2312" w:cs="仿宋_GB2312"/>
                <w:kern w:val="0"/>
                <w:sz w:val="18"/>
                <w:szCs w:val="18"/>
              </w:rPr>
              <w:t>经济成本</w:t>
            </w:r>
          </w:p>
          <w:p w14:paraId="16A4E2DC">
            <w:pPr>
              <w:widowControl/>
              <w:spacing w:line="300" w:lineRule="exact"/>
              <w:jc w:val="center"/>
              <w:textAlignment w:val="center"/>
              <w:rPr>
                <w:rFonts w:ascii="仿宋_GB2312" w:hAnsi="仿宋_GB2312" w:cs="仿宋_GB2312"/>
                <w:kern w:val="0"/>
                <w:sz w:val="18"/>
                <w:szCs w:val="18"/>
              </w:rPr>
            </w:pPr>
            <w:r>
              <w:rPr>
                <w:rFonts w:hint="eastAsia" w:ascii="仿宋_GB2312" w:hAnsi="仿宋_GB2312" w:cs="仿宋_GB2312"/>
                <w:kern w:val="0"/>
                <w:sz w:val="18"/>
                <w:szCs w:val="18"/>
              </w:rPr>
              <w:t>指标</w:t>
            </w:r>
          </w:p>
          <w:p w14:paraId="2CBFFC16">
            <w:pPr>
              <w:widowControl/>
              <w:spacing w:line="300" w:lineRule="exact"/>
              <w:jc w:val="center"/>
              <w:textAlignment w:val="center"/>
              <w:rPr>
                <w:rFonts w:ascii="仿宋_GB2312" w:hAnsi="仿宋_GB2312" w:cs="仿宋_GB2312"/>
                <w:sz w:val="18"/>
                <w:szCs w:val="18"/>
              </w:rPr>
            </w:pPr>
          </w:p>
        </w:tc>
        <w:tc>
          <w:tcPr>
            <w:tcW w:w="1602" w:type="dxa"/>
            <w:tcBorders>
              <w:top w:val="single" w:color="000000" w:sz="4" w:space="0"/>
              <w:bottom w:val="single" w:color="000000" w:sz="4" w:space="0"/>
              <w:right w:val="single" w:color="000000" w:sz="4" w:space="0"/>
            </w:tcBorders>
            <w:shd w:val="clear" w:color="auto" w:fill="auto"/>
            <w:vAlign w:val="center"/>
          </w:tcPr>
          <w:p w14:paraId="3998D79E">
            <w:pPr>
              <w:spacing w:line="300" w:lineRule="exact"/>
              <w:rPr>
                <w:rFonts w:ascii="仿宋_GB2312" w:hAnsi="仿宋_GB2312" w:cs="仿宋_GB2312"/>
                <w:sz w:val="18"/>
                <w:szCs w:val="18"/>
              </w:rPr>
            </w:pPr>
            <w:r>
              <w:rPr>
                <w:rFonts w:hint="eastAsia" w:ascii="仿宋_GB2312" w:hAnsi="仿宋_GB2312" w:cs="仿宋_GB2312"/>
                <w:sz w:val="18"/>
                <w:szCs w:val="18"/>
              </w:rPr>
              <w:t>专项行动经费</w:t>
            </w:r>
          </w:p>
        </w:tc>
        <w:tc>
          <w:tcPr>
            <w:tcW w:w="4206" w:type="dxa"/>
            <w:tcBorders>
              <w:top w:val="single" w:color="000000" w:sz="4" w:space="0"/>
              <w:bottom w:val="single" w:color="000000" w:sz="4" w:space="0"/>
              <w:right w:val="single" w:color="000000" w:sz="4" w:space="0"/>
            </w:tcBorders>
            <w:shd w:val="clear" w:color="auto" w:fill="auto"/>
            <w:vAlign w:val="center"/>
          </w:tcPr>
          <w:p w14:paraId="606BEFE6">
            <w:pPr>
              <w:spacing w:line="300" w:lineRule="exact"/>
              <w:rPr>
                <w:rFonts w:ascii="仿宋_GB2312" w:hAnsi="仿宋_GB2312" w:cs="仿宋_GB2312"/>
                <w:sz w:val="18"/>
                <w:szCs w:val="18"/>
              </w:rPr>
            </w:pPr>
            <w:r>
              <w:rPr>
                <w:rFonts w:hint="eastAsia" w:ascii="仿宋_GB2312" w:hAnsi="仿宋_GB2312" w:cs="仿宋_GB2312"/>
                <w:sz w:val="18"/>
                <w:szCs w:val="18"/>
              </w:rPr>
              <w:t>小于等于3万元</w:t>
            </w:r>
          </w:p>
        </w:tc>
      </w:tr>
      <w:tr w14:paraId="62554E59">
        <w:tblPrEx>
          <w:tblCellMar>
            <w:top w:w="15" w:type="dxa"/>
            <w:left w:w="15" w:type="dxa"/>
            <w:bottom w:w="15" w:type="dxa"/>
            <w:right w:w="15" w:type="dxa"/>
          </w:tblCellMar>
        </w:tblPrEx>
        <w:trPr>
          <w:trHeight w:val="23" w:hRule="atLeast"/>
        </w:trPr>
        <w:tc>
          <w:tcPr>
            <w:tcW w:w="11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FCE8EA">
            <w:pPr>
              <w:spacing w:line="300" w:lineRule="exact"/>
              <w:jc w:val="left"/>
              <w:rPr>
                <w:rFonts w:ascii="仿宋_GB2312" w:hAnsi="仿宋_GB2312" w:cs="仿宋_GB2312"/>
                <w:sz w:val="18"/>
                <w:szCs w:val="18"/>
              </w:rPr>
            </w:pPr>
          </w:p>
        </w:tc>
        <w:tc>
          <w:tcPr>
            <w:tcW w:w="1359" w:type="dxa"/>
            <w:vMerge w:val="continue"/>
            <w:tcBorders>
              <w:left w:val="single" w:color="000000" w:sz="4" w:space="0"/>
              <w:right w:val="single" w:color="000000" w:sz="4" w:space="0"/>
            </w:tcBorders>
            <w:shd w:val="clear" w:color="auto" w:fill="auto"/>
            <w:vAlign w:val="center"/>
          </w:tcPr>
          <w:p w14:paraId="3F487534">
            <w:pPr>
              <w:widowControl/>
              <w:spacing w:line="300" w:lineRule="exact"/>
              <w:jc w:val="center"/>
              <w:textAlignment w:val="center"/>
              <w:rPr>
                <w:rFonts w:ascii="仿宋_GB2312" w:hAnsi="仿宋_GB2312" w:cs="仿宋_GB2312"/>
                <w:kern w:val="0"/>
                <w:sz w:val="18"/>
                <w:szCs w:val="18"/>
              </w:rPr>
            </w:pPr>
          </w:p>
        </w:tc>
        <w:tc>
          <w:tcPr>
            <w:tcW w:w="1602" w:type="dxa"/>
            <w:tcBorders>
              <w:top w:val="single" w:color="000000" w:sz="4" w:space="0"/>
              <w:bottom w:val="single" w:color="000000" w:sz="4" w:space="0"/>
              <w:right w:val="single" w:color="000000" w:sz="4" w:space="0"/>
            </w:tcBorders>
            <w:shd w:val="clear" w:color="auto" w:fill="auto"/>
            <w:vAlign w:val="center"/>
          </w:tcPr>
          <w:p w14:paraId="34B149C3">
            <w:pPr>
              <w:spacing w:line="300" w:lineRule="exact"/>
              <w:rPr>
                <w:rFonts w:ascii="仿宋_GB2312" w:hAnsi="仿宋_GB2312" w:cs="仿宋_GB2312"/>
                <w:sz w:val="18"/>
                <w:szCs w:val="18"/>
              </w:rPr>
            </w:pPr>
            <w:r>
              <w:rPr>
                <w:rFonts w:hint="eastAsia" w:ascii="仿宋_GB2312" w:hAnsi="仿宋_GB2312" w:cs="仿宋_GB2312"/>
                <w:sz w:val="18"/>
                <w:szCs w:val="18"/>
              </w:rPr>
              <w:t>车辆燃油费</w:t>
            </w:r>
          </w:p>
        </w:tc>
        <w:tc>
          <w:tcPr>
            <w:tcW w:w="4206" w:type="dxa"/>
            <w:tcBorders>
              <w:top w:val="single" w:color="000000" w:sz="4" w:space="0"/>
              <w:bottom w:val="single" w:color="000000" w:sz="4" w:space="0"/>
              <w:right w:val="single" w:color="000000" w:sz="4" w:space="0"/>
            </w:tcBorders>
            <w:shd w:val="clear" w:color="auto" w:fill="auto"/>
            <w:vAlign w:val="center"/>
          </w:tcPr>
          <w:p w14:paraId="1042EAC8">
            <w:pPr>
              <w:spacing w:line="300" w:lineRule="exact"/>
              <w:rPr>
                <w:rFonts w:ascii="仿宋_GB2312" w:hAnsi="仿宋_GB2312" w:cs="仿宋_GB2312"/>
                <w:sz w:val="18"/>
                <w:szCs w:val="18"/>
              </w:rPr>
            </w:pPr>
            <w:r>
              <w:rPr>
                <w:rFonts w:hint="eastAsia" w:ascii="仿宋_GB2312" w:hAnsi="仿宋_GB2312" w:cs="仿宋_GB2312"/>
                <w:sz w:val="18"/>
                <w:szCs w:val="18"/>
              </w:rPr>
              <w:t>小于等于1万元</w:t>
            </w:r>
          </w:p>
        </w:tc>
      </w:tr>
      <w:tr w14:paraId="1E206DAD">
        <w:tblPrEx>
          <w:tblCellMar>
            <w:top w:w="15" w:type="dxa"/>
            <w:left w:w="15" w:type="dxa"/>
            <w:bottom w:w="15" w:type="dxa"/>
            <w:right w:w="15" w:type="dxa"/>
          </w:tblCellMar>
        </w:tblPrEx>
        <w:trPr>
          <w:trHeight w:val="23" w:hRule="atLeast"/>
        </w:trPr>
        <w:tc>
          <w:tcPr>
            <w:tcW w:w="11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3CAD86">
            <w:pPr>
              <w:spacing w:line="300" w:lineRule="exact"/>
              <w:jc w:val="left"/>
              <w:rPr>
                <w:rFonts w:ascii="仿宋_GB2312" w:hAnsi="仿宋_GB2312" w:cs="仿宋_GB2312"/>
                <w:sz w:val="18"/>
                <w:szCs w:val="18"/>
              </w:rPr>
            </w:pPr>
          </w:p>
        </w:tc>
        <w:tc>
          <w:tcPr>
            <w:tcW w:w="1359" w:type="dxa"/>
            <w:vMerge w:val="continue"/>
            <w:tcBorders>
              <w:left w:val="single" w:color="000000" w:sz="4" w:space="0"/>
              <w:bottom w:val="single" w:color="000000" w:sz="4" w:space="0"/>
              <w:right w:val="single" w:color="000000" w:sz="4" w:space="0"/>
            </w:tcBorders>
            <w:shd w:val="clear" w:color="auto" w:fill="auto"/>
            <w:vAlign w:val="center"/>
          </w:tcPr>
          <w:p w14:paraId="5466E4CD">
            <w:pPr>
              <w:widowControl/>
              <w:spacing w:line="300" w:lineRule="exact"/>
              <w:jc w:val="center"/>
              <w:textAlignment w:val="center"/>
              <w:rPr>
                <w:rFonts w:ascii="仿宋_GB2312" w:hAnsi="仿宋_GB2312" w:cs="仿宋_GB2312"/>
                <w:sz w:val="18"/>
                <w:szCs w:val="18"/>
              </w:rPr>
            </w:pPr>
          </w:p>
        </w:tc>
        <w:tc>
          <w:tcPr>
            <w:tcW w:w="1602" w:type="dxa"/>
            <w:tcBorders>
              <w:top w:val="single" w:color="000000" w:sz="4" w:space="0"/>
              <w:bottom w:val="single" w:color="000000" w:sz="4" w:space="0"/>
              <w:right w:val="single" w:color="000000" w:sz="4" w:space="0"/>
            </w:tcBorders>
            <w:shd w:val="clear" w:color="auto" w:fill="auto"/>
            <w:vAlign w:val="center"/>
          </w:tcPr>
          <w:p w14:paraId="2FC44689">
            <w:pPr>
              <w:spacing w:line="300" w:lineRule="exact"/>
              <w:rPr>
                <w:rFonts w:ascii="仿宋_GB2312" w:hAnsi="仿宋_GB2312" w:cs="仿宋_GB2312"/>
                <w:sz w:val="18"/>
                <w:szCs w:val="18"/>
              </w:rPr>
            </w:pPr>
            <w:r>
              <w:rPr>
                <w:rFonts w:hint="eastAsia" w:ascii="仿宋_GB2312" w:hAnsi="仿宋_GB2312" w:cs="仿宋_GB2312"/>
                <w:sz w:val="18"/>
                <w:szCs w:val="18"/>
              </w:rPr>
              <w:t>办公差旅费</w:t>
            </w:r>
          </w:p>
        </w:tc>
        <w:tc>
          <w:tcPr>
            <w:tcW w:w="4206" w:type="dxa"/>
            <w:tcBorders>
              <w:top w:val="single" w:color="000000" w:sz="4" w:space="0"/>
              <w:bottom w:val="single" w:color="000000" w:sz="4" w:space="0"/>
              <w:right w:val="single" w:color="000000" w:sz="4" w:space="0"/>
            </w:tcBorders>
            <w:shd w:val="clear" w:color="auto" w:fill="auto"/>
            <w:vAlign w:val="center"/>
          </w:tcPr>
          <w:p w14:paraId="30058732">
            <w:pPr>
              <w:spacing w:line="300" w:lineRule="exact"/>
              <w:rPr>
                <w:rFonts w:ascii="仿宋_GB2312" w:hAnsi="仿宋_GB2312" w:cs="仿宋_GB2312"/>
                <w:sz w:val="18"/>
                <w:szCs w:val="18"/>
              </w:rPr>
            </w:pPr>
            <w:r>
              <w:rPr>
                <w:rFonts w:hint="eastAsia" w:ascii="仿宋_GB2312" w:hAnsi="仿宋_GB2312" w:cs="仿宋_GB2312"/>
                <w:sz w:val="18"/>
                <w:szCs w:val="18"/>
              </w:rPr>
              <w:t>小于等于3万元</w:t>
            </w:r>
          </w:p>
        </w:tc>
      </w:tr>
    </w:tbl>
    <w:p w14:paraId="2188A287">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（2）绩效目标完成</w:t>
      </w:r>
    </w:p>
    <w:p w14:paraId="0811A988">
      <w:pPr>
        <w:spacing w:line="600" w:lineRule="exact"/>
        <w:ind w:firstLine="640" w:firstLineChars="200"/>
        <w:rPr>
          <w:rFonts w:hint="eastAsia" w:ascii="仿宋_GB2312" w:hAnsi="Nimbus Roman No9 L" w:eastAsia="仿宋_GB2312" w:cs="Arial"/>
          <w:sz w:val="32"/>
          <w:szCs w:val="32"/>
        </w:rPr>
      </w:pPr>
      <w:r>
        <w:rPr>
          <w:rFonts w:ascii="仿宋_GB2312" w:hAnsi="Nimbus Roman No9 L" w:eastAsia="仿宋_GB2312" w:cs="Arial"/>
          <w:sz w:val="32"/>
          <w:szCs w:val="32"/>
        </w:rPr>
        <w:t>各项指标的完成情况与年初绩效目标相符。20</w:t>
      </w:r>
      <w:r>
        <w:rPr>
          <w:rFonts w:hint="eastAsia" w:ascii="仿宋_GB2312" w:hAnsi="Nimbus Roman No9 L" w:eastAsia="仿宋_GB2312" w:cs="Arial"/>
          <w:sz w:val="32"/>
          <w:szCs w:val="32"/>
        </w:rPr>
        <w:t>23</w:t>
      </w:r>
      <w:r>
        <w:rPr>
          <w:rFonts w:ascii="仿宋_GB2312" w:hAnsi="Nimbus Roman No9 L" w:eastAsia="仿宋_GB2312" w:cs="Arial"/>
          <w:sz w:val="32"/>
          <w:szCs w:val="32"/>
        </w:rPr>
        <w:t>年，</w:t>
      </w:r>
      <w:r>
        <w:rPr>
          <w:rFonts w:hint="eastAsia" w:ascii="仿宋_GB2312" w:hAnsi="Nimbus Roman No9 L" w:eastAsia="仿宋_GB2312" w:cs="Arial"/>
          <w:sz w:val="32"/>
          <w:szCs w:val="32"/>
        </w:rPr>
        <w:t>本单位紧紧围绕铁路护路联防工作目标，做好重点时期安保、强化基层基础建设、扎实隐患排查治理、加强沿线治安防控、深化护路宣传教育，扎实推进各项工作措施的落实，确保了全省境内铁路安全畅通和沿线治安稳定。目标完成率为100%。</w:t>
      </w:r>
    </w:p>
    <w:p w14:paraId="23507DD7">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项目自评步骤及方法</w:t>
      </w:r>
    </w:p>
    <w:p w14:paraId="5066970E">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本单位成立了绩效自评领导小组，负责牵头开展各项目绩效自评工作。自评小组依据专项资金绩效考评指标体系，对项目开展综合评分，全面考量项目实施程序的规范性、财务管理的合规性，以及项目执行率和目标绩效完成情况。</w:t>
      </w:r>
    </w:p>
    <w:p w14:paraId="6442B276">
      <w:pPr>
        <w:adjustRightInd w:val="0"/>
        <w:snapToGrid w:val="0"/>
        <w:spacing w:line="580" w:lineRule="exact"/>
        <w:ind w:firstLine="720"/>
        <w:outlineLvl w:val="1"/>
        <w:rPr>
          <w:rFonts w:ascii="黑体" w:hAnsi="黑体" w:eastAsia="黑体" w:cs="黑体"/>
          <w:bCs/>
          <w:sz w:val="32"/>
          <w:szCs w:val="32"/>
        </w:rPr>
      </w:pPr>
      <w:bookmarkStart w:id="170" w:name="_Toc6175"/>
      <w:r>
        <w:rPr>
          <w:rFonts w:hint="eastAsia" w:ascii="黑体" w:hAnsi="黑体" w:eastAsia="黑体" w:cs="黑体"/>
          <w:bCs/>
          <w:sz w:val="32"/>
          <w:szCs w:val="32"/>
        </w:rPr>
        <w:t>二、评价实施</w:t>
      </w:r>
      <w:bookmarkEnd w:id="170"/>
    </w:p>
    <w:p w14:paraId="4B11520D">
      <w:pPr>
        <w:widowControl/>
        <w:adjustRightInd w:val="0"/>
        <w:snapToGrid w:val="0"/>
        <w:spacing w:line="600" w:lineRule="exact"/>
        <w:ind w:firstLine="643" w:firstLineChars="200"/>
        <w:contextualSpacing/>
        <w:jc w:val="left"/>
        <w:rPr>
          <w:rFonts w:ascii="楷体_GB2312" w:hAnsi="宋体" w:eastAsia="楷体_GB2312"/>
          <w:b/>
          <w:sz w:val="32"/>
          <w:szCs w:val="32"/>
          <w:lang w:val="zh-CN"/>
        </w:rPr>
      </w:pPr>
      <w:r>
        <w:rPr>
          <w:rFonts w:hint="eastAsia" w:ascii="楷体_GB2312" w:hAnsi="宋体" w:eastAsia="楷体_GB2312"/>
          <w:b/>
          <w:sz w:val="32"/>
          <w:szCs w:val="32"/>
          <w:lang w:val="zh-CN"/>
        </w:rPr>
        <w:t>（一）评价目的。</w:t>
      </w:r>
    </w:p>
    <w:p w14:paraId="1B07D877">
      <w:pPr>
        <w:spacing w:line="600" w:lineRule="exact"/>
        <w:ind w:firstLine="640"/>
        <w:rPr>
          <w:rFonts w:ascii="仿宋_GB2312" w:hAnsi="仿宋_GB2312" w:cs="仿宋_GB2312"/>
          <w:kern w:val="0"/>
          <w:shd w:val="clear" w:color="auto" w:fill="FFFFFF"/>
        </w:rPr>
      </w:pPr>
      <w:r>
        <w:rPr>
          <w:rFonts w:hint="eastAsia" w:ascii="仿宋_GB2312" w:hAnsi="Nimbus Roman No9 L" w:eastAsia="仿宋_GB2312" w:cs="Arial"/>
          <w:sz w:val="32"/>
          <w:szCs w:val="32"/>
        </w:rPr>
        <w:t>财政专项资金绩效自评是对财政资金使用情况和项目实施效果进行评估和总结的重要手段。通过绩效自评，可以客观地了解专项资金使用的效果和问题，为进一步改进和优化财政资金管理提供参考依据。同时，绩效自评还可以增强资金使用部门的自觉性和责任感，促进财政资金的合理配置和有效利用。</w:t>
      </w:r>
    </w:p>
    <w:p w14:paraId="725EBE15">
      <w:pPr>
        <w:widowControl/>
        <w:adjustRightInd w:val="0"/>
        <w:snapToGrid w:val="0"/>
        <w:spacing w:line="600" w:lineRule="exact"/>
        <w:ind w:firstLine="643" w:firstLineChars="200"/>
        <w:contextualSpacing/>
        <w:jc w:val="left"/>
        <w:rPr>
          <w:rFonts w:ascii="楷体_GB2312" w:hAnsi="宋体" w:eastAsia="楷体_GB2312"/>
          <w:b/>
          <w:sz w:val="32"/>
          <w:szCs w:val="32"/>
          <w:lang w:val="zh-CN"/>
        </w:rPr>
      </w:pPr>
      <w:r>
        <w:rPr>
          <w:rFonts w:hint="eastAsia" w:ascii="楷体_GB2312" w:hAnsi="宋体" w:eastAsia="楷体_GB2312"/>
          <w:b/>
          <w:sz w:val="32"/>
          <w:szCs w:val="32"/>
          <w:lang w:val="zh-CN"/>
        </w:rPr>
        <w:t>（二）预设问题及评价重点。</w:t>
      </w:r>
    </w:p>
    <w:p w14:paraId="724D275F">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1.预设问题</w:t>
      </w:r>
    </w:p>
    <w:p w14:paraId="2EC1E751">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数据收集和分析的难度</w:t>
      </w:r>
      <w:r>
        <w:rPr>
          <w:rFonts w:hint="eastAsia" w:ascii="仿宋_GB2312" w:hAnsi="Nimbus Roman No9 L" w:eastAsia="仿宋_GB2312" w:cs="Arial"/>
          <w:sz w:val="32"/>
          <w:szCs w:val="32"/>
          <w:lang w:eastAsia="zh-CN"/>
        </w:rPr>
        <w:t>：</w:t>
      </w:r>
      <w:r>
        <w:rPr>
          <w:rFonts w:hint="eastAsia" w:ascii="仿宋_GB2312" w:hAnsi="Nimbus Roman No9 L" w:eastAsia="仿宋_GB2312" w:cs="Arial"/>
          <w:sz w:val="32"/>
          <w:szCs w:val="32"/>
        </w:rPr>
        <w:t>绩效自评需要大量的数据支持，但部分数据收集和整理工作还不够完善，可能存在一定的困难。</w:t>
      </w:r>
    </w:p>
    <w:p w14:paraId="485810E8">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2.评价重点</w:t>
      </w:r>
    </w:p>
    <w:p w14:paraId="4FDCA42B">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严格落实项目目标绩效拟定、执行跟踪、完成评价的相关要求，做到了有计划，有安排，扎实开展本次自评工作。按照上级下达的项目支出绩效评价指标体系，对申报内容、实施情况、资金支付、财务管理、社会效益等做出了自我评价。</w:t>
      </w:r>
    </w:p>
    <w:p w14:paraId="0CE59612">
      <w:pPr>
        <w:spacing w:line="600" w:lineRule="exact"/>
        <w:ind w:firstLine="643" w:firstLineChars="200"/>
        <w:rPr>
          <w:rFonts w:hint="eastAsia" w:ascii="仿宋_GB2312" w:hAnsi="Nimbus Roman No9 L" w:eastAsia="仿宋_GB2312" w:cs="Arial"/>
          <w:sz w:val="32"/>
          <w:szCs w:val="32"/>
        </w:rPr>
      </w:pPr>
      <w:r>
        <w:rPr>
          <w:rFonts w:hint="eastAsia" w:ascii="楷体_GB2312" w:hAnsi="宋体" w:eastAsia="楷体_GB2312"/>
          <w:b/>
          <w:sz w:val="32"/>
          <w:szCs w:val="32"/>
          <w:lang w:val="zh-CN"/>
        </w:rPr>
        <w:t>（三）评价选点。</w:t>
      </w:r>
      <w:r>
        <w:rPr>
          <w:rFonts w:hint="eastAsia" w:ascii="仿宋_GB2312" w:hAnsi="Nimbus Roman No9 L" w:eastAsia="仿宋_GB2312" w:cs="Arial"/>
          <w:sz w:val="32"/>
          <w:szCs w:val="32"/>
        </w:rPr>
        <w:t>隐患整治内容：加装波形护栏</w:t>
      </w:r>
    </w:p>
    <w:p w14:paraId="037A41AB">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地点：苍溪县陵江镇茶店社区九宝村八组兰渝线K592+370-550处。</w:t>
      </w:r>
    </w:p>
    <w:p w14:paraId="4C6E78D1">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整治措施：加装波形护栏200米</w:t>
      </w:r>
    </w:p>
    <w:p w14:paraId="392CF989">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完成时间：2023年1月12日</w:t>
      </w:r>
    </w:p>
    <w:tbl>
      <w:tblPr>
        <w:tblStyle w:val="17"/>
        <w:tblW w:w="89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1"/>
        <w:gridCol w:w="3055"/>
        <w:gridCol w:w="2872"/>
      </w:tblGrid>
      <w:tr w14:paraId="6FE0A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0" w:hRule="atLeast"/>
        </w:trPr>
        <w:tc>
          <w:tcPr>
            <w:tcW w:w="3011" w:type="dxa"/>
          </w:tcPr>
          <w:p w14:paraId="00497431">
            <w:pPr>
              <w:autoSpaceDE w:val="0"/>
              <w:autoSpaceDN w:val="0"/>
              <w:adjustRightInd w:val="0"/>
              <w:jc w:val="left"/>
              <w:rPr>
                <w:rFonts w:ascii="仿宋_GB2312" w:hAnsi="黑体"/>
                <w:bCs/>
              </w:rPr>
            </w:pPr>
            <w:r>
              <w:rPr>
                <w:rFonts w:hint="eastAsia" w:ascii="仿宋_GB2312" w:hAnsi="黑体"/>
                <w:bCs/>
              </w:rPr>
              <w:t>整治前照片：</w:t>
            </w:r>
          </w:p>
          <w:p w14:paraId="3A02BAF4">
            <w:pPr>
              <w:autoSpaceDE w:val="0"/>
              <w:autoSpaceDN w:val="0"/>
              <w:adjustRightInd w:val="0"/>
              <w:jc w:val="left"/>
              <w:rPr>
                <w:rFonts w:ascii="仿宋_GB2312" w:hAnsi="黑体"/>
                <w:bCs/>
              </w:rPr>
            </w:pPr>
            <w:r>
              <w:rPr>
                <w:rFonts w:ascii="仿宋_GB2312" w:hAnsi="黑体"/>
                <w:bCs/>
              </w:rPr>
              <w:drawing>
                <wp:inline distT="0" distB="0" distL="114300" distR="114300">
                  <wp:extent cx="1772285" cy="2134235"/>
                  <wp:effectExtent l="0" t="0" r="18415" b="18415"/>
                  <wp:docPr id="3" name="图片 20" descr="d41dd4ba869641fe2c2f3815492be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0" descr="d41dd4ba869641fe2c2f3815492beb9"/>
                          <pic:cNvPicPr>
                            <a:picLocks noChangeAspect="1"/>
                          </pic:cNvPicPr>
                        </pic:nvPicPr>
                        <pic:blipFill>
                          <a:blip r:embed="rId12"/>
                          <a:stretch>
                            <a:fillRect/>
                          </a:stretch>
                        </pic:blipFill>
                        <pic:spPr>
                          <a:xfrm>
                            <a:off x="0" y="0"/>
                            <a:ext cx="1772285" cy="2134235"/>
                          </a:xfrm>
                          <a:prstGeom prst="rect">
                            <a:avLst/>
                          </a:prstGeom>
                        </pic:spPr>
                      </pic:pic>
                    </a:graphicData>
                  </a:graphic>
                </wp:inline>
              </w:drawing>
            </w:r>
          </w:p>
        </w:tc>
        <w:tc>
          <w:tcPr>
            <w:tcW w:w="3055" w:type="dxa"/>
          </w:tcPr>
          <w:p w14:paraId="5EE7FEEB">
            <w:pPr>
              <w:autoSpaceDE w:val="0"/>
              <w:autoSpaceDN w:val="0"/>
              <w:adjustRightInd w:val="0"/>
              <w:jc w:val="left"/>
              <w:rPr>
                <w:rFonts w:ascii="仿宋_GB2312" w:hAnsi="黑体"/>
                <w:bCs/>
              </w:rPr>
            </w:pPr>
            <w:r>
              <w:rPr>
                <w:rFonts w:hint="eastAsia" w:ascii="仿宋_GB2312" w:hAnsi="黑体"/>
                <w:bCs/>
              </w:rPr>
              <w:t>整治后照片：</w:t>
            </w:r>
          </w:p>
          <w:p w14:paraId="22ED04EF">
            <w:pPr>
              <w:autoSpaceDE w:val="0"/>
              <w:autoSpaceDN w:val="0"/>
              <w:adjustRightInd w:val="0"/>
              <w:jc w:val="left"/>
              <w:rPr>
                <w:rFonts w:ascii="仿宋_GB2312" w:hAnsi="黑体"/>
                <w:bCs/>
              </w:rPr>
            </w:pPr>
            <w:r>
              <w:rPr>
                <w:rFonts w:hint="eastAsia" w:ascii="仿宋_GB2312" w:hAnsi="黑体"/>
                <w:bCs/>
              </w:rPr>
              <w:drawing>
                <wp:inline distT="0" distB="0" distL="114300" distR="114300">
                  <wp:extent cx="1791970" cy="2098675"/>
                  <wp:effectExtent l="0" t="0" r="17780" b="15875"/>
                  <wp:docPr id="4" name="图片 21" descr="800ab0cfb0e683c1a576a23d4b2c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1" descr="800ab0cfb0e683c1a576a23d4b2c048"/>
                          <pic:cNvPicPr>
                            <a:picLocks noChangeAspect="1"/>
                          </pic:cNvPicPr>
                        </pic:nvPicPr>
                        <pic:blipFill>
                          <a:blip r:embed="rId13"/>
                          <a:stretch>
                            <a:fillRect/>
                          </a:stretch>
                        </pic:blipFill>
                        <pic:spPr>
                          <a:xfrm>
                            <a:off x="0" y="0"/>
                            <a:ext cx="1791970" cy="2098675"/>
                          </a:xfrm>
                          <a:prstGeom prst="rect">
                            <a:avLst/>
                          </a:prstGeom>
                        </pic:spPr>
                      </pic:pic>
                    </a:graphicData>
                  </a:graphic>
                </wp:inline>
              </w:drawing>
            </w:r>
          </w:p>
        </w:tc>
        <w:tc>
          <w:tcPr>
            <w:tcW w:w="2872" w:type="dxa"/>
          </w:tcPr>
          <w:p w14:paraId="46FA7083">
            <w:pPr>
              <w:autoSpaceDE w:val="0"/>
              <w:autoSpaceDN w:val="0"/>
              <w:adjustRightInd w:val="0"/>
              <w:jc w:val="left"/>
              <w:rPr>
                <w:rFonts w:ascii="仿宋_GB2312" w:hAnsi="黑体"/>
                <w:bCs/>
              </w:rPr>
            </w:pPr>
            <w:r>
              <w:rPr>
                <w:rFonts w:hint="eastAsia" w:ascii="仿宋_GB2312" w:hAnsi="黑体"/>
                <w:bCs/>
              </w:rPr>
              <w:t>转账凭证照片：</w:t>
            </w:r>
          </w:p>
          <w:p w14:paraId="3AA5F220">
            <w:pPr>
              <w:autoSpaceDE w:val="0"/>
              <w:autoSpaceDN w:val="0"/>
              <w:adjustRightInd w:val="0"/>
              <w:jc w:val="left"/>
              <w:rPr>
                <w:rFonts w:ascii="仿宋_GB2312" w:hAnsi="黑体"/>
                <w:bCs/>
              </w:rPr>
            </w:pPr>
            <w:r>
              <w:rPr>
                <w:rFonts w:hint="eastAsia" w:ascii="仿宋_GB2312" w:hAnsi="黑体"/>
                <w:bCs/>
              </w:rPr>
              <w:drawing>
                <wp:inline distT="0" distB="0" distL="114300" distR="114300">
                  <wp:extent cx="1677035" cy="2096135"/>
                  <wp:effectExtent l="0" t="0" r="18415" b="18415"/>
                  <wp:docPr id="5" name="图片 2" descr="7185fdf4c643d1eb7982ba9b5f63a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7185fdf4c643d1eb7982ba9b5f63af1"/>
                          <pic:cNvPicPr>
                            <a:picLocks noChangeAspect="1"/>
                          </pic:cNvPicPr>
                        </pic:nvPicPr>
                        <pic:blipFill>
                          <a:blip r:embed="rId14"/>
                          <a:stretch>
                            <a:fillRect/>
                          </a:stretch>
                        </pic:blipFill>
                        <pic:spPr>
                          <a:xfrm>
                            <a:off x="0" y="0"/>
                            <a:ext cx="1677035" cy="2096135"/>
                          </a:xfrm>
                          <a:prstGeom prst="rect">
                            <a:avLst/>
                          </a:prstGeom>
                        </pic:spPr>
                      </pic:pic>
                    </a:graphicData>
                  </a:graphic>
                </wp:inline>
              </w:drawing>
            </w:r>
          </w:p>
        </w:tc>
      </w:tr>
    </w:tbl>
    <w:p w14:paraId="2D22C301">
      <w:pPr>
        <w:spacing w:line="600"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（四）评价方法。</w:t>
      </w:r>
    </w:p>
    <w:p w14:paraId="06725D01">
      <w:pPr>
        <w:spacing w:line="600" w:lineRule="exact"/>
        <w:ind w:firstLine="640" w:firstLineChars="200"/>
        <w:rPr>
          <w:rFonts w:ascii="仿宋_GB2312" w:hAnsi="仿宋_GB2312" w:cs="仿宋_GB2312"/>
          <w:kern w:val="0"/>
          <w:shd w:val="clear" w:color="auto" w:fill="FFFFFF"/>
        </w:rPr>
      </w:pPr>
      <w:r>
        <w:rPr>
          <w:rFonts w:hint="eastAsia" w:ascii="仿宋_GB2312" w:hAnsi="Nimbus Roman No9 L" w:eastAsia="仿宋_GB2312" w:cs="Arial"/>
          <w:sz w:val="32"/>
          <w:szCs w:val="32"/>
        </w:rPr>
        <w:t>根据项目情况和评价重点，采用案例分析法、单位自评法、实地勘察法、座谈调研法等多种方法进行项目资料搜集和项目评价工作的开展。通过数据分析，可以对项目实施进展和成果进行量化评估</w:t>
      </w:r>
      <w:r>
        <w:rPr>
          <w:rFonts w:hint="eastAsia" w:ascii="仿宋_GB2312" w:hAnsi="Nimbus Roman No9 L" w:eastAsia="仿宋_GB2312" w:cs="Arial"/>
          <w:sz w:val="32"/>
          <w:szCs w:val="32"/>
          <w:lang w:eastAsia="zh-CN"/>
        </w:rPr>
        <w:t>；</w:t>
      </w:r>
      <w:r>
        <w:rPr>
          <w:rFonts w:hint="eastAsia" w:ascii="仿宋_GB2312" w:hAnsi="Nimbus Roman No9 L" w:eastAsia="仿宋_GB2312" w:cs="Arial"/>
          <w:sz w:val="32"/>
          <w:szCs w:val="32"/>
        </w:rPr>
        <w:t>通过实地考察和案例分析，可以深入了解项目运行情况和存在的问题。</w:t>
      </w:r>
    </w:p>
    <w:p w14:paraId="7775211C">
      <w:pPr>
        <w:spacing w:line="600" w:lineRule="exact"/>
        <w:ind w:firstLine="643" w:firstLineChars="200"/>
        <w:rPr>
          <w:rFonts w:hint="eastAsia" w:ascii="仿宋_GB2312" w:hAnsi="Nimbus Roman No9 L" w:eastAsia="仿宋_GB2312" w:cs="Arial"/>
          <w:sz w:val="32"/>
          <w:szCs w:val="32"/>
        </w:rPr>
      </w:pPr>
      <w:r>
        <w:rPr>
          <w:rFonts w:hint="eastAsia" w:ascii="楷体_GB2312" w:hAnsi="宋体" w:eastAsia="楷体_GB2312"/>
          <w:b/>
          <w:sz w:val="32"/>
          <w:szCs w:val="32"/>
          <w:lang w:val="zh-CN"/>
        </w:rPr>
        <w:t>（五）评价组织。</w:t>
      </w:r>
      <w:r>
        <w:rPr>
          <w:rFonts w:hint="eastAsia" w:ascii="仿宋_GB2312" w:hAnsi="Nimbus Roman No9 L" w:eastAsia="仿宋_GB2312" w:cs="Arial"/>
          <w:sz w:val="32"/>
          <w:szCs w:val="32"/>
        </w:rPr>
        <w:t>评价组人员构成和职责分工。</w:t>
      </w:r>
    </w:p>
    <w:p w14:paraId="5D3F65FD">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评价组组长：李燕成</w:t>
      </w:r>
      <w:r>
        <w:rPr>
          <w:rFonts w:hint="eastAsia" w:ascii="仿宋_GB2312" w:hAnsi="Nimbus Roman No9 L" w:eastAsia="仿宋_GB2312" w:cs="Arial"/>
          <w:sz w:val="32"/>
          <w:szCs w:val="32"/>
          <w:lang w:eastAsia="zh-CN"/>
        </w:rPr>
        <w:t>（</w:t>
      </w:r>
      <w:r>
        <w:rPr>
          <w:rFonts w:hint="eastAsia" w:ascii="仿宋_GB2312" w:hAnsi="Nimbus Roman No9 L" w:eastAsia="仿宋_GB2312" w:cs="Arial"/>
          <w:sz w:val="32"/>
          <w:szCs w:val="32"/>
        </w:rPr>
        <w:t>广元市公安局警务保障处处长)</w:t>
      </w:r>
    </w:p>
    <w:p w14:paraId="3AD4CB65">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评价组组员：李海滨</w:t>
      </w:r>
      <w:r>
        <w:rPr>
          <w:rFonts w:hint="eastAsia" w:ascii="仿宋_GB2312" w:hAnsi="Nimbus Roman No9 L" w:eastAsia="仿宋_GB2312" w:cs="Arial"/>
          <w:sz w:val="32"/>
          <w:szCs w:val="32"/>
          <w:lang w:eastAsia="zh-CN"/>
        </w:rPr>
        <w:t>（</w:t>
      </w:r>
      <w:r>
        <w:rPr>
          <w:rFonts w:hint="eastAsia" w:ascii="仿宋_GB2312" w:hAnsi="Nimbus Roman No9 L" w:eastAsia="仿宋_GB2312" w:cs="Arial"/>
          <w:sz w:val="32"/>
          <w:szCs w:val="32"/>
        </w:rPr>
        <w:t>平安广元铁路护路联防组办公室副主任)</w:t>
      </w:r>
    </w:p>
    <w:p w14:paraId="373653A1">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王宇林</w:t>
      </w:r>
      <w:r>
        <w:rPr>
          <w:rFonts w:hint="eastAsia" w:ascii="仿宋_GB2312" w:hAnsi="Nimbus Roman No9 L" w:eastAsia="仿宋_GB2312" w:cs="Arial"/>
          <w:sz w:val="32"/>
          <w:szCs w:val="32"/>
          <w:lang w:eastAsia="zh-CN"/>
        </w:rPr>
        <w:t>（</w:t>
      </w:r>
      <w:r>
        <w:rPr>
          <w:rFonts w:hint="eastAsia" w:ascii="仿宋_GB2312" w:hAnsi="Nimbus Roman No9 L" w:eastAsia="仿宋_GB2312" w:cs="Arial"/>
          <w:sz w:val="32"/>
          <w:szCs w:val="32"/>
        </w:rPr>
        <w:t>广元市公安局警务保障处主任)</w:t>
      </w:r>
    </w:p>
    <w:p w14:paraId="7D5231FF">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陈小芬</w:t>
      </w:r>
      <w:r>
        <w:rPr>
          <w:rFonts w:hint="eastAsia" w:ascii="仿宋_GB2312" w:hAnsi="Nimbus Roman No9 L" w:eastAsia="仿宋_GB2312" w:cs="Arial"/>
          <w:sz w:val="32"/>
          <w:szCs w:val="32"/>
          <w:lang w:eastAsia="zh-CN"/>
        </w:rPr>
        <w:t>（</w:t>
      </w:r>
      <w:r>
        <w:rPr>
          <w:rFonts w:hint="eastAsia" w:ascii="仿宋_GB2312" w:hAnsi="Nimbus Roman No9 L" w:eastAsia="仿宋_GB2312" w:cs="Arial"/>
          <w:sz w:val="32"/>
          <w:szCs w:val="32"/>
        </w:rPr>
        <w:t>平安广元铁路护路联防组办公室)</w:t>
      </w:r>
    </w:p>
    <w:p w14:paraId="6B48DE5B">
      <w:pPr>
        <w:adjustRightInd w:val="0"/>
        <w:snapToGrid w:val="0"/>
        <w:spacing w:line="580" w:lineRule="exact"/>
        <w:ind w:firstLine="720"/>
        <w:outlineLvl w:val="1"/>
        <w:rPr>
          <w:rFonts w:ascii="黑体" w:hAnsi="黑体" w:eastAsia="黑体" w:cs="黑体"/>
          <w:bCs/>
          <w:sz w:val="32"/>
          <w:szCs w:val="32"/>
        </w:rPr>
      </w:pPr>
      <w:bookmarkStart w:id="171" w:name="_Toc24636"/>
      <w:r>
        <w:rPr>
          <w:rFonts w:hint="eastAsia" w:ascii="黑体" w:hAnsi="黑体" w:eastAsia="黑体" w:cs="黑体"/>
          <w:bCs/>
          <w:sz w:val="32"/>
          <w:szCs w:val="32"/>
        </w:rPr>
        <w:t>三、绩效分析</w:t>
      </w:r>
      <w:bookmarkEnd w:id="171"/>
      <w:r>
        <w:rPr>
          <w:rFonts w:hint="eastAsia" w:ascii="黑体" w:hAnsi="黑体" w:eastAsia="黑体" w:cs="黑体"/>
          <w:bCs/>
          <w:sz w:val="32"/>
          <w:szCs w:val="32"/>
        </w:rPr>
        <w:tab/>
      </w:r>
    </w:p>
    <w:p w14:paraId="614E45E3">
      <w:pPr>
        <w:spacing w:line="600"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（一）通用指标</w:t>
      </w:r>
      <w:r>
        <w:rPr>
          <w:rFonts w:ascii="楷体_GB2312" w:hAnsi="宋体" w:eastAsia="楷体_GB2312"/>
          <w:b/>
          <w:sz w:val="32"/>
          <w:szCs w:val="32"/>
          <w:lang w:val="zh-CN"/>
        </w:rPr>
        <w:t>绩效分析。</w:t>
      </w:r>
    </w:p>
    <w:p w14:paraId="63AFA322">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项目决策。为保障铁路大动脉安全畅通，中央综治办联合财政部、中央综治委铁路护路联防工作领导小组、中国铁路总公司下发了《关于进一步加强铁路护路联防工作保障的通知》（中综办〔2015〕31号），明确各省（区、市）财政部门要切实落实主体责任，将铁路护路联防工作经费纳入省级财政预算。项目设立、调整延续等方面严格按照资金管理基本规范和决策程序要求执行，规划符合中央、省委省政府有关决策部署安排，充分评估论证了项目立项的必要性、前瞻性、合理性和可行性，属于政府支持范围，且符合财政事权支出责任划分规定，本项目共设置了4个科学合理、规范完整、量化细化、预算匹配的绩效目标；资金投向与项目总体规划、相关行业事业发展相匹配，聚焦重大任务、重点领域、重点环节和重点项目，体现“集中财力办大事”原则，避免“撒胡椒面”，未出现与其他同类项目或部门内部相关项目交叉重复的情况，该项自评得分为18分。</w:t>
      </w:r>
    </w:p>
    <w:p w14:paraId="28706E75">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2.项目管理。</w:t>
      </w:r>
    </w:p>
    <w:p w14:paraId="29EF8119">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2023年度，本项目资金管理按照《四川省财政厅 四川省公安厅关于印发〈四川省省级铁路护路联防专项资金管理办法〉的通知》（川财行〔2021〕120号）文件执行，不存在管理制度缺失、管理办法过期情况；平安四川铁路护路联防办按照各市</w:t>
      </w:r>
      <w:r>
        <w:rPr>
          <w:rFonts w:hint="eastAsia" w:ascii="仿宋_GB2312" w:hAnsi="Nimbus Roman No9 L" w:eastAsia="仿宋_GB2312" w:cs="Arial"/>
          <w:sz w:val="32"/>
          <w:szCs w:val="32"/>
          <w:lang w:eastAsia="zh-CN"/>
        </w:rPr>
        <w:t>（</w:t>
      </w:r>
      <w:r>
        <w:rPr>
          <w:rFonts w:hint="eastAsia" w:ascii="仿宋_GB2312" w:hAnsi="Nimbus Roman No9 L" w:eastAsia="仿宋_GB2312" w:cs="Arial"/>
          <w:sz w:val="32"/>
          <w:szCs w:val="32"/>
        </w:rPr>
        <w:t>州)铁路线路管辖责任里程数、铁路护路联防队员人数、铁路护路联防工作及绩效考核结果等作为专项资金分配主要因素，对铁路护路联防专项资金进行了分配，资金分配因素选取充分考虑相关行业事业发展实际和发展需求，权重设置有效突出项目实施重点，资金区域分布结果公平合理。项目按中省要求全面完成绩效目标（含事前评估）、绩效评价、以前年度问题整改等预算绩效管理工作；平安四川铁路护路联防办对本单位预算绩效管理提出了相关要求，并对资金分配和项目管理进行了有力指导，同时开展了评价、监督、指导等工作，该项自评得分为18分。</w:t>
      </w:r>
    </w:p>
    <w:p w14:paraId="1D3892EF">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3.项目实施。</w:t>
      </w:r>
    </w:p>
    <w:p w14:paraId="7F0B79E0">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资金使用、拨付按照国家财经法规、财务管理制度及有关专项资金管理制度办法规定和审批程序，不存在超范围、超标准、超进度使用专项资金，以及资金损失浪费、长期沉淀、截留、挤占、挪用、虚列支出等情况，本项目财政资金拨付率100%，资金使用率100%。该项自评得分为9分</w:t>
      </w:r>
    </w:p>
    <w:p w14:paraId="064146D6">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4.项目结果。</w:t>
      </w:r>
    </w:p>
    <w:p w14:paraId="2A1BA25E">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本项目首次批复立项设定绩效目标任务总量19个，实际完成目标19个。计划于2023年12月31日前完成，共计215天，实际于2023年12月31日前完成，共计215天。该项自评得分为9分。</w:t>
      </w:r>
    </w:p>
    <w:p w14:paraId="1C094376">
      <w:pPr>
        <w:spacing w:line="600"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（二）专用指标</w:t>
      </w:r>
      <w:r>
        <w:rPr>
          <w:rFonts w:ascii="楷体_GB2312" w:hAnsi="宋体" w:eastAsia="楷体_GB2312"/>
          <w:b/>
          <w:sz w:val="32"/>
          <w:szCs w:val="32"/>
          <w:lang w:val="zh-CN"/>
        </w:rPr>
        <w:t>绩效分析。</w:t>
      </w:r>
    </w:p>
    <w:p w14:paraId="03E3E216">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1.行政运转。</w:t>
      </w:r>
    </w:p>
    <w:p w14:paraId="7FFF1F3B">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本项目按规定用途、适用范围进行本地区专项资金分配，资金分配标准符合专项资金管理要求，资金管理程序符合专项资金管理要求。平安广元铁路护路联防办按照各县</w:t>
      </w:r>
      <w:r>
        <w:rPr>
          <w:rFonts w:hint="eastAsia" w:ascii="仿宋_GB2312" w:hAnsi="Nimbus Roman No9 L" w:eastAsia="仿宋_GB2312" w:cs="Arial"/>
          <w:sz w:val="32"/>
          <w:szCs w:val="32"/>
          <w:lang w:eastAsia="zh-CN"/>
        </w:rPr>
        <w:t>（</w:t>
      </w:r>
      <w:r>
        <w:rPr>
          <w:rFonts w:hint="eastAsia" w:ascii="仿宋_GB2312" w:hAnsi="Nimbus Roman No9 L" w:eastAsia="仿宋_GB2312" w:cs="Arial"/>
          <w:sz w:val="32"/>
          <w:szCs w:val="32"/>
        </w:rPr>
        <w:t>区)铁路线路管辖责任里程数、铁路护路联防队员人数、铁路护路联防工作及绩效考核结果等作为专项资金分配主要因素，对铁路护路联防专项资金进行了分配，资金分配因素选取充分考虑相关行业事业发展实际和发展需求，权重设置有效突出项目实施重点。项目资金管理按照《四川省财政厅四川省公安厅关于印发〈四川省省级铁路护路联防专项资金管理办法〉的通知》（川财行〔2021〕120号）文件执行，该项自评得分为30分。</w:t>
      </w:r>
    </w:p>
    <w:p w14:paraId="7BA5B4DD">
      <w:pPr>
        <w:spacing w:line="600"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（三）个性指标</w:t>
      </w:r>
      <w:r>
        <w:rPr>
          <w:rFonts w:ascii="楷体_GB2312" w:hAnsi="宋体" w:eastAsia="楷体_GB2312"/>
          <w:b/>
          <w:sz w:val="32"/>
          <w:szCs w:val="32"/>
          <w:lang w:val="zh-CN"/>
        </w:rPr>
        <w:t>绩效分析。</w:t>
      </w:r>
    </w:p>
    <w:p w14:paraId="2BD69CC2">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1.涉路案（事）件发生数降幅</w:t>
      </w:r>
    </w:p>
    <w:p w14:paraId="55DBB63B">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2023年全市共发生危及行车的案（事）件1起，比上年度增加0起；路外伤亡2人，比上年度增加2人 。</w:t>
      </w:r>
    </w:p>
    <w:p w14:paraId="651B2EAF">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2.铁路安全隐患排查</w:t>
      </w:r>
    </w:p>
    <w:p w14:paraId="7F464467">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2023年在铁路沿线开展涉路安全隐患排查整治，化解涉路矛盾纠纷，全市计划排查铁路安全隐患点位24个，实际排查57个。</w:t>
      </w:r>
    </w:p>
    <w:p w14:paraId="52F01249">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3.铁路安全宣传教育</w:t>
      </w:r>
    </w:p>
    <w:p w14:paraId="1C36E706">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2023年全市计划开展铁路安全宣传教育37次，实际开展40次。</w:t>
      </w:r>
    </w:p>
    <w:p w14:paraId="45C0B468">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该项自评得分为16分。</w:t>
      </w:r>
    </w:p>
    <w:p w14:paraId="4F0B8903">
      <w:pPr>
        <w:adjustRightInd w:val="0"/>
        <w:snapToGrid w:val="0"/>
        <w:spacing w:line="580" w:lineRule="exact"/>
        <w:ind w:firstLine="720"/>
        <w:outlineLvl w:val="1"/>
        <w:rPr>
          <w:rFonts w:ascii="黑体" w:hAnsi="黑体" w:eastAsia="黑体" w:cs="黑体"/>
          <w:bCs/>
          <w:sz w:val="32"/>
          <w:szCs w:val="32"/>
        </w:rPr>
      </w:pPr>
      <w:bookmarkStart w:id="172" w:name="_Toc14968"/>
      <w:r>
        <w:rPr>
          <w:rFonts w:hint="eastAsia" w:ascii="黑体" w:hAnsi="黑体" w:eastAsia="黑体" w:cs="黑体"/>
          <w:bCs/>
          <w:sz w:val="32"/>
          <w:szCs w:val="32"/>
        </w:rPr>
        <w:t>四、评价结论</w:t>
      </w:r>
      <w:bookmarkEnd w:id="172"/>
    </w:p>
    <w:p w14:paraId="2BAFFA84">
      <w:pPr>
        <w:pStyle w:val="5"/>
        <w:spacing w:line="600" w:lineRule="exact"/>
        <w:ind w:firstLine="640" w:firstLineChars="200"/>
        <w:rPr>
          <w:rFonts w:ascii="仿宋_GB2312" w:hAnsi="仿宋_GB2312" w:eastAsia="仿宋_GB2312" w:cs="仿宋_GB2312"/>
          <w:sz w:val="32"/>
          <w:szCs w:val="32"/>
          <w:shd w:val="clear" w:color="auto" w:fill="FFFFFF"/>
        </w:rPr>
      </w:pPr>
      <w:r>
        <w:rPr>
          <w:rFonts w:hint="eastAsia" w:ascii="仿宋_GB2312" w:hAnsi="仿宋_GB2312" w:eastAsia="仿宋_GB2312" w:cs="仿宋_GB2312"/>
          <w:sz w:val="32"/>
          <w:szCs w:val="32"/>
          <w:shd w:val="clear" w:color="auto" w:fill="FFFFFF"/>
        </w:rPr>
        <w:t>经过严格评估，我们认为铁路护路专项预算项目整体实施效果良好，评价得分100分。这表明项目在预算执行方面，得分率为100%，项目资金使用效率较高，基本实现了预算目标。在政策完善方面，得分率为100%，项目政策在一定程度上提高了铁路护路工作的规范性和有效性。在管理改进方面，得分率为100%。</w:t>
      </w:r>
    </w:p>
    <w:p w14:paraId="27BF38C5">
      <w:pPr>
        <w:adjustRightInd w:val="0"/>
        <w:snapToGrid w:val="0"/>
        <w:spacing w:line="580" w:lineRule="exact"/>
        <w:ind w:firstLine="720"/>
        <w:outlineLvl w:val="1"/>
        <w:rPr>
          <w:rFonts w:ascii="黑体" w:hAnsi="黑体" w:eastAsia="黑体" w:cs="黑体"/>
          <w:bCs/>
          <w:sz w:val="32"/>
          <w:szCs w:val="32"/>
        </w:rPr>
      </w:pPr>
      <w:bookmarkStart w:id="173" w:name="_Toc26237"/>
      <w:r>
        <w:rPr>
          <w:rFonts w:hint="eastAsia" w:ascii="黑体" w:hAnsi="黑体" w:eastAsia="黑体" w:cs="黑体"/>
          <w:bCs/>
          <w:sz w:val="32"/>
          <w:szCs w:val="32"/>
        </w:rPr>
        <w:t>五、存在主要问题</w:t>
      </w:r>
      <w:bookmarkEnd w:id="173"/>
    </w:p>
    <w:p w14:paraId="3E5F5C47">
      <w:pPr>
        <w:pStyle w:val="5"/>
        <w:spacing w:line="600" w:lineRule="exact"/>
        <w:ind w:firstLine="640" w:firstLineChars="200"/>
        <w:rPr>
          <w:rFonts w:ascii="仿宋_GB2312" w:hAnsi="仿宋_GB2312" w:eastAsia="仿宋_GB2312" w:cs="仿宋_GB2312"/>
          <w:sz w:val="32"/>
          <w:szCs w:val="32"/>
          <w:shd w:val="clear" w:color="auto" w:fill="FFFFFF"/>
          <w:lang w:val="zh-CN"/>
        </w:rPr>
      </w:pPr>
      <w:r>
        <w:rPr>
          <w:rFonts w:hint="eastAsia" w:ascii="仿宋_GB2312" w:hAnsi="仿宋_GB2312" w:eastAsia="仿宋_GB2312" w:cs="仿宋_GB2312"/>
          <w:sz w:val="32"/>
          <w:szCs w:val="32"/>
          <w:shd w:val="clear" w:color="auto" w:fill="FFFFFF"/>
          <w:lang w:val="zh-CN"/>
        </w:rPr>
        <w:t>尽管项目实施取得了显著成果，但仍然存在一些问题。主要问题包括：一是预算资金安排不够完善；二是部分项目资金使用效率较低；三是政策体系不完善，部分政策实施效果不明显，项目管理不够精细。</w:t>
      </w:r>
    </w:p>
    <w:p w14:paraId="1ED93BE2">
      <w:pPr>
        <w:adjustRightInd w:val="0"/>
        <w:snapToGrid w:val="0"/>
        <w:spacing w:line="580" w:lineRule="exact"/>
        <w:ind w:firstLine="720"/>
        <w:outlineLvl w:val="1"/>
        <w:rPr>
          <w:rFonts w:ascii="黑体" w:hAnsi="黑体" w:eastAsia="黑体" w:cs="黑体"/>
          <w:bCs/>
          <w:sz w:val="32"/>
          <w:szCs w:val="32"/>
        </w:rPr>
      </w:pPr>
      <w:bookmarkStart w:id="174" w:name="_Toc31472"/>
      <w:r>
        <w:rPr>
          <w:rFonts w:hint="eastAsia" w:ascii="黑体" w:hAnsi="黑体" w:eastAsia="黑体" w:cs="黑体"/>
          <w:bCs/>
          <w:sz w:val="32"/>
          <w:szCs w:val="32"/>
        </w:rPr>
        <w:t>六、改进建议</w:t>
      </w:r>
      <w:bookmarkEnd w:id="174"/>
    </w:p>
    <w:p w14:paraId="44CA4EA3">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针对上述问题，我们提出以下改进措施建议：</w:t>
      </w:r>
    </w:p>
    <w:p w14:paraId="2CC78057">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（1）优化预算资金安排。对铁路护路项目进行精细化管理，确保资金使用效率最大化。</w:t>
      </w:r>
    </w:p>
    <w:p w14:paraId="375FE40D">
      <w:pPr>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（2）加强专项资金使用。加强对铁路护路资金调研和评估，提高政策实施效果，确保专项资金使用时限。</w:t>
      </w:r>
    </w:p>
    <w:p w14:paraId="6E6A2BF8">
      <w:pPr>
        <w:spacing w:line="600" w:lineRule="exact"/>
        <w:ind w:firstLine="640" w:firstLineChars="200"/>
        <w:rPr>
          <w:rFonts w:ascii="仿宋_GB2312" w:hAnsi="仿宋_GB2312" w:cs="仿宋_GB2312"/>
          <w:kern w:val="0"/>
          <w:shd w:val="clear" w:color="auto" w:fill="FFFFFF"/>
        </w:rPr>
      </w:pPr>
      <w:r>
        <w:rPr>
          <w:rFonts w:hint="eastAsia" w:ascii="仿宋_GB2312" w:hAnsi="Nimbus Roman No9 L" w:eastAsia="仿宋_GB2312" w:cs="Arial"/>
          <w:sz w:val="32"/>
          <w:szCs w:val="32"/>
        </w:rPr>
        <w:t>（3）改进项目管理。建立健全项目资金监管和评估机制，确保项目各个环节的顺利进行。</w:t>
      </w:r>
    </w:p>
    <w:p w14:paraId="54212175">
      <w:pPr>
        <w:spacing w:line="578" w:lineRule="exact"/>
        <w:ind w:firstLine="640"/>
        <w:rPr>
          <w:rFonts w:hint="eastAsia" w:ascii="仿宋_GB2312" w:hAnsi="Nimbus Roman No9 L" w:eastAsia="仿宋_GB2312" w:cs="Arial"/>
          <w:color w:val="FF0000"/>
          <w:sz w:val="32"/>
          <w:szCs w:val="32"/>
        </w:rPr>
      </w:pPr>
    </w:p>
    <w:p w14:paraId="3835A089">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广元市公安局</w:t>
      </w:r>
    </w:p>
    <w:p w14:paraId="60DCEA68">
      <w:pPr>
        <w:pStyle w:val="28"/>
        <w:spacing w:line="578" w:lineRule="exact"/>
        <w:jc w:val="center"/>
        <w:rPr>
          <w:rFonts w:ascii="方正小标宋简体" w:hAnsi="方正小标宋简体" w:eastAsia="方正小标宋简体" w:cs="方正小标宋简体"/>
          <w:color w:val="FF0000"/>
          <w:kern w:val="2"/>
          <w:sz w:val="44"/>
          <w:szCs w:val="44"/>
          <w:lang w:val="en-US"/>
        </w:rPr>
      </w:pPr>
      <w:r>
        <w:rPr>
          <w:rFonts w:hint="eastAsia" w:ascii="方正小标宋简体" w:hAnsi="方正小标宋简体" w:eastAsia="方正小标宋简体" w:cs="方正小标宋简体"/>
          <w:color w:val="auto"/>
          <w:kern w:val="2"/>
          <w:sz w:val="44"/>
          <w:szCs w:val="44"/>
          <w:lang w:val="en-US"/>
        </w:rPr>
        <w:t>乡村振兴工作经费绩效评价报告</w:t>
      </w:r>
    </w:p>
    <w:p w14:paraId="2C5669B3">
      <w:pPr>
        <w:pStyle w:val="28"/>
        <w:spacing w:line="578" w:lineRule="exact"/>
        <w:ind w:firstLine="640"/>
        <w:jc w:val="center"/>
        <w:rPr>
          <w:rFonts w:ascii="宋体" w:hAnsi="宋体"/>
          <w:color w:val="auto"/>
          <w:kern w:val="2"/>
          <w:sz w:val="32"/>
          <w:szCs w:val="32"/>
          <w:lang w:val="en-US"/>
        </w:rPr>
      </w:pPr>
    </w:p>
    <w:p w14:paraId="2CC89BEA">
      <w:pPr>
        <w:adjustRightInd w:val="0"/>
        <w:snapToGrid w:val="0"/>
        <w:spacing w:line="580" w:lineRule="exact"/>
        <w:ind w:firstLine="720"/>
        <w:outlineLvl w:val="1"/>
        <w:rPr>
          <w:rFonts w:ascii="黑体" w:hAnsi="黑体" w:eastAsia="黑体" w:cs="黑体"/>
          <w:bCs/>
          <w:sz w:val="32"/>
          <w:szCs w:val="32"/>
        </w:rPr>
      </w:pPr>
      <w:bookmarkStart w:id="175" w:name="_Toc23043"/>
      <w:r>
        <w:rPr>
          <w:rFonts w:hint="eastAsia" w:ascii="黑体" w:hAnsi="黑体" w:eastAsia="黑体" w:cs="黑体"/>
          <w:bCs/>
          <w:sz w:val="32"/>
          <w:szCs w:val="32"/>
        </w:rPr>
        <w:t>一、项目概况</w:t>
      </w:r>
      <w:bookmarkEnd w:id="175"/>
    </w:p>
    <w:p w14:paraId="57F60847">
      <w:pPr>
        <w:widowControl/>
        <w:adjustRightInd w:val="0"/>
        <w:snapToGrid w:val="0"/>
        <w:spacing w:line="578" w:lineRule="exact"/>
        <w:ind w:firstLine="643" w:firstLineChars="200"/>
        <w:contextualSpacing/>
        <w:jc w:val="left"/>
        <w:rPr>
          <w:rFonts w:hint="eastAsia" w:ascii="仿宋_GB2312" w:hAnsi="Nimbus Roman No9 L" w:eastAsia="仿宋_GB2312" w:cs="Arial"/>
          <w:sz w:val="32"/>
          <w:szCs w:val="32"/>
        </w:rPr>
      </w:pPr>
      <w:r>
        <w:rPr>
          <w:rFonts w:hint="eastAsia" w:ascii="楷体_GB2312" w:hAnsi="宋体" w:eastAsia="楷体_GB2312"/>
          <w:b/>
          <w:sz w:val="32"/>
          <w:szCs w:val="32"/>
          <w:lang w:val="zh-CN"/>
        </w:rPr>
        <w:t>（一）设立背景及基本情况。</w:t>
      </w:r>
      <w:r>
        <w:rPr>
          <w:rFonts w:hint="eastAsia" w:ascii="仿宋_GB2312" w:hAnsi="Nimbus Roman No9 L" w:eastAsia="仿宋_GB2312" w:cs="Arial"/>
          <w:sz w:val="32"/>
          <w:szCs w:val="32"/>
        </w:rPr>
        <w:t>根据市委市政府对乡村振兴工作的统筹安排部署，市公安局按要求派出2个驻村工作队，共6名驻村工作队员，对口帮扶利州区金洞乡青峰村和剑阁县普安镇松林村两个脱贫村，为保障乡村振兴工作有序开展，设立该项目。由市公安局对项目资金执行进度、项目资金使用情况进行监督，对资金的使用及报销进行审核。</w:t>
      </w:r>
    </w:p>
    <w:p w14:paraId="7B1D38E3">
      <w:pPr>
        <w:adjustRightInd w:val="0"/>
        <w:snapToGrid w:val="0"/>
        <w:spacing w:line="560" w:lineRule="exact"/>
        <w:ind w:firstLine="720"/>
        <w:rPr>
          <w:rFonts w:hint="eastAsia" w:ascii="仿宋_GB2312" w:hAnsi="Nimbus Roman No9 L" w:eastAsia="仿宋_GB2312" w:cs="Arial"/>
          <w:sz w:val="32"/>
          <w:szCs w:val="32"/>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r>
        <w:rPr>
          <w:rFonts w:hint="eastAsia" w:ascii="楷体_GB2312" w:hAnsi="宋体" w:eastAsia="楷体_GB2312"/>
          <w:b/>
          <w:sz w:val="32"/>
          <w:szCs w:val="32"/>
          <w:lang w:val="zh-CN"/>
        </w:rPr>
        <w:t>。</w:t>
      </w:r>
      <w:r>
        <w:rPr>
          <w:rFonts w:hint="eastAsia" w:ascii="仿宋_GB2312" w:hAnsi="Nimbus Roman No9 L" w:eastAsia="仿宋_GB2312" w:cs="Arial"/>
          <w:sz w:val="32"/>
          <w:szCs w:val="32"/>
        </w:rPr>
        <w:t>项目主要用于2023年度广元市公安局驻村帮扶工作经费，购买办公用品、印刷乡村振兴宣传资料、公务车辆燃油费、出差差率费、走访慰问脱贫人员、工作队员驻村生活补助等工作支出。</w:t>
      </w:r>
    </w:p>
    <w:p w14:paraId="1EC5C6F9">
      <w:pPr>
        <w:widowControl/>
        <w:adjustRightInd w:val="0"/>
        <w:snapToGrid w:val="0"/>
        <w:spacing w:line="578" w:lineRule="exact"/>
        <w:ind w:firstLine="643" w:firstLineChars="200"/>
        <w:contextualSpacing/>
        <w:jc w:val="left"/>
        <w:rPr>
          <w:rFonts w:ascii="仿宋_GB2312" w:hAnsi="仿宋_GB2312" w:cs="仿宋_GB2312"/>
          <w:kern w:val="0"/>
          <w:shd w:val="clear" w:color="auto" w:fill="FFFFFF"/>
          <w:lang w:val="zh-CN"/>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r>
        <w:rPr>
          <w:rFonts w:hint="eastAsia" w:ascii="楷体_GB2312" w:hAnsi="宋体" w:eastAsia="楷体_GB2312"/>
          <w:b/>
          <w:sz w:val="32"/>
          <w:szCs w:val="32"/>
          <w:lang w:val="zh-CN"/>
        </w:rPr>
        <w:t>。</w:t>
      </w:r>
      <w:r>
        <w:rPr>
          <w:rFonts w:hint="eastAsia" w:ascii="仿宋_GB2312" w:hAnsi="Nimbus Roman No9 L" w:eastAsia="仿宋_GB2312" w:cs="Arial"/>
          <w:sz w:val="32"/>
          <w:szCs w:val="32"/>
        </w:rPr>
        <w:t>根据《四川省驻村第一书记和工作队管理办法》及相关规定，制定了相应的预算安排，预算了2023年度乡村振兴工作购买办公用品，走访慰问费用花费，驻村宣传费用，驻村队员工作经费等费用，共计10.92万元。</w:t>
      </w:r>
    </w:p>
    <w:p w14:paraId="71DE6CA7">
      <w:pPr>
        <w:adjustRightInd w:val="0"/>
        <w:snapToGrid w:val="0"/>
        <w:spacing w:line="578" w:lineRule="exact"/>
        <w:ind w:firstLine="643" w:firstLineChars="200"/>
        <w:rPr>
          <w:rFonts w:hint="eastAsia" w:ascii="仿宋_GB2312" w:hAnsi="Nimbus Roman No9 L" w:eastAsia="仿宋_GB2312" w:cs="Arial"/>
          <w:sz w:val="32"/>
          <w:szCs w:val="32"/>
        </w:rPr>
      </w:pPr>
      <w:r>
        <w:rPr>
          <w:rFonts w:hint="eastAsia" w:ascii="楷体_GB2312" w:hAnsi="宋体" w:eastAsia="楷体_GB2312"/>
          <w:b/>
          <w:sz w:val="32"/>
          <w:szCs w:val="32"/>
          <w:lang w:val="zh-CN"/>
        </w:rPr>
        <w:t>（四）项目绩效目标设置。</w:t>
      </w:r>
      <w:r>
        <w:rPr>
          <w:rFonts w:hint="eastAsia" w:ascii="仿宋_GB2312" w:hAnsi="Nimbus Roman No9 L" w:eastAsia="仿宋_GB2312" w:cs="Arial"/>
          <w:sz w:val="32"/>
          <w:szCs w:val="32"/>
        </w:rPr>
        <w:t>由预算项目申报单位按照市财政局文件要求对项目绩效自评后，报市公安局主管部门对绩效自评情况进行部门审核。市公安局依照相关管理办法，组织警务保障处、审计处、市局纪委及经费预算申报项目单位等，严格按照市财政局项目绩效评价体系对项目进行审核，严格打分。</w:t>
      </w:r>
    </w:p>
    <w:p w14:paraId="33A61D3A">
      <w:pPr>
        <w:adjustRightInd w:val="0"/>
        <w:snapToGrid w:val="0"/>
        <w:spacing w:line="580" w:lineRule="exact"/>
        <w:ind w:firstLine="720"/>
        <w:outlineLvl w:val="1"/>
        <w:rPr>
          <w:rFonts w:ascii="黑体" w:hAnsi="黑体" w:eastAsia="黑体" w:cs="黑体"/>
          <w:bCs/>
          <w:sz w:val="32"/>
          <w:szCs w:val="32"/>
        </w:rPr>
      </w:pPr>
      <w:bookmarkStart w:id="176" w:name="_Toc30130"/>
      <w:r>
        <w:rPr>
          <w:rFonts w:hint="eastAsia" w:ascii="黑体" w:hAnsi="黑体" w:eastAsia="黑体" w:cs="黑体"/>
          <w:bCs/>
          <w:sz w:val="32"/>
          <w:szCs w:val="32"/>
        </w:rPr>
        <w:t>二、评价实施</w:t>
      </w:r>
      <w:bookmarkEnd w:id="176"/>
    </w:p>
    <w:p w14:paraId="1D7BE7BE">
      <w:pPr>
        <w:spacing w:line="578" w:lineRule="exact"/>
        <w:ind w:firstLine="640"/>
        <w:rPr>
          <w:rFonts w:hint="eastAsia" w:ascii="仿宋_GB2312" w:hAnsi="Nimbus Roman No9 L" w:eastAsia="仿宋_GB2312" w:cs="Arial"/>
          <w:sz w:val="32"/>
          <w:szCs w:val="32"/>
        </w:rPr>
      </w:pPr>
      <w:r>
        <w:rPr>
          <w:rFonts w:hint="eastAsia" w:ascii="楷体_GB2312" w:hAnsi="宋体" w:eastAsia="楷体_GB2312"/>
          <w:b/>
          <w:sz w:val="32"/>
          <w:szCs w:val="32"/>
          <w:lang w:val="zh-CN"/>
        </w:rPr>
        <w:t>（一）评价目的。</w:t>
      </w:r>
      <w:r>
        <w:rPr>
          <w:rFonts w:ascii="仿宋_GB2312" w:hAnsi="Nimbus Roman No9 L" w:eastAsia="仿宋_GB2312" w:cs="Arial"/>
          <w:sz w:val="32"/>
          <w:szCs w:val="32"/>
        </w:rPr>
        <w:t>通过</w:t>
      </w:r>
      <w:r>
        <w:rPr>
          <w:rFonts w:hint="eastAsia" w:ascii="仿宋_GB2312" w:hAnsi="Nimbus Roman No9 L" w:eastAsia="仿宋_GB2312" w:cs="Arial"/>
          <w:sz w:val="32"/>
          <w:szCs w:val="32"/>
        </w:rPr>
        <w:t>项目绩效自评，对项目资金使用情况进行评估，及时发现可能存在的问题。</w:t>
      </w:r>
    </w:p>
    <w:p w14:paraId="0A5A19C8">
      <w:pPr>
        <w:adjustRightInd w:val="0"/>
        <w:snapToGrid w:val="0"/>
        <w:spacing w:line="578" w:lineRule="exact"/>
        <w:ind w:firstLine="643" w:firstLineChars="200"/>
        <w:rPr>
          <w:rFonts w:hint="eastAsia" w:ascii="仿宋_GB2312" w:hAnsi="Nimbus Roman No9 L" w:eastAsia="仿宋_GB2312" w:cs="Arial"/>
          <w:sz w:val="32"/>
          <w:szCs w:val="32"/>
        </w:rPr>
      </w:pPr>
      <w:r>
        <w:rPr>
          <w:rFonts w:hint="eastAsia" w:ascii="楷体_GB2312" w:hAnsi="宋体" w:eastAsia="楷体_GB2312"/>
          <w:b/>
          <w:sz w:val="32"/>
          <w:szCs w:val="32"/>
          <w:lang w:val="zh-CN"/>
        </w:rPr>
        <w:t>（二）预设问题及评价重点。</w:t>
      </w:r>
      <w:r>
        <w:rPr>
          <w:rFonts w:hint="eastAsia" w:ascii="仿宋_GB2312" w:hAnsi="Nimbus Roman No9 L" w:eastAsia="仿宋_GB2312" w:cs="Arial"/>
          <w:sz w:val="32"/>
          <w:szCs w:val="32"/>
        </w:rPr>
        <w:t>评价项目是否在预算范围内有效运作，包括成本效益分析和资源利用效率，对资金支出使用全过程及其实施效果进行重点评价和判断。</w:t>
      </w:r>
    </w:p>
    <w:p w14:paraId="267E91BC">
      <w:pPr>
        <w:adjustRightInd w:val="0"/>
        <w:snapToGrid w:val="0"/>
        <w:spacing w:line="578" w:lineRule="exact"/>
        <w:ind w:firstLine="643" w:firstLineChars="200"/>
        <w:rPr>
          <w:rFonts w:hint="eastAsia" w:ascii="仿宋_GB2312" w:hAnsi="Nimbus Roman No9 L" w:eastAsia="仿宋_GB2312" w:cs="Arial"/>
          <w:sz w:val="32"/>
          <w:szCs w:val="32"/>
        </w:rPr>
      </w:pPr>
      <w:r>
        <w:rPr>
          <w:rFonts w:hint="eastAsia" w:ascii="楷体_GB2312" w:hAnsi="宋体" w:eastAsia="楷体_GB2312"/>
          <w:b/>
          <w:sz w:val="32"/>
          <w:szCs w:val="32"/>
          <w:lang w:val="zh-CN"/>
        </w:rPr>
        <w:t>（三）评价选点。</w:t>
      </w:r>
      <w:r>
        <w:rPr>
          <w:rFonts w:hint="eastAsia" w:ascii="仿宋_GB2312" w:hAnsi="Nimbus Roman No9 L" w:eastAsia="仿宋_GB2312" w:cs="Arial"/>
          <w:sz w:val="32"/>
          <w:szCs w:val="32"/>
        </w:rPr>
        <w:t>任务完成达标率，帮扶对象致富率，及时帮扶率，驻村工作时间，帮扶困难户时长。</w:t>
      </w:r>
    </w:p>
    <w:p w14:paraId="299991E8">
      <w:pPr>
        <w:spacing w:line="578" w:lineRule="exact"/>
        <w:ind w:firstLine="640"/>
      </w:pPr>
      <w:r>
        <w:rPr>
          <w:rFonts w:hint="eastAsia" w:ascii="楷体_GB2312" w:hAnsi="宋体" w:eastAsia="楷体_GB2312"/>
          <w:b/>
          <w:sz w:val="32"/>
          <w:szCs w:val="32"/>
          <w:lang w:val="zh-CN"/>
        </w:rPr>
        <w:t>（四）评价方法。</w:t>
      </w:r>
      <w:r>
        <w:rPr>
          <w:rFonts w:hint="eastAsia" w:ascii="仿宋_GB2312" w:hAnsi="Nimbus Roman No9 L" w:eastAsia="仿宋_GB2312" w:cs="Arial"/>
          <w:sz w:val="32"/>
          <w:szCs w:val="32"/>
        </w:rPr>
        <w:t>在脱贫村中实地收集对口帮扶脱贫村村民满意度。</w:t>
      </w:r>
    </w:p>
    <w:p w14:paraId="763AF808">
      <w:pPr>
        <w:spacing w:line="578" w:lineRule="exact"/>
        <w:ind w:firstLine="640"/>
        <w:rPr>
          <w:rFonts w:hint="eastAsia" w:ascii="仿宋_GB2312" w:hAnsi="Nimbus Roman No9 L" w:eastAsia="仿宋_GB2312" w:cs="Arial"/>
          <w:sz w:val="32"/>
          <w:szCs w:val="32"/>
        </w:rPr>
      </w:pPr>
      <w:r>
        <w:rPr>
          <w:rFonts w:hint="eastAsia" w:ascii="楷体_GB2312" w:hAnsi="宋体" w:eastAsia="楷体_GB2312"/>
          <w:b/>
          <w:sz w:val="32"/>
          <w:szCs w:val="32"/>
          <w:lang w:val="zh-CN"/>
        </w:rPr>
        <w:t>（五）评价组织。</w:t>
      </w:r>
      <w:r>
        <w:rPr>
          <w:rFonts w:hint="eastAsia" w:ascii="仿宋_GB2312" w:hAnsi="Nimbus Roman No9 L" w:eastAsia="仿宋_GB2312" w:cs="Arial"/>
          <w:sz w:val="32"/>
          <w:szCs w:val="32"/>
        </w:rPr>
        <w:t>广元市公安局乡村振兴工作队全体人员及驻村工作队对应负责单位。</w:t>
      </w:r>
    </w:p>
    <w:p w14:paraId="5A30F4E8">
      <w:pPr>
        <w:adjustRightInd w:val="0"/>
        <w:snapToGrid w:val="0"/>
        <w:spacing w:line="580" w:lineRule="exact"/>
        <w:ind w:firstLine="720"/>
        <w:outlineLvl w:val="1"/>
        <w:rPr>
          <w:rFonts w:ascii="黑体" w:hAnsi="黑体" w:eastAsia="黑体" w:cs="黑体"/>
          <w:bCs/>
          <w:sz w:val="32"/>
          <w:szCs w:val="32"/>
        </w:rPr>
      </w:pPr>
      <w:bookmarkStart w:id="177" w:name="_Toc3424"/>
      <w:r>
        <w:rPr>
          <w:rFonts w:hint="eastAsia" w:ascii="黑体" w:hAnsi="黑体" w:eastAsia="黑体" w:cs="黑体"/>
          <w:bCs/>
          <w:sz w:val="32"/>
          <w:szCs w:val="32"/>
        </w:rPr>
        <w:t>三、绩效分析</w:t>
      </w:r>
      <w:bookmarkEnd w:id="177"/>
      <w:r>
        <w:rPr>
          <w:rFonts w:hint="eastAsia" w:ascii="黑体" w:hAnsi="黑体" w:eastAsia="黑体" w:cs="黑体"/>
          <w:bCs/>
          <w:sz w:val="32"/>
          <w:szCs w:val="32"/>
        </w:rPr>
        <w:tab/>
      </w:r>
    </w:p>
    <w:p w14:paraId="7A396846">
      <w:pPr>
        <w:spacing w:line="578" w:lineRule="exact"/>
        <w:ind w:firstLine="640"/>
        <w:rPr>
          <w:rFonts w:hint="eastAsia" w:ascii="仿宋_GB2312" w:hAnsi="Nimbus Roman No9 L" w:eastAsia="仿宋_GB2312" w:cs="Arial"/>
          <w:sz w:val="32"/>
          <w:szCs w:val="32"/>
        </w:rPr>
      </w:pPr>
      <w:r>
        <w:rPr>
          <w:rFonts w:hint="eastAsia" w:ascii="楷体_GB2312" w:hAnsi="宋体" w:eastAsia="楷体_GB2312"/>
          <w:b/>
          <w:sz w:val="32"/>
          <w:szCs w:val="32"/>
          <w:lang w:val="zh-CN"/>
        </w:rPr>
        <w:t>（一）通用指标</w:t>
      </w:r>
      <w:r>
        <w:rPr>
          <w:rFonts w:ascii="楷体_GB2312" w:hAnsi="宋体" w:eastAsia="楷体_GB2312"/>
          <w:b/>
          <w:sz w:val="32"/>
          <w:szCs w:val="32"/>
          <w:lang w:val="zh-CN"/>
        </w:rPr>
        <w:t>绩效分析。</w:t>
      </w:r>
      <w:r>
        <w:rPr>
          <w:rFonts w:hint="eastAsia" w:ascii="仿宋_GB2312" w:hAnsi="Nimbus Roman No9 L" w:eastAsia="仿宋_GB2312" w:cs="Arial"/>
          <w:sz w:val="32"/>
          <w:szCs w:val="32"/>
        </w:rPr>
        <w:t>利州区青峰村和剑阁县松林村驻村工作队按照工作任务需求，规范使用项目预算资金，支付依据合规合法，资金支付与预算相符，资金执行率100%。对口帮扶脱贫村民众收益不断增加，集体经济不断壮大，民众幸福感、满意感不断提升。</w:t>
      </w:r>
    </w:p>
    <w:p w14:paraId="5222C719">
      <w:pPr>
        <w:spacing w:line="578" w:lineRule="exact"/>
        <w:ind w:firstLine="643" w:firstLineChars="200"/>
        <w:rPr>
          <w:rFonts w:hint="eastAsia" w:ascii="仿宋_GB2312" w:hAnsi="Nimbus Roman No9 L" w:eastAsia="仿宋_GB2312" w:cs="Arial"/>
          <w:sz w:val="32"/>
          <w:szCs w:val="32"/>
        </w:rPr>
      </w:pPr>
      <w:r>
        <w:rPr>
          <w:rFonts w:hint="eastAsia" w:ascii="楷体_GB2312" w:hAnsi="宋体" w:eastAsia="楷体_GB2312"/>
          <w:b/>
          <w:sz w:val="32"/>
          <w:szCs w:val="32"/>
          <w:lang w:val="zh-CN"/>
        </w:rPr>
        <w:t>（二）专用指标</w:t>
      </w:r>
      <w:r>
        <w:rPr>
          <w:rFonts w:ascii="楷体_GB2312" w:hAnsi="宋体" w:eastAsia="楷体_GB2312"/>
          <w:b/>
          <w:sz w:val="32"/>
          <w:szCs w:val="32"/>
          <w:lang w:val="zh-CN"/>
        </w:rPr>
        <w:t>绩效分析。</w:t>
      </w:r>
      <w:r>
        <w:rPr>
          <w:rFonts w:hint="eastAsia" w:ascii="仿宋_GB2312" w:hAnsi="Nimbus Roman No9 L" w:eastAsia="仿宋_GB2312" w:cs="Arial"/>
          <w:sz w:val="32"/>
          <w:szCs w:val="32"/>
        </w:rPr>
        <w:t>本项目资金在行政运转指标方面按照了相应规定用途、适用范围进行专项资金分配，资金管理程序符合专项资金管理，资金分配标准符合专项资金管理要求。</w:t>
      </w:r>
    </w:p>
    <w:p w14:paraId="6B6015F2">
      <w:pPr>
        <w:spacing w:line="578" w:lineRule="exact"/>
        <w:ind w:firstLine="640"/>
        <w:rPr>
          <w:rFonts w:hint="eastAsia" w:ascii="仿宋_GB2312" w:hAnsi="Nimbus Roman No9 L" w:eastAsia="仿宋_GB2312" w:cs="Arial"/>
          <w:sz w:val="32"/>
          <w:szCs w:val="32"/>
        </w:rPr>
      </w:pPr>
      <w:r>
        <w:rPr>
          <w:rFonts w:hint="eastAsia" w:ascii="楷体_GB2312" w:hAnsi="宋体" w:eastAsia="楷体_GB2312"/>
          <w:b/>
          <w:sz w:val="32"/>
          <w:szCs w:val="32"/>
          <w:lang w:val="zh-CN"/>
        </w:rPr>
        <w:t>（三）个性指标</w:t>
      </w:r>
      <w:r>
        <w:rPr>
          <w:rFonts w:ascii="楷体_GB2312" w:hAnsi="宋体" w:eastAsia="楷体_GB2312"/>
          <w:b/>
          <w:sz w:val="32"/>
          <w:szCs w:val="32"/>
          <w:lang w:val="zh-CN"/>
        </w:rPr>
        <w:t>绩效分析。</w:t>
      </w:r>
      <w:r>
        <w:rPr>
          <w:rFonts w:hint="eastAsia" w:ascii="仿宋_GB2312" w:hAnsi="Nimbus Roman No9 L" w:eastAsia="仿宋_GB2312" w:cs="Arial"/>
          <w:sz w:val="32"/>
          <w:szCs w:val="32"/>
        </w:rPr>
        <w:t>本项目资金为市公安局对口帮扶的两个脱贫村带来了产业发展成效，驻村帮扶持续开展，各项任务有力推进，乡村集体经济不断壮大，村民收益逐年提升。</w:t>
      </w:r>
    </w:p>
    <w:p w14:paraId="0C7BB337">
      <w:pPr>
        <w:adjustRightInd w:val="0"/>
        <w:snapToGrid w:val="0"/>
        <w:spacing w:line="580" w:lineRule="exact"/>
        <w:ind w:firstLine="720"/>
        <w:outlineLvl w:val="1"/>
        <w:rPr>
          <w:rFonts w:ascii="黑体" w:hAnsi="黑体" w:eastAsia="黑体" w:cs="黑体"/>
          <w:bCs/>
          <w:sz w:val="32"/>
          <w:szCs w:val="32"/>
        </w:rPr>
      </w:pPr>
      <w:bookmarkStart w:id="178" w:name="_Toc1489"/>
      <w:r>
        <w:rPr>
          <w:rFonts w:hint="eastAsia" w:ascii="黑体" w:hAnsi="黑体" w:eastAsia="黑体" w:cs="黑体"/>
          <w:bCs/>
          <w:sz w:val="32"/>
          <w:szCs w:val="32"/>
        </w:rPr>
        <w:t>四、评价结论</w:t>
      </w:r>
      <w:bookmarkEnd w:id="178"/>
    </w:p>
    <w:p w14:paraId="16EC4EBE">
      <w:pPr>
        <w:pStyle w:val="5"/>
        <w:spacing w:line="600" w:lineRule="exact"/>
        <w:ind w:firstLine="640" w:firstLineChars="200"/>
        <w:rPr>
          <w:rFonts w:ascii="黑体" w:hAnsi="黑体" w:cs="黑体"/>
          <w:sz w:val="32"/>
          <w:szCs w:val="32"/>
        </w:rPr>
      </w:pPr>
      <w:r>
        <w:rPr>
          <w:rFonts w:hint="eastAsia" w:ascii="仿宋_GB2312" w:hAnsi="Nimbus Roman No9 L" w:eastAsia="仿宋_GB2312" w:cs="Arial"/>
          <w:sz w:val="32"/>
          <w:szCs w:val="32"/>
        </w:rPr>
        <w:t>经过专项预算项目绩效自评，该项目总体运行实施情况较好，项目得分96分</w:t>
      </w:r>
      <w:r>
        <w:rPr>
          <w:rFonts w:hint="eastAsia" w:ascii="仿宋_GB2312" w:hAnsi="仿宋_GB2312" w:eastAsia="仿宋_GB2312" w:cs="仿宋_GB2312"/>
          <w:sz w:val="32"/>
          <w:szCs w:val="32"/>
          <w:lang w:val="zh-CN"/>
        </w:rPr>
        <w:t>。</w:t>
      </w:r>
    </w:p>
    <w:p w14:paraId="4EF01269">
      <w:pPr>
        <w:adjustRightInd w:val="0"/>
        <w:snapToGrid w:val="0"/>
        <w:spacing w:line="580" w:lineRule="exact"/>
        <w:ind w:firstLine="720"/>
        <w:outlineLvl w:val="1"/>
        <w:rPr>
          <w:rFonts w:ascii="黑体" w:hAnsi="黑体" w:eastAsia="黑体" w:cs="黑体"/>
          <w:bCs/>
          <w:sz w:val="32"/>
          <w:szCs w:val="32"/>
        </w:rPr>
      </w:pPr>
      <w:bookmarkStart w:id="179" w:name="_Toc7933"/>
      <w:r>
        <w:rPr>
          <w:rFonts w:hint="eastAsia" w:ascii="黑体" w:hAnsi="黑体" w:eastAsia="黑体" w:cs="黑体"/>
          <w:bCs/>
          <w:sz w:val="32"/>
          <w:szCs w:val="32"/>
        </w:rPr>
        <w:t>五、存在主要问题</w:t>
      </w:r>
      <w:bookmarkEnd w:id="179"/>
    </w:p>
    <w:p w14:paraId="6C016B33">
      <w:pPr>
        <w:pStyle w:val="5"/>
        <w:spacing w:line="600" w:lineRule="exact"/>
        <w:ind w:firstLine="640" w:firstLineChars="200"/>
        <w:rPr>
          <w:rFonts w:ascii="黑体" w:hAnsi="黑体" w:cs="黑体"/>
          <w:sz w:val="32"/>
          <w:szCs w:val="32"/>
        </w:rPr>
      </w:pPr>
      <w:r>
        <w:rPr>
          <w:rFonts w:hint="eastAsia" w:ascii="仿宋_GB2312" w:hAnsi="仿宋_GB2312" w:eastAsia="仿宋_GB2312" w:cs="仿宋_GB2312"/>
          <w:sz w:val="32"/>
          <w:szCs w:val="32"/>
        </w:rPr>
        <w:t>可以进一步扩大专项预算项目成效。</w:t>
      </w:r>
    </w:p>
    <w:p w14:paraId="1B34DC75">
      <w:pPr>
        <w:adjustRightInd w:val="0"/>
        <w:snapToGrid w:val="0"/>
        <w:spacing w:line="580" w:lineRule="exact"/>
        <w:ind w:firstLine="720"/>
        <w:outlineLvl w:val="1"/>
        <w:rPr>
          <w:rFonts w:ascii="黑体" w:hAnsi="黑体" w:eastAsia="黑体" w:cs="黑体"/>
          <w:bCs/>
          <w:sz w:val="32"/>
          <w:szCs w:val="32"/>
        </w:rPr>
      </w:pPr>
      <w:bookmarkStart w:id="180" w:name="_Toc18737"/>
      <w:r>
        <w:rPr>
          <w:rFonts w:hint="eastAsia" w:ascii="黑体" w:hAnsi="黑体" w:eastAsia="黑体" w:cs="黑体"/>
          <w:bCs/>
          <w:sz w:val="32"/>
          <w:szCs w:val="32"/>
        </w:rPr>
        <w:t>六、改进建议</w:t>
      </w:r>
      <w:bookmarkEnd w:id="180"/>
    </w:p>
    <w:p w14:paraId="07F0C4E4">
      <w:pPr>
        <w:tabs>
          <w:tab w:val="left" w:pos="1911"/>
        </w:tabs>
        <w:ind w:firstLine="640" w:firstLineChars="200"/>
        <w:jc w:val="left"/>
        <w:rPr>
          <w:rFonts w:hint="eastAsia" w:ascii="仿宋_GB2312" w:hAnsi="Nimbus Roman No9 L" w:eastAsia="仿宋_GB2312" w:cs="Arial"/>
          <w:sz w:val="32"/>
          <w:szCs w:val="32"/>
        </w:rPr>
      </w:pPr>
      <w:r>
        <w:rPr>
          <w:rFonts w:hint="eastAsia" w:ascii="仿宋_GB2312" w:hAnsi="Nimbus Roman No9 L" w:eastAsia="仿宋_GB2312" w:cs="Arial"/>
          <w:sz w:val="32"/>
          <w:szCs w:val="32"/>
        </w:rPr>
        <w:t>当前驻村开展乡村振兴工作主要是加强返贫预防检测，巩固脱贫攻坚成果，壮大村集体经济产业，可以适当增加工作经费，加强对驻村集体经济的帮扶力度。</w:t>
      </w:r>
    </w:p>
    <w:p w14:paraId="5718679F">
      <w:pPr>
        <w:pStyle w:val="28"/>
        <w:spacing w:line="578" w:lineRule="exact"/>
        <w:jc w:val="center"/>
        <w:rPr>
          <w:rFonts w:ascii="方正小标宋简体" w:hAnsi="方正小标宋简体" w:eastAsia="方正小标宋简体" w:cs="方正小标宋简体"/>
          <w:color w:val="auto"/>
          <w:kern w:val="2"/>
          <w:sz w:val="44"/>
          <w:szCs w:val="44"/>
          <w:lang w:val="en-US"/>
        </w:rPr>
      </w:pPr>
    </w:p>
    <w:p w14:paraId="0C814612">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广元市公安局</w:t>
      </w:r>
    </w:p>
    <w:p w14:paraId="0A8E5E83">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刑事诉讼大宗涉案财物保管中心运行经费绩效评价报告</w:t>
      </w:r>
    </w:p>
    <w:p w14:paraId="71FA02C3">
      <w:pPr>
        <w:pStyle w:val="28"/>
        <w:spacing w:line="578" w:lineRule="exact"/>
        <w:ind w:firstLine="640"/>
        <w:jc w:val="center"/>
        <w:rPr>
          <w:rFonts w:ascii="宋体" w:hAnsi="宋体"/>
          <w:color w:val="auto"/>
          <w:kern w:val="2"/>
          <w:sz w:val="32"/>
          <w:szCs w:val="32"/>
        </w:rPr>
      </w:pPr>
    </w:p>
    <w:p w14:paraId="67E8675C">
      <w:pPr>
        <w:adjustRightInd w:val="0"/>
        <w:snapToGrid w:val="0"/>
        <w:spacing w:line="580" w:lineRule="exact"/>
        <w:ind w:firstLine="720"/>
        <w:outlineLvl w:val="1"/>
        <w:rPr>
          <w:rFonts w:ascii="黑体" w:hAnsi="黑体" w:eastAsia="黑体" w:cs="黑体"/>
          <w:bCs/>
          <w:sz w:val="32"/>
          <w:szCs w:val="32"/>
        </w:rPr>
      </w:pPr>
      <w:bookmarkStart w:id="181" w:name="_Toc12768"/>
      <w:r>
        <w:rPr>
          <w:rFonts w:hint="eastAsia" w:ascii="黑体" w:hAnsi="黑体" w:eastAsia="黑体" w:cs="黑体"/>
          <w:bCs/>
          <w:sz w:val="32"/>
          <w:szCs w:val="32"/>
        </w:rPr>
        <w:t>一、项目概况</w:t>
      </w:r>
      <w:bookmarkEnd w:id="181"/>
    </w:p>
    <w:p w14:paraId="49F17B63">
      <w:pPr>
        <w:tabs>
          <w:tab w:val="left" w:pos="1911"/>
        </w:tabs>
        <w:ind w:firstLine="643" w:firstLineChars="200"/>
        <w:jc w:val="left"/>
        <w:rPr>
          <w:rFonts w:hint="eastAsia" w:ascii="仿宋_GB2312" w:hAnsi="Nimbus Roman No9 L" w:eastAsia="仿宋_GB2312" w:cs="Arial"/>
          <w:sz w:val="32"/>
          <w:szCs w:val="32"/>
        </w:rPr>
      </w:pPr>
      <w:r>
        <w:rPr>
          <w:rFonts w:hint="eastAsia" w:ascii="楷体_GB2312" w:hAnsi="宋体" w:eastAsia="楷体_GB2312"/>
          <w:b/>
          <w:sz w:val="32"/>
          <w:szCs w:val="32"/>
          <w:lang w:val="zh-CN"/>
        </w:rPr>
        <w:t>（一）设立背景及基本情况。</w:t>
      </w:r>
      <w:r>
        <w:rPr>
          <w:rFonts w:hint="eastAsia" w:ascii="仿宋_GB2312" w:hAnsi="Nimbus Roman No9 L" w:eastAsia="仿宋_GB2312" w:cs="Arial"/>
          <w:sz w:val="32"/>
          <w:szCs w:val="32"/>
        </w:rPr>
        <w:t>建设我市刑事诉讼大宗涉案财物集中保管中心是中央司法体制改革的要求。规范刑事诉讼涉案财物管理是中央部署的一项推进司法体制改革的重要任务，事关当事人财产权益保护和严格公正执法。2015年1月24日</w:t>
      </w:r>
      <w:r>
        <w:rPr>
          <w:rFonts w:hint="eastAsia" w:ascii="仿宋_GB2312" w:hAnsi="Nimbus Roman No9 L" w:eastAsia="仿宋_GB2312" w:cs="Arial"/>
          <w:sz w:val="32"/>
          <w:szCs w:val="32"/>
          <w:lang w:eastAsia="zh-CN"/>
        </w:rPr>
        <w:t>，</w:t>
      </w:r>
      <w:r>
        <w:rPr>
          <w:rFonts w:hint="eastAsia" w:ascii="仿宋_GB2312" w:hAnsi="Nimbus Roman No9 L" w:eastAsia="仿宋_GB2312" w:cs="Arial"/>
          <w:sz w:val="32"/>
          <w:szCs w:val="32"/>
        </w:rPr>
        <w:t>中共中央办公厅、国务院办公厅下发《关于进一步规范刑事诉讼涉案财物处置工作的意见》（中办发〔2015〕7号），要求建立办案部门与保管部门、办案人员与保管人员相互制约的涉案财物保管制度。二是全省的硬性工作任务。</w:t>
      </w:r>
    </w:p>
    <w:p w14:paraId="1FA696BF">
      <w:pPr>
        <w:tabs>
          <w:tab w:val="left" w:pos="1911"/>
        </w:tabs>
        <w:ind w:firstLine="640" w:firstLineChars="200"/>
        <w:jc w:val="left"/>
        <w:rPr>
          <w:rFonts w:hint="eastAsia" w:ascii="仿宋_GB2312" w:hAnsi="Nimbus Roman No9 L" w:eastAsia="仿宋_GB2312" w:cs="Arial"/>
          <w:sz w:val="32"/>
          <w:szCs w:val="32"/>
        </w:rPr>
      </w:pPr>
      <w:r>
        <w:rPr>
          <w:rFonts w:hint="eastAsia" w:ascii="仿宋_GB2312" w:hAnsi="Nimbus Roman No9 L" w:eastAsia="仿宋_GB2312" w:cs="Arial"/>
          <w:sz w:val="32"/>
          <w:szCs w:val="32"/>
        </w:rPr>
        <w:t>2017年市政府第14次常务会议决定同意该项目，建成后运行费项目打捆包干不超过150万元。市刑事诉讼大宗涉案财物集中保管中心主要承担市本级和利州、昭化、朝天、经开区政法部门存放的各类涉案财物，保障刑事诉讼的正常进行，保护当事人的合法权益。广元市公安局受市委政法委的委托，全面履行运行管理职责。</w:t>
      </w:r>
    </w:p>
    <w:p w14:paraId="6C226652">
      <w:pPr>
        <w:adjustRightInd w:val="0"/>
        <w:snapToGrid w:val="0"/>
        <w:spacing w:line="600" w:lineRule="exact"/>
        <w:ind w:firstLine="720"/>
        <w:rPr>
          <w:rFonts w:hint="eastAsia" w:ascii="仿宋_GB2312" w:hAnsi="Nimbus Roman No9 L" w:eastAsia="仿宋_GB2312" w:cs="Arial"/>
          <w:sz w:val="32"/>
          <w:szCs w:val="32"/>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r>
        <w:rPr>
          <w:rFonts w:hint="eastAsia" w:ascii="楷体_GB2312" w:hAnsi="宋体" w:eastAsia="楷体_GB2312"/>
          <w:b/>
          <w:sz w:val="32"/>
          <w:szCs w:val="32"/>
          <w:lang w:val="zh-CN"/>
        </w:rPr>
        <w:t>。</w:t>
      </w:r>
      <w:r>
        <w:rPr>
          <w:rFonts w:hint="eastAsia" w:ascii="仿宋_GB2312" w:hAnsi="Nimbus Roman No9 L" w:eastAsia="仿宋_GB2312" w:cs="Arial"/>
          <w:sz w:val="32"/>
          <w:szCs w:val="32"/>
        </w:rPr>
        <w:t>根据政法部门刑事诉讼的要求和涉案财物的特点，需要租赁专门的保管场所对涉案财物进行统一的保管，同时也需要专门的人员进行守护，确保涉案财物不发生损毁、丢失等情形。依照市刑事诉讼大宗涉案财物集中保管中心的业务量和规模，需要15人的保安团队承担安保职责，场地租赁和安保服务两项合计每年需要263.9万元的运行费。申报的专项资金费符合涉案财物集中保管的特殊性和工作实际，保障刑事诉讼活动的顺利进行，维护了社会的稳定和谐。</w:t>
      </w:r>
    </w:p>
    <w:p w14:paraId="42D9CC66">
      <w:pPr>
        <w:adjustRightInd w:val="0"/>
        <w:snapToGrid w:val="0"/>
        <w:spacing w:line="600" w:lineRule="exact"/>
        <w:ind w:firstLine="720"/>
        <w:rPr>
          <w:rFonts w:hint="eastAsia" w:ascii="仿宋_GB2312" w:hAnsi="Nimbus Roman No9 L" w:eastAsia="仿宋_GB2312" w:cs="Arial"/>
          <w:sz w:val="32"/>
          <w:szCs w:val="32"/>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r>
        <w:rPr>
          <w:rFonts w:hint="eastAsia" w:ascii="楷体_GB2312" w:hAnsi="宋体" w:eastAsia="楷体_GB2312"/>
          <w:b/>
          <w:sz w:val="32"/>
          <w:szCs w:val="32"/>
          <w:lang w:val="zh-CN"/>
        </w:rPr>
        <w:t>。</w:t>
      </w:r>
      <w:r>
        <w:rPr>
          <w:rFonts w:hint="eastAsia" w:ascii="仿宋_GB2312" w:hAnsi="Nimbus Roman No9 L" w:eastAsia="仿宋_GB2312" w:cs="Arial"/>
          <w:sz w:val="32"/>
          <w:szCs w:val="32"/>
        </w:rPr>
        <w:t>2022年市财政局下拨市刑事诉讼大宗涉案财物集中保管中心运行费资金263.9万元项目资金到位263.9万元，到位率100%。资金使用专款专用，资金使用合法合规，严格按照预算进度执行，执行率100%。</w:t>
      </w:r>
    </w:p>
    <w:p w14:paraId="3E070009">
      <w:pPr>
        <w:adjustRightInd w:val="0"/>
        <w:snapToGrid w:val="0"/>
        <w:spacing w:line="578" w:lineRule="exact"/>
        <w:ind w:firstLine="643" w:firstLineChars="200"/>
        <w:rPr>
          <w:rFonts w:hint="eastAsia" w:ascii="仿宋_GB2312" w:hAnsi="Nimbus Roman No9 L" w:eastAsia="仿宋_GB2312" w:cs="Arial"/>
          <w:sz w:val="32"/>
          <w:szCs w:val="32"/>
        </w:rPr>
      </w:pPr>
      <w:r>
        <w:rPr>
          <w:rFonts w:hint="eastAsia" w:ascii="楷体_GB2312" w:hAnsi="宋体" w:eastAsia="楷体_GB2312"/>
          <w:b/>
          <w:sz w:val="32"/>
          <w:szCs w:val="32"/>
          <w:lang w:val="zh-CN"/>
        </w:rPr>
        <w:t>（四）项目绩效目标设置。</w:t>
      </w:r>
      <w:r>
        <w:rPr>
          <w:rFonts w:hint="eastAsia" w:ascii="仿宋_GB2312" w:hAnsi="Nimbus Roman No9 L" w:eastAsia="仿宋_GB2312" w:cs="Arial"/>
          <w:sz w:val="32"/>
          <w:szCs w:val="32"/>
        </w:rPr>
        <w:t>年初设置了年度目标任务，设置了产出指标、效益指标、成本指标和满意度指标4个一级指标，数量指标、质量指标、时效指标等8个二级指标，接收县区涉案财物数、接收市级政法单位涉案财物数、接收监察委涉案财物数等19个三级指标。按照年初既定目标，认真开展预算绩效自评，对指标完成情况进行梳理填报，自评情况良好。</w:t>
      </w:r>
    </w:p>
    <w:p w14:paraId="6E6D30E3">
      <w:pPr>
        <w:adjustRightInd w:val="0"/>
        <w:snapToGrid w:val="0"/>
        <w:spacing w:line="580" w:lineRule="exact"/>
        <w:ind w:firstLine="720"/>
        <w:outlineLvl w:val="1"/>
        <w:rPr>
          <w:rFonts w:ascii="黑体" w:hAnsi="黑体" w:eastAsia="黑体" w:cs="黑体"/>
          <w:bCs/>
          <w:sz w:val="32"/>
          <w:szCs w:val="32"/>
        </w:rPr>
      </w:pPr>
      <w:bookmarkStart w:id="182" w:name="_Toc10404"/>
      <w:r>
        <w:rPr>
          <w:rFonts w:hint="eastAsia" w:ascii="黑体" w:hAnsi="黑体" w:eastAsia="黑体" w:cs="黑体"/>
          <w:bCs/>
          <w:sz w:val="32"/>
          <w:szCs w:val="32"/>
        </w:rPr>
        <w:t>二、评价实施</w:t>
      </w:r>
      <w:bookmarkEnd w:id="182"/>
    </w:p>
    <w:p w14:paraId="4A8C51D3">
      <w:pPr>
        <w:spacing w:line="578" w:lineRule="exact"/>
        <w:ind w:firstLine="640"/>
        <w:rPr>
          <w:rFonts w:hint="eastAsia" w:ascii="仿宋_GB2312" w:hAnsi="Nimbus Roman No9 L" w:eastAsia="仿宋_GB2312" w:cs="Arial"/>
          <w:sz w:val="32"/>
          <w:szCs w:val="32"/>
        </w:rPr>
      </w:pPr>
      <w:r>
        <w:rPr>
          <w:rFonts w:hint="eastAsia" w:ascii="楷体_GB2312" w:hAnsi="宋体" w:eastAsia="楷体_GB2312"/>
          <w:b/>
          <w:sz w:val="32"/>
          <w:szCs w:val="32"/>
          <w:lang w:val="zh-CN"/>
        </w:rPr>
        <w:t>（一）评价目的。</w:t>
      </w:r>
      <w:r>
        <w:rPr>
          <w:rFonts w:ascii="仿宋_GB2312" w:hAnsi="Nimbus Roman No9 L" w:eastAsia="仿宋_GB2312" w:cs="Arial"/>
          <w:sz w:val="32"/>
          <w:szCs w:val="32"/>
        </w:rPr>
        <w:t>通过</w:t>
      </w:r>
      <w:r>
        <w:rPr>
          <w:rFonts w:hint="eastAsia" w:ascii="仿宋_GB2312" w:hAnsi="Nimbus Roman No9 L" w:eastAsia="仿宋_GB2312" w:cs="Arial"/>
          <w:sz w:val="32"/>
          <w:szCs w:val="32"/>
        </w:rPr>
        <w:t>项目绩效自评提高财政资金的使用效益，确保资金得到合理有效的利用；进一步加强预算执行进度的监督管理，及时发现该项目预算执行中存在的问题并做出相应的解决措施，为来年该项目的申报提供科学合理的标准。</w:t>
      </w:r>
    </w:p>
    <w:p w14:paraId="6E4D7FB7">
      <w:pPr>
        <w:spacing w:line="578" w:lineRule="exact"/>
        <w:ind w:firstLine="640"/>
      </w:pPr>
    </w:p>
    <w:p w14:paraId="2F52F0A2">
      <w:pPr>
        <w:adjustRightInd w:val="0"/>
        <w:snapToGrid w:val="0"/>
        <w:spacing w:line="600" w:lineRule="exact"/>
        <w:ind w:firstLine="720"/>
        <w:rPr>
          <w:rFonts w:hint="eastAsia" w:ascii="仿宋_GB2312" w:hAnsi="Nimbus Roman No9 L" w:eastAsia="仿宋_GB2312" w:cs="Arial"/>
          <w:sz w:val="32"/>
          <w:szCs w:val="32"/>
        </w:rPr>
      </w:pPr>
      <w:r>
        <w:rPr>
          <w:rFonts w:hint="eastAsia" w:ascii="楷体_GB2312" w:hAnsi="宋体" w:eastAsia="楷体_GB2312"/>
          <w:b/>
          <w:sz w:val="32"/>
          <w:szCs w:val="32"/>
          <w:lang w:val="zh-CN"/>
        </w:rPr>
        <w:t>（二）预设问题及评价重点。</w:t>
      </w:r>
      <w:r>
        <w:rPr>
          <w:rFonts w:hint="eastAsia" w:ascii="仿宋_GB2312" w:hAnsi="Nimbus Roman No9 L" w:eastAsia="仿宋_GB2312" w:cs="Arial"/>
          <w:sz w:val="32"/>
          <w:szCs w:val="32"/>
        </w:rPr>
        <w:t>本项目预设“场地租赁和安保服务两项服务资金使用是否合理？”该项目由法制信访支队牵头，邀请市局警保处、审计处、组局纪检监察组对资金的使用全程监督，对项目资金严格执行财务管理制度，法制信访支队逐月经行考核，使财政资金达到了最大的效益。</w:t>
      </w:r>
    </w:p>
    <w:p w14:paraId="2AEA322B">
      <w:pPr>
        <w:adjustRightInd w:val="0"/>
        <w:snapToGrid w:val="0"/>
        <w:spacing w:line="578" w:lineRule="exact"/>
        <w:ind w:firstLine="643" w:firstLineChars="200"/>
        <w:rPr>
          <w:rFonts w:hint="eastAsia" w:ascii="仿宋_GB2312" w:hAnsi="Nimbus Roman No9 L" w:eastAsia="仿宋_GB2312" w:cs="Arial"/>
          <w:sz w:val="32"/>
          <w:szCs w:val="32"/>
        </w:rPr>
      </w:pPr>
      <w:r>
        <w:rPr>
          <w:rFonts w:hint="eastAsia" w:ascii="楷体_GB2312" w:hAnsi="宋体" w:eastAsia="楷体_GB2312"/>
          <w:b/>
          <w:sz w:val="32"/>
          <w:szCs w:val="32"/>
          <w:lang w:val="zh-CN"/>
        </w:rPr>
        <w:t>（三）评价选点。</w:t>
      </w:r>
      <w:r>
        <w:rPr>
          <w:rFonts w:hint="eastAsia" w:ascii="仿宋_GB2312" w:hAnsi="Nimbus Roman No9 L" w:eastAsia="仿宋_GB2312" w:cs="Arial"/>
          <w:sz w:val="32"/>
          <w:szCs w:val="32"/>
        </w:rPr>
        <w:t>涉案财物保管完好率、涉案财物流转率、涉案财物接收率。</w:t>
      </w:r>
    </w:p>
    <w:p w14:paraId="488109D3">
      <w:pPr>
        <w:adjustRightInd w:val="0"/>
        <w:snapToGrid w:val="0"/>
        <w:spacing w:line="600" w:lineRule="exact"/>
        <w:ind w:firstLine="720"/>
        <w:rPr>
          <w:rFonts w:hint="eastAsia" w:ascii="仿宋_GB2312" w:hAnsi="Nimbus Roman No9 L" w:eastAsia="仿宋_GB2312" w:cs="Arial"/>
          <w:sz w:val="32"/>
          <w:szCs w:val="32"/>
        </w:rPr>
      </w:pPr>
      <w:r>
        <w:rPr>
          <w:rFonts w:hint="eastAsia" w:ascii="楷体_GB2312" w:hAnsi="宋体" w:eastAsia="楷体_GB2312"/>
          <w:b/>
          <w:sz w:val="32"/>
          <w:szCs w:val="32"/>
          <w:lang w:val="zh-CN"/>
        </w:rPr>
        <w:t>（四）评价方法。</w:t>
      </w:r>
      <w:r>
        <w:rPr>
          <w:rFonts w:ascii="仿宋_GB2312" w:hAnsi="Nimbus Roman No9 L" w:eastAsia="仿宋_GB2312" w:cs="Arial"/>
          <w:sz w:val="32"/>
          <w:szCs w:val="32"/>
        </w:rPr>
        <w:t>根据项目情况和评价重点，</w:t>
      </w:r>
      <w:r>
        <w:rPr>
          <w:rFonts w:hint="eastAsia" w:ascii="仿宋_GB2312" w:hAnsi="Nimbus Roman No9 L" w:eastAsia="仿宋_GB2312" w:cs="Arial"/>
          <w:sz w:val="32"/>
          <w:szCs w:val="32"/>
        </w:rPr>
        <w:t>我单位采取</w:t>
      </w:r>
      <w:r>
        <w:rPr>
          <w:rFonts w:ascii="仿宋_GB2312" w:hAnsi="Nimbus Roman No9 L" w:eastAsia="仿宋_GB2312" w:cs="Arial"/>
          <w:sz w:val="32"/>
          <w:szCs w:val="32"/>
        </w:rPr>
        <w:t>单位自评法</w:t>
      </w:r>
      <w:r>
        <w:rPr>
          <w:rFonts w:hint="eastAsia" w:ascii="仿宋_GB2312" w:hAnsi="Nimbus Roman No9 L" w:eastAsia="仿宋_GB2312" w:cs="Arial"/>
          <w:sz w:val="32"/>
          <w:szCs w:val="32"/>
        </w:rPr>
        <w:t>对该项目预算绩效开展自评。</w:t>
      </w:r>
    </w:p>
    <w:p w14:paraId="35F8EE7A">
      <w:pPr>
        <w:spacing w:line="578" w:lineRule="exact"/>
        <w:ind w:firstLine="640"/>
        <w:rPr>
          <w:rFonts w:hint="eastAsia" w:ascii="仿宋_GB2312" w:hAnsi="Nimbus Roman No9 L" w:eastAsia="仿宋_GB2312" w:cs="Arial"/>
          <w:sz w:val="32"/>
          <w:szCs w:val="32"/>
        </w:rPr>
      </w:pPr>
      <w:r>
        <w:rPr>
          <w:rFonts w:hint="eastAsia" w:ascii="楷体_GB2312" w:hAnsi="宋体" w:eastAsia="楷体_GB2312"/>
          <w:b/>
          <w:sz w:val="32"/>
          <w:szCs w:val="32"/>
          <w:lang w:val="zh-CN"/>
        </w:rPr>
        <w:t>（五）评价组织。</w:t>
      </w:r>
      <w:r>
        <w:rPr>
          <w:rFonts w:hint="eastAsia" w:ascii="仿宋_GB2312" w:hAnsi="Nimbus Roman No9 L" w:eastAsia="仿宋_GB2312" w:cs="Arial"/>
          <w:sz w:val="32"/>
          <w:szCs w:val="32"/>
        </w:rPr>
        <w:t>按照广元市公安局《预算绩效管理办法（试行）》，该项目自评工作由市公安局法制信访支队牵头，警保处、审计处、组局纪检组等部门协助，围绕总体目标、绩效指标的完成情况及使用效益开展。</w:t>
      </w:r>
    </w:p>
    <w:p w14:paraId="62988387">
      <w:pPr>
        <w:adjustRightInd w:val="0"/>
        <w:snapToGrid w:val="0"/>
        <w:spacing w:line="580" w:lineRule="exact"/>
        <w:ind w:firstLine="720"/>
        <w:outlineLvl w:val="1"/>
        <w:rPr>
          <w:rFonts w:ascii="黑体" w:hAnsi="黑体" w:eastAsia="黑体" w:cs="黑体"/>
          <w:bCs/>
          <w:sz w:val="32"/>
          <w:szCs w:val="32"/>
        </w:rPr>
      </w:pPr>
      <w:bookmarkStart w:id="183" w:name="_Toc15824"/>
      <w:r>
        <w:rPr>
          <w:rFonts w:hint="eastAsia" w:ascii="黑体" w:hAnsi="黑体" w:eastAsia="黑体" w:cs="黑体"/>
          <w:bCs/>
          <w:sz w:val="32"/>
          <w:szCs w:val="32"/>
        </w:rPr>
        <w:t>三、绩效分析</w:t>
      </w:r>
      <w:bookmarkEnd w:id="183"/>
      <w:r>
        <w:rPr>
          <w:rFonts w:hint="eastAsia" w:ascii="黑体" w:hAnsi="黑体" w:eastAsia="黑体" w:cs="黑体"/>
          <w:bCs/>
          <w:sz w:val="32"/>
          <w:szCs w:val="32"/>
        </w:rPr>
        <w:tab/>
      </w:r>
    </w:p>
    <w:p w14:paraId="0D1E9E6C">
      <w:pPr>
        <w:spacing w:line="578"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（一）通用指标</w:t>
      </w:r>
      <w:r>
        <w:rPr>
          <w:rFonts w:ascii="楷体_GB2312" w:hAnsi="宋体" w:eastAsia="楷体_GB2312"/>
          <w:b/>
          <w:sz w:val="32"/>
          <w:szCs w:val="32"/>
          <w:lang w:val="zh-CN"/>
        </w:rPr>
        <w:t>绩效分析。</w:t>
      </w:r>
    </w:p>
    <w:p w14:paraId="274433B2">
      <w:pPr>
        <w:spacing w:line="578" w:lineRule="exact"/>
        <w:ind w:firstLine="64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项目决策。（1）决策程序。该项目的设立、调整延续等方面符合资金管理基本规范和决策程序要求，该项自评得6分。（2）规划论证。按照市委市政府有关决策部署安排，项目实施前开展了项目事前绩效评价，评估内容包含立项必要性、前瞻性、合理性和可行性；项目总体绩效目标设置合理性的偏离度≤15%；绩效目标科学合理、规范完整、量化细化、预算匹配。该项自评得6分。（3）资金投向。本项目属于政府支持范围，且符合财政事权支出责任划分规定，资金投向与项目总体规划、公安事业发展相匹配，聚焦重大任务、重点领域，未与其他同类项目或部门内部相关项目交叉重复，该项自评得6分。</w:t>
      </w:r>
    </w:p>
    <w:p w14:paraId="7F259918">
      <w:pPr>
        <w:spacing w:line="578" w:lineRule="exact"/>
        <w:ind w:firstLine="64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管理。（1）制度办法。资金管理体系健全完善，不存在管理制度缺失、管理办法过期情况，该项自评得2分。（2）分配管理。本项目资金分配因素选取充分考虑公安事业发展实际和发展需求；资金分配因素的权重设置有效突出项目实施重点；资金区域分布结果公平合理。项目资金的分配严格按照财务管理办法执行，资金使用全程监控，使用合理合规。该项自评得10分。（3）绩效监管。本项目严格按照中央和省、市要求全面完成绩效目标（含事前评估）、绩效评价、以前年度问题整改等预算绩效管理工作；市公安局绩效管理小组全过程对业务部门使用项目经费开展评价、监督、指导等工作，该项自评得6分。</w:t>
      </w:r>
    </w:p>
    <w:p w14:paraId="23E9B7FD">
      <w:pPr>
        <w:spacing w:line="578" w:lineRule="exact"/>
        <w:ind w:firstLine="640"/>
        <w:rPr>
          <w:rFonts w:hint="eastAsia" w:ascii="仿宋_GB2312" w:hAnsi="Nimbus Roman No9 L" w:eastAsia="仿宋_GB2312" w:cs="Arial"/>
          <w:sz w:val="32"/>
          <w:szCs w:val="32"/>
        </w:rPr>
      </w:pPr>
      <w:r>
        <w:rPr>
          <w:rFonts w:hint="eastAsia" w:ascii="仿宋_GB2312" w:hAnsi="Nimbus Roman No9 L" w:eastAsia="仿宋_GB2312" w:cs="Arial"/>
          <w:sz w:val="32"/>
          <w:szCs w:val="32"/>
        </w:rPr>
        <w:t>3.项目实施。（1）预算执行。本项目是由市财政资金全额保障，该项指标得分=财政资金拨付率×100%×6=6，该项自评得6分。（2）资金使用。项目资金使用、拨付是符合国家财经法规、财务管理制度及有关专项资金管理制度办法规定和审批程序，坚持项目资金专款专用，未存在截留、挤占、挪用、虚列支出等情况，该项自评得3分。</w:t>
      </w:r>
    </w:p>
    <w:p w14:paraId="5D2842F6">
      <w:pPr>
        <w:spacing w:line="578" w:lineRule="exact"/>
        <w:ind w:firstLine="640"/>
        <w:rPr>
          <w:rFonts w:hint="eastAsia" w:ascii="仿宋_GB2312" w:hAnsi="Nimbus Roman No9 L" w:eastAsia="仿宋_GB2312" w:cs="Arial"/>
          <w:sz w:val="32"/>
          <w:szCs w:val="32"/>
        </w:rPr>
      </w:pPr>
      <w:r>
        <w:rPr>
          <w:rFonts w:hint="eastAsia" w:ascii="仿宋_GB2312" w:hAnsi="Nimbus Roman No9 L" w:eastAsia="仿宋_GB2312" w:cs="Arial"/>
          <w:sz w:val="32"/>
          <w:szCs w:val="32"/>
        </w:rPr>
        <w:t>4.项目结果。（1）目标完成。该项指标得分=实际完成目标任务量÷首次批复立项设定绩效目标任务总量×100%×6=6，该项自评得6分。（2）完成时效。该项指标得分=（1-(实际完成时间-计划完成时间)÷计划完成时间）×100%×3=3，该项自评得3分。</w:t>
      </w:r>
    </w:p>
    <w:p w14:paraId="3443D5E3">
      <w:pPr>
        <w:spacing w:line="578" w:lineRule="exact"/>
        <w:ind w:firstLine="643" w:firstLineChars="200"/>
        <w:rPr>
          <w:rFonts w:ascii="楷体_GB2312" w:hAnsi="楷体_GB2312" w:eastAsia="楷体_GB2312" w:cs="楷体_GB2312"/>
          <w:lang w:val="zh-CN"/>
        </w:rPr>
      </w:pPr>
      <w:r>
        <w:rPr>
          <w:rFonts w:hint="eastAsia" w:ascii="楷体_GB2312" w:hAnsi="宋体" w:eastAsia="楷体_GB2312"/>
          <w:b/>
          <w:sz w:val="32"/>
          <w:szCs w:val="32"/>
          <w:lang w:val="zh-CN"/>
        </w:rPr>
        <w:t>（二）专用指标</w:t>
      </w:r>
      <w:r>
        <w:rPr>
          <w:rFonts w:ascii="楷体_GB2312" w:hAnsi="宋体" w:eastAsia="楷体_GB2312"/>
          <w:b/>
          <w:sz w:val="32"/>
          <w:szCs w:val="32"/>
          <w:lang w:val="zh-CN"/>
        </w:rPr>
        <w:t>绩效分析。</w:t>
      </w:r>
      <w:r>
        <w:rPr>
          <w:rFonts w:hint="eastAsia" w:ascii="仿宋_GB2312" w:hAnsi="Nimbus Roman No9 L" w:eastAsia="仿宋_GB2312" w:cs="Arial"/>
          <w:sz w:val="32"/>
          <w:szCs w:val="32"/>
        </w:rPr>
        <w:t>本项目行政运转类项目。</w:t>
      </w:r>
    </w:p>
    <w:p w14:paraId="69CA5F4F">
      <w:pPr>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产业发展。本项目租赁四川广运集团现代物流园区2号仓库作为市刑事诉讼大宗涉案财物集中保管中心，库区面积8000㎡，每年租金119.8万元；公开招标安保企业对保管中心进行守护，帮助政府解决了就业问题，扶持了企业的相关发展，又为企业增加了收入。</w:t>
      </w:r>
    </w:p>
    <w:p w14:paraId="5A07F32F">
      <w:pPr>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2.民生保障。即保障了刑事诉讼活动的正常进行，又保护了案件嫌疑人和受害人的合法权益，使得群总的满意度得到提升。</w:t>
      </w:r>
    </w:p>
    <w:p w14:paraId="685AEA2F">
      <w:pPr>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3.基础设施。市刑事诉讼大宗涉案财物集中保管中心运行后，市区两级政法部门节约了自行保管涉案财物的资金和空间，降低了办案成本，节约的人力资源成本，减少了对涉案财物后期保管维护的资金，提升了办案效率，保证了刑事诉讼活动的正常运转。</w:t>
      </w:r>
    </w:p>
    <w:p w14:paraId="2FCC62BF">
      <w:pPr>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4.行政运转。是刑事诉讼大宗涉案财物集中保管中心自运行以来，未发生涉案财物丢失、损毁等事件，人民法院和检察机关在调取相关证据时都完好无损，保障了正常的司法活动，为后续人民法院的执行活动提供了有力的支持。</w:t>
      </w:r>
    </w:p>
    <w:p w14:paraId="52BB8FF9">
      <w:pPr>
        <w:adjustRightInd w:val="0"/>
        <w:snapToGrid w:val="0"/>
        <w:spacing w:line="578" w:lineRule="exact"/>
        <w:ind w:firstLine="643" w:firstLineChars="200"/>
        <w:rPr>
          <w:rFonts w:hint="eastAsia" w:ascii="仿宋_GB2312" w:hAnsi="Nimbus Roman No9 L" w:eastAsia="仿宋_GB2312" w:cs="Arial"/>
          <w:sz w:val="32"/>
          <w:szCs w:val="32"/>
        </w:rPr>
      </w:pPr>
      <w:r>
        <w:rPr>
          <w:rFonts w:hint="eastAsia" w:ascii="楷体_GB2312" w:hAnsi="宋体" w:eastAsia="楷体_GB2312"/>
          <w:b/>
          <w:sz w:val="32"/>
          <w:szCs w:val="32"/>
          <w:lang w:val="zh-CN"/>
        </w:rPr>
        <w:t>（三）个性指标</w:t>
      </w:r>
      <w:r>
        <w:rPr>
          <w:rFonts w:ascii="楷体_GB2312" w:hAnsi="宋体" w:eastAsia="楷体_GB2312"/>
          <w:b/>
          <w:sz w:val="32"/>
          <w:szCs w:val="32"/>
          <w:lang w:val="zh-CN"/>
        </w:rPr>
        <w:t>绩效分析。</w:t>
      </w:r>
      <w:r>
        <w:rPr>
          <w:rFonts w:hint="eastAsia" w:ascii="仿宋_GB2312" w:hAnsi="Nimbus Roman No9 L" w:eastAsia="仿宋_GB2312" w:cs="Arial"/>
          <w:sz w:val="32"/>
          <w:szCs w:val="32"/>
        </w:rPr>
        <w:t>根据本项目的实际，项目选取项目涉案财物保管完好率、涉案财物流转率、涉案财物接收率等3个二级指标。根据项目实施的实际效果，采取</w:t>
      </w:r>
      <w:r>
        <w:rPr>
          <w:rFonts w:ascii="仿宋_GB2312" w:hAnsi="Nimbus Roman No9 L" w:eastAsia="仿宋_GB2312" w:cs="Arial"/>
          <w:sz w:val="32"/>
          <w:szCs w:val="32"/>
        </w:rPr>
        <w:t>单位自评法</w:t>
      </w:r>
      <w:r>
        <w:rPr>
          <w:rFonts w:hint="eastAsia" w:ascii="仿宋_GB2312" w:hAnsi="Nimbus Roman No9 L" w:eastAsia="仿宋_GB2312" w:cs="Arial"/>
          <w:sz w:val="32"/>
          <w:szCs w:val="32"/>
        </w:rPr>
        <w:t>，经自评，该项自评得15分。</w:t>
      </w:r>
    </w:p>
    <w:p w14:paraId="0D0C2A20">
      <w:pPr>
        <w:adjustRightInd w:val="0"/>
        <w:snapToGrid w:val="0"/>
        <w:spacing w:line="580" w:lineRule="exact"/>
        <w:ind w:firstLine="720"/>
        <w:outlineLvl w:val="1"/>
        <w:rPr>
          <w:rFonts w:ascii="黑体" w:hAnsi="黑体" w:eastAsia="黑体" w:cs="黑体"/>
          <w:bCs/>
          <w:sz w:val="32"/>
          <w:szCs w:val="32"/>
        </w:rPr>
      </w:pPr>
      <w:bookmarkStart w:id="184" w:name="_Toc11793"/>
      <w:r>
        <w:rPr>
          <w:rFonts w:hint="eastAsia" w:ascii="黑体" w:hAnsi="黑体" w:eastAsia="黑体" w:cs="黑体"/>
          <w:bCs/>
          <w:sz w:val="32"/>
          <w:szCs w:val="32"/>
        </w:rPr>
        <w:t>四、评价结论</w:t>
      </w:r>
      <w:bookmarkEnd w:id="184"/>
    </w:p>
    <w:p w14:paraId="2C83C9BE">
      <w:pPr>
        <w:pStyle w:val="5"/>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实施确保了我市市区两级政法单位长期无涉案财物存放场所的难题，解决了涉案财物长期无人养护，自然风化、老化的问题，即保障了刑事诉讼的正常进行，又保护了嫌疑人、受害人的合法权益，提升了群众的满意度，增强的司法的公信力。经自评，该项目得95分。</w:t>
      </w:r>
    </w:p>
    <w:p w14:paraId="52DF6F49">
      <w:pPr>
        <w:adjustRightInd w:val="0"/>
        <w:snapToGrid w:val="0"/>
        <w:spacing w:line="580" w:lineRule="exact"/>
        <w:ind w:firstLine="720"/>
        <w:outlineLvl w:val="1"/>
        <w:rPr>
          <w:rFonts w:ascii="黑体" w:hAnsi="黑体" w:eastAsia="黑体" w:cs="黑体"/>
          <w:bCs/>
          <w:sz w:val="32"/>
          <w:szCs w:val="32"/>
        </w:rPr>
      </w:pPr>
      <w:bookmarkStart w:id="185" w:name="_Toc14705"/>
      <w:r>
        <w:rPr>
          <w:rFonts w:hint="eastAsia" w:ascii="黑体" w:hAnsi="黑体" w:eastAsia="黑体" w:cs="黑体"/>
          <w:bCs/>
          <w:sz w:val="32"/>
          <w:szCs w:val="32"/>
        </w:rPr>
        <w:t>五、存在主要问题</w:t>
      </w:r>
      <w:bookmarkEnd w:id="185"/>
    </w:p>
    <w:p w14:paraId="5AFF528D">
      <w:pPr>
        <w:adjustRightInd w:val="0"/>
        <w:snapToGrid w:val="0"/>
        <w:spacing w:line="58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无。</w:t>
      </w:r>
    </w:p>
    <w:p w14:paraId="3816D6FA">
      <w:pPr>
        <w:adjustRightInd w:val="0"/>
        <w:snapToGrid w:val="0"/>
        <w:spacing w:line="580" w:lineRule="exact"/>
        <w:ind w:firstLine="720"/>
        <w:outlineLvl w:val="1"/>
        <w:rPr>
          <w:rFonts w:ascii="黑体" w:hAnsi="黑体" w:eastAsia="黑体" w:cs="黑体"/>
          <w:bCs/>
          <w:sz w:val="32"/>
          <w:szCs w:val="32"/>
        </w:rPr>
      </w:pPr>
      <w:bookmarkStart w:id="186" w:name="_Toc152"/>
      <w:r>
        <w:rPr>
          <w:rFonts w:hint="eastAsia" w:ascii="黑体" w:hAnsi="黑体" w:eastAsia="黑体" w:cs="黑体"/>
          <w:bCs/>
          <w:sz w:val="32"/>
          <w:szCs w:val="32"/>
        </w:rPr>
        <w:t>六、改进建议</w:t>
      </w:r>
      <w:bookmarkEnd w:id="186"/>
    </w:p>
    <w:p w14:paraId="4FAF49E2">
      <w:pPr>
        <w:pStyle w:val="5"/>
        <w:spacing w:line="600" w:lineRule="exact"/>
        <w:ind w:firstLine="640" w:firstLineChars="200"/>
        <w:rPr>
          <w:rFonts w:ascii="仿宋_GB2312" w:hAnsi="仿宋_GB2312" w:cs="仿宋_GB2312"/>
          <w:kern w:val="0"/>
        </w:rPr>
      </w:pPr>
      <w:r>
        <w:rPr>
          <w:rFonts w:hint="eastAsia" w:ascii="仿宋_GB2312" w:hAnsi="Nimbus Roman No9 L" w:eastAsia="仿宋_GB2312" w:cs="Arial"/>
          <w:sz w:val="32"/>
          <w:szCs w:val="32"/>
        </w:rPr>
        <w:t>由于该项目是跨年运行的项目，建议该项目上年度运行费在年底收回后次年能及时拨付，保证足月及时支付。</w:t>
      </w:r>
    </w:p>
    <w:p w14:paraId="3A7ED348">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广元市公安局</w:t>
      </w:r>
    </w:p>
    <w:p w14:paraId="6D92D612">
      <w:pPr>
        <w:pStyle w:val="28"/>
        <w:spacing w:line="578" w:lineRule="exact"/>
        <w:jc w:val="center"/>
        <w:rPr>
          <w:rFonts w:ascii="宋体" w:hAnsi="宋体"/>
          <w:color w:val="auto"/>
          <w:kern w:val="2"/>
          <w:sz w:val="32"/>
          <w:szCs w:val="32"/>
        </w:rPr>
      </w:pPr>
      <w:r>
        <w:rPr>
          <w:rFonts w:hint="eastAsia" w:ascii="方正小标宋简体" w:hAnsi="方正小标宋简体" w:eastAsia="方正小标宋简体" w:cs="方正小标宋简体"/>
          <w:color w:val="auto"/>
          <w:kern w:val="2"/>
          <w:sz w:val="44"/>
          <w:szCs w:val="44"/>
          <w:lang w:val="en-US"/>
        </w:rPr>
        <w:t>侦查办案费（含铁路护路和反诈经费）绩效评价报告</w:t>
      </w:r>
    </w:p>
    <w:p w14:paraId="2D64170F">
      <w:pPr>
        <w:adjustRightInd w:val="0"/>
        <w:snapToGrid w:val="0"/>
        <w:spacing w:line="580" w:lineRule="exact"/>
        <w:ind w:firstLine="720"/>
        <w:outlineLvl w:val="1"/>
        <w:rPr>
          <w:rFonts w:ascii="黑体" w:hAnsi="黑体" w:eastAsia="黑体" w:cs="黑体"/>
          <w:bCs/>
          <w:sz w:val="32"/>
          <w:szCs w:val="32"/>
        </w:rPr>
      </w:pPr>
      <w:bookmarkStart w:id="187" w:name="_Toc13891"/>
      <w:r>
        <w:rPr>
          <w:rFonts w:hint="eastAsia" w:ascii="黑体" w:hAnsi="黑体" w:eastAsia="黑体" w:cs="黑体"/>
          <w:bCs/>
          <w:sz w:val="32"/>
          <w:szCs w:val="32"/>
        </w:rPr>
        <w:t>一、项目概况</w:t>
      </w:r>
      <w:bookmarkEnd w:id="187"/>
    </w:p>
    <w:p w14:paraId="7704FFAE">
      <w:pPr>
        <w:adjustRightInd w:val="0"/>
        <w:snapToGrid w:val="0"/>
        <w:spacing w:line="600" w:lineRule="exact"/>
        <w:ind w:firstLine="720"/>
        <w:rPr>
          <w:rFonts w:hint="eastAsia" w:ascii="仿宋_GB2312" w:hAnsi="Nimbus Roman No9 L" w:eastAsia="仿宋_GB2312" w:cs="Arial"/>
          <w:sz w:val="32"/>
          <w:szCs w:val="32"/>
        </w:rPr>
      </w:pPr>
      <w:r>
        <w:rPr>
          <w:rFonts w:hint="eastAsia" w:ascii="楷体_GB2312" w:hAnsi="宋体" w:eastAsia="楷体_GB2312"/>
          <w:b/>
          <w:sz w:val="32"/>
          <w:szCs w:val="32"/>
          <w:lang w:val="zh-CN"/>
        </w:rPr>
        <w:t>（一）设立背景及基本情况。</w:t>
      </w:r>
      <w:r>
        <w:rPr>
          <w:rFonts w:hint="eastAsia" w:ascii="仿宋_GB2312" w:hAnsi="Nimbus Roman No9 L" w:eastAsia="仿宋_GB2312" w:cs="Arial"/>
          <w:sz w:val="32"/>
          <w:szCs w:val="32"/>
        </w:rPr>
        <w:t>依据公安部《关于印发公安支出功能分类科目和公安支出类专用预算科目的通知》和四川省财政厅 四川省公安厅《关于完善全省公安公用经费保障机制的通知》（川财行〔2021〕122号）文件，对市公安局侦查办案费项目进行立项申报。按照财政部、公安部《公安机关财务管理办法》、“三重一大”集体决策制度、公安部《关于印发公安支出功能分类科目和公安支出类专用预算科目的通知》和《广元市公安局财务管理办法》对项目资金进行管理，严格按照规定的范围支持和审核资金的支付。该项经费主要服务于我局全年各项侦查办案活动，包括所产生的差旅费、车辆燃油费、租赁费等支出。市公安局对项目资金执行进度、项目资金使用情况进行监督，对资金的使用及报销进行审核。</w:t>
      </w:r>
    </w:p>
    <w:p w14:paraId="4E22EA85">
      <w:pPr>
        <w:adjustRightInd w:val="0"/>
        <w:snapToGrid w:val="0"/>
        <w:spacing w:line="600" w:lineRule="exact"/>
        <w:ind w:firstLine="720"/>
        <w:rPr>
          <w:rFonts w:hint="eastAsia" w:ascii="仿宋_GB2312" w:hAnsi="Nimbus Roman No9 L" w:eastAsia="仿宋_GB2312" w:cs="Arial"/>
          <w:sz w:val="32"/>
          <w:szCs w:val="32"/>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r>
        <w:rPr>
          <w:rFonts w:hint="eastAsia" w:ascii="楷体_GB2312" w:hAnsi="宋体" w:eastAsia="楷体_GB2312"/>
          <w:b/>
          <w:sz w:val="32"/>
          <w:szCs w:val="32"/>
          <w:lang w:val="zh-CN"/>
        </w:rPr>
        <w:t>。</w:t>
      </w:r>
      <w:r>
        <w:rPr>
          <w:rFonts w:hint="eastAsia" w:ascii="仿宋_GB2312" w:hAnsi="Nimbus Roman No9 L" w:eastAsia="仿宋_GB2312" w:cs="Arial"/>
          <w:sz w:val="32"/>
          <w:szCs w:val="32"/>
        </w:rPr>
        <w:t>按照《公安机关财务管理办法》中办案费的相关范围执行，含纪委、督察、审计、护路办等部门的执法办案，包括办案过程中发生的会议、差旅、材料、劳务、房屋及设备租赁等支出。申报的政法保障业务费符合公安机关的职业特点和工作实际，提高对违法犯罪行为的惩治力度，确保我市社会政治和治安大局持续稳定。</w:t>
      </w:r>
    </w:p>
    <w:p w14:paraId="0A7B428A">
      <w:pPr>
        <w:adjustRightInd w:val="0"/>
        <w:snapToGrid w:val="0"/>
        <w:spacing w:line="600" w:lineRule="exact"/>
        <w:ind w:firstLine="720"/>
        <w:rPr>
          <w:rFonts w:ascii="仿宋_GB2312" w:hAnsi="仿宋"/>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r>
        <w:rPr>
          <w:rFonts w:hint="eastAsia" w:ascii="楷体_GB2312" w:hAnsi="宋体" w:eastAsia="楷体_GB2312"/>
          <w:b/>
          <w:sz w:val="32"/>
          <w:szCs w:val="32"/>
          <w:lang w:val="zh-CN"/>
        </w:rPr>
        <w:t>。</w:t>
      </w:r>
      <w:r>
        <w:rPr>
          <w:rFonts w:hint="eastAsia" w:ascii="仿宋_GB2312" w:hAnsi="Nimbus Roman No9 L" w:eastAsia="仿宋_GB2312" w:cs="Arial"/>
          <w:sz w:val="32"/>
          <w:szCs w:val="32"/>
        </w:rPr>
        <w:t>2022年市公安局向市财政局申报侦查办案费项目资金89.49万元，2023年，报人大批准，项目资金到位89.49万元，到位率100%。资金使用专款专用，资金使用合法合规，严格按照预算进度执行，执行率100%。</w:t>
      </w:r>
    </w:p>
    <w:p w14:paraId="27AC2FFA">
      <w:pPr>
        <w:adjustRightInd w:val="0"/>
        <w:snapToGrid w:val="0"/>
        <w:spacing w:line="578" w:lineRule="exact"/>
        <w:ind w:firstLine="643" w:firstLineChars="200"/>
        <w:rPr>
          <w:rFonts w:hint="eastAsia" w:ascii="仿宋_GB2312" w:hAnsi="Nimbus Roman No9 L" w:eastAsia="仿宋_GB2312" w:cs="Arial"/>
          <w:sz w:val="32"/>
          <w:szCs w:val="32"/>
        </w:rPr>
      </w:pPr>
      <w:r>
        <w:rPr>
          <w:rFonts w:hint="eastAsia" w:ascii="楷体_GB2312" w:hAnsi="宋体" w:eastAsia="楷体_GB2312"/>
          <w:b/>
          <w:sz w:val="32"/>
          <w:szCs w:val="32"/>
          <w:lang w:val="zh-CN"/>
        </w:rPr>
        <w:t>（四）项目绩效目标设置。</w:t>
      </w:r>
      <w:r>
        <w:rPr>
          <w:rFonts w:hint="eastAsia" w:ascii="仿宋_GB2312" w:hAnsi="Nimbus Roman No9 L" w:eastAsia="仿宋_GB2312" w:cs="Arial"/>
          <w:sz w:val="32"/>
          <w:szCs w:val="32"/>
        </w:rPr>
        <w:t>年初设置了年度目标任务，设置了产出指标、效益指标、成本指标和满意度指标4个一级指标，数量指标、质量指标、时效指标等9个二级指标，完成维稳人次、完成安保执勤任务等21个三级指标。按照年初既定目标，认真开展预算绩效自评，对指标完成情况进行梳理填报，自评情况良好。</w:t>
      </w:r>
    </w:p>
    <w:p w14:paraId="0286527D">
      <w:pPr>
        <w:adjustRightInd w:val="0"/>
        <w:snapToGrid w:val="0"/>
        <w:spacing w:line="580" w:lineRule="exact"/>
        <w:ind w:firstLine="720"/>
        <w:outlineLvl w:val="1"/>
        <w:rPr>
          <w:rFonts w:ascii="黑体" w:hAnsi="黑体" w:eastAsia="黑体" w:cs="黑体"/>
          <w:bCs/>
          <w:sz w:val="32"/>
          <w:szCs w:val="32"/>
        </w:rPr>
      </w:pPr>
      <w:bookmarkStart w:id="188" w:name="_Toc24335"/>
      <w:r>
        <w:rPr>
          <w:rFonts w:hint="eastAsia" w:ascii="黑体" w:hAnsi="黑体" w:eastAsia="黑体" w:cs="黑体"/>
          <w:bCs/>
          <w:sz w:val="32"/>
          <w:szCs w:val="32"/>
        </w:rPr>
        <w:t>二、评价实施</w:t>
      </w:r>
      <w:bookmarkEnd w:id="188"/>
    </w:p>
    <w:p w14:paraId="5D6B5CBD">
      <w:pPr>
        <w:spacing w:line="578" w:lineRule="exact"/>
        <w:ind w:firstLine="640"/>
      </w:pPr>
      <w:r>
        <w:rPr>
          <w:rFonts w:hint="eastAsia" w:ascii="楷体_GB2312" w:hAnsi="宋体" w:eastAsia="楷体_GB2312"/>
          <w:b/>
          <w:sz w:val="32"/>
          <w:szCs w:val="32"/>
          <w:lang w:val="zh-CN"/>
        </w:rPr>
        <w:t>（一）评价目的。</w:t>
      </w:r>
      <w:r>
        <w:rPr>
          <w:rFonts w:ascii="仿宋_GB2312" w:hAnsi="Nimbus Roman No9 L" w:eastAsia="仿宋_GB2312" w:cs="Arial"/>
          <w:sz w:val="32"/>
          <w:szCs w:val="32"/>
        </w:rPr>
        <w:t>通过</w:t>
      </w:r>
      <w:r>
        <w:rPr>
          <w:rFonts w:hint="eastAsia" w:ascii="仿宋_GB2312" w:hAnsi="Nimbus Roman No9 L" w:eastAsia="仿宋_GB2312" w:cs="Arial"/>
          <w:sz w:val="32"/>
          <w:szCs w:val="32"/>
        </w:rPr>
        <w:t>项目绩效自评提高财政资金的使用效益，确保资金得到合理有效的利用；进一步加强预算执行进度的监督管理，及时发现该项目预算执行中存在的问题并做出相应的解决措施，为来年该项目的申报提供科学合理的标准。</w:t>
      </w:r>
    </w:p>
    <w:p w14:paraId="188E7364">
      <w:pPr>
        <w:adjustRightInd w:val="0"/>
        <w:snapToGrid w:val="0"/>
        <w:spacing w:line="600" w:lineRule="exact"/>
        <w:ind w:firstLine="720"/>
        <w:rPr>
          <w:rFonts w:ascii="仿宋_GB2312" w:hAnsi="仿宋"/>
        </w:rPr>
      </w:pPr>
      <w:r>
        <w:rPr>
          <w:rFonts w:hint="eastAsia" w:ascii="楷体_GB2312" w:hAnsi="宋体" w:eastAsia="楷体_GB2312"/>
          <w:b/>
          <w:sz w:val="32"/>
          <w:szCs w:val="32"/>
          <w:lang w:val="zh-CN"/>
        </w:rPr>
        <w:t>（二）预设问题及评价重点。</w:t>
      </w:r>
      <w:r>
        <w:rPr>
          <w:rFonts w:hint="eastAsia" w:ascii="仿宋_GB2312" w:hAnsi="Nimbus Roman No9 L" w:eastAsia="仿宋_GB2312" w:cs="Arial"/>
          <w:sz w:val="32"/>
          <w:szCs w:val="32"/>
        </w:rPr>
        <w:t>本项目预设“资金分配和使用计划是否明确？”，该项目由市公安局警务保障处进行综合管理，设立专职会计、出纳等岗位，各部门相关费用支出由其财务人员统一进行报销，做到专人专司财务管理职责，对项目资金严格执行财务管理制度，及时进行财务处理和核算，使财政资金达到了最大的效益。</w:t>
      </w:r>
    </w:p>
    <w:p w14:paraId="4A614451">
      <w:pPr>
        <w:adjustRightInd w:val="0"/>
        <w:snapToGrid w:val="0"/>
        <w:spacing w:line="578" w:lineRule="exact"/>
        <w:ind w:firstLine="643" w:firstLineChars="200"/>
        <w:rPr>
          <w:rFonts w:hint="eastAsia" w:ascii="仿宋_GB2312" w:hAnsi="Nimbus Roman No9 L" w:eastAsia="仿宋_GB2312" w:cs="Arial"/>
          <w:sz w:val="32"/>
          <w:szCs w:val="32"/>
        </w:rPr>
      </w:pPr>
      <w:r>
        <w:rPr>
          <w:rFonts w:hint="eastAsia" w:ascii="楷体_GB2312" w:hAnsi="宋体" w:eastAsia="楷体_GB2312"/>
          <w:b/>
          <w:sz w:val="32"/>
          <w:szCs w:val="32"/>
          <w:lang w:val="zh-CN"/>
        </w:rPr>
        <w:t>（三）评价选点。</w:t>
      </w:r>
      <w:r>
        <w:rPr>
          <w:rFonts w:hint="eastAsia" w:ascii="仿宋_GB2312" w:hAnsi="Nimbus Roman No9 L" w:eastAsia="仿宋_GB2312" w:cs="Arial"/>
          <w:sz w:val="32"/>
          <w:szCs w:val="32"/>
        </w:rPr>
        <w:t>案件办结率、完成维稳人次、对维护社会治安的辅助作用。</w:t>
      </w:r>
    </w:p>
    <w:p w14:paraId="5140E61B">
      <w:pPr>
        <w:adjustRightInd w:val="0"/>
        <w:snapToGrid w:val="0"/>
        <w:spacing w:line="600" w:lineRule="exact"/>
        <w:ind w:firstLine="720"/>
        <w:rPr>
          <w:rFonts w:hint="eastAsia" w:ascii="仿宋_GB2312" w:hAnsi="Nimbus Roman No9 L" w:eastAsia="仿宋_GB2312" w:cs="Arial"/>
          <w:sz w:val="32"/>
          <w:szCs w:val="32"/>
        </w:rPr>
      </w:pPr>
      <w:r>
        <w:rPr>
          <w:rFonts w:hint="eastAsia" w:ascii="楷体_GB2312" w:hAnsi="宋体" w:eastAsia="楷体_GB2312"/>
          <w:b/>
          <w:sz w:val="32"/>
          <w:szCs w:val="32"/>
          <w:lang w:val="zh-CN"/>
        </w:rPr>
        <w:t>（四）评价方法。</w:t>
      </w:r>
      <w:r>
        <w:rPr>
          <w:rFonts w:ascii="仿宋_GB2312" w:hAnsi="Nimbus Roman No9 L" w:eastAsia="仿宋_GB2312" w:cs="Arial"/>
          <w:sz w:val="32"/>
          <w:szCs w:val="32"/>
        </w:rPr>
        <w:t>根据项目情况和评价重点，</w:t>
      </w:r>
      <w:r>
        <w:rPr>
          <w:rFonts w:hint="eastAsia" w:ascii="仿宋_GB2312" w:hAnsi="Nimbus Roman No9 L" w:eastAsia="仿宋_GB2312" w:cs="Arial"/>
          <w:sz w:val="32"/>
          <w:szCs w:val="32"/>
        </w:rPr>
        <w:t>我单位采取</w:t>
      </w:r>
      <w:r>
        <w:rPr>
          <w:rFonts w:ascii="仿宋_GB2312" w:hAnsi="Nimbus Roman No9 L" w:eastAsia="仿宋_GB2312" w:cs="Arial"/>
          <w:sz w:val="32"/>
          <w:szCs w:val="32"/>
        </w:rPr>
        <w:t>单位自评法</w:t>
      </w:r>
      <w:r>
        <w:rPr>
          <w:rFonts w:hint="eastAsia" w:ascii="仿宋_GB2312" w:hAnsi="Nimbus Roman No9 L" w:eastAsia="仿宋_GB2312" w:cs="Arial"/>
          <w:sz w:val="32"/>
          <w:szCs w:val="32"/>
        </w:rPr>
        <w:t>对该项目预算绩效开展自评。</w:t>
      </w:r>
    </w:p>
    <w:p w14:paraId="1C131AB1">
      <w:pPr>
        <w:spacing w:line="578" w:lineRule="exact"/>
        <w:ind w:firstLine="640"/>
        <w:rPr>
          <w:rFonts w:hint="eastAsia" w:ascii="仿宋_GB2312" w:hAnsi="Nimbus Roman No9 L" w:eastAsia="仿宋_GB2312" w:cs="Arial"/>
          <w:sz w:val="32"/>
          <w:szCs w:val="32"/>
        </w:rPr>
      </w:pPr>
      <w:r>
        <w:rPr>
          <w:rFonts w:hint="eastAsia" w:ascii="楷体_GB2312" w:hAnsi="宋体" w:eastAsia="楷体_GB2312"/>
          <w:b/>
          <w:sz w:val="32"/>
          <w:szCs w:val="32"/>
          <w:lang w:val="zh-CN"/>
        </w:rPr>
        <w:t>（五）评价组织。</w:t>
      </w:r>
      <w:r>
        <w:rPr>
          <w:rFonts w:hint="eastAsia" w:ascii="仿宋_GB2312" w:hAnsi="Nimbus Roman No9 L" w:eastAsia="仿宋_GB2312" w:cs="Arial"/>
          <w:sz w:val="32"/>
          <w:szCs w:val="32"/>
        </w:rPr>
        <w:t>按照广元市公安局《预算绩效管理办法（试行）》，该项目自评工作由市公安局警务保障处牵头，刑侦、经侦、经文保等支队协助，围绕总体目标、绩效指标的完成情况及使用效益开展。</w:t>
      </w:r>
    </w:p>
    <w:p w14:paraId="28AF3B59">
      <w:pPr>
        <w:adjustRightInd w:val="0"/>
        <w:snapToGrid w:val="0"/>
        <w:spacing w:line="580" w:lineRule="exact"/>
        <w:ind w:firstLine="720"/>
        <w:outlineLvl w:val="1"/>
        <w:rPr>
          <w:rFonts w:ascii="黑体" w:hAnsi="黑体" w:eastAsia="黑体" w:cs="黑体"/>
          <w:bCs/>
          <w:sz w:val="32"/>
          <w:szCs w:val="32"/>
        </w:rPr>
      </w:pPr>
      <w:bookmarkStart w:id="189" w:name="_Toc1460"/>
      <w:r>
        <w:rPr>
          <w:rFonts w:hint="eastAsia" w:ascii="黑体" w:hAnsi="黑体" w:eastAsia="黑体" w:cs="黑体"/>
          <w:bCs/>
          <w:sz w:val="32"/>
          <w:szCs w:val="32"/>
        </w:rPr>
        <w:t>三、绩效分析</w:t>
      </w:r>
      <w:bookmarkEnd w:id="189"/>
      <w:r>
        <w:rPr>
          <w:rFonts w:hint="eastAsia" w:ascii="黑体" w:hAnsi="黑体" w:eastAsia="黑体" w:cs="黑体"/>
          <w:bCs/>
          <w:sz w:val="32"/>
          <w:szCs w:val="32"/>
        </w:rPr>
        <w:tab/>
      </w:r>
    </w:p>
    <w:p w14:paraId="0119DFE2">
      <w:pPr>
        <w:spacing w:line="578"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（一）通用指标</w:t>
      </w:r>
      <w:r>
        <w:rPr>
          <w:rFonts w:ascii="楷体_GB2312" w:hAnsi="宋体" w:eastAsia="楷体_GB2312"/>
          <w:b/>
          <w:sz w:val="32"/>
          <w:szCs w:val="32"/>
          <w:lang w:val="zh-CN"/>
        </w:rPr>
        <w:t>绩效分析。</w:t>
      </w:r>
    </w:p>
    <w:p w14:paraId="4C14E5CF">
      <w:pPr>
        <w:spacing w:line="578" w:lineRule="exact"/>
        <w:ind w:firstLine="64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项目决策。（1）决策程序。该项目的设立、调整延续等方面符合资金管理基本规范和决策程序要求，该项自评得6分。（2）规划论证。按照市委市政府有关决策部署安排，项目实施前开展了项目事前绩效评价，评估内容包含立项必要性、前瞻性、合理性和可行性；项目总体绩效目标设置合理性的偏离度≤15%；绩效目标科学合理、规范完整、量化细化、预算匹配。该项自评得6分。（3）资金投向。本项目属于政府支持范围，且符合财政事权支出责任划分规定，资金投向与项目总体规划、公安事业发展相匹配，聚焦重大任务、重点领域，未与其他同类项目或部门内部相关项目交叉重复，该项自评得6分。</w:t>
      </w:r>
    </w:p>
    <w:p w14:paraId="4ED02B36">
      <w:pPr>
        <w:spacing w:line="578" w:lineRule="exact"/>
        <w:ind w:firstLine="64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管理。（1）制度办法。资金管理体系健全完善，不存在管理制度缺失、管理办法过期情况，该项自评得2分。（2）分配管理。本项目资金分配因素选取充分考虑公安事业发展实际和发展需求；资金分配因素的权重设置有效突出项目实施重点；资金区域分布结果公平合理。项目资金的分配严格按照财务管理办法执行，资金使用全程监控，使用合理合规。该项自评得10分。（3）绩效监管。本项目严格按照中央和省、市要求全面完成绩效目标（含事前评估）、绩效评价、以前年度问题整改等预算绩效管理工作；市公安局绩效管理小组全过程对业务部门使用项目经费开展评价、监督、指导等工作，该项自评得6分。</w:t>
      </w:r>
    </w:p>
    <w:p w14:paraId="05D2F44F">
      <w:pPr>
        <w:spacing w:line="578" w:lineRule="exact"/>
        <w:ind w:firstLine="640"/>
        <w:rPr>
          <w:rFonts w:hint="eastAsia" w:ascii="仿宋_GB2312" w:hAnsi="Nimbus Roman No9 L" w:eastAsia="仿宋_GB2312" w:cs="Arial"/>
          <w:sz w:val="32"/>
          <w:szCs w:val="32"/>
        </w:rPr>
      </w:pPr>
      <w:r>
        <w:rPr>
          <w:rFonts w:hint="eastAsia" w:ascii="仿宋_GB2312" w:hAnsi="Nimbus Roman No9 L" w:eastAsia="仿宋_GB2312" w:cs="Arial"/>
          <w:sz w:val="32"/>
          <w:szCs w:val="32"/>
        </w:rPr>
        <w:t>3.项目实施。（1）预算执行。本项目是由市财政资金全额保障，该项指标得分=财政资金拨付率×100%×6=6，该项自评得6分。（2）资金使用。项目资金使用、拨付是符合国家财经法规、财务管理制度及有关专项资金管理制度办法规定和审批程序，坚持项目资金专款专用，未存在截留、挤占、挪用、虚列支出等情况，该项自评得3分。</w:t>
      </w:r>
    </w:p>
    <w:p w14:paraId="471F78AC">
      <w:pPr>
        <w:spacing w:line="578" w:lineRule="exact"/>
        <w:ind w:firstLine="640"/>
        <w:rPr>
          <w:rFonts w:hint="eastAsia" w:ascii="仿宋_GB2312" w:hAnsi="Nimbus Roman No9 L" w:eastAsia="仿宋_GB2312" w:cs="Arial"/>
          <w:sz w:val="32"/>
          <w:szCs w:val="32"/>
        </w:rPr>
      </w:pPr>
      <w:r>
        <w:rPr>
          <w:rFonts w:hint="eastAsia" w:ascii="仿宋_GB2312" w:hAnsi="Nimbus Roman No9 L" w:eastAsia="仿宋_GB2312" w:cs="Arial"/>
          <w:sz w:val="32"/>
          <w:szCs w:val="32"/>
        </w:rPr>
        <w:t>4.项目结果。（1）目标完成。该项指标得分=实际完成目标任务量÷首次批复立项设定绩效目标任务总量×100%×6=6，该项自评得6分。（2）完成时效。该项指标得分=（1-(实际完成时间-计划完成时间)÷计划完成时间）×100%×3=3，该项自评得3分。</w:t>
      </w:r>
    </w:p>
    <w:p w14:paraId="63662BDD">
      <w:pPr>
        <w:adjustRightInd w:val="0"/>
        <w:snapToGrid w:val="0"/>
        <w:spacing w:line="600" w:lineRule="exact"/>
        <w:ind w:firstLine="720"/>
        <w:rPr>
          <w:rFonts w:hint="eastAsia" w:ascii="仿宋_GB2312" w:hAnsi="Nimbus Roman No9 L" w:eastAsia="仿宋_GB2312" w:cs="Arial"/>
          <w:sz w:val="32"/>
          <w:szCs w:val="32"/>
        </w:rPr>
      </w:pPr>
      <w:r>
        <w:rPr>
          <w:rFonts w:hint="eastAsia" w:ascii="楷体_GB2312" w:hAnsi="宋体" w:eastAsia="楷体_GB2312"/>
          <w:b/>
          <w:sz w:val="32"/>
          <w:szCs w:val="32"/>
          <w:lang w:val="zh-CN"/>
        </w:rPr>
        <w:t>（二）专用指标</w:t>
      </w:r>
      <w:r>
        <w:rPr>
          <w:rFonts w:ascii="楷体_GB2312" w:hAnsi="宋体" w:eastAsia="楷体_GB2312"/>
          <w:b/>
          <w:sz w:val="32"/>
          <w:szCs w:val="32"/>
          <w:lang w:val="zh-CN"/>
        </w:rPr>
        <w:t>绩效分析。</w:t>
      </w:r>
      <w:r>
        <w:rPr>
          <w:rFonts w:hint="eastAsia" w:ascii="仿宋_GB2312" w:hAnsi="Nimbus Roman No9 L" w:eastAsia="仿宋_GB2312" w:cs="Arial"/>
          <w:sz w:val="32"/>
          <w:szCs w:val="32"/>
        </w:rPr>
        <w:t>本项目行政运转类项目。项目由市公安局警务保障处进行综合管理，设立专职会计、出纳等岗位，各部门相关费用支出由其财务人员统一进行报销，做到专人专司财务管理职责；项目资金使用严格按照财务管理制度要求，实行公务卡结算，不能使用公务卡结算的进行转账，发生的每一笔支出都要履行完整报销手续，确保其真实可靠性、合法合规。市公安局机关纪委、审计处成立项目核查专班，定期核查项目资金支出情况，使其发挥最大效益。该项自评得30分。</w:t>
      </w:r>
    </w:p>
    <w:p w14:paraId="368091E0">
      <w:pPr>
        <w:spacing w:line="578" w:lineRule="exact"/>
        <w:ind w:firstLine="640"/>
        <w:rPr>
          <w:rFonts w:hint="eastAsia" w:ascii="仿宋_GB2312" w:hAnsi="Nimbus Roman No9 L" w:eastAsia="仿宋_GB2312" w:cs="Arial"/>
          <w:sz w:val="32"/>
          <w:szCs w:val="32"/>
        </w:rPr>
      </w:pPr>
      <w:r>
        <w:rPr>
          <w:rFonts w:hint="eastAsia" w:ascii="楷体_GB2312" w:hAnsi="宋体" w:eastAsia="楷体_GB2312"/>
          <w:b/>
          <w:sz w:val="32"/>
          <w:szCs w:val="32"/>
          <w:lang w:val="zh-CN"/>
        </w:rPr>
        <w:t>（三）个性指标</w:t>
      </w:r>
      <w:r>
        <w:rPr>
          <w:rFonts w:ascii="楷体_GB2312" w:hAnsi="宋体" w:eastAsia="楷体_GB2312"/>
          <w:b/>
          <w:sz w:val="32"/>
          <w:szCs w:val="32"/>
          <w:lang w:val="zh-CN"/>
        </w:rPr>
        <w:t>绩效分析。</w:t>
      </w:r>
      <w:r>
        <w:rPr>
          <w:rFonts w:hint="eastAsia" w:ascii="仿宋_GB2312" w:hAnsi="Nimbus Roman No9 L" w:eastAsia="仿宋_GB2312" w:cs="Arial"/>
          <w:sz w:val="32"/>
          <w:szCs w:val="32"/>
        </w:rPr>
        <w:t>根据本项目的实际，项目选取项目效益个性指标，包含对维护社会治安的辅助作用、维护社会和谐稳定、保障政治大局平稳、持续发展等4个三级指标。根据项目实施的实际效果，采取是否评分法，经自评，该项自评得15分。</w:t>
      </w:r>
    </w:p>
    <w:p w14:paraId="79916A03">
      <w:pPr>
        <w:adjustRightInd w:val="0"/>
        <w:snapToGrid w:val="0"/>
        <w:spacing w:line="580" w:lineRule="exact"/>
        <w:ind w:firstLine="720"/>
        <w:outlineLvl w:val="1"/>
        <w:rPr>
          <w:rFonts w:ascii="黑体" w:hAnsi="黑体" w:eastAsia="黑体" w:cs="黑体"/>
          <w:bCs/>
          <w:sz w:val="32"/>
          <w:szCs w:val="32"/>
        </w:rPr>
      </w:pPr>
      <w:bookmarkStart w:id="190" w:name="_Toc29528"/>
      <w:r>
        <w:rPr>
          <w:rFonts w:hint="eastAsia" w:ascii="黑体" w:hAnsi="黑体" w:eastAsia="黑体" w:cs="黑体"/>
          <w:bCs/>
          <w:sz w:val="32"/>
          <w:szCs w:val="32"/>
        </w:rPr>
        <w:t>四、评价结论</w:t>
      </w:r>
      <w:bookmarkEnd w:id="190"/>
    </w:p>
    <w:p w14:paraId="5DBB57FE">
      <w:pPr>
        <w:pStyle w:val="5"/>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项目实施确保了我市安保执勤任务的圆满完成，全年实体性犯罪进一步减少，全年无发生重大刑事治安案件，有效的服务了公安实战需求，入选“全国最安全城市”。经自评，该项目得99分。</w:t>
      </w:r>
    </w:p>
    <w:p w14:paraId="7FC6517F">
      <w:pPr>
        <w:adjustRightInd w:val="0"/>
        <w:snapToGrid w:val="0"/>
        <w:spacing w:line="580" w:lineRule="exact"/>
        <w:ind w:firstLine="720"/>
        <w:outlineLvl w:val="1"/>
        <w:rPr>
          <w:rFonts w:ascii="黑体" w:hAnsi="黑体" w:eastAsia="黑体" w:cs="黑体"/>
          <w:bCs/>
          <w:sz w:val="32"/>
          <w:szCs w:val="32"/>
        </w:rPr>
      </w:pPr>
      <w:bookmarkStart w:id="191" w:name="_Toc30627"/>
      <w:r>
        <w:rPr>
          <w:rFonts w:hint="eastAsia" w:ascii="黑体" w:hAnsi="黑体" w:eastAsia="黑体" w:cs="黑体"/>
          <w:bCs/>
          <w:sz w:val="32"/>
          <w:szCs w:val="32"/>
        </w:rPr>
        <w:t>五、存在主要问题</w:t>
      </w:r>
      <w:bookmarkEnd w:id="191"/>
    </w:p>
    <w:p w14:paraId="384A6823">
      <w:pPr>
        <w:pStyle w:val="5"/>
        <w:spacing w:line="600" w:lineRule="exact"/>
        <w:ind w:firstLine="640" w:firstLineChars="200"/>
        <w:rPr>
          <w:rFonts w:ascii="黑体" w:hAnsi="黑体" w:cs="黑体"/>
          <w:sz w:val="32"/>
          <w:szCs w:val="32"/>
        </w:rPr>
      </w:pPr>
      <w:r>
        <w:rPr>
          <w:rFonts w:hint="eastAsia" w:ascii="仿宋_GB2312" w:hAnsi="仿宋_GB2312" w:eastAsia="仿宋_GB2312" w:cs="仿宋_GB2312"/>
          <w:sz w:val="32"/>
          <w:szCs w:val="32"/>
        </w:rPr>
        <w:t>无。</w:t>
      </w:r>
    </w:p>
    <w:p w14:paraId="4E34E21E">
      <w:pPr>
        <w:adjustRightInd w:val="0"/>
        <w:snapToGrid w:val="0"/>
        <w:spacing w:line="580" w:lineRule="exact"/>
        <w:ind w:firstLine="720"/>
        <w:outlineLvl w:val="1"/>
        <w:rPr>
          <w:rFonts w:ascii="黑体" w:hAnsi="黑体" w:eastAsia="黑体" w:cs="黑体"/>
          <w:bCs/>
          <w:sz w:val="32"/>
          <w:szCs w:val="32"/>
        </w:rPr>
      </w:pPr>
      <w:bookmarkStart w:id="192" w:name="_Toc27987"/>
      <w:r>
        <w:rPr>
          <w:rFonts w:hint="eastAsia" w:ascii="黑体" w:hAnsi="黑体" w:eastAsia="黑体" w:cs="黑体"/>
          <w:bCs/>
          <w:sz w:val="32"/>
          <w:szCs w:val="32"/>
        </w:rPr>
        <w:t>六、改进建议</w:t>
      </w:r>
      <w:bookmarkEnd w:id="192"/>
    </w:p>
    <w:p w14:paraId="73D509BC">
      <w:pPr>
        <w:pStyle w:val="5"/>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建议市财政根据公安业务工作的实际，适当提高侦查办案业务经费的预算，进一步确保公安业务工作的高效开展。</w:t>
      </w:r>
    </w:p>
    <w:p w14:paraId="25A14D40">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广元市公安局</w:t>
      </w:r>
    </w:p>
    <w:p w14:paraId="2E5C553F">
      <w:pPr>
        <w:pStyle w:val="28"/>
        <w:spacing w:line="578" w:lineRule="exact"/>
        <w:jc w:val="center"/>
        <w:rPr>
          <w:rFonts w:ascii="方正小标宋简体" w:hAnsi="方正小标宋简体" w:eastAsia="方正小标宋简体" w:cs="方正小标宋简体"/>
          <w:color w:val="FF0000"/>
          <w:kern w:val="2"/>
          <w:sz w:val="44"/>
          <w:szCs w:val="44"/>
          <w:lang w:val="en-US"/>
        </w:rPr>
      </w:pPr>
      <w:r>
        <w:rPr>
          <w:rFonts w:hint="eastAsia" w:ascii="方正小标宋简体" w:hAnsi="方正小标宋简体" w:eastAsia="方正小标宋简体" w:cs="方正小标宋简体"/>
          <w:color w:val="auto"/>
          <w:kern w:val="2"/>
          <w:sz w:val="44"/>
          <w:szCs w:val="44"/>
          <w:lang w:val="en-US"/>
        </w:rPr>
        <w:t>重大传染病防控补助资金绩效评价报告</w:t>
      </w:r>
    </w:p>
    <w:p w14:paraId="39447F48">
      <w:pPr>
        <w:pStyle w:val="28"/>
        <w:spacing w:line="578" w:lineRule="exact"/>
        <w:ind w:firstLine="640"/>
        <w:jc w:val="center"/>
        <w:rPr>
          <w:rFonts w:ascii="宋体" w:hAnsi="宋体"/>
          <w:color w:val="auto"/>
          <w:kern w:val="2"/>
          <w:sz w:val="32"/>
          <w:szCs w:val="32"/>
        </w:rPr>
      </w:pPr>
    </w:p>
    <w:p w14:paraId="19B6C041">
      <w:pPr>
        <w:adjustRightInd w:val="0"/>
        <w:snapToGrid w:val="0"/>
        <w:spacing w:line="580" w:lineRule="exact"/>
        <w:ind w:firstLine="720"/>
        <w:outlineLvl w:val="1"/>
        <w:rPr>
          <w:rFonts w:ascii="黑体" w:hAnsi="黑体" w:eastAsia="黑体" w:cs="黑体"/>
          <w:bCs/>
          <w:sz w:val="32"/>
          <w:szCs w:val="32"/>
        </w:rPr>
      </w:pPr>
      <w:bookmarkStart w:id="193" w:name="_Toc1532"/>
      <w:r>
        <w:rPr>
          <w:rFonts w:hint="eastAsia" w:ascii="黑体" w:hAnsi="黑体" w:eastAsia="黑体" w:cs="黑体"/>
          <w:bCs/>
          <w:sz w:val="32"/>
          <w:szCs w:val="32"/>
        </w:rPr>
        <w:t>一、项目概况</w:t>
      </w:r>
      <w:bookmarkEnd w:id="193"/>
    </w:p>
    <w:p w14:paraId="516CCBF5">
      <w:pPr>
        <w:adjustRightInd w:val="0"/>
        <w:snapToGrid w:val="0"/>
        <w:spacing w:line="600" w:lineRule="exact"/>
        <w:ind w:firstLine="720"/>
        <w:rPr>
          <w:rFonts w:hint="eastAsia" w:ascii="仿宋_GB2312" w:hAnsi="Nimbus Roman No9 L" w:eastAsia="仿宋_GB2312" w:cs="Arial"/>
          <w:sz w:val="32"/>
          <w:szCs w:val="32"/>
        </w:rPr>
      </w:pPr>
      <w:r>
        <w:rPr>
          <w:rFonts w:hint="eastAsia" w:ascii="楷体_GB2312" w:hAnsi="宋体" w:eastAsia="楷体_GB2312"/>
          <w:b/>
          <w:sz w:val="32"/>
          <w:szCs w:val="32"/>
          <w:lang w:val="zh-CN"/>
        </w:rPr>
        <w:t>（一）设立背景及基本情况。</w:t>
      </w:r>
      <w:r>
        <w:rPr>
          <w:rFonts w:hint="eastAsia" w:ascii="仿宋_GB2312" w:hAnsi="Nimbus Roman No9 L" w:eastAsia="仿宋_GB2312" w:cs="Arial"/>
          <w:sz w:val="32"/>
          <w:szCs w:val="32"/>
        </w:rPr>
        <w:t>依据公安部《关于印发公安支出功能分类科目和公安支出类专用预算科目的通知》和四川省财政厅 四川省公安厅《关于完善全省公安公用经费保障机制的通知》（川财行〔2021〕122号）文件，对市公安局侦查办案费项目进行立项申报。按照财政部、公安部《公安机关财务管理办法》、“三重一大”集体决策制度、公安部《关于印发公安支出功能分类科目和公安支出类专用预算科目的通知》和《广元市公安局财务管理办法》对项目资金进行管理，严格按照规定的范围支持和审核资金的支付。该项经费主要服务于我局全年各项侦查办案活动，包括所产生的差旅费、车辆燃油费、租赁费等支出。市公安局对项目资金执行进度、项目资金使用情况进行监督，对资金的使用及报销进行审核。达到了打击商业传播重大传染病防控的目的。</w:t>
      </w:r>
    </w:p>
    <w:p w14:paraId="3DAB170F">
      <w:pPr>
        <w:adjustRightInd w:val="0"/>
        <w:snapToGrid w:val="0"/>
        <w:spacing w:line="600" w:lineRule="exact"/>
        <w:ind w:firstLine="720"/>
        <w:rPr>
          <w:rFonts w:hint="eastAsia" w:ascii="仿宋_GB2312" w:hAnsi="Nimbus Roman No9 L" w:eastAsia="仿宋_GB2312" w:cs="Arial"/>
          <w:sz w:val="32"/>
          <w:szCs w:val="32"/>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r>
        <w:rPr>
          <w:rFonts w:hint="eastAsia" w:ascii="楷体_GB2312" w:hAnsi="宋体" w:eastAsia="楷体_GB2312"/>
          <w:b/>
          <w:sz w:val="32"/>
          <w:szCs w:val="32"/>
          <w:lang w:val="zh-CN"/>
        </w:rPr>
        <w:t>。</w:t>
      </w:r>
      <w:r>
        <w:rPr>
          <w:rFonts w:hint="eastAsia" w:ascii="仿宋_GB2312" w:hAnsi="Nimbus Roman No9 L" w:eastAsia="仿宋_GB2312" w:cs="Arial"/>
          <w:sz w:val="32"/>
          <w:szCs w:val="32"/>
        </w:rPr>
        <w:t>按照《公安机关财务管理办法》中办案费的相关范围执行，含纪委、督察、审计、护路办等部门的执法办案，包括办案过程中发生的会议、差旅、材料、劳务、房屋及设备租赁等支出。通过建立重点人员信息库，涉黄治安案件复盘，对涉嫌故意传播艾滋病依法查处提高对违法犯罪行为的惩治力度，确保我市社会政治和治安大局持续稳定。</w:t>
      </w:r>
    </w:p>
    <w:p w14:paraId="05B1F3E6">
      <w:pPr>
        <w:adjustRightInd w:val="0"/>
        <w:snapToGrid w:val="0"/>
        <w:spacing w:line="600" w:lineRule="exact"/>
        <w:ind w:firstLine="720"/>
        <w:rPr>
          <w:rFonts w:ascii="仿宋_GB2312" w:hAnsi="仿宋"/>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r>
        <w:rPr>
          <w:rFonts w:hint="eastAsia" w:ascii="楷体_GB2312" w:hAnsi="宋体" w:eastAsia="楷体_GB2312"/>
          <w:b/>
          <w:sz w:val="32"/>
          <w:szCs w:val="32"/>
          <w:lang w:val="zh-CN"/>
        </w:rPr>
        <w:t>。</w:t>
      </w:r>
      <w:r>
        <w:rPr>
          <w:rFonts w:hint="eastAsia" w:ascii="仿宋_GB2312" w:hAnsi="Nimbus Roman No9 L" w:eastAsia="仿宋_GB2312" w:cs="Arial"/>
          <w:sz w:val="32"/>
          <w:szCs w:val="32"/>
        </w:rPr>
        <w:t>2023年项目预算资金到位2.00万元，到位率100%。资金使用专款专用，资金使用合法合规，严格按照预算进度执行，执行率100%。</w:t>
      </w:r>
    </w:p>
    <w:p w14:paraId="265DC1A2">
      <w:pPr>
        <w:adjustRightInd w:val="0"/>
        <w:snapToGrid w:val="0"/>
        <w:spacing w:line="600" w:lineRule="exact"/>
        <w:ind w:firstLine="720"/>
        <w:rPr>
          <w:rFonts w:ascii="仿宋_GB2312" w:hAnsi="仿宋"/>
          <w:color w:val="FF0000"/>
        </w:rPr>
      </w:pPr>
      <w:r>
        <w:rPr>
          <w:rFonts w:hint="eastAsia" w:ascii="楷体_GB2312" w:hAnsi="宋体" w:eastAsia="楷体_GB2312"/>
          <w:b/>
          <w:sz w:val="32"/>
          <w:szCs w:val="32"/>
          <w:lang w:val="zh-CN"/>
        </w:rPr>
        <w:t>（四）项目绩效目标设置。</w:t>
      </w:r>
      <w:r>
        <w:rPr>
          <w:rFonts w:hint="eastAsia" w:ascii="仿宋_GB2312" w:hAnsi="Nimbus Roman No9 L" w:eastAsia="仿宋_GB2312" w:cs="Arial"/>
          <w:sz w:val="32"/>
          <w:szCs w:val="32"/>
        </w:rPr>
        <w:t>年初设置了年度目标任务，设置了产出指标、效益指标、成本指标和满意度指标4个一级指标，数量指标、质量指标、时效指标等9个二级指标，完成维稳人次、完成安保执勤任务等21个三级指标。按照年初既定目标，认真开展预算绩效自评，对指标完成情况进行梳理填报，自评情况良好。</w:t>
      </w:r>
    </w:p>
    <w:p w14:paraId="05F5652E">
      <w:pPr>
        <w:adjustRightInd w:val="0"/>
        <w:snapToGrid w:val="0"/>
        <w:spacing w:line="580" w:lineRule="exact"/>
        <w:ind w:firstLine="720"/>
        <w:outlineLvl w:val="1"/>
        <w:rPr>
          <w:rFonts w:ascii="黑体" w:hAnsi="黑体" w:eastAsia="黑体" w:cs="黑体"/>
          <w:bCs/>
          <w:sz w:val="32"/>
          <w:szCs w:val="32"/>
        </w:rPr>
      </w:pPr>
      <w:bookmarkStart w:id="194" w:name="_Toc2690"/>
      <w:r>
        <w:rPr>
          <w:rFonts w:hint="eastAsia" w:ascii="黑体" w:hAnsi="黑体" w:eastAsia="黑体" w:cs="黑体"/>
          <w:bCs/>
          <w:sz w:val="32"/>
          <w:szCs w:val="32"/>
        </w:rPr>
        <w:t>二、评价实施</w:t>
      </w:r>
      <w:bookmarkEnd w:id="194"/>
    </w:p>
    <w:p w14:paraId="5A701C3C">
      <w:pPr>
        <w:spacing w:line="578" w:lineRule="exact"/>
        <w:ind w:firstLine="640"/>
      </w:pPr>
      <w:r>
        <w:rPr>
          <w:rFonts w:hint="eastAsia" w:ascii="楷体_GB2312" w:hAnsi="宋体" w:eastAsia="楷体_GB2312"/>
          <w:b/>
          <w:sz w:val="32"/>
          <w:szCs w:val="32"/>
          <w:lang w:val="zh-CN"/>
        </w:rPr>
        <w:t>（一）评价目的。</w:t>
      </w:r>
      <w:r>
        <w:rPr>
          <w:rFonts w:ascii="仿宋_GB2312" w:hAnsi="Nimbus Roman No9 L" w:eastAsia="仿宋_GB2312" w:cs="Arial"/>
          <w:sz w:val="32"/>
          <w:szCs w:val="32"/>
        </w:rPr>
        <w:t>通过</w:t>
      </w:r>
      <w:r>
        <w:rPr>
          <w:rFonts w:hint="eastAsia" w:ascii="仿宋_GB2312" w:hAnsi="Nimbus Roman No9 L" w:eastAsia="仿宋_GB2312" w:cs="Arial"/>
          <w:sz w:val="32"/>
          <w:szCs w:val="32"/>
        </w:rPr>
        <w:t>项目绩效自评提高财政资金的使用效益，确保资金得到合理有效的利用；进一步加强预算执行进度的监督管理，及时发现该项目预算执行中存在的问题并做出相应的解决措施，为来年该项目的申报提供科学合理的标准。</w:t>
      </w:r>
    </w:p>
    <w:p w14:paraId="03FD2E70">
      <w:pPr>
        <w:adjustRightInd w:val="0"/>
        <w:snapToGrid w:val="0"/>
        <w:spacing w:line="600" w:lineRule="exact"/>
        <w:ind w:firstLine="720"/>
        <w:rPr>
          <w:rFonts w:hint="eastAsia" w:ascii="仿宋_GB2312" w:hAnsi="Nimbus Roman No9 L" w:eastAsia="仿宋_GB2312" w:cs="Arial"/>
          <w:sz w:val="32"/>
          <w:szCs w:val="32"/>
        </w:rPr>
      </w:pPr>
      <w:r>
        <w:rPr>
          <w:rFonts w:hint="eastAsia" w:ascii="楷体_GB2312" w:hAnsi="宋体" w:eastAsia="楷体_GB2312"/>
          <w:b/>
          <w:sz w:val="32"/>
          <w:szCs w:val="32"/>
          <w:lang w:val="zh-CN"/>
        </w:rPr>
        <w:t>（二）预设问题及评价重点。</w:t>
      </w:r>
      <w:r>
        <w:rPr>
          <w:rFonts w:hint="eastAsia" w:ascii="仿宋_GB2312" w:hAnsi="Nimbus Roman No9 L" w:eastAsia="仿宋_GB2312" w:cs="Arial"/>
          <w:sz w:val="32"/>
          <w:szCs w:val="32"/>
        </w:rPr>
        <w:t>本项目预设“资金分配和使用计划是否明确”，该项目由市公安局警务保障处进行综合管理，设立专职会计、出纳等岗位，各部门相关费用支出由其财务人员统一进行报销，做到专人专司财务管理职责，对项目资金严格执行财务管理制度，及时进行财务处理和核算，使财政资金达到了最大的效益。对故意传播性病被取保候审期间再犯人员，以及曾因故意传播性病被刑事打击再犯人员，坚决进行了羁押。</w:t>
      </w:r>
    </w:p>
    <w:p w14:paraId="1B46F3AC">
      <w:pPr>
        <w:adjustRightInd w:val="0"/>
        <w:snapToGrid w:val="0"/>
        <w:spacing w:line="578" w:lineRule="exact"/>
        <w:ind w:firstLine="643" w:firstLineChars="200"/>
        <w:rPr>
          <w:lang w:val="zh-CN"/>
        </w:rPr>
      </w:pPr>
      <w:r>
        <w:rPr>
          <w:rFonts w:hint="eastAsia" w:ascii="楷体_GB2312" w:hAnsi="宋体" w:eastAsia="楷体_GB2312"/>
          <w:b/>
          <w:sz w:val="32"/>
          <w:szCs w:val="32"/>
          <w:lang w:val="zh-CN"/>
        </w:rPr>
        <w:t>（三）评价选点。</w:t>
      </w:r>
      <w:r>
        <w:rPr>
          <w:rFonts w:hint="eastAsia" w:ascii="仿宋_GB2312" w:hAnsi="Nimbus Roman No9 L" w:eastAsia="仿宋_GB2312" w:cs="Arial"/>
          <w:sz w:val="32"/>
          <w:szCs w:val="32"/>
        </w:rPr>
        <w:t>梳理确证艾滋病后卖淫嫖娼治安处罚人员，开展案件复盘，以故意传播性病罪立案侦查，案件办结率、完成检测比例、对维护社会治安的辅助作用。</w:t>
      </w:r>
    </w:p>
    <w:p w14:paraId="63C21E94">
      <w:pPr>
        <w:adjustRightInd w:val="0"/>
        <w:snapToGrid w:val="0"/>
        <w:spacing w:line="600" w:lineRule="exact"/>
        <w:ind w:firstLine="720"/>
        <w:rPr>
          <w:rFonts w:hint="eastAsia" w:ascii="仿宋_GB2312" w:hAnsi="Nimbus Roman No9 L" w:eastAsia="仿宋_GB2312" w:cs="Arial"/>
          <w:sz w:val="32"/>
          <w:szCs w:val="32"/>
        </w:rPr>
      </w:pPr>
      <w:r>
        <w:rPr>
          <w:rFonts w:hint="eastAsia" w:ascii="楷体_GB2312" w:hAnsi="宋体" w:eastAsia="楷体_GB2312"/>
          <w:b/>
          <w:sz w:val="32"/>
          <w:szCs w:val="32"/>
          <w:lang w:val="zh-CN"/>
        </w:rPr>
        <w:t>（四）评价方法。</w:t>
      </w:r>
      <w:r>
        <w:rPr>
          <w:rFonts w:ascii="仿宋_GB2312" w:hAnsi="Nimbus Roman No9 L" w:eastAsia="仿宋_GB2312" w:cs="Arial"/>
          <w:sz w:val="32"/>
          <w:szCs w:val="32"/>
        </w:rPr>
        <w:t>根据项目情况和评价重点，</w:t>
      </w:r>
      <w:r>
        <w:rPr>
          <w:rFonts w:hint="eastAsia" w:ascii="仿宋_GB2312" w:hAnsi="Nimbus Roman No9 L" w:eastAsia="仿宋_GB2312" w:cs="Arial"/>
          <w:sz w:val="32"/>
          <w:szCs w:val="32"/>
        </w:rPr>
        <w:t>我单位采取</w:t>
      </w:r>
      <w:r>
        <w:rPr>
          <w:rFonts w:ascii="仿宋_GB2312" w:hAnsi="Nimbus Roman No9 L" w:eastAsia="仿宋_GB2312" w:cs="Arial"/>
          <w:sz w:val="32"/>
          <w:szCs w:val="32"/>
        </w:rPr>
        <w:t>单位自评法</w:t>
      </w:r>
      <w:r>
        <w:rPr>
          <w:rFonts w:hint="eastAsia" w:ascii="仿宋_GB2312" w:hAnsi="Nimbus Roman No9 L" w:eastAsia="仿宋_GB2312" w:cs="Arial"/>
          <w:sz w:val="32"/>
          <w:szCs w:val="32"/>
        </w:rPr>
        <w:t>对该项目预算绩效开展自评。</w:t>
      </w:r>
    </w:p>
    <w:p w14:paraId="726AA0F6">
      <w:pPr>
        <w:spacing w:line="578" w:lineRule="exact"/>
        <w:ind w:firstLine="640"/>
        <w:rPr>
          <w:rFonts w:hint="eastAsia" w:ascii="仿宋_GB2312" w:hAnsi="Nimbus Roman No9 L" w:eastAsia="仿宋_GB2312" w:cs="Arial"/>
          <w:sz w:val="32"/>
          <w:szCs w:val="32"/>
        </w:rPr>
      </w:pPr>
      <w:r>
        <w:rPr>
          <w:rFonts w:hint="eastAsia" w:ascii="楷体_GB2312" w:hAnsi="宋体" w:eastAsia="楷体_GB2312"/>
          <w:b/>
          <w:sz w:val="32"/>
          <w:szCs w:val="32"/>
          <w:lang w:val="zh-CN"/>
        </w:rPr>
        <w:t>（五）评价组织。</w:t>
      </w:r>
      <w:r>
        <w:rPr>
          <w:rFonts w:hint="eastAsia" w:ascii="仿宋_GB2312" w:hAnsi="Nimbus Roman No9 L" w:eastAsia="仿宋_GB2312" w:cs="Arial"/>
          <w:sz w:val="32"/>
          <w:szCs w:val="32"/>
        </w:rPr>
        <w:t>按照广元市公安局《预算绩效管理办法（试行）》，该项目自评工作由市公安局警务保障处牵头，治安支队协助，围绕总体目标、绩效指标的完成情况及使用效益开展。</w:t>
      </w:r>
    </w:p>
    <w:p w14:paraId="5D8243E5">
      <w:pPr>
        <w:adjustRightInd w:val="0"/>
        <w:snapToGrid w:val="0"/>
        <w:spacing w:line="580" w:lineRule="exact"/>
        <w:ind w:firstLine="720"/>
        <w:outlineLvl w:val="1"/>
        <w:rPr>
          <w:rFonts w:ascii="黑体" w:hAnsi="黑体" w:eastAsia="黑体" w:cs="黑体"/>
          <w:bCs/>
          <w:sz w:val="32"/>
          <w:szCs w:val="32"/>
        </w:rPr>
      </w:pPr>
      <w:bookmarkStart w:id="195" w:name="_Toc7781"/>
      <w:r>
        <w:rPr>
          <w:rFonts w:hint="eastAsia" w:ascii="黑体" w:hAnsi="黑体" w:eastAsia="黑体" w:cs="黑体"/>
          <w:bCs/>
          <w:sz w:val="32"/>
          <w:szCs w:val="32"/>
        </w:rPr>
        <w:t>三、绩效分析</w:t>
      </w:r>
      <w:bookmarkEnd w:id="195"/>
      <w:r>
        <w:rPr>
          <w:rFonts w:hint="eastAsia" w:ascii="黑体" w:hAnsi="黑体" w:eastAsia="黑体" w:cs="黑体"/>
          <w:bCs/>
          <w:sz w:val="32"/>
          <w:szCs w:val="32"/>
        </w:rPr>
        <w:tab/>
      </w:r>
    </w:p>
    <w:p w14:paraId="3EE5C225">
      <w:pPr>
        <w:spacing w:line="578"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（一）通用指标</w:t>
      </w:r>
      <w:r>
        <w:rPr>
          <w:rFonts w:ascii="楷体_GB2312" w:hAnsi="宋体" w:eastAsia="楷体_GB2312"/>
          <w:b/>
          <w:sz w:val="32"/>
          <w:szCs w:val="32"/>
          <w:lang w:val="zh-CN"/>
        </w:rPr>
        <w:t>绩效分析。</w:t>
      </w:r>
    </w:p>
    <w:p w14:paraId="464062D5">
      <w:pPr>
        <w:spacing w:line="578" w:lineRule="exact"/>
        <w:ind w:firstLine="64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项目决策。（1）决策程序。该项目的设立、调整延续等方面符合资金管理基本规范和决策程序要求，该项自评得6分。（2）规划论证。按照市委市政府有关决策部署安排，项目实施前开展了项目事前绩效评价，评估内容包含立项必要性、前瞻性、合理性和可行性；项目总体绩效目标设置合理性的偏离度≤15%；绩效目标科学合理、规范完整、量化细化、预算匹配。该项自评得6分。（3）资金投向。本项目属于政府支持范围，且符合财政事权支出责任划分规定，资金投向与项目总体规划、公安事业发展相匹配，聚焦重大任务、重点领域，未与其他同类项目或部门内部相关项目交叉重复，该项自评得6分。</w:t>
      </w:r>
    </w:p>
    <w:p w14:paraId="2F4AEAA9">
      <w:pPr>
        <w:spacing w:line="578" w:lineRule="exact"/>
        <w:ind w:firstLine="64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管理。（1）制度办法。资金管理体系健全完善，不存在管理制度缺失、管理办法过期情况，该项自评得2分。（2）分配管理。本项目资金分配因素选取充分考虑公安事业发展实际和发展需求；资金分配因素的权重设置有效突出项目实施重点；资金区域分布结果公平合理。项目资金的分配严格按照财务管理办法执行，资金使用全程监控，使用合理合规。该项自评得10分。（3）绩效监管。本项目严格按照中央和省、市要求全面完成绩效目标（含事前评估）、绩效评价、以前年度问题整改等预算绩效管理工作；市公安局绩效管理小组全过程对业务部门使用项目经费开展评价、监督、指导等工作，该项自评得6分。</w:t>
      </w:r>
    </w:p>
    <w:p w14:paraId="7FE10884">
      <w:pPr>
        <w:spacing w:line="578" w:lineRule="exact"/>
        <w:ind w:firstLine="640"/>
        <w:rPr>
          <w:rFonts w:hint="eastAsia" w:ascii="仿宋_GB2312" w:hAnsi="Nimbus Roman No9 L" w:eastAsia="仿宋_GB2312" w:cs="Arial"/>
          <w:sz w:val="32"/>
          <w:szCs w:val="32"/>
        </w:rPr>
      </w:pPr>
      <w:r>
        <w:rPr>
          <w:rFonts w:hint="eastAsia" w:ascii="仿宋_GB2312" w:hAnsi="Nimbus Roman No9 L" w:eastAsia="仿宋_GB2312" w:cs="Arial"/>
          <w:sz w:val="32"/>
          <w:szCs w:val="32"/>
        </w:rPr>
        <w:t>3.项目实施。（1）预算执行。本项目是由市财政资金全额保障，该项指标得分=财政资金拨付率×100%×6=6，该项自评得6分。（2）资金使用。项目资金使用、拨付是符合国家财经法规、财务管理制度及有关专项资金管理制度办法规定和审批程序，坚持项目资金专款专用，未存在截留、挤占、挪用、虚列支出等情况，该项自评得3分。</w:t>
      </w:r>
    </w:p>
    <w:p w14:paraId="52E85ADC">
      <w:pPr>
        <w:spacing w:line="578" w:lineRule="exact"/>
        <w:ind w:firstLine="640"/>
        <w:rPr>
          <w:rFonts w:hint="eastAsia" w:ascii="仿宋_GB2312" w:hAnsi="Nimbus Roman No9 L" w:eastAsia="仿宋_GB2312" w:cs="Arial"/>
          <w:sz w:val="32"/>
          <w:szCs w:val="32"/>
        </w:rPr>
      </w:pPr>
      <w:r>
        <w:rPr>
          <w:rFonts w:hint="eastAsia" w:ascii="仿宋_GB2312" w:hAnsi="Nimbus Roman No9 L" w:eastAsia="仿宋_GB2312" w:cs="Arial"/>
          <w:sz w:val="32"/>
          <w:szCs w:val="32"/>
        </w:rPr>
        <w:t>4.项目结果。（1）目标完成。该项指标得分=实际完成目标任务量÷首次批复立项设定绩效目标任务总量×100%×6=6，该项自评得6分。（2）完成时效。该项指标得分=（1-(实际完成时间-计划完成时间)÷计划完成时间）×100%×3=3，该项自评得3分。</w:t>
      </w:r>
    </w:p>
    <w:p w14:paraId="58DE7288">
      <w:pPr>
        <w:adjustRightInd w:val="0"/>
        <w:snapToGrid w:val="0"/>
        <w:spacing w:line="600" w:lineRule="exact"/>
        <w:ind w:firstLine="720"/>
        <w:rPr>
          <w:rFonts w:hint="eastAsia" w:ascii="仿宋_GB2312" w:hAnsi="Nimbus Roman No9 L" w:eastAsia="仿宋_GB2312" w:cs="Arial"/>
          <w:sz w:val="32"/>
          <w:szCs w:val="32"/>
        </w:rPr>
      </w:pPr>
      <w:r>
        <w:rPr>
          <w:rFonts w:hint="eastAsia" w:ascii="楷体_GB2312" w:hAnsi="宋体" w:eastAsia="楷体_GB2312"/>
          <w:b/>
          <w:sz w:val="32"/>
          <w:szCs w:val="32"/>
          <w:lang w:val="zh-CN"/>
        </w:rPr>
        <w:t>（二）专用指标</w:t>
      </w:r>
      <w:r>
        <w:rPr>
          <w:rFonts w:ascii="楷体_GB2312" w:hAnsi="宋体" w:eastAsia="楷体_GB2312"/>
          <w:b/>
          <w:sz w:val="32"/>
          <w:szCs w:val="32"/>
          <w:lang w:val="zh-CN"/>
        </w:rPr>
        <w:t>绩效分析。</w:t>
      </w:r>
      <w:r>
        <w:rPr>
          <w:rFonts w:hint="eastAsia" w:ascii="仿宋_GB2312" w:hAnsi="Nimbus Roman No9 L" w:eastAsia="仿宋_GB2312" w:cs="Arial"/>
          <w:sz w:val="32"/>
          <w:szCs w:val="32"/>
        </w:rPr>
        <w:t>本项目行政运转类项目。项目由市公安局警务保障处进行综合管理，设立专职会计、出纳等岗位，各部门相关费用支出由其财务人员统一进行报销，做到专人专司财务管理职责；项目资金使用严格按照财务管理制度要求，实行公务卡结算，不能使用公务卡结算的进行转账，发生的每一笔支出都要履行完整报销手续，确保其真实可靠性、合法合规。市公安局机关纪委、审计处成立项目核查专班，定期核查项目资金支出情况，使其发挥最大效益。该项自评得30分。</w:t>
      </w:r>
    </w:p>
    <w:p w14:paraId="7A4F5C12">
      <w:pPr>
        <w:spacing w:line="578" w:lineRule="exact"/>
        <w:ind w:firstLine="640"/>
        <w:rPr>
          <w:rFonts w:hint="eastAsia" w:ascii="仿宋_GB2312" w:hAnsi="Nimbus Roman No9 L" w:eastAsia="仿宋_GB2312" w:cs="Arial"/>
          <w:sz w:val="32"/>
          <w:szCs w:val="32"/>
        </w:rPr>
      </w:pPr>
      <w:r>
        <w:rPr>
          <w:rFonts w:hint="eastAsia" w:ascii="楷体_GB2312" w:hAnsi="宋体" w:eastAsia="楷体_GB2312"/>
          <w:b/>
          <w:sz w:val="32"/>
          <w:szCs w:val="32"/>
          <w:lang w:val="zh-CN"/>
        </w:rPr>
        <w:t>（三）个性指标</w:t>
      </w:r>
      <w:r>
        <w:rPr>
          <w:rFonts w:ascii="楷体_GB2312" w:hAnsi="宋体" w:eastAsia="楷体_GB2312"/>
          <w:b/>
          <w:sz w:val="32"/>
          <w:szCs w:val="32"/>
          <w:lang w:val="zh-CN"/>
        </w:rPr>
        <w:t>绩效分析。</w:t>
      </w:r>
      <w:r>
        <w:rPr>
          <w:rFonts w:hint="eastAsia" w:ascii="仿宋_GB2312" w:hAnsi="Nimbus Roman No9 L" w:eastAsia="仿宋_GB2312" w:cs="Arial"/>
          <w:sz w:val="32"/>
          <w:szCs w:val="32"/>
        </w:rPr>
        <w:t>根据本项目的实际，项目选取项目效益个性指标，包含对维护社会治安的辅助作用、维护社会和谐稳定、保障政治大局平稳、持续发展等4个三级指标。根据项目实施的实际效果，采取是否评分法，经自评，该项自评得15分。</w:t>
      </w:r>
    </w:p>
    <w:p w14:paraId="4799698A">
      <w:pPr>
        <w:adjustRightInd w:val="0"/>
        <w:snapToGrid w:val="0"/>
        <w:spacing w:line="580" w:lineRule="exact"/>
        <w:ind w:firstLine="720"/>
        <w:outlineLvl w:val="1"/>
        <w:rPr>
          <w:rFonts w:ascii="黑体" w:hAnsi="黑体" w:eastAsia="黑体" w:cs="黑体"/>
          <w:bCs/>
          <w:sz w:val="32"/>
          <w:szCs w:val="32"/>
        </w:rPr>
      </w:pPr>
      <w:bookmarkStart w:id="196" w:name="_Toc6030"/>
      <w:r>
        <w:rPr>
          <w:rFonts w:hint="eastAsia" w:ascii="黑体" w:hAnsi="黑体" w:eastAsia="黑体" w:cs="黑体"/>
          <w:bCs/>
          <w:sz w:val="32"/>
          <w:szCs w:val="32"/>
        </w:rPr>
        <w:t>四、评价结论</w:t>
      </w:r>
      <w:bookmarkEnd w:id="196"/>
    </w:p>
    <w:p w14:paraId="778BD7CF">
      <w:pPr>
        <w:pStyle w:val="5"/>
        <w:spacing w:line="600" w:lineRule="exact"/>
        <w:ind w:firstLine="640" w:firstLineChars="200"/>
        <w:rPr>
          <w:rFonts w:ascii="仿宋" w:hAnsi="仿宋" w:eastAsia="仿宋" w:cs="仿宋"/>
          <w:sz w:val="32"/>
          <w:szCs w:val="32"/>
        </w:rPr>
      </w:pPr>
      <w:r>
        <w:rPr>
          <w:rFonts w:hint="eastAsia" w:ascii="仿宋_GB2312" w:hAnsi="仿宋_GB2312" w:eastAsia="仿宋_GB2312" w:cs="仿宋_GB2312"/>
          <w:sz w:val="32"/>
          <w:szCs w:val="32"/>
        </w:rPr>
        <w:t>项目实施确保了我市</w:t>
      </w:r>
      <w:r>
        <w:rPr>
          <w:rFonts w:hint="eastAsia" w:ascii="仿宋" w:hAnsi="仿宋" w:eastAsia="仿宋" w:cs="仿宋"/>
          <w:sz w:val="32"/>
          <w:szCs w:val="32"/>
        </w:rPr>
        <w:t>建立重点人员信息库，建立本地艾滋病涉黄前科人员信息库，运用大数据分析，精准支撑专项打击行动，</w:t>
      </w:r>
      <w:r>
        <w:rPr>
          <w:rFonts w:hint="eastAsia" w:ascii="仿宋" w:hAnsi="仿宋" w:eastAsia="仿宋" w:cs="仿宋"/>
          <w:kern w:val="0"/>
          <w:sz w:val="32"/>
          <w:szCs w:val="32"/>
        </w:rPr>
        <w:t>以县为单位全覆盖开展专项打击及挡获卖淫嫖娼人员数。对涉嫌故意传播艾滋病依法查处。</w:t>
      </w:r>
    </w:p>
    <w:p w14:paraId="57468DEB">
      <w:pPr>
        <w:adjustRightInd w:val="0"/>
        <w:snapToGrid w:val="0"/>
        <w:spacing w:line="580" w:lineRule="exact"/>
        <w:ind w:firstLine="720"/>
        <w:outlineLvl w:val="1"/>
        <w:rPr>
          <w:rFonts w:ascii="黑体" w:hAnsi="黑体" w:eastAsia="黑体" w:cs="黑体"/>
          <w:bCs/>
          <w:sz w:val="32"/>
          <w:szCs w:val="32"/>
        </w:rPr>
      </w:pPr>
      <w:bookmarkStart w:id="197" w:name="_Toc523"/>
      <w:r>
        <w:rPr>
          <w:rFonts w:hint="eastAsia" w:ascii="黑体" w:hAnsi="黑体" w:eastAsia="黑体" w:cs="黑体"/>
          <w:bCs/>
          <w:sz w:val="32"/>
          <w:szCs w:val="32"/>
        </w:rPr>
        <w:t>五、存在主要问题</w:t>
      </w:r>
      <w:bookmarkEnd w:id="197"/>
    </w:p>
    <w:p w14:paraId="02DB9C6B">
      <w:pPr>
        <w:pStyle w:val="5"/>
        <w:spacing w:line="600" w:lineRule="exact"/>
        <w:ind w:firstLine="640" w:firstLineChars="200"/>
        <w:rPr>
          <w:rFonts w:ascii="黑体" w:hAnsi="黑体" w:cs="黑体"/>
          <w:sz w:val="32"/>
          <w:szCs w:val="32"/>
        </w:rPr>
      </w:pPr>
      <w:r>
        <w:rPr>
          <w:rFonts w:hint="eastAsia" w:ascii="仿宋_GB2312" w:hAnsi="仿宋_GB2312" w:eastAsia="仿宋_GB2312" w:cs="仿宋_GB2312"/>
          <w:sz w:val="32"/>
          <w:szCs w:val="32"/>
        </w:rPr>
        <w:t>无。</w:t>
      </w:r>
    </w:p>
    <w:p w14:paraId="24A61540">
      <w:pPr>
        <w:adjustRightInd w:val="0"/>
        <w:snapToGrid w:val="0"/>
        <w:spacing w:line="580" w:lineRule="exact"/>
        <w:ind w:firstLine="720"/>
        <w:outlineLvl w:val="1"/>
        <w:rPr>
          <w:rFonts w:ascii="黑体" w:hAnsi="黑体" w:eastAsia="黑体" w:cs="黑体"/>
          <w:bCs/>
          <w:sz w:val="32"/>
          <w:szCs w:val="32"/>
        </w:rPr>
      </w:pPr>
      <w:bookmarkStart w:id="198" w:name="_Toc9050"/>
      <w:r>
        <w:rPr>
          <w:rFonts w:hint="eastAsia" w:ascii="黑体" w:hAnsi="黑体" w:eastAsia="黑体" w:cs="黑体"/>
          <w:bCs/>
          <w:sz w:val="32"/>
          <w:szCs w:val="32"/>
        </w:rPr>
        <w:t>六、改进建议</w:t>
      </w:r>
      <w:bookmarkEnd w:id="198"/>
    </w:p>
    <w:p w14:paraId="0105524F">
      <w:pPr>
        <w:pStyle w:val="5"/>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建议市财政根据公安业务工作的实际，适当提高侦查办案业务经费的预算，进一步确保公安业务工作的高效开展。</w:t>
      </w:r>
    </w:p>
    <w:p w14:paraId="12FD6A66">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广元市公安局宝珠寺分局</w:t>
      </w:r>
    </w:p>
    <w:p w14:paraId="50958EE7">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办案业务经费项目绩效评价报告</w:t>
      </w:r>
    </w:p>
    <w:p w14:paraId="37D66936">
      <w:pPr>
        <w:pStyle w:val="28"/>
        <w:spacing w:line="578" w:lineRule="exact"/>
        <w:ind w:firstLine="640"/>
        <w:jc w:val="center"/>
        <w:rPr>
          <w:rFonts w:ascii="宋体" w:hAnsi="宋体"/>
          <w:color w:val="auto"/>
          <w:kern w:val="2"/>
          <w:sz w:val="32"/>
          <w:szCs w:val="32"/>
        </w:rPr>
      </w:pPr>
    </w:p>
    <w:p w14:paraId="1039BE30">
      <w:pPr>
        <w:adjustRightInd w:val="0"/>
        <w:snapToGrid w:val="0"/>
        <w:spacing w:line="580" w:lineRule="exact"/>
        <w:ind w:firstLine="720"/>
        <w:outlineLvl w:val="1"/>
        <w:rPr>
          <w:rFonts w:ascii="黑体" w:hAnsi="黑体" w:eastAsia="黑体" w:cs="黑体"/>
          <w:bCs/>
          <w:sz w:val="32"/>
          <w:szCs w:val="32"/>
        </w:rPr>
      </w:pPr>
      <w:bookmarkStart w:id="199" w:name="_Toc13580"/>
      <w:r>
        <w:rPr>
          <w:rFonts w:hint="eastAsia" w:ascii="黑体" w:hAnsi="黑体" w:eastAsia="黑体" w:cs="黑体"/>
          <w:bCs/>
          <w:sz w:val="32"/>
          <w:szCs w:val="32"/>
        </w:rPr>
        <w:t>一、项目概况</w:t>
      </w:r>
      <w:bookmarkEnd w:id="199"/>
    </w:p>
    <w:p w14:paraId="2EF96298">
      <w:pPr>
        <w:widowControl/>
        <w:adjustRightInd w:val="0"/>
        <w:snapToGrid w:val="0"/>
        <w:spacing w:line="578" w:lineRule="exact"/>
        <w:ind w:firstLine="643" w:firstLineChars="200"/>
        <w:contextualSpacing/>
        <w:jc w:val="left"/>
        <w:rPr>
          <w:rFonts w:ascii="仿宋_GB2312" w:hAnsi="仿宋_GB2312" w:cs="仿宋_GB2312"/>
          <w:kern w:val="0"/>
          <w:shd w:val="clear" w:color="auto" w:fill="FFFFFF"/>
        </w:rPr>
      </w:pPr>
      <w:r>
        <w:rPr>
          <w:rFonts w:hint="eastAsia" w:ascii="楷体_GB2312" w:hAnsi="宋体" w:eastAsia="楷体_GB2312"/>
          <w:b/>
          <w:sz w:val="32"/>
          <w:szCs w:val="32"/>
          <w:lang w:val="zh-CN"/>
        </w:rPr>
        <w:t>（一）设立背景及基本情况。</w:t>
      </w:r>
    </w:p>
    <w:p w14:paraId="77B91B5D">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保障民辅警执法办案、安保维稳、等级勤务、重点人稳控、辖区社会矛盾化解、反诈宣传、法律宣讲等工作的正常开展。预防、制止和侦查违法犯罪活动、依法查处危害社会治安秩序行为、管理道路交通安全、维护道路交通秩序，公安机关办理各类案事件提供经费保障申报办案业务经费，符合资金管理办法等相关规定。</w:t>
      </w:r>
    </w:p>
    <w:p w14:paraId="1A3CAF83">
      <w:pPr>
        <w:adjustRightInd w:val="0"/>
        <w:snapToGrid w:val="0"/>
        <w:spacing w:line="578" w:lineRule="exact"/>
        <w:ind w:firstLine="640" w:firstLineChars="200"/>
        <w:contextualSpacing/>
        <w:rPr>
          <w:rFonts w:hint="eastAsia" w:ascii="仿宋_GB2312" w:hAnsi="Nimbus Roman No9 L" w:eastAsia="仿宋_GB2312" w:cs="Arial"/>
          <w:sz w:val="32"/>
          <w:szCs w:val="32"/>
        </w:rPr>
      </w:pPr>
      <w:r>
        <w:rPr>
          <w:rFonts w:ascii="仿宋_GB2312" w:hAnsi="Nimbus Roman No9 L" w:eastAsia="仿宋_GB2312" w:cs="Arial"/>
          <w:sz w:val="32"/>
          <w:szCs w:val="32"/>
        </w:rPr>
        <w:t>2</w:t>
      </w:r>
      <w:r>
        <w:rPr>
          <w:rFonts w:hint="eastAsia" w:ascii="仿宋_GB2312" w:hAnsi="Nimbus Roman No9 L" w:eastAsia="仿宋_GB2312" w:cs="Arial"/>
          <w:sz w:val="32"/>
          <w:szCs w:val="32"/>
        </w:rPr>
        <w:t>．项目立项、资金申报的依据。</w:t>
      </w:r>
    </w:p>
    <w:p w14:paraId="62F9A4B6">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公安部《关于印发公安支出功能分类科目和公安支出类专用预算科目的通知》和四川省财政厅 四川省公安厅《关于完善全省公安公用经费保障机制的通知》（川财行〔2021〕122号）文件进行项目立项申报。</w:t>
      </w:r>
    </w:p>
    <w:p w14:paraId="471D8834">
      <w:pPr>
        <w:widowControl/>
        <w:adjustRightInd w:val="0"/>
        <w:snapToGrid w:val="0"/>
        <w:spacing w:line="578" w:lineRule="exact"/>
        <w:ind w:firstLine="643" w:firstLineChars="200"/>
        <w:contextualSpacing/>
        <w:jc w:val="left"/>
        <w:rPr>
          <w:rFonts w:ascii="楷体_GB2312" w:hAnsi="宋体" w:eastAsia="楷体_GB2312"/>
          <w:b/>
          <w:sz w:val="32"/>
          <w:szCs w:val="32"/>
          <w:lang w:val="zh-CN"/>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r>
        <w:rPr>
          <w:rFonts w:hint="eastAsia" w:ascii="楷体_GB2312" w:hAnsi="宋体" w:eastAsia="楷体_GB2312"/>
          <w:b/>
          <w:sz w:val="32"/>
          <w:szCs w:val="32"/>
          <w:lang w:val="zh-CN"/>
        </w:rPr>
        <w:t>。</w:t>
      </w:r>
    </w:p>
    <w:p w14:paraId="543BBD1F">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实施目的：</w:t>
      </w:r>
    </w:p>
    <w:p w14:paraId="14E7043B">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1.提高项目成功率：通过对项目绩效的评估和监控，及时发现问题并采取措施加以解决，确保项目按照预定的目标和计划顺利推进，从而推动项目成功实施。</w:t>
      </w:r>
    </w:p>
    <w:p w14:paraId="65D25667">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2.优化资源分配：基于绩效评估结果，合理分配人力、物力、财力等资源，使资源投入与项目的重要性和产出效益相匹配，提高资源利用率。</w:t>
      </w:r>
    </w:p>
    <w:p w14:paraId="338B735A">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3.促进持续改进：对项目绩效的分析和总结可以为未来的项目提供经验教训，不断完善项目管理流程和方法，提升项目管理能力。</w:t>
      </w:r>
    </w:p>
    <w:p w14:paraId="65C4AA0F">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支持方向：</w:t>
      </w:r>
    </w:p>
    <w:p w14:paraId="4BDC76D6">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1.目标明确：确保项目目标清晰、具体、可衡量，使绩效评估有明确的依据。</w:t>
      </w:r>
    </w:p>
    <w:p w14:paraId="7D931500">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2.风险管理：通过绩效评估识别项目中的风险，并制定相应的应对措施，降低风险对项目的影响。</w:t>
      </w:r>
    </w:p>
    <w:p w14:paraId="43124259">
      <w:pPr>
        <w:widowControl/>
        <w:adjustRightInd w:val="0"/>
        <w:snapToGrid w:val="0"/>
        <w:spacing w:line="578" w:lineRule="exact"/>
        <w:ind w:firstLine="643" w:firstLineChars="200"/>
        <w:contextualSpacing/>
        <w:jc w:val="left"/>
        <w:rPr>
          <w:rFonts w:ascii="楷体_GB2312" w:hAnsi="宋体" w:eastAsia="楷体_GB2312"/>
          <w:b/>
          <w:sz w:val="32"/>
          <w:szCs w:val="32"/>
          <w:lang w:val="zh-CN"/>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r>
        <w:rPr>
          <w:rFonts w:hint="eastAsia" w:ascii="楷体_GB2312" w:hAnsi="宋体" w:eastAsia="楷体_GB2312"/>
          <w:b/>
          <w:sz w:val="32"/>
          <w:szCs w:val="32"/>
          <w:lang w:val="zh-CN"/>
        </w:rPr>
        <w:t>。</w:t>
      </w:r>
    </w:p>
    <w:p w14:paraId="7AFFD563">
      <w:pPr>
        <w:pStyle w:val="15"/>
        <w:shd w:val="clear" w:color="auto" w:fill="FFFFFF"/>
        <w:spacing w:beforeAutospacing="0" w:afterAutospacing="0" w:line="560" w:lineRule="exact"/>
        <w:ind w:firstLine="480"/>
        <w:jc w:val="both"/>
        <w:rPr>
          <w:rFonts w:ascii="仿宋_GB2312" w:hAnsi="??_GB2312" w:eastAsia="仿宋_GB2312" w:cs="??_GB2312"/>
          <w:sz w:val="32"/>
          <w:lang w:val="zh-CN"/>
        </w:rPr>
      </w:pPr>
      <w:r>
        <w:rPr>
          <w:rFonts w:hint="eastAsia" w:ascii="仿宋_GB2312" w:eastAsia="仿宋_GB2312"/>
          <w:sz w:val="32"/>
        </w:rPr>
        <w:t>办案业务经费43.64万元，是经常性项目，资金到位率</w:t>
      </w:r>
      <w:r>
        <w:rPr>
          <w:rFonts w:ascii="仿宋_GB2312" w:eastAsia="仿宋_GB2312"/>
          <w:sz w:val="32"/>
        </w:rPr>
        <w:t>100%</w:t>
      </w:r>
      <w:r>
        <w:rPr>
          <w:rFonts w:hint="eastAsia" w:ascii="仿宋_GB2312" w:eastAsia="仿宋_GB2312"/>
          <w:sz w:val="32"/>
        </w:rPr>
        <w:t>。</w:t>
      </w:r>
    </w:p>
    <w:p w14:paraId="1A9D2A23">
      <w:pPr>
        <w:widowControl/>
        <w:adjustRightInd w:val="0"/>
        <w:snapToGrid w:val="0"/>
        <w:spacing w:line="578" w:lineRule="exact"/>
        <w:ind w:firstLine="643" w:firstLineChars="200"/>
        <w:contextualSpacing/>
        <w:jc w:val="left"/>
        <w:rPr>
          <w:rFonts w:ascii="仿宋_GB2312" w:hAnsi="仿宋_GB2312" w:cs="仿宋_GB2312"/>
          <w:kern w:val="0"/>
          <w:shd w:val="clear" w:color="auto" w:fill="FFFFFF"/>
          <w:lang w:val="zh-CN"/>
        </w:rPr>
      </w:pPr>
      <w:r>
        <w:rPr>
          <w:rFonts w:hint="eastAsia" w:ascii="楷体_GB2312" w:hAnsi="宋体" w:eastAsia="楷体_GB2312"/>
          <w:b/>
          <w:sz w:val="32"/>
          <w:szCs w:val="32"/>
          <w:lang w:val="zh-CN"/>
        </w:rPr>
        <w:t>（四）项目绩效目标设置。</w:t>
      </w:r>
    </w:p>
    <w:p w14:paraId="110A6087">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绩效目标设置包括数量</w:t>
      </w:r>
      <w:r>
        <w:rPr>
          <w:rFonts w:ascii="仿宋_GB2312" w:hAnsi="Nimbus Roman No9 L" w:eastAsia="仿宋_GB2312" w:cs="Arial"/>
          <w:sz w:val="32"/>
          <w:szCs w:val="32"/>
        </w:rPr>
        <w:t>指标</w:t>
      </w:r>
      <w:r>
        <w:rPr>
          <w:rFonts w:hint="eastAsia" w:ascii="仿宋_GB2312" w:hAnsi="Nimbus Roman No9 L" w:eastAsia="仿宋_GB2312" w:cs="Arial"/>
          <w:sz w:val="32"/>
          <w:szCs w:val="32"/>
        </w:rPr>
        <w:t>、质量指标、时效指标、社会效益指标、满意度指标、成本指标。</w:t>
      </w:r>
    </w:p>
    <w:p w14:paraId="5C764447">
      <w:pPr>
        <w:adjustRightInd w:val="0"/>
        <w:snapToGrid w:val="0"/>
        <w:spacing w:line="580" w:lineRule="exact"/>
        <w:ind w:firstLine="720"/>
        <w:outlineLvl w:val="1"/>
        <w:rPr>
          <w:rFonts w:ascii="黑体" w:hAnsi="黑体" w:eastAsia="黑体" w:cs="黑体"/>
          <w:bCs/>
          <w:sz w:val="32"/>
          <w:szCs w:val="32"/>
        </w:rPr>
      </w:pPr>
      <w:bookmarkStart w:id="200" w:name="_Toc5957"/>
      <w:r>
        <w:rPr>
          <w:rFonts w:hint="eastAsia" w:ascii="黑体" w:hAnsi="黑体" w:eastAsia="黑体" w:cs="黑体"/>
          <w:bCs/>
          <w:sz w:val="32"/>
          <w:szCs w:val="32"/>
        </w:rPr>
        <w:t>二、评价实施</w:t>
      </w:r>
      <w:bookmarkEnd w:id="200"/>
    </w:p>
    <w:p w14:paraId="6ABBFE0F">
      <w:pPr>
        <w:widowControl/>
        <w:adjustRightInd w:val="0"/>
        <w:snapToGrid w:val="0"/>
        <w:spacing w:line="578" w:lineRule="exact"/>
        <w:ind w:firstLine="643" w:firstLineChars="200"/>
        <w:contextualSpacing/>
        <w:jc w:val="left"/>
        <w:rPr>
          <w:rFonts w:ascii="楷体_GB2312" w:hAnsi="宋体" w:eastAsia="楷体_GB2312"/>
          <w:b/>
          <w:sz w:val="32"/>
          <w:szCs w:val="32"/>
          <w:lang w:val="zh-CN"/>
        </w:rPr>
      </w:pPr>
      <w:r>
        <w:rPr>
          <w:rFonts w:hint="eastAsia" w:ascii="楷体_GB2312" w:hAnsi="宋体" w:eastAsia="楷体_GB2312"/>
          <w:b/>
          <w:sz w:val="32"/>
          <w:szCs w:val="32"/>
          <w:lang w:val="zh-CN"/>
        </w:rPr>
        <w:t>（一）评价目的。</w:t>
      </w:r>
    </w:p>
    <w:p w14:paraId="5B6598CE">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通过绩效自评可以确定项目是否达到预定的目标和预期的成果，从而提高决策质量和项目管理的水平和能力。合理分配资源，增加项目透明度。</w:t>
      </w:r>
    </w:p>
    <w:p w14:paraId="4492DA63">
      <w:pPr>
        <w:widowControl/>
        <w:adjustRightInd w:val="0"/>
        <w:snapToGrid w:val="0"/>
        <w:spacing w:line="578" w:lineRule="exact"/>
        <w:ind w:firstLine="643" w:firstLineChars="200"/>
        <w:contextualSpacing/>
        <w:jc w:val="left"/>
        <w:rPr>
          <w:rFonts w:ascii="楷体_GB2312" w:hAnsi="宋体" w:eastAsia="楷体_GB2312"/>
          <w:b/>
          <w:sz w:val="32"/>
          <w:szCs w:val="32"/>
          <w:lang w:val="zh-CN"/>
        </w:rPr>
      </w:pPr>
      <w:r>
        <w:rPr>
          <w:rFonts w:hint="eastAsia" w:ascii="楷体_GB2312" w:hAnsi="宋体" w:eastAsia="楷体_GB2312"/>
          <w:b/>
          <w:sz w:val="32"/>
          <w:szCs w:val="32"/>
          <w:lang w:val="zh-CN"/>
        </w:rPr>
        <w:t>（二）预设问题及评价重点。</w:t>
      </w:r>
    </w:p>
    <w:p w14:paraId="710B97D7">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1、项目是否在预算范围内完成？</w:t>
      </w:r>
    </w:p>
    <w:p w14:paraId="7FFD844D">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项目是在预算范围内完成的，有效控制了成本，提升了资源分配的合理性和预算管理的严格性。</w:t>
      </w:r>
    </w:p>
    <w:p w14:paraId="241B7325">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2、项目是否达到预期效果？</w:t>
      </w:r>
    </w:p>
    <w:p w14:paraId="59C5B8A6">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项目达到预期效果，有效保障了该项目的顺利推进。</w:t>
      </w:r>
    </w:p>
    <w:p w14:paraId="73EEAF3B">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3、项目推进对工作有促进作用？</w:t>
      </w:r>
    </w:p>
    <w:p w14:paraId="1B82C097">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有效打击辖区各类案事件和违法犯罪，有效维护辖区治安稳定和核安全，有效提高派出所执法办案效率，更好地为辖区群众服务。</w:t>
      </w:r>
    </w:p>
    <w:p w14:paraId="237D7EA7">
      <w:pPr>
        <w:widowControl/>
        <w:adjustRightInd w:val="0"/>
        <w:snapToGrid w:val="0"/>
        <w:spacing w:line="578" w:lineRule="exact"/>
        <w:ind w:firstLine="643" w:firstLineChars="200"/>
        <w:contextualSpacing/>
        <w:jc w:val="left"/>
        <w:rPr>
          <w:rFonts w:ascii="楷体_GB2312" w:hAnsi="宋体" w:eastAsia="楷体_GB2312"/>
          <w:b/>
          <w:sz w:val="32"/>
          <w:szCs w:val="32"/>
          <w:lang w:val="zh-CN"/>
        </w:rPr>
      </w:pPr>
      <w:r>
        <w:rPr>
          <w:rFonts w:hint="eastAsia" w:ascii="楷体_GB2312" w:hAnsi="宋体" w:eastAsia="楷体_GB2312"/>
          <w:b/>
          <w:sz w:val="32"/>
          <w:szCs w:val="32"/>
          <w:lang w:val="zh-CN"/>
        </w:rPr>
        <w:t>（三）评价选点。</w:t>
      </w:r>
    </w:p>
    <w:p w14:paraId="28FC32DE">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项目绩效自评所抽样点位情况良好（保障成本和保障时效），达到预期目的。</w:t>
      </w:r>
    </w:p>
    <w:p w14:paraId="57E4D47C">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（四）评价方法。</w:t>
      </w:r>
    </w:p>
    <w:p w14:paraId="4D7BF882">
      <w:pPr>
        <w:adjustRightInd w:val="0"/>
        <w:snapToGrid w:val="0"/>
        <w:spacing w:line="560" w:lineRule="exact"/>
        <w:ind w:firstLine="640" w:firstLineChars="200"/>
        <w:rPr>
          <w:rFonts w:hint="eastAsia" w:ascii="仿宋_GB2312" w:hAnsi="Nimbus Roman No9 L" w:eastAsia="仿宋_GB2312" w:cs="Arial"/>
          <w:sz w:val="32"/>
          <w:szCs w:val="32"/>
        </w:rPr>
      </w:pPr>
      <w:r>
        <w:rPr>
          <w:rFonts w:ascii="仿宋_GB2312" w:hAnsi="Nimbus Roman No9 L" w:eastAsia="仿宋_GB2312" w:cs="Arial"/>
          <w:sz w:val="32"/>
          <w:szCs w:val="32"/>
        </w:rPr>
        <w:t>根据项目情况和评价重点，</w:t>
      </w:r>
      <w:r>
        <w:rPr>
          <w:rFonts w:hint="eastAsia" w:ascii="仿宋_GB2312" w:hAnsi="Nimbus Roman No9 L" w:eastAsia="仿宋_GB2312" w:cs="Arial"/>
          <w:sz w:val="32"/>
          <w:szCs w:val="32"/>
        </w:rPr>
        <w:t>我单位采取</w:t>
      </w:r>
      <w:r>
        <w:rPr>
          <w:rFonts w:ascii="仿宋_GB2312" w:hAnsi="Nimbus Roman No9 L" w:eastAsia="仿宋_GB2312" w:cs="Arial"/>
          <w:sz w:val="32"/>
          <w:szCs w:val="32"/>
        </w:rPr>
        <w:t>单位自评法</w:t>
      </w:r>
      <w:r>
        <w:rPr>
          <w:rFonts w:hint="eastAsia" w:ascii="仿宋_GB2312" w:hAnsi="Nimbus Roman No9 L" w:eastAsia="仿宋_GB2312" w:cs="Arial"/>
          <w:sz w:val="32"/>
          <w:szCs w:val="32"/>
        </w:rPr>
        <w:t>对该项目预算绩效实事求是开展自评。</w:t>
      </w:r>
    </w:p>
    <w:p w14:paraId="59CA3D33">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（五）评价组织。</w:t>
      </w:r>
    </w:p>
    <w:p w14:paraId="4A5A697A">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该项目自评工作由指挥中心（办公室）牵头，各部门配合协助，围绕总体目标、绩效指标的完成情况及使用效益开展。</w:t>
      </w:r>
    </w:p>
    <w:p w14:paraId="1E2C2F34">
      <w:pPr>
        <w:adjustRightInd w:val="0"/>
        <w:snapToGrid w:val="0"/>
        <w:spacing w:line="580" w:lineRule="exact"/>
        <w:ind w:firstLine="720"/>
        <w:outlineLvl w:val="1"/>
        <w:rPr>
          <w:rFonts w:ascii="黑体" w:hAnsi="黑体" w:eastAsia="黑体" w:cs="黑体"/>
          <w:bCs/>
          <w:sz w:val="32"/>
          <w:szCs w:val="32"/>
        </w:rPr>
      </w:pPr>
      <w:bookmarkStart w:id="201" w:name="_Toc540"/>
      <w:r>
        <w:rPr>
          <w:rFonts w:hint="eastAsia" w:ascii="黑体" w:hAnsi="黑体" w:eastAsia="黑体" w:cs="黑体"/>
          <w:bCs/>
          <w:sz w:val="32"/>
          <w:szCs w:val="32"/>
        </w:rPr>
        <w:t>三、绩效分析</w:t>
      </w:r>
      <w:bookmarkEnd w:id="201"/>
      <w:r>
        <w:rPr>
          <w:rFonts w:hint="eastAsia" w:ascii="黑体" w:hAnsi="黑体" w:eastAsia="黑体" w:cs="黑体"/>
          <w:bCs/>
          <w:sz w:val="32"/>
          <w:szCs w:val="32"/>
        </w:rPr>
        <w:tab/>
      </w:r>
    </w:p>
    <w:p w14:paraId="34768F48">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（一）通用指标</w:t>
      </w:r>
      <w:r>
        <w:rPr>
          <w:rFonts w:ascii="楷体_GB2312" w:hAnsi="宋体" w:eastAsia="楷体_GB2312"/>
          <w:b/>
          <w:sz w:val="32"/>
          <w:szCs w:val="32"/>
          <w:lang w:val="zh-CN"/>
        </w:rPr>
        <w:t>绩效分析。</w:t>
      </w:r>
    </w:p>
    <w:p w14:paraId="6F13440A">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1.项目决策。</w:t>
      </w:r>
    </w:p>
    <w:p w14:paraId="01A288B9">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根据年初预算，该项目经费申报金额为43.64万元，经人大审核批准，预算批复为43.64万元。项目经费申报符合资金管理办法相关规定。截止</w:t>
      </w:r>
      <w:r>
        <w:rPr>
          <w:rFonts w:ascii="仿宋_GB2312" w:hAnsi="Nimbus Roman No9 L" w:eastAsia="仿宋_GB2312" w:cs="Arial"/>
          <w:sz w:val="32"/>
          <w:szCs w:val="32"/>
        </w:rPr>
        <w:t>202</w:t>
      </w:r>
      <w:r>
        <w:rPr>
          <w:rFonts w:hint="eastAsia" w:ascii="仿宋_GB2312" w:hAnsi="Nimbus Roman No9 L" w:eastAsia="仿宋_GB2312" w:cs="Arial"/>
          <w:sz w:val="32"/>
          <w:szCs w:val="32"/>
        </w:rPr>
        <w:t>3年</w:t>
      </w:r>
      <w:r>
        <w:rPr>
          <w:rFonts w:ascii="仿宋_GB2312" w:hAnsi="Nimbus Roman No9 L" w:eastAsia="仿宋_GB2312" w:cs="Arial"/>
          <w:sz w:val="32"/>
          <w:szCs w:val="32"/>
        </w:rPr>
        <w:t>12</w:t>
      </w:r>
      <w:r>
        <w:rPr>
          <w:rFonts w:hint="eastAsia" w:ascii="仿宋_GB2312" w:hAnsi="Nimbus Roman No9 L" w:eastAsia="仿宋_GB2312" w:cs="Arial"/>
          <w:sz w:val="32"/>
          <w:szCs w:val="32"/>
        </w:rPr>
        <w:t>月</w:t>
      </w:r>
      <w:r>
        <w:rPr>
          <w:rFonts w:ascii="仿宋_GB2312" w:hAnsi="Nimbus Roman No9 L" w:eastAsia="仿宋_GB2312" w:cs="Arial"/>
          <w:sz w:val="32"/>
          <w:szCs w:val="32"/>
        </w:rPr>
        <w:t>31</w:t>
      </w:r>
      <w:r>
        <w:rPr>
          <w:rFonts w:hint="eastAsia" w:ascii="仿宋_GB2312" w:hAnsi="Nimbus Roman No9 L" w:eastAsia="仿宋_GB2312" w:cs="Arial"/>
          <w:sz w:val="32"/>
          <w:szCs w:val="32"/>
        </w:rPr>
        <w:t>日，该项目资金实际支出43.64万元，支付进度</w:t>
      </w:r>
      <w:r>
        <w:rPr>
          <w:rFonts w:ascii="仿宋_GB2312" w:hAnsi="Nimbus Roman No9 L" w:eastAsia="仿宋_GB2312" w:cs="Arial"/>
          <w:sz w:val="32"/>
          <w:szCs w:val="32"/>
        </w:rPr>
        <w:t>100%</w:t>
      </w:r>
      <w:r>
        <w:rPr>
          <w:rFonts w:hint="eastAsia" w:ascii="仿宋_GB2312" w:hAnsi="Nimbus Roman No9 L" w:eastAsia="仿宋_GB2312" w:cs="Arial"/>
          <w:sz w:val="32"/>
          <w:szCs w:val="32"/>
        </w:rPr>
        <w:t>，支付依据合规合法，资金支付与预算相符。经自评，该项得</w:t>
      </w:r>
      <w:r>
        <w:rPr>
          <w:rFonts w:ascii="仿宋_GB2312" w:hAnsi="Nimbus Roman No9 L" w:eastAsia="仿宋_GB2312" w:cs="Arial"/>
          <w:sz w:val="32"/>
          <w:szCs w:val="32"/>
        </w:rPr>
        <w:t>100</w:t>
      </w:r>
      <w:r>
        <w:rPr>
          <w:rFonts w:hint="eastAsia" w:ascii="仿宋_GB2312" w:hAnsi="Nimbus Roman No9 L" w:eastAsia="仿宋_GB2312" w:cs="Arial"/>
          <w:sz w:val="32"/>
          <w:szCs w:val="32"/>
        </w:rPr>
        <w:t>分。</w:t>
      </w:r>
    </w:p>
    <w:p w14:paraId="70880D81">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2.项目管理。</w:t>
      </w:r>
    </w:p>
    <w:p w14:paraId="3B889D36">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我局严格按照国库集中支付制度相关规定办理支付业务，遵循“先有预算、后有支出”、厉行节约的原则，项目经费按照财政预算金额和资金规定的使用范围列支。严格按照项目预算绩效目标要求，专款专用。经自评，该项得</w:t>
      </w:r>
      <w:r>
        <w:rPr>
          <w:rFonts w:ascii="仿宋_GB2312" w:hAnsi="Nimbus Roman No9 L" w:eastAsia="仿宋_GB2312" w:cs="Arial"/>
          <w:sz w:val="32"/>
          <w:szCs w:val="32"/>
        </w:rPr>
        <w:t>100</w:t>
      </w:r>
      <w:r>
        <w:rPr>
          <w:rFonts w:hint="eastAsia" w:ascii="仿宋_GB2312" w:hAnsi="Nimbus Roman No9 L" w:eastAsia="仿宋_GB2312" w:cs="Arial"/>
          <w:sz w:val="32"/>
          <w:szCs w:val="32"/>
        </w:rPr>
        <w:t>分。</w:t>
      </w:r>
    </w:p>
    <w:p w14:paraId="60778653">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3.项目实施。</w:t>
      </w:r>
    </w:p>
    <w:p w14:paraId="43520C32">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每个季度，项目绩效评价小组对该项目完成进度、项目效益与预期目标偏差等情况进行跟踪自评。本项目按计划逐月实施，并对项目实施情况进行公示，没有偏离预期目标。项目完成率</w:t>
      </w:r>
      <w:r>
        <w:rPr>
          <w:rFonts w:ascii="仿宋_GB2312" w:hAnsi="Nimbus Roman No9 L" w:eastAsia="仿宋_GB2312" w:cs="Arial"/>
          <w:sz w:val="32"/>
          <w:szCs w:val="32"/>
        </w:rPr>
        <w:t>100%</w:t>
      </w:r>
      <w:r>
        <w:rPr>
          <w:rFonts w:hint="eastAsia" w:ascii="仿宋_GB2312" w:hAnsi="Nimbus Roman No9 L" w:eastAsia="仿宋_GB2312" w:cs="Arial"/>
          <w:sz w:val="32"/>
          <w:szCs w:val="32"/>
        </w:rPr>
        <w:t>，完成情况好。经自评，该项得</w:t>
      </w:r>
      <w:r>
        <w:rPr>
          <w:rFonts w:ascii="仿宋_GB2312" w:hAnsi="Nimbus Roman No9 L" w:eastAsia="仿宋_GB2312" w:cs="Arial"/>
          <w:sz w:val="32"/>
          <w:szCs w:val="32"/>
        </w:rPr>
        <w:t>100</w:t>
      </w:r>
      <w:r>
        <w:rPr>
          <w:rFonts w:hint="eastAsia" w:ascii="仿宋_GB2312" w:hAnsi="Nimbus Roman No9 L" w:eastAsia="仿宋_GB2312" w:cs="Arial"/>
          <w:sz w:val="32"/>
          <w:szCs w:val="32"/>
        </w:rPr>
        <w:t>分。</w:t>
      </w:r>
    </w:p>
    <w:p w14:paraId="0DFEBA09">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4.项目结果。</w:t>
      </w:r>
    </w:p>
    <w:p w14:paraId="560211AE">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该项目绩效自评得分</w:t>
      </w:r>
      <w:r>
        <w:rPr>
          <w:rFonts w:ascii="仿宋_GB2312" w:hAnsi="Nimbus Roman No9 L" w:eastAsia="仿宋_GB2312" w:cs="Arial"/>
          <w:sz w:val="32"/>
          <w:szCs w:val="32"/>
        </w:rPr>
        <w:t>100.00</w:t>
      </w:r>
      <w:r>
        <w:rPr>
          <w:rFonts w:hint="eastAsia" w:ascii="仿宋_GB2312" w:hAnsi="Nimbus Roman No9 L" w:eastAsia="仿宋_GB2312" w:cs="Arial"/>
          <w:sz w:val="32"/>
          <w:szCs w:val="32"/>
        </w:rPr>
        <w:t>分，设置绩效目标8个，实际完成8个，具体情况如下：</w:t>
      </w:r>
    </w:p>
    <w:p w14:paraId="7906BC4D">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数量指标：民爆物品管安检次数，目标值12，实际完成12，权重</w:t>
      </w:r>
      <w:r>
        <w:rPr>
          <w:rFonts w:ascii="仿宋_GB2312" w:hAnsi="Nimbus Roman No9 L" w:eastAsia="仿宋_GB2312" w:cs="Arial"/>
          <w:sz w:val="32"/>
          <w:szCs w:val="32"/>
        </w:rPr>
        <w:t>1</w:t>
      </w:r>
      <w:r>
        <w:rPr>
          <w:rFonts w:hint="eastAsia" w:ascii="仿宋_GB2312" w:hAnsi="Nimbus Roman No9 L" w:eastAsia="仿宋_GB2312" w:cs="Arial"/>
          <w:sz w:val="32"/>
          <w:szCs w:val="32"/>
        </w:rPr>
        <w:t>5。</w:t>
      </w:r>
    </w:p>
    <w:p w14:paraId="1EA19801">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数量指标：重点人口管控个数，目标值20，实际完成20，权重</w:t>
      </w:r>
      <w:r>
        <w:rPr>
          <w:rFonts w:ascii="仿宋_GB2312" w:hAnsi="Nimbus Roman No9 L" w:eastAsia="仿宋_GB2312" w:cs="Arial"/>
          <w:sz w:val="32"/>
          <w:szCs w:val="32"/>
        </w:rPr>
        <w:t>1</w:t>
      </w:r>
      <w:r>
        <w:rPr>
          <w:rFonts w:hint="eastAsia" w:ascii="仿宋_GB2312" w:hAnsi="Nimbus Roman No9 L" w:eastAsia="仿宋_GB2312" w:cs="Arial"/>
          <w:sz w:val="32"/>
          <w:szCs w:val="32"/>
        </w:rPr>
        <w:t>5。</w:t>
      </w:r>
    </w:p>
    <w:p w14:paraId="59575330">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数量指标：打击处理案件数，目标值80，实际完成80，权重</w:t>
      </w:r>
      <w:r>
        <w:rPr>
          <w:rFonts w:ascii="仿宋_GB2312" w:hAnsi="Nimbus Roman No9 L" w:eastAsia="仿宋_GB2312" w:cs="Arial"/>
          <w:sz w:val="32"/>
          <w:szCs w:val="32"/>
        </w:rPr>
        <w:t>1</w:t>
      </w:r>
      <w:r>
        <w:rPr>
          <w:rFonts w:hint="eastAsia" w:ascii="仿宋_GB2312" w:hAnsi="Nimbus Roman No9 L" w:eastAsia="仿宋_GB2312" w:cs="Arial"/>
          <w:sz w:val="32"/>
          <w:szCs w:val="32"/>
        </w:rPr>
        <w:t>5。</w:t>
      </w:r>
    </w:p>
    <w:p w14:paraId="18B16C57">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质量指标：接处警录入合格率，目标值90，实际完成90，权重</w:t>
      </w:r>
      <w:r>
        <w:rPr>
          <w:rFonts w:ascii="仿宋_GB2312" w:hAnsi="Nimbus Roman No9 L" w:eastAsia="仿宋_GB2312" w:cs="Arial"/>
          <w:sz w:val="32"/>
          <w:szCs w:val="32"/>
        </w:rPr>
        <w:t>5</w:t>
      </w:r>
      <w:r>
        <w:rPr>
          <w:rFonts w:hint="eastAsia" w:ascii="仿宋_GB2312" w:hAnsi="Nimbus Roman No9 L" w:eastAsia="仿宋_GB2312" w:cs="Arial"/>
          <w:sz w:val="32"/>
          <w:szCs w:val="32"/>
        </w:rPr>
        <w:t>。</w:t>
      </w:r>
    </w:p>
    <w:p w14:paraId="10CDAE0D">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质量指标：重点部位巡逻防控率，目标值</w:t>
      </w:r>
      <w:r>
        <w:rPr>
          <w:rFonts w:ascii="仿宋_GB2312" w:hAnsi="Nimbus Roman No9 L" w:eastAsia="仿宋_GB2312" w:cs="Arial"/>
          <w:sz w:val="32"/>
          <w:szCs w:val="32"/>
        </w:rPr>
        <w:t>100</w:t>
      </w:r>
      <w:r>
        <w:rPr>
          <w:rFonts w:hint="eastAsia" w:ascii="仿宋_GB2312" w:hAnsi="Nimbus Roman No9 L" w:eastAsia="仿宋_GB2312" w:cs="Arial"/>
          <w:sz w:val="32"/>
          <w:szCs w:val="32"/>
        </w:rPr>
        <w:t>，实际完成</w:t>
      </w:r>
      <w:r>
        <w:rPr>
          <w:rFonts w:ascii="仿宋_GB2312" w:hAnsi="Nimbus Roman No9 L" w:eastAsia="仿宋_GB2312" w:cs="Arial"/>
          <w:sz w:val="32"/>
          <w:szCs w:val="32"/>
        </w:rPr>
        <w:t>100</w:t>
      </w:r>
      <w:r>
        <w:rPr>
          <w:rFonts w:hint="eastAsia" w:ascii="仿宋_GB2312" w:hAnsi="Nimbus Roman No9 L" w:eastAsia="仿宋_GB2312" w:cs="Arial"/>
          <w:sz w:val="32"/>
          <w:szCs w:val="32"/>
        </w:rPr>
        <w:t>，权重10。</w:t>
      </w:r>
    </w:p>
    <w:p w14:paraId="4F35596F">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质量指标：重点人员管控率，目标值</w:t>
      </w:r>
      <w:r>
        <w:rPr>
          <w:rFonts w:ascii="仿宋_GB2312" w:hAnsi="Nimbus Roman No9 L" w:eastAsia="仿宋_GB2312" w:cs="Arial"/>
          <w:sz w:val="32"/>
          <w:szCs w:val="32"/>
        </w:rPr>
        <w:t>100</w:t>
      </w:r>
      <w:r>
        <w:rPr>
          <w:rFonts w:hint="eastAsia" w:ascii="仿宋_GB2312" w:hAnsi="Nimbus Roman No9 L" w:eastAsia="仿宋_GB2312" w:cs="Arial"/>
          <w:sz w:val="32"/>
          <w:szCs w:val="32"/>
        </w:rPr>
        <w:t>，实际完成</w:t>
      </w:r>
      <w:r>
        <w:rPr>
          <w:rFonts w:ascii="仿宋_GB2312" w:hAnsi="Nimbus Roman No9 L" w:eastAsia="仿宋_GB2312" w:cs="Arial"/>
          <w:sz w:val="32"/>
          <w:szCs w:val="32"/>
        </w:rPr>
        <w:t>100</w:t>
      </w:r>
      <w:r>
        <w:rPr>
          <w:rFonts w:hint="eastAsia" w:ascii="仿宋_GB2312" w:hAnsi="Nimbus Roman No9 L" w:eastAsia="仿宋_GB2312" w:cs="Arial"/>
          <w:sz w:val="32"/>
          <w:szCs w:val="32"/>
        </w:rPr>
        <w:t>，权重10。</w:t>
      </w:r>
    </w:p>
    <w:p w14:paraId="4547AA86">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时效指标：全年任务完成时间</w:t>
      </w:r>
      <w:r>
        <w:rPr>
          <w:rFonts w:hint="eastAsia" w:ascii="仿宋_GB2312" w:hAnsi="Nimbus Roman No9 L" w:eastAsia="仿宋_GB2312" w:cs="Arial"/>
          <w:sz w:val="32"/>
          <w:szCs w:val="32"/>
          <w:lang w:eastAsia="zh-CN"/>
        </w:rPr>
        <w:t>，</w:t>
      </w:r>
      <w:r>
        <w:rPr>
          <w:rFonts w:hint="eastAsia" w:ascii="仿宋_GB2312" w:hAnsi="Nimbus Roman No9 L" w:eastAsia="仿宋_GB2312" w:cs="Arial"/>
          <w:sz w:val="32"/>
          <w:szCs w:val="32"/>
        </w:rPr>
        <w:t xml:space="preserve"> 目标值12，实际完成12，权重</w:t>
      </w:r>
      <w:r>
        <w:rPr>
          <w:rFonts w:ascii="仿宋_GB2312" w:hAnsi="Nimbus Roman No9 L" w:eastAsia="仿宋_GB2312" w:cs="Arial"/>
          <w:sz w:val="32"/>
          <w:szCs w:val="32"/>
        </w:rPr>
        <w:t>1</w:t>
      </w:r>
      <w:r>
        <w:rPr>
          <w:rFonts w:hint="eastAsia" w:ascii="仿宋_GB2312" w:hAnsi="Nimbus Roman No9 L" w:eastAsia="仿宋_GB2312" w:cs="Arial"/>
          <w:sz w:val="32"/>
          <w:szCs w:val="32"/>
        </w:rPr>
        <w:t>5。</w:t>
      </w:r>
    </w:p>
    <w:p w14:paraId="70C0C7D0">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社会效益指标：打击刑事犯罪发生，指标值优，实际完成优，权重20。</w:t>
      </w:r>
    </w:p>
    <w:p w14:paraId="0B67A5AC">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满意度指标：群众满意度，指标值</w:t>
      </w:r>
      <w:r>
        <w:rPr>
          <w:rFonts w:ascii="仿宋_GB2312" w:hAnsi="Nimbus Roman No9 L" w:eastAsia="仿宋_GB2312" w:cs="Arial"/>
          <w:sz w:val="32"/>
          <w:szCs w:val="32"/>
        </w:rPr>
        <w:t>90</w:t>
      </w:r>
      <w:r>
        <w:rPr>
          <w:rFonts w:hint="eastAsia" w:ascii="仿宋_GB2312" w:hAnsi="Nimbus Roman No9 L" w:eastAsia="仿宋_GB2312" w:cs="Arial"/>
          <w:sz w:val="32"/>
          <w:szCs w:val="32"/>
        </w:rPr>
        <w:t>，实际完成</w:t>
      </w:r>
      <w:r>
        <w:rPr>
          <w:rFonts w:ascii="仿宋_GB2312" w:hAnsi="Nimbus Roman No9 L" w:eastAsia="仿宋_GB2312" w:cs="Arial"/>
          <w:sz w:val="32"/>
          <w:szCs w:val="32"/>
        </w:rPr>
        <w:t>90</w:t>
      </w:r>
      <w:r>
        <w:rPr>
          <w:rFonts w:hint="eastAsia" w:ascii="仿宋_GB2312" w:hAnsi="Nimbus Roman No9 L" w:eastAsia="仿宋_GB2312" w:cs="Arial"/>
          <w:sz w:val="32"/>
          <w:szCs w:val="32"/>
        </w:rPr>
        <w:t>，权重10。</w:t>
      </w:r>
    </w:p>
    <w:p w14:paraId="75CFE413">
      <w:pPr>
        <w:adjustRightInd w:val="0"/>
        <w:snapToGrid w:val="0"/>
        <w:spacing w:line="560" w:lineRule="exact"/>
        <w:ind w:firstLine="640" w:firstLineChars="200"/>
        <w:rPr>
          <w:rFonts w:hint="eastAsia" w:ascii="仿宋_GB2312" w:hAnsi="Nimbus Roman No9 L" w:eastAsia="仿宋_GB2312" w:cs="Arial"/>
          <w:sz w:val="32"/>
          <w:szCs w:val="32"/>
        </w:rPr>
      </w:pPr>
      <w:r>
        <w:rPr>
          <w:rFonts w:ascii="仿宋_GB2312" w:hAnsi="Nimbus Roman No9 L" w:eastAsia="仿宋_GB2312" w:cs="Arial"/>
          <w:sz w:val="32"/>
          <w:szCs w:val="32"/>
        </w:rPr>
        <w:t>成本指标</w:t>
      </w:r>
      <w:r>
        <w:rPr>
          <w:rFonts w:hint="eastAsia" w:ascii="仿宋_GB2312" w:hAnsi="Nimbus Roman No9 L" w:eastAsia="仿宋_GB2312" w:cs="Arial"/>
          <w:sz w:val="32"/>
          <w:szCs w:val="32"/>
        </w:rPr>
        <w:t>：预算资金控制数，指标值43.64，实际完成43.64，权重</w:t>
      </w:r>
      <w:r>
        <w:rPr>
          <w:rFonts w:ascii="仿宋_GB2312" w:hAnsi="Nimbus Roman No9 L" w:eastAsia="仿宋_GB2312" w:cs="Arial"/>
          <w:sz w:val="32"/>
          <w:szCs w:val="32"/>
        </w:rPr>
        <w:t>1</w:t>
      </w:r>
      <w:r>
        <w:rPr>
          <w:rFonts w:hint="eastAsia" w:ascii="仿宋_GB2312" w:hAnsi="Nimbus Roman No9 L" w:eastAsia="仿宋_GB2312" w:cs="Arial"/>
          <w:sz w:val="32"/>
          <w:szCs w:val="32"/>
        </w:rPr>
        <w:t>0。</w:t>
      </w:r>
    </w:p>
    <w:p w14:paraId="1C66062A">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经自评，该项得</w:t>
      </w:r>
      <w:r>
        <w:rPr>
          <w:rFonts w:ascii="仿宋_GB2312" w:hAnsi="Nimbus Roman No9 L" w:eastAsia="仿宋_GB2312" w:cs="Arial"/>
          <w:sz w:val="32"/>
          <w:szCs w:val="32"/>
        </w:rPr>
        <w:t>100</w:t>
      </w:r>
      <w:r>
        <w:rPr>
          <w:rFonts w:hint="eastAsia" w:ascii="仿宋_GB2312" w:hAnsi="Nimbus Roman No9 L" w:eastAsia="仿宋_GB2312" w:cs="Arial"/>
          <w:sz w:val="32"/>
          <w:szCs w:val="32"/>
        </w:rPr>
        <w:t>分。</w:t>
      </w:r>
    </w:p>
    <w:p w14:paraId="0035CB22">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（二）专用指标</w:t>
      </w:r>
      <w:r>
        <w:rPr>
          <w:rFonts w:ascii="楷体_GB2312" w:hAnsi="宋体" w:eastAsia="楷体_GB2312"/>
          <w:b/>
          <w:sz w:val="32"/>
          <w:szCs w:val="32"/>
          <w:lang w:val="zh-CN"/>
        </w:rPr>
        <w:t>绩效分析。</w:t>
      </w:r>
    </w:p>
    <w:p w14:paraId="67F9E819">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行政运转。</w:t>
      </w:r>
    </w:p>
    <w:p w14:paraId="60EB4EF3">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单位财务管理制度健全，在预算执行过程中严格财经纪律，严格执行财务管理制度，做到了专款专用，坚持财务开支逐级审批，账务处理及时、准确、全面，会计核算规范。保证了项目资金使用的合法合规、安全有效。经自评，该项得</w:t>
      </w:r>
      <w:r>
        <w:rPr>
          <w:rFonts w:ascii="仿宋_GB2312" w:hAnsi="Nimbus Roman No9 L" w:eastAsia="仿宋_GB2312" w:cs="Arial"/>
          <w:sz w:val="32"/>
          <w:szCs w:val="32"/>
        </w:rPr>
        <w:t>100</w:t>
      </w:r>
      <w:r>
        <w:rPr>
          <w:rFonts w:hint="eastAsia" w:ascii="仿宋_GB2312" w:hAnsi="Nimbus Roman No9 L" w:eastAsia="仿宋_GB2312" w:cs="Arial"/>
          <w:sz w:val="32"/>
          <w:szCs w:val="32"/>
        </w:rPr>
        <w:t>分。</w:t>
      </w:r>
    </w:p>
    <w:p w14:paraId="420CD015">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（三）个性指标</w:t>
      </w:r>
      <w:r>
        <w:rPr>
          <w:rFonts w:ascii="楷体_GB2312" w:hAnsi="宋体" w:eastAsia="楷体_GB2312"/>
          <w:b/>
          <w:sz w:val="32"/>
          <w:szCs w:val="32"/>
          <w:lang w:val="zh-CN"/>
        </w:rPr>
        <w:t>绩效分析。</w:t>
      </w:r>
    </w:p>
    <w:p w14:paraId="13693AA3">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质量指标：重点人员管控率，目标值</w:t>
      </w:r>
      <w:r>
        <w:rPr>
          <w:rFonts w:ascii="仿宋_GB2312" w:hAnsi="Nimbus Roman No9 L" w:eastAsia="仿宋_GB2312" w:cs="Arial"/>
          <w:sz w:val="32"/>
          <w:szCs w:val="32"/>
        </w:rPr>
        <w:t>100</w:t>
      </w:r>
      <w:r>
        <w:rPr>
          <w:rFonts w:hint="eastAsia" w:ascii="仿宋_GB2312" w:hAnsi="Nimbus Roman No9 L" w:eastAsia="仿宋_GB2312" w:cs="Arial"/>
          <w:sz w:val="32"/>
          <w:szCs w:val="32"/>
        </w:rPr>
        <w:t>，实际完成</w:t>
      </w:r>
      <w:r>
        <w:rPr>
          <w:rFonts w:ascii="仿宋_GB2312" w:hAnsi="Nimbus Roman No9 L" w:eastAsia="仿宋_GB2312" w:cs="Arial"/>
          <w:sz w:val="32"/>
          <w:szCs w:val="32"/>
        </w:rPr>
        <w:t>100</w:t>
      </w:r>
      <w:r>
        <w:rPr>
          <w:rFonts w:hint="eastAsia" w:ascii="仿宋_GB2312" w:hAnsi="Nimbus Roman No9 L" w:eastAsia="仿宋_GB2312" w:cs="Arial"/>
          <w:sz w:val="32"/>
          <w:szCs w:val="32"/>
        </w:rPr>
        <w:t>，权重10。</w:t>
      </w:r>
    </w:p>
    <w:p w14:paraId="1270EA48">
      <w:pPr>
        <w:pStyle w:val="15"/>
        <w:shd w:val="clear" w:color="auto" w:fill="FFFFFF"/>
        <w:spacing w:beforeAutospacing="0" w:afterAutospacing="0" w:line="560" w:lineRule="exact"/>
        <w:ind w:firstLine="48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社会效益指标：打击刑事犯罪发生，指标值优，实际完成优，权重20。</w:t>
      </w:r>
    </w:p>
    <w:p w14:paraId="57DCDD38">
      <w:pPr>
        <w:adjustRightInd w:val="0"/>
        <w:snapToGrid w:val="0"/>
        <w:spacing w:line="580" w:lineRule="exact"/>
        <w:ind w:firstLine="720"/>
        <w:outlineLvl w:val="1"/>
        <w:rPr>
          <w:rFonts w:ascii="黑体" w:hAnsi="黑体" w:eastAsia="黑体" w:cs="黑体"/>
          <w:bCs/>
          <w:sz w:val="32"/>
          <w:szCs w:val="32"/>
        </w:rPr>
      </w:pPr>
      <w:bookmarkStart w:id="202" w:name="_Toc18112"/>
      <w:r>
        <w:rPr>
          <w:rFonts w:hint="eastAsia" w:ascii="黑体" w:hAnsi="黑体" w:eastAsia="黑体" w:cs="黑体"/>
          <w:bCs/>
          <w:sz w:val="32"/>
          <w:szCs w:val="32"/>
        </w:rPr>
        <w:t>四、评价结论</w:t>
      </w:r>
      <w:bookmarkEnd w:id="202"/>
    </w:p>
    <w:p w14:paraId="0838D285">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从该项目完绩效目标完成情况来看，我局严格按照相关项目和财务管理要求贯彻执行，未发生虚报、套取、挤占、挪用或报销不合理开支等行为。在项目资金使用和管理方面，进一步强化资金统筹，优化资金结构，明确开支范围，细化资金用途，确保各项工作任务顺利完成。综上所述，该项目绩效自评得分</w:t>
      </w:r>
      <w:r>
        <w:rPr>
          <w:rFonts w:ascii="仿宋_GB2312" w:hAnsi="Nimbus Roman No9 L" w:eastAsia="仿宋_GB2312" w:cs="Arial"/>
          <w:sz w:val="32"/>
          <w:szCs w:val="32"/>
        </w:rPr>
        <w:t>100</w:t>
      </w:r>
      <w:r>
        <w:rPr>
          <w:rFonts w:hint="eastAsia" w:ascii="仿宋_GB2312" w:hAnsi="Nimbus Roman No9 L" w:eastAsia="仿宋_GB2312" w:cs="Arial"/>
          <w:sz w:val="32"/>
          <w:szCs w:val="32"/>
        </w:rPr>
        <w:t>分，评价结果为“优”。</w:t>
      </w:r>
    </w:p>
    <w:p w14:paraId="19BD2CD6">
      <w:pPr>
        <w:adjustRightInd w:val="0"/>
        <w:snapToGrid w:val="0"/>
        <w:spacing w:line="580" w:lineRule="exact"/>
        <w:ind w:firstLine="720"/>
        <w:outlineLvl w:val="1"/>
        <w:rPr>
          <w:rFonts w:ascii="黑体" w:hAnsi="黑体" w:eastAsia="黑体" w:cs="黑体"/>
          <w:bCs/>
          <w:sz w:val="32"/>
          <w:szCs w:val="32"/>
        </w:rPr>
      </w:pPr>
      <w:bookmarkStart w:id="203" w:name="_Toc31821"/>
      <w:r>
        <w:rPr>
          <w:rFonts w:hint="eastAsia" w:ascii="黑体" w:hAnsi="黑体" w:eastAsia="黑体" w:cs="黑体"/>
          <w:bCs/>
          <w:sz w:val="32"/>
          <w:szCs w:val="32"/>
        </w:rPr>
        <w:t>五、存在主要问题</w:t>
      </w:r>
      <w:bookmarkEnd w:id="203"/>
    </w:p>
    <w:p w14:paraId="658FD213">
      <w:pPr>
        <w:pStyle w:val="15"/>
        <w:shd w:val="clear" w:color="auto" w:fill="FFFFFF"/>
        <w:spacing w:beforeAutospacing="0" w:afterAutospacing="0" w:line="560" w:lineRule="exact"/>
        <w:ind w:firstLine="480"/>
        <w:jc w:val="both"/>
        <w:rPr>
          <w:rFonts w:ascii="仿宋_GB2312" w:hAnsi="??_GB2312" w:eastAsia="仿宋_GB2312" w:cs="??_GB2312"/>
          <w:sz w:val="32"/>
          <w:lang w:val="zh-CN"/>
        </w:rPr>
      </w:pPr>
      <w:r>
        <w:rPr>
          <w:rFonts w:hint="eastAsia" w:ascii="仿宋_GB2312" w:hAnsi="仿宋" w:eastAsia="仿宋_GB2312" w:cs="Helvetica"/>
          <w:sz w:val="32"/>
        </w:rPr>
        <w:t>虽然设立了项目资金绩效目标，但资金跟不上项目进度。</w:t>
      </w:r>
    </w:p>
    <w:p w14:paraId="328F293E">
      <w:pPr>
        <w:adjustRightInd w:val="0"/>
        <w:snapToGrid w:val="0"/>
        <w:spacing w:line="580" w:lineRule="exact"/>
        <w:ind w:firstLine="720"/>
        <w:outlineLvl w:val="1"/>
        <w:rPr>
          <w:rFonts w:ascii="黑体" w:hAnsi="黑体" w:eastAsia="黑体" w:cs="黑体"/>
          <w:bCs/>
          <w:sz w:val="32"/>
          <w:szCs w:val="32"/>
        </w:rPr>
      </w:pPr>
      <w:bookmarkStart w:id="204" w:name="_Toc22637"/>
      <w:r>
        <w:rPr>
          <w:rFonts w:hint="eastAsia" w:ascii="黑体" w:hAnsi="黑体" w:eastAsia="黑体" w:cs="黑体"/>
          <w:bCs/>
          <w:sz w:val="32"/>
          <w:szCs w:val="32"/>
        </w:rPr>
        <w:t>六、改进建议</w:t>
      </w:r>
      <w:bookmarkEnd w:id="204"/>
    </w:p>
    <w:p w14:paraId="4DF882E0">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提高负责管理人员业务水平，确保本项目绩效评价工作水平提升。</w:t>
      </w:r>
    </w:p>
    <w:p w14:paraId="1D950AC9">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广元市公安局宝珠寺分局</w:t>
      </w:r>
    </w:p>
    <w:p w14:paraId="554B44D2">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辅警人员经费项目绩效评价报告</w:t>
      </w:r>
    </w:p>
    <w:p w14:paraId="2678E80A">
      <w:pPr>
        <w:pStyle w:val="28"/>
        <w:spacing w:line="578" w:lineRule="exact"/>
        <w:ind w:firstLine="640"/>
        <w:jc w:val="center"/>
        <w:rPr>
          <w:rFonts w:ascii="宋体" w:hAnsi="宋体"/>
          <w:color w:val="auto"/>
          <w:kern w:val="2"/>
          <w:sz w:val="32"/>
          <w:szCs w:val="32"/>
          <w:lang w:val="en-US"/>
        </w:rPr>
      </w:pPr>
    </w:p>
    <w:p w14:paraId="2E4BFE01">
      <w:pPr>
        <w:adjustRightInd w:val="0"/>
        <w:snapToGrid w:val="0"/>
        <w:spacing w:line="580" w:lineRule="exact"/>
        <w:ind w:firstLine="720"/>
        <w:outlineLvl w:val="1"/>
        <w:rPr>
          <w:rFonts w:ascii="黑体" w:hAnsi="黑体" w:eastAsia="黑体" w:cs="黑体"/>
          <w:bCs/>
          <w:sz w:val="32"/>
          <w:szCs w:val="32"/>
        </w:rPr>
      </w:pPr>
      <w:bookmarkStart w:id="205" w:name="_Toc30759"/>
      <w:r>
        <w:rPr>
          <w:rFonts w:hint="eastAsia" w:ascii="黑体" w:hAnsi="黑体" w:eastAsia="黑体" w:cs="黑体"/>
          <w:bCs/>
          <w:sz w:val="32"/>
          <w:szCs w:val="32"/>
        </w:rPr>
        <w:t>一、项目概况</w:t>
      </w:r>
      <w:bookmarkEnd w:id="205"/>
    </w:p>
    <w:p w14:paraId="166A5213">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（一）设立背景及基本情况。</w:t>
      </w:r>
    </w:p>
    <w:p w14:paraId="3B4B1C91">
      <w:pPr>
        <w:adjustRightInd w:val="0"/>
        <w:snapToGrid w:val="0"/>
        <w:spacing w:line="578" w:lineRule="exact"/>
        <w:ind w:firstLine="640" w:firstLineChars="200"/>
        <w:rPr>
          <w:rFonts w:hint="eastAsia" w:ascii="仿宋_GB2312" w:hAnsi="Nimbus Roman No9 L" w:eastAsia="仿宋_GB2312" w:cs="Arial"/>
          <w:sz w:val="32"/>
          <w:szCs w:val="32"/>
        </w:rPr>
      </w:pPr>
      <w:r>
        <w:rPr>
          <w:rFonts w:ascii="仿宋_GB2312" w:hAnsi="Nimbus Roman No9 L" w:eastAsia="仿宋_GB2312" w:cs="Arial"/>
          <w:sz w:val="32"/>
          <w:szCs w:val="32"/>
        </w:rPr>
        <w:t>1</w:t>
      </w:r>
      <w:r>
        <w:rPr>
          <w:rFonts w:hint="eastAsia" w:ascii="仿宋_GB2312" w:hAnsi="Nimbus Roman No9 L" w:eastAsia="仿宋_GB2312" w:cs="Arial"/>
          <w:sz w:val="32"/>
          <w:szCs w:val="32"/>
        </w:rPr>
        <w:t>．设立原因及背景。</w:t>
      </w:r>
    </w:p>
    <w:p w14:paraId="32FCCA2C">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分局民警老龄化严重，为保证工作有序开展，需要依靠辅警来弥补，主要从事指挥中心调度、派出所协管等工作，协助民警值班、管理流动人口、参与基础信息采集工作等。</w:t>
      </w:r>
    </w:p>
    <w:p w14:paraId="7722A7F7">
      <w:pPr>
        <w:adjustRightInd w:val="0"/>
        <w:snapToGrid w:val="0"/>
        <w:spacing w:line="578" w:lineRule="exact"/>
        <w:ind w:firstLine="640" w:firstLineChars="200"/>
        <w:rPr>
          <w:rFonts w:hint="eastAsia" w:ascii="仿宋_GB2312" w:hAnsi="Nimbus Roman No9 L" w:eastAsia="仿宋_GB2312" w:cs="Arial"/>
          <w:sz w:val="32"/>
          <w:szCs w:val="32"/>
        </w:rPr>
      </w:pPr>
      <w:r>
        <w:rPr>
          <w:rFonts w:ascii="仿宋_GB2312" w:hAnsi="Nimbus Roman No9 L" w:eastAsia="仿宋_GB2312" w:cs="Arial"/>
          <w:sz w:val="32"/>
          <w:szCs w:val="32"/>
        </w:rPr>
        <w:t>2</w:t>
      </w:r>
      <w:r>
        <w:rPr>
          <w:rFonts w:hint="eastAsia" w:ascii="仿宋_GB2312" w:hAnsi="Nimbus Roman No9 L" w:eastAsia="仿宋_GB2312" w:cs="Arial"/>
          <w:sz w:val="32"/>
          <w:szCs w:val="32"/>
        </w:rPr>
        <w:t>．项目立项、资金申报的依据。</w:t>
      </w:r>
    </w:p>
    <w:p w14:paraId="1CA8C42B">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根据广元市人民政府办公室关于印发《广元市公安机关警务辅助人员管理暂行办法》的通知（广府办发﹝</w:t>
      </w:r>
      <w:r>
        <w:rPr>
          <w:rFonts w:ascii="仿宋_GB2312" w:hAnsi="Nimbus Roman No9 L" w:eastAsia="仿宋_GB2312" w:cs="Arial"/>
          <w:sz w:val="32"/>
          <w:szCs w:val="32"/>
        </w:rPr>
        <w:t>2017</w:t>
      </w:r>
      <w:r>
        <w:rPr>
          <w:rFonts w:hint="eastAsia" w:ascii="仿宋_GB2312" w:hAnsi="Nimbus Roman No9 L" w:eastAsia="仿宋_GB2312" w:cs="Arial"/>
          <w:sz w:val="32"/>
          <w:szCs w:val="32"/>
        </w:rPr>
        <w:t>﹞</w:t>
      </w:r>
      <w:r>
        <w:rPr>
          <w:rFonts w:ascii="仿宋_GB2312" w:hAnsi="Nimbus Roman No9 L" w:eastAsia="仿宋_GB2312" w:cs="Arial"/>
          <w:sz w:val="32"/>
          <w:szCs w:val="32"/>
        </w:rPr>
        <w:t>43</w:t>
      </w:r>
      <w:r>
        <w:rPr>
          <w:rFonts w:hint="eastAsia" w:ascii="仿宋_GB2312" w:hAnsi="Nimbus Roman No9 L" w:eastAsia="仿宋_GB2312" w:cs="Arial"/>
          <w:sz w:val="32"/>
          <w:szCs w:val="32"/>
        </w:rPr>
        <w:t>号文件）。按月保障辅警的基本待遇。</w:t>
      </w:r>
    </w:p>
    <w:p w14:paraId="440C3161">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r>
        <w:rPr>
          <w:rFonts w:hint="eastAsia" w:ascii="楷体_GB2312" w:hAnsi="宋体" w:eastAsia="楷体_GB2312"/>
          <w:b/>
          <w:sz w:val="32"/>
          <w:szCs w:val="32"/>
          <w:lang w:val="zh-CN"/>
        </w:rPr>
        <w:t>。</w:t>
      </w:r>
    </w:p>
    <w:p w14:paraId="09906F65">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实施目的：</w:t>
      </w:r>
    </w:p>
    <w:p w14:paraId="6496F92F">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1.提高项目成功率：通过对项目绩效的评估和监控，及时发现问题并采取措施加以解决，确保项目按照预定的目标和计划顺利推进，从而推动项目成功实施。</w:t>
      </w:r>
    </w:p>
    <w:p w14:paraId="159B914A">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2.优化资源分配：基于绩效评估结果，合理分配人力、物力、财力等资源，使资源投入与项目的重要性和产出效益相匹配，提高资源利用率。</w:t>
      </w:r>
    </w:p>
    <w:p w14:paraId="008D5C0C">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3.促进持续改进：对项目绩效的分析和总结可以为未来的项目提供经验教训，不断完善项目管理流程和方法，提升项目管理能力。</w:t>
      </w:r>
    </w:p>
    <w:p w14:paraId="559E22C8">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支持方向：</w:t>
      </w:r>
    </w:p>
    <w:p w14:paraId="58558930">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1.目标明确：确保项目目标清晰、具体、可衡量，使绩效评估有明确的依据。</w:t>
      </w:r>
    </w:p>
    <w:p w14:paraId="393A9D53">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2.风险管理：通过绩效评估识别项目中的风险，并制定相应的应对措施，降低风险对项目的影响。</w:t>
      </w:r>
    </w:p>
    <w:p w14:paraId="3030CB9C">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r>
        <w:rPr>
          <w:rFonts w:hint="eastAsia" w:ascii="楷体_GB2312" w:hAnsi="宋体" w:eastAsia="楷体_GB2312"/>
          <w:b/>
          <w:sz w:val="32"/>
          <w:szCs w:val="32"/>
          <w:lang w:val="zh-CN"/>
        </w:rPr>
        <w:t>。</w:t>
      </w:r>
    </w:p>
    <w:p w14:paraId="04C8EB1B">
      <w:pPr>
        <w:pStyle w:val="15"/>
        <w:shd w:val="clear" w:color="auto" w:fill="FFFFFF"/>
        <w:spacing w:beforeAutospacing="0" w:afterAutospacing="0" w:line="560" w:lineRule="exact"/>
        <w:ind w:firstLine="480"/>
        <w:jc w:val="both"/>
        <w:rPr>
          <w:rFonts w:ascii="仿宋_GB2312" w:hAnsi="仿宋" w:eastAsia="仿宋_GB2312"/>
          <w:sz w:val="32"/>
          <w:lang w:val="zh-CN"/>
        </w:rPr>
      </w:pPr>
      <w:r>
        <w:rPr>
          <w:rFonts w:hint="eastAsia" w:ascii="仿宋_GB2312" w:hAnsi="宋体" w:eastAsia="仿宋_GB2312" w:cs="宋体"/>
          <w:sz w:val="32"/>
        </w:rPr>
        <w:t>辅警人员经费项目</w:t>
      </w:r>
      <w:r>
        <w:rPr>
          <w:rFonts w:hint="eastAsia" w:ascii="仿宋_GB2312" w:eastAsia="仿宋_GB2312"/>
          <w:sz w:val="32"/>
        </w:rPr>
        <w:t>资金</w:t>
      </w:r>
      <w:r>
        <w:rPr>
          <w:rFonts w:ascii="仿宋_GB2312" w:eastAsia="仿宋_GB2312"/>
          <w:sz w:val="32"/>
        </w:rPr>
        <w:t>67.50</w:t>
      </w:r>
      <w:r>
        <w:rPr>
          <w:rFonts w:hint="eastAsia" w:ascii="仿宋_GB2312" w:eastAsia="仿宋_GB2312"/>
          <w:sz w:val="32"/>
        </w:rPr>
        <w:t>万元，是常年项目，</w:t>
      </w:r>
      <w:r>
        <w:rPr>
          <w:rFonts w:hint="eastAsia" w:ascii="仿宋_GB2312" w:hAnsi="仿宋" w:eastAsia="仿宋_GB2312"/>
          <w:sz w:val="32"/>
          <w:lang w:val="zh-CN"/>
        </w:rPr>
        <w:t>标准</w:t>
      </w:r>
      <w:r>
        <w:rPr>
          <w:rFonts w:ascii="仿宋_GB2312" w:hAnsi="仿宋" w:eastAsia="仿宋_GB2312"/>
          <w:sz w:val="32"/>
          <w:lang w:val="zh-CN"/>
        </w:rPr>
        <w:t>4.5</w:t>
      </w:r>
      <w:r>
        <w:rPr>
          <w:rFonts w:hint="eastAsia" w:ascii="仿宋_GB2312" w:hAnsi="仿宋" w:eastAsia="仿宋_GB2312"/>
          <w:sz w:val="32"/>
          <w:lang w:val="zh-CN"/>
        </w:rPr>
        <w:t>万元</w:t>
      </w:r>
      <w:r>
        <w:rPr>
          <w:rFonts w:ascii="仿宋_GB2312" w:hAnsi="仿宋" w:eastAsia="仿宋_GB2312"/>
          <w:sz w:val="32"/>
          <w:lang w:val="zh-CN"/>
        </w:rPr>
        <w:t xml:space="preserve">. </w:t>
      </w:r>
      <w:r>
        <w:rPr>
          <w:rFonts w:hint="eastAsia" w:ascii="仿宋_GB2312" w:hAnsi="仿宋" w:eastAsia="仿宋_GB2312"/>
          <w:sz w:val="32"/>
          <w:lang w:val="zh-CN"/>
        </w:rPr>
        <w:t>人</w:t>
      </w:r>
      <w:r>
        <w:rPr>
          <w:rFonts w:ascii="仿宋_GB2312" w:hAnsi="仿宋" w:eastAsia="仿宋_GB2312"/>
          <w:sz w:val="32"/>
          <w:lang w:val="zh-CN"/>
        </w:rPr>
        <w:t>/</w:t>
      </w:r>
      <w:r>
        <w:rPr>
          <w:rFonts w:hint="eastAsia" w:ascii="仿宋_GB2312" w:hAnsi="仿宋" w:eastAsia="仿宋_GB2312"/>
          <w:sz w:val="32"/>
          <w:lang w:val="zh-CN"/>
        </w:rPr>
        <w:t>年。</w:t>
      </w:r>
    </w:p>
    <w:p w14:paraId="69DF9773">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（四）项目绩效目标设置。</w:t>
      </w:r>
    </w:p>
    <w:p w14:paraId="434E0C30">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绩效目标设置包括数量</w:t>
      </w:r>
      <w:r>
        <w:rPr>
          <w:rFonts w:ascii="仿宋_GB2312" w:hAnsi="Nimbus Roman No9 L" w:eastAsia="仿宋_GB2312" w:cs="Arial"/>
          <w:sz w:val="32"/>
          <w:szCs w:val="32"/>
        </w:rPr>
        <w:t>指标</w:t>
      </w:r>
      <w:r>
        <w:rPr>
          <w:rFonts w:hint="eastAsia" w:ascii="仿宋_GB2312" w:hAnsi="Nimbus Roman No9 L" w:eastAsia="仿宋_GB2312" w:cs="Arial"/>
          <w:sz w:val="32"/>
          <w:szCs w:val="32"/>
        </w:rPr>
        <w:t>、质量指标、时效指标、社会效益指标、满意度指标、成本指标。</w:t>
      </w:r>
    </w:p>
    <w:p w14:paraId="726AE8F6">
      <w:pPr>
        <w:adjustRightInd w:val="0"/>
        <w:snapToGrid w:val="0"/>
        <w:spacing w:line="580" w:lineRule="exact"/>
        <w:ind w:firstLine="720"/>
        <w:outlineLvl w:val="1"/>
        <w:rPr>
          <w:rFonts w:ascii="黑体" w:hAnsi="黑体" w:eastAsia="黑体" w:cs="黑体"/>
          <w:bCs/>
          <w:sz w:val="32"/>
          <w:szCs w:val="32"/>
        </w:rPr>
      </w:pPr>
      <w:bookmarkStart w:id="206" w:name="_Toc15711"/>
      <w:r>
        <w:rPr>
          <w:rFonts w:hint="eastAsia" w:ascii="黑体" w:hAnsi="黑体" w:eastAsia="黑体" w:cs="黑体"/>
          <w:bCs/>
          <w:sz w:val="32"/>
          <w:szCs w:val="32"/>
        </w:rPr>
        <w:t>二、评价实施</w:t>
      </w:r>
      <w:bookmarkEnd w:id="206"/>
    </w:p>
    <w:p w14:paraId="5BC1DD8D">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（一）评价目的。</w:t>
      </w:r>
    </w:p>
    <w:p w14:paraId="732DB76A">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通过绩效自评可以确定项目是否达到预定的目标和预期的成果，从而提高决策质量和项目管理的水平和能力。合理分配资源，增强项目透明度。</w:t>
      </w:r>
    </w:p>
    <w:p w14:paraId="13F91DC0">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（二）预设问题及评价重点。</w:t>
      </w:r>
    </w:p>
    <w:p w14:paraId="126C46DF">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1、项目是否在预算范围内完成？</w:t>
      </w:r>
    </w:p>
    <w:p w14:paraId="2E287CFE">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项目是在预算范围内完成的，有效控制了成本，提升了资源分配的合理性和预算管理的严格性。</w:t>
      </w:r>
    </w:p>
    <w:p w14:paraId="19A692BA">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2项目是否达到预期效果？</w:t>
      </w:r>
    </w:p>
    <w:p w14:paraId="7B2A77FF">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项目达到预期效果，有效保障了该项目的顺利推进。</w:t>
      </w:r>
    </w:p>
    <w:p w14:paraId="2434B82D">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（三）评价选点。</w:t>
      </w:r>
    </w:p>
    <w:p w14:paraId="45684990">
      <w:pPr>
        <w:adjustRightInd w:val="0"/>
        <w:snapToGrid w:val="0"/>
        <w:spacing w:line="578" w:lineRule="exact"/>
        <w:ind w:firstLine="640" w:firstLineChars="200"/>
        <w:rPr>
          <w:lang w:val="zh-CN"/>
        </w:rPr>
      </w:pPr>
      <w:r>
        <w:rPr>
          <w:rFonts w:hint="eastAsia" w:ascii="仿宋_GB2312" w:hAnsi="Nimbus Roman No9 L" w:eastAsia="仿宋_GB2312" w:cs="Arial"/>
          <w:sz w:val="32"/>
          <w:szCs w:val="32"/>
        </w:rPr>
        <w:t>项目绩效自评所抽样点位情况良好，达到预期目的。</w:t>
      </w:r>
    </w:p>
    <w:p w14:paraId="47E468DB">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（四）评价方法。</w:t>
      </w:r>
    </w:p>
    <w:p w14:paraId="28C80746">
      <w:pPr>
        <w:adjustRightInd w:val="0"/>
        <w:snapToGrid w:val="0"/>
        <w:spacing w:line="578" w:lineRule="exact"/>
        <w:ind w:firstLine="640" w:firstLineChars="200"/>
        <w:rPr>
          <w:rFonts w:hint="eastAsia" w:ascii="仿宋_GB2312" w:hAnsi="Nimbus Roman No9 L" w:eastAsia="仿宋_GB2312" w:cs="Arial"/>
          <w:sz w:val="32"/>
          <w:szCs w:val="32"/>
        </w:rPr>
      </w:pPr>
      <w:r>
        <w:rPr>
          <w:rFonts w:ascii="仿宋_GB2312" w:hAnsi="Nimbus Roman No9 L" w:eastAsia="仿宋_GB2312" w:cs="Arial"/>
          <w:sz w:val="32"/>
          <w:szCs w:val="32"/>
        </w:rPr>
        <w:t>根据项目情况和评价重点，</w:t>
      </w:r>
      <w:r>
        <w:rPr>
          <w:rFonts w:hint="eastAsia" w:ascii="仿宋_GB2312" w:hAnsi="Nimbus Roman No9 L" w:eastAsia="仿宋_GB2312" w:cs="Arial"/>
          <w:sz w:val="32"/>
          <w:szCs w:val="32"/>
        </w:rPr>
        <w:t>我单位采取</w:t>
      </w:r>
      <w:r>
        <w:rPr>
          <w:rFonts w:ascii="仿宋_GB2312" w:hAnsi="Nimbus Roman No9 L" w:eastAsia="仿宋_GB2312" w:cs="Arial"/>
          <w:sz w:val="32"/>
          <w:szCs w:val="32"/>
        </w:rPr>
        <w:t>单位自评法</w:t>
      </w:r>
      <w:r>
        <w:rPr>
          <w:rFonts w:hint="eastAsia" w:ascii="仿宋_GB2312" w:hAnsi="Nimbus Roman No9 L" w:eastAsia="仿宋_GB2312" w:cs="Arial"/>
          <w:sz w:val="32"/>
          <w:szCs w:val="32"/>
        </w:rPr>
        <w:t>对该项目预算绩效实事求是开展自评。</w:t>
      </w:r>
    </w:p>
    <w:p w14:paraId="568B6F06">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（五）评价组织。</w:t>
      </w:r>
    </w:p>
    <w:p w14:paraId="3BF5E8AD">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该项目自评工作由指挥中心（办公室）牵头，各部门配合协助，围绕总体目标、绩效指标的完成情况及使用效益开展。</w:t>
      </w:r>
    </w:p>
    <w:p w14:paraId="05F9E904">
      <w:pPr>
        <w:adjustRightInd w:val="0"/>
        <w:snapToGrid w:val="0"/>
        <w:spacing w:line="580" w:lineRule="exact"/>
        <w:ind w:firstLine="720"/>
        <w:outlineLvl w:val="1"/>
        <w:rPr>
          <w:rFonts w:ascii="黑体" w:hAnsi="黑体" w:eastAsia="黑体" w:cs="黑体"/>
          <w:bCs/>
          <w:sz w:val="32"/>
          <w:szCs w:val="32"/>
        </w:rPr>
      </w:pPr>
      <w:bookmarkStart w:id="207" w:name="_Toc32369"/>
      <w:r>
        <w:rPr>
          <w:rFonts w:hint="eastAsia" w:ascii="黑体" w:hAnsi="黑体" w:eastAsia="黑体" w:cs="黑体"/>
          <w:bCs/>
          <w:sz w:val="32"/>
          <w:szCs w:val="32"/>
        </w:rPr>
        <w:t>三、绩效分析</w:t>
      </w:r>
      <w:bookmarkEnd w:id="207"/>
      <w:r>
        <w:rPr>
          <w:rFonts w:hint="eastAsia" w:ascii="黑体" w:hAnsi="黑体" w:eastAsia="黑体" w:cs="黑体"/>
          <w:bCs/>
          <w:sz w:val="32"/>
          <w:szCs w:val="32"/>
        </w:rPr>
        <w:tab/>
      </w:r>
    </w:p>
    <w:p w14:paraId="3A30C5D7">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（一）通用指标</w:t>
      </w:r>
      <w:r>
        <w:rPr>
          <w:rFonts w:ascii="楷体_GB2312" w:hAnsi="宋体" w:eastAsia="楷体_GB2312"/>
          <w:b/>
          <w:sz w:val="32"/>
          <w:szCs w:val="32"/>
          <w:lang w:val="zh-CN"/>
        </w:rPr>
        <w:t>绩效分析。</w:t>
      </w:r>
    </w:p>
    <w:p w14:paraId="4638F1F3">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1.项目决策。</w:t>
      </w:r>
    </w:p>
    <w:p w14:paraId="17EAFE8B">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根据年初预算，该项目经费申报金额为</w:t>
      </w:r>
      <w:r>
        <w:rPr>
          <w:rFonts w:ascii="仿宋_GB2312" w:hAnsi="Nimbus Roman No9 L" w:eastAsia="仿宋_GB2312" w:cs="Arial"/>
          <w:sz w:val="32"/>
          <w:szCs w:val="32"/>
        </w:rPr>
        <w:t>67.5</w:t>
      </w:r>
      <w:r>
        <w:rPr>
          <w:rFonts w:hint="eastAsia" w:ascii="仿宋_GB2312" w:hAnsi="Nimbus Roman No9 L" w:eastAsia="仿宋_GB2312" w:cs="Arial"/>
          <w:sz w:val="32"/>
          <w:szCs w:val="32"/>
        </w:rPr>
        <w:t>万元，经人大审核批准，预算批复为</w:t>
      </w:r>
      <w:r>
        <w:rPr>
          <w:rFonts w:ascii="仿宋_GB2312" w:hAnsi="Nimbus Roman No9 L" w:eastAsia="仿宋_GB2312" w:cs="Arial"/>
          <w:sz w:val="32"/>
          <w:szCs w:val="32"/>
        </w:rPr>
        <w:t>67.5</w:t>
      </w:r>
      <w:r>
        <w:rPr>
          <w:rFonts w:hint="eastAsia" w:ascii="仿宋_GB2312" w:hAnsi="Nimbus Roman No9 L" w:eastAsia="仿宋_GB2312" w:cs="Arial"/>
          <w:sz w:val="32"/>
          <w:szCs w:val="32"/>
        </w:rPr>
        <w:t>万元。项目经费申报符合资金管理办法相关规定。截止</w:t>
      </w:r>
      <w:r>
        <w:rPr>
          <w:rFonts w:ascii="仿宋_GB2312" w:hAnsi="Nimbus Roman No9 L" w:eastAsia="仿宋_GB2312" w:cs="Arial"/>
          <w:sz w:val="32"/>
          <w:szCs w:val="32"/>
        </w:rPr>
        <w:t>202</w:t>
      </w:r>
      <w:r>
        <w:rPr>
          <w:rFonts w:hint="eastAsia" w:ascii="仿宋_GB2312" w:hAnsi="Nimbus Roman No9 L" w:eastAsia="仿宋_GB2312" w:cs="Arial"/>
          <w:sz w:val="32"/>
          <w:szCs w:val="32"/>
        </w:rPr>
        <w:t>3年</w:t>
      </w:r>
      <w:r>
        <w:rPr>
          <w:rFonts w:ascii="仿宋_GB2312" w:hAnsi="Nimbus Roman No9 L" w:eastAsia="仿宋_GB2312" w:cs="Arial"/>
          <w:sz w:val="32"/>
          <w:szCs w:val="32"/>
        </w:rPr>
        <w:t>12</w:t>
      </w:r>
      <w:r>
        <w:rPr>
          <w:rFonts w:hint="eastAsia" w:ascii="仿宋_GB2312" w:hAnsi="Nimbus Roman No9 L" w:eastAsia="仿宋_GB2312" w:cs="Arial"/>
          <w:sz w:val="32"/>
          <w:szCs w:val="32"/>
        </w:rPr>
        <w:t>月</w:t>
      </w:r>
      <w:r>
        <w:rPr>
          <w:rFonts w:ascii="仿宋_GB2312" w:hAnsi="Nimbus Roman No9 L" w:eastAsia="仿宋_GB2312" w:cs="Arial"/>
          <w:sz w:val="32"/>
          <w:szCs w:val="32"/>
        </w:rPr>
        <w:t>31</w:t>
      </w:r>
      <w:r>
        <w:rPr>
          <w:rFonts w:hint="eastAsia" w:ascii="仿宋_GB2312" w:hAnsi="Nimbus Roman No9 L" w:eastAsia="仿宋_GB2312" w:cs="Arial"/>
          <w:sz w:val="32"/>
          <w:szCs w:val="32"/>
        </w:rPr>
        <w:t>日，该项目资金实际支出67.5万元，支付进度</w:t>
      </w:r>
      <w:r>
        <w:rPr>
          <w:rFonts w:ascii="仿宋_GB2312" w:hAnsi="Nimbus Roman No9 L" w:eastAsia="仿宋_GB2312" w:cs="Arial"/>
          <w:sz w:val="32"/>
          <w:szCs w:val="32"/>
        </w:rPr>
        <w:t>100%</w:t>
      </w:r>
      <w:r>
        <w:rPr>
          <w:rFonts w:hint="eastAsia" w:ascii="仿宋_GB2312" w:hAnsi="Nimbus Roman No9 L" w:eastAsia="仿宋_GB2312" w:cs="Arial"/>
          <w:sz w:val="32"/>
          <w:szCs w:val="32"/>
        </w:rPr>
        <w:t>，支付依据合规合法，资金支付与预算相符。经自评，该项得</w:t>
      </w:r>
      <w:r>
        <w:rPr>
          <w:rFonts w:ascii="仿宋_GB2312" w:hAnsi="Nimbus Roman No9 L" w:eastAsia="仿宋_GB2312" w:cs="Arial"/>
          <w:sz w:val="32"/>
          <w:szCs w:val="32"/>
        </w:rPr>
        <w:t>100</w:t>
      </w:r>
      <w:r>
        <w:rPr>
          <w:rFonts w:hint="eastAsia" w:ascii="仿宋_GB2312" w:hAnsi="Nimbus Roman No9 L" w:eastAsia="仿宋_GB2312" w:cs="Arial"/>
          <w:sz w:val="32"/>
          <w:szCs w:val="32"/>
        </w:rPr>
        <w:t>分。</w:t>
      </w:r>
    </w:p>
    <w:p w14:paraId="2E19A1C2">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2.项目管理。</w:t>
      </w:r>
    </w:p>
    <w:p w14:paraId="1998521C">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我局严格按照国库集中支付制度相关规定办理支付业务，遵循“先有预算、后有支出”、厉行节约的原则，项目经费按照财政预算金额和资金规定的使用范围列支。严格按照项目预算绩效目标执行专款专用。经自评，该项得</w:t>
      </w:r>
      <w:r>
        <w:rPr>
          <w:rFonts w:ascii="仿宋_GB2312" w:hAnsi="Nimbus Roman No9 L" w:eastAsia="仿宋_GB2312" w:cs="Arial"/>
          <w:sz w:val="32"/>
          <w:szCs w:val="32"/>
        </w:rPr>
        <w:t>100</w:t>
      </w:r>
      <w:r>
        <w:rPr>
          <w:rFonts w:hint="eastAsia" w:ascii="仿宋_GB2312" w:hAnsi="Nimbus Roman No9 L" w:eastAsia="仿宋_GB2312" w:cs="Arial"/>
          <w:sz w:val="32"/>
          <w:szCs w:val="32"/>
        </w:rPr>
        <w:t>分。</w:t>
      </w:r>
    </w:p>
    <w:p w14:paraId="28117D33">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3.项目实施。</w:t>
      </w:r>
    </w:p>
    <w:p w14:paraId="58D54CB2">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每个季度，项目绩效评价小组对该项目完成进度、项目效益与预期目标偏差等情况进行跟踪自评。本项目按计划逐月实施，并对项目实施情况进行公示，没有偏离预期目标。项目完成率</w:t>
      </w:r>
      <w:r>
        <w:rPr>
          <w:rFonts w:ascii="仿宋_GB2312" w:hAnsi="Nimbus Roman No9 L" w:eastAsia="仿宋_GB2312" w:cs="Arial"/>
          <w:sz w:val="32"/>
          <w:szCs w:val="32"/>
        </w:rPr>
        <w:t>100%</w:t>
      </w:r>
      <w:r>
        <w:rPr>
          <w:rFonts w:hint="eastAsia" w:ascii="仿宋_GB2312" w:hAnsi="Nimbus Roman No9 L" w:eastAsia="仿宋_GB2312" w:cs="Arial"/>
          <w:sz w:val="32"/>
          <w:szCs w:val="32"/>
        </w:rPr>
        <w:t>，完成情况好。经自评，该项得</w:t>
      </w:r>
      <w:r>
        <w:rPr>
          <w:rFonts w:ascii="仿宋_GB2312" w:hAnsi="Nimbus Roman No9 L" w:eastAsia="仿宋_GB2312" w:cs="Arial"/>
          <w:sz w:val="32"/>
          <w:szCs w:val="32"/>
        </w:rPr>
        <w:t>100</w:t>
      </w:r>
      <w:r>
        <w:rPr>
          <w:rFonts w:hint="eastAsia" w:ascii="仿宋_GB2312" w:hAnsi="Nimbus Roman No9 L" w:eastAsia="仿宋_GB2312" w:cs="Arial"/>
          <w:sz w:val="32"/>
          <w:szCs w:val="32"/>
        </w:rPr>
        <w:t>分。</w:t>
      </w:r>
    </w:p>
    <w:p w14:paraId="15C7D75D">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4.项目结果。</w:t>
      </w:r>
    </w:p>
    <w:p w14:paraId="77A99585">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该项目绩效自评得分</w:t>
      </w:r>
      <w:r>
        <w:rPr>
          <w:rFonts w:ascii="仿宋_GB2312" w:hAnsi="Nimbus Roman No9 L" w:eastAsia="仿宋_GB2312" w:cs="Arial"/>
          <w:sz w:val="32"/>
          <w:szCs w:val="32"/>
        </w:rPr>
        <w:t>100.00</w:t>
      </w:r>
      <w:r>
        <w:rPr>
          <w:rFonts w:hint="eastAsia" w:ascii="仿宋_GB2312" w:hAnsi="Nimbus Roman No9 L" w:eastAsia="仿宋_GB2312" w:cs="Arial"/>
          <w:sz w:val="32"/>
          <w:szCs w:val="32"/>
        </w:rPr>
        <w:t>分，设置绩效目标8个，实际完成8个，具体情况如下：</w:t>
      </w:r>
    </w:p>
    <w:p w14:paraId="10729899">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数量指标：辅助参与办理案事件，目标值70，实际完成70，权重</w:t>
      </w:r>
      <w:r>
        <w:rPr>
          <w:rFonts w:ascii="仿宋_GB2312" w:hAnsi="Nimbus Roman No9 L" w:eastAsia="仿宋_GB2312" w:cs="Arial"/>
          <w:sz w:val="32"/>
          <w:szCs w:val="32"/>
        </w:rPr>
        <w:t>1</w:t>
      </w:r>
      <w:r>
        <w:rPr>
          <w:rFonts w:hint="eastAsia" w:ascii="仿宋_GB2312" w:hAnsi="Nimbus Roman No9 L" w:eastAsia="仿宋_GB2312" w:cs="Arial"/>
          <w:sz w:val="32"/>
          <w:szCs w:val="32"/>
        </w:rPr>
        <w:t>0。</w:t>
      </w:r>
    </w:p>
    <w:p w14:paraId="79FC29C7">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数量指标：辅助稳控重点人员，目标值20，实际完成20，权重</w:t>
      </w:r>
      <w:r>
        <w:rPr>
          <w:rFonts w:ascii="仿宋_GB2312" w:hAnsi="Nimbus Roman No9 L" w:eastAsia="仿宋_GB2312" w:cs="Arial"/>
          <w:sz w:val="32"/>
          <w:szCs w:val="32"/>
        </w:rPr>
        <w:t>1</w:t>
      </w:r>
      <w:r>
        <w:rPr>
          <w:rFonts w:hint="eastAsia" w:ascii="仿宋_GB2312" w:hAnsi="Nimbus Roman No9 L" w:eastAsia="仿宋_GB2312" w:cs="Arial"/>
          <w:sz w:val="32"/>
          <w:szCs w:val="32"/>
        </w:rPr>
        <w:t>0。</w:t>
      </w:r>
    </w:p>
    <w:p w14:paraId="1719A174">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数量指标：辅助参与检查管理民爆物品，目标值12，实际完成12，权重</w:t>
      </w:r>
      <w:r>
        <w:rPr>
          <w:rFonts w:ascii="仿宋_GB2312" w:hAnsi="Nimbus Roman No9 L" w:eastAsia="仿宋_GB2312" w:cs="Arial"/>
          <w:sz w:val="32"/>
          <w:szCs w:val="32"/>
        </w:rPr>
        <w:t>1</w:t>
      </w:r>
      <w:r>
        <w:rPr>
          <w:rFonts w:hint="eastAsia" w:ascii="仿宋_GB2312" w:hAnsi="Nimbus Roman No9 L" w:eastAsia="仿宋_GB2312" w:cs="Arial"/>
          <w:sz w:val="32"/>
          <w:szCs w:val="32"/>
        </w:rPr>
        <w:t>0。</w:t>
      </w:r>
    </w:p>
    <w:p w14:paraId="0E7F8712">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质量指标：接处警录入合格率，目标值90，实际完成90，权重10。</w:t>
      </w:r>
    </w:p>
    <w:p w14:paraId="0C7D6F36">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质量指标：重点部位巡逻防控率，目标值</w:t>
      </w:r>
      <w:r>
        <w:rPr>
          <w:rFonts w:ascii="仿宋_GB2312" w:hAnsi="Nimbus Roman No9 L" w:eastAsia="仿宋_GB2312" w:cs="Arial"/>
          <w:sz w:val="32"/>
          <w:szCs w:val="32"/>
        </w:rPr>
        <w:t>100</w:t>
      </w:r>
      <w:r>
        <w:rPr>
          <w:rFonts w:hint="eastAsia" w:ascii="仿宋_GB2312" w:hAnsi="Nimbus Roman No9 L" w:eastAsia="仿宋_GB2312" w:cs="Arial"/>
          <w:sz w:val="32"/>
          <w:szCs w:val="32"/>
        </w:rPr>
        <w:t>，实际完成</w:t>
      </w:r>
      <w:r>
        <w:rPr>
          <w:rFonts w:ascii="仿宋_GB2312" w:hAnsi="Nimbus Roman No9 L" w:eastAsia="仿宋_GB2312" w:cs="Arial"/>
          <w:sz w:val="32"/>
          <w:szCs w:val="32"/>
        </w:rPr>
        <w:t>100</w:t>
      </w:r>
      <w:r>
        <w:rPr>
          <w:rFonts w:hint="eastAsia" w:ascii="仿宋_GB2312" w:hAnsi="Nimbus Roman No9 L" w:eastAsia="仿宋_GB2312" w:cs="Arial"/>
          <w:sz w:val="32"/>
          <w:szCs w:val="32"/>
        </w:rPr>
        <w:t>，权重10。</w:t>
      </w:r>
    </w:p>
    <w:p w14:paraId="385D4BBB">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质量指标：重点人员管控率，目标值</w:t>
      </w:r>
      <w:r>
        <w:rPr>
          <w:rFonts w:ascii="仿宋_GB2312" w:hAnsi="Nimbus Roman No9 L" w:eastAsia="仿宋_GB2312" w:cs="Arial"/>
          <w:sz w:val="32"/>
          <w:szCs w:val="32"/>
        </w:rPr>
        <w:t>100</w:t>
      </w:r>
      <w:r>
        <w:rPr>
          <w:rFonts w:hint="eastAsia" w:ascii="仿宋_GB2312" w:hAnsi="Nimbus Roman No9 L" w:eastAsia="仿宋_GB2312" w:cs="Arial"/>
          <w:sz w:val="32"/>
          <w:szCs w:val="32"/>
        </w:rPr>
        <w:t>，实际完成</w:t>
      </w:r>
      <w:r>
        <w:rPr>
          <w:rFonts w:ascii="仿宋_GB2312" w:hAnsi="Nimbus Roman No9 L" w:eastAsia="仿宋_GB2312" w:cs="Arial"/>
          <w:sz w:val="32"/>
          <w:szCs w:val="32"/>
        </w:rPr>
        <w:t>100</w:t>
      </w:r>
      <w:r>
        <w:rPr>
          <w:rFonts w:hint="eastAsia" w:ascii="仿宋_GB2312" w:hAnsi="Nimbus Roman No9 L" w:eastAsia="仿宋_GB2312" w:cs="Arial"/>
          <w:sz w:val="32"/>
          <w:szCs w:val="32"/>
        </w:rPr>
        <w:t>，权重10。</w:t>
      </w:r>
    </w:p>
    <w:p w14:paraId="1E676C90">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质量指标：处警事务完成率，目标值</w:t>
      </w:r>
      <w:r>
        <w:rPr>
          <w:rFonts w:ascii="仿宋_GB2312" w:hAnsi="Nimbus Roman No9 L" w:eastAsia="仿宋_GB2312" w:cs="Arial"/>
          <w:sz w:val="32"/>
          <w:szCs w:val="32"/>
        </w:rPr>
        <w:t>100</w:t>
      </w:r>
      <w:r>
        <w:rPr>
          <w:rFonts w:hint="eastAsia" w:ascii="仿宋_GB2312" w:hAnsi="Nimbus Roman No9 L" w:eastAsia="仿宋_GB2312" w:cs="Arial"/>
          <w:sz w:val="32"/>
          <w:szCs w:val="32"/>
        </w:rPr>
        <w:t>，实际完成</w:t>
      </w:r>
      <w:r>
        <w:rPr>
          <w:rFonts w:ascii="仿宋_GB2312" w:hAnsi="Nimbus Roman No9 L" w:eastAsia="仿宋_GB2312" w:cs="Arial"/>
          <w:sz w:val="32"/>
          <w:szCs w:val="32"/>
        </w:rPr>
        <w:t>100</w:t>
      </w:r>
      <w:r>
        <w:rPr>
          <w:rFonts w:hint="eastAsia" w:ascii="仿宋_GB2312" w:hAnsi="Nimbus Roman No9 L" w:eastAsia="仿宋_GB2312" w:cs="Arial"/>
          <w:sz w:val="32"/>
          <w:szCs w:val="32"/>
        </w:rPr>
        <w:t>，权重10。</w:t>
      </w:r>
    </w:p>
    <w:p w14:paraId="00E424AF">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社会效益指标：社会治安秩序进一步改善，指标值优，实际完成优，权重20。</w:t>
      </w:r>
    </w:p>
    <w:p w14:paraId="23ACB2B9">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满意度指标：群众满意度，指标值</w:t>
      </w:r>
      <w:r>
        <w:rPr>
          <w:rFonts w:ascii="仿宋_GB2312" w:hAnsi="Nimbus Roman No9 L" w:eastAsia="仿宋_GB2312" w:cs="Arial"/>
          <w:sz w:val="32"/>
          <w:szCs w:val="32"/>
        </w:rPr>
        <w:t>90</w:t>
      </w:r>
      <w:r>
        <w:rPr>
          <w:rFonts w:hint="eastAsia" w:ascii="仿宋_GB2312" w:hAnsi="Nimbus Roman No9 L" w:eastAsia="仿宋_GB2312" w:cs="Arial"/>
          <w:sz w:val="32"/>
          <w:szCs w:val="32"/>
        </w:rPr>
        <w:t>，实际完成</w:t>
      </w:r>
      <w:r>
        <w:rPr>
          <w:rFonts w:ascii="仿宋_GB2312" w:hAnsi="Nimbus Roman No9 L" w:eastAsia="仿宋_GB2312" w:cs="Arial"/>
          <w:sz w:val="32"/>
          <w:szCs w:val="32"/>
        </w:rPr>
        <w:t>90</w:t>
      </w:r>
      <w:r>
        <w:rPr>
          <w:rFonts w:hint="eastAsia" w:ascii="仿宋_GB2312" w:hAnsi="Nimbus Roman No9 L" w:eastAsia="仿宋_GB2312" w:cs="Arial"/>
          <w:sz w:val="32"/>
          <w:szCs w:val="32"/>
        </w:rPr>
        <w:t>，权重5。</w:t>
      </w:r>
    </w:p>
    <w:p w14:paraId="2BF814EF">
      <w:pPr>
        <w:adjustRightInd w:val="0"/>
        <w:snapToGrid w:val="0"/>
        <w:spacing w:line="578" w:lineRule="exact"/>
        <w:ind w:firstLine="640" w:firstLineChars="200"/>
        <w:rPr>
          <w:rFonts w:hint="eastAsia" w:ascii="仿宋_GB2312" w:hAnsi="Nimbus Roman No9 L" w:eastAsia="仿宋_GB2312" w:cs="Arial"/>
          <w:sz w:val="32"/>
          <w:szCs w:val="32"/>
        </w:rPr>
      </w:pPr>
      <w:r>
        <w:rPr>
          <w:rFonts w:ascii="仿宋_GB2312" w:hAnsi="Nimbus Roman No9 L" w:eastAsia="仿宋_GB2312" w:cs="Arial"/>
          <w:sz w:val="32"/>
          <w:szCs w:val="32"/>
        </w:rPr>
        <w:t>成本指标</w:t>
      </w:r>
      <w:r>
        <w:rPr>
          <w:rFonts w:hint="eastAsia" w:ascii="仿宋_GB2312" w:hAnsi="Nimbus Roman No9 L" w:eastAsia="仿宋_GB2312" w:cs="Arial"/>
          <w:sz w:val="32"/>
          <w:szCs w:val="32"/>
        </w:rPr>
        <w:t>：辅警人均经费，指标值45000，实际完成45000，权重5。</w:t>
      </w:r>
    </w:p>
    <w:p w14:paraId="3E79D523">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经自评，该项得</w:t>
      </w:r>
      <w:r>
        <w:rPr>
          <w:rFonts w:ascii="仿宋_GB2312" w:hAnsi="Nimbus Roman No9 L" w:eastAsia="仿宋_GB2312" w:cs="Arial"/>
          <w:sz w:val="32"/>
          <w:szCs w:val="32"/>
        </w:rPr>
        <w:t>100</w:t>
      </w:r>
      <w:r>
        <w:rPr>
          <w:rFonts w:hint="eastAsia" w:ascii="仿宋_GB2312" w:hAnsi="Nimbus Roman No9 L" w:eastAsia="仿宋_GB2312" w:cs="Arial"/>
          <w:sz w:val="32"/>
          <w:szCs w:val="32"/>
        </w:rPr>
        <w:t>分。</w:t>
      </w:r>
    </w:p>
    <w:p w14:paraId="7C9EA375">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（二）专用指标</w:t>
      </w:r>
      <w:r>
        <w:rPr>
          <w:rFonts w:ascii="楷体_GB2312" w:hAnsi="宋体" w:eastAsia="楷体_GB2312"/>
          <w:b/>
          <w:sz w:val="32"/>
          <w:szCs w:val="32"/>
          <w:lang w:val="zh-CN"/>
        </w:rPr>
        <w:t>绩效分析。</w:t>
      </w:r>
    </w:p>
    <w:p w14:paraId="2E1E7347">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单位财务管理制度健全，在预算执行过程中严格财经纪律，严格执行财务管理制度，做到了专款专用，坚持财务开支逐级审批，账务处理及时、准确、全面，会计核算规范。保证了项目资金使用的合法合规、安全有效。经自评，该项得</w:t>
      </w:r>
      <w:r>
        <w:rPr>
          <w:rFonts w:ascii="仿宋_GB2312" w:hAnsi="Nimbus Roman No9 L" w:eastAsia="仿宋_GB2312" w:cs="Arial"/>
          <w:sz w:val="32"/>
          <w:szCs w:val="32"/>
        </w:rPr>
        <w:t>100</w:t>
      </w:r>
      <w:r>
        <w:rPr>
          <w:rFonts w:hint="eastAsia" w:ascii="仿宋_GB2312" w:hAnsi="Nimbus Roman No9 L" w:eastAsia="仿宋_GB2312" w:cs="Arial"/>
          <w:sz w:val="32"/>
          <w:szCs w:val="32"/>
        </w:rPr>
        <w:t>分。</w:t>
      </w:r>
    </w:p>
    <w:p w14:paraId="1F3B0E57">
      <w:pPr>
        <w:adjustRightInd w:val="0"/>
        <w:snapToGrid w:val="0"/>
        <w:spacing w:line="580" w:lineRule="exact"/>
        <w:ind w:firstLine="720"/>
        <w:outlineLvl w:val="1"/>
        <w:rPr>
          <w:rFonts w:ascii="黑体" w:hAnsi="黑体" w:eastAsia="黑体" w:cs="黑体"/>
          <w:bCs/>
          <w:sz w:val="32"/>
          <w:szCs w:val="32"/>
        </w:rPr>
      </w:pPr>
      <w:bookmarkStart w:id="208" w:name="_Toc20279"/>
      <w:r>
        <w:rPr>
          <w:rFonts w:hint="eastAsia" w:ascii="黑体" w:hAnsi="黑体" w:eastAsia="黑体" w:cs="黑体"/>
          <w:bCs/>
          <w:sz w:val="32"/>
          <w:szCs w:val="32"/>
        </w:rPr>
        <w:t>四、评价结论</w:t>
      </w:r>
      <w:bookmarkEnd w:id="208"/>
    </w:p>
    <w:p w14:paraId="4CB6023B">
      <w:pPr>
        <w:pStyle w:val="15"/>
        <w:shd w:val="clear" w:color="auto" w:fill="FFFFFF"/>
        <w:spacing w:beforeAutospacing="0" w:afterAutospacing="0" w:line="560" w:lineRule="exact"/>
        <w:ind w:firstLine="480"/>
        <w:jc w:val="both"/>
        <w:rPr>
          <w:rFonts w:ascii="仿宋_GB2312" w:hAnsi="??_GB2312" w:eastAsia="仿宋_GB2312" w:cs="??_GB2312"/>
          <w:sz w:val="32"/>
        </w:rPr>
      </w:pPr>
      <w:r>
        <w:rPr>
          <w:rFonts w:hint="eastAsia" w:ascii="仿宋_GB2312" w:hAnsi="宋体" w:eastAsia="仿宋_GB2312" w:cs="宋体"/>
          <w:sz w:val="32"/>
          <w:lang w:val="zh-CN"/>
        </w:rPr>
        <w:t>截止</w:t>
      </w:r>
      <w:r>
        <w:rPr>
          <w:rFonts w:ascii="仿宋_GB2312" w:hAnsi="??_GB2312" w:eastAsia="仿宋_GB2312" w:cs="??_GB2312"/>
          <w:sz w:val="32"/>
          <w:lang w:val="zh-CN"/>
        </w:rPr>
        <w:t>202</w:t>
      </w:r>
      <w:r>
        <w:rPr>
          <w:rFonts w:hint="eastAsia" w:ascii="仿宋_GB2312" w:hAnsi="??_GB2312" w:eastAsia="仿宋_GB2312" w:cs="??_GB2312"/>
          <w:sz w:val="32"/>
        </w:rPr>
        <w:t>3</w:t>
      </w:r>
      <w:r>
        <w:rPr>
          <w:rFonts w:hint="eastAsia" w:ascii="仿宋_GB2312" w:hAnsi="宋体" w:eastAsia="仿宋_GB2312" w:cs="宋体"/>
          <w:sz w:val="32"/>
          <w:lang w:val="zh-CN"/>
        </w:rPr>
        <w:t>年</w:t>
      </w:r>
      <w:r>
        <w:rPr>
          <w:rFonts w:ascii="仿宋_GB2312" w:hAnsi="??_GB2312" w:eastAsia="仿宋_GB2312" w:cs="??_GB2312"/>
          <w:sz w:val="32"/>
          <w:lang w:val="zh-CN"/>
        </w:rPr>
        <w:t>12</w:t>
      </w:r>
      <w:r>
        <w:rPr>
          <w:rFonts w:hint="eastAsia" w:ascii="仿宋_GB2312" w:hAnsi="宋体" w:eastAsia="仿宋_GB2312" w:cs="宋体"/>
          <w:sz w:val="32"/>
          <w:lang w:val="zh-CN"/>
        </w:rPr>
        <w:t>月</w:t>
      </w:r>
      <w:r>
        <w:rPr>
          <w:rFonts w:ascii="仿宋_GB2312" w:hAnsi="??_GB2312" w:eastAsia="仿宋_GB2312" w:cs="??_GB2312"/>
          <w:sz w:val="32"/>
          <w:lang w:val="zh-CN"/>
        </w:rPr>
        <w:t>31</w:t>
      </w:r>
      <w:r>
        <w:rPr>
          <w:rFonts w:hint="eastAsia" w:ascii="仿宋_GB2312" w:hAnsi="宋体" w:eastAsia="仿宋_GB2312" w:cs="宋体"/>
          <w:sz w:val="32"/>
          <w:lang w:val="zh-CN"/>
        </w:rPr>
        <w:t>日，</w:t>
      </w:r>
      <w:r>
        <w:rPr>
          <w:rFonts w:hint="eastAsia" w:ascii="仿宋_GB2312" w:hAnsi="宋体" w:eastAsia="仿宋_GB2312" w:cs="宋体"/>
          <w:sz w:val="32"/>
        </w:rPr>
        <w:t>民警</w:t>
      </w:r>
      <w:r>
        <w:rPr>
          <w:rFonts w:hint="eastAsia" w:ascii="仿宋_GB2312" w:hAnsi="仿宋" w:eastAsia="仿宋_GB2312" w:cs="楷体_GB2312"/>
          <w:sz w:val="32"/>
        </w:rPr>
        <w:t>法定节假日之外加班补贴</w:t>
      </w:r>
      <w:r>
        <w:rPr>
          <w:rFonts w:hint="eastAsia" w:ascii="仿宋_GB2312" w:hAnsi="宋体" w:eastAsia="仿宋_GB2312" w:cs="宋体"/>
          <w:sz w:val="32"/>
          <w:lang w:val="zh-CN"/>
        </w:rPr>
        <w:t>按</w:t>
      </w:r>
      <w:r>
        <w:rPr>
          <w:rFonts w:hint="eastAsia" w:ascii="仿宋_GB2312" w:hAnsi="??_GB2312" w:eastAsia="仿宋_GB2312" w:cs="??_GB2312"/>
          <w:sz w:val="32"/>
        </w:rPr>
        <w:t>4.5万</w:t>
      </w:r>
      <w:r>
        <w:rPr>
          <w:rFonts w:hint="eastAsia" w:ascii="仿宋_GB2312" w:hAnsi="宋体" w:eastAsia="仿宋_GB2312" w:cs="宋体"/>
          <w:sz w:val="32"/>
        </w:rPr>
        <w:t>元</w:t>
      </w:r>
      <w:r>
        <w:rPr>
          <w:rFonts w:ascii="仿宋_GB2312" w:hAnsi="??_GB2312" w:eastAsia="仿宋_GB2312" w:cs="??_GB2312"/>
          <w:sz w:val="32"/>
        </w:rPr>
        <w:t>/</w:t>
      </w:r>
      <w:r>
        <w:rPr>
          <w:rFonts w:hint="eastAsia" w:ascii="仿宋_GB2312" w:hAnsi="宋体" w:eastAsia="仿宋_GB2312" w:cs="宋体"/>
          <w:sz w:val="32"/>
        </w:rPr>
        <w:t>人</w:t>
      </w:r>
      <w:r>
        <w:rPr>
          <w:rFonts w:ascii="仿宋_GB2312" w:hAnsi="??_GB2312" w:eastAsia="仿宋_GB2312" w:cs="??_GB2312"/>
          <w:sz w:val="32"/>
        </w:rPr>
        <w:t>/</w:t>
      </w:r>
      <w:r>
        <w:rPr>
          <w:rFonts w:hint="eastAsia" w:ascii="仿宋_GB2312" w:hAnsi="宋体" w:eastAsia="仿宋_GB2312" w:cs="宋体"/>
          <w:sz w:val="32"/>
        </w:rPr>
        <w:t>年标准保障充分保障</w:t>
      </w:r>
      <w:r>
        <w:rPr>
          <w:rFonts w:hint="eastAsia" w:ascii="仿宋_GB2312" w:hAnsi="??_GB2312" w:eastAsia="仿宋_GB2312" w:cs="??_GB2312"/>
          <w:sz w:val="32"/>
        </w:rPr>
        <w:t>15</w:t>
      </w:r>
      <w:r>
        <w:rPr>
          <w:rFonts w:hint="eastAsia" w:ascii="仿宋_GB2312" w:hAnsi="宋体" w:eastAsia="仿宋_GB2312" w:cs="宋体"/>
          <w:sz w:val="32"/>
        </w:rPr>
        <w:t>名辅警人员工资及医保、社保、公积金缴费；教育培训费、服装费、个人装备费、日常办公及生活费用、差旅费、特殊人员奖励补助费等正常发放。各</w:t>
      </w:r>
      <w:r>
        <w:rPr>
          <w:rFonts w:hint="eastAsia" w:ascii="仿宋_GB2312" w:hAnsi="宋体" w:eastAsia="仿宋_GB2312" w:cs="宋体"/>
          <w:sz w:val="32"/>
          <w:lang w:val="zh-CN"/>
        </w:rPr>
        <w:t>警种部门辅警协助民警完成各类执法活动，确保辖区社会治安平稳。</w:t>
      </w:r>
      <w:r>
        <w:rPr>
          <w:rFonts w:hint="eastAsia" w:ascii="仿宋_GB2312" w:hAnsi="宋体" w:eastAsia="仿宋_GB2312" w:cs="宋体"/>
          <w:sz w:val="32"/>
          <w:shd w:val="clear" w:color="auto" w:fill="FFFFFF"/>
        </w:rPr>
        <w:t>综上所述，该项目绩效自评得分</w:t>
      </w:r>
      <w:r>
        <w:rPr>
          <w:rFonts w:ascii="仿宋_GB2312" w:hAnsi="??_GB2312" w:eastAsia="仿宋_GB2312" w:cs="??_GB2312"/>
          <w:sz w:val="32"/>
          <w:shd w:val="clear" w:color="auto" w:fill="FFFFFF"/>
        </w:rPr>
        <w:t>100</w:t>
      </w:r>
      <w:r>
        <w:rPr>
          <w:rFonts w:hint="eastAsia" w:ascii="仿宋_GB2312" w:hAnsi="宋体" w:eastAsia="仿宋_GB2312" w:cs="宋体"/>
          <w:sz w:val="32"/>
          <w:shd w:val="clear" w:color="auto" w:fill="FFFFFF"/>
        </w:rPr>
        <w:t>分，评价结果为</w:t>
      </w:r>
      <w:r>
        <w:rPr>
          <w:rFonts w:hint="eastAsia" w:ascii="仿宋_GB2312" w:hAnsi="??_GB2312" w:eastAsia="仿宋_GB2312" w:cs="??_GB2312"/>
          <w:sz w:val="32"/>
          <w:shd w:val="clear" w:color="auto" w:fill="FFFFFF"/>
        </w:rPr>
        <w:t>“</w:t>
      </w:r>
      <w:r>
        <w:rPr>
          <w:rFonts w:hint="eastAsia" w:ascii="仿宋_GB2312" w:hAnsi="宋体" w:eastAsia="仿宋_GB2312" w:cs="宋体"/>
          <w:sz w:val="32"/>
          <w:shd w:val="clear" w:color="auto" w:fill="FFFFFF"/>
        </w:rPr>
        <w:t>优</w:t>
      </w:r>
      <w:r>
        <w:rPr>
          <w:rFonts w:hint="eastAsia" w:ascii="仿宋_GB2312" w:hAnsi="??_GB2312" w:eastAsia="仿宋_GB2312" w:cs="??_GB2312"/>
          <w:sz w:val="32"/>
          <w:shd w:val="clear" w:color="auto" w:fill="FFFFFF"/>
        </w:rPr>
        <w:t>”</w:t>
      </w:r>
      <w:r>
        <w:rPr>
          <w:rFonts w:hint="eastAsia" w:ascii="仿宋_GB2312" w:hAnsi="宋体" w:eastAsia="仿宋_GB2312" w:cs="宋体"/>
          <w:sz w:val="32"/>
          <w:shd w:val="clear" w:color="auto" w:fill="FFFFFF"/>
        </w:rPr>
        <w:t>。</w:t>
      </w:r>
    </w:p>
    <w:p w14:paraId="31F835F1">
      <w:pPr>
        <w:adjustRightInd w:val="0"/>
        <w:snapToGrid w:val="0"/>
        <w:spacing w:line="580" w:lineRule="exact"/>
        <w:ind w:firstLine="720"/>
        <w:outlineLvl w:val="1"/>
        <w:rPr>
          <w:rFonts w:ascii="黑体" w:hAnsi="黑体" w:eastAsia="黑体" w:cs="黑体"/>
          <w:bCs/>
          <w:sz w:val="32"/>
          <w:szCs w:val="32"/>
        </w:rPr>
      </w:pPr>
      <w:bookmarkStart w:id="209" w:name="_Toc3680"/>
      <w:r>
        <w:rPr>
          <w:rFonts w:hint="eastAsia" w:ascii="黑体" w:hAnsi="黑体" w:eastAsia="黑体" w:cs="黑体"/>
          <w:bCs/>
          <w:sz w:val="32"/>
          <w:szCs w:val="32"/>
        </w:rPr>
        <w:t>五、存在主要问题</w:t>
      </w:r>
      <w:bookmarkEnd w:id="209"/>
    </w:p>
    <w:p w14:paraId="3EF99205">
      <w:pPr>
        <w:pStyle w:val="15"/>
        <w:shd w:val="clear" w:color="auto" w:fill="FFFFFF"/>
        <w:spacing w:beforeAutospacing="0" w:afterAutospacing="0" w:line="560" w:lineRule="exact"/>
        <w:ind w:firstLine="480"/>
        <w:jc w:val="both"/>
        <w:rPr>
          <w:rFonts w:ascii="仿宋_GB2312" w:hAnsi="仿宋" w:eastAsia="仿宋_GB2312" w:cs="Helvetica"/>
          <w:sz w:val="32"/>
        </w:rPr>
      </w:pPr>
      <w:r>
        <w:rPr>
          <w:rFonts w:hint="eastAsia" w:ascii="仿宋_GB2312" w:hAnsi="仿宋" w:eastAsia="仿宋_GB2312" w:cs="Helvetica"/>
          <w:sz w:val="32"/>
        </w:rPr>
        <w:t>辅警工资福利待遇低，不能安心工作，辅警流失严重，导致工作效率低。</w:t>
      </w:r>
    </w:p>
    <w:p w14:paraId="64521958">
      <w:pPr>
        <w:adjustRightInd w:val="0"/>
        <w:snapToGrid w:val="0"/>
        <w:spacing w:line="580" w:lineRule="exact"/>
        <w:ind w:firstLine="720"/>
        <w:outlineLvl w:val="1"/>
        <w:rPr>
          <w:rFonts w:ascii="黑体" w:hAnsi="黑体" w:eastAsia="黑体" w:cs="黑体"/>
          <w:bCs/>
          <w:sz w:val="32"/>
          <w:szCs w:val="32"/>
        </w:rPr>
      </w:pPr>
      <w:bookmarkStart w:id="210" w:name="_Toc13352"/>
      <w:r>
        <w:rPr>
          <w:rFonts w:hint="eastAsia" w:ascii="黑体" w:hAnsi="黑体" w:eastAsia="黑体" w:cs="黑体"/>
          <w:bCs/>
          <w:sz w:val="32"/>
          <w:szCs w:val="32"/>
        </w:rPr>
        <w:t>六、改进建议</w:t>
      </w:r>
      <w:bookmarkEnd w:id="210"/>
    </w:p>
    <w:p w14:paraId="6AA09021">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提高辅警保障，激发工作活力，创造性地主动开展工作，提升工作效率。</w:t>
      </w:r>
    </w:p>
    <w:p w14:paraId="62A98EC9">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广元市公安局宝珠寺分局</w:t>
      </w:r>
    </w:p>
    <w:p w14:paraId="0AE1E3A4">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民警法定工作日之外加班补贴项目绩效</w:t>
      </w:r>
    </w:p>
    <w:p w14:paraId="35C576AF">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评价报告</w:t>
      </w:r>
    </w:p>
    <w:p w14:paraId="6FC9C3C0">
      <w:pPr>
        <w:pStyle w:val="28"/>
        <w:spacing w:line="578" w:lineRule="exact"/>
        <w:ind w:firstLine="640"/>
        <w:jc w:val="center"/>
        <w:rPr>
          <w:rFonts w:ascii="宋体" w:hAnsi="宋体"/>
          <w:color w:val="auto"/>
          <w:kern w:val="2"/>
          <w:sz w:val="32"/>
          <w:szCs w:val="32"/>
          <w:lang w:val="en-US"/>
        </w:rPr>
      </w:pPr>
    </w:p>
    <w:p w14:paraId="04ED9113">
      <w:pPr>
        <w:adjustRightInd w:val="0"/>
        <w:snapToGrid w:val="0"/>
        <w:spacing w:line="580" w:lineRule="exact"/>
        <w:ind w:firstLine="720"/>
        <w:outlineLvl w:val="1"/>
        <w:rPr>
          <w:rFonts w:ascii="黑体" w:hAnsi="黑体" w:eastAsia="黑体" w:cs="黑体"/>
          <w:bCs/>
          <w:sz w:val="32"/>
          <w:szCs w:val="32"/>
        </w:rPr>
      </w:pPr>
      <w:bookmarkStart w:id="211" w:name="_Toc29180"/>
      <w:r>
        <w:rPr>
          <w:rFonts w:hint="eastAsia" w:ascii="黑体" w:hAnsi="黑体" w:eastAsia="黑体" w:cs="黑体"/>
          <w:bCs/>
          <w:sz w:val="32"/>
          <w:szCs w:val="32"/>
        </w:rPr>
        <w:t>一、项目概况</w:t>
      </w:r>
      <w:bookmarkEnd w:id="211"/>
    </w:p>
    <w:p w14:paraId="5B7A6228">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（一）设立背景及基本情况。</w:t>
      </w:r>
    </w:p>
    <w:p w14:paraId="0DAE205F">
      <w:pPr>
        <w:adjustRightInd w:val="0"/>
        <w:snapToGrid w:val="0"/>
        <w:spacing w:line="578" w:lineRule="exact"/>
        <w:ind w:firstLine="640" w:firstLineChars="200"/>
        <w:rPr>
          <w:rFonts w:hint="eastAsia" w:ascii="仿宋_GB2312" w:hAnsi="Nimbus Roman No9 L" w:eastAsia="仿宋_GB2312" w:cs="Arial"/>
          <w:sz w:val="32"/>
          <w:szCs w:val="32"/>
        </w:rPr>
      </w:pPr>
      <w:r>
        <w:rPr>
          <w:rFonts w:ascii="仿宋_GB2312" w:hAnsi="Nimbus Roman No9 L" w:eastAsia="仿宋_GB2312" w:cs="Arial"/>
          <w:sz w:val="32"/>
          <w:szCs w:val="32"/>
        </w:rPr>
        <w:t>1</w:t>
      </w:r>
      <w:r>
        <w:rPr>
          <w:rFonts w:hint="eastAsia" w:ascii="仿宋_GB2312" w:hAnsi="Nimbus Roman No9 L" w:eastAsia="仿宋_GB2312" w:cs="Arial"/>
          <w:sz w:val="32"/>
          <w:szCs w:val="32"/>
        </w:rPr>
        <w:t>．根据民警法定节假日加班情况，发放法定节假日加班补贴。确保人民警察法定工作日之外加班不能补休的民警给予补助。</w:t>
      </w:r>
    </w:p>
    <w:p w14:paraId="2C566675">
      <w:pPr>
        <w:adjustRightInd w:val="0"/>
        <w:snapToGrid w:val="0"/>
        <w:spacing w:line="578" w:lineRule="exact"/>
        <w:ind w:firstLine="640" w:firstLineChars="200"/>
        <w:rPr>
          <w:rFonts w:hint="eastAsia" w:ascii="仿宋_GB2312" w:hAnsi="Nimbus Roman No9 L" w:eastAsia="仿宋_GB2312" w:cs="Arial"/>
          <w:sz w:val="32"/>
          <w:szCs w:val="32"/>
        </w:rPr>
      </w:pPr>
      <w:r>
        <w:rPr>
          <w:rFonts w:ascii="仿宋_GB2312" w:hAnsi="Nimbus Roman No9 L" w:eastAsia="仿宋_GB2312" w:cs="Arial"/>
          <w:sz w:val="32"/>
          <w:szCs w:val="32"/>
        </w:rPr>
        <w:t>2</w:t>
      </w:r>
      <w:r>
        <w:rPr>
          <w:rFonts w:hint="eastAsia" w:ascii="仿宋_GB2312" w:hAnsi="Nimbus Roman No9 L" w:eastAsia="仿宋_GB2312" w:cs="Arial"/>
          <w:sz w:val="32"/>
          <w:szCs w:val="32"/>
        </w:rPr>
        <w:t>．项目立项、资金申报的依据。</w:t>
      </w:r>
    </w:p>
    <w:p w14:paraId="4CC33136">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根据《人力资源社会保障部财政部关于执行人民警察法定工作日之外加班补贴有关问题的通知》（人社部规﹝</w:t>
      </w:r>
      <w:r>
        <w:rPr>
          <w:rFonts w:ascii="仿宋_GB2312" w:hAnsi="Nimbus Roman No9 L" w:eastAsia="仿宋_GB2312" w:cs="Arial"/>
          <w:sz w:val="32"/>
          <w:szCs w:val="32"/>
        </w:rPr>
        <w:t>2017</w:t>
      </w:r>
      <w:r>
        <w:rPr>
          <w:rFonts w:hint="eastAsia" w:ascii="仿宋_GB2312" w:hAnsi="Nimbus Roman No9 L" w:eastAsia="仿宋_GB2312" w:cs="Arial"/>
          <w:sz w:val="32"/>
          <w:szCs w:val="32"/>
        </w:rPr>
        <w:t>﹞</w:t>
      </w:r>
      <w:r>
        <w:rPr>
          <w:rFonts w:ascii="仿宋_GB2312" w:hAnsi="Nimbus Roman No9 L" w:eastAsia="仿宋_GB2312" w:cs="Arial"/>
          <w:sz w:val="32"/>
          <w:szCs w:val="32"/>
        </w:rPr>
        <w:t>9</w:t>
      </w:r>
      <w:r>
        <w:rPr>
          <w:rFonts w:hint="eastAsia" w:ascii="仿宋_GB2312" w:hAnsi="Nimbus Roman No9 L" w:eastAsia="仿宋_GB2312" w:cs="Arial"/>
          <w:sz w:val="32"/>
          <w:szCs w:val="32"/>
        </w:rPr>
        <w:t>号文件）精神要求对人民警察法定工作日之外加班不能补休的民警给予补助。</w:t>
      </w:r>
    </w:p>
    <w:p w14:paraId="5FF72A20">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r>
        <w:rPr>
          <w:rFonts w:hint="eastAsia" w:ascii="楷体_GB2312" w:hAnsi="宋体" w:eastAsia="楷体_GB2312"/>
          <w:b/>
          <w:sz w:val="32"/>
          <w:szCs w:val="32"/>
          <w:lang w:val="zh-CN"/>
        </w:rPr>
        <w:t>。</w:t>
      </w:r>
    </w:p>
    <w:p w14:paraId="1652AC9F">
      <w:pPr>
        <w:pStyle w:val="15"/>
        <w:shd w:val="clear" w:color="auto" w:fill="FFFFFF"/>
        <w:spacing w:beforeAutospacing="0" w:afterAutospacing="0" w:line="560" w:lineRule="exact"/>
        <w:ind w:firstLine="640" w:firstLineChars="200"/>
        <w:jc w:val="both"/>
        <w:rPr>
          <w:rFonts w:ascii="仿宋_GB2312" w:hAnsi="宋体" w:eastAsia="仿宋_GB2312" w:cs="宋体"/>
          <w:sz w:val="32"/>
        </w:rPr>
      </w:pPr>
      <w:r>
        <w:rPr>
          <w:rFonts w:hint="eastAsia" w:ascii="仿宋_GB2312" w:hAnsi="宋体" w:eastAsia="仿宋_GB2312" w:cs="宋体"/>
          <w:sz w:val="32"/>
        </w:rPr>
        <w:t>实施目的：</w:t>
      </w:r>
    </w:p>
    <w:p w14:paraId="157EBB82">
      <w:pPr>
        <w:pStyle w:val="15"/>
        <w:shd w:val="clear" w:color="auto" w:fill="FFFFFF"/>
        <w:spacing w:beforeAutospacing="0" w:afterAutospacing="0" w:line="560" w:lineRule="exact"/>
        <w:ind w:firstLine="640" w:firstLineChars="200"/>
        <w:jc w:val="both"/>
        <w:rPr>
          <w:rFonts w:ascii="仿宋_GB2312" w:hAnsi="宋体" w:eastAsia="仿宋_GB2312" w:cs="宋体"/>
          <w:sz w:val="32"/>
        </w:rPr>
      </w:pPr>
      <w:r>
        <w:rPr>
          <w:rFonts w:hint="eastAsia" w:ascii="仿宋_GB2312" w:hAnsi="宋体" w:eastAsia="仿宋_GB2312" w:cs="宋体"/>
          <w:sz w:val="32"/>
        </w:rPr>
        <w:t>1.提高项目成功率：通过对项目绩效的评估和监控，及时发现问题并采取措施加以解决，确保项目按照预定的目标和计划顺利推进，从而推动项目成功实施。</w:t>
      </w:r>
    </w:p>
    <w:p w14:paraId="70D274A9">
      <w:pPr>
        <w:pStyle w:val="15"/>
        <w:shd w:val="clear" w:color="auto" w:fill="FFFFFF"/>
        <w:spacing w:beforeAutospacing="0" w:afterAutospacing="0" w:line="560" w:lineRule="exact"/>
        <w:ind w:firstLine="640" w:firstLineChars="200"/>
        <w:jc w:val="both"/>
        <w:rPr>
          <w:rFonts w:ascii="仿宋_GB2312" w:hAnsi="宋体" w:eastAsia="仿宋_GB2312" w:cs="宋体"/>
          <w:sz w:val="32"/>
        </w:rPr>
      </w:pPr>
      <w:r>
        <w:rPr>
          <w:rFonts w:hint="eastAsia" w:ascii="仿宋_GB2312" w:hAnsi="宋体" w:eastAsia="仿宋_GB2312" w:cs="宋体"/>
          <w:sz w:val="32"/>
        </w:rPr>
        <w:t>2.优化资源分配：基于绩效评估结果，合理分配人力、物力、财力等资源，使资源投入与项目的重要性和产出效益相匹配，提高资源利用率。</w:t>
      </w:r>
    </w:p>
    <w:p w14:paraId="52DB3063">
      <w:pPr>
        <w:pStyle w:val="15"/>
        <w:shd w:val="clear" w:color="auto" w:fill="FFFFFF"/>
        <w:spacing w:beforeAutospacing="0" w:afterAutospacing="0" w:line="560" w:lineRule="exact"/>
        <w:ind w:firstLine="640" w:firstLineChars="200"/>
        <w:jc w:val="both"/>
        <w:rPr>
          <w:rFonts w:ascii="仿宋_GB2312" w:hAnsi="宋体" w:eastAsia="仿宋_GB2312" w:cs="宋体"/>
          <w:sz w:val="32"/>
        </w:rPr>
      </w:pPr>
      <w:r>
        <w:rPr>
          <w:rFonts w:hint="eastAsia" w:ascii="仿宋_GB2312" w:hAnsi="宋体" w:eastAsia="仿宋_GB2312" w:cs="宋体"/>
          <w:sz w:val="32"/>
        </w:rPr>
        <w:t>3.促进持续改进：对项目绩效的分析和总结可以为未来的项目提供经验教训，不断完善项目管理流程和方法，提升项目管理能力。</w:t>
      </w:r>
    </w:p>
    <w:p w14:paraId="6940A7DA">
      <w:pPr>
        <w:pStyle w:val="15"/>
        <w:shd w:val="clear" w:color="auto" w:fill="FFFFFF"/>
        <w:spacing w:beforeAutospacing="0" w:afterAutospacing="0" w:line="560" w:lineRule="exact"/>
        <w:ind w:firstLine="640" w:firstLineChars="200"/>
        <w:jc w:val="both"/>
        <w:rPr>
          <w:rFonts w:ascii="仿宋_GB2312" w:hAnsi="宋体" w:eastAsia="仿宋_GB2312" w:cs="宋体"/>
          <w:sz w:val="32"/>
        </w:rPr>
      </w:pPr>
      <w:r>
        <w:rPr>
          <w:rFonts w:hint="eastAsia" w:ascii="仿宋_GB2312" w:hAnsi="宋体" w:eastAsia="仿宋_GB2312" w:cs="宋体"/>
          <w:sz w:val="32"/>
        </w:rPr>
        <w:t>支持方向：</w:t>
      </w:r>
    </w:p>
    <w:p w14:paraId="22014125">
      <w:pPr>
        <w:pStyle w:val="15"/>
        <w:shd w:val="clear" w:color="auto" w:fill="FFFFFF"/>
        <w:spacing w:beforeAutospacing="0" w:afterAutospacing="0" w:line="560" w:lineRule="exact"/>
        <w:ind w:firstLine="640" w:firstLineChars="200"/>
        <w:jc w:val="both"/>
        <w:rPr>
          <w:rFonts w:ascii="仿宋_GB2312" w:hAnsi="宋体" w:eastAsia="仿宋_GB2312" w:cs="宋体"/>
          <w:sz w:val="32"/>
        </w:rPr>
      </w:pPr>
      <w:r>
        <w:rPr>
          <w:rFonts w:hint="eastAsia" w:ascii="仿宋_GB2312" w:hAnsi="宋体" w:eastAsia="仿宋_GB2312" w:cs="宋体"/>
          <w:sz w:val="32"/>
        </w:rPr>
        <w:t>1.目标明确：确保项目目标清晰、具体、可衡量，使绩效评估有明确的依据。</w:t>
      </w:r>
    </w:p>
    <w:p w14:paraId="347B60DD">
      <w:pPr>
        <w:pStyle w:val="15"/>
        <w:shd w:val="clear" w:color="auto" w:fill="FFFFFF"/>
        <w:spacing w:beforeAutospacing="0" w:afterAutospacing="0" w:line="560" w:lineRule="exact"/>
        <w:ind w:firstLine="640" w:firstLineChars="200"/>
        <w:jc w:val="both"/>
        <w:rPr>
          <w:rFonts w:ascii="仿宋_GB2312" w:hAnsi="宋体" w:eastAsia="仿宋_GB2312" w:cs="宋体"/>
          <w:sz w:val="32"/>
        </w:rPr>
      </w:pPr>
      <w:r>
        <w:rPr>
          <w:rFonts w:hint="eastAsia" w:ascii="仿宋_GB2312" w:hAnsi="宋体" w:eastAsia="仿宋_GB2312" w:cs="宋体"/>
          <w:sz w:val="32"/>
        </w:rPr>
        <w:t>2.风险管理：通过绩效评估识别项目中的风险，并制定相应的应对措施，降低风险对项目的影响。</w:t>
      </w:r>
    </w:p>
    <w:p w14:paraId="423665FE">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r>
        <w:rPr>
          <w:rFonts w:hint="eastAsia" w:ascii="楷体_GB2312" w:hAnsi="宋体" w:eastAsia="楷体_GB2312"/>
          <w:b/>
          <w:sz w:val="32"/>
          <w:szCs w:val="32"/>
          <w:lang w:val="zh-CN"/>
        </w:rPr>
        <w:t>。</w:t>
      </w:r>
    </w:p>
    <w:p w14:paraId="4486E4D3">
      <w:pPr>
        <w:pStyle w:val="15"/>
        <w:shd w:val="clear" w:color="auto" w:fill="FFFFFF"/>
        <w:spacing w:beforeAutospacing="0" w:afterAutospacing="0" w:line="560" w:lineRule="exact"/>
        <w:ind w:firstLine="480"/>
        <w:jc w:val="both"/>
        <w:rPr>
          <w:rFonts w:ascii="仿宋_GB2312" w:hAnsi="??_GB2312" w:eastAsia="仿宋_GB2312" w:cs="??_GB2312"/>
          <w:sz w:val="32"/>
          <w:lang w:val="zh-CN"/>
        </w:rPr>
      </w:pPr>
      <w:r>
        <w:rPr>
          <w:rFonts w:hint="eastAsia" w:ascii="仿宋_GB2312" w:hAnsi="宋体" w:eastAsia="仿宋_GB2312" w:cs="宋体"/>
          <w:sz w:val="32"/>
        </w:rPr>
        <w:t>民警法定工作日之外加班补助</w:t>
      </w:r>
      <w:r>
        <w:rPr>
          <w:rFonts w:hint="eastAsia" w:ascii="仿宋_GB2312" w:eastAsia="仿宋_GB2312"/>
          <w:sz w:val="32"/>
        </w:rPr>
        <w:t>资金</w:t>
      </w:r>
      <w:r>
        <w:rPr>
          <w:rFonts w:ascii="仿宋_GB2312" w:eastAsia="仿宋_GB2312"/>
          <w:sz w:val="32"/>
        </w:rPr>
        <w:t>40.</w:t>
      </w:r>
      <w:r>
        <w:rPr>
          <w:rFonts w:hint="eastAsia" w:ascii="仿宋_GB2312" w:eastAsia="仿宋_GB2312"/>
          <w:sz w:val="32"/>
        </w:rPr>
        <w:t>044万元，是常年项目，</w:t>
      </w:r>
      <w:r>
        <w:rPr>
          <w:rFonts w:hint="eastAsia" w:ascii="仿宋_GB2312" w:hAnsi="宋体" w:eastAsia="仿宋_GB2312" w:cs="宋体"/>
          <w:sz w:val="32"/>
          <w:lang w:val="zh-CN"/>
        </w:rPr>
        <w:t>该项目按</w:t>
      </w:r>
      <w:r>
        <w:rPr>
          <w:rFonts w:ascii="仿宋_GB2312" w:hAnsi="??_GB2312" w:eastAsia="仿宋_GB2312" w:cs="??_GB2312"/>
          <w:sz w:val="32"/>
        </w:rPr>
        <w:t>710</w:t>
      </w:r>
      <w:r>
        <w:rPr>
          <w:rFonts w:hint="eastAsia" w:ascii="仿宋_GB2312" w:hAnsi="宋体" w:eastAsia="仿宋_GB2312" w:cs="宋体"/>
          <w:sz w:val="32"/>
        </w:rPr>
        <w:t>元</w:t>
      </w:r>
      <w:r>
        <w:rPr>
          <w:rFonts w:ascii="仿宋_GB2312" w:hAnsi="??_GB2312" w:eastAsia="仿宋_GB2312" w:cs="??_GB2312"/>
          <w:sz w:val="32"/>
        </w:rPr>
        <w:t>/</w:t>
      </w:r>
      <w:r>
        <w:rPr>
          <w:rFonts w:hint="eastAsia" w:ascii="仿宋_GB2312" w:hAnsi="宋体" w:eastAsia="仿宋_GB2312" w:cs="宋体"/>
          <w:sz w:val="32"/>
        </w:rPr>
        <w:t>人</w:t>
      </w:r>
      <w:r>
        <w:rPr>
          <w:rFonts w:ascii="仿宋_GB2312" w:hAnsi="??_GB2312" w:eastAsia="仿宋_GB2312" w:cs="??_GB2312"/>
          <w:sz w:val="32"/>
        </w:rPr>
        <w:t>/</w:t>
      </w:r>
      <w:r>
        <w:rPr>
          <w:rFonts w:hint="eastAsia" w:ascii="仿宋_GB2312" w:hAnsi="宋体" w:eastAsia="仿宋_GB2312" w:cs="宋体"/>
          <w:sz w:val="32"/>
        </w:rPr>
        <w:t>月标准，保障</w:t>
      </w:r>
      <w:r>
        <w:rPr>
          <w:rFonts w:ascii="仿宋_GB2312" w:hAnsi="??_GB2312" w:eastAsia="仿宋_GB2312" w:cs="??_GB2312"/>
          <w:sz w:val="32"/>
        </w:rPr>
        <w:t>47</w:t>
      </w:r>
      <w:r>
        <w:rPr>
          <w:rFonts w:hint="eastAsia" w:ascii="仿宋_GB2312" w:hAnsi="宋体" w:eastAsia="仿宋_GB2312" w:cs="宋体"/>
          <w:sz w:val="32"/>
        </w:rPr>
        <w:t>名民警</w:t>
      </w:r>
      <w:r>
        <w:rPr>
          <w:rFonts w:hint="eastAsia" w:ascii="仿宋_GB2312" w:hAnsi="仿宋" w:eastAsia="仿宋_GB2312" w:cs="楷体_GB2312"/>
          <w:sz w:val="32"/>
        </w:rPr>
        <w:t>法定节假日之外加班补贴</w:t>
      </w:r>
      <w:r>
        <w:rPr>
          <w:rFonts w:hint="eastAsia" w:ascii="仿宋_GB2312" w:hAnsi="宋体" w:eastAsia="仿宋_GB2312" w:cs="宋体"/>
          <w:sz w:val="32"/>
        </w:rPr>
        <w:t>，并按月</w:t>
      </w:r>
      <w:r>
        <w:rPr>
          <w:rFonts w:hint="eastAsia" w:ascii="仿宋_GB2312" w:hAnsi="宋体" w:eastAsia="仿宋_GB2312" w:cs="宋体"/>
          <w:sz w:val="32"/>
          <w:lang w:val="zh-CN"/>
        </w:rPr>
        <w:t>发放到民警。</w:t>
      </w:r>
    </w:p>
    <w:p w14:paraId="4AE49BB8">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（四）项目绩效目标设置。</w:t>
      </w:r>
    </w:p>
    <w:p w14:paraId="28B96338">
      <w:pPr>
        <w:adjustRightInd w:val="0"/>
        <w:snapToGrid w:val="0"/>
        <w:spacing w:line="578" w:lineRule="exact"/>
        <w:ind w:firstLine="640" w:firstLineChars="200"/>
        <w:rPr>
          <w:rFonts w:ascii="仿宋_GB2312" w:hAnsi="仿宋_GB2312" w:cs="仿宋_GB2312"/>
          <w:kern w:val="0"/>
          <w:shd w:val="clear" w:color="auto" w:fill="FFFFFF"/>
          <w:lang w:val="zh-CN"/>
        </w:rPr>
      </w:pPr>
      <w:r>
        <w:rPr>
          <w:rFonts w:hint="eastAsia" w:ascii="仿宋_GB2312" w:hAnsi="Nimbus Roman No9 L" w:eastAsia="仿宋_GB2312" w:cs="Arial"/>
          <w:sz w:val="32"/>
          <w:szCs w:val="32"/>
        </w:rPr>
        <w:t>绩效目标设置包括数量</w:t>
      </w:r>
      <w:r>
        <w:rPr>
          <w:rFonts w:ascii="仿宋_GB2312" w:hAnsi="Nimbus Roman No9 L" w:eastAsia="仿宋_GB2312" w:cs="Arial"/>
          <w:sz w:val="32"/>
          <w:szCs w:val="32"/>
        </w:rPr>
        <w:t>指标</w:t>
      </w:r>
      <w:r>
        <w:rPr>
          <w:rFonts w:hint="eastAsia" w:ascii="仿宋_GB2312" w:hAnsi="Nimbus Roman No9 L" w:eastAsia="仿宋_GB2312" w:cs="Arial"/>
          <w:sz w:val="32"/>
          <w:szCs w:val="32"/>
        </w:rPr>
        <w:t>、质量指标、社会效益指标、满意度指标、成本指标。</w:t>
      </w:r>
    </w:p>
    <w:p w14:paraId="491F9E67">
      <w:pPr>
        <w:adjustRightInd w:val="0"/>
        <w:snapToGrid w:val="0"/>
        <w:spacing w:line="580" w:lineRule="exact"/>
        <w:ind w:firstLine="720"/>
        <w:outlineLvl w:val="1"/>
        <w:rPr>
          <w:rFonts w:ascii="黑体" w:hAnsi="黑体" w:eastAsia="黑体" w:cs="黑体"/>
          <w:bCs/>
          <w:sz w:val="32"/>
          <w:szCs w:val="32"/>
        </w:rPr>
      </w:pPr>
      <w:bookmarkStart w:id="212" w:name="_Toc24621"/>
      <w:r>
        <w:rPr>
          <w:rFonts w:hint="eastAsia" w:ascii="黑体" w:hAnsi="黑体" w:eastAsia="黑体" w:cs="黑体"/>
          <w:bCs/>
          <w:sz w:val="32"/>
          <w:szCs w:val="32"/>
        </w:rPr>
        <w:t>二、评价实施</w:t>
      </w:r>
      <w:bookmarkEnd w:id="212"/>
    </w:p>
    <w:p w14:paraId="51173A59">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（一）评价目的。</w:t>
      </w:r>
    </w:p>
    <w:p w14:paraId="5C8C2CA7">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通过绩效自评可以确定项目是否达到预定的目标和预期的成果，从而提高决策质量和项目管理的水平和能力。合理分配资源，增加项目透明度。</w:t>
      </w:r>
    </w:p>
    <w:p w14:paraId="2861CFA8">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 xml:space="preserve">（二）预设问题及评价重点。 </w:t>
      </w:r>
    </w:p>
    <w:p w14:paraId="7DBEF663">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1、项目是否在预算范围内完成？</w:t>
      </w:r>
    </w:p>
    <w:p w14:paraId="5207BDD4">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项目是在预算范围内完成的，有效控制了成本，提升了资源分配的合理性和预算管理的严格性。</w:t>
      </w:r>
    </w:p>
    <w:p w14:paraId="7E1B95F0">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2项目是否达到预期效果？</w:t>
      </w:r>
    </w:p>
    <w:p w14:paraId="29424C4A">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项目达到预期效果，有效保障了该项目的顺利推进。</w:t>
      </w:r>
    </w:p>
    <w:p w14:paraId="67A60650">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（三）评价选点。</w:t>
      </w:r>
    </w:p>
    <w:p w14:paraId="5B7BCFFA">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项目绩效自评所抽样点位情况良好（保障标准和保障时效），达到预期目的。</w:t>
      </w:r>
    </w:p>
    <w:p w14:paraId="5445552B">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（四）评价方法。</w:t>
      </w:r>
    </w:p>
    <w:p w14:paraId="36C8F933">
      <w:pPr>
        <w:adjustRightInd w:val="0"/>
        <w:snapToGrid w:val="0"/>
        <w:spacing w:line="578" w:lineRule="exact"/>
        <w:ind w:firstLine="640" w:firstLineChars="200"/>
        <w:rPr>
          <w:rFonts w:hint="eastAsia" w:ascii="仿宋_GB2312" w:hAnsi="Nimbus Roman No9 L" w:eastAsia="仿宋_GB2312" w:cs="Arial"/>
          <w:sz w:val="32"/>
          <w:szCs w:val="32"/>
        </w:rPr>
      </w:pPr>
      <w:r>
        <w:rPr>
          <w:rFonts w:ascii="仿宋_GB2312" w:hAnsi="Nimbus Roman No9 L" w:eastAsia="仿宋_GB2312" w:cs="Arial"/>
          <w:sz w:val="32"/>
          <w:szCs w:val="32"/>
        </w:rPr>
        <w:t>根据项目情况和评价重点，</w:t>
      </w:r>
      <w:r>
        <w:rPr>
          <w:rFonts w:hint="eastAsia" w:ascii="仿宋_GB2312" w:hAnsi="Nimbus Roman No9 L" w:eastAsia="仿宋_GB2312" w:cs="Arial"/>
          <w:sz w:val="32"/>
          <w:szCs w:val="32"/>
        </w:rPr>
        <w:t>我单位采取</w:t>
      </w:r>
      <w:r>
        <w:rPr>
          <w:rFonts w:ascii="仿宋_GB2312" w:hAnsi="Nimbus Roman No9 L" w:eastAsia="仿宋_GB2312" w:cs="Arial"/>
          <w:sz w:val="32"/>
          <w:szCs w:val="32"/>
        </w:rPr>
        <w:t>单位自评法</w:t>
      </w:r>
      <w:r>
        <w:rPr>
          <w:rFonts w:hint="eastAsia" w:ascii="仿宋_GB2312" w:hAnsi="Nimbus Roman No9 L" w:eastAsia="仿宋_GB2312" w:cs="Arial"/>
          <w:sz w:val="32"/>
          <w:szCs w:val="32"/>
        </w:rPr>
        <w:t>对该项目预算绩效实事求是开展自评。</w:t>
      </w:r>
    </w:p>
    <w:p w14:paraId="1A4F8157">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（五）评价组织。</w:t>
      </w:r>
    </w:p>
    <w:p w14:paraId="157FEDF2">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该项目自评工作由指挥中心（办公室）牵头，各部门配合协助，围绕总体目标、绩效指标的完成情况及使用效益开展。</w:t>
      </w:r>
    </w:p>
    <w:p w14:paraId="7CA28191">
      <w:pPr>
        <w:adjustRightInd w:val="0"/>
        <w:snapToGrid w:val="0"/>
        <w:spacing w:line="580" w:lineRule="exact"/>
        <w:ind w:firstLine="720"/>
        <w:outlineLvl w:val="1"/>
        <w:rPr>
          <w:rFonts w:ascii="黑体" w:hAnsi="黑体" w:eastAsia="黑体" w:cs="黑体"/>
          <w:bCs/>
          <w:sz w:val="32"/>
          <w:szCs w:val="32"/>
        </w:rPr>
      </w:pPr>
      <w:bookmarkStart w:id="213" w:name="_Toc16128"/>
      <w:r>
        <w:rPr>
          <w:rFonts w:hint="eastAsia" w:ascii="黑体" w:hAnsi="黑体" w:eastAsia="黑体" w:cs="黑体"/>
          <w:bCs/>
          <w:sz w:val="32"/>
          <w:szCs w:val="32"/>
        </w:rPr>
        <w:t>三、绩效分析</w:t>
      </w:r>
      <w:bookmarkEnd w:id="213"/>
      <w:r>
        <w:rPr>
          <w:rFonts w:hint="eastAsia" w:ascii="黑体" w:hAnsi="黑体" w:eastAsia="黑体" w:cs="黑体"/>
          <w:bCs/>
          <w:sz w:val="32"/>
          <w:szCs w:val="32"/>
        </w:rPr>
        <w:tab/>
      </w:r>
    </w:p>
    <w:p w14:paraId="7A2B0FDE">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（一）通用指标</w:t>
      </w:r>
      <w:r>
        <w:rPr>
          <w:rFonts w:ascii="楷体_GB2312" w:hAnsi="宋体" w:eastAsia="楷体_GB2312"/>
          <w:b/>
          <w:sz w:val="32"/>
          <w:szCs w:val="32"/>
          <w:lang w:val="zh-CN"/>
        </w:rPr>
        <w:t>绩效分析。</w:t>
      </w:r>
    </w:p>
    <w:p w14:paraId="51E6EA77">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1.项目决策。</w:t>
      </w:r>
    </w:p>
    <w:p w14:paraId="7BBC1A54">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根据年初预算，该项目经费申报金额为40.044万元，经人大审核批准，预算批复为40.044万元。项目经费申报符合资金管理办法相关规定。截止</w:t>
      </w:r>
      <w:r>
        <w:rPr>
          <w:rFonts w:ascii="仿宋_GB2312" w:hAnsi="Nimbus Roman No9 L" w:eastAsia="仿宋_GB2312" w:cs="Arial"/>
          <w:sz w:val="32"/>
          <w:szCs w:val="32"/>
        </w:rPr>
        <w:t>202</w:t>
      </w:r>
      <w:r>
        <w:rPr>
          <w:rFonts w:hint="eastAsia" w:ascii="仿宋_GB2312" w:hAnsi="Nimbus Roman No9 L" w:eastAsia="仿宋_GB2312" w:cs="Arial"/>
          <w:sz w:val="32"/>
          <w:szCs w:val="32"/>
        </w:rPr>
        <w:t>3年</w:t>
      </w:r>
      <w:r>
        <w:rPr>
          <w:rFonts w:ascii="仿宋_GB2312" w:hAnsi="Nimbus Roman No9 L" w:eastAsia="仿宋_GB2312" w:cs="Arial"/>
          <w:sz w:val="32"/>
          <w:szCs w:val="32"/>
        </w:rPr>
        <w:t>12</w:t>
      </w:r>
      <w:r>
        <w:rPr>
          <w:rFonts w:hint="eastAsia" w:ascii="仿宋_GB2312" w:hAnsi="Nimbus Roman No9 L" w:eastAsia="仿宋_GB2312" w:cs="Arial"/>
          <w:sz w:val="32"/>
          <w:szCs w:val="32"/>
        </w:rPr>
        <w:t>月</w:t>
      </w:r>
      <w:r>
        <w:rPr>
          <w:rFonts w:ascii="仿宋_GB2312" w:hAnsi="Nimbus Roman No9 L" w:eastAsia="仿宋_GB2312" w:cs="Arial"/>
          <w:sz w:val="32"/>
          <w:szCs w:val="32"/>
        </w:rPr>
        <w:t>31</w:t>
      </w:r>
      <w:r>
        <w:rPr>
          <w:rFonts w:hint="eastAsia" w:ascii="仿宋_GB2312" w:hAnsi="Nimbus Roman No9 L" w:eastAsia="仿宋_GB2312" w:cs="Arial"/>
          <w:sz w:val="32"/>
          <w:szCs w:val="32"/>
        </w:rPr>
        <w:t>日，该项目资金实际支出</w:t>
      </w:r>
      <w:r>
        <w:rPr>
          <w:rFonts w:ascii="仿宋_GB2312" w:hAnsi="Nimbus Roman No9 L" w:eastAsia="仿宋_GB2312" w:cs="Arial"/>
          <w:sz w:val="32"/>
          <w:szCs w:val="32"/>
        </w:rPr>
        <w:t>40.</w:t>
      </w:r>
      <w:r>
        <w:rPr>
          <w:rFonts w:hint="eastAsia" w:ascii="仿宋_GB2312" w:hAnsi="Nimbus Roman No9 L" w:eastAsia="仿宋_GB2312" w:cs="Arial"/>
          <w:sz w:val="32"/>
          <w:szCs w:val="32"/>
        </w:rPr>
        <w:t>044万元，支付进度</w:t>
      </w:r>
      <w:r>
        <w:rPr>
          <w:rFonts w:ascii="仿宋_GB2312" w:hAnsi="Nimbus Roman No9 L" w:eastAsia="仿宋_GB2312" w:cs="Arial"/>
          <w:sz w:val="32"/>
          <w:szCs w:val="32"/>
        </w:rPr>
        <w:t>100%</w:t>
      </w:r>
      <w:r>
        <w:rPr>
          <w:rFonts w:hint="eastAsia" w:ascii="仿宋_GB2312" w:hAnsi="Nimbus Roman No9 L" w:eastAsia="仿宋_GB2312" w:cs="Arial"/>
          <w:sz w:val="32"/>
          <w:szCs w:val="32"/>
        </w:rPr>
        <w:t>，支付依据合规合法，资金支付与预算相符。经自评，该项得</w:t>
      </w:r>
      <w:r>
        <w:rPr>
          <w:rFonts w:ascii="仿宋_GB2312" w:hAnsi="Nimbus Roman No9 L" w:eastAsia="仿宋_GB2312" w:cs="Arial"/>
          <w:sz w:val="32"/>
          <w:szCs w:val="32"/>
        </w:rPr>
        <w:t>100</w:t>
      </w:r>
      <w:r>
        <w:rPr>
          <w:rFonts w:hint="eastAsia" w:ascii="仿宋_GB2312" w:hAnsi="Nimbus Roman No9 L" w:eastAsia="仿宋_GB2312" w:cs="Arial"/>
          <w:sz w:val="32"/>
          <w:szCs w:val="32"/>
        </w:rPr>
        <w:t>分。</w:t>
      </w:r>
    </w:p>
    <w:p w14:paraId="188C3D15">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2.项目管理。</w:t>
      </w:r>
    </w:p>
    <w:p w14:paraId="268F1A4D">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我局严格按照国库集中支付制度相关规定办理支付业务，遵循“先有预算、后有支出”、厉行节约的原则，项目经费按照财政预算金额和资金规定的使用范围列支。同时，严格按照项目预算绩效目标要求专款专用。经自评，该项得</w:t>
      </w:r>
      <w:r>
        <w:rPr>
          <w:rFonts w:ascii="仿宋_GB2312" w:hAnsi="Nimbus Roman No9 L" w:eastAsia="仿宋_GB2312" w:cs="Arial"/>
          <w:sz w:val="32"/>
          <w:szCs w:val="32"/>
        </w:rPr>
        <w:t>100</w:t>
      </w:r>
      <w:r>
        <w:rPr>
          <w:rFonts w:hint="eastAsia" w:ascii="仿宋_GB2312" w:hAnsi="Nimbus Roman No9 L" w:eastAsia="仿宋_GB2312" w:cs="Arial"/>
          <w:sz w:val="32"/>
          <w:szCs w:val="32"/>
        </w:rPr>
        <w:t>分。</w:t>
      </w:r>
    </w:p>
    <w:p w14:paraId="5AC856E2">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3.项目实施。</w:t>
      </w:r>
    </w:p>
    <w:p w14:paraId="76F563D0">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每个季度，项目绩效评价小组对该项目完成进度、项目效益与预期目标偏差等情况进行跟踪自评。本项目按计划逐月实施，并对项目实施情况进行公示，没有偏离预期目标。项目完成率</w:t>
      </w:r>
      <w:r>
        <w:rPr>
          <w:rFonts w:ascii="仿宋_GB2312" w:hAnsi="Nimbus Roman No9 L" w:eastAsia="仿宋_GB2312" w:cs="Arial"/>
          <w:sz w:val="32"/>
          <w:szCs w:val="32"/>
        </w:rPr>
        <w:t>100%</w:t>
      </w:r>
      <w:r>
        <w:rPr>
          <w:rFonts w:hint="eastAsia" w:ascii="仿宋_GB2312" w:hAnsi="Nimbus Roman No9 L" w:eastAsia="仿宋_GB2312" w:cs="Arial"/>
          <w:sz w:val="32"/>
          <w:szCs w:val="32"/>
        </w:rPr>
        <w:t>，完成情况好。经自评，该项得</w:t>
      </w:r>
      <w:r>
        <w:rPr>
          <w:rFonts w:ascii="仿宋_GB2312" w:hAnsi="Nimbus Roman No9 L" w:eastAsia="仿宋_GB2312" w:cs="Arial"/>
          <w:sz w:val="32"/>
          <w:szCs w:val="32"/>
        </w:rPr>
        <w:t>100</w:t>
      </w:r>
      <w:r>
        <w:rPr>
          <w:rFonts w:hint="eastAsia" w:ascii="仿宋_GB2312" w:hAnsi="Nimbus Roman No9 L" w:eastAsia="仿宋_GB2312" w:cs="Arial"/>
          <w:sz w:val="32"/>
          <w:szCs w:val="32"/>
        </w:rPr>
        <w:t>分。</w:t>
      </w:r>
    </w:p>
    <w:p w14:paraId="62A07F2D">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4.项目结果。</w:t>
      </w:r>
    </w:p>
    <w:p w14:paraId="1C2AC91D">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该项目绩效自评得分</w:t>
      </w:r>
      <w:r>
        <w:rPr>
          <w:rFonts w:ascii="仿宋_GB2312" w:hAnsi="Nimbus Roman No9 L" w:eastAsia="仿宋_GB2312" w:cs="Arial"/>
          <w:sz w:val="32"/>
          <w:szCs w:val="32"/>
        </w:rPr>
        <w:t>100.00</w:t>
      </w:r>
      <w:r>
        <w:rPr>
          <w:rFonts w:hint="eastAsia" w:ascii="仿宋_GB2312" w:hAnsi="Nimbus Roman No9 L" w:eastAsia="仿宋_GB2312" w:cs="Arial"/>
          <w:sz w:val="32"/>
          <w:szCs w:val="32"/>
        </w:rPr>
        <w:t>分，设置绩效目标8个，实际完成8个，具体情况如下：</w:t>
      </w:r>
    </w:p>
    <w:p w14:paraId="3DFC1EBD">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数量指标：法定节假日处警人均数，目标值25，实际完成25，权重</w:t>
      </w:r>
      <w:r>
        <w:rPr>
          <w:rFonts w:ascii="仿宋_GB2312" w:hAnsi="Nimbus Roman No9 L" w:eastAsia="仿宋_GB2312" w:cs="Arial"/>
          <w:sz w:val="32"/>
          <w:szCs w:val="32"/>
        </w:rPr>
        <w:t>1</w:t>
      </w:r>
      <w:r>
        <w:rPr>
          <w:rFonts w:hint="eastAsia" w:ascii="仿宋_GB2312" w:hAnsi="Nimbus Roman No9 L" w:eastAsia="仿宋_GB2312" w:cs="Arial"/>
          <w:sz w:val="32"/>
          <w:szCs w:val="32"/>
        </w:rPr>
        <w:t>0。</w:t>
      </w:r>
    </w:p>
    <w:p w14:paraId="0EC08594">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质量指标：处警事务完成率，目标值</w:t>
      </w:r>
      <w:r>
        <w:rPr>
          <w:rFonts w:ascii="仿宋_GB2312" w:hAnsi="Nimbus Roman No9 L" w:eastAsia="仿宋_GB2312" w:cs="Arial"/>
          <w:sz w:val="32"/>
          <w:szCs w:val="32"/>
        </w:rPr>
        <w:t>100</w:t>
      </w:r>
      <w:r>
        <w:rPr>
          <w:rFonts w:hint="eastAsia" w:ascii="仿宋_GB2312" w:hAnsi="Nimbus Roman No9 L" w:eastAsia="仿宋_GB2312" w:cs="Arial"/>
          <w:sz w:val="32"/>
          <w:szCs w:val="32"/>
        </w:rPr>
        <w:t>，实际完成</w:t>
      </w:r>
      <w:r>
        <w:rPr>
          <w:rFonts w:ascii="仿宋_GB2312" w:hAnsi="Nimbus Roman No9 L" w:eastAsia="仿宋_GB2312" w:cs="Arial"/>
          <w:sz w:val="32"/>
          <w:szCs w:val="32"/>
        </w:rPr>
        <w:t>100</w:t>
      </w:r>
      <w:r>
        <w:rPr>
          <w:rFonts w:hint="eastAsia" w:ascii="仿宋_GB2312" w:hAnsi="Nimbus Roman No9 L" w:eastAsia="仿宋_GB2312" w:cs="Arial"/>
          <w:sz w:val="32"/>
          <w:szCs w:val="32"/>
        </w:rPr>
        <w:t>，权重</w:t>
      </w:r>
      <w:r>
        <w:rPr>
          <w:rFonts w:ascii="仿宋_GB2312" w:hAnsi="Nimbus Roman No9 L" w:eastAsia="仿宋_GB2312" w:cs="Arial"/>
          <w:sz w:val="32"/>
          <w:szCs w:val="32"/>
        </w:rPr>
        <w:t>15</w:t>
      </w:r>
      <w:r>
        <w:rPr>
          <w:rFonts w:hint="eastAsia" w:ascii="仿宋_GB2312" w:hAnsi="Nimbus Roman No9 L" w:eastAsia="仿宋_GB2312" w:cs="Arial"/>
          <w:sz w:val="32"/>
          <w:szCs w:val="32"/>
        </w:rPr>
        <w:t>。</w:t>
      </w:r>
    </w:p>
    <w:p w14:paraId="596A5677">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质量指标：接处警到位率，目标值</w:t>
      </w:r>
      <w:r>
        <w:rPr>
          <w:rFonts w:ascii="仿宋_GB2312" w:hAnsi="Nimbus Roman No9 L" w:eastAsia="仿宋_GB2312" w:cs="Arial"/>
          <w:sz w:val="32"/>
          <w:szCs w:val="32"/>
        </w:rPr>
        <w:t>100</w:t>
      </w:r>
      <w:r>
        <w:rPr>
          <w:rFonts w:hint="eastAsia" w:ascii="仿宋_GB2312" w:hAnsi="Nimbus Roman No9 L" w:eastAsia="仿宋_GB2312" w:cs="Arial"/>
          <w:sz w:val="32"/>
          <w:szCs w:val="32"/>
        </w:rPr>
        <w:t>，实际完成</w:t>
      </w:r>
      <w:r>
        <w:rPr>
          <w:rFonts w:ascii="仿宋_GB2312" w:hAnsi="Nimbus Roman No9 L" w:eastAsia="仿宋_GB2312" w:cs="Arial"/>
          <w:sz w:val="32"/>
          <w:szCs w:val="32"/>
        </w:rPr>
        <w:t>100</w:t>
      </w:r>
      <w:r>
        <w:rPr>
          <w:rFonts w:hint="eastAsia" w:ascii="仿宋_GB2312" w:hAnsi="Nimbus Roman No9 L" w:eastAsia="仿宋_GB2312" w:cs="Arial"/>
          <w:sz w:val="32"/>
          <w:szCs w:val="32"/>
        </w:rPr>
        <w:t>，权重</w:t>
      </w:r>
      <w:r>
        <w:rPr>
          <w:rFonts w:ascii="仿宋_GB2312" w:hAnsi="Nimbus Roman No9 L" w:eastAsia="仿宋_GB2312" w:cs="Arial"/>
          <w:sz w:val="32"/>
          <w:szCs w:val="32"/>
        </w:rPr>
        <w:t>1</w:t>
      </w:r>
      <w:r>
        <w:rPr>
          <w:rFonts w:hint="eastAsia" w:ascii="仿宋_GB2312" w:hAnsi="Nimbus Roman No9 L" w:eastAsia="仿宋_GB2312" w:cs="Arial"/>
          <w:sz w:val="32"/>
          <w:szCs w:val="32"/>
        </w:rPr>
        <w:t>0。</w:t>
      </w:r>
    </w:p>
    <w:p w14:paraId="752C3316">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时效指标：民警加班任务完成时间</w:t>
      </w:r>
      <w:r>
        <w:rPr>
          <w:rFonts w:hint="eastAsia" w:ascii="仿宋_GB2312" w:hAnsi="Nimbus Roman No9 L" w:eastAsia="仿宋_GB2312" w:cs="Arial"/>
          <w:sz w:val="32"/>
          <w:szCs w:val="32"/>
          <w:lang w:eastAsia="zh-CN"/>
        </w:rPr>
        <w:t>，</w:t>
      </w:r>
      <w:r>
        <w:rPr>
          <w:rFonts w:hint="eastAsia" w:ascii="仿宋_GB2312" w:hAnsi="Nimbus Roman No9 L" w:eastAsia="仿宋_GB2312" w:cs="Arial"/>
          <w:sz w:val="32"/>
          <w:szCs w:val="32"/>
        </w:rPr>
        <w:t xml:space="preserve"> 目标值365，实际完成365，权重</w:t>
      </w:r>
      <w:r>
        <w:rPr>
          <w:rFonts w:ascii="仿宋_GB2312" w:hAnsi="Nimbus Roman No9 L" w:eastAsia="仿宋_GB2312" w:cs="Arial"/>
          <w:sz w:val="32"/>
          <w:szCs w:val="32"/>
        </w:rPr>
        <w:t>1</w:t>
      </w:r>
      <w:r>
        <w:rPr>
          <w:rFonts w:hint="eastAsia" w:ascii="仿宋_GB2312" w:hAnsi="Nimbus Roman No9 L" w:eastAsia="仿宋_GB2312" w:cs="Arial"/>
          <w:sz w:val="32"/>
          <w:szCs w:val="32"/>
        </w:rPr>
        <w:t>0。</w:t>
      </w:r>
    </w:p>
    <w:p w14:paraId="3523E06B">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时效指标：完成时间，目标值</w:t>
      </w:r>
      <w:r>
        <w:rPr>
          <w:rFonts w:ascii="仿宋_GB2312" w:hAnsi="Nimbus Roman No9 L" w:eastAsia="仿宋_GB2312" w:cs="Arial"/>
          <w:sz w:val="32"/>
          <w:szCs w:val="32"/>
        </w:rPr>
        <w:t>12</w:t>
      </w:r>
      <w:r>
        <w:rPr>
          <w:rFonts w:hint="eastAsia" w:ascii="仿宋_GB2312" w:hAnsi="Nimbus Roman No9 L" w:eastAsia="仿宋_GB2312" w:cs="Arial"/>
          <w:sz w:val="32"/>
          <w:szCs w:val="32"/>
        </w:rPr>
        <w:t>，实际完成</w:t>
      </w:r>
      <w:r>
        <w:rPr>
          <w:rFonts w:ascii="仿宋_GB2312" w:hAnsi="Nimbus Roman No9 L" w:eastAsia="仿宋_GB2312" w:cs="Arial"/>
          <w:sz w:val="32"/>
          <w:szCs w:val="32"/>
        </w:rPr>
        <w:t>12</w:t>
      </w:r>
      <w:r>
        <w:rPr>
          <w:rFonts w:hint="eastAsia" w:ascii="仿宋_GB2312" w:hAnsi="Nimbus Roman No9 L" w:eastAsia="仿宋_GB2312" w:cs="Arial"/>
          <w:sz w:val="32"/>
          <w:szCs w:val="32"/>
        </w:rPr>
        <w:t>，权重</w:t>
      </w:r>
      <w:r>
        <w:rPr>
          <w:rFonts w:ascii="仿宋_GB2312" w:hAnsi="Nimbus Roman No9 L" w:eastAsia="仿宋_GB2312" w:cs="Arial"/>
          <w:sz w:val="32"/>
          <w:szCs w:val="32"/>
        </w:rPr>
        <w:t>1</w:t>
      </w:r>
      <w:r>
        <w:rPr>
          <w:rFonts w:hint="eastAsia" w:ascii="仿宋_GB2312" w:hAnsi="Nimbus Roman No9 L" w:eastAsia="仿宋_GB2312" w:cs="Arial"/>
          <w:sz w:val="32"/>
          <w:szCs w:val="32"/>
        </w:rPr>
        <w:t>0。</w:t>
      </w:r>
    </w:p>
    <w:p w14:paraId="2454DFEC">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社会效益指标：社会治安秩序进一步改善，指标值优，实际完成优，权重20。</w:t>
      </w:r>
    </w:p>
    <w:p w14:paraId="5E82C9E0">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满意度指标：民警满意度，指标值</w:t>
      </w:r>
      <w:r>
        <w:rPr>
          <w:rFonts w:ascii="仿宋_GB2312" w:hAnsi="Nimbus Roman No9 L" w:eastAsia="仿宋_GB2312" w:cs="Arial"/>
          <w:sz w:val="32"/>
          <w:szCs w:val="32"/>
        </w:rPr>
        <w:t>90</w:t>
      </w:r>
      <w:r>
        <w:rPr>
          <w:rFonts w:hint="eastAsia" w:ascii="仿宋_GB2312" w:hAnsi="Nimbus Roman No9 L" w:eastAsia="仿宋_GB2312" w:cs="Arial"/>
          <w:sz w:val="32"/>
          <w:szCs w:val="32"/>
        </w:rPr>
        <w:t>，实际完成</w:t>
      </w:r>
      <w:r>
        <w:rPr>
          <w:rFonts w:ascii="仿宋_GB2312" w:hAnsi="Nimbus Roman No9 L" w:eastAsia="仿宋_GB2312" w:cs="Arial"/>
          <w:sz w:val="32"/>
          <w:szCs w:val="32"/>
        </w:rPr>
        <w:t>90</w:t>
      </w:r>
      <w:r>
        <w:rPr>
          <w:rFonts w:hint="eastAsia" w:ascii="仿宋_GB2312" w:hAnsi="Nimbus Roman No9 L" w:eastAsia="仿宋_GB2312" w:cs="Arial"/>
          <w:sz w:val="32"/>
          <w:szCs w:val="32"/>
        </w:rPr>
        <w:t>，权重</w:t>
      </w:r>
      <w:r>
        <w:rPr>
          <w:rFonts w:ascii="仿宋_GB2312" w:hAnsi="Nimbus Roman No9 L" w:eastAsia="仿宋_GB2312" w:cs="Arial"/>
          <w:sz w:val="32"/>
          <w:szCs w:val="32"/>
        </w:rPr>
        <w:t>5</w:t>
      </w:r>
      <w:r>
        <w:rPr>
          <w:rFonts w:hint="eastAsia" w:ascii="仿宋_GB2312" w:hAnsi="Nimbus Roman No9 L" w:eastAsia="仿宋_GB2312" w:cs="Arial"/>
          <w:sz w:val="32"/>
          <w:szCs w:val="32"/>
        </w:rPr>
        <w:t>。</w:t>
      </w:r>
    </w:p>
    <w:p w14:paraId="271F1CCC">
      <w:pPr>
        <w:adjustRightInd w:val="0"/>
        <w:snapToGrid w:val="0"/>
        <w:spacing w:line="578" w:lineRule="exact"/>
        <w:ind w:firstLine="640" w:firstLineChars="200"/>
        <w:rPr>
          <w:rFonts w:hint="eastAsia" w:ascii="仿宋_GB2312" w:hAnsi="Nimbus Roman No9 L" w:eastAsia="仿宋_GB2312" w:cs="Arial"/>
          <w:sz w:val="32"/>
          <w:szCs w:val="32"/>
        </w:rPr>
      </w:pPr>
      <w:r>
        <w:rPr>
          <w:rFonts w:ascii="仿宋_GB2312" w:hAnsi="Nimbus Roman No9 L" w:eastAsia="仿宋_GB2312" w:cs="Arial"/>
          <w:sz w:val="32"/>
          <w:szCs w:val="32"/>
        </w:rPr>
        <w:t>成本指标</w:t>
      </w:r>
      <w:r>
        <w:rPr>
          <w:rFonts w:hint="eastAsia" w:ascii="仿宋_GB2312" w:hAnsi="Nimbus Roman No9 L" w:eastAsia="仿宋_GB2312" w:cs="Arial"/>
          <w:sz w:val="32"/>
          <w:szCs w:val="32"/>
        </w:rPr>
        <w:t>：人员经费，指标值710，实际完成710，权重</w:t>
      </w:r>
      <w:r>
        <w:rPr>
          <w:rFonts w:ascii="仿宋_GB2312" w:hAnsi="Nimbus Roman No9 L" w:eastAsia="仿宋_GB2312" w:cs="Arial"/>
          <w:sz w:val="32"/>
          <w:szCs w:val="32"/>
        </w:rPr>
        <w:t>1</w:t>
      </w:r>
      <w:r>
        <w:rPr>
          <w:rFonts w:hint="eastAsia" w:ascii="仿宋_GB2312" w:hAnsi="Nimbus Roman No9 L" w:eastAsia="仿宋_GB2312" w:cs="Arial"/>
          <w:sz w:val="32"/>
          <w:szCs w:val="32"/>
        </w:rPr>
        <w:t>0。</w:t>
      </w:r>
    </w:p>
    <w:p w14:paraId="528AB315">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经自评，该项得</w:t>
      </w:r>
      <w:r>
        <w:rPr>
          <w:rFonts w:ascii="仿宋_GB2312" w:hAnsi="Nimbus Roman No9 L" w:eastAsia="仿宋_GB2312" w:cs="Arial"/>
          <w:sz w:val="32"/>
          <w:szCs w:val="32"/>
        </w:rPr>
        <w:t>100</w:t>
      </w:r>
      <w:r>
        <w:rPr>
          <w:rFonts w:hint="eastAsia" w:ascii="仿宋_GB2312" w:hAnsi="Nimbus Roman No9 L" w:eastAsia="仿宋_GB2312" w:cs="Arial"/>
          <w:sz w:val="32"/>
          <w:szCs w:val="32"/>
        </w:rPr>
        <w:t>分。</w:t>
      </w:r>
    </w:p>
    <w:p w14:paraId="2808F639">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（二）专用指标</w:t>
      </w:r>
      <w:r>
        <w:rPr>
          <w:rFonts w:ascii="楷体_GB2312" w:hAnsi="宋体" w:eastAsia="楷体_GB2312"/>
          <w:b/>
          <w:sz w:val="32"/>
          <w:szCs w:val="32"/>
          <w:lang w:val="zh-CN"/>
        </w:rPr>
        <w:t>绩效分析。</w:t>
      </w:r>
    </w:p>
    <w:p w14:paraId="2A73B952">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单位财务管理制度健全，在预算执行过程中严格财经纪律，严格执行财务管理制度，做到了专款专用，坚持财务开支逐级审批，账务处理及时、准确、全面，会计核算规范。保证了项目资金使用的合法合规、安全有效。经自评，该项得</w:t>
      </w:r>
      <w:r>
        <w:rPr>
          <w:rFonts w:ascii="仿宋_GB2312" w:hAnsi="Nimbus Roman No9 L" w:eastAsia="仿宋_GB2312" w:cs="Arial"/>
          <w:sz w:val="32"/>
          <w:szCs w:val="32"/>
        </w:rPr>
        <w:t>100</w:t>
      </w:r>
      <w:r>
        <w:rPr>
          <w:rFonts w:hint="eastAsia" w:ascii="仿宋_GB2312" w:hAnsi="Nimbus Roman No9 L" w:eastAsia="仿宋_GB2312" w:cs="Arial"/>
          <w:sz w:val="32"/>
          <w:szCs w:val="32"/>
        </w:rPr>
        <w:t>分。</w:t>
      </w:r>
    </w:p>
    <w:p w14:paraId="6A54A735">
      <w:pPr>
        <w:adjustRightInd w:val="0"/>
        <w:snapToGrid w:val="0"/>
        <w:spacing w:line="580" w:lineRule="exact"/>
        <w:ind w:firstLine="720"/>
        <w:outlineLvl w:val="1"/>
        <w:rPr>
          <w:rFonts w:ascii="黑体" w:hAnsi="黑体" w:eastAsia="黑体" w:cs="黑体"/>
          <w:bCs/>
          <w:sz w:val="32"/>
          <w:szCs w:val="32"/>
        </w:rPr>
      </w:pPr>
      <w:bookmarkStart w:id="214" w:name="_Toc1279"/>
      <w:r>
        <w:rPr>
          <w:rFonts w:hint="eastAsia" w:ascii="黑体" w:hAnsi="黑体" w:eastAsia="黑体" w:cs="黑体"/>
          <w:bCs/>
          <w:sz w:val="32"/>
          <w:szCs w:val="32"/>
        </w:rPr>
        <w:t>四、评价结论</w:t>
      </w:r>
      <w:bookmarkEnd w:id="214"/>
    </w:p>
    <w:p w14:paraId="74FBF544">
      <w:pPr>
        <w:pStyle w:val="15"/>
        <w:shd w:val="clear" w:color="auto" w:fill="FFFFFF"/>
        <w:spacing w:beforeAutospacing="0" w:afterAutospacing="0" w:line="560" w:lineRule="exact"/>
        <w:ind w:firstLine="480"/>
        <w:jc w:val="both"/>
        <w:rPr>
          <w:rFonts w:ascii="仿宋_GB2312" w:hAnsi="??_GB2312" w:eastAsia="仿宋_GB2312" w:cs="??_GB2312"/>
          <w:sz w:val="32"/>
          <w:shd w:val="clear" w:color="auto" w:fill="FFFFFF"/>
        </w:rPr>
      </w:pPr>
      <w:r>
        <w:rPr>
          <w:rFonts w:hint="eastAsia" w:ascii="仿宋_GB2312" w:hAnsi="宋体" w:eastAsia="仿宋_GB2312" w:cs="宋体"/>
          <w:sz w:val="32"/>
          <w:lang w:val="zh-CN"/>
        </w:rPr>
        <w:t>截止</w:t>
      </w:r>
      <w:r>
        <w:rPr>
          <w:rFonts w:ascii="仿宋_GB2312" w:hAnsi="??_GB2312" w:eastAsia="仿宋_GB2312" w:cs="??_GB2312"/>
          <w:sz w:val="32"/>
          <w:lang w:val="zh-CN"/>
        </w:rPr>
        <w:t>202</w:t>
      </w:r>
      <w:r>
        <w:rPr>
          <w:rFonts w:hint="eastAsia" w:ascii="仿宋_GB2312" w:hAnsi="??_GB2312" w:eastAsia="仿宋_GB2312" w:cs="??_GB2312"/>
          <w:sz w:val="32"/>
        </w:rPr>
        <w:t>3</w:t>
      </w:r>
      <w:r>
        <w:rPr>
          <w:rFonts w:hint="eastAsia" w:ascii="仿宋_GB2312" w:hAnsi="宋体" w:eastAsia="仿宋_GB2312" w:cs="宋体"/>
          <w:sz w:val="32"/>
          <w:lang w:val="zh-CN"/>
        </w:rPr>
        <w:t>年</w:t>
      </w:r>
      <w:r>
        <w:rPr>
          <w:rFonts w:ascii="仿宋_GB2312" w:hAnsi="??_GB2312" w:eastAsia="仿宋_GB2312" w:cs="??_GB2312"/>
          <w:sz w:val="32"/>
          <w:lang w:val="zh-CN"/>
        </w:rPr>
        <w:t>12</w:t>
      </w:r>
      <w:r>
        <w:rPr>
          <w:rFonts w:hint="eastAsia" w:ascii="仿宋_GB2312" w:hAnsi="宋体" w:eastAsia="仿宋_GB2312" w:cs="宋体"/>
          <w:sz w:val="32"/>
          <w:lang w:val="zh-CN"/>
        </w:rPr>
        <w:t>月</w:t>
      </w:r>
      <w:r>
        <w:rPr>
          <w:rFonts w:ascii="仿宋_GB2312" w:hAnsi="??_GB2312" w:eastAsia="仿宋_GB2312" w:cs="??_GB2312"/>
          <w:sz w:val="32"/>
          <w:lang w:val="zh-CN"/>
        </w:rPr>
        <w:t>31</w:t>
      </w:r>
      <w:r>
        <w:rPr>
          <w:rFonts w:hint="eastAsia" w:ascii="仿宋_GB2312" w:hAnsi="宋体" w:eastAsia="仿宋_GB2312" w:cs="宋体"/>
          <w:sz w:val="32"/>
          <w:lang w:val="zh-CN"/>
        </w:rPr>
        <w:t>日，</w:t>
      </w:r>
      <w:r>
        <w:rPr>
          <w:rFonts w:hint="eastAsia" w:ascii="仿宋_GB2312" w:hAnsi="宋体" w:eastAsia="仿宋_GB2312" w:cs="宋体"/>
          <w:sz w:val="32"/>
        </w:rPr>
        <w:t>民警</w:t>
      </w:r>
      <w:r>
        <w:rPr>
          <w:rFonts w:hint="eastAsia" w:ascii="仿宋_GB2312" w:hAnsi="仿宋" w:eastAsia="仿宋_GB2312" w:cs="楷体_GB2312"/>
          <w:sz w:val="32"/>
        </w:rPr>
        <w:t>法定节假日之外加班补贴</w:t>
      </w:r>
      <w:r>
        <w:rPr>
          <w:rFonts w:hint="eastAsia" w:ascii="仿宋_GB2312" w:hAnsi="宋体" w:eastAsia="仿宋_GB2312" w:cs="宋体"/>
          <w:sz w:val="32"/>
          <w:lang w:val="zh-CN"/>
        </w:rPr>
        <w:t>按</w:t>
      </w:r>
      <w:r>
        <w:rPr>
          <w:rFonts w:ascii="仿宋_GB2312" w:hAnsi="??_GB2312" w:eastAsia="仿宋_GB2312" w:cs="??_GB2312"/>
          <w:sz w:val="32"/>
        </w:rPr>
        <w:t>710</w:t>
      </w:r>
      <w:r>
        <w:rPr>
          <w:rFonts w:hint="eastAsia" w:ascii="仿宋_GB2312" w:hAnsi="宋体" w:eastAsia="仿宋_GB2312" w:cs="宋体"/>
          <w:sz w:val="32"/>
        </w:rPr>
        <w:t>元</w:t>
      </w:r>
      <w:r>
        <w:rPr>
          <w:rFonts w:ascii="仿宋_GB2312" w:hAnsi="??_GB2312" w:eastAsia="仿宋_GB2312" w:cs="??_GB2312"/>
          <w:sz w:val="32"/>
        </w:rPr>
        <w:t>/</w:t>
      </w:r>
      <w:r>
        <w:rPr>
          <w:rFonts w:hint="eastAsia" w:ascii="仿宋_GB2312" w:hAnsi="宋体" w:eastAsia="仿宋_GB2312" w:cs="宋体"/>
          <w:sz w:val="32"/>
        </w:rPr>
        <w:t>人</w:t>
      </w:r>
      <w:r>
        <w:rPr>
          <w:rFonts w:ascii="仿宋_GB2312" w:hAnsi="??_GB2312" w:eastAsia="仿宋_GB2312" w:cs="??_GB2312"/>
          <w:sz w:val="32"/>
        </w:rPr>
        <w:t>/</w:t>
      </w:r>
      <w:r>
        <w:rPr>
          <w:rFonts w:hint="eastAsia" w:ascii="仿宋_GB2312" w:hAnsi="宋体" w:eastAsia="仿宋_GB2312" w:cs="宋体"/>
          <w:sz w:val="32"/>
        </w:rPr>
        <w:t>月标准保障充分保障</w:t>
      </w:r>
      <w:r>
        <w:rPr>
          <w:rFonts w:ascii="仿宋_GB2312" w:hAnsi="??_GB2312" w:eastAsia="仿宋_GB2312" w:cs="??_GB2312"/>
          <w:sz w:val="32"/>
        </w:rPr>
        <w:t>47</w:t>
      </w:r>
      <w:r>
        <w:rPr>
          <w:rFonts w:hint="eastAsia" w:ascii="仿宋_GB2312" w:hAnsi="宋体" w:eastAsia="仿宋_GB2312" w:cs="宋体"/>
          <w:sz w:val="32"/>
        </w:rPr>
        <w:t>名民警补贴发放</w:t>
      </w:r>
      <w:r>
        <w:rPr>
          <w:rFonts w:hint="eastAsia" w:ascii="仿宋_GB2312" w:hAnsi="宋体" w:eastAsia="仿宋_GB2312" w:cs="宋体"/>
          <w:sz w:val="32"/>
          <w:lang w:val="zh-CN"/>
        </w:rPr>
        <w:t>。每月月底各部门统计民警加班情况，根据加班情况发放，法定节假日</w:t>
      </w:r>
      <w:r>
        <w:rPr>
          <w:rFonts w:hint="eastAsia" w:ascii="仿宋_GB2312" w:hAnsi="仿宋" w:eastAsia="仿宋_GB2312" w:cs="楷体_GB2312"/>
          <w:sz w:val="32"/>
        </w:rPr>
        <w:t>之外加班</w:t>
      </w:r>
      <w:r>
        <w:rPr>
          <w:rFonts w:hint="eastAsia" w:ascii="仿宋_GB2312" w:hAnsi="宋体" w:eastAsia="仿宋_GB2312" w:cs="宋体"/>
          <w:sz w:val="32"/>
          <w:lang w:val="zh-CN"/>
        </w:rPr>
        <w:t>民警补贴发放率</w:t>
      </w:r>
      <w:r>
        <w:rPr>
          <w:rFonts w:ascii="仿宋_GB2312" w:hAnsi="??_GB2312" w:eastAsia="仿宋_GB2312" w:cs="??_GB2312"/>
          <w:sz w:val="32"/>
        </w:rPr>
        <w:t>100%</w:t>
      </w:r>
      <w:r>
        <w:rPr>
          <w:rFonts w:hint="eastAsia" w:ascii="仿宋_GB2312" w:hAnsi="宋体" w:eastAsia="仿宋_GB2312" w:cs="宋体"/>
          <w:sz w:val="32"/>
        </w:rPr>
        <w:t>。</w:t>
      </w:r>
      <w:r>
        <w:rPr>
          <w:rFonts w:hint="eastAsia" w:ascii="仿宋_GB2312" w:hAnsi="宋体" w:eastAsia="仿宋_GB2312" w:cs="宋体"/>
          <w:sz w:val="32"/>
          <w:lang w:val="zh-CN"/>
        </w:rPr>
        <w:t>各警种部门相互配合，确保辖区社会治安平稳。</w:t>
      </w:r>
      <w:r>
        <w:rPr>
          <w:rFonts w:hint="eastAsia" w:ascii="仿宋_GB2312" w:hAnsi="宋体" w:eastAsia="仿宋_GB2312" w:cs="宋体"/>
          <w:sz w:val="32"/>
          <w:shd w:val="clear" w:color="auto" w:fill="FFFFFF"/>
        </w:rPr>
        <w:t>综上所述，该项目绩效自评得分</w:t>
      </w:r>
      <w:r>
        <w:rPr>
          <w:rFonts w:ascii="仿宋_GB2312" w:hAnsi="??_GB2312" w:eastAsia="仿宋_GB2312" w:cs="??_GB2312"/>
          <w:sz w:val="32"/>
          <w:shd w:val="clear" w:color="auto" w:fill="FFFFFF"/>
        </w:rPr>
        <w:t>100.00</w:t>
      </w:r>
      <w:r>
        <w:rPr>
          <w:rFonts w:hint="eastAsia" w:ascii="仿宋_GB2312" w:hAnsi="宋体" w:eastAsia="仿宋_GB2312" w:cs="宋体"/>
          <w:sz w:val="32"/>
          <w:shd w:val="clear" w:color="auto" w:fill="FFFFFF"/>
        </w:rPr>
        <w:t>分，评价结果为</w:t>
      </w:r>
      <w:r>
        <w:rPr>
          <w:rFonts w:hint="eastAsia" w:ascii="仿宋_GB2312" w:hAnsi="??_GB2312" w:eastAsia="仿宋_GB2312" w:cs="??_GB2312"/>
          <w:sz w:val="32"/>
          <w:shd w:val="clear" w:color="auto" w:fill="FFFFFF"/>
        </w:rPr>
        <w:t>“</w:t>
      </w:r>
      <w:r>
        <w:rPr>
          <w:rFonts w:hint="eastAsia" w:ascii="仿宋_GB2312" w:hAnsi="宋体" w:eastAsia="仿宋_GB2312" w:cs="宋体"/>
          <w:sz w:val="32"/>
          <w:shd w:val="clear" w:color="auto" w:fill="FFFFFF"/>
        </w:rPr>
        <w:t>优</w:t>
      </w:r>
      <w:r>
        <w:rPr>
          <w:rFonts w:hint="eastAsia" w:ascii="仿宋_GB2312" w:hAnsi="??_GB2312" w:eastAsia="仿宋_GB2312" w:cs="??_GB2312"/>
          <w:sz w:val="32"/>
          <w:shd w:val="clear" w:color="auto" w:fill="FFFFFF"/>
        </w:rPr>
        <w:t>”</w:t>
      </w:r>
      <w:r>
        <w:rPr>
          <w:rFonts w:hint="eastAsia" w:ascii="仿宋_GB2312" w:hAnsi="宋体" w:eastAsia="仿宋_GB2312" w:cs="宋体"/>
          <w:sz w:val="32"/>
          <w:shd w:val="clear" w:color="auto" w:fill="FFFFFF"/>
        </w:rPr>
        <w:t>。</w:t>
      </w:r>
    </w:p>
    <w:p w14:paraId="09FBFCDB">
      <w:pPr>
        <w:adjustRightInd w:val="0"/>
        <w:snapToGrid w:val="0"/>
        <w:spacing w:line="580" w:lineRule="exact"/>
        <w:ind w:firstLine="720"/>
        <w:outlineLvl w:val="1"/>
        <w:rPr>
          <w:rFonts w:ascii="黑体" w:hAnsi="黑体" w:eastAsia="黑体" w:cs="黑体"/>
          <w:bCs/>
          <w:sz w:val="32"/>
          <w:szCs w:val="32"/>
        </w:rPr>
      </w:pPr>
      <w:bookmarkStart w:id="215" w:name="_Toc12172"/>
      <w:r>
        <w:rPr>
          <w:rFonts w:hint="eastAsia" w:ascii="黑体" w:hAnsi="黑体" w:eastAsia="黑体" w:cs="黑体"/>
          <w:bCs/>
          <w:sz w:val="32"/>
          <w:szCs w:val="32"/>
        </w:rPr>
        <w:t>五、存在主要问题</w:t>
      </w:r>
      <w:bookmarkEnd w:id="215"/>
    </w:p>
    <w:p w14:paraId="0A132633">
      <w:pPr>
        <w:pStyle w:val="15"/>
        <w:shd w:val="clear" w:color="auto" w:fill="FFFFFF"/>
        <w:spacing w:beforeAutospacing="0" w:afterAutospacing="0" w:line="560" w:lineRule="exact"/>
        <w:ind w:firstLine="480"/>
        <w:jc w:val="both"/>
        <w:rPr>
          <w:rFonts w:ascii="仿宋_GB2312" w:hAnsi="??_GB2312" w:eastAsia="仿宋_GB2312" w:cs="??_GB2312"/>
          <w:sz w:val="32"/>
          <w:lang w:val="zh-CN"/>
        </w:rPr>
      </w:pPr>
      <w:r>
        <w:rPr>
          <w:rFonts w:hint="eastAsia" w:ascii="仿宋_GB2312" w:hAnsi="宋体" w:eastAsia="仿宋_GB2312" w:cs="宋体"/>
          <w:sz w:val="32"/>
          <w:lang w:val="zh-CN"/>
        </w:rPr>
        <w:t>民警工作量大，加班已成常态，现有补贴标准偏低、天数少，无法完全保障民警实际加班天数补贴。</w:t>
      </w:r>
    </w:p>
    <w:p w14:paraId="4DAB11A3">
      <w:pPr>
        <w:adjustRightInd w:val="0"/>
        <w:snapToGrid w:val="0"/>
        <w:spacing w:line="580" w:lineRule="exact"/>
        <w:ind w:firstLine="720"/>
        <w:outlineLvl w:val="1"/>
        <w:rPr>
          <w:rFonts w:ascii="黑体" w:hAnsi="黑体" w:eastAsia="黑体" w:cs="黑体"/>
          <w:bCs/>
          <w:sz w:val="32"/>
          <w:szCs w:val="32"/>
        </w:rPr>
      </w:pPr>
      <w:bookmarkStart w:id="216" w:name="_Toc3710"/>
      <w:r>
        <w:rPr>
          <w:rFonts w:hint="eastAsia" w:ascii="黑体" w:hAnsi="黑体" w:eastAsia="黑体" w:cs="黑体"/>
          <w:bCs/>
          <w:sz w:val="32"/>
          <w:szCs w:val="32"/>
        </w:rPr>
        <w:t>六、改进建议</w:t>
      </w:r>
      <w:bookmarkEnd w:id="216"/>
    </w:p>
    <w:p w14:paraId="7B8A6D4B">
      <w:pPr>
        <w:adjustRightInd w:val="0"/>
        <w:snapToGrid w:val="0"/>
        <w:spacing w:line="578" w:lineRule="exact"/>
        <w:ind w:firstLine="640" w:firstLineChars="200"/>
        <w:rPr>
          <w:rFonts w:ascii="仿宋_GB2312" w:hAnsi="宋体" w:cs="宋体"/>
          <w:lang w:val="zh-CN"/>
        </w:rPr>
      </w:pPr>
      <w:r>
        <w:rPr>
          <w:rFonts w:hint="eastAsia" w:ascii="仿宋_GB2312" w:hAnsi="Nimbus Roman No9 L" w:eastAsia="仿宋_GB2312" w:cs="Arial"/>
          <w:sz w:val="32"/>
          <w:szCs w:val="32"/>
        </w:rPr>
        <w:t>提高补贴保障标准，与补贴天数，激发工作活力，保障民警基本加班补贴待遇。</w:t>
      </w:r>
    </w:p>
    <w:p w14:paraId="1AE3EC33">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广元市公安局宝珠寺分局</w:t>
      </w:r>
    </w:p>
    <w:p w14:paraId="0331D7E5">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派出所民警免费工作午餐项目绩效</w:t>
      </w:r>
    </w:p>
    <w:p w14:paraId="1C6FD4F7">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评价报告</w:t>
      </w:r>
    </w:p>
    <w:p w14:paraId="553EA7A3">
      <w:pPr>
        <w:pStyle w:val="28"/>
        <w:spacing w:line="578" w:lineRule="exact"/>
        <w:ind w:firstLine="640"/>
        <w:jc w:val="center"/>
        <w:rPr>
          <w:rFonts w:ascii="宋体" w:hAnsi="宋体"/>
          <w:color w:val="auto"/>
          <w:kern w:val="2"/>
          <w:sz w:val="32"/>
          <w:szCs w:val="32"/>
        </w:rPr>
      </w:pPr>
    </w:p>
    <w:p w14:paraId="1BE6C8A9">
      <w:pPr>
        <w:adjustRightInd w:val="0"/>
        <w:snapToGrid w:val="0"/>
        <w:spacing w:line="580" w:lineRule="exact"/>
        <w:ind w:firstLine="720"/>
        <w:outlineLvl w:val="1"/>
        <w:rPr>
          <w:rFonts w:ascii="黑体" w:hAnsi="黑体" w:eastAsia="黑体" w:cs="黑体"/>
          <w:bCs/>
          <w:sz w:val="32"/>
          <w:szCs w:val="32"/>
        </w:rPr>
      </w:pPr>
      <w:bookmarkStart w:id="217" w:name="_Toc6473"/>
      <w:r>
        <w:rPr>
          <w:rFonts w:hint="eastAsia" w:ascii="黑体" w:hAnsi="黑体" w:eastAsia="黑体" w:cs="黑体"/>
          <w:bCs/>
          <w:sz w:val="32"/>
          <w:szCs w:val="32"/>
        </w:rPr>
        <w:t>一、项目概况</w:t>
      </w:r>
      <w:bookmarkEnd w:id="217"/>
    </w:p>
    <w:p w14:paraId="438E160D">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（一）设立背景及基本情况。</w:t>
      </w:r>
    </w:p>
    <w:p w14:paraId="79CF1BC0">
      <w:pPr>
        <w:adjustRightInd w:val="0"/>
        <w:snapToGrid w:val="0"/>
        <w:spacing w:line="578" w:lineRule="exact"/>
        <w:ind w:firstLine="640" w:firstLineChars="200"/>
        <w:rPr>
          <w:rFonts w:hint="eastAsia" w:ascii="仿宋_GB2312" w:hAnsi="Nimbus Roman No9 L" w:eastAsia="仿宋_GB2312" w:cs="Arial"/>
          <w:sz w:val="32"/>
          <w:szCs w:val="32"/>
        </w:rPr>
      </w:pPr>
      <w:r>
        <w:rPr>
          <w:rFonts w:ascii="仿宋_GB2312" w:hAnsi="Nimbus Roman No9 L" w:eastAsia="仿宋_GB2312" w:cs="Arial"/>
          <w:sz w:val="32"/>
          <w:szCs w:val="32"/>
        </w:rPr>
        <w:t>1</w:t>
      </w:r>
      <w:r>
        <w:rPr>
          <w:rFonts w:hint="eastAsia" w:ascii="仿宋_GB2312" w:hAnsi="Nimbus Roman No9 L" w:eastAsia="仿宋_GB2312" w:cs="Arial"/>
          <w:sz w:val="32"/>
          <w:szCs w:val="32"/>
        </w:rPr>
        <w:t>．派出所是公安机关最基层、最前沿的战斗实体，担负着维护法律尊严和社会公共秩序、打击各种违法犯罪行为、全天候化解矛盾、治安防范、监管安全、办证等工作职责，本项目主要是保障公安机关派出所民警午餐，落实从优待警措施，不断打造良好的工作环境。</w:t>
      </w:r>
    </w:p>
    <w:p w14:paraId="15BBF61A">
      <w:pPr>
        <w:adjustRightInd w:val="0"/>
        <w:snapToGrid w:val="0"/>
        <w:spacing w:line="578" w:lineRule="exact"/>
        <w:ind w:firstLine="640" w:firstLineChars="200"/>
        <w:rPr>
          <w:rFonts w:hint="eastAsia" w:ascii="仿宋_GB2312" w:hAnsi="Nimbus Roman No9 L" w:eastAsia="仿宋_GB2312" w:cs="Arial"/>
          <w:sz w:val="32"/>
          <w:szCs w:val="32"/>
        </w:rPr>
      </w:pPr>
      <w:r>
        <w:rPr>
          <w:rFonts w:ascii="仿宋_GB2312" w:hAnsi="Nimbus Roman No9 L" w:eastAsia="仿宋_GB2312" w:cs="Arial"/>
          <w:sz w:val="32"/>
          <w:szCs w:val="32"/>
        </w:rPr>
        <w:t>2</w:t>
      </w:r>
      <w:r>
        <w:rPr>
          <w:rFonts w:hint="eastAsia" w:ascii="仿宋_GB2312" w:hAnsi="Nimbus Roman No9 L" w:eastAsia="仿宋_GB2312" w:cs="Arial"/>
          <w:sz w:val="32"/>
          <w:szCs w:val="32"/>
        </w:rPr>
        <w:t>．项目立项、资金申报的依据。</w:t>
      </w:r>
    </w:p>
    <w:p w14:paraId="50316FE2">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根据广府办函﹝</w:t>
      </w:r>
      <w:r>
        <w:rPr>
          <w:rFonts w:ascii="仿宋_GB2312" w:hAnsi="Nimbus Roman No9 L" w:eastAsia="仿宋_GB2312" w:cs="Arial"/>
          <w:sz w:val="32"/>
          <w:szCs w:val="32"/>
        </w:rPr>
        <w:t>2014</w:t>
      </w:r>
      <w:r>
        <w:rPr>
          <w:rFonts w:hint="eastAsia" w:ascii="仿宋_GB2312" w:hAnsi="Nimbus Roman No9 L" w:eastAsia="仿宋_GB2312" w:cs="Arial"/>
          <w:sz w:val="32"/>
          <w:szCs w:val="32"/>
        </w:rPr>
        <w:t>﹞</w:t>
      </w:r>
      <w:r>
        <w:rPr>
          <w:rFonts w:ascii="仿宋_GB2312" w:hAnsi="Nimbus Roman No9 L" w:eastAsia="仿宋_GB2312" w:cs="Arial"/>
          <w:sz w:val="32"/>
          <w:szCs w:val="32"/>
        </w:rPr>
        <w:t>4</w:t>
      </w:r>
      <w:r>
        <w:rPr>
          <w:rFonts w:hint="eastAsia" w:ascii="仿宋_GB2312" w:hAnsi="Nimbus Roman No9 L" w:eastAsia="仿宋_GB2312" w:cs="Arial"/>
          <w:sz w:val="32"/>
          <w:szCs w:val="32"/>
        </w:rPr>
        <w:t>号文件《广元市人民政府办公室批转市公安局市财政局关于解决公安派出所民警免费工作午餐经费意见的通知》，按月保障派出所民警午餐。</w:t>
      </w:r>
    </w:p>
    <w:p w14:paraId="7433FCCB">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r>
        <w:rPr>
          <w:rFonts w:hint="eastAsia" w:ascii="楷体_GB2312" w:hAnsi="宋体" w:eastAsia="楷体_GB2312"/>
          <w:b/>
          <w:sz w:val="32"/>
          <w:szCs w:val="32"/>
          <w:lang w:val="zh-CN"/>
        </w:rPr>
        <w:t>。</w:t>
      </w:r>
    </w:p>
    <w:p w14:paraId="313FC3FA">
      <w:pPr>
        <w:pStyle w:val="15"/>
        <w:shd w:val="clear" w:color="auto" w:fill="FFFFFF"/>
        <w:spacing w:beforeAutospacing="0" w:afterAutospacing="0" w:line="560" w:lineRule="exact"/>
        <w:ind w:firstLine="640" w:firstLineChars="200"/>
        <w:jc w:val="both"/>
        <w:rPr>
          <w:rFonts w:ascii="仿宋_GB2312" w:hAnsi="宋体" w:eastAsia="仿宋_GB2312" w:cs="宋体"/>
          <w:sz w:val="32"/>
        </w:rPr>
      </w:pPr>
      <w:r>
        <w:rPr>
          <w:rFonts w:hint="eastAsia" w:ascii="仿宋_GB2312" w:hAnsi="宋体" w:eastAsia="仿宋_GB2312" w:cs="宋体"/>
          <w:sz w:val="32"/>
        </w:rPr>
        <w:t>实施目的：</w:t>
      </w:r>
    </w:p>
    <w:p w14:paraId="5E5B3355">
      <w:pPr>
        <w:pStyle w:val="15"/>
        <w:shd w:val="clear" w:color="auto" w:fill="FFFFFF"/>
        <w:spacing w:beforeAutospacing="0" w:afterAutospacing="0" w:line="560" w:lineRule="exact"/>
        <w:ind w:firstLine="640" w:firstLineChars="200"/>
        <w:jc w:val="both"/>
        <w:rPr>
          <w:rFonts w:ascii="仿宋_GB2312" w:hAnsi="宋体" w:eastAsia="仿宋_GB2312" w:cs="宋体"/>
          <w:sz w:val="32"/>
        </w:rPr>
      </w:pPr>
      <w:r>
        <w:rPr>
          <w:rFonts w:hint="eastAsia" w:ascii="仿宋_GB2312" w:hAnsi="宋体" w:eastAsia="仿宋_GB2312" w:cs="宋体"/>
          <w:sz w:val="32"/>
        </w:rPr>
        <w:t>1.提高项目成功率：通过对项目绩效的评估和监控，及时发现问题并采取措施加以解决，确保项目按照预定的目标和计划顺利推进，从而推动项目成功实施。</w:t>
      </w:r>
    </w:p>
    <w:p w14:paraId="06EE8952">
      <w:pPr>
        <w:pStyle w:val="15"/>
        <w:shd w:val="clear" w:color="auto" w:fill="FFFFFF"/>
        <w:spacing w:beforeAutospacing="0" w:afterAutospacing="0" w:line="560" w:lineRule="exact"/>
        <w:ind w:firstLine="640" w:firstLineChars="200"/>
        <w:jc w:val="both"/>
        <w:rPr>
          <w:rFonts w:ascii="仿宋_GB2312" w:hAnsi="宋体" w:eastAsia="仿宋_GB2312" w:cs="宋体"/>
          <w:sz w:val="32"/>
        </w:rPr>
      </w:pPr>
      <w:r>
        <w:rPr>
          <w:rFonts w:hint="eastAsia" w:ascii="仿宋_GB2312" w:hAnsi="宋体" w:eastAsia="仿宋_GB2312" w:cs="宋体"/>
          <w:sz w:val="32"/>
        </w:rPr>
        <w:t>2.优化资源分配：基于绩效评估结果，合理分配人力、物力、财力等资源，使资源投入与项目的重要性和产出效益相匹配，提高资源利用率。</w:t>
      </w:r>
    </w:p>
    <w:p w14:paraId="19DA2486">
      <w:pPr>
        <w:pStyle w:val="15"/>
        <w:shd w:val="clear" w:color="auto" w:fill="FFFFFF"/>
        <w:spacing w:beforeAutospacing="0" w:afterAutospacing="0" w:line="560" w:lineRule="exact"/>
        <w:ind w:firstLine="640" w:firstLineChars="200"/>
        <w:jc w:val="both"/>
        <w:rPr>
          <w:rFonts w:ascii="仿宋_GB2312" w:hAnsi="宋体" w:eastAsia="仿宋_GB2312" w:cs="宋体"/>
          <w:sz w:val="32"/>
        </w:rPr>
      </w:pPr>
      <w:r>
        <w:rPr>
          <w:rFonts w:hint="eastAsia" w:ascii="仿宋_GB2312" w:hAnsi="宋体" w:eastAsia="仿宋_GB2312" w:cs="宋体"/>
          <w:sz w:val="32"/>
        </w:rPr>
        <w:t>3.促进持续改进：对项目绩效的分析和总结可以为未来的项目提供经验教训，不断完善项目管理流程和方法，提升项目管理能力。</w:t>
      </w:r>
    </w:p>
    <w:p w14:paraId="5784661E">
      <w:pPr>
        <w:pStyle w:val="15"/>
        <w:shd w:val="clear" w:color="auto" w:fill="FFFFFF"/>
        <w:spacing w:beforeAutospacing="0" w:afterAutospacing="0" w:line="560" w:lineRule="exact"/>
        <w:ind w:firstLine="640" w:firstLineChars="200"/>
        <w:jc w:val="both"/>
        <w:rPr>
          <w:rFonts w:ascii="仿宋_GB2312" w:hAnsi="宋体" w:eastAsia="仿宋_GB2312" w:cs="宋体"/>
          <w:sz w:val="32"/>
        </w:rPr>
      </w:pPr>
      <w:r>
        <w:rPr>
          <w:rFonts w:hint="eastAsia" w:ascii="仿宋_GB2312" w:hAnsi="宋体" w:eastAsia="仿宋_GB2312" w:cs="宋体"/>
          <w:sz w:val="32"/>
        </w:rPr>
        <w:t>支持方向：</w:t>
      </w:r>
    </w:p>
    <w:p w14:paraId="2EDE962D">
      <w:pPr>
        <w:pStyle w:val="15"/>
        <w:shd w:val="clear" w:color="auto" w:fill="FFFFFF"/>
        <w:spacing w:beforeAutospacing="0" w:afterAutospacing="0" w:line="560" w:lineRule="exact"/>
        <w:ind w:firstLine="640" w:firstLineChars="200"/>
        <w:jc w:val="both"/>
        <w:rPr>
          <w:rFonts w:ascii="仿宋_GB2312" w:hAnsi="宋体" w:eastAsia="仿宋_GB2312" w:cs="宋体"/>
          <w:sz w:val="32"/>
        </w:rPr>
      </w:pPr>
      <w:r>
        <w:rPr>
          <w:rFonts w:hint="eastAsia" w:ascii="仿宋_GB2312" w:hAnsi="宋体" w:eastAsia="仿宋_GB2312" w:cs="宋体"/>
          <w:sz w:val="32"/>
        </w:rPr>
        <w:t>1.目标明确：确保项目目标清晰、具体、可衡量，使绩效评估有明确的依据。</w:t>
      </w:r>
    </w:p>
    <w:p w14:paraId="55E47753">
      <w:pPr>
        <w:pStyle w:val="15"/>
        <w:shd w:val="clear" w:color="auto" w:fill="FFFFFF"/>
        <w:spacing w:beforeAutospacing="0" w:afterAutospacing="0" w:line="560" w:lineRule="exact"/>
        <w:ind w:firstLine="640" w:firstLineChars="200"/>
        <w:jc w:val="both"/>
        <w:rPr>
          <w:rFonts w:ascii="仿宋_GB2312" w:hAnsi="宋体" w:eastAsia="仿宋_GB2312" w:cs="宋体"/>
          <w:sz w:val="32"/>
        </w:rPr>
      </w:pPr>
      <w:r>
        <w:rPr>
          <w:rFonts w:hint="eastAsia" w:ascii="仿宋_GB2312" w:hAnsi="宋体" w:eastAsia="仿宋_GB2312" w:cs="宋体"/>
          <w:sz w:val="32"/>
        </w:rPr>
        <w:t>2.风险管理：通过绩效评估识别项目中的风险，并制定相应的应对措施，降低风险对项目的影响。</w:t>
      </w:r>
    </w:p>
    <w:p w14:paraId="6736A42C">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r>
        <w:rPr>
          <w:rFonts w:hint="eastAsia" w:ascii="楷体_GB2312" w:hAnsi="宋体" w:eastAsia="楷体_GB2312"/>
          <w:b/>
          <w:sz w:val="32"/>
          <w:szCs w:val="32"/>
          <w:lang w:val="zh-CN"/>
        </w:rPr>
        <w:t>。</w:t>
      </w:r>
    </w:p>
    <w:p w14:paraId="3DE1D847">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免费午餐补助</w:t>
      </w:r>
      <w:r>
        <w:rPr>
          <w:rFonts w:ascii="仿宋_GB2312" w:hAnsi="Nimbus Roman No9 L" w:eastAsia="仿宋_GB2312" w:cs="Arial"/>
          <w:sz w:val="32"/>
          <w:szCs w:val="32"/>
        </w:rPr>
        <w:t>11.88</w:t>
      </w:r>
      <w:r>
        <w:rPr>
          <w:rFonts w:hint="eastAsia" w:ascii="仿宋_GB2312" w:hAnsi="Nimbus Roman No9 L" w:eastAsia="仿宋_GB2312" w:cs="Arial"/>
          <w:sz w:val="32"/>
          <w:szCs w:val="32"/>
        </w:rPr>
        <w:t>万元，是常年项目，该项目保障标准</w:t>
      </w:r>
      <w:r>
        <w:rPr>
          <w:rFonts w:ascii="仿宋_GB2312" w:hAnsi="Nimbus Roman No9 L" w:eastAsia="仿宋_GB2312" w:cs="Arial"/>
          <w:sz w:val="32"/>
          <w:szCs w:val="32"/>
        </w:rPr>
        <w:t>330</w:t>
      </w:r>
      <w:r>
        <w:rPr>
          <w:rFonts w:hint="eastAsia" w:ascii="仿宋_GB2312" w:hAnsi="Nimbus Roman No9 L" w:eastAsia="仿宋_GB2312" w:cs="Arial"/>
          <w:sz w:val="32"/>
          <w:szCs w:val="32"/>
        </w:rPr>
        <w:t>元</w:t>
      </w:r>
      <w:r>
        <w:rPr>
          <w:rFonts w:ascii="仿宋_GB2312" w:hAnsi="Nimbus Roman No9 L" w:eastAsia="仿宋_GB2312" w:cs="Arial"/>
          <w:sz w:val="32"/>
          <w:szCs w:val="32"/>
        </w:rPr>
        <w:t>/</w:t>
      </w:r>
      <w:r>
        <w:rPr>
          <w:rFonts w:hint="eastAsia" w:ascii="仿宋_GB2312" w:hAnsi="Nimbus Roman No9 L" w:eastAsia="仿宋_GB2312" w:cs="Arial"/>
          <w:sz w:val="32"/>
          <w:szCs w:val="32"/>
        </w:rPr>
        <w:t>人</w:t>
      </w:r>
      <w:r>
        <w:rPr>
          <w:rFonts w:ascii="仿宋_GB2312" w:hAnsi="Nimbus Roman No9 L" w:eastAsia="仿宋_GB2312" w:cs="Arial"/>
          <w:sz w:val="32"/>
          <w:szCs w:val="32"/>
        </w:rPr>
        <w:t>/</w:t>
      </w:r>
      <w:r>
        <w:rPr>
          <w:rFonts w:hint="eastAsia" w:ascii="仿宋_GB2312" w:hAnsi="Nimbus Roman No9 L" w:eastAsia="仿宋_GB2312" w:cs="Arial"/>
          <w:sz w:val="32"/>
          <w:szCs w:val="32"/>
        </w:rPr>
        <w:t>月标准，保障人数</w:t>
      </w:r>
      <w:r>
        <w:rPr>
          <w:rFonts w:ascii="仿宋_GB2312" w:hAnsi="Nimbus Roman No9 L" w:eastAsia="仿宋_GB2312" w:cs="Arial"/>
          <w:sz w:val="32"/>
          <w:szCs w:val="32"/>
        </w:rPr>
        <w:t>30</w:t>
      </w:r>
      <w:r>
        <w:rPr>
          <w:rFonts w:hint="eastAsia" w:ascii="仿宋_GB2312" w:hAnsi="Nimbus Roman No9 L" w:eastAsia="仿宋_GB2312" w:cs="Arial"/>
          <w:sz w:val="32"/>
          <w:szCs w:val="32"/>
        </w:rPr>
        <w:t>人，按月保障基层派出所民警午餐补助。</w:t>
      </w:r>
    </w:p>
    <w:p w14:paraId="5CCD003E">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（四）项目绩效目标设置。</w:t>
      </w:r>
    </w:p>
    <w:p w14:paraId="787A4495">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绩效目标设置包括数量</w:t>
      </w:r>
      <w:r>
        <w:rPr>
          <w:rFonts w:ascii="仿宋_GB2312" w:hAnsi="Nimbus Roman No9 L" w:eastAsia="仿宋_GB2312" w:cs="Arial"/>
          <w:sz w:val="32"/>
          <w:szCs w:val="32"/>
        </w:rPr>
        <w:t>指标</w:t>
      </w:r>
      <w:r>
        <w:rPr>
          <w:rFonts w:hint="eastAsia" w:ascii="仿宋_GB2312" w:hAnsi="Nimbus Roman No9 L" w:eastAsia="仿宋_GB2312" w:cs="Arial"/>
          <w:sz w:val="32"/>
          <w:szCs w:val="32"/>
        </w:rPr>
        <w:t>、质量指标、时效指标、社会效益指标、满意度指标、成本指标。</w:t>
      </w:r>
    </w:p>
    <w:p w14:paraId="4814E604">
      <w:pPr>
        <w:adjustRightInd w:val="0"/>
        <w:snapToGrid w:val="0"/>
        <w:spacing w:line="580" w:lineRule="exact"/>
        <w:ind w:firstLine="720"/>
        <w:outlineLvl w:val="1"/>
        <w:rPr>
          <w:rFonts w:ascii="黑体" w:hAnsi="黑体" w:eastAsia="黑体" w:cs="黑体"/>
          <w:bCs/>
          <w:sz w:val="32"/>
          <w:szCs w:val="32"/>
        </w:rPr>
      </w:pPr>
      <w:bookmarkStart w:id="218" w:name="_Toc30643"/>
      <w:r>
        <w:rPr>
          <w:rFonts w:hint="eastAsia" w:ascii="黑体" w:hAnsi="黑体" w:eastAsia="黑体" w:cs="黑体"/>
          <w:bCs/>
          <w:sz w:val="32"/>
          <w:szCs w:val="32"/>
        </w:rPr>
        <w:t>二、评价实施</w:t>
      </w:r>
      <w:bookmarkEnd w:id="218"/>
    </w:p>
    <w:p w14:paraId="08E8E977">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（一）评价目的。</w:t>
      </w:r>
    </w:p>
    <w:p w14:paraId="21448B8C">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通过绩效自评可以确定项目是否达到预定的目标和预期的成果，从而提高决策质量和项目管理的水平和能力。合理分配资源，增加项目透明度。</w:t>
      </w:r>
    </w:p>
    <w:p w14:paraId="10462324">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（二）预设问题及评价重点。</w:t>
      </w:r>
    </w:p>
    <w:p w14:paraId="2C3FCE47">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1、项目是否在预算范围内完成？</w:t>
      </w:r>
    </w:p>
    <w:p w14:paraId="0D527F8C">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项目是在预算范围内完成的，有效控制了成本，提升了资源分配的合理性和预算管理的严格性。</w:t>
      </w:r>
    </w:p>
    <w:p w14:paraId="0C0FC2FA">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2、项目是否达到预期效果？</w:t>
      </w:r>
    </w:p>
    <w:p w14:paraId="4DC5D9AE">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项目达到预期效果，有效保障了该项目的顺利推进。</w:t>
      </w:r>
    </w:p>
    <w:p w14:paraId="7D07C222">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3、项目推进对工作有促进作用？</w:t>
      </w:r>
    </w:p>
    <w:p w14:paraId="37485C3A">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有效维护辖区治安稳定和核安全，有效提高派出所执法办案效率，更好地为辖区群众服务。</w:t>
      </w:r>
    </w:p>
    <w:p w14:paraId="2AFEE4C7">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（三）评价选点。</w:t>
      </w:r>
    </w:p>
    <w:p w14:paraId="1664723B">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项目绩效自评所抽样点位情况良好（保障标准和保障时效），达到预期目的。</w:t>
      </w:r>
    </w:p>
    <w:p w14:paraId="3F525A95">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（四）评价方法。</w:t>
      </w:r>
    </w:p>
    <w:p w14:paraId="0373DA38">
      <w:pPr>
        <w:adjustRightInd w:val="0"/>
        <w:snapToGrid w:val="0"/>
        <w:spacing w:line="578" w:lineRule="exact"/>
        <w:ind w:firstLine="640" w:firstLineChars="200"/>
        <w:rPr>
          <w:rFonts w:hint="eastAsia" w:ascii="仿宋_GB2312" w:hAnsi="Nimbus Roman No9 L" w:eastAsia="仿宋_GB2312" w:cs="Arial"/>
          <w:sz w:val="32"/>
          <w:szCs w:val="32"/>
        </w:rPr>
      </w:pPr>
      <w:r>
        <w:rPr>
          <w:rFonts w:ascii="仿宋_GB2312" w:hAnsi="Nimbus Roman No9 L" w:eastAsia="仿宋_GB2312" w:cs="Arial"/>
          <w:sz w:val="32"/>
          <w:szCs w:val="32"/>
        </w:rPr>
        <w:t>根据项目情况和评价重点，</w:t>
      </w:r>
      <w:r>
        <w:rPr>
          <w:rFonts w:hint="eastAsia" w:ascii="仿宋_GB2312" w:hAnsi="Nimbus Roman No9 L" w:eastAsia="仿宋_GB2312" w:cs="Arial"/>
          <w:sz w:val="32"/>
          <w:szCs w:val="32"/>
        </w:rPr>
        <w:t>我单位采取</w:t>
      </w:r>
      <w:r>
        <w:rPr>
          <w:rFonts w:ascii="仿宋_GB2312" w:hAnsi="Nimbus Roman No9 L" w:eastAsia="仿宋_GB2312" w:cs="Arial"/>
          <w:sz w:val="32"/>
          <w:szCs w:val="32"/>
        </w:rPr>
        <w:t>单位自评法</w:t>
      </w:r>
      <w:r>
        <w:rPr>
          <w:rFonts w:hint="eastAsia" w:ascii="仿宋_GB2312" w:hAnsi="Nimbus Roman No9 L" w:eastAsia="仿宋_GB2312" w:cs="Arial"/>
          <w:sz w:val="32"/>
          <w:szCs w:val="32"/>
        </w:rPr>
        <w:t>对该项目预算绩效实事求是开展自评。</w:t>
      </w:r>
    </w:p>
    <w:p w14:paraId="168AB60B">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（五）评价组织。</w:t>
      </w:r>
    </w:p>
    <w:p w14:paraId="26D15E52">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该项目自评工作由指挥中心（办公室）牵头，各部门配合协助，围绕总体目标、绩效指标的完成情况及使用效益开展。</w:t>
      </w:r>
    </w:p>
    <w:p w14:paraId="0578BEED">
      <w:pPr>
        <w:adjustRightInd w:val="0"/>
        <w:snapToGrid w:val="0"/>
        <w:spacing w:line="580" w:lineRule="exact"/>
        <w:ind w:firstLine="720"/>
        <w:outlineLvl w:val="1"/>
        <w:rPr>
          <w:rFonts w:ascii="黑体" w:hAnsi="黑体" w:eastAsia="黑体" w:cs="黑体"/>
          <w:bCs/>
          <w:sz w:val="32"/>
          <w:szCs w:val="32"/>
        </w:rPr>
      </w:pPr>
      <w:bookmarkStart w:id="219" w:name="_Toc16131"/>
      <w:r>
        <w:rPr>
          <w:rFonts w:hint="eastAsia" w:ascii="黑体" w:hAnsi="黑体" w:eastAsia="黑体" w:cs="黑体"/>
          <w:bCs/>
          <w:sz w:val="32"/>
          <w:szCs w:val="32"/>
        </w:rPr>
        <w:t>三、绩效分析</w:t>
      </w:r>
      <w:bookmarkEnd w:id="219"/>
      <w:r>
        <w:rPr>
          <w:rFonts w:hint="eastAsia" w:ascii="黑体" w:hAnsi="黑体" w:eastAsia="黑体" w:cs="黑体"/>
          <w:bCs/>
          <w:sz w:val="32"/>
          <w:szCs w:val="32"/>
        </w:rPr>
        <w:tab/>
      </w:r>
    </w:p>
    <w:p w14:paraId="6A5FF4A6">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（一）通用指标</w:t>
      </w:r>
      <w:r>
        <w:rPr>
          <w:rFonts w:ascii="楷体_GB2312" w:hAnsi="宋体" w:eastAsia="楷体_GB2312"/>
          <w:b/>
          <w:sz w:val="32"/>
          <w:szCs w:val="32"/>
          <w:lang w:val="zh-CN"/>
        </w:rPr>
        <w:t>绩效分析。</w:t>
      </w:r>
    </w:p>
    <w:p w14:paraId="39C0B98A">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1.项目决策。</w:t>
      </w:r>
    </w:p>
    <w:p w14:paraId="50855054">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根据年初预算，该项目经费申报金额为11.88万元，经人大审核批准，预算批复为11.88万元。项目经费申报符合资金管理办法相关规定。截止</w:t>
      </w:r>
      <w:r>
        <w:rPr>
          <w:rFonts w:ascii="仿宋_GB2312" w:hAnsi="Nimbus Roman No9 L" w:eastAsia="仿宋_GB2312" w:cs="Arial"/>
          <w:sz w:val="32"/>
          <w:szCs w:val="32"/>
        </w:rPr>
        <w:t>202</w:t>
      </w:r>
      <w:r>
        <w:rPr>
          <w:rFonts w:hint="eastAsia" w:ascii="仿宋_GB2312" w:hAnsi="Nimbus Roman No9 L" w:eastAsia="仿宋_GB2312" w:cs="Arial"/>
          <w:sz w:val="32"/>
          <w:szCs w:val="32"/>
        </w:rPr>
        <w:t>3年</w:t>
      </w:r>
      <w:r>
        <w:rPr>
          <w:rFonts w:ascii="仿宋_GB2312" w:hAnsi="Nimbus Roman No9 L" w:eastAsia="仿宋_GB2312" w:cs="Arial"/>
          <w:sz w:val="32"/>
          <w:szCs w:val="32"/>
        </w:rPr>
        <w:t>12</w:t>
      </w:r>
      <w:r>
        <w:rPr>
          <w:rFonts w:hint="eastAsia" w:ascii="仿宋_GB2312" w:hAnsi="Nimbus Roman No9 L" w:eastAsia="仿宋_GB2312" w:cs="Arial"/>
          <w:sz w:val="32"/>
          <w:szCs w:val="32"/>
        </w:rPr>
        <w:t>月</w:t>
      </w:r>
      <w:r>
        <w:rPr>
          <w:rFonts w:ascii="仿宋_GB2312" w:hAnsi="Nimbus Roman No9 L" w:eastAsia="仿宋_GB2312" w:cs="Arial"/>
          <w:sz w:val="32"/>
          <w:szCs w:val="32"/>
        </w:rPr>
        <w:t>31</w:t>
      </w:r>
      <w:r>
        <w:rPr>
          <w:rFonts w:hint="eastAsia" w:ascii="仿宋_GB2312" w:hAnsi="Nimbus Roman No9 L" w:eastAsia="仿宋_GB2312" w:cs="Arial"/>
          <w:sz w:val="32"/>
          <w:szCs w:val="32"/>
        </w:rPr>
        <w:t>日，该项目资金实际支出11.88万元，支付进度</w:t>
      </w:r>
      <w:r>
        <w:rPr>
          <w:rFonts w:ascii="仿宋_GB2312" w:hAnsi="Nimbus Roman No9 L" w:eastAsia="仿宋_GB2312" w:cs="Arial"/>
          <w:sz w:val="32"/>
          <w:szCs w:val="32"/>
        </w:rPr>
        <w:t>100%</w:t>
      </w:r>
      <w:r>
        <w:rPr>
          <w:rFonts w:hint="eastAsia" w:ascii="仿宋_GB2312" w:hAnsi="Nimbus Roman No9 L" w:eastAsia="仿宋_GB2312" w:cs="Arial"/>
          <w:sz w:val="32"/>
          <w:szCs w:val="32"/>
        </w:rPr>
        <w:t>，支付依据合规合法，资金支付与预算相符。经自评，该项得</w:t>
      </w:r>
      <w:r>
        <w:rPr>
          <w:rFonts w:ascii="仿宋_GB2312" w:hAnsi="Nimbus Roman No9 L" w:eastAsia="仿宋_GB2312" w:cs="Arial"/>
          <w:sz w:val="32"/>
          <w:szCs w:val="32"/>
        </w:rPr>
        <w:t>100</w:t>
      </w:r>
      <w:r>
        <w:rPr>
          <w:rFonts w:hint="eastAsia" w:ascii="仿宋_GB2312" w:hAnsi="Nimbus Roman No9 L" w:eastAsia="仿宋_GB2312" w:cs="Arial"/>
          <w:sz w:val="32"/>
          <w:szCs w:val="32"/>
        </w:rPr>
        <w:t>分。</w:t>
      </w:r>
    </w:p>
    <w:p w14:paraId="545D0A43">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2.项目管理。</w:t>
      </w:r>
    </w:p>
    <w:p w14:paraId="77B4C9D2">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我局严格按照国库集中支付制度相关规定办理支付业务，遵循“先有预算、后有支出”、厉行节约的原则，项目经费按照财政预算金额和资金规定的使用范围列支。同时，严格按照项目预算绩效目标要求专款专用。经自评，该项得</w:t>
      </w:r>
      <w:r>
        <w:rPr>
          <w:rFonts w:ascii="仿宋_GB2312" w:hAnsi="Nimbus Roman No9 L" w:eastAsia="仿宋_GB2312" w:cs="Arial"/>
          <w:sz w:val="32"/>
          <w:szCs w:val="32"/>
        </w:rPr>
        <w:t>100</w:t>
      </w:r>
      <w:r>
        <w:rPr>
          <w:rFonts w:hint="eastAsia" w:ascii="仿宋_GB2312" w:hAnsi="Nimbus Roman No9 L" w:eastAsia="仿宋_GB2312" w:cs="Arial"/>
          <w:sz w:val="32"/>
          <w:szCs w:val="32"/>
        </w:rPr>
        <w:t>分。</w:t>
      </w:r>
    </w:p>
    <w:p w14:paraId="1034C74B">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3.项目实施。</w:t>
      </w:r>
    </w:p>
    <w:p w14:paraId="3A0F0437">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每个季度，项目绩效评价小组对该项目完成进度、项目效益与预期目标偏差等情况进行跟踪自评。本项目按计划逐月实施，并对项目实施情况进行公示，没有偏离预期目标。项目完成率</w:t>
      </w:r>
      <w:r>
        <w:rPr>
          <w:rFonts w:ascii="仿宋_GB2312" w:hAnsi="Nimbus Roman No9 L" w:eastAsia="仿宋_GB2312" w:cs="Arial"/>
          <w:sz w:val="32"/>
          <w:szCs w:val="32"/>
        </w:rPr>
        <w:t>100%</w:t>
      </w:r>
      <w:r>
        <w:rPr>
          <w:rFonts w:hint="eastAsia" w:ascii="仿宋_GB2312" w:hAnsi="Nimbus Roman No9 L" w:eastAsia="仿宋_GB2312" w:cs="Arial"/>
          <w:sz w:val="32"/>
          <w:szCs w:val="32"/>
        </w:rPr>
        <w:t>，完成情况好。经自评，该项得</w:t>
      </w:r>
      <w:r>
        <w:rPr>
          <w:rFonts w:ascii="仿宋_GB2312" w:hAnsi="Nimbus Roman No9 L" w:eastAsia="仿宋_GB2312" w:cs="Arial"/>
          <w:sz w:val="32"/>
          <w:szCs w:val="32"/>
        </w:rPr>
        <w:t>100</w:t>
      </w:r>
      <w:r>
        <w:rPr>
          <w:rFonts w:hint="eastAsia" w:ascii="仿宋_GB2312" w:hAnsi="Nimbus Roman No9 L" w:eastAsia="仿宋_GB2312" w:cs="Arial"/>
          <w:sz w:val="32"/>
          <w:szCs w:val="32"/>
        </w:rPr>
        <w:t>分。</w:t>
      </w:r>
    </w:p>
    <w:p w14:paraId="1588B946">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4.项目结果。</w:t>
      </w:r>
    </w:p>
    <w:p w14:paraId="6FC2547A">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该项目绩效自评得分</w:t>
      </w:r>
      <w:r>
        <w:rPr>
          <w:rFonts w:ascii="仿宋_GB2312" w:hAnsi="Nimbus Roman No9 L" w:eastAsia="仿宋_GB2312" w:cs="Arial"/>
          <w:sz w:val="32"/>
          <w:szCs w:val="32"/>
        </w:rPr>
        <w:t>100.00</w:t>
      </w:r>
      <w:r>
        <w:rPr>
          <w:rFonts w:hint="eastAsia" w:ascii="仿宋_GB2312" w:hAnsi="Nimbus Roman No9 L" w:eastAsia="仿宋_GB2312" w:cs="Arial"/>
          <w:sz w:val="32"/>
          <w:szCs w:val="32"/>
        </w:rPr>
        <w:t>分，设置绩效目标8个，实际完成8个，具体情况如下：</w:t>
      </w:r>
    </w:p>
    <w:p w14:paraId="17F9A247">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数量指标：免费工作午餐保障人数，目标值30，实际完成30，权重</w:t>
      </w:r>
      <w:r>
        <w:rPr>
          <w:rFonts w:ascii="仿宋_GB2312" w:hAnsi="Nimbus Roman No9 L" w:eastAsia="仿宋_GB2312" w:cs="Arial"/>
          <w:sz w:val="32"/>
          <w:szCs w:val="32"/>
        </w:rPr>
        <w:t>1</w:t>
      </w:r>
      <w:r>
        <w:rPr>
          <w:rFonts w:hint="eastAsia" w:ascii="仿宋_GB2312" w:hAnsi="Nimbus Roman No9 L" w:eastAsia="仿宋_GB2312" w:cs="Arial"/>
          <w:sz w:val="32"/>
          <w:szCs w:val="32"/>
        </w:rPr>
        <w:t>5。</w:t>
      </w:r>
    </w:p>
    <w:p w14:paraId="68B5F5C7">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质量指标：处警事务完成率，目标值</w:t>
      </w:r>
      <w:r>
        <w:rPr>
          <w:rFonts w:ascii="仿宋_GB2312" w:hAnsi="Nimbus Roman No9 L" w:eastAsia="仿宋_GB2312" w:cs="Arial"/>
          <w:sz w:val="32"/>
          <w:szCs w:val="32"/>
        </w:rPr>
        <w:t>100</w:t>
      </w:r>
      <w:r>
        <w:rPr>
          <w:rFonts w:hint="eastAsia" w:ascii="仿宋_GB2312" w:hAnsi="Nimbus Roman No9 L" w:eastAsia="仿宋_GB2312" w:cs="Arial"/>
          <w:sz w:val="32"/>
          <w:szCs w:val="32"/>
        </w:rPr>
        <w:t>，实际完成</w:t>
      </w:r>
      <w:r>
        <w:rPr>
          <w:rFonts w:ascii="仿宋_GB2312" w:hAnsi="Nimbus Roman No9 L" w:eastAsia="仿宋_GB2312" w:cs="Arial"/>
          <w:sz w:val="32"/>
          <w:szCs w:val="32"/>
        </w:rPr>
        <w:t>100</w:t>
      </w:r>
      <w:r>
        <w:rPr>
          <w:rFonts w:hint="eastAsia" w:ascii="仿宋_GB2312" w:hAnsi="Nimbus Roman No9 L" w:eastAsia="仿宋_GB2312" w:cs="Arial"/>
          <w:sz w:val="32"/>
          <w:szCs w:val="32"/>
        </w:rPr>
        <w:t>，权重</w:t>
      </w:r>
      <w:r>
        <w:rPr>
          <w:rFonts w:ascii="仿宋_GB2312" w:hAnsi="Nimbus Roman No9 L" w:eastAsia="仿宋_GB2312" w:cs="Arial"/>
          <w:sz w:val="32"/>
          <w:szCs w:val="32"/>
        </w:rPr>
        <w:t>5</w:t>
      </w:r>
      <w:r>
        <w:rPr>
          <w:rFonts w:hint="eastAsia" w:ascii="仿宋_GB2312" w:hAnsi="Nimbus Roman No9 L" w:eastAsia="仿宋_GB2312" w:cs="Arial"/>
          <w:sz w:val="32"/>
          <w:szCs w:val="32"/>
        </w:rPr>
        <w:t>。</w:t>
      </w:r>
    </w:p>
    <w:p w14:paraId="4C38093B">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质量指标：接处警到位率，目标值</w:t>
      </w:r>
      <w:r>
        <w:rPr>
          <w:rFonts w:ascii="仿宋_GB2312" w:hAnsi="Nimbus Roman No9 L" w:eastAsia="仿宋_GB2312" w:cs="Arial"/>
          <w:sz w:val="32"/>
          <w:szCs w:val="32"/>
        </w:rPr>
        <w:t>100</w:t>
      </w:r>
      <w:r>
        <w:rPr>
          <w:rFonts w:hint="eastAsia" w:ascii="仿宋_GB2312" w:hAnsi="Nimbus Roman No9 L" w:eastAsia="仿宋_GB2312" w:cs="Arial"/>
          <w:sz w:val="32"/>
          <w:szCs w:val="32"/>
        </w:rPr>
        <w:t>，实际完成</w:t>
      </w:r>
      <w:r>
        <w:rPr>
          <w:rFonts w:ascii="仿宋_GB2312" w:hAnsi="Nimbus Roman No9 L" w:eastAsia="仿宋_GB2312" w:cs="Arial"/>
          <w:sz w:val="32"/>
          <w:szCs w:val="32"/>
        </w:rPr>
        <w:t>100</w:t>
      </w:r>
      <w:r>
        <w:rPr>
          <w:rFonts w:hint="eastAsia" w:ascii="仿宋_GB2312" w:hAnsi="Nimbus Roman No9 L" w:eastAsia="仿宋_GB2312" w:cs="Arial"/>
          <w:sz w:val="32"/>
          <w:szCs w:val="32"/>
        </w:rPr>
        <w:t>，权重5。</w:t>
      </w:r>
    </w:p>
    <w:p w14:paraId="05A8A695">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质量指标：重点人员管控率，目标值</w:t>
      </w:r>
      <w:r>
        <w:rPr>
          <w:rFonts w:ascii="仿宋_GB2312" w:hAnsi="Nimbus Roman No9 L" w:eastAsia="仿宋_GB2312" w:cs="Arial"/>
          <w:sz w:val="32"/>
          <w:szCs w:val="32"/>
        </w:rPr>
        <w:t>100</w:t>
      </w:r>
      <w:r>
        <w:rPr>
          <w:rFonts w:hint="eastAsia" w:ascii="仿宋_GB2312" w:hAnsi="Nimbus Roman No9 L" w:eastAsia="仿宋_GB2312" w:cs="Arial"/>
          <w:sz w:val="32"/>
          <w:szCs w:val="32"/>
        </w:rPr>
        <w:t>，实际完成</w:t>
      </w:r>
      <w:r>
        <w:rPr>
          <w:rFonts w:ascii="仿宋_GB2312" w:hAnsi="Nimbus Roman No9 L" w:eastAsia="仿宋_GB2312" w:cs="Arial"/>
          <w:sz w:val="32"/>
          <w:szCs w:val="32"/>
        </w:rPr>
        <w:t>100</w:t>
      </w:r>
      <w:r>
        <w:rPr>
          <w:rFonts w:hint="eastAsia" w:ascii="仿宋_GB2312" w:hAnsi="Nimbus Roman No9 L" w:eastAsia="仿宋_GB2312" w:cs="Arial"/>
          <w:sz w:val="32"/>
          <w:szCs w:val="32"/>
        </w:rPr>
        <w:t>，权重10。</w:t>
      </w:r>
    </w:p>
    <w:p w14:paraId="580AE6B2">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时效指标：完成时间</w:t>
      </w:r>
      <w:r>
        <w:rPr>
          <w:rFonts w:hint="eastAsia" w:ascii="仿宋_GB2312" w:hAnsi="Nimbus Roman No9 L" w:eastAsia="仿宋_GB2312" w:cs="Arial"/>
          <w:sz w:val="32"/>
          <w:szCs w:val="32"/>
          <w:lang w:eastAsia="zh-CN"/>
        </w:rPr>
        <w:t>，</w:t>
      </w:r>
      <w:r>
        <w:rPr>
          <w:rFonts w:hint="eastAsia" w:ascii="仿宋_GB2312" w:hAnsi="Nimbus Roman No9 L" w:eastAsia="仿宋_GB2312" w:cs="Arial"/>
          <w:sz w:val="32"/>
          <w:szCs w:val="32"/>
        </w:rPr>
        <w:t xml:space="preserve"> 目标值12，实际完成12，权重</w:t>
      </w:r>
      <w:r>
        <w:rPr>
          <w:rFonts w:ascii="仿宋_GB2312" w:hAnsi="Nimbus Roman No9 L" w:eastAsia="仿宋_GB2312" w:cs="Arial"/>
          <w:sz w:val="32"/>
          <w:szCs w:val="32"/>
        </w:rPr>
        <w:t>1</w:t>
      </w:r>
      <w:r>
        <w:rPr>
          <w:rFonts w:hint="eastAsia" w:ascii="仿宋_GB2312" w:hAnsi="Nimbus Roman No9 L" w:eastAsia="仿宋_GB2312" w:cs="Arial"/>
          <w:sz w:val="32"/>
          <w:szCs w:val="32"/>
        </w:rPr>
        <w:t>5。</w:t>
      </w:r>
    </w:p>
    <w:p w14:paraId="1F764A29">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社会效益指标：社会治安秩序进一步改善，指标值优，实际完成优，权重20。</w:t>
      </w:r>
    </w:p>
    <w:p w14:paraId="1C58FB0E">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满意度指标：派出所民警满意度，指标值</w:t>
      </w:r>
      <w:r>
        <w:rPr>
          <w:rFonts w:ascii="仿宋_GB2312" w:hAnsi="Nimbus Roman No9 L" w:eastAsia="仿宋_GB2312" w:cs="Arial"/>
          <w:sz w:val="32"/>
          <w:szCs w:val="32"/>
        </w:rPr>
        <w:t>90</w:t>
      </w:r>
      <w:r>
        <w:rPr>
          <w:rFonts w:hint="eastAsia" w:ascii="仿宋_GB2312" w:hAnsi="Nimbus Roman No9 L" w:eastAsia="仿宋_GB2312" w:cs="Arial"/>
          <w:sz w:val="32"/>
          <w:szCs w:val="32"/>
        </w:rPr>
        <w:t>，实际完成</w:t>
      </w:r>
      <w:r>
        <w:rPr>
          <w:rFonts w:ascii="仿宋_GB2312" w:hAnsi="Nimbus Roman No9 L" w:eastAsia="仿宋_GB2312" w:cs="Arial"/>
          <w:sz w:val="32"/>
          <w:szCs w:val="32"/>
        </w:rPr>
        <w:t>90</w:t>
      </w:r>
      <w:r>
        <w:rPr>
          <w:rFonts w:hint="eastAsia" w:ascii="仿宋_GB2312" w:hAnsi="Nimbus Roman No9 L" w:eastAsia="仿宋_GB2312" w:cs="Arial"/>
          <w:sz w:val="32"/>
          <w:szCs w:val="32"/>
        </w:rPr>
        <w:t>，权重10。</w:t>
      </w:r>
    </w:p>
    <w:p w14:paraId="3A2CEA92">
      <w:pPr>
        <w:adjustRightInd w:val="0"/>
        <w:snapToGrid w:val="0"/>
        <w:spacing w:line="578" w:lineRule="exact"/>
        <w:ind w:firstLine="640" w:firstLineChars="200"/>
        <w:rPr>
          <w:rFonts w:hint="eastAsia" w:ascii="仿宋_GB2312" w:hAnsi="Nimbus Roman No9 L" w:eastAsia="仿宋_GB2312" w:cs="Arial"/>
          <w:sz w:val="32"/>
          <w:szCs w:val="32"/>
        </w:rPr>
      </w:pPr>
      <w:r>
        <w:rPr>
          <w:rFonts w:ascii="仿宋_GB2312" w:hAnsi="Nimbus Roman No9 L" w:eastAsia="仿宋_GB2312" w:cs="Arial"/>
          <w:sz w:val="32"/>
          <w:szCs w:val="32"/>
        </w:rPr>
        <w:t>成本指标</w:t>
      </w:r>
      <w:r>
        <w:rPr>
          <w:rFonts w:hint="eastAsia" w:ascii="仿宋_GB2312" w:hAnsi="Nimbus Roman No9 L" w:eastAsia="仿宋_GB2312" w:cs="Arial"/>
          <w:sz w:val="32"/>
          <w:szCs w:val="32"/>
        </w:rPr>
        <w:t>：免费工作午餐月均保障经费，指标值330，实际完成330，权重</w:t>
      </w:r>
      <w:r>
        <w:rPr>
          <w:rFonts w:ascii="仿宋_GB2312" w:hAnsi="Nimbus Roman No9 L" w:eastAsia="仿宋_GB2312" w:cs="Arial"/>
          <w:sz w:val="32"/>
          <w:szCs w:val="32"/>
        </w:rPr>
        <w:t>1</w:t>
      </w:r>
      <w:r>
        <w:rPr>
          <w:rFonts w:hint="eastAsia" w:ascii="仿宋_GB2312" w:hAnsi="Nimbus Roman No9 L" w:eastAsia="仿宋_GB2312" w:cs="Arial"/>
          <w:sz w:val="32"/>
          <w:szCs w:val="32"/>
        </w:rPr>
        <w:t>0。</w:t>
      </w:r>
    </w:p>
    <w:p w14:paraId="00C26DBB">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经自评，该项得</w:t>
      </w:r>
      <w:r>
        <w:rPr>
          <w:rFonts w:ascii="仿宋_GB2312" w:hAnsi="Nimbus Roman No9 L" w:eastAsia="仿宋_GB2312" w:cs="Arial"/>
          <w:sz w:val="32"/>
          <w:szCs w:val="32"/>
        </w:rPr>
        <w:t>100</w:t>
      </w:r>
      <w:r>
        <w:rPr>
          <w:rFonts w:hint="eastAsia" w:ascii="仿宋_GB2312" w:hAnsi="Nimbus Roman No9 L" w:eastAsia="仿宋_GB2312" w:cs="Arial"/>
          <w:sz w:val="32"/>
          <w:szCs w:val="32"/>
        </w:rPr>
        <w:t>分。</w:t>
      </w:r>
    </w:p>
    <w:p w14:paraId="0E091BFF">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（二）专用指标</w:t>
      </w:r>
      <w:r>
        <w:rPr>
          <w:rFonts w:ascii="楷体_GB2312" w:hAnsi="宋体" w:eastAsia="楷体_GB2312"/>
          <w:b/>
          <w:sz w:val="32"/>
          <w:szCs w:val="32"/>
          <w:lang w:val="zh-CN"/>
        </w:rPr>
        <w:t>绩效分析。</w:t>
      </w:r>
    </w:p>
    <w:p w14:paraId="5A0EE218">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行政运转。</w:t>
      </w:r>
    </w:p>
    <w:p w14:paraId="10A5C942">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单位财务管理制度健全，在预算执行过程中严格财经纪律，严格执行财务管理制度，做到了专款专用，坚持财务开支逐级审批，账务处理及时、准确、全面，会计核算规范。保证了项目资金使用的合法合规、安全有效。经自评，该项得</w:t>
      </w:r>
      <w:r>
        <w:rPr>
          <w:rFonts w:ascii="仿宋_GB2312" w:hAnsi="Nimbus Roman No9 L" w:eastAsia="仿宋_GB2312" w:cs="Arial"/>
          <w:sz w:val="32"/>
          <w:szCs w:val="32"/>
        </w:rPr>
        <w:t>100</w:t>
      </w:r>
      <w:r>
        <w:rPr>
          <w:rFonts w:hint="eastAsia" w:ascii="仿宋_GB2312" w:hAnsi="Nimbus Roman No9 L" w:eastAsia="仿宋_GB2312" w:cs="Arial"/>
          <w:sz w:val="32"/>
          <w:szCs w:val="32"/>
        </w:rPr>
        <w:t>分。</w:t>
      </w:r>
    </w:p>
    <w:p w14:paraId="55319F83">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（三）个性指标</w:t>
      </w:r>
      <w:r>
        <w:rPr>
          <w:rFonts w:ascii="楷体_GB2312" w:hAnsi="宋体" w:eastAsia="楷体_GB2312"/>
          <w:b/>
          <w:sz w:val="32"/>
          <w:szCs w:val="32"/>
          <w:lang w:val="zh-CN"/>
        </w:rPr>
        <w:t>绩效分析。</w:t>
      </w:r>
    </w:p>
    <w:p w14:paraId="624CD649">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数量指标：免费工作午餐保障人数，目标值（保障人数）30，实际完成保障人数30人。</w:t>
      </w:r>
    </w:p>
    <w:p w14:paraId="2813EAE0">
      <w:pPr>
        <w:adjustRightInd w:val="0"/>
        <w:snapToGrid w:val="0"/>
        <w:spacing w:line="578" w:lineRule="exact"/>
        <w:ind w:firstLine="640" w:firstLineChars="200"/>
        <w:rPr>
          <w:rFonts w:hint="eastAsia" w:ascii="仿宋_GB2312" w:hAnsi="Nimbus Roman No9 L" w:eastAsia="仿宋_GB2312" w:cs="Arial"/>
          <w:sz w:val="32"/>
          <w:szCs w:val="32"/>
        </w:rPr>
      </w:pPr>
      <w:r>
        <w:rPr>
          <w:rFonts w:ascii="仿宋_GB2312" w:hAnsi="Nimbus Roman No9 L" w:eastAsia="仿宋_GB2312" w:cs="Arial"/>
          <w:sz w:val="32"/>
          <w:szCs w:val="32"/>
        </w:rPr>
        <w:t>成本指标</w:t>
      </w:r>
      <w:r>
        <w:rPr>
          <w:rFonts w:hint="eastAsia" w:ascii="仿宋_GB2312" w:hAnsi="Nimbus Roman No9 L" w:eastAsia="仿宋_GB2312" w:cs="Arial"/>
          <w:sz w:val="32"/>
          <w:szCs w:val="32"/>
        </w:rPr>
        <w:t>：免费工作午餐月均保障经费，指标值（保障标准：元.人/月）330，实际完成330。</w:t>
      </w:r>
    </w:p>
    <w:p w14:paraId="6CA61991">
      <w:pPr>
        <w:adjustRightInd w:val="0"/>
        <w:snapToGrid w:val="0"/>
        <w:spacing w:line="580" w:lineRule="exact"/>
        <w:ind w:firstLine="720"/>
        <w:outlineLvl w:val="1"/>
        <w:rPr>
          <w:rFonts w:ascii="黑体" w:hAnsi="黑体" w:eastAsia="黑体" w:cs="黑体"/>
          <w:bCs/>
          <w:sz w:val="32"/>
          <w:szCs w:val="32"/>
        </w:rPr>
      </w:pPr>
      <w:bookmarkStart w:id="220" w:name="_Toc25750"/>
      <w:r>
        <w:rPr>
          <w:rFonts w:hint="eastAsia" w:ascii="黑体" w:hAnsi="黑体" w:eastAsia="黑体" w:cs="黑体"/>
          <w:bCs/>
          <w:sz w:val="32"/>
          <w:szCs w:val="32"/>
        </w:rPr>
        <w:t>四、评价结论</w:t>
      </w:r>
      <w:bookmarkEnd w:id="220"/>
    </w:p>
    <w:p w14:paraId="400B29A0">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从该项目完绩效目标完成情况来看，我局严格按照相关项目和财务管理要求贯彻执行，未发生虚报、套取、挤占、挪用或报销不合理开支等行为。在项目资金使用和管理方面，进一步强化资金统筹，优化资金结构，明确开支范围，细化资金用途，确保各项工作任务顺利完成。综上所述，该项目绩效自评得分</w:t>
      </w:r>
      <w:r>
        <w:rPr>
          <w:rFonts w:ascii="仿宋_GB2312" w:hAnsi="Nimbus Roman No9 L" w:eastAsia="仿宋_GB2312" w:cs="Arial"/>
          <w:sz w:val="32"/>
          <w:szCs w:val="32"/>
        </w:rPr>
        <w:t>100.00</w:t>
      </w:r>
      <w:r>
        <w:rPr>
          <w:rFonts w:hint="eastAsia" w:ascii="仿宋_GB2312" w:hAnsi="Nimbus Roman No9 L" w:eastAsia="仿宋_GB2312" w:cs="Arial"/>
          <w:sz w:val="32"/>
          <w:szCs w:val="32"/>
        </w:rPr>
        <w:t>分，评价结果为“优”。</w:t>
      </w:r>
    </w:p>
    <w:p w14:paraId="4A2170EA">
      <w:pPr>
        <w:adjustRightInd w:val="0"/>
        <w:snapToGrid w:val="0"/>
        <w:spacing w:line="580" w:lineRule="exact"/>
        <w:ind w:firstLine="720"/>
        <w:outlineLvl w:val="1"/>
        <w:rPr>
          <w:rFonts w:ascii="黑体" w:hAnsi="黑体" w:eastAsia="黑体" w:cs="黑体"/>
          <w:bCs/>
          <w:sz w:val="32"/>
          <w:szCs w:val="32"/>
        </w:rPr>
      </w:pPr>
      <w:bookmarkStart w:id="221" w:name="_Toc22468"/>
      <w:r>
        <w:rPr>
          <w:rFonts w:hint="eastAsia" w:ascii="黑体" w:hAnsi="黑体" w:eastAsia="黑体" w:cs="黑体"/>
          <w:bCs/>
          <w:sz w:val="32"/>
          <w:szCs w:val="32"/>
        </w:rPr>
        <w:t>五、存在主要问题</w:t>
      </w:r>
      <w:bookmarkEnd w:id="221"/>
    </w:p>
    <w:p w14:paraId="65BA4D42">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派出所</w:t>
      </w:r>
      <w:r>
        <w:rPr>
          <w:rFonts w:ascii="仿宋_GB2312" w:hAnsi="Nimbus Roman No9 L" w:eastAsia="仿宋_GB2312" w:cs="Arial"/>
          <w:sz w:val="32"/>
          <w:szCs w:val="32"/>
        </w:rPr>
        <w:t>24</w:t>
      </w:r>
      <w:r>
        <w:rPr>
          <w:rFonts w:hint="eastAsia" w:ascii="仿宋_GB2312" w:hAnsi="Nimbus Roman No9 L" w:eastAsia="仿宋_GB2312" w:cs="Arial"/>
          <w:sz w:val="32"/>
          <w:szCs w:val="32"/>
        </w:rPr>
        <w:t>小时值班备勤，民警的早餐和晚餐补助没有得到保障，从优待警有待加强。</w:t>
      </w:r>
    </w:p>
    <w:p w14:paraId="37A3E368">
      <w:pPr>
        <w:adjustRightInd w:val="0"/>
        <w:snapToGrid w:val="0"/>
        <w:spacing w:line="580" w:lineRule="exact"/>
        <w:ind w:firstLine="720"/>
        <w:outlineLvl w:val="1"/>
        <w:rPr>
          <w:rFonts w:ascii="黑体" w:hAnsi="黑体" w:eastAsia="黑体" w:cs="黑体"/>
          <w:bCs/>
          <w:sz w:val="32"/>
          <w:szCs w:val="32"/>
        </w:rPr>
      </w:pPr>
      <w:bookmarkStart w:id="222" w:name="_Toc3892"/>
      <w:r>
        <w:rPr>
          <w:rFonts w:hint="eastAsia" w:ascii="黑体" w:hAnsi="黑体" w:eastAsia="黑体" w:cs="黑体"/>
          <w:bCs/>
          <w:sz w:val="32"/>
          <w:szCs w:val="32"/>
        </w:rPr>
        <w:t>六、改进建议</w:t>
      </w:r>
      <w:bookmarkEnd w:id="222"/>
    </w:p>
    <w:p w14:paraId="4FCBC5FD">
      <w:pPr>
        <w:adjustRightInd w:val="0"/>
        <w:snapToGrid w:val="0"/>
        <w:spacing w:line="56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1、派出所民警早晚餐纳入预算。</w:t>
      </w:r>
    </w:p>
    <w:p w14:paraId="67F98946">
      <w:pPr>
        <w:pStyle w:val="5"/>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2、提高负责管理人员业务水平，确保本项目绩效评价工作水平提升。</w:t>
      </w:r>
    </w:p>
    <w:p w14:paraId="2B617606">
      <w:pPr>
        <w:pStyle w:val="28"/>
        <w:spacing w:line="560" w:lineRule="exact"/>
        <w:ind w:firstLine="2640" w:firstLineChars="600"/>
        <w:rPr>
          <w:rFonts w:ascii="方正小标宋简体" w:hAnsi="方正小标宋简体" w:eastAsia="方正小标宋简体" w:cs="方正小标宋简体"/>
          <w:color w:val="auto"/>
          <w:sz w:val="44"/>
          <w:szCs w:val="44"/>
        </w:rPr>
      </w:pPr>
      <w:r>
        <w:rPr>
          <w:rFonts w:hint="eastAsia" w:ascii="方正小标宋简体" w:hAnsi="方正小标宋简体" w:eastAsia="方正小标宋简体" w:cs="方正小标宋简体"/>
          <w:color w:val="auto"/>
          <w:sz w:val="44"/>
          <w:szCs w:val="44"/>
        </w:rPr>
        <w:t>广元市公安局机场分局</w:t>
      </w:r>
    </w:p>
    <w:p w14:paraId="597FC8CD">
      <w:pPr>
        <w:pStyle w:val="28"/>
        <w:spacing w:line="560" w:lineRule="exact"/>
        <w:ind w:firstLine="883"/>
        <w:jc w:val="center"/>
        <w:outlineLvl w:val="1"/>
        <w:rPr>
          <w:rFonts w:ascii="方正小标宋简体" w:hAnsi="方正小标宋简体" w:eastAsia="方正小标宋简体" w:cs="方正小标宋简体"/>
          <w:color w:val="auto"/>
          <w:sz w:val="44"/>
          <w:szCs w:val="44"/>
        </w:rPr>
      </w:pPr>
      <w:bookmarkStart w:id="223" w:name="_Toc16360"/>
      <w:r>
        <w:rPr>
          <w:rFonts w:hint="eastAsia" w:ascii="方正小标宋简体" w:hAnsi="方正小标宋简体" w:eastAsia="方正小标宋简体" w:cs="方正小标宋简体"/>
          <w:color w:val="auto"/>
          <w:sz w:val="44"/>
          <w:szCs w:val="44"/>
          <w:lang w:val="en-US"/>
        </w:rPr>
        <w:t>经常性业务费</w:t>
      </w:r>
      <w:r>
        <w:rPr>
          <w:rFonts w:hint="eastAsia" w:ascii="方正小标宋简体" w:hAnsi="方正小标宋简体" w:eastAsia="方正小标宋简体" w:cs="方正小标宋简体"/>
          <w:color w:val="auto"/>
          <w:kern w:val="2"/>
          <w:sz w:val="44"/>
          <w:szCs w:val="44"/>
          <w:lang w:val="en-US"/>
        </w:rPr>
        <w:t>绩效评价报告</w:t>
      </w:r>
      <w:bookmarkEnd w:id="223"/>
    </w:p>
    <w:p w14:paraId="284480E5">
      <w:pPr>
        <w:pStyle w:val="28"/>
        <w:spacing w:line="560" w:lineRule="exact"/>
        <w:ind w:firstLine="883"/>
        <w:jc w:val="center"/>
        <w:rPr>
          <w:rFonts w:ascii="黑体" w:hAnsi="黑体" w:eastAsia="黑体" w:cs="黑体"/>
          <w:color w:val="auto"/>
          <w:sz w:val="44"/>
          <w:szCs w:val="44"/>
        </w:rPr>
      </w:pPr>
    </w:p>
    <w:p w14:paraId="56C243C9">
      <w:pPr>
        <w:adjustRightInd w:val="0"/>
        <w:snapToGrid w:val="0"/>
        <w:spacing w:line="580" w:lineRule="exact"/>
        <w:ind w:firstLine="720"/>
        <w:outlineLvl w:val="1"/>
        <w:rPr>
          <w:rFonts w:ascii="黑体" w:hAnsi="黑体" w:eastAsia="黑体" w:cs="黑体"/>
          <w:bCs/>
          <w:sz w:val="32"/>
          <w:szCs w:val="32"/>
        </w:rPr>
      </w:pPr>
      <w:bookmarkStart w:id="224" w:name="_Toc19186"/>
      <w:r>
        <w:rPr>
          <w:rFonts w:hint="eastAsia" w:ascii="黑体" w:hAnsi="黑体" w:eastAsia="黑体" w:cs="黑体"/>
          <w:bCs/>
          <w:sz w:val="32"/>
          <w:szCs w:val="32"/>
        </w:rPr>
        <w:t>一、项目概况</w:t>
      </w:r>
      <w:bookmarkEnd w:id="224"/>
    </w:p>
    <w:p w14:paraId="1A035210">
      <w:pPr>
        <w:adjustRightInd w:val="0"/>
        <w:snapToGrid w:val="0"/>
        <w:spacing w:line="560" w:lineRule="exact"/>
        <w:ind w:firstLine="720"/>
        <w:rPr>
          <w:rFonts w:ascii="楷体_GB2312" w:hAnsi="宋体" w:eastAsia="楷体_GB2312"/>
          <w:b/>
          <w:lang w:val="zh-CN"/>
        </w:rPr>
      </w:pPr>
      <w:r>
        <w:rPr>
          <w:rFonts w:hint="eastAsia" w:ascii="楷体_GB2312" w:hAnsi="宋体" w:eastAsia="楷体_GB2312"/>
          <w:b/>
          <w:sz w:val="32"/>
          <w:szCs w:val="32"/>
          <w:lang w:val="zh-CN"/>
        </w:rPr>
        <w:t>（一）设立背景及基本情况</w:t>
      </w:r>
    </w:p>
    <w:p w14:paraId="747C351A">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1.机场分局主要对项目资金执行进度、项目资金使用情况进行监督，对资金的使用及报销进行审核。</w:t>
      </w:r>
    </w:p>
    <w:p w14:paraId="6FFF18B5">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2.依据公装财﹝2018﹞546号文件规定，对分局经常性业务费项目进行立项申报。</w:t>
      </w:r>
    </w:p>
    <w:p w14:paraId="128DFEEC">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3分局对项目资金进行管理，严格按照规定的范围支持和审核资金的支付。</w:t>
      </w:r>
    </w:p>
    <w:p w14:paraId="036B42B9">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4.按照项目的使用范围，坚持实事求是的原则，严格资金使用和分配。</w:t>
      </w:r>
    </w:p>
    <w:p w14:paraId="56A4DE53">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p>
    <w:p w14:paraId="713C27F4">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1.该项经费主要为保障保障场空防安全及安全保卫任务的顺利进行，确保机场辖区社会治安秩序持续稳定。</w:t>
      </w:r>
    </w:p>
    <w:p w14:paraId="68B942CD">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2.依据公装财﹝2018﹞546号文件规定，经常业务费开支范围包括安保维稳、等级勤务、重点人稳控、反诈宣传、法律宣讲、网络运行维护、邮电、业务会议、业务差旅、劳务等。</w:t>
      </w:r>
    </w:p>
    <w:p w14:paraId="10A39EEE">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3.项目申报内容与实施内容相符，申报目标合理可行。</w:t>
      </w:r>
    </w:p>
    <w:p w14:paraId="72280E57">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p>
    <w:p w14:paraId="79EBA024">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根据年初预算，该项目经费申报金额为15.19万元，经人大审核批准，预算批复为15.19万元。项目经费申报符合资金管理办法相关规定。</w:t>
      </w:r>
    </w:p>
    <w:p w14:paraId="28A3B1C6">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（四）项目绩效目标设置。</w:t>
      </w:r>
    </w:p>
    <w:p w14:paraId="65C67C20">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根据《广元市市级财政预算管理办法》，本着相关性、重要性、可比性、系统性原则设定评价指标及评价标准 ，按照百分制评分，设置产出指标权重40%，包括数量、质量、时效等；成本指标权重20%；效益指标权重20%，包括经济效益、社会效益等；满意度指标权重10%；预算执行指标权重10%。项目申报单位按照市财政局文件要求对项目绩效自评后，报分局办公室对绩效自评情况进行部门审核。分局依照相关管理办法，组织财务、审计及经费预算申报项目单位等，严格按照市财政局项目绩效评价体系对项目进行审核，严格打分。</w:t>
      </w:r>
    </w:p>
    <w:p w14:paraId="4180F178">
      <w:pPr>
        <w:adjustRightInd w:val="0"/>
        <w:snapToGrid w:val="0"/>
        <w:spacing w:line="580" w:lineRule="exact"/>
        <w:ind w:firstLine="720"/>
        <w:outlineLvl w:val="1"/>
        <w:rPr>
          <w:rFonts w:ascii="黑体" w:hAnsi="黑体" w:eastAsia="黑体" w:cs="黑体"/>
          <w:bCs/>
          <w:sz w:val="32"/>
          <w:szCs w:val="32"/>
        </w:rPr>
      </w:pPr>
      <w:bookmarkStart w:id="225" w:name="_Toc11214"/>
      <w:r>
        <w:rPr>
          <w:rFonts w:hint="eastAsia" w:ascii="黑体" w:hAnsi="黑体" w:eastAsia="黑体" w:cs="黑体"/>
          <w:bCs/>
          <w:sz w:val="32"/>
          <w:szCs w:val="32"/>
        </w:rPr>
        <w:t>二、评价实施</w:t>
      </w:r>
      <w:bookmarkEnd w:id="225"/>
    </w:p>
    <w:p w14:paraId="423634AC">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（一）评价目的</w:t>
      </w:r>
    </w:p>
    <w:p w14:paraId="793C5478">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严格落实《预算法》及省、市绩效管理工作的有关规定，进一步规范财政资金的管理，强化财政支出绩效理念，提高资金使用效益，促进公安工作的发展。</w:t>
      </w:r>
    </w:p>
    <w:p w14:paraId="00E99DC8">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（二）预设问题及评价重点</w:t>
      </w:r>
    </w:p>
    <w:p w14:paraId="6A40E9C1">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1.该项目在预算范围内按时完成，有效控制了成本，提升了资金分配的合理性和资金使用效率。</w:t>
      </w:r>
    </w:p>
    <w:p w14:paraId="535D90D7">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2.项目达到预期，保障了分局安保维稳、级勤务、重点人稳控、反诈宣传等工作的顺利开展，有效维护了机场辖区社会治安稳定。</w:t>
      </w:r>
    </w:p>
    <w:p w14:paraId="615610D2">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（三）评价选点</w:t>
      </w:r>
    </w:p>
    <w:p w14:paraId="55A80289">
      <w:pPr>
        <w:adjustRightInd w:val="0"/>
        <w:snapToGrid w:val="0"/>
        <w:spacing w:line="600" w:lineRule="exact"/>
        <w:ind w:firstLine="640" w:firstLineChars="200"/>
        <w:rPr>
          <w:lang w:val="zh-CN"/>
        </w:rPr>
      </w:pPr>
      <w:r>
        <w:rPr>
          <w:rFonts w:hint="eastAsia" w:ascii="仿宋_GB2312" w:hAnsi="Nimbus Roman No9 L" w:eastAsia="仿宋_GB2312" w:cs="Arial"/>
          <w:sz w:val="32"/>
          <w:szCs w:val="32"/>
        </w:rPr>
        <w:t>对机场辖区群众进行了满意度问卷调查，满意度为95%。</w:t>
      </w:r>
    </w:p>
    <w:p w14:paraId="446EF145">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（四）评价方法</w:t>
      </w:r>
    </w:p>
    <w:p w14:paraId="49C289C3">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采用定性描述、定量分析法，客观确定项目预期绩效目标的实现程度。采用比较法，对比实现成效一绩效目标的偏差，进行效益分析。</w:t>
      </w:r>
    </w:p>
    <w:p w14:paraId="760A8917">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（五）评价组织</w:t>
      </w:r>
    </w:p>
    <w:p w14:paraId="206273CC">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分局成立了绩效自评工作小组，统一组织实施绩效自评工作，由分局党委委员、政委任组长，政工监督室、指挥中心（办公室）主任为小组成员，对全年项目资金全面考核自评。</w:t>
      </w:r>
    </w:p>
    <w:p w14:paraId="7138951E">
      <w:pPr>
        <w:adjustRightInd w:val="0"/>
        <w:snapToGrid w:val="0"/>
        <w:spacing w:line="580" w:lineRule="exact"/>
        <w:ind w:firstLine="720"/>
        <w:outlineLvl w:val="1"/>
        <w:rPr>
          <w:rFonts w:ascii="黑体" w:hAnsi="黑体" w:eastAsia="黑体" w:cs="黑体"/>
          <w:bCs/>
          <w:sz w:val="32"/>
          <w:szCs w:val="32"/>
        </w:rPr>
      </w:pPr>
      <w:bookmarkStart w:id="226" w:name="_Toc14080"/>
      <w:r>
        <w:rPr>
          <w:rFonts w:hint="eastAsia" w:ascii="黑体" w:hAnsi="黑体" w:eastAsia="黑体" w:cs="黑体"/>
          <w:bCs/>
          <w:sz w:val="32"/>
          <w:szCs w:val="32"/>
        </w:rPr>
        <w:t>三、绩效分析</w:t>
      </w:r>
      <w:bookmarkEnd w:id="226"/>
      <w:r>
        <w:rPr>
          <w:rFonts w:hint="eastAsia" w:ascii="黑体" w:hAnsi="黑体" w:eastAsia="黑体" w:cs="黑体"/>
          <w:bCs/>
          <w:sz w:val="32"/>
          <w:szCs w:val="32"/>
        </w:rPr>
        <w:tab/>
      </w:r>
    </w:p>
    <w:p w14:paraId="64343F7F">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（一）通用指标</w:t>
      </w:r>
      <w:r>
        <w:rPr>
          <w:rFonts w:ascii="楷体_GB2312" w:hAnsi="宋体" w:eastAsia="楷体_GB2312"/>
          <w:b/>
          <w:sz w:val="32"/>
          <w:szCs w:val="32"/>
          <w:lang w:val="zh-CN"/>
        </w:rPr>
        <w:t>绩效分析。</w:t>
      </w:r>
    </w:p>
    <w:p w14:paraId="447A8F54">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1.项目决策</w:t>
      </w:r>
    </w:p>
    <w:p w14:paraId="0BADA8F7">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设立经过严格评估论证和集体决策，与部门职责相符，符合地方事权支出责任划分原则，与相关部门同类项目或部门内部相关项目不重复，规划与现实需求匹配，项目指导意见、管理办法、申报指南、实施细则等管理制度完善，不存在脱离实际、缺陷、漏洞导致执行偏离预期。综上所述，该项绩效自评得分18分，评价结果为“优”。</w:t>
      </w:r>
    </w:p>
    <w:p w14:paraId="1B863B5A">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2.项目管理</w:t>
      </w:r>
    </w:p>
    <w:p w14:paraId="58FA5C3A">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分局严格按照国库集中支付制度相关规定办理支付业务，遵循“先有预算、后有支出”、历行节约的原则，项目经费按照财政预算金额和资金规定的使用范围列支。同时，严格按照项目预算绩效目标要求，专款专用。综上所述，该项绩效自评得分18分，评价结果为“优”。</w:t>
      </w:r>
    </w:p>
    <w:p w14:paraId="560B727A">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3.项目实施</w:t>
      </w:r>
    </w:p>
    <w:p w14:paraId="2796F0EE">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资金分配结果与规划计划一致；按规定及时分配专项预算资金项目。资金符合国家财经法规和财务管理制度及有关专项资金管理办法规定；资金拨付有完整的审批程序和手续；符合项目预算批复或合同规定用途；不存在截留、挤占、挪用、虚列支出等情况。综上所述，该项绩效自评得分9分，评价结果为“优”。</w:t>
      </w:r>
    </w:p>
    <w:p w14:paraId="0B0D8689">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4.项目结果</w:t>
      </w:r>
    </w:p>
    <w:p w14:paraId="6E79D70F">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截止2023年12月31日，该项目预算资金到位率100%</w:t>
      </w:r>
      <w:r>
        <w:rPr>
          <w:rFonts w:hint="eastAsia" w:ascii="仿宋_GB2312" w:hAnsi="Nimbus Roman No9 L" w:eastAsia="仿宋_GB2312" w:cs="Arial"/>
          <w:sz w:val="32"/>
          <w:szCs w:val="32"/>
          <w:lang w:eastAsia="zh-CN"/>
        </w:rPr>
        <w:t>，</w:t>
      </w:r>
      <w:r>
        <w:rPr>
          <w:rFonts w:hint="eastAsia" w:ascii="仿宋_GB2312" w:hAnsi="Nimbus Roman No9 L" w:eastAsia="仿宋_GB2312" w:cs="Arial"/>
          <w:sz w:val="32"/>
          <w:szCs w:val="32"/>
        </w:rPr>
        <w:t>预算执行率100%，资金使用合规合法，与预算相符。项目实施效果与绩效目标相符合。通过该项目的实施，保障机场空防安全，完成各项安保维稳工作，确保机场辖区社会治安秩序持续稳定。综上所述，该项绩效自评得分9分，评价结果为“优”。</w:t>
      </w:r>
    </w:p>
    <w:p w14:paraId="64A6548B">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（二）专用指标</w:t>
      </w:r>
      <w:r>
        <w:rPr>
          <w:rFonts w:ascii="楷体_GB2312" w:hAnsi="宋体" w:eastAsia="楷体_GB2312"/>
          <w:b/>
          <w:sz w:val="32"/>
          <w:szCs w:val="32"/>
          <w:lang w:val="zh-CN"/>
        </w:rPr>
        <w:t>绩效分析</w:t>
      </w:r>
    </w:p>
    <w:p w14:paraId="2F4CECF3">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行政运转：按规定用途、适用范围进行该专项资金分配，资金管理程序符合专项资金管理要求，资金分配标准符合专项资金管理要求。综上所述，该项绩效自评得分30分，评价结果为“优”。</w:t>
      </w:r>
    </w:p>
    <w:p w14:paraId="3279B4E3">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（三）个性指标</w:t>
      </w:r>
      <w:r>
        <w:rPr>
          <w:rFonts w:ascii="楷体_GB2312" w:hAnsi="宋体" w:eastAsia="楷体_GB2312"/>
          <w:b/>
          <w:sz w:val="32"/>
          <w:szCs w:val="32"/>
          <w:lang w:val="zh-CN"/>
        </w:rPr>
        <w:t>绩效分析</w:t>
      </w:r>
    </w:p>
    <w:p w14:paraId="33EF2DC0">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1.满意度指标：满意率90%，完成目标值90%。</w:t>
      </w:r>
    </w:p>
    <w:p w14:paraId="7C848F1E">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2.质量指标：任务完成率100%，完成目标值100%。</w:t>
      </w:r>
    </w:p>
    <w:p w14:paraId="44835F99">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综上所述，该项绩效自评得分16分，评价结果为“优”。</w:t>
      </w:r>
    </w:p>
    <w:p w14:paraId="7A2E3FD3">
      <w:pPr>
        <w:adjustRightInd w:val="0"/>
        <w:snapToGrid w:val="0"/>
        <w:spacing w:line="580" w:lineRule="exact"/>
        <w:ind w:firstLine="720"/>
        <w:outlineLvl w:val="1"/>
        <w:rPr>
          <w:rFonts w:ascii="黑体" w:hAnsi="黑体" w:eastAsia="黑体" w:cs="黑体"/>
          <w:bCs/>
          <w:sz w:val="32"/>
          <w:szCs w:val="32"/>
        </w:rPr>
      </w:pPr>
      <w:bookmarkStart w:id="227" w:name="_Toc12555"/>
      <w:r>
        <w:rPr>
          <w:rFonts w:hint="eastAsia" w:ascii="黑体" w:hAnsi="黑体" w:eastAsia="黑体" w:cs="黑体"/>
          <w:bCs/>
          <w:sz w:val="32"/>
          <w:szCs w:val="32"/>
        </w:rPr>
        <w:t>四、评价结论</w:t>
      </w:r>
      <w:bookmarkEnd w:id="227"/>
    </w:p>
    <w:p w14:paraId="341216FD">
      <w:pPr>
        <w:adjustRightInd w:val="0"/>
        <w:snapToGrid w:val="0"/>
        <w:spacing w:line="600" w:lineRule="exact"/>
        <w:ind w:firstLine="640" w:firstLineChars="200"/>
        <w:rPr>
          <w:rFonts w:ascii="黑体" w:hAnsi="黑体" w:cs="黑体"/>
        </w:rPr>
      </w:pPr>
      <w:r>
        <w:rPr>
          <w:rFonts w:hint="eastAsia" w:ascii="仿宋_GB2312" w:hAnsi="Nimbus Roman No9 L" w:eastAsia="仿宋_GB2312" w:cs="Arial"/>
          <w:sz w:val="32"/>
          <w:szCs w:val="32"/>
        </w:rPr>
        <w:t>从该项目完绩效目标完成情况来看，我局严格按照相关项目和财务管理要求贯彻执行，未发生虚报、套取、挤占、挪用或报销不合理开支等行为。在项目资金使用和管理方面，进一步强化资金统筹，优化资金结构，明确开支范围，细化资金用途，确保各项工作任务顺利完成。综上所述，该项目绩效自评得分100.00分，评价结果为“优”。</w:t>
      </w:r>
    </w:p>
    <w:p w14:paraId="78B43FF9">
      <w:pPr>
        <w:adjustRightInd w:val="0"/>
        <w:snapToGrid w:val="0"/>
        <w:spacing w:line="580" w:lineRule="exact"/>
        <w:ind w:firstLine="720"/>
        <w:outlineLvl w:val="1"/>
        <w:rPr>
          <w:rFonts w:ascii="黑体" w:hAnsi="黑体" w:eastAsia="黑体" w:cs="黑体"/>
          <w:bCs/>
          <w:sz w:val="32"/>
          <w:szCs w:val="32"/>
        </w:rPr>
      </w:pPr>
      <w:bookmarkStart w:id="228" w:name="_Toc16691"/>
      <w:r>
        <w:rPr>
          <w:rFonts w:hint="eastAsia" w:ascii="黑体" w:hAnsi="黑体" w:eastAsia="黑体" w:cs="黑体"/>
          <w:bCs/>
          <w:sz w:val="32"/>
          <w:szCs w:val="32"/>
        </w:rPr>
        <w:t>五、存在主要问题</w:t>
      </w:r>
      <w:bookmarkEnd w:id="228"/>
    </w:p>
    <w:p w14:paraId="134987A5">
      <w:pPr>
        <w:pStyle w:val="5"/>
        <w:spacing w:line="600" w:lineRule="exact"/>
        <w:ind w:firstLine="640" w:firstLineChars="200"/>
        <w:rPr>
          <w:rFonts w:ascii="仿宋_GB2312" w:hAnsi="仿宋_GB2312" w:eastAsia="仿宋_GB2312" w:cs="仿宋_GB2312"/>
          <w:sz w:val="32"/>
          <w:szCs w:val="32"/>
          <w:shd w:val="clear" w:color="auto" w:fill="FFFFFF"/>
        </w:rPr>
      </w:pPr>
      <w:r>
        <w:rPr>
          <w:rFonts w:hint="eastAsia" w:ascii="仿宋_GB2312" w:hAnsi="仿宋_GB2312" w:eastAsia="仿宋_GB2312" w:cs="仿宋_GB2312"/>
          <w:kern w:val="0"/>
          <w:sz w:val="32"/>
          <w:szCs w:val="32"/>
          <w:shd w:val="clear" w:color="auto" w:fill="FFFFFF"/>
        </w:rPr>
        <w:t>无</w:t>
      </w:r>
    </w:p>
    <w:p w14:paraId="13E4D9BD">
      <w:pPr>
        <w:adjustRightInd w:val="0"/>
        <w:snapToGrid w:val="0"/>
        <w:spacing w:line="580" w:lineRule="exact"/>
        <w:ind w:firstLine="720"/>
        <w:outlineLvl w:val="1"/>
        <w:rPr>
          <w:rFonts w:ascii="黑体" w:hAnsi="黑体" w:eastAsia="黑体" w:cs="黑体"/>
          <w:bCs/>
          <w:sz w:val="32"/>
          <w:szCs w:val="32"/>
        </w:rPr>
      </w:pPr>
      <w:bookmarkStart w:id="229" w:name="_Toc25170"/>
      <w:r>
        <w:rPr>
          <w:rFonts w:hint="eastAsia" w:ascii="黑体" w:hAnsi="黑体" w:eastAsia="黑体" w:cs="黑体"/>
          <w:bCs/>
          <w:sz w:val="32"/>
          <w:szCs w:val="32"/>
        </w:rPr>
        <w:t>六、改进建议</w:t>
      </w:r>
      <w:bookmarkEnd w:id="229"/>
    </w:p>
    <w:p w14:paraId="55B2BA47">
      <w:pPr>
        <w:pStyle w:val="5"/>
        <w:spacing w:line="600" w:lineRule="exact"/>
        <w:ind w:firstLine="640" w:firstLineChars="200"/>
        <w:rPr>
          <w:rFonts w:ascii="仿宋_GB2312" w:hAnsi="仿宋_GB2312" w:cs="仿宋_GB2312"/>
          <w:sz w:val="32"/>
          <w:szCs w:val="32"/>
          <w:shd w:val="clear" w:color="auto" w:fill="FFFFFF"/>
        </w:rPr>
      </w:pPr>
      <w:r>
        <w:rPr>
          <w:rFonts w:hint="eastAsia" w:ascii="仿宋_GB2312" w:hAnsi="仿宋_GB2312" w:eastAsia="仿宋_GB2312" w:cs="仿宋_GB2312"/>
          <w:kern w:val="0"/>
          <w:sz w:val="32"/>
          <w:szCs w:val="32"/>
          <w:shd w:val="clear" w:color="auto" w:fill="FFFFFF"/>
        </w:rPr>
        <w:t>无</w:t>
      </w:r>
    </w:p>
    <w:p w14:paraId="0FF71362">
      <w:pPr>
        <w:pStyle w:val="28"/>
        <w:spacing w:line="600" w:lineRule="exact"/>
        <w:jc w:val="center"/>
        <w:rPr>
          <w:rFonts w:ascii="方正小标宋简体" w:hAnsi="方正小标宋简体" w:eastAsia="方正小标宋简体" w:cs="方正小标宋简体"/>
          <w:bCs/>
          <w:sz w:val="44"/>
          <w:szCs w:val="44"/>
          <w:lang w:val="en-US"/>
        </w:rPr>
      </w:pPr>
      <w:r>
        <w:rPr>
          <w:rFonts w:hint="eastAsia" w:ascii="方正小标宋简体" w:hAnsi="方正小标宋简体" w:eastAsia="方正小标宋简体" w:cs="方正小标宋简体"/>
          <w:bCs/>
          <w:sz w:val="44"/>
          <w:szCs w:val="44"/>
          <w:lang w:val="en-US"/>
        </w:rPr>
        <w:t>广元市公安局机场分局</w:t>
      </w:r>
    </w:p>
    <w:p w14:paraId="5ABFD052">
      <w:pPr>
        <w:pStyle w:val="28"/>
        <w:spacing w:line="600" w:lineRule="exact"/>
        <w:jc w:val="center"/>
        <w:rPr>
          <w:rFonts w:ascii="方正小标宋简体" w:hAnsi="方正小标宋简体" w:eastAsia="方正小标宋简体" w:cs="方正小标宋简体"/>
          <w:color w:val="auto"/>
          <w:kern w:val="2"/>
          <w:sz w:val="32"/>
          <w:szCs w:val="32"/>
          <w:lang w:val="en-US"/>
        </w:rPr>
      </w:pPr>
      <w:r>
        <w:rPr>
          <w:rFonts w:hint="eastAsia" w:ascii="方正小标宋简体" w:hAnsi="方正小标宋简体" w:eastAsia="方正小标宋简体" w:cs="方正小标宋简体"/>
          <w:color w:val="auto"/>
          <w:kern w:val="2"/>
          <w:sz w:val="44"/>
          <w:szCs w:val="44"/>
          <w:lang w:val="en-US"/>
        </w:rPr>
        <w:t>警务辅助专项经费绩效评价报告</w:t>
      </w:r>
    </w:p>
    <w:p w14:paraId="54C826E8">
      <w:pPr>
        <w:pStyle w:val="28"/>
        <w:spacing w:line="578" w:lineRule="exact"/>
        <w:ind w:firstLine="640"/>
        <w:jc w:val="center"/>
        <w:rPr>
          <w:rFonts w:ascii="宋体" w:hAnsi="宋体"/>
          <w:color w:val="auto"/>
          <w:kern w:val="2"/>
          <w:sz w:val="32"/>
          <w:szCs w:val="32"/>
        </w:rPr>
      </w:pPr>
    </w:p>
    <w:p w14:paraId="23CA8D60">
      <w:pPr>
        <w:adjustRightInd w:val="0"/>
        <w:snapToGrid w:val="0"/>
        <w:spacing w:line="580" w:lineRule="exact"/>
        <w:ind w:firstLine="720"/>
        <w:outlineLvl w:val="1"/>
        <w:rPr>
          <w:rFonts w:ascii="黑体" w:hAnsi="黑体" w:eastAsia="黑体" w:cs="黑体"/>
          <w:bCs/>
          <w:sz w:val="32"/>
          <w:szCs w:val="32"/>
        </w:rPr>
      </w:pPr>
      <w:bookmarkStart w:id="230" w:name="_Toc25823"/>
      <w:r>
        <w:rPr>
          <w:rFonts w:hint="eastAsia" w:ascii="黑体" w:hAnsi="黑体" w:eastAsia="黑体" w:cs="黑体"/>
          <w:bCs/>
          <w:sz w:val="32"/>
          <w:szCs w:val="32"/>
        </w:rPr>
        <w:t>一、项目概况</w:t>
      </w:r>
      <w:bookmarkEnd w:id="230"/>
    </w:p>
    <w:p w14:paraId="64290937">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（一）设立背景及基本情况</w:t>
      </w:r>
    </w:p>
    <w:p w14:paraId="5EABB093">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 xml:space="preserve">1.机场分局主要对项目资金执行进度、项目资金使用情况进行监督。 </w:t>
      </w:r>
    </w:p>
    <w:p w14:paraId="41A027E6">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2.依照公安部、省公安厅、市公安局和分局对辅警工作运转和业务培训的相关要求，对分局辅警人员工作经费项目进行立项申报。</w:t>
      </w:r>
    </w:p>
    <w:p w14:paraId="1F98995C">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3. 按照公安厅、财政厅业务培训等相关经费要求，机场分局对项目资金进行管理，严格按照规定的范围支持和审核资金的支付。</w:t>
      </w:r>
    </w:p>
    <w:p w14:paraId="151AE770">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4.按照项目的使用范围，坚持实事求是的原则，严格资金分配。</w:t>
      </w:r>
    </w:p>
    <w:p w14:paraId="5D9A52FE">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p>
    <w:p w14:paraId="0C194D6D">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 完成对全局10名警务辅助人员的工作正常运转保障及工作业务培训。包括培训费、服装费、装备费等。</w:t>
      </w:r>
    </w:p>
    <w:p w14:paraId="189C6D0A">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 申报的辅警人员工作经费符合公安机关的职业特点和工作实际，提高对违法犯罪行为的惩治力度，确保我市社会政治和治安大局持续稳定。参考历年实际资金支出情况，项目科学合理，执行进度100%。</w:t>
      </w:r>
    </w:p>
    <w:p w14:paraId="28C2E5F9">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3.申报内容与实际相符，申报目标合理可行。</w:t>
      </w:r>
    </w:p>
    <w:p w14:paraId="32DF401A">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p>
    <w:p w14:paraId="4C3270F7">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警务辅助项目经费申报金额为45万元，经人大审核批准，预算批复为45万元。该项目经费申报符合资金管理办法相关规定。</w:t>
      </w:r>
    </w:p>
    <w:p w14:paraId="18993332">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（四）项目绩效目标设置。</w:t>
      </w:r>
    </w:p>
    <w:p w14:paraId="2D1E0304">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根据《广元市市级财政预算管理办法》，本着相关性、重要性、可比性、系统性原则设定评价指标及评价标准 ，按照百分制评分，设置产出指标权重40%，包括数量、质量、时效等；成本指标权重20%；效益指标权重20%，包括经济效益、社会效益等；满意度指标权重10%；预算执行指标权重10%。项目申报单位按照市财政局文件要求对项目绩效自评后，报分局办公室对绩效自评情况进行部门审核。分局依照相关管理办法，组织财务、审计及经费预算申报项目单位等，严格按照市财政局项目绩效评价体系对项目进行审核，严格打分。</w:t>
      </w:r>
    </w:p>
    <w:p w14:paraId="42FBCCCB">
      <w:pPr>
        <w:adjustRightInd w:val="0"/>
        <w:snapToGrid w:val="0"/>
        <w:spacing w:line="580" w:lineRule="exact"/>
        <w:ind w:firstLine="720"/>
        <w:outlineLvl w:val="1"/>
        <w:rPr>
          <w:rFonts w:ascii="黑体" w:hAnsi="黑体" w:eastAsia="黑体" w:cs="黑体"/>
          <w:bCs/>
          <w:sz w:val="32"/>
          <w:szCs w:val="32"/>
        </w:rPr>
      </w:pPr>
      <w:bookmarkStart w:id="231" w:name="_Toc23400"/>
      <w:r>
        <w:rPr>
          <w:rFonts w:hint="eastAsia" w:ascii="黑体" w:hAnsi="黑体" w:eastAsia="黑体" w:cs="黑体"/>
          <w:bCs/>
          <w:sz w:val="32"/>
          <w:szCs w:val="32"/>
        </w:rPr>
        <w:t>二、评价实施</w:t>
      </w:r>
      <w:bookmarkEnd w:id="231"/>
    </w:p>
    <w:p w14:paraId="228EA0E5">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（一）评价目的</w:t>
      </w:r>
    </w:p>
    <w:p w14:paraId="34805E9B">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严格落实《预算法》及省、市绩效管理工作的有关规定，进一步规范财政资金的管理，强化财政支出绩效理念，提高资金使用效益，促进公安工作的发展。</w:t>
      </w:r>
    </w:p>
    <w:p w14:paraId="2B8A8938">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（二）预设问题及评价重点</w:t>
      </w:r>
    </w:p>
    <w:p w14:paraId="63E69BCA">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1.该项目在预算范围内按时完成，有效控制了成本，提升了资金分配的合理性和资金使用效率。</w:t>
      </w:r>
    </w:p>
    <w:p w14:paraId="0788422D">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2.项目达到预期，保障了辅警薪资待遇，增强了对维护社会治安的辅助作用，带动了就业率，促进了社会和谐稳定及队伍稳定，辅警满意度进一步提高。</w:t>
      </w:r>
    </w:p>
    <w:p w14:paraId="22D1F711">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（三）评价选点</w:t>
      </w:r>
    </w:p>
    <w:p w14:paraId="3D042344">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对辅警进行了满意度问卷调查，满意度为95%。</w:t>
      </w:r>
    </w:p>
    <w:p w14:paraId="0EF48201">
      <w:pPr>
        <w:adjustRightInd w:val="0"/>
        <w:snapToGrid w:val="0"/>
        <w:spacing w:line="560" w:lineRule="exact"/>
        <w:ind w:firstLine="720"/>
        <w:rPr>
          <w:rFonts w:ascii="楷体_GB2312" w:hAnsi="宋体" w:eastAsia="楷体_GB2312"/>
          <w:b/>
          <w:lang w:val="zh-CN"/>
        </w:rPr>
      </w:pPr>
      <w:r>
        <w:rPr>
          <w:rFonts w:hint="eastAsia" w:ascii="楷体_GB2312" w:hAnsi="宋体" w:eastAsia="楷体_GB2312"/>
          <w:b/>
          <w:sz w:val="32"/>
          <w:szCs w:val="32"/>
          <w:lang w:val="zh-CN"/>
        </w:rPr>
        <w:t>（四）评价方法</w:t>
      </w:r>
    </w:p>
    <w:p w14:paraId="4A3F0911">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采用定性描述、定量分析法，客观确定项目预期绩效目标的实现程度。采用比较法，对比实现成效一绩效目标的偏差，进行效益分析。</w:t>
      </w:r>
    </w:p>
    <w:p w14:paraId="473FFC6C">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（五）评价组织</w:t>
      </w:r>
    </w:p>
    <w:p w14:paraId="42F2ECAC">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分局成立了绩效自评工作小组，统一组织实施绩效自评工作，由分局党委委员、政委任组长，政工监督室、指挥中心（办公室）主任为小组成员，对全年项目资金全面考核自评。</w:t>
      </w:r>
    </w:p>
    <w:p w14:paraId="379F79F4">
      <w:pPr>
        <w:adjustRightInd w:val="0"/>
        <w:snapToGrid w:val="0"/>
        <w:spacing w:line="580" w:lineRule="exact"/>
        <w:ind w:firstLine="720"/>
        <w:outlineLvl w:val="1"/>
        <w:rPr>
          <w:rFonts w:ascii="黑体" w:hAnsi="黑体" w:eastAsia="黑体" w:cs="黑体"/>
          <w:bCs/>
          <w:sz w:val="32"/>
          <w:szCs w:val="32"/>
        </w:rPr>
      </w:pPr>
      <w:bookmarkStart w:id="232" w:name="_Toc11633"/>
      <w:r>
        <w:rPr>
          <w:rFonts w:hint="eastAsia" w:ascii="黑体" w:hAnsi="黑体" w:eastAsia="黑体" w:cs="黑体"/>
          <w:bCs/>
          <w:sz w:val="32"/>
          <w:szCs w:val="32"/>
        </w:rPr>
        <w:t>三、绩效分析</w:t>
      </w:r>
      <w:bookmarkEnd w:id="232"/>
      <w:r>
        <w:rPr>
          <w:rFonts w:hint="eastAsia" w:ascii="黑体" w:hAnsi="黑体" w:eastAsia="黑体" w:cs="黑体"/>
          <w:bCs/>
          <w:sz w:val="32"/>
          <w:szCs w:val="32"/>
        </w:rPr>
        <w:tab/>
      </w:r>
    </w:p>
    <w:p w14:paraId="3E78E03E">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（一）通用指标</w:t>
      </w:r>
      <w:r>
        <w:rPr>
          <w:rFonts w:ascii="楷体_GB2312" w:hAnsi="宋体" w:eastAsia="楷体_GB2312"/>
          <w:b/>
          <w:sz w:val="32"/>
          <w:szCs w:val="32"/>
          <w:lang w:val="zh-CN"/>
        </w:rPr>
        <w:t>绩效分析。</w:t>
      </w:r>
    </w:p>
    <w:p w14:paraId="694C387D">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1.项目决策</w:t>
      </w:r>
    </w:p>
    <w:p w14:paraId="268971B1">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设立经过严格评估论证和集体决策，与部门职责相符，符合地方事权支出责任划分原则，与相关部门同类项目或部门内部相关项目不重复，规划与现实需求匹配，项目指导意见、管理办法、申报指南、实施细则等管理制度完善，不存在脱离实际、缺陷、漏洞导致执行偏离预期。综上所述，该项绩效自评得分18分，评价结果为“优”。</w:t>
      </w:r>
    </w:p>
    <w:p w14:paraId="510D3599">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2.项目管理</w:t>
      </w:r>
    </w:p>
    <w:p w14:paraId="56FA3DFB">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分局严格按照国库集中支付制度相关规定办理支付业务，遵循“先有预算、后有支出”、历行节约的原则，项目经费按照财政预算金额和资金规定的使用范围列支。同时，严格按照项目预算绩效目标要求，专款专用。综上所述，该项绩效自评得分18分，评价结果为“优”。</w:t>
      </w:r>
    </w:p>
    <w:p w14:paraId="327E484B">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项目实施</w:t>
      </w:r>
    </w:p>
    <w:p w14:paraId="409D6F5D">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资金分配结果与规划计划一致；按规定及时分配专项预算资金项目。资金符合国家财经法规和财务管理制度及有关专项资金管理办法规定；资金拨付有完整的审批程序和手续；符合项目预算批复或合同规定用途；不存在截留、挤占、挪用、虚列支出等情况。综上所述，该项绩效自评得分9分，评价结果为“优”。</w:t>
      </w:r>
    </w:p>
    <w:p w14:paraId="36A89715">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4.项目结果</w:t>
      </w:r>
    </w:p>
    <w:p w14:paraId="118A2DD0">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截止2023年12月31日，该项目预算资金到位率100%</w:t>
      </w:r>
      <w:r>
        <w:rPr>
          <w:rFonts w:hint="eastAsia" w:ascii="仿宋_GB2312" w:hAnsi="Nimbus Roman No9 L" w:eastAsia="仿宋_GB2312" w:cs="Arial"/>
          <w:sz w:val="32"/>
          <w:szCs w:val="32"/>
          <w:lang w:eastAsia="zh-CN"/>
        </w:rPr>
        <w:t>，</w:t>
      </w:r>
      <w:r>
        <w:rPr>
          <w:rFonts w:hint="eastAsia" w:ascii="仿宋_GB2312" w:hAnsi="Nimbus Roman No9 L" w:eastAsia="仿宋_GB2312" w:cs="Arial"/>
          <w:sz w:val="32"/>
          <w:szCs w:val="32"/>
        </w:rPr>
        <w:t>预算执行率100%，资金使用合规合法，与预算相符。有效提升了辅警工作人员的技能，增强了对维护社会治安的辅助作用，带动了就业率，促进了社会和谐稳定及队伍稳定，辅警满意度进一步提高。综上所述，该项绩效自评得分9分，评价结果为“优”。</w:t>
      </w:r>
    </w:p>
    <w:p w14:paraId="1F41E459">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（二）专用指标</w:t>
      </w:r>
      <w:r>
        <w:rPr>
          <w:rFonts w:ascii="楷体_GB2312" w:hAnsi="宋体" w:eastAsia="楷体_GB2312"/>
          <w:b/>
          <w:sz w:val="32"/>
          <w:szCs w:val="32"/>
          <w:lang w:val="zh-CN"/>
        </w:rPr>
        <w:t>绩效分析</w:t>
      </w:r>
    </w:p>
    <w:p w14:paraId="64791716">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行政运转：按规定用途、适用范围进行该专项资金分配，资金管理程序符合专项资金管理要求，资金分配标准符合专项资金管理要求。综上所述，该项绩效自评得分30分，评价结果为“优”。</w:t>
      </w:r>
    </w:p>
    <w:p w14:paraId="460FEFD3">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（三）个性指标</w:t>
      </w:r>
      <w:r>
        <w:rPr>
          <w:rFonts w:ascii="楷体_GB2312" w:hAnsi="宋体" w:eastAsia="楷体_GB2312"/>
          <w:b/>
          <w:sz w:val="32"/>
          <w:szCs w:val="32"/>
          <w:lang w:val="zh-CN"/>
        </w:rPr>
        <w:t>绩效分析</w:t>
      </w:r>
    </w:p>
    <w:p w14:paraId="13F26266">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1.数量指标：警务辅助保障人数10人，完成目标值10人。</w:t>
      </w:r>
    </w:p>
    <w:p w14:paraId="3C1D39CD">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2.满意度指标：辅警满意度指标值95%，完成目标值95%。</w:t>
      </w:r>
    </w:p>
    <w:p w14:paraId="4BD4A1C8">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综上所述，该项绩效自评得分16分，评价结果为“优”。</w:t>
      </w:r>
    </w:p>
    <w:p w14:paraId="118974B8">
      <w:pPr>
        <w:adjustRightInd w:val="0"/>
        <w:snapToGrid w:val="0"/>
        <w:spacing w:line="580" w:lineRule="exact"/>
        <w:ind w:firstLine="720"/>
        <w:outlineLvl w:val="1"/>
        <w:rPr>
          <w:rFonts w:ascii="黑体" w:hAnsi="黑体" w:eastAsia="黑体" w:cs="黑体"/>
          <w:bCs/>
          <w:sz w:val="32"/>
          <w:szCs w:val="32"/>
        </w:rPr>
      </w:pPr>
      <w:bookmarkStart w:id="233" w:name="_Toc720"/>
      <w:r>
        <w:rPr>
          <w:rFonts w:hint="eastAsia" w:ascii="黑体" w:hAnsi="黑体" w:eastAsia="黑体" w:cs="黑体"/>
          <w:bCs/>
          <w:sz w:val="32"/>
          <w:szCs w:val="32"/>
        </w:rPr>
        <w:t>四、评价结论</w:t>
      </w:r>
      <w:bookmarkEnd w:id="233"/>
    </w:p>
    <w:p w14:paraId="0D0AB968">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从该项目完绩效目标完成情况来看，我局严格按照相关项目和财务管理要求贯彻执行，未发生虚报、套取、挤占、挪用或报销不合理开支等行为。在项目资金使用和管理方面，进一步强化资金统筹，优化资金结构，明确开支范围，细化资金用途，确保各项工作任务顺利完成。综上所述，该项目绩效自评得分100.00分，评价结果为“优”。</w:t>
      </w:r>
    </w:p>
    <w:p w14:paraId="6A6856E2">
      <w:pPr>
        <w:adjustRightInd w:val="0"/>
        <w:snapToGrid w:val="0"/>
        <w:spacing w:line="580" w:lineRule="exact"/>
        <w:ind w:firstLine="720"/>
        <w:outlineLvl w:val="1"/>
        <w:rPr>
          <w:rFonts w:ascii="黑体" w:hAnsi="黑体" w:eastAsia="黑体" w:cs="黑体"/>
          <w:bCs/>
          <w:sz w:val="32"/>
          <w:szCs w:val="32"/>
        </w:rPr>
      </w:pPr>
      <w:bookmarkStart w:id="234" w:name="_Toc25678"/>
      <w:r>
        <w:rPr>
          <w:rFonts w:hint="eastAsia" w:ascii="黑体" w:hAnsi="黑体" w:eastAsia="黑体" w:cs="黑体"/>
          <w:bCs/>
          <w:sz w:val="32"/>
          <w:szCs w:val="32"/>
        </w:rPr>
        <w:t>五、存在主要问题</w:t>
      </w:r>
      <w:bookmarkEnd w:id="234"/>
    </w:p>
    <w:p w14:paraId="1B996A62">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基本待遇低，辅警不能安心工作，辅警更换勤，导致工作效率低。</w:t>
      </w:r>
    </w:p>
    <w:p w14:paraId="4D4FE8F4">
      <w:pPr>
        <w:adjustRightInd w:val="0"/>
        <w:snapToGrid w:val="0"/>
        <w:spacing w:line="580" w:lineRule="exact"/>
        <w:ind w:firstLine="720"/>
        <w:outlineLvl w:val="1"/>
        <w:rPr>
          <w:rFonts w:ascii="黑体" w:hAnsi="黑体" w:eastAsia="黑体" w:cs="黑体"/>
          <w:bCs/>
          <w:sz w:val="32"/>
          <w:szCs w:val="32"/>
        </w:rPr>
      </w:pPr>
      <w:bookmarkStart w:id="235" w:name="_Toc13777"/>
      <w:r>
        <w:rPr>
          <w:rFonts w:hint="eastAsia" w:ascii="黑体" w:hAnsi="黑体" w:eastAsia="黑体" w:cs="黑体"/>
          <w:bCs/>
          <w:sz w:val="32"/>
          <w:szCs w:val="32"/>
        </w:rPr>
        <w:t>六、改进建议</w:t>
      </w:r>
      <w:bookmarkEnd w:id="235"/>
    </w:p>
    <w:p w14:paraId="68F82993">
      <w:pPr>
        <w:adjustRightInd w:val="0"/>
        <w:snapToGrid w:val="0"/>
        <w:spacing w:line="600" w:lineRule="exact"/>
        <w:ind w:firstLine="640" w:firstLineChars="200"/>
        <w:rPr>
          <w:rFonts w:ascii="仿宋_GB2312" w:hAnsi="Nimbus Roman No9 L" w:eastAsia="仿宋_GB2312" w:cs="Arial"/>
          <w:sz w:val="32"/>
          <w:szCs w:val="32"/>
        </w:rPr>
      </w:pPr>
      <w:r>
        <w:rPr>
          <w:rFonts w:hint="eastAsia" w:ascii="仿宋_GB2312" w:hAnsi="Nimbus Roman No9 L" w:eastAsia="仿宋_GB2312" w:cs="Arial"/>
          <w:sz w:val="32"/>
          <w:szCs w:val="32"/>
        </w:rPr>
        <w:t>提高辅警保障水平，激发工作活力，让辅警创造性地主动开展工作，提升工作效率。</w:t>
      </w:r>
    </w:p>
    <w:p w14:paraId="4DCC4A07">
      <w:pPr>
        <w:pStyle w:val="28"/>
        <w:spacing w:line="600" w:lineRule="exact"/>
        <w:jc w:val="center"/>
        <w:rPr>
          <w:rFonts w:ascii="方正小标宋简体" w:hAnsi="方正小标宋简体" w:eastAsia="方正小标宋简体" w:cs="方正小标宋简体"/>
          <w:bCs/>
          <w:sz w:val="44"/>
          <w:szCs w:val="44"/>
          <w:lang w:val="en-US"/>
        </w:rPr>
      </w:pPr>
      <w:r>
        <w:rPr>
          <w:rFonts w:hint="eastAsia" w:ascii="方正小标宋简体" w:hAnsi="方正小标宋简体" w:eastAsia="方正小标宋简体" w:cs="方正小标宋简体"/>
          <w:bCs/>
          <w:sz w:val="44"/>
          <w:szCs w:val="44"/>
          <w:lang w:val="en-US"/>
        </w:rPr>
        <w:t>广元市公安局机场分局</w:t>
      </w:r>
    </w:p>
    <w:p w14:paraId="07A6920C">
      <w:pPr>
        <w:pStyle w:val="28"/>
        <w:spacing w:line="600" w:lineRule="exact"/>
        <w:jc w:val="center"/>
        <w:rPr>
          <w:rFonts w:ascii="方正小标宋简体" w:hAnsi="方正小标宋简体" w:eastAsia="方正小标宋简体" w:cs="方正小标宋简体"/>
          <w:bCs/>
          <w:sz w:val="44"/>
          <w:szCs w:val="44"/>
          <w:lang w:val="en-US"/>
        </w:rPr>
      </w:pPr>
      <w:r>
        <w:rPr>
          <w:rFonts w:hint="eastAsia" w:ascii="方正小标宋简体" w:hAnsi="方正小标宋简体" w:eastAsia="方正小标宋简体" w:cs="方正小标宋简体"/>
          <w:bCs/>
          <w:sz w:val="44"/>
          <w:szCs w:val="44"/>
          <w:lang w:val="en-US"/>
        </w:rPr>
        <w:t>乡村振兴工作经费</w:t>
      </w:r>
      <w:r>
        <w:rPr>
          <w:rFonts w:hint="eastAsia" w:ascii="方正小标宋简体" w:hAnsi="方正小标宋简体" w:eastAsia="方正小标宋简体" w:cs="方正小标宋简体"/>
          <w:color w:val="auto"/>
          <w:kern w:val="2"/>
          <w:sz w:val="44"/>
          <w:szCs w:val="44"/>
          <w:lang w:val="en-US"/>
        </w:rPr>
        <w:t>绩效评价报告</w:t>
      </w:r>
    </w:p>
    <w:p w14:paraId="40B98B9C">
      <w:pPr>
        <w:pStyle w:val="28"/>
        <w:spacing w:line="578" w:lineRule="exact"/>
        <w:ind w:firstLine="640"/>
        <w:jc w:val="center"/>
        <w:rPr>
          <w:rFonts w:ascii="宋体" w:hAnsi="宋体"/>
          <w:color w:val="auto"/>
          <w:kern w:val="2"/>
          <w:sz w:val="32"/>
          <w:szCs w:val="32"/>
        </w:rPr>
      </w:pPr>
    </w:p>
    <w:p w14:paraId="4798CEF1">
      <w:pPr>
        <w:adjustRightInd w:val="0"/>
        <w:snapToGrid w:val="0"/>
        <w:spacing w:line="580" w:lineRule="exact"/>
        <w:ind w:firstLine="720"/>
        <w:outlineLvl w:val="1"/>
        <w:rPr>
          <w:rFonts w:ascii="黑体" w:hAnsi="黑体" w:eastAsia="黑体" w:cs="黑体"/>
          <w:bCs/>
          <w:sz w:val="32"/>
          <w:szCs w:val="32"/>
        </w:rPr>
      </w:pPr>
      <w:bookmarkStart w:id="236" w:name="_Toc25023"/>
      <w:r>
        <w:rPr>
          <w:rFonts w:hint="eastAsia" w:ascii="黑体" w:hAnsi="黑体" w:eastAsia="黑体" w:cs="黑体"/>
          <w:bCs/>
          <w:sz w:val="32"/>
          <w:szCs w:val="32"/>
        </w:rPr>
        <w:t>一、项目概况</w:t>
      </w:r>
      <w:bookmarkEnd w:id="236"/>
    </w:p>
    <w:p w14:paraId="083556EA">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（一）设立背景及基本情况</w:t>
      </w:r>
    </w:p>
    <w:p w14:paraId="3A24A7A3">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1.机场分局主要对项目资金执行进度、项目资金使用情况进行监督，对资金的使用及报销进行审核。</w:t>
      </w:r>
    </w:p>
    <w:p w14:paraId="1E8C5EFF">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2.按照川组通【2021】75号《四川省驻村第一书记和工作队管理办法》的通知要求，对机场分局乡村振兴工作经费项目进行立项申报。</w:t>
      </w:r>
    </w:p>
    <w:p w14:paraId="4955E7B0">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3.依据市委市政府乡村振兴工作指示要求，机场分局对项目资金进行管理，严格按照规定的范围支持和审核资金的支付。</w:t>
      </w:r>
    </w:p>
    <w:p w14:paraId="0D572984">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4.按照项目的使用范围，坚持实事求是的原则，严格资金使用和分配。</w:t>
      </w:r>
    </w:p>
    <w:p w14:paraId="0A44C49D">
      <w:pPr>
        <w:adjustRightInd w:val="0"/>
        <w:snapToGrid w:val="0"/>
        <w:spacing w:line="560" w:lineRule="exact"/>
        <w:ind w:firstLine="720"/>
        <w:rPr>
          <w:rFonts w:ascii="楷体_GB2312" w:hAnsi="宋体" w:eastAsia="楷体_GB2312"/>
          <w:b/>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p>
    <w:p w14:paraId="26B0BECA">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1.根据市委市政府乡村振兴工作指示要求，机场分局派出驻村工作组2人，帮扶青川县木鱼镇新坝村，有力推动乡村振兴工作。</w:t>
      </w:r>
    </w:p>
    <w:p w14:paraId="161FCA44">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2.项目主要用于2023年广元市公安局机场分局乡村振兴工作，经费主要驻村工作队员的交通补助、生活补助和艰边津贴等工作经费支出。</w:t>
      </w:r>
    </w:p>
    <w:p w14:paraId="397F4E0C">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3.项目申报内容与实施内容相符，申报目标合理可行。</w:t>
      </w:r>
    </w:p>
    <w:p w14:paraId="267AD1A5">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p>
    <w:p w14:paraId="02D12636">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根据市委市政府乡村振兴工作指示要求，机场分局派出驻村工作组2人，帮扶青川县木鱼镇新坝村。为有力推动乡村振兴工作，申请批复驻村帮扶工作经费3.64万元，作为驻村工作经费预算，符合资金管理办法等相关规定。</w:t>
      </w:r>
    </w:p>
    <w:p w14:paraId="7CD4F8A0">
      <w:pPr>
        <w:numPr>
          <w:ilvl w:val="0"/>
          <w:numId w:val="9"/>
        </w:numPr>
        <w:suppressAutoHyphens w:val="0"/>
        <w:adjustRightInd w:val="0"/>
        <w:snapToGrid w:val="0"/>
        <w:spacing w:line="60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项目绩效目标设置。</w:t>
      </w:r>
    </w:p>
    <w:p w14:paraId="7BAFE473">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根据《广元市市级财政预算管理办法》，本着相关性、重要性、可比性、系统性原则设定评价指标及评价标准 ，按照百分制评分，设置产出指标权重40%，包括数量、质量、时效等；成本指标权重20%；效益指标权重20%，包括经济效益、社会效益等；满意度指标权重10%；预算执行指标权重10%。项目申报单位按照市财政局文件要求对项目绩效自评后，报分局办公室对绩效自评情况进行部门审核。分局依照相关管理办法，组织财务、审计及经费预算申报项目单位等，严格按照市财政局项目绩效评价体系对项目进行审核，严格打分。</w:t>
      </w:r>
    </w:p>
    <w:p w14:paraId="1164D21F">
      <w:pPr>
        <w:adjustRightInd w:val="0"/>
        <w:snapToGrid w:val="0"/>
        <w:spacing w:line="580" w:lineRule="exact"/>
        <w:ind w:firstLine="720"/>
        <w:outlineLvl w:val="1"/>
        <w:rPr>
          <w:rFonts w:ascii="黑体" w:hAnsi="黑体" w:eastAsia="黑体" w:cs="黑体"/>
          <w:bCs/>
          <w:sz w:val="32"/>
          <w:szCs w:val="32"/>
        </w:rPr>
      </w:pPr>
      <w:bookmarkStart w:id="237" w:name="_Toc13635"/>
      <w:r>
        <w:rPr>
          <w:rFonts w:hint="eastAsia" w:ascii="黑体" w:hAnsi="黑体" w:eastAsia="黑体" w:cs="黑体"/>
          <w:bCs/>
          <w:sz w:val="32"/>
          <w:szCs w:val="32"/>
        </w:rPr>
        <w:t>二、评价实施</w:t>
      </w:r>
      <w:bookmarkEnd w:id="237"/>
    </w:p>
    <w:p w14:paraId="5E6C2D93">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（一）评价目的</w:t>
      </w:r>
    </w:p>
    <w:p w14:paraId="7E057E56">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为贯彻落实全面实施预算绩效管理，将绩效理念和方法深度融入预算编制、执行、监督全过程，实现预算和绩效管理一体化，不断提高财政资金使用效益。</w:t>
      </w:r>
    </w:p>
    <w:p w14:paraId="4E13FBB0">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（二）预设问题及评价重点</w:t>
      </w:r>
    </w:p>
    <w:p w14:paraId="3D23B977">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1.该项目在预算范围内按时完成，有效控制了成本，提升了资金分配的合理性和资金使用效率。</w:t>
      </w:r>
    </w:p>
    <w:p w14:paraId="2EA78EE3">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2.项目达到预期，乡村振兴工作持续推进，驻村集体经济不断壮大，村民收益不断提升。</w:t>
      </w:r>
    </w:p>
    <w:p w14:paraId="4D287D08">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（三）评价选点</w:t>
      </w:r>
    </w:p>
    <w:p w14:paraId="46EFA546">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对驻村工作队员及帮扶群众进行了满意度问卷调查，满意度为95%。</w:t>
      </w:r>
    </w:p>
    <w:p w14:paraId="74252D00">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（四）评价方法</w:t>
      </w:r>
    </w:p>
    <w:p w14:paraId="2CE65ABE">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采用定性描述、定量分析法，客观确定项目预期绩效目标的实现程度。采用比较法，对比实现成效一绩效目标的偏差，进行效益分析。</w:t>
      </w:r>
    </w:p>
    <w:p w14:paraId="78D64161">
      <w:pPr>
        <w:adjustRightInd w:val="0"/>
        <w:snapToGrid w:val="0"/>
        <w:spacing w:line="56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（五）评价组织</w:t>
      </w:r>
    </w:p>
    <w:p w14:paraId="01C5DA0A">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分局成立了绩效自评工作小组，统一组织实施绩效自评工作，由分局党委委员、政委任组长，政工监督室、指挥中心（办公室）主任为小组成员，对全年项目资金全面考核自评。</w:t>
      </w:r>
    </w:p>
    <w:p w14:paraId="6812FA2A">
      <w:pPr>
        <w:adjustRightInd w:val="0"/>
        <w:snapToGrid w:val="0"/>
        <w:spacing w:line="580" w:lineRule="exact"/>
        <w:ind w:firstLine="720"/>
        <w:outlineLvl w:val="1"/>
        <w:rPr>
          <w:rFonts w:ascii="黑体" w:hAnsi="黑体" w:eastAsia="黑体" w:cs="黑体"/>
          <w:bCs/>
          <w:sz w:val="32"/>
          <w:szCs w:val="32"/>
        </w:rPr>
      </w:pPr>
      <w:bookmarkStart w:id="238" w:name="_Toc19137"/>
      <w:r>
        <w:rPr>
          <w:rFonts w:hint="eastAsia" w:ascii="黑体" w:hAnsi="黑体" w:eastAsia="黑体" w:cs="黑体"/>
          <w:bCs/>
          <w:sz w:val="32"/>
          <w:szCs w:val="32"/>
        </w:rPr>
        <w:t>三、绩效分析</w:t>
      </w:r>
      <w:bookmarkEnd w:id="238"/>
      <w:r>
        <w:rPr>
          <w:rFonts w:hint="eastAsia" w:ascii="黑体" w:hAnsi="黑体" w:eastAsia="黑体" w:cs="黑体"/>
          <w:bCs/>
          <w:sz w:val="32"/>
          <w:szCs w:val="32"/>
        </w:rPr>
        <w:tab/>
      </w:r>
    </w:p>
    <w:p w14:paraId="6271E3A4">
      <w:pPr>
        <w:spacing w:line="578" w:lineRule="exact"/>
        <w:ind w:firstLine="321" w:firstLineChars="100"/>
        <w:rPr>
          <w:rFonts w:ascii="楷体_GB2312" w:hAnsi="宋体" w:eastAsia="楷体_GB2312"/>
          <w:b/>
        </w:rPr>
      </w:pPr>
      <w:r>
        <w:rPr>
          <w:rFonts w:hint="eastAsia" w:ascii="楷体_GB2312" w:hAnsi="宋体" w:eastAsia="楷体_GB2312"/>
          <w:b/>
          <w:sz w:val="32"/>
          <w:szCs w:val="32"/>
          <w:lang w:val="zh-CN"/>
        </w:rPr>
        <w:t>（一）</w:t>
      </w:r>
      <w:r>
        <w:rPr>
          <w:rFonts w:hint="eastAsia" w:ascii="楷体_GB2312" w:hAnsi="宋体" w:eastAsia="楷体_GB2312"/>
          <w:b/>
          <w:sz w:val="32"/>
          <w:szCs w:val="32"/>
        </w:rPr>
        <w:t>通用指标</w:t>
      </w:r>
      <w:r>
        <w:rPr>
          <w:rFonts w:hint="eastAsia" w:ascii="楷体_GB2312" w:hAnsi="宋体" w:eastAsia="楷体_GB2312"/>
          <w:b/>
          <w:sz w:val="32"/>
          <w:szCs w:val="32"/>
          <w:lang w:val="zh-CN"/>
        </w:rPr>
        <w:t>绩效分析。</w:t>
      </w:r>
    </w:p>
    <w:p w14:paraId="57CB1801">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1.项目决策</w:t>
      </w:r>
    </w:p>
    <w:p w14:paraId="4B113EC7">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设立经过严格评估论证和集体决策，与部门职责相符，符合地方事权支出责任划分原则，与相关部门同类项目或部门内部相关项目不重复，规划与现实需求匹配，项目指导意见、管理办法、申报指南、实施细则等管理制度完善，不存在脱离实际、缺陷、漏洞导致执行偏离预期。综上所述，该项绩效自评得分18分，评价结果为“优”。</w:t>
      </w:r>
    </w:p>
    <w:p w14:paraId="13EB7C47">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2.项目管理</w:t>
      </w:r>
    </w:p>
    <w:p w14:paraId="02D0966B">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青川县木鱼镇新坝村驻村工作队严格落实有关财务管理制度，会计核算规范，财务处理及时。综上所述，该项绩效自评得分18分，评价结果为“优”。</w:t>
      </w:r>
    </w:p>
    <w:p w14:paraId="2562BBCA">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项目实施</w:t>
      </w:r>
    </w:p>
    <w:p w14:paraId="58306F02">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资金分配结果与规划计划一致；按规定及时分配专项预算资金项目。资金符合国家财经法规和财务管理制度及有关专项资金管理办法规定；资金拨付有完整的审批程序和手续；符合项目预算批复或合同规定用途；不存在截留、挤占、挪用、虚列支出等情况。综上所述，该项绩效自评得分9分，评价结果为“优”。</w:t>
      </w:r>
    </w:p>
    <w:p w14:paraId="782C9250">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4.项目结果</w:t>
      </w:r>
    </w:p>
    <w:p w14:paraId="17A2FEE8">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截止2023年12月31日，该项目预算资金到位率100%</w:t>
      </w:r>
      <w:r>
        <w:rPr>
          <w:rFonts w:hint="eastAsia" w:ascii="仿宋_GB2312" w:hAnsi="Nimbus Roman No9 L" w:eastAsia="仿宋_GB2312" w:cs="Arial"/>
          <w:sz w:val="32"/>
          <w:szCs w:val="32"/>
          <w:lang w:eastAsia="zh-CN"/>
        </w:rPr>
        <w:t>，</w:t>
      </w:r>
      <w:r>
        <w:rPr>
          <w:rFonts w:hint="eastAsia" w:ascii="仿宋_GB2312" w:hAnsi="Nimbus Roman No9 L" w:eastAsia="仿宋_GB2312" w:cs="Arial"/>
          <w:sz w:val="32"/>
          <w:szCs w:val="32"/>
        </w:rPr>
        <w:t>预算执行率100%，资金使用合规合法，与预算相符。通过该项目的实施，帮扶村人居环境有效提升，产业发展良好、帮扶户生活水平逐年提高，达到奔小康实现全面振兴。综上所述，该项绩效自评得分9分，评价结果为“优”。</w:t>
      </w:r>
    </w:p>
    <w:p w14:paraId="2F8C2EFF">
      <w:pPr>
        <w:spacing w:line="578" w:lineRule="exact"/>
        <w:ind w:firstLine="321" w:firstLineChars="100"/>
        <w:rPr>
          <w:rFonts w:ascii="楷体_GB2312" w:hAnsi="宋体" w:eastAsia="楷体_GB2312"/>
          <w:b/>
          <w:sz w:val="32"/>
          <w:szCs w:val="32"/>
          <w:lang w:val="zh-CN"/>
        </w:rPr>
      </w:pPr>
      <w:r>
        <w:rPr>
          <w:rFonts w:hint="eastAsia" w:ascii="楷体_GB2312" w:hAnsi="宋体" w:eastAsia="楷体_GB2312"/>
          <w:b/>
          <w:sz w:val="32"/>
          <w:szCs w:val="32"/>
          <w:lang w:val="zh-CN"/>
        </w:rPr>
        <w:t>（二）专用指标</w:t>
      </w:r>
      <w:r>
        <w:rPr>
          <w:rFonts w:ascii="楷体_GB2312" w:hAnsi="宋体" w:eastAsia="楷体_GB2312"/>
          <w:b/>
          <w:sz w:val="32"/>
          <w:szCs w:val="32"/>
          <w:lang w:val="zh-CN"/>
        </w:rPr>
        <w:t>绩效分析</w:t>
      </w:r>
    </w:p>
    <w:p w14:paraId="78762B32">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行政运转：按规定用途、适用范围进行该专项资金分配，资金管理程序符合专项资金管理要求，资金分配标准符合专项资金管理要求。综上所述，该项绩效自评得分30分，评价结果为“优”。</w:t>
      </w:r>
    </w:p>
    <w:p w14:paraId="4AB7920A">
      <w:pPr>
        <w:spacing w:line="578" w:lineRule="exact"/>
        <w:ind w:firstLine="321" w:firstLineChars="100"/>
        <w:rPr>
          <w:rFonts w:ascii="楷体_GB2312" w:hAnsi="宋体" w:eastAsia="楷体_GB2312"/>
          <w:b/>
          <w:sz w:val="32"/>
          <w:szCs w:val="32"/>
          <w:lang w:val="zh-CN"/>
        </w:rPr>
      </w:pPr>
      <w:r>
        <w:rPr>
          <w:rFonts w:hint="eastAsia" w:ascii="楷体_GB2312" w:hAnsi="宋体" w:eastAsia="楷体_GB2312"/>
          <w:b/>
          <w:sz w:val="32"/>
          <w:szCs w:val="32"/>
          <w:lang w:val="zh-CN"/>
        </w:rPr>
        <w:t>（三）个性指标绩效分析</w:t>
      </w:r>
    </w:p>
    <w:p w14:paraId="457A9AD3">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驻村队员及帮扶群众满意度达到95%。</w:t>
      </w:r>
    </w:p>
    <w:p w14:paraId="01F18E50">
      <w:pPr>
        <w:adjustRightInd w:val="0"/>
        <w:snapToGrid w:val="0"/>
        <w:spacing w:line="580" w:lineRule="exact"/>
        <w:ind w:firstLine="720"/>
        <w:outlineLvl w:val="1"/>
        <w:rPr>
          <w:rFonts w:ascii="黑体" w:hAnsi="黑体" w:eastAsia="黑体" w:cs="黑体"/>
          <w:bCs/>
          <w:sz w:val="32"/>
          <w:szCs w:val="32"/>
        </w:rPr>
      </w:pPr>
      <w:bookmarkStart w:id="239" w:name="_Toc22618"/>
      <w:r>
        <w:rPr>
          <w:rFonts w:hint="eastAsia" w:ascii="黑体" w:hAnsi="黑体" w:eastAsia="黑体" w:cs="黑体"/>
          <w:bCs/>
          <w:sz w:val="32"/>
          <w:szCs w:val="32"/>
        </w:rPr>
        <w:t>四、评价结论</w:t>
      </w:r>
      <w:bookmarkEnd w:id="239"/>
    </w:p>
    <w:p w14:paraId="09899183">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从该项目完绩效目标完成情况来看，我局严格按照相关项目和财务管理要求贯彻执行，未发生虚报、套取、挤占、挪用或报销不合理开支等行为。通过健全完善工作机制、不断强化组织保障，切实抓好驻村工作队员日常管理，强化评价结果运用，压实帮扶责任等一系列措施的实施，分局驻村帮扶工作取得了一定成效。驻村队员所在村群众和驻村工作队员对项目实施效果满意度均达到95%以上。综上所述，该项目绩效自评得分100.00分，评价结果为“优”。</w:t>
      </w:r>
    </w:p>
    <w:p w14:paraId="0E758D4A">
      <w:pPr>
        <w:adjustRightInd w:val="0"/>
        <w:snapToGrid w:val="0"/>
        <w:spacing w:line="580" w:lineRule="exact"/>
        <w:ind w:firstLine="720"/>
        <w:outlineLvl w:val="1"/>
        <w:rPr>
          <w:rFonts w:ascii="黑体" w:hAnsi="黑体" w:eastAsia="黑体" w:cs="黑体"/>
          <w:bCs/>
          <w:sz w:val="32"/>
          <w:szCs w:val="32"/>
        </w:rPr>
      </w:pPr>
      <w:bookmarkStart w:id="240" w:name="_Toc2758"/>
      <w:r>
        <w:rPr>
          <w:rFonts w:hint="eastAsia" w:ascii="黑体" w:hAnsi="黑体" w:eastAsia="黑体" w:cs="黑体"/>
          <w:bCs/>
          <w:sz w:val="32"/>
          <w:szCs w:val="32"/>
        </w:rPr>
        <w:t>五、存在主要问题</w:t>
      </w:r>
      <w:bookmarkEnd w:id="240"/>
    </w:p>
    <w:p w14:paraId="375ED889">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无。</w:t>
      </w:r>
    </w:p>
    <w:p w14:paraId="7D34306D">
      <w:pPr>
        <w:adjustRightInd w:val="0"/>
        <w:snapToGrid w:val="0"/>
        <w:spacing w:line="580" w:lineRule="exact"/>
        <w:ind w:firstLine="720"/>
        <w:outlineLvl w:val="1"/>
        <w:rPr>
          <w:rFonts w:ascii="黑体" w:hAnsi="黑体" w:eastAsia="黑体" w:cs="黑体"/>
          <w:bCs/>
          <w:sz w:val="32"/>
          <w:szCs w:val="32"/>
        </w:rPr>
      </w:pPr>
      <w:bookmarkStart w:id="241" w:name="_Toc20872"/>
      <w:r>
        <w:rPr>
          <w:rFonts w:hint="eastAsia" w:ascii="黑体" w:hAnsi="黑体" w:eastAsia="黑体" w:cs="黑体"/>
          <w:bCs/>
          <w:sz w:val="32"/>
          <w:szCs w:val="32"/>
        </w:rPr>
        <w:t>六、改进建议</w:t>
      </w:r>
      <w:bookmarkEnd w:id="241"/>
    </w:p>
    <w:p w14:paraId="4BF627EC">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无。</w:t>
      </w:r>
    </w:p>
    <w:p w14:paraId="02DB580B">
      <w:pPr>
        <w:pStyle w:val="28"/>
        <w:spacing w:line="600" w:lineRule="exact"/>
        <w:jc w:val="center"/>
        <w:rPr>
          <w:rFonts w:ascii="方正小标宋简体" w:hAnsi="方正小标宋简体" w:eastAsia="方正小标宋简体" w:cs="方正小标宋简体"/>
          <w:bCs/>
          <w:sz w:val="44"/>
          <w:szCs w:val="44"/>
          <w:lang w:val="en-US"/>
        </w:rPr>
      </w:pPr>
      <w:r>
        <w:rPr>
          <w:rFonts w:hint="eastAsia" w:ascii="方正小标宋简体" w:hAnsi="方正小标宋简体" w:eastAsia="方正小标宋简体" w:cs="方正小标宋简体"/>
          <w:bCs/>
          <w:sz w:val="44"/>
          <w:szCs w:val="44"/>
          <w:lang w:val="en-US"/>
        </w:rPr>
        <w:t>广元市公安局机场分局</w:t>
      </w:r>
    </w:p>
    <w:p w14:paraId="7B6372F0">
      <w:pPr>
        <w:pStyle w:val="28"/>
        <w:spacing w:line="600"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民警法定工作日之外加班补贴</w:t>
      </w:r>
    </w:p>
    <w:p w14:paraId="5E3DFEDE">
      <w:pPr>
        <w:pStyle w:val="28"/>
        <w:spacing w:line="578" w:lineRule="exact"/>
        <w:ind w:firstLine="640"/>
        <w:jc w:val="center"/>
        <w:rPr>
          <w:rFonts w:ascii="方正小标宋简体" w:hAnsi="方正小标宋简体" w:eastAsia="方正小标宋简体" w:cs="方正小标宋简体"/>
          <w:color w:val="auto"/>
          <w:kern w:val="2"/>
          <w:sz w:val="32"/>
          <w:szCs w:val="32"/>
        </w:rPr>
      </w:pPr>
      <w:r>
        <w:rPr>
          <w:rFonts w:hint="eastAsia" w:ascii="方正小标宋简体" w:hAnsi="方正小标宋简体" w:eastAsia="方正小标宋简体" w:cs="方正小标宋简体"/>
          <w:color w:val="auto"/>
          <w:kern w:val="2"/>
          <w:sz w:val="44"/>
          <w:szCs w:val="44"/>
          <w:lang w:val="en-US"/>
        </w:rPr>
        <w:t>绩效评价报告</w:t>
      </w:r>
    </w:p>
    <w:p w14:paraId="6E6D1A21">
      <w:pPr>
        <w:adjustRightInd w:val="0"/>
        <w:snapToGrid w:val="0"/>
        <w:spacing w:line="580" w:lineRule="exact"/>
        <w:ind w:firstLine="720"/>
        <w:outlineLvl w:val="1"/>
        <w:rPr>
          <w:rFonts w:ascii="黑体" w:hAnsi="黑体" w:eastAsia="黑体" w:cs="黑体"/>
          <w:bCs/>
          <w:sz w:val="32"/>
          <w:szCs w:val="32"/>
        </w:rPr>
      </w:pPr>
      <w:bookmarkStart w:id="242" w:name="_Toc21532"/>
      <w:r>
        <w:rPr>
          <w:rFonts w:hint="eastAsia" w:ascii="黑体" w:hAnsi="黑体" w:eastAsia="黑体" w:cs="黑体"/>
          <w:bCs/>
          <w:sz w:val="32"/>
          <w:szCs w:val="32"/>
        </w:rPr>
        <w:t>一、项目概况</w:t>
      </w:r>
      <w:bookmarkEnd w:id="242"/>
    </w:p>
    <w:p w14:paraId="18AE7B2E">
      <w:pPr>
        <w:spacing w:line="578" w:lineRule="exact"/>
        <w:ind w:firstLine="321" w:firstLineChars="100"/>
        <w:rPr>
          <w:rFonts w:ascii="楷体_GB2312" w:hAnsi="宋体" w:eastAsia="楷体_GB2312"/>
          <w:b/>
          <w:sz w:val="32"/>
          <w:szCs w:val="32"/>
          <w:lang w:val="zh-CN"/>
        </w:rPr>
      </w:pPr>
      <w:r>
        <w:rPr>
          <w:rFonts w:hint="eastAsia" w:ascii="楷体_GB2312" w:hAnsi="宋体" w:eastAsia="楷体_GB2312"/>
          <w:b/>
          <w:sz w:val="32"/>
          <w:szCs w:val="32"/>
          <w:lang w:val="zh-CN"/>
        </w:rPr>
        <w:t>（一）设立背景及基本情况</w:t>
      </w:r>
    </w:p>
    <w:p w14:paraId="258B88B1">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1.机场分局主要对项目资金执行进度进行监督，对项目资金使用情况进行审核审查。</w:t>
      </w:r>
    </w:p>
    <w:p w14:paraId="341531C2">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2. 依据人社部、财政部关于人民警察法定节假日之外加班补贴发放的有关规定，对分局民警加班补助经费项目进行立项申报。</w:t>
      </w:r>
    </w:p>
    <w:p w14:paraId="7901F835">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3. 依据人社部、财政部关于人民警察法定节假日之外加班补贴发放的有关规定，对项目资金进行管理，严格按照规定的范围支持和审核资金的支付。</w:t>
      </w:r>
    </w:p>
    <w:p w14:paraId="0BCAF095">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4.严格按照项目的使用范围，坚持考核上网的原则，严格资金分配。</w:t>
      </w:r>
    </w:p>
    <w:p w14:paraId="4AD00777">
      <w:pPr>
        <w:spacing w:line="578" w:lineRule="exact"/>
        <w:ind w:firstLine="321" w:firstLineChars="100"/>
        <w:rPr>
          <w:rFonts w:ascii="楷体_GB2312" w:hAnsi="宋体" w:eastAsia="楷体_GB2312"/>
          <w:b/>
          <w:sz w:val="32"/>
          <w:szCs w:val="32"/>
          <w:lang w:val="zh-CN"/>
        </w:rPr>
      </w:pPr>
      <w:r>
        <w:rPr>
          <w:rFonts w:hint="eastAsia" w:ascii="楷体_GB2312" w:hAnsi="宋体" w:eastAsia="楷体_GB2312"/>
          <w:b/>
          <w:sz w:val="32"/>
          <w:szCs w:val="32"/>
          <w:lang w:val="zh-CN"/>
        </w:rPr>
        <w:t>（二）</w:t>
      </w:r>
      <w:r>
        <w:rPr>
          <w:rFonts w:ascii="楷体_GB2312" w:hAnsi="宋体" w:eastAsia="楷体_GB2312"/>
          <w:b/>
          <w:sz w:val="32"/>
          <w:szCs w:val="32"/>
          <w:lang w:val="zh-CN"/>
        </w:rPr>
        <w:t>实施目的及支持方向</w:t>
      </w:r>
    </w:p>
    <w:p w14:paraId="100B6211">
      <w:pPr>
        <w:adjustRightInd w:val="0"/>
        <w:snapToGrid w:val="0"/>
        <w:spacing w:line="600" w:lineRule="exact"/>
        <w:ind w:firstLine="720"/>
        <w:rPr>
          <w:rFonts w:ascii="仿宋_GB2312" w:hAnsi="仿宋_GB2312" w:cs="仿宋_GB2312"/>
        </w:rPr>
      </w:pPr>
      <w:r>
        <w:rPr>
          <w:rFonts w:hint="eastAsia" w:ascii="仿宋_GB2312" w:hAnsi="仿宋_GB2312" w:eastAsia="仿宋_GB2312" w:cs="仿宋_GB2312"/>
          <w:sz w:val="32"/>
          <w:szCs w:val="32"/>
        </w:rPr>
        <w:t>1. 保障</w:t>
      </w:r>
      <w:r>
        <w:rPr>
          <w:rFonts w:hint="eastAsia" w:ascii="仿宋_GB2312" w:hAnsi="仿宋_GB2312" w:cs="仿宋_GB2312"/>
          <w:sz w:val="32"/>
          <w:szCs w:val="32"/>
        </w:rPr>
        <w:t>机场分局民警</w:t>
      </w:r>
      <w:r>
        <w:rPr>
          <w:rFonts w:hint="eastAsia" w:ascii="仿宋_GB2312" w:hAnsi="仿宋_GB2312" w:eastAsia="仿宋_GB2312" w:cs="仿宋_GB2312"/>
          <w:sz w:val="32"/>
          <w:szCs w:val="32"/>
        </w:rPr>
        <w:t>法定节假日之外加班补贴按时发放。</w:t>
      </w:r>
    </w:p>
    <w:p w14:paraId="40099465">
      <w:pPr>
        <w:adjustRightInd w:val="0"/>
        <w:snapToGrid w:val="0"/>
        <w:spacing w:line="600" w:lineRule="exact"/>
        <w:ind w:firstLine="720"/>
        <w:rPr>
          <w:rFonts w:ascii="仿宋_GB2312" w:hAnsi="仿宋_GB2312" w:cs="仿宋_GB2312"/>
        </w:rPr>
      </w:pPr>
      <w:r>
        <w:rPr>
          <w:rFonts w:hint="eastAsia" w:ascii="仿宋_GB2312" w:hAnsi="仿宋_GB2312" w:eastAsia="仿宋_GB2312" w:cs="仿宋_GB2312"/>
          <w:sz w:val="32"/>
          <w:szCs w:val="32"/>
        </w:rPr>
        <w:t>2. 项目资金的申报符合国家部委的政策规定，符合</w:t>
      </w:r>
      <w:r>
        <w:rPr>
          <w:rFonts w:hint="eastAsia" w:ascii="仿宋_GB2312" w:hAnsi="仿宋_GB2312" w:cs="仿宋_GB2312"/>
          <w:sz w:val="32"/>
          <w:szCs w:val="32"/>
        </w:rPr>
        <w:t>分局</w:t>
      </w:r>
      <w:r>
        <w:rPr>
          <w:rFonts w:hint="eastAsia" w:ascii="仿宋_GB2312" w:hAnsi="仿宋_GB2312" w:eastAsia="仿宋_GB2312" w:cs="仿宋_GB2312"/>
          <w:sz w:val="32"/>
          <w:szCs w:val="32"/>
        </w:rPr>
        <w:t>现有人民警察法定节假日之外经常加班的实际情况。</w:t>
      </w:r>
    </w:p>
    <w:p w14:paraId="6129A369">
      <w:pPr>
        <w:adjustRightInd w:val="0"/>
        <w:snapToGrid w:val="0"/>
        <w:spacing w:line="600" w:lineRule="exact"/>
        <w:ind w:firstLine="720"/>
        <w:rPr>
          <w:rFonts w:ascii="仿宋_GB2312" w:hAnsi="仿宋_GB2312" w:cs="仿宋_GB2312"/>
        </w:rPr>
      </w:pPr>
      <w:r>
        <w:rPr>
          <w:rFonts w:hint="eastAsia" w:ascii="仿宋_GB2312" w:hAnsi="仿宋_GB2312" w:eastAsia="仿宋_GB2312" w:cs="仿宋_GB2312"/>
          <w:sz w:val="32"/>
          <w:szCs w:val="32"/>
        </w:rPr>
        <w:t>3. 项目科学合理，申报内容与实际相符，申报目标合理可行，资金执行率100%。</w:t>
      </w:r>
    </w:p>
    <w:p w14:paraId="450524FE">
      <w:pPr>
        <w:spacing w:line="578" w:lineRule="exact"/>
        <w:ind w:firstLine="321" w:firstLineChars="100"/>
        <w:rPr>
          <w:rFonts w:ascii="楷体_GB2312" w:hAnsi="宋体" w:eastAsia="楷体_GB2312"/>
          <w:b/>
          <w:sz w:val="32"/>
          <w:szCs w:val="32"/>
          <w:lang w:val="zh-CN"/>
        </w:rPr>
      </w:pPr>
      <w:r>
        <w:rPr>
          <w:rFonts w:hint="eastAsia" w:ascii="楷体_GB2312" w:hAnsi="宋体" w:eastAsia="楷体_GB2312"/>
          <w:b/>
          <w:sz w:val="32"/>
          <w:szCs w:val="32"/>
          <w:lang w:val="zh-CN"/>
        </w:rPr>
        <w:t>（三）</w:t>
      </w:r>
      <w:r>
        <w:rPr>
          <w:rFonts w:ascii="楷体_GB2312" w:hAnsi="宋体" w:eastAsia="楷体_GB2312"/>
          <w:b/>
          <w:sz w:val="32"/>
          <w:szCs w:val="32"/>
          <w:lang w:val="zh-CN"/>
        </w:rPr>
        <w:t>预算安排及分配管理</w:t>
      </w:r>
    </w:p>
    <w:p w14:paraId="02957BDE">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根据年初预算，该项目经费申报金额为16.19万元，经人大审核批准，预算批复为16.19万元。项目经费申报符合资金管理办法相关规定。</w:t>
      </w:r>
    </w:p>
    <w:p w14:paraId="78CEF57C">
      <w:pPr>
        <w:spacing w:line="578" w:lineRule="exact"/>
        <w:ind w:firstLine="321" w:firstLineChars="100"/>
        <w:rPr>
          <w:rFonts w:ascii="楷体_GB2312" w:hAnsi="宋体" w:eastAsia="楷体_GB2312"/>
          <w:b/>
          <w:sz w:val="32"/>
          <w:szCs w:val="32"/>
          <w:lang w:val="zh-CN"/>
        </w:rPr>
      </w:pPr>
      <w:r>
        <w:rPr>
          <w:rFonts w:hint="eastAsia" w:ascii="楷体_GB2312" w:hAnsi="宋体" w:eastAsia="楷体_GB2312"/>
          <w:b/>
          <w:sz w:val="32"/>
          <w:szCs w:val="32"/>
          <w:lang w:val="zh-CN"/>
        </w:rPr>
        <w:t>（四）项目绩效目标设置。</w:t>
      </w:r>
    </w:p>
    <w:p w14:paraId="52864F9D">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根据《广元市市级财政预算管理办法》，本着相关性、重要性、可比性、系统性原则设定评价指标及评价标准 ，按照百分制评分，设置产出指标权重40%，包括数量、质量、时效等；成本指标权重20%；效益指标权重20%，包括经济效益、社会效益等；满意度指标权重10%；预算执行指标权重10%。项目申报单位按照市财政局文件要求对项目绩效自评后，报分局办公室对绩效自评情况进行部门审核。分局依照相关管理办法，组织财务、审计及经费预算申报项目单位等，严格按照市财政局项目绩效评价体系对项目进行审核，严格打分。</w:t>
      </w:r>
    </w:p>
    <w:p w14:paraId="607CCB21">
      <w:pPr>
        <w:adjustRightInd w:val="0"/>
        <w:snapToGrid w:val="0"/>
        <w:spacing w:line="580" w:lineRule="exact"/>
        <w:ind w:firstLine="720"/>
        <w:outlineLvl w:val="1"/>
        <w:rPr>
          <w:rFonts w:ascii="黑体" w:hAnsi="黑体" w:eastAsia="黑体" w:cs="黑体"/>
          <w:bCs/>
          <w:sz w:val="32"/>
          <w:szCs w:val="32"/>
        </w:rPr>
      </w:pPr>
      <w:bookmarkStart w:id="243" w:name="_Toc13572"/>
      <w:r>
        <w:rPr>
          <w:rFonts w:hint="eastAsia" w:ascii="黑体" w:hAnsi="黑体" w:eastAsia="黑体" w:cs="黑体"/>
          <w:bCs/>
          <w:sz w:val="32"/>
          <w:szCs w:val="32"/>
        </w:rPr>
        <w:t>二、评价实施</w:t>
      </w:r>
      <w:bookmarkEnd w:id="243"/>
    </w:p>
    <w:p w14:paraId="6D5482C3">
      <w:pPr>
        <w:spacing w:line="578" w:lineRule="exact"/>
        <w:ind w:firstLine="321" w:firstLineChars="100"/>
        <w:rPr>
          <w:rFonts w:ascii="楷体_GB2312" w:hAnsi="宋体" w:eastAsia="楷体_GB2312"/>
          <w:b/>
          <w:sz w:val="32"/>
          <w:szCs w:val="32"/>
          <w:lang w:val="zh-CN"/>
        </w:rPr>
      </w:pPr>
      <w:r>
        <w:rPr>
          <w:rFonts w:hint="eastAsia" w:ascii="楷体_GB2312" w:hAnsi="宋体" w:eastAsia="楷体_GB2312"/>
          <w:b/>
          <w:sz w:val="32"/>
          <w:szCs w:val="32"/>
          <w:lang w:val="zh-CN"/>
        </w:rPr>
        <w:t>（一）评价目的</w:t>
      </w:r>
    </w:p>
    <w:p w14:paraId="2396909A">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严格落实《预算法》及省、市绩效管理工作的有关规定，进一步规范财政资金的管理，强化财政支出绩效理念，提高资金使用效益，促进公安工作的发展。</w:t>
      </w:r>
    </w:p>
    <w:p w14:paraId="571AC9FD">
      <w:pPr>
        <w:spacing w:line="578" w:lineRule="exact"/>
        <w:ind w:firstLine="321" w:firstLineChars="100"/>
        <w:rPr>
          <w:rFonts w:ascii="楷体_GB2312" w:hAnsi="宋体" w:eastAsia="楷体_GB2312"/>
          <w:b/>
          <w:sz w:val="32"/>
          <w:szCs w:val="32"/>
          <w:lang w:val="zh-CN"/>
        </w:rPr>
      </w:pPr>
      <w:r>
        <w:rPr>
          <w:rFonts w:hint="eastAsia" w:ascii="楷体_GB2312" w:hAnsi="宋体" w:eastAsia="楷体_GB2312"/>
          <w:b/>
          <w:sz w:val="32"/>
          <w:szCs w:val="32"/>
          <w:lang w:val="zh-CN"/>
        </w:rPr>
        <w:t>（二）预设问题及评价重点</w:t>
      </w:r>
    </w:p>
    <w:p w14:paraId="0436930C">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1.严格预算执行，提升了资金分配的合理性和资金使用效率。</w:t>
      </w:r>
    </w:p>
    <w:p w14:paraId="6172BED7">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2.项目达到预期，保障了民警加班费的发放，有效提升人民警察的幸福感。</w:t>
      </w:r>
    </w:p>
    <w:p w14:paraId="0AED34AD">
      <w:pPr>
        <w:spacing w:line="578" w:lineRule="exact"/>
        <w:ind w:firstLine="321" w:firstLineChars="100"/>
        <w:rPr>
          <w:rFonts w:ascii="楷体_GB2312" w:hAnsi="宋体" w:eastAsia="楷体_GB2312"/>
          <w:b/>
          <w:sz w:val="32"/>
          <w:szCs w:val="32"/>
          <w:lang w:val="zh-CN"/>
        </w:rPr>
      </w:pPr>
      <w:r>
        <w:rPr>
          <w:rFonts w:hint="eastAsia" w:ascii="楷体_GB2312" w:hAnsi="宋体" w:eastAsia="楷体_GB2312"/>
          <w:b/>
          <w:sz w:val="32"/>
          <w:szCs w:val="32"/>
          <w:lang w:val="zh-CN"/>
        </w:rPr>
        <w:t>（三）评价选点</w:t>
      </w:r>
    </w:p>
    <w:p w14:paraId="130FCFDB">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对民警进行了满意度问卷调查，满意度为95%。</w:t>
      </w:r>
    </w:p>
    <w:p w14:paraId="5FF06B4F">
      <w:pPr>
        <w:spacing w:line="578" w:lineRule="exact"/>
        <w:ind w:firstLine="321" w:firstLineChars="100"/>
        <w:rPr>
          <w:rFonts w:ascii="楷体_GB2312" w:hAnsi="宋体" w:eastAsia="楷体_GB2312"/>
          <w:b/>
          <w:sz w:val="32"/>
          <w:szCs w:val="32"/>
          <w:lang w:val="zh-CN"/>
        </w:rPr>
      </w:pPr>
      <w:r>
        <w:rPr>
          <w:rFonts w:hint="eastAsia" w:ascii="楷体_GB2312" w:hAnsi="宋体" w:eastAsia="楷体_GB2312"/>
          <w:b/>
          <w:sz w:val="32"/>
          <w:szCs w:val="32"/>
          <w:lang w:val="zh-CN"/>
        </w:rPr>
        <w:t>（四）评价方法</w:t>
      </w:r>
    </w:p>
    <w:p w14:paraId="0200F6B8">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采用定性描述、定量分析法，客观确定项目预期绩效目标的实现程度。采用比较法，对比实现成效一绩效目标的偏差，进行效益分析。</w:t>
      </w:r>
    </w:p>
    <w:p w14:paraId="5AB47F92">
      <w:pPr>
        <w:spacing w:line="578" w:lineRule="exact"/>
        <w:ind w:firstLine="321" w:firstLineChars="100"/>
        <w:rPr>
          <w:rFonts w:ascii="楷体_GB2312" w:hAnsi="宋体" w:eastAsia="楷体_GB2312"/>
          <w:b/>
          <w:sz w:val="32"/>
          <w:szCs w:val="32"/>
          <w:lang w:val="zh-CN"/>
        </w:rPr>
      </w:pPr>
      <w:r>
        <w:rPr>
          <w:rFonts w:hint="eastAsia" w:ascii="楷体_GB2312" w:hAnsi="宋体" w:eastAsia="楷体_GB2312"/>
          <w:b/>
          <w:sz w:val="32"/>
          <w:szCs w:val="32"/>
          <w:lang w:val="zh-CN"/>
        </w:rPr>
        <w:t>（五）评价组织</w:t>
      </w:r>
    </w:p>
    <w:p w14:paraId="676C3595">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分局成立了绩效自评工作小组，统一组织实施绩效自评工作，由分局党委委员、政委任组长，政工监督室、指挥中心（办公室）主任为小组成员，对全年项目资金全面考核自评。</w:t>
      </w:r>
    </w:p>
    <w:p w14:paraId="6052A014">
      <w:pPr>
        <w:adjustRightInd w:val="0"/>
        <w:snapToGrid w:val="0"/>
        <w:spacing w:line="580" w:lineRule="exact"/>
        <w:ind w:firstLine="720"/>
        <w:outlineLvl w:val="1"/>
        <w:rPr>
          <w:rFonts w:ascii="黑体" w:hAnsi="黑体" w:eastAsia="黑体" w:cs="黑体"/>
          <w:bCs/>
          <w:sz w:val="32"/>
          <w:szCs w:val="32"/>
        </w:rPr>
      </w:pPr>
      <w:bookmarkStart w:id="244" w:name="_Toc20690"/>
      <w:r>
        <w:rPr>
          <w:rFonts w:hint="eastAsia" w:ascii="黑体" w:hAnsi="黑体" w:eastAsia="黑体" w:cs="黑体"/>
          <w:bCs/>
          <w:sz w:val="32"/>
          <w:szCs w:val="32"/>
        </w:rPr>
        <w:t>三、绩效分析</w:t>
      </w:r>
      <w:bookmarkEnd w:id="244"/>
      <w:r>
        <w:rPr>
          <w:rFonts w:hint="eastAsia" w:ascii="黑体" w:hAnsi="黑体" w:eastAsia="黑体" w:cs="黑体"/>
          <w:bCs/>
          <w:sz w:val="32"/>
          <w:szCs w:val="32"/>
        </w:rPr>
        <w:tab/>
      </w:r>
    </w:p>
    <w:p w14:paraId="01A8935A">
      <w:pPr>
        <w:spacing w:line="578" w:lineRule="exact"/>
        <w:ind w:firstLine="321" w:firstLineChars="100"/>
        <w:rPr>
          <w:rFonts w:ascii="楷体_GB2312" w:hAnsi="宋体" w:eastAsia="楷体_GB2312"/>
          <w:b/>
          <w:sz w:val="32"/>
          <w:szCs w:val="32"/>
          <w:lang w:val="zh-CN"/>
        </w:rPr>
      </w:pPr>
      <w:r>
        <w:rPr>
          <w:rFonts w:hint="eastAsia" w:ascii="楷体_GB2312" w:hAnsi="宋体" w:eastAsia="楷体_GB2312"/>
          <w:b/>
          <w:sz w:val="32"/>
          <w:szCs w:val="32"/>
          <w:lang w:val="zh-CN"/>
        </w:rPr>
        <w:t>（一）通用指标</w:t>
      </w:r>
      <w:r>
        <w:rPr>
          <w:rFonts w:ascii="楷体_GB2312" w:hAnsi="宋体" w:eastAsia="楷体_GB2312"/>
          <w:b/>
          <w:sz w:val="32"/>
          <w:szCs w:val="32"/>
          <w:lang w:val="zh-CN"/>
        </w:rPr>
        <w:t>绩效分析。</w:t>
      </w:r>
    </w:p>
    <w:p w14:paraId="0C84A8E5">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1.项目决策</w:t>
      </w:r>
    </w:p>
    <w:p w14:paraId="06844FF1">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设立经过严格评估论证和集体决策，与部门职责相符，符合地方事权支出责任划分原则，与相关部门同类项目或部门内部相关项目不重复，规划与现实需求匹配，项目指导意见、管理办法、申报指南、实施细则等管理制度完善，不存在脱离实际、缺陷、漏洞导致执行偏离预期。综上所述，该项绩效自评得分18分，评价结果为“优”。</w:t>
      </w:r>
    </w:p>
    <w:p w14:paraId="6690FFDD">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2.项目管理</w:t>
      </w:r>
    </w:p>
    <w:p w14:paraId="1EA5E213">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分局严格按照国库集中支付制度相关规定办理支付业务，遵循“先有预算、后有支出”、历行节约的原则，项目经费按照财政预算金额和资金规定的使用范围列支。同时，严格按照项目预算绩效目标要求，专款专用。综上所述，该项绩效自评得分18分，评价结果为“优”。</w:t>
      </w:r>
    </w:p>
    <w:p w14:paraId="0EC13272">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3.项目实施</w:t>
      </w:r>
    </w:p>
    <w:p w14:paraId="42932CCC">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资金分配结果与规划计划一致；按规定及时分配专项预算资金项目。资金符合国家财经法规和财务管理制度及有关专项资金管理办法规定；资金拨付有完整的审批程序和手续；符合项目预算批复或合同规定用途；不存在截留、挤占、挪用、虚列支出等情况。综上所述，该项绩效自评得分9分，评价结果为“优”。</w:t>
      </w:r>
    </w:p>
    <w:p w14:paraId="314A3E03">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4.项目结果</w:t>
      </w:r>
    </w:p>
    <w:p w14:paraId="54719942">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截止2023年12月31日，该项目预算资金到位率100%</w:t>
      </w:r>
      <w:r>
        <w:rPr>
          <w:rFonts w:hint="eastAsia" w:ascii="仿宋_GB2312" w:hAnsi="Nimbus Roman No9 L" w:eastAsia="仿宋_GB2312" w:cs="Arial"/>
          <w:sz w:val="32"/>
          <w:szCs w:val="32"/>
          <w:lang w:eastAsia="zh-CN"/>
        </w:rPr>
        <w:t>，</w:t>
      </w:r>
      <w:r>
        <w:rPr>
          <w:rFonts w:hint="eastAsia" w:ascii="仿宋_GB2312" w:hAnsi="Nimbus Roman No9 L" w:eastAsia="仿宋_GB2312" w:cs="Arial"/>
          <w:sz w:val="32"/>
          <w:szCs w:val="32"/>
        </w:rPr>
        <w:t>预算执行率100%，资金使用合规合法，与预算相符。该补助达发放提高了民警工作效能，更好地服务辖区群众，辖区群众满意度达到90%。综上所述，该项绩效自评得分9分，评价结果为“优”。</w:t>
      </w:r>
    </w:p>
    <w:p w14:paraId="223BE4D3">
      <w:pPr>
        <w:spacing w:line="578" w:lineRule="exact"/>
        <w:ind w:firstLine="639" w:firstLineChars="199"/>
        <w:rPr>
          <w:rFonts w:ascii="楷体_GB2312" w:hAnsi="宋体" w:eastAsia="楷体_GB2312"/>
          <w:b/>
          <w:sz w:val="32"/>
          <w:szCs w:val="32"/>
          <w:lang w:val="zh-CN"/>
        </w:rPr>
      </w:pPr>
      <w:r>
        <w:rPr>
          <w:rFonts w:hint="eastAsia" w:ascii="楷体_GB2312" w:hAnsi="宋体" w:eastAsia="楷体_GB2312"/>
          <w:b/>
          <w:sz w:val="32"/>
          <w:szCs w:val="32"/>
          <w:lang w:val="zh-CN"/>
        </w:rPr>
        <w:t>（二）专用指标绩效分析</w:t>
      </w:r>
    </w:p>
    <w:p w14:paraId="48A98771">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行政运转：按规定用途、适用范围进行该专项资金分配，资金管理程序符合专项资金管理要求，资金分配标准符合专项资金管理要求。综上所述，该项绩效自评得分30分，评价结果为“优”。</w:t>
      </w:r>
    </w:p>
    <w:p w14:paraId="284559F4">
      <w:pPr>
        <w:spacing w:line="578" w:lineRule="exact"/>
        <w:ind w:firstLine="639" w:firstLineChars="199"/>
        <w:rPr>
          <w:rFonts w:ascii="楷体_GB2312" w:hAnsi="宋体" w:eastAsia="楷体_GB2312"/>
          <w:b/>
          <w:sz w:val="32"/>
          <w:szCs w:val="32"/>
          <w:lang w:val="zh-CN"/>
        </w:rPr>
      </w:pPr>
      <w:r>
        <w:rPr>
          <w:rFonts w:hint="eastAsia" w:ascii="楷体_GB2312" w:hAnsi="宋体" w:eastAsia="楷体_GB2312"/>
          <w:b/>
          <w:sz w:val="32"/>
          <w:szCs w:val="32"/>
          <w:lang w:val="zh-CN"/>
        </w:rPr>
        <w:t>（三）个性指标绩效分析</w:t>
      </w:r>
    </w:p>
    <w:p w14:paraId="0C541352">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1.数量指标：保障民警人数10人，完成目标值10人。</w:t>
      </w:r>
    </w:p>
    <w:p w14:paraId="18685F1D">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2.满意度指标：民警满意度指标值95%，完成目标值95%。</w:t>
      </w:r>
    </w:p>
    <w:p w14:paraId="13782894">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综上所述，该项绩效自评得分16分，评价结果为“优”。</w:t>
      </w:r>
    </w:p>
    <w:p w14:paraId="36AA0529">
      <w:pPr>
        <w:adjustRightInd w:val="0"/>
        <w:snapToGrid w:val="0"/>
        <w:spacing w:line="580" w:lineRule="exact"/>
        <w:ind w:firstLine="720"/>
        <w:outlineLvl w:val="1"/>
        <w:rPr>
          <w:rFonts w:ascii="黑体" w:hAnsi="黑体" w:eastAsia="黑体" w:cs="黑体"/>
          <w:bCs/>
          <w:sz w:val="32"/>
          <w:szCs w:val="32"/>
        </w:rPr>
      </w:pPr>
      <w:bookmarkStart w:id="245" w:name="_Toc6280"/>
      <w:r>
        <w:rPr>
          <w:rFonts w:hint="eastAsia" w:ascii="黑体" w:hAnsi="黑体" w:eastAsia="黑体" w:cs="黑体"/>
          <w:bCs/>
          <w:sz w:val="32"/>
          <w:szCs w:val="32"/>
        </w:rPr>
        <w:t>四、评价结论</w:t>
      </w:r>
      <w:bookmarkEnd w:id="245"/>
    </w:p>
    <w:p w14:paraId="74BF321A">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人民警察任务重，时常处于备勤值班状态，人民警察法定节假日之外加班补贴的发放有效提升了人民警察的幸福感、职业荣誉感和战斗执行力。人民警察加班执勤，维护了社会政治和谐稳定，群众满意度和安全感大幅提升。综上所述，该项目绩效自评得分100.00分，评价结果为“优”。</w:t>
      </w:r>
    </w:p>
    <w:p w14:paraId="4D2E6A33">
      <w:pPr>
        <w:adjustRightInd w:val="0"/>
        <w:snapToGrid w:val="0"/>
        <w:spacing w:line="580" w:lineRule="exact"/>
        <w:ind w:firstLine="720"/>
        <w:outlineLvl w:val="1"/>
        <w:rPr>
          <w:rFonts w:ascii="黑体" w:hAnsi="黑体" w:eastAsia="黑体" w:cs="黑体"/>
          <w:bCs/>
          <w:sz w:val="32"/>
          <w:szCs w:val="32"/>
        </w:rPr>
      </w:pPr>
      <w:bookmarkStart w:id="246" w:name="_Toc11259"/>
      <w:r>
        <w:rPr>
          <w:rFonts w:hint="eastAsia" w:ascii="黑体" w:hAnsi="黑体" w:eastAsia="黑体" w:cs="黑体"/>
          <w:bCs/>
          <w:sz w:val="32"/>
          <w:szCs w:val="32"/>
        </w:rPr>
        <w:t>五、存在主要问题</w:t>
      </w:r>
      <w:bookmarkEnd w:id="246"/>
    </w:p>
    <w:p w14:paraId="0A0E0F86">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无。</w:t>
      </w:r>
    </w:p>
    <w:p w14:paraId="5EA916D4">
      <w:pPr>
        <w:adjustRightInd w:val="0"/>
        <w:snapToGrid w:val="0"/>
        <w:spacing w:line="580" w:lineRule="exact"/>
        <w:ind w:firstLine="720"/>
        <w:outlineLvl w:val="1"/>
        <w:rPr>
          <w:rFonts w:ascii="黑体" w:hAnsi="黑体" w:eastAsia="黑体" w:cs="黑体"/>
          <w:bCs/>
          <w:sz w:val="32"/>
          <w:szCs w:val="32"/>
        </w:rPr>
      </w:pPr>
      <w:bookmarkStart w:id="247" w:name="_Toc15890"/>
      <w:r>
        <w:rPr>
          <w:rFonts w:hint="eastAsia" w:ascii="黑体" w:hAnsi="黑体" w:eastAsia="黑体" w:cs="黑体"/>
          <w:bCs/>
          <w:sz w:val="32"/>
          <w:szCs w:val="32"/>
        </w:rPr>
        <w:t>六、改进建议</w:t>
      </w:r>
      <w:bookmarkEnd w:id="247"/>
    </w:p>
    <w:p w14:paraId="7172C14D">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无。</w:t>
      </w:r>
    </w:p>
    <w:p w14:paraId="33C026BB">
      <w:pPr>
        <w:pStyle w:val="28"/>
        <w:spacing w:line="560" w:lineRule="exact"/>
        <w:ind w:firstLine="2640" w:firstLineChars="600"/>
        <w:rPr>
          <w:rFonts w:ascii="方正小标宋简体" w:hAnsi="方正小标宋简体" w:eastAsia="方正小标宋简体" w:cs="方正小标宋简体"/>
          <w:color w:val="auto"/>
          <w:sz w:val="44"/>
          <w:szCs w:val="44"/>
        </w:rPr>
      </w:pPr>
      <w:r>
        <w:rPr>
          <w:rFonts w:hint="eastAsia" w:ascii="方正小标宋简体" w:hAnsi="方正小标宋简体" w:eastAsia="方正小标宋简体" w:cs="方正小标宋简体"/>
          <w:color w:val="auto"/>
          <w:sz w:val="44"/>
          <w:szCs w:val="44"/>
        </w:rPr>
        <w:t>广元市公安局机场分局</w:t>
      </w:r>
    </w:p>
    <w:p w14:paraId="7699DF20">
      <w:pPr>
        <w:pStyle w:val="28"/>
        <w:spacing w:line="560" w:lineRule="exact"/>
        <w:ind w:firstLine="883"/>
        <w:jc w:val="center"/>
        <w:rPr>
          <w:rFonts w:ascii="方正小标宋简体" w:hAnsi="方正小标宋简体" w:eastAsia="方正小标宋简体" w:cs="方正小标宋简体"/>
          <w:color w:val="auto"/>
          <w:sz w:val="44"/>
          <w:szCs w:val="44"/>
          <w:lang w:val="en-US"/>
        </w:rPr>
      </w:pPr>
      <w:r>
        <w:rPr>
          <w:rFonts w:hint="eastAsia" w:ascii="方正小标宋简体" w:hAnsi="方正小标宋简体" w:eastAsia="方正小标宋简体" w:cs="方正小标宋简体"/>
          <w:color w:val="auto"/>
          <w:sz w:val="44"/>
          <w:szCs w:val="44"/>
          <w:lang w:val="en-US"/>
        </w:rPr>
        <w:t>派出所民警免费工作午餐</w:t>
      </w:r>
    </w:p>
    <w:p w14:paraId="004062E3">
      <w:pPr>
        <w:pStyle w:val="28"/>
        <w:spacing w:line="578" w:lineRule="exact"/>
        <w:ind w:firstLine="640"/>
        <w:jc w:val="center"/>
        <w:rPr>
          <w:rFonts w:ascii="宋体" w:hAnsi="宋体"/>
          <w:color w:val="auto"/>
          <w:kern w:val="2"/>
          <w:sz w:val="32"/>
          <w:szCs w:val="32"/>
        </w:rPr>
      </w:pPr>
      <w:r>
        <w:rPr>
          <w:rFonts w:hint="eastAsia" w:ascii="方正小标宋简体" w:hAnsi="方正小标宋简体" w:eastAsia="方正小标宋简体" w:cs="方正小标宋简体"/>
          <w:color w:val="auto"/>
          <w:kern w:val="2"/>
          <w:sz w:val="44"/>
          <w:szCs w:val="44"/>
          <w:lang w:val="en-US"/>
        </w:rPr>
        <w:t>绩效评价报告</w:t>
      </w:r>
    </w:p>
    <w:p w14:paraId="7D6B0A74">
      <w:pPr>
        <w:adjustRightInd w:val="0"/>
        <w:snapToGrid w:val="0"/>
        <w:spacing w:line="580" w:lineRule="exact"/>
        <w:ind w:firstLine="720"/>
        <w:outlineLvl w:val="1"/>
        <w:rPr>
          <w:rFonts w:ascii="黑体" w:hAnsi="黑体" w:eastAsia="黑体" w:cs="黑体"/>
          <w:bCs/>
          <w:sz w:val="32"/>
          <w:szCs w:val="32"/>
        </w:rPr>
      </w:pPr>
      <w:bookmarkStart w:id="248" w:name="_Toc15851"/>
      <w:r>
        <w:rPr>
          <w:rFonts w:hint="eastAsia" w:ascii="黑体" w:hAnsi="黑体" w:eastAsia="黑体" w:cs="黑体"/>
          <w:bCs/>
          <w:sz w:val="32"/>
          <w:szCs w:val="32"/>
        </w:rPr>
        <w:t>一、项目概况</w:t>
      </w:r>
      <w:bookmarkEnd w:id="248"/>
    </w:p>
    <w:p w14:paraId="1A0DCCEF">
      <w:pPr>
        <w:adjustRightInd w:val="0"/>
        <w:snapToGrid w:val="0"/>
        <w:spacing w:line="600" w:lineRule="exact"/>
        <w:ind w:firstLine="720"/>
        <w:rPr>
          <w:rFonts w:ascii="楷体_GB2312" w:hAnsi="宋体" w:eastAsia="楷体_GB2312"/>
          <w:b/>
          <w:lang w:val="zh-CN"/>
        </w:rPr>
      </w:pPr>
      <w:r>
        <w:rPr>
          <w:rFonts w:hint="eastAsia" w:ascii="楷体_GB2312" w:hAnsi="宋体" w:eastAsia="楷体_GB2312"/>
          <w:b/>
          <w:sz w:val="32"/>
          <w:szCs w:val="32"/>
          <w:lang w:val="zh-CN"/>
        </w:rPr>
        <w:t>（一）设立背景及基本情况</w:t>
      </w:r>
    </w:p>
    <w:p w14:paraId="52398C86">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1.机场分局主要对项目资金执行进度进行监督，对项目资金使用情况进行审核审查。</w:t>
      </w:r>
    </w:p>
    <w:p w14:paraId="3538A3C7">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2.根据广府办函﹝2014﹞4号文件《广元市人民政府办公室批转市公安局市财政局关于解决公安派出所民警免费工作午餐经费意见的通知》，对派出所民警午餐补助经费项目进行立项申报。</w:t>
      </w:r>
    </w:p>
    <w:p w14:paraId="00391E80">
      <w:pPr>
        <w:adjustRightInd w:val="0"/>
        <w:snapToGrid w:val="0"/>
        <w:spacing w:line="60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3.根据广府办函﹝2014﹞4号文件《广元市人民政府办公室批转市公安局市财政局关于解决公安派出所民警免费工作午餐经费意见的通知》的有关规定，对项目资金进行管理，严格按照规定的范围支持和审核资金的支付。</w:t>
      </w:r>
    </w:p>
    <w:p w14:paraId="0D58813E">
      <w:pPr>
        <w:adjustRightInd w:val="0"/>
        <w:snapToGrid w:val="0"/>
        <w:spacing w:line="600"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4.项目申报内容与实施内容相符，申报目标合理可行。</w:t>
      </w:r>
    </w:p>
    <w:p w14:paraId="36AAEA64">
      <w:pPr>
        <w:adjustRightInd w:val="0"/>
        <w:snapToGrid w:val="0"/>
        <w:spacing w:line="600" w:lineRule="exact"/>
        <w:ind w:firstLine="472" w:firstLineChars="147"/>
        <w:rPr>
          <w:rFonts w:ascii="楷体_GB2312" w:hAnsi="宋体" w:eastAsia="楷体_GB2312"/>
          <w:b/>
        </w:rPr>
      </w:pPr>
      <w:r>
        <w:rPr>
          <w:rFonts w:hint="eastAsia" w:ascii="楷体_GB2312" w:hAnsi="宋体" w:eastAsia="楷体_GB2312"/>
          <w:b/>
          <w:sz w:val="32"/>
          <w:szCs w:val="32"/>
          <w:lang w:val="zh-CN"/>
        </w:rPr>
        <w:t>（二）</w:t>
      </w:r>
      <w:r>
        <w:rPr>
          <w:rFonts w:ascii="楷体_GB2312" w:hAnsi="宋体" w:eastAsia="楷体_GB2312"/>
          <w:b/>
          <w:sz w:val="32"/>
          <w:szCs w:val="32"/>
        </w:rPr>
        <w:t>实施目的及支持方向</w:t>
      </w:r>
    </w:p>
    <w:p w14:paraId="67E65FC7">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1.通过该项目的实施，进一步落实从优待警各项措施，切实解决好公安派出所民警免费工作午餐补贴，提高派出所民警执法办案效率。</w:t>
      </w:r>
    </w:p>
    <w:p w14:paraId="2A7E56F9">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2.按月保障，每人每天15元，每月不少于22天。准确核算民警午餐补助，由财务室按时进行发放，项目完成率100%，完成情况好。</w:t>
      </w:r>
    </w:p>
    <w:p w14:paraId="4229DFB8">
      <w:pPr>
        <w:pStyle w:val="15"/>
        <w:shd w:val="clear" w:color="auto" w:fill="FFFFFF"/>
        <w:spacing w:beforeAutospacing="0" w:afterAutospacing="0" w:line="560" w:lineRule="exact"/>
        <w:ind w:firstLine="639" w:firstLineChars="199"/>
        <w:jc w:val="both"/>
        <w:rPr>
          <w:rFonts w:ascii="楷体_GB2312" w:hAnsi="宋体" w:eastAsia="楷体_GB2312"/>
          <w:b/>
          <w:sz w:val="32"/>
        </w:rPr>
      </w:pPr>
      <w:r>
        <w:rPr>
          <w:rFonts w:hint="eastAsia" w:ascii="楷体_GB2312" w:hAnsi="宋体" w:eastAsia="楷体_GB2312"/>
          <w:b/>
          <w:sz w:val="32"/>
          <w:lang w:val="zh-CN"/>
        </w:rPr>
        <w:t>（三）</w:t>
      </w:r>
      <w:r>
        <w:rPr>
          <w:rFonts w:ascii="楷体_GB2312" w:hAnsi="宋体" w:eastAsia="楷体_GB2312"/>
          <w:b/>
          <w:sz w:val="32"/>
        </w:rPr>
        <w:t>预算安排及分配管理</w:t>
      </w:r>
    </w:p>
    <w:p w14:paraId="112DFA35">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根据年初预算，该项目经费申报金额为1.98万元，经人大审核批准，预算批复为1.98万元。项目经费申报符合资金管理办法相关规定。</w:t>
      </w:r>
    </w:p>
    <w:p w14:paraId="1D2501D1">
      <w:pPr>
        <w:adjustRightInd w:val="0"/>
        <w:snapToGrid w:val="0"/>
        <w:spacing w:line="600" w:lineRule="exact"/>
        <w:ind w:firstLine="639" w:firstLineChars="199"/>
        <w:rPr>
          <w:rFonts w:ascii="楷体_GB2312" w:hAnsi="宋体" w:eastAsia="楷体_GB2312"/>
          <w:b/>
          <w:lang w:val="zh-CN"/>
        </w:rPr>
      </w:pPr>
      <w:r>
        <w:rPr>
          <w:rFonts w:hint="eastAsia" w:ascii="楷体_GB2312" w:hAnsi="宋体" w:eastAsia="楷体_GB2312"/>
          <w:b/>
          <w:sz w:val="32"/>
          <w:szCs w:val="32"/>
          <w:lang w:val="zh-CN"/>
        </w:rPr>
        <w:t>（</w:t>
      </w:r>
      <w:r>
        <w:rPr>
          <w:rFonts w:hint="eastAsia" w:ascii="楷体_GB2312" w:hAnsi="宋体" w:eastAsia="楷体_GB2312"/>
          <w:b/>
          <w:sz w:val="32"/>
          <w:szCs w:val="32"/>
        </w:rPr>
        <w:t>四</w:t>
      </w:r>
      <w:r>
        <w:rPr>
          <w:rFonts w:hint="eastAsia" w:ascii="楷体_GB2312" w:hAnsi="宋体" w:eastAsia="楷体_GB2312"/>
          <w:b/>
          <w:sz w:val="32"/>
          <w:szCs w:val="32"/>
          <w:lang w:val="zh-CN"/>
        </w:rPr>
        <w:t>）项目绩效目标设置。</w:t>
      </w:r>
    </w:p>
    <w:p w14:paraId="64C8A75E">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根据《广元市市级财政预算管理办法》，本着相关性、重要性、可比性、系统性原则设定评价指标及评价标准 ，按照百分制评分，设置产出指标权重40%，包括数量、质量、时效等；成本指标权重20%；效益指标权重20%，包括经济效益、社会效益等；满意度指标权重10%；预算执行指标权重10%。项目申报单位按照市财政局文件要求对项目绩效自评后，报分局办公室对绩效自评情况进行部门审核。分局依照相关管理办法，组织财务、审计及经费预算申报项目单位等，严格按照市财政局项目绩效评价体系对项目进行审核，严格打分。</w:t>
      </w:r>
    </w:p>
    <w:p w14:paraId="4FA8FE0A">
      <w:pPr>
        <w:adjustRightInd w:val="0"/>
        <w:snapToGrid w:val="0"/>
        <w:spacing w:line="580" w:lineRule="exact"/>
        <w:ind w:firstLine="720"/>
        <w:outlineLvl w:val="1"/>
        <w:rPr>
          <w:rFonts w:ascii="黑体" w:hAnsi="黑体" w:eastAsia="黑体" w:cs="黑体"/>
          <w:bCs/>
          <w:sz w:val="32"/>
          <w:szCs w:val="32"/>
        </w:rPr>
      </w:pPr>
      <w:bookmarkStart w:id="249" w:name="_Toc2483"/>
      <w:r>
        <w:rPr>
          <w:rFonts w:hint="eastAsia" w:ascii="黑体" w:hAnsi="黑体" w:eastAsia="黑体" w:cs="黑体"/>
          <w:bCs/>
          <w:sz w:val="32"/>
          <w:szCs w:val="32"/>
        </w:rPr>
        <w:t>二、评价实施</w:t>
      </w:r>
      <w:bookmarkEnd w:id="249"/>
    </w:p>
    <w:p w14:paraId="705EDD9D">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（一）评价目的</w:t>
      </w:r>
    </w:p>
    <w:p w14:paraId="008856BB">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严格落实《预算法》及省、市绩效管理工作的有关规定，进一步规范财政资金的管理，强化财政支出绩效理念，提高资金使用效益，促进公安工作的发展。</w:t>
      </w:r>
    </w:p>
    <w:p w14:paraId="4329C657">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（二）预设问题及评价重点</w:t>
      </w:r>
    </w:p>
    <w:p w14:paraId="3E79FB39">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1.该项目在预算范围内按时完成，有效控制了成本，提升了资金分配的合理性和资金使用效率。</w:t>
      </w:r>
    </w:p>
    <w:p w14:paraId="29648A31">
      <w:pPr>
        <w:pStyle w:val="15"/>
        <w:shd w:val="clear" w:color="auto" w:fill="FFFFFF"/>
        <w:spacing w:beforeAutospacing="0" w:afterAutospacing="0" w:line="560" w:lineRule="exact"/>
        <w:ind w:firstLine="800" w:firstLineChars="250"/>
        <w:jc w:val="both"/>
      </w:pPr>
      <w:r>
        <w:rPr>
          <w:rFonts w:hint="eastAsia" w:ascii="仿宋_GB2312" w:hAnsi="Nimbus Roman No9 L" w:eastAsia="仿宋_GB2312" w:cs="Arial"/>
          <w:kern w:val="2"/>
          <w:sz w:val="32"/>
        </w:rPr>
        <w:t>2.项目达到预期，有效提升了派出所民警执法办案效率。</w:t>
      </w:r>
    </w:p>
    <w:p w14:paraId="5C79909D">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（三）评价选点</w:t>
      </w:r>
    </w:p>
    <w:p w14:paraId="03006D7C">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项目绩效自评重点抽查了质量指标和成本指标，执行情况优。</w:t>
      </w:r>
    </w:p>
    <w:p w14:paraId="3CB82752">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（四）评价方法</w:t>
      </w:r>
    </w:p>
    <w:p w14:paraId="2DCD0237">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分局成立了绩效自评工作小组，统一组织实施绩效自评工作，由分局党委委员、政委任组长，政工监督室、指挥中心（办公室）主任为小组成员，对全年项目资金全面考核自评，通过查资料、对账单等方式，实事求是开展自评，并采取集中评议的方式，召开民警座谈会，对本项目绩效进行评价。</w:t>
      </w:r>
    </w:p>
    <w:p w14:paraId="366350C0">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（五）评价组织</w:t>
      </w:r>
    </w:p>
    <w:p w14:paraId="74394D4D">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分局成立了绩效自评工作小组，统一组织实施绩效自评工作，由分局党委委员、政委任组长，政工监督室、指挥中心（办公室）主任为小组成员，对全年项目资金全面考核自评。</w:t>
      </w:r>
    </w:p>
    <w:p w14:paraId="51B83791">
      <w:pPr>
        <w:adjustRightInd w:val="0"/>
        <w:snapToGrid w:val="0"/>
        <w:spacing w:line="580" w:lineRule="exact"/>
        <w:ind w:firstLine="720"/>
        <w:outlineLvl w:val="1"/>
        <w:rPr>
          <w:rFonts w:ascii="黑体" w:hAnsi="黑体" w:eastAsia="黑体" w:cs="黑体"/>
          <w:bCs/>
          <w:sz w:val="32"/>
          <w:szCs w:val="32"/>
        </w:rPr>
      </w:pPr>
      <w:bookmarkStart w:id="250" w:name="_Toc15191"/>
      <w:r>
        <w:rPr>
          <w:rFonts w:hint="eastAsia" w:ascii="黑体" w:hAnsi="黑体" w:eastAsia="黑体" w:cs="黑体"/>
          <w:bCs/>
          <w:sz w:val="32"/>
          <w:szCs w:val="32"/>
        </w:rPr>
        <w:t>三、绩效分析</w:t>
      </w:r>
      <w:bookmarkEnd w:id="250"/>
      <w:r>
        <w:rPr>
          <w:rFonts w:hint="eastAsia" w:ascii="黑体" w:hAnsi="黑体" w:eastAsia="黑体" w:cs="黑体"/>
          <w:bCs/>
          <w:sz w:val="32"/>
          <w:szCs w:val="32"/>
        </w:rPr>
        <w:tab/>
      </w:r>
    </w:p>
    <w:p w14:paraId="5852F9AA">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（一）通用指标</w:t>
      </w:r>
      <w:r>
        <w:rPr>
          <w:rFonts w:ascii="楷体_GB2312" w:hAnsi="宋体" w:eastAsia="楷体_GB2312"/>
          <w:b/>
          <w:sz w:val="32"/>
          <w:lang w:val="zh-CN"/>
        </w:rPr>
        <w:t>绩效分析。</w:t>
      </w:r>
    </w:p>
    <w:p w14:paraId="65A68659">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1.项目决策</w:t>
      </w:r>
    </w:p>
    <w:p w14:paraId="383504DC">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按照2023年部门预算编审要求，根据职能职责，明确了年度主要工作任务及年度内履职所要达到的总体产出和效果，项目单位设定了年度绩效数量指标、成本指标、效益指标等，详细反映了相应项目工作任务、达成的效果，报经局党总支委审核论证通过后上报市财政局审核批准，最后进行一体化项目入库。综上所述，该项绩效自评得分18分，评价结果为“优”。</w:t>
      </w:r>
    </w:p>
    <w:p w14:paraId="134F3812">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2.项目管理</w:t>
      </w:r>
    </w:p>
    <w:p w14:paraId="07337519">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分局严格按照国库集中支付制度相关规定办理支付业务，遵循“先有预算、后有支出”、历行节约的原则，项目经费按照财政预算金额和资金规定的使用范围列支。同时，严格按照项目预算绩效目标要求，专款专用。综上所述，该项绩效自评得分18分，评价结果为“优”。</w:t>
      </w:r>
    </w:p>
    <w:p w14:paraId="5A9D8AC8">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3.项目实施</w:t>
      </w:r>
    </w:p>
    <w:p w14:paraId="13330881">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每个季度，项目绩效评价小组对该项目完成进度、项目效益与预期目标偏差等情况进行跟踪自评。本项目按计划逐月实施，没有偏离预期目标。综上所述，该项绩效自评得分9分，评价结果为“优”。</w:t>
      </w:r>
    </w:p>
    <w:p w14:paraId="2C428242">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4.项目结果</w:t>
      </w:r>
    </w:p>
    <w:p w14:paraId="4946938D">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截止2023年12月31日，该项目资金实际支出1.98万元，支付进度100%，支付依据合规合法，资金支付与预算相符。综上所述，该项绩效自评得分9分，评价结果为“优”。</w:t>
      </w:r>
    </w:p>
    <w:p w14:paraId="51DA389C">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（二）专用指标</w:t>
      </w:r>
      <w:r>
        <w:rPr>
          <w:rFonts w:ascii="楷体_GB2312" w:hAnsi="宋体" w:eastAsia="楷体_GB2312"/>
          <w:b/>
          <w:sz w:val="32"/>
          <w:lang w:val="zh-CN"/>
        </w:rPr>
        <w:t>绩效分析</w:t>
      </w:r>
    </w:p>
    <w:p w14:paraId="13E6EABE">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行政运转：按规定用途、适用范围进行该专项资金分配，资金管理程序符合专项资金管理要求，资金分配标准符合专项资金管理要求。综上所述，该项绩效自评得分30分，评价结果为“优”。</w:t>
      </w:r>
    </w:p>
    <w:p w14:paraId="6A9F5A1F">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（三）个性指标</w:t>
      </w:r>
      <w:r>
        <w:rPr>
          <w:rFonts w:ascii="楷体_GB2312" w:hAnsi="宋体" w:eastAsia="楷体_GB2312"/>
          <w:b/>
          <w:sz w:val="32"/>
          <w:lang w:val="zh-CN"/>
        </w:rPr>
        <w:t>绩效分析</w:t>
      </w:r>
    </w:p>
    <w:p w14:paraId="6F689AD3">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1.数量指标：派出所民警免费午餐补助保障人数5人，完成目标值5人。</w:t>
      </w:r>
    </w:p>
    <w:p w14:paraId="30DE59A0">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2.成本指标：派出所民警免费午餐补助人均保障标准330元，完成目标330。</w:t>
      </w:r>
    </w:p>
    <w:p w14:paraId="1C55359D">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综上所述，该项绩效自评得分16分，评价结果为“优”。</w:t>
      </w:r>
    </w:p>
    <w:p w14:paraId="6FE874E1">
      <w:pPr>
        <w:adjustRightInd w:val="0"/>
        <w:snapToGrid w:val="0"/>
        <w:spacing w:line="580" w:lineRule="exact"/>
        <w:ind w:firstLine="720"/>
        <w:outlineLvl w:val="1"/>
        <w:rPr>
          <w:rFonts w:ascii="黑体" w:hAnsi="黑体" w:eastAsia="黑体" w:cs="黑体"/>
          <w:bCs/>
          <w:sz w:val="32"/>
          <w:szCs w:val="32"/>
        </w:rPr>
      </w:pPr>
      <w:bookmarkStart w:id="251" w:name="_Toc17058"/>
      <w:r>
        <w:rPr>
          <w:rFonts w:hint="eastAsia" w:ascii="黑体" w:hAnsi="黑体" w:eastAsia="黑体" w:cs="黑体"/>
          <w:bCs/>
          <w:sz w:val="32"/>
          <w:szCs w:val="32"/>
        </w:rPr>
        <w:t>四、评价结论</w:t>
      </w:r>
      <w:bookmarkEnd w:id="251"/>
    </w:p>
    <w:p w14:paraId="158CEC81">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从该项目完绩效目标完成情况来看，我局严格按照相关项目和财务管理要求贯彻执行，未发生虚报、套取、挤占、挪用或报销不合理开支等行为。综上所述，该项目绩效自评得分100.00分，评价结果为“优”。</w:t>
      </w:r>
    </w:p>
    <w:p w14:paraId="22FD7D2F">
      <w:pPr>
        <w:adjustRightInd w:val="0"/>
        <w:snapToGrid w:val="0"/>
        <w:spacing w:line="580" w:lineRule="exact"/>
        <w:ind w:firstLine="720"/>
        <w:outlineLvl w:val="1"/>
        <w:rPr>
          <w:rFonts w:ascii="黑体" w:hAnsi="黑体" w:eastAsia="黑体" w:cs="黑体"/>
          <w:bCs/>
          <w:sz w:val="32"/>
          <w:szCs w:val="32"/>
        </w:rPr>
      </w:pPr>
      <w:bookmarkStart w:id="252" w:name="_Toc1671"/>
      <w:r>
        <w:rPr>
          <w:rFonts w:hint="eastAsia" w:ascii="黑体" w:hAnsi="黑体" w:eastAsia="黑体" w:cs="黑体"/>
          <w:bCs/>
          <w:sz w:val="32"/>
          <w:szCs w:val="32"/>
        </w:rPr>
        <w:t>五、存在主要问题</w:t>
      </w:r>
      <w:bookmarkEnd w:id="252"/>
    </w:p>
    <w:p w14:paraId="0AB4B14D">
      <w:pPr>
        <w:pStyle w:val="5"/>
        <w:spacing w:line="600" w:lineRule="exact"/>
        <w:ind w:left="320" w:firstLine="320" w:firstLineChars="100"/>
        <w:rPr>
          <w:rFonts w:ascii="仿宋_GB2312" w:hAnsi="仿宋_GB2312" w:eastAsia="仿宋_GB2312" w:cs="仿宋_GB2312"/>
          <w:sz w:val="32"/>
          <w:szCs w:val="32"/>
          <w:shd w:val="clear" w:color="auto" w:fill="FFFFFF"/>
        </w:rPr>
      </w:pPr>
      <w:r>
        <w:rPr>
          <w:rFonts w:hint="eastAsia" w:ascii="仿宋_GB2312" w:hAnsi="仿宋_GB2312" w:eastAsia="仿宋_GB2312" w:cs="仿宋_GB2312"/>
          <w:kern w:val="0"/>
          <w:sz w:val="32"/>
          <w:szCs w:val="32"/>
          <w:shd w:val="clear" w:color="auto" w:fill="FFFFFF"/>
        </w:rPr>
        <w:t>无</w:t>
      </w:r>
    </w:p>
    <w:p w14:paraId="16C9A558">
      <w:pPr>
        <w:adjustRightInd w:val="0"/>
        <w:snapToGrid w:val="0"/>
        <w:spacing w:line="580" w:lineRule="exact"/>
        <w:ind w:firstLine="720"/>
        <w:outlineLvl w:val="1"/>
        <w:rPr>
          <w:rFonts w:ascii="黑体" w:hAnsi="黑体" w:eastAsia="黑体" w:cs="黑体"/>
          <w:bCs/>
          <w:sz w:val="32"/>
          <w:szCs w:val="32"/>
        </w:rPr>
      </w:pPr>
      <w:bookmarkStart w:id="253" w:name="_Toc25145"/>
      <w:r>
        <w:rPr>
          <w:rFonts w:hint="eastAsia" w:ascii="黑体" w:hAnsi="黑体" w:eastAsia="黑体" w:cs="黑体"/>
          <w:bCs/>
          <w:sz w:val="32"/>
          <w:szCs w:val="32"/>
        </w:rPr>
        <w:t>六、改进建议</w:t>
      </w:r>
      <w:bookmarkEnd w:id="253"/>
    </w:p>
    <w:p w14:paraId="2514E248">
      <w:pPr>
        <w:pStyle w:val="5"/>
        <w:spacing w:line="600" w:lineRule="exact"/>
        <w:ind w:firstLine="640" w:firstLineChars="200"/>
        <w:rPr>
          <w:rFonts w:ascii="仿宋_GB2312" w:hAnsi="仿宋_GB2312" w:cs="仿宋_GB2312"/>
          <w:sz w:val="32"/>
          <w:szCs w:val="32"/>
          <w:shd w:val="clear" w:color="auto" w:fill="FFFFFF"/>
        </w:rPr>
      </w:pPr>
      <w:r>
        <w:rPr>
          <w:rFonts w:hint="eastAsia" w:ascii="仿宋_GB2312" w:hAnsi="仿宋_GB2312" w:eastAsia="仿宋_GB2312" w:cs="仿宋_GB2312"/>
          <w:kern w:val="0"/>
          <w:sz w:val="32"/>
          <w:szCs w:val="32"/>
          <w:shd w:val="clear" w:color="auto" w:fill="FFFFFF"/>
        </w:rPr>
        <w:t>无</w:t>
      </w:r>
    </w:p>
    <w:p w14:paraId="58EC83D9">
      <w:pPr>
        <w:pStyle w:val="28"/>
        <w:spacing w:line="578" w:lineRule="exact"/>
        <w:jc w:val="center"/>
        <w:rPr>
          <w:rFonts w:eastAsia="方正小标宋简体"/>
          <w:bCs/>
          <w:sz w:val="44"/>
          <w:szCs w:val="44"/>
          <w:shd w:val="clear" w:color="auto" w:fill="FFFFFF"/>
        </w:rPr>
      </w:pPr>
      <w:r>
        <w:rPr>
          <w:rFonts w:hint="eastAsia" w:ascii="方正小标宋简体" w:hAnsi="方正小标宋简体" w:eastAsia="方正小标宋简体" w:cs="方正小标宋简体"/>
          <w:color w:val="auto"/>
          <w:kern w:val="2"/>
          <w:sz w:val="44"/>
          <w:szCs w:val="44"/>
          <w:lang w:val="en-US"/>
        </w:rPr>
        <w:t>广元市公安局</w:t>
      </w:r>
      <w:r>
        <w:rPr>
          <w:rFonts w:hint="eastAsia" w:eastAsia="方正小标宋简体"/>
          <w:bCs/>
          <w:sz w:val="44"/>
          <w:szCs w:val="44"/>
          <w:shd w:val="clear" w:color="auto" w:fill="FFFFFF"/>
        </w:rPr>
        <w:t>经济技术开发区分局</w:t>
      </w:r>
    </w:p>
    <w:p w14:paraId="22E676F4">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办案业务经费项目绩效评价报告</w:t>
      </w:r>
    </w:p>
    <w:p w14:paraId="1BC95AEC">
      <w:pPr>
        <w:pStyle w:val="28"/>
        <w:spacing w:line="578" w:lineRule="exact"/>
        <w:ind w:firstLine="640"/>
        <w:jc w:val="center"/>
        <w:rPr>
          <w:rFonts w:ascii="宋体" w:hAnsi="宋体"/>
          <w:color w:val="auto"/>
          <w:kern w:val="2"/>
          <w:sz w:val="32"/>
          <w:szCs w:val="32"/>
        </w:rPr>
      </w:pPr>
    </w:p>
    <w:p w14:paraId="5865B58E">
      <w:pPr>
        <w:adjustRightInd w:val="0"/>
        <w:snapToGrid w:val="0"/>
        <w:spacing w:line="580" w:lineRule="exact"/>
        <w:ind w:firstLine="720"/>
        <w:outlineLvl w:val="1"/>
        <w:rPr>
          <w:rFonts w:ascii="黑体" w:hAnsi="黑体" w:eastAsia="黑体" w:cs="黑体"/>
          <w:bCs/>
          <w:sz w:val="32"/>
          <w:szCs w:val="32"/>
        </w:rPr>
      </w:pPr>
      <w:bookmarkStart w:id="254" w:name="_Toc31475"/>
      <w:r>
        <w:rPr>
          <w:rFonts w:hint="eastAsia" w:ascii="黑体" w:hAnsi="黑体" w:eastAsia="黑体" w:cs="黑体"/>
          <w:bCs/>
          <w:sz w:val="32"/>
          <w:szCs w:val="32"/>
        </w:rPr>
        <w:t>一、项目概况</w:t>
      </w:r>
      <w:bookmarkEnd w:id="254"/>
    </w:p>
    <w:p w14:paraId="2C740194">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（一）设立背景及基本情况。</w:t>
      </w:r>
    </w:p>
    <w:p w14:paraId="01CC4AAA">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近年来，随着社会治安形势的复杂多变，公安机关的办案业务费支出逐年增加。为了提高公安机关的办案效率和服务质量，因此设立办案业务费项目，提高警务人员的装备水平和工作效率。</w:t>
      </w:r>
    </w:p>
    <w:p w14:paraId="5D1A543C">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（二）</w:t>
      </w:r>
      <w:r>
        <w:rPr>
          <w:rFonts w:ascii="楷体_GB2312" w:hAnsi="宋体" w:eastAsia="楷体_GB2312"/>
          <w:b/>
          <w:sz w:val="32"/>
          <w:lang w:val="zh-CN"/>
        </w:rPr>
        <w:t>实施目的及支持方向</w:t>
      </w:r>
      <w:r>
        <w:rPr>
          <w:rFonts w:hint="eastAsia" w:ascii="楷体_GB2312" w:hAnsi="宋体" w:eastAsia="楷体_GB2312"/>
          <w:b/>
          <w:sz w:val="32"/>
          <w:lang w:val="zh-CN"/>
        </w:rPr>
        <w:t>。</w:t>
      </w:r>
    </w:p>
    <w:p w14:paraId="7DFC3F61">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实施目的：</w:t>
      </w:r>
    </w:p>
    <w:p w14:paraId="34598177">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1.提高项目成功率：通过对项目绩效的评估和监控，及时发现问题并采取措施加以解决，确保项目按照预定的目标和计划顺利推进，从而推动项目成功实施。</w:t>
      </w:r>
    </w:p>
    <w:p w14:paraId="2CCD3961">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2.优化资源分配：基于绩效评估结果，合理分配人力、物力、财力等资源，使资源投入与项目的重要性和产出效益相匹配，提高资源利用率。</w:t>
      </w:r>
    </w:p>
    <w:p w14:paraId="2DA718E8">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支持方向：</w:t>
      </w:r>
    </w:p>
    <w:p w14:paraId="1D8A03FB">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1.目标明确：确保项目目标清晰、具体、可衡量，使绩效评估有明确的依据。</w:t>
      </w:r>
    </w:p>
    <w:p w14:paraId="0B4299ED">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2.风险管理：通过绩效评估识别项目中的风险，并制定相应的应对措施，降低风险对项目的影响。</w:t>
      </w:r>
    </w:p>
    <w:p w14:paraId="52BCC40F">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（三）</w:t>
      </w:r>
      <w:r>
        <w:rPr>
          <w:rFonts w:ascii="楷体_GB2312" w:hAnsi="宋体" w:eastAsia="楷体_GB2312"/>
          <w:b/>
          <w:sz w:val="32"/>
          <w:lang w:val="zh-CN"/>
        </w:rPr>
        <w:t>预算安排及分配管理</w:t>
      </w:r>
      <w:r>
        <w:rPr>
          <w:rFonts w:hint="eastAsia" w:ascii="楷体_GB2312" w:hAnsi="宋体" w:eastAsia="楷体_GB2312"/>
          <w:b/>
          <w:sz w:val="32"/>
          <w:lang w:val="zh-CN"/>
        </w:rPr>
        <w:t>。</w:t>
      </w:r>
    </w:p>
    <w:p w14:paraId="2A3128AE">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2023年度公安执法办案经费项目资金35.7万元，保障了分局办案业务的正常运行，完成了年初设定的绩效目标，达到了项目预期的效果。</w:t>
      </w:r>
    </w:p>
    <w:p w14:paraId="0246EDF5">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（四）项目绩效目标设置。</w:t>
      </w:r>
    </w:p>
    <w:p w14:paraId="230AC77B">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绩效目标设置包括数量</w:t>
      </w:r>
      <w:r>
        <w:rPr>
          <w:rFonts w:ascii="仿宋_GB2312" w:hAnsi="Nimbus Roman No9 L" w:eastAsia="仿宋_GB2312" w:cs="Arial"/>
          <w:kern w:val="2"/>
          <w:sz w:val="32"/>
        </w:rPr>
        <w:t>指标</w:t>
      </w:r>
      <w:r>
        <w:rPr>
          <w:rFonts w:hint="eastAsia" w:ascii="仿宋_GB2312" w:hAnsi="Nimbus Roman No9 L" w:eastAsia="仿宋_GB2312" w:cs="Arial"/>
          <w:kern w:val="2"/>
          <w:sz w:val="32"/>
        </w:rPr>
        <w:t>3个，质量指标1个，时效指标1个，社会效益指标1个，服务对象满意度指标1个。</w:t>
      </w:r>
    </w:p>
    <w:p w14:paraId="124EFB10">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按照年初既定目标，认真开展预算绩效自评，对指标完成情况进行梳理填报，自评情况良好。</w:t>
      </w:r>
    </w:p>
    <w:p w14:paraId="1AB4AB49">
      <w:pPr>
        <w:adjustRightInd w:val="0"/>
        <w:snapToGrid w:val="0"/>
        <w:spacing w:line="580" w:lineRule="exact"/>
        <w:ind w:firstLine="720"/>
        <w:outlineLvl w:val="1"/>
        <w:rPr>
          <w:rFonts w:ascii="黑体" w:hAnsi="黑体" w:eastAsia="黑体" w:cs="黑体"/>
          <w:bCs/>
          <w:sz w:val="32"/>
          <w:szCs w:val="32"/>
        </w:rPr>
      </w:pPr>
      <w:bookmarkStart w:id="255" w:name="_Toc1923"/>
      <w:r>
        <w:rPr>
          <w:rFonts w:hint="eastAsia" w:ascii="黑体" w:hAnsi="黑体" w:eastAsia="黑体" w:cs="黑体"/>
          <w:bCs/>
          <w:sz w:val="32"/>
          <w:szCs w:val="32"/>
        </w:rPr>
        <w:t>二、评价实施</w:t>
      </w:r>
      <w:bookmarkEnd w:id="255"/>
    </w:p>
    <w:p w14:paraId="5344968A">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（一）评价目的。</w:t>
      </w:r>
    </w:p>
    <w:p w14:paraId="5F7FEEC2">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通过绩效自评可以确定项目是否达到预定的目标和预期的成果，从而提高决策质量和项目管理的水平和能力。合理分配资源，增强项目透明度。</w:t>
      </w:r>
    </w:p>
    <w:p w14:paraId="02DD4343">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（二）预设问题及评价重点。</w:t>
      </w:r>
    </w:p>
    <w:p w14:paraId="6415CCD3">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 xml:space="preserve">按照绩效评价指标体系，对资金支出使用全过程及其实施效果进行综合评价和判断。 </w:t>
      </w:r>
    </w:p>
    <w:p w14:paraId="1299BE2C">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1、项目是否在预算范围内完成？</w:t>
      </w:r>
    </w:p>
    <w:p w14:paraId="0D9DA3A1">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项目是在预算范围内完成的，有效控制了成本，提升了资源分配的合理性和预算管理的严格性。</w:t>
      </w:r>
    </w:p>
    <w:p w14:paraId="1A57F106">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2、项目是否达到预期效果？</w:t>
      </w:r>
    </w:p>
    <w:p w14:paraId="3C1CFA67">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项目达到预期效果，有效保障了该项目的顺利推进。</w:t>
      </w:r>
    </w:p>
    <w:p w14:paraId="3B35043A">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（三）评价选点。</w:t>
      </w:r>
    </w:p>
    <w:p w14:paraId="48316E9A">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项目绩效自评所抽样点位情况良好，达到预期目的。</w:t>
      </w:r>
    </w:p>
    <w:p w14:paraId="53788EB0">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（四）评价方法。</w:t>
      </w:r>
    </w:p>
    <w:p w14:paraId="6FBBBFD8">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ascii="仿宋_GB2312" w:hAnsi="Nimbus Roman No9 L" w:eastAsia="仿宋_GB2312" w:cs="Arial"/>
          <w:kern w:val="2"/>
          <w:sz w:val="32"/>
        </w:rPr>
        <w:t>根据项目情况和评价重点，</w:t>
      </w:r>
      <w:r>
        <w:rPr>
          <w:rFonts w:hint="eastAsia" w:ascii="仿宋_GB2312" w:hAnsi="Nimbus Roman No9 L" w:eastAsia="仿宋_GB2312" w:cs="Arial"/>
          <w:kern w:val="2"/>
          <w:sz w:val="32"/>
        </w:rPr>
        <w:t>我单位采取</w:t>
      </w:r>
      <w:r>
        <w:rPr>
          <w:rFonts w:ascii="仿宋_GB2312" w:hAnsi="Nimbus Roman No9 L" w:eastAsia="仿宋_GB2312" w:cs="Arial"/>
          <w:kern w:val="2"/>
          <w:sz w:val="32"/>
        </w:rPr>
        <w:t>单位自评法</w:t>
      </w:r>
      <w:r>
        <w:rPr>
          <w:rFonts w:hint="eastAsia" w:ascii="仿宋_GB2312" w:hAnsi="Nimbus Roman No9 L" w:eastAsia="仿宋_GB2312" w:cs="Arial"/>
          <w:kern w:val="2"/>
          <w:sz w:val="32"/>
        </w:rPr>
        <w:t>对该项目预算绩效开展自评。</w:t>
      </w:r>
    </w:p>
    <w:p w14:paraId="4DE4C928">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（五）评价组织。</w:t>
      </w:r>
    </w:p>
    <w:p w14:paraId="6D425E47">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该项目自评工作由分局警务保障室牵头，各相关部门协助配合，围绕总体目标、绩效指标的完成情况及使用效益开展自评工作。</w:t>
      </w:r>
    </w:p>
    <w:p w14:paraId="4521A032">
      <w:pPr>
        <w:adjustRightInd w:val="0"/>
        <w:snapToGrid w:val="0"/>
        <w:spacing w:line="580" w:lineRule="exact"/>
        <w:ind w:firstLine="720"/>
        <w:outlineLvl w:val="1"/>
        <w:rPr>
          <w:rFonts w:ascii="黑体" w:hAnsi="黑体" w:eastAsia="黑体" w:cs="黑体"/>
          <w:bCs/>
          <w:sz w:val="32"/>
          <w:szCs w:val="32"/>
        </w:rPr>
      </w:pPr>
      <w:bookmarkStart w:id="256" w:name="_Toc3851"/>
      <w:r>
        <w:rPr>
          <w:rFonts w:hint="eastAsia" w:ascii="黑体" w:hAnsi="黑体" w:eastAsia="黑体" w:cs="黑体"/>
          <w:bCs/>
          <w:sz w:val="32"/>
          <w:szCs w:val="32"/>
        </w:rPr>
        <w:t>三、绩效分析</w:t>
      </w:r>
      <w:bookmarkEnd w:id="256"/>
      <w:r>
        <w:rPr>
          <w:rFonts w:hint="eastAsia" w:ascii="黑体" w:hAnsi="黑体" w:eastAsia="黑体" w:cs="黑体"/>
          <w:bCs/>
          <w:sz w:val="32"/>
          <w:szCs w:val="32"/>
        </w:rPr>
        <w:tab/>
      </w:r>
    </w:p>
    <w:p w14:paraId="2C35C744">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（一）通用指标</w:t>
      </w:r>
      <w:r>
        <w:rPr>
          <w:rFonts w:ascii="楷体_GB2312" w:hAnsi="宋体" w:eastAsia="楷体_GB2312"/>
          <w:b/>
          <w:sz w:val="32"/>
          <w:lang w:val="zh-CN"/>
        </w:rPr>
        <w:t>绩效分析。</w:t>
      </w:r>
    </w:p>
    <w:p w14:paraId="3A1E98C0">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1.项目决策。</w:t>
      </w:r>
    </w:p>
    <w:p w14:paraId="39DD1E3D">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办案业务费项目属于分局延续性项目。截止2023年12月31日，该项目资金实际支出35.7万元，支付进度100%，支付依据合规合法，资金支付与预算相符。经自评，该项目自评得100分。</w:t>
      </w:r>
    </w:p>
    <w:p w14:paraId="02E9D535">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2.项目管理。</w:t>
      </w:r>
    </w:p>
    <w:p w14:paraId="377784E3">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我局严格按照国库集中支付制度相关规定办理支付业务，遵循“先有预算、后有支出”、厉行节约的原则，项目经费按照财政预算金额和资金规定的使用范围列支。同时，严格按照项目预算绩效目标要求，专款专用。经自评，该项目自评得100分。</w:t>
      </w:r>
    </w:p>
    <w:p w14:paraId="39AF6F8A">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3.项目实施。</w:t>
      </w:r>
    </w:p>
    <w:p w14:paraId="104A8523">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每个季度，项目绩效评价小组对该项目完成进度、项目效益与预期目标偏差等情况进行跟踪自评。本项目按计划逐月实施，并对项目实施情况进行公示，没有偏离预期目标。项目完成率100%，完成情况好。经自评，该项目自评得100分。</w:t>
      </w:r>
    </w:p>
    <w:p w14:paraId="4813F087">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4.项目结果。</w:t>
      </w:r>
    </w:p>
    <w:p w14:paraId="0208EDCE">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该项目绩效自评得分100分，设置绩效目标8个，实际完成8个。经自评，该项目自评得100分。</w:t>
      </w:r>
    </w:p>
    <w:p w14:paraId="5A029663">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（二）专用指标</w:t>
      </w:r>
      <w:r>
        <w:rPr>
          <w:rFonts w:ascii="楷体_GB2312" w:hAnsi="宋体" w:eastAsia="楷体_GB2312"/>
          <w:b/>
          <w:sz w:val="32"/>
          <w:lang w:val="zh-CN"/>
        </w:rPr>
        <w:t>绩效分析。</w:t>
      </w:r>
    </w:p>
    <w:p w14:paraId="387E5487">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本项目属于行政运转类。项目由分局局警务保障室进行综合管理，设立专职会计、出纳等岗位，各部门相关费用支出由部门内勤统一进行报销。项目资金使用严格按照财务管理制度要求，实行公务卡结算，不能使用公务卡结算的进行转账，发生的每一笔支出都要履行完整报销手续，确保其真实可靠性、合法合规。经自评，该项目自评得100分。</w:t>
      </w:r>
    </w:p>
    <w:p w14:paraId="68920E6E">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（三）个性指标</w:t>
      </w:r>
      <w:r>
        <w:rPr>
          <w:rFonts w:ascii="楷体_GB2312" w:hAnsi="宋体" w:eastAsia="楷体_GB2312"/>
          <w:b/>
          <w:sz w:val="32"/>
          <w:lang w:val="zh-CN"/>
        </w:rPr>
        <w:t>绩效分析。</w:t>
      </w:r>
    </w:p>
    <w:p w14:paraId="57E7739B">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根据本项目的实际，项目选取效益个性指标，项目资金结余的情况，项目实施效果是否与绩效目标或申报目标符合。根据项目实施的实际效果，采取是否评分法，经自评，该项自评得16分。</w:t>
      </w:r>
    </w:p>
    <w:p w14:paraId="3D55285C">
      <w:pPr>
        <w:adjustRightInd w:val="0"/>
        <w:snapToGrid w:val="0"/>
        <w:spacing w:line="580" w:lineRule="exact"/>
        <w:ind w:firstLine="720"/>
        <w:outlineLvl w:val="1"/>
        <w:rPr>
          <w:rFonts w:ascii="黑体" w:hAnsi="黑体" w:eastAsia="黑体" w:cs="黑体"/>
          <w:bCs/>
          <w:sz w:val="32"/>
          <w:szCs w:val="32"/>
        </w:rPr>
      </w:pPr>
      <w:bookmarkStart w:id="257" w:name="_Toc7293"/>
      <w:r>
        <w:rPr>
          <w:rFonts w:hint="eastAsia" w:ascii="黑体" w:hAnsi="黑体" w:eastAsia="黑体" w:cs="黑体"/>
          <w:bCs/>
          <w:sz w:val="32"/>
          <w:szCs w:val="32"/>
        </w:rPr>
        <w:t>四、评价结论</w:t>
      </w:r>
      <w:bookmarkEnd w:id="257"/>
    </w:p>
    <w:p w14:paraId="53AE3184">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2023年度公安执法办案经费项目资金35.7万元，保障了分局办案业务的正常运行，完成了年初设定的绩效目标，达到了项目预期的效果。资金使用合理合规，及时有效，保障了分局办案工作的需要，提升了辖区人民群众安全感满意度。经自评，该项目得分100分。</w:t>
      </w:r>
    </w:p>
    <w:p w14:paraId="0ADA549D">
      <w:pPr>
        <w:adjustRightInd w:val="0"/>
        <w:snapToGrid w:val="0"/>
        <w:spacing w:line="580" w:lineRule="exact"/>
        <w:ind w:firstLine="720"/>
        <w:outlineLvl w:val="1"/>
        <w:rPr>
          <w:rFonts w:ascii="黑体" w:hAnsi="黑体" w:eastAsia="黑体" w:cs="黑体"/>
          <w:bCs/>
          <w:sz w:val="32"/>
          <w:szCs w:val="32"/>
        </w:rPr>
      </w:pPr>
      <w:bookmarkStart w:id="258" w:name="_Toc17655"/>
      <w:r>
        <w:rPr>
          <w:rFonts w:hint="eastAsia" w:ascii="黑体" w:hAnsi="黑体" w:eastAsia="黑体" w:cs="黑体"/>
          <w:bCs/>
          <w:sz w:val="32"/>
          <w:szCs w:val="32"/>
        </w:rPr>
        <w:t>五、存在主要问题</w:t>
      </w:r>
      <w:bookmarkEnd w:id="258"/>
    </w:p>
    <w:p w14:paraId="48BCE343">
      <w:pPr>
        <w:pStyle w:val="5"/>
        <w:tabs>
          <w:tab w:val="left" w:pos="2160"/>
        </w:tabs>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无</w:t>
      </w:r>
    </w:p>
    <w:p w14:paraId="41B5CD52">
      <w:pPr>
        <w:adjustRightInd w:val="0"/>
        <w:snapToGrid w:val="0"/>
        <w:spacing w:line="580" w:lineRule="exact"/>
        <w:ind w:firstLine="720"/>
        <w:outlineLvl w:val="1"/>
        <w:rPr>
          <w:rFonts w:ascii="黑体" w:hAnsi="黑体" w:eastAsia="黑体" w:cs="黑体"/>
          <w:bCs/>
          <w:sz w:val="32"/>
          <w:szCs w:val="32"/>
        </w:rPr>
      </w:pPr>
      <w:bookmarkStart w:id="259" w:name="_Toc25158"/>
      <w:r>
        <w:rPr>
          <w:rFonts w:hint="eastAsia" w:ascii="黑体" w:hAnsi="黑体" w:eastAsia="黑体" w:cs="黑体"/>
          <w:bCs/>
          <w:sz w:val="32"/>
          <w:szCs w:val="32"/>
        </w:rPr>
        <w:t>六、改进建议</w:t>
      </w:r>
      <w:bookmarkEnd w:id="259"/>
    </w:p>
    <w:p w14:paraId="249F90E0">
      <w:pPr>
        <w:pStyle w:val="15"/>
        <w:shd w:val="clear" w:color="auto" w:fill="FFFFFF"/>
        <w:spacing w:beforeAutospacing="0" w:afterAutospacing="0" w:line="560" w:lineRule="exact"/>
        <w:ind w:firstLine="800" w:firstLineChars="25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无</w:t>
      </w:r>
    </w:p>
    <w:p w14:paraId="23710D24">
      <w:pPr>
        <w:pStyle w:val="28"/>
        <w:spacing w:line="578" w:lineRule="exact"/>
        <w:jc w:val="center"/>
        <w:rPr>
          <w:rFonts w:eastAsia="方正小标宋简体"/>
          <w:bCs/>
          <w:sz w:val="44"/>
          <w:szCs w:val="44"/>
          <w:shd w:val="clear" w:color="auto" w:fill="FFFFFF"/>
        </w:rPr>
      </w:pPr>
      <w:r>
        <w:rPr>
          <w:rFonts w:hint="eastAsia" w:ascii="方正小标宋简体" w:hAnsi="方正小标宋简体" w:eastAsia="方正小标宋简体" w:cs="方正小标宋简体"/>
          <w:color w:val="auto"/>
          <w:kern w:val="2"/>
          <w:sz w:val="44"/>
          <w:szCs w:val="44"/>
          <w:lang w:val="en-US"/>
        </w:rPr>
        <w:t>广元市公安局</w:t>
      </w:r>
      <w:r>
        <w:rPr>
          <w:rFonts w:hint="eastAsia" w:eastAsia="方正小标宋简体"/>
          <w:bCs/>
          <w:sz w:val="44"/>
          <w:szCs w:val="44"/>
          <w:shd w:val="clear" w:color="auto" w:fill="FFFFFF"/>
        </w:rPr>
        <w:t>经济技术开发区分局</w:t>
      </w:r>
    </w:p>
    <w:p w14:paraId="5379B753">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购买办公设备费项目绩效评价报告</w:t>
      </w:r>
    </w:p>
    <w:p w14:paraId="109060A0">
      <w:pPr>
        <w:pStyle w:val="28"/>
        <w:spacing w:line="578" w:lineRule="exact"/>
        <w:ind w:firstLine="640"/>
        <w:jc w:val="center"/>
        <w:rPr>
          <w:rFonts w:ascii="宋体" w:hAnsi="宋体"/>
          <w:color w:val="auto"/>
          <w:kern w:val="2"/>
          <w:sz w:val="32"/>
          <w:szCs w:val="32"/>
        </w:rPr>
      </w:pPr>
    </w:p>
    <w:p w14:paraId="670D5BF6">
      <w:pPr>
        <w:adjustRightInd w:val="0"/>
        <w:snapToGrid w:val="0"/>
        <w:spacing w:line="580" w:lineRule="exact"/>
        <w:ind w:firstLine="720"/>
        <w:outlineLvl w:val="1"/>
        <w:rPr>
          <w:rFonts w:ascii="黑体" w:hAnsi="黑体" w:eastAsia="黑体" w:cs="黑体"/>
          <w:bCs/>
          <w:sz w:val="32"/>
          <w:szCs w:val="32"/>
        </w:rPr>
      </w:pPr>
      <w:bookmarkStart w:id="260" w:name="_Toc27279"/>
      <w:r>
        <w:rPr>
          <w:rFonts w:hint="eastAsia" w:ascii="黑体" w:hAnsi="黑体" w:eastAsia="黑体" w:cs="黑体"/>
          <w:bCs/>
          <w:sz w:val="32"/>
          <w:szCs w:val="32"/>
        </w:rPr>
        <w:t>一、项目概况</w:t>
      </w:r>
      <w:bookmarkEnd w:id="260"/>
    </w:p>
    <w:p w14:paraId="150AB095">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（一）设立背景及基本情况。</w:t>
      </w:r>
    </w:p>
    <w:p w14:paraId="01EBF393">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2023年根据开发区五大园区建设及公安服务园区经济，建立园区警务室及执法办案和派出所相关工作需要配置必要的设备。</w:t>
      </w:r>
    </w:p>
    <w:p w14:paraId="42FC375A">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（二）</w:t>
      </w:r>
      <w:r>
        <w:rPr>
          <w:rFonts w:ascii="楷体_GB2312" w:hAnsi="宋体" w:eastAsia="楷体_GB2312"/>
          <w:b/>
          <w:sz w:val="32"/>
          <w:lang w:val="zh-CN"/>
        </w:rPr>
        <w:t>实施目的及支持方向</w:t>
      </w:r>
      <w:r>
        <w:rPr>
          <w:rFonts w:hint="eastAsia" w:ascii="楷体_GB2312" w:hAnsi="宋体" w:eastAsia="楷体_GB2312"/>
          <w:b/>
          <w:sz w:val="32"/>
          <w:lang w:val="zh-CN"/>
        </w:rPr>
        <w:t>。</w:t>
      </w:r>
    </w:p>
    <w:p w14:paraId="3F358371">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更新办公设备，提高民警工作效率，满足日常工作开展的需求。确保采购设备的质量可靠，性能稳定，使用寿命较长。</w:t>
      </w:r>
    </w:p>
    <w:p w14:paraId="01C5BF4F">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（三）</w:t>
      </w:r>
      <w:r>
        <w:rPr>
          <w:rFonts w:ascii="楷体_GB2312" w:hAnsi="宋体" w:eastAsia="楷体_GB2312"/>
          <w:b/>
          <w:sz w:val="32"/>
          <w:lang w:val="zh-CN"/>
        </w:rPr>
        <w:t>预算安排及分配管理</w:t>
      </w:r>
      <w:r>
        <w:rPr>
          <w:rFonts w:hint="eastAsia" w:ascii="楷体_GB2312" w:hAnsi="宋体" w:eastAsia="楷体_GB2312"/>
          <w:b/>
          <w:sz w:val="32"/>
          <w:lang w:val="zh-CN"/>
        </w:rPr>
        <w:t>。</w:t>
      </w:r>
    </w:p>
    <w:p w14:paraId="166AA809">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购买办公设备费项目属于单位确定的经常向项目。2023年预算金额14.9万元，全部来源于市财政预算，资金到位率100%，全年完成率100%。</w:t>
      </w:r>
    </w:p>
    <w:p w14:paraId="3E99F880">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（四）项目绩效目标设置。</w:t>
      </w:r>
    </w:p>
    <w:p w14:paraId="427DAED3">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绩效目标设置包括数量指标2个，质量指标1个，时效指标1个，可持续影响指标1个，经济成本指标2个。</w:t>
      </w:r>
    </w:p>
    <w:p w14:paraId="53DCCE39">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按照年初既定目标，认真开展预算绩效自评，对指标完成情况进行梳理填报，自评情况良好。</w:t>
      </w:r>
    </w:p>
    <w:p w14:paraId="7C3CB3E8">
      <w:pPr>
        <w:adjustRightInd w:val="0"/>
        <w:snapToGrid w:val="0"/>
        <w:spacing w:line="580" w:lineRule="exact"/>
        <w:ind w:firstLine="720"/>
        <w:outlineLvl w:val="1"/>
        <w:rPr>
          <w:rFonts w:ascii="黑体" w:hAnsi="黑体" w:eastAsia="黑体" w:cs="黑体"/>
          <w:bCs/>
          <w:sz w:val="32"/>
          <w:szCs w:val="32"/>
        </w:rPr>
      </w:pPr>
      <w:bookmarkStart w:id="261" w:name="_Toc967"/>
      <w:r>
        <w:rPr>
          <w:rFonts w:hint="eastAsia" w:ascii="黑体" w:hAnsi="黑体" w:eastAsia="黑体" w:cs="黑体"/>
          <w:bCs/>
          <w:sz w:val="32"/>
          <w:szCs w:val="32"/>
        </w:rPr>
        <w:t>二、评价实施</w:t>
      </w:r>
      <w:bookmarkEnd w:id="261"/>
    </w:p>
    <w:p w14:paraId="2444AC0A">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（一）评价目的。</w:t>
      </w:r>
    </w:p>
    <w:p w14:paraId="058D7C5D">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通过绩效自评可以确定项目是否达到预定的目标和预期的成果，从而提高决策质量和项目管理的水平和能力。合理分配资源，增强项目透明度。</w:t>
      </w:r>
    </w:p>
    <w:p w14:paraId="23F2C1E5">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（二）预设问题及评价重点。</w:t>
      </w:r>
    </w:p>
    <w:p w14:paraId="731DEE93">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 xml:space="preserve">按照绩效评价指标体系，对资金支出使用全过程及其实施效果进行综合评价和判断。 </w:t>
      </w:r>
    </w:p>
    <w:p w14:paraId="69958078">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1、项目是否在预算范围内完成？</w:t>
      </w:r>
    </w:p>
    <w:p w14:paraId="7FB958DD">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项目是在预算范围内完成的，有效控制了成本，提升了资源分配的合理性和预算管理的严格性。</w:t>
      </w:r>
    </w:p>
    <w:p w14:paraId="6336FDD4">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2、项目是否达到预期效果？</w:t>
      </w:r>
    </w:p>
    <w:p w14:paraId="14300803">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项目达到预期效果，有效保障了该项目的顺利推进</w:t>
      </w:r>
    </w:p>
    <w:p w14:paraId="273D65E4">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（三）评价选点。</w:t>
      </w:r>
    </w:p>
    <w:p w14:paraId="77205359">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项目绩效自评所抽样点位情况良好，达到预期目的。</w:t>
      </w:r>
    </w:p>
    <w:p w14:paraId="3D25C9EC">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（四）评价方法。</w:t>
      </w:r>
    </w:p>
    <w:p w14:paraId="22DBAB13">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根据项目情况和评价重点，我单位采取单位自评法对该项目预算绩效开展自评。</w:t>
      </w:r>
    </w:p>
    <w:p w14:paraId="2433ADE4">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（五）评价组织。</w:t>
      </w:r>
    </w:p>
    <w:p w14:paraId="3D5C91A7">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该项目自评工作由分局警务保障室牵头，各相关部门协助配合，围绕总体目标、绩效指标的完成情况及使用效益开展自评工作。</w:t>
      </w:r>
    </w:p>
    <w:p w14:paraId="38212030">
      <w:pPr>
        <w:adjustRightInd w:val="0"/>
        <w:snapToGrid w:val="0"/>
        <w:spacing w:line="580" w:lineRule="exact"/>
        <w:ind w:firstLine="720"/>
        <w:outlineLvl w:val="1"/>
        <w:rPr>
          <w:rFonts w:ascii="黑体" w:hAnsi="黑体" w:eastAsia="黑体" w:cs="黑体"/>
          <w:bCs/>
          <w:sz w:val="32"/>
          <w:szCs w:val="32"/>
        </w:rPr>
      </w:pPr>
      <w:bookmarkStart w:id="262" w:name="_Toc27099"/>
      <w:r>
        <w:rPr>
          <w:rFonts w:hint="eastAsia" w:ascii="黑体" w:hAnsi="黑体" w:eastAsia="黑体" w:cs="黑体"/>
          <w:bCs/>
          <w:sz w:val="32"/>
          <w:szCs w:val="32"/>
        </w:rPr>
        <w:t>三、绩效分析</w:t>
      </w:r>
      <w:bookmarkEnd w:id="262"/>
      <w:r>
        <w:rPr>
          <w:rFonts w:hint="eastAsia" w:ascii="黑体" w:hAnsi="黑体" w:eastAsia="黑体" w:cs="黑体"/>
          <w:bCs/>
          <w:sz w:val="32"/>
          <w:szCs w:val="32"/>
        </w:rPr>
        <w:tab/>
      </w:r>
    </w:p>
    <w:p w14:paraId="094742A1">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（一）通用指标</w:t>
      </w:r>
      <w:r>
        <w:rPr>
          <w:rFonts w:ascii="楷体_GB2312" w:hAnsi="宋体" w:eastAsia="楷体_GB2312"/>
          <w:b/>
          <w:sz w:val="32"/>
          <w:lang w:val="zh-CN"/>
        </w:rPr>
        <w:t>绩效分析。</w:t>
      </w:r>
    </w:p>
    <w:p w14:paraId="12630D08">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1.项目决策。</w:t>
      </w:r>
    </w:p>
    <w:p w14:paraId="52E1C0FB">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购买办公设备费属单位确定的经常向项目。2023年预算金额14.9万元，全部来源于市财政预算，资金到位率100%，全年完成率100%。经自评，该项目自评得100分。</w:t>
      </w:r>
    </w:p>
    <w:p w14:paraId="3A4BBB66">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2.项目管理。</w:t>
      </w:r>
    </w:p>
    <w:p w14:paraId="07DFA044">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我局严格按照国库集中支付制度相关规定办理支付业务，遵循“先有预算、后有支出”、厉行节约的原则，项目经费按照财政预算金额和资金规定的使用范围列支。同时，严格按照项目预算绩效目标要求，专款专用。经自评，该项目自评得100分。</w:t>
      </w:r>
    </w:p>
    <w:p w14:paraId="6154D079">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3.项目实施。</w:t>
      </w:r>
    </w:p>
    <w:p w14:paraId="2EF76AE4">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每个季度，项目绩效评价小组对该项目完成进度、项目效益与预期目标偏差等情况进行跟踪自评。本项目按计划逐月实施，并对项目实施情况进行公示，没有偏离预期目标。项目完成率100%，完成情况好。经自评，该项目自评得100分。</w:t>
      </w:r>
    </w:p>
    <w:p w14:paraId="438F550D">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4.项目结果。</w:t>
      </w:r>
    </w:p>
    <w:p w14:paraId="7938794B">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该项目绩效自评得分100分，设置绩效目标7个，实际完成7个。经自评，该项目自评得100分。</w:t>
      </w:r>
    </w:p>
    <w:p w14:paraId="2A047ADB">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（二）专用指标</w:t>
      </w:r>
      <w:r>
        <w:rPr>
          <w:rFonts w:ascii="楷体_GB2312" w:hAnsi="宋体" w:eastAsia="楷体_GB2312"/>
          <w:b/>
          <w:sz w:val="32"/>
          <w:lang w:val="zh-CN"/>
        </w:rPr>
        <w:t>绩效分析。</w:t>
      </w:r>
    </w:p>
    <w:p w14:paraId="097F5108">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本项目属于行政运转类。项目由分局局警务保障室进行综合管理，设立专职会计、出纳等岗位，办公设备采购由专人进行采购，到警务保障室统一进行报销。项目资金使用严格按照财务管理制度要求，实行公务卡结算，不能使用公务卡结算的进行转账，发生的每一笔支出都要履行完整报销手续，确保其真实可靠性、合法合规。经自评，该项目自评得100分。</w:t>
      </w:r>
    </w:p>
    <w:p w14:paraId="24B470A6">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（三）个性指标</w:t>
      </w:r>
      <w:r>
        <w:rPr>
          <w:rFonts w:ascii="楷体_GB2312" w:hAnsi="宋体" w:eastAsia="楷体_GB2312"/>
          <w:b/>
          <w:sz w:val="32"/>
          <w:lang w:val="zh-CN"/>
        </w:rPr>
        <w:t>绩效分析。</w:t>
      </w:r>
    </w:p>
    <w:p w14:paraId="33192E5F">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根据本项目的实际，项目选取效益个性指标，项目资金结余的情况，项目实施效果是否与绩效目标或申报目标符合。根据项目实施的实际效果，采取是否评分法，经自评，该项自评得16分。</w:t>
      </w:r>
    </w:p>
    <w:p w14:paraId="1878F205">
      <w:pPr>
        <w:adjustRightInd w:val="0"/>
        <w:snapToGrid w:val="0"/>
        <w:spacing w:line="580" w:lineRule="exact"/>
        <w:ind w:firstLine="720"/>
        <w:outlineLvl w:val="1"/>
        <w:rPr>
          <w:rFonts w:ascii="黑体" w:hAnsi="黑体" w:eastAsia="黑体" w:cs="黑体"/>
          <w:bCs/>
          <w:sz w:val="32"/>
          <w:szCs w:val="32"/>
        </w:rPr>
      </w:pPr>
      <w:bookmarkStart w:id="263" w:name="_Toc2712"/>
      <w:r>
        <w:rPr>
          <w:rFonts w:hint="eastAsia" w:ascii="黑体" w:hAnsi="黑体" w:eastAsia="黑体" w:cs="黑体"/>
          <w:bCs/>
          <w:sz w:val="32"/>
          <w:szCs w:val="32"/>
        </w:rPr>
        <w:t>四、评价结论</w:t>
      </w:r>
      <w:bookmarkEnd w:id="263"/>
    </w:p>
    <w:p w14:paraId="28488136">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购买办公设备专项资金，是根据各部门预算申报，2023年采购设备18台，更新派出所家具23件。购买产品合格率100%，积极保障了民警执法工作开展的需求，提高了各部门执法办案工作的积极性，更好的服务辖区人民群众。经自评，该项目自评得100分。</w:t>
      </w:r>
    </w:p>
    <w:p w14:paraId="11021491">
      <w:pPr>
        <w:adjustRightInd w:val="0"/>
        <w:snapToGrid w:val="0"/>
        <w:spacing w:line="580" w:lineRule="exact"/>
        <w:ind w:firstLine="720"/>
        <w:outlineLvl w:val="1"/>
        <w:rPr>
          <w:rFonts w:ascii="黑体" w:hAnsi="黑体" w:eastAsia="黑体" w:cs="黑体"/>
          <w:bCs/>
          <w:sz w:val="32"/>
          <w:szCs w:val="32"/>
        </w:rPr>
      </w:pPr>
      <w:bookmarkStart w:id="264" w:name="_Toc14049"/>
      <w:r>
        <w:rPr>
          <w:rFonts w:hint="eastAsia" w:ascii="黑体" w:hAnsi="黑体" w:eastAsia="黑体" w:cs="黑体"/>
          <w:bCs/>
          <w:sz w:val="32"/>
          <w:szCs w:val="32"/>
        </w:rPr>
        <w:t>五、存在主要问题</w:t>
      </w:r>
      <w:bookmarkEnd w:id="264"/>
    </w:p>
    <w:p w14:paraId="280D6312">
      <w:pPr>
        <w:pStyle w:val="5"/>
        <w:tabs>
          <w:tab w:val="left" w:pos="2160"/>
        </w:tabs>
        <w:spacing w:line="60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无</w:t>
      </w:r>
    </w:p>
    <w:p w14:paraId="5C8C8E0D">
      <w:pPr>
        <w:adjustRightInd w:val="0"/>
        <w:snapToGrid w:val="0"/>
        <w:spacing w:line="580" w:lineRule="exact"/>
        <w:ind w:firstLine="720"/>
        <w:outlineLvl w:val="1"/>
        <w:rPr>
          <w:rFonts w:ascii="黑体" w:hAnsi="黑体" w:eastAsia="黑体" w:cs="黑体"/>
          <w:bCs/>
          <w:sz w:val="32"/>
          <w:szCs w:val="32"/>
        </w:rPr>
      </w:pPr>
      <w:bookmarkStart w:id="265" w:name="_Toc12344"/>
      <w:r>
        <w:rPr>
          <w:rFonts w:hint="eastAsia" w:ascii="黑体" w:hAnsi="黑体" w:eastAsia="黑体" w:cs="黑体"/>
          <w:bCs/>
          <w:sz w:val="32"/>
          <w:szCs w:val="32"/>
        </w:rPr>
        <w:t>六、改进建议</w:t>
      </w:r>
      <w:bookmarkEnd w:id="265"/>
    </w:p>
    <w:p w14:paraId="19596471">
      <w:pPr>
        <w:adjustRightInd w:val="0"/>
        <w:snapToGrid w:val="0"/>
        <w:spacing w:line="580" w:lineRule="exact"/>
        <w:ind w:firstLine="720"/>
        <w:rPr>
          <w:rFonts w:ascii="黑体" w:hAnsi="黑体" w:eastAsia="黑体" w:cs="黑体"/>
          <w:bCs/>
          <w:sz w:val="32"/>
          <w:szCs w:val="32"/>
        </w:rPr>
      </w:pPr>
      <w:r>
        <w:rPr>
          <w:rFonts w:hint="eastAsia" w:ascii="黑体" w:hAnsi="黑体" w:eastAsia="黑体" w:cs="黑体"/>
          <w:bCs/>
          <w:sz w:val="32"/>
          <w:szCs w:val="32"/>
        </w:rPr>
        <w:t>无</w:t>
      </w:r>
    </w:p>
    <w:p w14:paraId="55C3C014">
      <w:pPr>
        <w:pStyle w:val="28"/>
        <w:spacing w:line="578" w:lineRule="exact"/>
        <w:jc w:val="center"/>
        <w:rPr>
          <w:rFonts w:eastAsia="方正小标宋简体"/>
          <w:bCs/>
          <w:sz w:val="44"/>
          <w:szCs w:val="44"/>
          <w:shd w:val="clear" w:color="auto" w:fill="FFFFFF"/>
        </w:rPr>
      </w:pPr>
      <w:r>
        <w:rPr>
          <w:rFonts w:hint="eastAsia" w:ascii="方正小标宋简体" w:hAnsi="方正小标宋简体" w:eastAsia="方正小标宋简体" w:cs="方正小标宋简体"/>
          <w:color w:val="auto"/>
          <w:kern w:val="2"/>
          <w:sz w:val="44"/>
          <w:szCs w:val="44"/>
          <w:lang w:val="en-US"/>
        </w:rPr>
        <w:t>广元市公安局</w:t>
      </w:r>
      <w:r>
        <w:rPr>
          <w:rFonts w:hint="eastAsia" w:eastAsia="方正小标宋简体"/>
          <w:bCs/>
          <w:sz w:val="44"/>
          <w:szCs w:val="44"/>
          <w:shd w:val="clear" w:color="auto" w:fill="FFFFFF"/>
        </w:rPr>
        <w:t>经济技术开发区分局</w:t>
      </w:r>
    </w:p>
    <w:p w14:paraId="373F3E2B">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民警法定工作日之外加班补贴项目</w:t>
      </w:r>
    </w:p>
    <w:p w14:paraId="41BD0E0C">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绩效评价报告</w:t>
      </w:r>
    </w:p>
    <w:p w14:paraId="57C2622F">
      <w:pPr>
        <w:pStyle w:val="28"/>
        <w:spacing w:line="578" w:lineRule="exact"/>
        <w:ind w:firstLine="640"/>
        <w:jc w:val="center"/>
        <w:rPr>
          <w:rFonts w:ascii="宋体" w:hAnsi="宋体"/>
          <w:color w:val="auto"/>
          <w:kern w:val="2"/>
          <w:sz w:val="32"/>
          <w:szCs w:val="32"/>
        </w:rPr>
      </w:pPr>
    </w:p>
    <w:p w14:paraId="714077A0">
      <w:pPr>
        <w:adjustRightInd w:val="0"/>
        <w:snapToGrid w:val="0"/>
        <w:spacing w:line="580" w:lineRule="exact"/>
        <w:ind w:firstLine="720"/>
        <w:outlineLvl w:val="1"/>
        <w:rPr>
          <w:rFonts w:ascii="黑体" w:hAnsi="黑体" w:eastAsia="黑体" w:cs="黑体"/>
          <w:bCs/>
          <w:sz w:val="32"/>
          <w:szCs w:val="32"/>
        </w:rPr>
      </w:pPr>
      <w:bookmarkStart w:id="266" w:name="_Toc3207"/>
      <w:r>
        <w:rPr>
          <w:rFonts w:hint="eastAsia" w:ascii="黑体" w:hAnsi="黑体" w:eastAsia="黑体" w:cs="黑体"/>
          <w:bCs/>
          <w:sz w:val="32"/>
          <w:szCs w:val="32"/>
        </w:rPr>
        <w:t>一、项目概况</w:t>
      </w:r>
      <w:bookmarkEnd w:id="266"/>
    </w:p>
    <w:p w14:paraId="1C7E3D22">
      <w:pPr>
        <w:widowControl/>
        <w:adjustRightInd w:val="0"/>
        <w:snapToGrid w:val="0"/>
        <w:spacing w:line="578" w:lineRule="exact"/>
        <w:ind w:firstLine="643" w:firstLineChars="200"/>
        <w:contextualSpacing/>
        <w:jc w:val="left"/>
        <w:rPr>
          <w:rFonts w:ascii="楷体_GB2312" w:hAnsi="宋体" w:eastAsia="楷体_GB2312"/>
          <w:b/>
          <w:sz w:val="32"/>
          <w:szCs w:val="32"/>
          <w:lang w:val="zh-CN"/>
        </w:rPr>
      </w:pPr>
      <w:r>
        <w:rPr>
          <w:rFonts w:hint="eastAsia" w:ascii="楷体_GB2312" w:hAnsi="宋体" w:eastAsia="楷体_GB2312"/>
          <w:b/>
          <w:sz w:val="32"/>
          <w:szCs w:val="32"/>
          <w:lang w:val="zh-CN"/>
        </w:rPr>
        <w:t>（一）设立背景及基本情况。</w:t>
      </w:r>
    </w:p>
    <w:p w14:paraId="07722B6D">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人力资源社会保障部财政部关于《执行人民警察法定工作日之外加班补贴有关问题》的通知，对在编民警节假日加班发放加班补贴。</w:t>
      </w:r>
    </w:p>
    <w:p w14:paraId="4F946A5F">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（二）</w:t>
      </w:r>
      <w:r>
        <w:rPr>
          <w:rFonts w:ascii="楷体_GB2312" w:hAnsi="宋体" w:eastAsia="楷体_GB2312"/>
          <w:b/>
          <w:sz w:val="32"/>
          <w:lang w:val="zh-CN"/>
        </w:rPr>
        <w:t>实施目的及支持方向</w:t>
      </w:r>
      <w:r>
        <w:rPr>
          <w:rFonts w:hint="eastAsia" w:ascii="楷体_GB2312" w:hAnsi="宋体" w:eastAsia="楷体_GB2312"/>
          <w:b/>
          <w:sz w:val="32"/>
          <w:lang w:val="zh-CN"/>
        </w:rPr>
        <w:t>。</w:t>
      </w:r>
    </w:p>
    <w:p w14:paraId="1B25B299">
      <w:pPr>
        <w:pStyle w:val="15"/>
        <w:shd w:val="clear" w:color="auto" w:fill="FFFFFF"/>
        <w:spacing w:beforeAutospacing="0" w:afterAutospacing="0" w:line="560" w:lineRule="exact"/>
        <w:ind w:firstLine="640" w:firstLineChars="200"/>
        <w:jc w:val="both"/>
        <w:rPr>
          <w:rFonts w:ascii="仿宋_GB2312" w:hAnsi="宋体" w:eastAsia="仿宋_GB2312" w:cs="宋体"/>
          <w:sz w:val="32"/>
        </w:rPr>
      </w:pPr>
      <w:r>
        <w:rPr>
          <w:rFonts w:hint="eastAsia" w:ascii="仿宋_GB2312" w:hAnsi="宋体" w:eastAsia="仿宋_GB2312" w:cs="宋体"/>
          <w:sz w:val="32"/>
        </w:rPr>
        <w:t>实施目的：</w:t>
      </w:r>
    </w:p>
    <w:p w14:paraId="3C93E186">
      <w:pPr>
        <w:pStyle w:val="15"/>
        <w:shd w:val="clear" w:color="auto" w:fill="FFFFFF"/>
        <w:spacing w:beforeAutospacing="0" w:afterAutospacing="0" w:line="560" w:lineRule="exact"/>
        <w:ind w:firstLine="640" w:firstLineChars="200"/>
        <w:jc w:val="both"/>
        <w:rPr>
          <w:rFonts w:ascii="仿宋_GB2312" w:hAnsi="宋体" w:eastAsia="仿宋_GB2312" w:cs="宋体"/>
          <w:sz w:val="32"/>
        </w:rPr>
      </w:pPr>
      <w:r>
        <w:rPr>
          <w:rFonts w:hint="eastAsia" w:ascii="仿宋_GB2312" w:hAnsi="宋体" w:eastAsia="仿宋_GB2312" w:cs="宋体"/>
          <w:sz w:val="32"/>
        </w:rPr>
        <w:t>1.提高项目成功率：通过对项目绩效的评估和监控，及时发现问题并采取措施加以解决，确保项目按照预定的目标和计划顺利推进，从而推动项目成功实施。</w:t>
      </w:r>
    </w:p>
    <w:p w14:paraId="114AAAF1">
      <w:pPr>
        <w:pStyle w:val="15"/>
        <w:shd w:val="clear" w:color="auto" w:fill="FFFFFF"/>
        <w:spacing w:beforeAutospacing="0" w:afterAutospacing="0" w:line="560" w:lineRule="exact"/>
        <w:ind w:firstLine="640" w:firstLineChars="200"/>
        <w:jc w:val="both"/>
        <w:rPr>
          <w:rFonts w:ascii="仿宋_GB2312" w:hAnsi="宋体" w:eastAsia="仿宋_GB2312" w:cs="宋体"/>
          <w:sz w:val="32"/>
        </w:rPr>
      </w:pPr>
      <w:r>
        <w:rPr>
          <w:rFonts w:hint="eastAsia" w:ascii="仿宋_GB2312" w:hAnsi="宋体" w:eastAsia="仿宋_GB2312" w:cs="宋体"/>
          <w:sz w:val="32"/>
        </w:rPr>
        <w:t>2.优化资源分配：基于绩效评估结果，合理分配人力、物力、财力等资源，使资源投入与项目的重要性和产出效益相匹配，提高资源利用率。</w:t>
      </w:r>
    </w:p>
    <w:p w14:paraId="5CC208ED">
      <w:pPr>
        <w:pStyle w:val="15"/>
        <w:shd w:val="clear" w:color="auto" w:fill="FFFFFF"/>
        <w:spacing w:beforeAutospacing="0" w:afterAutospacing="0" w:line="560" w:lineRule="exact"/>
        <w:ind w:firstLine="640" w:firstLineChars="200"/>
        <w:jc w:val="both"/>
        <w:rPr>
          <w:rFonts w:ascii="仿宋_GB2312" w:hAnsi="宋体" w:eastAsia="仿宋_GB2312" w:cs="宋体"/>
          <w:sz w:val="32"/>
        </w:rPr>
      </w:pPr>
      <w:r>
        <w:rPr>
          <w:rFonts w:hint="eastAsia" w:ascii="仿宋_GB2312" w:hAnsi="宋体" w:eastAsia="仿宋_GB2312" w:cs="宋体"/>
          <w:sz w:val="32"/>
        </w:rPr>
        <w:t>支持方向：</w:t>
      </w:r>
    </w:p>
    <w:p w14:paraId="24627137">
      <w:pPr>
        <w:pStyle w:val="15"/>
        <w:shd w:val="clear" w:color="auto" w:fill="FFFFFF"/>
        <w:spacing w:beforeAutospacing="0" w:afterAutospacing="0" w:line="560" w:lineRule="exact"/>
        <w:ind w:firstLine="640" w:firstLineChars="200"/>
        <w:jc w:val="both"/>
        <w:rPr>
          <w:rFonts w:ascii="仿宋_GB2312" w:hAnsi="宋体" w:eastAsia="仿宋_GB2312" w:cs="宋体"/>
          <w:sz w:val="32"/>
        </w:rPr>
      </w:pPr>
      <w:r>
        <w:rPr>
          <w:rFonts w:hint="eastAsia" w:ascii="仿宋_GB2312" w:hAnsi="宋体" w:eastAsia="仿宋_GB2312" w:cs="宋体"/>
          <w:sz w:val="32"/>
        </w:rPr>
        <w:t>1.目标明确：确保项目目标清晰、具体、可衡量，使绩效评估有明确的依据。</w:t>
      </w:r>
    </w:p>
    <w:p w14:paraId="7D1439F9">
      <w:pPr>
        <w:pStyle w:val="15"/>
        <w:shd w:val="clear" w:color="auto" w:fill="FFFFFF"/>
        <w:spacing w:beforeAutospacing="0" w:afterAutospacing="0" w:line="560" w:lineRule="exact"/>
        <w:ind w:firstLine="640" w:firstLineChars="200"/>
        <w:jc w:val="both"/>
        <w:rPr>
          <w:lang w:val="zh-CN"/>
        </w:rPr>
      </w:pPr>
      <w:r>
        <w:rPr>
          <w:rFonts w:hint="eastAsia" w:ascii="仿宋_GB2312" w:hAnsi="宋体" w:eastAsia="仿宋_GB2312" w:cs="宋体"/>
          <w:sz w:val="32"/>
        </w:rPr>
        <w:t>2.风险管理：通过绩效评估识别项目中的风险，并制定相应的应对措施，降低风险对项目的影响。</w:t>
      </w:r>
    </w:p>
    <w:p w14:paraId="5F1B2CAB">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（三）</w:t>
      </w:r>
      <w:r>
        <w:rPr>
          <w:rFonts w:ascii="楷体_GB2312" w:hAnsi="宋体" w:eastAsia="楷体_GB2312"/>
          <w:b/>
          <w:sz w:val="32"/>
          <w:lang w:val="zh-CN"/>
        </w:rPr>
        <w:t>预算安排及分配管理</w:t>
      </w:r>
      <w:r>
        <w:rPr>
          <w:rFonts w:hint="eastAsia" w:ascii="楷体_GB2312" w:hAnsi="宋体" w:eastAsia="楷体_GB2312"/>
          <w:b/>
          <w:sz w:val="32"/>
          <w:lang w:val="zh-CN"/>
        </w:rPr>
        <w:t>。</w:t>
      </w:r>
    </w:p>
    <w:p w14:paraId="3BD3AEFF">
      <w:pPr>
        <w:pStyle w:val="15"/>
        <w:shd w:val="clear" w:color="auto" w:fill="FFFFFF"/>
        <w:spacing w:beforeAutospacing="0" w:afterAutospacing="0" w:line="560" w:lineRule="exact"/>
        <w:ind w:firstLine="480"/>
        <w:jc w:val="both"/>
        <w:rPr>
          <w:rFonts w:ascii="仿宋_GB2312" w:hAnsi="??_GB2312" w:eastAsia="仿宋_GB2312" w:cs="??_GB2312"/>
          <w:sz w:val="32"/>
          <w:lang w:val="zh-CN"/>
        </w:rPr>
      </w:pPr>
      <w:r>
        <w:rPr>
          <w:rFonts w:hint="eastAsia" w:ascii="仿宋" w:hAnsi="仿宋" w:eastAsia="仿宋" w:cs="仿宋"/>
          <w:sz w:val="32"/>
        </w:rPr>
        <w:t>民警法定工作日之外加班补贴是经常性项目，2023年该项目经费</w:t>
      </w:r>
      <w:r>
        <w:rPr>
          <w:rFonts w:hint="eastAsia" w:ascii="仿宋" w:hAnsi="仿宋" w:eastAsia="仿宋" w:cs="仿宋"/>
          <w:sz w:val="32"/>
          <w:lang w:val="zh-CN"/>
        </w:rPr>
        <w:t>预算资金</w:t>
      </w:r>
      <w:r>
        <w:rPr>
          <w:rFonts w:hint="eastAsia" w:ascii="仿宋" w:hAnsi="仿宋" w:eastAsia="仿宋" w:cs="仿宋"/>
          <w:sz w:val="32"/>
        </w:rPr>
        <w:t>63.05万元</w:t>
      </w:r>
      <w:r>
        <w:rPr>
          <w:rFonts w:hint="eastAsia" w:ascii="仿宋" w:hAnsi="仿宋" w:eastAsia="仿宋" w:cs="仿宋"/>
        </w:rPr>
        <w:t>，</w:t>
      </w:r>
      <w:r>
        <w:rPr>
          <w:rFonts w:hint="eastAsia" w:ascii="仿宋_GB2312" w:hAnsi="宋体" w:eastAsia="仿宋_GB2312" w:cs="宋体"/>
          <w:sz w:val="32"/>
          <w:lang w:val="zh-CN"/>
        </w:rPr>
        <w:t>该项目按</w:t>
      </w:r>
      <w:r>
        <w:rPr>
          <w:rFonts w:ascii="仿宋_GB2312" w:hAnsi="??_GB2312" w:eastAsia="仿宋_GB2312" w:cs="??_GB2312"/>
          <w:sz w:val="32"/>
        </w:rPr>
        <w:t>710</w:t>
      </w:r>
      <w:r>
        <w:rPr>
          <w:rFonts w:hint="eastAsia" w:ascii="仿宋_GB2312" w:hAnsi="宋体" w:eastAsia="仿宋_GB2312" w:cs="宋体"/>
          <w:sz w:val="32"/>
        </w:rPr>
        <w:t>元</w:t>
      </w:r>
      <w:r>
        <w:rPr>
          <w:rFonts w:ascii="仿宋_GB2312" w:hAnsi="??_GB2312" w:eastAsia="仿宋_GB2312" w:cs="??_GB2312"/>
          <w:sz w:val="32"/>
        </w:rPr>
        <w:t>/</w:t>
      </w:r>
      <w:r>
        <w:rPr>
          <w:rFonts w:hint="eastAsia" w:ascii="仿宋_GB2312" w:hAnsi="宋体" w:eastAsia="仿宋_GB2312" w:cs="宋体"/>
          <w:sz w:val="32"/>
        </w:rPr>
        <w:t>人</w:t>
      </w:r>
      <w:r>
        <w:rPr>
          <w:rFonts w:ascii="仿宋_GB2312" w:hAnsi="??_GB2312" w:eastAsia="仿宋_GB2312" w:cs="??_GB2312"/>
          <w:sz w:val="32"/>
        </w:rPr>
        <w:t>/</w:t>
      </w:r>
      <w:r>
        <w:rPr>
          <w:rFonts w:hint="eastAsia" w:ascii="仿宋_GB2312" w:hAnsi="宋体" w:eastAsia="仿宋_GB2312" w:cs="宋体"/>
          <w:sz w:val="32"/>
        </w:rPr>
        <w:t>月标准，保障</w:t>
      </w:r>
      <w:r>
        <w:rPr>
          <w:rFonts w:hint="eastAsia" w:ascii="仿宋_GB2312" w:hAnsi="??_GB2312" w:eastAsia="仿宋_GB2312" w:cs="??_GB2312"/>
          <w:sz w:val="32"/>
        </w:rPr>
        <w:t>74</w:t>
      </w:r>
      <w:r>
        <w:rPr>
          <w:rFonts w:hint="eastAsia" w:ascii="仿宋_GB2312" w:hAnsi="宋体" w:eastAsia="仿宋_GB2312" w:cs="宋体"/>
          <w:sz w:val="32"/>
        </w:rPr>
        <w:t>名民警</w:t>
      </w:r>
      <w:r>
        <w:rPr>
          <w:rFonts w:hint="eastAsia" w:ascii="仿宋_GB2312" w:hAnsi="仿宋" w:eastAsia="仿宋_GB2312" w:cs="楷体_GB2312"/>
          <w:sz w:val="32"/>
        </w:rPr>
        <w:t>法定节假日之外加班补贴</w:t>
      </w:r>
      <w:r>
        <w:rPr>
          <w:rFonts w:hint="eastAsia" w:ascii="仿宋_GB2312" w:hAnsi="宋体" w:eastAsia="仿宋_GB2312" w:cs="宋体"/>
          <w:sz w:val="32"/>
        </w:rPr>
        <w:t>，并按月</w:t>
      </w:r>
      <w:r>
        <w:rPr>
          <w:rFonts w:hint="eastAsia" w:ascii="仿宋_GB2312" w:hAnsi="宋体" w:eastAsia="仿宋_GB2312" w:cs="宋体"/>
          <w:sz w:val="32"/>
          <w:lang w:val="zh-CN"/>
        </w:rPr>
        <w:t>发放到民警。</w:t>
      </w:r>
    </w:p>
    <w:p w14:paraId="68A9A53B">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（四）项目绩效目标设置。</w:t>
      </w:r>
    </w:p>
    <w:p w14:paraId="7F8EEB5D">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绩效目标设置包括数量</w:t>
      </w:r>
      <w:r>
        <w:rPr>
          <w:rFonts w:ascii="仿宋_GB2312" w:hAnsi="Nimbus Roman No9 L" w:eastAsia="仿宋_GB2312" w:cs="Arial"/>
          <w:sz w:val="32"/>
          <w:szCs w:val="32"/>
        </w:rPr>
        <w:t>指标</w:t>
      </w:r>
      <w:r>
        <w:rPr>
          <w:rFonts w:hint="eastAsia" w:ascii="仿宋_GB2312" w:hAnsi="Nimbus Roman No9 L" w:eastAsia="仿宋_GB2312" w:cs="Arial"/>
          <w:sz w:val="32"/>
          <w:szCs w:val="32"/>
        </w:rPr>
        <w:t>、质量指标、时效指标、社会效益指标、可持续影响指标、服务对象满意度指标、经济成本指标。</w:t>
      </w:r>
    </w:p>
    <w:p w14:paraId="23D520B4">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按照年初既定目标，认真开展预算绩效自评，对指标完成情况进行梳理填报，自评情况良好。</w:t>
      </w:r>
    </w:p>
    <w:p w14:paraId="59435707">
      <w:pPr>
        <w:adjustRightInd w:val="0"/>
        <w:snapToGrid w:val="0"/>
        <w:spacing w:line="580" w:lineRule="exact"/>
        <w:ind w:firstLine="720"/>
        <w:outlineLvl w:val="1"/>
        <w:rPr>
          <w:rFonts w:ascii="黑体" w:hAnsi="黑体" w:eastAsia="黑体" w:cs="黑体"/>
          <w:bCs/>
          <w:sz w:val="32"/>
          <w:szCs w:val="32"/>
        </w:rPr>
      </w:pPr>
      <w:bookmarkStart w:id="267" w:name="_Toc5583"/>
      <w:r>
        <w:rPr>
          <w:rFonts w:hint="eastAsia" w:ascii="黑体" w:hAnsi="黑体" w:eastAsia="黑体" w:cs="黑体"/>
          <w:bCs/>
          <w:sz w:val="32"/>
          <w:szCs w:val="32"/>
        </w:rPr>
        <w:t>二、评价实施</w:t>
      </w:r>
      <w:bookmarkEnd w:id="267"/>
    </w:p>
    <w:p w14:paraId="4CB2EF4F">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（一）评价目的。</w:t>
      </w:r>
    </w:p>
    <w:p w14:paraId="340A3857">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通过绩效自评可以确定项目是否达到预定的目标和预期的成果，从而提高决策质量和项目管理的水平和能力。合理分配资源，增强项目透明度。</w:t>
      </w:r>
    </w:p>
    <w:p w14:paraId="5C174758">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（二）预设问题及评价重点。</w:t>
      </w:r>
    </w:p>
    <w:p w14:paraId="60D5B9B2">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 xml:space="preserve">按照绩效评价指标体系，对资金支出使用全过程及其实施效果进行综合评价和判断。 </w:t>
      </w:r>
    </w:p>
    <w:p w14:paraId="2C27D421">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1、项目是否在预算范围内完成？</w:t>
      </w:r>
    </w:p>
    <w:p w14:paraId="45E61A02">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项目是在预算范围内完成的，有效控制了成本，提升了资源分配的合理性和预算管理的严格性。</w:t>
      </w:r>
    </w:p>
    <w:p w14:paraId="55A69EC4">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2、项目是否达到预期效果？</w:t>
      </w:r>
    </w:p>
    <w:p w14:paraId="55763A70">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项目达到预期效果，有效保障了该项目的顺利推进</w:t>
      </w:r>
    </w:p>
    <w:p w14:paraId="38DE10AA">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（三）评价选点。</w:t>
      </w:r>
    </w:p>
    <w:p w14:paraId="52D30DA9">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项目绩效自评所抽样点位情况良好，达到预期目的。</w:t>
      </w:r>
    </w:p>
    <w:p w14:paraId="4048DD70">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（四）评价方法。</w:t>
      </w:r>
    </w:p>
    <w:p w14:paraId="4C890BD1">
      <w:pPr>
        <w:adjustRightInd w:val="0"/>
        <w:snapToGrid w:val="0"/>
        <w:spacing w:line="578" w:lineRule="exact"/>
        <w:ind w:firstLine="640" w:firstLineChars="200"/>
        <w:rPr>
          <w:rFonts w:hint="eastAsia" w:ascii="仿宋_GB2312" w:hAnsi="Nimbus Roman No9 L" w:eastAsia="仿宋_GB2312" w:cs="Arial"/>
          <w:sz w:val="32"/>
          <w:szCs w:val="32"/>
        </w:rPr>
      </w:pPr>
      <w:r>
        <w:rPr>
          <w:rFonts w:ascii="仿宋_GB2312" w:hAnsi="Nimbus Roman No9 L" w:eastAsia="仿宋_GB2312" w:cs="Arial"/>
          <w:sz w:val="32"/>
          <w:szCs w:val="32"/>
        </w:rPr>
        <w:t>根据项目情况和评价重点，</w:t>
      </w:r>
      <w:r>
        <w:rPr>
          <w:rFonts w:hint="eastAsia" w:ascii="仿宋_GB2312" w:hAnsi="Nimbus Roman No9 L" w:eastAsia="仿宋_GB2312" w:cs="Arial"/>
          <w:sz w:val="32"/>
          <w:szCs w:val="32"/>
        </w:rPr>
        <w:t>我单位采取</w:t>
      </w:r>
      <w:r>
        <w:rPr>
          <w:rFonts w:ascii="仿宋_GB2312" w:hAnsi="Nimbus Roman No9 L" w:eastAsia="仿宋_GB2312" w:cs="Arial"/>
          <w:sz w:val="32"/>
          <w:szCs w:val="32"/>
        </w:rPr>
        <w:t>单位自评法</w:t>
      </w:r>
      <w:r>
        <w:rPr>
          <w:rFonts w:hint="eastAsia" w:ascii="仿宋_GB2312" w:hAnsi="Nimbus Roman No9 L" w:eastAsia="仿宋_GB2312" w:cs="Arial"/>
          <w:sz w:val="32"/>
          <w:szCs w:val="32"/>
        </w:rPr>
        <w:t>对该项目预算绩效开展自评。</w:t>
      </w:r>
    </w:p>
    <w:p w14:paraId="1DA7D5BB">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（五）评价组织。</w:t>
      </w:r>
    </w:p>
    <w:p w14:paraId="6C22F36C">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该项目自评工作由分局警务保障室牵头，各相关部门协助配合，围绕总体目标、绩效指标的完成情况及使用效益开展自评工作。</w:t>
      </w:r>
    </w:p>
    <w:p w14:paraId="5ADBDB9D">
      <w:pPr>
        <w:adjustRightInd w:val="0"/>
        <w:snapToGrid w:val="0"/>
        <w:spacing w:line="580" w:lineRule="exact"/>
        <w:ind w:firstLine="720"/>
        <w:outlineLvl w:val="1"/>
        <w:rPr>
          <w:rFonts w:ascii="黑体" w:hAnsi="黑体" w:eastAsia="黑体" w:cs="黑体"/>
          <w:bCs/>
          <w:sz w:val="32"/>
          <w:szCs w:val="32"/>
        </w:rPr>
      </w:pPr>
      <w:bookmarkStart w:id="268" w:name="_Toc31181"/>
      <w:r>
        <w:rPr>
          <w:rFonts w:hint="eastAsia" w:ascii="黑体" w:hAnsi="黑体" w:eastAsia="黑体" w:cs="黑体"/>
          <w:bCs/>
          <w:sz w:val="32"/>
          <w:szCs w:val="32"/>
        </w:rPr>
        <w:t>三、绩效分析</w:t>
      </w:r>
      <w:bookmarkEnd w:id="268"/>
      <w:r>
        <w:rPr>
          <w:rFonts w:hint="eastAsia" w:ascii="黑体" w:hAnsi="黑体" w:eastAsia="黑体" w:cs="黑体"/>
          <w:bCs/>
          <w:sz w:val="32"/>
          <w:szCs w:val="32"/>
        </w:rPr>
        <w:tab/>
      </w:r>
    </w:p>
    <w:p w14:paraId="3EB55C6B">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（一）通用指标</w:t>
      </w:r>
      <w:r>
        <w:rPr>
          <w:rFonts w:ascii="楷体_GB2312" w:hAnsi="宋体" w:eastAsia="楷体_GB2312"/>
          <w:b/>
          <w:sz w:val="32"/>
          <w:lang w:val="zh-CN"/>
        </w:rPr>
        <w:t>绩效分析。</w:t>
      </w:r>
    </w:p>
    <w:p w14:paraId="0FC7A106">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1.项目决策。</w:t>
      </w:r>
    </w:p>
    <w:p w14:paraId="44D9E444">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民警法定节假日加班补助属单位确定的经常向项目。2023年预算金额63.05万元，全部来源于市财政预算，资金到位率100%，全年完成率97.25%，中途有6人退休。经自评，该项目自评得99分。</w:t>
      </w:r>
    </w:p>
    <w:p w14:paraId="47C7DCA0">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2.项目管理。</w:t>
      </w:r>
    </w:p>
    <w:p w14:paraId="78E0170A">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我局严格按照国库集中支付制度相关规定办理支付业务，遵循“先有预算、后有支出”、厉行节约的原则，项目经费按照财政预算金额和资金规定的使用范围列支。同时，严格按照项目预算绩效目标要求，专款专用。经自评，该项目自评得99分。</w:t>
      </w:r>
    </w:p>
    <w:p w14:paraId="569196CE">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3.项目实施。</w:t>
      </w:r>
    </w:p>
    <w:p w14:paraId="3FAD2DA9">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每个季度，项目绩效评价小组对该项目完成进度、项目效益与预期目标偏差等情况进行跟踪自评。本项目按计划逐月实施，并对项目实施情况进行公示。项目完成率97.25%，完成情况好。经自评，该项目自评得99分。</w:t>
      </w:r>
    </w:p>
    <w:p w14:paraId="52E81506">
      <w:pPr>
        <w:pStyle w:val="15"/>
        <w:shd w:val="clear" w:color="auto" w:fill="FFFFFF"/>
        <w:spacing w:beforeAutospacing="0" w:afterAutospacing="0" w:line="560" w:lineRule="exact"/>
        <w:ind w:firstLine="636" w:firstLineChars="199"/>
        <w:jc w:val="both"/>
        <w:rPr>
          <w:rFonts w:hint="eastAsia" w:ascii="仿宋_GB2312" w:hAnsi="Nimbus Roman No9 L" w:eastAsia="仿宋_GB2312" w:cs="Arial"/>
          <w:sz w:val="32"/>
        </w:rPr>
      </w:pPr>
      <w:r>
        <w:rPr>
          <w:rFonts w:hint="eastAsia" w:ascii="仿宋_GB2312" w:hAnsi="Nimbus Roman No9 L" w:eastAsia="仿宋_GB2312" w:cs="Arial"/>
          <w:sz w:val="32"/>
        </w:rPr>
        <w:t>4.项目结果。</w:t>
      </w:r>
    </w:p>
    <w:p w14:paraId="050B0797">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该项目绩效自评得分99分，设置绩效目标8个，实际完成8个。经自评，该项目自评得99分。</w:t>
      </w:r>
    </w:p>
    <w:p w14:paraId="06CFF25C">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（二）专用指标</w:t>
      </w:r>
      <w:r>
        <w:rPr>
          <w:rFonts w:ascii="楷体_GB2312" w:hAnsi="宋体" w:eastAsia="楷体_GB2312"/>
          <w:b/>
          <w:sz w:val="32"/>
          <w:lang w:val="zh-CN"/>
        </w:rPr>
        <w:t>绩效分析。</w:t>
      </w:r>
    </w:p>
    <w:p w14:paraId="59E1AC13">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本项目属于行政运转类。项目由分局局警务保障室进行综合管理，设立专职会计、出纳等岗位，由分局政工监督室核定每个部门的民警加班补贴，再由警务保障室按照相关程序统一支付。确保其真实可靠性、合法合规。经自评，该项目自评得99分。</w:t>
      </w:r>
    </w:p>
    <w:p w14:paraId="2331C151">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（三）个性指标</w:t>
      </w:r>
      <w:r>
        <w:rPr>
          <w:rFonts w:ascii="楷体_GB2312" w:hAnsi="宋体" w:eastAsia="楷体_GB2312"/>
          <w:b/>
          <w:sz w:val="32"/>
          <w:lang w:val="zh-CN"/>
        </w:rPr>
        <w:t>绩效分析。</w:t>
      </w:r>
    </w:p>
    <w:p w14:paraId="7ECB1A71">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根据本项目的实际，项目选取效益个性指标，项目资金结余的情况，项目实施效果是否与绩效目标或申报目标符合。根据项目实施的实际效果，采取是否评分法，经自评，该项自评得16分。</w:t>
      </w:r>
    </w:p>
    <w:p w14:paraId="15AC55AD">
      <w:pPr>
        <w:adjustRightInd w:val="0"/>
        <w:snapToGrid w:val="0"/>
        <w:spacing w:line="580" w:lineRule="exact"/>
        <w:ind w:firstLine="720"/>
        <w:outlineLvl w:val="1"/>
        <w:rPr>
          <w:rFonts w:ascii="黑体" w:hAnsi="黑体" w:eastAsia="黑体" w:cs="黑体"/>
          <w:bCs/>
          <w:sz w:val="32"/>
          <w:szCs w:val="32"/>
        </w:rPr>
      </w:pPr>
      <w:bookmarkStart w:id="269" w:name="_Toc32516"/>
      <w:r>
        <w:rPr>
          <w:rFonts w:hint="eastAsia" w:ascii="黑体" w:hAnsi="黑体" w:eastAsia="黑体" w:cs="黑体"/>
          <w:bCs/>
          <w:sz w:val="32"/>
          <w:szCs w:val="32"/>
        </w:rPr>
        <w:t>四、评价结论</w:t>
      </w:r>
      <w:bookmarkEnd w:id="269"/>
    </w:p>
    <w:p w14:paraId="31F7CAAA">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截止</w:t>
      </w:r>
      <w:r>
        <w:rPr>
          <w:rFonts w:ascii="仿宋_GB2312" w:hAnsi="Nimbus Roman No9 L" w:eastAsia="仿宋_GB2312" w:cs="Arial"/>
          <w:sz w:val="32"/>
          <w:szCs w:val="32"/>
        </w:rPr>
        <w:t>202</w:t>
      </w:r>
      <w:r>
        <w:rPr>
          <w:rFonts w:hint="eastAsia" w:ascii="仿宋_GB2312" w:hAnsi="Nimbus Roman No9 L" w:eastAsia="仿宋_GB2312" w:cs="Arial"/>
          <w:sz w:val="32"/>
          <w:szCs w:val="32"/>
        </w:rPr>
        <w:t>3年</w:t>
      </w:r>
      <w:r>
        <w:rPr>
          <w:rFonts w:ascii="仿宋_GB2312" w:hAnsi="Nimbus Roman No9 L" w:eastAsia="仿宋_GB2312" w:cs="Arial"/>
          <w:sz w:val="32"/>
          <w:szCs w:val="32"/>
        </w:rPr>
        <w:t>12</w:t>
      </w:r>
      <w:r>
        <w:rPr>
          <w:rFonts w:hint="eastAsia" w:ascii="仿宋_GB2312" w:hAnsi="Nimbus Roman No9 L" w:eastAsia="仿宋_GB2312" w:cs="Arial"/>
          <w:sz w:val="32"/>
          <w:szCs w:val="32"/>
        </w:rPr>
        <w:t>月</w:t>
      </w:r>
      <w:r>
        <w:rPr>
          <w:rFonts w:ascii="仿宋_GB2312" w:hAnsi="Nimbus Roman No9 L" w:eastAsia="仿宋_GB2312" w:cs="Arial"/>
          <w:sz w:val="32"/>
          <w:szCs w:val="32"/>
        </w:rPr>
        <w:t>31</w:t>
      </w:r>
      <w:r>
        <w:rPr>
          <w:rFonts w:hint="eastAsia" w:ascii="仿宋_GB2312" w:hAnsi="Nimbus Roman No9 L" w:eastAsia="仿宋_GB2312" w:cs="Arial"/>
          <w:sz w:val="32"/>
          <w:szCs w:val="32"/>
        </w:rPr>
        <w:t>日，民警法定节假日之外加班补贴按</w:t>
      </w:r>
      <w:r>
        <w:rPr>
          <w:rFonts w:ascii="仿宋_GB2312" w:hAnsi="Nimbus Roman No9 L" w:eastAsia="仿宋_GB2312" w:cs="Arial"/>
          <w:sz w:val="32"/>
          <w:szCs w:val="32"/>
        </w:rPr>
        <w:t>710</w:t>
      </w:r>
      <w:r>
        <w:rPr>
          <w:rFonts w:hint="eastAsia" w:ascii="仿宋_GB2312" w:hAnsi="Nimbus Roman No9 L" w:eastAsia="仿宋_GB2312" w:cs="Arial"/>
          <w:sz w:val="32"/>
          <w:szCs w:val="32"/>
        </w:rPr>
        <w:t>元</w:t>
      </w:r>
      <w:r>
        <w:rPr>
          <w:rFonts w:ascii="仿宋_GB2312" w:hAnsi="Nimbus Roman No9 L" w:eastAsia="仿宋_GB2312" w:cs="Arial"/>
          <w:sz w:val="32"/>
          <w:szCs w:val="32"/>
        </w:rPr>
        <w:t>/</w:t>
      </w:r>
      <w:r>
        <w:rPr>
          <w:rFonts w:hint="eastAsia" w:ascii="仿宋_GB2312" w:hAnsi="Nimbus Roman No9 L" w:eastAsia="仿宋_GB2312" w:cs="Arial"/>
          <w:sz w:val="32"/>
          <w:szCs w:val="32"/>
        </w:rPr>
        <w:t>人</w:t>
      </w:r>
      <w:r>
        <w:rPr>
          <w:rFonts w:ascii="仿宋_GB2312" w:hAnsi="Nimbus Roman No9 L" w:eastAsia="仿宋_GB2312" w:cs="Arial"/>
          <w:sz w:val="32"/>
          <w:szCs w:val="32"/>
        </w:rPr>
        <w:t>/</w:t>
      </w:r>
      <w:r>
        <w:rPr>
          <w:rFonts w:hint="eastAsia" w:ascii="仿宋_GB2312" w:hAnsi="Nimbus Roman No9 L" w:eastAsia="仿宋_GB2312" w:cs="Arial"/>
          <w:sz w:val="32"/>
          <w:szCs w:val="32"/>
        </w:rPr>
        <w:t>月标准保障充分保障74名民警补贴发放。每季度统计民警加班情况，根据加班情况据实发放，法定节假日之外加班民警补贴发放率97.25</w:t>
      </w:r>
      <w:r>
        <w:rPr>
          <w:rFonts w:ascii="仿宋_GB2312" w:hAnsi="Nimbus Roman No9 L" w:eastAsia="仿宋_GB2312" w:cs="Arial"/>
          <w:sz w:val="32"/>
          <w:szCs w:val="32"/>
        </w:rPr>
        <w:t>%</w:t>
      </w:r>
      <w:r>
        <w:rPr>
          <w:rFonts w:hint="eastAsia" w:ascii="仿宋_GB2312" w:hAnsi="Nimbus Roman No9 L" w:eastAsia="仿宋_GB2312" w:cs="Arial"/>
          <w:sz w:val="32"/>
          <w:szCs w:val="32"/>
        </w:rPr>
        <w:t>。各警种部门相互配合，确保辖区社会治安平稳。综上所述，该项目绩效自评得分99分，评价结果为“优”。</w:t>
      </w:r>
    </w:p>
    <w:p w14:paraId="59DB601D">
      <w:pPr>
        <w:adjustRightInd w:val="0"/>
        <w:snapToGrid w:val="0"/>
        <w:spacing w:line="580" w:lineRule="exact"/>
        <w:ind w:firstLine="720"/>
        <w:outlineLvl w:val="1"/>
        <w:rPr>
          <w:rFonts w:ascii="黑体" w:hAnsi="黑体" w:eastAsia="黑体" w:cs="黑体"/>
          <w:bCs/>
          <w:sz w:val="32"/>
          <w:szCs w:val="32"/>
        </w:rPr>
      </w:pPr>
      <w:bookmarkStart w:id="270" w:name="_Toc2489"/>
      <w:r>
        <w:rPr>
          <w:rFonts w:hint="eastAsia" w:ascii="黑体" w:hAnsi="黑体" w:eastAsia="黑体" w:cs="黑体"/>
          <w:bCs/>
          <w:sz w:val="32"/>
          <w:szCs w:val="32"/>
        </w:rPr>
        <w:t>五、存在主要问题</w:t>
      </w:r>
      <w:bookmarkEnd w:id="270"/>
    </w:p>
    <w:p w14:paraId="64B946EF">
      <w:pPr>
        <w:pStyle w:val="5"/>
        <w:tabs>
          <w:tab w:val="left" w:pos="2160"/>
        </w:tabs>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无</w:t>
      </w:r>
    </w:p>
    <w:p w14:paraId="36C77405">
      <w:pPr>
        <w:adjustRightInd w:val="0"/>
        <w:snapToGrid w:val="0"/>
        <w:spacing w:line="580" w:lineRule="exact"/>
        <w:ind w:firstLine="720"/>
        <w:outlineLvl w:val="1"/>
        <w:rPr>
          <w:rFonts w:ascii="黑体" w:hAnsi="黑体" w:eastAsia="黑体" w:cs="黑体"/>
          <w:bCs/>
          <w:sz w:val="32"/>
          <w:szCs w:val="32"/>
        </w:rPr>
      </w:pPr>
      <w:bookmarkStart w:id="271" w:name="_Toc20674"/>
      <w:r>
        <w:rPr>
          <w:rFonts w:hint="eastAsia" w:ascii="黑体" w:hAnsi="黑体" w:eastAsia="黑体" w:cs="黑体"/>
          <w:bCs/>
          <w:sz w:val="32"/>
          <w:szCs w:val="32"/>
        </w:rPr>
        <w:t>六、改进建议</w:t>
      </w:r>
      <w:bookmarkEnd w:id="271"/>
    </w:p>
    <w:p w14:paraId="0B83BCBA">
      <w:pPr>
        <w:tabs>
          <w:tab w:val="left" w:pos="1911"/>
        </w:tabs>
        <w:jc w:val="left"/>
        <w:rPr>
          <w:rFonts w:ascii="仿宋_GB2312" w:hAnsi="仿宋_GB2312" w:eastAsia="仿宋_GB2312" w:cs="仿宋_GB2312"/>
          <w:kern w:val="0"/>
          <w:sz w:val="32"/>
          <w:szCs w:val="32"/>
        </w:rPr>
      </w:pPr>
      <w:r>
        <w:rPr>
          <w:rFonts w:hint="eastAsia" w:ascii="仿宋_GB2312" w:hAnsi="仿宋_GB2312" w:cs="仿宋_GB2312"/>
          <w:kern w:val="0"/>
          <w:sz w:val="32"/>
          <w:szCs w:val="32"/>
        </w:rPr>
        <w:t xml:space="preserve">   无</w:t>
      </w:r>
    </w:p>
    <w:p w14:paraId="1DBFDE49">
      <w:pPr>
        <w:pStyle w:val="28"/>
        <w:spacing w:line="578" w:lineRule="exact"/>
        <w:jc w:val="center"/>
        <w:rPr>
          <w:rFonts w:hint="eastAsia" w:ascii="方正小标宋简体" w:hAnsi="方正小标宋简体" w:eastAsia="方正小标宋简体" w:cs="方正小标宋简体"/>
          <w:color w:val="auto"/>
          <w:kern w:val="2"/>
          <w:sz w:val="44"/>
          <w:szCs w:val="44"/>
          <w:lang w:val="en-US"/>
        </w:rPr>
      </w:pPr>
    </w:p>
    <w:p w14:paraId="6F8AB608">
      <w:pPr>
        <w:pStyle w:val="28"/>
        <w:spacing w:line="578" w:lineRule="exact"/>
        <w:jc w:val="center"/>
        <w:rPr>
          <w:rFonts w:hint="eastAsia" w:ascii="方正小标宋简体" w:hAnsi="方正小标宋简体" w:eastAsia="方正小标宋简体" w:cs="方正小标宋简体"/>
          <w:color w:val="auto"/>
          <w:kern w:val="2"/>
          <w:sz w:val="44"/>
          <w:szCs w:val="44"/>
          <w:lang w:val="en-US"/>
        </w:rPr>
      </w:pPr>
    </w:p>
    <w:p w14:paraId="094FA95F">
      <w:pPr>
        <w:pStyle w:val="28"/>
        <w:spacing w:line="578" w:lineRule="exact"/>
        <w:jc w:val="center"/>
        <w:rPr>
          <w:rFonts w:eastAsia="方正小标宋简体"/>
          <w:bCs/>
          <w:sz w:val="44"/>
          <w:szCs w:val="44"/>
          <w:shd w:val="clear" w:color="auto" w:fill="FFFFFF"/>
        </w:rPr>
      </w:pPr>
      <w:r>
        <w:rPr>
          <w:rFonts w:hint="eastAsia" w:ascii="方正小标宋简体" w:hAnsi="方正小标宋简体" w:eastAsia="方正小标宋简体" w:cs="方正小标宋简体"/>
          <w:color w:val="auto"/>
          <w:kern w:val="2"/>
          <w:sz w:val="44"/>
          <w:szCs w:val="44"/>
          <w:lang w:val="en-US"/>
        </w:rPr>
        <w:t>广元市公安局</w:t>
      </w:r>
      <w:r>
        <w:rPr>
          <w:rFonts w:hint="eastAsia" w:eastAsia="方正小标宋简体"/>
          <w:bCs/>
          <w:sz w:val="44"/>
          <w:szCs w:val="44"/>
          <w:shd w:val="clear" w:color="auto" w:fill="FFFFFF"/>
        </w:rPr>
        <w:t>经济技术开发区分局</w:t>
      </w:r>
    </w:p>
    <w:p w14:paraId="45FA69F0">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派出所民警免费工作午餐项目</w:t>
      </w:r>
    </w:p>
    <w:p w14:paraId="3CCC6A3B">
      <w:pPr>
        <w:pStyle w:val="28"/>
        <w:spacing w:line="578" w:lineRule="exact"/>
        <w:jc w:val="center"/>
        <w:rPr>
          <w:rFonts w:ascii="方正小标宋简体" w:hAnsi="方正小标宋简体"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rPr>
        <w:t>绩效评价报告</w:t>
      </w:r>
    </w:p>
    <w:p w14:paraId="1D385DFE">
      <w:pPr>
        <w:adjustRightInd w:val="0"/>
        <w:snapToGrid w:val="0"/>
        <w:spacing w:line="580" w:lineRule="exact"/>
        <w:ind w:firstLine="720"/>
        <w:outlineLvl w:val="1"/>
        <w:rPr>
          <w:rFonts w:ascii="黑体" w:hAnsi="黑体" w:eastAsia="黑体" w:cs="黑体"/>
          <w:bCs/>
          <w:sz w:val="32"/>
          <w:szCs w:val="32"/>
        </w:rPr>
      </w:pPr>
      <w:bookmarkStart w:id="272" w:name="_Toc25500"/>
      <w:r>
        <w:rPr>
          <w:rFonts w:hint="eastAsia" w:ascii="黑体" w:hAnsi="黑体" w:eastAsia="黑体" w:cs="黑体"/>
          <w:bCs/>
          <w:sz w:val="32"/>
          <w:szCs w:val="32"/>
        </w:rPr>
        <w:t>一、项目概况</w:t>
      </w:r>
      <w:bookmarkEnd w:id="272"/>
    </w:p>
    <w:p w14:paraId="6735CC3E">
      <w:pPr>
        <w:widowControl/>
        <w:adjustRightInd w:val="0"/>
        <w:snapToGrid w:val="0"/>
        <w:spacing w:line="578" w:lineRule="exact"/>
        <w:ind w:firstLine="643" w:firstLineChars="200"/>
        <w:contextualSpacing/>
        <w:jc w:val="left"/>
        <w:rPr>
          <w:rFonts w:ascii="楷体_GB2312" w:hAnsi="宋体" w:eastAsia="楷体_GB2312"/>
          <w:b/>
          <w:sz w:val="32"/>
          <w:szCs w:val="32"/>
          <w:lang w:val="zh-CN"/>
        </w:rPr>
      </w:pPr>
      <w:r>
        <w:rPr>
          <w:rFonts w:hint="eastAsia" w:ascii="楷体_GB2312" w:hAnsi="宋体" w:eastAsia="楷体_GB2312"/>
          <w:b/>
          <w:sz w:val="32"/>
          <w:szCs w:val="32"/>
          <w:lang w:val="zh-CN"/>
        </w:rPr>
        <w:t>（一）设立背景及基本情况。</w:t>
      </w:r>
    </w:p>
    <w:p w14:paraId="3F5D2A70">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根据2014年省公安厅与财政厅联合发文要求：为保障公安机关基层派出所民警值班执勤等无法回家生活问题，财政要按照每月人均不少于22天，每天15元标准保障基层派出所民警工作日午餐费用。</w:t>
      </w:r>
    </w:p>
    <w:p w14:paraId="14CD0F08">
      <w:pPr>
        <w:numPr>
          <w:ilvl w:val="0"/>
          <w:numId w:val="10"/>
        </w:numPr>
        <w:suppressAutoHyphens w:val="0"/>
        <w:adjustRightInd w:val="0"/>
        <w:snapToGrid w:val="0"/>
        <w:spacing w:line="578" w:lineRule="exact"/>
        <w:ind w:firstLine="643" w:firstLineChars="200"/>
        <w:rPr>
          <w:rFonts w:ascii="楷体_GB2312" w:hAnsi="宋体" w:eastAsia="楷体_GB2312"/>
          <w:b/>
          <w:sz w:val="32"/>
          <w:szCs w:val="32"/>
        </w:rPr>
      </w:pPr>
      <w:r>
        <w:rPr>
          <w:rFonts w:ascii="楷体_GB2312" w:hAnsi="宋体" w:eastAsia="楷体_GB2312"/>
          <w:b/>
          <w:sz w:val="32"/>
          <w:szCs w:val="32"/>
        </w:rPr>
        <w:t>实施目的及支持方向</w:t>
      </w:r>
      <w:r>
        <w:rPr>
          <w:rFonts w:hint="eastAsia" w:ascii="楷体_GB2312" w:hAnsi="宋体" w:eastAsia="楷体_GB2312"/>
          <w:b/>
          <w:sz w:val="32"/>
          <w:szCs w:val="32"/>
        </w:rPr>
        <w:t>。</w:t>
      </w:r>
    </w:p>
    <w:p w14:paraId="0D6DC0CD">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实施目的：</w:t>
      </w:r>
    </w:p>
    <w:p w14:paraId="26C9729D">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1.提高项目成功率：通过对项目绩效的评估和监控，及时发现问题并采取措施加以解决，确保项目按照预定的目标和计划顺利推进，从而推动项目成功实施。</w:t>
      </w:r>
    </w:p>
    <w:p w14:paraId="4DD5D8CB">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2.优化资源分配：基于绩效评估结果，合理分配人力、物力、财力等资源，使资源投入与项目的重要性和产出效益相匹配，提高资源利用率。</w:t>
      </w:r>
    </w:p>
    <w:p w14:paraId="18A14704">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支持方向：</w:t>
      </w:r>
    </w:p>
    <w:p w14:paraId="1C3A85DE">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1.目标明确：确保项目目标清晰、具体、可衡量，使绩效评估有明确的依据。</w:t>
      </w:r>
    </w:p>
    <w:p w14:paraId="0BB989BD">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2.风险管理：通过绩效评估识别项目中的风险，并制定相应的应对措施，降低风险对项目的影响。</w:t>
      </w:r>
    </w:p>
    <w:p w14:paraId="0B7094A1">
      <w:pPr>
        <w:widowControl/>
        <w:numPr>
          <w:ilvl w:val="0"/>
          <w:numId w:val="10"/>
        </w:numPr>
        <w:suppressAutoHyphens w:val="0"/>
        <w:adjustRightInd w:val="0"/>
        <w:snapToGrid w:val="0"/>
        <w:spacing w:line="578" w:lineRule="exact"/>
        <w:ind w:firstLine="643" w:firstLineChars="200"/>
        <w:contextualSpacing/>
        <w:jc w:val="left"/>
        <w:rPr>
          <w:rFonts w:ascii="楷体_GB2312" w:hAnsi="宋体" w:eastAsia="楷体_GB2312"/>
          <w:b/>
          <w:sz w:val="32"/>
          <w:szCs w:val="32"/>
          <w:lang w:val="zh-CN"/>
        </w:rPr>
      </w:pPr>
      <w:r>
        <w:rPr>
          <w:rFonts w:ascii="楷体_GB2312" w:hAnsi="宋体" w:eastAsia="楷体_GB2312"/>
          <w:b/>
          <w:sz w:val="32"/>
          <w:szCs w:val="32"/>
        </w:rPr>
        <w:t>预算安排及分配管理</w:t>
      </w:r>
      <w:r>
        <w:rPr>
          <w:rFonts w:hint="eastAsia" w:ascii="楷体_GB2312" w:hAnsi="宋体" w:eastAsia="楷体_GB2312"/>
          <w:b/>
          <w:sz w:val="32"/>
          <w:szCs w:val="32"/>
          <w:lang w:val="zh-CN"/>
        </w:rPr>
        <w:t>。</w:t>
      </w:r>
    </w:p>
    <w:p w14:paraId="2AFC7774">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派出所民警免费工作午餐项目预算19.8万元，是分局常年项目，该项目根据2014年省公安厅与财政厅联合发文要求：为保障公安机关基层派出所民警值班执勤等无法回家生活问题，财政要按照每月人均不少于22天，每天15元标准保障基层派出所民警工作日午餐费用。</w:t>
      </w:r>
    </w:p>
    <w:p w14:paraId="00EC6228">
      <w:pPr>
        <w:numPr>
          <w:ilvl w:val="0"/>
          <w:numId w:val="10"/>
        </w:numPr>
        <w:suppressAutoHyphens w:val="0"/>
        <w:adjustRightInd w:val="0"/>
        <w:snapToGrid w:val="0"/>
        <w:spacing w:line="578" w:lineRule="exact"/>
        <w:ind w:firstLine="643" w:firstLineChars="200"/>
        <w:rPr>
          <w:rFonts w:ascii="楷体_GB2312" w:hAnsi="宋体" w:eastAsia="楷体_GB2312"/>
          <w:b/>
          <w:sz w:val="32"/>
          <w:szCs w:val="32"/>
          <w:lang w:val="zh-CN"/>
        </w:rPr>
      </w:pPr>
      <w:r>
        <w:rPr>
          <w:rFonts w:hint="eastAsia" w:ascii="楷体_GB2312" w:hAnsi="宋体" w:eastAsia="楷体_GB2312"/>
          <w:b/>
          <w:sz w:val="32"/>
          <w:szCs w:val="32"/>
          <w:lang w:val="zh-CN"/>
        </w:rPr>
        <w:t>项目绩效目标设置。</w:t>
      </w:r>
    </w:p>
    <w:p w14:paraId="7B312A04">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绩效目标设置包括数量</w:t>
      </w:r>
      <w:r>
        <w:rPr>
          <w:rFonts w:ascii="仿宋_GB2312" w:hAnsi="Nimbus Roman No9 L" w:eastAsia="仿宋_GB2312" w:cs="Arial"/>
          <w:sz w:val="32"/>
          <w:szCs w:val="32"/>
        </w:rPr>
        <w:t>指标</w:t>
      </w:r>
      <w:r>
        <w:rPr>
          <w:rFonts w:hint="eastAsia" w:ascii="仿宋_GB2312" w:hAnsi="Nimbus Roman No9 L" w:eastAsia="仿宋_GB2312" w:cs="Arial"/>
          <w:sz w:val="32"/>
          <w:szCs w:val="32"/>
        </w:rPr>
        <w:t>2个，质量指标1个，时效指标1个，社会效益指标1个，可持续影响指标1个，服务对象满意度指标1个，经济成本指标1个。</w:t>
      </w:r>
    </w:p>
    <w:p w14:paraId="58F60C46">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按照年初既定目标，认真开展预算绩效自评，对指标完成情况进行梳理填报，自评情况良好。</w:t>
      </w:r>
    </w:p>
    <w:p w14:paraId="359B7686">
      <w:pPr>
        <w:adjustRightInd w:val="0"/>
        <w:snapToGrid w:val="0"/>
        <w:spacing w:line="580" w:lineRule="exact"/>
        <w:ind w:firstLine="720"/>
        <w:outlineLvl w:val="1"/>
        <w:rPr>
          <w:rFonts w:ascii="黑体" w:hAnsi="黑体" w:eastAsia="黑体" w:cs="黑体"/>
          <w:bCs/>
          <w:sz w:val="32"/>
          <w:szCs w:val="32"/>
        </w:rPr>
      </w:pPr>
      <w:bookmarkStart w:id="273" w:name="_Toc23259"/>
      <w:r>
        <w:rPr>
          <w:rFonts w:hint="eastAsia" w:ascii="黑体" w:hAnsi="黑体" w:eastAsia="黑体" w:cs="黑体"/>
          <w:bCs/>
          <w:sz w:val="32"/>
          <w:szCs w:val="32"/>
        </w:rPr>
        <w:t>二、评价实施</w:t>
      </w:r>
      <w:bookmarkEnd w:id="273"/>
    </w:p>
    <w:p w14:paraId="72081F7D">
      <w:pPr>
        <w:spacing w:line="578" w:lineRule="exact"/>
        <w:ind w:firstLine="640"/>
        <w:rPr>
          <w:rFonts w:ascii="楷体_GB2312" w:hAnsi="宋体" w:eastAsia="楷体_GB2312"/>
          <w:b/>
          <w:sz w:val="32"/>
          <w:szCs w:val="32"/>
          <w:lang w:val="zh-CN"/>
        </w:rPr>
      </w:pPr>
      <w:r>
        <w:rPr>
          <w:rFonts w:hint="eastAsia" w:ascii="楷体_GB2312" w:hAnsi="宋体" w:eastAsia="楷体_GB2312"/>
          <w:b/>
          <w:sz w:val="32"/>
          <w:szCs w:val="32"/>
          <w:lang w:val="zh-CN"/>
        </w:rPr>
        <w:t>（一）评价目的。</w:t>
      </w:r>
    </w:p>
    <w:p w14:paraId="0DEE99DA">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通过绩效自评可以确定项目是否达到预定的目标和预期的成果，从而提高决策质量和项目管理的水平和能力。合理分配资源，增强项目透明度。</w:t>
      </w:r>
    </w:p>
    <w:p w14:paraId="32425D18">
      <w:pPr>
        <w:numPr>
          <w:ilvl w:val="0"/>
          <w:numId w:val="11"/>
        </w:numPr>
        <w:suppressAutoHyphens w:val="0"/>
        <w:adjustRightInd w:val="0"/>
        <w:snapToGrid w:val="0"/>
        <w:spacing w:line="578" w:lineRule="exact"/>
        <w:ind w:firstLine="643" w:firstLineChars="200"/>
        <w:rPr>
          <w:rFonts w:ascii="楷体_GB2312" w:hAnsi="宋体" w:eastAsia="楷体_GB2312"/>
          <w:b/>
          <w:sz w:val="32"/>
          <w:szCs w:val="32"/>
          <w:lang w:val="zh-CN"/>
        </w:rPr>
      </w:pPr>
      <w:r>
        <w:rPr>
          <w:rFonts w:hint="eastAsia" w:ascii="楷体_GB2312" w:hAnsi="宋体" w:eastAsia="楷体_GB2312"/>
          <w:b/>
          <w:sz w:val="32"/>
          <w:szCs w:val="32"/>
          <w:lang w:val="zh-CN"/>
        </w:rPr>
        <w:t>预设问题及评价重点。</w:t>
      </w:r>
    </w:p>
    <w:p w14:paraId="268A0807">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 xml:space="preserve">按照绩效评价指标体系，对资金支出使用全过程及其实施效果进行综合评价和判断。 </w:t>
      </w:r>
    </w:p>
    <w:p w14:paraId="7E2CDC2E">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1、项目是否在预算范围内完成？</w:t>
      </w:r>
    </w:p>
    <w:p w14:paraId="5251288F">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项目是在预算范围内完成的，有效控制了成本，提升了资源分配的合理性和预算管理的严格性。</w:t>
      </w:r>
    </w:p>
    <w:p w14:paraId="5FB1C78C">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2、项目是否达到预期效果？</w:t>
      </w:r>
    </w:p>
    <w:p w14:paraId="7A5F0948">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项目达到预期效果，有效保障了该项目的顺利推进。</w:t>
      </w:r>
    </w:p>
    <w:p w14:paraId="64C4D2E1">
      <w:pPr>
        <w:numPr>
          <w:ilvl w:val="0"/>
          <w:numId w:val="11"/>
        </w:numPr>
        <w:suppressAutoHyphens w:val="0"/>
        <w:adjustRightInd w:val="0"/>
        <w:snapToGrid w:val="0"/>
        <w:spacing w:line="578" w:lineRule="exact"/>
        <w:ind w:firstLine="643" w:firstLineChars="200"/>
        <w:rPr>
          <w:rFonts w:ascii="楷体_GB2312" w:hAnsi="宋体" w:eastAsia="楷体_GB2312"/>
          <w:b/>
          <w:sz w:val="32"/>
          <w:szCs w:val="32"/>
          <w:lang w:val="zh-CN"/>
        </w:rPr>
      </w:pPr>
      <w:r>
        <w:rPr>
          <w:rFonts w:hint="eastAsia" w:ascii="楷体_GB2312" w:hAnsi="宋体" w:eastAsia="楷体_GB2312"/>
          <w:b/>
          <w:sz w:val="32"/>
          <w:szCs w:val="32"/>
          <w:lang w:val="zh-CN"/>
        </w:rPr>
        <w:t>评价选点。</w:t>
      </w:r>
    </w:p>
    <w:p w14:paraId="1917939E">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项目绩效自评所抽样点位情况良好，达到预期目的。</w:t>
      </w:r>
    </w:p>
    <w:p w14:paraId="2B0E7D95">
      <w:pPr>
        <w:numPr>
          <w:ilvl w:val="0"/>
          <w:numId w:val="11"/>
        </w:numPr>
        <w:suppressAutoHyphens w:val="0"/>
        <w:spacing w:line="578" w:lineRule="exact"/>
        <w:ind w:firstLine="643" w:firstLineChars="200"/>
        <w:rPr>
          <w:rFonts w:ascii="楷体_GB2312" w:hAnsi="宋体" w:eastAsia="楷体_GB2312"/>
          <w:b/>
          <w:sz w:val="32"/>
          <w:szCs w:val="32"/>
          <w:lang w:val="zh-CN"/>
        </w:rPr>
      </w:pPr>
      <w:r>
        <w:rPr>
          <w:rFonts w:hint="eastAsia" w:ascii="楷体_GB2312" w:hAnsi="宋体" w:eastAsia="楷体_GB2312"/>
          <w:b/>
          <w:sz w:val="32"/>
          <w:szCs w:val="32"/>
          <w:lang w:val="zh-CN"/>
        </w:rPr>
        <w:t>评价方法。</w:t>
      </w:r>
    </w:p>
    <w:p w14:paraId="2D5CE0AA">
      <w:pPr>
        <w:adjustRightInd w:val="0"/>
        <w:snapToGrid w:val="0"/>
        <w:spacing w:line="578" w:lineRule="exact"/>
        <w:ind w:firstLine="640" w:firstLineChars="200"/>
        <w:rPr>
          <w:rFonts w:hint="eastAsia" w:ascii="仿宋_GB2312" w:hAnsi="Nimbus Roman No9 L" w:eastAsia="仿宋_GB2312" w:cs="Arial"/>
          <w:sz w:val="32"/>
          <w:szCs w:val="32"/>
        </w:rPr>
      </w:pPr>
      <w:r>
        <w:rPr>
          <w:rFonts w:ascii="仿宋_GB2312" w:hAnsi="Nimbus Roman No9 L" w:eastAsia="仿宋_GB2312" w:cs="Arial"/>
          <w:sz w:val="32"/>
          <w:szCs w:val="32"/>
        </w:rPr>
        <w:t>根据项目情况和评价重点，</w:t>
      </w:r>
      <w:r>
        <w:rPr>
          <w:rFonts w:hint="eastAsia" w:ascii="仿宋_GB2312" w:hAnsi="Nimbus Roman No9 L" w:eastAsia="仿宋_GB2312" w:cs="Arial"/>
          <w:sz w:val="32"/>
          <w:szCs w:val="32"/>
        </w:rPr>
        <w:t>我单位采取</w:t>
      </w:r>
      <w:r>
        <w:rPr>
          <w:rFonts w:ascii="仿宋_GB2312" w:hAnsi="Nimbus Roman No9 L" w:eastAsia="仿宋_GB2312" w:cs="Arial"/>
          <w:sz w:val="32"/>
          <w:szCs w:val="32"/>
        </w:rPr>
        <w:t>单位自评法</w:t>
      </w:r>
      <w:r>
        <w:rPr>
          <w:rFonts w:hint="eastAsia" w:ascii="仿宋_GB2312" w:hAnsi="Nimbus Roman No9 L" w:eastAsia="仿宋_GB2312" w:cs="Arial"/>
          <w:sz w:val="32"/>
          <w:szCs w:val="32"/>
        </w:rPr>
        <w:t>对该项目预算绩效开展自评。</w:t>
      </w:r>
    </w:p>
    <w:p w14:paraId="000EF052">
      <w:pPr>
        <w:numPr>
          <w:ilvl w:val="0"/>
          <w:numId w:val="11"/>
        </w:numPr>
        <w:suppressAutoHyphens w:val="0"/>
        <w:spacing w:line="578" w:lineRule="exact"/>
        <w:ind w:firstLine="643" w:firstLineChars="200"/>
        <w:rPr>
          <w:rFonts w:ascii="楷体_GB2312" w:hAnsi="宋体" w:eastAsia="楷体_GB2312"/>
          <w:b/>
          <w:sz w:val="32"/>
          <w:szCs w:val="32"/>
          <w:lang w:val="zh-CN"/>
        </w:rPr>
      </w:pPr>
      <w:r>
        <w:rPr>
          <w:rFonts w:hint="eastAsia" w:ascii="楷体_GB2312" w:hAnsi="宋体" w:eastAsia="楷体_GB2312"/>
          <w:b/>
          <w:sz w:val="32"/>
          <w:szCs w:val="32"/>
          <w:lang w:val="zh-CN"/>
        </w:rPr>
        <w:t>评价组织。</w:t>
      </w:r>
    </w:p>
    <w:p w14:paraId="5A66950F">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该项目自评工作由分局警务保障室牵头，各相关部门协助配合，围绕总体目标、绩效指标的完成情况及使用效益开展。</w:t>
      </w:r>
    </w:p>
    <w:p w14:paraId="6508DB29">
      <w:pPr>
        <w:adjustRightInd w:val="0"/>
        <w:snapToGrid w:val="0"/>
        <w:spacing w:line="580" w:lineRule="exact"/>
        <w:ind w:firstLine="720"/>
        <w:outlineLvl w:val="1"/>
        <w:rPr>
          <w:rFonts w:ascii="黑体" w:hAnsi="黑体" w:eastAsia="黑体" w:cs="黑体"/>
          <w:bCs/>
          <w:sz w:val="32"/>
          <w:szCs w:val="32"/>
        </w:rPr>
      </w:pPr>
      <w:bookmarkStart w:id="274" w:name="_Toc28326"/>
      <w:r>
        <w:rPr>
          <w:rFonts w:hint="eastAsia" w:ascii="黑体" w:hAnsi="黑体" w:eastAsia="黑体" w:cs="黑体"/>
          <w:bCs/>
          <w:sz w:val="32"/>
          <w:szCs w:val="32"/>
        </w:rPr>
        <w:t>三、绩效分析</w:t>
      </w:r>
      <w:bookmarkEnd w:id="274"/>
      <w:r>
        <w:rPr>
          <w:rFonts w:hint="eastAsia" w:ascii="黑体" w:hAnsi="黑体" w:eastAsia="黑体" w:cs="黑体"/>
          <w:bCs/>
          <w:sz w:val="32"/>
          <w:szCs w:val="32"/>
        </w:rPr>
        <w:tab/>
      </w:r>
    </w:p>
    <w:p w14:paraId="0A07C2CE">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（一）通用指标</w:t>
      </w:r>
      <w:r>
        <w:rPr>
          <w:rFonts w:ascii="楷体_GB2312" w:hAnsi="宋体" w:eastAsia="楷体_GB2312"/>
          <w:b/>
          <w:sz w:val="32"/>
          <w:lang w:val="zh-CN"/>
        </w:rPr>
        <w:t>绩效分析。</w:t>
      </w:r>
    </w:p>
    <w:p w14:paraId="0366AF3C">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1.项目决策。</w:t>
      </w:r>
    </w:p>
    <w:p w14:paraId="41335FD3">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派出所民警免费工作午餐项目属于分局经常性项目。截止2023年12月31日，该项目资金实际支出19.8万元，支付进度100%，支付依据合规合法，资金支付与预算相符。经自评，该项目自评得100分。</w:t>
      </w:r>
    </w:p>
    <w:p w14:paraId="645F7854">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2.项目管理。</w:t>
      </w:r>
    </w:p>
    <w:p w14:paraId="38F711E2">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我局严格按照国库集中支付制度相关规定办理支付业务，遵循“先有预算、后有支出”、厉行节约的原则，项目经费按照财政预算金额和资金规定的使用范围列支。同时，严格按照项目预算绩效目标要求，专款专用。经自评，该项目自评得100分。</w:t>
      </w:r>
    </w:p>
    <w:p w14:paraId="55ED69C5">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3.项目实施。</w:t>
      </w:r>
    </w:p>
    <w:p w14:paraId="35B70868">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每个季度，项目绩效评价小组对该项目完成进度、项目效益与预期目标偏差等情况进行跟踪自评。本项目按计划逐月实施，并对项目实施情况进行公示，没有偏离预期目标。项目完成率100%，完成情况好。经自评，该项目自评得100分。</w:t>
      </w:r>
    </w:p>
    <w:p w14:paraId="169414F8">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4.项目结果。</w:t>
      </w:r>
    </w:p>
    <w:p w14:paraId="687CB261">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该项目绩效自评得分100.00分，设置绩效目标8个，实际完成8个。经自评，该项目自评得100分。</w:t>
      </w:r>
    </w:p>
    <w:p w14:paraId="0B19BD2E">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（二）专用指标</w:t>
      </w:r>
      <w:r>
        <w:rPr>
          <w:rFonts w:ascii="楷体_GB2312" w:hAnsi="宋体" w:eastAsia="楷体_GB2312"/>
          <w:b/>
          <w:sz w:val="32"/>
          <w:lang w:val="zh-CN"/>
        </w:rPr>
        <w:t>绩效分析。</w:t>
      </w:r>
    </w:p>
    <w:p w14:paraId="5470FA84">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本项目属于行政运转类。项目由分局局警务保障室进行综合管理，设立专职会计、出纳等岗位，各部门相关费用支出由部门内勤统一进行报销。项目资金使用严格按照财务管理制度要求，实行公务卡结算，不能使用公务卡结算的进行转账，发生的每一笔支出都要履行完整报销手续，确保其真实可靠性、合法合规。经自评，该项目自评得100分。</w:t>
      </w:r>
    </w:p>
    <w:p w14:paraId="0B25B860">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（三）个性指标</w:t>
      </w:r>
      <w:r>
        <w:rPr>
          <w:rFonts w:ascii="楷体_GB2312" w:hAnsi="宋体" w:eastAsia="楷体_GB2312"/>
          <w:b/>
          <w:sz w:val="32"/>
          <w:lang w:val="zh-CN"/>
        </w:rPr>
        <w:t>绩效分析。</w:t>
      </w:r>
    </w:p>
    <w:p w14:paraId="5AE5E770">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根据本项目的实际，项目选取效益个性指标，项目资金结余的情况，项目实施效果是否与绩效目标或申报目标符合。根据项目实施的实际效果，采取是否评分法，经自评，该项自评得16分。</w:t>
      </w:r>
    </w:p>
    <w:p w14:paraId="171FAD69">
      <w:pPr>
        <w:adjustRightInd w:val="0"/>
        <w:snapToGrid w:val="0"/>
        <w:spacing w:line="580" w:lineRule="exact"/>
        <w:ind w:firstLine="720"/>
        <w:outlineLvl w:val="1"/>
        <w:rPr>
          <w:rFonts w:ascii="黑体" w:hAnsi="黑体" w:eastAsia="黑体" w:cs="黑体"/>
          <w:bCs/>
          <w:sz w:val="32"/>
          <w:szCs w:val="32"/>
        </w:rPr>
      </w:pPr>
      <w:bookmarkStart w:id="275" w:name="_Toc27614"/>
      <w:r>
        <w:rPr>
          <w:rFonts w:hint="eastAsia" w:ascii="黑体" w:hAnsi="黑体" w:eastAsia="黑体" w:cs="黑体"/>
          <w:bCs/>
          <w:sz w:val="32"/>
          <w:szCs w:val="32"/>
        </w:rPr>
        <w:t>四、评价结论</w:t>
      </w:r>
      <w:bookmarkEnd w:id="275"/>
    </w:p>
    <w:p w14:paraId="0BE6A5DA">
      <w:pPr>
        <w:adjustRightInd w:val="0"/>
        <w:snapToGrid w:val="0"/>
        <w:spacing w:line="578" w:lineRule="exact"/>
        <w:ind w:firstLine="640" w:firstLineChars="200"/>
        <w:rPr>
          <w:rFonts w:hint="eastAsia" w:ascii="仿宋_GB2312" w:hAnsi="Nimbus Roman No9 L" w:eastAsia="仿宋_GB2312" w:cs="Arial"/>
          <w:sz w:val="32"/>
          <w:szCs w:val="32"/>
        </w:rPr>
      </w:pPr>
      <w:r>
        <w:rPr>
          <w:rFonts w:hint="eastAsia" w:ascii="仿宋_GB2312" w:hAnsi="Nimbus Roman No9 L" w:eastAsia="仿宋_GB2312" w:cs="Arial"/>
          <w:sz w:val="32"/>
          <w:szCs w:val="32"/>
        </w:rPr>
        <w:t>为保障公安机关基层派出所民警值班执勤等无法回家生活问题，按照每月人均不少于22天，每天15元标准保障基层派出所民警工作日午餐费用，保证了该项目的及时有效发放,。此专项经费及时合理的保障基层派出所民警的伙食问题，保障民警基本生活，增强了基层派出所民警工作的积极性，更好的服务辖区人民群众。</w:t>
      </w:r>
    </w:p>
    <w:p w14:paraId="19A2A030">
      <w:pPr>
        <w:adjustRightInd w:val="0"/>
        <w:snapToGrid w:val="0"/>
        <w:spacing w:line="580" w:lineRule="exact"/>
        <w:ind w:firstLine="720"/>
        <w:outlineLvl w:val="1"/>
        <w:rPr>
          <w:rFonts w:ascii="黑体" w:hAnsi="黑体" w:eastAsia="黑体" w:cs="黑体"/>
          <w:bCs/>
          <w:sz w:val="32"/>
          <w:szCs w:val="32"/>
        </w:rPr>
      </w:pPr>
      <w:bookmarkStart w:id="276" w:name="_Toc6875"/>
      <w:r>
        <w:rPr>
          <w:rFonts w:hint="eastAsia" w:ascii="黑体" w:hAnsi="黑体" w:eastAsia="黑体" w:cs="黑体"/>
          <w:bCs/>
          <w:sz w:val="32"/>
          <w:szCs w:val="32"/>
        </w:rPr>
        <w:t>五、存在主要问题</w:t>
      </w:r>
      <w:bookmarkEnd w:id="276"/>
    </w:p>
    <w:p w14:paraId="4E2CF37D">
      <w:pPr>
        <w:pStyle w:val="5"/>
        <w:tabs>
          <w:tab w:val="left" w:pos="2160"/>
        </w:tabs>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无</w:t>
      </w:r>
    </w:p>
    <w:p w14:paraId="197C4E1F">
      <w:pPr>
        <w:adjustRightInd w:val="0"/>
        <w:snapToGrid w:val="0"/>
        <w:spacing w:line="580" w:lineRule="exact"/>
        <w:ind w:firstLine="720"/>
        <w:outlineLvl w:val="1"/>
        <w:rPr>
          <w:rFonts w:ascii="黑体" w:hAnsi="黑体" w:eastAsia="黑体" w:cs="黑体"/>
          <w:bCs/>
          <w:sz w:val="32"/>
          <w:szCs w:val="32"/>
        </w:rPr>
      </w:pPr>
      <w:bookmarkStart w:id="277" w:name="_Toc26792"/>
      <w:r>
        <w:rPr>
          <w:rFonts w:hint="eastAsia" w:ascii="黑体" w:hAnsi="黑体" w:eastAsia="黑体" w:cs="黑体"/>
          <w:bCs/>
          <w:sz w:val="32"/>
          <w:szCs w:val="32"/>
        </w:rPr>
        <w:t>六、改进建议</w:t>
      </w:r>
      <w:bookmarkEnd w:id="277"/>
    </w:p>
    <w:p w14:paraId="3E48E14E">
      <w:pPr>
        <w:tabs>
          <w:tab w:val="left" w:pos="1911"/>
        </w:tabs>
        <w:jc w:val="left"/>
        <w:rPr>
          <w:rFonts w:ascii="仿宋_GB2312" w:hAnsi="仿宋_GB2312" w:eastAsia="仿宋_GB2312" w:cs="仿宋_GB2312"/>
          <w:kern w:val="0"/>
          <w:sz w:val="32"/>
          <w:szCs w:val="32"/>
        </w:rPr>
      </w:pPr>
      <w:r>
        <w:rPr>
          <w:rFonts w:hint="eastAsia" w:ascii="仿宋_GB2312" w:hAnsi="仿宋_GB2312" w:cs="仿宋_GB2312"/>
          <w:kern w:val="0"/>
          <w:sz w:val="32"/>
          <w:szCs w:val="32"/>
        </w:rPr>
        <w:t xml:space="preserve">   无</w:t>
      </w:r>
    </w:p>
    <w:p w14:paraId="34A65047">
      <w:pPr>
        <w:spacing w:line="560" w:lineRule="exact"/>
        <w:jc w:val="center"/>
        <w:rPr>
          <w:rFonts w:ascii="方正小标宋简体" w:eastAsia="方正小标宋简体"/>
          <w:sz w:val="44"/>
          <w:szCs w:val="44"/>
        </w:rPr>
      </w:pPr>
      <w:r>
        <w:rPr>
          <w:rFonts w:hint="eastAsia" w:ascii="方正小标宋简体" w:eastAsia="方正小标宋简体"/>
          <w:sz w:val="44"/>
          <w:szCs w:val="44"/>
        </w:rPr>
        <w:t>广元市公安局利州区分局</w:t>
      </w:r>
    </w:p>
    <w:p w14:paraId="0AF03375">
      <w:pPr>
        <w:spacing w:line="560" w:lineRule="exact"/>
        <w:jc w:val="center"/>
        <w:rPr>
          <w:rFonts w:ascii="方正小标宋简体" w:eastAsia="方正小标宋简体"/>
          <w:sz w:val="44"/>
          <w:szCs w:val="44"/>
        </w:rPr>
      </w:pPr>
      <w:r>
        <w:rPr>
          <w:rFonts w:hint="eastAsia" w:ascii="方正小标宋简体" w:eastAsia="方正小标宋简体"/>
          <w:sz w:val="44"/>
          <w:szCs w:val="44"/>
        </w:rPr>
        <w:t>查非维稳专案审计费项目</w:t>
      </w:r>
    </w:p>
    <w:p w14:paraId="3CE0A83F">
      <w:pPr>
        <w:spacing w:line="560" w:lineRule="exact"/>
        <w:jc w:val="center"/>
        <w:rPr>
          <w:rFonts w:ascii="方正小标宋简体" w:eastAsia="方正小标宋简体"/>
          <w:sz w:val="44"/>
          <w:szCs w:val="44"/>
        </w:rPr>
      </w:pPr>
      <w:r>
        <w:rPr>
          <w:rFonts w:hint="eastAsia" w:ascii="方正小标宋简体" w:eastAsia="方正小标宋简体"/>
          <w:sz w:val="44"/>
          <w:szCs w:val="44"/>
        </w:rPr>
        <w:t>绩效评价报告</w:t>
      </w:r>
    </w:p>
    <w:p w14:paraId="7F748D6C">
      <w:pPr>
        <w:adjustRightInd w:val="0"/>
        <w:snapToGrid w:val="0"/>
        <w:spacing w:line="580" w:lineRule="exact"/>
        <w:ind w:firstLine="720"/>
        <w:outlineLvl w:val="1"/>
        <w:rPr>
          <w:rFonts w:ascii="黑体" w:hAnsi="黑体" w:eastAsia="黑体" w:cs="黑体"/>
          <w:bCs/>
          <w:sz w:val="32"/>
          <w:szCs w:val="32"/>
        </w:rPr>
      </w:pPr>
      <w:bookmarkStart w:id="278" w:name="_Toc17124"/>
      <w:r>
        <w:rPr>
          <w:rFonts w:hint="eastAsia" w:ascii="黑体" w:hAnsi="黑体" w:eastAsia="黑体" w:cs="黑体"/>
          <w:bCs/>
          <w:sz w:val="32"/>
          <w:szCs w:val="32"/>
        </w:rPr>
        <w:t>一、项目概况</w:t>
      </w:r>
      <w:bookmarkEnd w:id="278"/>
    </w:p>
    <w:p w14:paraId="49792E78">
      <w:pPr>
        <w:pStyle w:val="15"/>
        <w:shd w:val="clear" w:color="auto" w:fill="FFFFFF"/>
        <w:spacing w:beforeAutospacing="0" w:afterAutospacing="0" w:line="560" w:lineRule="exact"/>
        <w:ind w:firstLine="640" w:firstLineChars="200"/>
        <w:jc w:val="both"/>
        <w:rPr>
          <w:rFonts w:hint="eastAsia" w:ascii="仿宋_GB2312" w:hAnsi="Nimbus Roman No9 L" w:eastAsia="仿宋_GB2312" w:cs="Arial"/>
          <w:kern w:val="2"/>
          <w:sz w:val="32"/>
        </w:rPr>
      </w:pPr>
      <w:r>
        <w:rPr>
          <w:rFonts w:ascii="仿宋_GB2312" w:hAnsi="Nimbus Roman No9 L" w:eastAsia="仿宋_GB2312" w:cs="Arial"/>
          <w:kern w:val="2"/>
          <w:sz w:val="32"/>
        </w:rPr>
        <w:t>2015年1月14日，</w:t>
      </w:r>
      <w:r>
        <w:rPr>
          <w:rFonts w:hint="eastAsia" w:ascii="仿宋_GB2312" w:hAnsi="Nimbus Roman No9 L" w:eastAsia="仿宋_GB2312" w:cs="Arial"/>
          <w:kern w:val="2"/>
          <w:sz w:val="32"/>
        </w:rPr>
        <w:t>广元市公安局利州区分局</w:t>
      </w:r>
      <w:r>
        <w:rPr>
          <w:rFonts w:ascii="仿宋_GB2312" w:hAnsi="Nimbus Roman No9 L" w:eastAsia="仿宋_GB2312" w:cs="Arial"/>
          <w:kern w:val="2"/>
          <w:sz w:val="32"/>
        </w:rPr>
        <w:t>以涉嫌非法吸收公众存款罪对广元汇</w:t>
      </w:r>
      <w:r>
        <w:rPr>
          <w:rFonts w:hint="eastAsia" w:ascii="仿宋_GB2312" w:hAnsi="Nimbus Roman No9 L" w:eastAsia="仿宋_GB2312" w:cs="Arial"/>
          <w:kern w:val="2"/>
          <w:sz w:val="32"/>
        </w:rPr>
        <w:t>燊行投资理财</w:t>
      </w:r>
      <w:r>
        <w:rPr>
          <w:rFonts w:ascii="仿宋_GB2312" w:hAnsi="Nimbus Roman No9 L" w:eastAsia="仿宋_GB2312" w:cs="Arial"/>
          <w:kern w:val="2"/>
          <w:sz w:val="32"/>
        </w:rPr>
        <w:t>信息</w:t>
      </w:r>
      <w:r>
        <w:rPr>
          <w:rFonts w:hint="eastAsia" w:ascii="仿宋_GB2312" w:hAnsi="Nimbus Roman No9 L" w:eastAsia="仿宋_GB2312" w:cs="Arial"/>
          <w:kern w:val="2"/>
          <w:sz w:val="32"/>
        </w:rPr>
        <w:t>咨询有限</w:t>
      </w:r>
      <w:r>
        <w:rPr>
          <w:rFonts w:ascii="仿宋_GB2312" w:hAnsi="Nimbus Roman No9 L" w:eastAsia="仿宋_GB2312" w:cs="Arial"/>
          <w:kern w:val="2"/>
          <w:sz w:val="32"/>
        </w:rPr>
        <w:t>公司</w:t>
      </w:r>
      <w:r>
        <w:rPr>
          <w:rFonts w:hint="eastAsia" w:ascii="仿宋_GB2312" w:hAnsi="Nimbus Roman No9 L" w:eastAsia="仿宋_GB2312" w:cs="Arial"/>
          <w:kern w:val="2"/>
          <w:sz w:val="32"/>
        </w:rPr>
        <w:t>（以下简称“广元汇燊行公司”）</w:t>
      </w:r>
      <w:r>
        <w:rPr>
          <w:rFonts w:ascii="仿宋_GB2312" w:hAnsi="Nimbus Roman No9 L" w:eastAsia="仿宋_GB2312" w:cs="Arial"/>
          <w:kern w:val="2"/>
          <w:sz w:val="32"/>
        </w:rPr>
        <w:t>立案侦查。</w:t>
      </w:r>
      <w:r>
        <w:rPr>
          <w:rFonts w:hint="eastAsia" w:ascii="仿宋_GB2312" w:hAnsi="Nimbus Roman No9 L" w:eastAsia="仿宋_GB2312" w:cs="Arial"/>
          <w:kern w:val="2"/>
          <w:sz w:val="32"/>
        </w:rPr>
        <w:t>经查：2013年6月至2014年底，犯罪嫌疑人郭云通等人利用广元汇燊行公司在广元市利州区、旺苍县、苍溪县等地面向社会不特定公众非法吸收资金28161.5万元，退还集资参与人12074.5万元，截止案发时有资金16087万元尚未退还，涉及总人数1452人。经审计：自该公司成立以来，向未退还本金的集资参与人支付利息3342.0631万元；立案后，我局先后向集资参与人兑付资金789.77万元；该案造成实际经济损失11970.7815万元，涉及1143人。经侦查终结，我局于2016年6月14日将该案移送广元市利州区人民检察院审查起诉。</w:t>
      </w:r>
    </w:p>
    <w:p w14:paraId="01ABCCE4">
      <w:pPr>
        <w:pStyle w:val="15"/>
        <w:shd w:val="clear" w:color="auto" w:fill="FFFFFF"/>
        <w:spacing w:beforeAutospacing="0" w:afterAutospacing="0" w:line="560" w:lineRule="exact"/>
        <w:ind w:firstLine="640" w:firstLineChars="20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2022年5月，因人民法院审判需要及市委市政府关于“查非维稳”工作要求，我</w:t>
      </w:r>
      <w:r>
        <w:rPr>
          <w:rFonts w:ascii="仿宋_GB2312" w:hAnsi="Nimbus Roman No9 L" w:eastAsia="仿宋_GB2312" w:cs="Arial"/>
          <w:kern w:val="2"/>
          <w:sz w:val="32"/>
        </w:rPr>
        <w:t>局</w:t>
      </w:r>
      <w:r>
        <w:rPr>
          <w:rFonts w:hint="eastAsia" w:ascii="仿宋_GB2312" w:hAnsi="Nimbus Roman No9 L" w:eastAsia="仿宋_GB2312" w:cs="Arial"/>
          <w:kern w:val="2"/>
          <w:sz w:val="32"/>
        </w:rPr>
        <w:t>委托四川华雄会计师事务所对广元汇燊行公司自成立以来向集资参与人支付利息的详细情况进行补充审计，审计费用共10万元。</w:t>
      </w:r>
    </w:p>
    <w:p w14:paraId="477DCAB2">
      <w:pPr>
        <w:pStyle w:val="15"/>
        <w:shd w:val="clear" w:color="auto" w:fill="FFFFFF"/>
        <w:spacing w:beforeAutospacing="0" w:afterAutospacing="0" w:line="560" w:lineRule="exact"/>
        <w:ind w:firstLine="640" w:firstLineChars="20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该项目实施前本单位进行了充分调研并呈报市财政局审批，后财政根据整体资金安排对按项目实际安排预算内资金10万元，符合预算法及资金管理办法。</w:t>
      </w:r>
    </w:p>
    <w:p w14:paraId="6C84F048">
      <w:pPr>
        <w:pStyle w:val="15"/>
        <w:shd w:val="clear" w:color="auto" w:fill="FFFFFF"/>
        <w:spacing w:beforeAutospacing="0" w:afterAutospacing="0" w:line="560" w:lineRule="exact"/>
        <w:ind w:firstLine="640" w:firstLineChars="20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该项目申报内容与具体实施内容相符、申报目标合理可行。</w:t>
      </w:r>
    </w:p>
    <w:p w14:paraId="05689A27">
      <w:pPr>
        <w:adjustRightInd w:val="0"/>
        <w:snapToGrid w:val="0"/>
        <w:spacing w:line="580" w:lineRule="exact"/>
        <w:ind w:firstLine="720"/>
        <w:outlineLvl w:val="1"/>
        <w:rPr>
          <w:rFonts w:ascii="黑体" w:hAnsi="黑体" w:eastAsia="黑体" w:cs="黑体"/>
          <w:bCs/>
          <w:sz w:val="32"/>
          <w:szCs w:val="32"/>
        </w:rPr>
      </w:pPr>
      <w:bookmarkStart w:id="279" w:name="_Toc11638"/>
      <w:r>
        <w:rPr>
          <w:rFonts w:hint="eastAsia" w:ascii="黑体" w:hAnsi="黑体" w:eastAsia="黑体" w:cs="黑体"/>
          <w:bCs/>
          <w:sz w:val="32"/>
          <w:szCs w:val="32"/>
        </w:rPr>
        <w:t>二、项目实施及管理情况</w:t>
      </w:r>
      <w:bookmarkEnd w:id="279"/>
    </w:p>
    <w:p w14:paraId="078825B9">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（一）资金计划、到位及使用情况</w:t>
      </w:r>
    </w:p>
    <w:p w14:paraId="36E90830">
      <w:pPr>
        <w:pStyle w:val="15"/>
        <w:shd w:val="clear" w:color="auto" w:fill="FFFFFF"/>
        <w:spacing w:beforeAutospacing="0" w:afterAutospacing="0" w:line="560" w:lineRule="exact"/>
        <w:ind w:firstLine="640" w:firstLineChars="20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该项目2023年追加预算10万元，实际下达指标10万元。年末执行数为10万元，完成预算的100%。</w:t>
      </w:r>
    </w:p>
    <w:p w14:paraId="75EAC4F8">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（二）项目财务管理情况。</w:t>
      </w:r>
    </w:p>
    <w:p w14:paraId="1742A815">
      <w:pPr>
        <w:pStyle w:val="15"/>
        <w:shd w:val="clear" w:color="auto" w:fill="FFFFFF"/>
        <w:spacing w:beforeAutospacing="0" w:afterAutospacing="0" w:line="560" w:lineRule="exact"/>
        <w:ind w:firstLine="640" w:firstLineChars="20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分局严格执行财务管理制度、财务处理及时、会计核算规范。支付依据合规合法，资金支付与预算相符。</w:t>
      </w:r>
    </w:p>
    <w:p w14:paraId="372DAB4F">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（三）项目组织实施情况。</w:t>
      </w:r>
    </w:p>
    <w:p w14:paraId="7DC4CEE8">
      <w:pPr>
        <w:pStyle w:val="15"/>
        <w:shd w:val="clear" w:color="auto" w:fill="FFFFFF"/>
        <w:spacing w:beforeAutospacing="0" w:afterAutospacing="0" w:line="560" w:lineRule="exact"/>
        <w:ind w:firstLine="636" w:firstLineChars="199"/>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根据《中华人民共和国预算法》、《中华人民共和国政府采购法》、《中华人民共和国合同法》、《政府购买服务管理办法》（中华人民共和国财政部令第102号）等法律、行政法规的规定，第三方审计服务进行政府招投标采购。</w:t>
      </w:r>
    </w:p>
    <w:p w14:paraId="31793E2E">
      <w:pPr>
        <w:pStyle w:val="15"/>
        <w:shd w:val="clear" w:color="auto" w:fill="FFFFFF"/>
        <w:spacing w:beforeAutospacing="0" w:afterAutospacing="0" w:line="560" w:lineRule="exact"/>
        <w:ind w:firstLine="640" w:firstLineChars="200"/>
        <w:jc w:val="both"/>
        <w:rPr>
          <w:rFonts w:hint="eastAsia" w:ascii="仿宋_GB2312" w:hAnsi="Nimbus Roman No9 L" w:eastAsia="仿宋_GB2312" w:cs="Arial"/>
          <w:kern w:val="2"/>
          <w:sz w:val="32"/>
        </w:rPr>
      </w:pPr>
      <w:r>
        <w:rPr>
          <w:rFonts w:ascii="仿宋_GB2312" w:hAnsi="Nimbus Roman No9 L" w:eastAsia="仿宋_GB2312" w:cs="Arial"/>
          <w:kern w:val="2"/>
          <w:sz w:val="32"/>
        </w:rPr>
        <w:t>绩效目标设置</w:t>
      </w:r>
      <w:r>
        <w:rPr>
          <w:rFonts w:hint="eastAsia" w:ascii="仿宋_GB2312" w:hAnsi="Nimbus Roman No9 L" w:eastAsia="仿宋_GB2312" w:cs="Arial"/>
          <w:kern w:val="2"/>
          <w:sz w:val="32"/>
        </w:rPr>
        <w:t>包括数量指标、质量指标、社会效益指标等。</w:t>
      </w:r>
    </w:p>
    <w:p w14:paraId="409C1228">
      <w:pPr>
        <w:adjustRightInd w:val="0"/>
        <w:snapToGrid w:val="0"/>
        <w:spacing w:line="580" w:lineRule="exact"/>
        <w:ind w:firstLine="720"/>
        <w:outlineLvl w:val="1"/>
        <w:rPr>
          <w:rFonts w:ascii="黑体" w:hAnsi="黑体" w:eastAsia="黑体" w:cs="黑体"/>
          <w:bCs/>
          <w:sz w:val="32"/>
          <w:szCs w:val="32"/>
        </w:rPr>
      </w:pPr>
      <w:bookmarkStart w:id="280" w:name="_Toc30046"/>
      <w:r>
        <w:rPr>
          <w:rFonts w:hint="eastAsia" w:ascii="黑体" w:hAnsi="黑体" w:eastAsia="黑体" w:cs="黑体"/>
          <w:bCs/>
          <w:sz w:val="32"/>
          <w:szCs w:val="32"/>
        </w:rPr>
        <w:t>三、项目绩效情况</w:t>
      </w:r>
      <w:bookmarkEnd w:id="280"/>
      <w:r>
        <w:rPr>
          <w:rFonts w:hint="eastAsia" w:ascii="黑体" w:hAnsi="黑体" w:eastAsia="黑体" w:cs="黑体"/>
          <w:bCs/>
          <w:sz w:val="32"/>
          <w:szCs w:val="32"/>
        </w:rPr>
        <w:tab/>
      </w:r>
    </w:p>
    <w:p w14:paraId="483C3E5D">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（一）项目完成情况。</w:t>
      </w:r>
    </w:p>
    <w:p w14:paraId="3A3CF796">
      <w:pPr>
        <w:pStyle w:val="15"/>
        <w:shd w:val="clear" w:color="auto" w:fill="FFFFFF"/>
        <w:spacing w:beforeAutospacing="0" w:afterAutospacing="0" w:line="560" w:lineRule="exact"/>
        <w:ind w:firstLine="640" w:firstLineChars="200"/>
        <w:jc w:val="both"/>
        <w:rPr>
          <w:rFonts w:ascii="仿宋_GB2312" w:hAnsi="仿宋_GB2312" w:cs="仿宋_GB2312"/>
          <w:bCs/>
        </w:rPr>
      </w:pPr>
      <w:r>
        <w:rPr>
          <w:rFonts w:hint="eastAsia" w:ascii="仿宋_GB2312" w:hAnsi="Nimbus Roman No9 L" w:eastAsia="仿宋_GB2312" w:cs="Arial"/>
          <w:kern w:val="2"/>
          <w:sz w:val="32"/>
        </w:rPr>
        <w:t>分局严格按照政府采购流程进行了审计服务采购。该项目已实施并支付完毕。</w:t>
      </w:r>
    </w:p>
    <w:p w14:paraId="1A5C427C">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（二）项目效益情况。</w:t>
      </w:r>
    </w:p>
    <w:p w14:paraId="6E6A5207">
      <w:pPr>
        <w:pStyle w:val="15"/>
        <w:shd w:val="clear" w:color="auto" w:fill="FFFFFF"/>
        <w:spacing w:beforeAutospacing="0" w:afterAutospacing="0" w:line="560" w:lineRule="exact"/>
        <w:ind w:firstLine="640" w:firstLineChars="20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推动经侦非法集资类涉众案件的化解及推进。广元市城区营商环境进一步优化，老百姓投资理财的大环境持续改善，得到有效的法律保障。</w:t>
      </w:r>
    </w:p>
    <w:p w14:paraId="4F653EB0">
      <w:pPr>
        <w:adjustRightInd w:val="0"/>
        <w:snapToGrid w:val="0"/>
        <w:spacing w:line="580" w:lineRule="exact"/>
        <w:ind w:firstLine="720"/>
        <w:outlineLvl w:val="1"/>
        <w:rPr>
          <w:rFonts w:ascii="黑体" w:hAnsi="黑体" w:eastAsia="黑体" w:cs="黑体"/>
          <w:bCs/>
          <w:sz w:val="32"/>
          <w:szCs w:val="32"/>
        </w:rPr>
      </w:pPr>
      <w:bookmarkStart w:id="281" w:name="_Toc27774"/>
      <w:r>
        <w:rPr>
          <w:rFonts w:hint="eastAsia" w:ascii="黑体" w:hAnsi="黑体" w:eastAsia="黑体" w:cs="黑体"/>
          <w:bCs/>
          <w:sz w:val="32"/>
          <w:szCs w:val="32"/>
        </w:rPr>
        <w:t>四、问题及建议</w:t>
      </w:r>
      <w:bookmarkEnd w:id="281"/>
    </w:p>
    <w:p w14:paraId="05337010">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（一）存在的问题。</w:t>
      </w:r>
    </w:p>
    <w:p w14:paraId="12F0F195">
      <w:pPr>
        <w:pStyle w:val="15"/>
        <w:shd w:val="clear" w:color="auto" w:fill="FFFFFF"/>
        <w:spacing w:beforeAutospacing="0" w:afterAutospacing="0" w:line="560" w:lineRule="exact"/>
        <w:ind w:firstLine="640" w:firstLineChars="20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无</w:t>
      </w:r>
    </w:p>
    <w:p w14:paraId="06945C60">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（二）相关建议。</w:t>
      </w:r>
    </w:p>
    <w:p w14:paraId="1D0D488D">
      <w:pPr>
        <w:pStyle w:val="15"/>
        <w:shd w:val="clear" w:color="auto" w:fill="FFFFFF"/>
        <w:spacing w:beforeAutospacing="0" w:afterAutospacing="0" w:line="560" w:lineRule="exact"/>
        <w:ind w:firstLine="640" w:firstLineChars="20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无</w:t>
      </w:r>
    </w:p>
    <w:p w14:paraId="62BEABEE">
      <w:pPr>
        <w:spacing w:line="560" w:lineRule="exact"/>
        <w:jc w:val="center"/>
        <w:outlineLvl w:val="1"/>
        <w:rPr>
          <w:rFonts w:ascii="方正小标宋简体" w:eastAsia="方正小标宋简体"/>
          <w:sz w:val="44"/>
          <w:szCs w:val="44"/>
        </w:rPr>
      </w:pPr>
      <w:bookmarkStart w:id="282" w:name="_Toc10631"/>
      <w:r>
        <w:rPr>
          <w:rFonts w:hint="eastAsia" w:ascii="方正小标宋简体" w:eastAsia="方正小标宋简体"/>
          <w:sz w:val="44"/>
          <w:szCs w:val="44"/>
        </w:rPr>
        <w:t>广元市公安局利州区分局</w:t>
      </w:r>
      <w:bookmarkEnd w:id="282"/>
    </w:p>
    <w:p w14:paraId="054929F8">
      <w:pPr>
        <w:spacing w:line="560" w:lineRule="exact"/>
        <w:jc w:val="center"/>
        <w:rPr>
          <w:rFonts w:ascii="方正小标宋简体" w:eastAsia="方正小标宋简体"/>
          <w:sz w:val="44"/>
          <w:szCs w:val="44"/>
        </w:rPr>
      </w:pPr>
      <w:r>
        <w:rPr>
          <w:rFonts w:hint="eastAsia" w:ascii="方正小标宋简体" w:eastAsia="方正小标宋简体"/>
          <w:sz w:val="44"/>
          <w:szCs w:val="44"/>
        </w:rPr>
        <w:t>民警法定工作日之外加班补贴项目</w:t>
      </w:r>
    </w:p>
    <w:p w14:paraId="2E25A233">
      <w:pPr>
        <w:spacing w:line="560" w:lineRule="exact"/>
        <w:jc w:val="center"/>
        <w:rPr>
          <w:rFonts w:ascii="方正小标宋简体" w:eastAsia="方正小标宋简体"/>
          <w:sz w:val="36"/>
          <w:szCs w:val="36"/>
        </w:rPr>
      </w:pPr>
      <w:r>
        <w:rPr>
          <w:rFonts w:hint="eastAsia" w:ascii="方正小标宋简体" w:hAnsi="方正小标宋简体" w:eastAsia="方正小标宋简体" w:cs="方正小标宋简体"/>
          <w:sz w:val="44"/>
          <w:szCs w:val="44"/>
        </w:rPr>
        <w:t>绩效评价报告</w:t>
      </w:r>
    </w:p>
    <w:p w14:paraId="4E1C1947">
      <w:pPr>
        <w:adjustRightInd w:val="0"/>
        <w:snapToGrid w:val="0"/>
        <w:spacing w:line="580" w:lineRule="exact"/>
        <w:ind w:firstLine="720"/>
        <w:outlineLvl w:val="1"/>
        <w:rPr>
          <w:rFonts w:ascii="黑体" w:hAnsi="黑体" w:eastAsia="黑体" w:cs="黑体"/>
          <w:bCs/>
          <w:sz w:val="32"/>
          <w:szCs w:val="32"/>
        </w:rPr>
      </w:pPr>
      <w:bookmarkStart w:id="283" w:name="_Toc7771"/>
      <w:r>
        <w:rPr>
          <w:rFonts w:hint="eastAsia" w:ascii="黑体" w:hAnsi="黑体" w:eastAsia="黑体" w:cs="黑体"/>
          <w:bCs/>
          <w:sz w:val="32"/>
          <w:szCs w:val="32"/>
        </w:rPr>
        <w:t>一、项目概况</w:t>
      </w:r>
      <w:bookmarkEnd w:id="283"/>
    </w:p>
    <w:p w14:paraId="4A6BBA36">
      <w:pPr>
        <w:pStyle w:val="15"/>
        <w:shd w:val="clear" w:color="auto" w:fill="FFFFFF"/>
        <w:spacing w:beforeAutospacing="0" w:afterAutospacing="0" w:line="560" w:lineRule="exact"/>
        <w:ind w:firstLine="640" w:firstLineChars="20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根据人力资源社会保障部、财政部文件（人社部规【2019】9号）《人力资源社会保障部 财政部关于执行人民警察法定工作日之外加班补贴有关问题的通知》，根据国务院有关规定，人民警察法定工作日之外加班的应当补习；不能补休的，应当给予补助。经研究决定，从2017年1月1日起调整人民警察法定工作日之外加班补贴政策。人民警察法定工作日之外加班补贴由国家统一规定标准调整为实行总量管理。各级人力资源社会保障、财政部门按照月人均710元和本级各相关单位的国家政法专项编制内人民警察实有人数，分别核定下达本级公安机关、国家安全机关、鉴于、强制隔离戒毒机关和法院、检察院的年度法定工作日之外加班补贴总量。</w:t>
      </w:r>
    </w:p>
    <w:p w14:paraId="305A0BAC">
      <w:pPr>
        <w:pStyle w:val="15"/>
        <w:shd w:val="clear" w:color="auto" w:fill="FFFFFF"/>
        <w:spacing w:beforeAutospacing="0" w:afterAutospacing="0" w:line="560" w:lineRule="exact"/>
        <w:ind w:firstLine="640" w:firstLineChars="20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该项目实施前本单位进行了充分调研并呈报利州市财政局审批，后财政根据整体资金安排对按项目实际安排预算内资金332.28万元，符合预算法及资金管理办法。</w:t>
      </w:r>
    </w:p>
    <w:p w14:paraId="69170E58">
      <w:pPr>
        <w:pStyle w:val="15"/>
        <w:shd w:val="clear" w:color="auto" w:fill="FFFFFF"/>
        <w:spacing w:beforeAutospacing="0" w:afterAutospacing="0" w:line="560" w:lineRule="exact"/>
        <w:ind w:firstLine="640" w:firstLineChars="20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该项目申报内容与具体实施内容相符、申报目标合理可行。</w:t>
      </w:r>
    </w:p>
    <w:p w14:paraId="1DB59A3D">
      <w:pPr>
        <w:adjustRightInd w:val="0"/>
        <w:snapToGrid w:val="0"/>
        <w:spacing w:line="580" w:lineRule="exact"/>
        <w:ind w:firstLine="720"/>
        <w:outlineLvl w:val="1"/>
        <w:rPr>
          <w:rFonts w:ascii="黑体" w:hAnsi="黑体" w:eastAsia="黑体" w:cs="黑体"/>
          <w:bCs/>
          <w:sz w:val="32"/>
          <w:szCs w:val="32"/>
        </w:rPr>
      </w:pPr>
      <w:bookmarkStart w:id="284" w:name="_Toc17028"/>
      <w:r>
        <w:rPr>
          <w:rFonts w:hint="eastAsia" w:ascii="黑体" w:hAnsi="黑体" w:eastAsia="黑体" w:cs="黑体"/>
          <w:bCs/>
          <w:sz w:val="32"/>
          <w:szCs w:val="32"/>
        </w:rPr>
        <w:t>二、项目实施及管理情况</w:t>
      </w:r>
      <w:bookmarkEnd w:id="284"/>
    </w:p>
    <w:p w14:paraId="0B09F6D2">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（一）资金计划、到位及使用情况</w:t>
      </w:r>
    </w:p>
    <w:p w14:paraId="26741F66">
      <w:pPr>
        <w:pStyle w:val="15"/>
        <w:shd w:val="clear" w:color="auto" w:fill="FFFFFF"/>
        <w:spacing w:beforeAutospacing="0" w:afterAutospacing="0" w:line="560" w:lineRule="exact"/>
        <w:ind w:firstLine="640" w:firstLineChars="20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该项目年初预算332.28万元，实际下达指标332.28万元。年末执行数为332.28万元，完成预算的100%。</w:t>
      </w:r>
    </w:p>
    <w:p w14:paraId="53286F50">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（二）项目财务管理情况。</w:t>
      </w:r>
    </w:p>
    <w:p w14:paraId="0359B466">
      <w:pPr>
        <w:pStyle w:val="15"/>
        <w:shd w:val="clear" w:color="auto" w:fill="FFFFFF"/>
        <w:spacing w:beforeAutospacing="0" w:afterAutospacing="0" w:line="560" w:lineRule="exact"/>
        <w:ind w:firstLine="640" w:firstLineChars="200"/>
        <w:jc w:val="both"/>
        <w:rPr>
          <w:rFonts w:hint="eastAsia" w:ascii="仿宋_GB2312" w:hAnsi="Nimbus Roman No9 L" w:eastAsia="仿宋_GB2312" w:cs="Arial"/>
          <w:kern w:val="2"/>
          <w:sz w:val="32"/>
        </w:rPr>
      </w:pPr>
      <w:r>
        <w:rPr>
          <w:rFonts w:hint="eastAsia" w:ascii="仿宋_GB2312" w:hAnsi="Nimbus Roman No9 L" w:eastAsia="仿宋_GB2312" w:cs="Arial"/>
          <w:kern w:val="2"/>
          <w:sz w:val="32"/>
        </w:rPr>
        <w:t>分局严格执行财务管理制度、财务处理及时、会计核算规范。支付依据合规合法，资金支付与预算相符。</w:t>
      </w:r>
    </w:p>
    <w:p w14:paraId="009E1909">
      <w:pPr>
        <w:spacing w:line="560" w:lineRule="exact"/>
        <w:ind w:firstLine="643" w:firstLineChars="200"/>
        <w:rPr>
          <w:rFonts w:hint="eastAsia" w:ascii="仿宋_GB2312" w:hAnsi="Nimbus Roman No9 L" w:eastAsia="仿宋_GB2312" w:cs="Arial"/>
          <w:sz w:val="32"/>
          <w:szCs w:val="32"/>
        </w:rPr>
      </w:pPr>
      <w:r>
        <w:rPr>
          <w:rFonts w:hint="eastAsia" w:ascii="楷体_GB2312" w:hAnsi="宋体" w:eastAsia="楷体_GB2312"/>
          <w:b/>
          <w:kern w:val="0"/>
          <w:sz w:val="32"/>
          <w:szCs w:val="32"/>
          <w:lang w:val="zh-CN"/>
        </w:rPr>
        <w:t>（三）项目组织实施情况。</w:t>
      </w:r>
      <w:r>
        <w:rPr>
          <w:rFonts w:hint="eastAsia" w:ascii="仿宋_GB2312" w:hAnsi="Nimbus Roman No9 L" w:eastAsia="仿宋_GB2312" w:cs="Arial"/>
          <w:sz w:val="32"/>
          <w:szCs w:val="32"/>
        </w:rPr>
        <w:t>民警法定节假日加班补贴</w:t>
      </w:r>
      <w:r>
        <w:rPr>
          <w:rFonts w:ascii="仿宋_GB2312" w:hAnsi="Nimbus Roman No9 L" w:eastAsia="仿宋_GB2312" w:cs="Arial"/>
          <w:sz w:val="32"/>
          <w:szCs w:val="32"/>
        </w:rPr>
        <w:t>项目</w:t>
      </w:r>
      <w:r>
        <w:rPr>
          <w:rFonts w:hint="eastAsia" w:ascii="仿宋_GB2312" w:hAnsi="Nimbus Roman No9 L" w:eastAsia="仿宋_GB2312" w:cs="Arial"/>
          <w:sz w:val="32"/>
          <w:szCs w:val="32"/>
        </w:rPr>
        <w:t>是公安民警保障费用。</w:t>
      </w:r>
      <w:r>
        <w:rPr>
          <w:rFonts w:ascii="仿宋_GB2312" w:hAnsi="Nimbus Roman No9 L" w:eastAsia="仿宋_GB2312" w:cs="Arial"/>
          <w:sz w:val="32"/>
          <w:szCs w:val="32"/>
        </w:rPr>
        <w:t>绩效目标设置</w:t>
      </w:r>
      <w:r>
        <w:rPr>
          <w:rFonts w:hint="eastAsia" w:ascii="仿宋_GB2312" w:hAnsi="Nimbus Roman No9 L" w:eastAsia="仿宋_GB2312" w:cs="Arial"/>
          <w:sz w:val="32"/>
          <w:szCs w:val="32"/>
        </w:rPr>
        <w:t>包括数量指标、质量指标、社会效益指标等。</w:t>
      </w:r>
    </w:p>
    <w:p w14:paraId="4F352063">
      <w:pPr>
        <w:adjustRightInd w:val="0"/>
        <w:snapToGrid w:val="0"/>
        <w:spacing w:line="580" w:lineRule="exact"/>
        <w:ind w:firstLine="720"/>
        <w:outlineLvl w:val="1"/>
        <w:rPr>
          <w:rFonts w:ascii="黑体" w:hAnsi="黑体" w:eastAsia="黑体" w:cs="黑体"/>
          <w:bCs/>
          <w:sz w:val="32"/>
          <w:szCs w:val="32"/>
        </w:rPr>
      </w:pPr>
      <w:bookmarkStart w:id="285" w:name="_Toc31439"/>
      <w:r>
        <w:rPr>
          <w:rFonts w:hint="eastAsia" w:ascii="黑体" w:hAnsi="黑体" w:eastAsia="黑体" w:cs="黑体"/>
          <w:bCs/>
          <w:sz w:val="32"/>
          <w:szCs w:val="32"/>
        </w:rPr>
        <w:t>三、项目绩效情况</w:t>
      </w:r>
      <w:bookmarkEnd w:id="285"/>
      <w:r>
        <w:rPr>
          <w:rFonts w:hint="eastAsia" w:ascii="黑体" w:hAnsi="黑体" w:eastAsia="黑体" w:cs="黑体"/>
          <w:bCs/>
          <w:sz w:val="32"/>
          <w:szCs w:val="32"/>
        </w:rPr>
        <w:tab/>
      </w:r>
    </w:p>
    <w:p w14:paraId="0202EA51">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（一）项目完成情况。</w:t>
      </w:r>
    </w:p>
    <w:p w14:paraId="64CB669B">
      <w:pPr>
        <w:adjustRightInd w:val="0"/>
        <w:snapToGrid w:val="0"/>
        <w:spacing w:line="56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分局严格执行人民警察法定工作日之外加班补贴政策规定，严格考勤，加强管理，考勤情况在本单位公示，分局警务保障室根据考勤公示情况发放补贴。</w:t>
      </w:r>
    </w:p>
    <w:p w14:paraId="6D6922B2">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（二）项目效益情况。</w:t>
      </w:r>
    </w:p>
    <w:p w14:paraId="66C6E64E">
      <w:pPr>
        <w:adjustRightInd w:val="0"/>
        <w:snapToGrid w:val="0"/>
        <w:spacing w:line="56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通过加班费的发放，进一步将国家从优待警的政策落到实处，从而保障分局的基本运转。分局民警满意度较高。</w:t>
      </w:r>
    </w:p>
    <w:p w14:paraId="2D87A7B0">
      <w:pPr>
        <w:adjustRightInd w:val="0"/>
        <w:snapToGrid w:val="0"/>
        <w:spacing w:line="580" w:lineRule="exact"/>
        <w:ind w:firstLine="720"/>
        <w:outlineLvl w:val="1"/>
        <w:rPr>
          <w:rFonts w:ascii="黑体" w:hAnsi="黑体" w:eastAsia="黑体" w:cs="黑体"/>
          <w:bCs/>
          <w:sz w:val="32"/>
          <w:szCs w:val="32"/>
        </w:rPr>
      </w:pPr>
      <w:bookmarkStart w:id="286" w:name="_Toc7563"/>
      <w:r>
        <w:rPr>
          <w:rFonts w:hint="eastAsia" w:ascii="黑体" w:hAnsi="黑体" w:eastAsia="黑体" w:cs="黑体"/>
          <w:bCs/>
          <w:sz w:val="32"/>
          <w:szCs w:val="32"/>
        </w:rPr>
        <w:t>四、问题及建议</w:t>
      </w:r>
      <w:bookmarkEnd w:id="286"/>
    </w:p>
    <w:p w14:paraId="03A98513">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（一）存在的问题。</w:t>
      </w:r>
    </w:p>
    <w:p w14:paraId="49A8FB82">
      <w:pPr>
        <w:adjustRightInd w:val="0"/>
        <w:snapToGrid w:val="0"/>
        <w:spacing w:line="56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无</w:t>
      </w:r>
    </w:p>
    <w:p w14:paraId="1252BD1A">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（二）相关建议。</w:t>
      </w:r>
    </w:p>
    <w:p w14:paraId="6DD0B820">
      <w:pPr>
        <w:adjustRightInd w:val="0"/>
        <w:snapToGrid w:val="0"/>
        <w:spacing w:line="56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无</w:t>
      </w:r>
    </w:p>
    <w:p w14:paraId="1FA25CAA">
      <w:pPr>
        <w:spacing w:line="570" w:lineRule="exact"/>
        <w:jc w:val="center"/>
        <w:outlineLvl w:val="1"/>
        <w:rPr>
          <w:rFonts w:ascii="方正小标宋简体" w:eastAsia="方正小标宋简体"/>
          <w:sz w:val="44"/>
          <w:szCs w:val="44"/>
        </w:rPr>
      </w:pPr>
      <w:bookmarkStart w:id="287" w:name="_Toc25773"/>
      <w:r>
        <w:rPr>
          <w:rFonts w:hint="eastAsia" w:ascii="方正小标宋简体" w:eastAsia="方正小标宋简体"/>
          <w:sz w:val="44"/>
          <w:szCs w:val="44"/>
        </w:rPr>
        <w:t>广元市公安局利州区分局</w:t>
      </w:r>
      <w:bookmarkEnd w:id="287"/>
    </w:p>
    <w:p w14:paraId="29FD97F9">
      <w:pPr>
        <w:adjustRightInd w:val="0"/>
        <w:snapToGrid w:val="0"/>
        <w:spacing w:line="570" w:lineRule="exact"/>
        <w:jc w:val="center"/>
        <w:rPr>
          <w:rFonts w:ascii="方正小标宋简体" w:eastAsia="方正小标宋简体"/>
          <w:sz w:val="44"/>
          <w:szCs w:val="44"/>
        </w:rPr>
      </w:pPr>
      <w:r>
        <w:rPr>
          <w:rFonts w:hint="eastAsia" w:ascii="方正小标宋简体" w:eastAsia="方正小标宋简体"/>
          <w:sz w:val="44"/>
          <w:szCs w:val="44"/>
        </w:rPr>
        <w:t>派出所民警免费工作午餐项目</w:t>
      </w:r>
    </w:p>
    <w:p w14:paraId="5BC2B33F">
      <w:pPr>
        <w:adjustRightInd w:val="0"/>
        <w:snapToGrid w:val="0"/>
        <w:spacing w:line="570" w:lineRule="exact"/>
        <w:jc w:val="center"/>
        <w:rPr>
          <w:rFonts w:ascii="方正小标宋简体" w:eastAsia="方正小标宋简体"/>
          <w:sz w:val="44"/>
          <w:szCs w:val="44"/>
        </w:rPr>
      </w:pPr>
      <w:r>
        <w:rPr>
          <w:rFonts w:hint="eastAsia" w:ascii="方正小标宋简体" w:hAnsi="方正小标宋简体" w:eastAsia="方正小标宋简体" w:cs="方正小标宋简体"/>
          <w:sz w:val="44"/>
          <w:szCs w:val="44"/>
        </w:rPr>
        <w:t>绩效评价报告</w:t>
      </w:r>
    </w:p>
    <w:p w14:paraId="320ED83C">
      <w:pPr>
        <w:adjustRightInd w:val="0"/>
        <w:snapToGrid w:val="0"/>
        <w:spacing w:line="570" w:lineRule="exact"/>
        <w:ind w:firstLine="720"/>
        <w:rPr>
          <w:rFonts w:ascii="黑体" w:hAnsi="黑体" w:eastAsia="黑体" w:cs="黑体"/>
          <w:bCs/>
          <w:sz w:val="44"/>
          <w:szCs w:val="44"/>
        </w:rPr>
      </w:pPr>
    </w:p>
    <w:p w14:paraId="1C6D58CC">
      <w:pPr>
        <w:adjustRightInd w:val="0"/>
        <w:snapToGrid w:val="0"/>
        <w:spacing w:line="580" w:lineRule="exact"/>
        <w:ind w:firstLine="720"/>
        <w:outlineLvl w:val="1"/>
        <w:rPr>
          <w:rFonts w:ascii="黑体" w:hAnsi="黑体" w:eastAsia="黑体" w:cs="黑体"/>
          <w:bCs/>
          <w:sz w:val="32"/>
          <w:szCs w:val="32"/>
        </w:rPr>
      </w:pPr>
      <w:bookmarkStart w:id="288" w:name="_Toc2747"/>
      <w:r>
        <w:rPr>
          <w:rFonts w:hint="eastAsia" w:ascii="黑体" w:hAnsi="黑体" w:eastAsia="黑体" w:cs="黑体"/>
          <w:bCs/>
          <w:sz w:val="32"/>
          <w:szCs w:val="32"/>
        </w:rPr>
        <w:t>一、项目概况</w:t>
      </w:r>
      <w:bookmarkEnd w:id="288"/>
    </w:p>
    <w:p w14:paraId="133526A4">
      <w:pPr>
        <w:adjustRightInd w:val="0"/>
        <w:snapToGrid w:val="0"/>
        <w:spacing w:line="56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根据四川省公安厅川公传发【2013】2020号《关于对基层公安机关落实免费工作用餐情况进行督察的通知》及广府办函[2014]4号文件，公安派出所民警免费工作午餐经费。，全省公安机关按照15元/人/天，每月22天保障基层派出所民警午餐费用。该项目实施前本单位进行了充分调研并呈报市财政局审批，后财政根据整体资金安排对按项目实际安排预算内资138.6万元，保障市属350名基层派出所民警午餐费用。符合预算法及资金管理办法。项目申报内容与具体实施内容相符、申报目标合理可行。</w:t>
      </w:r>
    </w:p>
    <w:p w14:paraId="45DDDD07">
      <w:pPr>
        <w:adjustRightInd w:val="0"/>
        <w:snapToGrid w:val="0"/>
        <w:spacing w:line="580" w:lineRule="exact"/>
        <w:ind w:firstLine="720"/>
        <w:outlineLvl w:val="1"/>
        <w:rPr>
          <w:rFonts w:ascii="黑体" w:hAnsi="黑体" w:eastAsia="黑体" w:cs="黑体"/>
          <w:bCs/>
          <w:sz w:val="32"/>
          <w:szCs w:val="32"/>
        </w:rPr>
      </w:pPr>
      <w:bookmarkStart w:id="289" w:name="_Toc18912"/>
      <w:r>
        <w:rPr>
          <w:rFonts w:hint="eastAsia" w:ascii="黑体" w:hAnsi="黑体" w:eastAsia="黑体" w:cs="黑体"/>
          <w:bCs/>
          <w:sz w:val="32"/>
          <w:szCs w:val="32"/>
        </w:rPr>
        <w:t>二、项目实施及管理情况</w:t>
      </w:r>
      <w:bookmarkEnd w:id="289"/>
    </w:p>
    <w:p w14:paraId="5E4AB746">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（一）资金计划、到位及使用情况</w:t>
      </w:r>
    </w:p>
    <w:p w14:paraId="1AEC98A7">
      <w:pPr>
        <w:adjustRightInd w:val="0"/>
        <w:snapToGrid w:val="0"/>
        <w:spacing w:line="56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该项目年初预算138.6元，年中调整指标，实际下达指标130.13万元。年末执行数为130.13万元，完成预算的100%。</w:t>
      </w:r>
    </w:p>
    <w:p w14:paraId="094BF1B6">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（二）项目财务管理情况</w:t>
      </w:r>
    </w:p>
    <w:p w14:paraId="0A0AE524">
      <w:pPr>
        <w:adjustRightInd w:val="0"/>
        <w:snapToGrid w:val="0"/>
        <w:spacing w:line="56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分局严格执行财务管理制度、财务处理及时、会计核算规范。</w:t>
      </w:r>
    </w:p>
    <w:p w14:paraId="604A2921">
      <w:pPr>
        <w:adjustRightInd w:val="0"/>
        <w:snapToGrid w:val="0"/>
        <w:spacing w:line="56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支付依据合规合法，资金支付与预算相符。</w:t>
      </w:r>
    </w:p>
    <w:p w14:paraId="1A33A52E">
      <w:pPr>
        <w:spacing w:line="570" w:lineRule="exact"/>
        <w:rPr>
          <w:rFonts w:ascii="宋体" w:hAnsi="宋体" w:cs="仿宋_GB2312"/>
        </w:rPr>
      </w:pPr>
    </w:p>
    <w:p w14:paraId="7219147C">
      <w:pPr>
        <w:adjustRightInd w:val="0"/>
        <w:snapToGrid w:val="0"/>
        <w:spacing w:line="580" w:lineRule="exact"/>
        <w:ind w:firstLine="720"/>
        <w:outlineLvl w:val="1"/>
        <w:rPr>
          <w:rFonts w:ascii="黑体" w:hAnsi="黑体" w:eastAsia="黑体" w:cs="黑体"/>
          <w:bCs/>
          <w:sz w:val="32"/>
          <w:szCs w:val="32"/>
        </w:rPr>
      </w:pPr>
      <w:bookmarkStart w:id="290" w:name="_Toc19826"/>
      <w:r>
        <w:rPr>
          <w:rFonts w:hint="eastAsia" w:ascii="黑体" w:hAnsi="黑体" w:eastAsia="黑体" w:cs="黑体"/>
          <w:bCs/>
          <w:sz w:val="32"/>
          <w:szCs w:val="32"/>
        </w:rPr>
        <w:t>三、项目绩效情况</w:t>
      </w:r>
      <w:bookmarkEnd w:id="290"/>
      <w:r>
        <w:rPr>
          <w:rFonts w:hint="eastAsia" w:ascii="黑体" w:hAnsi="黑体" w:eastAsia="黑体" w:cs="黑体"/>
          <w:bCs/>
          <w:sz w:val="32"/>
          <w:szCs w:val="32"/>
        </w:rPr>
        <w:tab/>
      </w:r>
    </w:p>
    <w:p w14:paraId="19C4124C">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（一）项目完成情况</w:t>
      </w:r>
    </w:p>
    <w:p w14:paraId="4F910175">
      <w:pPr>
        <w:adjustRightInd w:val="0"/>
        <w:snapToGrid w:val="0"/>
        <w:spacing w:line="56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分局按季度将伙食费发放至基层派出所，由基层派出所灵活方式发放给民警并建立台账。</w:t>
      </w:r>
    </w:p>
    <w:p w14:paraId="5A1E427E">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（二）项目效益情况</w:t>
      </w:r>
    </w:p>
    <w:p w14:paraId="71DE6DCC">
      <w:pPr>
        <w:adjustRightInd w:val="0"/>
        <w:snapToGrid w:val="0"/>
        <w:spacing w:line="56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保障基层派出所民警午餐费用，从而减轻基层派出所保障压力，维持派出所日常运转。基层民警满意度较高，确保从优待警工作落实到位。</w:t>
      </w:r>
    </w:p>
    <w:p w14:paraId="06F1B6F8">
      <w:pPr>
        <w:adjustRightInd w:val="0"/>
        <w:snapToGrid w:val="0"/>
        <w:spacing w:line="580" w:lineRule="exact"/>
        <w:ind w:firstLine="720"/>
        <w:outlineLvl w:val="1"/>
        <w:rPr>
          <w:rFonts w:ascii="黑体" w:hAnsi="黑体" w:eastAsia="黑体" w:cs="黑体"/>
          <w:bCs/>
          <w:sz w:val="32"/>
          <w:szCs w:val="32"/>
        </w:rPr>
      </w:pPr>
      <w:bookmarkStart w:id="291" w:name="_Toc16624"/>
      <w:r>
        <w:rPr>
          <w:rFonts w:hint="eastAsia" w:ascii="黑体" w:hAnsi="黑体" w:eastAsia="黑体" w:cs="黑体"/>
          <w:bCs/>
          <w:sz w:val="32"/>
          <w:szCs w:val="32"/>
        </w:rPr>
        <w:t>四、问题及建议</w:t>
      </w:r>
      <w:bookmarkEnd w:id="291"/>
    </w:p>
    <w:p w14:paraId="5A8D7F83">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（一）存在的问题</w:t>
      </w:r>
    </w:p>
    <w:p w14:paraId="685C1E52">
      <w:pPr>
        <w:adjustRightInd w:val="0"/>
        <w:snapToGrid w:val="0"/>
        <w:spacing w:line="560" w:lineRule="exact"/>
        <w:ind w:firstLine="720"/>
        <w:rPr>
          <w:rFonts w:hint="eastAsia" w:ascii="仿宋_GB2312" w:hAnsi="Nimbus Roman No9 L" w:eastAsia="仿宋_GB2312" w:cs="Arial"/>
          <w:sz w:val="32"/>
          <w:szCs w:val="32"/>
        </w:rPr>
      </w:pPr>
      <w:r>
        <w:rPr>
          <w:rFonts w:hint="eastAsia" w:ascii="仿宋_GB2312" w:hAnsi="Nimbus Roman No9 L" w:eastAsia="仿宋_GB2312" w:cs="Arial"/>
          <w:sz w:val="32"/>
          <w:szCs w:val="32"/>
        </w:rPr>
        <w:t>保障标准较低，已不能平衡日益增长的物价水平，基层派出所民警加班伙食不能保障。</w:t>
      </w:r>
    </w:p>
    <w:p w14:paraId="6655D93B">
      <w:pPr>
        <w:pStyle w:val="15"/>
        <w:shd w:val="clear" w:color="auto" w:fill="FFFFFF"/>
        <w:spacing w:beforeAutospacing="0" w:afterAutospacing="0" w:line="560" w:lineRule="exact"/>
        <w:ind w:firstLine="639" w:firstLineChars="199"/>
        <w:jc w:val="both"/>
        <w:rPr>
          <w:rFonts w:ascii="楷体_GB2312" w:hAnsi="宋体" w:eastAsia="楷体_GB2312"/>
          <w:b/>
          <w:sz w:val="32"/>
          <w:lang w:val="zh-CN"/>
        </w:rPr>
      </w:pPr>
      <w:r>
        <w:rPr>
          <w:rFonts w:hint="eastAsia" w:ascii="楷体_GB2312" w:hAnsi="宋体" w:eastAsia="楷体_GB2312"/>
          <w:b/>
          <w:sz w:val="32"/>
          <w:lang w:val="zh-CN"/>
        </w:rPr>
        <w:t>（二）相关建议</w:t>
      </w:r>
    </w:p>
    <w:p w14:paraId="325AE3A4">
      <w:pPr>
        <w:adjustRightInd w:val="0"/>
        <w:snapToGrid w:val="0"/>
        <w:spacing w:line="560" w:lineRule="exact"/>
        <w:ind w:firstLine="720"/>
        <w:rPr>
          <w:rFonts w:ascii="宋体" w:hAnsi="宋体" w:cs="仿宋_GB2312"/>
        </w:rPr>
      </w:pPr>
      <w:r>
        <w:rPr>
          <w:rFonts w:hint="eastAsia" w:ascii="仿宋_GB2312" w:hAnsi="Nimbus Roman No9 L" w:eastAsia="仿宋_GB2312" w:cs="Arial"/>
          <w:sz w:val="32"/>
          <w:szCs w:val="32"/>
        </w:rPr>
        <w:t>提高保障标准，多渠道争取财政及上级资金。同时加大专项资金监管力度。</w:t>
      </w:r>
    </w:p>
    <w:p w14:paraId="56A303BD">
      <w:pPr>
        <w:pStyle w:val="5"/>
      </w:pPr>
    </w:p>
    <w:p w14:paraId="2FD35CA2">
      <w:pPr>
        <w:pStyle w:val="5"/>
        <w:rPr>
          <w:rFonts w:ascii="黑体" w:hAnsi="黑体" w:eastAsia="黑体" w:cs="黑体"/>
          <w:sz w:val="32"/>
          <w:szCs w:val="32"/>
        </w:rPr>
      </w:pPr>
    </w:p>
    <w:p w14:paraId="19E30C4F">
      <w:pPr>
        <w:widowControl/>
        <w:jc w:val="center"/>
        <w:rPr>
          <w:rFonts w:hint="eastAsia" w:ascii="黑体" w:hAnsi="黑体" w:eastAsia="黑体"/>
          <w:sz w:val="44"/>
          <w:szCs w:val="44"/>
        </w:rPr>
      </w:pPr>
      <w:bookmarkStart w:id="292" w:name="_Toc15396618"/>
    </w:p>
    <w:p w14:paraId="44531001">
      <w:pPr>
        <w:widowControl/>
        <w:jc w:val="center"/>
        <w:rPr>
          <w:rFonts w:hint="eastAsia" w:ascii="黑体" w:hAnsi="黑体" w:eastAsia="黑体"/>
          <w:sz w:val="44"/>
          <w:szCs w:val="44"/>
        </w:rPr>
      </w:pPr>
    </w:p>
    <w:p w14:paraId="512052FE">
      <w:pPr>
        <w:widowControl/>
        <w:jc w:val="center"/>
        <w:rPr>
          <w:rFonts w:hint="eastAsia" w:ascii="黑体" w:hAnsi="黑体" w:eastAsia="黑体"/>
          <w:sz w:val="44"/>
          <w:szCs w:val="44"/>
        </w:rPr>
      </w:pPr>
    </w:p>
    <w:p w14:paraId="146D5911">
      <w:pPr>
        <w:widowControl/>
        <w:jc w:val="center"/>
        <w:rPr>
          <w:rFonts w:hint="eastAsia" w:ascii="黑体" w:hAnsi="黑体" w:eastAsia="黑体"/>
          <w:sz w:val="44"/>
          <w:szCs w:val="44"/>
        </w:rPr>
      </w:pPr>
    </w:p>
    <w:p w14:paraId="17ACC742">
      <w:pPr>
        <w:widowControl/>
        <w:jc w:val="center"/>
        <w:outlineLvl w:val="0"/>
        <w:rPr>
          <w:rFonts w:ascii="仿宋" w:hAnsi="仿宋" w:eastAsia="仿宋"/>
        </w:rPr>
      </w:pPr>
      <w:bookmarkStart w:id="293" w:name="_Toc26695"/>
      <w:r>
        <w:rPr>
          <w:rFonts w:hint="eastAsia" w:ascii="黑体" w:hAnsi="黑体" w:eastAsia="黑体"/>
          <w:sz w:val="44"/>
          <w:szCs w:val="44"/>
        </w:rPr>
        <w:t>第</w:t>
      </w:r>
      <w:r>
        <w:rPr>
          <w:rStyle w:val="21"/>
          <w:rFonts w:hint="eastAsia" w:ascii="黑体" w:hAnsi="黑体" w:eastAsia="黑体"/>
          <w:b w:val="0"/>
        </w:rPr>
        <w:t>五部分 附表</w:t>
      </w:r>
      <w:bookmarkEnd w:id="77"/>
      <w:bookmarkEnd w:id="292"/>
      <w:bookmarkEnd w:id="293"/>
      <w:bookmarkStart w:id="294" w:name="_Toc15396619"/>
    </w:p>
    <w:p w14:paraId="29A4B777">
      <w:pPr>
        <w:pStyle w:val="3"/>
        <w:rPr>
          <w:rFonts w:ascii="仿宋_GB2312" w:hAnsi="仿宋_GB2312" w:eastAsia="仿宋_GB2312" w:cs="仿宋_GB2312"/>
        </w:rPr>
      </w:pPr>
      <w:bookmarkStart w:id="295" w:name="_Toc14201"/>
      <w:r>
        <w:rPr>
          <w:rFonts w:hint="eastAsia" w:ascii="仿宋_GB2312" w:hAnsi="仿宋_GB2312" w:eastAsia="仿宋_GB2312" w:cs="仿宋_GB2312"/>
          <w:b w:val="0"/>
        </w:rPr>
        <w:t>一、收</w:t>
      </w:r>
      <w:r>
        <w:rPr>
          <w:rStyle w:val="22"/>
          <w:rFonts w:hint="eastAsia" w:ascii="仿宋_GB2312" w:hAnsi="仿宋_GB2312" w:eastAsia="仿宋_GB2312" w:cs="仿宋_GB2312"/>
          <w:b w:val="0"/>
          <w:bCs w:val="0"/>
        </w:rPr>
        <w:t>入支出决算总表</w:t>
      </w:r>
      <w:bookmarkEnd w:id="294"/>
      <w:bookmarkEnd w:id="295"/>
    </w:p>
    <w:p w14:paraId="788E1901">
      <w:pPr>
        <w:pStyle w:val="3"/>
        <w:rPr>
          <w:rFonts w:ascii="仿宋_GB2312" w:hAnsi="仿宋_GB2312" w:eastAsia="仿宋_GB2312" w:cs="仿宋_GB2312"/>
        </w:rPr>
      </w:pPr>
      <w:bookmarkStart w:id="296" w:name="_Toc15396620"/>
      <w:bookmarkStart w:id="297" w:name="_Toc23085"/>
      <w:r>
        <w:rPr>
          <w:rFonts w:hint="eastAsia" w:ascii="仿宋_GB2312" w:hAnsi="仿宋_GB2312" w:eastAsia="仿宋_GB2312" w:cs="仿宋_GB2312"/>
          <w:b w:val="0"/>
        </w:rPr>
        <w:t>二、收</w:t>
      </w:r>
      <w:r>
        <w:rPr>
          <w:rStyle w:val="22"/>
          <w:rFonts w:hint="eastAsia" w:ascii="仿宋_GB2312" w:hAnsi="仿宋_GB2312" w:eastAsia="仿宋_GB2312" w:cs="仿宋_GB2312"/>
          <w:b w:val="0"/>
          <w:bCs w:val="0"/>
        </w:rPr>
        <w:t>入决算表</w:t>
      </w:r>
      <w:bookmarkEnd w:id="296"/>
      <w:bookmarkEnd w:id="297"/>
    </w:p>
    <w:p w14:paraId="266C13BE">
      <w:pPr>
        <w:pStyle w:val="3"/>
        <w:rPr>
          <w:rFonts w:ascii="仿宋_GB2312" w:hAnsi="仿宋_GB2312" w:eastAsia="仿宋_GB2312" w:cs="仿宋_GB2312"/>
        </w:rPr>
      </w:pPr>
      <w:bookmarkStart w:id="298" w:name="_Toc15396621"/>
      <w:bookmarkStart w:id="299" w:name="_Toc24930"/>
      <w:r>
        <w:rPr>
          <w:rStyle w:val="22"/>
          <w:rFonts w:hint="eastAsia" w:ascii="仿宋_GB2312" w:hAnsi="仿宋_GB2312" w:eastAsia="仿宋_GB2312" w:cs="仿宋_GB2312"/>
          <w:b w:val="0"/>
          <w:bCs w:val="0"/>
        </w:rPr>
        <w:t>三、</w:t>
      </w:r>
      <w:r>
        <w:rPr>
          <w:rFonts w:hint="eastAsia" w:ascii="仿宋_GB2312" w:hAnsi="仿宋_GB2312" w:eastAsia="仿宋_GB2312" w:cs="仿宋_GB2312"/>
          <w:b w:val="0"/>
        </w:rPr>
        <w:t>支</w:t>
      </w:r>
      <w:r>
        <w:rPr>
          <w:rStyle w:val="22"/>
          <w:rFonts w:hint="eastAsia" w:ascii="仿宋_GB2312" w:hAnsi="仿宋_GB2312" w:eastAsia="仿宋_GB2312" w:cs="仿宋_GB2312"/>
          <w:b w:val="0"/>
          <w:bCs w:val="0"/>
        </w:rPr>
        <w:t>出决算表</w:t>
      </w:r>
      <w:bookmarkEnd w:id="298"/>
      <w:bookmarkEnd w:id="299"/>
    </w:p>
    <w:p w14:paraId="4BFFA2A6">
      <w:pPr>
        <w:pStyle w:val="3"/>
        <w:rPr>
          <w:rFonts w:ascii="仿宋_GB2312" w:hAnsi="仿宋_GB2312" w:eastAsia="仿宋_GB2312" w:cs="仿宋_GB2312"/>
          <w:b w:val="0"/>
        </w:rPr>
      </w:pPr>
      <w:bookmarkStart w:id="300" w:name="_Toc15396622"/>
      <w:bookmarkStart w:id="301" w:name="_Toc23872"/>
      <w:r>
        <w:rPr>
          <w:rStyle w:val="22"/>
          <w:rFonts w:hint="eastAsia" w:ascii="仿宋_GB2312" w:hAnsi="仿宋_GB2312" w:eastAsia="仿宋_GB2312" w:cs="仿宋_GB2312"/>
          <w:b w:val="0"/>
          <w:bCs w:val="0"/>
        </w:rPr>
        <w:t>四、</w:t>
      </w:r>
      <w:r>
        <w:rPr>
          <w:rFonts w:hint="eastAsia" w:ascii="仿宋_GB2312" w:hAnsi="仿宋_GB2312" w:eastAsia="仿宋_GB2312" w:cs="仿宋_GB2312"/>
          <w:b w:val="0"/>
        </w:rPr>
        <w:t>财</w:t>
      </w:r>
      <w:r>
        <w:rPr>
          <w:rStyle w:val="22"/>
          <w:rFonts w:hint="eastAsia" w:ascii="仿宋_GB2312" w:hAnsi="仿宋_GB2312" w:eastAsia="仿宋_GB2312" w:cs="仿宋_GB2312"/>
          <w:b w:val="0"/>
          <w:bCs w:val="0"/>
        </w:rPr>
        <w:t>政拨款收入支出决算总表</w:t>
      </w:r>
      <w:bookmarkEnd w:id="300"/>
      <w:bookmarkEnd w:id="301"/>
    </w:p>
    <w:p w14:paraId="7D542340">
      <w:pPr>
        <w:pStyle w:val="3"/>
        <w:rPr>
          <w:rStyle w:val="22"/>
          <w:rFonts w:ascii="仿宋_GB2312" w:hAnsi="仿宋_GB2312" w:eastAsia="仿宋_GB2312" w:cs="仿宋_GB2312"/>
          <w:b w:val="0"/>
          <w:bCs w:val="0"/>
        </w:rPr>
      </w:pPr>
      <w:bookmarkStart w:id="302" w:name="_Toc15396623"/>
      <w:bookmarkStart w:id="303" w:name="_Toc22241"/>
      <w:r>
        <w:rPr>
          <w:rStyle w:val="22"/>
          <w:rFonts w:hint="eastAsia" w:ascii="仿宋_GB2312" w:hAnsi="仿宋_GB2312" w:eastAsia="仿宋_GB2312" w:cs="仿宋_GB2312"/>
          <w:b w:val="0"/>
          <w:bCs w:val="0"/>
        </w:rPr>
        <w:t>五、</w:t>
      </w:r>
      <w:r>
        <w:rPr>
          <w:rFonts w:hint="eastAsia" w:ascii="仿宋_GB2312" w:hAnsi="仿宋_GB2312" w:eastAsia="仿宋_GB2312" w:cs="仿宋_GB2312"/>
          <w:b w:val="0"/>
        </w:rPr>
        <w:t>财</w:t>
      </w:r>
      <w:r>
        <w:rPr>
          <w:rStyle w:val="22"/>
          <w:rFonts w:hint="eastAsia" w:ascii="仿宋_GB2312" w:hAnsi="仿宋_GB2312" w:eastAsia="仿宋_GB2312" w:cs="仿宋_GB2312"/>
          <w:b w:val="0"/>
          <w:bCs w:val="0"/>
        </w:rPr>
        <w:t>政拨款支出决算明细表</w:t>
      </w:r>
      <w:bookmarkEnd w:id="302"/>
      <w:bookmarkEnd w:id="303"/>
      <w:bookmarkStart w:id="304" w:name="_Toc15396624"/>
    </w:p>
    <w:p w14:paraId="2150D83C">
      <w:pPr>
        <w:pStyle w:val="3"/>
        <w:rPr>
          <w:rFonts w:ascii="仿宋_GB2312" w:hAnsi="仿宋_GB2312" w:eastAsia="仿宋_GB2312" w:cs="仿宋_GB2312"/>
        </w:rPr>
      </w:pPr>
      <w:bookmarkStart w:id="305" w:name="_Toc32064"/>
      <w:r>
        <w:rPr>
          <w:rStyle w:val="22"/>
          <w:rFonts w:hint="eastAsia" w:ascii="仿宋_GB2312" w:hAnsi="仿宋_GB2312" w:eastAsia="仿宋_GB2312" w:cs="仿宋_GB2312"/>
          <w:b w:val="0"/>
          <w:bCs w:val="0"/>
        </w:rPr>
        <w:t>六、</w:t>
      </w:r>
      <w:r>
        <w:rPr>
          <w:rFonts w:hint="eastAsia" w:ascii="仿宋_GB2312" w:hAnsi="仿宋_GB2312" w:eastAsia="仿宋_GB2312" w:cs="仿宋_GB2312"/>
          <w:b w:val="0"/>
        </w:rPr>
        <w:t>一</w:t>
      </w:r>
      <w:r>
        <w:rPr>
          <w:rStyle w:val="22"/>
          <w:rFonts w:hint="eastAsia" w:ascii="仿宋_GB2312" w:hAnsi="仿宋_GB2312" w:eastAsia="仿宋_GB2312" w:cs="仿宋_GB2312"/>
          <w:b w:val="0"/>
          <w:bCs w:val="0"/>
        </w:rPr>
        <w:t>般公共预算财政拨款支出决算表</w:t>
      </w:r>
      <w:bookmarkEnd w:id="304"/>
      <w:bookmarkEnd w:id="305"/>
    </w:p>
    <w:p w14:paraId="10813BB4">
      <w:pPr>
        <w:pStyle w:val="3"/>
        <w:rPr>
          <w:rFonts w:ascii="仿宋_GB2312" w:hAnsi="仿宋_GB2312" w:eastAsia="仿宋_GB2312" w:cs="仿宋_GB2312"/>
        </w:rPr>
      </w:pPr>
      <w:bookmarkStart w:id="306" w:name="_Toc15396625"/>
      <w:bookmarkStart w:id="307" w:name="_Toc32652"/>
      <w:r>
        <w:rPr>
          <w:rStyle w:val="22"/>
          <w:rFonts w:hint="eastAsia" w:ascii="仿宋_GB2312" w:hAnsi="仿宋_GB2312" w:eastAsia="仿宋_GB2312" w:cs="仿宋_GB2312"/>
          <w:b w:val="0"/>
          <w:bCs w:val="0"/>
        </w:rPr>
        <w:t>七、</w:t>
      </w:r>
      <w:r>
        <w:rPr>
          <w:rFonts w:hint="eastAsia" w:ascii="仿宋_GB2312" w:hAnsi="仿宋_GB2312" w:eastAsia="仿宋_GB2312" w:cs="仿宋_GB2312"/>
          <w:b w:val="0"/>
        </w:rPr>
        <w:t>一</w:t>
      </w:r>
      <w:r>
        <w:rPr>
          <w:rStyle w:val="22"/>
          <w:rFonts w:hint="eastAsia" w:ascii="仿宋_GB2312" w:hAnsi="仿宋_GB2312" w:eastAsia="仿宋_GB2312" w:cs="仿宋_GB2312"/>
          <w:b w:val="0"/>
          <w:bCs w:val="0"/>
        </w:rPr>
        <w:t>般公共预算财政拨款支出决算明细表</w:t>
      </w:r>
      <w:bookmarkEnd w:id="306"/>
      <w:bookmarkEnd w:id="307"/>
    </w:p>
    <w:p w14:paraId="20355EE1">
      <w:pPr>
        <w:pStyle w:val="3"/>
        <w:rPr>
          <w:rFonts w:ascii="仿宋_GB2312" w:hAnsi="仿宋_GB2312" w:eastAsia="仿宋_GB2312" w:cs="仿宋_GB2312"/>
        </w:rPr>
      </w:pPr>
      <w:bookmarkStart w:id="308" w:name="_Toc15396626"/>
      <w:bookmarkStart w:id="309" w:name="_Toc19162"/>
      <w:r>
        <w:rPr>
          <w:rStyle w:val="22"/>
          <w:rFonts w:hint="eastAsia" w:ascii="仿宋_GB2312" w:hAnsi="仿宋_GB2312" w:eastAsia="仿宋_GB2312" w:cs="仿宋_GB2312"/>
          <w:b w:val="0"/>
          <w:bCs w:val="0"/>
        </w:rPr>
        <w:t>八、</w:t>
      </w:r>
      <w:r>
        <w:rPr>
          <w:rFonts w:hint="eastAsia" w:ascii="仿宋_GB2312" w:hAnsi="仿宋_GB2312" w:eastAsia="仿宋_GB2312" w:cs="仿宋_GB2312"/>
          <w:b w:val="0"/>
        </w:rPr>
        <w:t>一</w:t>
      </w:r>
      <w:r>
        <w:rPr>
          <w:rStyle w:val="22"/>
          <w:rFonts w:hint="eastAsia" w:ascii="仿宋_GB2312" w:hAnsi="仿宋_GB2312" w:eastAsia="仿宋_GB2312" w:cs="仿宋_GB2312"/>
          <w:b w:val="0"/>
          <w:bCs w:val="0"/>
        </w:rPr>
        <w:t>般公共预算财政拨款基本支出决算表</w:t>
      </w:r>
      <w:bookmarkEnd w:id="308"/>
      <w:bookmarkEnd w:id="309"/>
    </w:p>
    <w:p w14:paraId="1256A9C1">
      <w:pPr>
        <w:pStyle w:val="3"/>
        <w:rPr>
          <w:rFonts w:ascii="仿宋_GB2312" w:hAnsi="仿宋_GB2312" w:eastAsia="仿宋_GB2312" w:cs="仿宋_GB2312"/>
        </w:rPr>
      </w:pPr>
      <w:bookmarkStart w:id="310" w:name="_Toc15396627"/>
      <w:bookmarkStart w:id="311" w:name="_Toc6922"/>
      <w:r>
        <w:rPr>
          <w:rStyle w:val="22"/>
          <w:rFonts w:hint="eastAsia" w:ascii="仿宋_GB2312" w:hAnsi="仿宋_GB2312" w:eastAsia="仿宋_GB2312" w:cs="仿宋_GB2312"/>
          <w:b w:val="0"/>
          <w:bCs w:val="0"/>
        </w:rPr>
        <w:t>九、</w:t>
      </w:r>
      <w:r>
        <w:rPr>
          <w:rFonts w:hint="eastAsia" w:ascii="仿宋_GB2312" w:hAnsi="仿宋_GB2312" w:eastAsia="仿宋_GB2312" w:cs="仿宋_GB2312"/>
          <w:b w:val="0"/>
        </w:rPr>
        <w:t>一</w:t>
      </w:r>
      <w:r>
        <w:rPr>
          <w:rStyle w:val="22"/>
          <w:rFonts w:hint="eastAsia" w:ascii="仿宋_GB2312" w:hAnsi="仿宋_GB2312" w:eastAsia="仿宋_GB2312" w:cs="仿宋_GB2312"/>
          <w:b w:val="0"/>
          <w:bCs w:val="0"/>
        </w:rPr>
        <w:t>般公共预算财政拨款项目支出决算表</w:t>
      </w:r>
      <w:bookmarkEnd w:id="310"/>
      <w:bookmarkEnd w:id="311"/>
    </w:p>
    <w:p w14:paraId="27437803">
      <w:pPr>
        <w:pStyle w:val="3"/>
        <w:rPr>
          <w:rFonts w:ascii="仿宋_GB2312" w:hAnsi="仿宋_GB2312" w:eastAsia="仿宋_GB2312" w:cs="仿宋_GB2312"/>
        </w:rPr>
      </w:pPr>
      <w:bookmarkStart w:id="312" w:name="_Toc15396628"/>
      <w:bookmarkStart w:id="313" w:name="_Toc23074"/>
      <w:r>
        <w:rPr>
          <w:rStyle w:val="22"/>
          <w:rFonts w:hint="eastAsia" w:ascii="仿宋_GB2312" w:hAnsi="仿宋_GB2312" w:eastAsia="仿宋_GB2312" w:cs="仿宋_GB2312"/>
          <w:b w:val="0"/>
          <w:bCs w:val="0"/>
        </w:rPr>
        <w:t>十、</w:t>
      </w:r>
      <w:bookmarkEnd w:id="312"/>
      <w:r>
        <w:rPr>
          <w:rFonts w:hint="eastAsia" w:ascii="仿宋_GB2312" w:hAnsi="仿宋_GB2312" w:eastAsia="仿宋_GB2312" w:cs="仿宋_GB2312"/>
          <w:b w:val="0"/>
        </w:rPr>
        <w:t>政</w:t>
      </w:r>
      <w:r>
        <w:rPr>
          <w:rStyle w:val="22"/>
          <w:rFonts w:hint="eastAsia" w:ascii="仿宋_GB2312" w:hAnsi="仿宋_GB2312" w:eastAsia="仿宋_GB2312" w:cs="仿宋_GB2312"/>
          <w:b w:val="0"/>
          <w:bCs w:val="0"/>
        </w:rPr>
        <w:t>府性基金预算财政拨款收入支出决算表</w:t>
      </w:r>
      <w:bookmarkEnd w:id="313"/>
    </w:p>
    <w:p w14:paraId="5F386595">
      <w:pPr>
        <w:pStyle w:val="3"/>
        <w:rPr>
          <w:rFonts w:ascii="仿宋_GB2312" w:hAnsi="仿宋_GB2312" w:eastAsia="仿宋_GB2312" w:cs="仿宋_GB2312"/>
        </w:rPr>
      </w:pPr>
      <w:bookmarkStart w:id="314" w:name="_Toc15396629"/>
      <w:bookmarkStart w:id="315" w:name="_Toc31768"/>
      <w:r>
        <w:rPr>
          <w:rStyle w:val="22"/>
          <w:rFonts w:hint="eastAsia" w:ascii="仿宋_GB2312" w:hAnsi="仿宋_GB2312" w:eastAsia="仿宋_GB2312" w:cs="仿宋_GB2312"/>
          <w:b w:val="0"/>
          <w:bCs w:val="0"/>
        </w:rPr>
        <w:t>十一、</w:t>
      </w:r>
      <w:bookmarkEnd w:id="314"/>
      <w:r>
        <w:rPr>
          <w:rFonts w:hint="eastAsia" w:ascii="仿宋_GB2312" w:hAnsi="仿宋_GB2312" w:eastAsia="仿宋_GB2312" w:cs="仿宋_GB2312"/>
          <w:b w:val="0"/>
        </w:rPr>
        <w:t>国</w:t>
      </w:r>
      <w:r>
        <w:rPr>
          <w:rStyle w:val="22"/>
          <w:rFonts w:hint="eastAsia" w:ascii="仿宋_GB2312" w:hAnsi="仿宋_GB2312" w:eastAsia="仿宋_GB2312" w:cs="仿宋_GB2312"/>
          <w:b w:val="0"/>
          <w:bCs w:val="0"/>
        </w:rPr>
        <w:t>有资本经营预算财政拨款收入支出决算表</w:t>
      </w:r>
      <w:bookmarkEnd w:id="315"/>
    </w:p>
    <w:p w14:paraId="59EC4A47">
      <w:pPr>
        <w:pStyle w:val="3"/>
        <w:rPr>
          <w:rFonts w:ascii="仿宋_GB2312" w:hAnsi="仿宋_GB2312" w:eastAsia="仿宋_GB2312" w:cs="仿宋_GB2312"/>
        </w:rPr>
      </w:pPr>
      <w:bookmarkStart w:id="316" w:name="_Toc15396630"/>
      <w:bookmarkStart w:id="317" w:name="_Toc28138"/>
      <w:r>
        <w:rPr>
          <w:rStyle w:val="22"/>
          <w:rFonts w:hint="eastAsia" w:ascii="仿宋_GB2312" w:hAnsi="仿宋_GB2312" w:eastAsia="仿宋_GB2312" w:cs="仿宋_GB2312"/>
          <w:b w:val="0"/>
          <w:bCs w:val="0"/>
        </w:rPr>
        <w:t>十二、</w:t>
      </w:r>
      <w:bookmarkEnd w:id="316"/>
      <w:r>
        <w:rPr>
          <w:rStyle w:val="22"/>
          <w:rFonts w:hint="eastAsia" w:ascii="仿宋_GB2312" w:hAnsi="仿宋_GB2312" w:eastAsia="仿宋_GB2312" w:cs="仿宋_GB2312"/>
          <w:b w:val="0"/>
          <w:bCs w:val="0"/>
        </w:rPr>
        <w:t>国有资本经营预算财政拨款支出决算表</w:t>
      </w:r>
      <w:bookmarkEnd w:id="317"/>
    </w:p>
    <w:p w14:paraId="5880BC0C">
      <w:pPr>
        <w:pStyle w:val="3"/>
        <w:rPr>
          <w:rStyle w:val="22"/>
          <w:rFonts w:ascii="仿宋_GB2312" w:hAnsi="仿宋_GB2312" w:eastAsia="仿宋_GB2312" w:cs="仿宋_GB2312"/>
          <w:b w:val="0"/>
          <w:bCs w:val="0"/>
        </w:rPr>
      </w:pPr>
      <w:bookmarkStart w:id="318" w:name="_Toc15396631"/>
      <w:bookmarkStart w:id="319" w:name="_Toc28936"/>
      <w:r>
        <w:rPr>
          <w:rStyle w:val="22"/>
          <w:rFonts w:hint="eastAsia" w:ascii="仿宋_GB2312" w:hAnsi="仿宋_GB2312" w:eastAsia="仿宋_GB2312" w:cs="仿宋_GB2312"/>
          <w:b w:val="0"/>
          <w:bCs w:val="0"/>
        </w:rPr>
        <w:t>十三、</w:t>
      </w:r>
      <w:bookmarkEnd w:id="318"/>
      <w:r>
        <w:rPr>
          <w:rStyle w:val="22"/>
          <w:rFonts w:hint="eastAsia" w:ascii="仿宋_GB2312" w:hAnsi="仿宋_GB2312" w:eastAsia="仿宋_GB2312" w:cs="仿宋_GB2312"/>
          <w:b w:val="0"/>
          <w:bCs w:val="0"/>
        </w:rPr>
        <w:t>财政拨款“三公”经费支出决算表</w:t>
      </w:r>
      <w:bookmarkEnd w:id="319"/>
    </w:p>
    <w:p w14:paraId="1E193A06">
      <w:pPr>
        <w:rPr>
          <w:rFonts w:ascii="仿宋_GB2312" w:hAnsi="仿宋_GB2312" w:eastAsia="仿宋_GB2312" w:cs="仿宋_GB2312"/>
        </w:rPr>
      </w:pPr>
    </w:p>
    <w:sectPr>
      <w:footerReference r:id="rId3" w:type="default"/>
      <w:pgSz w:w="11906" w:h="16838"/>
      <w:pgMar w:top="1440" w:right="1800" w:bottom="1440" w:left="1800" w:header="720" w:footer="720" w:gutter="0"/>
      <w:pgNumType w:fmt="decimal"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embedRegular r:id="rId1" w:fontKey="{74775AAC-DF3A-4021-9390-36748B9F2EBA}"/>
  </w:font>
  <w:font w:name="黑体">
    <w:panose1 w:val="02010609060101010101"/>
    <w:charset w:val="86"/>
    <w:family w:val="auto"/>
    <w:pitch w:val="default"/>
    <w:sig w:usb0="800002BF" w:usb1="38CF7CFA" w:usb2="00000016" w:usb3="00000000" w:csb0="00040001" w:csb1="00000000"/>
    <w:embedRegular r:id="rId2" w:fontKey="{735CF97A-CB6C-4F17-A125-6ED92294A738}"/>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embedRegular r:id="rId3" w:fontKey="{AD137A8F-2127-4A7A-B0EA-2C83B1386AC5}"/>
  </w:font>
  <w:font w:name="仿宋_GB2312">
    <w:panose1 w:val="02010609030101010101"/>
    <w:charset w:val="86"/>
    <w:family w:val="modern"/>
    <w:pitch w:val="default"/>
    <w:sig w:usb0="00000001" w:usb1="080E0000" w:usb2="00000000" w:usb3="00000000" w:csb0="00040000" w:csb1="00000000"/>
    <w:embedRegular r:id="rId4" w:fontKey="{548FD97F-944B-4700-93B7-A1CC29B050D3}"/>
  </w:font>
  <w:font w:name="仿宋">
    <w:panose1 w:val="02010609060101010101"/>
    <w:charset w:val="86"/>
    <w:family w:val="modern"/>
    <w:pitch w:val="default"/>
    <w:sig w:usb0="800002BF" w:usb1="38CF7CFA" w:usb2="00000016" w:usb3="00000000" w:csb0="00040001" w:csb1="00000000"/>
    <w:embedRegular r:id="rId5" w:fontKey="{07E4EECF-BE1C-4699-82F8-14B27FD76410}"/>
  </w:font>
  <w:font w:name="Liberation Sans">
    <w:altName w:val="华文中宋"/>
    <w:panose1 w:val="00000000000000000000"/>
    <w:charset w:val="00"/>
    <w:family w:val="swiss"/>
    <w:pitch w:val="default"/>
    <w:sig w:usb0="00000000" w:usb1="00000000" w:usb2="00000000" w:usb3="00000000" w:csb0="00040001" w:csb1="00000000"/>
  </w:font>
  <w:font w:name="Noto Sans CJK SC Regular">
    <w:altName w:val="宋体"/>
    <w:panose1 w:val="020B0500000000000000"/>
    <w:charset w:val="86"/>
    <w:family w:val="auto"/>
    <w:pitch w:val="default"/>
    <w:sig w:usb0="00000000" w:usb1="00000000" w:usb2="00000016" w:usb3="00000000" w:csb0="602E0107" w:csb1="00000000"/>
  </w:font>
  <w:font w:name="??">
    <w:altName w:val="Times New Roman"/>
    <w:panose1 w:val="00000000000000000000"/>
    <w:charset w:val="00"/>
    <w:family w:val="roman"/>
    <w:pitch w:val="default"/>
    <w:sig w:usb0="00000000" w:usb1="00000000" w:usb2="00000000" w:usb3="00000000" w:csb0="00040001" w:csb1="00000000"/>
  </w:font>
  <w:font w:name="方正小标宋简体">
    <w:panose1 w:val="03000509000000000000"/>
    <w:charset w:val="86"/>
    <w:family w:val="script"/>
    <w:pitch w:val="default"/>
    <w:sig w:usb0="00000001" w:usb1="080E0000" w:usb2="00000000" w:usb3="00000000" w:csb0="00040000" w:csb1="00000000"/>
    <w:embedRegular r:id="rId6" w:fontKey="{3C7C6F35-7668-49DE-B45C-5CB2CD82F370}"/>
  </w:font>
  <w:font w:name="楷体_GB2312">
    <w:altName w:val="楷体"/>
    <w:panose1 w:val="02010609030101010101"/>
    <w:charset w:val="86"/>
    <w:family w:val="modern"/>
    <w:pitch w:val="default"/>
    <w:sig w:usb0="00000000" w:usb1="00000000" w:usb2="00000000" w:usb3="00000000" w:csb0="00040000" w:csb1="00000000"/>
    <w:embedRegular r:id="rId7" w:fontKey="{6BD7E364-EE0B-4498-A210-DB74B11F9E87}"/>
  </w:font>
  <w:font w:name="Nimbus Roman No9 L">
    <w:altName w:val="Times New Roman"/>
    <w:panose1 w:val="00000000000000000000"/>
    <w:charset w:val="00"/>
    <w:family w:val="roman"/>
    <w:pitch w:val="default"/>
    <w:sig w:usb0="00000000" w:usb1="00000000" w:usb2="00000000" w:usb3="00000000" w:csb0="00000000" w:csb1="00000000"/>
    <w:embedRegular r:id="rId8" w:fontKey="{E3081485-DA22-4120-A467-04E3549A2C7C}"/>
  </w:font>
  <w:font w:name="??_GB2312">
    <w:altName w:val="Times New Roman"/>
    <w:panose1 w:val="00000000000000000000"/>
    <w:charset w:val="00"/>
    <w:family w:val="auto"/>
    <w:pitch w:val="default"/>
    <w:sig w:usb0="00000000" w:usb1="00000000" w:usb2="00000000" w:usb3="00000000" w:csb0="00000001" w:csb1="00000000"/>
  </w:font>
  <w:font w:name="Helvetica">
    <w:altName w:val="Arial"/>
    <w:panose1 w:val="020B0504020202020204"/>
    <w:charset w:val="00"/>
    <w:family w:val="swiss"/>
    <w:pitch w:val="default"/>
    <w:sig w:usb0="00000000" w:usb1="00000000" w:usb2="00000000" w:usb3="00000000" w:csb0="00000001" w:csb1="00000000"/>
    <w:embedRegular r:id="rId9" w:fontKey="{783F6A55-DEB9-4FBF-8E31-B94D9A39DD96}"/>
  </w:font>
  <w:font w:name="楷体">
    <w:panose1 w:val="02010609060101010101"/>
    <w:charset w:val="86"/>
    <w:family w:val="auto"/>
    <w:pitch w:val="default"/>
    <w:sig w:usb0="800002BF" w:usb1="38CF7CFA" w:usb2="00000016" w:usb3="00000000" w:csb0="00040001" w:csb1="00000000"/>
  </w:font>
  <w:font w:name="华文中宋">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BCA680">
    <w:pPr>
      <w:pStyle w:val="9"/>
      <w:jc w:val="center"/>
    </w:pPr>
    <w:r>
      <w:rPr>
        <w:sz w:val="18"/>
      </w:rPr>
      <w:pict>
        <v:shape id="_x0000_s4097" o:spid="_x0000_s4097"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v:imagedata o:title=""/>
          <o:lock v:ext="edit" aspectratio="f"/>
          <v:textbox inset="0mm,0mm,0mm,0mm" style="mso-fit-shape-to-text:t;">
            <w:txbxContent>
              <w:sdt>
                <w:sdtPr>
                  <w:id w:val="147457074"/>
                  <w:docPartObj>
                    <w:docPartGallery w:val="autotext"/>
                  </w:docPartObj>
                </w:sdtPr>
                <w:sdtContent>
                  <w:p w14:paraId="7734FEFA">
                    <w:pPr>
                      <w:pStyle w:val="9"/>
                      <w:jc w:val="center"/>
                    </w:pPr>
                    <w:r>
                      <w:fldChar w:fldCharType="begin"/>
                    </w:r>
                    <w:r>
                      <w:instrText xml:space="preserve"> PAGE   \* MERGEFORMAT </w:instrText>
                    </w:r>
                    <w:r>
                      <w:fldChar w:fldCharType="separate"/>
                    </w:r>
                    <w:r>
                      <w:rPr>
                        <w:lang w:val="zh-CN"/>
                      </w:rPr>
                      <w:t>3</w:t>
                    </w:r>
                    <w:r>
                      <w:rPr>
                        <w:lang w:val="zh-CN"/>
                      </w:rPr>
                      <w:fldChar w:fldCharType="end"/>
                    </w:r>
                  </w:p>
                </w:sdtContent>
              </w:sdt>
              <w:p w14:paraId="7D125D9C"/>
            </w:txbxContent>
          </v:textbox>
        </v:shape>
      </w:pict>
    </w:r>
  </w:p>
  <w:p w14:paraId="74817242">
    <w:pPr>
      <w:pStyle w:val="9"/>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8F20121"/>
    <w:multiLevelType w:val="singleLevel"/>
    <w:tmpl w:val="A8F20121"/>
    <w:lvl w:ilvl="0" w:tentative="0">
      <w:start w:val="2"/>
      <w:numFmt w:val="chineseCounting"/>
      <w:suff w:val="nothing"/>
      <w:lvlText w:val="（%1）"/>
      <w:lvlJc w:val="left"/>
      <w:rPr>
        <w:rFonts w:hint="eastAsia"/>
      </w:rPr>
    </w:lvl>
  </w:abstractNum>
  <w:abstractNum w:abstractNumId="1">
    <w:nsid w:val="CF652CEC"/>
    <w:multiLevelType w:val="singleLevel"/>
    <w:tmpl w:val="CF652CEC"/>
    <w:lvl w:ilvl="0" w:tentative="0">
      <w:start w:val="9"/>
      <w:numFmt w:val="chineseCounting"/>
      <w:suff w:val="nothing"/>
      <w:lvlText w:val="%1、"/>
      <w:lvlJc w:val="left"/>
      <w:rPr>
        <w:rFonts w:hint="eastAsia"/>
      </w:rPr>
    </w:lvl>
  </w:abstractNum>
  <w:abstractNum w:abstractNumId="2">
    <w:nsid w:val="E2FA047D"/>
    <w:multiLevelType w:val="singleLevel"/>
    <w:tmpl w:val="E2FA047D"/>
    <w:lvl w:ilvl="0" w:tentative="0">
      <w:start w:val="3"/>
      <w:numFmt w:val="chineseCounting"/>
      <w:suff w:val="space"/>
      <w:lvlText w:val="第%1部分"/>
      <w:lvlJc w:val="left"/>
      <w:rPr>
        <w:rFonts w:hint="eastAsia"/>
      </w:rPr>
    </w:lvl>
  </w:abstractNum>
  <w:abstractNum w:abstractNumId="3">
    <w:nsid w:val="E8462FF9"/>
    <w:multiLevelType w:val="singleLevel"/>
    <w:tmpl w:val="E8462FF9"/>
    <w:lvl w:ilvl="0" w:tentative="0">
      <w:start w:val="2"/>
      <w:numFmt w:val="chineseCounting"/>
      <w:suff w:val="nothing"/>
      <w:lvlText w:val="（%1）"/>
      <w:lvlJc w:val="left"/>
      <w:rPr>
        <w:rFonts w:hint="eastAsia"/>
      </w:rPr>
    </w:lvl>
  </w:abstractNum>
  <w:abstractNum w:abstractNumId="4">
    <w:nsid w:val="1272550B"/>
    <w:multiLevelType w:val="multilevel"/>
    <w:tmpl w:val="1272550B"/>
    <w:lvl w:ilvl="0" w:tentative="0">
      <w:start w:val="1"/>
      <w:numFmt w:val="japaneseCounting"/>
      <w:lvlText w:val="%1、"/>
      <w:lvlJc w:val="left"/>
      <w:pPr>
        <w:ind w:left="1360" w:hanging="720"/>
      </w:pPr>
      <w:rPr>
        <w:rFonts w:hint="default"/>
        <w:b w:val="0"/>
      </w:rPr>
    </w:lvl>
    <w:lvl w:ilvl="1" w:tentative="0">
      <w:start w:val="1"/>
      <w:numFmt w:val="lowerLetter"/>
      <w:lvlText w:val="%2)"/>
      <w:lvlJc w:val="left"/>
      <w:pPr>
        <w:ind w:left="1480" w:hanging="420"/>
      </w:pPr>
    </w:lvl>
    <w:lvl w:ilvl="2" w:tentative="0">
      <w:start w:val="1"/>
      <w:numFmt w:val="lowerRoman"/>
      <w:lvlText w:val="%3."/>
      <w:lvlJc w:val="right"/>
      <w:pPr>
        <w:ind w:left="1900" w:hanging="420"/>
      </w:pPr>
    </w:lvl>
    <w:lvl w:ilvl="3" w:tentative="0">
      <w:start w:val="1"/>
      <w:numFmt w:val="decimal"/>
      <w:lvlText w:val="%4."/>
      <w:lvlJc w:val="left"/>
      <w:pPr>
        <w:ind w:left="2320" w:hanging="420"/>
      </w:pPr>
    </w:lvl>
    <w:lvl w:ilvl="4" w:tentative="0">
      <w:start w:val="1"/>
      <w:numFmt w:val="lowerLetter"/>
      <w:lvlText w:val="%5)"/>
      <w:lvlJc w:val="left"/>
      <w:pPr>
        <w:ind w:left="2740" w:hanging="420"/>
      </w:pPr>
    </w:lvl>
    <w:lvl w:ilvl="5" w:tentative="0">
      <w:start w:val="1"/>
      <w:numFmt w:val="lowerRoman"/>
      <w:lvlText w:val="%6."/>
      <w:lvlJc w:val="right"/>
      <w:pPr>
        <w:ind w:left="3160" w:hanging="420"/>
      </w:pPr>
    </w:lvl>
    <w:lvl w:ilvl="6" w:tentative="0">
      <w:start w:val="1"/>
      <w:numFmt w:val="decimal"/>
      <w:lvlText w:val="%7."/>
      <w:lvlJc w:val="left"/>
      <w:pPr>
        <w:ind w:left="3580" w:hanging="420"/>
      </w:pPr>
    </w:lvl>
    <w:lvl w:ilvl="7" w:tentative="0">
      <w:start w:val="1"/>
      <w:numFmt w:val="lowerLetter"/>
      <w:lvlText w:val="%8)"/>
      <w:lvlJc w:val="left"/>
      <w:pPr>
        <w:ind w:left="4000" w:hanging="420"/>
      </w:pPr>
    </w:lvl>
    <w:lvl w:ilvl="8" w:tentative="0">
      <w:start w:val="1"/>
      <w:numFmt w:val="lowerRoman"/>
      <w:lvlText w:val="%9."/>
      <w:lvlJc w:val="right"/>
      <w:pPr>
        <w:ind w:left="4420" w:hanging="420"/>
      </w:pPr>
    </w:lvl>
  </w:abstractNum>
  <w:abstractNum w:abstractNumId="5">
    <w:nsid w:val="1D80AD96"/>
    <w:multiLevelType w:val="singleLevel"/>
    <w:tmpl w:val="1D80AD96"/>
    <w:lvl w:ilvl="0" w:tentative="0">
      <w:start w:val="3"/>
      <w:numFmt w:val="chineseCounting"/>
      <w:suff w:val="nothing"/>
      <w:lvlText w:val="（%1）"/>
      <w:lvlJc w:val="left"/>
      <w:rPr>
        <w:rFonts w:hint="eastAsia"/>
      </w:rPr>
    </w:lvl>
  </w:abstractNum>
  <w:abstractNum w:abstractNumId="6">
    <w:nsid w:val="41A368E9"/>
    <w:multiLevelType w:val="singleLevel"/>
    <w:tmpl w:val="41A368E9"/>
    <w:lvl w:ilvl="0" w:tentative="0">
      <w:start w:val="2"/>
      <w:numFmt w:val="decimal"/>
      <w:suff w:val="nothing"/>
      <w:lvlText w:val="（%1）"/>
      <w:lvlJc w:val="left"/>
    </w:lvl>
  </w:abstractNum>
  <w:abstractNum w:abstractNumId="7">
    <w:nsid w:val="5DEEB84D"/>
    <w:multiLevelType w:val="singleLevel"/>
    <w:tmpl w:val="5DEEB84D"/>
    <w:lvl w:ilvl="0" w:tentative="0">
      <w:start w:val="2"/>
      <w:numFmt w:val="chineseCounting"/>
      <w:suff w:val="nothing"/>
      <w:lvlText w:val="（%1）"/>
      <w:lvlJc w:val="left"/>
      <w:rPr>
        <w:rFonts w:hint="eastAsia"/>
      </w:rPr>
    </w:lvl>
  </w:abstractNum>
  <w:abstractNum w:abstractNumId="8">
    <w:nsid w:val="62473387"/>
    <w:multiLevelType w:val="singleLevel"/>
    <w:tmpl w:val="62473387"/>
    <w:lvl w:ilvl="0" w:tentative="0">
      <w:start w:val="4"/>
      <w:numFmt w:val="chineseCounting"/>
      <w:suff w:val="nothing"/>
      <w:lvlText w:val="（%1）"/>
      <w:lvlJc w:val="left"/>
      <w:rPr>
        <w:rFonts w:hint="eastAsia"/>
      </w:rPr>
    </w:lvl>
  </w:abstractNum>
  <w:abstractNum w:abstractNumId="9">
    <w:nsid w:val="62621CDC"/>
    <w:multiLevelType w:val="multilevel"/>
    <w:tmpl w:val="62621CDC"/>
    <w:lvl w:ilvl="0" w:tentative="0">
      <w:start w:val="1"/>
      <w:numFmt w:val="decimal"/>
      <w:lvlText w:val="%1."/>
      <w:lvlJc w:val="left"/>
      <w:pPr>
        <w:ind w:left="1152" w:hanging="480"/>
      </w:pPr>
      <w:rPr>
        <w:rFonts w:hint="default"/>
      </w:rPr>
    </w:lvl>
    <w:lvl w:ilvl="1" w:tentative="0">
      <w:start w:val="1"/>
      <w:numFmt w:val="lowerLetter"/>
      <w:lvlText w:val="%2)"/>
      <w:lvlJc w:val="left"/>
      <w:pPr>
        <w:ind w:left="1512" w:hanging="420"/>
      </w:pPr>
    </w:lvl>
    <w:lvl w:ilvl="2" w:tentative="0">
      <w:start w:val="1"/>
      <w:numFmt w:val="lowerRoman"/>
      <w:lvlText w:val="%3."/>
      <w:lvlJc w:val="right"/>
      <w:pPr>
        <w:ind w:left="1932" w:hanging="420"/>
      </w:pPr>
    </w:lvl>
    <w:lvl w:ilvl="3" w:tentative="0">
      <w:start w:val="1"/>
      <w:numFmt w:val="decimal"/>
      <w:lvlText w:val="%4."/>
      <w:lvlJc w:val="left"/>
      <w:pPr>
        <w:ind w:left="2352" w:hanging="420"/>
      </w:pPr>
    </w:lvl>
    <w:lvl w:ilvl="4" w:tentative="0">
      <w:start w:val="1"/>
      <w:numFmt w:val="lowerLetter"/>
      <w:lvlText w:val="%5)"/>
      <w:lvlJc w:val="left"/>
      <w:pPr>
        <w:ind w:left="2772" w:hanging="420"/>
      </w:pPr>
    </w:lvl>
    <w:lvl w:ilvl="5" w:tentative="0">
      <w:start w:val="1"/>
      <w:numFmt w:val="lowerRoman"/>
      <w:lvlText w:val="%6."/>
      <w:lvlJc w:val="right"/>
      <w:pPr>
        <w:ind w:left="3192" w:hanging="420"/>
      </w:pPr>
    </w:lvl>
    <w:lvl w:ilvl="6" w:tentative="0">
      <w:start w:val="1"/>
      <w:numFmt w:val="decimal"/>
      <w:lvlText w:val="%7."/>
      <w:lvlJc w:val="left"/>
      <w:pPr>
        <w:ind w:left="3612" w:hanging="420"/>
      </w:pPr>
    </w:lvl>
    <w:lvl w:ilvl="7" w:tentative="0">
      <w:start w:val="1"/>
      <w:numFmt w:val="lowerLetter"/>
      <w:lvlText w:val="%8)"/>
      <w:lvlJc w:val="left"/>
      <w:pPr>
        <w:ind w:left="4032" w:hanging="420"/>
      </w:pPr>
    </w:lvl>
    <w:lvl w:ilvl="8" w:tentative="0">
      <w:start w:val="1"/>
      <w:numFmt w:val="lowerRoman"/>
      <w:lvlText w:val="%9."/>
      <w:lvlJc w:val="right"/>
      <w:pPr>
        <w:ind w:left="4452" w:hanging="420"/>
      </w:pPr>
    </w:lvl>
  </w:abstractNum>
  <w:abstractNum w:abstractNumId="10">
    <w:nsid w:val="669DBF8F"/>
    <w:multiLevelType w:val="singleLevel"/>
    <w:tmpl w:val="669DBF8F"/>
    <w:lvl w:ilvl="0" w:tentative="0">
      <w:start w:val="2"/>
      <w:numFmt w:val="chineseCounting"/>
      <w:suff w:val="nothing"/>
      <w:lvlText w:val="（%1）"/>
      <w:lvlJc w:val="left"/>
      <w:rPr>
        <w:b/>
      </w:rPr>
    </w:lvl>
  </w:abstractNum>
  <w:num w:numId="1">
    <w:abstractNumId w:val="9"/>
  </w:num>
  <w:num w:numId="2">
    <w:abstractNumId w:val="4"/>
  </w:num>
  <w:num w:numId="3">
    <w:abstractNumId w:val="1"/>
  </w:num>
  <w:num w:numId="4">
    <w:abstractNumId w:val="2"/>
  </w:num>
  <w:num w:numId="5">
    <w:abstractNumId w:val="6"/>
  </w:num>
  <w:num w:numId="6">
    <w:abstractNumId w:val="10"/>
  </w:num>
  <w:num w:numId="7">
    <w:abstractNumId w:val="0"/>
  </w:num>
  <w:num w:numId="8">
    <w:abstractNumId w:val="5"/>
  </w:num>
  <w:num w:numId="9">
    <w:abstractNumId w:val="8"/>
  </w:num>
  <w:num w:numId="10">
    <w:abstractNumId w:val="7"/>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embedTrueTypeFonts/>
  <w:saveSubsetFonts/>
  <w:bordersDoNotSurroundHeader w:val="1"/>
  <w:bordersDoNotSurroundFooter w:val="1"/>
  <w:hideSpellingErrors/>
  <w:documentProtection w:enforcement="0"/>
  <w:defaultTabStop w:val="420"/>
  <w:drawingGridHorizontalSpacing w:val="1"/>
  <w:drawingGridVerticalSpacing w:val="1"/>
  <w:displayHorizontalDrawingGridEvery w:val="0"/>
  <w:displayVerticalDrawingGridEvery w:val="0"/>
  <w:doNotUseMarginsForDrawingGridOrigin w:val="1"/>
  <w:drawingGridHorizontalOrigin w:val="0"/>
  <w:drawingGridVerticalOrigin w:val="0"/>
  <w:characterSpacingControl w:val="compressPunctuation"/>
  <w:doNotValidateAgainstSchema/>
  <w:doNotDemarcateInvalidXml/>
  <w:hdrShapeDefaults>
    <o:shapelayout v:ext="edit">
      <o:idmap v:ext="edit" data="3,4"/>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YzRjNzRhMGFmMzM4YmU0NjA1ZDA4YTc5ZjM5YzNhMjgifQ=="/>
  </w:docVars>
  <w:rsids>
    <w:rsidRoot w:val="003D378E"/>
    <w:rsid w:val="00006B8E"/>
    <w:rsid w:val="0001671A"/>
    <w:rsid w:val="00016930"/>
    <w:rsid w:val="00020ECA"/>
    <w:rsid w:val="0003255C"/>
    <w:rsid w:val="0006245C"/>
    <w:rsid w:val="00062D41"/>
    <w:rsid w:val="000675BD"/>
    <w:rsid w:val="0009267E"/>
    <w:rsid w:val="000A19DB"/>
    <w:rsid w:val="000A2A38"/>
    <w:rsid w:val="000B0E80"/>
    <w:rsid w:val="000B146C"/>
    <w:rsid w:val="000B49FF"/>
    <w:rsid w:val="000C11EA"/>
    <w:rsid w:val="000C280E"/>
    <w:rsid w:val="000D3974"/>
    <w:rsid w:val="000E7B50"/>
    <w:rsid w:val="001376CE"/>
    <w:rsid w:val="00145CB2"/>
    <w:rsid w:val="00153D38"/>
    <w:rsid w:val="00172E73"/>
    <w:rsid w:val="00175349"/>
    <w:rsid w:val="001837D5"/>
    <w:rsid w:val="001915CB"/>
    <w:rsid w:val="00196ADD"/>
    <w:rsid w:val="00197254"/>
    <w:rsid w:val="001A55AC"/>
    <w:rsid w:val="001A60E7"/>
    <w:rsid w:val="001B41AB"/>
    <w:rsid w:val="001C3EC6"/>
    <w:rsid w:val="001C69F2"/>
    <w:rsid w:val="001D3F40"/>
    <w:rsid w:val="001E4A19"/>
    <w:rsid w:val="0023114E"/>
    <w:rsid w:val="002335B7"/>
    <w:rsid w:val="002617CB"/>
    <w:rsid w:val="0026433C"/>
    <w:rsid w:val="002C1939"/>
    <w:rsid w:val="002C6D1E"/>
    <w:rsid w:val="002D6C38"/>
    <w:rsid w:val="002E05CE"/>
    <w:rsid w:val="002E7C34"/>
    <w:rsid w:val="002E7D29"/>
    <w:rsid w:val="002F5F3F"/>
    <w:rsid w:val="0030584A"/>
    <w:rsid w:val="00321A78"/>
    <w:rsid w:val="00333657"/>
    <w:rsid w:val="00345F9D"/>
    <w:rsid w:val="00360C80"/>
    <w:rsid w:val="003644E3"/>
    <w:rsid w:val="00382C49"/>
    <w:rsid w:val="003A62F7"/>
    <w:rsid w:val="003B0418"/>
    <w:rsid w:val="003C0267"/>
    <w:rsid w:val="003C0B9B"/>
    <w:rsid w:val="003D340D"/>
    <w:rsid w:val="003D378E"/>
    <w:rsid w:val="003E253F"/>
    <w:rsid w:val="00403F08"/>
    <w:rsid w:val="00412B47"/>
    <w:rsid w:val="0042159A"/>
    <w:rsid w:val="004268B8"/>
    <w:rsid w:val="00443C7A"/>
    <w:rsid w:val="004531D0"/>
    <w:rsid w:val="004545C5"/>
    <w:rsid w:val="00461D59"/>
    <w:rsid w:val="004A3058"/>
    <w:rsid w:val="004B1C48"/>
    <w:rsid w:val="004B3933"/>
    <w:rsid w:val="004B6339"/>
    <w:rsid w:val="004E1A7E"/>
    <w:rsid w:val="004E2179"/>
    <w:rsid w:val="004E28EC"/>
    <w:rsid w:val="004E6104"/>
    <w:rsid w:val="00520846"/>
    <w:rsid w:val="00537F67"/>
    <w:rsid w:val="005408C7"/>
    <w:rsid w:val="005455EE"/>
    <w:rsid w:val="00553C3D"/>
    <w:rsid w:val="00557F17"/>
    <w:rsid w:val="00587735"/>
    <w:rsid w:val="005B7159"/>
    <w:rsid w:val="005C3188"/>
    <w:rsid w:val="005D628D"/>
    <w:rsid w:val="005F2838"/>
    <w:rsid w:val="00613109"/>
    <w:rsid w:val="00627B2B"/>
    <w:rsid w:val="00637606"/>
    <w:rsid w:val="00642323"/>
    <w:rsid w:val="00652B90"/>
    <w:rsid w:val="00653E9C"/>
    <w:rsid w:val="006631AF"/>
    <w:rsid w:val="00677728"/>
    <w:rsid w:val="006B1AC2"/>
    <w:rsid w:val="006B6092"/>
    <w:rsid w:val="006D3974"/>
    <w:rsid w:val="00717884"/>
    <w:rsid w:val="00733C32"/>
    <w:rsid w:val="00745769"/>
    <w:rsid w:val="0078005D"/>
    <w:rsid w:val="007A0174"/>
    <w:rsid w:val="007B6FB2"/>
    <w:rsid w:val="007D0D92"/>
    <w:rsid w:val="007E78A9"/>
    <w:rsid w:val="00821A09"/>
    <w:rsid w:val="008332DF"/>
    <w:rsid w:val="00837398"/>
    <w:rsid w:val="0084004C"/>
    <w:rsid w:val="00842E9C"/>
    <w:rsid w:val="008578CD"/>
    <w:rsid w:val="00874179"/>
    <w:rsid w:val="00883F04"/>
    <w:rsid w:val="008A6E0E"/>
    <w:rsid w:val="008B062C"/>
    <w:rsid w:val="008E203E"/>
    <w:rsid w:val="008F5C57"/>
    <w:rsid w:val="008F7E4A"/>
    <w:rsid w:val="0092158E"/>
    <w:rsid w:val="00947BD9"/>
    <w:rsid w:val="0095072C"/>
    <w:rsid w:val="00951E72"/>
    <w:rsid w:val="0099779C"/>
    <w:rsid w:val="009A04C0"/>
    <w:rsid w:val="009A4809"/>
    <w:rsid w:val="009A7C74"/>
    <w:rsid w:val="009B7A96"/>
    <w:rsid w:val="009C45C6"/>
    <w:rsid w:val="009D238D"/>
    <w:rsid w:val="009D271A"/>
    <w:rsid w:val="009E5639"/>
    <w:rsid w:val="009F6B48"/>
    <w:rsid w:val="00A070F9"/>
    <w:rsid w:val="00A1688F"/>
    <w:rsid w:val="00A21F05"/>
    <w:rsid w:val="00A32ABF"/>
    <w:rsid w:val="00A3543B"/>
    <w:rsid w:val="00A56913"/>
    <w:rsid w:val="00A727CD"/>
    <w:rsid w:val="00A741E9"/>
    <w:rsid w:val="00A74632"/>
    <w:rsid w:val="00A81086"/>
    <w:rsid w:val="00A911F9"/>
    <w:rsid w:val="00A93AB5"/>
    <w:rsid w:val="00A976E9"/>
    <w:rsid w:val="00AC3986"/>
    <w:rsid w:val="00AC3B9B"/>
    <w:rsid w:val="00AE770D"/>
    <w:rsid w:val="00AF4285"/>
    <w:rsid w:val="00B071B4"/>
    <w:rsid w:val="00B26214"/>
    <w:rsid w:val="00B31319"/>
    <w:rsid w:val="00B50EBE"/>
    <w:rsid w:val="00B60C0F"/>
    <w:rsid w:val="00B66ABB"/>
    <w:rsid w:val="00BB0AD2"/>
    <w:rsid w:val="00BC1874"/>
    <w:rsid w:val="00BC2B21"/>
    <w:rsid w:val="00BD579D"/>
    <w:rsid w:val="00BE448D"/>
    <w:rsid w:val="00C00BD8"/>
    <w:rsid w:val="00C112EE"/>
    <w:rsid w:val="00C43D13"/>
    <w:rsid w:val="00C665E6"/>
    <w:rsid w:val="00C670EE"/>
    <w:rsid w:val="00CC7D04"/>
    <w:rsid w:val="00CD1DF2"/>
    <w:rsid w:val="00CD6B96"/>
    <w:rsid w:val="00CE00D4"/>
    <w:rsid w:val="00CE2C1D"/>
    <w:rsid w:val="00CE3F67"/>
    <w:rsid w:val="00D407F2"/>
    <w:rsid w:val="00D42BBD"/>
    <w:rsid w:val="00D72DC2"/>
    <w:rsid w:val="00DD255B"/>
    <w:rsid w:val="00E10140"/>
    <w:rsid w:val="00E22B2C"/>
    <w:rsid w:val="00E251E0"/>
    <w:rsid w:val="00E340C5"/>
    <w:rsid w:val="00E54418"/>
    <w:rsid w:val="00E6673A"/>
    <w:rsid w:val="00E71EEE"/>
    <w:rsid w:val="00EA1BE5"/>
    <w:rsid w:val="00EA61AD"/>
    <w:rsid w:val="00EB73C7"/>
    <w:rsid w:val="00ED54FE"/>
    <w:rsid w:val="00EE02AA"/>
    <w:rsid w:val="00F01A48"/>
    <w:rsid w:val="00FA4E53"/>
    <w:rsid w:val="00FB3C21"/>
    <w:rsid w:val="00FF010F"/>
    <w:rsid w:val="015C2B93"/>
    <w:rsid w:val="033E4BBF"/>
    <w:rsid w:val="03A857EB"/>
    <w:rsid w:val="053C512E"/>
    <w:rsid w:val="05CC21C6"/>
    <w:rsid w:val="06191AF2"/>
    <w:rsid w:val="06500E91"/>
    <w:rsid w:val="074D3623"/>
    <w:rsid w:val="076D15CF"/>
    <w:rsid w:val="077B7F68"/>
    <w:rsid w:val="079D1B5F"/>
    <w:rsid w:val="07BD6329"/>
    <w:rsid w:val="09840E52"/>
    <w:rsid w:val="09E162A4"/>
    <w:rsid w:val="09FD26D1"/>
    <w:rsid w:val="0A153CA9"/>
    <w:rsid w:val="0A6D7B38"/>
    <w:rsid w:val="0B1701D0"/>
    <w:rsid w:val="0B3A252C"/>
    <w:rsid w:val="0BDC6648"/>
    <w:rsid w:val="0BFF4052"/>
    <w:rsid w:val="0D3F097E"/>
    <w:rsid w:val="0D447276"/>
    <w:rsid w:val="0D49663A"/>
    <w:rsid w:val="0DCA01DB"/>
    <w:rsid w:val="0DD25472"/>
    <w:rsid w:val="0E372F95"/>
    <w:rsid w:val="0EAF4BC3"/>
    <w:rsid w:val="0FD0658C"/>
    <w:rsid w:val="0FD3043D"/>
    <w:rsid w:val="118934A9"/>
    <w:rsid w:val="11D02F4B"/>
    <w:rsid w:val="11EA1A5C"/>
    <w:rsid w:val="13177246"/>
    <w:rsid w:val="136715C8"/>
    <w:rsid w:val="13A7614A"/>
    <w:rsid w:val="154A0474"/>
    <w:rsid w:val="15792E8D"/>
    <w:rsid w:val="16022514"/>
    <w:rsid w:val="1692367E"/>
    <w:rsid w:val="16F47617"/>
    <w:rsid w:val="183B1275"/>
    <w:rsid w:val="18664544"/>
    <w:rsid w:val="187327BD"/>
    <w:rsid w:val="1977452F"/>
    <w:rsid w:val="197821ED"/>
    <w:rsid w:val="1A2735AF"/>
    <w:rsid w:val="1B79458F"/>
    <w:rsid w:val="1BD143CB"/>
    <w:rsid w:val="1BDD2D6F"/>
    <w:rsid w:val="1C7A41DB"/>
    <w:rsid w:val="1C8651B5"/>
    <w:rsid w:val="1D5F77B4"/>
    <w:rsid w:val="1E682698"/>
    <w:rsid w:val="1E7777B5"/>
    <w:rsid w:val="1F08701F"/>
    <w:rsid w:val="200F4073"/>
    <w:rsid w:val="20713A86"/>
    <w:rsid w:val="21186AE5"/>
    <w:rsid w:val="21201E54"/>
    <w:rsid w:val="218849EB"/>
    <w:rsid w:val="21957C48"/>
    <w:rsid w:val="22D447A0"/>
    <w:rsid w:val="24864E85"/>
    <w:rsid w:val="24B7634F"/>
    <w:rsid w:val="24D80578"/>
    <w:rsid w:val="24DA76D0"/>
    <w:rsid w:val="267B5E3B"/>
    <w:rsid w:val="26F50752"/>
    <w:rsid w:val="270E64D3"/>
    <w:rsid w:val="27AE736E"/>
    <w:rsid w:val="27E01AED"/>
    <w:rsid w:val="27EF7B95"/>
    <w:rsid w:val="283642C0"/>
    <w:rsid w:val="285048C9"/>
    <w:rsid w:val="28B76C59"/>
    <w:rsid w:val="2AD62479"/>
    <w:rsid w:val="2B78337E"/>
    <w:rsid w:val="2B7B675B"/>
    <w:rsid w:val="2B8F71E0"/>
    <w:rsid w:val="2BAD264D"/>
    <w:rsid w:val="2BAF7B59"/>
    <w:rsid w:val="2BC511C1"/>
    <w:rsid w:val="2BD27D8D"/>
    <w:rsid w:val="2C620D1D"/>
    <w:rsid w:val="2C725028"/>
    <w:rsid w:val="2C8B7F33"/>
    <w:rsid w:val="2DB243A2"/>
    <w:rsid w:val="2DCA0C7A"/>
    <w:rsid w:val="2E314855"/>
    <w:rsid w:val="2F1D3097"/>
    <w:rsid w:val="2F5E78CC"/>
    <w:rsid w:val="308C5D5A"/>
    <w:rsid w:val="315A0567"/>
    <w:rsid w:val="316F641C"/>
    <w:rsid w:val="31B7686C"/>
    <w:rsid w:val="31BB1552"/>
    <w:rsid w:val="31DB5204"/>
    <w:rsid w:val="323100F1"/>
    <w:rsid w:val="328B4E7C"/>
    <w:rsid w:val="344F30D6"/>
    <w:rsid w:val="34A2025B"/>
    <w:rsid w:val="34F8431E"/>
    <w:rsid w:val="36FBCD81"/>
    <w:rsid w:val="3941687A"/>
    <w:rsid w:val="3A1F234D"/>
    <w:rsid w:val="3A3B7EBF"/>
    <w:rsid w:val="3AA7481D"/>
    <w:rsid w:val="3ABD5DEE"/>
    <w:rsid w:val="3AEC0481"/>
    <w:rsid w:val="3B8406BA"/>
    <w:rsid w:val="3B8F70FB"/>
    <w:rsid w:val="3BB371F1"/>
    <w:rsid w:val="3C5462DE"/>
    <w:rsid w:val="3C78777C"/>
    <w:rsid w:val="3C9963E7"/>
    <w:rsid w:val="3D29776B"/>
    <w:rsid w:val="3E0D55E6"/>
    <w:rsid w:val="3E4A5950"/>
    <w:rsid w:val="3E99784E"/>
    <w:rsid w:val="40203AB3"/>
    <w:rsid w:val="40B05AAD"/>
    <w:rsid w:val="41200E85"/>
    <w:rsid w:val="42024A2E"/>
    <w:rsid w:val="42B36F6A"/>
    <w:rsid w:val="42B775C7"/>
    <w:rsid w:val="44605C18"/>
    <w:rsid w:val="44B32010"/>
    <w:rsid w:val="465E66B3"/>
    <w:rsid w:val="468B4FF2"/>
    <w:rsid w:val="469D0882"/>
    <w:rsid w:val="47A27A39"/>
    <w:rsid w:val="47AB6FCE"/>
    <w:rsid w:val="482870B2"/>
    <w:rsid w:val="48F42222"/>
    <w:rsid w:val="49DC5B65"/>
    <w:rsid w:val="4BB173AB"/>
    <w:rsid w:val="4BCD40B9"/>
    <w:rsid w:val="4C9E30C2"/>
    <w:rsid w:val="4D752558"/>
    <w:rsid w:val="4D7A1077"/>
    <w:rsid w:val="4D823D68"/>
    <w:rsid w:val="4ED80DF5"/>
    <w:rsid w:val="4F7226C3"/>
    <w:rsid w:val="4FA15887"/>
    <w:rsid w:val="50616DC4"/>
    <w:rsid w:val="50DB030E"/>
    <w:rsid w:val="51782617"/>
    <w:rsid w:val="51877C26"/>
    <w:rsid w:val="51F15515"/>
    <w:rsid w:val="53037122"/>
    <w:rsid w:val="53270C19"/>
    <w:rsid w:val="536A41E2"/>
    <w:rsid w:val="53726EA3"/>
    <w:rsid w:val="53C2713E"/>
    <w:rsid w:val="55AF05D2"/>
    <w:rsid w:val="55EC02DB"/>
    <w:rsid w:val="5605325D"/>
    <w:rsid w:val="561641AD"/>
    <w:rsid w:val="5627460C"/>
    <w:rsid w:val="566D337D"/>
    <w:rsid w:val="56B539C6"/>
    <w:rsid w:val="56CC7180"/>
    <w:rsid w:val="58613E05"/>
    <w:rsid w:val="59044790"/>
    <w:rsid w:val="592B61C1"/>
    <w:rsid w:val="5933590A"/>
    <w:rsid w:val="59C57532"/>
    <w:rsid w:val="5B0E7B48"/>
    <w:rsid w:val="5BA02E96"/>
    <w:rsid w:val="5BBD41C5"/>
    <w:rsid w:val="5BDB5C7C"/>
    <w:rsid w:val="5CAB1AF3"/>
    <w:rsid w:val="5EC155FD"/>
    <w:rsid w:val="62594593"/>
    <w:rsid w:val="63F7395E"/>
    <w:rsid w:val="661A06AB"/>
    <w:rsid w:val="66246472"/>
    <w:rsid w:val="66B8278B"/>
    <w:rsid w:val="67D700A7"/>
    <w:rsid w:val="67F340AC"/>
    <w:rsid w:val="67FE9CEB"/>
    <w:rsid w:val="68197D7F"/>
    <w:rsid w:val="68996277"/>
    <w:rsid w:val="68D777CC"/>
    <w:rsid w:val="692D4614"/>
    <w:rsid w:val="69807E63"/>
    <w:rsid w:val="69926A05"/>
    <w:rsid w:val="6AB53B3C"/>
    <w:rsid w:val="6B565322"/>
    <w:rsid w:val="6BDB415F"/>
    <w:rsid w:val="6C186A79"/>
    <w:rsid w:val="6C814811"/>
    <w:rsid w:val="6D435152"/>
    <w:rsid w:val="6EBC7B8F"/>
    <w:rsid w:val="6ED8604B"/>
    <w:rsid w:val="6F944668"/>
    <w:rsid w:val="6FA123D2"/>
    <w:rsid w:val="6FFEAC3A"/>
    <w:rsid w:val="702D622C"/>
    <w:rsid w:val="70840239"/>
    <w:rsid w:val="710F67F4"/>
    <w:rsid w:val="7137384B"/>
    <w:rsid w:val="71915DBC"/>
    <w:rsid w:val="71BC3A02"/>
    <w:rsid w:val="71D84CE0"/>
    <w:rsid w:val="724F3294"/>
    <w:rsid w:val="727A179E"/>
    <w:rsid w:val="72BF73A8"/>
    <w:rsid w:val="72EC6569"/>
    <w:rsid w:val="738642C8"/>
    <w:rsid w:val="739665BA"/>
    <w:rsid w:val="73AB01D2"/>
    <w:rsid w:val="73B10D49"/>
    <w:rsid w:val="74714F78"/>
    <w:rsid w:val="75911E94"/>
    <w:rsid w:val="763625AB"/>
    <w:rsid w:val="76C03F95"/>
    <w:rsid w:val="76F72090"/>
    <w:rsid w:val="770519A8"/>
    <w:rsid w:val="77F75794"/>
    <w:rsid w:val="78B32B40"/>
    <w:rsid w:val="78C71A3C"/>
    <w:rsid w:val="78CE2303"/>
    <w:rsid w:val="78FD502C"/>
    <w:rsid w:val="797B41A3"/>
    <w:rsid w:val="799106C2"/>
    <w:rsid w:val="7AF91823"/>
    <w:rsid w:val="7B277B51"/>
    <w:rsid w:val="7BFC15CB"/>
    <w:rsid w:val="7CAF663E"/>
    <w:rsid w:val="7CE04CDF"/>
    <w:rsid w:val="7CE64887"/>
    <w:rsid w:val="7E2962D4"/>
    <w:rsid w:val="7E5D7A10"/>
    <w:rsid w:val="7E7D4C53"/>
    <w:rsid w:val="7E906943"/>
    <w:rsid w:val="7EFF1C16"/>
    <w:rsid w:val="7F2E23E3"/>
    <w:rsid w:val="7F821A2C"/>
    <w:rsid w:val="7F8B3624"/>
    <w:rsid w:val="7FCFA379"/>
    <w:rsid w:val="9B7B5FA1"/>
    <w:rsid w:val="AFEF86A5"/>
    <w:rsid w:val="DCFA44D0"/>
    <w:rsid w:val="E7FF8FF6"/>
    <w:rsid w:val="E9F5494C"/>
    <w:rsid w:val="EEA948FC"/>
    <w:rsid w:val="EFEF8D29"/>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99"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uppressAutoHyphens/>
      <w:jc w:val="both"/>
    </w:pPr>
    <w:rPr>
      <w:rFonts w:ascii="Calibri" w:hAnsi="Calibri" w:eastAsia="宋体" w:cs="Times New Roman"/>
      <w:kern w:val="2"/>
      <w:sz w:val="21"/>
      <w:szCs w:val="24"/>
      <w:lang w:val="en-US" w:eastAsia="zh-CN" w:bidi="ar-SA"/>
    </w:rPr>
  </w:style>
  <w:style w:type="paragraph" w:styleId="2">
    <w:name w:val="heading 1"/>
    <w:basedOn w:val="1"/>
    <w:next w:val="1"/>
    <w:link w:val="21"/>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2"/>
    <w:qFormat/>
    <w:uiPriority w:val="9"/>
    <w:pPr>
      <w:keepNext/>
      <w:keepLines/>
      <w:spacing w:before="260" w:after="260" w:line="416" w:lineRule="auto"/>
      <w:outlineLvl w:val="1"/>
    </w:pPr>
    <w:rPr>
      <w:rFonts w:ascii="Cambria" w:hAnsi="Cambria"/>
      <w:b/>
      <w:bCs/>
      <w:sz w:val="32"/>
      <w:szCs w:val="32"/>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4">
    <w:name w:val="caption"/>
    <w:basedOn w:val="1"/>
    <w:next w:val="1"/>
    <w:qFormat/>
    <w:uiPriority w:val="0"/>
    <w:pPr>
      <w:suppressLineNumbers/>
      <w:spacing w:before="120" w:after="120"/>
    </w:pPr>
    <w:rPr>
      <w:i/>
      <w:iCs/>
      <w:sz w:val="24"/>
    </w:rPr>
  </w:style>
  <w:style w:type="paragraph" w:styleId="5">
    <w:name w:val="Body Text"/>
    <w:basedOn w:val="1"/>
    <w:qFormat/>
    <w:uiPriority w:val="0"/>
    <w:pPr>
      <w:spacing w:after="140" w:line="276" w:lineRule="auto"/>
    </w:pPr>
  </w:style>
  <w:style w:type="paragraph" w:styleId="6">
    <w:name w:val="Body Text Indent"/>
    <w:basedOn w:val="1"/>
    <w:next w:val="7"/>
    <w:qFormat/>
    <w:uiPriority w:val="0"/>
    <w:pPr>
      <w:spacing w:after="120"/>
      <w:ind w:left="200" w:leftChars="200"/>
    </w:pPr>
    <w:rPr>
      <w:rFonts w:ascii="仿宋_GB2312"/>
      <w:szCs w:val="32"/>
    </w:rPr>
  </w:style>
  <w:style w:type="paragraph" w:styleId="7">
    <w:name w:val="Body Text First Indent 2"/>
    <w:basedOn w:val="6"/>
    <w:unhideWhenUsed/>
    <w:qFormat/>
    <w:uiPriority w:val="99"/>
    <w:pPr>
      <w:ind w:firstLine="420" w:firstLineChars="200"/>
    </w:pPr>
  </w:style>
  <w:style w:type="paragraph" w:styleId="8">
    <w:name w:val="Balloon Text"/>
    <w:basedOn w:val="1"/>
    <w:link w:val="31"/>
    <w:qFormat/>
    <w:uiPriority w:val="0"/>
    <w:rPr>
      <w:sz w:val="18"/>
      <w:szCs w:val="18"/>
    </w:rPr>
  </w:style>
  <w:style w:type="paragraph" w:styleId="9">
    <w:name w:val="footer"/>
    <w:basedOn w:val="1"/>
    <w:link w:val="30"/>
    <w:qFormat/>
    <w:uiPriority w:val="99"/>
    <w:pPr>
      <w:tabs>
        <w:tab w:val="center" w:pos="4153"/>
        <w:tab w:val="right" w:pos="8306"/>
      </w:tabs>
      <w:snapToGrid w:val="0"/>
      <w:jc w:val="left"/>
    </w:pPr>
    <w:rPr>
      <w:sz w:val="18"/>
      <w:szCs w:val="18"/>
    </w:rPr>
  </w:style>
  <w:style w:type="paragraph" w:styleId="10">
    <w:name w:val="header"/>
    <w:basedOn w:val="1"/>
    <w:link w:val="29"/>
    <w:qFormat/>
    <w:uiPriority w:val="0"/>
    <w:pPr>
      <w:pBdr>
        <w:bottom w:val="single" w:color="auto" w:sz="6" w:space="1"/>
      </w:pBdr>
      <w:tabs>
        <w:tab w:val="center" w:pos="4153"/>
        <w:tab w:val="right" w:pos="8306"/>
      </w:tabs>
      <w:snapToGrid w:val="0"/>
      <w:jc w:val="center"/>
    </w:pPr>
    <w:rPr>
      <w:sz w:val="18"/>
      <w:szCs w:val="18"/>
    </w:rPr>
  </w:style>
  <w:style w:type="paragraph" w:styleId="11">
    <w:name w:val="toc 1"/>
    <w:basedOn w:val="1"/>
    <w:next w:val="1"/>
    <w:unhideWhenUsed/>
    <w:qFormat/>
    <w:uiPriority w:val="39"/>
    <w:pPr>
      <w:tabs>
        <w:tab w:val="right" w:leader="dot" w:pos="8296"/>
      </w:tabs>
      <w:spacing w:before="93"/>
      <w:jc w:val="center"/>
    </w:pPr>
    <w:rPr>
      <w:rFonts w:ascii="仿宋" w:hAnsi="仿宋" w:eastAsia="仿宋"/>
      <w:sz w:val="28"/>
      <w:szCs w:val="28"/>
    </w:rPr>
  </w:style>
  <w:style w:type="paragraph" w:styleId="12">
    <w:name w:val="List"/>
    <w:basedOn w:val="5"/>
    <w:qFormat/>
    <w:uiPriority w:val="0"/>
  </w:style>
  <w:style w:type="paragraph" w:styleId="13">
    <w:name w:val="footnote text"/>
    <w:basedOn w:val="1"/>
    <w:next w:val="7"/>
    <w:semiHidden/>
    <w:qFormat/>
    <w:uiPriority w:val="0"/>
    <w:pPr>
      <w:snapToGrid w:val="0"/>
      <w:jc w:val="left"/>
    </w:pPr>
    <w:rPr>
      <w:sz w:val="18"/>
      <w:szCs w:val="18"/>
    </w:rPr>
  </w:style>
  <w:style w:type="paragraph" w:styleId="14">
    <w:name w:val="toc 2"/>
    <w:basedOn w:val="1"/>
    <w:next w:val="1"/>
    <w:unhideWhenUsed/>
    <w:qFormat/>
    <w:uiPriority w:val="39"/>
    <w:pPr>
      <w:tabs>
        <w:tab w:val="right" w:leader="dot" w:pos="8296"/>
      </w:tabs>
      <w:ind w:left="420" w:leftChars="200"/>
    </w:pPr>
  </w:style>
  <w:style w:type="paragraph" w:styleId="15">
    <w:name w:val="Normal (Web)"/>
    <w:basedOn w:val="1"/>
    <w:qFormat/>
    <w:uiPriority w:val="99"/>
    <w:pPr>
      <w:suppressAutoHyphens w:val="0"/>
      <w:spacing w:beforeAutospacing="1" w:afterAutospacing="1"/>
      <w:jc w:val="left"/>
    </w:pPr>
    <w:rPr>
      <w:rFonts w:ascii="Times New Roman" w:hAnsi="Times New Roman"/>
      <w:kern w:val="0"/>
      <w:sz w:val="24"/>
      <w:szCs w:val="32"/>
    </w:rPr>
  </w:style>
  <w:style w:type="table" w:styleId="17">
    <w:name w:val="Table Grid"/>
    <w:basedOn w:val="1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9">
    <w:name w:val="Strong"/>
    <w:basedOn w:val="18"/>
    <w:qFormat/>
    <w:uiPriority w:val="99"/>
    <w:rPr>
      <w:b/>
    </w:rPr>
  </w:style>
  <w:style w:type="character" w:styleId="20">
    <w:name w:val="Hyperlink"/>
    <w:basedOn w:val="18"/>
    <w:unhideWhenUsed/>
    <w:qFormat/>
    <w:uiPriority w:val="99"/>
    <w:rPr>
      <w:color w:val="0000FF"/>
      <w:u w:val="single"/>
    </w:rPr>
  </w:style>
  <w:style w:type="character" w:customStyle="1" w:styleId="21">
    <w:name w:val="标题 1 Char"/>
    <w:basedOn w:val="18"/>
    <w:link w:val="2"/>
    <w:qFormat/>
    <w:uiPriority w:val="9"/>
    <w:rPr>
      <w:b/>
      <w:bCs/>
      <w:kern w:val="44"/>
      <w:sz w:val="44"/>
      <w:szCs w:val="44"/>
    </w:rPr>
  </w:style>
  <w:style w:type="character" w:customStyle="1" w:styleId="22">
    <w:name w:val="标题 2 Char"/>
    <w:basedOn w:val="18"/>
    <w:link w:val="3"/>
    <w:qFormat/>
    <w:uiPriority w:val="9"/>
    <w:rPr>
      <w:rFonts w:ascii="Cambria" w:hAnsi="Cambria" w:eastAsia="宋体" w:cs="Times New Roman"/>
      <w:b/>
      <w:bCs/>
      <w:sz w:val="32"/>
      <w:szCs w:val="32"/>
    </w:rPr>
  </w:style>
  <w:style w:type="character" w:customStyle="1" w:styleId="23">
    <w:name w:val="默认段落字体1"/>
    <w:qFormat/>
    <w:uiPriority w:val="0"/>
  </w:style>
  <w:style w:type="paragraph" w:customStyle="1" w:styleId="24">
    <w:name w:val="Heading"/>
    <w:basedOn w:val="1"/>
    <w:next w:val="5"/>
    <w:qFormat/>
    <w:uiPriority w:val="0"/>
    <w:pPr>
      <w:keepNext/>
      <w:spacing w:before="240" w:after="120"/>
    </w:pPr>
    <w:rPr>
      <w:rFonts w:ascii="Liberation Sans" w:hAnsi="Liberation Sans" w:eastAsia="Noto Sans CJK SC Regular" w:cs="Noto Sans CJK SC Regular"/>
      <w:sz w:val="28"/>
      <w:szCs w:val="28"/>
    </w:rPr>
  </w:style>
  <w:style w:type="paragraph" w:customStyle="1" w:styleId="25">
    <w:name w:val="Index"/>
    <w:basedOn w:val="1"/>
    <w:qFormat/>
    <w:uiPriority w:val="0"/>
    <w:pPr>
      <w:suppressLineNumbers/>
    </w:pPr>
  </w:style>
  <w:style w:type="paragraph" w:styleId="26">
    <w:name w:val="List Paragraph"/>
    <w:basedOn w:val="1"/>
    <w:qFormat/>
    <w:uiPriority w:val="34"/>
    <w:pPr>
      <w:ind w:firstLine="420" w:firstLineChars="200"/>
    </w:pPr>
  </w:style>
  <w:style w:type="paragraph" w:customStyle="1" w:styleId="27">
    <w:name w:val="Default"/>
    <w:qFormat/>
    <w:uiPriority w:val="99"/>
    <w:pPr>
      <w:widowControl w:val="0"/>
      <w:autoSpaceDE w:val="0"/>
      <w:autoSpaceDN w:val="0"/>
      <w:adjustRightInd w:val="0"/>
    </w:pPr>
    <w:rPr>
      <w:rFonts w:ascii="仿宋" w:hAnsi="Calibri" w:eastAsia="仿宋" w:cs="仿宋"/>
      <w:color w:val="000000"/>
      <w:sz w:val="24"/>
      <w:szCs w:val="24"/>
      <w:lang w:val="en-US" w:eastAsia="zh-CN" w:bidi="ar-SA"/>
    </w:rPr>
  </w:style>
  <w:style w:type="paragraph" w:customStyle="1" w:styleId="28">
    <w:name w:val="四号正文"/>
    <w:basedOn w:val="1"/>
    <w:qFormat/>
    <w:uiPriority w:val="0"/>
    <w:pPr>
      <w:spacing w:line="360" w:lineRule="auto"/>
    </w:pPr>
    <w:rPr>
      <w:rFonts w:ascii="??" w:hAnsi="??"/>
      <w:color w:val="000000"/>
      <w:kern w:val="0"/>
      <w:sz w:val="28"/>
      <w:szCs w:val="21"/>
      <w:lang w:val="zh-CN"/>
    </w:rPr>
  </w:style>
  <w:style w:type="character" w:customStyle="1" w:styleId="29">
    <w:name w:val="页眉 Char"/>
    <w:basedOn w:val="18"/>
    <w:link w:val="10"/>
    <w:qFormat/>
    <w:uiPriority w:val="0"/>
    <w:rPr>
      <w:rFonts w:ascii="Calibri" w:hAnsi="Calibri"/>
      <w:kern w:val="2"/>
      <w:sz w:val="18"/>
      <w:szCs w:val="18"/>
    </w:rPr>
  </w:style>
  <w:style w:type="character" w:customStyle="1" w:styleId="30">
    <w:name w:val="页脚 Char"/>
    <w:basedOn w:val="18"/>
    <w:link w:val="9"/>
    <w:qFormat/>
    <w:uiPriority w:val="99"/>
    <w:rPr>
      <w:rFonts w:ascii="Calibri" w:hAnsi="Calibri"/>
      <w:kern w:val="2"/>
      <w:sz w:val="18"/>
      <w:szCs w:val="18"/>
    </w:rPr>
  </w:style>
  <w:style w:type="character" w:customStyle="1" w:styleId="31">
    <w:name w:val="批注框文本 Char"/>
    <w:basedOn w:val="18"/>
    <w:link w:val="8"/>
    <w:qFormat/>
    <w:uiPriority w:val="0"/>
    <w:rPr>
      <w:rFonts w:ascii="Calibri" w:hAnsi="Calibri"/>
      <w:kern w:val="2"/>
      <w:sz w:val="18"/>
      <w:szCs w:val="18"/>
    </w:rPr>
  </w:style>
  <w:style w:type="paragraph" w:customStyle="1" w:styleId="32">
    <w:name w:val="正文11"/>
    <w:qFormat/>
    <w:uiPriority w:val="0"/>
    <w:pPr>
      <w:widowControl w:val="0"/>
      <w:jc w:val="both"/>
    </w:pPr>
    <w:rPr>
      <w:rFonts w:ascii="Times New Roman" w:hAnsi="Times New Roman" w:eastAsia="仿宋_GB2312" w:cs="Times New Roman"/>
      <w:kern w:val="2"/>
      <w:sz w:val="32"/>
      <w:szCs w:val="32"/>
      <w:lang w:val="en-US" w:eastAsia="zh-CN" w:bidi="ar-SA"/>
    </w:rPr>
  </w:style>
  <w:style w:type="paragraph" w:customStyle="1" w:styleId="33">
    <w:name w:val="标题 5（有编号）（绿盟科技）"/>
    <w:next w:val="1"/>
    <w:qFormat/>
    <w:uiPriority w:val="99"/>
    <w:pPr>
      <w:keepNext/>
      <w:keepLines/>
      <w:widowControl w:val="0"/>
      <w:spacing w:before="280" w:after="156" w:line="377" w:lineRule="auto"/>
      <w:outlineLvl w:val="4"/>
    </w:pPr>
    <w:rPr>
      <w:rFonts w:ascii="Arial" w:hAnsi="Arial" w:eastAsia="黑体" w:cs="Times New Roman"/>
      <w:b/>
      <w:kern w:val="2"/>
      <w:sz w:val="24"/>
      <w:szCs w:val="28"/>
      <w:lang w:val="en-US" w:eastAsia="zh-CN" w:bidi="ar-SA"/>
    </w:rPr>
  </w:style>
  <w:style w:type="paragraph" w:customStyle="1" w:styleId="34">
    <w:name w:val="WPSOffice手动目录 1"/>
    <w:qFormat/>
    <w:uiPriority w:val="0"/>
    <w:pPr>
      <w:ind w:leftChars="0"/>
    </w:pPr>
    <w:rPr>
      <w:rFonts w:ascii="Times New Roman" w:hAnsi="Times New Roman" w:eastAsia="宋体" w:cs="Times New Roman"/>
      <w:sz w:val="20"/>
      <w:szCs w:val="20"/>
    </w:rPr>
  </w:style>
  <w:style w:type="paragraph" w:customStyle="1" w:styleId="35">
    <w:name w:val="WPSOffice手动目录 2"/>
    <w:qFormat/>
    <w:uiPriority w:val="0"/>
    <w:pPr>
      <w:ind w:leftChars="2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chart" Target="charts/chart5.xml"/><Relationship Id="rId8" Type="http://schemas.openxmlformats.org/officeDocument/2006/relationships/chart" Target="charts/chart4.xml"/><Relationship Id="rId7" Type="http://schemas.openxmlformats.org/officeDocument/2006/relationships/chart" Target="charts/chart3.xml"/><Relationship Id="rId6" Type="http://schemas.openxmlformats.org/officeDocument/2006/relationships/chart" Target="charts/chart2.xml"/><Relationship Id="rId5" Type="http://schemas.openxmlformats.org/officeDocument/2006/relationships/chart" Target="charts/chart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3.jpe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chart" Target="charts/chart7.xml"/><Relationship Id="rId10" Type="http://schemas.openxmlformats.org/officeDocument/2006/relationships/chart" Target="charts/chart6.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charts/_rels/chart1.xml.rels><?xml version="1.0" encoding="UTF-8" standalone="yes"?>
<Relationships xmlns="http://schemas.openxmlformats.org/package/2006/relationships"><Relationship Id="rId1" Type="http://schemas.openxmlformats.org/officeDocument/2006/relationships/package" Target="../embeddings/Workbook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Workbook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Workbook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Workbook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Workbook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Workbook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Workbook7.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收、支总计</c:v>
                </c:pt>
              </c:strCache>
            </c:strRef>
          </c:tx>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Sheet1!$A$2:$A$3</c:f>
              <c:strCache>
                <c:ptCount val="2"/>
                <c:pt idx="0">
                  <c:v>2022年</c:v>
                </c:pt>
                <c:pt idx="1">
                  <c:v>2023年</c:v>
                </c:pt>
              </c:strCache>
            </c:strRef>
          </c:cat>
          <c:val>
            <c:numRef>
              <c:f>Sheet1!$B$2:$B$3</c:f>
              <c:numCache>
                <c:formatCode>General</c:formatCode>
                <c:ptCount val="2"/>
                <c:pt idx="0">
                  <c:v>33122.89</c:v>
                </c:pt>
                <c:pt idx="1">
                  <c:v>34428.63</c:v>
                </c:pt>
              </c:numCache>
            </c:numRef>
          </c:val>
        </c:ser>
        <c:dLbls>
          <c:showLegendKey val="0"/>
          <c:showVal val="1"/>
          <c:showCatName val="0"/>
          <c:showSerName val="0"/>
          <c:showPercent val="0"/>
          <c:showBubbleSize val="0"/>
        </c:dLbls>
        <c:gapWidth val="150"/>
        <c:axId val="88546688"/>
        <c:axId val="88683648"/>
      </c:barChart>
      <c:catAx>
        <c:axId val="88546688"/>
        <c:scaling>
          <c:orientation val="minMax"/>
        </c:scaling>
        <c:delete val="0"/>
        <c:axPos val="b"/>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88683648"/>
        <c:crosses val="autoZero"/>
        <c:auto val="1"/>
        <c:lblAlgn val="ctr"/>
        <c:lblOffset val="100"/>
        <c:noMultiLvlLbl val="0"/>
      </c:catAx>
      <c:valAx>
        <c:axId val="88683648"/>
        <c:scaling>
          <c:orientation val="minMax"/>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88546688"/>
        <c:crosses val="autoZero"/>
        <c:crossBetween val="between"/>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chart>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销售额</c:v>
                </c:pt>
              </c:strCache>
            </c:strRef>
          </c:tx>
          <c:explosion val="0"/>
          <c:dPt>
            <c:idx val="0"/>
            <c:bubble3D val="0"/>
          </c:dPt>
          <c:dPt>
            <c:idx val="1"/>
            <c:bubble3D val="0"/>
          </c:dPt>
          <c:dPt>
            <c:idx val="2"/>
            <c:bubble3D val="0"/>
          </c:dPt>
          <c:dLbls>
            <c:dLbl>
              <c:idx val="1"/>
              <c:layout>
                <c:manualLayout>
                  <c:x val="0.00645639400690999"/>
                  <c:y val="0.0316362236037724"/>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Sheet1!$A$2:$A$4</c:f>
              <c:strCache>
                <c:ptCount val="3"/>
                <c:pt idx="0">
                  <c:v>一般公共预算财政拨款收入</c:v>
                </c:pt>
                <c:pt idx="1">
                  <c:v>政府性基金预算财政拨款收入</c:v>
                </c:pt>
                <c:pt idx="2">
                  <c:v>其他收入</c:v>
                </c:pt>
              </c:strCache>
            </c:strRef>
          </c:cat>
          <c:val>
            <c:numRef>
              <c:f>Sheet1!$B$2:$B$4</c:f>
              <c:numCache>
                <c:formatCode>0.00%</c:formatCode>
                <c:ptCount val="3"/>
                <c:pt idx="0">
                  <c:v>0.942900000000001</c:v>
                </c:pt>
                <c:pt idx="1">
                  <c:v>0.0096</c:v>
                </c:pt>
                <c:pt idx="2">
                  <c:v>0.0475</c:v>
                </c:pt>
              </c:numCache>
            </c:numRef>
          </c:val>
        </c:ser>
        <c:dLbls>
          <c:showLegendKey val="0"/>
          <c:showVal val="1"/>
          <c:showCatName val="0"/>
          <c:showSerName val="0"/>
          <c:showPercent val="0"/>
          <c:showBubbleSize val="0"/>
          <c:showLeaderLines val="1"/>
        </c:dLbls>
        <c:firstSliceAng val="0"/>
      </c:pieChart>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zero"/>
    <c:showDLblsOverMax val="0"/>
  </c:chart>
  <c:txPr>
    <a:bodyPr/>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2</c:v>
                </c:pt>
              </c:strCache>
            </c:strRef>
          </c:tx>
          <c:explosion val="0"/>
          <c:dPt>
            <c:idx val="0"/>
            <c:bubble3D val="0"/>
          </c:dPt>
          <c:dPt>
            <c:idx val="1"/>
            <c:bubble3D val="0"/>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Sheet1!$A$2:$A$3</c:f>
              <c:strCache>
                <c:ptCount val="2"/>
                <c:pt idx="0">
                  <c:v>基本支出</c:v>
                </c:pt>
                <c:pt idx="1">
                  <c:v>项目支出</c:v>
                </c:pt>
              </c:strCache>
            </c:strRef>
          </c:cat>
          <c:val>
            <c:numRef>
              <c:f>Sheet1!$B$2:$B$3</c:f>
              <c:numCache>
                <c:formatCode>0.00%</c:formatCode>
                <c:ptCount val="2"/>
                <c:pt idx="0">
                  <c:v>0.774000000000002</c:v>
                </c:pt>
                <c:pt idx="1">
                  <c:v>0.226</c:v>
                </c:pt>
              </c:numCache>
            </c:numRef>
          </c:val>
        </c:ser>
        <c:dLbls>
          <c:showLegendKey val="0"/>
          <c:showVal val="1"/>
          <c:showCatName val="0"/>
          <c:showSerName val="0"/>
          <c:showPercent val="0"/>
          <c:showBubbleSize val="0"/>
          <c:showLeaderLines val="1"/>
        </c:dLbls>
        <c:firstSliceAng val="0"/>
      </c:pieChart>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zero"/>
    <c:showDLblsOverMax val="0"/>
  </c:chart>
  <c:txPr>
    <a:bodyPr/>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财政拨款收、支总计</c:v>
                </c:pt>
              </c:strCache>
            </c:strRef>
          </c:tx>
          <c:invertIfNegative val="0"/>
          <c:dLbls>
            <c:dLbl>
              <c:idx val="1"/>
              <c:layout/>
              <c:tx>
                <c:rich>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r>
                      <a:rPr lang="en-US" altLang="en-US"/>
                      <a:t>32512.51</a:t>
                    </a:r>
                    <a:endParaRPr lang="en-US" altLang="en-US"/>
                  </a:p>
                </c:rich>
              </c:tx>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Sheet1!$A$2:$A$3</c:f>
              <c:strCache>
                <c:ptCount val="2"/>
                <c:pt idx="0">
                  <c:v>2022年</c:v>
                </c:pt>
                <c:pt idx="1">
                  <c:v>2023年</c:v>
                </c:pt>
              </c:strCache>
            </c:strRef>
          </c:cat>
          <c:val>
            <c:numRef>
              <c:f>Sheet1!$B$2:$B$3</c:f>
              <c:numCache>
                <c:formatCode>General</c:formatCode>
                <c:ptCount val="2"/>
                <c:pt idx="0">
                  <c:v>32612.96</c:v>
                </c:pt>
                <c:pt idx="1">
                  <c:v>32512.51</c:v>
                </c:pt>
              </c:numCache>
            </c:numRef>
          </c:val>
        </c:ser>
        <c:dLbls>
          <c:showLegendKey val="0"/>
          <c:showVal val="1"/>
          <c:showCatName val="0"/>
          <c:showSerName val="0"/>
          <c:showPercent val="0"/>
          <c:showBubbleSize val="0"/>
        </c:dLbls>
        <c:gapWidth val="150"/>
        <c:axId val="88786432"/>
        <c:axId val="88787968"/>
      </c:barChart>
      <c:catAx>
        <c:axId val="88786432"/>
        <c:scaling>
          <c:orientation val="minMax"/>
        </c:scaling>
        <c:delete val="0"/>
        <c:axPos val="b"/>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88787968"/>
        <c:crosses val="autoZero"/>
        <c:auto val="1"/>
        <c:lblAlgn val="ctr"/>
        <c:lblOffset val="100"/>
        <c:noMultiLvlLbl val="0"/>
      </c:catAx>
      <c:valAx>
        <c:axId val="88787968"/>
        <c:scaling>
          <c:orientation val="minMax"/>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88786432"/>
        <c:crosses val="autoZero"/>
        <c:crossBetween val="between"/>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chart>
  <c:txPr>
    <a:bodyPr/>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862332703235"/>
          <c:y val="0.0458308346131656"/>
          <c:w val="0.555477209341127"/>
          <c:h val="0.816807651365562"/>
        </c:manualLayout>
      </c:layout>
      <c:barChart>
        <c:barDir val="col"/>
        <c:grouping val="clustered"/>
        <c:varyColors val="0"/>
        <c:ser>
          <c:idx val="0"/>
          <c:order val="0"/>
          <c:tx>
            <c:strRef>
              <c:f>Sheet1!$B$1</c:f>
              <c:strCache>
                <c:ptCount val="1"/>
                <c:pt idx="0">
                  <c:v>一般公共预算财政拨款支出</c:v>
                </c:pt>
              </c:strCache>
            </c:strRef>
          </c:tx>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Sheet1!$A$2:$A$3</c:f>
              <c:strCache>
                <c:ptCount val="2"/>
                <c:pt idx="0">
                  <c:v>2022年</c:v>
                </c:pt>
                <c:pt idx="1">
                  <c:v>2023年</c:v>
                </c:pt>
              </c:strCache>
            </c:strRef>
          </c:cat>
          <c:val>
            <c:numRef>
              <c:f>Sheet1!$B$2:$B$3</c:f>
              <c:numCache>
                <c:formatCode>General</c:formatCode>
                <c:ptCount val="2"/>
                <c:pt idx="0">
                  <c:v>32375.06</c:v>
                </c:pt>
                <c:pt idx="1">
                  <c:v>32023.36</c:v>
                </c:pt>
              </c:numCache>
            </c:numRef>
          </c:val>
        </c:ser>
        <c:dLbls>
          <c:showLegendKey val="0"/>
          <c:showVal val="1"/>
          <c:showCatName val="0"/>
          <c:showSerName val="0"/>
          <c:showPercent val="0"/>
          <c:showBubbleSize val="0"/>
        </c:dLbls>
        <c:gapWidth val="150"/>
        <c:axId val="89906176"/>
        <c:axId val="89912064"/>
      </c:barChart>
      <c:catAx>
        <c:axId val="89906176"/>
        <c:scaling>
          <c:orientation val="minMax"/>
        </c:scaling>
        <c:delete val="0"/>
        <c:axPos val="b"/>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89912064"/>
        <c:crosses val="autoZero"/>
        <c:auto val="1"/>
        <c:lblAlgn val="ctr"/>
        <c:lblOffset val="100"/>
        <c:noMultiLvlLbl val="0"/>
      </c:catAx>
      <c:valAx>
        <c:axId val="89912064"/>
        <c:scaling>
          <c:orientation val="minMax"/>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89906176"/>
        <c:crosses val="autoZero"/>
        <c:crossBetween val="between"/>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chart>
  <c:txPr>
    <a:bodyPr/>
    <a:lstStyle/>
    <a:p>
      <a:pPr>
        <a:defRPr lang="zh-CN"/>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销售额</c:v>
                </c:pt>
              </c:strCache>
            </c:strRef>
          </c:tx>
          <c:explosion val="0"/>
          <c:dPt>
            <c:idx val="0"/>
            <c:bubble3D val="0"/>
          </c:dPt>
          <c:dPt>
            <c:idx val="1"/>
            <c:bubble3D val="0"/>
          </c:dPt>
          <c:dPt>
            <c:idx val="2"/>
            <c:bubble3D val="0"/>
          </c:dPt>
          <c:dPt>
            <c:idx val="3"/>
            <c:bubble3D val="0"/>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Sheet1!$A$2:$A$5</c:f>
              <c:strCache>
                <c:ptCount val="4"/>
                <c:pt idx="0">
                  <c:v>公共安全支出</c:v>
                </c:pt>
                <c:pt idx="1">
                  <c:v>社会保障和就业支出</c:v>
                </c:pt>
                <c:pt idx="2">
                  <c:v>卫生健康支出</c:v>
                </c:pt>
                <c:pt idx="3">
                  <c:v>住房保障（类）支出</c:v>
                </c:pt>
              </c:strCache>
            </c:strRef>
          </c:cat>
          <c:val>
            <c:numRef>
              <c:f>Sheet1!$B$2:$B$5</c:f>
              <c:numCache>
                <c:formatCode>0.00%</c:formatCode>
                <c:ptCount val="4"/>
                <c:pt idx="0">
                  <c:v>0.7702</c:v>
                </c:pt>
                <c:pt idx="1">
                  <c:v>0.1123</c:v>
                </c:pt>
                <c:pt idx="2">
                  <c:v>0.0291</c:v>
                </c:pt>
                <c:pt idx="3">
                  <c:v>0.0884</c:v>
                </c:pt>
              </c:numCache>
            </c:numRef>
          </c:val>
        </c:ser>
        <c:dLbls>
          <c:showLegendKey val="0"/>
          <c:showVal val="1"/>
          <c:showCatName val="0"/>
          <c:showSerName val="0"/>
          <c:showPercent val="0"/>
          <c:showBubbleSize val="0"/>
          <c:showLeaderLines val="1"/>
        </c:dLbls>
        <c:firstSliceAng val="0"/>
      </c:pieChart>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zero"/>
    <c:showDLblsOverMax val="0"/>
  </c:chart>
  <c:txPr>
    <a:bodyPr/>
    <a:lstStyle/>
    <a:p>
      <a:pPr>
        <a:defRPr lang="zh-CN"/>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销售额</c:v>
                </c:pt>
              </c:strCache>
            </c:strRef>
          </c:tx>
          <c:explosion val="0"/>
          <c:dPt>
            <c:idx val="0"/>
            <c:bubble3D val="0"/>
          </c:dPt>
          <c:dPt>
            <c:idx val="1"/>
            <c:bubble3D val="0"/>
          </c:dPt>
          <c:dPt>
            <c:idx val="2"/>
            <c:bubble3D val="0"/>
          </c:dPt>
          <c:dLbls>
            <c:dLbl>
              <c:idx val="0"/>
              <c:layout>
                <c:manualLayout>
                  <c:x val="0.0566666900445615"/>
                  <c:y val="-0.0273687620128018"/>
                </c:manualLayout>
              </c:layout>
              <c:tx>
                <c:rich>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r>
                      <a:rPr lang="en-US" altLang="en-US"/>
                      <a:t>0.00</a:t>
                    </a:r>
                    <a:r>
                      <a:rPr lang="en-US" altLang="zh-CN"/>
                      <a:t>%</a:t>
                    </a:r>
                    <a:endParaRPr lang="en-US" altLang="en-US"/>
                  </a:p>
                </c:rich>
              </c:tx>
              <c:dLblPos val="bestFi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706630988208253"/>
                  <c:y val="-0.0276273107338027"/>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Sheet1!$A$2:$A$4</c:f>
              <c:strCache>
                <c:ptCount val="3"/>
                <c:pt idx="0">
                  <c:v>公出国（境）费支出</c:v>
                </c:pt>
                <c:pt idx="1">
                  <c:v>公务用车购置及运行维护费支出</c:v>
                </c:pt>
                <c:pt idx="2">
                  <c:v>公务接待费支出</c:v>
                </c:pt>
              </c:strCache>
            </c:strRef>
          </c:cat>
          <c:val>
            <c:numRef>
              <c:f>Sheet1!$B$2:$B$4</c:f>
              <c:numCache>
                <c:formatCode>General</c:formatCode>
                <c:ptCount val="3"/>
                <c:pt idx="0">
                  <c:v>0</c:v>
                </c:pt>
                <c:pt idx="1" c:formatCode="0.00%">
                  <c:v>0.987499999999999</c:v>
                </c:pt>
                <c:pt idx="2" c:formatCode="0.00%">
                  <c:v>0.0125</c:v>
                </c:pt>
              </c:numCache>
            </c:numRef>
          </c:val>
        </c:ser>
        <c:dLbls>
          <c:showLegendKey val="0"/>
          <c:showVal val="1"/>
          <c:showCatName val="0"/>
          <c:showSerName val="0"/>
          <c:showPercent val="0"/>
          <c:showBubbleSize val="0"/>
          <c:showLeaderLines val="1"/>
        </c:dLbls>
        <c:firstSliceAng val="0"/>
      </c:pieChart>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zero"/>
    <c:showDLblsOverMax val="0"/>
  </c:chart>
  <c:txPr>
    <a:bodyPr/>
    <a:lstStyle/>
    <a:p>
      <a:pPr>
        <a:defRPr lang="zh-CN"/>
      </a:pPr>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4097"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194</Pages>
  <Words>86337</Words>
  <Characters>89939</Characters>
  <Lines>50</Lines>
  <Paragraphs>187</Paragraphs>
  <TotalTime>24</TotalTime>
  <ScaleCrop>false</ScaleCrop>
  <LinksUpToDate>false</LinksUpToDate>
  <CharactersWithSpaces>90281</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2018-11-29T01:47:00Z</dcterms:created>
  <dc:creator>user</dc:creator>
  <cp:lastModifiedBy>王宇林</cp:lastModifiedBy>
  <cp:lastPrinted>2024-09-13T16:41:00Z</cp:lastPrinted>
  <dcterms:modified xsi:type="dcterms:W3CDTF">2024-09-29T01:05:53Z</dcterms:modified>
  <cp:revision>144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E31427616372406FA5975E24A7BB53AE_12</vt:lpwstr>
  </property>
</Properties>
</file>