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1E6F0">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outlineLvl w:val="9"/>
        <w:rPr>
          <w:rFonts w:hint="default" w:eastAsia="黑体" w:cs="Times New Roman"/>
          <w:color w:val="000000"/>
          <w:kern w:val="0"/>
          <w:sz w:val="32"/>
          <w:szCs w:val="32"/>
          <w:highlight w:val="none"/>
          <w:shd w:val="clear" w:color="auto" w:fill="FFFFFF"/>
          <w:lang w:val="zh-CN" w:eastAsia="zh-CN"/>
        </w:rPr>
      </w:pPr>
      <w:r>
        <w:rPr>
          <w:rFonts w:hint="default" w:eastAsia="黑体" w:cs="Times New Roman"/>
          <w:color w:val="000000"/>
          <w:kern w:val="0"/>
          <w:sz w:val="32"/>
          <w:szCs w:val="32"/>
          <w:highlight w:val="none"/>
          <w:shd w:val="clear" w:color="auto" w:fill="FFFFFF"/>
          <w:lang w:val="zh-CN" w:eastAsia="zh-CN"/>
        </w:rPr>
        <w:t>部门预算绩效分析</w:t>
      </w:r>
    </w:p>
    <w:p w14:paraId="2793D38A">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p>
    <w:p w14:paraId="65D8FDA3">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1.</w:t>
      </w:r>
      <w:r>
        <w:rPr>
          <w:rFonts w:hint="eastAsia" w:ascii="楷体_GB2312" w:hAnsi="楷体_GB2312" w:eastAsia="楷体_GB2312" w:cs="楷体_GB2312"/>
          <w:color w:val="000000"/>
          <w:kern w:val="0"/>
          <w:sz w:val="32"/>
          <w:szCs w:val="32"/>
          <w:highlight w:val="none"/>
          <w:shd w:val="clear" w:color="auto" w:fill="FFFFFF"/>
          <w:lang w:val="zh-CN"/>
        </w:rPr>
        <w:t>履职效能。</w:t>
      </w:r>
    </w:p>
    <w:p w14:paraId="10D388E8">
      <w:pPr>
        <w:pStyle w:val="2"/>
        <w:keepNext w:val="0"/>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本年度分别抽取项目工作、公共卫生服务工作、中医事业发展工作、妇幼健康工作、职业病防治工作等5个项目进行绩效目标完成效果分析，其中项目工作完成了市委市政府下达的2023年度目标任务项目建设3个、固定资产投资4.2亿元、招商引资项目2个；公共卫生服务工作免费向全市266.7万城乡居民提供基本公共卫生服务，推动了城乡居民健康档案管理、健康教育、慢性病管理等基本公共卫生服务项目在基层全面得到落实，使城乡居民真正受益；中医事业发展工作在青川组织召开了全市中医药工作会议，开展了《中医药法》贯彻落实情况和中医药服务专项监督检查，印发了《关于开展&lt;中医药法&gt;实施六周年宣传活动的通知》《关于开展&lt;中医药法&gt;落实监督检查的通知》等文件，推动了中医药政策法规的宣传普及，有效完成了我市“四川省重点中医专科”复查工作和国家中医药优势专科申报工作，全市6家医院13个省级重点中医专科均复查通过；妇幼健康工作严格落实《广元市母婴安全行动提升计划实施方案（2022—2025年）》和《广元市健康儿童行动提升计划实施方案2022—2025年）》，推动重点行动实施。孕产妇系统管理率达96.84%，7岁以下儿童健康管理率达95.46%。孕产妇死亡率为0、婴儿死亡率、5岁以下儿童死亡率分别分别降至1.80‰、2.59‰，均完成省定目标；职业病防治工作组织并实施了广元市职业病防治规划，最大限度地预防、控制和消除职业病危害，防治职业病，组织完成中财项目，加强职业健康培训,提高劳动者职业健康意识，加大申报、三同时监督检查和指导力度，建成并保障职业健康检查、诊断、鉴定机构基本运行，推进健康企业建设，加强职业健康监督检查与执法能力建设，组织开展职业病防治宣传周活动，推进放射个人剂量监测与上级项目实施，统计调查全市职业病防治情况。5个项目履职效果较好，各项目均得分3分，履职效能总计得分15分。</w:t>
      </w:r>
    </w:p>
    <w:p w14:paraId="2D818CD5">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2.</w:t>
      </w:r>
      <w:r>
        <w:rPr>
          <w:rFonts w:hint="default" w:ascii="楷体_GB2312" w:hAnsi="楷体_GB2312" w:eastAsia="楷体_GB2312" w:cs="楷体_GB2312"/>
          <w:color w:val="000000"/>
          <w:kern w:val="0"/>
          <w:sz w:val="32"/>
          <w:szCs w:val="32"/>
          <w:highlight w:val="none"/>
          <w:shd w:val="clear" w:color="auto" w:fill="FFFFFF"/>
          <w:lang w:val="zh-CN"/>
        </w:rPr>
        <w:t>预算管理</w:t>
      </w:r>
      <w:r>
        <w:rPr>
          <w:rFonts w:hint="eastAsia" w:ascii="楷体_GB2312" w:hAnsi="楷体_GB2312" w:eastAsia="楷体_GB2312" w:cs="楷体_GB2312"/>
          <w:color w:val="000000"/>
          <w:kern w:val="0"/>
          <w:sz w:val="32"/>
          <w:szCs w:val="32"/>
          <w:highlight w:val="none"/>
          <w:shd w:val="clear" w:color="auto" w:fill="FFFFFF"/>
          <w:lang w:val="zh-CN"/>
        </w:rPr>
        <w:t>。</w:t>
      </w:r>
    </w:p>
    <w:p w14:paraId="61A1A4AB">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ascii="Times New Roman" w:hAnsi="Times New Roman" w:eastAsia="仿宋_GB2312" w:cs="Times New Roman"/>
          <w:color w:val="auto"/>
          <w:kern w:val="2"/>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color w:val="auto"/>
          <w:kern w:val="2"/>
          <w:sz w:val="32"/>
          <w:szCs w:val="32"/>
          <w:lang w:val="en-US" w:eastAsia="zh-CN" w:bidi="ar-SA"/>
        </w:rPr>
        <w:t xml:space="preserve"> 抽取的5个项目预算编制质量较好未发生偏离，年初部门预算编制科学、精准，得分8分；不涉及单位收入统筹部分，得分0分；预算支出执行进度为100%，得分6分；预算年终结余数为0，得分2分；严控“三公”经费、包含会议、培训、差旅、办节办展、办公设备购置、信息网络及软件购置更新、课题经费等8项一般性支出，严控一般性支出得分5分，预算管理总计得分为21分。</w:t>
      </w:r>
    </w:p>
    <w:p w14:paraId="0DE891BE">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3.</w:t>
      </w:r>
      <w:r>
        <w:rPr>
          <w:rFonts w:hint="default" w:ascii="楷体_GB2312" w:hAnsi="楷体_GB2312" w:eastAsia="楷体_GB2312" w:cs="楷体_GB2312"/>
          <w:color w:val="000000"/>
          <w:kern w:val="0"/>
          <w:sz w:val="32"/>
          <w:szCs w:val="32"/>
          <w:highlight w:val="none"/>
          <w:shd w:val="clear" w:color="auto" w:fill="FFFFFF"/>
          <w:lang w:val="zh-CN"/>
        </w:rPr>
        <w:t>财务管理</w:t>
      </w:r>
      <w:r>
        <w:rPr>
          <w:rFonts w:hint="eastAsia" w:ascii="楷体_GB2312" w:hAnsi="楷体_GB2312" w:eastAsia="楷体_GB2312" w:cs="楷体_GB2312"/>
          <w:color w:val="000000"/>
          <w:kern w:val="0"/>
          <w:sz w:val="32"/>
          <w:szCs w:val="32"/>
          <w:highlight w:val="none"/>
          <w:shd w:val="clear" w:color="auto" w:fill="FFFFFF"/>
          <w:lang w:val="zh-CN"/>
        </w:rPr>
        <w:t>。</w:t>
      </w:r>
    </w:p>
    <w:p w14:paraId="300C97A9">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ascii="Times New Roman" w:hAnsi="Times New Roman" w:eastAsia="仿宋_GB2312" w:cs="Times New Roman"/>
          <w:color w:val="auto"/>
          <w:kern w:val="2"/>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color w:val="auto"/>
          <w:kern w:val="2"/>
          <w:sz w:val="32"/>
          <w:szCs w:val="32"/>
          <w:lang w:val="en-US" w:eastAsia="zh-CN" w:bidi="ar-SA"/>
        </w:rPr>
        <w:t>建立健全了《广元市卫生健康委员会机关财务管理办法》，并适时更新财务管理办法，财务管理制度得4分；财务岗位设置符合相关财务管理制度要求，财务岗位设置得2分；资金使用符合相关财务管理制度规定，资金使用规范得4分，财务管理总计得分为10分。</w:t>
      </w:r>
    </w:p>
    <w:p w14:paraId="40F1FDA4">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4.</w:t>
      </w:r>
      <w:r>
        <w:rPr>
          <w:rFonts w:hint="default" w:ascii="楷体_GB2312" w:hAnsi="楷体_GB2312" w:eastAsia="楷体_GB2312" w:cs="楷体_GB2312"/>
          <w:color w:val="000000"/>
          <w:kern w:val="0"/>
          <w:sz w:val="32"/>
          <w:szCs w:val="32"/>
          <w:highlight w:val="none"/>
          <w:shd w:val="clear" w:color="auto" w:fill="FFFFFF"/>
          <w:lang w:val="zh-CN"/>
        </w:rPr>
        <w:t>资产管理</w:t>
      </w:r>
      <w:r>
        <w:rPr>
          <w:rFonts w:hint="eastAsia" w:ascii="楷体_GB2312" w:hAnsi="楷体_GB2312" w:eastAsia="楷体_GB2312" w:cs="楷体_GB2312"/>
          <w:color w:val="000000"/>
          <w:kern w:val="0"/>
          <w:sz w:val="32"/>
          <w:szCs w:val="32"/>
          <w:highlight w:val="none"/>
          <w:shd w:val="clear" w:color="auto" w:fill="FFFFFF"/>
          <w:lang w:val="zh-CN"/>
        </w:rPr>
        <w:t>。</w:t>
      </w:r>
    </w:p>
    <w:p w14:paraId="33F04545">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eastAsia="宋体"/>
          <w:lang w:val="en-US" w:eastAsia="zh-CN"/>
        </w:rPr>
      </w:pPr>
      <w:r>
        <w:rPr>
          <w:rFonts w:hint="eastAsia"/>
          <w:lang w:val="en-US" w:eastAsia="zh-CN"/>
        </w:rPr>
        <w:t xml:space="preserve">   </w:t>
      </w:r>
      <w:r>
        <w:rPr>
          <w:rFonts w:hint="eastAsia" w:ascii="Times New Roman" w:hAnsi="Times New Roman" w:eastAsia="仿宋_GB2312" w:cs="Times New Roman"/>
          <w:sz w:val="32"/>
          <w:szCs w:val="32"/>
          <w:lang w:val="zh-CN" w:eastAsia="zh-CN"/>
        </w:rPr>
        <w:t>人均资产变化率</w:t>
      </w:r>
      <w:r>
        <w:rPr>
          <w:rFonts w:hint="eastAsia" w:ascii="Times New Roman" w:hAnsi="Times New Roman" w:eastAsia="仿宋_GB2312" w:cs="Times New Roman"/>
          <w:sz w:val="32"/>
          <w:szCs w:val="32"/>
          <w:lang w:val="en-US" w:eastAsia="zh-CN"/>
        </w:rPr>
        <w:t>为0，得3分；</w:t>
      </w:r>
      <w:r>
        <w:rPr>
          <w:rFonts w:hint="eastAsia" w:ascii="Times New Roman" w:hAnsi="Times New Roman" w:eastAsia="仿宋_GB2312" w:cs="Times New Roman"/>
          <w:sz w:val="32"/>
          <w:szCs w:val="32"/>
          <w:lang w:val="zh-CN" w:eastAsia="zh-CN"/>
        </w:rPr>
        <w:t>资产利用</w:t>
      </w:r>
      <w:r>
        <w:rPr>
          <w:rFonts w:hint="eastAsia" w:ascii="Times New Roman" w:hAnsi="Times New Roman" w:eastAsia="仿宋_GB2312" w:cs="Times New Roman"/>
          <w:sz w:val="32"/>
          <w:szCs w:val="32"/>
          <w:lang w:val="en-US" w:eastAsia="zh-CN"/>
        </w:rPr>
        <w:t>情况较好，得3分；资产盘活率情况较好，得3分；资产管理总计得分为9分。</w:t>
      </w:r>
    </w:p>
    <w:p w14:paraId="71B0778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5.</w:t>
      </w:r>
      <w:r>
        <w:rPr>
          <w:rFonts w:hint="default" w:ascii="楷体_GB2312" w:hAnsi="楷体_GB2312" w:eastAsia="楷体_GB2312" w:cs="楷体_GB2312"/>
          <w:color w:val="000000"/>
          <w:kern w:val="0"/>
          <w:sz w:val="32"/>
          <w:szCs w:val="32"/>
          <w:highlight w:val="none"/>
          <w:shd w:val="clear" w:color="auto" w:fill="FFFFFF"/>
          <w:lang w:val="zh-CN"/>
        </w:rPr>
        <w:t>采购管理</w:t>
      </w:r>
      <w:r>
        <w:rPr>
          <w:rFonts w:hint="eastAsia" w:ascii="楷体_GB2312" w:hAnsi="楷体_GB2312" w:eastAsia="楷体_GB2312" w:cs="楷体_GB2312"/>
          <w:color w:val="000000"/>
          <w:kern w:val="0"/>
          <w:sz w:val="32"/>
          <w:szCs w:val="32"/>
          <w:highlight w:val="none"/>
          <w:shd w:val="clear" w:color="auto" w:fill="FFFFFF"/>
          <w:lang w:val="zh-CN"/>
        </w:rPr>
        <w:t>。</w:t>
      </w:r>
    </w:p>
    <w:p w14:paraId="3040948A">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Times New Roman" w:hAnsi="Times New Roman" w:eastAsia="仿宋_GB2312" w:cs="Times New Roman"/>
          <w:sz w:val="32"/>
          <w:szCs w:val="32"/>
          <w:lang w:val="en-US" w:eastAsia="zh-CN"/>
        </w:rPr>
      </w:pPr>
      <w:r>
        <w:rPr>
          <w:rFonts w:hint="eastAsia"/>
          <w:lang w:val="en-US" w:eastAsia="zh-CN"/>
        </w:rPr>
        <w:t xml:space="preserve">      </w:t>
      </w:r>
      <w:r>
        <w:rPr>
          <w:rFonts w:hint="eastAsia" w:ascii="Times New Roman" w:hAnsi="Times New Roman" w:eastAsia="仿宋_GB2312" w:cs="Times New Roman"/>
          <w:sz w:val="32"/>
          <w:szCs w:val="32"/>
          <w:lang w:val="en-US" w:eastAsia="zh-CN"/>
        </w:rPr>
        <w:t>严格执行政府采购促进中小企业发展相关管理办法</w:t>
      </w:r>
      <w:r>
        <w:rPr>
          <w:rFonts w:hint="eastAsia" w:ascii="Times New Roman" w:hAnsi="Times New Roman" w:eastAsia="仿宋_GB2312" w:cs="Times New Roman"/>
          <w:sz w:val="32"/>
          <w:szCs w:val="32"/>
          <w:lang w:val="zh-CN" w:eastAsia="zh-CN"/>
        </w:rPr>
        <w:t>支持中小企业发展，支持中小企业发展</w:t>
      </w:r>
      <w:r>
        <w:rPr>
          <w:rFonts w:hint="eastAsia" w:ascii="Times New Roman" w:hAnsi="Times New Roman" w:eastAsia="仿宋_GB2312" w:cs="Times New Roman"/>
          <w:sz w:val="32"/>
          <w:szCs w:val="32"/>
          <w:lang w:val="en-US" w:eastAsia="zh-CN"/>
        </w:rPr>
        <w:t>得3分</w:t>
      </w:r>
      <w:r>
        <w:rPr>
          <w:rFonts w:hint="eastAsia" w:ascii="Times New Roman" w:hAnsi="Times New Roman" w:eastAsia="仿宋_GB2312" w:cs="Times New Roman"/>
          <w:sz w:val="32"/>
          <w:szCs w:val="32"/>
          <w:lang w:val="zh-CN" w:eastAsia="zh-CN"/>
        </w:rPr>
        <w:t>；</w:t>
      </w:r>
      <w:r>
        <w:rPr>
          <w:rFonts w:hint="eastAsia" w:ascii="Times New Roman" w:hAnsi="Times New Roman" w:eastAsia="仿宋_GB2312" w:cs="Times New Roman"/>
          <w:sz w:val="32"/>
          <w:szCs w:val="32"/>
          <w:lang w:val="en-US" w:eastAsia="zh-CN"/>
        </w:rPr>
        <w:t>按照政府</w:t>
      </w:r>
      <w:r>
        <w:rPr>
          <w:rFonts w:hint="eastAsia" w:ascii="Times New Roman" w:hAnsi="Times New Roman" w:eastAsia="仿宋_GB2312" w:cs="Times New Roman"/>
          <w:sz w:val="32"/>
          <w:szCs w:val="32"/>
          <w:lang w:val="zh-CN" w:eastAsia="zh-CN"/>
        </w:rPr>
        <w:t>采购</w:t>
      </w:r>
      <w:r>
        <w:rPr>
          <w:rFonts w:hint="eastAsia" w:ascii="Times New Roman" w:hAnsi="Times New Roman" w:eastAsia="仿宋_GB2312" w:cs="Times New Roman"/>
          <w:sz w:val="32"/>
          <w:szCs w:val="32"/>
          <w:lang w:val="en-US" w:eastAsia="zh-CN"/>
        </w:rPr>
        <w:t>合同约定，</w:t>
      </w:r>
      <w:r>
        <w:rPr>
          <w:rFonts w:hint="eastAsia" w:ascii="Times New Roman" w:hAnsi="Times New Roman" w:eastAsia="仿宋_GB2312" w:cs="Times New Roman"/>
          <w:sz w:val="32"/>
          <w:szCs w:val="32"/>
          <w:lang w:val="zh-CN" w:eastAsia="zh-CN"/>
        </w:rPr>
        <w:t>执行率</w:t>
      </w:r>
      <w:r>
        <w:rPr>
          <w:rFonts w:hint="eastAsia" w:ascii="Times New Roman" w:hAnsi="Times New Roman" w:eastAsia="仿宋_GB2312" w:cs="Times New Roman"/>
          <w:sz w:val="32"/>
          <w:szCs w:val="32"/>
          <w:lang w:val="en-US" w:eastAsia="zh-CN"/>
        </w:rPr>
        <w:t>为100%，</w:t>
      </w:r>
      <w:r>
        <w:rPr>
          <w:rFonts w:hint="eastAsia" w:ascii="Times New Roman" w:hAnsi="Times New Roman" w:eastAsia="仿宋_GB2312" w:cs="Times New Roman"/>
          <w:sz w:val="32"/>
          <w:szCs w:val="32"/>
          <w:lang w:val="zh-CN" w:eastAsia="zh-CN"/>
        </w:rPr>
        <w:t>采购执行率</w:t>
      </w:r>
      <w:r>
        <w:rPr>
          <w:rFonts w:hint="eastAsia" w:ascii="Times New Roman" w:hAnsi="Times New Roman" w:eastAsia="仿宋_GB2312" w:cs="Times New Roman"/>
          <w:sz w:val="32"/>
          <w:szCs w:val="32"/>
          <w:lang w:val="en-US" w:eastAsia="zh-CN"/>
        </w:rPr>
        <w:t>得3分，采购管理总计得分为6分。</w:t>
      </w:r>
    </w:p>
    <w:p w14:paraId="7FF34B21">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部门整体绩效评价总体绩效得分为61分。</w:t>
      </w:r>
    </w:p>
    <w:p w14:paraId="2E2067C3">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p>
    <w:p w14:paraId="7C35608D">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常年项目绩效分析。</w:t>
      </w:r>
      <w:r>
        <w:rPr>
          <w:rFonts w:hint="default" w:ascii="Times New Roman" w:hAnsi="Times New Roman" w:eastAsia="仿宋_GB2312" w:cs="Times New Roman"/>
          <w:sz w:val="32"/>
          <w:szCs w:val="32"/>
          <w:lang w:val="zh-CN" w:eastAsia="zh-CN"/>
        </w:rPr>
        <w:t>该类项目总数</w:t>
      </w: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lang w:val="zh-CN" w:eastAsia="zh-CN"/>
        </w:rPr>
        <w:t>个，涉及预算总金额</w:t>
      </w:r>
      <w:r>
        <w:rPr>
          <w:rFonts w:hint="eastAsia" w:ascii="Times New Roman" w:hAnsi="Times New Roman" w:eastAsia="仿宋_GB2312" w:cs="Times New Roman"/>
          <w:sz w:val="32"/>
          <w:szCs w:val="32"/>
          <w:lang w:val="en-US" w:eastAsia="zh-CN"/>
        </w:rPr>
        <w:t>187.66</w:t>
      </w:r>
      <w:r>
        <w:rPr>
          <w:rFonts w:hint="default" w:ascii="Times New Roman" w:hAnsi="Times New Roman" w:eastAsia="仿宋_GB2312" w:cs="Times New Roman"/>
          <w:sz w:val="32"/>
          <w:szCs w:val="32"/>
          <w:lang w:val="zh-CN" w:eastAsia="zh-CN"/>
        </w:rPr>
        <w:t>万元，1</w:t>
      </w:r>
      <w:r>
        <w:rPr>
          <w:rFonts w:hint="eastAsia"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zh-CN" w:eastAsia="zh-CN"/>
        </w:rPr>
        <w:t>1</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zh-CN" w:eastAsia="zh-CN"/>
        </w:rPr>
        <w:t>月预算执行总体进度为</w:t>
      </w:r>
      <w:r>
        <w:rPr>
          <w:rFonts w:hint="eastAsia" w:ascii="Times New Roman" w:hAnsi="Times New Roman" w:eastAsia="仿宋_GB2312" w:cs="Times New Roman"/>
          <w:sz w:val="32"/>
          <w:szCs w:val="32"/>
          <w:lang w:val="en-US" w:eastAsia="zh-CN"/>
        </w:rPr>
        <w:t>88.00</w:t>
      </w:r>
      <w:r>
        <w:rPr>
          <w:rFonts w:hint="default" w:ascii="Times New Roman" w:hAnsi="Times New Roman" w:eastAsia="仿宋_GB2312" w:cs="Times New Roman"/>
          <w:sz w:val="32"/>
          <w:szCs w:val="32"/>
          <w:lang w:val="zh-CN" w:eastAsia="zh-CN"/>
        </w:rPr>
        <w:t>%，其中：预算结余率大于</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zh-CN" w:eastAsia="zh-CN"/>
        </w:rPr>
        <w:t>的项目共计</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zh-CN" w:eastAsia="zh-CN"/>
        </w:rPr>
        <w:t>个。</w:t>
      </w:r>
    </w:p>
    <w:p w14:paraId="41ED82DD">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阶段</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一次性</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项目绩效分析。</w:t>
      </w:r>
      <w:r>
        <w:rPr>
          <w:rFonts w:hint="default" w:ascii="Times New Roman" w:hAnsi="Times New Roman" w:eastAsia="仿宋_GB2312" w:cs="Times New Roman"/>
          <w:sz w:val="32"/>
          <w:szCs w:val="32"/>
          <w:lang w:val="zh-CN" w:eastAsia="zh-CN"/>
        </w:rPr>
        <w:t>该类项目总数</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zh-CN" w:eastAsia="zh-CN"/>
        </w:rPr>
        <w:t>个，涉及预算总金额</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zh-CN" w:eastAsia="zh-CN"/>
        </w:rPr>
        <w:t>万元，1</w:t>
      </w:r>
      <w:r>
        <w:rPr>
          <w:rFonts w:hint="eastAsia"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zh-CN" w:eastAsia="zh-CN"/>
        </w:rPr>
        <w:t>1</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zh-CN" w:eastAsia="zh-CN"/>
        </w:rPr>
        <w:t>月预算执行总体进度为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zh-CN" w:eastAsia="zh-CN"/>
        </w:rPr>
        <w:t>%，其中：预算结余率大于</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zh-CN" w:eastAsia="zh-CN"/>
        </w:rPr>
        <w:t>的项目共计</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zh-CN" w:eastAsia="zh-CN"/>
        </w:rPr>
        <w:t>个。</w:t>
      </w:r>
    </w:p>
    <w:p w14:paraId="33131AC2">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1.</w:t>
      </w:r>
      <w:r>
        <w:rPr>
          <w:rFonts w:hint="eastAsia" w:ascii="楷体_GB2312" w:hAnsi="楷体_GB2312" w:eastAsia="楷体_GB2312" w:cs="楷体_GB2312"/>
          <w:color w:val="000000"/>
          <w:kern w:val="0"/>
          <w:sz w:val="32"/>
          <w:szCs w:val="32"/>
          <w:highlight w:val="none"/>
          <w:shd w:val="clear" w:color="auto" w:fill="FFFFFF"/>
          <w:lang w:val="zh-CN"/>
        </w:rPr>
        <w:t>项目决策。</w:t>
      </w:r>
    </w:p>
    <w:p w14:paraId="7CAD930D">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eastAsia="宋体"/>
          <w:lang w:val="en-US" w:eastAsia="zh-CN"/>
        </w:rPr>
      </w:pPr>
      <w:r>
        <w:rPr>
          <w:rFonts w:hint="eastAsia"/>
          <w:lang w:val="en-US" w:eastAsia="zh-CN"/>
        </w:rPr>
        <w:t xml:space="preserve">      </w:t>
      </w:r>
      <w:r>
        <w:rPr>
          <w:rFonts w:hint="eastAsia" w:ascii="Times New Roman" w:hAnsi="Times New Roman" w:eastAsia="仿宋_GB2312" w:cs="Times New Roman"/>
          <w:color w:val="auto"/>
          <w:kern w:val="2"/>
          <w:sz w:val="32"/>
          <w:szCs w:val="32"/>
          <w:lang w:val="en-US" w:eastAsia="zh-CN" w:bidi="ar-SA"/>
        </w:rPr>
        <w:t>抽取的5个项目决策程序合规，预算项目设立按规定履行评估论证、申报程序，决策程序得4分；</w:t>
      </w:r>
      <w:r>
        <w:rPr>
          <w:rFonts w:hint="eastAsia" w:ascii="Times New Roman" w:hAnsi="Times New Roman" w:eastAsia="仿宋_GB2312" w:cs="Times New Roman"/>
          <w:sz w:val="32"/>
          <w:szCs w:val="32"/>
          <w:lang w:val="zh-CN" w:eastAsia="zh-CN"/>
        </w:rPr>
        <w:t>目标设置</w:t>
      </w:r>
      <w:r>
        <w:rPr>
          <w:rFonts w:hint="eastAsia" w:ascii="Times New Roman" w:hAnsi="Times New Roman" w:eastAsia="仿宋_GB2312" w:cs="Times New Roman"/>
          <w:sz w:val="32"/>
          <w:szCs w:val="32"/>
          <w:lang w:val="en-US" w:eastAsia="zh-CN"/>
        </w:rPr>
        <w:t>合理，预算项目绩效目标与计划期内的任务量、预算安排的资金量相匹配，绩效目标设置科学合理、规范完整、量化细化、预算匹配程度高，目标设置得4分；项目入库及时，在规定时间完成项目入库，项目入库得4分，项目决策得12分。</w:t>
      </w:r>
    </w:p>
    <w:p w14:paraId="6106B854">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2.项目执行</w:t>
      </w:r>
      <w:r>
        <w:rPr>
          <w:rFonts w:hint="eastAsia" w:ascii="楷体_GB2312" w:hAnsi="楷体_GB2312" w:eastAsia="楷体_GB2312" w:cs="楷体_GB2312"/>
          <w:color w:val="000000"/>
          <w:kern w:val="0"/>
          <w:sz w:val="32"/>
          <w:szCs w:val="32"/>
          <w:highlight w:val="none"/>
          <w:shd w:val="clear" w:color="auto" w:fill="FFFFFF"/>
          <w:lang w:val="zh-CN"/>
        </w:rPr>
        <w:t>。</w:t>
      </w:r>
    </w:p>
    <w:p w14:paraId="70A5DD5C">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eastAsia="宋体"/>
          <w:lang w:val="en-US" w:eastAsia="zh-CN"/>
        </w:rPr>
      </w:pPr>
      <w:r>
        <w:rPr>
          <w:rFonts w:hint="eastAsia"/>
          <w:lang w:val="en-US" w:eastAsia="zh-CN"/>
        </w:rPr>
        <w:t xml:space="preserve">     </w:t>
      </w:r>
      <w:r>
        <w:rPr>
          <w:rFonts w:hint="eastAsia" w:ascii="Times New Roman" w:hAnsi="Times New Roman" w:eastAsia="仿宋_GB2312" w:cs="Times New Roman"/>
          <w:color w:val="auto"/>
          <w:kern w:val="2"/>
          <w:sz w:val="32"/>
          <w:szCs w:val="32"/>
          <w:lang w:val="en-US" w:eastAsia="zh-CN" w:bidi="ar-SA"/>
        </w:rPr>
        <w:t>抽取的5个项目</w:t>
      </w:r>
      <w:r>
        <w:rPr>
          <w:rFonts w:hint="eastAsia" w:ascii="Times New Roman" w:hAnsi="Times New Roman" w:eastAsia="仿宋_GB2312" w:cs="Times New Roman"/>
          <w:sz w:val="32"/>
          <w:szCs w:val="32"/>
          <w:lang w:val="en-US" w:eastAsia="zh-CN"/>
        </w:rPr>
        <w:t>实际列支内容与绩效目标设置方向相符，执行同向得4分；预算项目采取对应调整措施，及时纠正项目偏离度，项目调整得4分；预算项目预算执行率为100%，</w:t>
      </w:r>
      <w:r>
        <w:rPr>
          <w:rFonts w:hint="eastAsia" w:ascii="Times New Roman" w:hAnsi="Times New Roman" w:eastAsia="仿宋_GB2312" w:cs="Times New Roman"/>
          <w:sz w:val="32"/>
          <w:szCs w:val="32"/>
          <w:lang w:val="zh-CN" w:eastAsia="zh-CN"/>
        </w:rPr>
        <w:t>执行结果</w:t>
      </w:r>
      <w:r>
        <w:rPr>
          <w:rFonts w:hint="eastAsia" w:ascii="Times New Roman" w:hAnsi="Times New Roman" w:eastAsia="仿宋_GB2312" w:cs="Times New Roman"/>
          <w:sz w:val="32"/>
          <w:szCs w:val="32"/>
          <w:lang w:val="en-US" w:eastAsia="zh-CN"/>
        </w:rPr>
        <w:t>得4分，项目执行总计得分为12分。</w:t>
      </w:r>
    </w:p>
    <w:p w14:paraId="4626FFB8">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3.</w:t>
      </w:r>
      <w:r>
        <w:rPr>
          <w:rFonts w:hint="eastAsia" w:ascii="楷体_GB2312" w:hAnsi="楷体_GB2312" w:eastAsia="楷体_GB2312" w:cs="楷体_GB2312"/>
          <w:color w:val="000000"/>
          <w:kern w:val="0"/>
          <w:sz w:val="32"/>
          <w:szCs w:val="32"/>
          <w:highlight w:val="none"/>
          <w:shd w:val="clear" w:color="auto" w:fill="FFFFFF"/>
          <w:lang w:val="zh-CN"/>
        </w:rPr>
        <w:t>目标实现。</w:t>
      </w:r>
    </w:p>
    <w:p w14:paraId="68063D5B">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lang w:val="en-US" w:eastAsia="zh-CN" w:bidi="ar-SA"/>
        </w:rPr>
        <w:t>抽取的5个项目预算项目绩效目标数量指标完成情况分别为项目工作争取投资项目3个、完成固定资产投资4.2亿元；公共卫生服务工作市级和基层医疗机</w:t>
      </w:r>
      <w:r>
        <w:rPr>
          <w:rFonts w:hint="eastAsia" w:ascii="Times New Roman" w:hAnsi="Times New Roman" w:eastAsia="仿宋_GB2312" w:cs="Times New Roman"/>
          <w:color w:val="auto"/>
          <w:kern w:val="2"/>
          <w:sz w:val="32"/>
          <w:szCs w:val="32"/>
          <w:highlight w:val="none"/>
          <w:lang w:val="en-US" w:eastAsia="zh-CN" w:bidi="ar-SA"/>
        </w:rPr>
        <w:t>构业务培训人数190人、市级督导检查2次、开展绩效评价1次；中医事业发展工作中医药督查2次、中医药工作会1次；妇幼健康工作培训工作会议人数62人；职业病防治工作推进健康企业30家、</w:t>
      </w:r>
      <w:r>
        <w:rPr>
          <w:rFonts w:hint="eastAsia" w:ascii="Times New Roman" w:hAnsi="Times New Roman" w:eastAsia="仿宋_GB2312" w:cs="Times New Roman"/>
          <w:color w:val="auto"/>
          <w:kern w:val="2"/>
          <w:sz w:val="32"/>
          <w:szCs w:val="32"/>
          <w:lang w:val="en-US" w:eastAsia="zh-CN" w:bidi="ar-SA"/>
        </w:rPr>
        <w:t>职业健康检查14次、落实专兼职职业健康管理人员330人。5个项目数量指标均完成年初部门预算绩效设定目标值，目标完成得4分；预算项目绩效目标数量指标实现程度与预期目标未发生偏离，目标偏离得4分；预算项目绩效目标效益指标实施效果分别为项目工作守护健康工程得到提升；公共卫生服务工作业务人员培训参与率100%；</w:t>
      </w:r>
      <w:r>
        <w:rPr>
          <w:rFonts w:hint="eastAsia" w:ascii="Times New Roman" w:hAnsi="Times New Roman" w:eastAsia="仿宋_GB2312" w:cs="Times New Roman"/>
          <w:color w:val="auto"/>
          <w:kern w:val="2"/>
          <w:sz w:val="32"/>
          <w:szCs w:val="32"/>
          <w:highlight w:val="none"/>
          <w:lang w:val="en-US" w:eastAsia="zh-CN" w:bidi="ar-SA"/>
        </w:rPr>
        <w:t>中医事业发展工作中医药事业不断发展项目定性指标为优；妇幼健</w:t>
      </w:r>
      <w:r>
        <w:rPr>
          <w:rFonts w:hint="eastAsia" w:ascii="Times New Roman" w:hAnsi="Times New Roman" w:eastAsia="仿宋_GB2312" w:cs="Times New Roman"/>
          <w:color w:val="auto"/>
          <w:kern w:val="2"/>
          <w:sz w:val="32"/>
          <w:szCs w:val="32"/>
          <w:lang w:val="en-US" w:eastAsia="zh-CN" w:bidi="ar-SA"/>
        </w:rPr>
        <w:t>康工作培训人员业务能力</w:t>
      </w:r>
      <w:r>
        <w:rPr>
          <w:rFonts w:hint="eastAsia" w:ascii="Times New Roman" w:hAnsi="Times New Roman" w:eastAsia="仿宋_GB2312" w:cs="Times New Roman"/>
          <w:color w:val="auto"/>
          <w:kern w:val="2"/>
          <w:sz w:val="32"/>
          <w:szCs w:val="32"/>
          <w:highlight w:val="none"/>
          <w:lang w:val="en-US" w:eastAsia="zh-CN" w:bidi="ar-SA"/>
        </w:rPr>
        <w:t>项目定性指标为优；职业健康工作职业健康检查县区覆盖率100%，实现效果得3分，项目实现总体得分为11分。</w:t>
      </w:r>
    </w:p>
    <w:p w14:paraId="2B345644">
      <w:pPr>
        <w:pStyle w:val="2"/>
        <w:keepNext w:val="0"/>
        <w:keepLines w:val="0"/>
        <w:pageBreakBefore w:val="0"/>
        <w:widowControl w:val="0"/>
        <w:kinsoku/>
        <w:wordWrap/>
        <w:overflowPunct/>
        <w:topLinePunct w:val="0"/>
        <w:autoSpaceDE/>
        <w:autoSpaceDN/>
        <w:bidi w:val="0"/>
        <w:adjustRightInd/>
        <w:snapToGrid/>
        <w:spacing w:after="0"/>
        <w:textAlignment w:val="auto"/>
        <w:rPr>
          <w:rFonts w:hint="default"/>
          <w:lang w:val="en-US"/>
        </w:rPr>
      </w:pPr>
      <w:r>
        <w:rPr>
          <w:rFonts w:hint="eastAsia" w:ascii="Times New Roman" w:hAnsi="Times New Roman" w:eastAsia="仿宋_GB2312" w:cs="Times New Roman"/>
          <w:color w:val="auto"/>
          <w:kern w:val="2"/>
          <w:sz w:val="32"/>
          <w:szCs w:val="32"/>
          <w:highlight w:val="none"/>
          <w:lang w:val="en-US" w:eastAsia="zh-CN" w:bidi="ar-SA"/>
        </w:rPr>
        <w:t xml:space="preserve">    </w:t>
      </w:r>
      <w:r>
        <w:rPr>
          <w:rFonts w:hint="eastAsia" w:ascii="Times New Roman" w:hAnsi="Times New Roman" w:eastAsia="仿宋_GB2312" w:cs="Times New Roman"/>
          <w:sz w:val="32"/>
          <w:szCs w:val="32"/>
          <w:lang w:val="en-US" w:eastAsia="zh-CN"/>
        </w:rPr>
        <w:t xml:space="preserve"> 部门整体绩效评价项目绩效得分为35分。</w:t>
      </w:r>
    </w:p>
    <w:p w14:paraId="085F4CDA">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321" w:firstLineChars="100"/>
        <w:contextualSpacing/>
        <w:jc w:val="left"/>
        <w:textAlignment w:val="auto"/>
        <w:outlineLvl w:val="9"/>
        <w:rPr>
          <w:rFonts w:hint="eastAsia" w:ascii="Times New Roman" w:hAnsi="Times New Roman" w:cs="Times New Roman"/>
          <w:sz w:val="32"/>
          <w:szCs w:val="32"/>
          <w:highlight w:val="none"/>
          <w:u w:val="none"/>
          <w:lang w:eastAsia="zh-CN" w:bidi="ar"/>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Times New Roman" w:hAnsi="Times New Roman" w:eastAsia="楷体_GB2312" w:cs="Times New Roman"/>
          <w:b/>
          <w:bCs/>
          <w:color w:val="000000"/>
          <w:kern w:val="0"/>
          <w:sz w:val="32"/>
          <w:szCs w:val="32"/>
          <w:highlight w:val="none"/>
          <w:shd w:val="clear" w:color="auto" w:fill="FFFFFF"/>
          <w:lang w:val="en-US" w:eastAsia="zh-CN"/>
        </w:rPr>
        <w:t>三</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default" w:ascii="Times New Roman" w:hAnsi="Times New Roman" w:eastAsia="楷体_GB2312" w:cs="Times New Roman"/>
          <w:b/>
          <w:bCs/>
          <w:color w:val="000000"/>
          <w:kern w:val="0"/>
          <w:sz w:val="32"/>
          <w:szCs w:val="32"/>
          <w:highlight w:val="none"/>
          <w:shd w:val="clear" w:color="auto" w:fill="FFFFFF"/>
          <w:lang w:val="zh-CN" w:eastAsia="zh-CN"/>
        </w:rPr>
        <w:t>重点领域</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default" w:ascii="Times New Roman" w:hAnsi="Times New Roman" w:eastAsia="楷体_GB2312" w:cs="Times New Roman"/>
          <w:b/>
          <w:bCs/>
          <w:color w:val="000000"/>
          <w:kern w:val="0"/>
          <w:sz w:val="32"/>
          <w:szCs w:val="32"/>
          <w:highlight w:val="none"/>
          <w:shd w:val="clear" w:color="auto" w:fill="FFFFFF"/>
          <w:lang w:val="zh-CN" w:eastAsia="zh-CN"/>
        </w:rPr>
        <w:t>。</w:t>
      </w:r>
    </w:p>
    <w:p w14:paraId="6FBE46F4">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lang w:val="en-US" w:eastAsia="zh-CN"/>
        </w:rPr>
      </w:pPr>
      <w:r>
        <w:rPr>
          <w:rFonts w:hint="eastAsia"/>
          <w:lang w:val="en-US" w:eastAsia="zh-CN"/>
        </w:rPr>
        <w:t xml:space="preserve">     </w:t>
      </w:r>
      <w:r>
        <w:rPr>
          <w:rFonts w:hint="eastAsia" w:ascii="Times New Roman" w:hAnsi="Times New Roman" w:eastAsia="仿宋_GB2312" w:cs="Times New Roman"/>
          <w:color w:val="auto"/>
          <w:kern w:val="2"/>
          <w:sz w:val="32"/>
          <w:szCs w:val="32"/>
          <w:highlight w:val="none"/>
          <w:lang w:val="en-US" w:eastAsia="zh-CN" w:bidi="ar-SA"/>
        </w:rPr>
        <w:t>本年度实施新型冠状病毒感染疫情应急救治能力提升项目中央基建投资预算政府采购,采购项目总体预算为932万元，节约采购资金1.4万元，本年度资金执行率为70%，采购的主要内容为购置286台件医疗设备一批，主要有床旁监护仪86套、除颤监护仪22套、精密注射泵40套、输液泵20套、可视喉镜18套等分别划拨至各级医疗机构使用。</w:t>
      </w:r>
    </w:p>
    <w:p w14:paraId="42702C8E">
      <w:pPr>
        <w:keepNext w:val="0"/>
        <w:keepLines w:val="0"/>
        <w:pageBreakBefore w:val="0"/>
        <w:widowControl w:val="0"/>
        <w:numPr>
          <w:ilvl w:val="0"/>
          <w:numId w:val="0"/>
        </w:numPr>
        <w:kinsoku/>
        <w:wordWrap/>
        <w:overflowPunct/>
        <w:topLinePunct w:val="0"/>
        <w:autoSpaceDE/>
        <w:autoSpaceDN/>
        <w:bidi w:val="0"/>
        <w:snapToGrid w:val="0"/>
        <w:spacing w:line="600" w:lineRule="exact"/>
        <w:ind w:firstLine="643" w:firstLineChars="200"/>
        <w:textAlignment w:val="auto"/>
        <w:rPr>
          <w:rFonts w:hint="eastAsia" w:ascii="Times New Roman" w:hAnsi="Times New Roman" w:eastAsia="仿宋_GB2312" w:cs="Times New Roman"/>
          <w:sz w:val="32"/>
          <w:szCs w:val="32"/>
          <w:highlight w:val="none"/>
          <w:u w:val="none"/>
          <w:lang w:val="zh-CN" w:eastAsia="zh-CN" w:bidi="ar"/>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Times New Roman" w:hAnsi="Times New Roman" w:eastAsia="楷体_GB2312" w:cs="Times New Roman"/>
          <w:b/>
          <w:bCs/>
          <w:color w:val="000000"/>
          <w:kern w:val="0"/>
          <w:sz w:val="32"/>
          <w:szCs w:val="32"/>
          <w:highlight w:val="none"/>
          <w:shd w:val="clear" w:color="auto" w:fill="FFFFFF"/>
          <w:lang w:val="en-US" w:eastAsia="zh-CN"/>
        </w:rPr>
        <w:t>四</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default" w:ascii="Times New Roman" w:hAnsi="Times New Roman" w:eastAsia="楷体_GB2312" w:cs="Times New Roman"/>
          <w:b/>
          <w:bCs/>
          <w:color w:val="000000"/>
          <w:kern w:val="0"/>
          <w:sz w:val="32"/>
          <w:szCs w:val="32"/>
          <w:highlight w:val="none"/>
          <w:shd w:val="clear" w:color="auto" w:fill="FFFFFF"/>
          <w:lang w:val="zh-CN" w:eastAsia="zh-CN"/>
        </w:rPr>
        <w:t>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p>
    <w:p w14:paraId="356D5E4C">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textAlignment w:val="auto"/>
        <w:rPr>
          <w:rFonts w:hint="default" w:eastAsia="宋体"/>
          <w:lang w:val="en-US" w:eastAsia="zh-CN"/>
        </w:rPr>
      </w:pPr>
      <w:r>
        <w:rPr>
          <w:rFonts w:hint="eastAsia" w:ascii="Times New Roman" w:hAnsi="Times New Roman" w:eastAsia="仿宋_GB2312" w:cs="Times New Roman"/>
          <w:sz w:val="32"/>
          <w:szCs w:val="32"/>
          <w:lang w:val="en-US" w:eastAsia="zh-CN"/>
        </w:rPr>
        <w:t>将部门整体绩效评价工作结果应用于部门预算项目工作开展中，不断优化预算项目目标编制、项目执行效果实施、绩效整改等工作，适时纠正预算项目偏离度，及时公开预算项目绩效评价信息，让部门预算项目得到最优发展。</w:t>
      </w:r>
    </w:p>
    <w:p w14:paraId="0E25ADED">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eastAsia="黑体" w:cs="Times New Roman"/>
          <w:color w:val="000000"/>
          <w:kern w:val="0"/>
          <w:sz w:val="32"/>
          <w:szCs w:val="32"/>
          <w:highlight w:val="none"/>
          <w:shd w:val="clear" w:color="auto" w:fill="FFFFFF"/>
          <w:lang w:val="zh-CN"/>
        </w:rPr>
      </w:pPr>
      <w:r>
        <w:rPr>
          <w:rFonts w:hint="default" w:eastAsia="黑体" w:cs="Times New Roman"/>
          <w:color w:val="000000"/>
          <w:kern w:val="0"/>
          <w:sz w:val="32"/>
          <w:szCs w:val="32"/>
          <w:highlight w:val="none"/>
          <w:shd w:val="clear" w:color="auto" w:fill="FFFFFF"/>
          <w:lang w:val="zh-CN" w:eastAsia="zh-CN"/>
        </w:rPr>
        <w:t>四、</w:t>
      </w:r>
      <w:r>
        <w:rPr>
          <w:rFonts w:hint="default" w:eastAsia="黑体" w:cs="Times New Roman"/>
          <w:color w:val="000000"/>
          <w:kern w:val="0"/>
          <w:sz w:val="32"/>
          <w:szCs w:val="32"/>
          <w:highlight w:val="none"/>
          <w:shd w:val="clear" w:color="auto" w:fill="FFFFFF"/>
          <w:lang w:val="zh-CN"/>
        </w:rPr>
        <w:t>评价结论及建议</w:t>
      </w:r>
    </w:p>
    <w:p w14:paraId="368AB98F">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rPr>
        <w:t>（一）评价结论。</w:t>
      </w:r>
    </w:p>
    <w:p w14:paraId="00468C57">
      <w:pPr>
        <w:pStyle w:val="2"/>
        <w:keepNext w:val="0"/>
        <w:keepLines w:val="0"/>
        <w:pageBreakBefore w:val="0"/>
        <w:widowControl w:val="0"/>
        <w:kinsoku/>
        <w:wordWrap/>
        <w:overflowPunct/>
        <w:topLinePunct w:val="0"/>
        <w:autoSpaceDE/>
        <w:autoSpaceDN/>
        <w:bidi w:val="0"/>
        <w:adjustRightInd/>
        <w:snapToGrid/>
        <w:spacing w:after="0"/>
        <w:textAlignment w:val="auto"/>
        <w:rPr>
          <w:rFonts w:hint="default"/>
          <w:lang w:val="en-US" w:eastAsia="zh-CN"/>
        </w:rPr>
      </w:pPr>
      <w:r>
        <w:rPr>
          <w:rFonts w:hint="eastAsia"/>
          <w:lang w:val="en-US" w:eastAsia="zh-CN"/>
        </w:rPr>
        <w:t xml:space="preserve">       </w:t>
      </w:r>
      <w:r>
        <w:rPr>
          <w:rFonts w:hint="eastAsia" w:ascii="Times New Roman" w:hAnsi="Times New Roman" w:eastAsia="仿宋_GB2312" w:cs="Times New Roman"/>
          <w:color w:val="auto"/>
          <w:kern w:val="2"/>
          <w:sz w:val="32"/>
          <w:szCs w:val="32"/>
          <w:u w:val="none"/>
          <w:lang w:val="en-US" w:eastAsia="zh-CN" w:bidi="ar"/>
        </w:rPr>
        <w:t>本年度部门绩效评价总体较好，自评得分为96分。</w:t>
      </w:r>
    </w:p>
    <w:p w14:paraId="7971B7BD">
      <w:pPr>
        <w:keepNext w:val="0"/>
        <w:keepLines w:val="0"/>
        <w:pageBreakBefore w:val="0"/>
        <w:widowControl/>
        <w:numPr>
          <w:ilvl w:val="0"/>
          <w:numId w:val="1"/>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存在问题。</w:t>
      </w:r>
    </w:p>
    <w:p w14:paraId="60B88CA8">
      <w:pPr>
        <w:pStyle w:val="2"/>
        <w:keepNext w:val="0"/>
        <w:keepLines w:val="0"/>
        <w:pageBreakBefore w:val="0"/>
        <w:widowControl w:val="0"/>
        <w:kinsoku/>
        <w:wordWrap/>
        <w:overflowPunct/>
        <w:topLinePunct w:val="0"/>
        <w:autoSpaceDE/>
        <w:autoSpaceDN/>
        <w:bidi w:val="0"/>
        <w:adjustRightInd/>
        <w:snapToGrid/>
        <w:spacing w:after="0"/>
        <w:textAlignment w:val="auto"/>
        <w:rPr>
          <w:rFonts w:hint="default" w:eastAsia="楷体_GB2312"/>
          <w:lang w:val="en-US" w:eastAsia="zh-CN"/>
        </w:rPr>
      </w:pPr>
      <w:r>
        <w:rPr>
          <w:rFonts w:hint="eastAsia" w:ascii="Times New Roman" w:hAnsi="Times New Roman" w:eastAsia="楷体_GB2312" w:cs="Times New Roman"/>
          <w:b/>
          <w:bCs/>
          <w:color w:val="000000"/>
          <w:kern w:val="0"/>
          <w:sz w:val="32"/>
          <w:szCs w:val="32"/>
          <w:highlight w:val="none"/>
          <w:shd w:val="clear" w:color="auto" w:fill="FFFFFF"/>
          <w:lang w:val="en-US" w:eastAsia="zh-CN"/>
        </w:rPr>
        <w:t xml:space="preserve">     </w:t>
      </w:r>
      <w:r>
        <w:rPr>
          <w:rFonts w:hint="eastAsia" w:ascii="Times New Roman" w:hAnsi="Times New Roman" w:eastAsia="仿宋_GB2312" w:cs="Times New Roman"/>
          <w:color w:val="auto"/>
          <w:kern w:val="2"/>
          <w:sz w:val="32"/>
          <w:szCs w:val="32"/>
          <w:u w:val="none"/>
          <w:lang w:val="en-US" w:eastAsia="zh-CN" w:bidi="ar"/>
        </w:rPr>
        <w:t>本单位不涉及单位收入统筹指标，按照评分细则，直接为0分，有失公允。</w:t>
      </w:r>
    </w:p>
    <w:p w14:paraId="2858077B">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（三）改进建议。</w:t>
      </w:r>
      <w:bookmarkStart w:id="0" w:name="_Hlk110546638"/>
    </w:p>
    <w:p w14:paraId="1DB7A4CB">
      <w:pPr>
        <w:pStyle w:val="2"/>
        <w:keepNext w:val="0"/>
        <w:keepLines w:val="0"/>
        <w:pageBreakBefore w:val="0"/>
        <w:widowControl w:val="0"/>
        <w:kinsoku/>
        <w:wordWrap/>
        <w:overflowPunct/>
        <w:topLinePunct w:val="0"/>
        <w:autoSpaceDE/>
        <w:autoSpaceDN/>
        <w:bidi w:val="0"/>
        <w:adjustRightInd/>
        <w:snapToGrid/>
        <w:spacing w:after="0"/>
        <w:textAlignment w:val="auto"/>
        <w:rPr>
          <w:rFonts w:hint="default" w:eastAsia="楷体_GB2312"/>
          <w:lang w:val="en-US" w:eastAsia="zh-CN"/>
        </w:rPr>
      </w:pPr>
      <w:r>
        <w:rPr>
          <w:rFonts w:hint="eastAsia" w:ascii="Times New Roman" w:hAnsi="Times New Roman" w:eastAsia="楷体_GB2312" w:cs="Times New Roman"/>
          <w:b/>
          <w:bCs/>
          <w:color w:val="000000"/>
          <w:kern w:val="0"/>
          <w:sz w:val="32"/>
          <w:szCs w:val="32"/>
          <w:highlight w:val="none"/>
          <w:shd w:val="clear" w:color="auto" w:fill="FFFFFF"/>
          <w:lang w:val="en-US" w:eastAsia="zh-CN"/>
        </w:rPr>
        <w:t xml:space="preserve">     </w:t>
      </w:r>
      <w:r>
        <w:rPr>
          <w:rFonts w:hint="eastAsia" w:ascii="Times New Roman" w:hAnsi="Times New Roman" w:eastAsia="仿宋_GB2312" w:cs="Times New Roman"/>
          <w:color w:val="auto"/>
          <w:kern w:val="2"/>
          <w:sz w:val="32"/>
          <w:szCs w:val="32"/>
          <w:u w:val="none"/>
          <w:lang w:val="en-US" w:eastAsia="zh-CN" w:bidi="ar"/>
        </w:rPr>
        <w:t>建议将单位收入统筹不纳入考核机制或考核其他相应替代指标。</w:t>
      </w:r>
      <w:bookmarkStart w:id="1" w:name="_GoBack"/>
      <w:bookmarkEnd w:id="1"/>
    </w:p>
    <w:p w14:paraId="2E4270D5">
      <w:pPr>
        <w:pStyle w:val="2"/>
        <w:rPr>
          <w:rFonts w:hint="default"/>
          <w:lang w:val="en-US" w:eastAsia="zh-CN"/>
        </w:rPr>
      </w:pPr>
    </w:p>
    <w:bookmarkEnd w:id="0"/>
    <w:p w14:paraId="1F8B8F62">
      <w:pPr>
        <w:pStyle w:val="4"/>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color w:val="auto"/>
          <w:sz w:val="32"/>
          <w:szCs w:val="32"/>
          <w:highlight w:val="none"/>
          <w:lang w:val="zh-CN" w:eastAsia="zh-CN"/>
        </w:rPr>
      </w:pPr>
    </w:p>
    <w:p w14:paraId="7BE34787">
      <w:pPr>
        <w:pStyle w:val="4"/>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color w:val="auto"/>
          <w:sz w:val="32"/>
          <w:szCs w:val="32"/>
          <w:highlight w:val="none"/>
          <w:lang w:val="zh-CN" w:eastAsia="zh-CN"/>
        </w:rPr>
      </w:pPr>
      <w:r>
        <w:rPr>
          <w:rFonts w:hint="eastAsia" w:hAnsi="Times New Roman" w:cs="Times New Roman"/>
          <w:color w:val="auto"/>
          <w:sz w:val="32"/>
          <w:szCs w:val="32"/>
          <w:highlight w:val="none"/>
          <w:lang w:val="zh-CN" w:eastAsia="zh-CN"/>
        </w:rPr>
        <w:t>附表：</w:t>
      </w:r>
      <w:r>
        <w:rPr>
          <w:rFonts w:hint="eastAsia" w:hAnsi="Times New Roman" w:cs="Times New Roman"/>
          <w:color w:val="auto"/>
          <w:sz w:val="32"/>
          <w:szCs w:val="32"/>
          <w:highlight w:val="none"/>
          <w:lang w:val="en-US" w:eastAsia="zh-CN"/>
        </w:rPr>
        <w:t>部门预算项目支出绩效自评表（202</w:t>
      </w:r>
      <w:r>
        <w:rPr>
          <w:rFonts w:hint="eastAsia" w:cs="Times New Roman"/>
          <w:color w:val="auto"/>
          <w:sz w:val="32"/>
          <w:szCs w:val="32"/>
          <w:highlight w:val="none"/>
          <w:lang w:val="en-US" w:eastAsia="zh-CN"/>
        </w:rPr>
        <w:t>3</w:t>
      </w:r>
      <w:r>
        <w:rPr>
          <w:rFonts w:hint="eastAsia" w:hAnsi="Times New Roman" w:cs="Times New Roman"/>
          <w:color w:val="auto"/>
          <w:sz w:val="32"/>
          <w:szCs w:val="32"/>
          <w:highlight w:val="none"/>
          <w:lang w:val="en-US" w:eastAsia="zh-CN"/>
        </w:rPr>
        <w:t>年度）</w:t>
      </w:r>
    </w:p>
    <w:p w14:paraId="162C41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D51027"/>
    <w:multiLevelType w:val="singleLevel"/>
    <w:tmpl w:val="E9D5102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TUzZGFlMmM4YmFjNTQwY2MzZDc0YjE2MWU2ZDQifQ=="/>
  </w:docVars>
  <w:rsids>
    <w:rsidRoot w:val="00000000"/>
    <w:rsid w:val="03496948"/>
    <w:rsid w:val="060C4BB8"/>
    <w:rsid w:val="06416BB8"/>
    <w:rsid w:val="077641BB"/>
    <w:rsid w:val="07AA2823"/>
    <w:rsid w:val="0A610DAD"/>
    <w:rsid w:val="0BEA58E4"/>
    <w:rsid w:val="0CB63D7A"/>
    <w:rsid w:val="0D881DC9"/>
    <w:rsid w:val="118B294D"/>
    <w:rsid w:val="12993BC0"/>
    <w:rsid w:val="12B34675"/>
    <w:rsid w:val="16620C02"/>
    <w:rsid w:val="182427C0"/>
    <w:rsid w:val="18B21266"/>
    <w:rsid w:val="1CF70FBA"/>
    <w:rsid w:val="1F354C5D"/>
    <w:rsid w:val="227B5760"/>
    <w:rsid w:val="26CF1507"/>
    <w:rsid w:val="2A2A238C"/>
    <w:rsid w:val="2A96695A"/>
    <w:rsid w:val="2D623F06"/>
    <w:rsid w:val="30BB6743"/>
    <w:rsid w:val="34F36D08"/>
    <w:rsid w:val="38373BF1"/>
    <w:rsid w:val="385F1852"/>
    <w:rsid w:val="39D32C64"/>
    <w:rsid w:val="3BE376CF"/>
    <w:rsid w:val="3BE576B7"/>
    <w:rsid w:val="3D5D7415"/>
    <w:rsid w:val="3DCB6A74"/>
    <w:rsid w:val="3FA70E1B"/>
    <w:rsid w:val="40EA442D"/>
    <w:rsid w:val="41EC296D"/>
    <w:rsid w:val="446A2417"/>
    <w:rsid w:val="485668C8"/>
    <w:rsid w:val="4A541DEB"/>
    <w:rsid w:val="4A7364C9"/>
    <w:rsid w:val="4FF020B0"/>
    <w:rsid w:val="510355B0"/>
    <w:rsid w:val="521340EE"/>
    <w:rsid w:val="52FA3CCF"/>
    <w:rsid w:val="578D3B80"/>
    <w:rsid w:val="5A706581"/>
    <w:rsid w:val="5CDA1FA8"/>
    <w:rsid w:val="5D8B0051"/>
    <w:rsid w:val="5F255D06"/>
    <w:rsid w:val="61D0675C"/>
    <w:rsid w:val="63960648"/>
    <w:rsid w:val="64DB5A14"/>
    <w:rsid w:val="65707911"/>
    <w:rsid w:val="65953340"/>
    <w:rsid w:val="67CC2A16"/>
    <w:rsid w:val="67EF6069"/>
    <w:rsid w:val="682141EE"/>
    <w:rsid w:val="693E5CE8"/>
    <w:rsid w:val="6A0D36E7"/>
    <w:rsid w:val="6D787CC8"/>
    <w:rsid w:val="6F865AA7"/>
    <w:rsid w:val="72EE2746"/>
    <w:rsid w:val="73303D33"/>
    <w:rsid w:val="75942789"/>
    <w:rsid w:val="776641EE"/>
    <w:rsid w:val="7BA46B0A"/>
    <w:rsid w:val="7E2237B2"/>
    <w:rsid w:val="7F492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Body Text Indent"/>
    <w:basedOn w:val="1"/>
    <w:next w:val="4"/>
    <w:qFormat/>
    <w:uiPriority w:val="0"/>
    <w:pPr>
      <w:spacing w:after="120"/>
      <w:ind w:leftChars="200"/>
    </w:pPr>
    <w:rPr>
      <w:rFonts w:ascii="仿宋_GB2312"/>
      <w:szCs w:val="32"/>
    </w:rPr>
  </w:style>
  <w:style w:type="paragraph" w:styleId="4">
    <w:name w:val="Body Text First Indent 2"/>
    <w:basedOn w:val="3"/>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2435</Words>
  <Characters>2551</Characters>
  <Lines>0</Lines>
  <Paragraphs>0</Paragraphs>
  <TotalTime>5</TotalTime>
  <ScaleCrop>false</ScaleCrop>
  <LinksUpToDate>false</LinksUpToDate>
  <CharactersWithSpaces>2618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2024-09-19T01:40:00Z</dcterms:created>
  <dc:creator>dell</dc:creator>
  <cp:lastModifiedBy>这样就好</cp:lastModifiedBy>
  <dcterms:modified xsi:type="dcterms:W3CDTF">2024-09-23T03:53:16Z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9EF8626FA1914669B1319EC5ABC9E42D_12</vt:lpwstr>
  </property>
</Properties>
</file>