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76DC">
      <w:pPr>
        <w:pStyle w:val="5"/>
        <w:keepNext w:val="0"/>
        <w:keepLines w:val="0"/>
        <w:pageBreakBefore w:val="0"/>
        <w:widowControl w:val="0"/>
        <w:kinsoku/>
        <w:wordWrap/>
        <w:overflowPunct w:val="0"/>
        <w:topLinePunct w:val="0"/>
        <w:autoSpaceDE/>
        <w:autoSpaceDN/>
        <w:bidi w:val="0"/>
        <w:adjustRightInd w:val="0"/>
        <w:snapToGrid w:val="0"/>
        <w:spacing w:after="0" w:line="576" w:lineRule="exact"/>
        <w:textAlignment w:val="auto"/>
        <w:rPr>
          <w:rFonts w:hint="eastAsia" w:ascii="黑体" w:hAnsi="黑体" w:eastAsia="黑体" w:cs="黑体"/>
          <w:snapToGrid w:val="0"/>
          <w:color w:val="auto"/>
          <w:kern w:val="0"/>
          <w:position w:val="0"/>
          <w:sz w:val="32"/>
          <w:szCs w:val="32"/>
          <w:highlight w:val="none"/>
          <w:shd w:val="clear" w:color="auto" w:fill="FFFFFF"/>
          <w:lang w:val="en-US" w:eastAsia="zh-CN"/>
        </w:rPr>
      </w:pPr>
      <w:r>
        <w:rPr>
          <w:rFonts w:hint="eastAsia" w:ascii="黑体" w:hAnsi="黑体" w:eastAsia="黑体" w:cs="黑体"/>
          <w:snapToGrid w:val="0"/>
          <w:color w:val="auto"/>
          <w:kern w:val="0"/>
          <w:position w:val="0"/>
          <w:sz w:val="32"/>
          <w:szCs w:val="32"/>
          <w:highlight w:val="none"/>
          <w:shd w:val="clear" w:color="auto" w:fill="FFFFFF"/>
          <w:lang w:val="zh-CN"/>
        </w:rPr>
        <w:t>附件</w:t>
      </w:r>
      <w:r>
        <w:rPr>
          <w:rFonts w:hint="eastAsia" w:ascii="黑体" w:hAnsi="黑体" w:eastAsia="黑体" w:cs="黑体"/>
          <w:snapToGrid w:val="0"/>
          <w:color w:val="auto"/>
          <w:kern w:val="0"/>
          <w:position w:val="0"/>
          <w:sz w:val="32"/>
          <w:szCs w:val="32"/>
          <w:highlight w:val="none"/>
          <w:shd w:val="clear" w:color="auto" w:fill="FFFFFF"/>
          <w:lang w:val="en-US" w:eastAsia="zh-CN"/>
        </w:rPr>
        <w:t>2</w:t>
      </w:r>
    </w:p>
    <w:p w14:paraId="16B4A177">
      <w:pPr>
        <w:pStyle w:val="6"/>
        <w:rPr>
          <w:rFonts w:hint="eastAsia"/>
          <w:lang w:val="en-US" w:eastAsia="zh-CN"/>
        </w:rPr>
      </w:pPr>
    </w:p>
    <w:p w14:paraId="3CEC62C1">
      <w:pPr>
        <w:pStyle w:val="12"/>
        <w:keepNext w:val="0"/>
        <w:keepLines w:val="0"/>
        <w:pageBreakBefore w:val="0"/>
        <w:widowControl w:val="0"/>
        <w:kinsoku/>
        <w:wordWrap/>
        <w:overflowPunct w:val="0"/>
        <w:topLinePunct w:val="0"/>
        <w:autoSpaceDE/>
        <w:autoSpaceDN/>
        <w:bidi w:val="0"/>
        <w:adjustRightInd w:val="0"/>
        <w:snapToGrid w:val="0"/>
        <w:spacing w:line="740" w:lineRule="exact"/>
        <w:ind w:left="0" w:leftChars="0"/>
        <w:jc w:val="center"/>
        <w:textAlignment w:val="auto"/>
        <w:rPr>
          <w:rFonts w:hint="eastAsia" w:ascii="方正小标宋_GBK" w:hAnsi="方正小标宋_GBK" w:eastAsia="方正小标宋_GBK" w:cs="方正小标宋_GBK"/>
          <w:snapToGrid w:val="0"/>
          <w:color w:val="auto"/>
          <w:kern w:val="0"/>
          <w:position w:val="0"/>
          <w:sz w:val="44"/>
          <w:szCs w:val="44"/>
          <w:highlight w:val="none"/>
          <w:lang w:val="en-US" w:eastAsia="zh-CN"/>
        </w:rPr>
      </w:pPr>
      <w:r>
        <w:rPr>
          <w:rFonts w:hint="eastAsia" w:ascii="方正小标宋简体" w:hAnsi="方正小标宋简体" w:eastAsia="方正小标宋简体" w:cs="方正小标宋简体"/>
          <w:snapToGrid w:val="0"/>
          <w:color w:val="auto"/>
          <w:kern w:val="0"/>
          <w:position w:val="0"/>
          <w:sz w:val="44"/>
          <w:szCs w:val="44"/>
          <w:highlight w:val="none"/>
          <w:lang w:val="en-US" w:eastAsia="zh-CN"/>
        </w:rPr>
        <w:t>计划生育</w:t>
      </w:r>
      <w:r>
        <w:rPr>
          <w:rFonts w:hint="eastAsia" w:ascii="方正小标宋_GBK" w:hAnsi="方正小标宋_GBK" w:eastAsia="方正小标宋_GBK" w:cs="方正小标宋_GBK"/>
          <w:snapToGrid w:val="0"/>
          <w:color w:val="auto"/>
          <w:kern w:val="0"/>
          <w:position w:val="0"/>
          <w:sz w:val="44"/>
          <w:szCs w:val="44"/>
          <w:highlight w:val="none"/>
          <w:lang w:val="en-US" w:eastAsia="zh-CN"/>
        </w:rPr>
        <w:t>专项预算项目绩效评价报告</w:t>
      </w:r>
    </w:p>
    <w:p w14:paraId="51DA7AF4">
      <w:pPr>
        <w:pStyle w:val="12"/>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highlight w:val="none"/>
        </w:rPr>
      </w:pPr>
    </w:p>
    <w:p w14:paraId="01C524B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kern w:val="0"/>
          <w:position w:val="0"/>
          <w:sz w:val="32"/>
          <w:szCs w:val="32"/>
          <w:highlight w:val="none"/>
          <w:lang w:val="zh-CN"/>
        </w:rPr>
      </w:pPr>
      <w:r>
        <w:rPr>
          <w:rFonts w:hint="eastAsia" w:ascii="黑体" w:hAnsi="黑体" w:eastAsia="黑体" w:cs="黑体"/>
          <w:b w:val="0"/>
          <w:bCs w:val="0"/>
          <w:snapToGrid w:val="0"/>
          <w:kern w:val="0"/>
          <w:position w:val="0"/>
          <w:sz w:val="32"/>
          <w:szCs w:val="32"/>
          <w:highlight w:val="none"/>
        </w:rPr>
        <w:t>一、</w:t>
      </w:r>
      <w:r>
        <w:rPr>
          <w:rFonts w:hint="eastAsia" w:ascii="黑体" w:hAnsi="黑体" w:eastAsia="黑体" w:cs="黑体"/>
          <w:b w:val="0"/>
          <w:bCs w:val="0"/>
          <w:snapToGrid w:val="0"/>
          <w:kern w:val="0"/>
          <w:position w:val="0"/>
          <w:sz w:val="32"/>
          <w:szCs w:val="32"/>
          <w:highlight w:val="none"/>
          <w:lang w:val="zh-CN"/>
        </w:rPr>
        <w:t>项目概况</w:t>
      </w:r>
    </w:p>
    <w:p w14:paraId="4A38DA8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shd w:val="clear" w:color="auto" w:fill="FFFFFF"/>
          <w:lang w:val="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（一）设立背景及基本情况。</w:t>
      </w:r>
    </w:p>
    <w:p w14:paraId="47A32784">
      <w:pPr>
        <w:pStyle w:val="6"/>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pP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14:textFill>
            <w14:solidFill>
              <w14:schemeClr w14:val="tx1"/>
            </w14:solidFill>
          </w14:textFill>
        </w:rPr>
        <w:t>上世纪七十年代，为了控制</w:t>
      </w: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lang w:eastAsia="zh-CN"/>
          <w14:textFill>
            <w14:solidFill>
              <w14:schemeClr w14:val="tx1"/>
            </w14:solidFill>
          </w14:textFill>
        </w:rPr>
        <w:t>全国</w:t>
      </w: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14:textFill>
            <w14:solidFill>
              <w14:schemeClr w14:val="tx1"/>
            </w14:solidFill>
          </w14:textFill>
        </w:rPr>
        <w:t>人口增长和促进经济发展，解决资源紧张和社会负担过重的问题</w:t>
      </w: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lang w:eastAsia="zh-CN"/>
          <w14:textFill>
            <w14:solidFill>
              <w14:schemeClr w14:val="tx1"/>
            </w14:solidFill>
          </w14:textFill>
        </w:rPr>
        <w:t>，国家</w:t>
      </w: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14:textFill>
            <w14:solidFill>
              <w14:schemeClr w14:val="tx1"/>
            </w14:solidFill>
          </w14:textFill>
        </w:rPr>
        <w:t>提出了计划生育政策</w:t>
      </w:r>
      <w:r>
        <w:rPr>
          <w:rFonts w:hint="eastAsia" w:ascii="仿宋_GB2312" w:hAnsi="仿宋_GB2312" w:eastAsia="仿宋_GB2312" w:cs="仿宋_GB2312"/>
          <w:b w:val="0"/>
          <w:bCs w:val="0"/>
          <w:i w:val="0"/>
          <w:caps w:val="0"/>
          <w:snapToGrid w:val="0"/>
          <w:color w:val="000000" w:themeColor="text1"/>
          <w:spacing w:val="0"/>
          <w:kern w:val="0"/>
          <w:position w:val="0"/>
          <w:sz w:val="32"/>
          <w:szCs w:val="32"/>
          <w:shd w:val="clear" w:fill="FFFFFF"/>
          <w:lang w:eastAsia="zh-CN"/>
          <w14:textFill>
            <w14:solidFill>
              <w14:schemeClr w14:val="tx1"/>
            </w14:solidFill>
          </w14:textFill>
        </w:rPr>
        <w:t>，因此形成了此类重点人群。</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长期以来，我市始终把关心帮扶计生特殊家庭</w:t>
      </w:r>
      <w:r>
        <w:rPr>
          <w:rFonts w:hint="eastAsia" w:ascii="仿宋_GB2312" w:hAnsi="仿宋_GB2312" w:eastAsia="仿宋_GB2312" w:cs="仿宋_GB2312"/>
          <w:b w:val="0"/>
          <w:bCs w:val="0"/>
          <w:snapToGrid w:val="0"/>
          <w:color w:val="000000" w:themeColor="text1"/>
          <w:kern w:val="0"/>
          <w:position w:val="0"/>
          <w:sz w:val="32"/>
          <w:szCs w:val="32"/>
          <w:shd w:val="clear" w:color="auto" w:fill="FFFFFF"/>
          <w14:textFill>
            <w14:solidFill>
              <w14:schemeClr w14:val="tx1"/>
            </w14:solidFill>
          </w14:textFill>
        </w:rPr>
        <w:t>工作</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作为重要政治任务，</w:t>
      </w:r>
      <w:r>
        <w:rPr>
          <w:rFonts w:hint="eastAsia" w:ascii="仿宋_GB2312" w:hAnsi="仿宋_GB2312" w:eastAsia="仿宋_GB2312" w:cs="仿宋_GB2312"/>
          <w:b w:val="0"/>
          <w:bCs w:val="0"/>
          <w:snapToGrid w:val="0"/>
          <w:color w:val="000000" w:themeColor="text1"/>
          <w:kern w:val="0"/>
          <w:position w:val="0"/>
          <w:sz w:val="32"/>
          <w:szCs w:val="32"/>
          <w:shd w:val="clear" w:color="auto" w:fill="FFFFFF"/>
          <w14:textFill>
            <w14:solidFill>
              <w14:schemeClr w14:val="tx1"/>
            </w14:solidFill>
          </w14:textFill>
        </w:rPr>
        <w:t>忠实履行职责使命，</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充分发挥党和政府联系计生特殊家庭的桥梁纽带作用，积极协调市县乡村四级合力优势，广泛动员社会力量主动参与，探索出了一条党和政府对计生特殊家庭关怀扶助的有效途径，取得了资金管理使用规范、全过程监管透明公开和社会满意度较高等工作成绩，</w:t>
      </w:r>
      <w:r>
        <w:rPr>
          <w:rFonts w:hint="eastAsia" w:ascii="仿宋_GB2312" w:hAnsi="仿宋_GB2312" w:eastAsia="仿宋_GB2312" w:cs="仿宋_GB2312"/>
          <w:b w:val="0"/>
          <w:bCs w:val="0"/>
          <w:snapToGrid w:val="0"/>
          <w:color w:val="000000" w:themeColor="text1"/>
          <w:kern w:val="0"/>
          <w:position w:val="0"/>
          <w:sz w:val="32"/>
          <w:szCs w:val="32"/>
          <w:shd w:val="clear" w:color="auto" w:fill="FFFFFF"/>
          <w14:textFill>
            <w14:solidFill>
              <w14:schemeClr w14:val="tx1"/>
            </w14:solidFill>
          </w14:textFill>
        </w:rPr>
        <w:t>维护了群众合法权益、促进了社会和谐稳定。</w:t>
      </w:r>
      <w:r>
        <w:rPr>
          <w:rFonts w:hint="eastAsia" w:ascii="仿宋_GB2312" w:hAnsi="仿宋_GB2312" w:eastAsia="仿宋_GB2312" w:cs="仿宋_GB2312"/>
          <w:b w:val="0"/>
          <w:bCs w:val="0"/>
          <w:snapToGrid w:val="0"/>
          <w:color w:val="000000" w:themeColor="text1"/>
          <w:kern w:val="0"/>
          <w:position w:val="0"/>
          <w:sz w:val="32"/>
          <w:szCs w:val="32"/>
          <w:shd w:val="clear" w:color="auto" w:fill="FFFFFF"/>
          <w:lang w:eastAsia="zh-CN"/>
          <w14:textFill>
            <w14:solidFill>
              <w14:schemeClr w14:val="tx1"/>
            </w14:solidFill>
          </w14:textFill>
        </w:rPr>
        <w:t>此项工作由</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市卫生健康委负责牵总推动，各县（区）卫生健康局、广元经济技术开发区</w:t>
      </w:r>
      <w:r>
        <w:rPr>
          <w:rFonts w:hint="eastAsia" w:ascii="仿宋_GB2312" w:hAnsi="仿宋_GB2312" w:eastAsia="仿宋_GB2312" w:cs="仿宋_GB2312"/>
          <w:b w:val="0"/>
          <w:bCs w:val="0"/>
          <w:snapToGrid w:val="0"/>
          <w:color w:val="000000" w:themeColor="text1"/>
          <w:spacing w:val="0"/>
          <w:kern w:val="0"/>
          <w:position w:val="0"/>
          <w:sz w:val="32"/>
          <w:szCs w:val="32"/>
          <w:lang w:bidi="ar-SA"/>
          <w14:textFill>
            <w14:solidFill>
              <w14:schemeClr w14:val="tx1"/>
            </w14:solidFill>
          </w14:textFill>
        </w:rPr>
        <w:t>社会事务保障局全面</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负责农村部分计划生育家庭奖励和特别扶助资金工作的具体实施</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多年来，全市未发生一例无理闹访、缠访和赴省进京越级上访事件。</w:t>
      </w:r>
    </w:p>
    <w:p w14:paraId="6759FACF">
      <w:pPr>
        <w:pStyle w:val="5"/>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广元市幅员面积16319平方公里</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现辖四个扩权县（苍溪县、旺苍县、剑阁县、青川县）和四个非扩权县（利州区、昭化区、朝天区、广元经济技术开发区）</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202</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3</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年末，全市常住人口22</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4</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9</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万人，其中城镇人口1</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11.48</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万人、乡村人口11</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3</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42</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万人。截至202</w:t>
      </w:r>
      <w:r>
        <w:rPr>
          <w:rFonts w:hint="eastAsia" w:ascii="仿宋_GB2312" w:hAnsi="仿宋_GB2312" w:eastAsia="仿宋_GB2312" w:cs="仿宋_GB2312"/>
          <w:b w:val="0"/>
          <w:bCs w:val="0"/>
          <w:snapToGrid w:val="0"/>
          <w:color w:val="000000" w:themeColor="text1"/>
          <w:kern w:val="0"/>
          <w:position w:val="0"/>
          <w:sz w:val="32"/>
          <w:szCs w:val="32"/>
          <w:lang w:val="en-US" w:eastAsia="zh-CN"/>
          <w14:textFill>
            <w14:solidFill>
              <w14:schemeClr w14:val="tx1"/>
            </w14:solidFill>
          </w14:textFill>
        </w:rPr>
        <w:t>3</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年12月底，全市</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现有</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享受农村部分</w:t>
      </w:r>
      <w:r>
        <w:rPr>
          <w:rFonts w:hint="eastAsia" w:ascii="仿宋_GB2312" w:hAnsi="仿宋_GB2312" w:eastAsia="仿宋_GB2312" w:cs="仿宋_GB2312"/>
          <w:b w:val="0"/>
          <w:bCs w:val="0"/>
          <w:snapToGrid w:val="0"/>
          <w:color w:val="000000" w:themeColor="text1"/>
          <w:kern w:val="0"/>
          <w:position w:val="0"/>
          <w:sz w:val="32"/>
          <w:szCs w:val="32"/>
          <w:highlight w:val="none"/>
          <w14:textFill>
            <w14:solidFill>
              <w14:schemeClr w14:val="tx1"/>
            </w14:solidFill>
          </w14:textFill>
        </w:rPr>
        <w:t>计划生育家庭奖励扶助对象122802人，</w:t>
      </w:r>
      <w:r>
        <w:rPr>
          <w:rFonts w:hint="eastAsia" w:ascii="仿宋_GB2312" w:hAnsi="仿宋_GB2312" w:eastAsia="仿宋_GB2312" w:cs="仿宋_GB2312"/>
          <w:b w:val="0"/>
          <w:bCs w:val="0"/>
          <w:snapToGrid w:val="0"/>
          <w:color w:val="000000" w:themeColor="text1"/>
          <w:kern w:val="0"/>
          <w:position w:val="0"/>
          <w:sz w:val="32"/>
          <w:szCs w:val="32"/>
          <w:highlight w:val="none"/>
          <w:lang w:val="en-US" w:eastAsia="zh-CN" w:bidi="ar-SA"/>
          <w14:textFill>
            <w14:solidFill>
              <w14:schemeClr w14:val="tx1"/>
            </w14:solidFill>
          </w14:textFill>
        </w:rPr>
        <w:t>停发32人；享受计划生育家庭特别扶助对象4847人,其中：死亡对象3414人，伤残对象1433人、特扶（其他）对象1140人；独生子</w:t>
      </w:r>
      <w:r>
        <w:rPr>
          <w:rFonts w:hint="eastAsia" w:ascii="仿宋_GB2312" w:hAnsi="仿宋_GB2312" w:eastAsia="仿宋_GB2312" w:cs="仿宋_GB2312"/>
          <w:b w:val="0"/>
          <w:bCs w:val="0"/>
          <w:snapToGrid w:val="0"/>
          <w:color w:val="000000" w:themeColor="text1"/>
          <w:kern w:val="0"/>
          <w:position w:val="0"/>
          <w:sz w:val="32"/>
          <w:szCs w:val="32"/>
          <w:highlight w:val="none"/>
          <w14:textFill>
            <w14:solidFill>
              <w14:schemeClr w14:val="tx1"/>
            </w14:solidFill>
          </w14:textFill>
        </w:rPr>
        <w:t>女父母奖励对象19606人，市计划生育特困家庭扶助对象2292户。</w:t>
      </w:r>
    </w:p>
    <w:p w14:paraId="26C806D7">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实施目的及支持方向。</w:t>
      </w:r>
    </w:p>
    <w:p w14:paraId="0E781EB7">
      <w:pPr>
        <w:pStyle w:val="13"/>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我委于2023年5月9日印发了《广元市卫生健康预算绩效管理办法的通知》（广卫发〔2023〕4号），进一步规范绩效管理全过程工作流程。对全市每个计划生育特殊家庭实行重点扶助关怀，以心灵抚慰最大限度减轻他们的精神压力，以真帮实扶尽最大努力解决他们生活上的后顾之忧。项目支持农村部分计划生育家庭奖励扶助、计划生育家庭特别扶助及独生子女父母奖励等补助对象。</w:t>
      </w:r>
    </w:p>
    <w:p w14:paraId="05C111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预算安排及分配管理</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w:t>
      </w:r>
    </w:p>
    <w:p w14:paraId="648E44C2">
      <w:pPr>
        <w:pStyle w:val="13"/>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计划生育服务项目资金由中央、省、市县资金构成，总预算数为17874.59万元、执行数为17816.05万元，资金执行率为99.67%，其中中央资金预算数为10934.29万元、执行数为10934.29万元，执行率为100%；省级资金预算数为3666.98万元、执行数为3666.98万元，执行率为100%；市县资金预算数为3273.32万元、执行数为3214.78</w:t>
      </w:r>
      <w:bookmarkStart w:id="0" w:name="_GoBack"/>
      <w:bookmarkEnd w:id="0"/>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万元，执行率为98.21%。</w:t>
      </w:r>
    </w:p>
    <w:p w14:paraId="7C2675F4">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pPr>
      <w:r>
        <w:rPr>
          <w:rFonts w:hint="eastAsia" w:ascii="楷体_GB2312" w:hAnsi="楷体_GB2312" w:eastAsia="楷体_GB2312" w:cs="楷体_GB2312"/>
          <w:b w:val="0"/>
          <w:bCs w:val="0"/>
          <w:snapToGrid w:val="0"/>
          <w:color w:val="auto"/>
          <w:kern w:val="0"/>
          <w:position w:val="0"/>
          <w:sz w:val="32"/>
          <w:szCs w:val="32"/>
          <w:lang w:val="zh-CN" w:eastAsia="zh-CN" w:bidi="ar-SA"/>
        </w:rPr>
        <w:t>（四）</w:t>
      </w:r>
      <w:r>
        <w:rPr>
          <w:rFonts w:hint="eastAsia" w:ascii="楷体_GB2312" w:hAnsi="楷体_GB2312" w:eastAsia="楷体_GB2312" w:cs="楷体_GB2312"/>
          <w:b w:val="0"/>
          <w:bCs w:val="0"/>
          <w:snapToGrid w:val="0"/>
          <w:color w:val="auto"/>
          <w:kern w:val="0"/>
          <w:position w:val="0"/>
          <w:sz w:val="32"/>
          <w:szCs w:val="32"/>
          <w:highlight w:val="none"/>
          <w:u w:val="none"/>
          <w:lang w:val="zh-CN" w:eastAsia="zh-CN"/>
        </w:rPr>
        <w:t>项目绩效目标设置。</w:t>
      </w:r>
    </w:p>
    <w:p w14:paraId="2B977DB1">
      <w:pPr>
        <w:pStyle w:val="13"/>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对标《国家卫生健康委员会办公厅  财政部办公厅关于印发计划生育家庭扶助制度管理规范的通知》（国卫办人口发〔2023〕15号）精神和要求进行目标设置，根据《四川省卫生健康委员会办公室关于做好2023年度中央、省级计划生育服务项目绩效自评工作的通知》（川卫办人口家庭便函〔2024〕6号）要求开展相关工作。我市也完善制定了计划生育服务项目资金管理相关制度，明确了工作原则、要求和开支范围、程序、办法及标准、审批权限等内容，并认真做到严格执行财务管理等相关制度。各县区对新增对象均严格按照“乡镇（街道）核查、初审、公示、复查抽查、年审”的流程和要求进行了资格确认，确保享受对象准确无误。2024年1月3-12日，市卫生健康委工作组全体成员深入各县区基层乡镇和村组一线，采取入户走访、群众访谈、查阅资料、信息核实、电话询问等方式，按照当年新增对象和历年对象6%的比例，对全市8个县（区）、16个乡镇、32个村开展了市级项目质量抽查工作，重点对历年和2024年新增计划生育家庭奖励扶助、特别扶助人员信息进行了线上和线下比对核实。2023年，全市未发生一例无理闹访、缠访和赴省进京越级上访事件，圆满完成2023年度计划生育服务项目绩效自评各项工作任务。</w:t>
      </w:r>
    </w:p>
    <w:p w14:paraId="047B02F6">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黑体" w:hAnsi="黑体" w:eastAsia="黑体" w:cs="黑体"/>
          <w:b w:val="0"/>
          <w:bCs w:val="0"/>
          <w:snapToGrid w:val="0"/>
          <w:kern w:val="0"/>
          <w:position w:val="0"/>
          <w:sz w:val="32"/>
          <w:szCs w:val="32"/>
          <w:highlight w:val="none"/>
          <w:lang w:eastAsia="zh-CN"/>
        </w:rPr>
      </w:pPr>
      <w:r>
        <w:rPr>
          <w:rFonts w:hint="eastAsia" w:ascii="黑体" w:hAnsi="黑体" w:eastAsia="黑体" w:cs="黑体"/>
          <w:b w:val="0"/>
          <w:bCs w:val="0"/>
          <w:snapToGrid w:val="0"/>
          <w:kern w:val="0"/>
          <w:position w:val="0"/>
          <w:sz w:val="32"/>
          <w:szCs w:val="32"/>
          <w:highlight w:val="none"/>
        </w:rPr>
        <w:t>二、</w:t>
      </w:r>
      <w:r>
        <w:rPr>
          <w:rFonts w:hint="eastAsia" w:ascii="黑体" w:hAnsi="黑体" w:eastAsia="黑体" w:cs="黑体"/>
          <w:b w:val="0"/>
          <w:bCs w:val="0"/>
          <w:snapToGrid w:val="0"/>
          <w:kern w:val="0"/>
          <w:position w:val="0"/>
          <w:sz w:val="32"/>
          <w:szCs w:val="32"/>
          <w:highlight w:val="none"/>
          <w:lang w:eastAsia="zh-CN"/>
        </w:rPr>
        <w:t>评价实施</w:t>
      </w:r>
    </w:p>
    <w:p w14:paraId="3652A06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（一）评价目的。</w:t>
      </w:r>
    </w:p>
    <w:p w14:paraId="48579B9A">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highlight w:val="none"/>
          <w:u w:val="none"/>
          <w:lang w:val="zh-CN" w:eastAsia="zh-CN"/>
          <w14:textFill>
            <w14:solidFill>
              <w14:schemeClr w14:val="tx1"/>
            </w14:solidFill>
          </w14:textFill>
        </w:rPr>
      </w:pPr>
      <w:r>
        <w:rPr>
          <w:rFonts w:hint="eastAsia" w:ascii="仿宋_GB2312" w:hAnsi="仿宋_GB2312" w:eastAsia="仿宋_GB2312" w:cs="仿宋_GB2312"/>
          <w:b w:val="0"/>
          <w:bCs w:val="0"/>
          <w:snapToGrid w:val="0"/>
          <w:color w:val="000000" w:themeColor="text1"/>
          <w:spacing w:val="0"/>
          <w:kern w:val="0"/>
          <w:position w:val="0"/>
          <w:sz w:val="32"/>
          <w:szCs w:val="32"/>
          <w:shd w:val="clear" w:color="auto" w:fill="FFFFFF"/>
          <w:lang w:eastAsia="zh-CN"/>
          <w14:textFill>
            <w14:solidFill>
              <w14:schemeClr w14:val="tx1"/>
            </w14:solidFill>
          </w14:textFill>
        </w:rPr>
        <w:t>一是</w:t>
      </w:r>
      <w:r>
        <w:rPr>
          <w:rFonts w:hint="eastAsia" w:ascii="仿宋_GB2312" w:hAnsi="仿宋_GB2312" w:eastAsia="仿宋_GB2312" w:cs="仿宋_GB2312"/>
          <w:b w:val="0"/>
          <w:bCs w:val="0"/>
          <w:snapToGrid w:val="0"/>
          <w:color w:val="000000" w:themeColor="text1"/>
          <w:spacing w:val="0"/>
          <w:kern w:val="0"/>
          <w:position w:val="0"/>
          <w:sz w:val="32"/>
          <w:szCs w:val="32"/>
          <w:shd w:val="clear" w:color="auto" w:fill="FFFFFF"/>
          <w14:textFill>
            <w14:solidFill>
              <w14:schemeClr w14:val="tx1"/>
            </w14:solidFill>
          </w14:textFill>
        </w:rPr>
        <w:t>项目资金</w:t>
      </w:r>
      <w:r>
        <w:rPr>
          <w:rFonts w:hint="eastAsia" w:ascii="仿宋_GB2312" w:hAnsi="仿宋_GB2312" w:eastAsia="仿宋_GB2312" w:cs="仿宋_GB2312"/>
          <w:b w:val="0"/>
          <w:bCs w:val="0"/>
          <w:snapToGrid w:val="0"/>
          <w:color w:val="000000" w:themeColor="text1"/>
          <w:spacing w:val="0"/>
          <w:kern w:val="0"/>
          <w:position w:val="0"/>
          <w:sz w:val="32"/>
          <w:szCs w:val="32"/>
          <w:shd w:val="clear" w:color="auto" w:fill="FFFFFF"/>
          <w:lang w:eastAsia="zh-CN"/>
          <w14:textFill>
            <w14:solidFill>
              <w14:schemeClr w14:val="tx1"/>
            </w14:solidFill>
          </w14:textFill>
        </w:rPr>
        <w:t>是否</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足额通过“一卡通”系统发放到人</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r>
        <w:rPr>
          <w:rFonts w:hint="eastAsia" w:ascii="仿宋_GB2312" w:hAnsi="仿宋_GB2312" w:eastAsia="仿宋_GB2312" w:cs="仿宋_GB2312"/>
          <w:b w:val="0"/>
          <w:bCs w:val="0"/>
          <w:snapToGrid w:val="0"/>
          <w:color w:val="000000" w:themeColor="text1"/>
          <w:spacing w:val="0"/>
          <w:kern w:val="0"/>
          <w:position w:val="0"/>
          <w:sz w:val="32"/>
          <w:szCs w:val="32"/>
          <w:shd w:val="clear" w:color="auto" w:fill="FFFFFF"/>
          <w:lang w:eastAsia="zh-CN"/>
          <w14:textFill>
            <w14:solidFill>
              <w14:schemeClr w14:val="tx1"/>
            </w14:solidFill>
          </w14:textFill>
        </w:rPr>
        <w:t>规范执行。二是</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项目运行管理</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是否</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严格执行财务管理等相关制度。</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三是</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数据质量</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是否科学、规范。</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情况。</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四是是否</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发生一例无理闹访、缠访和赴省进京越级上访事件</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p>
    <w:p w14:paraId="4C69F9C9">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（二）</w:t>
      </w:r>
      <w:r>
        <w:rPr>
          <w:rFonts w:hint="eastAsia" w:ascii="楷体_GB2312" w:hAnsi="楷体_GB2312" w:eastAsia="楷体_GB2312" w:cs="楷体_GB2312"/>
          <w:b w:val="0"/>
          <w:bCs w:val="0"/>
          <w:snapToGrid w:val="0"/>
          <w:color w:val="auto"/>
          <w:kern w:val="0"/>
          <w:position w:val="0"/>
          <w:sz w:val="32"/>
          <w:szCs w:val="32"/>
          <w:highlight w:val="none"/>
          <w:u w:val="none"/>
          <w:lang w:val="zh-CN"/>
        </w:rPr>
        <w:t>预设问题及评价重点。</w:t>
      </w:r>
    </w:p>
    <w:p w14:paraId="5AD58CEC">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kern w:val="0"/>
          <w:position w:val="0"/>
          <w:sz w:val="32"/>
          <w:szCs w:val="32"/>
          <w:lang w:val="en-US" w:eastAsia="zh-CN"/>
        </w:rPr>
      </w:pPr>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项目资金分配使用符合川财社〔2022〕154号、川财社〔2023〕74号文件要求，项目进度按照实施方案有序开展。</w:t>
      </w:r>
    </w:p>
    <w:p w14:paraId="681EA918">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（三）评价选点。</w:t>
      </w:r>
    </w:p>
    <w:p w14:paraId="7EF64BBD">
      <w:pPr>
        <w:pStyle w:val="9"/>
        <w:keepNext w:val="0"/>
        <w:keepLines w:val="0"/>
        <w:pageBreakBefore w:val="0"/>
        <w:widowControl w:val="0"/>
        <w:numPr>
          <w:ilvl w:val="0"/>
          <w:numId w:val="0"/>
        </w:numPr>
        <w:suppressLineNumbers w:val="0"/>
        <w:pBdr>
          <w:between w:val="none" w:color="auto" w:sz="0" w:space="0"/>
        </w:pBdr>
        <w:suppressAutoHyphens/>
        <w:kinsoku/>
        <w:wordWrap/>
        <w:overflowPunct w:val="0"/>
        <w:topLinePunct w:val="0"/>
        <w:autoSpaceDE/>
        <w:autoSpaceDN/>
        <w:bidi w:val="0"/>
        <w:adjustRightInd w:val="0"/>
        <w:snapToGrid w:val="0"/>
        <w:spacing w:before="0" w:beforeAutospacing="0" w:afterAutospacing="0"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highlight w:val="none"/>
          <w:lang w:val="zh-CN"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按照当年新增对象和历年对象6%的比例，对全市8个县（区）、16个乡镇、32个村开展了市级项目质量抽查工作</w:t>
      </w:r>
      <w:r>
        <w:rPr>
          <w:rFonts w:hint="eastAsia" w:ascii="仿宋_GB2312" w:hAnsi="仿宋_GB2312" w:eastAsia="仿宋_GB2312" w:cs="仿宋_GB2312"/>
          <w:b w:val="0"/>
          <w:bCs w:val="0"/>
          <w:snapToGrid w:val="0"/>
          <w:color w:val="000000" w:themeColor="text1"/>
          <w:kern w:val="0"/>
          <w:position w:val="0"/>
          <w:sz w:val="32"/>
          <w:szCs w:val="32"/>
          <w:lang w:eastAsia="zh-CN" w:bidi="ar-SA"/>
          <w14:textFill>
            <w14:solidFill>
              <w14:schemeClr w14:val="tx1"/>
            </w14:solidFill>
          </w14:textFill>
        </w:rPr>
        <w:t>。</w:t>
      </w:r>
    </w:p>
    <w:p w14:paraId="3EE04CC7">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w:t>
      </w:r>
      <w:r>
        <w:rPr>
          <w:rFonts w:hint="eastAsia" w:ascii="楷体_GB2312" w:hAnsi="楷体_GB2312" w:eastAsia="楷体_GB2312" w:cs="楷体_GB2312"/>
          <w:b w:val="0"/>
          <w:bCs w:val="0"/>
          <w:snapToGrid w:val="0"/>
          <w:color w:val="auto"/>
          <w:kern w:val="0"/>
          <w:position w:val="0"/>
          <w:sz w:val="32"/>
          <w:szCs w:val="32"/>
          <w:lang w:val="en-US" w:eastAsia="zh-CN" w:bidi="ar-SA"/>
        </w:rPr>
        <w:t>四</w:t>
      </w:r>
      <w:r>
        <w:rPr>
          <w:rFonts w:hint="eastAsia" w:ascii="楷体_GB2312" w:hAnsi="楷体_GB2312" w:eastAsia="楷体_GB2312" w:cs="楷体_GB2312"/>
          <w:b w:val="0"/>
          <w:bCs w:val="0"/>
          <w:snapToGrid w:val="0"/>
          <w:color w:val="auto"/>
          <w:kern w:val="0"/>
          <w:position w:val="0"/>
          <w:sz w:val="32"/>
          <w:szCs w:val="32"/>
          <w:lang w:val="zh-CN" w:eastAsia="zh-CN" w:bidi="ar-SA"/>
        </w:rPr>
        <w:t>）</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评价方法。</w:t>
      </w:r>
    </w:p>
    <w:p w14:paraId="66EAC597">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000000" w:themeColor="text1"/>
          <w:kern w:val="0"/>
          <w:position w:val="0"/>
          <w:sz w:val="32"/>
          <w:szCs w:val="32"/>
          <w:lang w:val="zh-CN"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lang w:val="zh-CN" w:eastAsia="zh-CN" w:bidi="ar-SA"/>
          <w14:textFill>
            <w14:solidFill>
              <w14:schemeClr w14:val="tx1"/>
            </w14:solidFill>
          </w14:textFill>
        </w:rPr>
        <w:t>单位自评法</w:t>
      </w:r>
    </w:p>
    <w:p w14:paraId="72081587">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zh-CN"/>
        </w:rPr>
      </w:pPr>
      <w:r>
        <w:rPr>
          <w:rFonts w:hint="eastAsia" w:ascii="楷体_GB2312" w:hAnsi="楷体_GB2312" w:eastAsia="楷体_GB2312" w:cs="楷体_GB2312"/>
          <w:b w:val="0"/>
          <w:bCs w:val="0"/>
          <w:snapToGrid w:val="0"/>
          <w:color w:val="auto"/>
          <w:kern w:val="0"/>
          <w:position w:val="0"/>
          <w:sz w:val="32"/>
          <w:szCs w:val="32"/>
          <w:lang w:val="zh-CN" w:eastAsia="zh-CN" w:bidi="ar-SA"/>
        </w:rPr>
        <w:t>（</w:t>
      </w:r>
      <w:r>
        <w:rPr>
          <w:rFonts w:hint="eastAsia" w:ascii="楷体_GB2312" w:hAnsi="楷体_GB2312" w:eastAsia="楷体_GB2312" w:cs="楷体_GB2312"/>
          <w:b w:val="0"/>
          <w:bCs w:val="0"/>
          <w:snapToGrid w:val="0"/>
          <w:color w:val="auto"/>
          <w:kern w:val="0"/>
          <w:position w:val="0"/>
          <w:sz w:val="32"/>
          <w:szCs w:val="32"/>
          <w:lang w:val="en-US" w:eastAsia="zh-CN" w:bidi="ar-SA"/>
        </w:rPr>
        <w:t>五</w:t>
      </w:r>
      <w:r>
        <w:rPr>
          <w:rFonts w:hint="eastAsia" w:ascii="楷体_GB2312" w:hAnsi="楷体_GB2312" w:eastAsia="楷体_GB2312" w:cs="楷体_GB2312"/>
          <w:b w:val="0"/>
          <w:bCs w:val="0"/>
          <w:snapToGrid w:val="0"/>
          <w:color w:val="auto"/>
          <w:kern w:val="0"/>
          <w:position w:val="0"/>
          <w:sz w:val="32"/>
          <w:szCs w:val="32"/>
          <w:lang w:val="zh-CN" w:eastAsia="zh-CN" w:bidi="ar-SA"/>
        </w:rPr>
        <w:t>）</w:t>
      </w:r>
      <w:r>
        <w:rPr>
          <w:rFonts w:hint="eastAsia" w:ascii="楷体_GB2312" w:hAnsi="楷体_GB2312" w:eastAsia="楷体_GB2312" w:cs="楷体_GB2312"/>
          <w:b w:val="0"/>
          <w:bCs w:val="0"/>
          <w:snapToGrid w:val="0"/>
          <w:color w:val="auto"/>
          <w:kern w:val="0"/>
          <w:position w:val="0"/>
          <w:sz w:val="32"/>
          <w:szCs w:val="32"/>
          <w:highlight w:val="none"/>
          <w:u w:val="none"/>
          <w:lang w:val="zh-CN"/>
        </w:rPr>
        <w:t>评价组织。</w:t>
      </w:r>
    </w:p>
    <w:p w14:paraId="519BD73E">
      <w:pPr>
        <w:keepNext w:val="0"/>
        <w:keepLines w:val="0"/>
        <w:pageBreakBefore w:val="0"/>
        <w:widowControl w:val="0"/>
        <w:kinsoku/>
        <w:wordWrap/>
        <w:overflowPunct w:val="0"/>
        <w:topLinePunct w:val="0"/>
        <w:autoSpaceDE/>
        <w:autoSpaceDN/>
        <w:bidi w:val="0"/>
        <w:adjustRightInd w:val="0"/>
        <w:snapToGrid w:val="0"/>
        <w:spacing w:line="576" w:lineRule="exact"/>
        <w:ind w:left="0" w:leftChars="0" w:firstLine="640" w:firstLineChars="200"/>
        <w:jc w:val="both"/>
        <w:textAlignment w:val="auto"/>
        <w:outlineLvl w:val="9"/>
        <w:rPr>
          <w:rFonts w:hint="eastAsia" w:ascii="仿宋_GB2312" w:hAnsi="仿宋_GB2312" w:eastAsia="仿宋_GB2312" w:cs="仿宋_GB2312"/>
          <w:b w:val="0"/>
          <w:bCs w:val="0"/>
          <w:snapToGrid w:val="0"/>
          <w:color w:val="000000" w:themeColor="text1"/>
          <w:kern w:val="0"/>
          <w:position w:val="0"/>
          <w:sz w:val="32"/>
          <w:szCs w:val="32"/>
          <w:lang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成立</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了市卫生健康委党组成员、副主任李小军同志</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任组长，</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市计划生育协会副会长李万明同志、委人口监测与家庭发展科科长任军同志等8人为成员</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的</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全市项目质量抽查工作</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领导小组</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2024年1月3-12日，工作组全体成员深入各县区基层乡镇和村组一线</w:t>
      </w:r>
      <w:r>
        <w:rPr>
          <w:rFonts w:hint="eastAsia" w:ascii="仿宋_GB2312" w:hAnsi="仿宋_GB2312" w:eastAsia="仿宋_GB2312" w:cs="仿宋_GB2312"/>
          <w:b w:val="0"/>
          <w:bCs w:val="0"/>
          <w:snapToGrid w:val="0"/>
          <w:color w:val="000000" w:themeColor="text1"/>
          <w:kern w:val="0"/>
          <w:position w:val="0"/>
          <w:sz w:val="32"/>
          <w:szCs w:val="32"/>
          <w:lang w:eastAsia="zh-CN" w:bidi="ar-SA"/>
          <w14:textFill>
            <w14:solidFill>
              <w14:schemeClr w14:val="tx1"/>
            </w14:solidFill>
          </w14:textFill>
        </w:rPr>
        <w:t>开展相关工作。</w:t>
      </w:r>
    </w:p>
    <w:p w14:paraId="27DB1CD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rPr>
      </w:pPr>
      <w:r>
        <w:rPr>
          <w:rFonts w:hint="eastAsia" w:ascii="黑体" w:hAnsi="黑体" w:eastAsia="黑体" w:cs="黑体"/>
          <w:b w:val="0"/>
          <w:bCs w:val="0"/>
          <w:snapToGrid w:val="0"/>
          <w:color w:val="auto"/>
          <w:kern w:val="0"/>
          <w:position w:val="0"/>
          <w:sz w:val="32"/>
          <w:szCs w:val="32"/>
          <w:highlight w:val="none"/>
          <w:u w:val="none"/>
        </w:rPr>
        <w:t>三、</w:t>
      </w:r>
      <w:r>
        <w:rPr>
          <w:rFonts w:hint="eastAsia" w:ascii="黑体" w:hAnsi="黑体" w:eastAsia="黑体" w:cs="黑体"/>
          <w:b w:val="0"/>
          <w:bCs w:val="0"/>
          <w:snapToGrid w:val="0"/>
          <w:color w:val="auto"/>
          <w:kern w:val="0"/>
          <w:position w:val="0"/>
          <w:sz w:val="32"/>
          <w:szCs w:val="32"/>
          <w:highlight w:val="none"/>
          <w:u w:val="none"/>
          <w:lang w:eastAsia="zh-CN"/>
        </w:rPr>
        <w:t>绩效分析</w:t>
      </w:r>
      <w:r>
        <w:rPr>
          <w:rFonts w:hint="eastAsia" w:ascii="黑体" w:hAnsi="黑体" w:eastAsia="黑体" w:cs="黑体"/>
          <w:b w:val="0"/>
          <w:bCs w:val="0"/>
          <w:snapToGrid w:val="0"/>
          <w:color w:val="auto"/>
          <w:kern w:val="0"/>
          <w:position w:val="0"/>
          <w:sz w:val="32"/>
          <w:szCs w:val="32"/>
          <w:highlight w:val="none"/>
          <w:u w:val="none"/>
          <w:lang w:val="zh-CN"/>
        </w:rPr>
        <w:tab/>
      </w:r>
    </w:p>
    <w:p w14:paraId="04952E9C">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（一）</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通用指标</w:t>
      </w:r>
      <w:r>
        <w:rPr>
          <w:rFonts w:hint="eastAsia" w:ascii="楷体_GB2312" w:hAnsi="楷体_GB2312" w:eastAsia="楷体_GB2312" w:cs="楷体_GB2312"/>
          <w:b w:val="0"/>
          <w:bCs w:val="0"/>
          <w:snapToGrid w:val="0"/>
          <w:color w:val="000000"/>
          <w:kern w:val="0"/>
          <w:position w:val="0"/>
          <w:sz w:val="32"/>
          <w:szCs w:val="32"/>
          <w:highlight w:val="none"/>
          <w:shd w:val="clear" w:color="auto" w:fill="FFFFFF"/>
          <w:lang w:val="zh-CN"/>
        </w:rPr>
        <w:t>绩效分析。</w:t>
      </w:r>
    </w:p>
    <w:p w14:paraId="0E63C49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rPr>
        <w:t>1.</w:t>
      </w:r>
      <w:r>
        <w:rPr>
          <w:rFonts w:hint="eastAsia" w:ascii="仿宋_GB2312" w:hAnsi="仿宋_GB2312" w:eastAsia="仿宋_GB2312" w:cs="仿宋_GB2312"/>
          <w:b w:val="0"/>
          <w:bCs w:val="0"/>
          <w:snapToGrid w:val="0"/>
          <w:color w:val="auto"/>
          <w:kern w:val="0"/>
          <w:position w:val="0"/>
          <w:sz w:val="32"/>
          <w:szCs w:val="32"/>
          <w:lang w:eastAsia="zh-CN"/>
        </w:rPr>
        <w:t>项目决策。</w:t>
      </w:r>
    </w:p>
    <w:p w14:paraId="218B86DF">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资金使用</w:t>
      </w:r>
      <w:r>
        <w:rPr>
          <w:rFonts w:hint="eastAsia" w:ascii="仿宋_GB2312" w:hAnsi="仿宋_GB2312" w:eastAsia="仿宋_GB2312" w:cs="仿宋_GB2312"/>
          <w:b w:val="0"/>
          <w:bCs w:val="0"/>
          <w:snapToGrid w:val="0"/>
          <w:color w:val="auto"/>
          <w:kern w:val="0"/>
          <w:position w:val="0"/>
          <w:sz w:val="32"/>
          <w:szCs w:val="32"/>
          <w:lang w:val="zh-CN" w:eastAsia="zh-CN"/>
        </w:rPr>
        <w:t>项目设立、调整延续等方面符合资金管理基本规范和决策程序</w:t>
      </w:r>
      <w:r>
        <w:rPr>
          <w:rFonts w:hint="eastAsia" w:ascii="仿宋_GB2312" w:hAnsi="仿宋_GB2312" w:eastAsia="仿宋_GB2312" w:cs="仿宋_GB2312"/>
          <w:b w:val="0"/>
          <w:bCs w:val="0"/>
          <w:snapToGrid w:val="0"/>
          <w:color w:val="auto"/>
          <w:kern w:val="0"/>
          <w:position w:val="0"/>
          <w:sz w:val="32"/>
          <w:szCs w:val="32"/>
          <w:lang w:val="en-US" w:eastAsia="zh-CN"/>
        </w:rPr>
        <w:t>要求，项目决策程序严密，得6分；项目规划论证符合中省要求，项目绩效目标设置科学合理，得6分；项目资金使用</w:t>
      </w:r>
      <w:r>
        <w:rPr>
          <w:rFonts w:hint="eastAsia" w:ascii="仿宋_GB2312" w:hAnsi="仿宋_GB2312" w:eastAsia="仿宋_GB2312" w:cs="仿宋_GB2312"/>
          <w:b w:val="0"/>
          <w:bCs w:val="0"/>
          <w:snapToGrid w:val="0"/>
          <w:kern w:val="0"/>
          <w:position w:val="0"/>
          <w:sz w:val="32"/>
          <w:szCs w:val="32"/>
        </w:rPr>
        <w:t>按照</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财政部</w:t>
      </w:r>
      <w:r>
        <w:rPr>
          <w:rFonts w:hint="eastAsia" w:ascii="仿宋_GB2312" w:hAnsi="仿宋_GB2312" w:eastAsia="仿宋_GB2312" w:cs="仿宋_GB2312"/>
          <w:b w:val="0"/>
          <w:bCs w:val="0"/>
          <w:snapToGrid w:val="0"/>
          <w:kern w:val="0"/>
          <w:position w:val="0"/>
          <w:sz w:val="32"/>
          <w:szCs w:val="32"/>
          <w:lang w:val="en-US" w:eastAsia="zh-CN"/>
        </w:rPr>
        <w:t>厅</w:t>
      </w:r>
      <w:r>
        <w:rPr>
          <w:rFonts w:hint="eastAsia" w:ascii="仿宋_GB2312" w:hAnsi="仿宋_GB2312" w:eastAsia="仿宋_GB2312" w:cs="仿宋_GB2312"/>
          <w:b w:val="0"/>
          <w:bCs w:val="0"/>
          <w:snapToGrid w:val="0"/>
          <w:kern w:val="0"/>
          <w:position w:val="0"/>
          <w:sz w:val="32"/>
          <w:szCs w:val="32"/>
        </w:rPr>
        <w:t>、</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卫生健康委、</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医保局、</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中医药局《关于</w:t>
      </w:r>
      <w:r>
        <w:rPr>
          <w:rFonts w:hint="eastAsia" w:ascii="仿宋_GB2312" w:hAnsi="仿宋_GB2312" w:eastAsia="仿宋_GB2312" w:cs="仿宋_GB2312"/>
          <w:b w:val="0"/>
          <w:bCs w:val="0"/>
          <w:snapToGrid w:val="0"/>
          <w:kern w:val="0"/>
          <w:position w:val="0"/>
          <w:sz w:val="32"/>
          <w:szCs w:val="32"/>
          <w:lang w:val="en-US" w:eastAsia="zh-CN"/>
        </w:rPr>
        <w:t>印发</w:t>
      </w:r>
      <w:r>
        <w:rPr>
          <w:rFonts w:hint="eastAsia" w:ascii="仿宋_GB2312" w:hAnsi="仿宋_GB2312" w:eastAsia="仿宋_GB2312" w:cs="仿宋_GB2312"/>
          <w:b w:val="0"/>
          <w:bCs w:val="0"/>
          <w:snapToGrid w:val="0"/>
          <w:kern w:val="0"/>
          <w:position w:val="0"/>
          <w:sz w:val="32"/>
          <w:szCs w:val="32"/>
        </w:rPr>
        <w:t>公共卫生服务等5项补助资金管理办法的通知》（</w:t>
      </w:r>
      <w:r>
        <w:rPr>
          <w:rFonts w:hint="eastAsia" w:ascii="仿宋_GB2312" w:hAnsi="仿宋_GB2312" w:eastAsia="仿宋_GB2312" w:cs="仿宋_GB2312"/>
          <w:b w:val="0"/>
          <w:bCs w:val="0"/>
          <w:snapToGrid w:val="0"/>
          <w:kern w:val="0"/>
          <w:position w:val="0"/>
          <w:sz w:val="32"/>
          <w:szCs w:val="32"/>
          <w:lang w:val="en-US" w:eastAsia="zh-CN"/>
        </w:rPr>
        <w:t>川</w:t>
      </w:r>
      <w:r>
        <w:rPr>
          <w:rFonts w:hint="eastAsia" w:ascii="仿宋_GB2312" w:hAnsi="仿宋_GB2312" w:eastAsia="仿宋_GB2312" w:cs="仿宋_GB2312"/>
          <w:b w:val="0"/>
          <w:bCs w:val="0"/>
          <w:snapToGrid w:val="0"/>
          <w:kern w:val="0"/>
          <w:position w:val="0"/>
          <w:sz w:val="32"/>
          <w:szCs w:val="32"/>
        </w:rPr>
        <w:t>财社〔2022〕</w:t>
      </w:r>
      <w:r>
        <w:rPr>
          <w:rFonts w:hint="eastAsia" w:ascii="仿宋_GB2312" w:hAnsi="仿宋_GB2312" w:eastAsia="仿宋_GB2312" w:cs="仿宋_GB2312"/>
          <w:b w:val="0"/>
          <w:bCs w:val="0"/>
          <w:snapToGrid w:val="0"/>
          <w:kern w:val="0"/>
          <w:position w:val="0"/>
          <w:sz w:val="32"/>
          <w:szCs w:val="32"/>
          <w:lang w:val="en-US" w:eastAsia="zh-CN"/>
        </w:rPr>
        <w:t>112</w:t>
      </w:r>
      <w:r>
        <w:rPr>
          <w:rFonts w:hint="eastAsia" w:ascii="仿宋_GB2312" w:hAnsi="仿宋_GB2312" w:eastAsia="仿宋_GB2312" w:cs="仿宋_GB2312"/>
          <w:b w:val="0"/>
          <w:bCs w:val="0"/>
          <w:snapToGrid w:val="0"/>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要求进行规划，与</w:t>
      </w:r>
      <w:r>
        <w:rPr>
          <w:rFonts w:hint="eastAsia" w:ascii="仿宋_GB2312" w:hAnsi="仿宋_GB2312" w:eastAsia="仿宋_GB2312" w:cs="仿宋_GB2312"/>
          <w:b w:val="0"/>
          <w:bCs w:val="0"/>
          <w:snapToGrid w:val="0"/>
          <w:kern w:val="0"/>
          <w:position w:val="0"/>
          <w:sz w:val="32"/>
          <w:szCs w:val="32"/>
          <w:lang w:val="en-US" w:eastAsia="zh-CN"/>
        </w:rPr>
        <w:t>人口监测与家庭发展科</w:t>
      </w:r>
      <w:r>
        <w:rPr>
          <w:rFonts w:hint="eastAsia" w:ascii="仿宋_GB2312" w:hAnsi="仿宋_GB2312" w:eastAsia="仿宋_GB2312" w:cs="仿宋_GB2312"/>
          <w:b w:val="0"/>
          <w:bCs w:val="0"/>
          <w:snapToGrid w:val="0"/>
          <w:color w:val="auto"/>
          <w:kern w:val="0"/>
          <w:position w:val="0"/>
          <w:sz w:val="32"/>
          <w:szCs w:val="32"/>
          <w:lang w:val="en-US" w:eastAsia="zh-CN"/>
        </w:rPr>
        <w:t>事业发展相匹配，聚焦重大任务、重点领域、重点环节和重点项目，得6分。共计18分。</w:t>
      </w:r>
    </w:p>
    <w:p w14:paraId="5CF09E9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eastAsia="zh-CN"/>
        </w:rPr>
      </w:pPr>
      <w:r>
        <w:rPr>
          <w:rFonts w:hint="eastAsia" w:ascii="仿宋_GB2312" w:hAnsi="仿宋_GB2312" w:eastAsia="仿宋_GB2312" w:cs="仿宋_GB2312"/>
          <w:b w:val="0"/>
          <w:bCs w:val="0"/>
          <w:snapToGrid w:val="0"/>
          <w:color w:val="auto"/>
          <w:kern w:val="0"/>
          <w:position w:val="0"/>
          <w:sz w:val="32"/>
          <w:szCs w:val="32"/>
          <w:lang w:val="en-US" w:eastAsia="zh-CN"/>
        </w:rPr>
        <w:t>2.</w:t>
      </w:r>
      <w:r>
        <w:rPr>
          <w:rFonts w:hint="eastAsia" w:ascii="仿宋_GB2312" w:hAnsi="仿宋_GB2312" w:eastAsia="仿宋_GB2312" w:cs="仿宋_GB2312"/>
          <w:b w:val="0"/>
          <w:bCs w:val="0"/>
          <w:snapToGrid w:val="0"/>
          <w:color w:val="auto"/>
          <w:kern w:val="0"/>
          <w:position w:val="0"/>
          <w:sz w:val="32"/>
          <w:szCs w:val="32"/>
          <w:lang w:eastAsia="zh-CN"/>
        </w:rPr>
        <w:t>项目管理。</w:t>
      </w:r>
    </w:p>
    <w:p w14:paraId="1401F0A0">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0" w:leftChars="0" w:firstLine="640" w:firstLineChars="200"/>
        <w:contextualSpacing/>
        <w:jc w:val="both"/>
        <w:textAlignment w:val="auto"/>
        <w:rPr>
          <w:rFonts w:hint="eastAsia" w:ascii="仿宋_GB2312" w:hAnsi="仿宋_GB2312" w:eastAsia="仿宋_GB2312" w:cs="仿宋_GB2312"/>
          <w:b w:val="0"/>
          <w:bCs w:val="0"/>
          <w:snapToGrid w:val="0"/>
          <w:kern w:val="0"/>
          <w:position w:val="0"/>
          <w:sz w:val="32"/>
          <w:szCs w:val="32"/>
          <w:lang w:val="en-US" w:eastAsia="zh-CN"/>
        </w:rPr>
      </w:pPr>
      <w:r>
        <w:rPr>
          <w:rFonts w:hint="eastAsia" w:ascii="仿宋_GB2312" w:hAnsi="仿宋_GB2312" w:eastAsia="仿宋_GB2312" w:cs="仿宋_GB2312"/>
          <w:b w:val="0"/>
          <w:bCs w:val="0"/>
          <w:snapToGrid w:val="0"/>
          <w:kern w:val="0"/>
          <w:position w:val="0"/>
          <w:sz w:val="32"/>
          <w:szCs w:val="32"/>
          <w:lang w:val="en-US" w:eastAsia="zh-CN"/>
        </w:rPr>
        <w:t>项目制度办法体系健全、要素完备，得2分；项目资金分配因素选取、权重设置、区域分布，项目管理、审批符合管理要求，得10分；资金分配因素的权重设置有效突出项目实施重点，得6分；管资金、项目、政策、管绩效，项目绩效监管按要求开展，对下指导有力有效，得6分。共计18分。</w:t>
      </w:r>
    </w:p>
    <w:p w14:paraId="1E635E9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rPr>
        <w:t>3.项目实施。</w:t>
      </w:r>
    </w:p>
    <w:p w14:paraId="1501E022">
      <w:pPr>
        <w:keepNext w:val="0"/>
        <w:keepLines w:val="0"/>
        <w:pageBreakBefore w:val="0"/>
        <w:widowControl w:val="0"/>
        <w:numPr>
          <w:ilvl w:val="0"/>
          <w:numId w:val="0"/>
        </w:numPr>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bidi="ar-SA"/>
        </w:rPr>
        <w:t>项目资金</w:t>
      </w:r>
      <w:r>
        <w:rPr>
          <w:rFonts w:hint="eastAsia" w:ascii="仿宋_GB2312" w:hAnsi="仿宋_GB2312" w:eastAsia="仿宋_GB2312" w:cs="仿宋_GB2312"/>
          <w:b w:val="0"/>
          <w:bCs w:val="0"/>
          <w:snapToGrid w:val="0"/>
          <w:color w:val="000000" w:themeColor="text1"/>
          <w:kern w:val="0"/>
          <w:position w:val="0"/>
          <w:sz w:val="32"/>
          <w:szCs w:val="32"/>
          <w:lang w:val="en-US" w:eastAsia="zh-CN" w:bidi="ar-SA"/>
          <w14:textFill>
            <w14:solidFill>
              <w14:schemeClr w14:val="tx1"/>
            </w14:solidFill>
          </w14:textFill>
        </w:rPr>
        <w:t>17874.59</w:t>
      </w:r>
      <w:r>
        <w:rPr>
          <w:rFonts w:hint="eastAsia" w:ascii="仿宋_GB2312" w:hAnsi="仿宋_GB2312" w:eastAsia="仿宋_GB2312" w:cs="仿宋_GB2312"/>
          <w:b w:val="0"/>
          <w:bCs w:val="0"/>
          <w:snapToGrid w:val="0"/>
          <w:color w:val="auto"/>
          <w:kern w:val="0"/>
          <w:position w:val="0"/>
          <w:sz w:val="32"/>
          <w:szCs w:val="32"/>
          <w:lang w:val="en-US" w:eastAsia="zh-CN" w:bidi="ar-SA"/>
        </w:rPr>
        <w:t>万元均已拨付到位，财政资金拨付率100%，预算执行率99.67%，得5分；</w:t>
      </w:r>
      <w:r>
        <w:rPr>
          <w:rFonts w:hint="eastAsia" w:ascii="仿宋_GB2312" w:hAnsi="仿宋_GB2312" w:eastAsia="仿宋_GB2312" w:cs="仿宋_GB2312"/>
          <w:b w:val="0"/>
          <w:bCs w:val="0"/>
          <w:snapToGrid w:val="0"/>
          <w:color w:val="auto"/>
          <w:kern w:val="0"/>
          <w:position w:val="0"/>
          <w:sz w:val="32"/>
          <w:szCs w:val="32"/>
          <w:lang w:val="en-US" w:eastAsia="zh-CN"/>
        </w:rPr>
        <w:t>项目资金使用</w:t>
      </w:r>
      <w:r>
        <w:rPr>
          <w:rFonts w:hint="eastAsia" w:ascii="仿宋_GB2312" w:hAnsi="仿宋_GB2312" w:eastAsia="仿宋_GB2312" w:cs="仿宋_GB2312"/>
          <w:b w:val="0"/>
          <w:bCs w:val="0"/>
          <w:snapToGrid w:val="0"/>
          <w:kern w:val="0"/>
          <w:position w:val="0"/>
          <w:sz w:val="32"/>
          <w:szCs w:val="32"/>
        </w:rPr>
        <w:t>按照</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财政部</w:t>
      </w:r>
      <w:r>
        <w:rPr>
          <w:rFonts w:hint="eastAsia" w:ascii="仿宋_GB2312" w:hAnsi="仿宋_GB2312" w:eastAsia="仿宋_GB2312" w:cs="仿宋_GB2312"/>
          <w:b w:val="0"/>
          <w:bCs w:val="0"/>
          <w:snapToGrid w:val="0"/>
          <w:kern w:val="0"/>
          <w:position w:val="0"/>
          <w:sz w:val="32"/>
          <w:szCs w:val="32"/>
          <w:lang w:val="en-US" w:eastAsia="zh-CN"/>
        </w:rPr>
        <w:t>厅</w:t>
      </w:r>
      <w:r>
        <w:rPr>
          <w:rFonts w:hint="eastAsia" w:ascii="仿宋_GB2312" w:hAnsi="仿宋_GB2312" w:eastAsia="仿宋_GB2312" w:cs="仿宋_GB2312"/>
          <w:b w:val="0"/>
          <w:bCs w:val="0"/>
          <w:snapToGrid w:val="0"/>
          <w:kern w:val="0"/>
          <w:position w:val="0"/>
          <w:sz w:val="32"/>
          <w:szCs w:val="32"/>
        </w:rPr>
        <w:t>、</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卫生健康委、</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医保局、</w:t>
      </w:r>
      <w:r>
        <w:rPr>
          <w:rFonts w:hint="eastAsia" w:ascii="仿宋_GB2312" w:hAnsi="仿宋_GB2312" w:eastAsia="仿宋_GB2312" w:cs="仿宋_GB2312"/>
          <w:b w:val="0"/>
          <w:bCs w:val="0"/>
          <w:snapToGrid w:val="0"/>
          <w:kern w:val="0"/>
          <w:position w:val="0"/>
          <w:sz w:val="32"/>
          <w:szCs w:val="32"/>
          <w:lang w:val="en-US" w:eastAsia="zh-CN"/>
        </w:rPr>
        <w:t>省</w:t>
      </w:r>
      <w:r>
        <w:rPr>
          <w:rFonts w:hint="eastAsia" w:ascii="仿宋_GB2312" w:hAnsi="仿宋_GB2312" w:eastAsia="仿宋_GB2312" w:cs="仿宋_GB2312"/>
          <w:b w:val="0"/>
          <w:bCs w:val="0"/>
          <w:snapToGrid w:val="0"/>
          <w:kern w:val="0"/>
          <w:position w:val="0"/>
          <w:sz w:val="32"/>
          <w:szCs w:val="32"/>
        </w:rPr>
        <w:t>中医药局《关于</w:t>
      </w:r>
      <w:r>
        <w:rPr>
          <w:rFonts w:hint="eastAsia" w:ascii="仿宋_GB2312" w:hAnsi="仿宋_GB2312" w:eastAsia="仿宋_GB2312" w:cs="仿宋_GB2312"/>
          <w:b w:val="0"/>
          <w:bCs w:val="0"/>
          <w:snapToGrid w:val="0"/>
          <w:kern w:val="0"/>
          <w:position w:val="0"/>
          <w:sz w:val="32"/>
          <w:szCs w:val="32"/>
          <w:lang w:val="en-US" w:eastAsia="zh-CN"/>
        </w:rPr>
        <w:t>印发</w:t>
      </w:r>
      <w:r>
        <w:rPr>
          <w:rFonts w:hint="eastAsia" w:ascii="仿宋_GB2312" w:hAnsi="仿宋_GB2312" w:eastAsia="仿宋_GB2312" w:cs="仿宋_GB2312"/>
          <w:b w:val="0"/>
          <w:bCs w:val="0"/>
          <w:snapToGrid w:val="0"/>
          <w:kern w:val="0"/>
          <w:position w:val="0"/>
          <w:sz w:val="32"/>
          <w:szCs w:val="32"/>
        </w:rPr>
        <w:t>公共卫生服务等5项补助资金管理办法的通知》（</w:t>
      </w:r>
      <w:r>
        <w:rPr>
          <w:rFonts w:hint="eastAsia" w:ascii="仿宋_GB2312" w:hAnsi="仿宋_GB2312" w:eastAsia="仿宋_GB2312" w:cs="仿宋_GB2312"/>
          <w:b w:val="0"/>
          <w:bCs w:val="0"/>
          <w:snapToGrid w:val="0"/>
          <w:kern w:val="0"/>
          <w:position w:val="0"/>
          <w:sz w:val="32"/>
          <w:szCs w:val="32"/>
          <w:lang w:val="en-US" w:eastAsia="zh-CN"/>
        </w:rPr>
        <w:t>川</w:t>
      </w:r>
      <w:r>
        <w:rPr>
          <w:rFonts w:hint="eastAsia" w:ascii="仿宋_GB2312" w:hAnsi="仿宋_GB2312" w:eastAsia="仿宋_GB2312" w:cs="仿宋_GB2312"/>
          <w:b w:val="0"/>
          <w:bCs w:val="0"/>
          <w:snapToGrid w:val="0"/>
          <w:kern w:val="0"/>
          <w:position w:val="0"/>
          <w:sz w:val="32"/>
          <w:szCs w:val="32"/>
        </w:rPr>
        <w:t>财社〔2022〕</w:t>
      </w:r>
      <w:r>
        <w:rPr>
          <w:rFonts w:hint="eastAsia" w:ascii="仿宋_GB2312" w:hAnsi="仿宋_GB2312" w:eastAsia="仿宋_GB2312" w:cs="仿宋_GB2312"/>
          <w:b w:val="0"/>
          <w:bCs w:val="0"/>
          <w:snapToGrid w:val="0"/>
          <w:kern w:val="0"/>
          <w:position w:val="0"/>
          <w:sz w:val="32"/>
          <w:szCs w:val="32"/>
          <w:lang w:val="en-US" w:eastAsia="zh-CN"/>
        </w:rPr>
        <w:t>112</w:t>
      </w:r>
      <w:r>
        <w:rPr>
          <w:rFonts w:hint="eastAsia" w:ascii="仿宋_GB2312" w:hAnsi="仿宋_GB2312" w:eastAsia="仿宋_GB2312" w:cs="仿宋_GB2312"/>
          <w:b w:val="0"/>
          <w:bCs w:val="0"/>
          <w:snapToGrid w:val="0"/>
          <w:kern w:val="0"/>
          <w:position w:val="0"/>
          <w:sz w:val="32"/>
          <w:szCs w:val="32"/>
        </w:rPr>
        <w:t>号）精神</w:t>
      </w:r>
      <w:r>
        <w:rPr>
          <w:rFonts w:hint="eastAsia" w:ascii="仿宋_GB2312" w:hAnsi="仿宋_GB2312" w:eastAsia="仿宋_GB2312" w:cs="仿宋_GB2312"/>
          <w:b w:val="0"/>
          <w:bCs w:val="0"/>
          <w:snapToGrid w:val="0"/>
          <w:color w:val="auto"/>
          <w:kern w:val="0"/>
          <w:position w:val="0"/>
          <w:sz w:val="32"/>
          <w:szCs w:val="32"/>
          <w:lang w:val="en-US" w:eastAsia="zh-CN"/>
        </w:rPr>
        <w:t>有序开展，资金使用拨付、项目实施符合规定，得3分。共计8分。</w:t>
      </w:r>
    </w:p>
    <w:p w14:paraId="1A6B6BCD">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仿宋_GB2312" w:hAnsi="仿宋_GB2312" w:eastAsia="仿宋_GB2312" w:cs="仿宋_GB2312"/>
          <w:b w:val="0"/>
          <w:bCs w:val="0"/>
          <w:snapToGrid w:val="0"/>
          <w:kern w:val="0"/>
          <w:position w:val="0"/>
          <w:sz w:val="32"/>
          <w:szCs w:val="32"/>
          <w:highlight w:val="none"/>
          <w:lang w:val="zh-CN" w:eastAsia="zh-CN" w:bidi="ar-SA"/>
        </w:rPr>
      </w:pPr>
      <w:r>
        <w:rPr>
          <w:rFonts w:hint="eastAsia" w:ascii="仿宋_GB2312" w:hAnsi="仿宋_GB2312" w:eastAsia="仿宋_GB2312" w:cs="仿宋_GB2312"/>
          <w:b w:val="0"/>
          <w:bCs w:val="0"/>
          <w:snapToGrid w:val="0"/>
          <w:color w:val="auto"/>
          <w:kern w:val="0"/>
          <w:position w:val="0"/>
          <w:sz w:val="32"/>
          <w:szCs w:val="32"/>
          <w:lang w:val="en-US" w:eastAsia="zh-CN"/>
        </w:rPr>
        <w:t>4.项目结果。</w:t>
      </w:r>
    </w:p>
    <w:p w14:paraId="3BED8A96">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kern w:val="0"/>
          <w:position w:val="0"/>
          <w:sz w:val="32"/>
          <w:szCs w:val="32"/>
          <w:lang w:val="zh-CN" w:eastAsia="zh-CN"/>
        </w:rPr>
      </w:pPr>
      <w:r>
        <w:rPr>
          <w:rFonts w:hint="eastAsia" w:ascii="仿宋_GB2312" w:hAnsi="仿宋_GB2312" w:eastAsia="仿宋_GB2312" w:cs="仿宋_GB2312"/>
          <w:b w:val="0"/>
          <w:bCs w:val="0"/>
          <w:snapToGrid w:val="0"/>
          <w:color w:val="auto"/>
          <w:kern w:val="0"/>
          <w:position w:val="0"/>
          <w:sz w:val="32"/>
          <w:szCs w:val="32"/>
          <w:lang w:val="en-US" w:eastAsia="zh-CN"/>
        </w:rPr>
        <w:t>项目完成实施方案预期目标，实施结果与绩效目标相匹配，得6分；项目实际推动进度与项目方案计划时间符合，得3分，共计9分。</w:t>
      </w:r>
    </w:p>
    <w:p w14:paraId="7EBDD7C9">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（二）</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专用指标</w:t>
      </w:r>
      <w:r>
        <w:rPr>
          <w:rFonts w:hint="eastAsia" w:ascii="楷体_GB2312" w:hAnsi="楷体_GB2312" w:eastAsia="楷体_GB2312" w:cs="楷体_GB2312"/>
          <w:b w:val="0"/>
          <w:bCs w:val="0"/>
          <w:snapToGrid w:val="0"/>
          <w:color w:val="000000"/>
          <w:kern w:val="0"/>
          <w:position w:val="0"/>
          <w:sz w:val="32"/>
          <w:szCs w:val="32"/>
          <w:highlight w:val="none"/>
          <w:shd w:val="clear" w:color="auto" w:fill="FFFFFF"/>
          <w:lang w:val="zh-CN"/>
        </w:rPr>
        <w:t>绩效分析。</w:t>
      </w:r>
    </w:p>
    <w:p w14:paraId="71CCD153">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按规定用途、适用范围进行本地区专项资金分配，项目资金分配均衡公平，得10分；资金实际支持对象符合管理要求，符合支持对象范围，得10分；资金实际补贴标准符合资金管理办法规定的补助标准，及时按标准兑现，得5分；资金涉及相关受益群体、支持对象的满意度较好，得5分，共计得5分，共30分。</w:t>
      </w:r>
    </w:p>
    <w:p w14:paraId="469ACD20">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outlineLvl w:val="9"/>
        <w:rPr>
          <w:rFonts w:hint="eastAsia" w:ascii="楷体_GB2312" w:hAnsi="楷体_GB2312" w:eastAsia="楷体_GB2312" w:cs="楷体_GB2312"/>
          <w:b w:val="0"/>
          <w:bCs w:val="0"/>
          <w:snapToGrid w:val="0"/>
          <w:kern w:val="0"/>
          <w:position w:val="0"/>
          <w:sz w:val="32"/>
          <w:szCs w:val="32"/>
          <w:highlight w:val="none"/>
          <w:lang w:val="zh-CN" w:eastAsia="zh-CN" w:bidi="ar-SA"/>
        </w:rPr>
      </w:pPr>
      <w:r>
        <w:rPr>
          <w:rFonts w:hint="eastAsia" w:ascii="楷体_GB2312" w:hAnsi="楷体_GB2312" w:eastAsia="楷体_GB2312" w:cs="楷体_GB2312"/>
          <w:b w:val="0"/>
          <w:bCs w:val="0"/>
          <w:snapToGrid w:val="0"/>
          <w:color w:val="auto"/>
          <w:kern w:val="0"/>
          <w:position w:val="0"/>
          <w:sz w:val="32"/>
          <w:szCs w:val="32"/>
          <w:highlight w:val="none"/>
          <w:u w:val="none"/>
          <w:lang w:val="zh-CN"/>
        </w:rPr>
        <w:t>（三）</w:t>
      </w:r>
      <w:r>
        <w:rPr>
          <w:rFonts w:hint="eastAsia" w:ascii="楷体_GB2312" w:hAnsi="楷体_GB2312" w:eastAsia="楷体_GB2312" w:cs="楷体_GB2312"/>
          <w:b w:val="0"/>
          <w:bCs w:val="0"/>
          <w:snapToGrid w:val="0"/>
          <w:color w:val="auto"/>
          <w:kern w:val="0"/>
          <w:position w:val="0"/>
          <w:sz w:val="32"/>
          <w:szCs w:val="32"/>
          <w:highlight w:val="none"/>
          <w:u w:val="none"/>
          <w:lang w:val="en-US" w:eastAsia="zh-CN"/>
        </w:rPr>
        <w:t>个性指标</w:t>
      </w:r>
      <w:r>
        <w:rPr>
          <w:rFonts w:hint="eastAsia" w:ascii="楷体_GB2312" w:hAnsi="楷体_GB2312" w:eastAsia="楷体_GB2312" w:cs="楷体_GB2312"/>
          <w:b w:val="0"/>
          <w:bCs w:val="0"/>
          <w:snapToGrid w:val="0"/>
          <w:color w:val="000000"/>
          <w:kern w:val="0"/>
          <w:position w:val="0"/>
          <w:sz w:val="32"/>
          <w:szCs w:val="32"/>
          <w:highlight w:val="none"/>
          <w:shd w:val="clear" w:color="auto" w:fill="FFFFFF"/>
          <w:lang w:val="zh-CN"/>
        </w:rPr>
        <w:t>绩效分析。</w:t>
      </w:r>
    </w:p>
    <w:p w14:paraId="5493B891">
      <w:pPr>
        <w:pStyle w:val="2"/>
        <w:keepNext w:val="0"/>
        <w:keepLines w:val="0"/>
        <w:pageBreakBefore w:val="0"/>
        <w:widowControl w:val="0"/>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auto"/>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资金按月发放，资金拨付及时，得4分；特困人员等救助对象应保尽保，得6分；受益人群困难状况得到改善，得6分，共计得16分。</w:t>
      </w:r>
    </w:p>
    <w:p w14:paraId="43AAA514">
      <w:pPr>
        <w:keepNext w:val="0"/>
        <w:keepLines w:val="0"/>
        <w:pageBreakBefore w:val="0"/>
        <w:widowControl w:val="0"/>
        <w:kinsoku/>
        <w:wordWrap/>
        <w:overflowPunct w:val="0"/>
        <w:topLinePunct w:val="0"/>
        <w:autoSpaceDE/>
        <w:autoSpaceDN/>
        <w:bidi w:val="0"/>
        <w:adjustRightInd w:val="0"/>
        <w:snapToGrid w:val="0"/>
        <w:spacing w:line="576" w:lineRule="exact"/>
        <w:ind w:leftChars="0" w:firstLine="640" w:firstLineChars="200"/>
        <w:jc w:val="both"/>
        <w:textAlignment w:val="auto"/>
        <w:rPr>
          <w:rFonts w:hint="eastAsia" w:ascii="仿宋_GB2312" w:hAnsi="仿宋_GB2312" w:eastAsia="仿宋_GB2312" w:cs="仿宋_GB2312"/>
          <w:b w:val="0"/>
          <w:bCs w:val="0"/>
          <w:snapToGrid w:val="0"/>
          <w:kern w:val="0"/>
          <w:position w:val="0"/>
          <w:sz w:val="32"/>
          <w:szCs w:val="32"/>
          <w:lang w:val="en-US" w:eastAsia="zh-CN"/>
        </w:rPr>
      </w:pPr>
      <w:r>
        <w:rPr>
          <w:rFonts w:hint="eastAsia" w:ascii="仿宋_GB2312" w:hAnsi="仿宋_GB2312" w:eastAsia="仿宋_GB2312" w:cs="仿宋_GB2312"/>
          <w:b w:val="0"/>
          <w:bCs w:val="0"/>
          <w:snapToGrid w:val="0"/>
          <w:color w:val="auto"/>
          <w:kern w:val="0"/>
          <w:position w:val="0"/>
          <w:sz w:val="32"/>
          <w:szCs w:val="32"/>
          <w:lang w:val="en-US" w:eastAsia="zh-CN"/>
        </w:rPr>
        <w:t>计划生育项目整体绩效评价得分99分。</w:t>
      </w:r>
    </w:p>
    <w:p w14:paraId="56EE53C4">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rPr>
      </w:pPr>
      <w:r>
        <w:rPr>
          <w:rFonts w:hint="eastAsia" w:ascii="黑体" w:hAnsi="黑体" w:eastAsia="黑体" w:cs="黑体"/>
          <w:b w:val="0"/>
          <w:bCs w:val="0"/>
          <w:snapToGrid w:val="0"/>
          <w:color w:val="auto"/>
          <w:kern w:val="0"/>
          <w:position w:val="0"/>
          <w:sz w:val="32"/>
          <w:szCs w:val="32"/>
          <w:highlight w:val="none"/>
          <w:u w:val="none"/>
          <w:lang w:eastAsia="zh-CN"/>
        </w:rPr>
        <w:t>四</w:t>
      </w:r>
      <w:r>
        <w:rPr>
          <w:rFonts w:hint="eastAsia" w:ascii="黑体" w:hAnsi="黑体" w:eastAsia="黑体" w:cs="黑体"/>
          <w:b w:val="0"/>
          <w:bCs w:val="0"/>
          <w:snapToGrid w:val="0"/>
          <w:color w:val="auto"/>
          <w:kern w:val="0"/>
          <w:position w:val="0"/>
          <w:sz w:val="32"/>
          <w:szCs w:val="32"/>
          <w:highlight w:val="none"/>
          <w:u w:val="none"/>
        </w:rPr>
        <w:t>、评价结论</w:t>
      </w:r>
    </w:p>
    <w:p w14:paraId="616B4ED2">
      <w:pPr>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line="576" w:lineRule="exact"/>
        <w:ind w:left="0"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一是工作使命</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感</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增强。认真做好计划生育家庭“两项制度”、独生子女父母奖励及广元市计划生育特困家庭扶助工作，切实维护计划生育家庭合法权益和社会和谐稳定。坚持政治站位，强化使命担当，做到宣传到位、责任到位、落实到位。二是配套资金</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全面</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落实。积极协调市、县（区）两级财政部门，及时足额配套落实地方资金。在2023年12月31日前，已将2023年度计划生育“两项制度”资金、独生子女父母奖励金及广元市计划生育特困家庭扶助资金，通过四川省惠民惠农“一卡通”系统平台全部发放到个人。三是运行监管</w:t>
      </w:r>
      <w:r>
        <w:rPr>
          <w:rFonts w:hint="eastAsia" w:ascii="仿宋_GB2312" w:hAnsi="仿宋_GB2312" w:eastAsia="仿宋_GB2312" w:cs="仿宋_GB2312"/>
          <w:b w:val="0"/>
          <w:bCs w:val="0"/>
          <w:snapToGrid w:val="0"/>
          <w:color w:val="000000" w:themeColor="text1"/>
          <w:kern w:val="0"/>
          <w:position w:val="0"/>
          <w:sz w:val="32"/>
          <w:szCs w:val="32"/>
          <w:lang w:eastAsia="zh-CN"/>
          <w14:textFill>
            <w14:solidFill>
              <w14:schemeClr w14:val="tx1"/>
            </w14:solidFill>
          </w14:textFill>
        </w:rPr>
        <w:t>着力</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强化。我委积极强化工作督查，定期不定期采取“四不两直”工作方式，深入各县区、广</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元经济技术开发区帮助指导、</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发现问题，针对性提出解决办法和改进措施，认真做到对标对表、查找漏洞、补齐短板，全面提升项目实施工作质量。下一步，我委将把计划生育家庭扶助工作纳入绩效管理并强化结果运用，对工作落实不到位的县（区），</w:t>
      </w:r>
      <w:r>
        <w:rPr>
          <w:rFonts w:hint="eastAsia" w:ascii="仿宋_GB2312" w:hAnsi="仿宋_GB2312" w:eastAsia="仿宋_GB2312" w:cs="仿宋_GB2312"/>
          <w:b w:val="0"/>
          <w:bCs w:val="0"/>
          <w:snapToGrid w:val="0"/>
          <w:color w:val="000000" w:themeColor="text1"/>
          <w:kern w:val="0"/>
          <w:position w:val="0"/>
          <w:sz w:val="32"/>
          <w:szCs w:val="32"/>
          <w:lang w:bidi="ar-SA"/>
          <w14:textFill>
            <w14:solidFill>
              <w14:schemeClr w14:val="tx1"/>
            </w14:solidFill>
          </w14:textFill>
        </w:rPr>
        <w:t>将全市通报并扣减2024年绩效资金和年度目标考核得分。</w:t>
      </w:r>
    </w:p>
    <w:p w14:paraId="7ECDA836">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eastAsia="zh-CN"/>
        </w:rPr>
      </w:pPr>
      <w:r>
        <w:rPr>
          <w:rFonts w:hint="eastAsia" w:ascii="黑体" w:hAnsi="黑体" w:eastAsia="黑体" w:cs="黑体"/>
          <w:b w:val="0"/>
          <w:bCs w:val="0"/>
          <w:snapToGrid w:val="0"/>
          <w:color w:val="auto"/>
          <w:kern w:val="0"/>
          <w:position w:val="0"/>
          <w:sz w:val="32"/>
          <w:szCs w:val="32"/>
          <w:highlight w:val="none"/>
          <w:u w:val="none"/>
          <w:lang w:eastAsia="zh-CN"/>
        </w:rPr>
        <w:t>五、存在主要问题</w:t>
      </w:r>
    </w:p>
    <w:p w14:paraId="7F14B347">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pP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我市2023年计划生育家庭“两项制度”、独生子女父母奖励及广元市计划生育特困家庭扶助工作虽然取得了一定成绩，但也存在一些问题和不足：一是政策宣传有待加强。个别乡镇工作人员存在漏统且老百姓不熟知政策待遇的情况。二是业务能力有待提升。部分乡镇人员更换频繁，导致相关工作人员有对相关政策不熟悉、流程掌握不精准的现象。三是资料审核有待加强。部分乡镇存在有审核流程不规范，应申报资料不齐全的现象。</w:t>
      </w:r>
    </w:p>
    <w:p w14:paraId="25359618">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黑体" w:hAnsi="黑体" w:eastAsia="黑体" w:cs="黑体"/>
          <w:b w:val="0"/>
          <w:bCs w:val="0"/>
          <w:snapToGrid w:val="0"/>
          <w:color w:val="auto"/>
          <w:kern w:val="0"/>
          <w:position w:val="0"/>
          <w:sz w:val="32"/>
          <w:szCs w:val="32"/>
          <w:highlight w:val="none"/>
          <w:u w:val="none"/>
          <w:lang w:val="zh-CN" w:eastAsia="zh-CN" w:bidi="ar-SA"/>
        </w:rPr>
      </w:pPr>
      <w:r>
        <w:rPr>
          <w:rFonts w:hint="eastAsia" w:ascii="黑体" w:hAnsi="黑体" w:eastAsia="黑体" w:cs="黑体"/>
          <w:b w:val="0"/>
          <w:bCs w:val="0"/>
          <w:snapToGrid w:val="0"/>
          <w:color w:val="auto"/>
          <w:kern w:val="0"/>
          <w:position w:val="0"/>
          <w:sz w:val="32"/>
          <w:szCs w:val="32"/>
          <w:lang w:val="zh-CN" w:eastAsia="zh-CN" w:bidi="ar-SA"/>
        </w:rPr>
        <w:t>六、</w:t>
      </w:r>
      <w:r>
        <w:rPr>
          <w:rFonts w:hint="eastAsia" w:ascii="黑体" w:hAnsi="黑体" w:eastAsia="黑体" w:cs="黑体"/>
          <w:b w:val="0"/>
          <w:bCs w:val="0"/>
          <w:snapToGrid w:val="0"/>
          <w:color w:val="auto"/>
          <w:kern w:val="0"/>
          <w:position w:val="0"/>
          <w:sz w:val="32"/>
          <w:szCs w:val="32"/>
          <w:highlight w:val="none"/>
          <w:u w:val="none"/>
          <w:lang w:val="zh-CN" w:eastAsia="zh-CN" w:bidi="ar-SA"/>
        </w:rPr>
        <w:t>改进建议</w:t>
      </w:r>
    </w:p>
    <w:p w14:paraId="1469133B">
      <w:pPr>
        <w:pStyle w:val="5"/>
        <w:keepNext w:val="0"/>
        <w:keepLines w:val="0"/>
        <w:pageBreakBefore w:val="0"/>
        <w:widowControl w:val="0"/>
        <w:numPr>
          <w:ilvl w:val="0"/>
          <w:numId w:val="0"/>
        </w:numPr>
        <w:tabs>
          <w:tab w:val="left" w:pos="2160"/>
        </w:tabs>
        <w:kinsoku/>
        <w:wordWrap/>
        <w:overflowPunct w:val="0"/>
        <w:topLinePunct w:val="0"/>
        <w:autoSpaceDE/>
        <w:autoSpaceDN/>
        <w:bidi w:val="0"/>
        <w:adjustRightInd w:val="0"/>
        <w:snapToGrid w:val="0"/>
        <w:spacing w:after="0" w:line="576" w:lineRule="exact"/>
        <w:ind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pPr>
      <w:r>
        <w:rPr>
          <w:rFonts w:hint="eastAsia" w:ascii="楷体_GB2312" w:hAnsi="楷体_GB2312" w:eastAsia="楷体_GB2312" w:cs="楷体_GB2312"/>
          <w:b w:val="0"/>
          <w:bCs w:val="0"/>
          <w:snapToGrid w:val="0"/>
          <w:color w:val="000000" w:themeColor="text1"/>
          <w:kern w:val="0"/>
          <w:position w:val="0"/>
          <w:sz w:val="32"/>
          <w:szCs w:val="32"/>
          <w14:textFill>
            <w14:solidFill>
              <w14:schemeClr w14:val="tx1"/>
            </w14:solidFill>
          </w14:textFill>
        </w:rPr>
        <w:t>（一）建议适当调高农村部分计划生育家庭奖励扶助制度补助金额标准。</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随着经济的发展和人民生活水平的提高，物价不断上涨，农村部分计划生育家庭奖励扶助制度金额标准偏低，不利于奖励扶助制度利益导向的实现。</w:t>
      </w:r>
    </w:p>
    <w:p w14:paraId="64BE02EA">
      <w:pPr>
        <w:pStyle w:val="5"/>
        <w:keepNext w:val="0"/>
        <w:keepLines w:val="0"/>
        <w:pageBreakBefore w:val="0"/>
        <w:widowControl w:val="0"/>
        <w:suppressLineNumbers w:val="0"/>
        <w:pBdr>
          <w:between w:val="none" w:color="auto" w:sz="0" w:space="0"/>
        </w:pBdr>
        <w:suppressAutoHyphens/>
        <w:kinsoku/>
        <w:wordWrap/>
        <w:overflowPunct w:val="0"/>
        <w:topLinePunct w:val="0"/>
        <w:autoSpaceDE/>
        <w:autoSpaceDN/>
        <w:bidi w:val="0"/>
        <w:adjustRightInd w:val="0"/>
        <w:snapToGrid w:val="0"/>
        <w:spacing w:after="0" w:line="576" w:lineRule="exact"/>
        <w:ind w:left="0" w:leftChars="0" w:firstLine="640" w:firstLineChars="200"/>
        <w:jc w:val="both"/>
        <w:textAlignment w:val="auto"/>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pPr>
      <w:r>
        <w:rPr>
          <w:rFonts w:hint="eastAsia" w:ascii="楷体_GB2312" w:hAnsi="楷体_GB2312" w:eastAsia="楷体_GB2312" w:cs="楷体_GB2312"/>
          <w:b w:val="0"/>
          <w:bCs w:val="0"/>
          <w:snapToGrid w:val="0"/>
          <w:color w:val="000000" w:themeColor="text1"/>
          <w:kern w:val="0"/>
          <w:position w:val="0"/>
          <w:sz w:val="32"/>
          <w:szCs w:val="32"/>
          <w14:textFill>
            <w14:solidFill>
              <w14:schemeClr w14:val="tx1"/>
            </w14:solidFill>
          </w14:textFill>
        </w:rPr>
        <w:t>（二）建议加大计划生育家庭扶助相关政策社会面宣传。</w:t>
      </w:r>
      <w:r>
        <w:rPr>
          <w:rFonts w:hint="eastAsia" w:ascii="仿宋_GB2312" w:hAnsi="仿宋_GB2312" w:eastAsia="仿宋_GB2312" w:cs="仿宋_GB2312"/>
          <w:b w:val="0"/>
          <w:bCs w:val="0"/>
          <w:snapToGrid w:val="0"/>
          <w:color w:val="000000" w:themeColor="text1"/>
          <w:kern w:val="0"/>
          <w:position w:val="0"/>
          <w:sz w:val="32"/>
          <w:szCs w:val="32"/>
          <w14:textFill>
            <w14:solidFill>
              <w14:schemeClr w14:val="tx1"/>
            </w14:solidFill>
          </w14:textFill>
        </w:rPr>
        <w:t>要多举措加强奖特扶政策宣传并提供政策咨询，广泛利用网络、短信、微信平台等新媒介方式提高目标人群的政策知晓率，全力提升个人幸福感和获得感。</w:t>
      </w:r>
    </w:p>
    <w:p w14:paraId="6CD5CEE3">
      <w:pPr>
        <w:tabs>
          <w:tab w:val="left" w:pos="1911"/>
        </w:tabs>
        <w:jc w:val="left"/>
        <w:rPr>
          <w:rFonts w:hint="eastAsia" w:ascii="仿宋_GB2312" w:hAnsi="仿宋_GB2312" w:eastAsia="仿宋_GB2312" w:cs="仿宋_GB2312"/>
          <w:b w:val="0"/>
          <w:bCs w:val="0"/>
          <w:snapToGrid w:val="0"/>
          <w:kern w:val="0"/>
          <w:position w:val="0"/>
          <w:sz w:val="32"/>
          <w:szCs w:val="32"/>
          <w:highlight w:val="none"/>
          <w:lang w:val="en" w:eastAsia="zh-CN" w:bidi="ar-SA"/>
        </w:rPr>
      </w:pPr>
    </w:p>
    <w:p w14:paraId="554187A7">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snapToGrid w:val="0"/>
          <w:color w:val="000000"/>
          <w:kern w:val="0"/>
          <w:position w:val="0"/>
          <w:szCs w:val="32"/>
          <w:highlight w:val="none"/>
          <w:shd w:val="clear" w:color="auto" w:fill="FFFFFF"/>
          <w:lang w:val="zh-CN" w:eastAsia="zh-CN"/>
        </w:rPr>
      </w:pPr>
    </w:p>
    <w:p w14:paraId="64797693">
      <w:pPr>
        <w:rPr>
          <w:snapToGrid w:val="0"/>
          <w:kern w:val="0"/>
          <w:position w:val="0"/>
        </w:rPr>
      </w:pPr>
    </w:p>
    <w:sectPr>
      <w:footerReference r:id="rId3" w:type="default"/>
      <w:pgSz w:w="11906" w:h="16838"/>
      <w:pgMar w:top="2098" w:right="1474" w:bottom="1984" w:left="1588" w:header="851" w:footer="1134"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29969E-3EEA-4A5A-AEE7-7ABFA085D7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9A8623A-E5B8-4946-89D1-E6E04A98C7D3}"/>
  </w:font>
  <w:font w:name="??">
    <w:altName w:val="Times New Roman"/>
    <w:panose1 w:val="00000000000000000000"/>
    <w:charset w:val="00"/>
    <w:family w:val="roman"/>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embedRegular r:id="rId3" w:fontKey="{92419A3A-FC82-4AAB-AA56-6C8ACA2CE9E3}"/>
  </w:font>
  <w:font w:name="方正小标宋简体">
    <w:panose1 w:val="02000000000000000000"/>
    <w:charset w:val="86"/>
    <w:family w:val="auto"/>
    <w:pitch w:val="default"/>
    <w:sig w:usb0="00000001" w:usb1="08000000" w:usb2="00000000" w:usb3="00000000" w:csb0="00040000" w:csb1="00000000"/>
    <w:embedRegular r:id="rId4" w:fontKey="{C956121C-8D26-4CA7-A8F5-C3671042998A}"/>
  </w:font>
  <w:font w:name="仿宋_GB2312">
    <w:panose1 w:val="02010609030101010101"/>
    <w:charset w:val="86"/>
    <w:family w:val="modern"/>
    <w:pitch w:val="default"/>
    <w:sig w:usb0="00000001" w:usb1="080E0000" w:usb2="00000000" w:usb3="00000000" w:csb0="00040000" w:csb1="00000000"/>
    <w:embedRegular r:id="rId5" w:fontKey="{B708D75C-86F3-40E6-A9CD-C0368924FBB5}"/>
  </w:font>
  <w:font w:name="楷体_GB2312">
    <w:panose1 w:val="02010609030101010101"/>
    <w:charset w:val="86"/>
    <w:family w:val="auto"/>
    <w:pitch w:val="default"/>
    <w:sig w:usb0="00000001" w:usb1="080E0000" w:usb2="00000000" w:usb3="00000000" w:csb0="00040000" w:csb1="00000000"/>
    <w:embedRegular r:id="rId6" w:fontKey="{03CF3F4E-EB85-4B07-B14C-7E8CA3C89F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C62F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928F07">
                          <w:pPr>
                            <w:pStyle w:val="7"/>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928F07">
                    <w:pPr>
                      <w:pStyle w:val="7"/>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TUzZGFlMmM4YmFjNTQwY2MzZDc0YjE2MWU2ZDQifQ=="/>
  </w:docVars>
  <w:rsids>
    <w:rsidRoot w:val="00000000"/>
    <w:rsid w:val="007B219D"/>
    <w:rsid w:val="027473EA"/>
    <w:rsid w:val="03A66A0F"/>
    <w:rsid w:val="048D195A"/>
    <w:rsid w:val="05A86320"/>
    <w:rsid w:val="063A1D78"/>
    <w:rsid w:val="083F3DCE"/>
    <w:rsid w:val="09BB0BE6"/>
    <w:rsid w:val="15891CCA"/>
    <w:rsid w:val="180642E2"/>
    <w:rsid w:val="1CAB4D11"/>
    <w:rsid w:val="21FF2415"/>
    <w:rsid w:val="283C1BAF"/>
    <w:rsid w:val="2A2B1C75"/>
    <w:rsid w:val="2B7060CA"/>
    <w:rsid w:val="2E287B98"/>
    <w:rsid w:val="31C61C97"/>
    <w:rsid w:val="32165545"/>
    <w:rsid w:val="324A532E"/>
    <w:rsid w:val="32584CAA"/>
    <w:rsid w:val="33B75806"/>
    <w:rsid w:val="3D7A6218"/>
    <w:rsid w:val="3FB54B12"/>
    <w:rsid w:val="41A30E2E"/>
    <w:rsid w:val="4CD945DE"/>
    <w:rsid w:val="4DD908F3"/>
    <w:rsid w:val="51E12288"/>
    <w:rsid w:val="52CF44B9"/>
    <w:rsid w:val="53514ECE"/>
    <w:rsid w:val="56B55774"/>
    <w:rsid w:val="57120E18"/>
    <w:rsid w:val="58B240A2"/>
    <w:rsid w:val="59B9186C"/>
    <w:rsid w:val="5B9938B6"/>
    <w:rsid w:val="61240535"/>
    <w:rsid w:val="63163033"/>
    <w:rsid w:val="681E586F"/>
    <w:rsid w:val="6DC751A6"/>
    <w:rsid w:val="6DEF2FBB"/>
    <w:rsid w:val="720E6EC2"/>
    <w:rsid w:val="75FD1F11"/>
    <w:rsid w:val="781F5B4B"/>
    <w:rsid w:val="7B4A25F5"/>
    <w:rsid w:val="7BFE3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index 6"/>
    <w:basedOn w:val="1"/>
    <w:next w:val="1"/>
    <w:qFormat/>
    <w:uiPriority w:val="0"/>
    <w:pPr>
      <w:ind w:left="2100"/>
    </w:pPr>
  </w:style>
  <w:style w:type="paragraph" w:styleId="5">
    <w:name w:val="Body Text"/>
    <w:basedOn w:val="1"/>
    <w:next w:val="6"/>
    <w:qFormat/>
    <w:uiPriority w:val="0"/>
    <w:pPr>
      <w:spacing w:before="0" w:after="140" w:line="276" w:lineRule="auto"/>
    </w:pPr>
  </w:style>
  <w:style w:type="paragraph" w:customStyle="1" w:styleId="6">
    <w:name w:val="样式1"/>
    <w:basedOn w:val="1"/>
    <w:qFormat/>
    <w:uiPriority w:val="0"/>
    <w:rPr>
      <w:b/>
      <w:color w:val="538135"/>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next w:val="4"/>
    <w:qFormat/>
    <w:uiPriority w:val="0"/>
    <w:pPr>
      <w:spacing w:beforeAutospacing="1" w:afterAutospacing="1"/>
      <w:jc w:val="left"/>
    </w:pPr>
    <w:rPr>
      <w:rFonts w:cs="Times New Roman"/>
      <w:kern w:val="0"/>
      <w:sz w:val="24"/>
    </w:rPr>
  </w:style>
  <w:style w:type="paragraph" w:customStyle="1" w:styleId="12">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13">
    <w:name w:val="样式 小四 行距: 1.5 倍行距"/>
    <w:basedOn w:val="1"/>
    <w:qFormat/>
    <w:uiPriority w:val="0"/>
    <w:pPr>
      <w:spacing w:line="360" w:lineRule="auto"/>
      <w:ind w:firstLine="480" w:firstLineChars="200"/>
    </w:pPr>
    <w:rPr>
      <w:rFonts w:cs="宋体"/>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3402</Words>
  <Characters>3623</Characters>
  <Lines>0</Lines>
  <Paragraphs>0</Paragraphs>
  <TotalTime>6</TotalTime>
  <ScaleCrop>false</ScaleCrop>
  <LinksUpToDate>false</LinksUpToDate>
  <CharactersWithSpaces>3626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2024-09-19T01:03:00Z</dcterms:created>
  <dc:creator>dell</dc:creator>
  <cp:lastModifiedBy>这样就好</cp:lastModifiedBy>
  <dcterms:modified xsi:type="dcterms:W3CDTF">2024-09-24T07:18:38Z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53DCDF3366534BDDB2B85335CC135774_12</vt:lpwstr>
  </property>
</Properties>
</file>