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76DC">
      <w:pPr>
        <w:pStyle w:val="4"/>
        <w:keepNext w:val="0"/>
        <w:keepLines w:val="0"/>
        <w:pageBreakBefore w:val="0"/>
        <w:widowControl w:val="0"/>
        <w:kinsoku/>
        <w:wordWrap/>
        <w:overflowPunct w:val="0"/>
        <w:topLinePunct w:val="0"/>
        <w:autoSpaceDE/>
        <w:autoSpaceDN/>
        <w:bidi w:val="0"/>
        <w:adjustRightInd w:val="0"/>
        <w:snapToGrid w:val="0"/>
        <w:spacing w:after="0" w:line="576" w:lineRule="exact"/>
        <w:textAlignment w:val="auto"/>
        <w:rPr>
          <w:rFonts w:hint="eastAsia" w:ascii="黑体" w:hAnsi="黑体" w:eastAsia="黑体" w:cs="黑体"/>
          <w:b w:val="0"/>
          <w:bCs w:val="0"/>
          <w:snapToGrid w:val="0"/>
          <w:color w:val="auto"/>
          <w:kern w:val="0"/>
          <w:position w:val="0"/>
          <w:sz w:val="32"/>
          <w:szCs w:val="32"/>
          <w:highlight w:val="none"/>
          <w:shd w:val="clear" w:color="auto" w:fill="FFFFFF"/>
          <w:lang w:val="en-US" w:eastAsia="zh-CN"/>
        </w:rPr>
      </w:pPr>
      <w:r>
        <w:rPr>
          <w:rFonts w:hint="eastAsia" w:ascii="黑体" w:hAnsi="黑体" w:eastAsia="黑体" w:cs="黑体"/>
          <w:b w:val="0"/>
          <w:bCs w:val="0"/>
          <w:snapToGrid w:val="0"/>
          <w:color w:val="auto"/>
          <w:kern w:val="0"/>
          <w:position w:val="0"/>
          <w:sz w:val="32"/>
          <w:szCs w:val="32"/>
          <w:highlight w:val="none"/>
          <w:shd w:val="clear" w:color="auto" w:fill="FFFFFF"/>
          <w:lang w:val="zh-CN"/>
        </w:rPr>
        <w:t>附件</w:t>
      </w:r>
      <w:r>
        <w:rPr>
          <w:rFonts w:hint="eastAsia" w:ascii="黑体" w:hAnsi="黑体" w:eastAsia="黑体" w:cs="黑体"/>
          <w:b w:val="0"/>
          <w:bCs w:val="0"/>
          <w:snapToGrid w:val="0"/>
          <w:color w:val="auto"/>
          <w:kern w:val="0"/>
          <w:position w:val="0"/>
          <w:sz w:val="32"/>
          <w:szCs w:val="32"/>
          <w:highlight w:val="none"/>
          <w:shd w:val="clear" w:color="auto" w:fill="FFFFFF"/>
          <w:lang w:val="en-US" w:eastAsia="zh-CN"/>
        </w:rPr>
        <w:t>2</w:t>
      </w:r>
    </w:p>
    <w:p w14:paraId="77FDFF2B">
      <w:pPr>
        <w:pStyle w:val="4"/>
        <w:keepNext w:val="0"/>
        <w:keepLines w:val="0"/>
        <w:pageBreakBefore w:val="0"/>
        <w:widowControl w:val="0"/>
        <w:kinsoku/>
        <w:wordWrap/>
        <w:overflowPunct w:val="0"/>
        <w:topLinePunct w:val="0"/>
        <w:autoSpaceDE/>
        <w:autoSpaceDN/>
        <w:bidi w:val="0"/>
        <w:adjustRightInd w:val="0"/>
        <w:snapToGrid w:val="0"/>
        <w:spacing w:after="0" w:line="576" w:lineRule="exact"/>
        <w:textAlignment w:val="auto"/>
        <w:rPr>
          <w:rFonts w:hint="eastAsia" w:ascii="黑体" w:hAnsi="黑体" w:eastAsia="黑体" w:cs="黑体"/>
          <w:b w:val="0"/>
          <w:bCs w:val="0"/>
          <w:snapToGrid w:val="0"/>
          <w:color w:val="auto"/>
          <w:kern w:val="0"/>
          <w:position w:val="0"/>
          <w:sz w:val="32"/>
          <w:szCs w:val="32"/>
          <w:highlight w:val="none"/>
          <w:shd w:val="clear" w:color="auto" w:fill="FFFFFF"/>
          <w:lang w:val="en-US" w:eastAsia="zh-CN"/>
        </w:rPr>
      </w:pPr>
    </w:p>
    <w:p w14:paraId="3CEC62C1">
      <w:pPr>
        <w:pStyle w:val="9"/>
        <w:keepNext w:val="0"/>
        <w:keepLines w:val="0"/>
        <w:pageBreakBefore w:val="0"/>
        <w:widowControl w:val="0"/>
        <w:kinsoku/>
        <w:wordWrap/>
        <w:overflowPunct w:val="0"/>
        <w:topLinePunct w:val="0"/>
        <w:autoSpaceDE/>
        <w:autoSpaceDN/>
        <w:bidi w:val="0"/>
        <w:adjustRightInd w:val="0"/>
        <w:snapToGrid w:val="0"/>
        <w:spacing w:line="740" w:lineRule="exact"/>
        <w:ind w:left="0" w:leftChars="0"/>
        <w:jc w:val="center"/>
        <w:textAlignment w:val="auto"/>
        <w:rPr>
          <w:rFonts w:hint="eastAsia" w:ascii="方正小标宋_GBK" w:hAnsi="方正小标宋_GBK" w:eastAsia="方正小标宋_GBK" w:cs="方正小标宋_GBK"/>
          <w:b w:val="0"/>
          <w:bCs w:val="0"/>
          <w:snapToGrid w:val="0"/>
          <w:color w:val="auto"/>
          <w:kern w:val="0"/>
          <w:position w:val="0"/>
          <w:sz w:val="44"/>
          <w:szCs w:val="44"/>
          <w:highlight w:val="none"/>
          <w:lang w:val="en-US" w:eastAsia="zh-CN"/>
        </w:rPr>
      </w:pPr>
      <w:r>
        <w:rPr>
          <w:rFonts w:hint="eastAsia" w:ascii="方正小标宋_GBK" w:hAnsi="方正小标宋_GBK" w:eastAsia="方正小标宋_GBK" w:cs="方正小标宋_GBK"/>
          <w:b w:val="0"/>
          <w:bCs w:val="0"/>
          <w:snapToGrid w:val="0"/>
          <w:color w:val="auto"/>
          <w:kern w:val="0"/>
          <w:position w:val="0"/>
          <w:sz w:val="44"/>
          <w:szCs w:val="44"/>
          <w:highlight w:val="none"/>
          <w:lang w:val="en-US" w:eastAsia="zh-CN"/>
        </w:rPr>
        <w:t>基本药物专项预算项目绩效评价报告</w:t>
      </w:r>
    </w:p>
    <w:p w14:paraId="51DA7AF4">
      <w:pPr>
        <w:pStyle w:val="9"/>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rPr>
      </w:pPr>
    </w:p>
    <w:p w14:paraId="01C524B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lang w:val="zh-CN"/>
        </w:rPr>
      </w:pPr>
      <w:r>
        <w:rPr>
          <w:rFonts w:hint="eastAsia" w:ascii="黑体" w:hAnsi="黑体" w:eastAsia="黑体" w:cs="黑体"/>
          <w:b w:val="0"/>
          <w:bCs w:val="0"/>
          <w:snapToGrid w:val="0"/>
          <w:color w:val="auto"/>
          <w:kern w:val="0"/>
          <w:position w:val="0"/>
          <w:sz w:val="32"/>
          <w:szCs w:val="32"/>
          <w:highlight w:val="none"/>
        </w:rPr>
        <w:t>一、</w:t>
      </w:r>
      <w:r>
        <w:rPr>
          <w:rFonts w:hint="eastAsia" w:ascii="黑体" w:hAnsi="黑体" w:eastAsia="黑体" w:cs="黑体"/>
          <w:b w:val="0"/>
          <w:bCs w:val="0"/>
          <w:snapToGrid w:val="0"/>
          <w:color w:val="auto"/>
          <w:kern w:val="0"/>
          <w:position w:val="0"/>
          <w:sz w:val="32"/>
          <w:szCs w:val="32"/>
          <w:highlight w:val="none"/>
          <w:lang w:val="zh-CN"/>
        </w:rPr>
        <w:t>项目概况</w:t>
      </w:r>
    </w:p>
    <w:p w14:paraId="4E25CF5A">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（一）设立背景及基本情况。</w:t>
      </w:r>
    </w:p>
    <w:p w14:paraId="558D5A53">
      <w:pPr>
        <w:keepNext w:val="0"/>
        <w:keepLines w:val="0"/>
        <w:pageBreakBefore w:val="0"/>
        <w:widowControl w:val="0"/>
        <w:suppressLineNumbers w:val="0"/>
        <w:suppressAutoHyphens w:val="0"/>
        <w:kinsoku/>
        <w:wordWrap/>
        <w:overflowPunct w:val="0"/>
        <w:topLinePunct w:val="0"/>
        <w:autoSpaceDE/>
        <w:autoSpaceDN/>
        <w:bidi w:val="0"/>
        <w:adjustRightInd w:val="0"/>
        <w:snapToGrid w:val="0"/>
        <w:spacing w:before="0" w:beforeAutospacing="0" w:afterAutospacing="0" w:line="576" w:lineRule="exact"/>
        <w:ind w:left="0" w:leftChars="0" w:right="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highlight w:val="none"/>
          <w:u w:val="none"/>
          <w:shd w:val="clear" w:color="auto" w:fill="FFFFFF"/>
          <w:lang w:val="zh-CN"/>
        </w:rPr>
        <w:t>实施国家基本药物制度是深化医药卫生体制改革的五大重点任务之一，也是深化医改的关键环节。取消药品价格加成，实行零加价销售，是国家采取的降低医药费用，减轻广大人民群众负担，改变“以药养医”机制的重大举措。按照国家和我省医改实施方案，我</w:t>
      </w:r>
      <w:r>
        <w:rPr>
          <w:rFonts w:hint="eastAsia" w:ascii="仿宋_GB2312" w:hAnsi="仿宋_GB2312" w:eastAsia="仿宋_GB2312" w:cs="仿宋_GB2312"/>
          <w:b w:val="0"/>
          <w:bCs w:val="0"/>
          <w:snapToGrid w:val="0"/>
          <w:color w:val="auto"/>
          <w:kern w:val="0"/>
          <w:position w:val="0"/>
          <w:sz w:val="32"/>
          <w:szCs w:val="32"/>
          <w:highlight w:val="none"/>
          <w:u w:val="none"/>
          <w:shd w:val="clear" w:color="auto" w:fill="FFFFFF"/>
          <w:lang w:val="en-US" w:eastAsia="zh-CN"/>
        </w:rPr>
        <w:t>市</w:t>
      </w:r>
      <w:r>
        <w:rPr>
          <w:rFonts w:hint="eastAsia" w:ascii="仿宋_GB2312" w:hAnsi="仿宋_GB2312" w:eastAsia="仿宋_GB2312" w:cs="仿宋_GB2312"/>
          <w:b w:val="0"/>
          <w:bCs w:val="0"/>
          <w:snapToGrid w:val="0"/>
          <w:color w:val="auto"/>
          <w:kern w:val="0"/>
          <w:position w:val="0"/>
          <w:sz w:val="32"/>
          <w:szCs w:val="32"/>
          <w:highlight w:val="none"/>
          <w:u w:val="none"/>
          <w:shd w:val="clear" w:color="auto" w:fill="FFFFFF"/>
          <w:lang w:val="zh-CN"/>
        </w:rPr>
        <w:t>全面实行在政府举办的基层医疗卫生机构（城市社区卫生服务机构、乡镇卫生院、</w:t>
      </w:r>
      <w:r>
        <w:rPr>
          <w:rFonts w:hint="eastAsia" w:ascii="仿宋_GB2312" w:hAnsi="仿宋_GB2312" w:eastAsia="仿宋_GB2312" w:cs="仿宋_GB2312"/>
          <w:b w:val="0"/>
          <w:bCs w:val="0"/>
          <w:snapToGrid w:val="0"/>
          <w:color w:val="auto"/>
          <w:kern w:val="0"/>
          <w:position w:val="0"/>
          <w:sz w:val="32"/>
          <w:szCs w:val="32"/>
          <w:lang w:val="en-US" w:eastAsia="zh-CN"/>
        </w:rPr>
        <w:t>村卫生室</w:t>
      </w:r>
      <w:r>
        <w:rPr>
          <w:rFonts w:hint="eastAsia" w:ascii="仿宋_GB2312" w:hAnsi="仿宋_GB2312" w:eastAsia="仿宋_GB2312" w:cs="仿宋_GB2312"/>
          <w:b w:val="0"/>
          <w:bCs w:val="0"/>
          <w:snapToGrid w:val="0"/>
          <w:color w:val="auto"/>
          <w:kern w:val="0"/>
          <w:position w:val="0"/>
          <w:sz w:val="32"/>
          <w:szCs w:val="32"/>
          <w:highlight w:val="none"/>
          <w:u w:val="none"/>
          <w:shd w:val="clear" w:color="auto" w:fill="FFFFFF"/>
          <w:lang w:val="zh-CN"/>
        </w:rPr>
        <w:t>）实施国家基本药物制度，全部配备和使用国家基本药物，并实行零加价销售，基层医疗卫生机构将减少一部分收入，为保证基层医疗卫生机构的正常运转，</w:t>
      </w:r>
      <w:r>
        <w:rPr>
          <w:rFonts w:hint="eastAsia" w:ascii="仿宋_GB2312" w:hAnsi="仿宋_GB2312" w:eastAsia="仿宋_GB2312" w:cs="仿宋_GB2312"/>
          <w:b w:val="0"/>
          <w:bCs w:val="0"/>
          <w:snapToGrid w:val="0"/>
          <w:color w:val="auto"/>
          <w:kern w:val="0"/>
          <w:position w:val="0"/>
          <w:sz w:val="32"/>
          <w:szCs w:val="32"/>
        </w:rPr>
        <w:t>建立多渠道补偿机制</w:t>
      </w:r>
      <w:r>
        <w:rPr>
          <w:rFonts w:hint="eastAsia" w:ascii="仿宋_GB2312" w:hAnsi="仿宋_GB2312" w:eastAsia="仿宋_GB2312" w:cs="仿宋_GB2312"/>
          <w:b w:val="0"/>
          <w:bCs w:val="0"/>
          <w:snapToGrid w:val="0"/>
          <w:color w:val="auto"/>
          <w:kern w:val="0"/>
          <w:position w:val="0"/>
          <w:sz w:val="32"/>
          <w:szCs w:val="32"/>
          <w:lang w:eastAsia="zh-CN"/>
        </w:rPr>
        <w:t>。</w:t>
      </w:r>
      <w:r>
        <w:rPr>
          <w:rFonts w:hint="eastAsia" w:ascii="仿宋_GB2312" w:hAnsi="仿宋_GB2312" w:eastAsia="仿宋_GB2312" w:cs="仿宋_GB2312"/>
          <w:b w:val="0"/>
          <w:bCs w:val="0"/>
          <w:snapToGrid w:val="0"/>
          <w:color w:val="auto"/>
          <w:kern w:val="0"/>
          <w:position w:val="0"/>
          <w:sz w:val="32"/>
          <w:szCs w:val="32"/>
          <w:shd w:val="clear" w:color="auto" w:fill="FFFFFF"/>
          <w:lang w:eastAsia="zh-CN"/>
        </w:rPr>
        <w:t>此项工作由</w:t>
      </w:r>
      <w:r>
        <w:rPr>
          <w:rFonts w:hint="eastAsia" w:ascii="仿宋_GB2312" w:hAnsi="仿宋_GB2312" w:eastAsia="仿宋_GB2312" w:cs="仿宋_GB2312"/>
          <w:b w:val="0"/>
          <w:bCs w:val="0"/>
          <w:snapToGrid w:val="0"/>
          <w:color w:val="auto"/>
          <w:kern w:val="0"/>
          <w:position w:val="0"/>
          <w:sz w:val="32"/>
          <w:szCs w:val="32"/>
        </w:rPr>
        <w:t>市卫生健康委负责牵总推动，各县（区）卫生健康局</w:t>
      </w:r>
      <w:r>
        <w:rPr>
          <w:rFonts w:hint="eastAsia" w:ascii="仿宋_GB2312" w:hAnsi="仿宋_GB2312" w:eastAsia="仿宋_GB2312" w:cs="仿宋_GB2312"/>
          <w:b w:val="0"/>
          <w:bCs w:val="0"/>
          <w:caps w:val="0"/>
          <w:snapToGrid w:val="0"/>
          <w:color w:val="auto"/>
          <w:kern w:val="0"/>
          <w:position w:val="0"/>
          <w:sz w:val="32"/>
          <w:szCs w:val="32"/>
          <w:vertAlign w:val="baseline"/>
          <w:lang w:val="en-US" w:eastAsia="zh-CN" w:bidi="ar"/>
        </w:rPr>
        <w:t>落实主体责任</w:t>
      </w:r>
      <w:r>
        <w:rPr>
          <w:rFonts w:hint="eastAsia" w:ascii="仿宋_GB2312" w:hAnsi="仿宋_GB2312" w:eastAsia="仿宋_GB2312" w:cs="仿宋_GB2312"/>
          <w:b w:val="0"/>
          <w:bCs w:val="0"/>
          <w:snapToGrid w:val="0"/>
          <w:color w:val="auto"/>
          <w:kern w:val="0"/>
          <w:position w:val="0"/>
          <w:sz w:val="32"/>
          <w:szCs w:val="32"/>
          <w:lang w:eastAsia="zh-CN"/>
        </w:rPr>
        <w:t>、</w:t>
      </w:r>
      <w:r>
        <w:rPr>
          <w:rFonts w:hint="eastAsia" w:ascii="仿宋_GB2312" w:hAnsi="仿宋_GB2312" w:eastAsia="仿宋_GB2312" w:cs="仿宋_GB2312"/>
          <w:b w:val="0"/>
          <w:bCs w:val="0"/>
          <w:snapToGrid w:val="0"/>
          <w:color w:val="auto"/>
          <w:kern w:val="0"/>
          <w:position w:val="0"/>
          <w:sz w:val="32"/>
          <w:szCs w:val="32"/>
          <w:highlight w:val="none"/>
          <w:u w:val="none"/>
          <w:shd w:val="clear" w:color="auto" w:fill="FFFFFF"/>
          <w:lang w:val="zh-CN"/>
        </w:rPr>
        <w:t>基层医疗卫生机构</w:t>
      </w:r>
      <w:r>
        <w:rPr>
          <w:rFonts w:hint="eastAsia" w:ascii="仿宋_GB2312" w:hAnsi="仿宋_GB2312" w:eastAsia="仿宋_GB2312" w:cs="仿宋_GB2312"/>
          <w:b w:val="0"/>
          <w:bCs w:val="0"/>
          <w:snapToGrid w:val="0"/>
          <w:color w:val="auto"/>
          <w:kern w:val="0"/>
          <w:position w:val="0"/>
          <w:sz w:val="32"/>
          <w:szCs w:val="32"/>
        </w:rPr>
        <w:t>具体实施</w:t>
      </w:r>
      <w:r>
        <w:rPr>
          <w:rFonts w:hint="eastAsia" w:ascii="仿宋_GB2312" w:hAnsi="仿宋_GB2312" w:eastAsia="仿宋_GB2312" w:cs="仿宋_GB2312"/>
          <w:b w:val="0"/>
          <w:bCs w:val="0"/>
          <w:snapToGrid w:val="0"/>
          <w:color w:val="auto"/>
          <w:kern w:val="0"/>
          <w:position w:val="0"/>
          <w:sz w:val="32"/>
          <w:szCs w:val="32"/>
          <w:lang w:eastAsia="zh-CN"/>
        </w:rPr>
        <w:t>。</w:t>
      </w:r>
    </w:p>
    <w:p w14:paraId="73512FEA">
      <w:pPr>
        <w:pStyle w:val="4"/>
        <w:keepNext w:val="0"/>
        <w:keepLines w:val="0"/>
        <w:pageBreakBefore w:val="0"/>
        <w:widowControl w:val="0"/>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en-US" w:eastAsia="zh-CN"/>
        </w:rPr>
      </w:pPr>
      <w:r>
        <w:rPr>
          <w:rFonts w:hint="eastAsia" w:ascii="仿宋_GB2312" w:hAnsi="仿宋_GB2312" w:eastAsia="仿宋_GB2312" w:cs="仿宋_GB2312"/>
          <w:b w:val="0"/>
          <w:bCs w:val="0"/>
          <w:snapToGrid w:val="0"/>
          <w:color w:val="auto"/>
          <w:kern w:val="0"/>
          <w:position w:val="0"/>
          <w:sz w:val="32"/>
          <w:szCs w:val="32"/>
        </w:rPr>
        <w:t>广元市辖四个扩权县（苍溪县、旺苍县、剑阁县、青川县）和</w:t>
      </w:r>
      <w:r>
        <w:rPr>
          <w:rFonts w:hint="eastAsia" w:ascii="仿宋_GB2312" w:hAnsi="仿宋_GB2312" w:eastAsia="仿宋_GB2312" w:cs="仿宋_GB2312"/>
          <w:b w:val="0"/>
          <w:bCs w:val="0"/>
          <w:snapToGrid w:val="0"/>
          <w:color w:val="auto"/>
          <w:kern w:val="0"/>
          <w:position w:val="0"/>
          <w:sz w:val="32"/>
          <w:szCs w:val="32"/>
          <w:lang w:val="en-US" w:eastAsia="zh-CN"/>
        </w:rPr>
        <w:t>三</w:t>
      </w:r>
      <w:r>
        <w:rPr>
          <w:rFonts w:hint="eastAsia" w:ascii="仿宋_GB2312" w:hAnsi="仿宋_GB2312" w:eastAsia="仿宋_GB2312" w:cs="仿宋_GB2312"/>
          <w:b w:val="0"/>
          <w:bCs w:val="0"/>
          <w:snapToGrid w:val="0"/>
          <w:color w:val="auto"/>
          <w:kern w:val="0"/>
          <w:position w:val="0"/>
          <w:sz w:val="32"/>
          <w:szCs w:val="32"/>
        </w:rPr>
        <w:t>个</w:t>
      </w:r>
      <w:r>
        <w:rPr>
          <w:rFonts w:hint="eastAsia" w:ascii="仿宋_GB2312" w:hAnsi="仿宋_GB2312" w:eastAsia="仿宋_GB2312" w:cs="仿宋_GB2312"/>
          <w:b w:val="0"/>
          <w:bCs w:val="0"/>
          <w:snapToGrid w:val="0"/>
          <w:color w:val="auto"/>
          <w:kern w:val="0"/>
          <w:position w:val="0"/>
          <w:sz w:val="32"/>
          <w:szCs w:val="32"/>
          <w:lang w:val="en-US" w:eastAsia="zh-CN"/>
        </w:rPr>
        <w:t>市辖区</w:t>
      </w:r>
      <w:r>
        <w:rPr>
          <w:rFonts w:hint="eastAsia" w:ascii="仿宋_GB2312" w:hAnsi="仿宋_GB2312" w:eastAsia="仿宋_GB2312" w:cs="仿宋_GB2312"/>
          <w:b w:val="0"/>
          <w:bCs w:val="0"/>
          <w:snapToGrid w:val="0"/>
          <w:color w:val="auto"/>
          <w:kern w:val="0"/>
          <w:position w:val="0"/>
          <w:sz w:val="32"/>
          <w:szCs w:val="32"/>
        </w:rPr>
        <w:t>（利州区、昭化区、朝天区）</w:t>
      </w:r>
      <w:r>
        <w:rPr>
          <w:rFonts w:hint="eastAsia" w:ascii="仿宋_GB2312" w:hAnsi="仿宋_GB2312" w:eastAsia="仿宋_GB2312" w:cs="仿宋_GB2312"/>
          <w:b w:val="0"/>
          <w:bCs w:val="0"/>
          <w:snapToGrid w:val="0"/>
          <w:color w:val="auto"/>
          <w:kern w:val="0"/>
          <w:position w:val="0"/>
          <w:sz w:val="32"/>
          <w:szCs w:val="32"/>
          <w:lang w:eastAsia="zh-CN"/>
        </w:rPr>
        <w:t>。</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202</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3</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年末，全市常住人口22</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4</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9</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万人，其中城镇人口1</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11.48</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万人、乡村人口11</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3</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42</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万人</w:t>
      </w:r>
      <w:r>
        <w:rPr>
          <w:rFonts w:hint="eastAsia" w:ascii="仿宋_GB2312" w:hAnsi="仿宋_GB2312" w:eastAsia="仿宋_GB2312" w:cs="仿宋_GB2312"/>
          <w:b w:val="0"/>
          <w:bCs w:val="0"/>
          <w:snapToGrid w:val="0"/>
          <w:color w:val="auto"/>
          <w:kern w:val="0"/>
          <w:position w:val="0"/>
          <w:sz w:val="32"/>
          <w:szCs w:val="32"/>
          <w:lang w:eastAsia="zh-CN"/>
        </w:rPr>
        <w:t>，</w:t>
      </w:r>
      <w:r>
        <w:rPr>
          <w:rFonts w:hint="eastAsia" w:ascii="仿宋_GB2312" w:hAnsi="仿宋_GB2312" w:eastAsia="仿宋_GB2312" w:cs="仿宋_GB2312"/>
          <w:b w:val="0"/>
          <w:bCs w:val="0"/>
          <w:snapToGrid w:val="0"/>
          <w:color w:val="auto"/>
          <w:kern w:val="0"/>
          <w:position w:val="0"/>
          <w:sz w:val="32"/>
          <w:szCs w:val="32"/>
          <w:highlight w:val="none"/>
          <w:lang w:val="en-US" w:eastAsia="zh-CN"/>
        </w:rPr>
        <w:t>全市共计1516个村卫生室，其中，苍溪县412个、旺苍县220个、剑阁县348个、青川县169个、利州区115个、昭化区126个、朝天区126个。</w:t>
      </w:r>
    </w:p>
    <w:p w14:paraId="26C806D7">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实施目的及支持方向。</w:t>
      </w:r>
    </w:p>
    <w:p w14:paraId="7F371EE1">
      <w:pPr>
        <w:pStyle w:val="10"/>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我委于2023年5月9日印发了《广元市卫生健康预算效管理办法的通知》（广卫发〔2023〕4号），进一步规范绩效管理全过程工作流程。积极推进基层医疗卫生机构综合改革、支持</w:t>
      </w: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基层医疗卫生机构实施国家基本药物制度、配备和使用国家基本药物，并实行零加价销售，基层医疗卫生机构</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因此</w:t>
      </w: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将减少一部分收入，</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基本药物制度补助用于</w:t>
      </w: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保证基层医疗卫生机构的正常运转</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和乡村医生队伍稳定等方面，支持方向为各级基层医疗卫生机构，包括城市社区卫生服务中心（站）、乡镇卫生院和村卫生室等机构发展。</w:t>
      </w:r>
    </w:p>
    <w:p w14:paraId="05C111A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（三）</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预算安排及分配管理</w:t>
      </w: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w:t>
      </w:r>
    </w:p>
    <w:p w14:paraId="648E44C2">
      <w:pPr>
        <w:pStyle w:val="10"/>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基本药物制度项目资金由中央、省、市县</w:t>
      </w:r>
      <w:bookmarkStart w:id="0" w:name="_GoBack"/>
      <w:bookmarkEnd w:id="0"/>
      <w:r>
        <w:rPr>
          <w:rFonts w:hint="eastAsia" w:ascii="仿宋_GB2312" w:hAnsi="仿宋_GB2312" w:eastAsia="仿宋_GB2312" w:cs="仿宋_GB2312"/>
          <w:b w:val="0"/>
          <w:bCs w:val="0"/>
          <w:snapToGrid w:val="0"/>
          <w:color w:val="auto"/>
          <w:kern w:val="0"/>
          <w:position w:val="0"/>
          <w:sz w:val="32"/>
          <w:szCs w:val="32"/>
          <w:lang w:val="en-US" w:eastAsia="zh-CN" w:bidi="ar-SA"/>
        </w:rPr>
        <w:t>资金构成，总预算数为5319.08万元、执行数为3444.97万元，资金执行率为64.77%，其中中央资金预算数为2659.95万元、执行数为1989.10万元，执行率为74.78%；省级资金预算数为1522.66万元、执行数为901.39万元，执行率为59.20%；市县资金预算数为1136.47万元、执行数为554.48万元，执行率为48.79%。</w:t>
      </w:r>
    </w:p>
    <w:p w14:paraId="7C2675F4">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（四）项目绩效目标设置。</w:t>
      </w:r>
    </w:p>
    <w:p w14:paraId="0E118E94">
      <w:pPr>
        <w:keepNext w:val="0"/>
        <w:keepLines w:val="0"/>
        <w:pageBreakBefore w:val="0"/>
        <w:widowControl w:val="0"/>
        <w:suppressLineNumbers w:val="0"/>
        <w:tabs>
          <w:tab w:val="left" w:pos="0"/>
        </w:tabs>
        <w:suppressAutoHyphens w:val="0"/>
        <w:kinsoku/>
        <w:wordWrap/>
        <w:overflowPunct w:val="0"/>
        <w:topLinePunct w:val="0"/>
        <w:autoSpaceDE/>
        <w:autoSpaceDN/>
        <w:bidi w:val="0"/>
        <w:adjustRightInd w:val="0"/>
        <w:snapToGrid w:val="0"/>
        <w:spacing w:before="0" w:beforeAutospacing="0" w:afterAutospacing="0" w:line="576" w:lineRule="exact"/>
        <w:ind w:left="0" w:leftChars="0" w:right="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rPr>
        <w:t>对标</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财政部</w:t>
      </w:r>
      <w:r>
        <w:rPr>
          <w:rFonts w:hint="eastAsia" w:ascii="仿宋_GB2312" w:hAnsi="仿宋_GB2312" w:eastAsia="仿宋_GB2312" w:cs="仿宋_GB2312"/>
          <w:b w:val="0"/>
          <w:bCs w:val="0"/>
          <w:snapToGrid w:val="0"/>
          <w:kern w:val="0"/>
          <w:position w:val="0"/>
          <w:sz w:val="32"/>
          <w:szCs w:val="32"/>
          <w:lang w:val="en-US" w:eastAsia="zh-CN"/>
        </w:rPr>
        <w:t>厅</w:t>
      </w:r>
      <w:r>
        <w:rPr>
          <w:rFonts w:hint="eastAsia" w:ascii="仿宋_GB2312" w:hAnsi="仿宋_GB2312" w:eastAsia="仿宋_GB2312" w:cs="仿宋_GB2312"/>
          <w:b w:val="0"/>
          <w:bCs w:val="0"/>
          <w:snapToGrid w:val="0"/>
          <w:kern w:val="0"/>
          <w:position w:val="0"/>
          <w:sz w:val="32"/>
          <w:szCs w:val="32"/>
        </w:rPr>
        <w:t>、</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卫生健康委、</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医保局、</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中医药局《关于</w:t>
      </w:r>
      <w:r>
        <w:rPr>
          <w:rFonts w:hint="eastAsia" w:ascii="仿宋_GB2312" w:hAnsi="仿宋_GB2312" w:eastAsia="仿宋_GB2312" w:cs="仿宋_GB2312"/>
          <w:b w:val="0"/>
          <w:bCs w:val="0"/>
          <w:snapToGrid w:val="0"/>
          <w:kern w:val="0"/>
          <w:position w:val="0"/>
          <w:sz w:val="32"/>
          <w:szCs w:val="32"/>
          <w:lang w:val="en-US" w:eastAsia="zh-CN"/>
        </w:rPr>
        <w:t>印发</w:t>
      </w:r>
      <w:r>
        <w:rPr>
          <w:rFonts w:hint="eastAsia" w:ascii="仿宋_GB2312" w:hAnsi="仿宋_GB2312" w:eastAsia="仿宋_GB2312" w:cs="仿宋_GB2312"/>
          <w:b w:val="0"/>
          <w:bCs w:val="0"/>
          <w:snapToGrid w:val="0"/>
          <w:kern w:val="0"/>
          <w:position w:val="0"/>
          <w:sz w:val="32"/>
          <w:szCs w:val="32"/>
        </w:rPr>
        <w:t>公共卫生服务等5项补助资金管理办法的通知》（</w:t>
      </w:r>
      <w:r>
        <w:rPr>
          <w:rFonts w:hint="eastAsia" w:ascii="仿宋_GB2312" w:hAnsi="仿宋_GB2312" w:eastAsia="仿宋_GB2312" w:cs="仿宋_GB2312"/>
          <w:b w:val="0"/>
          <w:bCs w:val="0"/>
          <w:snapToGrid w:val="0"/>
          <w:kern w:val="0"/>
          <w:position w:val="0"/>
          <w:sz w:val="32"/>
          <w:szCs w:val="32"/>
          <w:lang w:val="en-US" w:eastAsia="zh-CN"/>
        </w:rPr>
        <w:t>川</w:t>
      </w:r>
      <w:r>
        <w:rPr>
          <w:rFonts w:hint="eastAsia" w:ascii="仿宋_GB2312" w:hAnsi="仿宋_GB2312" w:eastAsia="仿宋_GB2312" w:cs="仿宋_GB2312"/>
          <w:b w:val="0"/>
          <w:bCs w:val="0"/>
          <w:snapToGrid w:val="0"/>
          <w:kern w:val="0"/>
          <w:position w:val="0"/>
          <w:sz w:val="32"/>
          <w:szCs w:val="32"/>
        </w:rPr>
        <w:t>财社〔2022〕</w:t>
      </w:r>
      <w:r>
        <w:rPr>
          <w:rFonts w:hint="eastAsia" w:ascii="仿宋_GB2312" w:hAnsi="仿宋_GB2312" w:eastAsia="仿宋_GB2312" w:cs="仿宋_GB2312"/>
          <w:b w:val="0"/>
          <w:bCs w:val="0"/>
          <w:snapToGrid w:val="0"/>
          <w:kern w:val="0"/>
          <w:position w:val="0"/>
          <w:sz w:val="32"/>
          <w:szCs w:val="32"/>
          <w:lang w:val="en-US" w:eastAsia="zh-CN"/>
        </w:rPr>
        <w:t>112</w:t>
      </w:r>
      <w:r>
        <w:rPr>
          <w:rFonts w:hint="eastAsia" w:ascii="仿宋_GB2312" w:hAnsi="仿宋_GB2312" w:eastAsia="仿宋_GB2312" w:cs="仿宋_GB2312"/>
          <w:b w:val="0"/>
          <w:bCs w:val="0"/>
          <w:snapToGrid w:val="0"/>
          <w:kern w:val="0"/>
          <w:position w:val="0"/>
          <w:sz w:val="32"/>
          <w:szCs w:val="32"/>
        </w:rPr>
        <w:t>号）</w:t>
      </w:r>
      <w:r>
        <w:rPr>
          <w:rFonts w:hint="eastAsia" w:ascii="仿宋_GB2312" w:hAnsi="仿宋_GB2312" w:eastAsia="仿宋_GB2312" w:cs="仿宋_GB2312"/>
          <w:b w:val="0"/>
          <w:bCs w:val="0"/>
          <w:snapToGrid w:val="0"/>
          <w:color w:val="auto"/>
          <w:kern w:val="0"/>
          <w:position w:val="0"/>
          <w:sz w:val="32"/>
          <w:szCs w:val="32"/>
          <w:lang w:val="en-US" w:eastAsia="zh-CN"/>
        </w:rPr>
        <w:t>精神和省级下发的“绩效目标表”进行目标设置，同时</w:t>
      </w:r>
      <w:r>
        <w:rPr>
          <w:rFonts w:hint="eastAsia" w:ascii="仿宋_GB2312" w:hAnsi="仿宋_GB2312" w:eastAsia="仿宋_GB2312" w:cs="仿宋_GB2312"/>
          <w:b w:val="0"/>
          <w:bCs w:val="0"/>
          <w:snapToGrid w:val="0"/>
          <w:color w:val="auto"/>
          <w:kern w:val="0"/>
          <w:position w:val="0"/>
          <w:sz w:val="32"/>
          <w:szCs w:val="32"/>
        </w:rPr>
        <w:t>根据《四川省卫生健康委员会办公室关于</w:t>
      </w:r>
      <w:r>
        <w:rPr>
          <w:rFonts w:hint="eastAsia" w:ascii="仿宋_GB2312" w:hAnsi="仿宋_GB2312" w:eastAsia="仿宋_GB2312" w:cs="仿宋_GB2312"/>
          <w:b w:val="0"/>
          <w:bCs w:val="0"/>
          <w:snapToGrid w:val="0"/>
          <w:color w:val="auto"/>
          <w:kern w:val="0"/>
          <w:position w:val="0"/>
          <w:sz w:val="32"/>
          <w:szCs w:val="32"/>
          <w:lang w:val="en-US" w:eastAsia="zh-CN"/>
        </w:rPr>
        <w:t>进一步加强基本药物制度绩效考核</w:t>
      </w:r>
      <w:r>
        <w:rPr>
          <w:rFonts w:hint="eastAsia" w:ascii="仿宋_GB2312" w:hAnsi="仿宋_GB2312" w:eastAsia="仿宋_GB2312" w:cs="仿宋_GB2312"/>
          <w:b w:val="0"/>
          <w:bCs w:val="0"/>
          <w:snapToGrid w:val="0"/>
          <w:color w:val="auto"/>
          <w:kern w:val="0"/>
          <w:position w:val="0"/>
          <w:sz w:val="32"/>
          <w:szCs w:val="32"/>
        </w:rPr>
        <w:t>的通知》（川卫办</w:t>
      </w:r>
      <w:r>
        <w:rPr>
          <w:rFonts w:hint="eastAsia" w:ascii="仿宋_GB2312" w:hAnsi="仿宋_GB2312" w:eastAsia="仿宋_GB2312" w:cs="仿宋_GB2312"/>
          <w:b w:val="0"/>
          <w:bCs w:val="0"/>
          <w:snapToGrid w:val="0"/>
          <w:color w:val="auto"/>
          <w:kern w:val="0"/>
          <w:position w:val="0"/>
          <w:sz w:val="32"/>
          <w:szCs w:val="32"/>
          <w:lang w:val="en-US" w:eastAsia="zh-CN"/>
        </w:rPr>
        <w:t>基卫</w:t>
      </w:r>
      <w:r>
        <w:rPr>
          <w:rFonts w:hint="eastAsia" w:ascii="仿宋_GB2312" w:hAnsi="仿宋_GB2312" w:eastAsia="仿宋_GB2312" w:cs="仿宋_GB2312"/>
          <w:b w:val="0"/>
          <w:bCs w:val="0"/>
          <w:snapToGrid w:val="0"/>
          <w:color w:val="auto"/>
          <w:kern w:val="0"/>
          <w:position w:val="0"/>
          <w:sz w:val="32"/>
          <w:szCs w:val="32"/>
        </w:rPr>
        <w:t>便函〔202</w:t>
      </w:r>
      <w:r>
        <w:rPr>
          <w:rFonts w:hint="eastAsia" w:ascii="仿宋_GB2312" w:hAnsi="仿宋_GB2312" w:eastAsia="仿宋_GB2312" w:cs="仿宋_GB2312"/>
          <w:b w:val="0"/>
          <w:bCs w:val="0"/>
          <w:snapToGrid w:val="0"/>
          <w:color w:val="auto"/>
          <w:kern w:val="0"/>
          <w:position w:val="0"/>
          <w:sz w:val="32"/>
          <w:szCs w:val="32"/>
          <w:lang w:val="en-US" w:eastAsia="zh-CN"/>
        </w:rPr>
        <w:t>3</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val="en-US" w:eastAsia="zh-CN"/>
        </w:rPr>
        <w:t>2</w:t>
      </w:r>
      <w:r>
        <w:rPr>
          <w:rFonts w:hint="eastAsia" w:ascii="仿宋_GB2312" w:hAnsi="仿宋_GB2312" w:eastAsia="仿宋_GB2312" w:cs="仿宋_GB2312"/>
          <w:b w:val="0"/>
          <w:bCs w:val="0"/>
          <w:snapToGrid w:val="0"/>
          <w:color w:val="auto"/>
          <w:kern w:val="0"/>
          <w:position w:val="0"/>
          <w:sz w:val="32"/>
          <w:szCs w:val="32"/>
        </w:rPr>
        <w:t>6号）</w:t>
      </w:r>
      <w:r>
        <w:rPr>
          <w:rFonts w:hint="eastAsia" w:ascii="仿宋_GB2312" w:hAnsi="仿宋_GB2312" w:eastAsia="仿宋_GB2312" w:cs="仿宋_GB2312"/>
          <w:b w:val="0"/>
          <w:bCs w:val="0"/>
          <w:snapToGrid w:val="0"/>
          <w:color w:val="auto"/>
          <w:kern w:val="0"/>
          <w:position w:val="0"/>
          <w:sz w:val="32"/>
          <w:szCs w:val="32"/>
          <w:lang w:val="en-US" w:eastAsia="zh-CN"/>
        </w:rPr>
        <w:t>和</w:t>
      </w:r>
      <w:r>
        <w:rPr>
          <w:rFonts w:hint="eastAsia" w:ascii="仿宋_GB2312" w:hAnsi="仿宋_GB2312" w:eastAsia="仿宋_GB2312" w:cs="仿宋_GB2312"/>
          <w:b w:val="0"/>
          <w:bCs w:val="0"/>
          <w:snapToGrid w:val="0"/>
          <w:color w:val="auto"/>
          <w:kern w:val="0"/>
          <w:position w:val="0"/>
          <w:sz w:val="32"/>
          <w:szCs w:val="32"/>
        </w:rPr>
        <w:t>要求</w:t>
      </w:r>
      <w:r>
        <w:rPr>
          <w:rFonts w:hint="eastAsia" w:ascii="仿宋_GB2312" w:hAnsi="仿宋_GB2312" w:eastAsia="仿宋_GB2312" w:cs="仿宋_GB2312"/>
          <w:b w:val="0"/>
          <w:bCs w:val="0"/>
          <w:snapToGrid w:val="0"/>
          <w:color w:val="auto"/>
          <w:kern w:val="0"/>
          <w:position w:val="0"/>
          <w:sz w:val="32"/>
          <w:szCs w:val="32"/>
          <w:lang w:eastAsia="zh-CN"/>
        </w:rPr>
        <w:t>开展相关工作。</w:t>
      </w:r>
      <w:r>
        <w:rPr>
          <w:rFonts w:hint="eastAsia" w:ascii="仿宋_GB2312" w:hAnsi="仿宋_GB2312" w:eastAsia="仿宋_GB2312" w:cs="仿宋_GB2312"/>
          <w:b w:val="0"/>
          <w:bCs w:val="0"/>
          <w:snapToGrid w:val="0"/>
          <w:color w:val="auto"/>
          <w:kern w:val="0"/>
          <w:position w:val="0"/>
          <w:sz w:val="32"/>
          <w:szCs w:val="32"/>
          <w:lang w:val="en-US" w:eastAsia="zh-CN"/>
        </w:rPr>
        <w:t>通过组织7个县区自查、复核、市级抽查的方式开展并完成了项目绩效评价工作</w:t>
      </w:r>
      <w:r>
        <w:rPr>
          <w:rFonts w:hint="eastAsia" w:ascii="仿宋_GB2312" w:hAnsi="仿宋_GB2312" w:eastAsia="仿宋_GB2312" w:cs="仿宋_GB2312"/>
          <w:b w:val="0"/>
          <w:bCs w:val="0"/>
          <w:snapToGrid w:val="0"/>
          <w:color w:val="auto"/>
          <w:kern w:val="0"/>
          <w:position w:val="0"/>
          <w:sz w:val="32"/>
          <w:szCs w:val="32"/>
          <w:lang w:eastAsia="zh-CN"/>
        </w:rPr>
        <w:t>。</w:t>
      </w:r>
    </w:p>
    <w:p w14:paraId="047B02F6">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黑体" w:hAnsi="黑体" w:eastAsia="黑体" w:cs="黑体"/>
          <w:b w:val="0"/>
          <w:bCs w:val="0"/>
          <w:snapToGrid w:val="0"/>
          <w:color w:val="auto"/>
          <w:kern w:val="0"/>
          <w:position w:val="0"/>
          <w:sz w:val="32"/>
          <w:szCs w:val="32"/>
          <w:highlight w:val="none"/>
          <w:lang w:eastAsia="zh-CN"/>
        </w:rPr>
      </w:pPr>
      <w:r>
        <w:rPr>
          <w:rFonts w:hint="eastAsia" w:ascii="黑体" w:hAnsi="黑体" w:eastAsia="黑体" w:cs="黑体"/>
          <w:b w:val="0"/>
          <w:bCs w:val="0"/>
          <w:snapToGrid w:val="0"/>
          <w:color w:val="auto"/>
          <w:kern w:val="0"/>
          <w:position w:val="0"/>
          <w:sz w:val="32"/>
          <w:szCs w:val="32"/>
          <w:highlight w:val="none"/>
        </w:rPr>
        <w:t>二、</w:t>
      </w:r>
      <w:r>
        <w:rPr>
          <w:rFonts w:hint="eastAsia" w:ascii="黑体" w:hAnsi="黑体" w:eastAsia="黑体" w:cs="黑体"/>
          <w:b w:val="0"/>
          <w:bCs w:val="0"/>
          <w:snapToGrid w:val="0"/>
          <w:color w:val="auto"/>
          <w:kern w:val="0"/>
          <w:position w:val="0"/>
          <w:sz w:val="32"/>
          <w:szCs w:val="32"/>
          <w:highlight w:val="none"/>
          <w:lang w:eastAsia="zh-CN"/>
        </w:rPr>
        <w:t>评价实施</w:t>
      </w:r>
    </w:p>
    <w:p w14:paraId="3652A06D">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（一）评价目的。</w:t>
      </w:r>
    </w:p>
    <w:p w14:paraId="70A173F9">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zh-CN" w:eastAsia="zh-CN"/>
        </w:rPr>
      </w:pPr>
      <w:r>
        <w:rPr>
          <w:rFonts w:hint="eastAsia" w:ascii="仿宋_GB2312" w:hAnsi="仿宋_GB2312" w:eastAsia="仿宋_GB2312" w:cs="仿宋_GB2312"/>
          <w:b w:val="0"/>
          <w:bCs w:val="0"/>
          <w:snapToGrid w:val="0"/>
          <w:color w:val="auto"/>
          <w:spacing w:val="0"/>
          <w:kern w:val="0"/>
          <w:position w:val="0"/>
          <w:sz w:val="32"/>
          <w:szCs w:val="32"/>
          <w:shd w:val="clear" w:color="auto" w:fill="FFFFFF"/>
          <w:lang w:eastAsia="zh-CN"/>
        </w:rPr>
        <w:t>一是</w:t>
      </w:r>
      <w:r>
        <w:rPr>
          <w:rFonts w:hint="eastAsia" w:ascii="仿宋_GB2312" w:hAnsi="仿宋_GB2312" w:eastAsia="仿宋_GB2312" w:cs="仿宋_GB2312"/>
          <w:b w:val="0"/>
          <w:bCs w:val="0"/>
          <w:snapToGrid w:val="0"/>
          <w:color w:val="auto"/>
          <w:spacing w:val="0"/>
          <w:kern w:val="0"/>
          <w:position w:val="0"/>
          <w:sz w:val="32"/>
          <w:szCs w:val="32"/>
          <w:shd w:val="clear" w:color="auto" w:fill="FFFFFF"/>
        </w:rPr>
        <w:t>项目资金</w:t>
      </w:r>
      <w:r>
        <w:rPr>
          <w:rFonts w:hint="eastAsia" w:ascii="仿宋_GB2312" w:hAnsi="仿宋_GB2312" w:eastAsia="仿宋_GB2312" w:cs="仿宋_GB2312"/>
          <w:b w:val="0"/>
          <w:bCs w:val="0"/>
          <w:snapToGrid w:val="0"/>
          <w:color w:val="auto"/>
          <w:spacing w:val="0"/>
          <w:kern w:val="0"/>
          <w:position w:val="0"/>
          <w:sz w:val="32"/>
          <w:szCs w:val="32"/>
          <w:shd w:val="clear" w:color="auto" w:fill="FFFFFF"/>
          <w:lang w:eastAsia="zh-CN"/>
        </w:rPr>
        <w:t>是否</w:t>
      </w:r>
      <w:r>
        <w:rPr>
          <w:rFonts w:hint="eastAsia" w:ascii="仿宋_GB2312" w:hAnsi="仿宋_GB2312" w:eastAsia="仿宋_GB2312" w:cs="仿宋_GB2312"/>
          <w:b w:val="0"/>
          <w:bCs w:val="0"/>
          <w:snapToGrid w:val="0"/>
          <w:color w:val="auto"/>
          <w:kern w:val="0"/>
          <w:position w:val="0"/>
          <w:sz w:val="32"/>
          <w:szCs w:val="32"/>
        </w:rPr>
        <w:t>足额发放</w:t>
      </w:r>
      <w:r>
        <w:rPr>
          <w:rFonts w:hint="eastAsia" w:ascii="仿宋_GB2312" w:hAnsi="仿宋_GB2312" w:eastAsia="仿宋_GB2312" w:cs="仿宋_GB2312"/>
          <w:b w:val="0"/>
          <w:bCs w:val="0"/>
          <w:snapToGrid w:val="0"/>
          <w:color w:val="auto"/>
          <w:spacing w:val="0"/>
          <w:kern w:val="0"/>
          <w:position w:val="0"/>
          <w:sz w:val="32"/>
          <w:szCs w:val="32"/>
          <w:shd w:val="clear" w:color="auto" w:fill="FFFFFF"/>
          <w:lang w:eastAsia="zh-CN"/>
        </w:rPr>
        <w:t>。二是</w:t>
      </w:r>
      <w:r>
        <w:rPr>
          <w:rFonts w:hint="eastAsia" w:ascii="仿宋_GB2312" w:hAnsi="仿宋_GB2312" w:eastAsia="仿宋_GB2312" w:cs="仿宋_GB2312"/>
          <w:b w:val="0"/>
          <w:bCs w:val="0"/>
          <w:snapToGrid w:val="0"/>
          <w:color w:val="auto"/>
          <w:kern w:val="0"/>
          <w:position w:val="0"/>
          <w:sz w:val="32"/>
          <w:szCs w:val="32"/>
        </w:rPr>
        <w:t>项目</w:t>
      </w:r>
      <w:r>
        <w:rPr>
          <w:rFonts w:hint="eastAsia" w:ascii="仿宋_GB2312" w:hAnsi="仿宋_GB2312" w:eastAsia="仿宋_GB2312" w:cs="仿宋_GB2312"/>
          <w:b w:val="0"/>
          <w:bCs w:val="0"/>
          <w:snapToGrid w:val="0"/>
          <w:color w:val="auto"/>
          <w:kern w:val="0"/>
          <w:position w:val="0"/>
          <w:sz w:val="32"/>
          <w:szCs w:val="32"/>
          <w:lang w:val="en-US" w:eastAsia="zh-CN"/>
        </w:rPr>
        <w:t>是否按要求实施</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eastAsia="zh-CN"/>
        </w:rPr>
        <w:t>三是</w:t>
      </w:r>
      <w:r>
        <w:rPr>
          <w:rFonts w:hint="eastAsia" w:ascii="仿宋_GB2312" w:hAnsi="仿宋_GB2312" w:eastAsia="仿宋_GB2312" w:cs="仿宋_GB2312"/>
          <w:b w:val="0"/>
          <w:bCs w:val="0"/>
          <w:snapToGrid w:val="0"/>
          <w:color w:val="auto"/>
          <w:kern w:val="0"/>
          <w:position w:val="0"/>
          <w:sz w:val="32"/>
          <w:szCs w:val="32"/>
          <w:lang w:val="en-US" w:eastAsia="zh-CN"/>
        </w:rPr>
        <w:t>基层医疗卫生机构服务质量是否进一步提高</w:t>
      </w:r>
      <w:r>
        <w:rPr>
          <w:rFonts w:hint="eastAsia" w:ascii="仿宋_GB2312" w:hAnsi="仿宋_GB2312" w:eastAsia="仿宋_GB2312" w:cs="仿宋_GB2312"/>
          <w:b w:val="0"/>
          <w:bCs w:val="0"/>
          <w:snapToGrid w:val="0"/>
          <w:color w:val="auto"/>
          <w:kern w:val="0"/>
          <w:position w:val="0"/>
          <w:sz w:val="32"/>
          <w:szCs w:val="32"/>
        </w:rPr>
        <w:t>。</w:t>
      </w:r>
    </w:p>
    <w:p w14:paraId="4C69F9C9">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（二）预设问题及评价重点。</w:t>
      </w:r>
    </w:p>
    <w:p w14:paraId="6A089E71">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zh-CN" w:eastAsia="zh-CN"/>
        </w:rPr>
      </w:pPr>
      <w:r>
        <w:rPr>
          <w:rFonts w:hint="eastAsia" w:ascii="仿宋_GB2312" w:hAnsi="仿宋_GB2312" w:eastAsia="仿宋_GB2312" w:cs="仿宋_GB2312"/>
          <w:b w:val="0"/>
          <w:bCs w:val="0"/>
          <w:snapToGrid w:val="0"/>
          <w:color w:val="auto"/>
          <w:kern w:val="0"/>
          <w:position w:val="0"/>
          <w:sz w:val="32"/>
          <w:szCs w:val="32"/>
          <w:lang w:val="en-US" w:eastAsia="zh-CN"/>
        </w:rPr>
        <w:t>项目资金分配使用符合川财社〔2022〕153号、川财社〔2023〕70号文件要求，项目进度按照实施方案有序开展。</w:t>
      </w:r>
    </w:p>
    <w:p w14:paraId="681EA918">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（三）评价选点。</w:t>
      </w:r>
    </w:p>
    <w:p w14:paraId="1B02F300">
      <w:pPr>
        <w:keepNext w:val="0"/>
        <w:keepLines w:val="0"/>
        <w:pageBreakBefore w:val="0"/>
        <w:widowControl w:val="0"/>
        <w:suppressLineNumbers w:val="0"/>
        <w:suppressAutoHyphens w:val="0"/>
        <w:kinsoku/>
        <w:wordWrap/>
        <w:overflowPunct w:val="0"/>
        <w:topLinePunct w:val="0"/>
        <w:autoSpaceDE/>
        <w:autoSpaceDN/>
        <w:bidi w:val="0"/>
        <w:adjustRightInd w:val="0"/>
        <w:snapToGrid w:val="0"/>
        <w:spacing w:before="0" w:beforeAutospacing="0" w:afterAutospacing="0" w:line="576" w:lineRule="exact"/>
        <w:ind w:left="0" w:leftChars="0" w:right="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en-US" w:eastAsia="zh-CN"/>
        </w:rPr>
      </w:pPr>
      <w:r>
        <w:rPr>
          <w:rFonts w:hint="eastAsia" w:ascii="仿宋_GB2312" w:hAnsi="仿宋_GB2312" w:eastAsia="仿宋_GB2312" w:cs="仿宋_GB2312"/>
          <w:b w:val="0"/>
          <w:bCs w:val="0"/>
          <w:snapToGrid w:val="0"/>
          <w:color w:val="auto"/>
          <w:kern w:val="0"/>
          <w:position w:val="0"/>
          <w:sz w:val="32"/>
          <w:szCs w:val="32"/>
          <w:highlight w:val="none"/>
          <w:lang w:val="en-US" w:eastAsia="zh-CN"/>
        </w:rPr>
        <w:t>全市基层医疗卫生机构全面开展自查。</w:t>
      </w:r>
    </w:p>
    <w:p w14:paraId="6D089FE3">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（四）</w:t>
      </w:r>
      <w:r>
        <w:rPr>
          <w:rFonts w:hint="eastAsia" w:ascii="楷体_GB2312" w:hAnsi="楷体_GB2312" w:eastAsia="楷体_GB2312" w:cs="楷体_GB2312"/>
          <w:b w:val="0"/>
          <w:bCs w:val="0"/>
          <w:snapToGrid w:val="0"/>
          <w:color w:val="auto"/>
          <w:kern w:val="0"/>
          <w:position w:val="0"/>
          <w:sz w:val="32"/>
          <w:szCs w:val="32"/>
          <w:highlight w:val="none"/>
          <w:u w:val="none"/>
          <w:lang w:val="zh-CN"/>
        </w:rPr>
        <w:t>评价方法。</w:t>
      </w:r>
    </w:p>
    <w:p w14:paraId="66EAC597">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单位自评法</w:t>
      </w:r>
    </w:p>
    <w:p w14:paraId="02A89F5B">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（五）</w:t>
      </w:r>
      <w:r>
        <w:rPr>
          <w:rFonts w:hint="eastAsia" w:ascii="楷体_GB2312" w:hAnsi="楷体_GB2312" w:eastAsia="楷体_GB2312" w:cs="楷体_GB2312"/>
          <w:b w:val="0"/>
          <w:bCs w:val="0"/>
          <w:snapToGrid w:val="0"/>
          <w:color w:val="auto"/>
          <w:kern w:val="0"/>
          <w:position w:val="0"/>
          <w:sz w:val="32"/>
          <w:szCs w:val="32"/>
          <w:highlight w:val="none"/>
          <w:u w:val="none"/>
          <w:lang w:val="zh-CN"/>
        </w:rPr>
        <w:t>评价组织。</w:t>
      </w:r>
    </w:p>
    <w:p w14:paraId="01EFBBFF">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caps w:val="0"/>
          <w:snapToGrid w:val="0"/>
          <w:color w:val="auto"/>
          <w:kern w:val="0"/>
          <w:position w:val="0"/>
          <w:sz w:val="32"/>
          <w:szCs w:val="32"/>
          <w:vertAlign w:val="baseline"/>
          <w:lang w:val="en-US" w:eastAsia="zh-CN" w:bidi="ar"/>
        </w:rPr>
        <w:t>各项目实施县区卫生健康局</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组织开展自查，</w:t>
      </w:r>
      <w:r>
        <w:rPr>
          <w:rFonts w:hint="eastAsia" w:ascii="仿宋_GB2312" w:hAnsi="仿宋_GB2312" w:eastAsia="仿宋_GB2312" w:cs="仿宋_GB2312"/>
          <w:b w:val="0"/>
          <w:bCs w:val="0"/>
          <w:caps w:val="0"/>
          <w:snapToGrid w:val="0"/>
          <w:color w:val="auto"/>
          <w:kern w:val="0"/>
          <w:position w:val="0"/>
          <w:sz w:val="32"/>
          <w:szCs w:val="32"/>
          <w:vertAlign w:val="baseline"/>
          <w:lang w:val="en-US" w:eastAsia="zh-CN" w:bidi="ar"/>
        </w:rPr>
        <w:t>市卫生健康委结合全市基本公共卫生服务年度考核，对各县区基本药物制度项目完成情况、资金使用情况进行抽查</w:t>
      </w: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w:t>
      </w:r>
    </w:p>
    <w:p w14:paraId="27DB1CD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rPr>
      </w:pPr>
      <w:r>
        <w:rPr>
          <w:rFonts w:hint="eastAsia" w:ascii="黑体" w:hAnsi="黑体" w:eastAsia="黑体" w:cs="黑体"/>
          <w:b w:val="0"/>
          <w:bCs w:val="0"/>
          <w:snapToGrid w:val="0"/>
          <w:color w:val="auto"/>
          <w:kern w:val="0"/>
          <w:position w:val="0"/>
          <w:sz w:val="32"/>
          <w:szCs w:val="32"/>
          <w:highlight w:val="none"/>
          <w:u w:val="none"/>
        </w:rPr>
        <w:t>三、</w:t>
      </w:r>
      <w:r>
        <w:rPr>
          <w:rFonts w:hint="eastAsia" w:ascii="黑体" w:hAnsi="黑体" w:eastAsia="黑体" w:cs="黑体"/>
          <w:b w:val="0"/>
          <w:bCs w:val="0"/>
          <w:snapToGrid w:val="0"/>
          <w:color w:val="auto"/>
          <w:kern w:val="0"/>
          <w:position w:val="0"/>
          <w:sz w:val="32"/>
          <w:szCs w:val="32"/>
          <w:highlight w:val="none"/>
          <w:u w:val="none"/>
          <w:lang w:eastAsia="zh-CN"/>
        </w:rPr>
        <w:t>绩效分析</w:t>
      </w:r>
      <w:r>
        <w:rPr>
          <w:rFonts w:hint="eastAsia" w:ascii="黑体" w:hAnsi="黑体" w:eastAsia="黑体" w:cs="黑体"/>
          <w:b w:val="0"/>
          <w:bCs w:val="0"/>
          <w:snapToGrid w:val="0"/>
          <w:color w:val="auto"/>
          <w:kern w:val="0"/>
          <w:position w:val="0"/>
          <w:sz w:val="32"/>
          <w:szCs w:val="32"/>
          <w:highlight w:val="none"/>
          <w:u w:val="none"/>
          <w:lang w:val="zh-CN"/>
        </w:rPr>
        <w:tab/>
      </w:r>
    </w:p>
    <w:p w14:paraId="04952E9C">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通用指标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5C515C9F">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snapToGrid w:val="0"/>
          <w:color w:val="auto"/>
          <w:kern w:val="0"/>
          <w:position w:val="0"/>
          <w:sz w:val="32"/>
          <w:szCs w:val="32"/>
          <w:lang w:val="en-US" w:eastAsia="zh-CN"/>
        </w:rPr>
        <w:t>1.</w:t>
      </w:r>
      <w:r>
        <w:rPr>
          <w:rFonts w:hint="eastAsia" w:ascii="仿宋_GB2312" w:hAnsi="仿宋_GB2312" w:eastAsia="仿宋_GB2312" w:cs="仿宋_GB2312"/>
          <w:b w:val="0"/>
          <w:bCs w:val="0"/>
          <w:snapToGrid w:val="0"/>
          <w:color w:val="auto"/>
          <w:kern w:val="0"/>
          <w:position w:val="0"/>
          <w:sz w:val="32"/>
          <w:szCs w:val="32"/>
          <w:lang w:eastAsia="zh-CN"/>
        </w:rPr>
        <w:t>项目决策。</w:t>
      </w:r>
    </w:p>
    <w:p w14:paraId="786CEF9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资金使用</w:t>
      </w:r>
      <w:r>
        <w:rPr>
          <w:rFonts w:hint="eastAsia" w:ascii="仿宋_GB2312" w:hAnsi="仿宋_GB2312" w:eastAsia="仿宋_GB2312" w:cs="仿宋_GB2312"/>
          <w:b w:val="0"/>
          <w:bCs w:val="0"/>
          <w:snapToGrid w:val="0"/>
          <w:color w:val="auto"/>
          <w:kern w:val="0"/>
          <w:position w:val="0"/>
          <w:sz w:val="32"/>
          <w:szCs w:val="32"/>
          <w:lang w:val="zh-CN" w:eastAsia="zh-CN"/>
        </w:rPr>
        <w:t>项目设立、调整延续等方面符合资金管理基本规范和决策程序</w:t>
      </w:r>
      <w:r>
        <w:rPr>
          <w:rFonts w:hint="eastAsia" w:ascii="仿宋_GB2312" w:hAnsi="仿宋_GB2312" w:eastAsia="仿宋_GB2312" w:cs="仿宋_GB2312"/>
          <w:b w:val="0"/>
          <w:bCs w:val="0"/>
          <w:snapToGrid w:val="0"/>
          <w:color w:val="auto"/>
          <w:kern w:val="0"/>
          <w:position w:val="0"/>
          <w:sz w:val="32"/>
          <w:szCs w:val="32"/>
          <w:lang w:val="en-US" w:eastAsia="zh-CN"/>
        </w:rPr>
        <w:t>要求，项目决策程序严密，得6分；项目规划论证符合中省要求，项目绩效目标设置科学合理，得6分；项目资金使用</w:t>
      </w:r>
      <w:r>
        <w:rPr>
          <w:rFonts w:hint="eastAsia" w:ascii="仿宋_GB2312" w:hAnsi="仿宋_GB2312" w:eastAsia="仿宋_GB2312" w:cs="仿宋_GB2312"/>
          <w:b w:val="0"/>
          <w:bCs w:val="0"/>
          <w:snapToGrid w:val="0"/>
          <w:color w:val="auto"/>
          <w:kern w:val="0"/>
          <w:position w:val="0"/>
          <w:sz w:val="32"/>
          <w:szCs w:val="32"/>
        </w:rPr>
        <w:t>按照</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财政部</w:t>
      </w:r>
      <w:r>
        <w:rPr>
          <w:rFonts w:hint="eastAsia" w:ascii="仿宋_GB2312" w:hAnsi="仿宋_GB2312" w:eastAsia="仿宋_GB2312" w:cs="仿宋_GB2312"/>
          <w:b w:val="0"/>
          <w:bCs w:val="0"/>
          <w:snapToGrid w:val="0"/>
          <w:color w:val="auto"/>
          <w:kern w:val="0"/>
          <w:position w:val="0"/>
          <w:sz w:val="32"/>
          <w:szCs w:val="32"/>
          <w:lang w:val="en-US" w:eastAsia="zh-CN"/>
        </w:rPr>
        <w:t>厅</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卫生健康委、</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医保局、</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中医药局《关于</w:t>
      </w:r>
      <w:r>
        <w:rPr>
          <w:rFonts w:hint="eastAsia" w:ascii="仿宋_GB2312" w:hAnsi="仿宋_GB2312" w:eastAsia="仿宋_GB2312" w:cs="仿宋_GB2312"/>
          <w:b w:val="0"/>
          <w:bCs w:val="0"/>
          <w:snapToGrid w:val="0"/>
          <w:color w:val="auto"/>
          <w:kern w:val="0"/>
          <w:position w:val="0"/>
          <w:sz w:val="32"/>
          <w:szCs w:val="32"/>
          <w:lang w:val="en-US" w:eastAsia="zh-CN"/>
        </w:rPr>
        <w:t>印发</w:t>
      </w:r>
      <w:r>
        <w:rPr>
          <w:rFonts w:hint="eastAsia" w:ascii="仿宋_GB2312" w:hAnsi="仿宋_GB2312" w:eastAsia="仿宋_GB2312" w:cs="仿宋_GB2312"/>
          <w:b w:val="0"/>
          <w:bCs w:val="0"/>
          <w:snapToGrid w:val="0"/>
          <w:color w:val="auto"/>
          <w:kern w:val="0"/>
          <w:position w:val="0"/>
          <w:sz w:val="32"/>
          <w:szCs w:val="32"/>
        </w:rPr>
        <w:t>公共卫生服务等5项补助资金管理办法的通知》（</w:t>
      </w:r>
      <w:r>
        <w:rPr>
          <w:rFonts w:hint="eastAsia" w:ascii="仿宋_GB2312" w:hAnsi="仿宋_GB2312" w:eastAsia="仿宋_GB2312" w:cs="仿宋_GB2312"/>
          <w:b w:val="0"/>
          <w:bCs w:val="0"/>
          <w:snapToGrid w:val="0"/>
          <w:color w:val="auto"/>
          <w:kern w:val="0"/>
          <w:position w:val="0"/>
          <w:sz w:val="32"/>
          <w:szCs w:val="32"/>
          <w:lang w:val="en-US" w:eastAsia="zh-CN"/>
        </w:rPr>
        <w:t>川</w:t>
      </w:r>
      <w:r>
        <w:rPr>
          <w:rFonts w:hint="eastAsia" w:ascii="仿宋_GB2312" w:hAnsi="仿宋_GB2312" w:eastAsia="仿宋_GB2312" w:cs="仿宋_GB2312"/>
          <w:b w:val="0"/>
          <w:bCs w:val="0"/>
          <w:snapToGrid w:val="0"/>
          <w:color w:val="auto"/>
          <w:kern w:val="0"/>
          <w:position w:val="0"/>
          <w:sz w:val="32"/>
          <w:szCs w:val="32"/>
        </w:rPr>
        <w:t>财社〔2022〕</w:t>
      </w:r>
      <w:r>
        <w:rPr>
          <w:rFonts w:hint="eastAsia" w:ascii="仿宋_GB2312" w:hAnsi="仿宋_GB2312" w:eastAsia="仿宋_GB2312" w:cs="仿宋_GB2312"/>
          <w:b w:val="0"/>
          <w:bCs w:val="0"/>
          <w:snapToGrid w:val="0"/>
          <w:color w:val="auto"/>
          <w:kern w:val="0"/>
          <w:position w:val="0"/>
          <w:sz w:val="32"/>
          <w:szCs w:val="32"/>
          <w:lang w:val="en-US" w:eastAsia="zh-CN"/>
        </w:rPr>
        <w:t>112</w:t>
      </w:r>
      <w:r>
        <w:rPr>
          <w:rFonts w:hint="eastAsia" w:ascii="仿宋_GB2312" w:hAnsi="仿宋_GB2312" w:eastAsia="仿宋_GB2312" w:cs="仿宋_GB2312"/>
          <w:b w:val="0"/>
          <w:bCs w:val="0"/>
          <w:snapToGrid w:val="0"/>
          <w:color w:val="auto"/>
          <w:kern w:val="0"/>
          <w:position w:val="0"/>
          <w:sz w:val="32"/>
          <w:szCs w:val="32"/>
        </w:rPr>
        <w:t>号）精神</w:t>
      </w:r>
      <w:r>
        <w:rPr>
          <w:rFonts w:hint="eastAsia" w:ascii="仿宋_GB2312" w:hAnsi="仿宋_GB2312" w:eastAsia="仿宋_GB2312" w:cs="仿宋_GB2312"/>
          <w:b w:val="0"/>
          <w:bCs w:val="0"/>
          <w:snapToGrid w:val="0"/>
          <w:color w:val="auto"/>
          <w:kern w:val="0"/>
          <w:position w:val="0"/>
          <w:sz w:val="32"/>
          <w:szCs w:val="32"/>
          <w:lang w:val="en-US" w:eastAsia="zh-CN"/>
        </w:rPr>
        <w:t>要求进行规划，与基层卫生健康科事业发展相匹配，聚焦重大任务、重点领域、重点环节和重点项目，得6分。共计18分。</w:t>
      </w:r>
    </w:p>
    <w:p w14:paraId="37EF7FDD">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snapToGrid w:val="0"/>
          <w:color w:val="auto"/>
          <w:kern w:val="0"/>
          <w:position w:val="0"/>
          <w:sz w:val="32"/>
          <w:szCs w:val="32"/>
          <w:lang w:val="en-US" w:eastAsia="zh-CN"/>
        </w:rPr>
        <w:t>2.</w:t>
      </w:r>
      <w:r>
        <w:rPr>
          <w:rFonts w:hint="eastAsia" w:ascii="仿宋_GB2312" w:hAnsi="仿宋_GB2312" w:eastAsia="仿宋_GB2312" w:cs="仿宋_GB2312"/>
          <w:b w:val="0"/>
          <w:bCs w:val="0"/>
          <w:snapToGrid w:val="0"/>
          <w:color w:val="auto"/>
          <w:kern w:val="0"/>
          <w:position w:val="0"/>
          <w:sz w:val="32"/>
          <w:szCs w:val="32"/>
          <w:lang w:eastAsia="zh-CN"/>
        </w:rPr>
        <w:t>项目管理。</w:t>
      </w:r>
    </w:p>
    <w:p w14:paraId="42640ECE">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项目制度办法体系健全、要素完备，得2分；项目资金分配因素选取、权重设置、区域分布，项目管理、审批符合管理要求，得10分；资金分配因素的权重设置有效突出项目实施重点，得6分；管资金、项目、政策、管绩效，项目绩效监管按要求开展，对下指导有力有效，得6分。共计18分。</w:t>
      </w:r>
    </w:p>
    <w:p w14:paraId="0765F5C3">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3.项目实施。</w:t>
      </w:r>
    </w:p>
    <w:p w14:paraId="1501E02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bidi="ar-SA"/>
        </w:rPr>
        <w:t>项目资金5319.08万元均已拨付到位，财政资金拨付率100%，预算执行率64.77%，得5分；</w:t>
      </w:r>
      <w:r>
        <w:rPr>
          <w:rFonts w:hint="eastAsia" w:ascii="仿宋_GB2312" w:hAnsi="仿宋_GB2312" w:eastAsia="仿宋_GB2312" w:cs="仿宋_GB2312"/>
          <w:b w:val="0"/>
          <w:bCs w:val="0"/>
          <w:snapToGrid w:val="0"/>
          <w:color w:val="auto"/>
          <w:kern w:val="0"/>
          <w:position w:val="0"/>
          <w:sz w:val="32"/>
          <w:szCs w:val="32"/>
          <w:lang w:val="en-US" w:eastAsia="zh-CN"/>
        </w:rPr>
        <w:t>项目资金使用</w:t>
      </w:r>
      <w:r>
        <w:rPr>
          <w:rFonts w:hint="eastAsia" w:ascii="仿宋_GB2312" w:hAnsi="仿宋_GB2312" w:eastAsia="仿宋_GB2312" w:cs="仿宋_GB2312"/>
          <w:b w:val="0"/>
          <w:bCs w:val="0"/>
          <w:snapToGrid w:val="0"/>
          <w:color w:val="auto"/>
          <w:kern w:val="0"/>
          <w:position w:val="0"/>
          <w:sz w:val="32"/>
          <w:szCs w:val="32"/>
        </w:rPr>
        <w:t>按照</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财政部</w:t>
      </w:r>
      <w:r>
        <w:rPr>
          <w:rFonts w:hint="eastAsia" w:ascii="仿宋_GB2312" w:hAnsi="仿宋_GB2312" w:eastAsia="仿宋_GB2312" w:cs="仿宋_GB2312"/>
          <w:b w:val="0"/>
          <w:bCs w:val="0"/>
          <w:snapToGrid w:val="0"/>
          <w:color w:val="auto"/>
          <w:kern w:val="0"/>
          <w:position w:val="0"/>
          <w:sz w:val="32"/>
          <w:szCs w:val="32"/>
          <w:lang w:val="en-US" w:eastAsia="zh-CN"/>
        </w:rPr>
        <w:t>厅</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卫生健康委、</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医保局、</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中医药局《关于</w:t>
      </w:r>
      <w:r>
        <w:rPr>
          <w:rFonts w:hint="eastAsia" w:ascii="仿宋_GB2312" w:hAnsi="仿宋_GB2312" w:eastAsia="仿宋_GB2312" w:cs="仿宋_GB2312"/>
          <w:b w:val="0"/>
          <w:bCs w:val="0"/>
          <w:snapToGrid w:val="0"/>
          <w:color w:val="auto"/>
          <w:kern w:val="0"/>
          <w:position w:val="0"/>
          <w:sz w:val="32"/>
          <w:szCs w:val="32"/>
          <w:lang w:val="en-US" w:eastAsia="zh-CN"/>
        </w:rPr>
        <w:t>印发</w:t>
      </w:r>
      <w:r>
        <w:rPr>
          <w:rFonts w:hint="eastAsia" w:ascii="仿宋_GB2312" w:hAnsi="仿宋_GB2312" w:eastAsia="仿宋_GB2312" w:cs="仿宋_GB2312"/>
          <w:b w:val="0"/>
          <w:bCs w:val="0"/>
          <w:snapToGrid w:val="0"/>
          <w:color w:val="auto"/>
          <w:kern w:val="0"/>
          <w:position w:val="0"/>
          <w:sz w:val="32"/>
          <w:szCs w:val="32"/>
        </w:rPr>
        <w:t>公共卫生服务等5项补助资金管理办法的通知》（</w:t>
      </w:r>
      <w:r>
        <w:rPr>
          <w:rFonts w:hint="eastAsia" w:ascii="仿宋_GB2312" w:hAnsi="仿宋_GB2312" w:eastAsia="仿宋_GB2312" w:cs="仿宋_GB2312"/>
          <w:b w:val="0"/>
          <w:bCs w:val="0"/>
          <w:snapToGrid w:val="0"/>
          <w:color w:val="auto"/>
          <w:kern w:val="0"/>
          <w:position w:val="0"/>
          <w:sz w:val="32"/>
          <w:szCs w:val="32"/>
          <w:lang w:val="en-US" w:eastAsia="zh-CN"/>
        </w:rPr>
        <w:t>川</w:t>
      </w:r>
      <w:r>
        <w:rPr>
          <w:rFonts w:hint="eastAsia" w:ascii="仿宋_GB2312" w:hAnsi="仿宋_GB2312" w:eastAsia="仿宋_GB2312" w:cs="仿宋_GB2312"/>
          <w:b w:val="0"/>
          <w:bCs w:val="0"/>
          <w:snapToGrid w:val="0"/>
          <w:color w:val="auto"/>
          <w:kern w:val="0"/>
          <w:position w:val="0"/>
          <w:sz w:val="32"/>
          <w:szCs w:val="32"/>
        </w:rPr>
        <w:t>财社〔2022〕</w:t>
      </w:r>
      <w:r>
        <w:rPr>
          <w:rFonts w:hint="eastAsia" w:ascii="仿宋_GB2312" w:hAnsi="仿宋_GB2312" w:eastAsia="仿宋_GB2312" w:cs="仿宋_GB2312"/>
          <w:b w:val="0"/>
          <w:bCs w:val="0"/>
          <w:snapToGrid w:val="0"/>
          <w:color w:val="auto"/>
          <w:kern w:val="0"/>
          <w:position w:val="0"/>
          <w:sz w:val="32"/>
          <w:szCs w:val="32"/>
          <w:lang w:val="en-US" w:eastAsia="zh-CN"/>
        </w:rPr>
        <w:t>112</w:t>
      </w:r>
      <w:r>
        <w:rPr>
          <w:rFonts w:hint="eastAsia" w:ascii="仿宋_GB2312" w:hAnsi="仿宋_GB2312" w:eastAsia="仿宋_GB2312" w:cs="仿宋_GB2312"/>
          <w:b w:val="0"/>
          <w:bCs w:val="0"/>
          <w:snapToGrid w:val="0"/>
          <w:color w:val="auto"/>
          <w:kern w:val="0"/>
          <w:position w:val="0"/>
          <w:sz w:val="32"/>
          <w:szCs w:val="32"/>
        </w:rPr>
        <w:t>号）精神</w:t>
      </w:r>
      <w:r>
        <w:rPr>
          <w:rFonts w:hint="eastAsia" w:ascii="仿宋_GB2312" w:hAnsi="仿宋_GB2312" w:eastAsia="仿宋_GB2312" w:cs="仿宋_GB2312"/>
          <w:b w:val="0"/>
          <w:bCs w:val="0"/>
          <w:snapToGrid w:val="0"/>
          <w:color w:val="auto"/>
          <w:kern w:val="0"/>
          <w:position w:val="0"/>
          <w:sz w:val="32"/>
          <w:szCs w:val="32"/>
          <w:lang w:val="en-US" w:eastAsia="zh-CN"/>
        </w:rPr>
        <w:t>有序开展，资金使用拨付、项目实施符合规定，得3分。共计8分。</w:t>
      </w:r>
    </w:p>
    <w:p w14:paraId="1A6B6BCD">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4.项目结果。</w:t>
      </w:r>
    </w:p>
    <w:p w14:paraId="3BED8A96">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zh-CN"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项目完成实施方案预期目标，实施结果与绩效目标相匹配，得6分；项目实际推动进度与项目方案计划时间符合，得3分，共计9分。</w:t>
      </w:r>
    </w:p>
    <w:p w14:paraId="7EBDD7C9">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pPr>
      <w:r>
        <w:rPr>
          <w:rFonts w:hint="eastAsia" w:ascii="楷体_GB2312" w:hAnsi="楷体_GB2312" w:eastAsia="楷体_GB2312" w:cs="楷体_GB2312"/>
          <w:b w:val="0"/>
          <w:bCs w:val="0"/>
          <w:snapToGrid w:val="0"/>
          <w:color w:val="auto"/>
          <w:kern w:val="0"/>
          <w:position w:val="0"/>
          <w:sz w:val="32"/>
          <w:szCs w:val="32"/>
          <w:shd w:val="clear" w:fill="FFFFFF"/>
          <w:lang w:val="zh-CN" w:eastAsia="zh-CN" w:bidi="ar-SA"/>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专用指标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4CD50F3F">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资金按规定用途、适用范围进行本地区专项资金分配，得10分；资金管理程序符合专项资金管理要求，得10分；资金分配标准符合专项资金管理要求，得10分，共计30分。</w:t>
      </w:r>
    </w:p>
    <w:p w14:paraId="469ACD20">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（三）</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个性指标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2B8FA367">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基层医疗卫生机构按要求实施基本药物制度，基层医疗卫生机构全覆盖，得6分；基层医疗卫生机构服务质量进一步提高，得6分；基层医疗卫生机构服务水平进一步提高，得4分，共计得16分。</w:t>
      </w:r>
    </w:p>
    <w:p w14:paraId="43AAA514">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基本药物制度项目整体绩效评价得分99分。</w:t>
      </w:r>
    </w:p>
    <w:p w14:paraId="56EE53C4">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rPr>
      </w:pPr>
      <w:r>
        <w:rPr>
          <w:rFonts w:hint="eastAsia" w:ascii="黑体" w:hAnsi="黑体" w:eastAsia="黑体" w:cs="黑体"/>
          <w:b w:val="0"/>
          <w:bCs w:val="0"/>
          <w:snapToGrid w:val="0"/>
          <w:color w:val="auto"/>
          <w:kern w:val="0"/>
          <w:position w:val="0"/>
          <w:sz w:val="32"/>
          <w:szCs w:val="32"/>
          <w:highlight w:val="none"/>
          <w:u w:val="none"/>
          <w:lang w:eastAsia="zh-CN"/>
        </w:rPr>
        <w:t>四</w:t>
      </w:r>
      <w:r>
        <w:rPr>
          <w:rFonts w:hint="eastAsia" w:ascii="黑体" w:hAnsi="黑体" w:eastAsia="黑体" w:cs="黑体"/>
          <w:b w:val="0"/>
          <w:bCs w:val="0"/>
          <w:snapToGrid w:val="0"/>
          <w:color w:val="auto"/>
          <w:kern w:val="0"/>
          <w:position w:val="0"/>
          <w:sz w:val="32"/>
          <w:szCs w:val="32"/>
          <w:highlight w:val="none"/>
          <w:u w:val="none"/>
        </w:rPr>
        <w:t>、评价结论</w:t>
      </w:r>
    </w:p>
    <w:p w14:paraId="1C40820E">
      <w:pPr>
        <w:keepNext w:val="0"/>
        <w:keepLines w:val="0"/>
        <w:pageBreakBefore w:val="0"/>
        <w:widowControl w:val="0"/>
        <w:suppressLineNumbers w:val="0"/>
        <w:suppressAutoHyphens w:val="0"/>
        <w:kinsoku/>
        <w:wordWrap/>
        <w:overflowPunct w:val="0"/>
        <w:topLinePunct w:val="0"/>
        <w:autoSpaceDE/>
        <w:autoSpaceDN/>
        <w:bidi w:val="0"/>
        <w:adjustRightInd w:val="0"/>
        <w:snapToGrid w:val="0"/>
        <w:spacing w:before="0" w:beforeAutospacing="0" w:afterAutospacing="0" w:line="576" w:lineRule="exact"/>
        <w:ind w:left="0" w:leftChars="0" w:right="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仿宋_GB2312" w:hAnsi="仿宋_GB2312" w:eastAsia="仿宋_GB2312" w:cs="仿宋_GB2312"/>
          <w:b w:val="0"/>
          <w:bCs w:val="0"/>
          <w:caps w:val="0"/>
          <w:snapToGrid w:val="0"/>
          <w:color w:val="auto"/>
          <w:kern w:val="0"/>
          <w:position w:val="0"/>
          <w:sz w:val="32"/>
          <w:szCs w:val="32"/>
          <w:vertAlign w:val="baseline"/>
          <w:lang w:val="en-US" w:eastAsia="zh-CN" w:bidi="ar"/>
        </w:rPr>
        <w:t>项目经费专款专用，通过项目补助经费的形式，弥补了市县财政困难和乡镇卫生院点多面广，基础条件差等发展制约因素，使卫生院发展基础进一步夯实，医疗技术水平进一步提升，医疗服务能力进一步增强，</w:t>
      </w: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用药日趋合理，群众用药更加安全，降低了群众基本医疗费用负担，提高了人民群众的就医获得感和幸福感。</w:t>
      </w:r>
    </w:p>
    <w:p w14:paraId="7ECDA836">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eastAsia="zh-CN"/>
        </w:rPr>
      </w:pPr>
      <w:r>
        <w:rPr>
          <w:rFonts w:hint="eastAsia" w:ascii="黑体" w:hAnsi="黑体" w:eastAsia="黑体" w:cs="黑体"/>
          <w:b w:val="0"/>
          <w:bCs w:val="0"/>
          <w:snapToGrid w:val="0"/>
          <w:color w:val="auto"/>
          <w:kern w:val="0"/>
          <w:position w:val="0"/>
          <w:sz w:val="32"/>
          <w:szCs w:val="32"/>
          <w:highlight w:val="none"/>
          <w:u w:val="none"/>
          <w:lang w:eastAsia="zh-CN"/>
        </w:rPr>
        <w:t>五、存在主要问题</w:t>
      </w:r>
    </w:p>
    <w:p w14:paraId="04BFF7F6">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caps w:val="0"/>
          <w:snapToGrid w:val="0"/>
          <w:color w:val="auto"/>
          <w:kern w:val="0"/>
          <w:position w:val="0"/>
          <w:sz w:val="32"/>
          <w:szCs w:val="32"/>
          <w:vertAlign w:val="baseline"/>
          <w:lang w:val="en-US" w:eastAsia="zh-CN" w:bidi="ar"/>
        </w:rPr>
      </w:pPr>
      <w:r>
        <w:rPr>
          <w:rFonts w:hint="eastAsia" w:ascii="仿宋_GB2312" w:hAnsi="仿宋_GB2312" w:eastAsia="仿宋_GB2312" w:cs="仿宋_GB2312"/>
          <w:b w:val="0"/>
          <w:bCs w:val="0"/>
          <w:caps w:val="0"/>
          <w:snapToGrid w:val="0"/>
          <w:color w:val="auto"/>
          <w:kern w:val="0"/>
          <w:position w:val="0"/>
          <w:sz w:val="32"/>
          <w:szCs w:val="32"/>
          <w:vertAlign w:val="baseline"/>
          <w:lang w:val="en-US" w:eastAsia="zh-CN" w:bidi="ar"/>
        </w:rPr>
        <w:t>该项目是根据基层医疗卫生机构在实施基本药物制度以前的基数进行测算，随着基药制度和分级诊疗制度的推行，基层服务能力较以前有较大变化，资金补助标准待提高。</w:t>
      </w:r>
    </w:p>
    <w:p w14:paraId="15D944C8">
      <w:pPr>
        <w:pStyle w:val="4"/>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eastAsia="zh-CN" w:bidi="ar-SA"/>
        </w:rPr>
      </w:pPr>
      <w:r>
        <w:rPr>
          <w:rFonts w:hint="eastAsia" w:ascii="黑体" w:hAnsi="黑体" w:eastAsia="黑体" w:cs="黑体"/>
          <w:b w:val="0"/>
          <w:bCs w:val="0"/>
          <w:snapToGrid w:val="0"/>
          <w:color w:val="auto"/>
          <w:kern w:val="0"/>
          <w:position w:val="0"/>
          <w:sz w:val="32"/>
          <w:szCs w:val="32"/>
          <w:highlight w:val="none"/>
          <w:u w:val="none"/>
          <w:lang w:val="zh-CN" w:eastAsia="zh-CN" w:bidi="ar-SA"/>
        </w:rPr>
        <w:t>六、改进建议</w:t>
      </w:r>
    </w:p>
    <w:p w14:paraId="023A8722">
      <w:pPr>
        <w:keepNext w:val="0"/>
        <w:keepLines w:val="0"/>
        <w:pageBreakBefore w:val="0"/>
        <w:widowControl w:val="0"/>
        <w:suppressLineNumbers w:val="0"/>
        <w:suppressAutoHyphens w:val="0"/>
        <w:kinsoku/>
        <w:wordWrap/>
        <w:overflowPunct w:val="0"/>
        <w:topLinePunct w:val="0"/>
        <w:autoSpaceDE/>
        <w:autoSpaceDN/>
        <w:bidi w:val="0"/>
        <w:adjustRightInd w:val="0"/>
        <w:snapToGrid w:val="0"/>
        <w:spacing w:before="0" w:beforeAutospacing="0" w:afterAutospacing="0" w:line="576" w:lineRule="exact"/>
        <w:ind w:left="0" w:leftChars="0" w:right="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rPr>
      </w:pPr>
      <w:r>
        <w:rPr>
          <w:rFonts w:hint="eastAsia" w:ascii="仿宋_GB2312" w:hAnsi="仿宋_GB2312" w:eastAsia="仿宋_GB2312" w:cs="仿宋_GB2312"/>
          <w:b w:val="0"/>
          <w:bCs w:val="0"/>
          <w:caps w:val="0"/>
          <w:snapToGrid w:val="0"/>
          <w:color w:val="auto"/>
          <w:kern w:val="0"/>
          <w:position w:val="0"/>
          <w:sz w:val="32"/>
          <w:szCs w:val="32"/>
          <w:vertAlign w:val="baseline"/>
          <w:lang w:val="en-US" w:eastAsia="zh-CN" w:bidi="ar"/>
        </w:rPr>
        <w:t>建议进一步完善政府保障机制。督促医保部门定期调整医疗服务价格，不断完善总额控制下的DRG付费方式机制，按照各医疗机构实际病种和用药需求不断完善基层医疗机构医保报销药品目录品种。</w:t>
      </w:r>
    </w:p>
    <w:p w14:paraId="6C0CC37B">
      <w:pPr>
        <w:tabs>
          <w:tab w:val="left" w:pos="1911"/>
        </w:tabs>
        <w:jc w:val="left"/>
        <w:rPr>
          <w:rFonts w:hint="eastAsia" w:ascii="仿宋_GB2312" w:hAnsi="仿宋_GB2312" w:eastAsia="仿宋_GB2312" w:cs="仿宋_GB2312"/>
          <w:b w:val="0"/>
          <w:bCs w:val="0"/>
          <w:snapToGrid w:val="0"/>
          <w:color w:val="auto"/>
          <w:kern w:val="0"/>
          <w:position w:val="0"/>
          <w:sz w:val="32"/>
          <w:szCs w:val="32"/>
          <w:highlight w:val="none"/>
          <w:lang w:val="en" w:eastAsia="zh-CN" w:bidi="ar-SA"/>
        </w:rPr>
      </w:pPr>
    </w:p>
    <w:p w14:paraId="554187A7">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b w:val="0"/>
          <w:bCs w:val="0"/>
          <w:snapToGrid w:val="0"/>
          <w:color w:val="auto"/>
          <w:kern w:val="0"/>
          <w:position w:val="0"/>
          <w:szCs w:val="32"/>
          <w:highlight w:val="none"/>
          <w:shd w:val="clear" w:color="auto" w:fill="FFFFFF"/>
          <w:lang w:val="zh-CN" w:eastAsia="zh-CN"/>
        </w:rPr>
      </w:pPr>
    </w:p>
    <w:p w14:paraId="64797693">
      <w:pPr>
        <w:rPr>
          <w:b w:val="0"/>
          <w:bCs w:val="0"/>
          <w:snapToGrid w:val="0"/>
          <w:color w:val="auto"/>
          <w:kern w:val="0"/>
          <w:position w:val="0"/>
        </w:rPr>
      </w:pPr>
    </w:p>
    <w:sectPr>
      <w:footerReference r:id="rId3" w:type="default"/>
      <w:pgSz w:w="11906" w:h="16838"/>
      <w:pgMar w:top="2098" w:right="1474" w:bottom="1984" w:left="1588"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F4B68B-D428-49FD-BDD5-D5E3176EF4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BE958A3-E08E-4A67-864E-48354C2B40A1}"/>
  </w:font>
  <w:font w:name="??">
    <w:altName w:val="Times New Roman"/>
    <w:panose1 w:val="00000000000000000000"/>
    <w:charset w:val="00"/>
    <w:family w:val="roman"/>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3" w:fontKey="{2C373F5E-8179-47CA-ABF3-9B5EF67C7235}"/>
  </w:font>
  <w:font w:name="仿宋_GB2312">
    <w:panose1 w:val="02010609030101010101"/>
    <w:charset w:val="86"/>
    <w:family w:val="modern"/>
    <w:pitch w:val="default"/>
    <w:sig w:usb0="00000001" w:usb1="080E0000" w:usb2="00000000" w:usb3="00000000" w:csb0="00040000" w:csb1="00000000"/>
    <w:embedRegular r:id="rId4" w:fontKey="{D1E50973-896A-4570-B80F-BE249B0ADEED}"/>
  </w:font>
  <w:font w:name="楷体_GB2312">
    <w:panose1 w:val="02010609030101010101"/>
    <w:charset w:val="86"/>
    <w:family w:val="auto"/>
    <w:pitch w:val="default"/>
    <w:sig w:usb0="00000001" w:usb1="080E0000" w:usb2="00000000" w:usb3="00000000" w:csb0="00040000" w:csb1="00000000"/>
    <w:embedRegular r:id="rId5" w:fontKey="{152CBD95-CC03-428E-9B46-BA6D1C895E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31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49B750">
                          <w:pPr>
                            <w:pStyle w:val="5"/>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49B750">
                    <w:pPr>
                      <w:pStyle w:val="5"/>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TUzZGFlMmM4YmFjNTQwY2MzZDc0YjE2MWU2ZDQifQ=="/>
  </w:docVars>
  <w:rsids>
    <w:rsidRoot w:val="00000000"/>
    <w:rsid w:val="00557304"/>
    <w:rsid w:val="0137184F"/>
    <w:rsid w:val="01E66FA5"/>
    <w:rsid w:val="022655F4"/>
    <w:rsid w:val="027473EA"/>
    <w:rsid w:val="02DA1A3B"/>
    <w:rsid w:val="0857336D"/>
    <w:rsid w:val="08967D72"/>
    <w:rsid w:val="0A315E26"/>
    <w:rsid w:val="0D6C64A3"/>
    <w:rsid w:val="12A762DD"/>
    <w:rsid w:val="14836AD0"/>
    <w:rsid w:val="170E4105"/>
    <w:rsid w:val="19C540B6"/>
    <w:rsid w:val="1D1C34D1"/>
    <w:rsid w:val="1DF51E9C"/>
    <w:rsid w:val="1EAA4A5F"/>
    <w:rsid w:val="1F075384"/>
    <w:rsid w:val="22187064"/>
    <w:rsid w:val="25292B62"/>
    <w:rsid w:val="279B4181"/>
    <w:rsid w:val="2A2B1C75"/>
    <w:rsid w:val="2B3C2EE3"/>
    <w:rsid w:val="30A9726C"/>
    <w:rsid w:val="326649B8"/>
    <w:rsid w:val="35064C8D"/>
    <w:rsid w:val="36010FB1"/>
    <w:rsid w:val="38262F51"/>
    <w:rsid w:val="3835198A"/>
    <w:rsid w:val="39C40C73"/>
    <w:rsid w:val="3E5147A3"/>
    <w:rsid w:val="3F830C98"/>
    <w:rsid w:val="40FB3E16"/>
    <w:rsid w:val="43291B47"/>
    <w:rsid w:val="469976F4"/>
    <w:rsid w:val="48A02236"/>
    <w:rsid w:val="49CF606A"/>
    <w:rsid w:val="4B1A6945"/>
    <w:rsid w:val="4D47743D"/>
    <w:rsid w:val="53ED771E"/>
    <w:rsid w:val="54993399"/>
    <w:rsid w:val="549A6737"/>
    <w:rsid w:val="599348C2"/>
    <w:rsid w:val="5C1B30EF"/>
    <w:rsid w:val="5CC11316"/>
    <w:rsid w:val="5D926002"/>
    <w:rsid w:val="5E6A261C"/>
    <w:rsid w:val="5E6D4B86"/>
    <w:rsid w:val="5FA27E8A"/>
    <w:rsid w:val="678834BD"/>
    <w:rsid w:val="69843021"/>
    <w:rsid w:val="6C9C6D62"/>
    <w:rsid w:val="6DEC1339"/>
    <w:rsid w:val="746B5296"/>
    <w:rsid w:val="76327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10">
    <w:name w:val="样式 小四 行距: 1.5 倍行距"/>
    <w:basedOn w:val="1"/>
    <w:qFormat/>
    <w:uiPriority w:val="0"/>
    <w:pPr>
      <w:spacing w:line="360" w:lineRule="auto"/>
      <w:ind w:firstLine="480" w:firstLineChars="200"/>
    </w:pPr>
    <w:rPr>
      <w:rFonts w:cs="宋体"/>
      <w:szCs w:val="20"/>
    </w:rPr>
  </w:style>
  <w:style w:type="paragraph" w:customStyle="1" w:styleId="11">
    <w:name w:val="样式1"/>
    <w:basedOn w:val="1"/>
    <w:qFormat/>
    <w:uiPriority w:val="0"/>
    <w:rPr>
      <w:b/>
      <w:color w:val="538135"/>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2354</Words>
  <Characters>2517</Characters>
  <Lines>0</Lines>
  <Paragraphs>0</Paragraphs>
  <TotalTime>0</TotalTime>
  <ScaleCrop>false</ScaleCrop>
  <LinksUpToDate>false</LinksUpToDate>
  <CharactersWithSpaces>2518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2024-09-19T01:03:00Z</dcterms:created>
  <dc:creator>dell</dc:creator>
  <cp:lastModifiedBy>这样就好</cp:lastModifiedBy>
  <dcterms:modified xsi:type="dcterms:W3CDTF">2024-09-24T07:20:16Z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87F7108B7EB94D2F8B8BA358F9D70602_13</vt:lpwstr>
  </property>
</Properties>
</file>