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976DC">
      <w:pPr>
        <w:pStyle w:val="5"/>
        <w:keepNext w:val="0"/>
        <w:keepLines w:val="0"/>
        <w:pageBreakBefore w:val="0"/>
        <w:widowControl w:val="0"/>
        <w:kinsoku/>
        <w:wordWrap/>
        <w:overflowPunct w:val="0"/>
        <w:topLinePunct w:val="0"/>
        <w:autoSpaceDE/>
        <w:autoSpaceDN/>
        <w:bidi w:val="0"/>
        <w:adjustRightInd w:val="0"/>
        <w:snapToGrid w:val="0"/>
        <w:spacing w:after="0" w:line="576" w:lineRule="exact"/>
        <w:textAlignment w:val="auto"/>
        <w:rPr>
          <w:rFonts w:hint="eastAsia" w:ascii="黑体" w:hAnsi="黑体" w:eastAsia="黑体" w:cs="黑体"/>
          <w:b w:val="0"/>
          <w:bCs w:val="0"/>
          <w:snapToGrid w:val="0"/>
          <w:color w:val="auto"/>
          <w:kern w:val="0"/>
          <w:position w:val="0"/>
          <w:sz w:val="32"/>
          <w:szCs w:val="32"/>
          <w:highlight w:val="none"/>
          <w:shd w:val="clear" w:color="auto" w:fill="FFFFFF"/>
          <w:lang w:val="en-US" w:eastAsia="zh-CN"/>
        </w:rPr>
      </w:pPr>
      <w:r>
        <w:rPr>
          <w:rFonts w:hint="eastAsia" w:ascii="黑体" w:hAnsi="黑体" w:eastAsia="黑体" w:cs="黑体"/>
          <w:b w:val="0"/>
          <w:bCs w:val="0"/>
          <w:snapToGrid w:val="0"/>
          <w:color w:val="auto"/>
          <w:kern w:val="0"/>
          <w:position w:val="0"/>
          <w:sz w:val="32"/>
          <w:szCs w:val="32"/>
          <w:highlight w:val="none"/>
          <w:shd w:val="clear" w:color="auto" w:fill="FFFFFF"/>
          <w:lang w:val="zh-CN"/>
        </w:rPr>
        <w:t>附件</w:t>
      </w:r>
      <w:r>
        <w:rPr>
          <w:rFonts w:hint="eastAsia" w:ascii="黑体" w:hAnsi="黑体" w:eastAsia="黑体" w:cs="黑体"/>
          <w:b w:val="0"/>
          <w:bCs w:val="0"/>
          <w:snapToGrid w:val="0"/>
          <w:color w:val="auto"/>
          <w:kern w:val="0"/>
          <w:position w:val="0"/>
          <w:sz w:val="32"/>
          <w:szCs w:val="32"/>
          <w:highlight w:val="none"/>
          <w:shd w:val="clear" w:color="auto" w:fill="FFFFFF"/>
          <w:lang w:val="en-US" w:eastAsia="zh-CN"/>
        </w:rPr>
        <w:t>2</w:t>
      </w:r>
    </w:p>
    <w:p w14:paraId="1285F77F">
      <w:pPr>
        <w:pStyle w:val="5"/>
        <w:keepNext w:val="0"/>
        <w:keepLines w:val="0"/>
        <w:pageBreakBefore w:val="0"/>
        <w:widowControl w:val="0"/>
        <w:kinsoku/>
        <w:wordWrap/>
        <w:overflowPunct w:val="0"/>
        <w:topLinePunct w:val="0"/>
        <w:autoSpaceDE/>
        <w:autoSpaceDN/>
        <w:bidi w:val="0"/>
        <w:adjustRightInd w:val="0"/>
        <w:snapToGrid w:val="0"/>
        <w:spacing w:after="0" w:line="576" w:lineRule="exact"/>
        <w:textAlignment w:val="auto"/>
        <w:rPr>
          <w:rFonts w:hint="eastAsia" w:ascii="黑体" w:hAnsi="黑体" w:eastAsia="黑体" w:cs="黑体"/>
          <w:b w:val="0"/>
          <w:bCs w:val="0"/>
          <w:snapToGrid w:val="0"/>
          <w:color w:val="auto"/>
          <w:kern w:val="0"/>
          <w:position w:val="0"/>
          <w:sz w:val="32"/>
          <w:szCs w:val="32"/>
          <w:highlight w:val="none"/>
          <w:shd w:val="clear" w:color="auto" w:fill="FFFFFF"/>
          <w:lang w:val="en-US" w:eastAsia="zh-CN"/>
        </w:rPr>
      </w:pPr>
    </w:p>
    <w:p w14:paraId="3CEC62C1">
      <w:pPr>
        <w:pStyle w:val="11"/>
        <w:keepNext w:val="0"/>
        <w:keepLines w:val="0"/>
        <w:pageBreakBefore w:val="0"/>
        <w:widowControl w:val="0"/>
        <w:kinsoku/>
        <w:wordWrap/>
        <w:overflowPunct w:val="0"/>
        <w:topLinePunct w:val="0"/>
        <w:autoSpaceDE/>
        <w:autoSpaceDN/>
        <w:bidi w:val="0"/>
        <w:adjustRightInd w:val="0"/>
        <w:snapToGrid w:val="0"/>
        <w:spacing w:line="740" w:lineRule="exact"/>
        <w:ind w:left="0" w:leftChars="0"/>
        <w:jc w:val="center"/>
        <w:textAlignment w:val="auto"/>
        <w:rPr>
          <w:rFonts w:hint="eastAsia" w:ascii="方正小标宋_GBK" w:hAnsi="方正小标宋_GBK" w:eastAsia="方正小标宋_GBK" w:cs="方正小标宋_GBK"/>
          <w:b w:val="0"/>
          <w:bCs w:val="0"/>
          <w:snapToGrid w:val="0"/>
          <w:color w:val="auto"/>
          <w:kern w:val="0"/>
          <w:position w:val="0"/>
          <w:sz w:val="44"/>
          <w:szCs w:val="44"/>
          <w:highlight w:val="none"/>
          <w:lang w:val="en-US" w:eastAsia="zh-CN"/>
        </w:rPr>
      </w:pPr>
      <w:r>
        <w:rPr>
          <w:rFonts w:hint="eastAsia" w:ascii="方正小标宋_GBK" w:hAnsi="方正小标宋_GBK" w:eastAsia="方正小标宋_GBK" w:cs="方正小标宋_GBK"/>
          <w:b w:val="0"/>
          <w:bCs w:val="0"/>
          <w:snapToGrid w:val="0"/>
          <w:color w:val="auto"/>
          <w:kern w:val="0"/>
          <w:position w:val="0"/>
          <w:sz w:val="44"/>
          <w:szCs w:val="44"/>
          <w:highlight w:val="none"/>
          <w:lang w:val="en-US" w:eastAsia="zh-CN"/>
        </w:rPr>
        <w:t>基本公卫专项预算项目绩效评价报告</w:t>
      </w:r>
    </w:p>
    <w:p w14:paraId="51DA7AF4">
      <w:pPr>
        <w:pStyle w:val="11"/>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highlight w:val="none"/>
        </w:rPr>
      </w:pPr>
    </w:p>
    <w:p w14:paraId="01C524B9">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rPr>
          <w:rFonts w:hint="eastAsia" w:ascii="黑体" w:hAnsi="黑体" w:eastAsia="黑体" w:cs="黑体"/>
          <w:b w:val="0"/>
          <w:bCs w:val="0"/>
          <w:snapToGrid w:val="0"/>
          <w:color w:val="auto"/>
          <w:kern w:val="0"/>
          <w:position w:val="0"/>
          <w:sz w:val="32"/>
          <w:szCs w:val="32"/>
          <w:highlight w:val="none"/>
          <w:lang w:val="zh-CN"/>
        </w:rPr>
      </w:pPr>
      <w:r>
        <w:rPr>
          <w:rFonts w:hint="eastAsia" w:ascii="黑体" w:hAnsi="黑体" w:eastAsia="黑体" w:cs="黑体"/>
          <w:b w:val="0"/>
          <w:bCs w:val="0"/>
          <w:snapToGrid w:val="0"/>
          <w:color w:val="auto"/>
          <w:kern w:val="0"/>
          <w:position w:val="0"/>
          <w:sz w:val="32"/>
          <w:szCs w:val="32"/>
          <w:highlight w:val="none"/>
        </w:rPr>
        <w:t>一、</w:t>
      </w:r>
      <w:r>
        <w:rPr>
          <w:rFonts w:hint="eastAsia" w:ascii="黑体" w:hAnsi="黑体" w:eastAsia="黑体" w:cs="黑体"/>
          <w:b w:val="0"/>
          <w:bCs w:val="0"/>
          <w:snapToGrid w:val="0"/>
          <w:color w:val="auto"/>
          <w:kern w:val="0"/>
          <w:position w:val="0"/>
          <w:sz w:val="32"/>
          <w:szCs w:val="32"/>
          <w:highlight w:val="none"/>
          <w:lang w:val="zh-CN"/>
        </w:rPr>
        <w:t>项目概况</w:t>
      </w:r>
    </w:p>
    <w:p w14:paraId="4A38DA84">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contextualSpacing/>
        <w:jc w:val="both"/>
        <w:textAlignment w:val="auto"/>
        <w:rPr>
          <w:rFonts w:hint="eastAsia" w:ascii="楷体_GB2312" w:hAnsi="楷体_GB2312" w:eastAsia="楷体_GB2312" w:cs="楷体_GB2312"/>
          <w:b w:val="0"/>
          <w:bCs w:val="0"/>
          <w:snapToGrid w:val="0"/>
          <w:color w:val="auto"/>
          <w:kern w:val="0"/>
          <w:position w:val="0"/>
          <w:sz w:val="32"/>
          <w:szCs w:val="32"/>
          <w:highlight w:val="none"/>
          <w:u w:val="none"/>
          <w:lang w:val="zh-CN"/>
        </w:rPr>
      </w:pPr>
      <w:r>
        <w:rPr>
          <w:rFonts w:hint="eastAsia" w:ascii="楷体_GB2312" w:hAnsi="楷体_GB2312" w:eastAsia="楷体_GB2312" w:cs="楷体_GB2312"/>
          <w:b w:val="0"/>
          <w:bCs w:val="0"/>
          <w:snapToGrid w:val="0"/>
          <w:color w:val="auto"/>
          <w:kern w:val="0"/>
          <w:position w:val="0"/>
          <w:sz w:val="32"/>
          <w:szCs w:val="32"/>
          <w:highlight w:val="none"/>
          <w:u w:val="none"/>
          <w:lang w:val="zh-CN"/>
        </w:rPr>
        <w:t>（一）设立背景及基本情况。</w:t>
      </w:r>
    </w:p>
    <w:p w14:paraId="094F2DF3">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highlight w:val="none"/>
          <w:lang w:val="en-US" w:eastAsia="zh-CN" w:bidi="ar-SA"/>
        </w:rPr>
      </w:pPr>
      <w:r>
        <w:rPr>
          <w:rFonts w:hint="eastAsia" w:ascii="仿宋_GB2312" w:hAnsi="仿宋_GB2312" w:eastAsia="仿宋_GB2312" w:cs="仿宋_GB2312"/>
          <w:b w:val="0"/>
          <w:bCs w:val="0"/>
          <w:snapToGrid w:val="0"/>
          <w:color w:val="auto"/>
          <w:kern w:val="0"/>
          <w:position w:val="0"/>
          <w:sz w:val="32"/>
          <w:szCs w:val="32"/>
          <w:highlight w:val="none"/>
          <w:lang w:val="en-US" w:eastAsia="zh-CN" w:bidi="ar-SA"/>
        </w:rPr>
        <w:t>国家基本公共卫生服务项目作为促进基本公共卫生服务逐步均等化的重要内容，是我国公共卫生制度建设的重要组成部分。项目实施以来，基本公共卫生服务项目在我市基层医疗机构得到了普遍开展，始终坚持“我服务你健康”的理念，规范管理、优质服务，切实维护城乡居民的身体健康，不断推进我市基本公共卫生服务均等化进程，全面提高项目的规范化管理及服务水平，将项目服务内容落实到位，让辖区居民真正享受到实惠，居民满意度不断提高。此项工作由市卫生健康委负责牵总推动、各县（区）卫生健康局具体统筹、各相关专业机构督促指导、各基层医疗卫生机构具体实施。2023年，为全市224.9万城乡常住居民免费提供基本公共卫生服务，按照《国家基本公共卫生服务规范（第三版）》执行。同时开展农村妇女“两癌”筛查服务、免费孕前优生健康检查、脱贫地区新生儿疾病筛查、职业病防治、地方病防治、老年健康与医养结合服务等基本公共卫生工作。</w:t>
      </w:r>
    </w:p>
    <w:p w14:paraId="26C806D7">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rPr>
          <w:rFonts w:hint="eastAsia" w:ascii="楷体_GB2312" w:hAnsi="楷体_GB2312" w:eastAsia="楷体_GB2312" w:cs="楷体_GB2312"/>
          <w:b w:val="0"/>
          <w:bCs w:val="0"/>
          <w:snapToGrid w:val="0"/>
          <w:color w:val="auto"/>
          <w:kern w:val="0"/>
          <w:position w:val="0"/>
          <w:sz w:val="32"/>
          <w:szCs w:val="32"/>
          <w:highlight w:val="none"/>
          <w:lang w:val="zh-CN" w:eastAsia="zh-CN" w:bidi="ar-SA"/>
        </w:rPr>
      </w:pPr>
      <w:r>
        <w:rPr>
          <w:rFonts w:hint="eastAsia" w:ascii="楷体_GB2312" w:hAnsi="楷体_GB2312" w:eastAsia="楷体_GB2312" w:cs="楷体_GB2312"/>
          <w:b w:val="0"/>
          <w:bCs w:val="0"/>
          <w:snapToGrid w:val="0"/>
          <w:color w:val="auto"/>
          <w:kern w:val="0"/>
          <w:position w:val="0"/>
          <w:sz w:val="32"/>
          <w:szCs w:val="32"/>
          <w:highlight w:val="none"/>
          <w:u w:val="none"/>
          <w:lang w:val="zh-CN"/>
        </w:rPr>
        <w:t>（二）</w:t>
      </w:r>
      <w:r>
        <w:rPr>
          <w:rFonts w:hint="eastAsia" w:ascii="楷体_GB2312" w:hAnsi="楷体_GB2312" w:eastAsia="楷体_GB2312" w:cs="楷体_GB2312"/>
          <w:b w:val="0"/>
          <w:bCs w:val="0"/>
          <w:snapToGrid w:val="0"/>
          <w:color w:val="auto"/>
          <w:kern w:val="0"/>
          <w:position w:val="0"/>
          <w:sz w:val="32"/>
          <w:szCs w:val="32"/>
          <w:highlight w:val="none"/>
          <w:u w:val="none"/>
          <w:lang w:val="en-US" w:eastAsia="zh-CN"/>
        </w:rPr>
        <w:t>实施目的及支持方向。</w:t>
      </w:r>
    </w:p>
    <w:p w14:paraId="40205FA4">
      <w:pPr>
        <w:pStyle w:val="12"/>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lang w:val="en-US" w:eastAsia="zh-CN"/>
        </w:rPr>
      </w:pPr>
      <w:r>
        <w:rPr>
          <w:rFonts w:hint="eastAsia" w:ascii="仿宋_GB2312" w:hAnsi="仿宋_GB2312" w:eastAsia="仿宋_GB2312" w:cs="仿宋_GB2312"/>
          <w:b w:val="0"/>
          <w:bCs w:val="0"/>
          <w:snapToGrid w:val="0"/>
          <w:color w:val="auto"/>
          <w:kern w:val="0"/>
          <w:position w:val="0"/>
          <w:sz w:val="32"/>
          <w:szCs w:val="32"/>
          <w:highlight w:val="none"/>
          <w:lang w:val="en-US" w:eastAsia="zh-CN" w:bidi="ar-SA"/>
        </w:rPr>
        <w:t>我委于2023年5月9日印发了《广元市卫生健康预算效管理办法的通知》（广卫发〔2023〕4号），进一步规范绩效管理全过程工作流程。</w:t>
      </w:r>
      <w:r>
        <w:rPr>
          <w:rFonts w:hint="eastAsia" w:ascii="仿宋_GB2312" w:hAnsi="仿宋_GB2312" w:eastAsia="仿宋_GB2312" w:cs="仿宋_GB2312"/>
          <w:b w:val="0"/>
          <w:bCs w:val="0"/>
          <w:snapToGrid w:val="0"/>
          <w:color w:val="auto"/>
          <w:kern w:val="0"/>
          <w:position w:val="0"/>
          <w:sz w:val="32"/>
          <w:szCs w:val="32"/>
          <w:lang w:eastAsia="zh-CN"/>
        </w:rPr>
        <w:t>为全市城乡常住居民免费提供</w:t>
      </w:r>
      <w:r>
        <w:rPr>
          <w:rFonts w:hint="eastAsia" w:ascii="仿宋_GB2312" w:hAnsi="仿宋_GB2312" w:eastAsia="仿宋_GB2312" w:cs="仿宋_GB2312"/>
          <w:b w:val="0"/>
          <w:bCs w:val="0"/>
          <w:snapToGrid w:val="0"/>
          <w:color w:val="auto"/>
          <w:kern w:val="0"/>
          <w:position w:val="0"/>
          <w:sz w:val="32"/>
          <w:szCs w:val="32"/>
          <w:lang w:val="en-US" w:eastAsia="zh-CN"/>
        </w:rPr>
        <w:t>12项基本公共卫生服务及为3.03万名35-64岁农村妇女免费提供农村妇女“两癌”检查、免费孕前优生健康检查、脱贫地区新生儿疾病筛查、职业病防治、地方病防治、老年健康与医养结合服务等公共卫生服务，促进居民提高健康意识，改变不良生活方式，逐步树立自我健康管理的理念，促进基本公共卫生服务逐步均等化。</w:t>
      </w:r>
    </w:p>
    <w:p w14:paraId="05C111A0">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contextualSpacing/>
        <w:jc w:val="both"/>
        <w:textAlignment w:val="auto"/>
        <w:rPr>
          <w:rFonts w:hint="eastAsia" w:ascii="楷体_GB2312" w:hAnsi="楷体_GB2312" w:eastAsia="楷体_GB2312" w:cs="楷体_GB2312"/>
          <w:b w:val="0"/>
          <w:bCs w:val="0"/>
          <w:snapToGrid w:val="0"/>
          <w:color w:val="auto"/>
          <w:kern w:val="0"/>
          <w:position w:val="0"/>
          <w:sz w:val="32"/>
          <w:szCs w:val="32"/>
          <w:highlight w:val="none"/>
          <w:lang w:val="zh-CN" w:eastAsia="zh-CN" w:bidi="ar-SA"/>
        </w:rPr>
      </w:pPr>
      <w:r>
        <w:rPr>
          <w:rFonts w:hint="eastAsia" w:ascii="楷体_GB2312" w:hAnsi="楷体_GB2312" w:eastAsia="楷体_GB2312" w:cs="楷体_GB2312"/>
          <w:b w:val="0"/>
          <w:bCs w:val="0"/>
          <w:snapToGrid w:val="0"/>
          <w:color w:val="auto"/>
          <w:kern w:val="0"/>
          <w:position w:val="0"/>
          <w:sz w:val="32"/>
          <w:szCs w:val="32"/>
          <w:highlight w:val="none"/>
          <w:u w:val="none"/>
          <w:lang w:val="zh-CN" w:eastAsia="zh-CN"/>
        </w:rPr>
        <w:t>（三）</w:t>
      </w:r>
      <w:r>
        <w:rPr>
          <w:rFonts w:hint="eastAsia" w:ascii="楷体_GB2312" w:hAnsi="楷体_GB2312" w:eastAsia="楷体_GB2312" w:cs="楷体_GB2312"/>
          <w:b w:val="0"/>
          <w:bCs w:val="0"/>
          <w:snapToGrid w:val="0"/>
          <w:color w:val="auto"/>
          <w:kern w:val="0"/>
          <w:position w:val="0"/>
          <w:sz w:val="32"/>
          <w:szCs w:val="32"/>
          <w:highlight w:val="none"/>
          <w:u w:val="none"/>
          <w:lang w:val="en-US" w:eastAsia="zh-CN"/>
        </w:rPr>
        <w:t>预算安排及分配管理</w:t>
      </w:r>
      <w:r>
        <w:rPr>
          <w:rFonts w:hint="eastAsia" w:ascii="楷体_GB2312" w:hAnsi="楷体_GB2312" w:eastAsia="楷体_GB2312" w:cs="楷体_GB2312"/>
          <w:b w:val="0"/>
          <w:bCs w:val="0"/>
          <w:snapToGrid w:val="0"/>
          <w:color w:val="auto"/>
          <w:kern w:val="0"/>
          <w:position w:val="0"/>
          <w:sz w:val="32"/>
          <w:szCs w:val="32"/>
          <w:highlight w:val="none"/>
          <w:u w:val="none"/>
          <w:lang w:val="zh-CN" w:eastAsia="zh-CN"/>
        </w:rPr>
        <w:t>。</w:t>
      </w:r>
    </w:p>
    <w:p w14:paraId="648E44C2">
      <w:pPr>
        <w:pStyle w:val="13"/>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lang w:val="en-US" w:eastAsia="zh-CN" w:bidi="ar-SA"/>
        </w:rPr>
      </w:pPr>
      <w:r>
        <w:rPr>
          <w:rFonts w:hint="eastAsia" w:ascii="仿宋_GB2312" w:hAnsi="仿宋_GB2312" w:eastAsia="仿宋_GB2312" w:cs="仿宋_GB2312"/>
          <w:b w:val="0"/>
          <w:bCs w:val="0"/>
          <w:snapToGrid w:val="0"/>
          <w:color w:val="auto"/>
          <w:kern w:val="0"/>
          <w:position w:val="0"/>
          <w:sz w:val="32"/>
          <w:szCs w:val="32"/>
          <w:lang w:val="en-US" w:eastAsia="zh-CN" w:bidi="ar-SA"/>
        </w:rPr>
        <w:t>基本公共卫生项目资金由中央、省、市县</w:t>
      </w:r>
      <w:bookmarkStart w:id="0" w:name="_GoBack"/>
      <w:bookmarkEnd w:id="0"/>
      <w:r>
        <w:rPr>
          <w:rFonts w:hint="eastAsia" w:ascii="仿宋_GB2312" w:hAnsi="仿宋_GB2312" w:eastAsia="仿宋_GB2312" w:cs="仿宋_GB2312"/>
          <w:b w:val="0"/>
          <w:bCs w:val="0"/>
          <w:snapToGrid w:val="0"/>
          <w:color w:val="auto"/>
          <w:kern w:val="0"/>
          <w:position w:val="0"/>
          <w:sz w:val="32"/>
          <w:szCs w:val="32"/>
          <w:lang w:val="en-US" w:eastAsia="zh-CN" w:bidi="ar-SA"/>
        </w:rPr>
        <w:t>资金构成，总预算数为20068.20万元、执行数为18212.26万元，资金执行率为90.75%，其中中央资金预算数为16339.13万元、执行数为15470.79万元，执行率为94.69%；省级资金预算数为2146.61万元、执行数为1584.05万元，执行率为73.79%；市县资金预算数为1582.46万元、执行数为1157.42万元，执行率为73.14%。</w:t>
      </w:r>
    </w:p>
    <w:p w14:paraId="7C2675F4">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rPr>
          <w:rFonts w:hint="eastAsia" w:ascii="楷体_GB2312" w:hAnsi="楷体_GB2312" w:eastAsia="楷体_GB2312" w:cs="楷体_GB2312"/>
          <w:b w:val="0"/>
          <w:bCs w:val="0"/>
          <w:snapToGrid w:val="0"/>
          <w:color w:val="auto"/>
          <w:kern w:val="0"/>
          <w:position w:val="0"/>
          <w:sz w:val="32"/>
          <w:szCs w:val="32"/>
          <w:highlight w:val="none"/>
          <w:lang w:val="zh-CN" w:eastAsia="zh-CN" w:bidi="ar-SA"/>
        </w:rPr>
      </w:pPr>
      <w:r>
        <w:rPr>
          <w:rFonts w:hint="eastAsia" w:ascii="楷体_GB2312" w:hAnsi="楷体_GB2312" w:eastAsia="楷体_GB2312" w:cs="楷体_GB2312"/>
          <w:b w:val="0"/>
          <w:bCs w:val="0"/>
          <w:snapToGrid w:val="0"/>
          <w:color w:val="auto"/>
          <w:kern w:val="0"/>
          <w:position w:val="0"/>
          <w:sz w:val="32"/>
          <w:szCs w:val="32"/>
          <w:highlight w:val="none"/>
          <w:u w:val="none"/>
          <w:lang w:val="zh-CN" w:eastAsia="zh-CN"/>
        </w:rPr>
        <w:t>（四）项目绩效目标设置。</w:t>
      </w:r>
    </w:p>
    <w:p w14:paraId="7B3FF314">
      <w:pPr>
        <w:pStyle w:val="8"/>
        <w:keepNext w:val="0"/>
        <w:keepLines w:val="0"/>
        <w:pageBreakBefore w:val="0"/>
        <w:widowControl w:val="0"/>
        <w:shd w:val="clear" w:color="auto" w:fill="FFFFFF"/>
        <w:kinsoku/>
        <w:wordWrap/>
        <w:overflowPunct w:val="0"/>
        <w:topLinePunct w:val="0"/>
        <w:autoSpaceDE/>
        <w:autoSpaceDN/>
        <w:bidi w:val="0"/>
        <w:adjustRightInd w:val="0"/>
        <w:snapToGrid w:val="0"/>
        <w:spacing w:beforeAutospacing="0" w:afterAutospacing="0" w:line="576" w:lineRule="exact"/>
        <w:ind w:left="0"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highlight w:val="none"/>
          <w:lang w:val="zh-CN" w:eastAsia="zh-CN" w:bidi="ar-SA"/>
        </w:rPr>
      </w:pPr>
      <w:r>
        <w:rPr>
          <w:rFonts w:hint="eastAsia" w:ascii="仿宋_GB2312" w:hAnsi="仿宋_GB2312" w:eastAsia="仿宋_GB2312" w:cs="仿宋_GB2312"/>
          <w:b w:val="0"/>
          <w:bCs w:val="0"/>
          <w:snapToGrid w:val="0"/>
          <w:color w:val="auto"/>
          <w:kern w:val="0"/>
          <w:position w:val="0"/>
          <w:sz w:val="32"/>
          <w:szCs w:val="32"/>
          <w:lang w:val="en-US" w:eastAsia="zh-CN"/>
        </w:rPr>
        <w:t>按照省卫生健康委、财政厅《关于下达2023年基本公共卫生服务中央和省级补助资金的通知》《</w:t>
      </w:r>
      <w:r>
        <w:rPr>
          <w:rFonts w:hint="eastAsia" w:ascii="仿宋_GB2312" w:hAnsi="仿宋_GB2312" w:eastAsia="仿宋_GB2312" w:cs="仿宋_GB2312"/>
          <w:b w:val="0"/>
          <w:bCs w:val="0"/>
          <w:snapToGrid w:val="0"/>
          <w:color w:val="auto"/>
          <w:kern w:val="0"/>
          <w:position w:val="0"/>
          <w:sz w:val="32"/>
          <w:szCs w:val="32"/>
          <w:lang w:eastAsia="zh-CN"/>
        </w:rPr>
        <w:t>国家基本公共卫生服务规范（第三版）</w:t>
      </w:r>
      <w:r>
        <w:rPr>
          <w:rFonts w:hint="eastAsia" w:ascii="仿宋_GB2312" w:hAnsi="仿宋_GB2312" w:eastAsia="仿宋_GB2312" w:cs="仿宋_GB2312"/>
          <w:b w:val="0"/>
          <w:bCs w:val="0"/>
          <w:snapToGrid w:val="0"/>
          <w:color w:val="auto"/>
          <w:kern w:val="0"/>
          <w:position w:val="0"/>
          <w:sz w:val="32"/>
          <w:szCs w:val="32"/>
        </w:rPr>
        <w:t>》</w:t>
      </w:r>
      <w:r>
        <w:rPr>
          <w:rFonts w:hint="eastAsia" w:ascii="仿宋_GB2312" w:hAnsi="仿宋_GB2312" w:eastAsia="仿宋_GB2312" w:cs="仿宋_GB2312"/>
          <w:b w:val="0"/>
          <w:bCs w:val="0"/>
          <w:snapToGrid w:val="0"/>
          <w:color w:val="auto"/>
          <w:kern w:val="0"/>
          <w:position w:val="0"/>
          <w:sz w:val="32"/>
          <w:szCs w:val="32"/>
          <w:lang w:eastAsia="zh-CN"/>
        </w:rPr>
        <w:t>相关</w:t>
      </w:r>
      <w:r>
        <w:rPr>
          <w:rFonts w:hint="eastAsia" w:ascii="仿宋_GB2312" w:hAnsi="仿宋_GB2312" w:eastAsia="仿宋_GB2312" w:cs="仿宋_GB2312"/>
          <w:b w:val="0"/>
          <w:bCs w:val="0"/>
          <w:snapToGrid w:val="0"/>
          <w:color w:val="auto"/>
          <w:kern w:val="0"/>
          <w:position w:val="0"/>
          <w:sz w:val="32"/>
          <w:szCs w:val="32"/>
        </w:rPr>
        <w:t>要求</w:t>
      </w:r>
      <w:r>
        <w:rPr>
          <w:rFonts w:hint="eastAsia" w:ascii="仿宋_GB2312" w:hAnsi="仿宋_GB2312" w:eastAsia="仿宋_GB2312" w:cs="仿宋_GB2312"/>
          <w:b w:val="0"/>
          <w:bCs w:val="0"/>
          <w:snapToGrid w:val="0"/>
          <w:color w:val="auto"/>
          <w:kern w:val="0"/>
          <w:position w:val="0"/>
          <w:sz w:val="32"/>
          <w:szCs w:val="32"/>
          <w:lang w:eastAsia="zh-CN"/>
        </w:rPr>
        <w:t>开展绩效评价工作。</w:t>
      </w:r>
      <w:r>
        <w:rPr>
          <w:rFonts w:hint="eastAsia" w:ascii="仿宋_GB2312" w:hAnsi="仿宋_GB2312" w:eastAsia="仿宋_GB2312" w:cs="仿宋_GB2312"/>
          <w:b w:val="0"/>
          <w:bCs w:val="0"/>
          <w:snapToGrid w:val="0"/>
          <w:color w:val="auto"/>
          <w:kern w:val="0"/>
          <w:position w:val="0"/>
          <w:sz w:val="32"/>
          <w:szCs w:val="32"/>
          <w:lang w:bidi="ar-SA"/>
        </w:rPr>
        <w:t>202</w:t>
      </w:r>
      <w:r>
        <w:rPr>
          <w:rFonts w:hint="eastAsia" w:ascii="仿宋_GB2312" w:hAnsi="仿宋_GB2312" w:eastAsia="仿宋_GB2312" w:cs="仿宋_GB2312"/>
          <w:b w:val="0"/>
          <w:bCs w:val="0"/>
          <w:snapToGrid w:val="0"/>
          <w:color w:val="auto"/>
          <w:kern w:val="0"/>
          <w:position w:val="0"/>
          <w:sz w:val="32"/>
          <w:szCs w:val="32"/>
          <w:lang w:val="en-US" w:eastAsia="zh-CN" w:bidi="ar-SA"/>
        </w:rPr>
        <w:t>3</w:t>
      </w:r>
      <w:r>
        <w:rPr>
          <w:rFonts w:hint="eastAsia" w:ascii="仿宋_GB2312" w:hAnsi="仿宋_GB2312" w:eastAsia="仿宋_GB2312" w:cs="仿宋_GB2312"/>
          <w:b w:val="0"/>
          <w:bCs w:val="0"/>
          <w:snapToGrid w:val="0"/>
          <w:color w:val="auto"/>
          <w:kern w:val="0"/>
          <w:position w:val="0"/>
          <w:sz w:val="32"/>
          <w:szCs w:val="32"/>
          <w:lang w:bidi="ar-SA"/>
        </w:rPr>
        <w:t>年</w:t>
      </w:r>
      <w:r>
        <w:rPr>
          <w:rFonts w:hint="eastAsia" w:ascii="仿宋_GB2312" w:hAnsi="仿宋_GB2312" w:eastAsia="仿宋_GB2312" w:cs="仿宋_GB2312"/>
          <w:b w:val="0"/>
          <w:bCs w:val="0"/>
          <w:snapToGrid w:val="0"/>
          <w:color w:val="auto"/>
          <w:kern w:val="0"/>
          <w:position w:val="0"/>
          <w:sz w:val="32"/>
          <w:szCs w:val="32"/>
          <w:lang w:val="en-US" w:eastAsia="zh-CN" w:bidi="ar-SA"/>
        </w:rPr>
        <w:t>12月</w:t>
      </w:r>
      <w:r>
        <w:rPr>
          <w:rFonts w:hint="eastAsia" w:ascii="仿宋_GB2312" w:hAnsi="仿宋_GB2312" w:eastAsia="仿宋_GB2312" w:cs="仿宋_GB2312"/>
          <w:b w:val="0"/>
          <w:bCs w:val="0"/>
          <w:snapToGrid w:val="0"/>
          <w:color w:val="auto"/>
          <w:kern w:val="0"/>
          <w:position w:val="0"/>
          <w:sz w:val="32"/>
          <w:szCs w:val="32"/>
          <w:lang w:bidi="ar-SA"/>
        </w:rPr>
        <w:t>，</w:t>
      </w:r>
      <w:r>
        <w:rPr>
          <w:rFonts w:hint="eastAsia" w:ascii="仿宋_GB2312" w:hAnsi="仿宋_GB2312" w:eastAsia="仿宋_GB2312" w:cs="仿宋_GB2312"/>
          <w:b w:val="0"/>
          <w:bCs w:val="0"/>
          <w:snapToGrid w:val="0"/>
          <w:color w:val="auto"/>
          <w:kern w:val="0"/>
          <w:position w:val="0"/>
          <w:sz w:val="32"/>
          <w:szCs w:val="32"/>
          <w:lang w:eastAsia="zh-CN" w:bidi="ar-SA"/>
        </w:rPr>
        <w:t>组织市级绩效评价组，</w:t>
      </w:r>
      <w:r>
        <w:rPr>
          <w:rFonts w:hint="eastAsia" w:ascii="仿宋_GB2312" w:hAnsi="仿宋_GB2312" w:eastAsia="仿宋_GB2312" w:cs="仿宋_GB2312"/>
          <w:b w:val="0"/>
          <w:bCs w:val="0"/>
          <w:snapToGrid w:val="0"/>
          <w:color w:val="auto"/>
          <w:kern w:val="0"/>
          <w:position w:val="0"/>
          <w:sz w:val="32"/>
          <w:szCs w:val="32"/>
          <w:lang w:bidi="ar-SA"/>
        </w:rPr>
        <w:t>采取</w:t>
      </w:r>
      <w:r>
        <w:rPr>
          <w:rFonts w:hint="eastAsia" w:ascii="仿宋_GB2312" w:hAnsi="仿宋_GB2312" w:eastAsia="仿宋_GB2312" w:cs="仿宋_GB2312"/>
          <w:b w:val="0"/>
          <w:bCs w:val="0"/>
          <w:snapToGrid w:val="0"/>
          <w:color w:val="auto"/>
          <w:kern w:val="0"/>
          <w:position w:val="0"/>
          <w:sz w:val="32"/>
          <w:szCs w:val="32"/>
          <w:lang w:eastAsia="zh-CN" w:bidi="ar-SA"/>
        </w:rPr>
        <w:t>查阅资料</w:t>
      </w:r>
      <w:r>
        <w:rPr>
          <w:rFonts w:hint="eastAsia" w:ascii="仿宋_GB2312" w:hAnsi="仿宋_GB2312" w:eastAsia="仿宋_GB2312" w:cs="仿宋_GB2312"/>
          <w:b w:val="0"/>
          <w:bCs w:val="0"/>
          <w:snapToGrid w:val="0"/>
          <w:color w:val="auto"/>
          <w:kern w:val="0"/>
          <w:position w:val="0"/>
          <w:sz w:val="32"/>
          <w:szCs w:val="32"/>
          <w:lang w:bidi="ar-SA"/>
        </w:rPr>
        <w:t>、</w:t>
      </w:r>
      <w:r>
        <w:rPr>
          <w:rFonts w:hint="eastAsia" w:ascii="仿宋_GB2312" w:hAnsi="仿宋_GB2312" w:eastAsia="仿宋_GB2312" w:cs="仿宋_GB2312"/>
          <w:b w:val="0"/>
          <w:bCs w:val="0"/>
          <w:snapToGrid w:val="0"/>
          <w:color w:val="auto"/>
          <w:kern w:val="0"/>
          <w:position w:val="0"/>
          <w:sz w:val="32"/>
          <w:szCs w:val="32"/>
          <w:lang w:eastAsia="zh-CN" w:bidi="ar-SA"/>
        </w:rPr>
        <w:t>座谈</w:t>
      </w:r>
      <w:r>
        <w:rPr>
          <w:rFonts w:hint="eastAsia" w:ascii="仿宋_GB2312" w:hAnsi="仿宋_GB2312" w:eastAsia="仿宋_GB2312" w:cs="仿宋_GB2312"/>
          <w:b w:val="0"/>
          <w:bCs w:val="0"/>
          <w:snapToGrid w:val="0"/>
          <w:color w:val="auto"/>
          <w:kern w:val="0"/>
          <w:position w:val="0"/>
          <w:sz w:val="32"/>
          <w:szCs w:val="32"/>
          <w:lang w:bidi="ar-SA"/>
        </w:rPr>
        <w:t>访谈、</w:t>
      </w:r>
      <w:r>
        <w:rPr>
          <w:rFonts w:hint="eastAsia" w:ascii="仿宋_GB2312" w:hAnsi="仿宋_GB2312" w:eastAsia="仿宋_GB2312" w:cs="仿宋_GB2312"/>
          <w:b w:val="0"/>
          <w:bCs w:val="0"/>
          <w:snapToGrid w:val="0"/>
          <w:color w:val="auto"/>
          <w:kern w:val="0"/>
          <w:position w:val="0"/>
          <w:sz w:val="32"/>
          <w:szCs w:val="32"/>
          <w:lang w:eastAsia="zh-CN" w:bidi="ar-SA"/>
        </w:rPr>
        <w:t>现场核实</w:t>
      </w:r>
      <w:r>
        <w:rPr>
          <w:rFonts w:hint="eastAsia" w:ascii="仿宋_GB2312" w:hAnsi="仿宋_GB2312" w:eastAsia="仿宋_GB2312" w:cs="仿宋_GB2312"/>
          <w:b w:val="0"/>
          <w:bCs w:val="0"/>
          <w:snapToGrid w:val="0"/>
          <w:color w:val="auto"/>
          <w:kern w:val="0"/>
          <w:position w:val="0"/>
          <w:sz w:val="32"/>
          <w:szCs w:val="32"/>
          <w:lang w:bidi="ar-SA"/>
        </w:rPr>
        <w:t>等方式，对全市</w:t>
      </w:r>
      <w:r>
        <w:rPr>
          <w:rFonts w:hint="eastAsia" w:ascii="仿宋_GB2312" w:hAnsi="仿宋_GB2312" w:eastAsia="仿宋_GB2312" w:cs="仿宋_GB2312"/>
          <w:b w:val="0"/>
          <w:bCs w:val="0"/>
          <w:snapToGrid w:val="0"/>
          <w:color w:val="auto"/>
          <w:kern w:val="0"/>
          <w:position w:val="0"/>
          <w:sz w:val="32"/>
          <w:szCs w:val="32"/>
          <w:lang w:val="en-US" w:eastAsia="zh-CN" w:bidi="ar-SA"/>
        </w:rPr>
        <w:t>7</w:t>
      </w:r>
      <w:r>
        <w:rPr>
          <w:rFonts w:hint="eastAsia" w:ascii="仿宋_GB2312" w:hAnsi="仿宋_GB2312" w:eastAsia="仿宋_GB2312" w:cs="仿宋_GB2312"/>
          <w:b w:val="0"/>
          <w:bCs w:val="0"/>
          <w:snapToGrid w:val="0"/>
          <w:color w:val="auto"/>
          <w:kern w:val="0"/>
          <w:position w:val="0"/>
          <w:sz w:val="32"/>
          <w:szCs w:val="32"/>
          <w:lang w:bidi="ar-SA"/>
        </w:rPr>
        <w:t>个县（区）、</w:t>
      </w:r>
      <w:r>
        <w:rPr>
          <w:rFonts w:hint="eastAsia" w:ascii="仿宋_GB2312" w:hAnsi="仿宋_GB2312" w:eastAsia="仿宋_GB2312" w:cs="仿宋_GB2312"/>
          <w:b w:val="0"/>
          <w:bCs w:val="0"/>
          <w:snapToGrid w:val="0"/>
          <w:color w:val="auto"/>
          <w:kern w:val="0"/>
          <w:position w:val="0"/>
          <w:sz w:val="32"/>
          <w:szCs w:val="32"/>
          <w:lang w:val="en-US" w:eastAsia="zh-CN" w:bidi="ar-SA"/>
        </w:rPr>
        <w:t>8家基层医疗卫生机构</w:t>
      </w:r>
      <w:r>
        <w:rPr>
          <w:rFonts w:hint="eastAsia" w:ascii="仿宋_GB2312" w:hAnsi="仿宋_GB2312" w:eastAsia="仿宋_GB2312" w:cs="仿宋_GB2312"/>
          <w:b w:val="0"/>
          <w:bCs w:val="0"/>
          <w:snapToGrid w:val="0"/>
          <w:color w:val="auto"/>
          <w:kern w:val="0"/>
          <w:position w:val="0"/>
          <w:sz w:val="32"/>
          <w:szCs w:val="32"/>
          <w:lang w:bidi="ar-SA"/>
        </w:rPr>
        <w:t>开展市级</w:t>
      </w:r>
      <w:r>
        <w:rPr>
          <w:rFonts w:hint="eastAsia" w:ascii="仿宋_GB2312" w:hAnsi="仿宋_GB2312" w:eastAsia="仿宋_GB2312" w:cs="仿宋_GB2312"/>
          <w:b w:val="0"/>
          <w:bCs w:val="0"/>
          <w:snapToGrid w:val="0"/>
          <w:color w:val="auto"/>
          <w:kern w:val="0"/>
          <w:position w:val="0"/>
          <w:sz w:val="32"/>
          <w:szCs w:val="32"/>
          <w:lang w:eastAsia="zh-CN" w:bidi="ar-SA"/>
        </w:rPr>
        <w:t>绩效评价</w:t>
      </w:r>
      <w:r>
        <w:rPr>
          <w:rFonts w:hint="eastAsia" w:ascii="仿宋_GB2312" w:hAnsi="仿宋_GB2312" w:eastAsia="仿宋_GB2312" w:cs="仿宋_GB2312"/>
          <w:b w:val="0"/>
          <w:bCs w:val="0"/>
          <w:snapToGrid w:val="0"/>
          <w:color w:val="auto"/>
          <w:kern w:val="0"/>
          <w:position w:val="0"/>
          <w:sz w:val="32"/>
          <w:szCs w:val="32"/>
          <w:lang w:bidi="ar-SA"/>
        </w:rPr>
        <w:t>工作，</w:t>
      </w:r>
      <w:r>
        <w:rPr>
          <w:rFonts w:hint="eastAsia" w:ascii="仿宋_GB2312" w:hAnsi="仿宋_GB2312" w:eastAsia="仿宋_GB2312" w:cs="仿宋_GB2312"/>
          <w:b w:val="0"/>
          <w:bCs w:val="0"/>
          <w:snapToGrid w:val="0"/>
          <w:color w:val="auto"/>
          <w:kern w:val="0"/>
          <w:position w:val="0"/>
          <w:sz w:val="32"/>
          <w:szCs w:val="32"/>
          <w:lang w:eastAsia="zh-CN" w:bidi="ar-SA"/>
        </w:rPr>
        <w:t>重点</w:t>
      </w:r>
      <w:r>
        <w:rPr>
          <w:rFonts w:hint="eastAsia" w:ascii="仿宋_GB2312" w:hAnsi="仿宋_GB2312" w:eastAsia="仿宋_GB2312" w:cs="仿宋_GB2312"/>
          <w:b w:val="0"/>
          <w:bCs w:val="0"/>
          <w:snapToGrid w:val="0"/>
          <w:color w:val="auto"/>
          <w:kern w:val="0"/>
          <w:position w:val="0"/>
          <w:sz w:val="32"/>
          <w:szCs w:val="32"/>
          <w:lang w:bidi="ar-SA"/>
        </w:rPr>
        <w:t>对</w:t>
      </w:r>
      <w:r>
        <w:rPr>
          <w:rFonts w:hint="eastAsia" w:ascii="仿宋_GB2312" w:hAnsi="仿宋_GB2312" w:eastAsia="仿宋_GB2312" w:cs="仿宋_GB2312"/>
          <w:b w:val="0"/>
          <w:bCs w:val="0"/>
          <w:snapToGrid w:val="0"/>
          <w:color w:val="auto"/>
          <w:kern w:val="0"/>
          <w:position w:val="0"/>
          <w:sz w:val="32"/>
          <w:szCs w:val="32"/>
          <w:lang w:eastAsia="zh-CN" w:bidi="ar-SA"/>
        </w:rPr>
        <w:t>组织管理、资金管理、项目实施、实施效果等方面进行评价，</w:t>
      </w:r>
      <w:r>
        <w:rPr>
          <w:rFonts w:hint="eastAsia" w:ascii="仿宋_GB2312" w:hAnsi="仿宋_GB2312" w:eastAsia="仿宋_GB2312" w:cs="仿宋_GB2312"/>
          <w:b w:val="0"/>
          <w:bCs w:val="0"/>
          <w:snapToGrid w:val="0"/>
          <w:color w:val="auto"/>
          <w:kern w:val="0"/>
          <w:position w:val="0"/>
          <w:sz w:val="32"/>
          <w:szCs w:val="32"/>
        </w:rPr>
        <w:t>圆满完成</w:t>
      </w:r>
      <w:r>
        <w:rPr>
          <w:rFonts w:hint="eastAsia" w:ascii="仿宋_GB2312" w:hAnsi="仿宋_GB2312" w:eastAsia="仿宋_GB2312" w:cs="仿宋_GB2312"/>
          <w:b w:val="0"/>
          <w:bCs w:val="0"/>
          <w:snapToGrid w:val="0"/>
          <w:color w:val="auto"/>
          <w:spacing w:val="0"/>
          <w:kern w:val="0"/>
          <w:position w:val="0"/>
          <w:sz w:val="32"/>
          <w:szCs w:val="32"/>
          <w:shd w:val="clear" w:color="auto" w:fill="FFFFFF"/>
        </w:rPr>
        <w:t>2023年度</w:t>
      </w:r>
      <w:r>
        <w:rPr>
          <w:rFonts w:hint="eastAsia" w:ascii="仿宋_GB2312" w:hAnsi="仿宋_GB2312" w:eastAsia="仿宋_GB2312" w:cs="仿宋_GB2312"/>
          <w:b w:val="0"/>
          <w:bCs w:val="0"/>
          <w:snapToGrid w:val="0"/>
          <w:color w:val="auto"/>
          <w:spacing w:val="0"/>
          <w:kern w:val="0"/>
          <w:position w:val="0"/>
          <w:sz w:val="32"/>
          <w:szCs w:val="32"/>
          <w:shd w:val="clear" w:color="auto" w:fill="FFFFFF"/>
          <w:lang w:val="en-US" w:eastAsia="zh-CN"/>
        </w:rPr>
        <w:t>基本公共卫生服务项目</w:t>
      </w:r>
      <w:r>
        <w:rPr>
          <w:rFonts w:hint="eastAsia" w:ascii="仿宋_GB2312" w:hAnsi="仿宋_GB2312" w:eastAsia="仿宋_GB2312" w:cs="仿宋_GB2312"/>
          <w:b w:val="0"/>
          <w:bCs w:val="0"/>
          <w:snapToGrid w:val="0"/>
          <w:color w:val="auto"/>
          <w:spacing w:val="0"/>
          <w:kern w:val="0"/>
          <w:position w:val="0"/>
          <w:sz w:val="32"/>
          <w:szCs w:val="32"/>
          <w:shd w:val="clear" w:color="auto" w:fill="FFFFFF"/>
        </w:rPr>
        <w:t>绩效</w:t>
      </w:r>
      <w:r>
        <w:rPr>
          <w:rFonts w:hint="eastAsia" w:ascii="仿宋_GB2312" w:hAnsi="仿宋_GB2312" w:eastAsia="仿宋_GB2312" w:cs="仿宋_GB2312"/>
          <w:b w:val="0"/>
          <w:bCs w:val="0"/>
          <w:snapToGrid w:val="0"/>
          <w:color w:val="auto"/>
          <w:spacing w:val="0"/>
          <w:kern w:val="0"/>
          <w:position w:val="0"/>
          <w:sz w:val="32"/>
          <w:szCs w:val="32"/>
          <w:shd w:val="clear" w:color="auto" w:fill="FFFFFF"/>
          <w:lang w:eastAsia="zh-CN"/>
        </w:rPr>
        <w:t>评价</w:t>
      </w:r>
      <w:r>
        <w:rPr>
          <w:rFonts w:hint="eastAsia" w:ascii="仿宋_GB2312" w:hAnsi="仿宋_GB2312" w:eastAsia="仿宋_GB2312" w:cs="仿宋_GB2312"/>
          <w:b w:val="0"/>
          <w:bCs w:val="0"/>
          <w:snapToGrid w:val="0"/>
          <w:color w:val="auto"/>
          <w:spacing w:val="0"/>
          <w:kern w:val="0"/>
          <w:position w:val="0"/>
          <w:sz w:val="32"/>
          <w:szCs w:val="32"/>
          <w:shd w:val="clear" w:color="auto" w:fill="FFFFFF"/>
        </w:rPr>
        <w:t>各项</w:t>
      </w:r>
      <w:r>
        <w:rPr>
          <w:rFonts w:hint="eastAsia" w:ascii="仿宋_GB2312" w:hAnsi="仿宋_GB2312" w:eastAsia="仿宋_GB2312" w:cs="仿宋_GB2312"/>
          <w:b w:val="0"/>
          <w:bCs w:val="0"/>
          <w:snapToGrid w:val="0"/>
          <w:color w:val="auto"/>
          <w:kern w:val="0"/>
          <w:position w:val="0"/>
          <w:sz w:val="32"/>
          <w:szCs w:val="32"/>
        </w:rPr>
        <w:t>工作</w:t>
      </w:r>
      <w:r>
        <w:rPr>
          <w:rFonts w:hint="eastAsia" w:ascii="仿宋_GB2312" w:hAnsi="仿宋_GB2312" w:eastAsia="仿宋_GB2312" w:cs="仿宋_GB2312"/>
          <w:b w:val="0"/>
          <w:bCs w:val="0"/>
          <w:snapToGrid w:val="0"/>
          <w:color w:val="auto"/>
          <w:kern w:val="0"/>
          <w:position w:val="0"/>
          <w:sz w:val="32"/>
          <w:szCs w:val="32"/>
          <w:lang w:eastAsia="zh-CN"/>
        </w:rPr>
        <w:t>。</w:t>
      </w:r>
    </w:p>
    <w:p w14:paraId="047B02F6">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黑体" w:hAnsi="黑体" w:eastAsia="黑体" w:cs="黑体"/>
          <w:b w:val="0"/>
          <w:bCs w:val="0"/>
          <w:snapToGrid w:val="0"/>
          <w:color w:val="auto"/>
          <w:kern w:val="0"/>
          <w:position w:val="0"/>
          <w:sz w:val="32"/>
          <w:szCs w:val="32"/>
          <w:highlight w:val="none"/>
          <w:lang w:eastAsia="zh-CN"/>
        </w:rPr>
      </w:pPr>
      <w:r>
        <w:rPr>
          <w:rFonts w:hint="eastAsia" w:ascii="黑体" w:hAnsi="黑体" w:eastAsia="黑体" w:cs="黑体"/>
          <w:b w:val="0"/>
          <w:bCs w:val="0"/>
          <w:snapToGrid w:val="0"/>
          <w:color w:val="auto"/>
          <w:kern w:val="0"/>
          <w:position w:val="0"/>
          <w:sz w:val="32"/>
          <w:szCs w:val="32"/>
          <w:highlight w:val="none"/>
        </w:rPr>
        <w:t>二、</w:t>
      </w:r>
      <w:r>
        <w:rPr>
          <w:rFonts w:hint="eastAsia" w:ascii="黑体" w:hAnsi="黑体" w:eastAsia="黑体" w:cs="黑体"/>
          <w:b w:val="0"/>
          <w:bCs w:val="0"/>
          <w:snapToGrid w:val="0"/>
          <w:color w:val="auto"/>
          <w:kern w:val="0"/>
          <w:position w:val="0"/>
          <w:sz w:val="32"/>
          <w:szCs w:val="32"/>
          <w:highlight w:val="none"/>
          <w:lang w:eastAsia="zh-CN"/>
        </w:rPr>
        <w:t>评价实施</w:t>
      </w:r>
    </w:p>
    <w:p w14:paraId="6A4749EF">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楷体_GB2312" w:hAnsi="楷体_GB2312" w:eastAsia="楷体_GB2312" w:cs="楷体_GB2312"/>
          <w:b w:val="0"/>
          <w:bCs w:val="0"/>
          <w:snapToGrid w:val="0"/>
          <w:color w:val="auto"/>
          <w:kern w:val="0"/>
          <w:position w:val="0"/>
          <w:sz w:val="32"/>
          <w:szCs w:val="32"/>
          <w:highlight w:val="none"/>
          <w:u w:val="none"/>
          <w:lang w:val="zh-CN"/>
        </w:rPr>
      </w:pPr>
      <w:r>
        <w:rPr>
          <w:rFonts w:hint="eastAsia" w:ascii="楷体_GB2312" w:hAnsi="楷体_GB2312" w:eastAsia="楷体_GB2312" w:cs="楷体_GB2312"/>
          <w:b w:val="0"/>
          <w:bCs w:val="0"/>
          <w:snapToGrid w:val="0"/>
          <w:color w:val="auto"/>
          <w:kern w:val="0"/>
          <w:position w:val="0"/>
          <w:sz w:val="32"/>
          <w:szCs w:val="32"/>
          <w:highlight w:val="none"/>
          <w:u w:val="none"/>
          <w:lang w:val="zh-CN"/>
        </w:rPr>
        <w:t>（一）评价目的。</w:t>
      </w:r>
    </w:p>
    <w:p w14:paraId="3C442858">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仿宋_GB2312" w:hAnsi="仿宋_GB2312" w:eastAsia="仿宋_GB2312" w:cs="仿宋_GB2312"/>
          <w:b w:val="0"/>
          <w:bCs w:val="0"/>
          <w:snapToGrid w:val="0"/>
          <w:color w:val="auto"/>
          <w:kern w:val="0"/>
          <w:position w:val="0"/>
          <w:sz w:val="32"/>
          <w:szCs w:val="32"/>
          <w:highlight w:val="none"/>
          <w:lang w:val="zh-CN" w:eastAsia="zh-CN" w:bidi="ar-SA"/>
        </w:rPr>
      </w:pPr>
      <w:r>
        <w:rPr>
          <w:rFonts w:hint="eastAsia" w:ascii="仿宋_GB2312" w:hAnsi="仿宋_GB2312" w:eastAsia="仿宋_GB2312" w:cs="仿宋_GB2312"/>
          <w:b w:val="0"/>
          <w:bCs w:val="0"/>
          <w:snapToGrid w:val="0"/>
          <w:color w:val="auto"/>
          <w:kern w:val="0"/>
          <w:position w:val="0"/>
          <w:sz w:val="32"/>
          <w:szCs w:val="32"/>
          <w:highlight w:val="none"/>
          <w:lang w:val="zh-CN" w:eastAsia="zh-CN" w:bidi="ar-SA"/>
        </w:rPr>
        <w:t>一是组织保障、管理制度、人员及经费保障是否健全；二是资金拨付、资金使用是否规范；三是具体项目实施是否按要求完成。</w:t>
      </w:r>
    </w:p>
    <w:p w14:paraId="4C69F9C9">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楷体_GB2312" w:hAnsi="楷体_GB2312" w:eastAsia="楷体_GB2312" w:cs="楷体_GB2312"/>
          <w:b w:val="0"/>
          <w:bCs w:val="0"/>
          <w:snapToGrid w:val="0"/>
          <w:color w:val="auto"/>
          <w:kern w:val="0"/>
          <w:position w:val="0"/>
          <w:sz w:val="32"/>
          <w:szCs w:val="32"/>
          <w:highlight w:val="none"/>
          <w:u w:val="none"/>
          <w:lang w:val="zh-CN"/>
        </w:rPr>
      </w:pPr>
      <w:r>
        <w:rPr>
          <w:rFonts w:hint="eastAsia" w:ascii="楷体_GB2312" w:hAnsi="楷体_GB2312" w:eastAsia="楷体_GB2312" w:cs="楷体_GB2312"/>
          <w:b w:val="0"/>
          <w:bCs w:val="0"/>
          <w:snapToGrid w:val="0"/>
          <w:color w:val="auto"/>
          <w:kern w:val="0"/>
          <w:position w:val="0"/>
          <w:sz w:val="32"/>
          <w:szCs w:val="32"/>
          <w:lang w:val="zh-CN" w:eastAsia="zh-CN" w:bidi="ar-SA"/>
        </w:rPr>
        <w:t>（二）</w:t>
      </w:r>
      <w:r>
        <w:rPr>
          <w:rFonts w:hint="eastAsia" w:ascii="楷体_GB2312" w:hAnsi="楷体_GB2312" w:eastAsia="楷体_GB2312" w:cs="楷体_GB2312"/>
          <w:b w:val="0"/>
          <w:bCs w:val="0"/>
          <w:snapToGrid w:val="0"/>
          <w:color w:val="auto"/>
          <w:kern w:val="0"/>
          <w:position w:val="0"/>
          <w:sz w:val="32"/>
          <w:szCs w:val="32"/>
          <w:highlight w:val="none"/>
          <w:u w:val="none"/>
          <w:lang w:val="zh-CN"/>
        </w:rPr>
        <w:t>预设问题及评价重点。</w:t>
      </w:r>
    </w:p>
    <w:p w14:paraId="6A089E71">
      <w:pPr>
        <w:pStyle w:val="2"/>
        <w:keepNext w:val="0"/>
        <w:keepLines w:val="0"/>
        <w:pageBreakBefore w:val="0"/>
        <w:widowControl w:val="0"/>
        <w:kinsoku/>
        <w:wordWrap/>
        <w:overflowPunct w:val="0"/>
        <w:topLinePunct w:val="0"/>
        <w:autoSpaceDE/>
        <w:autoSpaceDN/>
        <w:bidi w:val="0"/>
        <w:adjustRightInd w:val="0"/>
        <w:snapToGrid w:val="0"/>
        <w:spacing w:after="0" w:line="576" w:lineRule="exact"/>
        <w:ind w:left="0"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lang w:val="zh-CN" w:eastAsia="zh-CN"/>
        </w:rPr>
      </w:pPr>
      <w:r>
        <w:rPr>
          <w:rFonts w:hint="eastAsia" w:ascii="仿宋_GB2312" w:hAnsi="仿宋_GB2312" w:eastAsia="仿宋_GB2312" w:cs="仿宋_GB2312"/>
          <w:b w:val="0"/>
          <w:bCs w:val="0"/>
          <w:snapToGrid w:val="0"/>
          <w:color w:val="auto"/>
          <w:kern w:val="0"/>
          <w:position w:val="0"/>
          <w:sz w:val="32"/>
          <w:szCs w:val="32"/>
          <w:lang w:val="en-US" w:eastAsia="zh-CN"/>
        </w:rPr>
        <w:t>项目资金分配使用符合川财社〔2022〕155号、川财社〔2023〕73号文件要求，项目进度按照实施方案有序开展。</w:t>
      </w:r>
    </w:p>
    <w:p w14:paraId="681EA918">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楷体_GB2312" w:hAnsi="楷体_GB2312" w:eastAsia="楷体_GB2312" w:cs="楷体_GB2312"/>
          <w:b w:val="0"/>
          <w:bCs w:val="0"/>
          <w:snapToGrid w:val="0"/>
          <w:color w:val="auto"/>
          <w:kern w:val="0"/>
          <w:position w:val="0"/>
          <w:sz w:val="32"/>
          <w:szCs w:val="32"/>
          <w:highlight w:val="none"/>
          <w:lang w:val="zh-CN" w:eastAsia="zh-CN" w:bidi="ar-SA"/>
        </w:rPr>
      </w:pPr>
      <w:r>
        <w:rPr>
          <w:rFonts w:hint="eastAsia" w:ascii="楷体_GB2312" w:hAnsi="楷体_GB2312" w:eastAsia="楷体_GB2312" w:cs="楷体_GB2312"/>
          <w:b w:val="0"/>
          <w:bCs w:val="0"/>
          <w:snapToGrid w:val="0"/>
          <w:color w:val="auto"/>
          <w:kern w:val="0"/>
          <w:position w:val="0"/>
          <w:sz w:val="32"/>
          <w:szCs w:val="32"/>
          <w:highlight w:val="none"/>
          <w:u w:val="none"/>
          <w:lang w:val="zh-CN"/>
        </w:rPr>
        <w:t>（三）评价选点。</w:t>
      </w:r>
    </w:p>
    <w:p w14:paraId="46D9AE0A">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仿宋_GB2312" w:hAnsi="仿宋_GB2312" w:eastAsia="仿宋_GB2312" w:cs="仿宋_GB2312"/>
          <w:b w:val="0"/>
          <w:bCs w:val="0"/>
          <w:snapToGrid w:val="0"/>
          <w:color w:val="auto"/>
          <w:kern w:val="0"/>
          <w:position w:val="0"/>
          <w:sz w:val="32"/>
          <w:szCs w:val="32"/>
          <w:highlight w:val="none"/>
          <w:lang w:val="en-US" w:eastAsia="zh-CN" w:bidi="ar-SA"/>
        </w:rPr>
      </w:pPr>
      <w:r>
        <w:rPr>
          <w:rFonts w:hint="eastAsia" w:ascii="仿宋_GB2312" w:hAnsi="仿宋_GB2312" w:eastAsia="仿宋_GB2312" w:cs="仿宋_GB2312"/>
          <w:b w:val="0"/>
          <w:bCs w:val="0"/>
          <w:snapToGrid w:val="0"/>
          <w:color w:val="auto"/>
          <w:kern w:val="0"/>
          <w:position w:val="0"/>
          <w:sz w:val="32"/>
          <w:szCs w:val="32"/>
          <w:highlight w:val="none"/>
          <w:lang w:val="zh-CN" w:eastAsia="zh-CN" w:bidi="ar-SA"/>
        </w:rPr>
        <w:t>对全市</w:t>
      </w:r>
      <w:r>
        <w:rPr>
          <w:rFonts w:hint="eastAsia" w:ascii="仿宋_GB2312" w:hAnsi="仿宋_GB2312" w:eastAsia="仿宋_GB2312" w:cs="仿宋_GB2312"/>
          <w:b w:val="0"/>
          <w:bCs w:val="0"/>
          <w:snapToGrid w:val="0"/>
          <w:color w:val="auto"/>
          <w:kern w:val="0"/>
          <w:position w:val="0"/>
          <w:sz w:val="32"/>
          <w:szCs w:val="32"/>
          <w:highlight w:val="none"/>
          <w:lang w:val="en-US" w:eastAsia="zh-CN" w:bidi="ar-SA"/>
        </w:rPr>
        <w:t>7个县（区）抽取1个乡镇卫生院（2023年度县级绩效评价排名中位数），利州区增加1家社区卫生服务中心进行市级绩效评价工作。</w:t>
      </w:r>
    </w:p>
    <w:p w14:paraId="6B3944E2">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楷体_GB2312" w:hAnsi="楷体_GB2312" w:eastAsia="楷体_GB2312" w:cs="楷体_GB2312"/>
          <w:b w:val="0"/>
          <w:bCs w:val="0"/>
          <w:snapToGrid w:val="0"/>
          <w:color w:val="auto"/>
          <w:kern w:val="0"/>
          <w:position w:val="0"/>
          <w:sz w:val="32"/>
          <w:szCs w:val="32"/>
          <w:highlight w:val="none"/>
          <w:u w:val="none"/>
          <w:lang w:val="zh-CN"/>
        </w:rPr>
      </w:pPr>
      <w:r>
        <w:rPr>
          <w:rFonts w:hint="eastAsia" w:ascii="楷体_GB2312" w:hAnsi="楷体_GB2312" w:eastAsia="楷体_GB2312" w:cs="楷体_GB2312"/>
          <w:b w:val="0"/>
          <w:bCs w:val="0"/>
          <w:snapToGrid w:val="0"/>
          <w:color w:val="auto"/>
          <w:kern w:val="0"/>
          <w:position w:val="0"/>
          <w:sz w:val="32"/>
          <w:szCs w:val="32"/>
          <w:highlight w:val="none"/>
          <w:u w:val="none"/>
          <w:lang w:val="zh-CN"/>
        </w:rPr>
        <w:t>（四）评价方法。</w:t>
      </w:r>
    </w:p>
    <w:p w14:paraId="6855C542">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仿宋_GB2312" w:hAnsi="仿宋_GB2312" w:eastAsia="仿宋_GB2312" w:cs="仿宋_GB2312"/>
          <w:b w:val="0"/>
          <w:bCs w:val="0"/>
          <w:snapToGrid w:val="0"/>
          <w:color w:val="auto"/>
          <w:kern w:val="0"/>
          <w:position w:val="0"/>
          <w:sz w:val="32"/>
          <w:szCs w:val="32"/>
          <w:highlight w:val="none"/>
          <w:lang w:val="en-US" w:eastAsia="zh-CN" w:bidi="ar-SA"/>
        </w:rPr>
      </w:pPr>
      <w:r>
        <w:rPr>
          <w:rFonts w:hint="eastAsia" w:ascii="仿宋_GB2312" w:hAnsi="仿宋_GB2312" w:eastAsia="仿宋_GB2312" w:cs="仿宋_GB2312"/>
          <w:b w:val="0"/>
          <w:bCs w:val="0"/>
          <w:snapToGrid w:val="0"/>
          <w:color w:val="auto"/>
          <w:kern w:val="0"/>
          <w:position w:val="0"/>
          <w:sz w:val="32"/>
          <w:szCs w:val="32"/>
          <w:highlight w:val="none"/>
          <w:lang w:val="en-US" w:eastAsia="zh-CN" w:bidi="ar-SA"/>
        </w:rPr>
        <w:t>单位自评法</w:t>
      </w:r>
    </w:p>
    <w:p w14:paraId="68FE16A4">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楷体_GB2312" w:hAnsi="楷体_GB2312" w:eastAsia="楷体_GB2312" w:cs="楷体_GB2312"/>
          <w:b w:val="0"/>
          <w:bCs w:val="0"/>
          <w:snapToGrid w:val="0"/>
          <w:color w:val="auto"/>
          <w:kern w:val="0"/>
          <w:position w:val="0"/>
          <w:sz w:val="32"/>
          <w:szCs w:val="32"/>
          <w:highlight w:val="none"/>
          <w:lang w:val="zh-CN" w:eastAsia="zh-CN" w:bidi="ar-SA"/>
        </w:rPr>
      </w:pPr>
      <w:r>
        <w:rPr>
          <w:rFonts w:hint="eastAsia" w:ascii="楷体_GB2312" w:hAnsi="楷体_GB2312" w:eastAsia="楷体_GB2312" w:cs="楷体_GB2312"/>
          <w:b w:val="0"/>
          <w:bCs w:val="0"/>
          <w:snapToGrid w:val="0"/>
          <w:color w:val="auto"/>
          <w:kern w:val="0"/>
          <w:position w:val="0"/>
          <w:sz w:val="32"/>
          <w:szCs w:val="32"/>
          <w:highlight w:val="none"/>
          <w:u w:val="none"/>
          <w:lang w:val="zh-CN"/>
        </w:rPr>
        <w:t>（五）评价组织。</w:t>
      </w:r>
    </w:p>
    <w:p w14:paraId="5E334DE5">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仿宋_GB2312" w:hAnsi="仿宋_GB2312" w:eastAsia="仿宋_GB2312" w:cs="仿宋_GB2312"/>
          <w:b w:val="0"/>
          <w:bCs w:val="0"/>
          <w:snapToGrid w:val="0"/>
          <w:color w:val="auto"/>
          <w:kern w:val="0"/>
          <w:position w:val="0"/>
          <w:sz w:val="32"/>
          <w:szCs w:val="32"/>
          <w:highlight w:val="none"/>
          <w:lang w:val="en-US" w:eastAsia="zh-CN"/>
        </w:rPr>
      </w:pPr>
      <w:r>
        <w:rPr>
          <w:rFonts w:hint="eastAsia" w:ascii="仿宋_GB2312" w:hAnsi="仿宋_GB2312" w:eastAsia="仿宋_GB2312" w:cs="仿宋_GB2312"/>
          <w:b w:val="0"/>
          <w:bCs w:val="0"/>
          <w:snapToGrid w:val="0"/>
          <w:color w:val="auto"/>
          <w:kern w:val="0"/>
          <w:position w:val="0"/>
          <w:sz w:val="32"/>
          <w:szCs w:val="32"/>
          <w:highlight w:val="none"/>
          <w:lang w:val="zh-CN" w:eastAsia="zh-CN" w:bidi="ar-SA"/>
        </w:rPr>
        <w:t>成立了以市卫生健康委、市财政局、市疾病预防控制中心分管领导任组长，相关专家等</w:t>
      </w:r>
      <w:r>
        <w:rPr>
          <w:rFonts w:hint="eastAsia" w:ascii="仿宋_GB2312" w:hAnsi="仿宋_GB2312" w:eastAsia="仿宋_GB2312" w:cs="仿宋_GB2312"/>
          <w:b w:val="0"/>
          <w:bCs w:val="0"/>
          <w:snapToGrid w:val="0"/>
          <w:color w:val="auto"/>
          <w:kern w:val="0"/>
          <w:position w:val="0"/>
          <w:sz w:val="32"/>
          <w:szCs w:val="32"/>
          <w:highlight w:val="none"/>
          <w:lang w:val="en-US" w:eastAsia="zh-CN" w:bidi="ar-SA"/>
        </w:rPr>
        <w:t>14人为成员的市级评价组。</w:t>
      </w:r>
      <w:r>
        <w:rPr>
          <w:rFonts w:hint="eastAsia" w:ascii="仿宋_GB2312" w:hAnsi="仿宋_GB2312" w:eastAsia="仿宋_GB2312" w:cs="仿宋_GB2312"/>
          <w:b w:val="0"/>
          <w:bCs w:val="0"/>
          <w:snapToGrid w:val="0"/>
          <w:color w:val="auto"/>
          <w:kern w:val="0"/>
          <w:position w:val="0"/>
          <w:sz w:val="32"/>
          <w:szCs w:val="32"/>
          <w:highlight w:val="none"/>
          <w:lang w:bidi="ar-SA"/>
        </w:rPr>
        <w:t>202</w:t>
      </w:r>
      <w:r>
        <w:rPr>
          <w:rFonts w:hint="eastAsia" w:ascii="仿宋_GB2312" w:hAnsi="仿宋_GB2312" w:eastAsia="仿宋_GB2312" w:cs="仿宋_GB2312"/>
          <w:b w:val="0"/>
          <w:bCs w:val="0"/>
          <w:snapToGrid w:val="0"/>
          <w:color w:val="auto"/>
          <w:kern w:val="0"/>
          <w:position w:val="0"/>
          <w:sz w:val="32"/>
          <w:szCs w:val="32"/>
          <w:highlight w:val="none"/>
          <w:lang w:val="en-US" w:eastAsia="zh-CN" w:bidi="ar-SA"/>
        </w:rPr>
        <w:t>3</w:t>
      </w:r>
      <w:r>
        <w:rPr>
          <w:rFonts w:hint="eastAsia" w:ascii="仿宋_GB2312" w:hAnsi="仿宋_GB2312" w:eastAsia="仿宋_GB2312" w:cs="仿宋_GB2312"/>
          <w:b w:val="0"/>
          <w:bCs w:val="0"/>
          <w:snapToGrid w:val="0"/>
          <w:color w:val="auto"/>
          <w:kern w:val="0"/>
          <w:position w:val="0"/>
          <w:sz w:val="32"/>
          <w:szCs w:val="32"/>
          <w:highlight w:val="none"/>
          <w:lang w:bidi="ar-SA"/>
        </w:rPr>
        <w:t>年</w:t>
      </w:r>
      <w:r>
        <w:rPr>
          <w:rFonts w:hint="eastAsia" w:ascii="仿宋_GB2312" w:hAnsi="仿宋_GB2312" w:eastAsia="仿宋_GB2312" w:cs="仿宋_GB2312"/>
          <w:b w:val="0"/>
          <w:bCs w:val="0"/>
          <w:snapToGrid w:val="0"/>
          <w:color w:val="auto"/>
          <w:kern w:val="0"/>
          <w:position w:val="0"/>
          <w:sz w:val="32"/>
          <w:szCs w:val="32"/>
          <w:highlight w:val="none"/>
          <w:lang w:val="en-US" w:eastAsia="zh-CN" w:bidi="ar-SA"/>
        </w:rPr>
        <w:t>12月</w:t>
      </w:r>
      <w:r>
        <w:rPr>
          <w:rFonts w:hint="eastAsia" w:ascii="仿宋_GB2312" w:hAnsi="仿宋_GB2312" w:eastAsia="仿宋_GB2312" w:cs="仿宋_GB2312"/>
          <w:b w:val="0"/>
          <w:bCs w:val="0"/>
          <w:snapToGrid w:val="0"/>
          <w:color w:val="auto"/>
          <w:kern w:val="0"/>
          <w:position w:val="0"/>
          <w:sz w:val="32"/>
          <w:szCs w:val="32"/>
          <w:highlight w:val="none"/>
          <w:lang w:bidi="ar-SA"/>
        </w:rPr>
        <w:t>，</w:t>
      </w:r>
      <w:r>
        <w:rPr>
          <w:rFonts w:hint="eastAsia" w:ascii="仿宋_GB2312" w:hAnsi="仿宋_GB2312" w:eastAsia="仿宋_GB2312" w:cs="仿宋_GB2312"/>
          <w:b w:val="0"/>
          <w:bCs w:val="0"/>
          <w:snapToGrid w:val="0"/>
          <w:color w:val="auto"/>
          <w:kern w:val="0"/>
          <w:position w:val="0"/>
          <w:sz w:val="32"/>
          <w:szCs w:val="32"/>
          <w:highlight w:val="none"/>
          <w:lang w:eastAsia="zh-CN" w:bidi="ar-SA"/>
        </w:rPr>
        <w:t>评价组</w:t>
      </w:r>
      <w:r>
        <w:rPr>
          <w:rFonts w:hint="eastAsia" w:ascii="仿宋_GB2312" w:hAnsi="仿宋_GB2312" w:eastAsia="仿宋_GB2312" w:cs="仿宋_GB2312"/>
          <w:b w:val="0"/>
          <w:bCs w:val="0"/>
          <w:snapToGrid w:val="0"/>
          <w:color w:val="auto"/>
          <w:kern w:val="0"/>
          <w:position w:val="0"/>
          <w:sz w:val="32"/>
          <w:szCs w:val="32"/>
          <w:highlight w:val="none"/>
          <w:lang w:bidi="ar-SA"/>
        </w:rPr>
        <w:t>深入各县区基层乡镇</w:t>
      </w:r>
      <w:r>
        <w:rPr>
          <w:rFonts w:hint="eastAsia" w:ascii="仿宋_GB2312" w:hAnsi="仿宋_GB2312" w:eastAsia="仿宋_GB2312" w:cs="仿宋_GB2312"/>
          <w:b w:val="0"/>
          <w:bCs w:val="0"/>
          <w:snapToGrid w:val="0"/>
          <w:color w:val="auto"/>
          <w:kern w:val="0"/>
          <w:position w:val="0"/>
          <w:sz w:val="32"/>
          <w:szCs w:val="32"/>
          <w:highlight w:val="none"/>
          <w:lang w:eastAsia="zh-CN" w:bidi="ar-SA"/>
        </w:rPr>
        <w:t>开展相关工作。</w:t>
      </w:r>
    </w:p>
    <w:p w14:paraId="27DB1CD9">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rPr>
          <w:rFonts w:hint="eastAsia" w:ascii="黑体" w:hAnsi="黑体" w:eastAsia="黑体" w:cs="黑体"/>
          <w:b w:val="0"/>
          <w:bCs w:val="0"/>
          <w:snapToGrid w:val="0"/>
          <w:color w:val="auto"/>
          <w:kern w:val="0"/>
          <w:position w:val="0"/>
          <w:sz w:val="32"/>
          <w:szCs w:val="32"/>
          <w:highlight w:val="none"/>
          <w:u w:val="none"/>
          <w:lang w:val="zh-CN"/>
        </w:rPr>
      </w:pPr>
      <w:r>
        <w:rPr>
          <w:rFonts w:hint="eastAsia" w:ascii="黑体" w:hAnsi="黑体" w:eastAsia="黑体" w:cs="黑体"/>
          <w:b w:val="0"/>
          <w:bCs w:val="0"/>
          <w:snapToGrid w:val="0"/>
          <w:color w:val="auto"/>
          <w:kern w:val="0"/>
          <w:position w:val="0"/>
          <w:sz w:val="32"/>
          <w:szCs w:val="32"/>
          <w:highlight w:val="none"/>
          <w:u w:val="none"/>
        </w:rPr>
        <w:t>三、</w:t>
      </w:r>
      <w:r>
        <w:rPr>
          <w:rFonts w:hint="eastAsia" w:ascii="黑体" w:hAnsi="黑体" w:eastAsia="黑体" w:cs="黑体"/>
          <w:b w:val="0"/>
          <w:bCs w:val="0"/>
          <w:snapToGrid w:val="0"/>
          <w:color w:val="auto"/>
          <w:kern w:val="0"/>
          <w:position w:val="0"/>
          <w:sz w:val="32"/>
          <w:szCs w:val="32"/>
          <w:highlight w:val="none"/>
          <w:u w:val="none"/>
          <w:lang w:eastAsia="zh-CN"/>
        </w:rPr>
        <w:t>绩效分析</w:t>
      </w:r>
      <w:r>
        <w:rPr>
          <w:rFonts w:hint="eastAsia" w:ascii="黑体" w:hAnsi="黑体" w:eastAsia="黑体" w:cs="黑体"/>
          <w:b w:val="0"/>
          <w:bCs w:val="0"/>
          <w:snapToGrid w:val="0"/>
          <w:color w:val="auto"/>
          <w:kern w:val="0"/>
          <w:position w:val="0"/>
          <w:sz w:val="32"/>
          <w:szCs w:val="32"/>
          <w:highlight w:val="none"/>
          <w:u w:val="none"/>
          <w:lang w:val="zh-CN"/>
        </w:rPr>
        <w:tab/>
      </w:r>
    </w:p>
    <w:p w14:paraId="04952E9C">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楷体_GB2312" w:hAnsi="楷体_GB2312" w:eastAsia="楷体_GB2312" w:cs="楷体_GB2312"/>
          <w:b w:val="0"/>
          <w:bCs w:val="0"/>
          <w:snapToGrid w:val="0"/>
          <w:color w:val="auto"/>
          <w:kern w:val="0"/>
          <w:position w:val="0"/>
          <w:sz w:val="32"/>
          <w:szCs w:val="32"/>
          <w:highlight w:val="none"/>
          <w:u w:val="none"/>
          <w:lang w:val="en-US" w:eastAsia="zh-CN"/>
        </w:rPr>
      </w:pPr>
      <w:r>
        <w:rPr>
          <w:rFonts w:hint="eastAsia" w:ascii="楷体_GB2312" w:hAnsi="楷体_GB2312" w:eastAsia="楷体_GB2312" w:cs="楷体_GB2312"/>
          <w:b w:val="0"/>
          <w:bCs w:val="0"/>
          <w:snapToGrid w:val="0"/>
          <w:color w:val="auto"/>
          <w:kern w:val="0"/>
          <w:position w:val="0"/>
          <w:sz w:val="32"/>
          <w:szCs w:val="32"/>
          <w:highlight w:val="none"/>
          <w:u w:val="none"/>
          <w:lang w:val="zh-CN"/>
        </w:rPr>
        <w:t>（一）</w:t>
      </w:r>
      <w:r>
        <w:rPr>
          <w:rFonts w:hint="eastAsia" w:ascii="楷体_GB2312" w:hAnsi="楷体_GB2312" w:eastAsia="楷体_GB2312" w:cs="楷体_GB2312"/>
          <w:b w:val="0"/>
          <w:bCs w:val="0"/>
          <w:snapToGrid w:val="0"/>
          <w:color w:val="auto"/>
          <w:kern w:val="0"/>
          <w:position w:val="0"/>
          <w:sz w:val="32"/>
          <w:szCs w:val="32"/>
          <w:highlight w:val="none"/>
          <w:u w:val="none"/>
          <w:lang w:val="en-US" w:eastAsia="zh-CN"/>
        </w:rPr>
        <w:t>通用指标</w:t>
      </w:r>
      <w:r>
        <w:rPr>
          <w:rFonts w:hint="eastAsia" w:ascii="楷体_GB2312" w:hAnsi="楷体_GB2312" w:eastAsia="楷体_GB2312" w:cs="楷体_GB2312"/>
          <w:b w:val="0"/>
          <w:bCs w:val="0"/>
          <w:snapToGrid w:val="0"/>
          <w:color w:val="auto"/>
          <w:kern w:val="0"/>
          <w:position w:val="0"/>
          <w:sz w:val="32"/>
          <w:szCs w:val="32"/>
          <w:highlight w:val="none"/>
          <w:shd w:val="clear" w:color="auto" w:fill="FFFFFF"/>
          <w:lang w:val="zh-CN"/>
        </w:rPr>
        <w:t>绩效分析。</w:t>
      </w:r>
    </w:p>
    <w:p w14:paraId="3807EA72">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仿宋_GB2312" w:hAnsi="仿宋_GB2312" w:eastAsia="仿宋_GB2312" w:cs="仿宋_GB2312"/>
          <w:b w:val="0"/>
          <w:bCs w:val="0"/>
          <w:snapToGrid w:val="0"/>
          <w:color w:val="auto"/>
          <w:kern w:val="0"/>
          <w:position w:val="0"/>
          <w:sz w:val="32"/>
          <w:szCs w:val="32"/>
          <w:lang w:eastAsia="zh-CN"/>
        </w:rPr>
      </w:pPr>
      <w:r>
        <w:rPr>
          <w:rFonts w:hint="eastAsia" w:ascii="仿宋_GB2312" w:hAnsi="仿宋_GB2312" w:eastAsia="仿宋_GB2312" w:cs="仿宋_GB2312"/>
          <w:b w:val="0"/>
          <w:bCs w:val="0"/>
          <w:snapToGrid w:val="0"/>
          <w:color w:val="auto"/>
          <w:kern w:val="0"/>
          <w:position w:val="0"/>
          <w:sz w:val="32"/>
          <w:szCs w:val="32"/>
          <w:lang w:val="en-US" w:eastAsia="zh-CN"/>
        </w:rPr>
        <w:t>1.</w:t>
      </w:r>
      <w:r>
        <w:rPr>
          <w:rFonts w:hint="eastAsia" w:ascii="仿宋_GB2312" w:hAnsi="仿宋_GB2312" w:eastAsia="仿宋_GB2312" w:cs="仿宋_GB2312"/>
          <w:b w:val="0"/>
          <w:bCs w:val="0"/>
          <w:snapToGrid w:val="0"/>
          <w:color w:val="auto"/>
          <w:kern w:val="0"/>
          <w:position w:val="0"/>
          <w:sz w:val="32"/>
          <w:szCs w:val="32"/>
          <w:lang w:eastAsia="zh-CN"/>
        </w:rPr>
        <w:t>项目决策。</w:t>
      </w:r>
    </w:p>
    <w:p w14:paraId="786CEF92">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contextualSpacing/>
        <w:jc w:val="both"/>
        <w:textAlignment w:val="auto"/>
        <w:rPr>
          <w:rFonts w:hint="eastAsia" w:ascii="仿宋_GB2312" w:hAnsi="仿宋_GB2312" w:eastAsia="仿宋_GB2312" w:cs="仿宋_GB2312"/>
          <w:b w:val="0"/>
          <w:bCs w:val="0"/>
          <w:snapToGrid w:val="0"/>
          <w:color w:val="auto"/>
          <w:kern w:val="0"/>
          <w:position w:val="0"/>
          <w:sz w:val="32"/>
          <w:szCs w:val="32"/>
          <w:lang w:val="en-US" w:eastAsia="zh-CN"/>
        </w:rPr>
      </w:pPr>
      <w:r>
        <w:rPr>
          <w:rFonts w:hint="eastAsia" w:ascii="仿宋_GB2312" w:hAnsi="仿宋_GB2312" w:eastAsia="仿宋_GB2312" w:cs="仿宋_GB2312"/>
          <w:b w:val="0"/>
          <w:bCs w:val="0"/>
          <w:snapToGrid w:val="0"/>
          <w:color w:val="auto"/>
          <w:kern w:val="0"/>
          <w:position w:val="0"/>
          <w:sz w:val="32"/>
          <w:szCs w:val="32"/>
          <w:lang w:val="en-US" w:eastAsia="zh-CN"/>
        </w:rPr>
        <w:t>资金使用</w:t>
      </w:r>
      <w:r>
        <w:rPr>
          <w:rFonts w:hint="eastAsia" w:ascii="仿宋_GB2312" w:hAnsi="仿宋_GB2312" w:eastAsia="仿宋_GB2312" w:cs="仿宋_GB2312"/>
          <w:b w:val="0"/>
          <w:bCs w:val="0"/>
          <w:snapToGrid w:val="0"/>
          <w:color w:val="auto"/>
          <w:kern w:val="0"/>
          <w:position w:val="0"/>
          <w:sz w:val="32"/>
          <w:szCs w:val="32"/>
          <w:lang w:val="zh-CN" w:eastAsia="zh-CN"/>
        </w:rPr>
        <w:t>项目设立、调整延续等方面符合资金管理基本规范和决策程序</w:t>
      </w:r>
      <w:r>
        <w:rPr>
          <w:rFonts w:hint="eastAsia" w:ascii="仿宋_GB2312" w:hAnsi="仿宋_GB2312" w:eastAsia="仿宋_GB2312" w:cs="仿宋_GB2312"/>
          <w:b w:val="0"/>
          <w:bCs w:val="0"/>
          <w:snapToGrid w:val="0"/>
          <w:color w:val="auto"/>
          <w:kern w:val="0"/>
          <w:position w:val="0"/>
          <w:sz w:val="32"/>
          <w:szCs w:val="32"/>
          <w:lang w:val="en-US" w:eastAsia="zh-CN"/>
        </w:rPr>
        <w:t>要求，项目决策程序严密，得6分；项目规划论证符合中省要求，项目绩效目标设置科学合理，得6分；项目资金使用</w:t>
      </w:r>
      <w:r>
        <w:rPr>
          <w:rFonts w:hint="eastAsia" w:ascii="仿宋_GB2312" w:hAnsi="仿宋_GB2312" w:eastAsia="仿宋_GB2312" w:cs="仿宋_GB2312"/>
          <w:b w:val="0"/>
          <w:bCs w:val="0"/>
          <w:snapToGrid w:val="0"/>
          <w:color w:val="auto"/>
          <w:kern w:val="0"/>
          <w:position w:val="0"/>
          <w:sz w:val="32"/>
          <w:szCs w:val="32"/>
        </w:rPr>
        <w:t>按照</w:t>
      </w:r>
      <w:r>
        <w:rPr>
          <w:rFonts w:hint="eastAsia" w:ascii="仿宋_GB2312" w:hAnsi="仿宋_GB2312" w:eastAsia="仿宋_GB2312" w:cs="仿宋_GB2312"/>
          <w:b w:val="0"/>
          <w:bCs w:val="0"/>
          <w:snapToGrid w:val="0"/>
          <w:color w:val="auto"/>
          <w:kern w:val="0"/>
          <w:position w:val="0"/>
          <w:sz w:val="32"/>
          <w:szCs w:val="32"/>
          <w:lang w:val="en-US" w:eastAsia="zh-CN"/>
        </w:rPr>
        <w:t>省</w:t>
      </w:r>
      <w:r>
        <w:rPr>
          <w:rFonts w:hint="eastAsia" w:ascii="仿宋_GB2312" w:hAnsi="仿宋_GB2312" w:eastAsia="仿宋_GB2312" w:cs="仿宋_GB2312"/>
          <w:b w:val="0"/>
          <w:bCs w:val="0"/>
          <w:snapToGrid w:val="0"/>
          <w:color w:val="auto"/>
          <w:kern w:val="0"/>
          <w:position w:val="0"/>
          <w:sz w:val="32"/>
          <w:szCs w:val="32"/>
        </w:rPr>
        <w:t>财政部</w:t>
      </w:r>
      <w:r>
        <w:rPr>
          <w:rFonts w:hint="eastAsia" w:ascii="仿宋_GB2312" w:hAnsi="仿宋_GB2312" w:eastAsia="仿宋_GB2312" w:cs="仿宋_GB2312"/>
          <w:b w:val="0"/>
          <w:bCs w:val="0"/>
          <w:snapToGrid w:val="0"/>
          <w:color w:val="auto"/>
          <w:kern w:val="0"/>
          <w:position w:val="0"/>
          <w:sz w:val="32"/>
          <w:szCs w:val="32"/>
          <w:lang w:val="en-US" w:eastAsia="zh-CN"/>
        </w:rPr>
        <w:t>厅</w:t>
      </w:r>
      <w:r>
        <w:rPr>
          <w:rFonts w:hint="eastAsia" w:ascii="仿宋_GB2312" w:hAnsi="仿宋_GB2312" w:eastAsia="仿宋_GB2312" w:cs="仿宋_GB2312"/>
          <w:b w:val="0"/>
          <w:bCs w:val="0"/>
          <w:snapToGrid w:val="0"/>
          <w:color w:val="auto"/>
          <w:kern w:val="0"/>
          <w:position w:val="0"/>
          <w:sz w:val="32"/>
          <w:szCs w:val="32"/>
        </w:rPr>
        <w:t>、</w:t>
      </w:r>
      <w:r>
        <w:rPr>
          <w:rFonts w:hint="eastAsia" w:ascii="仿宋_GB2312" w:hAnsi="仿宋_GB2312" w:eastAsia="仿宋_GB2312" w:cs="仿宋_GB2312"/>
          <w:b w:val="0"/>
          <w:bCs w:val="0"/>
          <w:snapToGrid w:val="0"/>
          <w:color w:val="auto"/>
          <w:kern w:val="0"/>
          <w:position w:val="0"/>
          <w:sz w:val="32"/>
          <w:szCs w:val="32"/>
          <w:lang w:val="en-US" w:eastAsia="zh-CN"/>
        </w:rPr>
        <w:t>省</w:t>
      </w:r>
      <w:r>
        <w:rPr>
          <w:rFonts w:hint="eastAsia" w:ascii="仿宋_GB2312" w:hAnsi="仿宋_GB2312" w:eastAsia="仿宋_GB2312" w:cs="仿宋_GB2312"/>
          <w:b w:val="0"/>
          <w:bCs w:val="0"/>
          <w:snapToGrid w:val="0"/>
          <w:color w:val="auto"/>
          <w:kern w:val="0"/>
          <w:position w:val="0"/>
          <w:sz w:val="32"/>
          <w:szCs w:val="32"/>
        </w:rPr>
        <w:t>卫生健康委、</w:t>
      </w:r>
      <w:r>
        <w:rPr>
          <w:rFonts w:hint="eastAsia" w:ascii="仿宋_GB2312" w:hAnsi="仿宋_GB2312" w:eastAsia="仿宋_GB2312" w:cs="仿宋_GB2312"/>
          <w:b w:val="0"/>
          <w:bCs w:val="0"/>
          <w:snapToGrid w:val="0"/>
          <w:color w:val="auto"/>
          <w:kern w:val="0"/>
          <w:position w:val="0"/>
          <w:sz w:val="32"/>
          <w:szCs w:val="32"/>
          <w:lang w:val="en-US" w:eastAsia="zh-CN"/>
        </w:rPr>
        <w:t>省</w:t>
      </w:r>
      <w:r>
        <w:rPr>
          <w:rFonts w:hint="eastAsia" w:ascii="仿宋_GB2312" w:hAnsi="仿宋_GB2312" w:eastAsia="仿宋_GB2312" w:cs="仿宋_GB2312"/>
          <w:b w:val="0"/>
          <w:bCs w:val="0"/>
          <w:snapToGrid w:val="0"/>
          <w:color w:val="auto"/>
          <w:kern w:val="0"/>
          <w:position w:val="0"/>
          <w:sz w:val="32"/>
          <w:szCs w:val="32"/>
        </w:rPr>
        <w:t>医保局、</w:t>
      </w:r>
      <w:r>
        <w:rPr>
          <w:rFonts w:hint="eastAsia" w:ascii="仿宋_GB2312" w:hAnsi="仿宋_GB2312" w:eastAsia="仿宋_GB2312" w:cs="仿宋_GB2312"/>
          <w:b w:val="0"/>
          <w:bCs w:val="0"/>
          <w:snapToGrid w:val="0"/>
          <w:color w:val="auto"/>
          <w:kern w:val="0"/>
          <w:position w:val="0"/>
          <w:sz w:val="32"/>
          <w:szCs w:val="32"/>
          <w:lang w:val="en-US" w:eastAsia="zh-CN"/>
        </w:rPr>
        <w:t>省</w:t>
      </w:r>
      <w:r>
        <w:rPr>
          <w:rFonts w:hint="eastAsia" w:ascii="仿宋_GB2312" w:hAnsi="仿宋_GB2312" w:eastAsia="仿宋_GB2312" w:cs="仿宋_GB2312"/>
          <w:b w:val="0"/>
          <w:bCs w:val="0"/>
          <w:snapToGrid w:val="0"/>
          <w:color w:val="auto"/>
          <w:kern w:val="0"/>
          <w:position w:val="0"/>
          <w:sz w:val="32"/>
          <w:szCs w:val="32"/>
        </w:rPr>
        <w:t>中医药局《关于</w:t>
      </w:r>
      <w:r>
        <w:rPr>
          <w:rFonts w:hint="eastAsia" w:ascii="仿宋_GB2312" w:hAnsi="仿宋_GB2312" w:eastAsia="仿宋_GB2312" w:cs="仿宋_GB2312"/>
          <w:b w:val="0"/>
          <w:bCs w:val="0"/>
          <w:snapToGrid w:val="0"/>
          <w:color w:val="auto"/>
          <w:kern w:val="0"/>
          <w:position w:val="0"/>
          <w:sz w:val="32"/>
          <w:szCs w:val="32"/>
          <w:lang w:val="en-US" w:eastAsia="zh-CN"/>
        </w:rPr>
        <w:t>印发</w:t>
      </w:r>
      <w:r>
        <w:rPr>
          <w:rFonts w:hint="eastAsia" w:ascii="仿宋_GB2312" w:hAnsi="仿宋_GB2312" w:eastAsia="仿宋_GB2312" w:cs="仿宋_GB2312"/>
          <w:b w:val="0"/>
          <w:bCs w:val="0"/>
          <w:snapToGrid w:val="0"/>
          <w:color w:val="auto"/>
          <w:kern w:val="0"/>
          <w:position w:val="0"/>
          <w:sz w:val="32"/>
          <w:szCs w:val="32"/>
        </w:rPr>
        <w:t>公共卫生服务等5项补助资金管理办法的通知》（</w:t>
      </w:r>
      <w:r>
        <w:rPr>
          <w:rFonts w:hint="eastAsia" w:ascii="仿宋_GB2312" w:hAnsi="仿宋_GB2312" w:eastAsia="仿宋_GB2312" w:cs="仿宋_GB2312"/>
          <w:b w:val="0"/>
          <w:bCs w:val="0"/>
          <w:snapToGrid w:val="0"/>
          <w:color w:val="auto"/>
          <w:kern w:val="0"/>
          <w:position w:val="0"/>
          <w:sz w:val="32"/>
          <w:szCs w:val="32"/>
          <w:lang w:val="en-US" w:eastAsia="zh-CN"/>
        </w:rPr>
        <w:t>川</w:t>
      </w:r>
      <w:r>
        <w:rPr>
          <w:rFonts w:hint="eastAsia" w:ascii="仿宋_GB2312" w:hAnsi="仿宋_GB2312" w:eastAsia="仿宋_GB2312" w:cs="仿宋_GB2312"/>
          <w:b w:val="0"/>
          <w:bCs w:val="0"/>
          <w:snapToGrid w:val="0"/>
          <w:color w:val="auto"/>
          <w:kern w:val="0"/>
          <w:position w:val="0"/>
          <w:sz w:val="32"/>
          <w:szCs w:val="32"/>
        </w:rPr>
        <w:t>财社〔2022〕</w:t>
      </w:r>
      <w:r>
        <w:rPr>
          <w:rFonts w:hint="eastAsia" w:ascii="仿宋_GB2312" w:hAnsi="仿宋_GB2312" w:eastAsia="仿宋_GB2312" w:cs="仿宋_GB2312"/>
          <w:b w:val="0"/>
          <w:bCs w:val="0"/>
          <w:snapToGrid w:val="0"/>
          <w:color w:val="auto"/>
          <w:kern w:val="0"/>
          <w:position w:val="0"/>
          <w:sz w:val="32"/>
          <w:szCs w:val="32"/>
          <w:lang w:val="en-US" w:eastAsia="zh-CN"/>
        </w:rPr>
        <w:t>112</w:t>
      </w:r>
      <w:r>
        <w:rPr>
          <w:rFonts w:hint="eastAsia" w:ascii="仿宋_GB2312" w:hAnsi="仿宋_GB2312" w:eastAsia="仿宋_GB2312" w:cs="仿宋_GB2312"/>
          <w:b w:val="0"/>
          <w:bCs w:val="0"/>
          <w:snapToGrid w:val="0"/>
          <w:color w:val="auto"/>
          <w:kern w:val="0"/>
          <w:position w:val="0"/>
          <w:sz w:val="32"/>
          <w:szCs w:val="32"/>
        </w:rPr>
        <w:t>号）精神</w:t>
      </w:r>
      <w:r>
        <w:rPr>
          <w:rFonts w:hint="eastAsia" w:ascii="仿宋_GB2312" w:hAnsi="仿宋_GB2312" w:eastAsia="仿宋_GB2312" w:cs="仿宋_GB2312"/>
          <w:b w:val="0"/>
          <w:bCs w:val="0"/>
          <w:snapToGrid w:val="0"/>
          <w:color w:val="auto"/>
          <w:kern w:val="0"/>
          <w:position w:val="0"/>
          <w:sz w:val="32"/>
          <w:szCs w:val="32"/>
          <w:lang w:val="en-US" w:eastAsia="zh-CN"/>
        </w:rPr>
        <w:t>要求进行规划，与基层卫生健康科事业发展相匹配，聚焦重大任务、重点领域、重点环节和重点项目，得6分。共计18分。</w:t>
      </w:r>
    </w:p>
    <w:p w14:paraId="5CF09E99">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仿宋_GB2312" w:hAnsi="仿宋_GB2312" w:eastAsia="仿宋_GB2312" w:cs="仿宋_GB2312"/>
          <w:b w:val="0"/>
          <w:bCs w:val="0"/>
          <w:snapToGrid w:val="0"/>
          <w:color w:val="auto"/>
          <w:kern w:val="0"/>
          <w:position w:val="0"/>
          <w:sz w:val="32"/>
          <w:szCs w:val="32"/>
          <w:lang w:eastAsia="zh-CN"/>
        </w:rPr>
      </w:pPr>
      <w:r>
        <w:rPr>
          <w:rFonts w:hint="eastAsia" w:ascii="仿宋_GB2312" w:hAnsi="仿宋_GB2312" w:eastAsia="仿宋_GB2312" w:cs="仿宋_GB2312"/>
          <w:b w:val="0"/>
          <w:bCs w:val="0"/>
          <w:snapToGrid w:val="0"/>
          <w:color w:val="auto"/>
          <w:kern w:val="0"/>
          <w:position w:val="0"/>
          <w:sz w:val="32"/>
          <w:szCs w:val="32"/>
          <w:lang w:val="en-US" w:eastAsia="zh-CN"/>
        </w:rPr>
        <w:t>2.</w:t>
      </w:r>
      <w:r>
        <w:rPr>
          <w:rFonts w:hint="eastAsia" w:ascii="仿宋_GB2312" w:hAnsi="仿宋_GB2312" w:eastAsia="仿宋_GB2312" w:cs="仿宋_GB2312"/>
          <w:b w:val="0"/>
          <w:bCs w:val="0"/>
          <w:snapToGrid w:val="0"/>
          <w:color w:val="auto"/>
          <w:kern w:val="0"/>
          <w:position w:val="0"/>
          <w:sz w:val="32"/>
          <w:szCs w:val="32"/>
          <w:lang w:eastAsia="zh-CN"/>
        </w:rPr>
        <w:t>项目管理。</w:t>
      </w:r>
    </w:p>
    <w:p w14:paraId="42640ECE">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contextualSpacing/>
        <w:jc w:val="both"/>
        <w:textAlignment w:val="auto"/>
        <w:rPr>
          <w:rFonts w:hint="eastAsia" w:ascii="仿宋_GB2312" w:hAnsi="仿宋_GB2312" w:eastAsia="仿宋_GB2312" w:cs="仿宋_GB2312"/>
          <w:b w:val="0"/>
          <w:bCs w:val="0"/>
          <w:snapToGrid w:val="0"/>
          <w:color w:val="auto"/>
          <w:kern w:val="0"/>
          <w:position w:val="0"/>
          <w:sz w:val="32"/>
          <w:szCs w:val="32"/>
          <w:lang w:val="en-US" w:eastAsia="zh-CN"/>
        </w:rPr>
      </w:pPr>
      <w:r>
        <w:rPr>
          <w:rFonts w:hint="eastAsia" w:ascii="仿宋_GB2312" w:hAnsi="仿宋_GB2312" w:eastAsia="仿宋_GB2312" w:cs="仿宋_GB2312"/>
          <w:b w:val="0"/>
          <w:bCs w:val="0"/>
          <w:snapToGrid w:val="0"/>
          <w:color w:val="auto"/>
          <w:kern w:val="0"/>
          <w:position w:val="0"/>
          <w:sz w:val="32"/>
          <w:szCs w:val="32"/>
          <w:lang w:val="en-US" w:eastAsia="zh-CN"/>
        </w:rPr>
        <w:t>项目制度办法体系健全、要素完备，得2分；项目资金分配因素选取、权重设置、区域分布，项目管理、审批符合管理要求，得10分；资金分配因素的权重设置有效突出项目实施重点，得6分；管资金、项目、政策、管绩效，项目绩效监管按要求开展，对下指导有力有效，得6分。共计18分。</w:t>
      </w:r>
    </w:p>
    <w:p w14:paraId="4CA3F956">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仿宋_GB2312" w:hAnsi="仿宋_GB2312" w:eastAsia="仿宋_GB2312" w:cs="仿宋_GB2312"/>
          <w:b w:val="0"/>
          <w:bCs w:val="0"/>
          <w:snapToGrid w:val="0"/>
          <w:color w:val="auto"/>
          <w:kern w:val="0"/>
          <w:position w:val="0"/>
          <w:sz w:val="32"/>
          <w:szCs w:val="32"/>
          <w:lang w:val="en-US" w:eastAsia="zh-CN"/>
        </w:rPr>
      </w:pPr>
      <w:r>
        <w:rPr>
          <w:rFonts w:hint="eastAsia" w:ascii="仿宋_GB2312" w:hAnsi="仿宋_GB2312" w:eastAsia="仿宋_GB2312" w:cs="仿宋_GB2312"/>
          <w:b w:val="0"/>
          <w:bCs w:val="0"/>
          <w:snapToGrid w:val="0"/>
          <w:color w:val="auto"/>
          <w:kern w:val="0"/>
          <w:position w:val="0"/>
          <w:sz w:val="32"/>
          <w:szCs w:val="32"/>
          <w:lang w:val="en-US" w:eastAsia="zh-CN"/>
        </w:rPr>
        <w:t>3.项目实施。</w:t>
      </w:r>
    </w:p>
    <w:p w14:paraId="1501E022">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仿宋_GB2312" w:hAnsi="仿宋_GB2312" w:eastAsia="仿宋_GB2312" w:cs="仿宋_GB2312"/>
          <w:b w:val="0"/>
          <w:bCs w:val="0"/>
          <w:snapToGrid w:val="0"/>
          <w:color w:val="auto"/>
          <w:kern w:val="0"/>
          <w:position w:val="0"/>
          <w:sz w:val="32"/>
          <w:szCs w:val="32"/>
          <w:lang w:val="en-US" w:eastAsia="zh-CN"/>
        </w:rPr>
      </w:pPr>
      <w:r>
        <w:rPr>
          <w:rFonts w:hint="eastAsia" w:ascii="仿宋_GB2312" w:hAnsi="仿宋_GB2312" w:eastAsia="仿宋_GB2312" w:cs="仿宋_GB2312"/>
          <w:b w:val="0"/>
          <w:bCs w:val="0"/>
          <w:snapToGrid w:val="0"/>
          <w:color w:val="auto"/>
          <w:kern w:val="0"/>
          <w:position w:val="0"/>
          <w:sz w:val="32"/>
          <w:szCs w:val="32"/>
          <w:lang w:val="en-US" w:eastAsia="zh-CN" w:bidi="ar-SA"/>
        </w:rPr>
        <w:t>项目资金20068.20万元均已拨付到位，财政资金拨付率100%，预算执行率90.75%，得5分；</w:t>
      </w:r>
      <w:r>
        <w:rPr>
          <w:rFonts w:hint="eastAsia" w:ascii="仿宋_GB2312" w:hAnsi="仿宋_GB2312" w:eastAsia="仿宋_GB2312" w:cs="仿宋_GB2312"/>
          <w:b w:val="0"/>
          <w:bCs w:val="0"/>
          <w:snapToGrid w:val="0"/>
          <w:color w:val="auto"/>
          <w:kern w:val="0"/>
          <w:position w:val="0"/>
          <w:sz w:val="32"/>
          <w:szCs w:val="32"/>
          <w:lang w:val="en-US" w:eastAsia="zh-CN"/>
        </w:rPr>
        <w:t>项目资金使用</w:t>
      </w:r>
      <w:r>
        <w:rPr>
          <w:rFonts w:hint="eastAsia" w:ascii="仿宋_GB2312" w:hAnsi="仿宋_GB2312" w:eastAsia="仿宋_GB2312" w:cs="仿宋_GB2312"/>
          <w:b w:val="0"/>
          <w:bCs w:val="0"/>
          <w:snapToGrid w:val="0"/>
          <w:color w:val="auto"/>
          <w:kern w:val="0"/>
          <w:position w:val="0"/>
          <w:sz w:val="32"/>
          <w:szCs w:val="32"/>
        </w:rPr>
        <w:t>按照</w:t>
      </w:r>
      <w:r>
        <w:rPr>
          <w:rFonts w:hint="eastAsia" w:ascii="仿宋_GB2312" w:hAnsi="仿宋_GB2312" w:eastAsia="仿宋_GB2312" w:cs="仿宋_GB2312"/>
          <w:b w:val="0"/>
          <w:bCs w:val="0"/>
          <w:snapToGrid w:val="0"/>
          <w:color w:val="auto"/>
          <w:kern w:val="0"/>
          <w:position w:val="0"/>
          <w:sz w:val="32"/>
          <w:szCs w:val="32"/>
          <w:lang w:val="en-US" w:eastAsia="zh-CN"/>
        </w:rPr>
        <w:t>省</w:t>
      </w:r>
      <w:r>
        <w:rPr>
          <w:rFonts w:hint="eastAsia" w:ascii="仿宋_GB2312" w:hAnsi="仿宋_GB2312" w:eastAsia="仿宋_GB2312" w:cs="仿宋_GB2312"/>
          <w:b w:val="0"/>
          <w:bCs w:val="0"/>
          <w:snapToGrid w:val="0"/>
          <w:color w:val="auto"/>
          <w:kern w:val="0"/>
          <w:position w:val="0"/>
          <w:sz w:val="32"/>
          <w:szCs w:val="32"/>
        </w:rPr>
        <w:t>财政部</w:t>
      </w:r>
      <w:r>
        <w:rPr>
          <w:rFonts w:hint="eastAsia" w:ascii="仿宋_GB2312" w:hAnsi="仿宋_GB2312" w:eastAsia="仿宋_GB2312" w:cs="仿宋_GB2312"/>
          <w:b w:val="0"/>
          <w:bCs w:val="0"/>
          <w:snapToGrid w:val="0"/>
          <w:color w:val="auto"/>
          <w:kern w:val="0"/>
          <w:position w:val="0"/>
          <w:sz w:val="32"/>
          <w:szCs w:val="32"/>
          <w:lang w:val="en-US" w:eastAsia="zh-CN"/>
        </w:rPr>
        <w:t>厅</w:t>
      </w:r>
      <w:r>
        <w:rPr>
          <w:rFonts w:hint="eastAsia" w:ascii="仿宋_GB2312" w:hAnsi="仿宋_GB2312" w:eastAsia="仿宋_GB2312" w:cs="仿宋_GB2312"/>
          <w:b w:val="0"/>
          <w:bCs w:val="0"/>
          <w:snapToGrid w:val="0"/>
          <w:color w:val="auto"/>
          <w:kern w:val="0"/>
          <w:position w:val="0"/>
          <w:sz w:val="32"/>
          <w:szCs w:val="32"/>
        </w:rPr>
        <w:t>、</w:t>
      </w:r>
      <w:r>
        <w:rPr>
          <w:rFonts w:hint="eastAsia" w:ascii="仿宋_GB2312" w:hAnsi="仿宋_GB2312" w:eastAsia="仿宋_GB2312" w:cs="仿宋_GB2312"/>
          <w:b w:val="0"/>
          <w:bCs w:val="0"/>
          <w:snapToGrid w:val="0"/>
          <w:color w:val="auto"/>
          <w:kern w:val="0"/>
          <w:position w:val="0"/>
          <w:sz w:val="32"/>
          <w:szCs w:val="32"/>
          <w:lang w:val="en-US" w:eastAsia="zh-CN"/>
        </w:rPr>
        <w:t>省</w:t>
      </w:r>
      <w:r>
        <w:rPr>
          <w:rFonts w:hint="eastAsia" w:ascii="仿宋_GB2312" w:hAnsi="仿宋_GB2312" w:eastAsia="仿宋_GB2312" w:cs="仿宋_GB2312"/>
          <w:b w:val="0"/>
          <w:bCs w:val="0"/>
          <w:snapToGrid w:val="0"/>
          <w:color w:val="auto"/>
          <w:kern w:val="0"/>
          <w:position w:val="0"/>
          <w:sz w:val="32"/>
          <w:szCs w:val="32"/>
        </w:rPr>
        <w:t>卫生健康委、</w:t>
      </w:r>
      <w:r>
        <w:rPr>
          <w:rFonts w:hint="eastAsia" w:ascii="仿宋_GB2312" w:hAnsi="仿宋_GB2312" w:eastAsia="仿宋_GB2312" w:cs="仿宋_GB2312"/>
          <w:b w:val="0"/>
          <w:bCs w:val="0"/>
          <w:snapToGrid w:val="0"/>
          <w:color w:val="auto"/>
          <w:kern w:val="0"/>
          <w:position w:val="0"/>
          <w:sz w:val="32"/>
          <w:szCs w:val="32"/>
          <w:lang w:val="en-US" w:eastAsia="zh-CN"/>
        </w:rPr>
        <w:t>省</w:t>
      </w:r>
      <w:r>
        <w:rPr>
          <w:rFonts w:hint="eastAsia" w:ascii="仿宋_GB2312" w:hAnsi="仿宋_GB2312" w:eastAsia="仿宋_GB2312" w:cs="仿宋_GB2312"/>
          <w:b w:val="0"/>
          <w:bCs w:val="0"/>
          <w:snapToGrid w:val="0"/>
          <w:color w:val="auto"/>
          <w:kern w:val="0"/>
          <w:position w:val="0"/>
          <w:sz w:val="32"/>
          <w:szCs w:val="32"/>
        </w:rPr>
        <w:t>医保局、</w:t>
      </w:r>
      <w:r>
        <w:rPr>
          <w:rFonts w:hint="eastAsia" w:ascii="仿宋_GB2312" w:hAnsi="仿宋_GB2312" w:eastAsia="仿宋_GB2312" w:cs="仿宋_GB2312"/>
          <w:b w:val="0"/>
          <w:bCs w:val="0"/>
          <w:snapToGrid w:val="0"/>
          <w:color w:val="auto"/>
          <w:kern w:val="0"/>
          <w:position w:val="0"/>
          <w:sz w:val="32"/>
          <w:szCs w:val="32"/>
          <w:lang w:val="en-US" w:eastAsia="zh-CN"/>
        </w:rPr>
        <w:t>省</w:t>
      </w:r>
      <w:r>
        <w:rPr>
          <w:rFonts w:hint="eastAsia" w:ascii="仿宋_GB2312" w:hAnsi="仿宋_GB2312" w:eastAsia="仿宋_GB2312" w:cs="仿宋_GB2312"/>
          <w:b w:val="0"/>
          <w:bCs w:val="0"/>
          <w:snapToGrid w:val="0"/>
          <w:color w:val="auto"/>
          <w:kern w:val="0"/>
          <w:position w:val="0"/>
          <w:sz w:val="32"/>
          <w:szCs w:val="32"/>
        </w:rPr>
        <w:t>中医药局《关于</w:t>
      </w:r>
      <w:r>
        <w:rPr>
          <w:rFonts w:hint="eastAsia" w:ascii="仿宋_GB2312" w:hAnsi="仿宋_GB2312" w:eastAsia="仿宋_GB2312" w:cs="仿宋_GB2312"/>
          <w:b w:val="0"/>
          <w:bCs w:val="0"/>
          <w:snapToGrid w:val="0"/>
          <w:color w:val="auto"/>
          <w:kern w:val="0"/>
          <w:position w:val="0"/>
          <w:sz w:val="32"/>
          <w:szCs w:val="32"/>
          <w:lang w:val="en-US" w:eastAsia="zh-CN"/>
        </w:rPr>
        <w:t>印发</w:t>
      </w:r>
      <w:r>
        <w:rPr>
          <w:rFonts w:hint="eastAsia" w:ascii="仿宋_GB2312" w:hAnsi="仿宋_GB2312" w:eastAsia="仿宋_GB2312" w:cs="仿宋_GB2312"/>
          <w:b w:val="0"/>
          <w:bCs w:val="0"/>
          <w:snapToGrid w:val="0"/>
          <w:color w:val="auto"/>
          <w:kern w:val="0"/>
          <w:position w:val="0"/>
          <w:sz w:val="32"/>
          <w:szCs w:val="32"/>
        </w:rPr>
        <w:t>公共卫生服务等5项补助资金管理办法的通知》（</w:t>
      </w:r>
      <w:r>
        <w:rPr>
          <w:rFonts w:hint="eastAsia" w:ascii="仿宋_GB2312" w:hAnsi="仿宋_GB2312" w:eastAsia="仿宋_GB2312" w:cs="仿宋_GB2312"/>
          <w:b w:val="0"/>
          <w:bCs w:val="0"/>
          <w:snapToGrid w:val="0"/>
          <w:color w:val="auto"/>
          <w:kern w:val="0"/>
          <w:position w:val="0"/>
          <w:sz w:val="32"/>
          <w:szCs w:val="32"/>
          <w:lang w:val="en-US" w:eastAsia="zh-CN"/>
        </w:rPr>
        <w:t>川</w:t>
      </w:r>
      <w:r>
        <w:rPr>
          <w:rFonts w:hint="eastAsia" w:ascii="仿宋_GB2312" w:hAnsi="仿宋_GB2312" w:eastAsia="仿宋_GB2312" w:cs="仿宋_GB2312"/>
          <w:b w:val="0"/>
          <w:bCs w:val="0"/>
          <w:snapToGrid w:val="0"/>
          <w:color w:val="auto"/>
          <w:kern w:val="0"/>
          <w:position w:val="0"/>
          <w:sz w:val="32"/>
          <w:szCs w:val="32"/>
        </w:rPr>
        <w:t>财社〔2022〕</w:t>
      </w:r>
      <w:r>
        <w:rPr>
          <w:rFonts w:hint="eastAsia" w:ascii="仿宋_GB2312" w:hAnsi="仿宋_GB2312" w:eastAsia="仿宋_GB2312" w:cs="仿宋_GB2312"/>
          <w:b w:val="0"/>
          <w:bCs w:val="0"/>
          <w:snapToGrid w:val="0"/>
          <w:color w:val="auto"/>
          <w:kern w:val="0"/>
          <w:position w:val="0"/>
          <w:sz w:val="32"/>
          <w:szCs w:val="32"/>
          <w:lang w:val="en-US" w:eastAsia="zh-CN"/>
        </w:rPr>
        <w:t>112</w:t>
      </w:r>
      <w:r>
        <w:rPr>
          <w:rFonts w:hint="eastAsia" w:ascii="仿宋_GB2312" w:hAnsi="仿宋_GB2312" w:eastAsia="仿宋_GB2312" w:cs="仿宋_GB2312"/>
          <w:b w:val="0"/>
          <w:bCs w:val="0"/>
          <w:snapToGrid w:val="0"/>
          <w:color w:val="auto"/>
          <w:kern w:val="0"/>
          <w:position w:val="0"/>
          <w:sz w:val="32"/>
          <w:szCs w:val="32"/>
        </w:rPr>
        <w:t>号）</w:t>
      </w:r>
      <w:r>
        <w:rPr>
          <w:rFonts w:hint="eastAsia" w:ascii="仿宋_GB2312" w:hAnsi="仿宋_GB2312" w:eastAsia="仿宋_GB2312" w:cs="仿宋_GB2312"/>
          <w:b w:val="0"/>
          <w:bCs w:val="0"/>
          <w:snapToGrid w:val="0"/>
          <w:color w:val="auto"/>
          <w:kern w:val="0"/>
          <w:position w:val="0"/>
          <w:sz w:val="32"/>
          <w:szCs w:val="32"/>
          <w:lang w:val="en-US" w:eastAsia="zh-CN"/>
        </w:rPr>
        <w:t>相关文件要求有序开展，资金使用拨付、项目实施符合规定，得3分。共计8分。</w:t>
      </w:r>
    </w:p>
    <w:p w14:paraId="1A6B6BCD">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仿宋_GB2312" w:hAnsi="仿宋_GB2312" w:eastAsia="仿宋_GB2312" w:cs="仿宋_GB2312"/>
          <w:b w:val="0"/>
          <w:bCs w:val="0"/>
          <w:snapToGrid w:val="0"/>
          <w:color w:val="auto"/>
          <w:kern w:val="0"/>
          <w:position w:val="0"/>
          <w:sz w:val="32"/>
          <w:szCs w:val="32"/>
          <w:lang w:val="en-US" w:eastAsia="zh-CN"/>
        </w:rPr>
      </w:pPr>
      <w:r>
        <w:rPr>
          <w:rFonts w:hint="eastAsia" w:ascii="仿宋_GB2312" w:hAnsi="仿宋_GB2312" w:eastAsia="仿宋_GB2312" w:cs="仿宋_GB2312"/>
          <w:b w:val="0"/>
          <w:bCs w:val="0"/>
          <w:snapToGrid w:val="0"/>
          <w:color w:val="auto"/>
          <w:kern w:val="0"/>
          <w:position w:val="0"/>
          <w:sz w:val="32"/>
          <w:szCs w:val="32"/>
          <w:lang w:val="en-US" w:eastAsia="zh-CN"/>
        </w:rPr>
        <w:t>4.项目结果。</w:t>
      </w:r>
    </w:p>
    <w:p w14:paraId="28135180">
      <w:pPr>
        <w:pStyle w:val="2"/>
        <w:keepNext w:val="0"/>
        <w:keepLines w:val="0"/>
        <w:pageBreakBefore w:val="0"/>
        <w:widowControl w:val="0"/>
        <w:kinsoku/>
        <w:wordWrap/>
        <w:overflowPunct w:val="0"/>
        <w:topLinePunct w:val="0"/>
        <w:autoSpaceDE/>
        <w:autoSpaceDN/>
        <w:bidi w:val="0"/>
        <w:adjustRightInd w:val="0"/>
        <w:snapToGrid w:val="0"/>
        <w:spacing w:after="0" w:line="576" w:lineRule="exact"/>
        <w:ind w:left="0"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lang w:val="zh-CN" w:eastAsia="zh-CN"/>
        </w:rPr>
      </w:pPr>
      <w:r>
        <w:rPr>
          <w:rFonts w:hint="eastAsia" w:ascii="仿宋_GB2312" w:hAnsi="仿宋_GB2312" w:eastAsia="仿宋_GB2312" w:cs="仿宋_GB2312"/>
          <w:b w:val="0"/>
          <w:bCs w:val="0"/>
          <w:snapToGrid w:val="0"/>
          <w:color w:val="auto"/>
          <w:kern w:val="0"/>
          <w:position w:val="0"/>
          <w:sz w:val="32"/>
          <w:szCs w:val="32"/>
          <w:lang w:val="en-US" w:eastAsia="zh-CN" w:bidi="ar-SA"/>
        </w:rPr>
        <w:t>项目完成实施方案预期目标，实施结果与绩效目标相匹配，得6分；项目实际推动进度与项目方案计划时间符合，得3分，共计9分。</w:t>
      </w:r>
    </w:p>
    <w:p w14:paraId="7EBDD7C9">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楷体_GB2312" w:hAnsi="楷体_GB2312" w:eastAsia="楷体_GB2312" w:cs="楷体_GB2312"/>
          <w:b w:val="0"/>
          <w:bCs w:val="0"/>
          <w:snapToGrid w:val="0"/>
          <w:color w:val="auto"/>
          <w:kern w:val="0"/>
          <w:position w:val="0"/>
          <w:sz w:val="32"/>
          <w:szCs w:val="32"/>
          <w:highlight w:val="none"/>
          <w:lang w:val="zh-CN" w:eastAsia="zh-CN" w:bidi="ar-SA"/>
        </w:rPr>
      </w:pPr>
      <w:r>
        <w:rPr>
          <w:rFonts w:hint="eastAsia" w:ascii="楷体_GB2312" w:hAnsi="楷体_GB2312" w:eastAsia="楷体_GB2312" w:cs="楷体_GB2312"/>
          <w:b w:val="0"/>
          <w:bCs w:val="0"/>
          <w:snapToGrid w:val="0"/>
          <w:color w:val="auto"/>
          <w:kern w:val="0"/>
          <w:position w:val="0"/>
          <w:sz w:val="32"/>
          <w:szCs w:val="32"/>
          <w:highlight w:val="none"/>
          <w:u w:val="none"/>
          <w:lang w:val="zh-CN"/>
        </w:rPr>
        <w:t>（二）</w:t>
      </w:r>
      <w:r>
        <w:rPr>
          <w:rFonts w:hint="eastAsia" w:ascii="楷体_GB2312" w:hAnsi="楷体_GB2312" w:eastAsia="楷体_GB2312" w:cs="楷体_GB2312"/>
          <w:b w:val="0"/>
          <w:bCs w:val="0"/>
          <w:snapToGrid w:val="0"/>
          <w:color w:val="auto"/>
          <w:kern w:val="0"/>
          <w:position w:val="0"/>
          <w:sz w:val="32"/>
          <w:szCs w:val="32"/>
          <w:highlight w:val="none"/>
          <w:u w:val="none"/>
          <w:lang w:val="en-US" w:eastAsia="zh-CN"/>
        </w:rPr>
        <w:t>专用指标</w:t>
      </w:r>
      <w:r>
        <w:rPr>
          <w:rFonts w:hint="eastAsia" w:ascii="楷体_GB2312" w:hAnsi="楷体_GB2312" w:eastAsia="楷体_GB2312" w:cs="楷体_GB2312"/>
          <w:b w:val="0"/>
          <w:bCs w:val="0"/>
          <w:snapToGrid w:val="0"/>
          <w:color w:val="auto"/>
          <w:kern w:val="0"/>
          <w:position w:val="0"/>
          <w:sz w:val="32"/>
          <w:szCs w:val="32"/>
          <w:highlight w:val="none"/>
          <w:shd w:val="clear" w:color="auto" w:fill="FFFFFF"/>
          <w:lang w:val="zh-CN"/>
        </w:rPr>
        <w:t>绩效分析。</w:t>
      </w:r>
    </w:p>
    <w:p w14:paraId="4CD50F3F">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仿宋_GB2312" w:hAnsi="仿宋_GB2312" w:eastAsia="仿宋_GB2312" w:cs="仿宋_GB2312"/>
          <w:b w:val="0"/>
          <w:bCs w:val="0"/>
          <w:snapToGrid w:val="0"/>
          <w:color w:val="auto"/>
          <w:kern w:val="0"/>
          <w:position w:val="0"/>
          <w:sz w:val="32"/>
          <w:szCs w:val="32"/>
          <w:lang w:val="en-US" w:eastAsia="zh-CN" w:bidi="ar-SA"/>
        </w:rPr>
      </w:pPr>
      <w:r>
        <w:rPr>
          <w:rFonts w:hint="eastAsia" w:ascii="仿宋_GB2312" w:hAnsi="仿宋_GB2312" w:eastAsia="仿宋_GB2312" w:cs="仿宋_GB2312"/>
          <w:b w:val="0"/>
          <w:bCs w:val="0"/>
          <w:snapToGrid w:val="0"/>
          <w:color w:val="auto"/>
          <w:kern w:val="0"/>
          <w:position w:val="0"/>
          <w:sz w:val="32"/>
          <w:szCs w:val="32"/>
          <w:lang w:val="en-US" w:eastAsia="zh-CN" w:bidi="ar-SA"/>
        </w:rPr>
        <w:t>资金按规定用途、适用范围进行本地区专项资金分配，得10分；资金管理程序符合专项资金管理要求，得10分；资金分配标准符合专项资金管理要求，得10分，共计30分。</w:t>
      </w:r>
    </w:p>
    <w:p w14:paraId="469ACD20">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楷体_GB2312" w:hAnsi="楷体_GB2312" w:eastAsia="楷体_GB2312" w:cs="楷体_GB2312"/>
          <w:b w:val="0"/>
          <w:bCs w:val="0"/>
          <w:snapToGrid w:val="0"/>
          <w:color w:val="auto"/>
          <w:kern w:val="0"/>
          <w:position w:val="0"/>
          <w:sz w:val="32"/>
          <w:szCs w:val="32"/>
          <w:highlight w:val="none"/>
          <w:shd w:val="clear" w:color="auto" w:fill="FFFFFF"/>
          <w:lang w:val="zh-CN"/>
        </w:rPr>
      </w:pPr>
      <w:r>
        <w:rPr>
          <w:rFonts w:hint="eastAsia" w:ascii="楷体_GB2312" w:hAnsi="楷体_GB2312" w:eastAsia="楷体_GB2312" w:cs="楷体_GB2312"/>
          <w:b w:val="0"/>
          <w:bCs w:val="0"/>
          <w:snapToGrid w:val="0"/>
          <w:color w:val="auto"/>
          <w:kern w:val="0"/>
          <w:position w:val="0"/>
          <w:sz w:val="32"/>
          <w:szCs w:val="32"/>
          <w:shd w:val="clear" w:fill="FFFFFF"/>
          <w:lang w:val="zh-CN" w:eastAsia="zh-CN" w:bidi="ar-SA"/>
        </w:rPr>
        <w:t>（三）</w:t>
      </w:r>
      <w:r>
        <w:rPr>
          <w:rFonts w:hint="eastAsia" w:ascii="楷体_GB2312" w:hAnsi="楷体_GB2312" w:eastAsia="楷体_GB2312" w:cs="楷体_GB2312"/>
          <w:b w:val="0"/>
          <w:bCs w:val="0"/>
          <w:snapToGrid w:val="0"/>
          <w:color w:val="auto"/>
          <w:kern w:val="0"/>
          <w:position w:val="0"/>
          <w:sz w:val="32"/>
          <w:szCs w:val="32"/>
          <w:highlight w:val="none"/>
          <w:u w:val="none"/>
          <w:lang w:val="en-US" w:eastAsia="zh-CN"/>
        </w:rPr>
        <w:t>个性指标</w:t>
      </w:r>
      <w:r>
        <w:rPr>
          <w:rFonts w:hint="eastAsia" w:ascii="楷体_GB2312" w:hAnsi="楷体_GB2312" w:eastAsia="楷体_GB2312" w:cs="楷体_GB2312"/>
          <w:b w:val="0"/>
          <w:bCs w:val="0"/>
          <w:snapToGrid w:val="0"/>
          <w:color w:val="auto"/>
          <w:kern w:val="0"/>
          <w:position w:val="0"/>
          <w:sz w:val="32"/>
          <w:szCs w:val="32"/>
          <w:highlight w:val="none"/>
          <w:shd w:val="clear" w:color="auto" w:fill="FFFFFF"/>
          <w:lang w:val="zh-CN"/>
        </w:rPr>
        <w:t>绩效分析。</w:t>
      </w:r>
    </w:p>
    <w:p w14:paraId="6D2FBAF7">
      <w:pPr>
        <w:pStyle w:val="2"/>
        <w:keepNext w:val="0"/>
        <w:keepLines w:val="0"/>
        <w:pageBreakBefore w:val="0"/>
        <w:widowControl w:val="0"/>
        <w:numPr>
          <w:ilvl w:val="0"/>
          <w:numId w:val="0"/>
        </w:numPr>
        <w:kinsoku/>
        <w:wordWrap/>
        <w:overflowPunct w:val="0"/>
        <w:topLinePunct w:val="0"/>
        <w:autoSpaceDE/>
        <w:autoSpaceDN/>
        <w:bidi w:val="0"/>
        <w:adjustRightInd w:val="0"/>
        <w:snapToGrid w:val="0"/>
        <w:spacing w:after="0" w:line="576" w:lineRule="exact"/>
        <w:ind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highlight w:val="none"/>
          <w:lang w:val="en-US" w:eastAsia="zh-CN" w:bidi="ar-SA"/>
        </w:rPr>
      </w:pPr>
      <w:r>
        <w:rPr>
          <w:rFonts w:hint="eastAsia" w:ascii="仿宋_GB2312" w:hAnsi="仿宋_GB2312" w:eastAsia="仿宋_GB2312" w:cs="仿宋_GB2312"/>
          <w:b w:val="0"/>
          <w:bCs w:val="0"/>
          <w:snapToGrid w:val="0"/>
          <w:color w:val="auto"/>
          <w:kern w:val="0"/>
          <w:position w:val="0"/>
          <w:sz w:val="32"/>
          <w:szCs w:val="32"/>
          <w:highlight w:val="none"/>
          <w:lang w:val="en-US" w:eastAsia="zh-CN" w:bidi="ar-SA"/>
        </w:rPr>
        <w:t>无</w:t>
      </w:r>
    </w:p>
    <w:p w14:paraId="43AAA514">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lang w:val="en-US" w:eastAsia="zh-CN"/>
        </w:rPr>
      </w:pPr>
      <w:r>
        <w:rPr>
          <w:rFonts w:hint="eastAsia" w:ascii="仿宋_GB2312" w:hAnsi="仿宋_GB2312" w:eastAsia="仿宋_GB2312" w:cs="仿宋_GB2312"/>
          <w:b w:val="0"/>
          <w:bCs w:val="0"/>
          <w:snapToGrid w:val="0"/>
          <w:color w:val="auto"/>
          <w:kern w:val="0"/>
          <w:position w:val="0"/>
          <w:sz w:val="32"/>
          <w:szCs w:val="32"/>
          <w:lang w:val="en-US" w:eastAsia="zh-CN"/>
        </w:rPr>
        <w:t>基本公卫项目整体绩效评价得分83分。</w:t>
      </w:r>
    </w:p>
    <w:p w14:paraId="56EE53C4">
      <w:pPr>
        <w:pStyle w:val="5"/>
        <w:keepNext w:val="0"/>
        <w:keepLines w:val="0"/>
        <w:pageBreakBefore w:val="0"/>
        <w:widowControl w:val="0"/>
        <w:numPr>
          <w:ilvl w:val="0"/>
          <w:numId w:val="0"/>
        </w:numPr>
        <w:tabs>
          <w:tab w:val="left" w:pos="2160"/>
        </w:tabs>
        <w:kinsoku/>
        <w:wordWrap/>
        <w:overflowPunct w:val="0"/>
        <w:topLinePunct w:val="0"/>
        <w:autoSpaceDE/>
        <w:autoSpaceDN/>
        <w:bidi w:val="0"/>
        <w:adjustRightInd w:val="0"/>
        <w:snapToGrid w:val="0"/>
        <w:spacing w:after="0" w:line="576" w:lineRule="exact"/>
        <w:ind w:leftChars="0" w:firstLine="640" w:firstLineChars="200"/>
        <w:jc w:val="both"/>
        <w:textAlignment w:val="auto"/>
        <w:rPr>
          <w:rFonts w:hint="eastAsia" w:ascii="黑体" w:hAnsi="黑体" w:eastAsia="黑体" w:cs="黑体"/>
          <w:b w:val="0"/>
          <w:bCs w:val="0"/>
          <w:snapToGrid w:val="0"/>
          <w:color w:val="auto"/>
          <w:kern w:val="0"/>
          <w:position w:val="0"/>
          <w:sz w:val="32"/>
          <w:szCs w:val="32"/>
          <w:highlight w:val="none"/>
          <w:u w:val="none"/>
        </w:rPr>
      </w:pPr>
      <w:r>
        <w:rPr>
          <w:rFonts w:hint="eastAsia" w:ascii="黑体" w:hAnsi="黑体" w:eastAsia="黑体" w:cs="黑体"/>
          <w:b w:val="0"/>
          <w:bCs w:val="0"/>
          <w:snapToGrid w:val="0"/>
          <w:color w:val="auto"/>
          <w:kern w:val="0"/>
          <w:position w:val="0"/>
          <w:sz w:val="32"/>
          <w:szCs w:val="32"/>
          <w:highlight w:val="none"/>
          <w:u w:val="none"/>
          <w:lang w:eastAsia="zh-CN"/>
        </w:rPr>
        <w:t>四</w:t>
      </w:r>
      <w:r>
        <w:rPr>
          <w:rFonts w:hint="eastAsia" w:ascii="黑体" w:hAnsi="黑体" w:eastAsia="黑体" w:cs="黑体"/>
          <w:b w:val="0"/>
          <w:bCs w:val="0"/>
          <w:snapToGrid w:val="0"/>
          <w:color w:val="auto"/>
          <w:kern w:val="0"/>
          <w:position w:val="0"/>
          <w:sz w:val="32"/>
          <w:szCs w:val="32"/>
          <w:highlight w:val="none"/>
          <w:u w:val="none"/>
        </w:rPr>
        <w:t>、评价结论</w:t>
      </w:r>
    </w:p>
    <w:p w14:paraId="736A0A16">
      <w:pPr>
        <w:pStyle w:val="5"/>
        <w:keepNext w:val="0"/>
        <w:keepLines w:val="0"/>
        <w:pageBreakBefore w:val="0"/>
        <w:widowControl w:val="0"/>
        <w:numPr>
          <w:ilvl w:val="0"/>
          <w:numId w:val="0"/>
        </w:numPr>
        <w:tabs>
          <w:tab w:val="left" w:pos="2160"/>
        </w:tabs>
        <w:kinsoku/>
        <w:wordWrap/>
        <w:overflowPunct w:val="0"/>
        <w:topLinePunct w:val="0"/>
        <w:autoSpaceDE/>
        <w:autoSpaceDN/>
        <w:bidi w:val="0"/>
        <w:adjustRightInd w:val="0"/>
        <w:snapToGrid w:val="0"/>
        <w:spacing w:after="0" w:line="576" w:lineRule="exact"/>
        <w:ind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highlight w:val="none"/>
          <w:u w:val="none"/>
        </w:rPr>
      </w:pPr>
      <w:r>
        <w:rPr>
          <w:rFonts w:hint="eastAsia" w:ascii="楷体_GB2312" w:hAnsi="楷体_GB2312" w:eastAsia="楷体_GB2312" w:cs="楷体_GB2312"/>
          <w:b w:val="0"/>
          <w:bCs w:val="0"/>
          <w:snapToGrid w:val="0"/>
          <w:color w:val="auto"/>
          <w:kern w:val="0"/>
          <w:position w:val="0"/>
          <w:sz w:val="32"/>
          <w:szCs w:val="32"/>
          <w:highlight w:val="none"/>
          <w:u w:val="none"/>
        </w:rPr>
        <w:t>（一）组织管理坚强有力。</w:t>
      </w:r>
      <w:r>
        <w:rPr>
          <w:rFonts w:hint="eastAsia" w:ascii="仿宋_GB2312" w:hAnsi="仿宋_GB2312" w:eastAsia="仿宋_GB2312" w:cs="仿宋_GB2312"/>
          <w:b w:val="0"/>
          <w:bCs w:val="0"/>
          <w:snapToGrid w:val="0"/>
          <w:color w:val="auto"/>
          <w:kern w:val="0"/>
          <w:position w:val="0"/>
          <w:sz w:val="32"/>
          <w:szCs w:val="32"/>
          <w:highlight w:val="none"/>
          <w:u w:val="none"/>
        </w:rPr>
        <w:t>持续完善“行政部门统筹抓总、专业机构督促指导、基层机构具体实施”推动基本公共卫生服务落实、落地、落细的齐抓共管工作机制。将绩效评价作为促进基本公共卫生服务项目实施的重要抓手，融入到项目实施的全过程管理之中。</w:t>
      </w:r>
    </w:p>
    <w:p w14:paraId="34D594BD">
      <w:pPr>
        <w:pStyle w:val="5"/>
        <w:keepNext w:val="0"/>
        <w:keepLines w:val="0"/>
        <w:pageBreakBefore w:val="0"/>
        <w:widowControl w:val="0"/>
        <w:numPr>
          <w:ilvl w:val="0"/>
          <w:numId w:val="0"/>
        </w:numPr>
        <w:tabs>
          <w:tab w:val="left" w:pos="2160"/>
        </w:tabs>
        <w:kinsoku/>
        <w:wordWrap/>
        <w:overflowPunct w:val="0"/>
        <w:topLinePunct w:val="0"/>
        <w:autoSpaceDE/>
        <w:autoSpaceDN/>
        <w:bidi w:val="0"/>
        <w:adjustRightInd w:val="0"/>
        <w:snapToGrid w:val="0"/>
        <w:spacing w:after="0" w:line="576" w:lineRule="exact"/>
        <w:ind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highlight w:val="none"/>
          <w:u w:val="none"/>
        </w:rPr>
      </w:pPr>
      <w:r>
        <w:rPr>
          <w:rFonts w:hint="eastAsia" w:ascii="楷体_GB2312" w:hAnsi="楷体_GB2312" w:eastAsia="楷体_GB2312" w:cs="楷体_GB2312"/>
          <w:b w:val="0"/>
          <w:bCs w:val="0"/>
          <w:snapToGrid w:val="0"/>
          <w:color w:val="auto"/>
          <w:kern w:val="0"/>
          <w:position w:val="0"/>
          <w:sz w:val="32"/>
          <w:szCs w:val="32"/>
          <w:highlight w:val="none"/>
          <w:u w:val="none"/>
        </w:rPr>
        <w:t>（二）专业机构密切协作。</w:t>
      </w:r>
      <w:r>
        <w:rPr>
          <w:rFonts w:hint="eastAsia" w:ascii="仿宋_GB2312" w:hAnsi="仿宋_GB2312" w:eastAsia="仿宋_GB2312" w:cs="仿宋_GB2312"/>
          <w:b w:val="0"/>
          <w:bCs w:val="0"/>
          <w:snapToGrid w:val="0"/>
          <w:color w:val="auto"/>
          <w:kern w:val="0"/>
          <w:position w:val="0"/>
          <w:sz w:val="32"/>
          <w:szCs w:val="32"/>
          <w:highlight w:val="none"/>
          <w:u w:val="none"/>
        </w:rPr>
        <w:t>市县两级专业机构利用绩效评价措施，定期和不定期地开展培训、检查和督导，督促基层机构严格对标相关规范做好重点人群的健康管理服务，乡村两级基层机构基本公共卫生服务管理水平持续得到提高，服务项目不断规范</w:t>
      </w:r>
      <w:r>
        <w:rPr>
          <w:rFonts w:hint="eastAsia" w:ascii="仿宋_GB2312" w:hAnsi="仿宋_GB2312" w:eastAsia="仿宋_GB2312" w:cs="仿宋_GB2312"/>
          <w:b w:val="0"/>
          <w:bCs w:val="0"/>
          <w:snapToGrid w:val="0"/>
          <w:color w:val="auto"/>
          <w:kern w:val="0"/>
          <w:position w:val="0"/>
          <w:sz w:val="32"/>
          <w:szCs w:val="32"/>
          <w:highlight w:val="none"/>
          <w:u w:val="none"/>
          <w:lang w:eastAsia="zh-CN"/>
        </w:rPr>
        <w:t>，</w:t>
      </w:r>
      <w:r>
        <w:rPr>
          <w:rFonts w:hint="eastAsia" w:ascii="仿宋_GB2312" w:hAnsi="仿宋_GB2312" w:eastAsia="仿宋_GB2312" w:cs="仿宋_GB2312"/>
          <w:b w:val="0"/>
          <w:bCs w:val="0"/>
          <w:snapToGrid w:val="0"/>
          <w:color w:val="auto"/>
          <w:kern w:val="0"/>
          <w:position w:val="0"/>
          <w:sz w:val="32"/>
          <w:szCs w:val="32"/>
          <w:highlight w:val="none"/>
          <w:u w:val="none"/>
        </w:rPr>
        <w:t>提高高血压、糖尿病患者规范化管理率和老年人健康管理率，主动加强对儿童口腔、眼保健和视力检查健康服务</w:t>
      </w:r>
      <w:r>
        <w:rPr>
          <w:rFonts w:hint="eastAsia" w:ascii="仿宋_GB2312" w:hAnsi="仿宋_GB2312" w:eastAsia="仿宋_GB2312" w:cs="仿宋_GB2312"/>
          <w:b w:val="0"/>
          <w:bCs w:val="0"/>
          <w:snapToGrid w:val="0"/>
          <w:color w:val="auto"/>
          <w:kern w:val="0"/>
          <w:position w:val="0"/>
          <w:sz w:val="32"/>
          <w:szCs w:val="32"/>
          <w:highlight w:val="none"/>
          <w:u w:val="none"/>
          <w:lang w:val="en-US" w:eastAsia="zh-CN"/>
        </w:rPr>
        <w:t>等</w:t>
      </w:r>
      <w:r>
        <w:rPr>
          <w:rFonts w:hint="eastAsia" w:ascii="仿宋_GB2312" w:hAnsi="仿宋_GB2312" w:eastAsia="仿宋_GB2312" w:cs="仿宋_GB2312"/>
          <w:b w:val="0"/>
          <w:bCs w:val="0"/>
          <w:snapToGrid w:val="0"/>
          <w:color w:val="auto"/>
          <w:kern w:val="0"/>
          <w:position w:val="0"/>
          <w:sz w:val="32"/>
          <w:szCs w:val="32"/>
          <w:highlight w:val="none"/>
          <w:u w:val="none"/>
        </w:rPr>
        <w:t>。</w:t>
      </w:r>
    </w:p>
    <w:p w14:paraId="60908003">
      <w:pPr>
        <w:pStyle w:val="5"/>
        <w:keepNext w:val="0"/>
        <w:keepLines w:val="0"/>
        <w:pageBreakBefore w:val="0"/>
        <w:widowControl w:val="0"/>
        <w:numPr>
          <w:ilvl w:val="0"/>
          <w:numId w:val="0"/>
        </w:numPr>
        <w:tabs>
          <w:tab w:val="left" w:pos="2160"/>
        </w:tabs>
        <w:kinsoku/>
        <w:wordWrap/>
        <w:overflowPunct w:val="0"/>
        <w:topLinePunct w:val="0"/>
        <w:autoSpaceDE/>
        <w:autoSpaceDN/>
        <w:bidi w:val="0"/>
        <w:adjustRightInd w:val="0"/>
        <w:snapToGrid w:val="0"/>
        <w:spacing w:after="0" w:line="576" w:lineRule="exact"/>
        <w:ind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highlight w:val="none"/>
          <w:u w:val="none"/>
        </w:rPr>
      </w:pPr>
      <w:r>
        <w:rPr>
          <w:rFonts w:hint="eastAsia" w:ascii="楷体_GB2312" w:hAnsi="楷体_GB2312" w:eastAsia="楷体_GB2312" w:cs="楷体_GB2312"/>
          <w:b w:val="0"/>
          <w:bCs w:val="0"/>
          <w:snapToGrid w:val="0"/>
          <w:color w:val="auto"/>
          <w:kern w:val="0"/>
          <w:position w:val="0"/>
          <w:sz w:val="32"/>
          <w:szCs w:val="32"/>
          <w:highlight w:val="none"/>
          <w:u w:val="none"/>
        </w:rPr>
        <w:t>（三）注重绩效评价全过程管理。</w:t>
      </w:r>
      <w:r>
        <w:rPr>
          <w:rFonts w:hint="eastAsia" w:ascii="仿宋_GB2312" w:hAnsi="仿宋_GB2312" w:eastAsia="仿宋_GB2312" w:cs="仿宋_GB2312"/>
          <w:b w:val="0"/>
          <w:bCs w:val="0"/>
          <w:snapToGrid w:val="0"/>
          <w:color w:val="auto"/>
          <w:kern w:val="0"/>
          <w:position w:val="0"/>
          <w:sz w:val="32"/>
          <w:szCs w:val="32"/>
          <w:highlight w:val="none"/>
          <w:u w:val="none"/>
        </w:rPr>
        <w:t>健全完善了年度绩效评价工作机制，将日常督导成效、远程数据核查、专业机构指导意见纳入年度绩效评价分值占比，邀请南充、广安、遂宁三市基本公共卫生服务专家参与到我市年度基本公共卫生服务现场评价之中。</w:t>
      </w:r>
    </w:p>
    <w:p w14:paraId="7ECDA836">
      <w:pPr>
        <w:pStyle w:val="5"/>
        <w:keepNext w:val="0"/>
        <w:keepLines w:val="0"/>
        <w:pageBreakBefore w:val="0"/>
        <w:widowControl w:val="0"/>
        <w:numPr>
          <w:ilvl w:val="0"/>
          <w:numId w:val="0"/>
        </w:numPr>
        <w:tabs>
          <w:tab w:val="left" w:pos="2160"/>
        </w:tabs>
        <w:kinsoku/>
        <w:wordWrap/>
        <w:overflowPunct w:val="0"/>
        <w:topLinePunct w:val="0"/>
        <w:autoSpaceDE/>
        <w:autoSpaceDN/>
        <w:bidi w:val="0"/>
        <w:adjustRightInd w:val="0"/>
        <w:snapToGrid w:val="0"/>
        <w:spacing w:after="0" w:line="576" w:lineRule="exact"/>
        <w:ind w:left="0" w:leftChars="0" w:firstLine="640" w:firstLineChars="200"/>
        <w:jc w:val="both"/>
        <w:textAlignment w:val="auto"/>
        <w:rPr>
          <w:rFonts w:hint="eastAsia" w:ascii="黑体" w:hAnsi="黑体" w:eastAsia="黑体" w:cs="黑体"/>
          <w:b w:val="0"/>
          <w:bCs w:val="0"/>
          <w:snapToGrid w:val="0"/>
          <w:color w:val="auto"/>
          <w:kern w:val="0"/>
          <w:position w:val="0"/>
          <w:sz w:val="32"/>
          <w:szCs w:val="32"/>
          <w:highlight w:val="none"/>
          <w:u w:val="none"/>
          <w:lang w:eastAsia="zh-CN"/>
        </w:rPr>
      </w:pPr>
      <w:r>
        <w:rPr>
          <w:rFonts w:hint="eastAsia" w:ascii="黑体" w:hAnsi="黑体" w:eastAsia="黑体" w:cs="黑体"/>
          <w:b w:val="0"/>
          <w:bCs w:val="0"/>
          <w:snapToGrid w:val="0"/>
          <w:color w:val="auto"/>
          <w:kern w:val="0"/>
          <w:position w:val="0"/>
          <w:sz w:val="32"/>
          <w:szCs w:val="32"/>
          <w:lang w:val="en-US" w:eastAsia="zh-CN" w:bidi="ar-SA"/>
        </w:rPr>
        <w:t>五、</w:t>
      </w:r>
      <w:r>
        <w:rPr>
          <w:rFonts w:hint="eastAsia" w:ascii="黑体" w:hAnsi="黑体" w:eastAsia="黑体" w:cs="黑体"/>
          <w:b w:val="0"/>
          <w:bCs w:val="0"/>
          <w:snapToGrid w:val="0"/>
          <w:color w:val="auto"/>
          <w:kern w:val="0"/>
          <w:position w:val="0"/>
          <w:sz w:val="32"/>
          <w:szCs w:val="32"/>
          <w:highlight w:val="none"/>
          <w:u w:val="none"/>
          <w:lang w:eastAsia="zh-CN"/>
        </w:rPr>
        <w:t>存在主要问题</w:t>
      </w:r>
    </w:p>
    <w:p w14:paraId="748E0E7B">
      <w:pPr>
        <w:pStyle w:val="5"/>
        <w:keepNext w:val="0"/>
        <w:keepLines w:val="0"/>
        <w:pageBreakBefore w:val="0"/>
        <w:widowControl w:val="0"/>
        <w:numPr>
          <w:ilvl w:val="0"/>
          <w:numId w:val="0"/>
        </w:numPr>
        <w:tabs>
          <w:tab w:val="left" w:pos="2160"/>
        </w:tabs>
        <w:kinsoku/>
        <w:wordWrap/>
        <w:overflowPunct w:val="0"/>
        <w:topLinePunct w:val="0"/>
        <w:autoSpaceDE/>
        <w:autoSpaceDN/>
        <w:bidi w:val="0"/>
        <w:adjustRightInd w:val="0"/>
        <w:snapToGrid w:val="0"/>
        <w:spacing w:after="0" w:line="576" w:lineRule="exact"/>
        <w:ind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highlight w:val="none"/>
          <w:u w:val="none"/>
          <w:lang w:val="en-US" w:eastAsia="zh-CN"/>
        </w:rPr>
      </w:pPr>
      <w:r>
        <w:rPr>
          <w:rFonts w:hint="eastAsia" w:ascii="仿宋_GB2312" w:hAnsi="仿宋_GB2312" w:eastAsia="仿宋_GB2312" w:cs="仿宋_GB2312"/>
          <w:b w:val="0"/>
          <w:bCs w:val="0"/>
          <w:snapToGrid w:val="0"/>
          <w:color w:val="auto"/>
          <w:kern w:val="0"/>
          <w:position w:val="0"/>
          <w:sz w:val="32"/>
          <w:szCs w:val="32"/>
          <w:highlight w:val="none"/>
          <w:u w:val="none"/>
          <w:lang w:val="en-US" w:eastAsia="zh-CN"/>
        </w:rPr>
        <w:t>2型糖尿病患者管理人数、65岁及以上老年人城乡社区规范健康管理服务率未达到指标设定值，还需进一步加强督导和管理。</w:t>
      </w:r>
    </w:p>
    <w:p w14:paraId="15D944C8">
      <w:pPr>
        <w:pStyle w:val="5"/>
        <w:keepNext w:val="0"/>
        <w:keepLines w:val="0"/>
        <w:pageBreakBefore w:val="0"/>
        <w:widowControl w:val="0"/>
        <w:numPr>
          <w:ilvl w:val="0"/>
          <w:numId w:val="0"/>
        </w:numPr>
        <w:tabs>
          <w:tab w:val="left" w:pos="2160"/>
        </w:tabs>
        <w:kinsoku/>
        <w:wordWrap/>
        <w:overflowPunct w:val="0"/>
        <w:topLinePunct w:val="0"/>
        <w:autoSpaceDE/>
        <w:autoSpaceDN/>
        <w:bidi w:val="0"/>
        <w:adjustRightInd w:val="0"/>
        <w:snapToGrid w:val="0"/>
        <w:spacing w:after="0" w:line="576" w:lineRule="exact"/>
        <w:ind w:left="0" w:leftChars="0" w:firstLine="640" w:firstLineChars="200"/>
        <w:jc w:val="both"/>
        <w:textAlignment w:val="auto"/>
        <w:rPr>
          <w:rFonts w:hint="eastAsia" w:ascii="黑体" w:hAnsi="黑体" w:eastAsia="黑体" w:cs="黑体"/>
          <w:b w:val="0"/>
          <w:bCs w:val="0"/>
          <w:snapToGrid w:val="0"/>
          <w:color w:val="auto"/>
          <w:kern w:val="0"/>
          <w:position w:val="0"/>
          <w:sz w:val="32"/>
          <w:szCs w:val="32"/>
          <w:highlight w:val="none"/>
          <w:u w:val="none"/>
          <w:lang w:val="zh-CN" w:eastAsia="zh-CN" w:bidi="ar-SA"/>
        </w:rPr>
      </w:pPr>
      <w:r>
        <w:rPr>
          <w:rFonts w:hint="eastAsia" w:ascii="黑体" w:hAnsi="黑体" w:eastAsia="黑体" w:cs="黑体"/>
          <w:b w:val="0"/>
          <w:bCs w:val="0"/>
          <w:snapToGrid w:val="0"/>
          <w:color w:val="auto"/>
          <w:kern w:val="0"/>
          <w:position w:val="0"/>
          <w:sz w:val="32"/>
          <w:szCs w:val="32"/>
          <w:lang w:val="zh-CN" w:eastAsia="zh-CN" w:bidi="ar-SA"/>
        </w:rPr>
        <w:t>六、</w:t>
      </w:r>
      <w:r>
        <w:rPr>
          <w:rFonts w:hint="eastAsia" w:ascii="黑体" w:hAnsi="黑体" w:eastAsia="黑体" w:cs="黑体"/>
          <w:b w:val="0"/>
          <w:bCs w:val="0"/>
          <w:snapToGrid w:val="0"/>
          <w:color w:val="auto"/>
          <w:kern w:val="0"/>
          <w:position w:val="0"/>
          <w:sz w:val="32"/>
          <w:szCs w:val="32"/>
          <w:highlight w:val="none"/>
          <w:u w:val="none"/>
          <w:lang w:val="zh-CN" w:eastAsia="zh-CN" w:bidi="ar-SA"/>
        </w:rPr>
        <w:t>改进建议</w:t>
      </w:r>
    </w:p>
    <w:p w14:paraId="484EFDA3">
      <w:pPr>
        <w:pStyle w:val="5"/>
        <w:keepNext w:val="0"/>
        <w:keepLines w:val="0"/>
        <w:pageBreakBefore w:val="0"/>
        <w:widowControl w:val="0"/>
        <w:numPr>
          <w:ilvl w:val="0"/>
          <w:numId w:val="0"/>
        </w:numPr>
        <w:tabs>
          <w:tab w:val="left" w:pos="2160"/>
        </w:tabs>
        <w:kinsoku/>
        <w:wordWrap/>
        <w:overflowPunct w:val="0"/>
        <w:topLinePunct w:val="0"/>
        <w:autoSpaceDE/>
        <w:autoSpaceDN/>
        <w:bidi w:val="0"/>
        <w:adjustRightInd w:val="0"/>
        <w:snapToGrid w:val="0"/>
        <w:spacing w:after="0" w:line="576" w:lineRule="exact"/>
        <w:ind w:leftChars="0" w:firstLine="640" w:firstLineChars="200"/>
        <w:jc w:val="both"/>
        <w:textAlignment w:val="auto"/>
        <w:rPr>
          <w:rFonts w:hint="default" w:ascii="仿宋_GB2312" w:hAnsi="仿宋_GB2312" w:eastAsia="仿宋_GB2312" w:cs="仿宋_GB2312"/>
          <w:b w:val="0"/>
          <w:bCs w:val="0"/>
          <w:snapToGrid w:val="0"/>
          <w:color w:val="auto"/>
          <w:kern w:val="0"/>
          <w:position w:val="0"/>
          <w:sz w:val="32"/>
          <w:szCs w:val="32"/>
          <w:highlight w:val="none"/>
          <w:u w:val="none"/>
          <w:lang w:val="en-US" w:eastAsia="zh-CN"/>
        </w:rPr>
      </w:pPr>
      <w:r>
        <w:rPr>
          <w:rFonts w:hint="eastAsia" w:ascii="仿宋_GB2312" w:hAnsi="仿宋_GB2312" w:eastAsia="仿宋_GB2312" w:cs="仿宋_GB2312"/>
          <w:b w:val="0"/>
          <w:bCs w:val="0"/>
          <w:snapToGrid w:val="0"/>
          <w:color w:val="auto"/>
          <w:kern w:val="0"/>
          <w:position w:val="0"/>
          <w:sz w:val="32"/>
          <w:szCs w:val="32"/>
          <w:highlight w:val="none"/>
          <w:u w:val="none"/>
          <w:lang w:val="en-US" w:eastAsia="zh-CN"/>
        </w:rPr>
        <w:t>一是加快预算资金拨付进度；二是进一步加强绩效指标考核力度；三是增设个性指标。</w:t>
      </w:r>
    </w:p>
    <w:p w14:paraId="554187A7">
      <w:pPr>
        <w:keepNext w:val="0"/>
        <w:keepLines w:val="0"/>
        <w:pageBreakBefore w:val="0"/>
        <w:kinsoku/>
        <w:wordWrap/>
        <w:overflowPunct/>
        <w:topLinePunct w:val="0"/>
        <w:autoSpaceDE/>
        <w:autoSpaceDN/>
        <w:bidi w:val="0"/>
        <w:adjustRightInd/>
        <w:snapToGrid w:val="0"/>
        <w:spacing w:line="578" w:lineRule="exact"/>
        <w:ind w:left="0" w:leftChars="0" w:firstLine="420" w:firstLineChars="200"/>
        <w:textAlignment w:val="auto"/>
        <w:outlineLvl w:val="9"/>
        <w:rPr>
          <w:rFonts w:hint="eastAsia" w:ascii="Times New Roman" w:hAnsi="Times New Roman" w:cs="Times New Roman"/>
          <w:b w:val="0"/>
          <w:bCs w:val="0"/>
          <w:snapToGrid w:val="0"/>
          <w:color w:val="auto"/>
          <w:kern w:val="0"/>
          <w:position w:val="0"/>
          <w:szCs w:val="32"/>
          <w:highlight w:val="none"/>
          <w:shd w:val="clear" w:color="auto" w:fill="FFFFFF"/>
          <w:lang w:val="zh-CN" w:eastAsia="zh-CN"/>
        </w:rPr>
      </w:pPr>
    </w:p>
    <w:p w14:paraId="64797693">
      <w:pPr>
        <w:rPr>
          <w:b w:val="0"/>
          <w:bCs w:val="0"/>
          <w:snapToGrid w:val="0"/>
          <w:color w:val="auto"/>
          <w:kern w:val="0"/>
          <w:position w:val="0"/>
        </w:rPr>
      </w:pPr>
    </w:p>
    <w:sectPr>
      <w:footerReference r:id="rId3" w:type="default"/>
      <w:pgSz w:w="11906" w:h="16838"/>
      <w:pgMar w:top="2098" w:right="1474" w:bottom="1984" w:left="1588" w:header="851" w:footer="1134"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3E78DC4-22BB-4AFB-9C89-9C3D02071BE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A662691-630D-4DC2-AA04-E103262A9201}"/>
  </w:font>
  <w:font w:name="??">
    <w:altName w:val="Times New Roman"/>
    <w:panose1 w:val="00000000000000000000"/>
    <w:charset w:val="00"/>
    <w:family w:val="roman"/>
    <w:pitch w:val="default"/>
    <w:sig w:usb0="00000000" w:usb1="00000000" w:usb2="00000000" w:usb3="00000000" w:csb0="00040001" w:csb1="00000000"/>
  </w:font>
  <w:font w:name="方正小标宋_GBK">
    <w:panose1 w:val="03000509000000000000"/>
    <w:charset w:val="86"/>
    <w:family w:val="auto"/>
    <w:pitch w:val="default"/>
    <w:sig w:usb0="00000001" w:usb1="080E0000" w:usb2="00000000" w:usb3="00000000" w:csb0="00040000" w:csb1="00000000"/>
    <w:embedRegular r:id="rId3" w:fontKey="{A32C5851-9C5A-479C-BD3C-2C82648BF358}"/>
  </w:font>
  <w:font w:name="仿宋_GB2312">
    <w:panose1 w:val="02010609030101010101"/>
    <w:charset w:val="86"/>
    <w:family w:val="modern"/>
    <w:pitch w:val="default"/>
    <w:sig w:usb0="00000001" w:usb1="080E0000" w:usb2="00000000" w:usb3="00000000" w:csb0="00040000" w:csb1="00000000"/>
    <w:embedRegular r:id="rId4" w:fontKey="{3A779693-1A31-4FE2-9CEC-0A0400A1DE13}"/>
  </w:font>
  <w:font w:name="楷体_GB2312">
    <w:panose1 w:val="02010609030101010101"/>
    <w:charset w:val="86"/>
    <w:family w:val="auto"/>
    <w:pitch w:val="default"/>
    <w:sig w:usb0="00000001" w:usb1="080E0000" w:usb2="00000000" w:usb3="00000000" w:csb0="00040000" w:csb1="00000000"/>
    <w:embedRegular r:id="rId5" w:fontKey="{E0D950C0-EA78-4668-AFA1-B2A842E4BF5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6A09E">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78944C">
                          <w:pPr>
                            <w:pStyle w:val="6"/>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D78944C">
                    <w:pPr>
                      <w:pStyle w:val="6"/>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lang w:val="en-US"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RlYTUzZGFlMmM4YmFjNTQwY2MzZDc0YjE2MWU2ZDQifQ=="/>
  </w:docVars>
  <w:rsids>
    <w:rsidRoot w:val="00000000"/>
    <w:rsid w:val="010356DC"/>
    <w:rsid w:val="012D3BDB"/>
    <w:rsid w:val="027473EA"/>
    <w:rsid w:val="03A6614D"/>
    <w:rsid w:val="03FF5FEC"/>
    <w:rsid w:val="05731302"/>
    <w:rsid w:val="05A82AC4"/>
    <w:rsid w:val="062F07EF"/>
    <w:rsid w:val="082A4E76"/>
    <w:rsid w:val="0974059C"/>
    <w:rsid w:val="0E5A03D3"/>
    <w:rsid w:val="0EF4563A"/>
    <w:rsid w:val="0F737E1A"/>
    <w:rsid w:val="111A016C"/>
    <w:rsid w:val="11A804F4"/>
    <w:rsid w:val="140136B7"/>
    <w:rsid w:val="18B26BC9"/>
    <w:rsid w:val="1EBC7E53"/>
    <w:rsid w:val="1FE741BD"/>
    <w:rsid w:val="236954FB"/>
    <w:rsid w:val="23827D58"/>
    <w:rsid w:val="23E84441"/>
    <w:rsid w:val="249A2A7B"/>
    <w:rsid w:val="250F722A"/>
    <w:rsid w:val="29E4095D"/>
    <w:rsid w:val="2A2B1C75"/>
    <w:rsid w:val="2B1A562B"/>
    <w:rsid w:val="2B762899"/>
    <w:rsid w:val="2D72527C"/>
    <w:rsid w:val="2F041F69"/>
    <w:rsid w:val="2FE87E8A"/>
    <w:rsid w:val="36C92B42"/>
    <w:rsid w:val="37326F60"/>
    <w:rsid w:val="389A2654"/>
    <w:rsid w:val="3AE1400C"/>
    <w:rsid w:val="3C4354AE"/>
    <w:rsid w:val="3E907559"/>
    <w:rsid w:val="41151DB4"/>
    <w:rsid w:val="424C74AA"/>
    <w:rsid w:val="438A7EF8"/>
    <w:rsid w:val="43C35C1B"/>
    <w:rsid w:val="46DB13AA"/>
    <w:rsid w:val="48A037F4"/>
    <w:rsid w:val="4AF57CD3"/>
    <w:rsid w:val="54D82CE8"/>
    <w:rsid w:val="57291DBA"/>
    <w:rsid w:val="591900EC"/>
    <w:rsid w:val="59C15A6E"/>
    <w:rsid w:val="5EEE5CC7"/>
    <w:rsid w:val="615F144C"/>
    <w:rsid w:val="62B5712C"/>
    <w:rsid w:val="63B67A31"/>
    <w:rsid w:val="63E87AF8"/>
    <w:rsid w:val="678C4C65"/>
    <w:rsid w:val="6892146F"/>
    <w:rsid w:val="694B03CC"/>
    <w:rsid w:val="70161521"/>
    <w:rsid w:val="711A74EF"/>
    <w:rsid w:val="730B4C41"/>
    <w:rsid w:val="737669FF"/>
    <w:rsid w:val="76BF3041"/>
    <w:rsid w:val="7BF422EC"/>
    <w:rsid w:val="7F150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qFormat/>
    <w:uiPriority w:val="99"/>
    <w:pPr>
      <w:spacing w:after="120"/>
      <w:ind w:left="420" w:leftChars="200"/>
    </w:pPr>
  </w:style>
  <w:style w:type="paragraph" w:styleId="4">
    <w:name w:val="index 6"/>
    <w:basedOn w:val="1"/>
    <w:next w:val="1"/>
    <w:qFormat/>
    <w:uiPriority w:val="0"/>
    <w:pPr>
      <w:ind w:left="2100"/>
    </w:pPr>
  </w:style>
  <w:style w:type="paragraph" w:styleId="5">
    <w:name w:val="Body Text"/>
    <w:basedOn w:val="1"/>
    <w:qFormat/>
    <w:uiPriority w:val="0"/>
    <w:pPr>
      <w:spacing w:before="0" w:after="140" w:line="276" w:lineRule="auto"/>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next w:val="4"/>
    <w:qFormat/>
    <w:uiPriority w:val="0"/>
    <w:pPr>
      <w:spacing w:beforeAutospacing="1" w:afterAutospacing="1"/>
      <w:jc w:val="left"/>
    </w:pPr>
    <w:rPr>
      <w:rFonts w:cs="Times New Roman"/>
      <w:kern w:val="0"/>
      <w:sz w:val="24"/>
    </w:rPr>
  </w:style>
  <w:style w:type="paragraph" w:customStyle="1" w:styleId="11">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12">
    <w:name w:val="样式1"/>
    <w:basedOn w:val="1"/>
    <w:qFormat/>
    <w:uiPriority w:val="0"/>
    <w:rPr>
      <w:b/>
      <w:color w:val="538135"/>
      <w:sz w:val="28"/>
    </w:rPr>
  </w:style>
  <w:style w:type="paragraph" w:customStyle="1" w:styleId="13">
    <w:name w:val="样式 小四 行距: 1.5 倍行距"/>
    <w:basedOn w:val="1"/>
    <w:qFormat/>
    <w:uiPriority w:val="0"/>
    <w:pPr>
      <w:spacing w:line="360" w:lineRule="auto"/>
      <w:ind w:firstLine="480" w:firstLineChars="200"/>
    </w:pPr>
    <w:rPr>
      <w:rFonts w:cs="宋体"/>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2476</Words>
  <Characters>2634</Characters>
  <Lines>0</Lines>
  <Paragraphs>0</Paragraphs>
  <TotalTime>5</TotalTime>
  <ScaleCrop>false</ScaleCrop>
  <LinksUpToDate>false</LinksUpToDate>
  <CharactersWithSpaces>2635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2024-09-19T01:03:00Z</dcterms:created>
  <dc:creator>dell</dc:creator>
  <cp:lastModifiedBy>这样就好</cp:lastModifiedBy>
  <dcterms:modified xsi:type="dcterms:W3CDTF">2024-09-24T07:21:24Z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53DCDF3366534BDDB2B85335CC135774_12</vt:lpwstr>
  </property>
</Properties>
</file>