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76DC">
      <w:pPr>
        <w:pStyle w:val="4"/>
        <w:keepNext w:val="0"/>
        <w:keepLines w:val="0"/>
        <w:pageBreakBefore w:val="0"/>
        <w:widowControl w:val="0"/>
        <w:kinsoku/>
        <w:wordWrap/>
        <w:overflowPunct w:val="0"/>
        <w:topLinePunct w:val="0"/>
        <w:autoSpaceDE/>
        <w:autoSpaceDN/>
        <w:bidi w:val="0"/>
        <w:adjustRightInd w:val="0"/>
        <w:snapToGrid w:val="0"/>
        <w:spacing w:after="0" w:line="576" w:lineRule="exact"/>
        <w:textAlignment w:val="auto"/>
        <w:rPr>
          <w:rFonts w:hint="eastAsia" w:ascii="黑体" w:hAnsi="黑体" w:eastAsia="黑体" w:cs="黑体"/>
          <w:snapToGrid w:val="0"/>
          <w:color w:val="auto"/>
          <w:kern w:val="0"/>
          <w:position w:val="0"/>
          <w:sz w:val="32"/>
          <w:szCs w:val="32"/>
          <w:highlight w:val="none"/>
          <w:shd w:val="clear" w:color="auto" w:fill="FFFFFF"/>
          <w:lang w:val="en-US" w:eastAsia="zh-CN"/>
        </w:rPr>
      </w:pPr>
      <w:r>
        <w:rPr>
          <w:rFonts w:hint="eastAsia" w:ascii="黑体" w:hAnsi="黑体" w:eastAsia="黑体" w:cs="黑体"/>
          <w:snapToGrid w:val="0"/>
          <w:color w:val="auto"/>
          <w:kern w:val="0"/>
          <w:position w:val="0"/>
          <w:sz w:val="32"/>
          <w:szCs w:val="32"/>
          <w:highlight w:val="none"/>
          <w:shd w:val="clear" w:color="auto" w:fill="FFFFFF"/>
          <w:lang w:val="zh-CN"/>
        </w:rPr>
        <w:t>附件</w:t>
      </w:r>
      <w:r>
        <w:rPr>
          <w:rFonts w:hint="eastAsia" w:ascii="黑体" w:hAnsi="黑体" w:eastAsia="黑体" w:cs="黑体"/>
          <w:snapToGrid w:val="0"/>
          <w:color w:val="auto"/>
          <w:kern w:val="0"/>
          <w:position w:val="0"/>
          <w:sz w:val="32"/>
          <w:szCs w:val="32"/>
          <w:highlight w:val="none"/>
          <w:shd w:val="clear" w:color="auto" w:fill="FFFFFF"/>
          <w:lang w:val="en-US" w:eastAsia="zh-CN"/>
        </w:rPr>
        <w:t>2</w:t>
      </w:r>
    </w:p>
    <w:p w14:paraId="1FE78518">
      <w:pPr>
        <w:rPr>
          <w:rFonts w:hint="eastAsia"/>
          <w:lang w:val="en-US" w:eastAsia="zh-CN"/>
        </w:rPr>
      </w:pPr>
    </w:p>
    <w:p w14:paraId="3CEC62C1">
      <w:pPr>
        <w:pStyle w:val="9"/>
        <w:keepNext w:val="0"/>
        <w:keepLines w:val="0"/>
        <w:pageBreakBefore w:val="0"/>
        <w:widowControl w:val="0"/>
        <w:kinsoku/>
        <w:wordWrap/>
        <w:overflowPunct w:val="0"/>
        <w:topLinePunct w:val="0"/>
        <w:autoSpaceDE/>
        <w:autoSpaceDN/>
        <w:bidi w:val="0"/>
        <w:adjustRightInd w:val="0"/>
        <w:snapToGrid w:val="0"/>
        <w:spacing w:line="740" w:lineRule="exact"/>
        <w:ind w:left="0" w:leftChars="0"/>
        <w:jc w:val="center"/>
        <w:textAlignment w:val="auto"/>
        <w:rPr>
          <w:rFonts w:hint="eastAsia" w:ascii="方正小标宋_GBK" w:hAnsi="方正小标宋_GBK" w:eastAsia="方正小标宋_GBK" w:cs="方正小标宋_GBK"/>
          <w:snapToGrid w:val="0"/>
          <w:color w:val="auto"/>
          <w:kern w:val="0"/>
          <w:position w:val="0"/>
          <w:sz w:val="44"/>
          <w:szCs w:val="44"/>
          <w:highlight w:val="none"/>
          <w:lang w:val="en-US" w:eastAsia="zh-CN"/>
        </w:rPr>
      </w:pPr>
      <w:r>
        <w:rPr>
          <w:rFonts w:hint="eastAsia" w:ascii="方正小标宋_GBK" w:hAnsi="方正小标宋_GBK" w:eastAsia="方正小标宋_GBK" w:cs="方正小标宋_GBK"/>
          <w:snapToGrid w:val="0"/>
          <w:color w:val="auto"/>
          <w:kern w:val="0"/>
          <w:position w:val="0"/>
          <w:sz w:val="44"/>
          <w:szCs w:val="44"/>
          <w:highlight w:val="none"/>
          <w:lang w:val="en-US" w:eastAsia="zh-CN"/>
        </w:rPr>
        <w:t>重大传染病专项预算项目绩效评价报告</w:t>
      </w:r>
    </w:p>
    <w:p w14:paraId="51DA7AF4">
      <w:pPr>
        <w:pStyle w:val="9"/>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rPr>
      </w:pPr>
    </w:p>
    <w:p w14:paraId="01C524B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lang w:val="zh-CN"/>
        </w:rPr>
      </w:pPr>
      <w:r>
        <w:rPr>
          <w:rFonts w:hint="eastAsia" w:ascii="黑体" w:hAnsi="黑体" w:eastAsia="黑体" w:cs="黑体"/>
          <w:b w:val="0"/>
          <w:bCs w:val="0"/>
          <w:snapToGrid w:val="0"/>
          <w:color w:val="auto"/>
          <w:kern w:val="0"/>
          <w:position w:val="0"/>
          <w:sz w:val="32"/>
          <w:szCs w:val="32"/>
          <w:highlight w:val="none"/>
        </w:rPr>
        <w:t>一、</w:t>
      </w:r>
      <w:r>
        <w:rPr>
          <w:rFonts w:hint="eastAsia" w:ascii="黑体" w:hAnsi="黑体" w:eastAsia="黑体" w:cs="黑体"/>
          <w:b w:val="0"/>
          <w:bCs w:val="0"/>
          <w:snapToGrid w:val="0"/>
          <w:color w:val="auto"/>
          <w:kern w:val="0"/>
          <w:position w:val="0"/>
          <w:sz w:val="32"/>
          <w:szCs w:val="32"/>
          <w:highlight w:val="none"/>
          <w:lang w:val="zh-CN"/>
        </w:rPr>
        <w:t>项目概况</w:t>
      </w:r>
    </w:p>
    <w:p w14:paraId="4A38DA8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（一）设立背景及基本情况。</w:t>
      </w:r>
    </w:p>
    <w:p w14:paraId="44D1D4DA">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zh-CN"/>
        </w:rPr>
      </w:pPr>
      <w:r>
        <w:rPr>
          <w:rFonts w:hint="eastAsia" w:ascii="仿宋_GB2312" w:hAnsi="仿宋_GB2312" w:eastAsia="仿宋_GB2312" w:cs="仿宋_GB2312"/>
          <w:b w:val="0"/>
          <w:bCs w:val="0"/>
          <w:snapToGrid w:val="0"/>
          <w:color w:val="auto"/>
          <w:kern w:val="0"/>
          <w:position w:val="0"/>
          <w:sz w:val="32"/>
          <w:szCs w:val="32"/>
          <w:highlight w:val="none"/>
          <w:u w:val="none"/>
          <w:lang w:val="zh-CN"/>
        </w:rPr>
        <w:t>为了预防、控制和消除传染病的发生与流行，保障人体健康和公共卫生，推动健康中国建设，贯彻落实全国卫生与健康大会精神以及《“健康中国2030”规划纲要》要求，全面落实《中华人民共和国传染病防治法》和《艾滋病防治条例》等法律法规，进一步推动重大传染病防治工作，解决当前公共卫生防治工作中的重点和难点问题，坚持以“预防为主”的总方针，防治结合、分类管理、依靠科学、依靠群众，结合各类宣传教育活动，最大限度发现感染者和病人，有效控制传播源和传播途径，降低病死率，不断提高人民生活质量。此项工作由市卫生健康委负责牵总推动、各县（区）卫生健康局具体统筹、各级疾控机构具体实施、各基层医疗卫生机构配合落实。2023年具体</w:t>
      </w:r>
      <w:r>
        <w:rPr>
          <w:rFonts w:hint="eastAsia" w:ascii="仿宋_GB2312" w:hAnsi="仿宋_GB2312" w:eastAsia="仿宋_GB2312" w:cs="仿宋_GB2312"/>
          <w:b w:val="0"/>
          <w:bCs w:val="0"/>
          <w:snapToGrid w:val="0"/>
          <w:color w:val="auto"/>
          <w:kern w:val="0"/>
          <w:position w:val="0"/>
          <w:sz w:val="32"/>
          <w:szCs w:val="32"/>
          <w:highlight w:val="none"/>
          <w:u w:val="none"/>
          <w:lang w:val="en-US" w:eastAsia="zh-CN"/>
        </w:rPr>
        <w:t>实施</w:t>
      </w:r>
      <w:r>
        <w:rPr>
          <w:rFonts w:hint="eastAsia" w:ascii="仿宋_GB2312" w:hAnsi="仿宋_GB2312" w:eastAsia="仿宋_GB2312" w:cs="仿宋_GB2312"/>
          <w:b w:val="0"/>
          <w:bCs w:val="0"/>
          <w:snapToGrid w:val="0"/>
          <w:color w:val="auto"/>
          <w:kern w:val="0"/>
          <w:position w:val="0"/>
          <w:sz w:val="32"/>
          <w:szCs w:val="32"/>
          <w:highlight w:val="none"/>
          <w:u w:val="none"/>
          <w:lang w:val="zh-CN"/>
        </w:rPr>
        <w:t>了</w:t>
      </w:r>
      <w:r>
        <w:rPr>
          <w:rFonts w:hint="eastAsia" w:ascii="仿宋_GB2312" w:hAnsi="仿宋_GB2312" w:eastAsia="仿宋_GB2312" w:cs="仿宋_GB2312"/>
          <w:b w:val="0"/>
          <w:bCs w:val="0"/>
          <w:snapToGrid w:val="0"/>
          <w:color w:val="auto"/>
          <w:kern w:val="0"/>
          <w:position w:val="0"/>
          <w:sz w:val="32"/>
          <w:szCs w:val="32"/>
          <w:highlight w:val="none"/>
          <w:u w:val="none"/>
          <w:lang w:val="en-US" w:eastAsia="zh-CN"/>
        </w:rPr>
        <w:t>艾滋病、结核病、</w:t>
      </w:r>
      <w:r>
        <w:rPr>
          <w:rFonts w:hint="eastAsia" w:ascii="仿宋_GB2312" w:hAnsi="仿宋_GB2312" w:eastAsia="仿宋_GB2312" w:cs="仿宋_GB2312"/>
          <w:b w:val="0"/>
          <w:bCs w:val="0"/>
          <w:snapToGrid w:val="0"/>
          <w:color w:val="auto"/>
          <w:kern w:val="0"/>
          <w:position w:val="0"/>
          <w:sz w:val="32"/>
          <w:szCs w:val="32"/>
          <w:highlight w:val="none"/>
          <w:u w:val="none"/>
          <w:lang w:val="zh-CN"/>
        </w:rPr>
        <w:t>国家扩大免疫规划、慢性病防治、精神卫生防治、重点传染病及健康危害因素监测、血吸虫病等项目。</w:t>
      </w:r>
    </w:p>
    <w:p w14:paraId="26C806D7">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pPr>
      <w:r>
        <w:rPr>
          <w:rFonts w:hint="eastAsia" w:ascii="楷体_GB2312" w:hAnsi="楷体_GB2312" w:eastAsia="楷体_GB2312" w:cs="楷体_GB2312"/>
          <w:b w:val="0"/>
          <w:bCs w:val="0"/>
          <w:snapToGrid w:val="0"/>
          <w:color w:val="auto"/>
          <w:kern w:val="0"/>
          <w:position w:val="0"/>
          <w:sz w:val="32"/>
          <w:szCs w:val="32"/>
          <w:lang w:val="en-US" w:eastAsia="zh-CN" w:bidi="ar-SA"/>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实施目的及支持方向。</w:t>
      </w:r>
    </w:p>
    <w:p w14:paraId="2E47FDBB">
      <w:pPr>
        <w:pStyle w:val="4"/>
        <w:keepNext w:val="0"/>
        <w:keepLines w:val="0"/>
        <w:pageBreakBefore w:val="0"/>
        <w:widowControl w:val="0"/>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我委于2023年5月9日印发了《广元市卫生健康预算效管理办法的通知》（广卫发〔2023〕4号），进一步规范绩效管理全过程工作流程。</w:t>
      </w:r>
      <w:r>
        <w:rPr>
          <w:rFonts w:hint="eastAsia" w:ascii="仿宋_GB2312" w:hAnsi="仿宋_GB2312" w:eastAsia="仿宋_GB2312" w:cs="仿宋_GB2312"/>
          <w:b w:val="0"/>
          <w:bCs w:val="0"/>
          <w:snapToGrid w:val="0"/>
          <w:color w:val="auto"/>
          <w:kern w:val="0"/>
          <w:position w:val="0"/>
          <w:sz w:val="32"/>
          <w:szCs w:val="32"/>
          <w:highlight w:val="none"/>
          <w:u w:val="none"/>
          <w:lang w:val="en-US" w:eastAsia="zh-CN"/>
        </w:rPr>
        <w:t>2023年，我市进一步强化政府主导、部门协同、全社会共同参与的防治机制，以市政府办公室名义印发《2023年广元市艾滋病防治工作重点任务分解表》，全面落实艾滋病和性病预防各项防控措施。</w:t>
      </w:r>
    </w:p>
    <w:p w14:paraId="05C111A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pPr>
      <w:r>
        <w:rPr>
          <w:rFonts w:hint="eastAsia" w:ascii="楷体_GB2312" w:hAnsi="楷体_GB2312" w:eastAsia="楷体_GB2312" w:cs="楷体_GB2312"/>
          <w:b w:val="0"/>
          <w:bCs w:val="0"/>
          <w:snapToGrid w:val="0"/>
          <w:color w:val="auto"/>
          <w:kern w:val="0"/>
          <w:position w:val="0"/>
          <w:sz w:val="32"/>
          <w:szCs w:val="32"/>
          <w:lang w:val="zh-CN" w:eastAsia="zh-CN" w:bidi="ar-SA"/>
        </w:rPr>
        <w:t>（三）</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预算安排及分配管理</w:t>
      </w: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w:t>
      </w:r>
    </w:p>
    <w:p w14:paraId="648E44C2">
      <w:pPr>
        <w:pStyle w:val="10"/>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重大传染病项目资金由中央、省、市县</w:t>
      </w:r>
      <w:bookmarkStart w:id="0" w:name="_GoBack"/>
      <w:bookmarkEnd w:id="0"/>
      <w:r>
        <w:rPr>
          <w:rFonts w:hint="eastAsia" w:ascii="仿宋_GB2312" w:hAnsi="仿宋_GB2312" w:eastAsia="仿宋_GB2312" w:cs="仿宋_GB2312"/>
          <w:b w:val="0"/>
          <w:bCs w:val="0"/>
          <w:snapToGrid w:val="0"/>
          <w:color w:val="auto"/>
          <w:kern w:val="0"/>
          <w:position w:val="0"/>
          <w:sz w:val="32"/>
          <w:szCs w:val="32"/>
          <w:lang w:val="en-US" w:eastAsia="zh-CN" w:bidi="ar-SA"/>
        </w:rPr>
        <w:t>资金构成，总预算数为3734.22万元、执行数1936.37万元，资金执行率为51.85%，其中中央资金预算数3540.73万元、执行数为1874.06万元，执行率为52.93%；省级资金预算数为0万元、执行数为0万元，执行率为0%；市县资金预算数为193.49万元、执行数为62.31万元，执行率为32.20%。</w:t>
      </w:r>
    </w:p>
    <w:p w14:paraId="7C2675F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pPr>
      <w:r>
        <w:rPr>
          <w:rFonts w:hint="eastAsia" w:ascii="楷体_GB2312" w:hAnsi="楷体_GB2312" w:eastAsia="楷体_GB2312" w:cs="楷体_GB2312"/>
          <w:b w:val="0"/>
          <w:bCs w:val="0"/>
          <w:snapToGrid w:val="0"/>
          <w:color w:val="auto"/>
          <w:kern w:val="0"/>
          <w:position w:val="0"/>
          <w:sz w:val="32"/>
          <w:szCs w:val="32"/>
          <w:lang w:val="zh-CN" w:eastAsia="zh-CN" w:bidi="ar-SA"/>
        </w:rPr>
        <w:t>（四）</w:t>
      </w: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项目绩效目标设置。</w:t>
      </w:r>
    </w:p>
    <w:p w14:paraId="5018C6D6">
      <w:pPr>
        <w:pStyle w:val="4"/>
        <w:keepNext w:val="0"/>
        <w:keepLines w:val="0"/>
        <w:pageBreakBefore w:val="0"/>
        <w:widowControl w:val="0"/>
        <w:numPr>
          <w:ilvl w:val="0"/>
          <w:numId w:val="0"/>
        </w:numPr>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bidi="ar-SA"/>
        </w:rPr>
        <w:t>对标省财政部厅、省卫生健康委、省医保局、省中医药局《关于印发公共卫生服务等5项补助资金管理办法的通知》（川财社〔2022〕112号）精神和省级下发的“绩效目标表”进行目标设置，并按照目标设置进行相关绩效考核。</w:t>
      </w:r>
    </w:p>
    <w:p w14:paraId="047B02F6">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黑体" w:hAnsi="黑体" w:eastAsia="黑体" w:cs="黑体"/>
          <w:b w:val="0"/>
          <w:bCs w:val="0"/>
          <w:snapToGrid w:val="0"/>
          <w:color w:val="auto"/>
          <w:kern w:val="0"/>
          <w:position w:val="0"/>
          <w:sz w:val="32"/>
          <w:szCs w:val="32"/>
          <w:highlight w:val="none"/>
          <w:lang w:eastAsia="zh-CN"/>
        </w:rPr>
      </w:pPr>
      <w:r>
        <w:rPr>
          <w:rFonts w:hint="eastAsia" w:ascii="黑体" w:hAnsi="黑体" w:eastAsia="黑体" w:cs="黑体"/>
          <w:b w:val="0"/>
          <w:bCs w:val="0"/>
          <w:snapToGrid w:val="0"/>
          <w:color w:val="auto"/>
          <w:kern w:val="0"/>
          <w:position w:val="0"/>
          <w:sz w:val="32"/>
          <w:szCs w:val="32"/>
          <w:highlight w:val="none"/>
        </w:rPr>
        <w:t>二、</w:t>
      </w:r>
      <w:r>
        <w:rPr>
          <w:rFonts w:hint="eastAsia" w:ascii="黑体" w:hAnsi="黑体" w:eastAsia="黑体" w:cs="黑体"/>
          <w:b w:val="0"/>
          <w:bCs w:val="0"/>
          <w:snapToGrid w:val="0"/>
          <w:color w:val="auto"/>
          <w:kern w:val="0"/>
          <w:position w:val="0"/>
          <w:sz w:val="32"/>
          <w:szCs w:val="32"/>
          <w:highlight w:val="none"/>
          <w:lang w:eastAsia="zh-CN"/>
        </w:rPr>
        <w:t>评价实施</w:t>
      </w:r>
    </w:p>
    <w:p w14:paraId="3652A06D">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（一）评价目的。</w:t>
      </w:r>
    </w:p>
    <w:p w14:paraId="73DD6D48">
      <w:pPr>
        <w:pStyle w:val="4"/>
        <w:keepNext w:val="0"/>
        <w:keepLines w:val="0"/>
        <w:pageBreakBefore w:val="0"/>
        <w:widowControl w:val="0"/>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highlight w:val="none"/>
          <w:u w:val="none"/>
          <w:lang w:val="zh-CN" w:eastAsia="zh-CN" w:bidi="ar-SA"/>
        </w:rPr>
        <w:t>一是</w:t>
      </w:r>
      <w:r>
        <w:rPr>
          <w:rFonts w:hint="eastAsia" w:ascii="仿宋_GB2312" w:hAnsi="仿宋_GB2312" w:eastAsia="仿宋_GB2312" w:cs="仿宋_GB2312"/>
          <w:b w:val="0"/>
          <w:bCs w:val="0"/>
          <w:snapToGrid w:val="0"/>
          <w:color w:val="auto"/>
          <w:spacing w:val="-6"/>
          <w:kern w:val="0"/>
          <w:position w:val="0"/>
          <w:sz w:val="32"/>
          <w:szCs w:val="32"/>
          <w:highlight w:val="none"/>
          <w:u w:val="none"/>
          <w:lang w:val="zh-CN" w:eastAsia="zh-CN" w:bidi="ar-SA"/>
        </w:rPr>
        <w:t>组织保障、管理制度、人员及经费保障是否健全；二是资金拨付、资金使用是否规范；三是具体项目实施是否按要求完成。</w:t>
      </w:r>
    </w:p>
    <w:p w14:paraId="29AD9618">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（二）</w:t>
      </w:r>
      <w:r>
        <w:rPr>
          <w:rFonts w:hint="eastAsia" w:ascii="楷体_GB2312" w:hAnsi="楷体_GB2312" w:eastAsia="楷体_GB2312" w:cs="楷体_GB2312"/>
          <w:b w:val="0"/>
          <w:bCs w:val="0"/>
          <w:snapToGrid w:val="0"/>
          <w:color w:val="auto"/>
          <w:kern w:val="0"/>
          <w:position w:val="0"/>
          <w:sz w:val="32"/>
          <w:szCs w:val="32"/>
          <w:highlight w:val="none"/>
          <w:u w:val="none"/>
          <w:lang w:val="zh-CN"/>
        </w:rPr>
        <w:t>预设问题及评价重点。</w:t>
      </w:r>
    </w:p>
    <w:p w14:paraId="544C53B7">
      <w:pPr>
        <w:pStyle w:val="4"/>
        <w:keepNext w:val="0"/>
        <w:keepLines w:val="0"/>
        <w:pageBreakBefore w:val="0"/>
        <w:widowControl w:val="0"/>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zh-CN"/>
        </w:rPr>
      </w:pPr>
      <w:r>
        <w:rPr>
          <w:rFonts w:hint="eastAsia" w:ascii="仿宋_GB2312" w:hAnsi="仿宋_GB2312" w:eastAsia="仿宋_GB2312" w:cs="仿宋_GB2312"/>
          <w:b w:val="0"/>
          <w:bCs w:val="0"/>
          <w:snapToGrid w:val="0"/>
          <w:color w:val="auto"/>
          <w:kern w:val="0"/>
          <w:position w:val="0"/>
          <w:sz w:val="32"/>
          <w:szCs w:val="32"/>
          <w:lang w:val="en-US" w:eastAsia="zh-CN"/>
        </w:rPr>
        <w:t>项目资金分配使用符合川财社〔2022〕156号、川财社〔2023〕90号文件要求，项目进度按照实施方案有序开展。</w:t>
      </w:r>
    </w:p>
    <w:p w14:paraId="681EA918">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（三）</w:t>
      </w:r>
      <w:r>
        <w:rPr>
          <w:rFonts w:hint="eastAsia" w:ascii="楷体_GB2312" w:hAnsi="楷体_GB2312" w:eastAsia="楷体_GB2312" w:cs="楷体_GB2312"/>
          <w:b w:val="0"/>
          <w:bCs w:val="0"/>
          <w:snapToGrid w:val="0"/>
          <w:color w:val="auto"/>
          <w:kern w:val="0"/>
          <w:position w:val="0"/>
          <w:sz w:val="32"/>
          <w:szCs w:val="32"/>
          <w:highlight w:val="none"/>
          <w:u w:val="none"/>
          <w:lang w:val="zh-CN"/>
        </w:rPr>
        <w:t>评价选点。</w:t>
      </w:r>
    </w:p>
    <w:p w14:paraId="490A41E0">
      <w:pPr>
        <w:pStyle w:val="4"/>
        <w:keepNext w:val="0"/>
        <w:keepLines w:val="0"/>
        <w:pageBreakBefore w:val="0"/>
        <w:widowControl w:val="0"/>
        <w:numPr>
          <w:ilvl w:val="0"/>
          <w:numId w:val="0"/>
        </w:numPr>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zh-CN" w:eastAsia="zh-CN"/>
        </w:rPr>
        <w:t>对全市7个县（区）开展全覆盖的检查。</w:t>
      </w:r>
    </w:p>
    <w:p w14:paraId="16BAE1EC">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（四）评价方法。</w:t>
      </w:r>
    </w:p>
    <w:p w14:paraId="66EAC597">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单位自评法</w:t>
      </w:r>
    </w:p>
    <w:p w14:paraId="725FD925">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（五）</w:t>
      </w:r>
      <w:r>
        <w:rPr>
          <w:rFonts w:hint="eastAsia" w:ascii="楷体_GB2312" w:hAnsi="楷体_GB2312" w:eastAsia="楷体_GB2312" w:cs="楷体_GB2312"/>
          <w:b w:val="0"/>
          <w:bCs w:val="0"/>
          <w:snapToGrid w:val="0"/>
          <w:color w:val="auto"/>
          <w:kern w:val="0"/>
          <w:position w:val="0"/>
          <w:sz w:val="32"/>
          <w:szCs w:val="32"/>
          <w:highlight w:val="none"/>
          <w:u w:val="none"/>
          <w:lang w:val="zh-CN"/>
        </w:rPr>
        <w:t>评价组织。</w:t>
      </w:r>
    </w:p>
    <w:p w14:paraId="4221D7CF">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联</w:t>
      </w:r>
      <w:r>
        <w:rPr>
          <w:rFonts w:hint="eastAsia" w:ascii="仿宋_GB2312" w:hAnsi="仿宋_GB2312" w:eastAsia="仿宋_GB2312" w:cs="仿宋_GB2312"/>
          <w:b w:val="0"/>
          <w:bCs w:val="0"/>
          <w:snapToGrid w:val="0"/>
          <w:color w:val="auto"/>
          <w:spacing w:val="-6"/>
          <w:kern w:val="0"/>
          <w:position w:val="0"/>
          <w:sz w:val="32"/>
          <w:szCs w:val="32"/>
          <w:lang w:val="en-US" w:eastAsia="zh-CN" w:bidi="ar-SA"/>
        </w:rPr>
        <w:t>合市财政局、市医保局、市公安局等部门开展联合绩效评估。</w:t>
      </w:r>
    </w:p>
    <w:p w14:paraId="27DB1CD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rPr>
      </w:pPr>
      <w:r>
        <w:rPr>
          <w:rFonts w:hint="eastAsia" w:ascii="黑体" w:hAnsi="黑体" w:eastAsia="黑体" w:cs="黑体"/>
          <w:b w:val="0"/>
          <w:bCs w:val="0"/>
          <w:snapToGrid w:val="0"/>
          <w:color w:val="auto"/>
          <w:kern w:val="0"/>
          <w:position w:val="0"/>
          <w:sz w:val="32"/>
          <w:szCs w:val="32"/>
          <w:highlight w:val="none"/>
          <w:u w:val="none"/>
        </w:rPr>
        <w:t>三、</w:t>
      </w:r>
      <w:r>
        <w:rPr>
          <w:rFonts w:hint="eastAsia" w:ascii="黑体" w:hAnsi="黑体" w:eastAsia="黑体" w:cs="黑体"/>
          <w:b w:val="0"/>
          <w:bCs w:val="0"/>
          <w:snapToGrid w:val="0"/>
          <w:color w:val="auto"/>
          <w:kern w:val="0"/>
          <w:position w:val="0"/>
          <w:sz w:val="32"/>
          <w:szCs w:val="32"/>
          <w:highlight w:val="none"/>
          <w:u w:val="none"/>
          <w:lang w:eastAsia="zh-CN"/>
        </w:rPr>
        <w:t>绩效分析</w:t>
      </w:r>
      <w:r>
        <w:rPr>
          <w:rFonts w:hint="eastAsia" w:ascii="黑体" w:hAnsi="黑体" w:eastAsia="黑体" w:cs="黑体"/>
          <w:b w:val="0"/>
          <w:bCs w:val="0"/>
          <w:snapToGrid w:val="0"/>
          <w:color w:val="auto"/>
          <w:kern w:val="0"/>
          <w:position w:val="0"/>
          <w:sz w:val="32"/>
          <w:szCs w:val="32"/>
          <w:highlight w:val="none"/>
          <w:u w:val="none"/>
          <w:lang w:val="zh-CN"/>
        </w:rPr>
        <w:tab/>
      </w:r>
    </w:p>
    <w:p w14:paraId="04952E9C">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通用指标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380BD17F">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snapToGrid w:val="0"/>
          <w:color w:val="auto"/>
          <w:kern w:val="0"/>
          <w:position w:val="0"/>
          <w:sz w:val="32"/>
          <w:szCs w:val="32"/>
          <w:lang w:val="en-US" w:eastAsia="zh-CN"/>
        </w:rPr>
        <w:t>1.</w:t>
      </w:r>
      <w:r>
        <w:rPr>
          <w:rFonts w:hint="eastAsia" w:ascii="仿宋_GB2312" w:hAnsi="仿宋_GB2312" w:eastAsia="仿宋_GB2312" w:cs="仿宋_GB2312"/>
          <w:b w:val="0"/>
          <w:bCs w:val="0"/>
          <w:snapToGrid w:val="0"/>
          <w:color w:val="auto"/>
          <w:kern w:val="0"/>
          <w:position w:val="0"/>
          <w:sz w:val="32"/>
          <w:szCs w:val="32"/>
          <w:lang w:eastAsia="zh-CN"/>
        </w:rPr>
        <w:t>项目决策。</w:t>
      </w:r>
    </w:p>
    <w:p w14:paraId="786CEF9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资金使用</w:t>
      </w:r>
      <w:r>
        <w:rPr>
          <w:rFonts w:hint="eastAsia" w:ascii="仿宋_GB2312" w:hAnsi="仿宋_GB2312" w:eastAsia="仿宋_GB2312" w:cs="仿宋_GB2312"/>
          <w:b w:val="0"/>
          <w:bCs w:val="0"/>
          <w:snapToGrid w:val="0"/>
          <w:color w:val="auto"/>
          <w:kern w:val="0"/>
          <w:position w:val="0"/>
          <w:sz w:val="32"/>
          <w:szCs w:val="32"/>
          <w:lang w:val="zh-CN" w:eastAsia="zh-CN"/>
        </w:rPr>
        <w:t>项目设立、调整延续等方面符合资金管理基本规范和决策程序</w:t>
      </w:r>
      <w:r>
        <w:rPr>
          <w:rFonts w:hint="eastAsia" w:ascii="仿宋_GB2312" w:hAnsi="仿宋_GB2312" w:eastAsia="仿宋_GB2312" w:cs="仿宋_GB2312"/>
          <w:b w:val="0"/>
          <w:bCs w:val="0"/>
          <w:snapToGrid w:val="0"/>
          <w:color w:val="auto"/>
          <w:kern w:val="0"/>
          <w:position w:val="0"/>
          <w:sz w:val="32"/>
          <w:szCs w:val="32"/>
          <w:lang w:val="en-US" w:eastAsia="zh-CN"/>
        </w:rPr>
        <w:t>要求，项目决策程序严密，得6分；项目规划论证符合中省要求，项目绩效目标设置科学合理，得6分；项目资金使用</w:t>
      </w:r>
      <w:r>
        <w:rPr>
          <w:rFonts w:hint="eastAsia" w:ascii="仿宋_GB2312" w:hAnsi="仿宋_GB2312" w:eastAsia="仿宋_GB2312" w:cs="仿宋_GB2312"/>
          <w:b w:val="0"/>
          <w:bCs w:val="0"/>
          <w:snapToGrid w:val="0"/>
          <w:color w:val="auto"/>
          <w:kern w:val="0"/>
          <w:position w:val="0"/>
          <w:sz w:val="32"/>
          <w:szCs w:val="32"/>
        </w:rPr>
        <w:t>按照</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财政部</w:t>
      </w:r>
      <w:r>
        <w:rPr>
          <w:rFonts w:hint="eastAsia" w:ascii="仿宋_GB2312" w:hAnsi="仿宋_GB2312" w:eastAsia="仿宋_GB2312" w:cs="仿宋_GB2312"/>
          <w:b w:val="0"/>
          <w:bCs w:val="0"/>
          <w:snapToGrid w:val="0"/>
          <w:color w:val="auto"/>
          <w:kern w:val="0"/>
          <w:position w:val="0"/>
          <w:sz w:val="32"/>
          <w:szCs w:val="32"/>
          <w:lang w:val="en-US" w:eastAsia="zh-CN"/>
        </w:rPr>
        <w:t>厅</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卫生健康委、</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医保局、</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中医药局《关于</w:t>
      </w:r>
      <w:r>
        <w:rPr>
          <w:rFonts w:hint="eastAsia" w:ascii="仿宋_GB2312" w:hAnsi="仿宋_GB2312" w:eastAsia="仿宋_GB2312" w:cs="仿宋_GB2312"/>
          <w:b w:val="0"/>
          <w:bCs w:val="0"/>
          <w:snapToGrid w:val="0"/>
          <w:color w:val="auto"/>
          <w:kern w:val="0"/>
          <w:position w:val="0"/>
          <w:sz w:val="32"/>
          <w:szCs w:val="32"/>
          <w:lang w:val="en-US" w:eastAsia="zh-CN"/>
        </w:rPr>
        <w:t>印发</w:t>
      </w:r>
      <w:r>
        <w:rPr>
          <w:rFonts w:hint="eastAsia" w:ascii="仿宋_GB2312" w:hAnsi="仿宋_GB2312" w:eastAsia="仿宋_GB2312" w:cs="仿宋_GB2312"/>
          <w:b w:val="0"/>
          <w:bCs w:val="0"/>
          <w:snapToGrid w:val="0"/>
          <w:color w:val="auto"/>
          <w:kern w:val="0"/>
          <w:position w:val="0"/>
          <w:sz w:val="32"/>
          <w:szCs w:val="32"/>
        </w:rPr>
        <w:t>公共卫生服务等5项补助资金管理办法的通知》（</w:t>
      </w:r>
      <w:r>
        <w:rPr>
          <w:rFonts w:hint="eastAsia" w:ascii="仿宋_GB2312" w:hAnsi="仿宋_GB2312" w:eastAsia="仿宋_GB2312" w:cs="仿宋_GB2312"/>
          <w:b w:val="0"/>
          <w:bCs w:val="0"/>
          <w:snapToGrid w:val="0"/>
          <w:color w:val="auto"/>
          <w:kern w:val="0"/>
          <w:position w:val="0"/>
          <w:sz w:val="32"/>
          <w:szCs w:val="32"/>
          <w:lang w:val="en-US" w:eastAsia="zh-CN"/>
        </w:rPr>
        <w:t>川</w:t>
      </w:r>
      <w:r>
        <w:rPr>
          <w:rFonts w:hint="eastAsia" w:ascii="仿宋_GB2312" w:hAnsi="仿宋_GB2312" w:eastAsia="仿宋_GB2312" w:cs="仿宋_GB2312"/>
          <w:b w:val="0"/>
          <w:bCs w:val="0"/>
          <w:snapToGrid w:val="0"/>
          <w:color w:val="auto"/>
          <w:kern w:val="0"/>
          <w:position w:val="0"/>
          <w:sz w:val="32"/>
          <w:szCs w:val="32"/>
        </w:rPr>
        <w:t>财社〔2022〕</w:t>
      </w:r>
      <w:r>
        <w:rPr>
          <w:rFonts w:hint="eastAsia" w:ascii="仿宋_GB2312" w:hAnsi="仿宋_GB2312" w:eastAsia="仿宋_GB2312" w:cs="仿宋_GB2312"/>
          <w:b w:val="0"/>
          <w:bCs w:val="0"/>
          <w:snapToGrid w:val="0"/>
          <w:color w:val="auto"/>
          <w:kern w:val="0"/>
          <w:position w:val="0"/>
          <w:sz w:val="32"/>
          <w:szCs w:val="32"/>
          <w:lang w:val="en-US" w:eastAsia="zh-CN"/>
        </w:rPr>
        <w:t>112</w:t>
      </w:r>
      <w:r>
        <w:rPr>
          <w:rFonts w:hint="eastAsia" w:ascii="仿宋_GB2312" w:hAnsi="仿宋_GB2312" w:eastAsia="仿宋_GB2312" w:cs="仿宋_GB2312"/>
          <w:b w:val="0"/>
          <w:bCs w:val="0"/>
          <w:snapToGrid w:val="0"/>
          <w:color w:val="auto"/>
          <w:kern w:val="0"/>
          <w:position w:val="0"/>
          <w:sz w:val="32"/>
          <w:szCs w:val="32"/>
        </w:rPr>
        <w:t>号）精神</w:t>
      </w:r>
      <w:r>
        <w:rPr>
          <w:rFonts w:hint="eastAsia" w:ascii="仿宋_GB2312" w:hAnsi="仿宋_GB2312" w:eastAsia="仿宋_GB2312" w:cs="仿宋_GB2312"/>
          <w:b w:val="0"/>
          <w:bCs w:val="0"/>
          <w:snapToGrid w:val="0"/>
          <w:color w:val="auto"/>
          <w:kern w:val="0"/>
          <w:position w:val="0"/>
          <w:sz w:val="32"/>
          <w:szCs w:val="32"/>
          <w:lang w:val="en-US" w:eastAsia="zh-CN"/>
        </w:rPr>
        <w:t>要求进行规划，与疾病预防控制科事业发展相匹配，聚焦重大任务、重点领域、重点环节和重点项目，得6分。共计18分。</w:t>
      </w:r>
    </w:p>
    <w:p w14:paraId="5CF09E9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snapToGrid w:val="0"/>
          <w:color w:val="auto"/>
          <w:kern w:val="0"/>
          <w:position w:val="0"/>
          <w:sz w:val="32"/>
          <w:szCs w:val="32"/>
          <w:lang w:val="en-US" w:eastAsia="zh-CN"/>
        </w:rPr>
        <w:t>2.</w:t>
      </w:r>
      <w:r>
        <w:rPr>
          <w:rFonts w:hint="eastAsia" w:ascii="仿宋_GB2312" w:hAnsi="仿宋_GB2312" w:eastAsia="仿宋_GB2312" w:cs="仿宋_GB2312"/>
          <w:b w:val="0"/>
          <w:bCs w:val="0"/>
          <w:snapToGrid w:val="0"/>
          <w:color w:val="auto"/>
          <w:kern w:val="0"/>
          <w:position w:val="0"/>
          <w:sz w:val="32"/>
          <w:szCs w:val="32"/>
          <w:lang w:eastAsia="zh-CN"/>
        </w:rPr>
        <w:t>项目管理。</w:t>
      </w:r>
    </w:p>
    <w:p w14:paraId="42640ECE">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项目制度办法体系健全、要素完备，得2分；项目资金分配因素选取、权重设置、区域分布，项目管理、审批符合管理要求，得10分；资金分配因素的权重设置有效突出项目实施重点，得6分；管资金、项目、政策、管绩效，项目绩效监管按要求开展，对下指导有力有效，得6分。共计18分。</w:t>
      </w:r>
    </w:p>
    <w:p w14:paraId="58C6D5BD">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3.项目实施。</w:t>
      </w:r>
    </w:p>
    <w:p w14:paraId="1501E02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bidi="ar-SA"/>
        </w:rPr>
        <w:t>项目资金3734.22万元均已拨付到位，财政资金拨付率100%，预算执行率51.85%，得5分；</w:t>
      </w:r>
      <w:r>
        <w:rPr>
          <w:rFonts w:hint="eastAsia" w:ascii="仿宋_GB2312" w:hAnsi="仿宋_GB2312" w:eastAsia="仿宋_GB2312" w:cs="仿宋_GB2312"/>
          <w:b w:val="0"/>
          <w:bCs w:val="0"/>
          <w:snapToGrid w:val="0"/>
          <w:color w:val="auto"/>
          <w:kern w:val="0"/>
          <w:position w:val="0"/>
          <w:sz w:val="32"/>
          <w:szCs w:val="32"/>
          <w:lang w:val="en-US" w:eastAsia="zh-CN"/>
        </w:rPr>
        <w:t>项目资金使用</w:t>
      </w:r>
      <w:r>
        <w:rPr>
          <w:rFonts w:hint="eastAsia" w:ascii="仿宋_GB2312" w:hAnsi="仿宋_GB2312" w:eastAsia="仿宋_GB2312" w:cs="仿宋_GB2312"/>
          <w:b w:val="0"/>
          <w:bCs w:val="0"/>
          <w:snapToGrid w:val="0"/>
          <w:color w:val="auto"/>
          <w:kern w:val="0"/>
          <w:position w:val="0"/>
          <w:sz w:val="32"/>
          <w:szCs w:val="32"/>
        </w:rPr>
        <w:t>按照</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财政部</w:t>
      </w:r>
      <w:r>
        <w:rPr>
          <w:rFonts w:hint="eastAsia" w:ascii="仿宋_GB2312" w:hAnsi="仿宋_GB2312" w:eastAsia="仿宋_GB2312" w:cs="仿宋_GB2312"/>
          <w:b w:val="0"/>
          <w:bCs w:val="0"/>
          <w:snapToGrid w:val="0"/>
          <w:color w:val="auto"/>
          <w:kern w:val="0"/>
          <w:position w:val="0"/>
          <w:sz w:val="32"/>
          <w:szCs w:val="32"/>
          <w:lang w:val="en-US" w:eastAsia="zh-CN"/>
        </w:rPr>
        <w:t>厅</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卫生健康委、</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医保局、</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中医药局《关于</w:t>
      </w:r>
      <w:r>
        <w:rPr>
          <w:rFonts w:hint="eastAsia" w:ascii="仿宋_GB2312" w:hAnsi="仿宋_GB2312" w:eastAsia="仿宋_GB2312" w:cs="仿宋_GB2312"/>
          <w:b w:val="0"/>
          <w:bCs w:val="0"/>
          <w:snapToGrid w:val="0"/>
          <w:color w:val="auto"/>
          <w:kern w:val="0"/>
          <w:position w:val="0"/>
          <w:sz w:val="32"/>
          <w:szCs w:val="32"/>
          <w:lang w:val="en-US" w:eastAsia="zh-CN"/>
        </w:rPr>
        <w:t>印发</w:t>
      </w:r>
      <w:r>
        <w:rPr>
          <w:rFonts w:hint="eastAsia" w:ascii="仿宋_GB2312" w:hAnsi="仿宋_GB2312" w:eastAsia="仿宋_GB2312" w:cs="仿宋_GB2312"/>
          <w:b w:val="0"/>
          <w:bCs w:val="0"/>
          <w:snapToGrid w:val="0"/>
          <w:color w:val="auto"/>
          <w:kern w:val="0"/>
          <w:position w:val="0"/>
          <w:sz w:val="32"/>
          <w:szCs w:val="32"/>
        </w:rPr>
        <w:t>公共卫生服务等5项补助资金管理办法的通知》（</w:t>
      </w:r>
      <w:r>
        <w:rPr>
          <w:rFonts w:hint="eastAsia" w:ascii="仿宋_GB2312" w:hAnsi="仿宋_GB2312" w:eastAsia="仿宋_GB2312" w:cs="仿宋_GB2312"/>
          <w:b w:val="0"/>
          <w:bCs w:val="0"/>
          <w:snapToGrid w:val="0"/>
          <w:color w:val="auto"/>
          <w:kern w:val="0"/>
          <w:position w:val="0"/>
          <w:sz w:val="32"/>
          <w:szCs w:val="32"/>
          <w:lang w:val="en-US" w:eastAsia="zh-CN"/>
        </w:rPr>
        <w:t>川</w:t>
      </w:r>
      <w:r>
        <w:rPr>
          <w:rFonts w:hint="eastAsia" w:ascii="仿宋_GB2312" w:hAnsi="仿宋_GB2312" w:eastAsia="仿宋_GB2312" w:cs="仿宋_GB2312"/>
          <w:b w:val="0"/>
          <w:bCs w:val="0"/>
          <w:snapToGrid w:val="0"/>
          <w:color w:val="auto"/>
          <w:kern w:val="0"/>
          <w:position w:val="0"/>
          <w:sz w:val="32"/>
          <w:szCs w:val="32"/>
        </w:rPr>
        <w:t>财社〔2022〕</w:t>
      </w:r>
      <w:r>
        <w:rPr>
          <w:rFonts w:hint="eastAsia" w:ascii="仿宋_GB2312" w:hAnsi="仿宋_GB2312" w:eastAsia="仿宋_GB2312" w:cs="仿宋_GB2312"/>
          <w:b w:val="0"/>
          <w:bCs w:val="0"/>
          <w:snapToGrid w:val="0"/>
          <w:color w:val="auto"/>
          <w:kern w:val="0"/>
          <w:position w:val="0"/>
          <w:sz w:val="32"/>
          <w:szCs w:val="32"/>
          <w:lang w:val="en-US" w:eastAsia="zh-CN"/>
        </w:rPr>
        <w:t>112</w:t>
      </w:r>
      <w:r>
        <w:rPr>
          <w:rFonts w:hint="eastAsia" w:ascii="仿宋_GB2312" w:hAnsi="仿宋_GB2312" w:eastAsia="仿宋_GB2312" w:cs="仿宋_GB2312"/>
          <w:b w:val="0"/>
          <w:bCs w:val="0"/>
          <w:snapToGrid w:val="0"/>
          <w:color w:val="auto"/>
          <w:kern w:val="0"/>
          <w:position w:val="0"/>
          <w:sz w:val="32"/>
          <w:szCs w:val="32"/>
        </w:rPr>
        <w:t>号）</w:t>
      </w:r>
      <w:r>
        <w:rPr>
          <w:rFonts w:hint="eastAsia" w:ascii="仿宋_GB2312" w:hAnsi="仿宋_GB2312" w:eastAsia="仿宋_GB2312" w:cs="仿宋_GB2312"/>
          <w:b w:val="0"/>
          <w:bCs w:val="0"/>
          <w:snapToGrid w:val="0"/>
          <w:color w:val="auto"/>
          <w:kern w:val="0"/>
          <w:position w:val="0"/>
          <w:sz w:val="32"/>
          <w:szCs w:val="32"/>
          <w:lang w:val="en-US" w:eastAsia="zh-CN"/>
        </w:rPr>
        <w:t>相关文件要求有序开展，资金使用拨付、项目实施符合规定，得3分。共计8分。</w:t>
      </w:r>
    </w:p>
    <w:p w14:paraId="1A6B6BCD">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4.项目结果。</w:t>
      </w:r>
    </w:p>
    <w:p w14:paraId="28135180">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zh-CN" w:eastAsia="zh-CN"/>
        </w:rPr>
      </w:pPr>
      <w:r>
        <w:rPr>
          <w:rFonts w:hint="eastAsia" w:ascii="仿宋_GB2312" w:hAnsi="仿宋_GB2312" w:eastAsia="仿宋_GB2312" w:cs="仿宋_GB2312"/>
          <w:b w:val="0"/>
          <w:bCs w:val="0"/>
          <w:snapToGrid w:val="0"/>
          <w:color w:val="auto"/>
          <w:kern w:val="0"/>
          <w:position w:val="0"/>
          <w:sz w:val="32"/>
          <w:szCs w:val="32"/>
          <w:lang w:val="en-US" w:eastAsia="zh-CN" w:bidi="ar-SA"/>
        </w:rPr>
        <w:t>项目完成实施方案预期目标，实施结果与绩效目标相匹配，得6分；项目实际推动进度与项目方案计划时间符合，得3分，共计9分。</w:t>
      </w:r>
    </w:p>
    <w:p w14:paraId="7EBDD7C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专用指标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4CD50F3F">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资金按规定用途、适用范围进行本地区专项资金分配，得10分；资金管理程序符合专项资金管理要求，得10分；资金分配标准符合专项资金管理要求，得10分，共计30分。</w:t>
      </w:r>
    </w:p>
    <w:p w14:paraId="469ACD2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（三）个性指标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704AFF17">
      <w:pPr>
        <w:pStyle w:val="4"/>
        <w:keepNext w:val="0"/>
        <w:keepLines w:val="0"/>
        <w:pageBreakBefore w:val="0"/>
        <w:widowControl w:val="0"/>
        <w:numPr>
          <w:ilvl w:val="0"/>
          <w:numId w:val="0"/>
        </w:numPr>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无</w:t>
      </w:r>
    </w:p>
    <w:p w14:paraId="43AAA514">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重大传染病项目整体绩效评价得分83分。</w:t>
      </w:r>
    </w:p>
    <w:p w14:paraId="56EE53C4">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rPr>
      </w:pPr>
      <w:r>
        <w:rPr>
          <w:rFonts w:hint="eastAsia" w:ascii="黑体" w:hAnsi="黑体" w:eastAsia="黑体" w:cs="黑体"/>
          <w:b w:val="0"/>
          <w:bCs w:val="0"/>
          <w:snapToGrid w:val="0"/>
          <w:color w:val="auto"/>
          <w:kern w:val="0"/>
          <w:position w:val="0"/>
          <w:sz w:val="32"/>
          <w:szCs w:val="32"/>
          <w:highlight w:val="none"/>
          <w:u w:val="none"/>
          <w:lang w:eastAsia="zh-CN"/>
        </w:rPr>
        <w:t>四</w:t>
      </w:r>
      <w:r>
        <w:rPr>
          <w:rFonts w:hint="eastAsia" w:ascii="黑体" w:hAnsi="黑体" w:eastAsia="黑体" w:cs="黑体"/>
          <w:b w:val="0"/>
          <w:bCs w:val="0"/>
          <w:snapToGrid w:val="0"/>
          <w:color w:val="auto"/>
          <w:kern w:val="0"/>
          <w:position w:val="0"/>
          <w:sz w:val="32"/>
          <w:szCs w:val="32"/>
          <w:highlight w:val="none"/>
          <w:u w:val="none"/>
        </w:rPr>
        <w:t>、评价结论</w:t>
      </w:r>
    </w:p>
    <w:p w14:paraId="5D219E48">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楷体_GB2312" w:hAnsi="楷体_GB2312" w:eastAsia="楷体_GB2312" w:cs="楷体_GB2312"/>
          <w:b w:val="0"/>
          <w:bCs w:val="0"/>
          <w:snapToGrid w:val="0"/>
          <w:color w:val="auto"/>
          <w:kern w:val="0"/>
          <w:position w:val="0"/>
          <w:sz w:val="32"/>
          <w:szCs w:val="32"/>
          <w:highlight w:val="none"/>
          <w:lang w:val="en-US" w:eastAsia="zh-CN" w:bidi="ar-SA"/>
        </w:rPr>
        <w:t>（一）政府高度重视。</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依据省财政厅、省卫健委下发的重大传染病防控中央补助资金的通知，市委市政府高度重视高度重视项目资金的拨付、使用和管理，及时制定符合我市实际的资金分配方案，并及时将补助资金划拨到相应县区和单位。各县区按照市财政制定的绩效目标表制定了相应的工作计划和实施方案，确保项目规范、有序、高质量完成。</w:t>
      </w:r>
    </w:p>
    <w:p w14:paraId="5C89CEDB">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楷体_GB2312" w:hAnsi="楷体_GB2312" w:eastAsia="楷体_GB2312" w:cs="楷体_GB2312"/>
          <w:b w:val="0"/>
          <w:bCs w:val="0"/>
          <w:snapToGrid w:val="0"/>
          <w:color w:val="auto"/>
          <w:kern w:val="0"/>
          <w:position w:val="0"/>
          <w:sz w:val="32"/>
          <w:szCs w:val="32"/>
          <w:highlight w:val="none"/>
          <w:lang w:val="en-US" w:eastAsia="zh-CN" w:bidi="ar-SA"/>
        </w:rPr>
        <w:t>（二）严格项目绩效管理。</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各项目实施单位严格按照实施方案要求，强化项目资金预算执行，定期开展绩效运行监控，对发现资金管理使用中的突出问题，坚决整改到位。市级部门将不定期对项目资金执行情况进行抽查和评价。</w:t>
      </w:r>
    </w:p>
    <w:p w14:paraId="32E8018C">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楷体_GB2312" w:hAnsi="楷体_GB2312" w:eastAsia="楷体_GB2312" w:cs="楷体_GB2312"/>
          <w:b w:val="0"/>
          <w:bCs w:val="0"/>
          <w:snapToGrid w:val="0"/>
          <w:color w:val="auto"/>
          <w:kern w:val="0"/>
          <w:position w:val="0"/>
          <w:sz w:val="32"/>
          <w:szCs w:val="32"/>
          <w:highlight w:val="none"/>
          <w:lang w:val="en-US" w:eastAsia="zh-CN" w:bidi="ar-SA"/>
        </w:rPr>
        <w:t>（三）效益评价反响高。</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市县两级联动，多部门、多形式的开展宣传活动，社会各界群体广泛开展组织动员，对青年学生、老年人等重点人群开展健康宣传教育，人们的自我保护意识得到增强，得到了广大人民群众的一致好评。</w:t>
      </w:r>
    </w:p>
    <w:p w14:paraId="7ECDA836">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eastAsia="zh-CN"/>
        </w:rPr>
      </w:pPr>
      <w:r>
        <w:rPr>
          <w:rFonts w:hint="eastAsia" w:ascii="黑体" w:hAnsi="黑体" w:eastAsia="黑体" w:cs="黑体"/>
          <w:b w:val="0"/>
          <w:bCs w:val="0"/>
          <w:snapToGrid w:val="0"/>
          <w:color w:val="auto"/>
          <w:kern w:val="0"/>
          <w:position w:val="0"/>
          <w:sz w:val="32"/>
          <w:szCs w:val="32"/>
          <w:highlight w:val="none"/>
          <w:u w:val="none"/>
          <w:lang w:eastAsia="zh-CN"/>
        </w:rPr>
        <w:t>五、存在主要问题</w:t>
      </w:r>
    </w:p>
    <w:p w14:paraId="00A356BC">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资金执行进度缓慢，资金监管力度有待提升；</w:t>
      </w: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部分县区部分工作没有有效厘清，专职人员配备不齐，能力水平参差不齐，履行患者随访管理职责落实不到位，各部门之间</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需加强</w:t>
      </w: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沟通协作。</w:t>
      </w:r>
    </w:p>
    <w:p w14:paraId="15D944C8">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eastAsia="zh-CN" w:bidi="ar-SA"/>
        </w:rPr>
      </w:pPr>
      <w:r>
        <w:rPr>
          <w:rFonts w:hint="eastAsia" w:ascii="黑体" w:hAnsi="黑体" w:eastAsia="黑体" w:cs="黑体"/>
          <w:b w:val="0"/>
          <w:bCs w:val="0"/>
          <w:snapToGrid w:val="0"/>
          <w:color w:val="auto"/>
          <w:kern w:val="0"/>
          <w:position w:val="0"/>
          <w:sz w:val="32"/>
          <w:szCs w:val="32"/>
          <w:highlight w:val="none"/>
          <w:u w:val="none"/>
          <w:lang w:val="zh-CN" w:eastAsia="zh-CN" w:bidi="ar-SA"/>
        </w:rPr>
        <w:t>六、改进建议</w:t>
      </w:r>
    </w:p>
    <w:p w14:paraId="64797693">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snapToGrid w:val="0"/>
          <w:color w:val="auto"/>
          <w:kern w:val="0"/>
          <w:position w:val="0"/>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一是加快资金拨付力度，加强资金绩效考核和监管；二是增设个性化指标，让绩效评价更加规范；三是加强专职人员培训，提升专职人员业务水平。</w:t>
      </w:r>
    </w:p>
    <w:sectPr>
      <w:footerReference r:id="rId3" w:type="default"/>
      <w:pgSz w:w="11906" w:h="16838"/>
      <w:pgMar w:top="2098" w:right="1474" w:bottom="1984" w:left="1588"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786324-42FE-47C9-857C-7E1844449D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62F6838-14AC-4834-85B9-05E8A1565D99}"/>
  </w:font>
  <w:font w:name="??">
    <w:altName w:val="Times New Roman"/>
    <w:panose1 w:val="00000000000000000000"/>
    <w:charset w:val="00"/>
    <w:family w:val="roman"/>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3" w:fontKey="{0B46235D-8232-47C0-8672-106D45925AC8}"/>
  </w:font>
  <w:font w:name="仿宋_GB2312">
    <w:panose1 w:val="02010609030101010101"/>
    <w:charset w:val="86"/>
    <w:family w:val="modern"/>
    <w:pitch w:val="default"/>
    <w:sig w:usb0="00000001" w:usb1="080E0000" w:usb2="00000000" w:usb3="00000000" w:csb0="00040000" w:csb1="00000000"/>
    <w:embedRegular r:id="rId4" w:fontKey="{7F2C04F7-1410-4B23-9F3E-A294EFFF245A}"/>
  </w:font>
  <w:font w:name="楷体_GB2312">
    <w:panose1 w:val="02010609030101010101"/>
    <w:charset w:val="86"/>
    <w:family w:val="auto"/>
    <w:pitch w:val="default"/>
    <w:sig w:usb0="00000001" w:usb1="080E0000" w:usb2="00000000" w:usb3="00000000" w:csb0="00040000" w:csb1="00000000"/>
    <w:embedRegular r:id="rId5" w:fontKey="{C3A2C31F-370C-494F-9DA7-F549C77E46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E832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9077B2">
                          <w:pPr>
                            <w:pStyle w:val="5"/>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9077B2">
                    <w:pPr>
                      <w:pStyle w:val="5"/>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TUzZGFlMmM4YmFjNTQwY2MzZDc0YjE2MWU2ZDQifQ=="/>
  </w:docVars>
  <w:rsids>
    <w:rsidRoot w:val="00000000"/>
    <w:rsid w:val="00A06E76"/>
    <w:rsid w:val="027473EA"/>
    <w:rsid w:val="02D75801"/>
    <w:rsid w:val="048031C3"/>
    <w:rsid w:val="071D0DCC"/>
    <w:rsid w:val="098D6436"/>
    <w:rsid w:val="09D6569F"/>
    <w:rsid w:val="0C4B0694"/>
    <w:rsid w:val="10DB0FA7"/>
    <w:rsid w:val="13A520F1"/>
    <w:rsid w:val="191850CE"/>
    <w:rsid w:val="1C417224"/>
    <w:rsid w:val="1F442562"/>
    <w:rsid w:val="1F707818"/>
    <w:rsid w:val="1F894AF4"/>
    <w:rsid w:val="2219375C"/>
    <w:rsid w:val="27BE796C"/>
    <w:rsid w:val="2A2B1C75"/>
    <w:rsid w:val="32C6742A"/>
    <w:rsid w:val="39DB5E0A"/>
    <w:rsid w:val="3FD049BC"/>
    <w:rsid w:val="420E3CDA"/>
    <w:rsid w:val="4835711A"/>
    <w:rsid w:val="4AA743C5"/>
    <w:rsid w:val="4AB904E5"/>
    <w:rsid w:val="4B3C4E66"/>
    <w:rsid w:val="4C26107A"/>
    <w:rsid w:val="4E5D040A"/>
    <w:rsid w:val="5287583D"/>
    <w:rsid w:val="55E42029"/>
    <w:rsid w:val="5943366D"/>
    <w:rsid w:val="6A857F0C"/>
    <w:rsid w:val="7ED0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w:basedOn w:val="1"/>
    <w:next w:val="1"/>
    <w:qFormat/>
    <w:uiPriority w:val="0"/>
    <w:pPr>
      <w:spacing w:before="0" w:after="140" w:line="276" w:lineRule="auto"/>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10">
    <w:name w:val="样式 小四 行距: 1.5 倍行距"/>
    <w:basedOn w:val="1"/>
    <w:qFormat/>
    <w:uiPriority w:val="0"/>
    <w:pPr>
      <w:spacing w:line="360" w:lineRule="auto"/>
      <w:ind w:firstLine="480" w:firstLineChars="200"/>
    </w:pPr>
    <w:rPr>
      <w:rFonts w:cs="宋体"/>
      <w:szCs w:val="20"/>
    </w:rPr>
  </w:style>
  <w:style w:type="paragraph" w:customStyle="1" w:styleId="11">
    <w:name w:val="样式1"/>
    <w:basedOn w:val="1"/>
    <w:qFormat/>
    <w:uiPriority w:val="0"/>
    <w:rPr>
      <w:b/>
      <w:color w:val="538135"/>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2210</Words>
  <Characters>2327</Characters>
  <Lines>0</Lines>
  <Paragraphs>0</Paragraphs>
  <TotalTime>6</TotalTime>
  <ScaleCrop>false</ScaleCrop>
  <LinksUpToDate>false</LinksUpToDate>
  <CharactersWithSpaces>2328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2024-09-19T01:03:00Z</dcterms:created>
  <dc:creator>dell</dc:creator>
  <cp:lastModifiedBy>这样就好</cp:lastModifiedBy>
  <dcterms:modified xsi:type="dcterms:W3CDTF">2024-09-24T07:22:33Z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157734CB7E3F4F07941ED43BC7D72F0E_13</vt:lpwstr>
  </property>
</Properties>
</file>