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976DC">
      <w:pPr>
        <w:pStyle w:val="4"/>
        <w:keepNext w:val="0"/>
        <w:keepLines w:val="0"/>
        <w:pageBreakBefore w:val="0"/>
        <w:widowControl w:val="0"/>
        <w:kinsoku/>
        <w:wordWrap/>
        <w:overflowPunct w:val="0"/>
        <w:topLinePunct w:val="0"/>
        <w:autoSpaceDE/>
        <w:autoSpaceDN/>
        <w:bidi w:val="0"/>
        <w:adjustRightInd w:val="0"/>
        <w:snapToGrid w:val="0"/>
        <w:spacing w:after="0" w:line="576" w:lineRule="exact"/>
        <w:textAlignment w:val="auto"/>
        <w:rPr>
          <w:rFonts w:hint="eastAsia" w:ascii="黑体" w:hAnsi="黑体" w:eastAsia="黑体" w:cs="黑体"/>
          <w:b w:val="0"/>
          <w:bCs w:val="0"/>
          <w:color w:val="000000" w:themeColor="text1"/>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color w:val="000000" w:themeColor="text1"/>
          <w:kern w:val="0"/>
          <w:sz w:val="32"/>
          <w:szCs w:val="32"/>
          <w:highlight w:val="none"/>
          <w:shd w:val="clear" w:color="auto" w:fill="FFFFFF"/>
          <w:lang w:val="zh-CN"/>
          <w14:textFill>
            <w14:solidFill>
              <w14:schemeClr w14:val="tx1"/>
            </w14:solidFill>
          </w14:textFill>
        </w:rPr>
        <w:t>附件</w:t>
      </w:r>
      <w:r>
        <w:rPr>
          <w:rFonts w:hint="eastAsia" w:ascii="黑体" w:hAnsi="黑体" w:eastAsia="黑体" w:cs="黑体"/>
          <w:b w:val="0"/>
          <w:bCs w:val="0"/>
          <w:color w:val="000000" w:themeColor="text1"/>
          <w:kern w:val="0"/>
          <w:sz w:val="32"/>
          <w:szCs w:val="32"/>
          <w:highlight w:val="none"/>
          <w:shd w:val="clear" w:color="auto" w:fill="FFFFFF"/>
          <w:lang w:val="en-US" w:eastAsia="zh-CN"/>
          <w14:textFill>
            <w14:solidFill>
              <w14:schemeClr w14:val="tx1"/>
            </w14:solidFill>
          </w14:textFill>
        </w:rPr>
        <w:t>2</w:t>
      </w:r>
    </w:p>
    <w:p w14:paraId="6D060FAF">
      <w:pPr>
        <w:pStyle w:val="5"/>
        <w:rPr>
          <w:rFonts w:hint="eastAsia"/>
          <w:b w:val="0"/>
          <w:bCs w:val="0"/>
          <w:color w:val="000000" w:themeColor="text1"/>
          <w:lang w:val="en-US" w:eastAsia="zh-CN"/>
          <w14:textFill>
            <w14:solidFill>
              <w14:schemeClr w14:val="tx1"/>
            </w14:solidFill>
          </w14:textFill>
        </w:rPr>
      </w:pPr>
    </w:p>
    <w:p w14:paraId="41006856">
      <w:pPr>
        <w:pStyle w:val="10"/>
        <w:keepNext w:val="0"/>
        <w:keepLines w:val="0"/>
        <w:pageBreakBefore w:val="0"/>
        <w:widowControl w:val="0"/>
        <w:kinsoku/>
        <w:wordWrap/>
        <w:overflowPunct w:val="0"/>
        <w:topLinePunct w:val="0"/>
        <w:autoSpaceDE/>
        <w:autoSpaceDN/>
        <w:bidi w:val="0"/>
        <w:adjustRightInd w:val="0"/>
        <w:snapToGrid w:val="0"/>
        <w:spacing w:line="740" w:lineRule="exact"/>
        <w:ind w:left="0" w:leftChars="0"/>
        <w:jc w:val="center"/>
        <w:textAlignment w:val="auto"/>
        <w:rPr>
          <w:rFonts w:hint="eastAsia" w:ascii="方正小标宋_GBK" w:hAnsi="方正小标宋_GBK" w:eastAsia="方正小标宋_GBK" w:cs="方正小标宋_GBK"/>
          <w:b w:val="0"/>
          <w:bCs w:val="0"/>
          <w:color w:val="000000" w:themeColor="text1"/>
          <w:kern w:val="2"/>
          <w:sz w:val="44"/>
          <w:szCs w:val="44"/>
          <w:highlight w:val="none"/>
          <w:lang w:val="en-US"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kern w:val="2"/>
          <w:sz w:val="44"/>
          <w:szCs w:val="44"/>
          <w:highlight w:val="none"/>
          <w:lang w:val="en-US" w:eastAsia="zh-CN"/>
          <w14:textFill>
            <w14:solidFill>
              <w14:schemeClr w14:val="tx1"/>
            </w14:solidFill>
          </w14:textFill>
        </w:rPr>
        <w:t>医疗服务与保障能力专项预算项目</w:t>
      </w:r>
    </w:p>
    <w:p w14:paraId="3CEC62C1">
      <w:pPr>
        <w:pStyle w:val="10"/>
        <w:keepNext w:val="0"/>
        <w:keepLines w:val="0"/>
        <w:pageBreakBefore w:val="0"/>
        <w:widowControl w:val="0"/>
        <w:kinsoku/>
        <w:wordWrap/>
        <w:overflowPunct w:val="0"/>
        <w:topLinePunct w:val="0"/>
        <w:autoSpaceDE/>
        <w:autoSpaceDN/>
        <w:bidi w:val="0"/>
        <w:adjustRightInd w:val="0"/>
        <w:snapToGrid w:val="0"/>
        <w:spacing w:line="740" w:lineRule="exact"/>
        <w:ind w:left="0" w:leftChars="0"/>
        <w:jc w:val="center"/>
        <w:textAlignment w:val="auto"/>
        <w:rPr>
          <w:rFonts w:hint="eastAsia" w:ascii="方正小标宋_GBK" w:hAnsi="方正小标宋_GBK" w:eastAsia="方正小标宋_GBK" w:cs="方正小标宋_GBK"/>
          <w:b w:val="0"/>
          <w:bCs w:val="0"/>
          <w:color w:val="000000" w:themeColor="text1"/>
          <w:kern w:val="2"/>
          <w:sz w:val="44"/>
          <w:szCs w:val="44"/>
          <w:highlight w:val="none"/>
          <w:lang w:val="en-US"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pacing w:val="59"/>
          <w:kern w:val="0"/>
          <w:sz w:val="44"/>
          <w:szCs w:val="44"/>
          <w:highlight w:val="none"/>
          <w:fitText w:val="3231" w:id="1109198118"/>
          <w:lang w:val="en-US" w:eastAsia="zh-CN"/>
          <w14:textFill>
            <w14:solidFill>
              <w14:schemeClr w14:val="tx1"/>
            </w14:solidFill>
          </w14:textFill>
        </w:rPr>
        <w:t>绩效评价报</w:t>
      </w:r>
      <w:r>
        <w:rPr>
          <w:rFonts w:hint="eastAsia" w:ascii="方正小标宋_GBK" w:hAnsi="方正小标宋_GBK" w:eastAsia="方正小标宋_GBK" w:cs="方正小标宋_GBK"/>
          <w:b w:val="0"/>
          <w:bCs w:val="0"/>
          <w:color w:val="000000" w:themeColor="text1"/>
          <w:spacing w:val="0"/>
          <w:kern w:val="0"/>
          <w:sz w:val="44"/>
          <w:szCs w:val="44"/>
          <w:highlight w:val="none"/>
          <w:fitText w:val="3231" w:id="1109198118"/>
          <w:lang w:val="en-US" w:eastAsia="zh-CN"/>
          <w14:textFill>
            <w14:solidFill>
              <w14:schemeClr w14:val="tx1"/>
            </w14:solidFill>
          </w14:textFill>
        </w:rPr>
        <w:t>告</w:t>
      </w:r>
    </w:p>
    <w:p w14:paraId="51DA7AF4">
      <w:pPr>
        <w:pStyle w:val="10"/>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kern w:val="2"/>
          <w:sz w:val="32"/>
          <w:szCs w:val="32"/>
          <w:highlight w:val="none"/>
          <w14:textFill>
            <w14:solidFill>
              <w14:schemeClr w14:val="tx1"/>
            </w14:solidFill>
          </w14:textFill>
        </w:rPr>
      </w:pPr>
    </w:p>
    <w:p w14:paraId="01C524B9">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黑体" w:hAnsi="黑体" w:eastAsia="黑体" w:cs="黑体"/>
          <w:b w:val="0"/>
          <w:bCs w:val="0"/>
          <w:color w:val="000000" w:themeColor="text1"/>
          <w:sz w:val="32"/>
          <w:szCs w:val="32"/>
          <w:highlight w:val="none"/>
          <w:lang w:val="zh-CN"/>
          <w14:textFill>
            <w14:solidFill>
              <w14:schemeClr w14:val="tx1"/>
            </w14:solidFill>
          </w14:textFill>
        </w:rPr>
      </w:pPr>
      <w:r>
        <w:rPr>
          <w:rFonts w:hint="eastAsia" w:ascii="黑体" w:hAnsi="黑体" w:eastAsia="黑体" w:cs="黑体"/>
          <w:b w:val="0"/>
          <w:bCs w:val="0"/>
          <w:color w:val="000000" w:themeColor="text1"/>
          <w:sz w:val="32"/>
          <w:szCs w:val="32"/>
          <w:highlight w:val="none"/>
          <w14:textFill>
            <w14:solidFill>
              <w14:schemeClr w14:val="tx1"/>
            </w14:solidFill>
          </w14:textFill>
        </w:rPr>
        <w:t>一、</w:t>
      </w:r>
      <w:r>
        <w:rPr>
          <w:rFonts w:hint="eastAsia" w:ascii="黑体" w:hAnsi="黑体" w:eastAsia="黑体" w:cs="黑体"/>
          <w:b w:val="0"/>
          <w:bCs w:val="0"/>
          <w:color w:val="000000" w:themeColor="text1"/>
          <w:sz w:val="32"/>
          <w:szCs w:val="32"/>
          <w:highlight w:val="none"/>
          <w:lang w:val="zh-CN"/>
          <w14:textFill>
            <w14:solidFill>
              <w14:schemeClr w14:val="tx1"/>
            </w14:solidFill>
          </w14:textFill>
        </w:rPr>
        <w:t>项目概况</w:t>
      </w:r>
    </w:p>
    <w:p w14:paraId="4A38DA84">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（一）设立背景及基本情况。</w:t>
      </w:r>
    </w:p>
    <w:p w14:paraId="232B7B92">
      <w:pPr>
        <w:pStyle w:val="11"/>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一是为贯彻落实《国民经济和社会发展第十四个五年规划和2035年远景目标纲要》《国务院办公厅关于推动公立医院高</w:t>
      </w:r>
      <w:r>
        <w:rPr>
          <w:rFonts w:hint="eastAsia" w:ascii="仿宋_GB2312" w:hAnsi="仿宋_GB2312" w:eastAsia="仿宋_GB2312" w:cs="仿宋_GB2312"/>
          <w:b w:val="0"/>
          <w:bCs w:val="0"/>
          <w:color w:val="000000" w:themeColor="text1"/>
          <w:w w:val="90"/>
          <w:kern w:val="2"/>
          <w:sz w:val="32"/>
          <w:szCs w:val="32"/>
          <w:lang w:val="en-US" w:eastAsia="zh-CN" w:bidi="ar-SA"/>
          <w14:textFill>
            <w14:solidFill>
              <w14:schemeClr w14:val="tx1"/>
            </w14:solidFill>
          </w14:textFill>
        </w:rPr>
        <w:t>质量发展的意见》《公立医院高质量发展促进行动（2021-2025</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年）》等文件要求，进一步巩固县医院综合能力建设积极成果，持续提升县医院综合能力，国家实施开展“千县工程”县医院综合能力提升工作，旨在推动省市优质医疗资源向县域下沉，结合县医院提标扩能工程，补齐县医院医疗服务和管理能力短板，逐步实现县域内医疗资源整合共享，有效落实县医院在县域医疗服务体系中的龙头作用和城乡医疗服务体系中的桥梁纽带作用，到2025年，全国至少1000家县医院达到三级医院医疗服务能力水平，发挥县域医疗中心作用，为实现一般病在市县解决打下坚实基础。</w:t>
      </w:r>
      <w:r>
        <w:rPr>
          <w:rFonts w:hint="eastAsia" w:ascii="仿宋_GB2312" w:hAnsi="仿宋_GB2312" w:eastAsia="仿宋_GB2312" w:cs="仿宋_GB2312"/>
          <w:b w:val="0"/>
          <w:bCs w:val="0"/>
          <w:color w:val="000000" w:themeColor="text1"/>
          <w:sz w:val="32"/>
          <w:szCs w:val="32"/>
          <w14:textFill>
            <w14:solidFill>
              <w14:schemeClr w14:val="tx1"/>
            </w14:solidFill>
          </w14:textFill>
        </w:rPr>
        <w:t>广元市</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共</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4县3区，除利州区外，苍溪县、旺苍县、剑阁县、青川县、昭化区、朝天区人民医院均被纳入“千县工程”范围，目前，共3家医院（苍溪县、旺苍县、剑阁县人民医院）为三级医院</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100%县医院达到医疗服务能力基本标准，5/6县医院达到医疗服务能力推荐标准。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二是为贯彻落实</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国务院办公厅关于城市公立医院综合改革试点的指导意见》（国办发〔2015〕38号）、《省发改委、省财政厅、省卫生厅、省人力资源和社会保障厅、省中医药管理局关于印发四川省县级公立医院取消药品加成经费补偿办法》的通知（川发改价格〔2013〕937号文件）等文件要求，</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深化以公益性为导向的公立医院改革，推动公立医院高质量发展，深入推广三明医改经验，促进医保、医疗、医药协同发展和治理，加快健全现代医院管理制度。逐步实现</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通过取消药品加成破除以药养医机制，通过调整医疗服务价格以体现医务人员技术劳动价值，通过给予医疗机构财政补助以减少群众看病就医成本。</w:t>
      </w:r>
      <w:r>
        <w:rPr>
          <w:rFonts w:hint="eastAsia" w:ascii="仿宋_GB2312" w:hAnsi="仿宋_GB2312" w:eastAsia="仿宋_GB2312" w:cs="仿宋_GB2312"/>
          <w:b w:val="0"/>
          <w:bCs w:val="0"/>
          <w:caps w:val="0"/>
          <w:color w:val="000000" w:themeColor="text1"/>
          <w:kern w:val="0"/>
          <w:sz w:val="32"/>
          <w:szCs w:val="32"/>
          <w:vertAlign w:val="baseline"/>
          <w:lang w:val="en-US" w:eastAsia="zh-CN" w:bidi="ar"/>
          <w14:textFill>
            <w14:solidFill>
              <w14:schemeClr w14:val="tx1"/>
            </w14:solidFill>
          </w14:textFill>
        </w:rPr>
        <w:t>2023年，我市认真贯彻落实党中央国务院、省委省政府关于深化医药卫生体制改革各项决策部署，在省医改办的坚强领导下，坚持以人民为中心、以改革创新为动力的卫生健康工作方针，聚集人民群众关心的热点、痛点、堵点，研究制定40余项改革任务，印发《2023年广元市医药卫生体制改革重点任务清单》《2023年深化医药卫生体制改革工作台账》，明确市直部门及县区医药卫生体制改革工作责任分工，深入推动广元市医疗卫生体制改革创新性发展。持续聚焦“小病不出镇村、大病不出县、疑难重病市内解决”的总体目标，着力破解“看病难、看病贵、看病烦”等问题，人民群众看病就医可及性、获得感和满意度显著增强。</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三是为贯彻落实</w:t>
      </w: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《四川省卫生健康委员会 四川省中医药管理局关于印发2023年中央补助四川省住院医师（含公卫医师、专科医师）规范化培训和助理全科医生培训资金管理方案的通知》（</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川</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卫科教函</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〔202</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198</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号）</w:t>
      </w:r>
      <w:r>
        <w:rPr>
          <w:rFonts w:hint="eastAsia" w:ascii="仿宋_GB2312" w:hAnsi="仿宋_GB2312" w:eastAsia="仿宋_GB2312" w:cs="仿宋_GB2312"/>
          <w:b w:val="0"/>
          <w:bCs w:val="0"/>
          <w:color w:val="000000" w:themeColor="text1"/>
          <w:kern w:val="2"/>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t>《四川省卫生健康委员会办公室关于印发2023年医疗服务与保障能力提升（卫生健康人才培养培训）和医学科技研究省级补助资金管理</w:t>
      </w: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方案</w:t>
      </w:r>
      <w:r>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t>的通知》（川卫办科教便函〔2023〕15号）等文件要求，</w:t>
      </w:r>
      <w:r>
        <w:rPr>
          <w:rFonts w:hint="eastAsia" w:ascii="仿宋_GB2312" w:hAnsi="仿宋_GB2312" w:eastAsia="仿宋_GB2312" w:cs="仿宋_GB2312"/>
          <w:b w:val="0"/>
          <w:bCs w:val="0"/>
          <w:color w:val="000000" w:themeColor="text1"/>
          <w:sz w:val="32"/>
          <w:szCs w:val="32"/>
          <w:highlight w:val="none"/>
          <w:u w:val="none"/>
          <w:lang w:val="zh-CN"/>
          <w14:textFill>
            <w14:solidFill>
              <w14:schemeClr w14:val="tx1"/>
            </w14:solidFill>
          </w14:textFill>
        </w:rPr>
        <w:t>紧紧围绕“健康广元”建设任务，以问题和需求为导向，以推进基层医疗卫生机构</w:t>
      </w:r>
      <w:r>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t>人才队伍建设</w:t>
      </w:r>
      <w:r>
        <w:rPr>
          <w:rFonts w:hint="eastAsia" w:ascii="仿宋_GB2312" w:hAnsi="仿宋_GB2312" w:eastAsia="仿宋_GB2312" w:cs="仿宋_GB2312"/>
          <w:b w:val="0"/>
          <w:bCs w:val="0"/>
          <w:color w:val="000000" w:themeColor="text1"/>
          <w:sz w:val="32"/>
          <w:szCs w:val="32"/>
          <w:highlight w:val="none"/>
          <w:u w:val="none"/>
          <w:lang w:val="zh-CN"/>
          <w14:textFill>
            <w14:solidFill>
              <w14:schemeClr w14:val="tx1"/>
            </w14:solidFill>
          </w14:textFill>
        </w:rPr>
        <w:t>为目标，遵循医疗卫生服务和临床医学人才成长规律，坚持政府主导，发挥市场机制作用，立足基本市情，加快完善适应行业特点的</w:t>
      </w:r>
      <w:r>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t>人才队伍</w:t>
      </w:r>
      <w:r>
        <w:rPr>
          <w:rFonts w:hint="eastAsia" w:ascii="仿宋_GB2312" w:hAnsi="仿宋_GB2312" w:eastAsia="仿宋_GB2312" w:cs="仿宋_GB2312"/>
          <w:b w:val="0"/>
          <w:bCs w:val="0"/>
          <w:color w:val="000000" w:themeColor="text1"/>
          <w:sz w:val="32"/>
          <w:szCs w:val="32"/>
          <w:highlight w:val="none"/>
          <w:u w:val="none"/>
          <w:lang w:val="zh-CN"/>
          <w14:textFill>
            <w14:solidFill>
              <w14:schemeClr w14:val="tx1"/>
            </w14:solidFill>
          </w14:textFill>
        </w:rPr>
        <w:t>培养制度，创新全科医生使用激励机制，</w:t>
      </w:r>
      <w:r>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t>加强住院医规范化、助理全科医生、紧缺人才等培训工作，落实万名医师支援农村工程，</w:t>
      </w:r>
      <w:r>
        <w:rPr>
          <w:rFonts w:hint="eastAsia" w:ascii="仿宋_GB2312" w:hAnsi="仿宋_GB2312" w:eastAsia="仿宋_GB2312" w:cs="仿宋_GB2312"/>
          <w:b w:val="0"/>
          <w:bCs w:val="0"/>
          <w:color w:val="000000" w:themeColor="text1"/>
          <w:sz w:val="32"/>
          <w:szCs w:val="32"/>
          <w:highlight w:val="none"/>
          <w:u w:val="none"/>
          <w:lang w:val="zh-CN"/>
          <w14:textFill>
            <w14:solidFill>
              <w14:schemeClr w14:val="tx1"/>
            </w14:solidFill>
          </w14:textFill>
        </w:rPr>
        <w:t>为“健康广元”建设提供可靠的医学人才支撑。</w:t>
      </w:r>
    </w:p>
    <w:p w14:paraId="26C806D7">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（二）</w:t>
      </w: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t>实施目的及支持方向。</w:t>
      </w:r>
    </w:p>
    <w:p w14:paraId="6B0168FC">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kern w:val="0"/>
          <w:position w:val="0"/>
          <w:sz w:val="32"/>
          <w:szCs w:val="32"/>
          <w:highlight w:val="none"/>
          <w:lang w:val="zh-CN"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我委于2023年5月9日印发了《广元市卫生健康预算效管理办法的通知》（广卫发〔2023〕4号），进一步规范绩效管理全过程工作流程。</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坚持以人民健康为中心，坚持新发展理念，以满足县域人民群众医疗服务需求为出发点，巩固拓展脱贫攻坚成果同乡村振兴有效衔接，加快完善分级诊疗体系，推动县医院进入高质量发展新阶段。深化以公益性为导向的公立医院改革，推动公立医院高质量发展，深入推广三明医改经验，促进医保、医疗、医药协同发展和治理。持续深化公立医院综合改革，推动公立医院高质量发展，加快健全现代医院管理制度。</w:t>
      </w:r>
      <w:r>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t>建立适应行业特点的全科医生培养制度，提升全科医生职业吸引力，城乡分布趋于合理，服务能力显著增强，全科医生与城乡居民基本建立比较稳定的服务关系，到2030年，适应行业特点的全科医生培养制度更加健全，使用激励机制更加完善，城乡每万名居民拥有6名合格的全科医生，全科医生队伍及稳定的卫生健康人才队伍建设基本满足“健康广元”建设需求。支持方向为一是支持6家县医院提升医疗服务能力、完善医疗设施设备配置、加强人才培训等方面及6家脱贫县提升基层医疗卫生机构服务能力，重点用于保障发热诊室有效运行、配备医疗设施设备、开展人才培训、加强特色科室建设等方面；二是支持省级临床重点专科建设、公立医院综合改革、取消药品加成、检查检验互认平台建设、公立医院改革与评价、医疗三监管平台维护经费等方面</w:t>
      </w:r>
      <w:r>
        <w:rPr>
          <w:rFonts w:hint="eastAsia" w:ascii="仿宋_GB2312" w:hAnsi="仿宋_GB2312" w:eastAsia="仿宋_GB2312" w:cs="仿宋_GB2312"/>
          <w:b w:val="0"/>
          <w:bCs w:val="0"/>
          <w:color w:val="000000" w:themeColor="text1"/>
          <w:kern w:val="2"/>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三是</w:t>
      </w: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根据参训学员人数，用于培训项目各类支出、</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学员生活补助</w:t>
      </w: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等方面</w:t>
      </w:r>
      <w:bookmarkStart w:id="0" w:name="_GoBack"/>
      <w:bookmarkEnd w:id="0"/>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w:t>
      </w:r>
    </w:p>
    <w:p w14:paraId="05C111A0">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color w:val="000000" w:themeColor="text1"/>
          <w:sz w:val="32"/>
          <w:szCs w:val="32"/>
          <w:highlight w:val="none"/>
          <w:u w:val="none"/>
          <w:lang w:val="zh-CN" w:eastAsia="zh-CN"/>
          <w14:textFill>
            <w14:solidFill>
              <w14:schemeClr w14:val="tx1"/>
            </w14:solidFill>
          </w14:textFill>
        </w:rPr>
      </w:pPr>
      <w:r>
        <w:rPr>
          <w:rFonts w:hint="eastAsia" w:ascii="楷体_GB2312" w:hAnsi="楷体_GB2312" w:eastAsia="楷体_GB2312" w:cs="楷体_GB2312"/>
          <w:b w:val="0"/>
          <w:bCs w:val="0"/>
          <w:color w:val="000000" w:themeColor="text1"/>
          <w:kern w:val="2"/>
          <w:sz w:val="32"/>
          <w:szCs w:val="32"/>
          <w:lang w:val="zh-CN" w:eastAsia="zh-CN" w:bidi="ar-SA"/>
          <w14:textFill>
            <w14:solidFill>
              <w14:schemeClr w14:val="tx1"/>
            </w14:solidFill>
          </w14:textFill>
        </w:rPr>
        <w:t>（三）</w:t>
      </w: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t>预算安排及分配管理</w:t>
      </w:r>
      <w:r>
        <w:rPr>
          <w:rFonts w:hint="eastAsia" w:ascii="楷体_GB2312" w:hAnsi="楷体_GB2312" w:eastAsia="楷体_GB2312" w:cs="楷体_GB2312"/>
          <w:b w:val="0"/>
          <w:bCs w:val="0"/>
          <w:color w:val="000000" w:themeColor="text1"/>
          <w:sz w:val="32"/>
          <w:szCs w:val="32"/>
          <w:highlight w:val="none"/>
          <w:u w:val="none"/>
          <w:lang w:val="zh-CN" w:eastAsia="zh-CN"/>
          <w14:textFill>
            <w14:solidFill>
              <w14:schemeClr w14:val="tx1"/>
            </w14:solidFill>
          </w14:textFill>
        </w:rPr>
        <w:t>。</w:t>
      </w:r>
    </w:p>
    <w:p w14:paraId="648E44C2">
      <w:pPr>
        <w:pStyle w:val="12"/>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医疗服务与保障能力提升项目资金由中央、省、市县、其他资金构成，总预算数为6758.72万元、执行数4959.62万元，资金执行率为73.38%，其中中央资金预算数4983.76万元、执行数为3482.01万元，执行率为69.87%；省级资金预算数为317.07万元、执行数为208.61万元，执行率为65.79%；市县资金预算数为1317.89万元、执行数为1239万元，执行率为94.01%，其他资金预算数为140万元、执行数为30万元，执行率为21.43%。</w:t>
      </w:r>
    </w:p>
    <w:p w14:paraId="7C2675F4">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楷体_GB2312" w:hAnsi="楷体_GB2312" w:eastAsia="楷体_GB2312" w:cs="楷体_GB2312"/>
          <w:b w:val="0"/>
          <w:bCs w:val="0"/>
          <w:color w:val="000000" w:themeColor="text1"/>
          <w:sz w:val="32"/>
          <w:szCs w:val="32"/>
          <w:highlight w:val="none"/>
          <w:u w:val="none"/>
          <w:lang w:val="zh-CN" w:eastAsia="zh-CN"/>
          <w14:textFill>
            <w14:solidFill>
              <w14:schemeClr w14:val="tx1"/>
            </w14:solidFill>
          </w14:textFill>
        </w:rPr>
      </w:pPr>
      <w:r>
        <w:rPr>
          <w:rFonts w:hint="eastAsia" w:ascii="楷体_GB2312" w:hAnsi="楷体_GB2312" w:eastAsia="楷体_GB2312" w:cs="楷体_GB2312"/>
          <w:b w:val="0"/>
          <w:bCs w:val="0"/>
          <w:color w:val="000000" w:themeColor="text1"/>
          <w:kern w:val="2"/>
          <w:sz w:val="32"/>
          <w:szCs w:val="32"/>
          <w:lang w:val="zh-CN" w:eastAsia="zh-CN" w:bidi="ar-SA"/>
          <w14:textFill>
            <w14:solidFill>
              <w14:schemeClr w14:val="tx1"/>
            </w14:solidFill>
          </w14:textFill>
        </w:rPr>
        <w:t>（四）</w:t>
      </w:r>
      <w:r>
        <w:rPr>
          <w:rFonts w:hint="eastAsia" w:ascii="楷体_GB2312" w:hAnsi="楷体_GB2312" w:eastAsia="楷体_GB2312" w:cs="楷体_GB2312"/>
          <w:b w:val="0"/>
          <w:bCs w:val="0"/>
          <w:color w:val="000000" w:themeColor="text1"/>
          <w:sz w:val="32"/>
          <w:szCs w:val="32"/>
          <w:highlight w:val="none"/>
          <w:u w:val="none"/>
          <w:lang w:val="zh-CN" w:eastAsia="zh-CN"/>
          <w14:textFill>
            <w14:solidFill>
              <w14:schemeClr w14:val="tx1"/>
            </w14:solidFill>
          </w14:textFill>
        </w:rPr>
        <w:t>项目绩效目标设置。</w:t>
      </w:r>
    </w:p>
    <w:p w14:paraId="5018C6D6">
      <w:pPr>
        <w:pStyle w:val="4"/>
        <w:keepNext w:val="0"/>
        <w:keepLines w:val="0"/>
        <w:pageBreakBefore w:val="0"/>
        <w:widowControl w:val="0"/>
        <w:numPr>
          <w:ilvl w:val="0"/>
          <w:numId w:val="0"/>
        </w:numPr>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对标省</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财政部</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厅</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省</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卫生健康委、</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省</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医保局、</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省</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中医药局《关于</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印发</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公共卫生服务等5项补助资金管理办法的通知》（</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川</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财社〔2022〕</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112</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号）</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精神和省级下发的“绩效目标表”进行目标设置，并按照目标设置进行相关绩效考核。</w:t>
      </w:r>
    </w:p>
    <w:p w14:paraId="047B02F6">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黑体" w:hAnsi="黑体" w:eastAsia="黑体" w:cs="黑体"/>
          <w:b w:val="0"/>
          <w:bCs w:val="0"/>
          <w:color w:val="000000" w:themeColor="text1"/>
          <w:sz w:val="32"/>
          <w:szCs w:val="32"/>
          <w:highlight w:val="none"/>
          <w:lang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14:textFill>
            <w14:solidFill>
              <w14:schemeClr w14:val="tx1"/>
            </w14:solidFill>
          </w14:textFill>
        </w:rPr>
        <w:t>二、</w:t>
      </w:r>
      <w:r>
        <w:rPr>
          <w:rFonts w:hint="eastAsia" w:ascii="黑体" w:hAnsi="黑体" w:eastAsia="黑体" w:cs="黑体"/>
          <w:b w:val="0"/>
          <w:bCs w:val="0"/>
          <w:color w:val="000000" w:themeColor="text1"/>
          <w:sz w:val="32"/>
          <w:szCs w:val="32"/>
          <w:highlight w:val="none"/>
          <w:lang w:eastAsia="zh-CN"/>
          <w14:textFill>
            <w14:solidFill>
              <w14:schemeClr w14:val="tx1"/>
            </w14:solidFill>
          </w14:textFill>
        </w:rPr>
        <w:t>评价实施</w:t>
      </w:r>
    </w:p>
    <w:p w14:paraId="3652A06D">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（一）评价目的。</w:t>
      </w:r>
    </w:p>
    <w:p w14:paraId="3565D676">
      <w:pPr>
        <w:pStyle w:val="4"/>
        <w:keepNext w:val="0"/>
        <w:keepLines w:val="0"/>
        <w:pageBreakBefore w:val="0"/>
        <w:widowControl w:val="0"/>
        <w:suppressLineNumbers w:val="0"/>
        <w:pBdr>
          <w:between w:val="none" w:color="auto" w:sz="0" w:space="0"/>
        </w:pBdr>
        <w:suppressAutoHyphen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pPr>
      <w:r>
        <w:rPr>
          <w:rFonts w:hint="eastAsia" w:ascii="仿宋_GB2312" w:hAnsi="仿宋_GB2312" w:eastAsia="仿宋_GB2312" w:cs="仿宋_GB2312"/>
          <w:b w:val="0"/>
          <w:bCs w:val="0"/>
          <w:color w:val="000000" w:themeColor="text1"/>
          <w:kern w:val="0"/>
          <w:position w:val="0"/>
          <w:sz w:val="32"/>
          <w:szCs w:val="32"/>
          <w:highlight w:val="none"/>
          <w:lang w:val="zh-CN" w:eastAsia="zh-CN" w:bidi="ar-SA"/>
          <w14:textFill>
            <w14:solidFill>
              <w14:schemeClr w14:val="tx1"/>
            </w14:solidFill>
          </w14:textFill>
        </w:rPr>
        <w:t>一是组织保障、管理制度、经费保障是否健全；二是资金拨付、资金使用是否规范；三是具体项目实施是否按要求完成。</w:t>
      </w:r>
    </w:p>
    <w:p w14:paraId="4C69F9C9">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kern w:val="2"/>
          <w:sz w:val="32"/>
          <w:szCs w:val="32"/>
          <w:lang w:val="zh-CN" w:eastAsia="zh-CN" w:bidi="ar-SA"/>
          <w14:textFill>
            <w14:solidFill>
              <w14:schemeClr w14:val="tx1"/>
            </w14:solidFill>
          </w14:textFill>
        </w:rPr>
        <w:t>（二）</w:t>
      </w: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预设问题及评价重点。</w:t>
      </w:r>
    </w:p>
    <w:p w14:paraId="035F0E21">
      <w:pPr>
        <w:pStyle w:val="4"/>
        <w:keepNext w:val="0"/>
        <w:keepLines w:val="0"/>
        <w:pageBreakBefore w:val="0"/>
        <w:widowControl w:val="0"/>
        <w:numPr>
          <w:ilvl w:val="0"/>
          <w:numId w:val="0"/>
        </w:numPr>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项目资金分配使用符合川财社〔2022〕150号、川财社〔2022〕151号、川财社〔2022〕152号、川财社〔2023〕67号、川财社〔2023〕68号、川财社〔2023〕143号文件要求，项目进度按照实施方案有序开展。</w:t>
      </w:r>
    </w:p>
    <w:p w14:paraId="681EA918">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（三）评价选点。</w:t>
      </w:r>
    </w:p>
    <w:p w14:paraId="1B02F300">
      <w:pPr>
        <w:keepNext w:val="0"/>
        <w:keepLines w:val="0"/>
        <w:pageBreakBefore w:val="0"/>
        <w:widowControl w:val="0"/>
        <w:suppressLineNumbers w:val="0"/>
        <w:suppressAutoHyphens w:val="0"/>
        <w:kinsoku/>
        <w:wordWrap/>
        <w:overflowPunct w:val="0"/>
        <w:topLinePunct w:val="0"/>
        <w:autoSpaceDE/>
        <w:autoSpaceDN/>
        <w:bidi w:val="0"/>
        <w:adjustRightInd w:val="0"/>
        <w:snapToGrid w:val="0"/>
        <w:spacing w:before="0" w:beforeAutospacing="0" w:afterAutospacing="0" w:line="576" w:lineRule="exact"/>
        <w:ind w:left="0" w:leftChars="0" w:right="0" w:firstLine="640" w:firstLineChars="200"/>
        <w:jc w:val="both"/>
        <w:textAlignment w:val="auto"/>
        <w:outlineLvl w:val="9"/>
        <w:rPr>
          <w:rFonts w:hint="eastAsia" w:ascii="仿宋_GB2312" w:hAnsi="仿宋_GB2312" w:eastAsia="仿宋_GB2312" w:cs="仿宋_GB2312"/>
          <w:b w:val="0"/>
          <w:bCs w:val="0"/>
          <w:color w:val="000000" w:themeColor="text1"/>
          <w:kern w:val="2"/>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highlight w:val="none"/>
          <w:lang w:val="en-US" w:eastAsia="zh-CN"/>
          <w14:textFill>
            <w14:solidFill>
              <w14:schemeClr w14:val="tx1"/>
            </w14:solidFill>
          </w14:textFill>
        </w:rPr>
        <w:t>全市基层医疗卫生机构全面开展自查。</w:t>
      </w:r>
    </w:p>
    <w:p w14:paraId="47BCA942">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（四）评价方法。</w:t>
      </w:r>
    </w:p>
    <w:p w14:paraId="76347F68">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color w:val="000000" w:themeColor="text1"/>
          <w:kern w:val="0"/>
          <w:position w:val="0"/>
          <w:sz w:val="32"/>
          <w:szCs w:val="32"/>
          <w:highlight w:val="none"/>
          <w:lang w:val="zh-CN"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position w:val="0"/>
          <w:sz w:val="32"/>
          <w:szCs w:val="32"/>
          <w:highlight w:val="none"/>
          <w:lang w:val="zh-CN" w:eastAsia="zh-CN" w:bidi="ar-SA"/>
          <w14:textFill>
            <w14:solidFill>
              <w14:schemeClr w14:val="tx1"/>
            </w14:solidFill>
          </w14:textFill>
        </w:rPr>
        <w:t>单位自评法</w:t>
      </w:r>
    </w:p>
    <w:p w14:paraId="68FE16A4">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pPr>
      <w:r>
        <w:rPr>
          <w:rFonts w:hint="eastAsia" w:ascii="楷体_GB2312" w:hAnsi="楷体_GB2312" w:eastAsia="楷体_GB2312" w:cs="楷体_GB2312"/>
          <w:b w:val="0"/>
          <w:bCs w:val="0"/>
          <w:color w:val="000000" w:themeColor="text1"/>
          <w:kern w:val="2"/>
          <w:sz w:val="32"/>
          <w:szCs w:val="32"/>
          <w:lang w:val="zh-CN" w:eastAsia="zh-CN" w:bidi="ar-SA"/>
          <w14:textFill>
            <w14:solidFill>
              <w14:schemeClr w14:val="tx1"/>
            </w14:solidFill>
          </w14:textFill>
        </w:rPr>
        <w:t>（五）</w:t>
      </w: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评价组织。</w:t>
      </w:r>
    </w:p>
    <w:p w14:paraId="029629EB">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color w:val="000000" w:themeColor="text1"/>
          <w:kern w:val="0"/>
          <w:sz w:val="32"/>
          <w:szCs w:val="32"/>
          <w:lang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一是扎实开展自评。</w:t>
      </w:r>
      <w:r>
        <w:rPr>
          <w:rFonts w:hint="eastAsia" w:ascii="仿宋_GB2312" w:hAnsi="仿宋_GB2312" w:eastAsia="仿宋_GB2312" w:cs="仿宋_GB2312"/>
          <w:b w:val="0"/>
          <w:bCs w:val="0"/>
          <w:color w:val="000000" w:themeColor="text1"/>
          <w:kern w:val="2"/>
          <w:sz w:val="32"/>
          <w:szCs w:val="32"/>
          <w:highlight w:val="none"/>
          <w:lang w:val="en-US" w:eastAsia="zh-CN"/>
          <w14:textFill>
            <w14:solidFill>
              <w14:schemeClr w14:val="tx1"/>
            </w14:solidFill>
          </w14:textFill>
        </w:rPr>
        <w:t>全市基层医疗卫生机构</w:t>
      </w: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均按要求开展自评工作。二是加强日常工作督导调度。日常常态化开展县医院能力提升、“五大中心”建设等工作调度会，组织专家到现场开展督导和指导。三是对重点评价指标进行评价。结合日常业务工作重点指标，如县医院医疗服务能力基本标准和推荐标准、五大中心建设、电子病历等进行打分评价，对基层医疗卫生机构进行综合评价</w:t>
      </w:r>
      <w:r>
        <w:rPr>
          <w:rFonts w:hint="eastAsia" w:ascii="仿宋_GB2312" w:hAnsi="仿宋_GB2312" w:eastAsia="仿宋_GB2312" w:cs="仿宋_GB2312"/>
          <w:b w:val="0"/>
          <w:bCs w:val="0"/>
          <w:color w:val="000000" w:themeColor="text1"/>
          <w:kern w:val="0"/>
          <w:sz w:val="32"/>
          <w:szCs w:val="32"/>
          <w:lang w:eastAsia="zh-CN" w:bidi="ar-SA"/>
          <w14:textFill>
            <w14:solidFill>
              <w14:schemeClr w14:val="tx1"/>
            </w14:solidFill>
          </w14:textFill>
        </w:rPr>
        <w:t>。</w:t>
      </w:r>
    </w:p>
    <w:p w14:paraId="27DB1CD9">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黑体" w:hAnsi="黑体" w:eastAsia="黑体" w:cs="黑体"/>
          <w:b w:val="0"/>
          <w:bCs w:val="0"/>
          <w:color w:val="000000" w:themeColor="text1"/>
          <w:sz w:val="32"/>
          <w:szCs w:val="32"/>
          <w:highlight w:val="none"/>
          <w:u w:val="none"/>
          <w:lang w:val="zh-CN"/>
          <w14:textFill>
            <w14:solidFill>
              <w14:schemeClr w14:val="tx1"/>
            </w14:solidFill>
          </w14:textFill>
        </w:rPr>
      </w:pPr>
      <w:r>
        <w:rPr>
          <w:rFonts w:hint="eastAsia" w:ascii="黑体" w:hAnsi="黑体" w:eastAsia="黑体" w:cs="黑体"/>
          <w:b w:val="0"/>
          <w:bCs w:val="0"/>
          <w:color w:val="000000" w:themeColor="text1"/>
          <w:sz w:val="32"/>
          <w:szCs w:val="32"/>
          <w:highlight w:val="none"/>
          <w:u w:val="none"/>
          <w14:textFill>
            <w14:solidFill>
              <w14:schemeClr w14:val="tx1"/>
            </w14:solidFill>
          </w14:textFill>
        </w:rPr>
        <w:t>三、</w:t>
      </w:r>
      <w:r>
        <w:rPr>
          <w:rFonts w:hint="eastAsia" w:ascii="黑体" w:hAnsi="黑体" w:eastAsia="黑体" w:cs="黑体"/>
          <w:b w:val="0"/>
          <w:bCs w:val="0"/>
          <w:color w:val="000000" w:themeColor="text1"/>
          <w:sz w:val="32"/>
          <w:szCs w:val="32"/>
          <w:highlight w:val="none"/>
          <w:u w:val="none"/>
          <w:lang w:eastAsia="zh-CN"/>
          <w14:textFill>
            <w14:solidFill>
              <w14:schemeClr w14:val="tx1"/>
            </w14:solidFill>
          </w14:textFill>
        </w:rPr>
        <w:t>绩效分析</w:t>
      </w:r>
      <w:r>
        <w:rPr>
          <w:rFonts w:hint="eastAsia" w:ascii="黑体" w:hAnsi="黑体" w:eastAsia="黑体" w:cs="黑体"/>
          <w:b w:val="0"/>
          <w:bCs w:val="0"/>
          <w:color w:val="000000" w:themeColor="text1"/>
          <w:sz w:val="32"/>
          <w:szCs w:val="32"/>
          <w:highlight w:val="none"/>
          <w:u w:val="none"/>
          <w:lang w:val="zh-CN"/>
          <w14:textFill>
            <w14:solidFill>
              <w14:schemeClr w14:val="tx1"/>
            </w14:solidFill>
          </w14:textFill>
        </w:rPr>
        <w:tab/>
      </w:r>
    </w:p>
    <w:p w14:paraId="04952E9C">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（一）</w:t>
      </w: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t>通用指标</w:t>
      </w:r>
      <w:r>
        <w:rPr>
          <w:rFonts w:hint="eastAsia" w:ascii="楷体_GB2312" w:hAnsi="楷体_GB2312" w:eastAsia="楷体_GB2312" w:cs="楷体_GB2312"/>
          <w:b w:val="0"/>
          <w:bCs w:val="0"/>
          <w:color w:val="000000" w:themeColor="text1"/>
          <w:kern w:val="0"/>
          <w:sz w:val="32"/>
          <w:szCs w:val="32"/>
          <w:highlight w:val="none"/>
          <w:shd w:val="clear" w:color="auto" w:fill="FFFFFF"/>
          <w:lang w:val="zh-CN"/>
          <w14:textFill>
            <w14:solidFill>
              <w14:schemeClr w14:val="tx1"/>
            </w14:solidFill>
          </w14:textFill>
        </w:rPr>
        <w:t>绩效分析。</w:t>
      </w:r>
    </w:p>
    <w:p w14:paraId="237085FA">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项目决策。</w:t>
      </w:r>
    </w:p>
    <w:p w14:paraId="786CEF92">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资金使用</w:t>
      </w: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项目设立、调整延续等方面符合资金管理基本规范和决策程序</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要求，项目决策程序严密，得6分；项目规划论证符合中省要求，项目绩效目标设置科学合理，得6分；项目资金使用</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按照</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省</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财政部</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厅</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省</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卫生健康委、</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省</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医保局、</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省</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中医药局《关于</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印发</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公共卫生服务等5项补助资金管理办法的通知》（</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川</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财社〔2022〕</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112</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号）精神</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要求进行规划，与基层卫生健康科事业发展相匹配，聚焦重大任务、重点领域、重点环节和重点项目，得6分。共计18分。</w:t>
      </w:r>
    </w:p>
    <w:p w14:paraId="5CF09E99">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项目管理。</w:t>
      </w:r>
    </w:p>
    <w:p w14:paraId="42640ECE">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项目制度办法体系健全、要素完备，得2分；项目资金分配因素选取、权重设置、区域分布，项目管理、审批符合管理要求，得10分；资金分配因素的权重设置有效突出项目实施重点，得6分；管资金、项目、政策、管绩效，项目绩效监管按要求开展，对下指导有力有效，得6分。共计18分。</w:t>
      </w:r>
    </w:p>
    <w:p w14:paraId="217E9230">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3.项目实施。</w:t>
      </w:r>
    </w:p>
    <w:p w14:paraId="1501E022">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项目资金6758.72万元均已拨付到位，财政资金拨付率100%，预算执行率73.38%，得5分；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项目资金使用</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按照</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省</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财政部</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厅</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省</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卫生健康委、</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省</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医保局、</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省</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中医药局《关于</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印发</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公共卫生服务等5项补助资金管理办法的通知》（</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川</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财社〔2022〕</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112</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号）</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相关文件要求</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有序开展，资金使用拨付、项目实施符合规定，得3分。共计8分。</w:t>
      </w:r>
    </w:p>
    <w:p w14:paraId="1A6B6BCD">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4.项目结果。</w:t>
      </w:r>
    </w:p>
    <w:p w14:paraId="28135180">
      <w:pPr>
        <w:pStyle w:val="2"/>
        <w:keepNext w:val="0"/>
        <w:keepLines w:val="0"/>
        <w:pageBreakBefore w:val="0"/>
        <w:widowControl w:val="0"/>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项目完成实施方案预期目标，实施结果与绩效目标相匹配，得6分；项目实际推动进度与项目方案计划时间符合，得3分，共计9分。</w:t>
      </w:r>
    </w:p>
    <w:p w14:paraId="7EBDD7C9">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color w:val="000000" w:themeColor="text1"/>
          <w:kern w:val="0"/>
          <w:position w:val="0"/>
          <w:sz w:val="32"/>
          <w:szCs w:val="32"/>
          <w:highlight w:val="none"/>
          <w:lang w:val="zh-CN" w:eastAsia="zh-CN" w:bidi="ar-SA"/>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u w:val="none"/>
          <w:lang w:val="zh-CN"/>
          <w14:textFill>
            <w14:solidFill>
              <w14:schemeClr w14:val="tx1"/>
            </w14:solidFill>
          </w14:textFill>
        </w:rPr>
        <w:t>（二）</w:t>
      </w: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t>专用指标</w:t>
      </w:r>
      <w:r>
        <w:rPr>
          <w:rFonts w:hint="eastAsia" w:ascii="楷体_GB2312" w:hAnsi="楷体_GB2312" w:eastAsia="楷体_GB2312" w:cs="楷体_GB2312"/>
          <w:b w:val="0"/>
          <w:bCs w:val="0"/>
          <w:color w:val="000000" w:themeColor="text1"/>
          <w:kern w:val="0"/>
          <w:sz w:val="32"/>
          <w:szCs w:val="32"/>
          <w:highlight w:val="none"/>
          <w:shd w:val="clear" w:color="auto" w:fill="FFFFFF"/>
          <w:lang w:val="zh-CN"/>
          <w14:textFill>
            <w14:solidFill>
              <w14:schemeClr w14:val="tx1"/>
            </w14:solidFill>
          </w14:textFill>
        </w:rPr>
        <w:t>绩效分析。</w:t>
      </w:r>
    </w:p>
    <w:p w14:paraId="4CD50F3F">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资金按规定用途、适用范围进行本地区专项资金分配，得10分；资金管理程序符合专项资金管理要求，得10分；资金分配标准符合专项资金管理要求，得10分，共计30分。</w:t>
      </w:r>
    </w:p>
    <w:p w14:paraId="469ACD20">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color w:val="000000" w:themeColor="text1"/>
          <w:kern w:val="0"/>
          <w:sz w:val="32"/>
          <w:szCs w:val="32"/>
          <w:highlight w:val="none"/>
          <w:shd w:val="clear" w:color="auto" w:fill="FFFFFF"/>
          <w:lang w:val="zh-CN"/>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shd w:val="clear" w:fill="FFFFFF"/>
          <w:lang w:val="zh-CN" w:eastAsia="zh-CN" w:bidi="ar-SA"/>
          <w14:textFill>
            <w14:solidFill>
              <w14:schemeClr w14:val="tx1"/>
            </w14:solidFill>
          </w14:textFill>
        </w:rPr>
        <w:t>（三）</w:t>
      </w:r>
      <w:r>
        <w:rPr>
          <w:rFonts w:hint="eastAsia" w:ascii="楷体_GB2312" w:hAnsi="楷体_GB2312" w:eastAsia="楷体_GB2312" w:cs="楷体_GB2312"/>
          <w:b w:val="0"/>
          <w:bCs w:val="0"/>
          <w:color w:val="000000" w:themeColor="text1"/>
          <w:sz w:val="32"/>
          <w:szCs w:val="32"/>
          <w:highlight w:val="none"/>
          <w:u w:val="none"/>
          <w:lang w:val="en-US" w:eastAsia="zh-CN"/>
          <w14:textFill>
            <w14:solidFill>
              <w14:schemeClr w14:val="tx1"/>
            </w14:solidFill>
          </w14:textFill>
        </w:rPr>
        <w:t>个性指标</w:t>
      </w:r>
      <w:r>
        <w:rPr>
          <w:rFonts w:hint="eastAsia" w:ascii="楷体_GB2312" w:hAnsi="楷体_GB2312" w:eastAsia="楷体_GB2312" w:cs="楷体_GB2312"/>
          <w:b w:val="0"/>
          <w:bCs w:val="0"/>
          <w:color w:val="000000" w:themeColor="text1"/>
          <w:kern w:val="0"/>
          <w:sz w:val="32"/>
          <w:szCs w:val="32"/>
          <w:highlight w:val="none"/>
          <w:shd w:val="clear" w:color="auto" w:fill="FFFFFF"/>
          <w:lang w:val="zh-CN"/>
          <w14:textFill>
            <w14:solidFill>
              <w14:schemeClr w14:val="tx1"/>
            </w14:solidFill>
          </w14:textFill>
        </w:rPr>
        <w:t>绩效分析。</w:t>
      </w:r>
    </w:p>
    <w:p w14:paraId="092A8201">
      <w:pPr>
        <w:pStyle w:val="4"/>
        <w:keepNext w:val="0"/>
        <w:keepLines w:val="0"/>
        <w:pageBreakBefore w:val="0"/>
        <w:widowControl w:val="0"/>
        <w:numPr>
          <w:ilvl w:val="0"/>
          <w:numId w:val="0"/>
        </w:numPr>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无</w:t>
      </w:r>
    </w:p>
    <w:p w14:paraId="43AAA514">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医疗服务与保障能力项目整体绩效评价得分83分。</w:t>
      </w:r>
    </w:p>
    <w:p w14:paraId="56EE53C4">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黑体" w:hAnsi="黑体" w:eastAsia="黑体" w:cs="黑体"/>
          <w:b w:val="0"/>
          <w:bCs w:val="0"/>
          <w:color w:val="000000" w:themeColor="text1"/>
          <w:sz w:val="32"/>
          <w:szCs w:val="32"/>
          <w:highlight w:val="none"/>
          <w:u w:val="none"/>
          <w14:textFill>
            <w14:solidFill>
              <w14:schemeClr w14:val="tx1"/>
            </w14:solidFill>
          </w14:textFill>
        </w:rPr>
      </w:pPr>
      <w:r>
        <w:rPr>
          <w:rFonts w:hint="eastAsia" w:ascii="黑体" w:hAnsi="黑体" w:eastAsia="黑体" w:cs="黑体"/>
          <w:b w:val="0"/>
          <w:bCs w:val="0"/>
          <w:color w:val="000000" w:themeColor="text1"/>
          <w:sz w:val="32"/>
          <w:szCs w:val="32"/>
          <w:highlight w:val="none"/>
          <w:u w:val="none"/>
          <w:lang w:eastAsia="zh-CN"/>
          <w14:textFill>
            <w14:solidFill>
              <w14:schemeClr w14:val="tx1"/>
            </w14:solidFill>
          </w14:textFill>
        </w:rPr>
        <w:t>四</w:t>
      </w:r>
      <w:r>
        <w:rPr>
          <w:rFonts w:hint="eastAsia" w:ascii="黑体" w:hAnsi="黑体" w:eastAsia="黑体" w:cs="黑体"/>
          <w:b w:val="0"/>
          <w:bCs w:val="0"/>
          <w:color w:val="000000" w:themeColor="text1"/>
          <w:sz w:val="32"/>
          <w:szCs w:val="32"/>
          <w:highlight w:val="none"/>
          <w:u w:val="none"/>
          <w14:textFill>
            <w14:solidFill>
              <w14:schemeClr w14:val="tx1"/>
            </w14:solidFill>
          </w14:textFill>
        </w:rPr>
        <w:t>、评价结论</w:t>
      </w:r>
    </w:p>
    <w:p w14:paraId="5C7761CA">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县域医疗卫生机构能力建设、公立医院综合改革、取消药品加成、</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住院医师规培等</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项目的实施和管理规范，流程符合规定，按照要求完成项目建设内容，项目绩效指标</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完成情况较好</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w:t>
      </w:r>
    </w:p>
    <w:p w14:paraId="7ECDA836">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黑体" w:hAnsi="黑体" w:eastAsia="黑体" w:cs="黑体"/>
          <w:b w:val="0"/>
          <w:bCs w:val="0"/>
          <w:color w:val="000000" w:themeColor="text1"/>
          <w:sz w:val="32"/>
          <w:szCs w:val="32"/>
          <w:highlight w:val="none"/>
          <w:u w:val="none"/>
          <w:lang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u w:val="none"/>
          <w:lang w:eastAsia="zh-CN"/>
          <w14:textFill>
            <w14:solidFill>
              <w14:schemeClr w14:val="tx1"/>
            </w14:solidFill>
          </w14:textFill>
        </w:rPr>
        <w:t>五、存在主要问题</w:t>
      </w:r>
    </w:p>
    <w:p w14:paraId="79EABF6A">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部分项目需跨年度实施，如卫生人才队伍建设等，项目建设周期较长，资金拨付进度偏低。</w:t>
      </w:r>
    </w:p>
    <w:p w14:paraId="15D944C8">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黑体" w:hAnsi="黑体" w:eastAsia="黑体" w:cs="黑体"/>
          <w:b w:val="0"/>
          <w:bCs w:val="0"/>
          <w:color w:val="000000" w:themeColor="text1"/>
          <w:kern w:val="0"/>
          <w:position w:val="3"/>
          <w:sz w:val="32"/>
          <w:szCs w:val="32"/>
          <w:highlight w:val="none"/>
          <w:u w:val="none"/>
          <w:lang w:val="zh-CN" w:eastAsia="zh-CN" w:bidi="ar-SA"/>
          <w14:textFill>
            <w14:solidFill>
              <w14:schemeClr w14:val="tx1"/>
            </w14:solidFill>
          </w14:textFill>
        </w:rPr>
      </w:pPr>
      <w:r>
        <w:rPr>
          <w:rFonts w:hint="eastAsia" w:ascii="黑体" w:hAnsi="黑体" w:eastAsia="黑体" w:cs="黑体"/>
          <w:b w:val="0"/>
          <w:bCs w:val="0"/>
          <w:color w:val="000000" w:themeColor="text1"/>
          <w:kern w:val="0"/>
          <w:position w:val="3"/>
          <w:sz w:val="32"/>
          <w:szCs w:val="32"/>
          <w:highlight w:val="none"/>
          <w:u w:val="none"/>
          <w:lang w:val="zh-CN" w:eastAsia="zh-CN" w:bidi="ar-SA"/>
          <w14:textFill>
            <w14:solidFill>
              <w14:schemeClr w14:val="tx1"/>
            </w14:solidFill>
          </w14:textFill>
        </w:rPr>
        <w:t>六、改进建议</w:t>
      </w:r>
    </w:p>
    <w:p w14:paraId="6DA17F58">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pP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一是加快资金拨付力度；二是加强资金绩效考核和监管；三是增设个性化指标，让绩效评价更加规范。</w:t>
      </w:r>
    </w:p>
    <w:p w14:paraId="64797693">
      <w:pPr>
        <w:rPr>
          <w:b w:val="0"/>
          <w:bCs w:val="0"/>
          <w:color w:val="000000" w:themeColor="text1"/>
          <w14:textFill>
            <w14:solidFill>
              <w14:schemeClr w14:val="tx1"/>
            </w14:solidFill>
          </w14:textFill>
        </w:rPr>
      </w:pPr>
    </w:p>
    <w:sectPr>
      <w:footerReference r:id="rId3" w:type="default"/>
      <w:pgSz w:w="11906" w:h="16838"/>
      <w:pgMar w:top="2098" w:right="1474" w:bottom="1984" w:left="1587" w:header="851" w:footer="113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06A74E-003F-4A45-A896-C5DDA7D9CF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BD8D418-BD22-455C-BE37-6B4D94D4917C}"/>
  </w:font>
  <w:font w:name="??">
    <w:altName w:val="Times New Roman"/>
    <w:panose1 w:val="00000000000000000000"/>
    <w:charset w:val="00"/>
    <w:family w:val="roman"/>
    <w:pitch w:val="default"/>
    <w:sig w:usb0="00000000"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embedRegular r:id="rId3" w:fontKey="{8A0A2C40-B9F8-4712-AEAA-3295E599C080}"/>
  </w:font>
  <w:font w:name="仿宋_GB2312">
    <w:panose1 w:val="02010609030101010101"/>
    <w:charset w:val="86"/>
    <w:family w:val="auto"/>
    <w:pitch w:val="default"/>
    <w:sig w:usb0="00000001" w:usb1="080E0000" w:usb2="00000000" w:usb3="00000000" w:csb0="00040000" w:csb1="00000000"/>
    <w:embedRegular r:id="rId4" w:fontKey="{E6079C19-4F20-4597-A1FF-F1C909D068D5}"/>
  </w:font>
  <w:font w:name="楷体_GB2312">
    <w:panose1 w:val="02010609030101010101"/>
    <w:charset w:val="86"/>
    <w:family w:val="auto"/>
    <w:pitch w:val="default"/>
    <w:sig w:usb0="00000001" w:usb1="080E0000" w:usb2="00000000" w:usb3="00000000" w:csb0="00040000" w:csb1="00000000"/>
    <w:embedRegular r:id="rId5" w:fontKey="{D05F6A6F-443E-4E86-9A6A-C5E21FC385F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4D01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D329FA">
                          <w:pPr>
                            <w:pStyle w:val="6"/>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DD329FA">
                    <w:pPr>
                      <w:pStyle w:val="6"/>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YTUzZGFlMmM4YmFjNTQwY2MzZDc0YjE2MWU2ZDQifQ=="/>
  </w:docVars>
  <w:rsids>
    <w:rsidRoot w:val="00000000"/>
    <w:rsid w:val="027473EA"/>
    <w:rsid w:val="09054AF4"/>
    <w:rsid w:val="098556B8"/>
    <w:rsid w:val="0FDA73BD"/>
    <w:rsid w:val="122128BA"/>
    <w:rsid w:val="13B840DB"/>
    <w:rsid w:val="181670D9"/>
    <w:rsid w:val="18241A1C"/>
    <w:rsid w:val="1B2A42FF"/>
    <w:rsid w:val="1C05636D"/>
    <w:rsid w:val="1CFE214A"/>
    <w:rsid w:val="21921A0E"/>
    <w:rsid w:val="2789342B"/>
    <w:rsid w:val="296A0ADF"/>
    <w:rsid w:val="2A2B1C75"/>
    <w:rsid w:val="2B5D78E5"/>
    <w:rsid w:val="2E1E4B22"/>
    <w:rsid w:val="2EBE0690"/>
    <w:rsid w:val="33A0349A"/>
    <w:rsid w:val="34555CF1"/>
    <w:rsid w:val="34DE4287"/>
    <w:rsid w:val="37190E00"/>
    <w:rsid w:val="38C90669"/>
    <w:rsid w:val="3D2E1E3E"/>
    <w:rsid w:val="3DEC0798"/>
    <w:rsid w:val="3EFA390C"/>
    <w:rsid w:val="45F73F9F"/>
    <w:rsid w:val="4E433496"/>
    <w:rsid w:val="50661571"/>
    <w:rsid w:val="53163533"/>
    <w:rsid w:val="54CB2662"/>
    <w:rsid w:val="54EF0E42"/>
    <w:rsid w:val="560137FA"/>
    <w:rsid w:val="57315742"/>
    <w:rsid w:val="597B2C23"/>
    <w:rsid w:val="65230F24"/>
    <w:rsid w:val="652C1D2A"/>
    <w:rsid w:val="6532706E"/>
    <w:rsid w:val="6AEF22CB"/>
    <w:rsid w:val="6C8C6B1F"/>
    <w:rsid w:val="6CC765D0"/>
    <w:rsid w:val="709534E8"/>
    <w:rsid w:val="71836CDA"/>
    <w:rsid w:val="765D6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Body Text"/>
    <w:basedOn w:val="1"/>
    <w:next w:val="5"/>
    <w:qFormat/>
    <w:uiPriority w:val="0"/>
    <w:pPr>
      <w:spacing w:before="0" w:after="140" w:line="276" w:lineRule="auto"/>
    </w:pPr>
  </w:style>
  <w:style w:type="paragraph" w:customStyle="1" w:styleId="5">
    <w:name w:val="样式1"/>
    <w:basedOn w:val="1"/>
    <w:qFormat/>
    <w:uiPriority w:val="0"/>
    <w:rPr>
      <w:b/>
      <w:color w:val="538135"/>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11">
    <w:name w:val="Body text|1"/>
    <w:basedOn w:val="1"/>
    <w:qFormat/>
    <w:uiPriority w:val="0"/>
    <w:pPr>
      <w:widowControl w:val="0"/>
      <w:shd w:val="clear" w:color="auto" w:fill="auto"/>
      <w:spacing w:line="427" w:lineRule="auto"/>
      <w:ind w:firstLine="400"/>
    </w:pPr>
    <w:rPr>
      <w:rFonts w:ascii="宋体" w:hAnsi="宋体" w:eastAsia="宋体" w:cs="宋体"/>
      <w:sz w:val="30"/>
      <w:szCs w:val="30"/>
      <w:u w:val="none"/>
      <w:shd w:val="clear" w:color="auto" w:fill="auto"/>
      <w:lang w:val="zh-TW" w:eastAsia="zh-TW" w:bidi="zh-TW"/>
    </w:rPr>
  </w:style>
  <w:style w:type="paragraph" w:customStyle="1" w:styleId="12">
    <w:name w:val="样式 小四 行距: 1.5 倍行距"/>
    <w:basedOn w:val="1"/>
    <w:qFormat/>
    <w:uiPriority w:val="0"/>
    <w:pPr>
      <w:spacing w:line="360" w:lineRule="auto"/>
      <w:ind w:firstLine="480" w:firstLineChars="200"/>
    </w:pPr>
    <w:rPr>
      <w:rFonts w:cs="宋体"/>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3516</Words>
  <Characters>3721</Characters>
  <Lines>0</Lines>
  <Paragraphs>0</Paragraphs>
  <TotalTime>9</TotalTime>
  <ScaleCrop>false</ScaleCrop>
  <LinksUpToDate>false</LinksUpToDate>
  <CharactersWithSpaces>3723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2024-09-19T01:03:00Z</dcterms:created>
  <dc:creator>dell</dc:creator>
  <cp:lastModifiedBy>这样就好</cp:lastModifiedBy>
  <dcterms:modified xsi:type="dcterms:W3CDTF">2024-09-24T05:20:42Z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DF43ACE19DF7478DBFBF4467CB838E6D_13</vt:lpwstr>
  </property>
</Properties>
</file>