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hint="eastAsia" w:ascii="方正小标宋简体" w:hAnsi="宋体" w:eastAsia="方正小标宋简体"/>
          <w:color w:val="000000" w:themeColor="text1"/>
          <w:sz w:val="72"/>
          <w:szCs w:val="72"/>
          <w14:textFill>
            <w14:solidFill>
              <w14:schemeClr w14:val="tx1"/>
            </w14:solidFill>
          </w14:textFill>
        </w:rPr>
      </w:pPr>
      <w:bookmarkStart w:id="0" w:name="_Toc15396597"/>
      <w:bookmarkStart w:id="1" w:name="_Toc15396475"/>
      <w:bookmarkStart w:id="2" w:name="_Toc15377425"/>
      <w:bookmarkStart w:id="3" w:name="_Toc15377193"/>
      <w:bookmarkStart w:id="4" w:name="_Toc15378441"/>
      <w:bookmarkStart w:id="5" w:name="_Toc15306267"/>
    </w:p>
    <w:p>
      <w:pPr>
        <w:spacing w:line="600" w:lineRule="exact"/>
        <w:jc w:val="center"/>
        <w:outlineLvl w:val="0"/>
        <w:rPr>
          <w:rFonts w:ascii="方正小标宋简体" w:hAnsi="宋体" w:eastAsia="方正小标宋简体"/>
          <w:color w:val="000000" w:themeColor="text1"/>
          <w:sz w:val="72"/>
          <w:szCs w:val="72"/>
          <w14:textFill>
            <w14:solidFill>
              <w14:schemeClr w14:val="tx1"/>
            </w14:solidFill>
          </w14:textFill>
        </w:rPr>
      </w:pPr>
    </w:p>
    <w:p>
      <w:pPr>
        <w:pStyle w:val="19"/>
        <w:ind w:left="420" w:firstLine="1440"/>
        <w:rPr>
          <w:rFonts w:ascii="方正小标宋简体" w:hAnsi="宋体" w:eastAsia="方正小标宋简体"/>
          <w:color w:val="000000" w:themeColor="text1"/>
          <w:sz w:val="72"/>
          <w:szCs w:val="72"/>
          <w14:textFill>
            <w14:solidFill>
              <w14:schemeClr w14:val="tx1"/>
            </w14:solidFill>
          </w14:textFill>
        </w:rPr>
      </w:pPr>
    </w:p>
    <w:p>
      <w:pPr>
        <w:adjustRightInd w:val="0"/>
        <w:snapToGrid w:val="0"/>
        <w:jc w:val="center"/>
        <w:outlineLvl w:val="0"/>
        <w:rPr>
          <w:rFonts w:ascii="方正小标宋简体" w:hAnsi="方正小标宋简体" w:eastAsia="方正小标宋简体" w:cs="方正小标宋简体"/>
          <w:color w:val="000000" w:themeColor="text1"/>
          <w:sz w:val="56"/>
          <w:szCs w:val="56"/>
          <w14:textFill>
            <w14:solidFill>
              <w14:schemeClr w14:val="tx1"/>
            </w14:solidFill>
          </w14:textFill>
        </w:rPr>
      </w:pPr>
      <w:r>
        <w:rPr>
          <w:rFonts w:hint="eastAsia" w:ascii="方正小标宋简体" w:hAnsi="方正小标宋简体" w:eastAsia="方正小标宋简体" w:cs="方正小标宋简体"/>
          <w:color w:val="000000" w:themeColor="text1"/>
          <w:spacing w:val="64"/>
          <w:kern w:val="0"/>
          <w:sz w:val="56"/>
          <w:szCs w:val="56"/>
          <w:fitText w:val="2800" w:id="1181044356"/>
          <w14:textFill>
            <w14:solidFill>
              <w14:schemeClr w14:val="tx1"/>
            </w14:solidFill>
          </w14:textFill>
        </w:rPr>
        <w:t>2023年</w:t>
      </w:r>
      <w:r>
        <w:rPr>
          <w:rFonts w:hint="eastAsia" w:ascii="方正小标宋简体" w:hAnsi="方正小标宋简体" w:eastAsia="方正小标宋简体" w:cs="方正小标宋简体"/>
          <w:color w:val="000000" w:themeColor="text1"/>
          <w:spacing w:val="2"/>
          <w:kern w:val="0"/>
          <w:sz w:val="56"/>
          <w:szCs w:val="56"/>
          <w:fitText w:val="2800" w:id="1181044356"/>
          <w14:textFill>
            <w14:solidFill>
              <w14:schemeClr w14:val="tx1"/>
            </w14:solidFill>
          </w14:textFill>
        </w:rPr>
        <w:t>度</w:t>
      </w:r>
      <w:bookmarkEnd w:id="0"/>
      <w:bookmarkEnd w:id="1"/>
      <w:bookmarkEnd w:id="2"/>
      <w:bookmarkEnd w:id="3"/>
      <w:bookmarkEnd w:id="4"/>
      <w:bookmarkStart w:id="6" w:name="_Toc15378442"/>
      <w:bookmarkStart w:id="7" w:name="_Toc15377194"/>
      <w:bookmarkStart w:id="8" w:name="_Toc15377426"/>
      <w:bookmarkStart w:id="9" w:name="_Toc15396598"/>
      <w:bookmarkStart w:id="10" w:name="_Toc15396476"/>
    </w:p>
    <w:p>
      <w:pPr>
        <w:adjustRightInd w:val="0"/>
        <w:snapToGrid w:val="0"/>
        <w:jc w:val="center"/>
        <w:outlineLvl w:val="0"/>
        <w:rPr>
          <w:rFonts w:ascii="方正小标宋简体" w:hAnsi="方正小标宋简体" w:eastAsia="方正小标宋简体" w:cs="方正小标宋简体"/>
          <w:color w:val="000000" w:themeColor="text1"/>
          <w:sz w:val="56"/>
          <w:szCs w:val="56"/>
          <w14:textFill>
            <w14:solidFill>
              <w14:schemeClr w14:val="tx1"/>
            </w14:solidFill>
          </w14:textFill>
        </w:rPr>
      </w:pPr>
      <w:r>
        <w:rPr>
          <w:rFonts w:hint="eastAsia" w:ascii="方正小标宋简体" w:hAnsi="方正小标宋简体" w:eastAsia="方正小标宋简体" w:cs="方正小标宋简体"/>
          <w:color w:val="000000" w:themeColor="text1"/>
          <w:sz w:val="56"/>
          <w:szCs w:val="56"/>
          <w14:textFill>
            <w14:solidFill>
              <w14:schemeClr w14:val="tx1"/>
            </w14:solidFill>
          </w14:textFill>
        </w:rPr>
        <w:t>广元市</w:t>
      </w:r>
      <w:bookmarkEnd w:id="5"/>
      <w:bookmarkStart w:id="11" w:name="_Toc15306268"/>
      <w:r>
        <w:rPr>
          <w:rFonts w:hint="eastAsia" w:ascii="方正小标宋简体" w:hAnsi="方正小标宋简体" w:eastAsia="方正小标宋简体" w:cs="方正小标宋简体"/>
          <w:color w:val="000000" w:themeColor="text1"/>
          <w:sz w:val="56"/>
          <w:szCs w:val="56"/>
          <w14:textFill>
            <w14:solidFill>
              <w14:schemeClr w14:val="tx1"/>
            </w14:solidFill>
          </w14:textFill>
        </w:rPr>
        <w:t>医疗保障局部门决算</w:t>
      </w:r>
      <w:bookmarkEnd w:id="6"/>
      <w:bookmarkEnd w:id="7"/>
      <w:bookmarkEnd w:id="8"/>
      <w:bookmarkEnd w:id="9"/>
      <w:bookmarkEnd w:id="10"/>
      <w:bookmarkEnd w:id="11"/>
    </w:p>
    <w:p>
      <w:pPr>
        <w:widowControl/>
        <w:jc w:val="center"/>
        <w:rPr>
          <w:rFonts w:ascii="黑体" w:hAnsi="黑体" w:eastAsia="黑体"/>
          <w:color w:val="000000" w:themeColor="text1"/>
          <w:sz w:val="48"/>
          <w:szCs w:val="48"/>
          <w14:textFill>
            <w14:solidFill>
              <w14:schemeClr w14:val="tx1"/>
            </w14:solidFill>
          </w14:textFill>
        </w:rPr>
      </w:pPr>
      <w:r>
        <w:rPr>
          <w:color w:val="000000" w:themeColor="text1"/>
          <w:sz w:val="36"/>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4489450</wp:posOffset>
                </wp:positionH>
                <wp:positionV relativeFrom="paragraph">
                  <wp:posOffset>5514975</wp:posOffset>
                </wp:positionV>
                <wp:extent cx="1403985" cy="630555"/>
                <wp:effectExtent l="0" t="0" r="5715" b="17145"/>
                <wp:wrapNone/>
                <wp:docPr id="14" name="矩形 14"/>
                <wp:cNvGraphicFramePr/>
                <a:graphic xmlns:a="http://schemas.openxmlformats.org/drawingml/2006/main">
                  <a:graphicData uri="http://schemas.microsoft.com/office/word/2010/wordprocessingShape">
                    <wps:wsp>
                      <wps:cNvSpPr/>
                      <wps:spPr>
                        <a:xfrm>
                          <a:off x="6221095" y="9543415"/>
                          <a:ext cx="1403985" cy="6305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3.5pt;margin-top:434.25pt;height:49.65pt;width:110.55pt;z-index:251665408;v-text-anchor:middle;mso-width-relative:page;mso-height-relative:page;" fillcolor="#FFFFFF [3212]" filled="t" stroked="f" coordsize="21600,21600" o:gfxdata="UEsDBAoAAAAAAIdO4kAAAAAAAAAAAAAAAAAEAAAAZHJzL1BLAwQUAAAACACHTuJAdF1mRNcAAAAL&#10;AQAADwAAAGRycy9kb3ducmV2LnhtbE2PwU7DMBBE70j9B2srcaN2AiQmxKkEEuJMW/XsxNskaryO&#10;bLcNf485wW1WM5p9U28XO7Er+jA6UpBtBDCkzpmRegWH/ceDBBaiJqMnR6jgGwNsm9VdrSvjbvSF&#10;113sWSqhUGkFQ4xzxXnoBrQ6bNyMlLyT81bHdPqeG69vqdxOPBei4FaPlD4Mesb3Abvz7mIV8PiJ&#10;5/2SH+lRPOn2zZ8Ox5krdb/OxCuwiEv8C8MvfkKHJjG17kImsElBKcq0JSqQhXwGlhIvucyAtUkU&#10;pQTe1Pz/huYHUEsDBBQAAAAIAIdO4kDqIjPkbQIAAMIEAAAOAAAAZHJzL2Uyb0RvYy54bWytVEtu&#10;2zAQ3RfoHQjuG0mOnMZG5MCI4aJA0ARIi65pirIE8FeStpxepkB3PUSOU/QafaSUT9MusqgX9Azn&#10;eR7nzYzPzg9Kkr1wvjO6osVRTonQ3NSd3lb008f1m1NKfGC6ZtJoUdFb4en54vWrs97OxcS0RtbC&#10;ESTRft7birYh2HmWed4KxfyRsUIj2BinWIDrtlntWI/sSmaTPD/JeuNq6wwX3uN2NQTpmNG9JKFp&#10;mo6LleE7JXQYsjohWUBJvu2sp4v02qYRPFw1jReByIqi0pBOkMDexDNbnLH51jHbdnx8AnvJE57V&#10;pFinQfqQasUCIzvX/ZVKddwZb5pwxI3KhkKSIqiiyJ9pc9MyK1ItkNrbB9H9/0vLP+yvHelqTEJJ&#10;iWYKHf/17cfPu+8EF1Cnt34O0I29dqPnYcZSD41T8RtFkENFTyaTIp9NKbmt6GxaHpfFdFBXHALh&#10;ABRlfjw7BYADcXKcT6cJkD1mss6Hd8IoEo2KOnQvicr2lz6AHdB7SCT2Rnb1upMyOW67uZCO7Bk6&#10;vU6fSI+f/AGTmvQVnUzLHBPAGea3wdzAVBYaeL2lhMktFoMHl7i1iQzINHCvmG8HjpR2pJAaTFGp&#10;QZtobUx9C2WdGUbOW77uUNUl8+GaOcwY+LGF4QpHIw0eZUaLkta4r/+6j3i0HlFKeswsHvxlx5yg&#10;RL7XGIpZUZZxyJNTTt9O4Linkc3TiN6pCwOxCuy75cmM+CDvzcYZ9RnLuoysCDHNwT1IMzoXYdgl&#10;rDsXy2WCYbAtC5f6xvKYPCqnzXIXTNOlJj6qM4qG0U6NGtcw7s5TP6Ee/3oW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0XWZE1wAAAAsBAAAPAAAAAAAAAAEAIAAAACIAAABkcnMvZG93bnJldi54&#10;bWxQSwECFAAUAAAACACHTuJA6iIz5G0CAADCBAAADgAAAAAAAAABACAAAAAmAQAAZHJzL2Uyb0Rv&#10;Yy54bWxQSwUGAAAAAAYABgBZAQAABQYAAAAA&#10;">
                <v:fill on="t" focussize="0,0"/>
                <v:stroke on="f" weight="2pt"/>
                <v:imagedata o:title=""/>
                <o:lock v:ext="edit" aspectratio="f"/>
              </v:rect>
            </w:pict>
          </mc:Fallback>
        </mc:AlternateContent>
      </w:r>
      <w:r>
        <w:rPr>
          <w:color w:val="000000" w:themeColor="text1"/>
          <w:sz w:val="36"/>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5390515</wp:posOffset>
                </wp:positionH>
                <wp:positionV relativeFrom="paragraph">
                  <wp:posOffset>4685030</wp:posOffset>
                </wp:positionV>
                <wp:extent cx="448945" cy="394335"/>
                <wp:effectExtent l="0" t="0" r="8255" b="5715"/>
                <wp:wrapNone/>
                <wp:docPr id="13" name="矩形 13"/>
                <wp:cNvGraphicFramePr/>
                <a:graphic xmlns:a="http://schemas.openxmlformats.org/drawingml/2006/main">
                  <a:graphicData uri="http://schemas.microsoft.com/office/word/2010/wordprocessingShape">
                    <wps:wsp>
                      <wps:cNvSpPr/>
                      <wps:spPr>
                        <a:xfrm>
                          <a:off x="6398895" y="9603740"/>
                          <a:ext cx="448945" cy="39433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24.45pt;margin-top:368.9pt;height:31.05pt;width:35.35pt;z-index:251664384;v-text-anchor:middle;mso-width-relative:page;mso-height-relative:page;" fillcolor="#FFFFFF [3212]" filled="t" stroked="f" coordsize="21600,21600" o:gfxdata="UEsDBAoAAAAAAIdO4kAAAAAAAAAAAAAAAAAEAAAAZHJzL1BLAwQUAAAACACHTuJAxuXD0NYAAAAL&#10;AQAADwAAAGRycy9kb3ducmV2LnhtbE2PwU7DMAyG70i8Q2QkbizpNm1NaToJJMSZbdo5bby2WuNU&#10;TbaVt8ec4Gj70+/vL3ezH8QNp9gHMpAtFAikJrieWgPHw8dLDiImS84OgdDAN0bYVY8PpS1cuNMX&#10;3vapFRxCsbAGupTGQsrYdOhtXIQRiW/nMHmbeJxa6SZ753A/yKVSG+ltT/yhsyO+d9hc9ldvQKZP&#10;vBzm5YlWam3rt+l8PI3SmOenTL2CSDinPxh+9VkdKnaqw5VcFIOBfJ1rRg1sV1vuwITO9AZEzRut&#10;NciqlP87VD9QSwMEFAAAAAgAh07iQF/GDclrAgAAwQQAAA4AAABkcnMvZTJvRG9jLnhtbK1US27b&#10;MBDdF+gdCO5r+SMnthE5MGy4KBA0AdKia5qiLAH8laQtp5cp0F0P0eMUvUYfKeXTtIss6gU9wxm/&#10;N/M444vLk5LkKJxvjC7oaDCkRGhuykbvC/rxw/bNjBIfmC6ZNFoU9E54erl8/eqitQsxNrWRpXAE&#10;INovWlvQOgS7yDLPa6GYHxgrNIKVcYoFuG6flY61QFcyGw+HZ1lrXGmd4cJ73G66IO0R3UsATVU1&#10;XGwMPyihQ4fqhGQBLfm6sZ4uU7VVJXi4riovApEFRachnSCBvYtntrxgi71jtm54XwJ7SQnPelKs&#10;0SB9gNqwwMjBNX9BqYY7400VBtyorGskKYIuRsNn2tzWzIrUC6T29kF0//9g+fvjjSNNiUmYUKKZ&#10;wov/+vr9549vBBdQp7V+gaRbe+N6z8OMrZ4qp+I3miCngp5N5rPZfErJXUHnZ8PJed6rK06BcCTk&#10;+WyeI86RMJnnk8k04mePQNb58FYYRaJRUIfHS5qy45UPXep9SuT1RjbltpEyOW6/W0tHjgwPvU2f&#10;Hv2PNKlJW9DxNB9iADjD+FYYG5jKQgKv95Qwucde8OAStzaRAeRsEbk3zNcdR4LtKaRGH1GoTppo&#10;7Ux5B2Gd6SbOW75t8Psr5sMNcxgx8GMJwzWOShoUZXqLktq4L/+6j/l4eUQpaTGyKPjzgTlBiXyn&#10;MRPzUQ7NSUhOPj0fw3FPI7unEX1QawOxRlh3y5MZ84O8Nytn1Cfs6iqyIsQ0B3cnTe+sQ7dK2HYu&#10;VquUhrm2LFzpW8sjeFROm9UhmKpJj/ioTi8aJjuNQb+FcXWe+inr8Z9n+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G5cPQ1gAAAAsBAAAPAAAAAAAAAAEAIAAAACIAAABkcnMvZG93bnJldi54bWxQ&#10;SwECFAAUAAAACACHTuJAX8YNyWsCAADBBAAADgAAAAAAAAABACAAAAAlAQAAZHJzL2Uyb0RvYy54&#10;bWxQSwUGAAAAAAYABgBZAQAAAgYAAAAA&#10;">
                <v:fill on="t" focussize="0,0"/>
                <v:stroke on="f" weight="2pt"/>
                <v:imagedata o:title=""/>
                <o:lock v:ext="edit" aspectratio="f"/>
              </v:rect>
            </w:pict>
          </mc:Fallback>
        </mc:AlternateContent>
      </w:r>
      <w:r>
        <w:rPr>
          <w:rFonts w:ascii="方正小标宋简体" w:hAnsi="宋体" w:eastAsia="方正小标宋简体"/>
          <w:color w:val="000000" w:themeColor="text1"/>
          <w:sz w:val="36"/>
          <w:szCs w:val="36"/>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目      录</w:t>
      </w:r>
    </w:p>
    <w:p>
      <w:pPr>
        <w:pStyle w:val="15"/>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公开时间：2024年10月2日</w:t>
      </w:r>
    </w:p>
    <w:p>
      <w:pPr>
        <w:adjustRightInd w:val="0"/>
        <w:snapToGrid w:val="0"/>
        <w:spacing w:line="57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p>
    <w:p>
      <w:pPr>
        <w:pStyle w:val="15"/>
        <w:adjustRightInd w:val="0"/>
        <w:snapToGrid w:val="0"/>
        <w:spacing w:before="0" w:line="596" w:lineRule="exact"/>
        <w:ind w:firstLine="640" w:firstLineChars="200"/>
        <w:jc w:val="both"/>
        <w:rPr>
          <w:rFonts w:ascii="仿宋_GB2312" w:hAnsi="仿宋_GB2312" w:eastAsia="仿宋_GB2312" w:cs="仿宋_GB2312"/>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第一部分 部门概况</w:t>
      </w:r>
    </w:p>
    <w:p>
      <w:pPr>
        <w:pStyle w:val="17"/>
        <w:adjustRightInd w:val="0"/>
        <w:snapToGrid w:val="0"/>
        <w:spacing w:line="59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一、部门职责…………………………………………………</w:t>
      </w:r>
      <w:r>
        <w:rPr>
          <w:rFonts w:ascii="仿宋_GB2312" w:hAnsi="仿宋_GB2312" w:eastAsia="仿宋_GB2312" w:cs="仿宋_GB2312"/>
          <w:color w:val="000000" w:themeColor="text1"/>
          <w:sz w:val="32"/>
          <w:szCs w:val="32"/>
          <w14:textFill>
            <w14:solidFill>
              <w14:schemeClr w14:val="tx1"/>
            </w14:solidFill>
          </w14:textFill>
        </w:rPr>
        <w:t>4</w:t>
      </w:r>
    </w:p>
    <w:p>
      <w:pPr>
        <w:pStyle w:val="17"/>
        <w:adjustRightInd w:val="0"/>
        <w:snapToGrid w:val="0"/>
        <w:spacing w:line="59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二、机构设置…………………………………………………</w:t>
      </w:r>
      <w:r>
        <w:rPr>
          <w:rFonts w:ascii="仿宋_GB2312" w:hAnsi="仿宋_GB2312" w:eastAsia="仿宋_GB2312" w:cs="仿宋_GB2312"/>
          <w:color w:val="000000" w:themeColor="text1"/>
          <w:sz w:val="32"/>
          <w:szCs w:val="32"/>
          <w14:textFill>
            <w14:solidFill>
              <w14:schemeClr w14:val="tx1"/>
            </w14:solidFill>
          </w14:textFill>
        </w:rPr>
        <w:t>6</w:t>
      </w:r>
    </w:p>
    <w:p>
      <w:pPr>
        <w:pStyle w:val="15"/>
        <w:adjustRightInd w:val="0"/>
        <w:snapToGrid w:val="0"/>
        <w:spacing w:before="0" w:line="596" w:lineRule="exact"/>
        <w:ind w:firstLine="640" w:firstLineChars="200"/>
        <w:jc w:val="both"/>
        <w:rPr>
          <w:rFonts w:ascii="仿宋_GB2312" w:hAnsi="仿宋_GB2312" w:eastAsia="仿宋_GB2312" w:cs="仿宋_GB2312"/>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第二部分 202</w:t>
      </w:r>
      <w:r>
        <w:rPr>
          <w:rFonts w:hint="default" w:ascii="黑体" w:hAnsi="黑体" w:eastAsia="黑体" w:cs="黑体"/>
          <w:color w:val="000000" w:themeColor="text1"/>
          <w:sz w:val="32"/>
          <w:szCs w:val="32"/>
          <w:lang w:val="en-US"/>
          <w14:textFill>
            <w14:solidFill>
              <w14:schemeClr w14:val="tx1"/>
            </w14:solidFill>
          </w14:textFill>
        </w:rPr>
        <w:t>3</w:t>
      </w:r>
      <w:r>
        <w:rPr>
          <w:rFonts w:hint="eastAsia" w:ascii="黑体" w:hAnsi="黑体" w:eastAsia="黑体" w:cs="黑体"/>
          <w:color w:val="000000" w:themeColor="text1"/>
          <w:sz w:val="32"/>
          <w:szCs w:val="32"/>
          <w14:textFill>
            <w14:solidFill>
              <w14:schemeClr w14:val="tx1"/>
            </w14:solidFill>
          </w14:textFill>
        </w:rPr>
        <w:t>年度部门决算情况说明</w:t>
      </w:r>
    </w:p>
    <w:p>
      <w:pPr>
        <w:pStyle w:val="17"/>
        <w:adjustRightInd w:val="0"/>
        <w:snapToGrid w:val="0"/>
        <w:spacing w:line="59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一、收入支出决算总体情况说明……………………………</w:t>
      </w:r>
      <w:r>
        <w:rPr>
          <w:rFonts w:ascii="仿宋_GB2312" w:hAnsi="仿宋_GB2312" w:eastAsia="仿宋_GB2312" w:cs="仿宋_GB2312"/>
          <w:color w:val="000000" w:themeColor="text1"/>
          <w:sz w:val="32"/>
          <w:szCs w:val="32"/>
          <w14:textFill>
            <w14:solidFill>
              <w14:schemeClr w14:val="tx1"/>
            </w14:solidFill>
          </w14:textFill>
        </w:rPr>
        <w:t>7</w:t>
      </w:r>
    </w:p>
    <w:p>
      <w:pPr>
        <w:pStyle w:val="17"/>
        <w:adjustRightInd w:val="0"/>
        <w:snapToGrid w:val="0"/>
        <w:spacing w:line="59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二、收入决算情况说明………………………………………</w:t>
      </w:r>
      <w:r>
        <w:rPr>
          <w:rFonts w:ascii="仿宋_GB2312" w:hAnsi="仿宋_GB2312" w:eastAsia="仿宋_GB2312" w:cs="仿宋_GB2312"/>
          <w:color w:val="000000" w:themeColor="text1"/>
          <w:sz w:val="32"/>
          <w:szCs w:val="32"/>
          <w14:textFill>
            <w14:solidFill>
              <w14:schemeClr w14:val="tx1"/>
            </w14:solidFill>
          </w14:textFill>
        </w:rPr>
        <w:t>7</w:t>
      </w:r>
    </w:p>
    <w:p>
      <w:pPr>
        <w:pStyle w:val="17"/>
        <w:adjustRightInd w:val="0"/>
        <w:snapToGrid w:val="0"/>
        <w:spacing w:line="59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三、支出决算情况说明………………………………………</w:t>
      </w:r>
      <w:r>
        <w:rPr>
          <w:rFonts w:ascii="仿宋_GB2312" w:hAnsi="仿宋_GB2312" w:eastAsia="仿宋_GB2312" w:cs="仿宋_GB2312"/>
          <w:color w:val="000000" w:themeColor="text1"/>
          <w:sz w:val="32"/>
          <w:szCs w:val="32"/>
          <w14:textFill>
            <w14:solidFill>
              <w14:schemeClr w14:val="tx1"/>
            </w14:solidFill>
          </w14:textFill>
        </w:rPr>
        <w:t>8</w:t>
      </w:r>
    </w:p>
    <w:p>
      <w:pPr>
        <w:pStyle w:val="17"/>
        <w:adjustRightInd w:val="0"/>
        <w:snapToGrid w:val="0"/>
        <w:spacing w:line="59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四、财政拨款收入支出决算总体情况说明…………………</w:t>
      </w:r>
      <w:r>
        <w:rPr>
          <w:rFonts w:ascii="仿宋_GB2312" w:hAnsi="仿宋_GB2312" w:eastAsia="仿宋_GB2312" w:cs="仿宋_GB2312"/>
          <w:color w:val="000000" w:themeColor="text1"/>
          <w:sz w:val="32"/>
          <w:szCs w:val="32"/>
          <w14:textFill>
            <w14:solidFill>
              <w14:schemeClr w14:val="tx1"/>
            </w14:solidFill>
          </w14:textFill>
        </w:rPr>
        <w:t>9</w:t>
      </w:r>
    </w:p>
    <w:p>
      <w:pPr>
        <w:pStyle w:val="17"/>
        <w:adjustRightInd w:val="0"/>
        <w:snapToGrid w:val="0"/>
        <w:spacing w:line="596" w:lineRule="exact"/>
        <w:ind w:left="638" w:leftChars="304"/>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五、一般公共预算财政拨款支出决算情况说明……………</w:t>
      </w:r>
      <w:r>
        <w:rPr>
          <w:rFonts w:ascii="仿宋_GB2312" w:hAnsi="仿宋_GB2312" w:eastAsia="仿宋_GB2312" w:cs="仿宋_GB2312"/>
          <w:color w:val="000000" w:themeColor="text1"/>
          <w:sz w:val="32"/>
          <w:szCs w:val="32"/>
          <w14:textFill>
            <w14:solidFill>
              <w14:schemeClr w14:val="tx1"/>
            </w14:solidFill>
          </w14:textFill>
        </w:rPr>
        <w:t>9</w:t>
      </w:r>
      <w:r>
        <w:rPr>
          <w:rFonts w:hint="eastAsia" w:ascii="仿宋_GB2312" w:hAnsi="仿宋_GB2312" w:eastAsia="仿宋_GB2312" w:cs="仿宋_GB2312"/>
          <w:color w:val="000000" w:themeColor="text1"/>
          <w:sz w:val="32"/>
          <w:szCs w:val="32"/>
          <w14:textFill>
            <w14:solidFill>
              <w14:schemeClr w14:val="tx1"/>
            </w14:solidFill>
          </w14:textFill>
        </w:rPr>
        <w:t>六、一般公共预算财政拨款基本支出决算情况说明………</w:t>
      </w:r>
      <w:r>
        <w:rPr>
          <w:rFonts w:ascii="仿宋_GB2312" w:hAnsi="仿宋_GB2312" w:eastAsia="仿宋_GB2312" w:cs="仿宋_GB2312"/>
          <w:color w:val="000000" w:themeColor="text1"/>
          <w:sz w:val="32"/>
          <w:szCs w:val="32"/>
          <w14:textFill>
            <w14:solidFill>
              <w14:schemeClr w14:val="tx1"/>
            </w14:solidFill>
          </w14:textFill>
        </w:rPr>
        <w:t>12</w:t>
      </w:r>
    </w:p>
    <w:p>
      <w:pPr>
        <w:pStyle w:val="17"/>
        <w:adjustRightInd w:val="0"/>
        <w:snapToGrid w:val="0"/>
        <w:spacing w:line="59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七、财政拨款“三公”经费支出决算情况说明……………</w:t>
      </w:r>
      <w:r>
        <w:rPr>
          <w:rFonts w:ascii="仿宋_GB2312" w:hAnsi="仿宋_GB2312" w:eastAsia="仿宋_GB2312" w:cs="仿宋_GB2312"/>
          <w:color w:val="000000" w:themeColor="text1"/>
          <w:sz w:val="32"/>
          <w:szCs w:val="32"/>
          <w14:textFill>
            <w14:solidFill>
              <w14:schemeClr w14:val="tx1"/>
            </w14:solidFill>
          </w14:textFill>
        </w:rPr>
        <w:t>13</w:t>
      </w:r>
    </w:p>
    <w:p>
      <w:pPr>
        <w:pStyle w:val="17"/>
        <w:adjustRightInd w:val="0"/>
        <w:snapToGrid w:val="0"/>
        <w:spacing w:line="59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八、政府性基金预算支出决算情况说明……………………</w:t>
      </w:r>
      <w:r>
        <w:rPr>
          <w:rFonts w:ascii="仿宋_GB2312" w:hAnsi="仿宋_GB2312" w:eastAsia="仿宋_GB2312" w:cs="仿宋_GB2312"/>
          <w:color w:val="000000" w:themeColor="text1"/>
          <w:sz w:val="32"/>
          <w:szCs w:val="32"/>
          <w14:textFill>
            <w14:solidFill>
              <w14:schemeClr w14:val="tx1"/>
            </w14:solidFill>
          </w14:textFill>
        </w:rPr>
        <w:t>14</w:t>
      </w:r>
    </w:p>
    <w:p>
      <w:pPr>
        <w:pStyle w:val="17"/>
        <w:adjustRightInd w:val="0"/>
        <w:snapToGrid w:val="0"/>
        <w:spacing w:line="59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九、国有资本经营预算支出决算情况说明…………………</w:t>
      </w:r>
      <w:r>
        <w:rPr>
          <w:rFonts w:ascii="仿宋_GB2312" w:hAnsi="仿宋_GB2312" w:eastAsia="仿宋_GB2312" w:cs="仿宋_GB2312"/>
          <w:color w:val="000000" w:themeColor="text1"/>
          <w:sz w:val="32"/>
          <w:szCs w:val="32"/>
          <w14:textFill>
            <w14:solidFill>
              <w14:schemeClr w14:val="tx1"/>
            </w14:solidFill>
          </w14:textFill>
        </w:rPr>
        <w:t>14</w:t>
      </w:r>
    </w:p>
    <w:p>
      <w:pPr>
        <w:adjustRightInd w:val="0"/>
        <w:snapToGrid w:val="0"/>
        <w:spacing w:line="59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Style w:val="24"/>
          <w:rFonts w:hint="eastAsia" w:ascii="仿宋_GB2312" w:hAnsi="仿宋_GB2312" w:eastAsia="仿宋_GB2312" w:cs="仿宋_GB2312"/>
          <w:color w:val="000000" w:themeColor="text1"/>
          <w:sz w:val="32"/>
          <w:szCs w:val="32"/>
          <w:u w:val="none"/>
          <w14:textFill>
            <w14:solidFill>
              <w14:schemeClr w14:val="tx1"/>
            </w14:solidFill>
          </w14:textFill>
        </w:rPr>
        <w:t>十、</w:t>
      </w:r>
      <w:r>
        <w:rPr>
          <w:rFonts w:hint="eastAsia" w:ascii="仿宋_GB2312" w:hAnsi="仿宋_GB2312" w:eastAsia="仿宋_GB2312" w:cs="仿宋_GB2312"/>
          <w:color w:val="000000" w:themeColor="text1"/>
          <w:sz w:val="32"/>
          <w:szCs w:val="32"/>
          <w14:textFill>
            <w14:solidFill>
              <w14:schemeClr w14:val="tx1"/>
            </w14:solidFill>
          </w14:textFill>
        </w:rPr>
        <w:t>其他重要事项的情况说明………………………………</w:t>
      </w:r>
      <w:r>
        <w:rPr>
          <w:rFonts w:ascii="仿宋_GB2312" w:hAnsi="仿宋_GB2312" w:eastAsia="仿宋_GB2312" w:cs="仿宋_GB2312"/>
          <w:color w:val="000000" w:themeColor="text1"/>
          <w:sz w:val="32"/>
          <w:szCs w:val="32"/>
          <w14:textFill>
            <w14:solidFill>
              <w14:schemeClr w14:val="tx1"/>
            </w14:solidFill>
          </w14:textFill>
        </w:rPr>
        <w:t>14</w:t>
      </w:r>
      <w:r>
        <w:rPr>
          <w:rFonts w:hint="eastAsia" w:ascii="仿宋_GB2312" w:hAnsi="仿宋_GB2312" w:eastAsia="仿宋_GB2312" w:cs="仿宋_GB2312"/>
          <w:color w:val="000000" w:themeColor="text1"/>
          <w:sz w:val="32"/>
          <w:szCs w:val="32"/>
          <w14:textFill>
            <w14:solidFill>
              <w14:schemeClr w14:val="tx1"/>
            </w14:solidFill>
          </w14:textFill>
        </w:rPr>
        <w:tab/>
      </w:r>
      <w:r>
        <w:rPr>
          <w:rFonts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color w:val="000000" w:themeColor="text1"/>
          <w:sz w:val="32"/>
          <w:szCs w:val="32"/>
          <w14:textFill>
            <w14:solidFill>
              <w14:schemeClr w14:val="tx1"/>
            </w14:solidFill>
          </w14:textFill>
        </w:rPr>
        <w:t>第三部分 名词解释</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18</w:t>
      </w:r>
    </w:p>
    <w:p>
      <w:pPr>
        <w:pStyle w:val="15"/>
        <w:adjustRightInd w:val="0"/>
        <w:snapToGrid w:val="0"/>
        <w:spacing w:before="0" w:line="596" w:lineRule="exact"/>
        <w:ind w:firstLine="640" w:firstLineChars="200"/>
        <w:jc w:val="both"/>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第四部分 附件</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21</w:t>
      </w:r>
    </w:p>
    <w:p>
      <w:pPr>
        <w:pStyle w:val="15"/>
        <w:adjustRightInd w:val="0"/>
        <w:snapToGrid w:val="0"/>
        <w:spacing w:before="0" w:line="596" w:lineRule="exact"/>
        <w:ind w:firstLine="640" w:firstLineChars="200"/>
        <w:jc w:val="both"/>
        <w:rPr>
          <w:rFonts w:hint="default" w:ascii="仿宋_GB2312" w:hAnsi="仿宋_GB2312" w:eastAsia="仿宋_GB2312" w:cs="仿宋_GB2312"/>
          <w:color w:val="000000" w:themeColor="text1"/>
          <w:sz w:val="32"/>
          <w:szCs w:val="32"/>
          <w:lang w:val="en-US"/>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第五部分 附表</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default" w:ascii="仿宋_GB2312" w:hAnsi="仿宋_GB2312" w:eastAsia="仿宋_GB2312" w:cs="仿宋_GB2312"/>
          <w:color w:val="000000" w:themeColor="text1"/>
          <w:sz w:val="32"/>
          <w:szCs w:val="32"/>
          <w:lang w:val="en-US"/>
          <w14:textFill>
            <w14:solidFill>
              <w14:schemeClr w14:val="tx1"/>
            </w14:solidFill>
          </w14:textFill>
        </w:rPr>
        <w:t>57</w:t>
      </w:r>
    </w:p>
    <w:p>
      <w:pPr>
        <w:pStyle w:val="17"/>
        <w:adjustRightInd w:val="0"/>
        <w:snapToGrid w:val="0"/>
        <w:spacing w:line="57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一、收入支出决算总表</w:t>
      </w:r>
    </w:p>
    <w:p>
      <w:pPr>
        <w:pStyle w:val="17"/>
        <w:adjustRightInd w:val="0"/>
        <w:snapToGrid w:val="0"/>
        <w:spacing w:line="57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二、收入决算表</w:t>
      </w:r>
    </w:p>
    <w:p>
      <w:pPr>
        <w:pStyle w:val="17"/>
        <w:adjustRightInd w:val="0"/>
        <w:snapToGrid w:val="0"/>
        <w:spacing w:line="57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三、支出决算表</w:t>
      </w:r>
    </w:p>
    <w:p>
      <w:pPr>
        <w:pStyle w:val="17"/>
        <w:adjustRightInd w:val="0"/>
        <w:snapToGrid w:val="0"/>
        <w:spacing w:line="57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四、财政拨款收入支出决算总表</w:t>
      </w:r>
    </w:p>
    <w:p>
      <w:pPr>
        <w:pStyle w:val="17"/>
        <w:adjustRightInd w:val="0"/>
        <w:snapToGrid w:val="0"/>
        <w:spacing w:line="57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五、财政拨款支出决算明细表</w:t>
      </w:r>
    </w:p>
    <w:p>
      <w:pPr>
        <w:pStyle w:val="17"/>
        <w:adjustRightInd w:val="0"/>
        <w:snapToGrid w:val="0"/>
        <w:spacing w:line="57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六、一般公共预算财政拨款支出决算表</w:t>
      </w:r>
    </w:p>
    <w:p>
      <w:pPr>
        <w:pStyle w:val="17"/>
        <w:adjustRightInd w:val="0"/>
        <w:snapToGrid w:val="0"/>
        <w:spacing w:line="57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七、一般公共预算财政拨款支出决算明细表</w:t>
      </w:r>
    </w:p>
    <w:p>
      <w:pPr>
        <w:pStyle w:val="17"/>
        <w:adjustRightInd w:val="0"/>
        <w:snapToGrid w:val="0"/>
        <w:spacing w:line="57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八、一般公共预算财政拨款基本支出决算明细表</w:t>
      </w:r>
    </w:p>
    <w:p>
      <w:pPr>
        <w:pStyle w:val="17"/>
        <w:adjustRightInd w:val="0"/>
        <w:snapToGrid w:val="0"/>
        <w:spacing w:line="57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九、一般公共预算财政拨款项目支出决算表</w:t>
      </w:r>
    </w:p>
    <w:p>
      <w:pPr>
        <w:pStyle w:val="17"/>
        <w:adjustRightInd w:val="0"/>
        <w:snapToGrid w:val="0"/>
        <w:spacing w:line="57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十、政府性基金预算财政拨款收入支出决算表</w:t>
      </w:r>
    </w:p>
    <w:p>
      <w:pPr>
        <w:pStyle w:val="17"/>
        <w:adjustRightInd w:val="0"/>
        <w:snapToGrid w:val="0"/>
        <w:spacing w:line="57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十一、国有资本经营预算财政拨款收入支出决算表</w:t>
      </w:r>
    </w:p>
    <w:p>
      <w:pPr>
        <w:pStyle w:val="17"/>
        <w:adjustRightInd w:val="0"/>
        <w:snapToGrid w:val="0"/>
        <w:spacing w:line="57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十二、国有资本经营预算财政拨款支出决算表</w:t>
      </w:r>
    </w:p>
    <w:p>
      <w:pPr>
        <w:pStyle w:val="17"/>
        <w:adjustRightInd w:val="0"/>
        <w:snapToGrid w:val="0"/>
        <w:spacing w:line="576" w:lineRule="exact"/>
        <w:ind w:left="0" w:leftChars="0"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十三、财政拨款“三公”经费支出决算表</w:t>
      </w:r>
    </w:p>
    <w:p>
      <w:pPr>
        <w:widowControl/>
        <w:spacing w:line="440" w:lineRule="exact"/>
        <w:jc w:val="left"/>
        <w:rPr>
          <w:rFonts w:ascii="仿宋" w:hAnsi="仿宋" w:eastAsia="仿宋"/>
          <w:bCs/>
          <w:color w:val="000000" w:themeColor="text1"/>
          <w:kern w:val="44"/>
          <w:sz w:val="24"/>
          <w14:textFill>
            <w14:solidFill>
              <w14:schemeClr w14:val="tx1"/>
            </w14:solidFill>
          </w14:textFill>
        </w:rPr>
      </w:pPr>
      <w:bookmarkStart w:id="12" w:name="_Toc15377196"/>
      <w:bookmarkStart w:id="13" w:name="_Toc15396599"/>
      <w:r>
        <w:rPr>
          <w:rFonts w:ascii="仿宋" w:hAnsi="仿宋" w:eastAsia="仿宋"/>
          <w:b/>
          <w:color w:val="000000" w:themeColor="text1"/>
          <w:sz w:val="24"/>
          <w14:textFill>
            <w14:solidFill>
              <w14:schemeClr w14:val="tx1"/>
            </w14:solidFill>
          </w14:textFill>
        </w:rPr>
        <w:br w:type="page"/>
      </w:r>
    </w:p>
    <w:p>
      <w:pPr>
        <w:pStyle w:val="3"/>
        <w:spacing w:before="0" w:after="0" w:line="640" w:lineRule="exact"/>
        <w:jc w:val="center"/>
        <w:rPr>
          <w:rStyle w:val="25"/>
          <w:rFonts w:ascii="黑体" w:hAnsi="黑体" w:eastAsia="黑体"/>
          <w:b/>
          <w:bCs w:val="0"/>
          <w:color w:val="000000" w:themeColor="text1"/>
          <w14:textFill>
            <w14:solidFill>
              <w14:schemeClr w14:val="tx1"/>
            </w14:solidFill>
          </w14:textFill>
        </w:rPr>
      </w:pPr>
      <w:r>
        <w:rPr>
          <w:rFonts w:hint="eastAsia" w:ascii="黑体" w:hAnsi="黑体" w:eastAsia="黑体"/>
          <w:b w:val="0"/>
          <w:color w:val="000000" w:themeColor="text1"/>
          <w14:textFill>
            <w14:solidFill>
              <w14:schemeClr w14:val="tx1"/>
            </w14:solidFill>
          </w14:textFill>
        </w:rPr>
        <w:t xml:space="preserve">第一部分 </w:t>
      </w:r>
      <w:r>
        <w:rPr>
          <w:rStyle w:val="25"/>
          <w:rFonts w:hint="eastAsia" w:ascii="黑体" w:hAnsi="黑体" w:eastAsia="黑体"/>
          <w:b w:val="0"/>
          <w:bCs w:val="0"/>
          <w:color w:val="000000" w:themeColor="text1"/>
          <w14:textFill>
            <w14:solidFill>
              <w14:schemeClr w14:val="tx1"/>
            </w14:solidFill>
          </w14:textFill>
        </w:rPr>
        <w:t>部门概况</w:t>
      </w:r>
      <w:bookmarkEnd w:id="12"/>
      <w:bookmarkEnd w:id="13"/>
    </w:p>
    <w:p>
      <w:pPr>
        <w:adjustRightInd w:val="0"/>
        <w:snapToGrid w:val="0"/>
        <w:spacing w:line="576" w:lineRule="exact"/>
        <w:ind w:firstLine="640" w:firstLineChars="200"/>
        <w:rPr>
          <w:rFonts w:ascii="黑体" w:eastAsia="黑体"/>
          <w:color w:val="000000" w:themeColor="text1"/>
          <w:sz w:val="32"/>
          <w:szCs w:val="32"/>
          <w14:textFill>
            <w14:solidFill>
              <w14:schemeClr w14:val="tx1"/>
            </w14:solidFill>
          </w14:textFill>
        </w:rPr>
      </w:pPr>
    </w:p>
    <w:p>
      <w:pPr>
        <w:pStyle w:val="4"/>
        <w:keepNext w:val="0"/>
        <w:keepLines w:val="0"/>
        <w:adjustRightInd w:val="0"/>
        <w:snapToGrid w:val="0"/>
        <w:spacing w:before="0" w:after="0" w:line="576" w:lineRule="exact"/>
        <w:ind w:firstLine="640" w:firstLineChars="200"/>
        <w:rPr>
          <w:rFonts w:ascii="黑体" w:hAnsi="黑体" w:eastAsia="黑体"/>
          <w:b w:val="0"/>
          <w:color w:val="000000" w:themeColor="text1"/>
          <w14:textFill>
            <w14:solidFill>
              <w14:schemeClr w14:val="tx1"/>
            </w14:solidFill>
          </w14:textFill>
        </w:rPr>
      </w:pPr>
      <w:bookmarkStart w:id="14" w:name="_Toc15396600"/>
      <w:bookmarkStart w:id="15" w:name="_Toc15377197"/>
      <w:r>
        <w:rPr>
          <w:rFonts w:hint="eastAsia" w:ascii="黑体" w:hAnsi="黑体" w:eastAsia="黑体"/>
          <w:b w:val="0"/>
          <w:color w:val="000000" w:themeColor="text1"/>
          <w14:textFill>
            <w14:solidFill>
              <w14:schemeClr w14:val="tx1"/>
            </w14:solidFill>
          </w14:textFill>
        </w:rPr>
        <w:t>一、</w:t>
      </w:r>
      <w:bookmarkEnd w:id="14"/>
      <w:bookmarkEnd w:id="15"/>
      <w:r>
        <w:rPr>
          <w:rFonts w:hint="eastAsia" w:ascii="黑体" w:hAnsi="黑体" w:eastAsia="黑体"/>
          <w:b w:val="0"/>
          <w:color w:val="000000" w:themeColor="text1"/>
          <w14:textFill>
            <w14:solidFill>
              <w14:schemeClr w14:val="tx1"/>
            </w14:solidFill>
          </w14:textFill>
        </w:rPr>
        <w:t>部门职责</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（一）负责贯彻执行国家、省、市有关医疗保险、生育保险、医疗救助、长期护理保险等医疗保障政策制度。</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（二）组织起草有关地方性法规和规章，草案。负责拟订全市医疗保障事业发展规划、政策和标准，并组织实施和监督检查。</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（三）</w:t>
      </w:r>
      <w:r>
        <w:rPr>
          <w:rFonts w:hint="eastAsia" w:ascii="仿宋_GB2312" w:eastAsia="仿宋_GB2312" w:cs="仿宋_GB2312"/>
          <w:color w:val="000000" w:themeColor="text1"/>
          <w:spacing w:val="-6"/>
          <w:sz w:val="32"/>
          <w:szCs w:val="32"/>
          <w14:textFill>
            <w14:solidFill>
              <w14:schemeClr w14:val="tx1"/>
            </w14:solidFill>
          </w14:textFill>
        </w:rPr>
        <w:t>组织拟订并实施医疗保障基金监督管理制度，建立健全医疗保障基金安全防控机制，监督强化全市医疗保障基金运行管理。</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四）组织拟订医疗保障筹资和待遇政策，负责医疗保障基金归集，拟订医疗保障基金年度收支计划，按政策和标准支付医疗待遇；完善动态调整和区域调剂平衡机制，统筹城乡医疗保障待遇标准，建立健全与筹资水平相适应的待遇调整机制。</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（五）</w:t>
      </w:r>
      <w:r>
        <w:rPr>
          <w:rFonts w:hint="eastAsia" w:ascii="仿宋_GB2312" w:eastAsia="仿宋_GB2312" w:cs="仿宋_GB2312"/>
          <w:color w:val="000000" w:themeColor="text1"/>
          <w:spacing w:val="-6"/>
          <w:sz w:val="32"/>
          <w:szCs w:val="32"/>
          <w14:textFill>
            <w14:solidFill>
              <w14:schemeClr w14:val="tx1"/>
            </w14:solidFill>
          </w14:textFill>
        </w:rPr>
        <w:t>贯彻执行上级药品目录、医用耗材、医疗服务项目、医疗服务设施等医疗保障目录和支付标准政策。拟订全市药品目录、医用耗材、医疗服务项目、医疗服务设施等医疗保障目录和支付标准政策。拟订全市有关医保目录准入谈判规则并组织实施。</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六）贯彻执行上级药品、医用耗材价格和医疗服务项目、医疗服务设施收费等政策，负责拟订全市医用耗材价格和医疗服务项目、医疗服务设施收费等政策。建立医保支付医药服务价格合理确定和动态调整机制。推动建立市场主导的社会医药服务价格形成机制；建立价格信息监测和信息发布制度。</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（七）贯彻执行上级药品、医用耗材的招标采购政策并监督实施。负责全市药品、医用耗材招标采购平台建设。组织实施大病保险招标准入和业务指导。</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（八）推进医疗保障基金支付方式改革，拟订全市定点医药机构协议和支付管理办法并组织实施。负责全市医疗保障定点机构管理和考核工作。</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九）建立健全医疗保障信用评价体系和信息披露制度。推进协议服务机构标准化建设，建立协议服务机构准入和退出机制。监督管理纳入医保范围内的医疗服务行为和医疗费用，依法查处医疗保障领域违法违规行为。</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（十）负责全市医疗保障经办管理、公共服务体系建设。组织拟订和完善异地就医管理和费用结算政策。建立健全医疗保障关系转移接续制度。监督管理全市医保经办服务工作；开展医疗保障领域对外合作交流。</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（十一）负责推进实施全市医疗保障信息化建设，组织开展医疗保障大数据管理和应用。</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（十二）负责职责范围内的安全生产和职业健康、生态环境保护、审批服务便民化等工作。</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（十三）完成市委和市政府交办的其他任务。</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四）职能转变。完善统一的城乡居民基本医疗保险制度和大病保险制度，不断提高医疗保障水平，建立健全覆盖全民、城乡统筹的多层次医疗保障体系，确保医保资金合理使用、安全可控，推进医疗、医保、医药“三医联动”改革，更好保障人民群众就医需求、减轻医药费用负担。</w:t>
      </w:r>
    </w:p>
    <w:p>
      <w:pPr>
        <w:adjustRightInd w:val="0"/>
        <w:snapToGrid w:val="0"/>
        <w:spacing w:line="576" w:lineRule="exact"/>
        <w:ind w:firstLine="640" w:firstLineChars="200"/>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五）有关职责分工。市卫生健康委员会、市医疗保障局和市市场监督管理局等部门在医疗、医保、医药等方面加强制度、政策衔接，建立沟通协商机制，协同推进改革，提高医疗资源使用效率和医疗保障水平。</w:t>
      </w:r>
    </w:p>
    <w:p>
      <w:pPr>
        <w:pStyle w:val="4"/>
        <w:keepNext w:val="0"/>
        <w:keepLines w:val="0"/>
        <w:adjustRightInd w:val="0"/>
        <w:snapToGrid w:val="0"/>
        <w:spacing w:before="0" w:after="0" w:line="576" w:lineRule="exact"/>
        <w:ind w:firstLine="640" w:firstLineChars="200"/>
        <w:rPr>
          <w:rStyle w:val="26"/>
          <w:rFonts w:ascii="黑体" w:hAnsi="黑体" w:eastAsia="黑体"/>
          <w:b w:val="0"/>
          <w:bCs w:val="0"/>
          <w:color w:val="000000" w:themeColor="text1"/>
          <w14:textFill>
            <w14:solidFill>
              <w14:schemeClr w14:val="tx1"/>
            </w14:solidFill>
          </w14:textFill>
        </w:rPr>
      </w:pPr>
      <w:bookmarkStart w:id="16" w:name="_Toc15377200"/>
      <w:bookmarkStart w:id="17" w:name="_Toc15396601"/>
      <w:r>
        <w:rPr>
          <w:rFonts w:hint="eastAsia" w:ascii="黑体" w:eastAsia="黑体"/>
          <w:b w:val="0"/>
          <w:color w:val="000000" w:themeColor="text1"/>
          <w14:textFill>
            <w14:solidFill>
              <w14:schemeClr w14:val="tx1"/>
            </w14:solidFill>
          </w14:textFill>
        </w:rPr>
        <w:t>二、</w:t>
      </w:r>
      <w:r>
        <w:rPr>
          <w:rFonts w:hint="eastAsia" w:ascii="黑体" w:hAnsi="黑体" w:eastAsia="黑体"/>
          <w:b w:val="0"/>
          <w:color w:val="000000" w:themeColor="text1"/>
          <w14:textFill>
            <w14:solidFill>
              <w14:schemeClr w14:val="tx1"/>
            </w14:solidFill>
          </w14:textFill>
        </w:rPr>
        <w:t>机</w:t>
      </w:r>
      <w:r>
        <w:rPr>
          <w:rStyle w:val="26"/>
          <w:rFonts w:hint="eastAsia" w:ascii="黑体" w:hAnsi="黑体" w:eastAsia="黑体"/>
          <w:b w:val="0"/>
          <w:bCs w:val="0"/>
          <w:color w:val="000000" w:themeColor="text1"/>
          <w14:textFill>
            <w14:solidFill>
              <w14:schemeClr w14:val="tx1"/>
            </w14:solidFill>
          </w14:textFill>
        </w:rPr>
        <w:t>构设置</w:t>
      </w:r>
      <w:bookmarkEnd w:id="16"/>
      <w:bookmarkEnd w:id="17"/>
    </w:p>
    <w:p>
      <w:pPr>
        <w:adjustRightInd w:val="0"/>
        <w:snapToGrid w:val="0"/>
        <w:spacing w:line="576" w:lineRule="exact"/>
        <w:ind w:firstLine="640" w:firstLineChars="200"/>
        <w:rPr>
          <w:color w:val="000000" w:themeColor="text1"/>
          <w14:textFill>
            <w14:solidFill>
              <w14:schemeClr w14:val="tx1"/>
            </w14:solidFill>
          </w14:textFill>
        </w:rPr>
      </w:pPr>
      <w:r>
        <w:rPr>
          <w:rFonts w:hint="eastAsia" w:ascii="仿宋_GB2312" w:hAnsi="仿宋" w:eastAsia="仿宋_GB2312" w:cs="仿宋_GB2312"/>
          <w:color w:val="000000" w:themeColor="text1"/>
          <w:sz w:val="32"/>
          <w:szCs w:val="32"/>
          <w14:textFill>
            <w14:solidFill>
              <w14:schemeClr w14:val="tx1"/>
            </w14:solidFill>
          </w14:textFill>
        </w:rPr>
        <w:t>广元市医疗保障局部门下属</w:t>
      </w:r>
      <w:r>
        <w:rPr>
          <w:rFonts w:ascii="仿宋_GB2312" w:hAnsi="仿宋" w:eastAsia="仿宋_GB2312" w:cs="仿宋_GB2312"/>
          <w:color w:val="000000" w:themeColor="text1"/>
          <w:sz w:val="32"/>
          <w:szCs w:val="32"/>
          <w14:textFill>
            <w14:solidFill>
              <w14:schemeClr w14:val="tx1"/>
            </w14:solidFill>
          </w14:textFill>
        </w:rPr>
        <w:t>二级预算单位</w:t>
      </w:r>
      <w:r>
        <w:rPr>
          <w:rFonts w:hint="eastAsia" w:ascii="仿宋_GB2312" w:hAnsi="仿宋" w:eastAsia="仿宋_GB2312" w:cs="仿宋_GB2312"/>
          <w:color w:val="000000" w:themeColor="text1"/>
          <w:sz w:val="32"/>
          <w:szCs w:val="32"/>
          <w14:textFill>
            <w14:solidFill>
              <w14:schemeClr w14:val="tx1"/>
            </w14:solidFill>
          </w14:textFill>
        </w:rPr>
        <w:t>1个为广元市医疗保障局</w:t>
      </w:r>
      <w:r>
        <w:rPr>
          <w:rFonts w:ascii="仿宋_GB2312" w:hAnsi="仿宋" w:eastAsia="仿宋_GB2312" w:cs="仿宋_GB2312"/>
          <w:color w:val="000000" w:themeColor="text1"/>
          <w:sz w:val="32"/>
          <w:szCs w:val="32"/>
          <w14:textFill>
            <w14:solidFill>
              <w14:schemeClr w14:val="tx1"/>
            </w14:solidFill>
          </w14:textFill>
        </w:rPr>
        <w:t>，</w:t>
      </w:r>
      <w:r>
        <w:rPr>
          <w:rFonts w:hint="eastAsia" w:ascii="仿宋_GB2312" w:hAnsi="仿宋" w:eastAsia="仿宋_GB2312" w:cs="仿宋_GB2312"/>
          <w:color w:val="000000" w:themeColor="text1"/>
          <w:sz w:val="32"/>
          <w:szCs w:val="32"/>
          <w14:textFill>
            <w14:solidFill>
              <w14:schemeClr w14:val="tx1"/>
            </w14:solidFill>
          </w14:textFill>
        </w:rPr>
        <w:t>下属二级单位</w:t>
      </w:r>
      <w:r>
        <w:rPr>
          <w:rFonts w:ascii="仿宋_GB2312" w:hAnsi="仿宋" w:eastAsia="仿宋_GB2312" w:cs="仿宋_GB2312"/>
          <w:color w:val="000000" w:themeColor="text1"/>
          <w:sz w:val="32"/>
          <w:szCs w:val="32"/>
          <w14:textFill>
            <w14:solidFill>
              <w14:schemeClr w14:val="tx1"/>
            </w14:solidFill>
          </w14:textFill>
        </w:rPr>
        <w:t>2</w:t>
      </w:r>
      <w:r>
        <w:rPr>
          <w:rFonts w:hint="eastAsia" w:ascii="仿宋_GB2312" w:hAnsi="仿宋" w:eastAsia="仿宋_GB2312" w:cs="仿宋_GB2312"/>
          <w:color w:val="000000" w:themeColor="text1"/>
          <w:sz w:val="32"/>
          <w:szCs w:val="32"/>
          <w14:textFill>
            <w14:solidFill>
              <w14:schemeClr w14:val="tx1"/>
            </w14:solidFill>
          </w14:textFill>
        </w:rPr>
        <w:t>个，其中参照公务员法管理的事业单位</w:t>
      </w:r>
      <w:r>
        <w:rPr>
          <w:rFonts w:ascii="仿宋_GB2312" w:hAnsi="仿宋" w:eastAsia="仿宋_GB2312" w:cs="仿宋_GB2312"/>
          <w:color w:val="000000" w:themeColor="text1"/>
          <w:sz w:val="32"/>
          <w:szCs w:val="32"/>
          <w14:textFill>
            <w14:solidFill>
              <w14:schemeClr w14:val="tx1"/>
            </w14:solidFill>
          </w14:textFill>
        </w:rPr>
        <w:t>1</w:t>
      </w:r>
      <w:r>
        <w:rPr>
          <w:rFonts w:hint="eastAsia" w:ascii="仿宋_GB2312" w:hAnsi="仿宋" w:eastAsia="仿宋_GB2312" w:cs="仿宋_GB2312"/>
          <w:color w:val="000000" w:themeColor="text1"/>
          <w:sz w:val="32"/>
          <w:szCs w:val="32"/>
          <w14:textFill>
            <w14:solidFill>
              <w14:schemeClr w14:val="tx1"/>
            </w14:solidFill>
          </w14:textFill>
        </w:rPr>
        <w:t>个，其他事业单位</w:t>
      </w:r>
      <w:r>
        <w:rPr>
          <w:rFonts w:ascii="仿宋_GB2312" w:hAnsi="仿宋" w:eastAsia="仿宋_GB2312" w:cs="仿宋_GB2312"/>
          <w:color w:val="000000" w:themeColor="text1"/>
          <w:sz w:val="32"/>
          <w:szCs w:val="32"/>
          <w14:textFill>
            <w14:solidFill>
              <w14:schemeClr w14:val="tx1"/>
            </w14:solidFill>
          </w14:textFill>
        </w:rPr>
        <w:t>1</w:t>
      </w:r>
      <w:r>
        <w:rPr>
          <w:rFonts w:hint="eastAsia" w:ascii="仿宋_GB2312" w:hAnsi="仿宋" w:eastAsia="仿宋_GB2312" w:cs="仿宋_GB2312"/>
          <w:color w:val="000000" w:themeColor="text1"/>
          <w:sz w:val="32"/>
          <w:szCs w:val="32"/>
          <w14:textFill>
            <w14:solidFill>
              <w14:schemeClr w14:val="tx1"/>
            </w14:solidFill>
          </w14:textFill>
        </w:rPr>
        <w:t>个。</w:t>
      </w:r>
    </w:p>
    <w:p>
      <w:pPr>
        <w:pStyle w:val="7"/>
        <w:adjustRightInd w:val="0"/>
        <w:snapToGrid w:val="0"/>
        <w:spacing w:before="93" w:line="600" w:lineRule="exact"/>
        <w:ind w:firstLine="672" w:firstLineChars="210"/>
        <w:rPr>
          <w:rFonts w:hAnsi="仿宋" w:cs="仿宋_GB2312"/>
          <w:color w:val="000000" w:themeColor="text1"/>
          <w:kern w:val="2"/>
          <w:sz w:val="32"/>
          <w:szCs w:val="32"/>
          <w14:textFill>
            <w14:solidFill>
              <w14:schemeClr w14:val="tx1"/>
            </w14:solidFill>
          </w14:textFill>
        </w:rPr>
      </w:pPr>
      <w:bookmarkStart w:id="18" w:name="_Toc15377204"/>
      <w:bookmarkStart w:id="19" w:name="_Toc15396602"/>
      <w:r>
        <w:rPr>
          <w:rFonts w:hint="eastAsia" w:hAnsi="仿宋" w:cs="仿宋_GB2312"/>
          <w:color w:val="000000" w:themeColor="text1"/>
          <w:kern w:val="2"/>
          <w:sz w:val="32"/>
          <w:szCs w:val="32"/>
          <w14:textFill>
            <w14:solidFill>
              <w14:schemeClr w14:val="tx1"/>
            </w14:solidFill>
          </w14:textFill>
        </w:rPr>
        <w:t>纳入广元市医疗保障局2023年度部门决算编制范围的二级单位包括：</w:t>
      </w:r>
    </w:p>
    <w:p>
      <w:pPr>
        <w:numPr>
          <w:ilvl w:val="0"/>
          <w:numId w:val="1"/>
        </w:numPr>
        <w:rPr>
          <w:rFonts w:ascii="仿宋_GB2312" w:hAnsi="仿宋" w:eastAsia="仿宋_GB2312" w:cs="仿宋_GB2312"/>
          <w:color w:val="000000" w:themeColor="text1"/>
          <w:sz w:val="32"/>
          <w:szCs w:val="32"/>
          <w14:textFill>
            <w14:solidFill>
              <w14:schemeClr w14:val="tx1"/>
            </w14:solidFill>
          </w14:textFill>
        </w:rPr>
      </w:pPr>
      <w:r>
        <w:rPr>
          <w:rFonts w:hint="eastAsia" w:ascii="仿宋_GB2312" w:hAnsi="仿宋" w:eastAsia="仿宋_GB2312" w:cs="仿宋_GB2312"/>
          <w:color w:val="000000" w:themeColor="text1"/>
          <w:sz w:val="32"/>
          <w:szCs w:val="32"/>
          <w14:textFill>
            <w14:solidFill>
              <w14:schemeClr w14:val="tx1"/>
            </w14:solidFill>
          </w14:textFill>
        </w:rPr>
        <w:t>广元市医疗保障事务中心（未独立核算）</w:t>
      </w:r>
    </w:p>
    <w:p>
      <w:pPr>
        <w:numPr>
          <w:ilvl w:val="0"/>
          <w:numId w:val="1"/>
        </w:numPr>
        <w:rPr>
          <w:rFonts w:ascii="仿宋_GB2312" w:hAnsi="仿宋" w:eastAsia="仿宋_GB2312" w:cs="仿宋_GB2312"/>
          <w:color w:val="000000" w:themeColor="text1"/>
          <w:sz w:val="32"/>
          <w:szCs w:val="32"/>
          <w14:textFill>
            <w14:solidFill>
              <w14:schemeClr w14:val="tx1"/>
            </w14:solidFill>
          </w14:textFill>
        </w:rPr>
      </w:pPr>
      <w:r>
        <w:rPr>
          <w:rFonts w:hint="eastAsia" w:ascii="仿宋_GB2312" w:hAnsi="仿宋" w:eastAsia="仿宋_GB2312" w:cs="仿宋_GB2312"/>
          <w:color w:val="000000" w:themeColor="text1"/>
          <w:sz w:val="32"/>
          <w:szCs w:val="32"/>
          <w14:textFill>
            <w14:solidFill>
              <w14:schemeClr w14:val="tx1"/>
            </w14:solidFill>
          </w14:textFill>
        </w:rPr>
        <w:t>广元市医保信息中心（未独立核算）</w:t>
      </w:r>
    </w:p>
    <w:p>
      <w:pPr>
        <w:pStyle w:val="3"/>
        <w:ind w:right="440" w:firstLine="880" w:firstLineChars="200"/>
        <w:rPr>
          <w:rFonts w:ascii="黑体" w:hAnsi="黑体" w:eastAsia="黑体"/>
          <w:b w:val="0"/>
          <w:color w:val="000000" w:themeColor="text1"/>
          <w14:textFill>
            <w14:solidFill>
              <w14:schemeClr w14:val="tx1"/>
            </w14:solidFill>
          </w14:textFill>
        </w:rPr>
      </w:pPr>
    </w:p>
    <w:p>
      <w:pPr>
        <w:pStyle w:val="3"/>
        <w:ind w:right="440"/>
        <w:rPr>
          <w:rFonts w:ascii="黑体" w:hAnsi="黑体" w:eastAsia="黑体"/>
          <w:b w:val="0"/>
          <w:color w:val="000000" w:themeColor="text1"/>
          <w14:textFill>
            <w14:solidFill>
              <w14:schemeClr w14:val="tx1"/>
            </w14:solidFill>
          </w14:textFill>
        </w:rPr>
      </w:pPr>
    </w:p>
    <w:p/>
    <w:p>
      <w:pP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br w:type="page"/>
      </w:r>
    </w:p>
    <w:p>
      <w:pPr>
        <w:pStyle w:val="3"/>
        <w:ind w:right="440" w:firstLine="880" w:firstLineChars="200"/>
        <w:rPr>
          <w:color w:val="000000" w:themeColor="text1"/>
          <w14:textFill>
            <w14:solidFill>
              <w14:schemeClr w14:val="tx1"/>
            </w14:solidFill>
          </w14:textFill>
        </w:rPr>
      </w:pPr>
      <w:r>
        <w:rPr>
          <w:rFonts w:hint="eastAsia" w:ascii="黑体" w:hAnsi="黑体" w:eastAsia="黑体"/>
          <w:b w:val="0"/>
          <w:color w:val="000000" w:themeColor="text1"/>
          <w14:textFill>
            <w14:solidFill>
              <w14:schemeClr w14:val="tx1"/>
            </w14:solidFill>
          </w14:textFill>
        </w:rPr>
        <w:t>第二部分 2023年度</w:t>
      </w:r>
      <w:r>
        <w:rPr>
          <w:rStyle w:val="25"/>
          <w:rFonts w:hint="eastAsia" w:ascii="黑体" w:hAnsi="黑体" w:eastAsia="黑体"/>
          <w:b w:val="0"/>
          <w:bCs/>
          <w:color w:val="000000" w:themeColor="text1"/>
          <w14:textFill>
            <w14:solidFill>
              <w14:schemeClr w14:val="tx1"/>
            </w14:solidFill>
          </w14:textFill>
        </w:rPr>
        <w:t>部门决算情况说明</w:t>
      </w:r>
      <w:bookmarkEnd w:id="18"/>
      <w:bookmarkEnd w:id="19"/>
    </w:p>
    <w:p>
      <w:pPr>
        <w:pStyle w:val="37"/>
        <w:numPr>
          <w:ilvl w:val="0"/>
          <w:numId w:val="2"/>
        </w:numPr>
        <w:spacing w:line="600" w:lineRule="exact"/>
        <w:ind w:firstLineChars="0"/>
        <w:outlineLvl w:val="1"/>
        <w:rPr>
          <w:rStyle w:val="26"/>
          <w:rFonts w:ascii="黑体" w:hAnsi="黑体" w:eastAsia="黑体"/>
          <w:b w:val="0"/>
          <w:color w:val="000000" w:themeColor="text1"/>
          <w14:textFill>
            <w14:solidFill>
              <w14:schemeClr w14:val="tx1"/>
            </w14:solidFill>
          </w14:textFill>
        </w:rPr>
      </w:pPr>
      <w:bookmarkStart w:id="20" w:name="_Toc15396603"/>
      <w:bookmarkStart w:id="21" w:name="_Toc15377205"/>
      <w:r>
        <w:rPr>
          <w:rFonts w:hint="eastAsia" w:ascii="黑体" w:hAnsi="黑体" w:eastAsia="黑体"/>
          <w:color w:val="000000" w:themeColor="text1"/>
          <w:sz w:val="32"/>
          <w:szCs w:val="32"/>
          <w14:textFill>
            <w14:solidFill>
              <w14:schemeClr w14:val="tx1"/>
            </w14:solidFill>
          </w14:textFill>
        </w:rPr>
        <w:t>收</w:t>
      </w:r>
      <w:r>
        <w:rPr>
          <w:rStyle w:val="26"/>
          <w:rFonts w:hint="eastAsia" w:ascii="黑体" w:hAnsi="黑体" w:eastAsia="黑体"/>
          <w:b w:val="0"/>
          <w:color w:val="000000" w:themeColor="text1"/>
          <w14:textFill>
            <w14:solidFill>
              <w14:schemeClr w14:val="tx1"/>
            </w14:solidFill>
          </w14:textFill>
        </w:rPr>
        <w:t>入支出决算总体情况说明</w:t>
      </w:r>
      <w:bookmarkEnd w:id="20"/>
      <w:bookmarkEnd w:id="21"/>
    </w:p>
    <w:p>
      <w:pPr>
        <w:spacing w:line="600" w:lineRule="exact"/>
        <w:ind w:firstLine="684" w:firstLineChars="200"/>
        <w:rPr>
          <w:rFonts w:hint="eastAsia" w:ascii="仿宋_GB2312" w:hAnsi="仿宋_GB2312" w:eastAsia="仿宋_GB2312" w:cs="仿宋_GB2312"/>
          <w:color w:val="000000" w:themeColor="text1"/>
          <w:spacing w:val="11"/>
          <w:sz w:val="32"/>
          <w:szCs w:val="32"/>
          <w14:textFill>
            <w14:solidFill>
              <w14:schemeClr w14:val="tx1"/>
            </w14:solidFill>
          </w14:textFill>
        </w:rPr>
      </w:pPr>
      <w:r>
        <w:rPr>
          <w:rFonts w:hint="eastAsia" w:ascii="仿宋_GB2312" w:hAnsi="仿宋_GB2312" w:eastAsia="仿宋_GB2312" w:cs="仿宋_GB2312"/>
          <w:color w:val="000000" w:themeColor="text1"/>
          <w:spacing w:val="11"/>
          <w:sz w:val="32"/>
          <w:szCs w:val="32"/>
          <w14:textFill>
            <w14:solidFill>
              <w14:schemeClr w14:val="tx1"/>
            </w14:solidFill>
          </w14:textFill>
        </w:rPr>
        <w:t>2023年度收、支总计2499.57万元。与2022年相比，收、支总计各增加785.24万元，增长45.8%。主要变动原因是2023年将离休干部医疗费用基金及大病医疗救助费用基金纳入决算。</w:t>
      </w:r>
    </w:p>
    <w:p>
      <w:pPr>
        <w:pStyle w:val="2"/>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drawing>
          <wp:anchor distT="0" distB="0" distL="114300" distR="114300" simplePos="0" relativeHeight="251659264" behindDoc="0" locked="0" layoutInCell="1" allowOverlap="1">
            <wp:simplePos x="0" y="0"/>
            <wp:positionH relativeFrom="column">
              <wp:posOffset>417830</wp:posOffset>
            </wp:positionH>
            <wp:positionV relativeFrom="paragraph">
              <wp:posOffset>155575</wp:posOffset>
            </wp:positionV>
            <wp:extent cx="4954905" cy="2435225"/>
            <wp:effectExtent l="5080" t="4445" r="5715" b="11430"/>
            <wp:wrapSquare wrapText="bothSides"/>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rPr>
          <w:rFonts w:ascii="仿宋" w:hAnsi="仿宋" w:eastAsia="仿宋"/>
          <w:color w:val="000000" w:themeColor="text1"/>
          <w:sz w:val="32"/>
          <w:szCs w:val="32"/>
          <w14:textFill>
            <w14:solidFill>
              <w14:schemeClr w14:val="tx1"/>
            </w14:solidFill>
          </w14:textFill>
        </w:rPr>
      </w:pPr>
    </w:p>
    <w:p>
      <w:pPr>
        <w:spacing w:line="600" w:lineRule="exact"/>
        <w:ind w:firstLine="1600" w:firstLineChars="5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图1：收、支决算总计变动情况图</w:t>
      </w:r>
    </w:p>
    <w:p>
      <w:pPr>
        <w:pStyle w:val="2"/>
      </w:pPr>
    </w:p>
    <w:p>
      <w:pPr>
        <w:pStyle w:val="37"/>
        <w:numPr>
          <w:ilvl w:val="0"/>
          <w:numId w:val="2"/>
        </w:numPr>
        <w:spacing w:line="600" w:lineRule="exact"/>
        <w:ind w:firstLineChars="0"/>
        <w:outlineLvl w:val="1"/>
        <w:rPr>
          <w:rStyle w:val="26"/>
          <w:rFonts w:ascii="黑体" w:hAnsi="黑体" w:eastAsia="黑体"/>
          <w:b w:val="0"/>
          <w:color w:val="000000" w:themeColor="text1"/>
          <w14:textFill>
            <w14:solidFill>
              <w14:schemeClr w14:val="tx1"/>
            </w14:solidFill>
          </w14:textFill>
        </w:rPr>
      </w:pPr>
      <w:bookmarkStart w:id="22" w:name="_Toc15396604"/>
      <w:bookmarkStart w:id="23" w:name="_Toc15377206"/>
      <w:r>
        <w:rPr>
          <w:rFonts w:hint="eastAsia" w:ascii="黑体" w:hAnsi="黑体" w:eastAsia="黑体"/>
          <w:color w:val="000000" w:themeColor="text1"/>
          <w:sz w:val="32"/>
          <w:szCs w:val="32"/>
          <w14:textFill>
            <w14:solidFill>
              <w14:schemeClr w14:val="tx1"/>
            </w14:solidFill>
          </w14:textFill>
        </w:rPr>
        <w:t>收</w:t>
      </w:r>
      <w:r>
        <w:rPr>
          <w:rStyle w:val="26"/>
          <w:rFonts w:hint="eastAsia" w:ascii="黑体" w:hAnsi="黑体" w:eastAsia="黑体"/>
          <w:b w:val="0"/>
          <w:color w:val="000000" w:themeColor="text1"/>
          <w14:textFill>
            <w14:solidFill>
              <w14:schemeClr w14:val="tx1"/>
            </w14:solidFill>
          </w14:textFill>
        </w:rPr>
        <w:t>入决算情况说明</w:t>
      </w:r>
      <w:bookmarkEnd w:id="22"/>
      <w:bookmarkEnd w:id="23"/>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2023年本年收入合计2499.42万元，其中：一般公共预算财政拨款收入2499.4万元，占100%，</w:t>
      </w:r>
      <w:r>
        <w:rPr>
          <w:rFonts w:hint="eastAsia" w:ascii="仿宋_GB2312" w:hAnsi="仿宋_GB2312" w:eastAsia="仿宋_GB2312" w:cs="仿宋_GB2312"/>
          <w:sz w:val="32"/>
          <w:szCs w:val="32"/>
        </w:rPr>
        <w:t>其他收入0.01万元，占0%。</w:t>
      </w:r>
    </w:p>
    <w:p>
      <w:pPr>
        <w:pStyle w:val="7"/>
        <w:spacing w:before="93"/>
        <w:rPr>
          <w:rFonts w:hAnsi="仿宋_GB2312" w:cs="仿宋_GB2312"/>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drawing>
          <wp:inline distT="0" distB="0" distL="114300" distR="114300">
            <wp:extent cx="4895850" cy="3150235"/>
            <wp:effectExtent l="4445" t="4445" r="14605" b="7620"/>
            <wp:docPr id="2" name="图表 2" descr="7b0a202020202263686172745265734964223a20223230343638343938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图2：收入决算结构图</w:t>
      </w:r>
    </w:p>
    <w:p>
      <w:pPr>
        <w:pStyle w:val="37"/>
        <w:numPr>
          <w:ilvl w:val="0"/>
          <w:numId w:val="2"/>
        </w:numPr>
        <w:spacing w:line="600" w:lineRule="exact"/>
        <w:ind w:firstLineChars="0"/>
        <w:outlineLvl w:val="1"/>
        <w:rPr>
          <w:rStyle w:val="26"/>
          <w:rFonts w:ascii="黑体" w:hAnsi="黑体" w:eastAsia="黑体"/>
          <w:b w:val="0"/>
          <w:color w:val="000000" w:themeColor="text1"/>
          <w14:textFill>
            <w14:solidFill>
              <w14:schemeClr w14:val="tx1"/>
            </w14:solidFill>
          </w14:textFill>
        </w:rPr>
      </w:pPr>
      <w:bookmarkStart w:id="24" w:name="_Toc15377207"/>
      <w:bookmarkStart w:id="25" w:name="_Toc15396605"/>
      <w:r>
        <w:rPr>
          <w:rFonts w:hint="eastAsia" w:ascii="黑体" w:hAnsi="黑体" w:eastAsia="黑体"/>
          <w:color w:val="000000" w:themeColor="text1"/>
          <w:sz w:val="32"/>
          <w:szCs w:val="32"/>
          <w14:textFill>
            <w14:solidFill>
              <w14:schemeClr w14:val="tx1"/>
            </w14:solidFill>
          </w14:textFill>
        </w:rPr>
        <w:t>支</w:t>
      </w:r>
      <w:r>
        <w:rPr>
          <w:rStyle w:val="26"/>
          <w:rFonts w:hint="eastAsia" w:ascii="黑体" w:hAnsi="黑体" w:eastAsia="黑体"/>
          <w:b w:val="0"/>
          <w:color w:val="000000" w:themeColor="text1"/>
          <w14:textFill>
            <w14:solidFill>
              <w14:schemeClr w14:val="tx1"/>
            </w14:solidFill>
          </w14:textFill>
        </w:rPr>
        <w:t>出决算情况说明</w:t>
      </w:r>
      <w:bookmarkEnd w:id="24"/>
      <w:bookmarkEnd w:id="25"/>
    </w:p>
    <w:p>
      <w:pPr>
        <w:spacing w:line="600" w:lineRule="exact"/>
        <w:ind w:firstLine="640" w:firstLineChars="200"/>
        <w:outlineLvl w:val="1"/>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2023年本年支出合计2499.4万元，其中：基本支出817.32万元，占32.7%；项目支出1682.09万元，占67.3%。</w:t>
      </w:r>
    </w:p>
    <w:p>
      <w:pPr>
        <w:spacing w:line="600" w:lineRule="exact"/>
        <w:ind w:firstLine="640"/>
        <w:rPr>
          <w:rFonts w:ascii="仿宋" w:hAnsi="仿宋" w:eastAsia="仿宋"/>
          <w:color w:val="000000" w:themeColor="text1"/>
          <w:sz w:val="32"/>
          <w:szCs w:val="32"/>
          <w:shd w:val="pct10" w:color="auto" w:fill="FFFFFF"/>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drawing>
          <wp:anchor distT="0" distB="0" distL="114300" distR="114300" simplePos="0" relativeHeight="251660288" behindDoc="1" locked="0" layoutInCell="1" allowOverlap="1">
            <wp:simplePos x="0" y="0"/>
            <wp:positionH relativeFrom="column">
              <wp:posOffset>536575</wp:posOffset>
            </wp:positionH>
            <wp:positionV relativeFrom="paragraph">
              <wp:posOffset>16510</wp:posOffset>
            </wp:positionV>
            <wp:extent cx="4470400" cy="2595880"/>
            <wp:effectExtent l="4445" t="4445" r="20955" b="66675"/>
            <wp:wrapTight wrapText="bothSides">
              <wp:wrapPolygon>
                <wp:start x="-21" y="-37"/>
                <wp:lineTo x="-21" y="21521"/>
                <wp:lineTo x="21517" y="21521"/>
                <wp:lineTo x="21517" y="-37"/>
                <wp:lineTo x="-21" y="-37"/>
              </wp:wrapPolygon>
            </wp:wrapTight>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2240" w:firstLineChars="700"/>
        <w:outlineLvl w:val="1"/>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图3：支出决算结构图</w:t>
      </w:r>
    </w:p>
    <w:p>
      <w:pPr>
        <w:spacing w:line="600" w:lineRule="exact"/>
        <w:ind w:firstLine="640" w:firstLineChars="200"/>
        <w:outlineLvl w:val="1"/>
        <w:rPr>
          <w:rStyle w:val="26"/>
          <w:rFonts w:ascii="黑体" w:hAnsi="黑体" w:eastAsia="黑体"/>
          <w:b w:val="0"/>
          <w:color w:val="000000" w:themeColor="text1"/>
          <w14:textFill>
            <w14:solidFill>
              <w14:schemeClr w14:val="tx1"/>
            </w14:solidFill>
          </w14:textFill>
        </w:rPr>
      </w:pPr>
      <w:bookmarkStart w:id="26" w:name="_Toc15396606"/>
      <w:bookmarkStart w:id="27" w:name="_Toc15377208"/>
      <w:r>
        <w:rPr>
          <w:rFonts w:hint="eastAsia" w:ascii="黑体" w:hAnsi="黑体" w:eastAsia="黑体"/>
          <w:color w:val="000000" w:themeColor="text1"/>
          <w:sz w:val="32"/>
          <w:szCs w:val="32"/>
          <w14:textFill>
            <w14:solidFill>
              <w14:schemeClr w14:val="tx1"/>
            </w14:solidFill>
          </w14:textFill>
        </w:rPr>
        <w:t>四、财</w:t>
      </w:r>
      <w:r>
        <w:rPr>
          <w:rStyle w:val="26"/>
          <w:rFonts w:hint="eastAsia" w:ascii="黑体" w:hAnsi="黑体" w:eastAsia="黑体"/>
          <w:b w:val="0"/>
          <w:color w:val="000000" w:themeColor="text1"/>
          <w14:textFill>
            <w14:solidFill>
              <w14:schemeClr w14:val="tx1"/>
            </w14:solidFill>
          </w14:textFill>
        </w:rPr>
        <w:t>政拨款收入支出决算总体情况说明</w:t>
      </w:r>
      <w:bookmarkEnd w:id="26"/>
      <w:bookmarkEnd w:id="27"/>
    </w:p>
    <w:p>
      <w:pPr>
        <w:spacing w:line="60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2023年财政拨款收、支总计2499.4万元。与2022年相比，财政拨款收、支总计各增加785.07万元，增长45.79%。主要变动原因是2023年将离休干部医疗费用基金及大病医疗救助费用基金纳入决算。</w:t>
      </w:r>
    </w:p>
    <w:p>
      <w:pPr>
        <w:spacing w:line="200" w:lineRule="exact"/>
        <w:ind w:firstLine="616" w:firstLineChars="200"/>
        <w:rPr>
          <w:rFonts w:ascii="仿宋_GB2312" w:hAnsi="仿宋_GB2312" w:eastAsia="仿宋_GB2312" w:cs="仿宋_GB2312"/>
          <w:color w:val="000000" w:themeColor="text1"/>
          <w:spacing w:val="-6"/>
          <w:sz w:val="32"/>
          <w:szCs w:val="32"/>
          <w14:textFill>
            <w14:solidFill>
              <w14:schemeClr w14:val="tx1"/>
            </w14:solidFill>
          </w14:textFill>
        </w:rPr>
      </w:pPr>
    </w:p>
    <w:p>
      <w:pPr>
        <w:spacing w:line="600" w:lineRule="exact"/>
        <w:jc w:val="center"/>
        <w:rPr>
          <w:rFonts w:ascii="仿宋" w:hAnsi="仿宋" w:eastAsia="仿宋"/>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drawing>
          <wp:anchor distT="0" distB="0" distL="114300" distR="114300" simplePos="0" relativeHeight="251661312" behindDoc="0" locked="0" layoutInCell="1" allowOverlap="1">
            <wp:simplePos x="0" y="0"/>
            <wp:positionH relativeFrom="column">
              <wp:posOffset>340995</wp:posOffset>
            </wp:positionH>
            <wp:positionV relativeFrom="paragraph">
              <wp:posOffset>300990</wp:posOffset>
            </wp:positionV>
            <wp:extent cx="4986655" cy="2509520"/>
            <wp:effectExtent l="4445" t="4445" r="12700" b="13335"/>
            <wp:wrapSquare wrapText="bothSides"/>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Pr>
          <w:rFonts w:hint="eastAsia" w:ascii="仿宋_GB2312" w:hAnsi="仿宋_GB2312" w:eastAsia="仿宋_GB2312" w:cs="仿宋_GB2312"/>
          <w:color w:val="000000" w:themeColor="text1"/>
          <w:sz w:val="32"/>
          <w:szCs w:val="32"/>
          <w14:textFill>
            <w14:solidFill>
              <w14:schemeClr w14:val="tx1"/>
            </w14:solidFill>
          </w14:textFill>
        </w:rPr>
        <w:t>图4：财政拨款收、支决算总计变动情况</w:t>
      </w:r>
    </w:p>
    <w:p>
      <w:pPr>
        <w:spacing w:line="600" w:lineRule="exact"/>
        <w:ind w:firstLine="640"/>
        <w:rPr>
          <w:rFonts w:ascii="仿宋" w:hAnsi="仿宋" w:eastAsia="仿宋"/>
          <w:b/>
          <w:color w:val="000000" w:themeColor="text1"/>
          <w:sz w:val="32"/>
          <w:szCs w:val="32"/>
          <w14:textFill>
            <w14:solidFill>
              <w14:schemeClr w14:val="tx1"/>
            </w14:solidFill>
          </w14:textFill>
        </w:rPr>
      </w:pPr>
    </w:p>
    <w:p>
      <w:pPr>
        <w:spacing w:line="600" w:lineRule="exact"/>
        <w:ind w:firstLine="640" w:firstLineChars="200"/>
        <w:outlineLvl w:val="1"/>
        <w:rPr>
          <w:rStyle w:val="26"/>
          <w:rFonts w:ascii="黑体" w:hAnsi="黑体" w:eastAsia="黑体"/>
          <w:b w:val="0"/>
          <w:color w:val="000000" w:themeColor="text1"/>
          <w14:textFill>
            <w14:solidFill>
              <w14:schemeClr w14:val="tx1"/>
            </w14:solidFill>
          </w14:textFill>
        </w:rPr>
      </w:pPr>
      <w:bookmarkStart w:id="28" w:name="_Toc15377209"/>
      <w:bookmarkStart w:id="29" w:name="_Toc15396607"/>
      <w:r>
        <w:rPr>
          <w:rFonts w:hint="eastAsia" w:ascii="黑体" w:hAnsi="黑体" w:eastAsia="黑体"/>
          <w:color w:val="000000" w:themeColor="text1"/>
          <w:sz w:val="32"/>
          <w:szCs w:val="32"/>
          <w14:textFill>
            <w14:solidFill>
              <w14:schemeClr w14:val="tx1"/>
            </w14:solidFill>
          </w14:textFill>
        </w:rPr>
        <w:t>五、</w:t>
      </w:r>
      <w:r>
        <w:rPr>
          <w:rFonts w:hint="eastAsia" w:ascii="黑体" w:hAnsi="黑体" w:eastAsia="黑体"/>
          <w:b/>
          <w:color w:val="000000" w:themeColor="text1"/>
          <w:sz w:val="32"/>
          <w:szCs w:val="32"/>
          <w14:textFill>
            <w14:solidFill>
              <w14:schemeClr w14:val="tx1"/>
            </w14:solidFill>
          </w14:textFill>
        </w:rPr>
        <w:t>一</w:t>
      </w:r>
      <w:r>
        <w:rPr>
          <w:rStyle w:val="26"/>
          <w:rFonts w:hint="eastAsia" w:ascii="黑体" w:hAnsi="黑体" w:eastAsia="黑体"/>
          <w:b w:val="0"/>
          <w:color w:val="000000" w:themeColor="text1"/>
          <w14:textFill>
            <w14:solidFill>
              <w14:schemeClr w14:val="tx1"/>
            </w14:solidFill>
          </w14:textFill>
        </w:rPr>
        <w:t>般公共预算财政拨款支出决算情况说明</w:t>
      </w:r>
      <w:bookmarkEnd w:id="28"/>
      <w:bookmarkEnd w:id="29"/>
    </w:p>
    <w:p>
      <w:pPr>
        <w:spacing w:line="600"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30" w:name="_Toc15377210"/>
      <w:r>
        <w:rPr>
          <w:rFonts w:hint="eastAsia" w:ascii="楷体_GB2312" w:hAnsi="楷体_GB2312" w:eastAsia="楷体_GB2312" w:cs="楷体_GB2312"/>
          <w:bCs/>
          <w:color w:val="000000" w:themeColor="text1"/>
          <w:sz w:val="32"/>
          <w:szCs w:val="32"/>
          <w14:textFill>
            <w14:solidFill>
              <w14:schemeClr w14:val="tx1"/>
            </w14:solidFill>
          </w14:textFill>
        </w:rPr>
        <w:t>（一）一般公共预算财政拨款支出决算总体情况</w:t>
      </w:r>
      <w:bookmarkEnd w:id="30"/>
    </w:p>
    <w:p>
      <w:pPr>
        <w:spacing w:line="60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2023年一般公共预算财政拨款支出2499.4万元，占本年支出合计的100%。与2022年相比，一般公共预算财政拨款支出增加785.07万元，增长45.79%。主要变动原因是2023年将离休干部医疗费用基金及大病医疗救助费用基金纳入决算。</w:t>
      </w: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drawing>
          <wp:anchor distT="0" distB="0" distL="114300" distR="114300" simplePos="0" relativeHeight="251666432" behindDoc="0" locked="0" layoutInCell="1" allowOverlap="1">
            <wp:simplePos x="0" y="0"/>
            <wp:positionH relativeFrom="column">
              <wp:posOffset>616585</wp:posOffset>
            </wp:positionH>
            <wp:positionV relativeFrom="paragraph">
              <wp:posOffset>155575</wp:posOffset>
            </wp:positionV>
            <wp:extent cx="4756150" cy="2166620"/>
            <wp:effectExtent l="4445" t="5080" r="20955" b="19050"/>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pPr>
        <w:spacing w:line="60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p>
    <w:p>
      <w:pPr>
        <w:pStyle w:val="7"/>
        <w:spacing w:before="93"/>
        <w:rPr>
          <w:rFonts w:ascii="仿宋" w:hAnsi="仿宋" w:eastAsia="仿宋"/>
          <w:color w:val="000000" w:themeColor="text1"/>
          <w:sz w:val="32"/>
          <w:szCs w:val="32"/>
          <w14:textFill>
            <w14:solidFill>
              <w14:schemeClr w14:val="tx1"/>
            </w14:solidFill>
          </w14:textFill>
        </w:rPr>
      </w:pPr>
    </w:p>
    <w:p>
      <w:pPr>
        <w:pStyle w:val="7"/>
        <w:spacing w:before="93"/>
        <w:rPr>
          <w:rFonts w:ascii="仿宋" w:hAnsi="仿宋" w:eastAsia="仿宋"/>
          <w:color w:val="000000" w:themeColor="text1"/>
          <w:sz w:val="32"/>
          <w:szCs w:val="32"/>
          <w14:textFill>
            <w14:solidFill>
              <w14:schemeClr w14:val="tx1"/>
            </w14:solidFill>
          </w14:textFill>
        </w:rPr>
      </w:pPr>
    </w:p>
    <w:p>
      <w:pPr>
        <w:pStyle w:val="7"/>
        <w:spacing w:before="93"/>
        <w:rPr>
          <w:rFonts w:ascii="仿宋" w:hAnsi="仿宋" w:eastAsia="仿宋"/>
          <w:color w:val="000000" w:themeColor="text1"/>
          <w:sz w:val="32"/>
          <w:szCs w:val="32"/>
          <w14:textFill>
            <w14:solidFill>
              <w14:schemeClr w14:val="tx1"/>
            </w14:solidFill>
          </w14:textFill>
        </w:rPr>
      </w:pPr>
    </w:p>
    <w:p>
      <w:pPr>
        <w:pStyle w:val="7"/>
        <w:spacing w:before="93"/>
        <w:rPr>
          <w:rFonts w:ascii="仿宋" w:hAnsi="仿宋" w:eastAsia="仿宋"/>
          <w:color w:val="000000" w:themeColor="text1"/>
          <w:sz w:val="32"/>
          <w:szCs w:val="32"/>
          <w14:textFill>
            <w14:solidFill>
              <w14:schemeClr w14:val="tx1"/>
            </w14:solidFill>
          </w14:textFill>
        </w:rPr>
      </w:pPr>
    </w:p>
    <w:p>
      <w:pPr>
        <w:spacing w:line="60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图5：一般公共预算财政拨款支出决算变动情况</w:t>
      </w:r>
    </w:p>
    <w:p>
      <w:pPr>
        <w:spacing w:line="600"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31" w:name="_Toc15377211"/>
      <w:r>
        <w:rPr>
          <w:rFonts w:hint="eastAsia" w:ascii="楷体_GB2312" w:hAnsi="楷体_GB2312" w:eastAsia="楷体_GB2312" w:cs="楷体_GB2312"/>
          <w:bCs/>
          <w:color w:val="000000" w:themeColor="text1"/>
          <w:sz w:val="32"/>
          <w:szCs w:val="32"/>
          <w14:textFill>
            <w14:solidFill>
              <w14:schemeClr w14:val="tx1"/>
            </w14:solidFill>
          </w14:textFill>
        </w:rPr>
        <w:t>（二）一般公共预算财政拨款支出决算结构情况</w:t>
      </w:r>
      <w:bookmarkEnd w:id="31"/>
    </w:p>
    <w:p>
      <w:pPr>
        <w:spacing w:line="600" w:lineRule="exact"/>
        <w:ind w:firstLine="64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2023年一般公共预算财政拨款支出2499.4万元，主要用于以下方面：社会保障和就业支出142.92万元，占5.72%；卫生健康支出2297.22万元，占91.91%；住房保障支出59.26万元，占2.37%。</w:t>
      </w:r>
    </w:p>
    <w:p>
      <w:pPr>
        <w:spacing w:line="600" w:lineRule="exact"/>
        <w:ind w:firstLine="640"/>
        <w:rPr>
          <w:rFonts w:ascii="仿宋" w:hAnsi="仿宋" w:eastAsia="仿宋"/>
          <w:color w:val="000000" w:themeColor="text1"/>
          <w:sz w:val="32"/>
          <w:szCs w:val="32"/>
          <w14:textFill>
            <w14:solidFill>
              <w14:schemeClr w14:val="tx1"/>
            </w14:solidFill>
          </w14:textFill>
        </w:rPr>
      </w:pPr>
      <w:r>
        <w:rPr>
          <w:rFonts w:hint="eastAsia" w:ascii="仿宋_GB2312" w:hAnsi="仿宋" w:eastAsia="仿宋_GB2312" w:cs="仿宋_GB2312"/>
          <w:color w:val="000000" w:themeColor="text1"/>
          <w:spacing w:val="-8"/>
          <w:sz w:val="32"/>
          <w:szCs w:val="32"/>
          <w14:textFill>
            <w14:solidFill>
              <w14:schemeClr w14:val="tx1"/>
            </w14:solidFill>
          </w14:textFill>
        </w:rPr>
        <w:drawing>
          <wp:anchor distT="0" distB="0" distL="114300" distR="114300" simplePos="0" relativeHeight="251662336" behindDoc="1" locked="0" layoutInCell="1" allowOverlap="1">
            <wp:simplePos x="0" y="0"/>
            <wp:positionH relativeFrom="column">
              <wp:posOffset>462915</wp:posOffset>
            </wp:positionH>
            <wp:positionV relativeFrom="paragraph">
              <wp:posOffset>58420</wp:posOffset>
            </wp:positionV>
            <wp:extent cx="4563745" cy="2408555"/>
            <wp:effectExtent l="4445" t="4445" r="16510" b="12700"/>
            <wp:wrapTight wrapText="bothSides">
              <wp:wrapPolygon>
                <wp:start x="-21" y="-40"/>
                <wp:lineTo x="-21" y="21486"/>
                <wp:lineTo x="21558" y="21486"/>
                <wp:lineTo x="21558" y="-40"/>
                <wp:lineTo x="-21" y="-40"/>
              </wp:wrapPolygon>
            </wp:wrapTight>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pPr>
        <w:pStyle w:val="7"/>
        <w:spacing w:before="93"/>
        <w:rPr>
          <w:rFonts w:ascii="仿宋" w:hAnsi="仿宋" w:eastAsia="仿宋"/>
          <w:color w:val="000000" w:themeColor="text1"/>
          <w:sz w:val="32"/>
          <w:szCs w:val="32"/>
          <w14:textFill>
            <w14:solidFill>
              <w14:schemeClr w14:val="tx1"/>
            </w14:solidFill>
          </w14:textFill>
        </w:rPr>
      </w:pPr>
    </w:p>
    <w:p>
      <w:pPr>
        <w:pStyle w:val="7"/>
        <w:spacing w:before="93"/>
        <w:rPr>
          <w:rFonts w:ascii="仿宋" w:hAnsi="仿宋" w:eastAsia="仿宋"/>
          <w:color w:val="000000" w:themeColor="text1"/>
          <w:sz w:val="32"/>
          <w:szCs w:val="32"/>
          <w14:textFill>
            <w14:solidFill>
              <w14:schemeClr w14:val="tx1"/>
            </w14:solidFill>
          </w14:textFill>
        </w:rPr>
      </w:pPr>
    </w:p>
    <w:p>
      <w:pPr>
        <w:spacing w:line="600" w:lineRule="exact"/>
        <w:rPr>
          <w:rFonts w:ascii="仿宋_GB2312" w:hAnsi="仿宋_GB2312" w:eastAsia="仿宋_GB2312" w:cs="仿宋_GB2312"/>
          <w:color w:val="000000" w:themeColor="text1"/>
          <w:sz w:val="32"/>
          <w:szCs w:val="32"/>
          <w14:textFill>
            <w14:solidFill>
              <w14:schemeClr w14:val="tx1"/>
            </w14:solidFill>
          </w14:textFill>
        </w:rPr>
      </w:pPr>
    </w:p>
    <w:p>
      <w:pPr>
        <w:spacing w:line="600" w:lineRule="exact"/>
        <w:rPr>
          <w:rFonts w:ascii="仿宋_GB2312" w:hAnsi="仿宋_GB2312" w:eastAsia="仿宋_GB2312" w:cs="仿宋_GB2312"/>
          <w:color w:val="000000" w:themeColor="text1"/>
          <w:sz w:val="32"/>
          <w:szCs w:val="32"/>
          <w14:textFill>
            <w14:solidFill>
              <w14:schemeClr w14:val="tx1"/>
            </w14:solidFill>
          </w14:textFill>
        </w:rPr>
      </w:pPr>
    </w:p>
    <w:p>
      <w:pPr>
        <w:spacing w:line="600" w:lineRule="exact"/>
        <w:rPr>
          <w:rFonts w:ascii="仿宋_GB2312" w:hAnsi="仿宋_GB2312" w:eastAsia="仿宋_GB2312" w:cs="仿宋_GB2312"/>
          <w:color w:val="000000" w:themeColor="text1"/>
          <w:sz w:val="32"/>
          <w:szCs w:val="32"/>
          <w14:textFill>
            <w14:solidFill>
              <w14:schemeClr w14:val="tx1"/>
            </w14:solidFill>
          </w14:textFill>
        </w:rPr>
      </w:pPr>
    </w:p>
    <w:p>
      <w:pPr>
        <w:spacing w:line="60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图6：一般公共预算财政拨款支出决算结构</w:t>
      </w:r>
    </w:p>
    <w:p>
      <w:pPr>
        <w:spacing w:line="576"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32" w:name="_Toc15377212"/>
      <w:r>
        <w:rPr>
          <w:rFonts w:hint="eastAsia" w:ascii="楷体_GB2312" w:hAnsi="楷体_GB2312" w:eastAsia="楷体_GB2312" w:cs="楷体_GB2312"/>
          <w:bCs/>
          <w:color w:val="000000" w:themeColor="text1"/>
          <w:sz w:val="32"/>
          <w:szCs w:val="32"/>
          <w14:textFill>
            <w14:solidFill>
              <w14:schemeClr w14:val="tx1"/>
            </w14:solidFill>
          </w14:textFill>
        </w:rPr>
        <w:t>（三）一般公共预算财政拨款支出决算具体情况</w:t>
      </w:r>
      <w:bookmarkEnd w:id="32"/>
    </w:p>
    <w:p>
      <w:pPr>
        <w:spacing w:line="576" w:lineRule="exact"/>
        <w:ind w:firstLine="640" w:firstLineChars="200"/>
        <w:outlineLvl w:val="2"/>
        <w:rPr>
          <w:rFonts w:ascii="仿宋_GB2312" w:hAnsi="仿宋_GB2312" w:eastAsia="仿宋_GB2312" w:cs="仿宋_GB2312"/>
          <w:bCs/>
          <w:color w:val="000000" w:themeColor="text1"/>
          <w:sz w:val="32"/>
          <w:szCs w:val="32"/>
          <w14:textFill>
            <w14:solidFill>
              <w14:schemeClr w14:val="tx1"/>
            </w14:solidFill>
          </w14:textFill>
        </w:rPr>
      </w:pPr>
      <w:bookmarkStart w:id="33" w:name="_Toc15377444"/>
      <w:bookmarkStart w:id="34" w:name="_Toc15378460"/>
      <w:bookmarkStart w:id="35" w:name="_Toc15377213"/>
      <w:r>
        <w:rPr>
          <w:rFonts w:hint="eastAsia" w:ascii="仿宋_GB2312" w:hAnsi="仿宋_GB2312" w:eastAsia="仿宋_GB2312" w:cs="仿宋_GB2312"/>
          <w:bCs/>
          <w:color w:val="000000" w:themeColor="text1"/>
          <w:sz w:val="32"/>
          <w:szCs w:val="32"/>
          <w14:textFill>
            <w14:solidFill>
              <w14:schemeClr w14:val="tx1"/>
            </w14:solidFill>
          </w14:textFill>
        </w:rPr>
        <w:t>2023年一般公共预算支出决算数为2499.4</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万元</w:t>
      </w:r>
      <w:r>
        <w:rPr>
          <w:rFonts w:hint="eastAsia" w:ascii="仿宋_GB2312" w:hAnsi="仿宋_GB2312" w:eastAsia="仿宋_GB2312" w:cs="仿宋_GB2312"/>
          <w:bCs/>
          <w:color w:val="000000" w:themeColor="text1"/>
          <w:sz w:val="32"/>
          <w:szCs w:val="32"/>
          <w14:textFill>
            <w14:solidFill>
              <w14:schemeClr w14:val="tx1"/>
            </w14:solidFill>
          </w14:textFill>
        </w:rPr>
        <w:t>，</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完成预算</w:t>
      </w:r>
      <w:r>
        <w:rPr>
          <w:rFonts w:hint="eastAsia" w:ascii="仿宋_GB2312" w:hAnsi="仿宋_GB2312" w:eastAsia="仿宋_GB2312" w:cs="仿宋_GB2312"/>
          <w:bCs/>
          <w:color w:val="000000" w:themeColor="text1"/>
          <w:sz w:val="32"/>
          <w:szCs w:val="32"/>
          <w14:textFill>
            <w14:solidFill>
              <w14:schemeClr w14:val="tx1"/>
            </w14:solidFill>
          </w14:textFill>
        </w:rPr>
        <w:t>100%。其中：</w:t>
      </w:r>
      <w:bookmarkEnd w:id="33"/>
      <w:bookmarkEnd w:id="34"/>
      <w:bookmarkEnd w:id="35"/>
    </w:p>
    <w:p>
      <w:pPr>
        <w:spacing w:line="576" w:lineRule="exact"/>
        <w:ind w:firstLine="640" w:firstLineChars="200"/>
        <w:outlineLvl w:val="2"/>
        <w:rPr>
          <w:rFonts w:hint="eastAsia"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1.</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社会保障和就业（类）人力资源和社会保障管理事务（款） 其他人力资源和社会保障管理事务支出（项）：支出决算为0.96万元，完成预算100%</w:t>
      </w:r>
      <w:r>
        <w:rPr>
          <w:rStyle w:val="22"/>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2.</w:t>
      </w:r>
      <w:r>
        <w:rPr>
          <w:rStyle w:val="22"/>
          <w:rFonts w:ascii="仿宋_GB2312" w:hAnsi="仿宋_GB2312" w:eastAsia="仿宋_GB2312" w:cs="仿宋_GB2312"/>
          <w:b w:val="0"/>
          <w:bCs/>
          <w:color w:val="000000" w:themeColor="text1"/>
          <w:sz w:val="32"/>
          <w:szCs w:val="32"/>
          <w14:textFill>
            <w14:solidFill>
              <w14:schemeClr w14:val="tx1"/>
            </w14:solidFill>
          </w14:textFill>
        </w:rPr>
        <w:t xml:space="preserve"> </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社会保障和就业（类）行政事业单位养老支出（款） 机关事业单位基本养老保险缴费支出（项）： 支出决算为80.95万元，完成预算100%。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3.</w:t>
      </w:r>
      <w:r>
        <w:rPr>
          <w:rStyle w:val="22"/>
          <w:rFonts w:ascii="仿宋_GB2312" w:hAnsi="仿宋_GB2312" w:eastAsia="仿宋_GB2312" w:cs="仿宋_GB2312"/>
          <w:b w:val="0"/>
          <w:bCs/>
          <w:color w:val="000000" w:themeColor="text1"/>
          <w:sz w:val="32"/>
          <w:szCs w:val="32"/>
          <w14:textFill>
            <w14:solidFill>
              <w14:schemeClr w14:val="tx1"/>
            </w14:solidFill>
          </w14:textFill>
        </w:rPr>
        <w:t xml:space="preserve"> </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社会保障和就业（类）行政事业单位养老支出（款） 机关事业单位职业年金缴费支出（项）： 支出决算为6.50万元，完成预算100%。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4.社会保障和就业（类）退役安置（款） 军队转业干部安置（项）：支出决算为51.99万元，完成预算100%。</w:t>
      </w:r>
    </w:p>
    <w:p>
      <w:pPr>
        <w:spacing w:line="576" w:lineRule="exact"/>
        <w:ind w:firstLine="640" w:firstLineChars="200"/>
        <w:rPr>
          <w:rStyle w:val="22"/>
          <w:rFonts w:ascii="仿宋_GB2312" w:hAnsi="仿宋_GB2312" w:eastAsia="仿宋_GB2312" w:cs="仿宋_GB2312"/>
          <w:b w:val="0"/>
          <w:bCs/>
          <w:color w:val="000000" w:themeColor="text1"/>
          <w:spacing w:val="6"/>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5.</w:t>
      </w:r>
      <w:r>
        <w:rPr>
          <w:rStyle w:val="22"/>
          <w:rFonts w:hint="eastAsia" w:ascii="仿宋_GB2312" w:hAnsi="仿宋_GB2312" w:eastAsia="仿宋_GB2312" w:cs="仿宋_GB2312"/>
          <w:b w:val="0"/>
          <w:bCs/>
          <w:color w:val="000000" w:themeColor="text1"/>
          <w:spacing w:val="6"/>
          <w:sz w:val="32"/>
          <w:szCs w:val="32"/>
          <w14:textFill>
            <w14:solidFill>
              <w14:schemeClr w14:val="tx1"/>
            </w14:solidFill>
          </w14:textFill>
        </w:rPr>
        <w:t>社会保障和就业（类）其他社会保障和就业支出（款） 其他社会保障和就业支出（项）：支出决算为2.52万元，完成预算100%。</w:t>
      </w:r>
    </w:p>
    <w:p>
      <w:pPr>
        <w:pStyle w:val="7"/>
        <w:spacing w:beforeLines="0" w:line="576" w:lineRule="exact"/>
        <w:ind w:firstLine="640" w:firstLineChars="200"/>
        <w:rPr>
          <w:rFonts w:hAnsi="仿宋_GB2312" w:cs="仿宋_GB2312"/>
          <w:bCs/>
          <w:color w:val="000000" w:themeColor="text1"/>
          <w:sz w:val="32"/>
          <w:szCs w:val="32"/>
          <w14:textFill>
            <w14:solidFill>
              <w14:schemeClr w14:val="tx1"/>
            </w14:solidFill>
          </w14:textFill>
        </w:rPr>
      </w:pPr>
      <w:r>
        <w:rPr>
          <w:rStyle w:val="22"/>
          <w:rFonts w:hint="eastAsia" w:hAnsi="仿宋_GB2312" w:cs="仿宋_GB2312"/>
          <w:b w:val="0"/>
          <w:bCs/>
          <w:color w:val="000000" w:themeColor="text1"/>
          <w:sz w:val="32"/>
          <w:szCs w:val="32"/>
          <w14:textFill>
            <w14:solidFill>
              <w14:schemeClr w14:val="tx1"/>
            </w14:solidFill>
          </w14:textFill>
        </w:rPr>
        <w:t>6. 卫生健康（类）行政事业单位医疗（款）行政单位医疗（项）：支出决算为563.99万元，完成预算100%。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7. 卫生健康（类）医疗救助（款）其他医疗救助支出（项）：支出决算数为155.61万元，完成预算100%。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8. 卫生健康（类）医疗保障管理事务（款）行政运行（项）：支出决算数为603.26万元，完成预算100%。</w:t>
      </w:r>
    </w:p>
    <w:p>
      <w:pPr>
        <w:pStyle w:val="7"/>
        <w:spacing w:beforeLines="0" w:line="576" w:lineRule="exact"/>
        <w:ind w:firstLine="640" w:firstLineChars="200"/>
        <w:rPr>
          <w:rStyle w:val="22"/>
          <w:rFonts w:hAnsi="仿宋_GB2312" w:cs="仿宋_GB2312"/>
          <w:b w:val="0"/>
          <w:bCs/>
          <w:color w:val="000000" w:themeColor="text1"/>
          <w:sz w:val="32"/>
          <w:szCs w:val="32"/>
          <w14:textFill>
            <w14:solidFill>
              <w14:schemeClr w14:val="tx1"/>
            </w14:solidFill>
          </w14:textFill>
        </w:rPr>
      </w:pPr>
      <w:r>
        <w:rPr>
          <w:rStyle w:val="22"/>
          <w:rFonts w:hint="eastAsia" w:hAnsi="仿宋_GB2312" w:cs="仿宋_GB2312"/>
          <w:b w:val="0"/>
          <w:bCs/>
          <w:color w:val="000000" w:themeColor="text1"/>
          <w:sz w:val="32"/>
          <w:szCs w:val="32"/>
          <w14:textFill>
            <w14:solidFill>
              <w14:schemeClr w14:val="tx1"/>
            </w14:solidFill>
          </w14:textFill>
        </w:rPr>
        <w:t>9. 卫生健康（类）医疗保障管理事务（款）一般行政管理事务（项）：支出决算数为18.23万元，完成预算100%。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10. 卫生健康（类）医疗保障管理事务（款）信息化建设（项）：支出决算数为</w:t>
      </w:r>
      <w:r>
        <w:rPr>
          <w:rStyle w:val="22"/>
          <w:rFonts w:ascii="仿宋_GB2312" w:hAnsi="仿宋_GB2312" w:eastAsia="仿宋_GB2312" w:cs="仿宋_GB2312"/>
          <w:b w:val="0"/>
          <w:bCs/>
          <w:color w:val="000000" w:themeColor="text1"/>
          <w:sz w:val="32"/>
          <w:szCs w:val="32"/>
          <w14:textFill>
            <w14:solidFill>
              <w14:schemeClr w14:val="tx1"/>
            </w14:solidFill>
          </w14:textFill>
        </w:rPr>
        <w:t>29.</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7万元，完成预算100%。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11. 卫生健康（类）医疗保障管理事务（款）医疗保障政策管理（项）：支出决算数为308.2万元，完成预算100%。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12. 卫生健康（类）医疗保障管理事务（款）医疗保障经办事务（项）：支出决算数为22万元，完成预算100%。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13. 卫生健康（类）医疗保障管理事务（款）事业运行（项）：支出决算数为31.19万元，完成预算100%。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14. 卫生健康（类）医疗保障管理事务（款）其他医疗保障管理事务支出（项）：支出决算数为565.04万元，完成预算100%。</w:t>
      </w:r>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15. 住房保障支出（类）住房改革支出（款）住房公积金（项）：支出决算为59.26万元，完成预算100%。</w:t>
      </w:r>
    </w:p>
    <w:p>
      <w:pPr>
        <w:tabs>
          <w:tab w:val="right" w:pos="8306"/>
        </w:tabs>
        <w:spacing w:line="576" w:lineRule="exact"/>
        <w:ind w:firstLine="640" w:firstLineChars="200"/>
        <w:outlineLvl w:val="1"/>
        <w:rPr>
          <w:rStyle w:val="26"/>
          <w:rFonts w:ascii="黑体" w:hAnsi="黑体" w:eastAsia="黑体" w:cs="黑体"/>
          <w:b w:val="0"/>
          <w:color w:val="000000" w:themeColor="text1"/>
          <w14:textFill>
            <w14:solidFill>
              <w14:schemeClr w14:val="tx1"/>
            </w14:solidFill>
          </w14:textFill>
        </w:rPr>
      </w:pPr>
      <w:bookmarkStart w:id="36" w:name="_Toc15377214"/>
      <w:bookmarkStart w:id="37" w:name="_Toc15396608"/>
      <w:r>
        <w:rPr>
          <w:rFonts w:hint="eastAsia" w:ascii="黑体" w:hAnsi="黑体" w:eastAsia="黑体" w:cs="黑体"/>
          <w:bCs/>
          <w:color w:val="000000" w:themeColor="text1"/>
          <w:sz w:val="32"/>
          <w:szCs w:val="32"/>
          <w14:textFill>
            <w14:solidFill>
              <w14:schemeClr w14:val="tx1"/>
            </w14:solidFill>
          </w14:textFill>
        </w:rPr>
        <w:t>六、一</w:t>
      </w:r>
      <w:r>
        <w:rPr>
          <w:rStyle w:val="26"/>
          <w:rFonts w:hint="eastAsia" w:ascii="黑体" w:hAnsi="黑体" w:eastAsia="黑体" w:cs="黑体"/>
          <w:b w:val="0"/>
          <w:color w:val="000000" w:themeColor="text1"/>
          <w14:textFill>
            <w14:solidFill>
              <w14:schemeClr w14:val="tx1"/>
            </w14:solidFill>
          </w14:textFill>
        </w:rPr>
        <w:t>般公共预算财政拨款基本支出决算情况说明</w:t>
      </w:r>
      <w:bookmarkEnd w:id="36"/>
      <w:bookmarkEnd w:id="37"/>
      <w:r>
        <w:rPr>
          <w:rStyle w:val="26"/>
          <w:rFonts w:hint="eastAsia" w:ascii="黑体" w:hAnsi="黑体" w:eastAsia="黑体" w:cs="黑体"/>
          <w:b w:val="0"/>
          <w:color w:val="000000" w:themeColor="text1"/>
          <w14:textFill>
            <w14:solidFill>
              <w14:schemeClr w14:val="tx1"/>
            </w14:solidFill>
          </w14:textFill>
        </w:rPr>
        <w:tab/>
      </w:r>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2023年一般公共预算财政拨款基本支出817.32万元，其中：</w:t>
      </w:r>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人员经费707.46万元，主要包括：基本工资、津贴补贴、奖金、绩效工资、机关事业单位基本养老保险缴费、职业年金缴费、职工基本医疗保险缴费、其他社会保障缴费、住房公积金</w:t>
      </w:r>
      <w:r>
        <w:rPr>
          <w:rFonts w:ascii="仿宋_GB2312" w:hAnsi="仿宋_GB2312" w:eastAsia="仿宋_GB2312" w:cs="仿宋_GB2312"/>
          <w:bCs/>
          <w:color w:val="000000" w:themeColor="text1"/>
          <w:sz w:val="32"/>
          <w:szCs w:val="32"/>
          <w14:textFill>
            <w14:solidFill>
              <w14:schemeClr w14:val="tx1"/>
            </w14:solidFill>
          </w14:textFill>
        </w:rPr>
        <w:t>、</w:t>
      </w:r>
      <w:r>
        <w:rPr>
          <w:rFonts w:hint="eastAsia" w:ascii="仿宋_GB2312" w:hAnsi="仿宋_GB2312" w:eastAsia="仿宋_GB2312" w:cs="仿宋_GB2312"/>
          <w:bCs/>
          <w:color w:val="000000" w:themeColor="text1"/>
          <w:sz w:val="32"/>
          <w:szCs w:val="32"/>
          <w14:textFill>
            <w14:solidFill>
              <w14:schemeClr w14:val="tx1"/>
            </w14:solidFill>
          </w14:textFill>
        </w:rPr>
        <w:t>其他工资福利支出、生活补助、</w:t>
      </w:r>
      <w:r>
        <w:rPr>
          <w:rFonts w:hint="eastAsia" w:ascii="仿宋_GB2312" w:hAnsi="仿宋_GB2312" w:eastAsia="仿宋_GB2312" w:cs="仿宋_GB2312"/>
          <w:sz w:val="32"/>
          <w:szCs w:val="32"/>
        </w:rPr>
        <w:t>其他对个人和家庭的补助支出。</w:t>
      </w:r>
    </w:p>
    <w:p>
      <w:pPr>
        <w:spacing w:line="55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公用经费109.86万元，主要包括：办公费、印刷费、水费、电费、邮电费、差旅费、维修（护）费、会议费、培训费、公务接待费、劳务费、工会经费、福利费、其他交通费用、其他商品和服务支出。</w:t>
      </w:r>
    </w:p>
    <w:p>
      <w:pPr>
        <w:spacing w:line="556" w:lineRule="exact"/>
        <w:ind w:firstLine="640" w:firstLineChars="200"/>
        <w:outlineLvl w:val="1"/>
        <w:rPr>
          <w:rStyle w:val="26"/>
          <w:rFonts w:ascii="黑体" w:hAnsi="黑体" w:eastAsia="黑体" w:cs="黑体"/>
          <w:b w:val="0"/>
          <w:color w:val="000000" w:themeColor="text1"/>
          <w14:textFill>
            <w14:solidFill>
              <w14:schemeClr w14:val="tx1"/>
            </w14:solidFill>
          </w14:textFill>
        </w:rPr>
      </w:pPr>
      <w:bookmarkStart w:id="38" w:name="_Toc15396609"/>
      <w:bookmarkStart w:id="39" w:name="_Toc15377215"/>
      <w:r>
        <w:rPr>
          <w:rFonts w:hint="eastAsia" w:ascii="黑体" w:hAnsi="黑体" w:eastAsia="黑体" w:cs="黑体"/>
          <w:bCs/>
          <w:color w:val="000000" w:themeColor="text1"/>
          <w:sz w:val="32"/>
          <w:szCs w:val="32"/>
          <w14:textFill>
            <w14:solidFill>
              <w14:schemeClr w14:val="tx1"/>
            </w14:solidFill>
          </w14:textFill>
        </w:rPr>
        <w:t>七、</w:t>
      </w:r>
      <w:r>
        <w:rPr>
          <w:rStyle w:val="26"/>
          <w:rFonts w:hint="eastAsia" w:ascii="黑体" w:hAnsi="黑体" w:eastAsia="黑体" w:cs="黑体"/>
          <w:b w:val="0"/>
          <w:color w:val="000000" w:themeColor="text1"/>
          <w14:textFill>
            <w14:solidFill>
              <w14:schemeClr w14:val="tx1"/>
            </w14:solidFill>
          </w14:textFill>
        </w:rPr>
        <w:t>财政拨款“三公”经费支出决算情况说明</w:t>
      </w:r>
      <w:bookmarkEnd w:id="38"/>
      <w:bookmarkEnd w:id="39"/>
    </w:p>
    <w:p>
      <w:pPr>
        <w:spacing w:line="556"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40" w:name="_Toc15377216"/>
      <w:r>
        <w:rPr>
          <w:rFonts w:hint="eastAsia" w:ascii="楷体_GB2312" w:hAnsi="楷体_GB2312" w:eastAsia="楷体_GB2312" w:cs="楷体_GB2312"/>
          <w:bCs/>
          <w:color w:val="000000" w:themeColor="text1"/>
          <w:sz w:val="32"/>
          <w:szCs w:val="32"/>
          <w14:textFill>
            <w14:solidFill>
              <w14:schemeClr w14:val="tx1"/>
            </w14:solidFill>
          </w14:textFill>
        </w:rPr>
        <w:t>（一）“三公”经费财政拨款支出决算总体情况说明</w:t>
      </w:r>
      <w:bookmarkEnd w:id="40"/>
    </w:p>
    <w:p>
      <w:pPr>
        <w:spacing w:line="55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2023年“三公”经费财政拨款支出决算为3.53万元，完成预算88.25%，</w:t>
      </w:r>
      <w:r>
        <w:rPr>
          <w:rFonts w:hint="eastAsia" w:ascii="仿宋_GB2312" w:hAnsi="仿宋_GB2312" w:eastAsia="仿宋_GB2312" w:cs="仿宋_GB2312"/>
          <w:sz w:val="32"/>
          <w:szCs w:val="32"/>
        </w:rPr>
        <w:t>较上年度增加2.73万元，增长341.25%。</w:t>
      </w:r>
      <w:r>
        <w:rPr>
          <w:rFonts w:hint="eastAsia" w:ascii="仿宋_GB2312" w:hAnsi="仿宋_GB2312" w:eastAsia="仿宋_GB2312" w:cs="仿宋_GB2312"/>
          <w:bCs/>
          <w:sz w:val="32"/>
          <w:szCs w:val="32"/>
        </w:rPr>
        <w:t>决算数小于预算数，主要原因</w:t>
      </w:r>
      <w:r>
        <w:rPr>
          <w:rFonts w:ascii="仿宋_GB2312" w:hAnsi="宋体" w:eastAsia="仿宋_GB2312" w:cs="仿宋_GB2312"/>
          <w:color w:val="000000"/>
          <w:sz w:val="32"/>
          <w:szCs w:val="32"/>
        </w:rPr>
        <w:t>是切实落实“过紧日子”要求，减少非必要的接待，严控“三公经费”支出。</w:t>
      </w:r>
    </w:p>
    <w:p>
      <w:pPr>
        <w:spacing w:line="556"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41" w:name="_Toc15377217"/>
      <w:r>
        <w:rPr>
          <w:rFonts w:hint="eastAsia" w:ascii="楷体_GB2312" w:hAnsi="楷体_GB2312" w:eastAsia="楷体_GB2312" w:cs="楷体_GB2312"/>
          <w:bCs/>
          <w:color w:val="000000" w:themeColor="text1"/>
          <w:sz w:val="32"/>
          <w:szCs w:val="32"/>
          <w14:textFill>
            <w14:solidFill>
              <w14:schemeClr w14:val="tx1"/>
            </w14:solidFill>
          </w14:textFill>
        </w:rPr>
        <w:t>（二）“三公”经费财政拨款支出决算具体情况说明</w:t>
      </w:r>
      <w:bookmarkEnd w:id="41"/>
    </w:p>
    <w:p>
      <w:pPr>
        <w:spacing w:line="55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2023年“三公”经费财政拨款支出决算中，因公出国（境）费支出决算0万元，占0%；公务用车购置及运行维护费支出决算0万元，占0%；公务接待费支出决算3.53万元，占100%。具体情况如下：</w:t>
      </w:r>
    </w:p>
    <w:p>
      <w:pPr>
        <w:pStyle w:val="19"/>
        <w:ind w:left="420" w:firstLine="640"/>
        <w:rPr>
          <w:rFonts w:ascii="仿宋" w:hAnsi="仿宋" w:eastAsia="仿宋"/>
          <w:color w:val="000000" w:themeColor="text1"/>
          <w:sz w:val="32"/>
          <w14:textFill>
            <w14:solidFill>
              <w14:schemeClr w14:val="tx1"/>
            </w14:solidFill>
          </w14:textFill>
        </w:rPr>
      </w:pPr>
      <w:r>
        <w:rPr>
          <w:rFonts w:hint="eastAsia" w:hAnsi="仿宋" w:eastAsia="仿宋_GB2312"/>
          <w:color w:val="000000" w:themeColor="text1"/>
          <w:sz w:val="32"/>
          <w14:textFill>
            <w14:solidFill>
              <w14:schemeClr w14:val="tx1"/>
            </w14:solidFill>
          </w14:textFill>
        </w:rPr>
        <w:drawing>
          <wp:anchor distT="0" distB="0" distL="114300" distR="114300" simplePos="0" relativeHeight="251663360" behindDoc="1" locked="0" layoutInCell="1" allowOverlap="1">
            <wp:simplePos x="0" y="0"/>
            <wp:positionH relativeFrom="column">
              <wp:posOffset>1005840</wp:posOffset>
            </wp:positionH>
            <wp:positionV relativeFrom="paragraph">
              <wp:posOffset>234315</wp:posOffset>
            </wp:positionV>
            <wp:extent cx="3757295" cy="2033270"/>
            <wp:effectExtent l="4445" t="4445" r="10160" b="19685"/>
            <wp:wrapTight wrapText="bothSides">
              <wp:wrapPolygon>
                <wp:start x="-26" y="-47"/>
                <wp:lineTo x="-26" y="21404"/>
                <wp:lineTo x="21549" y="21404"/>
                <wp:lineTo x="21549" y="-47"/>
                <wp:lineTo x="-26" y="-47"/>
              </wp:wrapPolygon>
            </wp:wrapTight>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pPr>
        <w:spacing w:line="600" w:lineRule="exact"/>
        <w:ind w:firstLine="640"/>
        <w:rPr>
          <w:rFonts w:ascii="仿宋" w:hAnsi="仿宋" w:eastAsia="仿宋"/>
          <w:color w:val="000000" w:themeColor="text1"/>
          <w:sz w:val="32"/>
          <w:szCs w:val="32"/>
          <w14:textFill>
            <w14:solidFill>
              <w14:schemeClr w14:val="tx1"/>
            </w14:solidFill>
          </w14:textFill>
        </w:rPr>
      </w:pPr>
    </w:p>
    <w:p>
      <w:pPr>
        <w:spacing w:line="600" w:lineRule="exact"/>
        <w:ind w:firstLine="640"/>
        <w:rPr>
          <w:rFonts w:ascii="仿宋" w:hAnsi="仿宋" w:eastAsia="仿宋"/>
          <w:color w:val="000000" w:themeColor="text1"/>
          <w:sz w:val="32"/>
          <w:szCs w:val="32"/>
          <w14:textFill>
            <w14:solidFill>
              <w14:schemeClr w14:val="tx1"/>
            </w14:solidFill>
          </w14:textFill>
        </w:rPr>
      </w:pPr>
    </w:p>
    <w:p>
      <w:pPr>
        <w:spacing w:line="600" w:lineRule="exact"/>
        <w:ind w:firstLine="640"/>
        <w:rPr>
          <w:rFonts w:ascii="仿宋" w:hAnsi="仿宋" w:eastAsia="仿宋"/>
          <w:color w:val="000000" w:themeColor="text1"/>
          <w:sz w:val="32"/>
          <w:szCs w:val="32"/>
          <w14:textFill>
            <w14:solidFill>
              <w14:schemeClr w14:val="tx1"/>
            </w14:solidFill>
          </w14:textFill>
        </w:rPr>
      </w:pPr>
    </w:p>
    <w:p>
      <w:pPr>
        <w:spacing w:line="600" w:lineRule="exact"/>
        <w:ind w:firstLine="640"/>
        <w:rPr>
          <w:rFonts w:ascii="仿宋" w:hAnsi="仿宋" w:eastAsia="仿宋"/>
          <w:color w:val="000000" w:themeColor="text1"/>
          <w:sz w:val="32"/>
          <w:szCs w:val="32"/>
          <w14:textFill>
            <w14:solidFill>
              <w14:schemeClr w14:val="tx1"/>
            </w14:solidFill>
          </w14:textFill>
        </w:rPr>
      </w:pPr>
    </w:p>
    <w:p>
      <w:pPr>
        <w:spacing w:line="600" w:lineRule="exact"/>
        <w:ind w:firstLine="640"/>
        <w:rPr>
          <w:rFonts w:ascii="仿宋" w:hAnsi="仿宋" w:eastAsia="仿宋"/>
          <w:color w:val="000000" w:themeColor="text1"/>
          <w:sz w:val="32"/>
          <w:szCs w:val="32"/>
          <w14:textFill>
            <w14:solidFill>
              <w14:schemeClr w14:val="tx1"/>
            </w14:solidFill>
          </w14:textFill>
        </w:rPr>
      </w:pPr>
    </w:p>
    <w:p>
      <w:pPr>
        <w:spacing w:line="550" w:lineRule="exact"/>
        <w:ind w:firstLine="1929" w:firstLineChars="603"/>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图7：“三公”经费财政拨款支出结构</w:t>
      </w:r>
    </w:p>
    <w:p>
      <w:pPr>
        <w:spacing w:line="550"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1.</w:t>
      </w:r>
      <w:r>
        <w:rPr>
          <w:rFonts w:ascii="仿宋_GB2312" w:hAnsi="仿宋_GB2312" w:eastAsia="仿宋_GB2312" w:cs="仿宋_GB2312"/>
          <w:bCs/>
          <w:color w:val="000000" w:themeColor="text1"/>
          <w:sz w:val="32"/>
          <w:szCs w:val="32"/>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14:textFill>
            <w14:solidFill>
              <w14:schemeClr w14:val="tx1"/>
            </w14:solidFill>
          </w14:textFill>
        </w:rPr>
        <w:t>因公出国（境）经费支出0万元，年初未安排预算，支出决算较2022年无变化。</w:t>
      </w:r>
    </w:p>
    <w:p>
      <w:pPr>
        <w:spacing w:line="550"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 我局2023年公务用车购置及公务用车维护费年初无预算安排，较2022年无变化，</w:t>
      </w:r>
      <w:r>
        <w:rPr>
          <w:rFonts w:hint="eastAsia" w:ascii="仿宋_GB2312" w:hAnsi="仿宋_GB2312" w:eastAsia="仿宋_GB2312" w:cs="仿宋_GB2312"/>
          <w:sz w:val="32"/>
          <w:szCs w:val="32"/>
        </w:rPr>
        <w:t>截至2023年12月31日</w:t>
      </w:r>
      <w:r>
        <w:rPr>
          <w:rFonts w:hint="eastAsia" w:ascii="仿宋_GB2312" w:hAnsi="仿宋_GB2312" w:eastAsia="仿宋_GB2312" w:cs="仿宋_GB2312"/>
          <w:bCs/>
          <w:color w:val="000000" w:themeColor="text1"/>
          <w:sz w:val="32"/>
          <w:szCs w:val="32"/>
          <w14:textFill>
            <w14:solidFill>
              <w14:schemeClr w14:val="tx1"/>
            </w14:solidFill>
          </w14:textFill>
        </w:rPr>
        <w:t>无公务用车保有量。</w:t>
      </w:r>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3.</w:t>
      </w:r>
      <w:r>
        <w:rPr>
          <w:rFonts w:ascii="仿宋_GB2312" w:hAnsi="仿宋_GB2312" w:eastAsia="仿宋_GB2312" w:cs="仿宋_GB2312"/>
          <w:bCs/>
          <w:color w:val="000000" w:themeColor="text1"/>
          <w:sz w:val="32"/>
          <w:szCs w:val="32"/>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14:textFill>
            <w14:solidFill>
              <w14:schemeClr w14:val="tx1"/>
            </w14:solidFill>
          </w14:textFill>
        </w:rPr>
        <w:t>公务接待费支出3.53万元，</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完成预算88.25%。</w:t>
      </w:r>
      <w:r>
        <w:rPr>
          <w:rFonts w:hint="eastAsia" w:ascii="仿宋_GB2312" w:hAnsi="仿宋_GB2312" w:eastAsia="仿宋_GB2312" w:cs="仿宋_GB2312"/>
          <w:bCs/>
          <w:color w:val="000000" w:themeColor="text1"/>
          <w:sz w:val="32"/>
          <w:szCs w:val="32"/>
          <w14:textFill>
            <w14:solidFill>
              <w14:schemeClr w14:val="tx1"/>
            </w14:solidFill>
          </w14:textFill>
        </w:rPr>
        <w:t>公务接待费支出决算比2022年增加2.73万元，增加341.25%。主要原因是</w:t>
      </w:r>
      <w:r>
        <w:rPr>
          <w:rFonts w:hint="eastAsia" w:ascii="仿宋_GB2312" w:hAnsi="仿宋_GB2312" w:eastAsia="仿宋_GB2312" w:cs="仿宋_GB2312"/>
          <w:spacing w:val="-6"/>
          <w:sz w:val="32"/>
          <w:szCs w:val="32"/>
          <w:shd w:val="clear" w:color="auto" w:fill="FFFFFF"/>
        </w:rPr>
        <w:t>我局承担了大量省级改革试点工作，</w:t>
      </w:r>
      <w:r>
        <w:rPr>
          <w:rFonts w:hint="eastAsia" w:ascii="仿宋_GB2312" w:hAnsi="仿宋_GB2312" w:eastAsia="仿宋_GB2312" w:cs="仿宋_GB2312"/>
          <w:bCs/>
          <w:color w:val="000000"/>
          <w:spacing w:val="-6"/>
          <w:sz w:val="32"/>
          <w:szCs w:val="32"/>
        </w:rPr>
        <w:t>省局及市州到我局调研、督查指导、考察学习等公务活动增加</w:t>
      </w:r>
      <w:r>
        <w:rPr>
          <w:rFonts w:hint="eastAsia" w:ascii="仿宋_GB2312" w:hAnsi="仿宋_GB2312" w:eastAsia="仿宋_GB2312" w:cs="仿宋_GB2312"/>
          <w:bCs/>
          <w:color w:val="000000" w:themeColor="text1"/>
          <w:sz w:val="32"/>
          <w:szCs w:val="32"/>
          <w14:textFill>
            <w14:solidFill>
              <w14:schemeClr w14:val="tx1"/>
            </w14:solidFill>
          </w14:textFill>
        </w:rPr>
        <w:t>。</w:t>
      </w:r>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国内公务接待支出3.53万元，主要用于执行公务、开展业务活动开支的用餐费。国内公务接待27批次，320人次（不包括陪同人员），共计支出3.53万元，主要用于省局领导到广元调研和其他地市州到广元考察学习。</w:t>
      </w:r>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外事接待支出0万元，较2022年无变化。</w:t>
      </w:r>
      <w:bookmarkStart w:id="42" w:name="_Toc15396610"/>
      <w:bookmarkStart w:id="43" w:name="_Toc15377218"/>
    </w:p>
    <w:p>
      <w:pPr>
        <w:spacing w:line="576" w:lineRule="exact"/>
        <w:ind w:firstLine="640" w:firstLineChars="200"/>
        <w:outlineLvl w:val="1"/>
        <w:rPr>
          <w:rStyle w:val="26"/>
          <w:rFonts w:ascii="黑体" w:hAnsi="黑体" w:eastAsia="黑体" w:cs="黑体"/>
          <w:b w:val="0"/>
          <w:color w:val="000000" w:themeColor="text1"/>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八、</w:t>
      </w:r>
      <w:r>
        <w:rPr>
          <w:rStyle w:val="26"/>
          <w:rFonts w:hint="eastAsia" w:ascii="黑体" w:hAnsi="黑体" w:eastAsia="黑体" w:cs="黑体"/>
          <w:b w:val="0"/>
          <w:color w:val="000000" w:themeColor="text1"/>
          <w14:textFill>
            <w14:solidFill>
              <w14:schemeClr w14:val="tx1"/>
            </w14:solidFill>
          </w14:textFill>
        </w:rPr>
        <w:t>政府性基金预算支出决算情况说明</w:t>
      </w:r>
      <w:bookmarkEnd w:id="42"/>
      <w:bookmarkEnd w:id="43"/>
    </w:p>
    <w:p>
      <w:pPr>
        <w:pStyle w:val="7"/>
        <w:spacing w:beforeLines="0" w:line="576" w:lineRule="exact"/>
        <w:ind w:firstLine="640" w:firstLineChars="200"/>
        <w:rPr>
          <w:rFonts w:hAnsi="仿宋_GB2312" w:cs="仿宋_GB2312"/>
          <w:bCs/>
          <w:color w:val="000000" w:themeColor="text1"/>
          <w:sz w:val="32"/>
          <w:szCs w:val="32"/>
          <w14:textFill>
            <w14:solidFill>
              <w14:schemeClr w14:val="tx1"/>
            </w14:solidFill>
          </w14:textFill>
        </w:rPr>
      </w:pPr>
      <w:r>
        <w:rPr>
          <w:rFonts w:hint="eastAsia" w:hAnsi="仿宋_GB2312" w:cs="仿宋_GB2312"/>
          <w:bCs/>
          <w:color w:val="000000" w:themeColor="text1"/>
          <w:sz w:val="32"/>
          <w:szCs w:val="32"/>
          <w14:textFill>
            <w14:solidFill>
              <w14:schemeClr w14:val="tx1"/>
            </w14:solidFill>
          </w14:textFill>
        </w:rPr>
        <w:t>广元市医疗保障局2023年无政府性基金预算拨款支出。</w:t>
      </w:r>
    </w:p>
    <w:p>
      <w:pPr>
        <w:numPr>
          <w:ilvl w:val="0"/>
          <w:numId w:val="3"/>
        </w:numPr>
        <w:spacing w:line="576" w:lineRule="exact"/>
        <w:ind w:firstLine="640" w:firstLineChars="200"/>
        <w:outlineLvl w:val="1"/>
        <w:rPr>
          <w:rStyle w:val="26"/>
          <w:rFonts w:ascii="黑体" w:hAnsi="黑体" w:eastAsia="黑体" w:cs="黑体"/>
          <w:b w:val="0"/>
          <w:color w:val="000000" w:themeColor="text1"/>
          <w14:textFill>
            <w14:solidFill>
              <w14:schemeClr w14:val="tx1"/>
            </w14:solidFill>
          </w14:textFill>
        </w:rPr>
      </w:pPr>
      <w:bookmarkStart w:id="44" w:name="_Toc15396611"/>
      <w:bookmarkStart w:id="45" w:name="_Toc15377219"/>
      <w:r>
        <w:rPr>
          <w:rStyle w:val="26"/>
          <w:rFonts w:hint="eastAsia" w:ascii="黑体" w:hAnsi="黑体" w:eastAsia="黑体" w:cs="黑体"/>
          <w:b w:val="0"/>
          <w:color w:val="000000" w:themeColor="text1"/>
          <w14:textFill>
            <w14:solidFill>
              <w14:schemeClr w14:val="tx1"/>
            </w14:solidFill>
          </w14:textFill>
        </w:rPr>
        <w:t>国有资本经营预算支出决算情况说明</w:t>
      </w:r>
      <w:bookmarkEnd w:id="44"/>
      <w:bookmarkEnd w:id="45"/>
    </w:p>
    <w:p>
      <w:pPr>
        <w:pStyle w:val="7"/>
        <w:spacing w:beforeLines="0" w:line="576" w:lineRule="exact"/>
        <w:ind w:firstLine="640" w:firstLineChars="200"/>
        <w:rPr>
          <w:rFonts w:hAnsi="仿宋_GB2312" w:cs="仿宋_GB2312"/>
          <w:bCs/>
          <w:color w:val="000000" w:themeColor="text1"/>
          <w:sz w:val="32"/>
          <w:szCs w:val="32"/>
          <w14:textFill>
            <w14:solidFill>
              <w14:schemeClr w14:val="tx1"/>
            </w14:solidFill>
          </w14:textFill>
        </w:rPr>
      </w:pPr>
      <w:r>
        <w:rPr>
          <w:rFonts w:hint="eastAsia" w:hAnsi="仿宋_GB2312" w:cs="仿宋_GB2312"/>
          <w:bCs/>
          <w:color w:val="000000" w:themeColor="text1"/>
          <w:sz w:val="32"/>
          <w:szCs w:val="32"/>
          <w14:textFill>
            <w14:solidFill>
              <w14:schemeClr w14:val="tx1"/>
            </w14:solidFill>
          </w14:textFill>
        </w:rPr>
        <w:t>广元市医疗保障局2023年无国有资本经营预算拨款支出。</w:t>
      </w:r>
    </w:p>
    <w:p>
      <w:pPr>
        <w:numPr>
          <w:ilvl w:val="0"/>
          <w:numId w:val="3"/>
        </w:numPr>
        <w:spacing w:line="576" w:lineRule="exact"/>
        <w:ind w:firstLine="640" w:firstLineChars="200"/>
        <w:outlineLvl w:val="1"/>
        <w:rPr>
          <w:rStyle w:val="26"/>
          <w:rFonts w:ascii="黑体" w:hAnsi="黑体" w:eastAsia="黑体" w:cs="黑体"/>
          <w:b w:val="0"/>
          <w:color w:val="000000" w:themeColor="text1"/>
          <w14:textFill>
            <w14:solidFill>
              <w14:schemeClr w14:val="tx1"/>
            </w14:solidFill>
          </w14:textFill>
        </w:rPr>
      </w:pPr>
      <w:bookmarkStart w:id="46" w:name="_Toc15396612"/>
      <w:bookmarkStart w:id="47" w:name="_Toc15377221"/>
      <w:r>
        <w:rPr>
          <w:rStyle w:val="26"/>
          <w:rFonts w:hint="eastAsia" w:ascii="黑体" w:hAnsi="黑体" w:eastAsia="黑体" w:cs="黑体"/>
          <w:b w:val="0"/>
          <w:color w:val="000000" w:themeColor="text1"/>
          <w14:textFill>
            <w14:solidFill>
              <w14:schemeClr w14:val="tx1"/>
            </w14:solidFill>
          </w14:textFill>
        </w:rPr>
        <w:t>其他重要事项的情况说明</w:t>
      </w:r>
      <w:bookmarkEnd w:id="46"/>
      <w:bookmarkEnd w:id="47"/>
    </w:p>
    <w:p>
      <w:pPr>
        <w:spacing w:line="576"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48" w:name="_Toc15377222"/>
      <w:r>
        <w:rPr>
          <w:rFonts w:hint="eastAsia" w:ascii="楷体_GB2312" w:hAnsi="楷体_GB2312" w:eastAsia="楷体_GB2312" w:cs="楷体_GB2312"/>
          <w:bCs/>
          <w:color w:val="000000" w:themeColor="text1"/>
          <w:sz w:val="32"/>
          <w:szCs w:val="32"/>
          <w14:textFill>
            <w14:solidFill>
              <w14:schemeClr w14:val="tx1"/>
            </w14:solidFill>
          </w14:textFill>
        </w:rPr>
        <w:t>（一）机关运行经费支出情况</w:t>
      </w:r>
      <w:bookmarkEnd w:id="48"/>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2023年，广元市医疗保障局机关运行经费支出109.86万元，比2022年增加10.11万元，增长10.13%，主要原因是在编人员增加。</w:t>
      </w:r>
    </w:p>
    <w:p>
      <w:pPr>
        <w:autoSpaceDE w:val="0"/>
        <w:autoSpaceDN w:val="0"/>
        <w:adjustRightInd w:val="0"/>
        <w:spacing w:line="576"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49" w:name="_Toc15377223"/>
      <w:r>
        <w:rPr>
          <w:rFonts w:hint="eastAsia" w:ascii="楷体_GB2312" w:hAnsi="楷体_GB2312" w:eastAsia="楷体_GB2312" w:cs="楷体_GB2312"/>
          <w:bCs/>
          <w:color w:val="000000" w:themeColor="text1"/>
          <w:sz w:val="32"/>
          <w:szCs w:val="32"/>
          <w14:textFill>
            <w14:solidFill>
              <w14:schemeClr w14:val="tx1"/>
            </w14:solidFill>
          </w14:textFill>
        </w:rPr>
        <w:t>（二）政府采购支出情况</w:t>
      </w:r>
      <w:bookmarkEnd w:id="49"/>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2023年，广元市医疗保障局政府采购支出总额240.14万元，其中：政府采购货物支出49.03万元、政府采购服务支出191.11万元。主要用于空调、LED屏、医保智能场景监控设备购置及第三方基金监管购买服务、医保数据资源共享建设服务、医保业务系统技术支撑服务支出。授予中小企业合同金额 49.03万元，占政府采购支出总额的20.42%，其中：授予小微企业合同金额10.93万元，占政府采购支出总额的4.55%。</w:t>
      </w:r>
    </w:p>
    <w:p>
      <w:pPr>
        <w:autoSpaceDE w:val="0"/>
        <w:autoSpaceDN w:val="0"/>
        <w:adjustRightInd w:val="0"/>
        <w:spacing w:line="576"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50" w:name="_Toc15377224"/>
      <w:r>
        <w:rPr>
          <w:rFonts w:hint="eastAsia" w:ascii="楷体_GB2312" w:hAnsi="楷体_GB2312" w:eastAsia="楷体_GB2312" w:cs="楷体_GB2312"/>
          <w:bCs/>
          <w:color w:val="000000" w:themeColor="text1"/>
          <w:sz w:val="32"/>
          <w:szCs w:val="32"/>
          <w14:textFill>
            <w14:solidFill>
              <w14:schemeClr w14:val="tx1"/>
            </w14:solidFill>
          </w14:textFill>
        </w:rPr>
        <w:t>（三）国有资产占有使用情况</w:t>
      </w:r>
      <w:bookmarkEnd w:id="50"/>
    </w:p>
    <w:p>
      <w:pPr>
        <w:autoSpaceDE w:val="0"/>
        <w:autoSpaceDN w:val="0"/>
        <w:adjustRightInd w:val="0"/>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截至2023年12月31日，广元市医疗保障局共有车辆0辆。单价100万元以上专用设备0台（套）。</w:t>
      </w:r>
    </w:p>
    <w:p>
      <w:pPr>
        <w:autoSpaceDE w:val="0"/>
        <w:autoSpaceDN w:val="0"/>
        <w:adjustRightInd w:val="0"/>
        <w:spacing w:line="576"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r>
        <w:rPr>
          <w:rFonts w:hint="eastAsia" w:ascii="楷体_GB2312" w:hAnsi="楷体_GB2312" w:eastAsia="楷体_GB2312" w:cs="楷体_GB2312"/>
          <w:bCs/>
          <w:color w:val="000000" w:themeColor="text1"/>
          <w:sz w:val="32"/>
          <w:szCs w:val="32"/>
          <w14:textFill>
            <w14:solidFill>
              <w14:schemeClr w14:val="tx1"/>
            </w14:solidFill>
          </w14:textFill>
        </w:rPr>
        <w:t>（四）预算绩效管理情况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根据预算绩效管理要求，本部门在2023年度预算编制阶段，组织对</w:t>
      </w:r>
      <w:r>
        <w:rPr>
          <w:rFonts w:hint="eastAsia" w:ascii="仿宋_GB2312" w:eastAsia="仿宋_GB2312" w:cs="仿宋_GB2312"/>
          <w:color w:val="000000" w:themeColor="text1"/>
          <w:sz w:val="32"/>
          <w:szCs w:val="32"/>
          <w14:textFill>
            <w14:solidFill>
              <w14:schemeClr w14:val="tx1"/>
            </w14:solidFill>
          </w14:textFill>
        </w:rPr>
        <w:t>定点医疗机构监管工作经费</w:t>
      </w:r>
      <w:r>
        <w:rPr>
          <w:rFonts w:hint="eastAsia" w:ascii="仿宋_GB2312" w:hAnsi="仿宋_GB2312" w:eastAsia="仿宋_GB2312" w:cs="仿宋_GB2312"/>
          <w:sz w:val="32"/>
          <w:szCs w:val="32"/>
        </w:rPr>
        <w:t>项目等3个项目开展了预算事前绩效评估，对</w:t>
      </w:r>
      <w:r>
        <w:rPr>
          <w:rFonts w:hint="default" w:ascii="仿宋_GB2312" w:hAnsi="仿宋_GB2312" w:eastAsia="仿宋_GB2312" w:cs="仿宋_GB2312"/>
          <w:sz w:val="32"/>
          <w:szCs w:val="32"/>
          <w:lang w:val="en-US"/>
        </w:rPr>
        <w:t>19</w:t>
      </w:r>
      <w:r>
        <w:rPr>
          <w:rFonts w:hint="eastAsia" w:ascii="仿宋_GB2312" w:hAnsi="仿宋_GB2312" w:eastAsia="仿宋_GB2312" w:cs="仿宋_GB2312"/>
          <w:sz w:val="32"/>
          <w:szCs w:val="32"/>
        </w:rPr>
        <w:t>个项目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不含基本支出类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编制了绩效目标，预算执行过程中，选取</w:t>
      </w:r>
      <w:r>
        <w:rPr>
          <w:rFonts w:hint="default" w:ascii="仿宋_GB2312" w:hAnsi="仿宋_GB2312" w:eastAsia="仿宋_GB2312" w:cs="仿宋_GB2312"/>
          <w:sz w:val="32"/>
          <w:szCs w:val="32"/>
          <w:lang w:val="en-US"/>
        </w:rPr>
        <w:t>19</w:t>
      </w:r>
      <w:r>
        <w:rPr>
          <w:rFonts w:hint="eastAsia" w:ascii="仿宋_GB2312" w:hAnsi="仿宋_GB2312" w:eastAsia="仿宋_GB2312" w:cs="仿宋_GB2312"/>
          <w:sz w:val="32"/>
          <w:szCs w:val="32"/>
        </w:rPr>
        <w:t>个项目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不含基本支出类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开展绩效监控。</w:t>
      </w:r>
    </w:p>
    <w:p>
      <w:pPr>
        <w:spacing w:line="576" w:lineRule="exact"/>
        <w:ind w:firstLine="640" w:firstLineChars="200"/>
        <w:rPr>
          <w:rFonts w:ascii="仿宋_GB2312" w:eastAsia="仿宋_GB2312" w:cs="仿宋_GB2312"/>
          <w:color w:val="000000"/>
          <w:sz w:val="32"/>
          <w:szCs w:val="32"/>
        </w:rPr>
      </w:pPr>
      <w:r>
        <w:rPr>
          <w:rFonts w:hint="eastAsia" w:ascii="仿宋_GB2312" w:hAnsi="仿宋_GB2312" w:eastAsia="仿宋_GB2312" w:cs="仿宋_GB2312"/>
          <w:sz w:val="32"/>
          <w:szCs w:val="32"/>
        </w:rPr>
        <w:t>组织对2023年度一般公共预算、政府性基金预算、国有资本经营预算、社会保险基金预算以及资本资产、债券资金等全面开展绩效自评，</w:t>
      </w:r>
      <w:r>
        <w:rPr>
          <w:rFonts w:hint="eastAsia" w:ascii="仿宋_GB2312" w:hAnsi="仿宋_GB2312" w:eastAsia="仿宋_GB2312" w:cs="仿宋_GB2312"/>
          <w:bCs/>
          <w:color w:val="000000" w:themeColor="text1"/>
          <w:sz w:val="32"/>
          <w:szCs w:val="32"/>
          <w14:textFill>
            <w14:solidFill>
              <w14:schemeClr w14:val="tx1"/>
            </w14:solidFill>
          </w14:textFill>
        </w:rPr>
        <w:t>形成广元市医疗保障局部门整体（含部门预算项目）绩效评价报告、大病医疗救助、离休干部医疗保险费等8个专项预算项目绩效自评报告、其中，广元市医疗保障局部门整体支出（含部门预算项目）绩效自评得分为90.36分</w:t>
      </w:r>
      <w:r>
        <w:rPr>
          <w:rFonts w:hint="eastAsia" w:ascii="仿宋_GB2312" w:hAnsi="仿宋_GB2312" w:eastAsia="仿宋_GB2312" w:cs="仿宋_GB2312"/>
          <w:sz w:val="32"/>
          <w:szCs w:val="32"/>
        </w:rPr>
        <w:t>，绩效自评综述：</w:t>
      </w:r>
      <w:r>
        <w:rPr>
          <w:rFonts w:hint="eastAsia" w:ascii="仿宋_GB2312" w:hAnsi="仿宋_GB2312" w:eastAsia="仿宋_GB2312" w:cs="仿宋_GB2312"/>
          <w:bCs/>
          <w:color w:val="000000" w:themeColor="text1"/>
          <w:sz w:val="32"/>
          <w:szCs w:val="32"/>
          <w14:textFill>
            <w14:solidFill>
              <w14:schemeClr w14:val="tx1"/>
            </w14:solidFill>
          </w14:textFill>
        </w:rPr>
        <w:t>我部门全面实施预算项目绩效管理，规范项目预算编制，明确预算执行主体，严格落实项目支出绩效管理责任，优化资源配置，确保绩效目标落实，提高了财政资</w:t>
      </w:r>
      <w:r>
        <w:rPr>
          <w:rFonts w:hint="eastAsia" w:ascii="仿宋_GB2312" w:hAnsi="仿宋_GB2312" w:eastAsia="仿宋_GB2312" w:cs="仿宋_GB2312"/>
          <w:b w:val="0"/>
          <w:bCs/>
          <w:color w:val="000000" w:themeColor="text1"/>
          <w:sz w:val="32"/>
          <w:szCs w:val="32"/>
          <w14:textFill>
            <w14:solidFill>
              <w14:schemeClr w14:val="tx1"/>
            </w14:solidFill>
          </w14:textFill>
        </w:rPr>
        <w:t>金使用效益</w:t>
      </w:r>
      <w:r>
        <w:rPr>
          <w:rFonts w:hint="eastAsia" w:ascii="仿宋_GB2312" w:hAnsi="仿宋_GB2312" w:eastAsia="仿宋_GB2312" w:cs="仿宋_GB2312"/>
          <w:b w:val="0"/>
          <w:bCs/>
          <w:sz w:val="32"/>
          <w:szCs w:val="32"/>
        </w:rPr>
        <w:t>；大病医疗救助专项预算项目绩效自评得分为100分，绩效自评综述：</w:t>
      </w:r>
      <w:r>
        <w:rPr>
          <w:rFonts w:hint="eastAsia" w:ascii="仿宋_GB2312" w:hAnsi="仿宋_GB2312" w:eastAsia="仿宋_GB2312" w:cs="仿宋_GB2312"/>
          <w:b w:val="0"/>
          <w:bCs/>
          <w:color w:val="000000"/>
          <w:sz w:val="32"/>
          <w:szCs w:val="32"/>
        </w:rPr>
        <w:t>通过项目实施，使符合条件的救助人员及时享受了</w:t>
      </w:r>
      <w:r>
        <w:rPr>
          <w:rFonts w:hint="eastAsia" w:ascii="仿宋_GB2312" w:hAnsi="仿宋_GB2312" w:eastAsia="仿宋_GB2312" w:cs="仿宋_GB2312"/>
          <w:b w:val="0"/>
          <w:bCs/>
          <w:sz w:val="32"/>
          <w:szCs w:val="32"/>
        </w:rPr>
        <w:t>大病</w:t>
      </w:r>
      <w:r>
        <w:rPr>
          <w:rFonts w:hint="eastAsia" w:ascii="仿宋_GB2312" w:hAnsi="仿宋_GB2312" w:eastAsia="仿宋_GB2312" w:cs="仿宋_GB2312"/>
          <w:b w:val="0"/>
          <w:bCs/>
          <w:color w:val="000000"/>
          <w:sz w:val="32"/>
          <w:szCs w:val="32"/>
        </w:rPr>
        <w:t>医疗待遇，减轻了救助人员的经济压力和生活压力</w:t>
      </w:r>
      <w:r>
        <w:rPr>
          <w:rFonts w:hint="eastAsia" w:ascii="仿宋_GB2312" w:hAnsi="仿宋_GB2312" w:eastAsia="仿宋_GB2312" w:cs="仿宋_GB2312"/>
          <w:b w:val="0"/>
          <w:bCs/>
          <w:sz w:val="32"/>
          <w:szCs w:val="32"/>
        </w:rPr>
        <w:t>。建国初期退休老干部医疗照顾费专项预算项目自评得100分，绩效自评综述：</w:t>
      </w:r>
      <w:r>
        <w:rPr>
          <w:rFonts w:hint="eastAsia" w:ascii="仿宋_GB2312" w:hAnsi="仿宋_GB2312" w:eastAsia="仿宋_GB2312" w:cs="仿宋_GB2312"/>
          <w:b w:val="0"/>
          <w:bCs/>
          <w:color w:val="000000"/>
          <w:spacing w:val="11"/>
          <w:sz w:val="32"/>
          <w:szCs w:val="32"/>
        </w:rPr>
        <w:t>通过项目实施，解决了建国初期参加革命工作</w:t>
      </w:r>
      <w:r>
        <w:rPr>
          <w:rFonts w:hint="eastAsia" w:ascii="仿宋_GB2312" w:hAnsi="仿宋_GB2312" w:eastAsia="仿宋_GB2312" w:cs="仿宋_GB2312"/>
          <w:b w:val="0"/>
          <w:bCs/>
          <w:spacing w:val="11"/>
          <w:sz w:val="32"/>
          <w:szCs w:val="32"/>
        </w:rPr>
        <w:t>退休</w:t>
      </w:r>
      <w:r>
        <w:rPr>
          <w:rFonts w:hint="eastAsia" w:ascii="仿宋_GB2312" w:hAnsi="仿宋_GB2312" w:eastAsia="仿宋_GB2312" w:cs="仿宋_GB2312"/>
          <w:b w:val="0"/>
          <w:bCs/>
          <w:color w:val="000000"/>
          <w:spacing w:val="11"/>
          <w:sz w:val="32"/>
          <w:szCs w:val="32"/>
        </w:rPr>
        <w:t>人员医疗费用问题，减轻了建国初期参加革命工作</w:t>
      </w:r>
      <w:r>
        <w:rPr>
          <w:rFonts w:hint="eastAsia" w:ascii="仿宋_GB2312" w:hAnsi="仿宋_GB2312" w:eastAsia="仿宋_GB2312" w:cs="仿宋_GB2312"/>
          <w:b w:val="0"/>
          <w:bCs/>
          <w:spacing w:val="11"/>
          <w:sz w:val="32"/>
          <w:szCs w:val="32"/>
        </w:rPr>
        <w:t>退休</w:t>
      </w:r>
      <w:r>
        <w:rPr>
          <w:rFonts w:hint="eastAsia" w:ascii="仿宋_GB2312" w:hAnsi="仿宋_GB2312" w:eastAsia="仿宋_GB2312" w:cs="仿宋_GB2312"/>
          <w:b w:val="0"/>
          <w:bCs/>
          <w:color w:val="000000"/>
          <w:spacing w:val="11"/>
          <w:sz w:val="32"/>
          <w:szCs w:val="32"/>
        </w:rPr>
        <w:t>人员的经济压力和生活压力。</w:t>
      </w:r>
      <w:r>
        <w:rPr>
          <w:rFonts w:hint="eastAsia" w:ascii="仿宋_GB2312" w:hAnsi="仿宋_GB2312" w:eastAsia="仿宋_GB2312" w:cs="仿宋_GB2312"/>
          <w:b w:val="0"/>
          <w:bCs/>
          <w:sz w:val="32"/>
          <w:szCs w:val="32"/>
        </w:rPr>
        <w:t>离休干部医疗保险费专项预算项目自评得100分，绩效自评综述：</w:t>
      </w:r>
      <w:r>
        <w:rPr>
          <w:rFonts w:hint="eastAsia" w:ascii="仿宋_GB2312" w:hAnsi="仿宋_GB2312" w:eastAsia="仿宋_GB2312" w:cs="仿宋_GB2312"/>
          <w:b w:val="0"/>
          <w:bCs/>
          <w:color w:val="000000"/>
          <w:sz w:val="32"/>
          <w:szCs w:val="32"/>
          <w:lang w:val="zh-CN"/>
        </w:rPr>
        <w:t>通过项目实施，解决了离休干部及老红军遗孀医疗费用问题，减轻了离休干部及老红军遗孀的经济压力和生活压力。</w:t>
      </w:r>
      <w:r>
        <w:rPr>
          <w:rFonts w:hint="eastAsia" w:ascii="仿宋_GB2312" w:hAnsi="仿宋_GB2312" w:eastAsia="仿宋_GB2312" w:cs="仿宋_GB2312"/>
          <w:b w:val="0"/>
          <w:bCs/>
          <w:sz w:val="32"/>
          <w:szCs w:val="32"/>
        </w:rPr>
        <w:t>市本级建初人员门诊医疗照顾金专项预算项目自评得100分，绩效自评综述：</w:t>
      </w:r>
      <w:r>
        <w:rPr>
          <w:rFonts w:hint="eastAsia" w:ascii="仿宋_GB2312" w:hAnsi="仿宋_GB2312" w:eastAsia="仿宋_GB2312" w:cs="仿宋_GB2312"/>
          <w:b w:val="0"/>
          <w:bCs/>
          <w:color w:val="000000"/>
          <w:sz w:val="32"/>
          <w:szCs w:val="32"/>
        </w:rPr>
        <w:t>通过项目实施，解决了建国初期参加革命工作人员</w:t>
      </w:r>
      <w:r>
        <w:rPr>
          <w:rFonts w:hint="eastAsia" w:ascii="仿宋_GB2312" w:hAnsi="仿宋_GB2312" w:eastAsia="仿宋_GB2312" w:cs="仿宋_GB2312"/>
          <w:b w:val="0"/>
          <w:bCs/>
          <w:sz w:val="32"/>
          <w:szCs w:val="32"/>
        </w:rPr>
        <w:t>门诊</w:t>
      </w:r>
      <w:r>
        <w:rPr>
          <w:rFonts w:hint="eastAsia" w:ascii="仿宋_GB2312" w:hAnsi="仿宋_GB2312" w:eastAsia="仿宋_GB2312" w:cs="仿宋_GB2312"/>
          <w:b w:val="0"/>
          <w:bCs/>
          <w:color w:val="000000"/>
          <w:sz w:val="32"/>
          <w:szCs w:val="32"/>
        </w:rPr>
        <w:t>医疗费用问题，减轻了建国初期参加革命工作人员的经济压力和生活压力。</w:t>
      </w:r>
      <w:r>
        <w:rPr>
          <w:rFonts w:hint="eastAsia" w:ascii="仿宋_GB2312" w:hAnsi="仿宋_GB2312" w:eastAsia="仿宋_GB2312" w:cs="仿宋_GB2312"/>
          <w:b w:val="0"/>
          <w:bCs/>
          <w:sz w:val="32"/>
          <w:szCs w:val="32"/>
        </w:rPr>
        <w:t>市本级企业军转干部门诊补助资金专项预算项目自评得100分，绩效自评综述：</w:t>
      </w:r>
      <w:r>
        <w:rPr>
          <w:rFonts w:hint="eastAsia" w:ascii="仿宋_GB2312" w:hAnsi="仿宋_GB2312" w:eastAsia="仿宋_GB2312" w:cs="仿宋_GB2312"/>
          <w:b w:val="0"/>
          <w:bCs/>
          <w:color w:val="000000"/>
          <w:sz w:val="32"/>
          <w:szCs w:val="32"/>
        </w:rPr>
        <w:t>通过项目实施，保障了企业军转干部及时享受医疗待遇，减轻了企业军转干部的经济压力和生活压力。2023年度医疗服务与保障能力提升资金项目采用中央专项资金绩效自评模板，无绩效自评得分、绩效自评综述：</w:t>
      </w:r>
      <w:r>
        <w:rPr>
          <w:rFonts w:hint="eastAsia" w:ascii="仿宋_GB2312" w:eastAsia="仿宋_GB2312" w:cs="仿宋_GB2312"/>
          <w:sz w:val="32"/>
          <w:szCs w:val="32"/>
        </w:rPr>
        <w:t>2023年全市医疗服务与保障能力不断提升，医保业务信息化水平不断提高，医保骨干网安全运行，完成医保数据共享服务区广元专区建设，促进市级医保数据共享；拓展医保线上服务渠道，医保码激活率、结算率均位居全省前列；移动支付成效明显。深入推进医保支付方式改革。2023年我市统一DRG付费费率，实现了全市一个总额控制下的DRG付费，推动支付方式改革向纵深发展；多方式全覆盖开展医保基金监管，提升了医保基金监管能力；开展全市经办机构内控检查评估，推进各级经办大厅、医保窗口标准化规范化建设，在川内率先推进医保服务市区同城一体化办理；宣传引导、人才队伍建设等医疗保障服务能力明显提升。</w:t>
      </w:r>
    </w:p>
    <w:p>
      <w:pPr>
        <w:adjustRightInd w:val="0"/>
        <w:snapToGrid w:val="0"/>
        <w:spacing w:line="57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p>
    <w:p>
      <w:pPr>
        <w:spacing w:line="57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p>
    <w:p>
      <w:pPr>
        <w:widowControl/>
        <w:ind w:firstLine="643" w:firstLineChars="200"/>
        <w:jc w:val="left"/>
        <w:rPr>
          <w:rFonts w:ascii="仿宋_GB2312" w:eastAsia="仿宋_GB2312" w:cs="仿宋_GB2312"/>
          <w:sz w:val="32"/>
          <w:szCs w:val="32"/>
        </w:rPr>
      </w:pPr>
      <w:r>
        <w:rPr>
          <w:rFonts w:ascii="仿宋_GB2312" w:eastAsia="仿宋_GB2312"/>
          <w:b/>
          <w:color w:val="000000" w:themeColor="text1"/>
          <w:sz w:val="32"/>
          <w:szCs w:val="32"/>
          <w14:textFill>
            <w14:solidFill>
              <w14:schemeClr w14:val="tx1"/>
            </w14:solidFill>
          </w14:textFill>
        </w:rPr>
        <w:br w:type="page"/>
      </w:r>
    </w:p>
    <w:p>
      <w:pPr>
        <w:numPr>
          <w:ilvl w:val="0"/>
          <w:numId w:val="4"/>
        </w:numPr>
        <w:spacing w:line="600" w:lineRule="exact"/>
        <w:ind w:firstLine="660" w:firstLineChars="150"/>
        <w:jc w:val="center"/>
        <w:outlineLvl w:val="0"/>
        <w:rPr>
          <w:rStyle w:val="25"/>
          <w:rFonts w:ascii="黑体" w:hAnsi="黑体" w:eastAsia="黑体"/>
          <w:b w:val="0"/>
          <w:color w:val="000000" w:themeColor="text1"/>
          <w14:textFill>
            <w14:solidFill>
              <w14:schemeClr w14:val="tx1"/>
            </w14:solidFill>
          </w14:textFill>
        </w:rPr>
      </w:pPr>
      <w:bookmarkStart w:id="51" w:name="_Toc15377225"/>
      <w:bookmarkStart w:id="52" w:name="_Toc15396613"/>
      <w:r>
        <w:rPr>
          <w:rFonts w:ascii="黑体" w:hAnsi="黑体" w:eastAsia="黑体"/>
          <w:color w:val="000000" w:themeColor="text1"/>
          <w:sz w:val="44"/>
          <w:szCs w:val="44"/>
          <w14:textFill>
            <w14:solidFill>
              <w14:schemeClr w14:val="tx1"/>
            </w14:solidFill>
          </w14:textFill>
        </w:rPr>
        <w:t xml:space="preserve"> </w:t>
      </w:r>
      <w:r>
        <w:rPr>
          <w:rFonts w:hint="eastAsia" w:ascii="黑体" w:hAnsi="黑体" w:eastAsia="黑体"/>
          <w:color w:val="000000" w:themeColor="text1"/>
          <w:sz w:val="44"/>
          <w:szCs w:val="44"/>
          <w14:textFill>
            <w14:solidFill>
              <w14:schemeClr w14:val="tx1"/>
            </w14:solidFill>
          </w14:textFill>
        </w:rPr>
        <w:t>名</w:t>
      </w:r>
      <w:r>
        <w:rPr>
          <w:rStyle w:val="25"/>
          <w:rFonts w:hint="eastAsia" w:ascii="黑体" w:hAnsi="黑体" w:eastAsia="黑体"/>
          <w:b w:val="0"/>
          <w:color w:val="000000" w:themeColor="text1"/>
          <w14:textFill>
            <w14:solidFill>
              <w14:schemeClr w14:val="tx1"/>
            </w14:solidFill>
          </w14:textFill>
        </w:rPr>
        <w:t>词解释</w:t>
      </w:r>
      <w:bookmarkEnd w:id="51"/>
      <w:bookmarkEnd w:id="52"/>
    </w:p>
    <w:p>
      <w:pPr>
        <w:pStyle w:val="36"/>
        <w:spacing w:line="566" w:lineRule="exact"/>
        <w:ind w:firstLine="640" w:firstLineChars="200"/>
        <w:rPr>
          <w:rFonts w:ascii="仿宋_GB2312" w:eastAsia="仿宋_GB2312" w:cs="仿宋_GB2312"/>
          <w:color w:val="000000" w:themeColor="text1"/>
          <w:sz w:val="32"/>
          <w:szCs w:val="32"/>
          <w14:textFill>
            <w14:solidFill>
              <w14:schemeClr w14:val="tx1"/>
            </w14:solidFill>
          </w14:textFill>
        </w:rPr>
      </w:pPr>
    </w:p>
    <w:p>
      <w:pPr>
        <w:pStyle w:val="36"/>
        <w:spacing w:line="550" w:lineRule="exact"/>
        <w:ind w:firstLine="640" w:firstLineChars="200"/>
        <w:jc w:val="both"/>
        <w:rPr>
          <w:rFonts w:ascii="仿宋_GB2312" w:eastAsia="仿宋_GB2312" w:cs="仿宋_GB2312"/>
          <w:color w:val="000000" w:themeColor="text1"/>
          <w:spacing w:val="-12"/>
          <w:sz w:val="32"/>
          <w:szCs w:val="32"/>
          <w14:textFill>
            <w14:solidFill>
              <w14:schemeClr w14:val="tx1"/>
            </w14:solidFill>
          </w14:textFill>
        </w:rPr>
      </w:pPr>
      <w:r>
        <w:rPr>
          <w:rFonts w:ascii="仿宋_GB2312" w:eastAsia="仿宋_GB2312" w:cs="仿宋_GB2312"/>
          <w:color w:val="000000" w:themeColor="text1"/>
          <w:sz w:val="32"/>
          <w:szCs w:val="32"/>
          <w14:textFill>
            <w14:solidFill>
              <w14:schemeClr w14:val="tx1"/>
            </w14:solidFill>
          </w14:textFill>
        </w:rPr>
        <w:t xml:space="preserve">1. </w:t>
      </w:r>
      <w:r>
        <w:rPr>
          <w:rFonts w:hint="eastAsia" w:ascii="仿宋_GB2312" w:eastAsia="仿宋_GB2312" w:cs="仿宋_GB2312"/>
          <w:color w:val="000000" w:themeColor="text1"/>
          <w:spacing w:val="-12"/>
          <w:sz w:val="32"/>
          <w:szCs w:val="32"/>
          <w14:textFill>
            <w14:solidFill>
              <w14:schemeClr w14:val="tx1"/>
            </w14:solidFill>
          </w14:textFill>
        </w:rPr>
        <w:t>财政拨款收入：指单位从同级财政部门取得的财政预算资金。</w:t>
      </w:r>
    </w:p>
    <w:p>
      <w:pPr>
        <w:pStyle w:val="36"/>
        <w:spacing w:line="550" w:lineRule="exact"/>
        <w:ind w:firstLine="640" w:firstLineChars="200"/>
        <w:jc w:val="both"/>
        <w:rPr>
          <w:rFonts w:ascii="仿宋_GB2312" w:eastAsia="仿宋_GB2312" w:cs="仿宋_GB2312"/>
          <w:color w:val="000000" w:themeColor="text1"/>
          <w:spacing w:val="-12"/>
          <w:sz w:val="32"/>
          <w:szCs w:val="32"/>
          <w14:textFill>
            <w14:solidFill>
              <w14:schemeClr w14:val="tx1"/>
            </w14:solidFill>
          </w14:textFill>
        </w:rPr>
      </w:pPr>
      <w:r>
        <w:rPr>
          <w:rFonts w:hint="eastAsia" w:ascii="仿宋_GB2312" w:hAnsi="宋体" w:eastAsia="仿宋_GB2312" w:cs="仿宋_GB2312"/>
          <w:sz w:val="32"/>
          <w:szCs w:val="32"/>
        </w:rPr>
        <w:t>2.</w:t>
      </w:r>
      <w:r>
        <w:rPr>
          <w:rFonts w:hint="default" w:ascii="仿宋_GB2312" w:hAnsi="宋体" w:eastAsia="仿宋_GB2312" w:cs="仿宋_GB2312"/>
          <w:sz w:val="32"/>
          <w:szCs w:val="32"/>
          <w:lang w:val="en-US"/>
        </w:rPr>
        <w:t xml:space="preserve"> </w:t>
      </w:r>
      <w:r>
        <w:rPr>
          <w:rFonts w:hint="eastAsia" w:ascii="仿宋_GB2312" w:hAnsi="宋体" w:eastAsia="仿宋_GB2312" w:cs="仿宋_GB2312"/>
          <w:sz w:val="32"/>
          <w:szCs w:val="32"/>
        </w:rPr>
        <w:t>其他收入：反映单位取得的除上述收入以外的各项收入。主要是利息收入。</w:t>
      </w:r>
    </w:p>
    <w:p>
      <w:pPr>
        <w:pStyle w:val="36"/>
        <w:spacing w:line="550" w:lineRule="exact"/>
        <w:ind w:firstLine="640" w:firstLineChars="200"/>
        <w:jc w:val="both"/>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3</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年初结转和结余：指以前年度尚未完成、结转到本年按有关规定继续使用的资金。</w:t>
      </w:r>
    </w:p>
    <w:p>
      <w:pPr>
        <w:pStyle w:val="36"/>
        <w:spacing w:line="560" w:lineRule="exact"/>
        <w:ind w:firstLine="640" w:firstLineChars="200"/>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olor w:val="auto"/>
          <w:sz w:val="32"/>
          <w:szCs w:val="32"/>
        </w:rPr>
        <w:t>4.</w:t>
      </w:r>
      <w:r>
        <w:rPr>
          <w:rFonts w:hint="default" w:ascii="仿宋_GB2312" w:eastAsia="仿宋_GB2312"/>
          <w:color w:val="auto"/>
          <w:sz w:val="32"/>
          <w:szCs w:val="32"/>
          <w:lang w:val="en-US"/>
        </w:rPr>
        <w:t xml:space="preserve"> </w:t>
      </w:r>
      <w:r>
        <w:rPr>
          <w:rFonts w:hint="eastAsia" w:ascii="仿宋_GB2312" w:eastAsia="仿宋_GB2312"/>
          <w:color w:val="auto"/>
          <w:sz w:val="32"/>
          <w:szCs w:val="32"/>
        </w:rPr>
        <w:t>年末结转和结余：指单位按有关规定结转到下年或以后年度继续使用的资金。</w:t>
      </w:r>
    </w:p>
    <w:p>
      <w:pPr>
        <w:pStyle w:val="36"/>
        <w:spacing w:line="550" w:lineRule="exact"/>
        <w:ind w:firstLine="640" w:firstLineChars="200"/>
        <w:jc w:val="both"/>
        <w:rPr>
          <w:rFonts w:ascii="仿宋_GB2312" w:eastAsia="仿宋_GB2312" w:cs="仿宋_GB2312"/>
          <w:color w:val="0000FF"/>
          <w:sz w:val="32"/>
          <w:szCs w:val="32"/>
        </w:rPr>
      </w:pPr>
      <w:r>
        <w:rPr>
          <w:rFonts w:hint="eastAsia" w:ascii="仿宋_GB2312" w:hAnsi="仿宋_GB2312" w:eastAsia="仿宋_GB2312" w:cs="仿宋_GB2312"/>
          <w:bCs/>
          <w:color w:val="auto"/>
          <w:sz w:val="32"/>
          <w:szCs w:val="32"/>
        </w:rPr>
        <w:t>5.</w:t>
      </w:r>
      <w:r>
        <w:rPr>
          <w:rFonts w:hint="default" w:ascii="仿宋_GB2312" w:hAnsi="仿宋_GB2312" w:eastAsia="仿宋_GB2312" w:cs="仿宋_GB2312"/>
          <w:bCs/>
          <w:color w:val="auto"/>
          <w:sz w:val="32"/>
          <w:szCs w:val="32"/>
          <w:lang w:val="en-US"/>
        </w:rPr>
        <w:t xml:space="preserve"> </w:t>
      </w:r>
      <w:r>
        <w:rPr>
          <w:rStyle w:val="22"/>
          <w:rFonts w:hint="eastAsia" w:ascii="仿宋_GB2312" w:hAnsi="仿宋_GB2312" w:eastAsia="仿宋_GB2312" w:cs="仿宋_GB2312"/>
          <w:b w:val="0"/>
          <w:bCs/>
          <w:color w:val="auto"/>
          <w:sz w:val="32"/>
          <w:szCs w:val="32"/>
        </w:rPr>
        <w:t>社会保障和就业（类）人力资源和社会保障管理事务（款） 其他人力资源和社会保障管理事务支出（项）：</w:t>
      </w:r>
      <w:r>
        <w:rPr>
          <w:rFonts w:ascii="仿宋_GB2312" w:hAnsi="宋体" w:eastAsia="仿宋_GB2312" w:cs="仿宋_GB2312"/>
          <w:sz w:val="32"/>
          <w:szCs w:val="32"/>
        </w:rPr>
        <w:t>反映除上述项目以外其他人力资源和社会保障管理事务方面的支出。</w:t>
      </w:r>
    </w:p>
    <w:p>
      <w:pPr>
        <w:adjustRightInd w:val="0"/>
        <w:spacing w:line="55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6</w:t>
      </w:r>
      <w:r>
        <w:rPr>
          <w:rFonts w:ascii="仿宋_GB2312" w:eastAsia="仿宋_GB2312" w:cs="仿宋_GB2312"/>
          <w:color w:val="000000" w:themeColor="text1"/>
          <w:sz w:val="32"/>
          <w:szCs w:val="32"/>
          <w14:textFill>
            <w14:solidFill>
              <w14:schemeClr w14:val="tx1"/>
            </w14:solidFill>
          </w14:textFill>
        </w:rPr>
        <w:t xml:space="preserve">. </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社会保障和就业（类）行政事业单位养老支出（款） 机关事业单位基本养老保险缴费支出（项）</w:t>
      </w:r>
      <w:r>
        <w:rPr>
          <w:rFonts w:hint="eastAsia" w:ascii="仿宋_GB2312" w:eastAsia="仿宋_GB2312" w:cs="仿宋_GB2312"/>
          <w:color w:val="000000" w:themeColor="text1"/>
          <w:sz w:val="32"/>
          <w:szCs w:val="32"/>
          <w14:textFill>
            <w14:solidFill>
              <w14:schemeClr w14:val="tx1"/>
            </w14:solidFill>
          </w14:textFill>
        </w:rPr>
        <w:t>：指反映部门实施养老保险制度由单位缴纳的养老保险费的支出。</w:t>
      </w:r>
    </w:p>
    <w:p>
      <w:pPr>
        <w:adjustRightInd w:val="0"/>
        <w:spacing w:line="550" w:lineRule="exact"/>
        <w:ind w:firstLine="640" w:firstLineChars="200"/>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7</w:t>
      </w:r>
      <w:r>
        <w:rPr>
          <w:rFonts w:ascii="仿宋_GB2312" w:eastAsia="仿宋_GB2312" w:cs="仿宋_GB2312"/>
          <w:color w:val="000000" w:themeColor="text1"/>
          <w:sz w:val="32"/>
          <w:szCs w:val="32"/>
          <w14:textFill>
            <w14:solidFill>
              <w14:schemeClr w14:val="tx1"/>
            </w14:solidFill>
          </w14:textFill>
        </w:rPr>
        <w:t xml:space="preserve">. </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社会保障和就业（类）行政事业单位养老支出（款） 机关事业单位职业年金缴费支出（项）</w:t>
      </w:r>
      <w:r>
        <w:rPr>
          <w:rFonts w:hint="eastAsia" w:ascii="仿宋_GB2312" w:eastAsia="仿宋_GB2312" w:cs="仿宋_GB2312"/>
          <w:color w:val="000000" w:themeColor="text1"/>
          <w:sz w:val="32"/>
          <w:szCs w:val="32"/>
          <w14:textFill>
            <w14:solidFill>
              <w14:schemeClr w14:val="tx1"/>
            </w14:solidFill>
          </w14:textFill>
        </w:rPr>
        <w:t>：指反映部门实施职业年金制度由单位缴纳的职业年金的支出。</w:t>
      </w:r>
    </w:p>
    <w:p>
      <w:pPr>
        <w:pStyle w:val="7"/>
        <w:spacing w:before="93"/>
        <w:ind w:firstLine="640" w:firstLineChars="200"/>
        <w:rPr>
          <w:rStyle w:val="22"/>
          <w:rFonts w:hAnsi="仿宋_GB2312" w:cs="仿宋_GB2312"/>
          <w:b w:val="0"/>
          <w:bCs/>
          <w:color w:val="000000" w:themeColor="text1"/>
          <w:sz w:val="32"/>
          <w:szCs w:val="32"/>
          <w14:textFill>
            <w14:solidFill>
              <w14:schemeClr w14:val="tx1"/>
            </w14:solidFill>
          </w14:textFill>
        </w:rPr>
      </w:pPr>
      <w:r>
        <w:rPr>
          <w:rStyle w:val="22"/>
          <w:rFonts w:hint="eastAsia" w:hAnsi="仿宋_GB2312" w:cs="仿宋_GB2312"/>
          <w:b w:val="0"/>
          <w:bCs/>
          <w:color w:val="000000" w:themeColor="text1"/>
          <w:sz w:val="32"/>
          <w:szCs w:val="32"/>
          <w14:textFill>
            <w14:solidFill>
              <w14:schemeClr w14:val="tx1"/>
            </w14:solidFill>
          </w14:textFill>
        </w:rPr>
        <w:t>8.</w:t>
      </w:r>
      <w:r>
        <w:rPr>
          <w:rStyle w:val="22"/>
          <w:rFonts w:hint="default" w:hAnsi="仿宋_GB2312" w:cs="仿宋_GB2312"/>
          <w:b w:val="0"/>
          <w:bCs/>
          <w:color w:val="000000" w:themeColor="text1"/>
          <w:sz w:val="32"/>
          <w:szCs w:val="32"/>
          <w:lang w:val="en-US"/>
          <w14:textFill>
            <w14:solidFill>
              <w14:schemeClr w14:val="tx1"/>
            </w14:solidFill>
          </w14:textFill>
        </w:rPr>
        <w:t xml:space="preserve"> </w:t>
      </w:r>
      <w:r>
        <w:rPr>
          <w:rStyle w:val="22"/>
          <w:rFonts w:hint="eastAsia" w:hAnsi="仿宋_GB2312" w:cs="仿宋_GB2312"/>
          <w:b w:val="0"/>
          <w:bCs/>
          <w:color w:val="000000" w:themeColor="text1"/>
          <w:sz w:val="32"/>
          <w:szCs w:val="32"/>
          <w14:textFill>
            <w14:solidFill>
              <w14:schemeClr w14:val="tx1"/>
            </w14:solidFill>
          </w14:textFill>
        </w:rPr>
        <w:t>社会保障和就业（类）退役安置（款）军队转业干部安置（项）：反映军队转业干部教育培训、管理服务、退役金等方面的支出。</w:t>
      </w:r>
    </w:p>
    <w:p>
      <w:pPr>
        <w:pStyle w:val="7"/>
        <w:spacing w:before="93"/>
        <w:ind w:firstLine="640" w:firstLineChars="200"/>
        <w:rPr>
          <w:rStyle w:val="22"/>
          <w:rFonts w:hAnsi="仿宋_GB2312" w:cs="仿宋_GB2312"/>
          <w:b w:val="0"/>
          <w:bCs/>
          <w:color w:val="000000" w:themeColor="text1"/>
          <w:sz w:val="32"/>
          <w:szCs w:val="32"/>
          <w14:textFill>
            <w14:solidFill>
              <w14:schemeClr w14:val="tx1"/>
            </w14:solidFill>
          </w14:textFill>
        </w:rPr>
      </w:pPr>
      <w:r>
        <w:rPr>
          <w:rStyle w:val="22"/>
          <w:rFonts w:hint="eastAsia" w:hAnsi="仿宋_GB2312" w:cs="仿宋_GB2312"/>
          <w:b w:val="0"/>
          <w:bCs/>
          <w:color w:val="000000" w:themeColor="text1"/>
          <w:sz w:val="32"/>
          <w:szCs w:val="32"/>
          <w14:textFill>
            <w14:solidFill>
              <w14:schemeClr w14:val="tx1"/>
            </w14:solidFill>
          </w14:textFill>
        </w:rPr>
        <w:t>9.</w:t>
      </w:r>
      <w:r>
        <w:rPr>
          <w:rStyle w:val="22"/>
          <w:rFonts w:hint="default" w:hAnsi="仿宋_GB2312" w:cs="仿宋_GB2312"/>
          <w:b w:val="0"/>
          <w:bCs/>
          <w:color w:val="000000" w:themeColor="text1"/>
          <w:sz w:val="32"/>
          <w:szCs w:val="32"/>
          <w:lang w:val="en-US"/>
          <w14:textFill>
            <w14:solidFill>
              <w14:schemeClr w14:val="tx1"/>
            </w14:solidFill>
          </w14:textFill>
        </w:rPr>
        <w:t xml:space="preserve"> </w:t>
      </w:r>
      <w:r>
        <w:rPr>
          <w:rStyle w:val="22"/>
          <w:rFonts w:hint="eastAsia" w:hAnsi="仿宋_GB2312" w:cs="仿宋_GB2312"/>
          <w:b w:val="0"/>
          <w:bCs/>
          <w:color w:val="000000" w:themeColor="text1"/>
          <w:sz w:val="32"/>
          <w:szCs w:val="32"/>
          <w14:textFill>
            <w14:solidFill>
              <w14:schemeClr w14:val="tx1"/>
            </w14:solidFill>
          </w14:textFill>
        </w:rPr>
        <w:t>社</w:t>
      </w:r>
      <w:r>
        <w:rPr>
          <w:rStyle w:val="22"/>
          <w:rFonts w:hint="eastAsia" w:hAnsi="仿宋_GB2312" w:cs="仿宋_GB2312"/>
          <w:b w:val="0"/>
          <w:bCs/>
          <w:color w:val="000000" w:themeColor="text1"/>
          <w:spacing w:val="-11"/>
          <w:sz w:val="32"/>
          <w:szCs w:val="32"/>
          <w14:textFill>
            <w14:solidFill>
              <w14:schemeClr w14:val="tx1"/>
            </w14:solidFill>
          </w14:textFill>
        </w:rPr>
        <w:t>会保障和就业（类）其他社会保障和就业支出（款）其他社会保障和就业支出（项）：反映除上述项目以外其他用于社会保障和就业方面的支出。</w:t>
      </w:r>
    </w:p>
    <w:p>
      <w:pPr>
        <w:adjustRightInd w:val="0"/>
        <w:spacing w:line="550" w:lineRule="exact"/>
        <w:ind w:firstLine="640" w:firstLineChars="200"/>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10</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卫生健康支出（类）行政事业单位医疗（款）行政单位医疗（项）：反映行政机关及参公管理事业单位用于缴纳单位基本医疗保险经费支出。</w:t>
      </w:r>
    </w:p>
    <w:p>
      <w:pPr>
        <w:pStyle w:val="19"/>
        <w:adjustRightInd w:val="0"/>
        <w:spacing w:after="0" w:line="550" w:lineRule="exact"/>
        <w:ind w:left="0" w:leftChars="0" w:firstLine="640"/>
        <w:rPr>
          <w:rStyle w:val="22"/>
          <w:rFonts w:hAnsi="仿宋_GB2312" w:eastAsia="仿宋_GB2312" w:cs="仿宋_GB2312"/>
          <w:b w:val="0"/>
          <w:bCs/>
          <w:color w:val="000000" w:themeColor="text1"/>
          <w:sz w:val="32"/>
          <w14:textFill>
            <w14:solidFill>
              <w14:schemeClr w14:val="tx1"/>
            </w14:solidFill>
          </w14:textFill>
        </w:rPr>
      </w:pPr>
      <w:r>
        <w:rPr>
          <w:rStyle w:val="22"/>
          <w:rFonts w:hint="eastAsia" w:hAnsi="仿宋_GB2312" w:eastAsia="仿宋_GB2312" w:cs="仿宋_GB2312"/>
          <w:b w:val="0"/>
          <w:bCs/>
          <w:color w:val="000000" w:themeColor="text1"/>
          <w:sz w:val="32"/>
          <w14:textFill>
            <w14:solidFill>
              <w14:schemeClr w14:val="tx1"/>
            </w14:solidFill>
          </w14:textFill>
        </w:rPr>
        <w:t>11.</w:t>
      </w:r>
      <w:r>
        <w:rPr>
          <w:rStyle w:val="22"/>
          <w:rFonts w:hint="default" w:hAnsi="仿宋_GB2312" w:eastAsia="仿宋_GB2312" w:cs="仿宋_GB2312"/>
          <w:b w:val="0"/>
          <w:bCs/>
          <w:color w:val="000000" w:themeColor="text1"/>
          <w:sz w:val="32"/>
          <w:lang w:val="en-US"/>
          <w14:textFill>
            <w14:solidFill>
              <w14:schemeClr w14:val="tx1"/>
            </w14:solidFill>
          </w14:textFill>
        </w:rPr>
        <w:t xml:space="preserve"> </w:t>
      </w:r>
      <w:r>
        <w:rPr>
          <w:rStyle w:val="22"/>
          <w:rFonts w:hint="eastAsia" w:hAnsi="仿宋_GB2312" w:eastAsia="仿宋_GB2312" w:cs="仿宋_GB2312"/>
          <w:b w:val="0"/>
          <w:bCs/>
          <w:color w:val="000000" w:themeColor="text1"/>
          <w:sz w:val="32"/>
          <w14:textFill>
            <w14:solidFill>
              <w14:schemeClr w14:val="tx1"/>
            </w14:solidFill>
          </w14:textFill>
        </w:rPr>
        <w:t>卫生健康支出（类）医疗救助（款）其他医疗救助支出（项）：指本部门建国初期退休老干部医疗照顾金支出。</w:t>
      </w:r>
    </w:p>
    <w:p>
      <w:pPr>
        <w:pStyle w:val="19"/>
        <w:adjustRightInd w:val="0"/>
        <w:spacing w:after="0" w:line="550" w:lineRule="exact"/>
        <w:ind w:left="0" w:leftChars="0" w:firstLine="640"/>
        <w:rPr>
          <w:rFonts w:eastAsia="仿宋_GB2312"/>
          <w:color w:val="000000" w:themeColor="text1"/>
          <w14:textFill>
            <w14:solidFill>
              <w14:schemeClr w14:val="tx1"/>
            </w14:solidFill>
          </w14:textFill>
        </w:rPr>
      </w:pPr>
      <w:r>
        <w:rPr>
          <w:rStyle w:val="22"/>
          <w:rFonts w:hint="eastAsia" w:hAnsi="仿宋_GB2312" w:eastAsia="仿宋_GB2312" w:cs="仿宋_GB2312"/>
          <w:b w:val="0"/>
          <w:bCs/>
          <w:color w:val="000000" w:themeColor="text1"/>
          <w:sz w:val="32"/>
          <w14:textFill>
            <w14:solidFill>
              <w14:schemeClr w14:val="tx1"/>
            </w14:solidFill>
          </w14:textFill>
        </w:rPr>
        <w:t>12.</w:t>
      </w:r>
      <w:r>
        <w:rPr>
          <w:rStyle w:val="22"/>
          <w:rFonts w:hint="default" w:hAnsi="仿宋_GB2312" w:eastAsia="仿宋_GB2312" w:cs="仿宋_GB2312"/>
          <w:b w:val="0"/>
          <w:bCs/>
          <w:color w:val="000000" w:themeColor="text1"/>
          <w:sz w:val="32"/>
          <w:lang w:val="en-US"/>
          <w14:textFill>
            <w14:solidFill>
              <w14:schemeClr w14:val="tx1"/>
            </w14:solidFill>
          </w14:textFill>
        </w:rPr>
        <w:t xml:space="preserve"> </w:t>
      </w:r>
      <w:r>
        <w:rPr>
          <w:rStyle w:val="22"/>
          <w:rFonts w:hint="eastAsia" w:hAnsi="仿宋_GB2312" w:eastAsia="仿宋_GB2312" w:cs="仿宋_GB2312"/>
          <w:b w:val="0"/>
          <w:bCs/>
          <w:color w:val="000000" w:themeColor="text1"/>
          <w:spacing w:val="-11"/>
          <w:sz w:val="32"/>
          <w14:textFill>
            <w14:solidFill>
              <w14:schemeClr w14:val="tx1"/>
            </w14:solidFill>
          </w14:textFill>
        </w:rPr>
        <w:t>卫生健康支出（类）医疗保障管理事务（款）行政运行（项）：反映行政单位（包括实行公务员管理的事业单位）的基本支出。</w:t>
      </w:r>
    </w:p>
    <w:p>
      <w:pPr>
        <w:adjustRightInd w:val="0"/>
        <w:spacing w:line="550" w:lineRule="exact"/>
        <w:ind w:firstLine="640" w:firstLineChars="200"/>
        <w:rPr>
          <w:rFonts w:ascii="仿宋_GB2312" w:eastAsia="仿宋_GB2312" w:cs="仿宋_GB2312"/>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13. 卫生健康支出（类）医疗保障管理事务（款）一般行政管理事务（项）：指本部门未单独设置项级科目的其他支出。</w:t>
      </w:r>
    </w:p>
    <w:p>
      <w:pPr>
        <w:pStyle w:val="19"/>
        <w:adjustRightInd w:val="0"/>
        <w:spacing w:after="0" w:line="550" w:lineRule="exact"/>
        <w:ind w:left="0" w:leftChars="0" w:firstLine="640"/>
        <w:rPr>
          <w:rStyle w:val="22"/>
          <w:rFonts w:hAnsi="仿宋_GB2312" w:eastAsia="仿宋_GB2312" w:cs="仿宋_GB2312"/>
          <w:b w:val="0"/>
          <w:bCs/>
          <w:color w:val="000000" w:themeColor="text1"/>
          <w:sz w:val="32"/>
          <w14:textFill>
            <w14:solidFill>
              <w14:schemeClr w14:val="tx1"/>
            </w14:solidFill>
          </w14:textFill>
        </w:rPr>
      </w:pPr>
      <w:r>
        <w:rPr>
          <w:rStyle w:val="22"/>
          <w:rFonts w:hint="eastAsia" w:hAnsi="仿宋_GB2312" w:eastAsia="仿宋_GB2312" w:cs="仿宋_GB2312"/>
          <w:b w:val="0"/>
          <w:bCs/>
          <w:color w:val="000000" w:themeColor="text1"/>
          <w:sz w:val="32"/>
          <w14:textFill>
            <w14:solidFill>
              <w14:schemeClr w14:val="tx1"/>
            </w14:solidFill>
          </w14:textFill>
        </w:rPr>
        <w:t>14. 卫生健康支出（类）医疗保障管理事务（款）信息化建设（项）：反映本部门用于信息化建设、开发、运行维护和数据分析等方面的支出。</w:t>
      </w:r>
    </w:p>
    <w:p>
      <w:pPr>
        <w:pStyle w:val="8"/>
        <w:adjustRightInd w:val="0"/>
        <w:spacing w:after="0" w:line="576" w:lineRule="exact"/>
        <w:ind w:leftChars="0" w:firstLine="640" w:firstLineChars="200"/>
        <w:rPr>
          <w:rStyle w:val="22"/>
          <w:rFonts w:hAnsi="仿宋_GB2312" w:eastAsia="仿宋_GB2312" w:cs="仿宋_GB2312"/>
          <w:b w:val="0"/>
          <w:bCs/>
          <w:color w:val="000000" w:themeColor="text1"/>
          <w:sz w:val="32"/>
          <w14:textFill>
            <w14:solidFill>
              <w14:schemeClr w14:val="tx1"/>
            </w14:solidFill>
          </w14:textFill>
        </w:rPr>
      </w:pPr>
      <w:r>
        <w:rPr>
          <w:rStyle w:val="22"/>
          <w:rFonts w:hint="eastAsia" w:hAnsi="仿宋_GB2312" w:eastAsia="仿宋_GB2312" w:cs="仿宋_GB2312"/>
          <w:b w:val="0"/>
          <w:bCs/>
          <w:color w:val="000000" w:themeColor="text1"/>
          <w:sz w:val="32"/>
          <w14:textFill>
            <w14:solidFill>
              <w14:schemeClr w14:val="tx1"/>
            </w14:solidFill>
          </w14:textFill>
        </w:rPr>
        <w:t>15. 卫生健康支出（类）医疗保障管理事务（款）医疗保障政策管理（项）：反映医疗保障待遇管理、医药服务管理、医药价格和招标采购管理、医疗保障基金监管等支出。</w:t>
      </w:r>
    </w:p>
    <w:p>
      <w:pPr>
        <w:pStyle w:val="8"/>
        <w:adjustRightInd w:val="0"/>
        <w:spacing w:after="0" w:line="576" w:lineRule="exact"/>
        <w:ind w:leftChars="0" w:firstLine="640" w:firstLineChars="200"/>
        <w:rPr>
          <w:rStyle w:val="22"/>
          <w:rFonts w:hAnsi="仿宋_GB2312" w:eastAsia="仿宋_GB2312" w:cs="仿宋_GB2312"/>
          <w:b w:val="0"/>
          <w:bCs/>
          <w:color w:val="000000" w:themeColor="text1"/>
          <w:sz w:val="32"/>
          <w14:textFill>
            <w14:solidFill>
              <w14:schemeClr w14:val="tx1"/>
            </w14:solidFill>
          </w14:textFill>
        </w:rPr>
      </w:pPr>
      <w:r>
        <w:rPr>
          <w:rStyle w:val="22"/>
          <w:rFonts w:hint="eastAsia" w:hAnsi="仿宋_GB2312" w:eastAsia="仿宋_GB2312" w:cs="仿宋_GB2312"/>
          <w:b w:val="0"/>
          <w:bCs/>
          <w:color w:val="000000" w:themeColor="text1"/>
          <w:sz w:val="32"/>
          <w14:textFill>
            <w14:solidFill>
              <w14:schemeClr w14:val="tx1"/>
            </w14:solidFill>
          </w14:textFill>
        </w:rPr>
        <w:t>16. 卫生健康支出（类）医疗保障管理事务（款）医疗保障经办事务（项）：反映医保基金核算、精算、参保登记、权益记录、转移接续等医疗保障经办支出。</w:t>
      </w:r>
    </w:p>
    <w:p>
      <w:pPr>
        <w:pStyle w:val="8"/>
        <w:adjustRightInd w:val="0"/>
        <w:spacing w:after="0" w:line="576" w:lineRule="exact"/>
        <w:ind w:leftChars="0" w:firstLine="640" w:firstLineChars="200"/>
        <w:rPr>
          <w:rStyle w:val="22"/>
          <w:rFonts w:hAnsi="仿宋_GB2312" w:eastAsia="仿宋_GB2312" w:cs="仿宋_GB2312"/>
          <w:b w:val="0"/>
          <w:bCs/>
          <w:color w:val="000000" w:themeColor="text1"/>
          <w:sz w:val="32"/>
          <w14:textFill>
            <w14:solidFill>
              <w14:schemeClr w14:val="tx1"/>
            </w14:solidFill>
          </w14:textFill>
        </w:rPr>
      </w:pPr>
      <w:r>
        <w:rPr>
          <w:rStyle w:val="22"/>
          <w:rFonts w:hint="eastAsia" w:hAnsi="仿宋_GB2312" w:eastAsia="仿宋_GB2312" w:cs="仿宋_GB2312"/>
          <w:b w:val="0"/>
          <w:bCs/>
          <w:color w:val="000000" w:themeColor="text1"/>
          <w:sz w:val="32"/>
          <w14:textFill>
            <w14:solidFill>
              <w14:schemeClr w14:val="tx1"/>
            </w14:solidFill>
          </w14:textFill>
        </w:rPr>
        <w:t>17. 卫生健康支出（类）医疗保障管理事务（款）事业运行（项）：反映事业单位的基本支出。</w:t>
      </w:r>
    </w:p>
    <w:p>
      <w:pPr>
        <w:adjustRightInd w:val="0"/>
        <w:spacing w:line="550" w:lineRule="exact"/>
        <w:ind w:firstLine="640" w:firstLineChars="200"/>
        <w:rPr>
          <w:rStyle w:val="22"/>
          <w:rFonts w:hAnsi="仿宋_GB2312" w:eastAsia="仿宋_GB2312" w:cs="仿宋_GB2312"/>
          <w:b w:val="0"/>
          <w:bCs/>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18</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卫生健康支出（类）医疗保障管理事务（款）其他医疗保障管理事务支出</w:t>
      </w:r>
      <w:r>
        <w:rPr>
          <w:rFonts w:hint="eastAsia" w:ascii="仿宋_GB2312" w:eastAsia="仿宋_GB2312"/>
          <w:color w:val="000000" w:themeColor="text1"/>
          <w:sz w:val="32"/>
          <w:szCs w:val="32"/>
          <w14:textFill>
            <w14:solidFill>
              <w14:schemeClr w14:val="tx1"/>
            </w14:solidFill>
          </w14:textFill>
        </w:rPr>
        <w:t>（项）：</w:t>
      </w:r>
      <w:r>
        <w:rPr>
          <w:rFonts w:hint="eastAsia" w:ascii="仿宋_GB2312" w:eastAsia="仿宋_GB2312" w:cs="仿宋_GB2312"/>
          <w:color w:val="000000" w:themeColor="text1"/>
          <w:sz w:val="32"/>
          <w:szCs w:val="32"/>
          <w14:textFill>
            <w14:solidFill>
              <w14:schemeClr w14:val="tx1"/>
            </w14:solidFill>
          </w14:textFill>
        </w:rPr>
        <w:t>反映除上述项目以外的其他用于医疗保障管理事务方面的支出。</w:t>
      </w:r>
    </w:p>
    <w:p>
      <w:pPr>
        <w:pStyle w:val="8"/>
        <w:adjustRightInd w:val="0"/>
        <w:spacing w:after="0" w:line="550" w:lineRule="exact"/>
        <w:ind w:leftChars="0" w:firstLine="640" w:firstLineChars="200"/>
        <w:rPr>
          <w:rStyle w:val="22"/>
          <w:rFonts w:hAnsi="仿宋_GB2312" w:eastAsia="仿宋_GB2312" w:cs="仿宋_GB2312"/>
          <w:b w:val="0"/>
          <w:bCs/>
          <w:color w:val="000000" w:themeColor="text1"/>
          <w:sz w:val="32"/>
          <w14:textFill>
            <w14:solidFill>
              <w14:schemeClr w14:val="tx1"/>
            </w14:solidFill>
          </w14:textFill>
        </w:rPr>
      </w:pPr>
      <w:r>
        <w:rPr>
          <w:rStyle w:val="22"/>
          <w:rFonts w:hint="eastAsia" w:hAnsi="仿宋_GB2312" w:eastAsia="仿宋_GB2312" w:cs="仿宋_GB2312"/>
          <w:b w:val="0"/>
          <w:bCs/>
          <w:color w:val="000000" w:themeColor="text1"/>
          <w:sz w:val="32"/>
          <w14:textFill>
            <w14:solidFill>
              <w14:schemeClr w14:val="tx1"/>
            </w14:solidFill>
          </w14:textFill>
        </w:rPr>
        <w:t>19.</w:t>
      </w:r>
      <w:r>
        <w:rPr>
          <w:rStyle w:val="22"/>
          <w:rFonts w:hAnsi="仿宋_GB2312" w:eastAsia="仿宋_GB2312" w:cs="仿宋_GB2312"/>
          <w:b w:val="0"/>
          <w:bCs/>
          <w:color w:val="000000" w:themeColor="text1"/>
          <w:sz w:val="32"/>
          <w14:textFill>
            <w14:solidFill>
              <w14:schemeClr w14:val="tx1"/>
            </w14:solidFill>
          </w14:textFill>
        </w:rPr>
        <w:t xml:space="preserve"> </w:t>
      </w:r>
      <w:r>
        <w:rPr>
          <w:rStyle w:val="22"/>
          <w:rFonts w:hint="eastAsia" w:hAnsi="仿宋_GB2312" w:eastAsia="仿宋_GB2312" w:cs="仿宋_GB2312"/>
          <w:b w:val="0"/>
          <w:bCs/>
          <w:color w:val="000000" w:themeColor="text1"/>
          <w:sz w:val="32"/>
          <w14:textFill>
            <w14:solidFill>
              <w14:schemeClr w14:val="tx1"/>
            </w14:solidFill>
          </w14:textFill>
        </w:rPr>
        <w:t>住房保障支出（类）住房改革支出（款）住房公积金（项）：反映行政事业单位按人力资源和社会保障部、财政部规定的基本工资和津贴补贴以及规定比例为职工缴纳的住房公积金。</w:t>
      </w:r>
    </w:p>
    <w:p>
      <w:pPr>
        <w:adjustRightInd w:val="0"/>
        <w:spacing w:line="55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20</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基本支出：指为保障机构正常运转、完成日常工作任务而发生的人员支出和公用支出。</w:t>
      </w:r>
    </w:p>
    <w:p>
      <w:pPr>
        <w:adjustRightInd w:val="0"/>
        <w:spacing w:line="55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21</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项目支出：指在基本支出之外为完成特定行政任务和事业发展目标所发生的支出。</w:t>
      </w:r>
    </w:p>
    <w:p>
      <w:pPr>
        <w:pStyle w:val="36"/>
        <w:spacing w:line="550" w:lineRule="exact"/>
        <w:ind w:firstLine="640" w:firstLineChars="200"/>
        <w:jc w:val="both"/>
        <w:rPr>
          <w:rFonts w:ascii="仿宋_GB2312" w:eastAsia="仿宋_GB2312" w:cs="Times New Roman"/>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22</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6"/>
        <w:spacing w:line="550" w:lineRule="exact"/>
        <w:ind w:firstLine="640" w:firstLineChars="20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23</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53" w:name="_Toc15396614"/>
      <w:bookmarkStart w:id="54" w:name="_Toc15377226"/>
    </w:p>
    <w:p>
      <w:pPr>
        <w:rPr>
          <w:rFonts w:hint="eastAsia" w:ascii="黑体" w:hAnsi="黑体" w:eastAsia="黑体"/>
          <w:color w:val="000000" w:themeColor="text1"/>
          <w:sz w:val="44"/>
          <w:szCs w:val="44"/>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br w:type="page"/>
      </w:r>
    </w:p>
    <w:p>
      <w:pPr>
        <w:spacing w:line="600" w:lineRule="exact"/>
        <w:jc w:val="center"/>
        <w:outlineLvl w:val="0"/>
        <w:rPr>
          <w:rStyle w:val="25"/>
          <w:rFonts w:ascii="黑体" w:hAnsi="黑体" w:eastAsia="黑体"/>
          <w:b w:val="0"/>
          <w:color w:val="000000" w:themeColor="text1"/>
          <w14:textFill>
            <w14:solidFill>
              <w14:schemeClr w14:val="tx1"/>
            </w14:solidFill>
          </w14:textFill>
        </w:rPr>
      </w:pPr>
      <w:r>
        <w:rPr>
          <w:rFonts w:hint="eastAsia" w:ascii="黑体" w:hAnsi="黑体" w:eastAsia="黑体"/>
          <w:color w:val="000000" w:themeColor="text1"/>
          <w:sz w:val="44"/>
          <w:szCs w:val="44"/>
          <w14:textFill>
            <w14:solidFill>
              <w14:schemeClr w14:val="tx1"/>
            </w14:solidFill>
          </w14:textFill>
        </w:rPr>
        <w:t>第</w:t>
      </w:r>
      <w:r>
        <w:rPr>
          <w:rStyle w:val="25"/>
          <w:rFonts w:hint="eastAsia" w:ascii="黑体" w:hAnsi="黑体" w:eastAsia="黑体"/>
          <w:b w:val="0"/>
          <w:color w:val="000000" w:themeColor="text1"/>
          <w14:textFill>
            <w14:solidFill>
              <w14:schemeClr w14:val="tx1"/>
            </w14:solidFill>
          </w14:textFill>
        </w:rPr>
        <w:t>四部分</w:t>
      </w:r>
      <w:r>
        <w:rPr>
          <w:rStyle w:val="25"/>
          <w:rFonts w:ascii="黑体" w:hAnsi="黑体" w:eastAsia="黑体"/>
          <w:b w:val="0"/>
          <w:color w:val="000000" w:themeColor="text1"/>
          <w14:textFill>
            <w14:solidFill>
              <w14:schemeClr w14:val="tx1"/>
            </w14:solidFill>
          </w14:textFill>
        </w:rPr>
        <w:t xml:space="preserve">   </w:t>
      </w:r>
      <w:r>
        <w:rPr>
          <w:rStyle w:val="25"/>
          <w:rFonts w:hint="eastAsia" w:ascii="黑体" w:hAnsi="黑体" w:eastAsia="黑体"/>
          <w:b w:val="0"/>
          <w:color w:val="000000" w:themeColor="text1"/>
          <w14:textFill>
            <w14:solidFill>
              <w14:schemeClr w14:val="tx1"/>
            </w14:solidFill>
          </w14:textFill>
        </w:rPr>
        <w:t>附</w:t>
      </w:r>
      <w:r>
        <w:rPr>
          <w:rStyle w:val="25"/>
          <w:rFonts w:ascii="黑体" w:hAnsi="黑体" w:eastAsia="黑体"/>
          <w:b w:val="0"/>
          <w:color w:val="000000" w:themeColor="text1"/>
          <w14:textFill>
            <w14:solidFill>
              <w14:schemeClr w14:val="tx1"/>
            </w14:solidFill>
          </w14:textFill>
        </w:rPr>
        <w:t xml:space="preserve">  </w:t>
      </w:r>
      <w:r>
        <w:rPr>
          <w:rStyle w:val="25"/>
          <w:rFonts w:hint="eastAsia" w:ascii="黑体" w:hAnsi="黑体" w:eastAsia="黑体"/>
          <w:b w:val="0"/>
          <w:color w:val="000000" w:themeColor="text1"/>
          <w14:textFill>
            <w14:solidFill>
              <w14:schemeClr w14:val="tx1"/>
            </w14:solidFill>
          </w14:textFill>
        </w:rPr>
        <w:t>件</w:t>
      </w:r>
      <w:bookmarkEnd w:id="53"/>
    </w:p>
    <w:p>
      <w:pPr>
        <w:spacing w:line="576" w:lineRule="exact"/>
        <w:textAlignment w:val="baseline"/>
        <w:rPr>
          <w:rStyle w:val="42"/>
          <w:rFonts w:ascii="黑体" w:hAnsi="黑体" w:eastAsia="黑体"/>
          <w:color w:val="000000" w:themeColor="text1"/>
          <w:sz w:val="32"/>
          <w:szCs w:val="32"/>
          <w14:textFill>
            <w14:solidFill>
              <w14:schemeClr w14:val="tx1"/>
            </w14:solidFill>
          </w14:textFill>
        </w:rPr>
      </w:pPr>
      <w:bookmarkStart w:id="55" w:name="_Toc15396618"/>
      <w:r>
        <w:rPr>
          <w:rStyle w:val="42"/>
          <w:rFonts w:hint="eastAsia" w:ascii="黑体" w:hAnsi="黑体" w:eastAsia="黑体"/>
          <w:color w:val="000000" w:themeColor="text1"/>
          <w:sz w:val="32"/>
          <w:szCs w:val="32"/>
          <w14:textFill>
            <w14:solidFill>
              <w14:schemeClr w14:val="tx1"/>
            </w14:solidFill>
          </w14:textFill>
        </w:rPr>
        <w:t>附件1</w:t>
      </w:r>
    </w:p>
    <w:p>
      <w:pPr>
        <w:pStyle w:val="28"/>
        <w:spacing w:after="0" w:line="300" w:lineRule="exact"/>
        <w:rPr>
          <w:color w:val="000000" w:themeColor="text1"/>
          <w14:textFill>
            <w14:solidFill>
              <w14:schemeClr w14:val="tx1"/>
            </w14:solidFill>
          </w14:textFill>
        </w:rPr>
      </w:pPr>
    </w:p>
    <w:p>
      <w:pPr>
        <w:spacing w:line="640" w:lineRule="exact"/>
        <w:jc w:val="center"/>
        <w:textAlignment w:val="baseline"/>
        <w:rPr>
          <w:rStyle w:val="42"/>
          <w:rFonts w:ascii="方正小标宋简体" w:eastAsia="方正小标宋简体"/>
          <w:color w:val="000000" w:themeColor="text1"/>
          <w:sz w:val="44"/>
          <w:szCs w:val="44"/>
          <w14:textFill>
            <w14:solidFill>
              <w14:schemeClr w14:val="tx1"/>
            </w14:solidFill>
          </w14:textFill>
        </w:rPr>
      </w:pPr>
      <w:r>
        <w:rPr>
          <w:rStyle w:val="42"/>
          <w:rFonts w:ascii="方正小标宋简体" w:eastAsia="方正小标宋简体"/>
          <w:color w:val="000000" w:themeColor="text1"/>
          <w:sz w:val="44"/>
          <w:szCs w:val="44"/>
          <w14:textFill>
            <w14:solidFill>
              <w14:schemeClr w14:val="tx1"/>
            </w14:solidFill>
          </w14:textFill>
        </w:rPr>
        <w:t>2023年广元市医疗保障局整体支出</w:t>
      </w:r>
    </w:p>
    <w:p>
      <w:pPr>
        <w:spacing w:line="640" w:lineRule="exact"/>
        <w:jc w:val="center"/>
        <w:textAlignment w:val="baseline"/>
        <w:rPr>
          <w:rStyle w:val="42"/>
          <w:rFonts w:ascii="方正小标宋简体" w:eastAsia="方正小标宋简体"/>
          <w:color w:val="000000" w:themeColor="text1"/>
          <w:sz w:val="44"/>
          <w:szCs w:val="44"/>
          <w14:textFill>
            <w14:solidFill>
              <w14:schemeClr w14:val="tx1"/>
            </w14:solidFill>
          </w14:textFill>
        </w:rPr>
      </w:pPr>
      <w:r>
        <w:rPr>
          <w:rStyle w:val="42"/>
          <w:rFonts w:ascii="方正小标宋简体" w:eastAsia="方正小标宋简体"/>
          <w:color w:val="000000" w:themeColor="text1"/>
          <w:sz w:val="44"/>
          <w:szCs w:val="44"/>
          <w14:textFill>
            <w14:solidFill>
              <w14:schemeClr w14:val="tx1"/>
            </w14:solidFill>
          </w14:textFill>
        </w:rPr>
        <w:t>绩效</w:t>
      </w:r>
      <w:r>
        <w:rPr>
          <w:rStyle w:val="42"/>
          <w:rFonts w:hint="eastAsia" w:ascii="方正小标宋简体" w:eastAsia="方正小标宋简体"/>
          <w:color w:val="000000" w:themeColor="text1"/>
          <w:sz w:val="44"/>
          <w:szCs w:val="44"/>
          <w14:textFill>
            <w14:solidFill>
              <w14:schemeClr w14:val="tx1"/>
            </w14:solidFill>
          </w14:textFill>
        </w:rPr>
        <w:t>自评</w:t>
      </w:r>
      <w:r>
        <w:rPr>
          <w:rStyle w:val="42"/>
          <w:rFonts w:ascii="方正小标宋简体" w:eastAsia="方正小标宋简体"/>
          <w:color w:val="000000" w:themeColor="text1"/>
          <w:sz w:val="44"/>
          <w:szCs w:val="44"/>
          <w14:textFill>
            <w14:solidFill>
              <w14:schemeClr w14:val="tx1"/>
            </w14:solidFill>
          </w14:textFill>
        </w:rPr>
        <w:t>报告</w:t>
      </w:r>
    </w:p>
    <w:p>
      <w:pPr>
        <w:pStyle w:val="28"/>
        <w:spacing w:after="0" w:line="400" w:lineRule="exact"/>
        <w:rPr>
          <w:rStyle w:val="42"/>
          <w:rFonts w:ascii="仿宋_GB2312" w:eastAsia="仿宋_GB2312"/>
          <w:color w:val="000000" w:themeColor="text1"/>
          <w:sz w:val="32"/>
          <w:szCs w:val="32"/>
          <w14:textFill>
            <w14:solidFill>
              <w14:schemeClr w14:val="tx1"/>
            </w14:solidFill>
          </w14:textFill>
        </w:rPr>
      </w:pPr>
    </w:p>
    <w:p>
      <w:pPr>
        <w:adjustRightInd w:val="0"/>
        <w:snapToGrid w:val="0"/>
        <w:spacing w:line="562" w:lineRule="exact"/>
        <w:ind w:firstLine="640" w:firstLineChars="200"/>
        <w:textAlignment w:val="baseline"/>
        <w:rPr>
          <w:rStyle w:val="42"/>
          <w:rFonts w:ascii="黑体" w:hAnsi="黑体" w:eastAsia="黑体"/>
          <w:color w:val="000000" w:themeColor="text1"/>
          <w:sz w:val="32"/>
          <w:szCs w:val="32"/>
          <w14:textFill>
            <w14:solidFill>
              <w14:schemeClr w14:val="tx1"/>
            </w14:solidFill>
          </w14:textFill>
        </w:rPr>
      </w:pPr>
      <w:r>
        <w:rPr>
          <w:rStyle w:val="42"/>
          <w:rFonts w:ascii="黑体" w:hAnsi="黑体" w:eastAsia="黑体"/>
          <w:color w:val="000000" w:themeColor="text1"/>
          <w:sz w:val="32"/>
          <w:szCs w:val="32"/>
          <w14:textFill>
            <w14:solidFill>
              <w14:schemeClr w14:val="tx1"/>
            </w14:solidFill>
          </w14:textFill>
        </w:rPr>
        <w:t>一、部门（单位）概况</w:t>
      </w:r>
    </w:p>
    <w:p>
      <w:pPr>
        <w:adjustRightInd w:val="0"/>
        <w:snapToGrid w:val="0"/>
        <w:spacing w:line="562" w:lineRule="exact"/>
        <w:ind w:firstLine="640" w:firstLineChars="200"/>
        <w:textAlignment w:val="baseline"/>
        <w:rPr>
          <w:rStyle w:val="42"/>
          <w:rFonts w:ascii="方正楷体简体" w:eastAsia="方正楷体简体"/>
          <w:color w:val="000000" w:themeColor="text1"/>
          <w:sz w:val="32"/>
          <w:szCs w:val="32"/>
          <w14:textFill>
            <w14:solidFill>
              <w14:schemeClr w14:val="tx1"/>
            </w14:solidFill>
          </w14:textFill>
        </w:rPr>
      </w:pPr>
      <w:r>
        <w:rPr>
          <w:rStyle w:val="42"/>
          <w:rFonts w:ascii="方正楷体简体" w:eastAsia="方正楷体简体"/>
          <w:color w:val="000000" w:themeColor="text1"/>
          <w:sz w:val="32"/>
          <w:szCs w:val="32"/>
          <w14:textFill>
            <w14:solidFill>
              <w14:schemeClr w14:val="tx1"/>
            </w14:solidFill>
          </w14:textFill>
        </w:rPr>
        <w:t>（一）机构组成</w:t>
      </w:r>
    </w:p>
    <w:p>
      <w:pPr>
        <w:adjustRightInd w:val="0"/>
        <w:snapToGrid w:val="0"/>
        <w:spacing w:line="562" w:lineRule="exact"/>
        <w:ind w:firstLine="616" w:firstLineChars="200"/>
        <w:textAlignment w:val="baseline"/>
        <w:rPr>
          <w:rStyle w:val="42"/>
          <w:rFonts w:ascii="仿宋_GB2312" w:eastAsia="仿宋_GB2312"/>
          <w:color w:val="000000" w:themeColor="text1"/>
          <w:spacing w:val="-6"/>
          <w:sz w:val="32"/>
          <w:szCs w:val="32"/>
          <w14:textFill>
            <w14:solidFill>
              <w14:schemeClr w14:val="tx1"/>
            </w14:solidFill>
          </w14:textFill>
        </w:rPr>
      </w:pPr>
      <w:r>
        <w:rPr>
          <w:rStyle w:val="42"/>
          <w:rFonts w:ascii="仿宋_GB2312" w:eastAsia="仿宋_GB2312"/>
          <w:color w:val="000000" w:themeColor="text1"/>
          <w:spacing w:val="-6"/>
          <w:sz w:val="32"/>
          <w:szCs w:val="32"/>
          <w14:textFill>
            <w14:solidFill>
              <w14:schemeClr w14:val="tx1"/>
            </w14:solidFill>
          </w14:textFill>
        </w:rPr>
        <w:t>广元市医疗保障局下属二级单位2个，其中参照公务员法管理的事业单位1个，其他事业单位1个，均为非独立预算二级单位。广元市医疗保障局部门预算包括：局机关预算、局属参公事业单位广元市医疗保障事务中心预算、局属事业单位市医保信息中心预算。</w:t>
      </w:r>
    </w:p>
    <w:p>
      <w:pPr>
        <w:adjustRightInd w:val="0"/>
        <w:snapToGrid w:val="0"/>
        <w:spacing w:line="562" w:lineRule="exact"/>
        <w:ind w:firstLine="640" w:firstLineChars="200"/>
        <w:textAlignment w:val="baseline"/>
        <w:rPr>
          <w:rStyle w:val="42"/>
          <w:rFonts w:ascii="方正楷体简体" w:eastAsia="方正楷体简体"/>
          <w:color w:val="000000" w:themeColor="text1"/>
          <w:sz w:val="32"/>
          <w:szCs w:val="32"/>
          <w14:textFill>
            <w14:solidFill>
              <w14:schemeClr w14:val="tx1"/>
            </w14:solidFill>
          </w14:textFill>
        </w:rPr>
      </w:pPr>
      <w:r>
        <w:rPr>
          <w:rStyle w:val="42"/>
          <w:rFonts w:ascii="方正楷体简体" w:eastAsia="方正楷体简体"/>
          <w:color w:val="000000" w:themeColor="text1"/>
          <w:sz w:val="32"/>
          <w:szCs w:val="32"/>
          <w14:textFill>
            <w14:solidFill>
              <w14:schemeClr w14:val="tx1"/>
            </w14:solidFill>
          </w14:textFill>
        </w:rPr>
        <w:t>（二）机构职能</w:t>
      </w:r>
    </w:p>
    <w:p>
      <w:pPr>
        <w:adjustRightInd w:val="0"/>
        <w:snapToGrid w:val="0"/>
        <w:spacing w:line="562"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1. 负责贯彻执行国家、省、市有关医疗保险、生育保险、医疗救助、长期护理保险等医疗保障政策制度。</w:t>
      </w:r>
    </w:p>
    <w:p>
      <w:pPr>
        <w:adjustRightInd w:val="0"/>
        <w:snapToGrid w:val="0"/>
        <w:spacing w:line="562"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2. 组织起草有关地方性法规和规章草案。负责拟订全市医疗保障事业发展规划、政策和标准，并组织实施和监督检查。</w:t>
      </w:r>
    </w:p>
    <w:p>
      <w:pPr>
        <w:adjustRightInd w:val="0"/>
        <w:snapToGrid w:val="0"/>
        <w:spacing w:line="562"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 xml:space="preserve">3. </w:t>
      </w:r>
      <w:r>
        <w:rPr>
          <w:rStyle w:val="42"/>
          <w:rFonts w:ascii="仿宋_GB2312" w:eastAsia="仿宋_GB2312"/>
          <w:color w:val="000000" w:themeColor="text1"/>
          <w:spacing w:val="-6"/>
          <w:sz w:val="32"/>
          <w:szCs w:val="32"/>
          <w14:textFill>
            <w14:solidFill>
              <w14:schemeClr w14:val="tx1"/>
            </w14:solidFill>
          </w14:textFill>
        </w:rPr>
        <w:t>组织拟订并实施医疗保障基金监督管理制度，建立健全医疗保障基金安全防控机制，监督强化全市医疗保障基金运行管理。</w:t>
      </w:r>
    </w:p>
    <w:p>
      <w:pPr>
        <w:adjustRightInd w:val="0"/>
        <w:snapToGrid w:val="0"/>
        <w:spacing w:line="562"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4. 组织拟订医疗保障筹资和待遇政策，负责医疗保障基金归集，拟订医疗保障基金年度收支计划，按政策和标准支付医疗待遇；完善动态调整和区域调剂平衡机制，统筹城乡医疗保障待遇标准，建立健全与筹资水平相适应的待遇调整机制。</w:t>
      </w:r>
    </w:p>
    <w:p>
      <w:pPr>
        <w:adjustRightInd w:val="0"/>
        <w:snapToGrid w:val="0"/>
        <w:spacing w:line="576" w:lineRule="exact"/>
        <w:ind w:firstLine="640" w:firstLineChars="200"/>
        <w:textAlignment w:val="baseline"/>
        <w:rPr>
          <w:rStyle w:val="42"/>
          <w:rFonts w:ascii="仿宋_GB2312" w:eastAsia="仿宋_GB2312"/>
          <w:color w:val="000000" w:themeColor="text1"/>
          <w:spacing w:val="6"/>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 xml:space="preserve">5. </w:t>
      </w:r>
      <w:r>
        <w:rPr>
          <w:rStyle w:val="42"/>
          <w:rFonts w:ascii="仿宋_GB2312" w:eastAsia="仿宋_GB2312"/>
          <w:color w:val="000000" w:themeColor="text1"/>
          <w:spacing w:val="6"/>
          <w:sz w:val="32"/>
          <w:szCs w:val="32"/>
          <w14:textFill>
            <w14:solidFill>
              <w14:schemeClr w14:val="tx1"/>
            </w14:solidFill>
          </w14:textFill>
        </w:rPr>
        <w:t>贯彻执行上级药品目录、医用耗材、医疗服务项目、医疗服务设施等医疗保障目录和支付标准政策。拟订全市药品目录、医用耗材、医疗服务项目、医疗服务设施等医疗保障目录和支付标准政策。拟订全市有关医保目录准入谈判规则并组织实施。</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6. 贯彻执行上级药品、医用耗材价格和医疗服务项目、医疗服务设施收费等政策，负责拟订全市医用耗材价格和医疗服务项目、医疗服务设施收费等政策。建立医保支付医药服务价格合理确定和动态调整机制。推动建立市场主导的社会医药服务价格形成机制，建立价格信息监测和信息发布制度。</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7. 贯彻执行上级药品、医用耗材的招标采购政策并监督实施。负责全市药品、医用耗材招标采购平台建设。组织实施大病保险招标准入和业务指导。</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8. 推进医疗保障基金支付方式改革，拟订全市定点医药机构协议和支付管理办法并组织实施。负责全市医疗保障定点机构管理和考核工作。</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9. 建立健全医疗保障信用评价体系和信息披露制度。推进协议服务机构标准化建设，建立协议服务机构准入和退出机制。监督管理纳入医保范围内的医疗服务行为和医疗费用，依法查处医疗保障领域违法违规行为。</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10. 负责全市医疗保障经办管理、公共服务体系建设。组织拟订和完善异地就医管理和费用结算政策。建立健全医疗保障关系转移接续制度。监督管理全市医保经办服务工作，开展医疗保障领域对外合作交流。</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11. 负责推进实施全市医疗保障信息化建设，组织开展医疗保障大数据管理和应用。</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12. 负责职责范围内的安全生产和职业健康、生态环境保护、审批服务便民化等工作。</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13. 完成市委和市政府交办的其他任务。</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14. 职能转变。完善统一的城乡居民基本医疗保险制度和大病保险制度，不断提高医疗保障水平，建立健全覆盖全民、城乡统筹的多层次医疗保障体系，确保医保资金合理使用、安全可控，推进医疗、医保、医药“三医联动”改革，更好保障人民群众就医需求、减轻医药费用负担。</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15. 有关职责分工。市卫生健康委员会、市医疗保障局和市市场监督管理局等部门在医疗、医保、医药等方面加强制度、政策衔接，建立沟通协商机制，协同推进改革，提高医疗资源使用效率和医疗保障水平。</w:t>
      </w:r>
    </w:p>
    <w:p>
      <w:pPr>
        <w:pStyle w:val="13"/>
        <w:widowControl w:val="0"/>
        <w:adjustRightInd w:val="0"/>
        <w:snapToGrid w:val="0"/>
        <w:spacing w:before="0" w:beforeAutospacing="0" w:after="0" w:afterAutospacing="0" w:line="576" w:lineRule="exact"/>
        <w:ind w:firstLine="640" w:firstLineChars="200"/>
        <w:jc w:val="both"/>
        <w:rPr>
          <w:rFonts w:ascii="仿宋_GB2312" w:eastAsia="仿宋_GB2312"/>
          <w:color w:val="000000" w:themeColor="text1"/>
          <w:sz w:val="32"/>
          <w:szCs w:val="32"/>
          <w:shd w:val="clear" w:color="auto" w:fill="FFFFFF"/>
          <w14:textFill>
            <w14:solidFill>
              <w14:schemeClr w14:val="tx1"/>
            </w14:solidFill>
          </w14:textFill>
        </w:rPr>
      </w:pPr>
      <w:r>
        <w:rPr>
          <w:rStyle w:val="42"/>
          <w:rFonts w:ascii="方正楷体简体" w:hAnsi="Times New Roman" w:eastAsia="方正楷体简体" w:cs="Times New Roman"/>
          <w:color w:val="000000" w:themeColor="text1"/>
          <w:sz w:val="32"/>
          <w:szCs w:val="32"/>
          <w:lang w:val="zh-CN"/>
          <w14:textFill>
            <w14:solidFill>
              <w14:schemeClr w14:val="tx1"/>
            </w14:solidFill>
          </w14:textFill>
        </w:rPr>
        <w:t>（</w:t>
      </w:r>
      <w:r>
        <w:rPr>
          <w:rStyle w:val="42"/>
          <w:rFonts w:hint="eastAsia" w:ascii="方正楷体简体" w:hAnsi="Times New Roman" w:eastAsia="方正楷体简体" w:cs="Times New Roman"/>
          <w:color w:val="000000" w:themeColor="text1"/>
          <w:sz w:val="32"/>
          <w:szCs w:val="32"/>
          <w:lang w:val="zh-CN"/>
          <w14:textFill>
            <w14:solidFill>
              <w14:schemeClr w14:val="tx1"/>
            </w14:solidFill>
          </w14:textFill>
        </w:rPr>
        <w:t>三</w:t>
      </w:r>
      <w:r>
        <w:rPr>
          <w:rStyle w:val="42"/>
          <w:rFonts w:ascii="方正楷体简体" w:hAnsi="Times New Roman" w:eastAsia="方正楷体简体" w:cs="Times New Roman"/>
          <w:color w:val="000000" w:themeColor="text1"/>
          <w:sz w:val="32"/>
          <w:szCs w:val="32"/>
          <w:lang w:val="zh-CN"/>
          <w14:textFill>
            <w14:solidFill>
              <w14:schemeClr w14:val="tx1"/>
            </w14:solidFill>
          </w14:textFill>
        </w:rPr>
        <w:t>）人员概况</w:t>
      </w:r>
      <w:r>
        <w:rPr>
          <w:rStyle w:val="42"/>
          <w:rFonts w:hint="eastAsia" w:ascii="方正楷体简体" w:hAnsi="Times New Roman" w:eastAsia="方正楷体简体" w:cs="Times New Roman"/>
          <w:color w:val="000000" w:themeColor="text1"/>
          <w:sz w:val="32"/>
          <w:szCs w:val="32"/>
          <w:lang w:val="zh-CN"/>
          <w14:textFill>
            <w14:solidFill>
              <w14:schemeClr w14:val="tx1"/>
            </w14:solidFill>
          </w14:textFill>
        </w:rPr>
        <w:t>。</w:t>
      </w:r>
      <w:r>
        <w:rPr>
          <w:rFonts w:hint="eastAsia" w:ascii="仿宋_GB2312" w:hAnsi="仿宋_GB2312" w:eastAsia="仿宋_GB2312" w:cs="仿宋_GB2312"/>
          <w:color w:val="000000" w:themeColor="text1"/>
          <w:kern w:val="21"/>
          <w:sz w:val="32"/>
          <w:szCs w:val="32"/>
          <w14:textFill>
            <w14:solidFill>
              <w14:schemeClr w14:val="tx1"/>
            </w14:solidFill>
          </w14:textFill>
        </w:rPr>
        <w:t>截至2023年12月31日，我单位（包含下属二级单位）编制人数42人，实有</w:t>
      </w:r>
      <w:r>
        <w:rPr>
          <w:rFonts w:hint="eastAsia" w:ascii="仿宋_GB2312" w:eastAsia="仿宋_GB2312"/>
          <w:color w:val="000000" w:themeColor="text1"/>
          <w:sz w:val="32"/>
          <w:szCs w:val="32"/>
          <w:shd w:val="clear" w:color="auto" w:fill="FFFFFF"/>
          <w14:textFill>
            <w14:solidFill>
              <w14:schemeClr w14:val="tx1"/>
            </w14:solidFill>
          </w14:textFill>
        </w:rPr>
        <w:t>40人，其中：行政人员15人，参公事业人员20人，事业人员4人，工勤人员1人。退休人员7人。</w:t>
      </w:r>
    </w:p>
    <w:p>
      <w:pPr>
        <w:adjustRightInd w:val="0"/>
        <w:snapToGrid w:val="0"/>
        <w:spacing w:line="576" w:lineRule="exact"/>
        <w:ind w:firstLine="640" w:firstLineChars="200"/>
        <w:textAlignment w:val="baseline"/>
        <w:rPr>
          <w:rStyle w:val="42"/>
          <w:rFonts w:ascii="黑体" w:hAnsi="黑体" w:eastAsia="黑体"/>
          <w:color w:val="000000" w:themeColor="text1"/>
          <w:sz w:val="32"/>
          <w:szCs w:val="32"/>
          <w14:textFill>
            <w14:solidFill>
              <w14:schemeClr w14:val="tx1"/>
            </w14:solidFill>
          </w14:textFill>
        </w:rPr>
      </w:pPr>
      <w:r>
        <w:rPr>
          <w:rStyle w:val="42"/>
          <w:rFonts w:ascii="黑体" w:hAnsi="黑体" w:eastAsia="黑体"/>
          <w:color w:val="000000" w:themeColor="text1"/>
          <w:sz w:val="32"/>
          <w:szCs w:val="32"/>
          <w14:textFill>
            <w14:solidFill>
              <w14:schemeClr w14:val="tx1"/>
            </w14:solidFill>
          </w14:textFill>
        </w:rPr>
        <w:t>二、部门财政资金收支情况</w:t>
      </w:r>
    </w:p>
    <w:p>
      <w:pPr>
        <w:adjustRightInd w:val="0"/>
        <w:snapToGrid w:val="0"/>
        <w:spacing w:line="576" w:lineRule="exact"/>
        <w:ind w:firstLine="640" w:firstLineChars="200"/>
        <w:textAlignment w:val="baseline"/>
        <w:rPr>
          <w:rStyle w:val="42"/>
          <w:rFonts w:ascii="楷体_GB2312" w:hAnsi="楷体_GB2312" w:eastAsia="楷体_GB2312" w:cs="楷体_GB2312"/>
          <w:color w:val="000000" w:themeColor="text1"/>
          <w:sz w:val="32"/>
          <w:szCs w:val="32"/>
          <w14:textFill>
            <w14:solidFill>
              <w14:schemeClr w14:val="tx1"/>
            </w14:solidFill>
          </w14:textFill>
        </w:rPr>
      </w:pPr>
      <w:r>
        <w:rPr>
          <w:rStyle w:val="42"/>
          <w:rFonts w:hint="eastAsia" w:ascii="楷体_GB2312" w:hAnsi="楷体_GB2312" w:eastAsia="楷体_GB2312" w:cs="楷体_GB2312"/>
          <w:color w:val="000000" w:themeColor="text1"/>
          <w:sz w:val="32"/>
          <w:szCs w:val="32"/>
          <w14:textFill>
            <w14:solidFill>
              <w14:schemeClr w14:val="tx1"/>
            </w14:solidFill>
          </w14:textFill>
        </w:rPr>
        <w:t>（一）部门财政资金收入情况</w:t>
      </w:r>
    </w:p>
    <w:p>
      <w:pPr>
        <w:pStyle w:val="13"/>
        <w:widowControl w:val="0"/>
        <w:adjustRightInd w:val="0"/>
        <w:snapToGrid w:val="0"/>
        <w:spacing w:before="0" w:beforeAutospacing="0" w:after="0" w:afterAutospacing="0" w:line="576" w:lineRule="exact"/>
        <w:ind w:firstLine="640"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shd w:val="clear" w:color="auto" w:fill="FFFFFF"/>
          <w14:textFill>
            <w14:solidFill>
              <w14:schemeClr w14:val="tx1"/>
            </w14:solidFill>
          </w14:textFill>
        </w:rPr>
        <w:t>我局2023年收入预算1157.29万元，其中一般公共预算拨款收入1157.29万元，占100%。</w:t>
      </w:r>
    </w:p>
    <w:p>
      <w:pPr>
        <w:spacing w:line="576" w:lineRule="exact"/>
        <w:ind w:firstLine="640" w:firstLineChars="200"/>
        <w:rPr>
          <w:rStyle w:val="42"/>
          <w:rFonts w:ascii="仿宋_GB2312" w:eastAsia="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我局2023年收入决算2499.57万元，其中：一般公共预算财政拨款收入2499.42万元，年初结转资金0.15万元。</w:t>
      </w:r>
    </w:p>
    <w:p>
      <w:pPr>
        <w:numPr>
          <w:ilvl w:val="0"/>
          <w:numId w:val="5"/>
        </w:numPr>
        <w:adjustRightInd w:val="0"/>
        <w:snapToGrid w:val="0"/>
        <w:spacing w:line="576" w:lineRule="exact"/>
        <w:ind w:firstLine="640" w:firstLineChars="200"/>
        <w:textAlignment w:val="baseline"/>
        <w:rPr>
          <w:rStyle w:val="42"/>
          <w:rFonts w:ascii="楷体_GB2312" w:hAnsi="楷体_GB2312" w:eastAsia="楷体_GB2312" w:cs="楷体_GB2312"/>
          <w:color w:val="000000" w:themeColor="text1"/>
          <w:sz w:val="32"/>
          <w:szCs w:val="32"/>
          <w14:textFill>
            <w14:solidFill>
              <w14:schemeClr w14:val="tx1"/>
            </w14:solidFill>
          </w14:textFill>
        </w:rPr>
      </w:pPr>
      <w:r>
        <w:rPr>
          <w:rStyle w:val="42"/>
          <w:rFonts w:hint="eastAsia" w:ascii="楷体_GB2312" w:hAnsi="楷体_GB2312" w:eastAsia="楷体_GB2312" w:cs="楷体_GB2312"/>
          <w:color w:val="000000" w:themeColor="text1"/>
          <w:sz w:val="32"/>
          <w:szCs w:val="32"/>
          <w14:textFill>
            <w14:solidFill>
              <w14:schemeClr w14:val="tx1"/>
            </w14:solidFill>
          </w14:textFill>
        </w:rPr>
        <w:t>部门财政资金支出情况</w:t>
      </w:r>
    </w:p>
    <w:p>
      <w:pPr>
        <w:pStyle w:val="13"/>
        <w:widowControl w:val="0"/>
        <w:adjustRightInd w:val="0"/>
        <w:snapToGrid w:val="0"/>
        <w:spacing w:before="0" w:beforeAutospacing="0" w:after="0" w:afterAutospacing="0" w:line="576" w:lineRule="exact"/>
        <w:ind w:firstLine="640"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shd w:val="clear" w:color="auto" w:fill="FFFFFF"/>
          <w14:textFill>
            <w14:solidFill>
              <w14:schemeClr w14:val="tx1"/>
            </w14:solidFill>
          </w14:textFill>
        </w:rPr>
        <w:t>我局2023年支出预算1157.29万元，其中：基本支出756.85万元，占65.4%；项目支出400.44万元，占34.6%。</w:t>
      </w:r>
    </w:p>
    <w:p>
      <w:pPr>
        <w:snapToGrid w:val="0"/>
        <w:spacing w:line="576" w:lineRule="exact"/>
        <w:ind w:firstLine="640" w:firstLineChars="200"/>
        <w:rPr>
          <w:color w:val="000000" w:themeColor="text1"/>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我局2023年支出决算2499.41万元，其中：基本支出817.32万元，占32.7%；项目支出1682.09万元，占67.3%。</w:t>
      </w:r>
    </w:p>
    <w:p>
      <w:pPr>
        <w:numPr>
          <w:ilvl w:val="0"/>
          <w:numId w:val="6"/>
        </w:numPr>
        <w:adjustRightInd w:val="0"/>
        <w:snapToGrid w:val="0"/>
        <w:spacing w:line="576" w:lineRule="exact"/>
        <w:ind w:firstLine="640" w:firstLineChars="200"/>
        <w:contextualSpacing/>
        <w:rPr>
          <w:rFonts w:ascii="楷体_GB2312" w:hAnsi="楷体_GB2312" w:eastAsia="楷体_GB2312" w:cs="楷体_GB2312"/>
          <w:color w:val="000000" w:themeColor="text1"/>
          <w:kern w:val="0"/>
          <w:sz w:val="32"/>
          <w:szCs w:val="32"/>
          <w:shd w:val="clear" w:color="auto" w:fill="FFFFFF"/>
          <w14:textFill>
            <w14:solidFill>
              <w14:schemeClr w14:val="tx1"/>
            </w14:solidFill>
          </w14:textFill>
        </w:rPr>
      </w:pPr>
      <w:r>
        <w:rPr>
          <w:rFonts w:hint="eastAsia" w:ascii="楷体_GB2312" w:hAnsi="楷体_GB2312" w:eastAsia="楷体_GB2312" w:cs="楷体_GB2312"/>
          <w:color w:val="000000" w:themeColor="text1"/>
          <w:kern w:val="0"/>
          <w:sz w:val="32"/>
          <w:szCs w:val="32"/>
          <w:shd w:val="clear" w:color="auto" w:fill="FFFFFF"/>
          <w14:textFill>
            <w14:solidFill>
              <w14:schemeClr w14:val="tx1"/>
            </w14:solidFill>
          </w14:textFill>
        </w:rPr>
        <w:t>部门财政拨款结转结余情况</w:t>
      </w:r>
    </w:p>
    <w:p>
      <w:pPr>
        <w:pStyle w:val="19"/>
        <w:adjustRightInd w:val="0"/>
        <w:snapToGrid w:val="0"/>
        <w:spacing w:after="0" w:line="576" w:lineRule="exact"/>
        <w:ind w:left="0" w:leftChars="0" w:firstLine="640"/>
        <w:rPr>
          <w:rFonts w:hAnsi="仿宋_GB2312" w:eastAsia="仿宋_GB2312" w:cs="仿宋_GB2312"/>
          <w:color w:val="000000" w:themeColor="text1"/>
          <w:sz w:val="32"/>
          <w14:textFill>
            <w14:solidFill>
              <w14:schemeClr w14:val="tx1"/>
            </w14:solidFill>
          </w14:textFill>
        </w:rPr>
      </w:pPr>
      <w:r>
        <w:rPr>
          <w:rFonts w:hint="eastAsia" w:hAnsi="仿宋_GB2312" w:eastAsia="仿宋_GB2312" w:cs="仿宋_GB2312"/>
          <w:color w:val="000000" w:themeColor="text1"/>
          <w:kern w:val="0"/>
          <w:sz w:val="32"/>
          <w14:textFill>
            <w14:solidFill>
              <w14:schemeClr w14:val="tx1"/>
            </w14:solidFill>
          </w14:textFill>
        </w:rPr>
        <w:t>2023年决算报表结转结余0.16万元，均为利息收入结转。</w:t>
      </w:r>
    </w:p>
    <w:p>
      <w:pPr>
        <w:adjustRightInd w:val="0"/>
        <w:snapToGrid w:val="0"/>
        <w:spacing w:line="576" w:lineRule="exact"/>
        <w:ind w:firstLine="640" w:firstLineChars="200"/>
        <w:textAlignment w:val="baseline"/>
        <w:rPr>
          <w:rStyle w:val="42"/>
          <w:rFonts w:ascii="黑体" w:hAnsi="黑体" w:eastAsia="黑体"/>
          <w:color w:val="000000" w:themeColor="text1"/>
          <w:sz w:val="32"/>
          <w:szCs w:val="32"/>
          <w14:textFill>
            <w14:solidFill>
              <w14:schemeClr w14:val="tx1"/>
            </w14:solidFill>
          </w14:textFill>
        </w:rPr>
      </w:pPr>
      <w:r>
        <w:rPr>
          <w:rStyle w:val="42"/>
          <w:rFonts w:ascii="黑体" w:hAnsi="黑体" w:eastAsia="黑体"/>
          <w:color w:val="000000" w:themeColor="text1"/>
          <w:sz w:val="32"/>
          <w:szCs w:val="32"/>
          <w14:textFill>
            <w14:solidFill>
              <w14:schemeClr w14:val="tx1"/>
            </w14:solidFill>
          </w14:textFill>
        </w:rPr>
        <w:t>三、部门预算绩效分析</w:t>
      </w:r>
    </w:p>
    <w:p>
      <w:pPr>
        <w:adjustRightInd w:val="0"/>
        <w:snapToGrid w:val="0"/>
        <w:spacing w:line="576" w:lineRule="exact"/>
        <w:ind w:firstLine="640" w:firstLineChars="200"/>
        <w:textAlignment w:val="baseline"/>
        <w:rPr>
          <w:rStyle w:val="42"/>
          <w:rFonts w:ascii="楷体_GB2312" w:hAnsi="楷体_GB2312" w:eastAsia="楷体_GB2312" w:cs="楷体_GB2312"/>
          <w:color w:val="000000" w:themeColor="text1"/>
          <w:sz w:val="32"/>
          <w:szCs w:val="32"/>
          <w14:textFill>
            <w14:solidFill>
              <w14:schemeClr w14:val="tx1"/>
            </w14:solidFill>
          </w14:textFill>
        </w:rPr>
      </w:pPr>
      <w:r>
        <w:rPr>
          <w:rStyle w:val="42"/>
          <w:rFonts w:hint="eastAsia" w:ascii="楷体_GB2312" w:hAnsi="楷体_GB2312" w:eastAsia="楷体_GB2312" w:cs="楷体_GB2312"/>
          <w:color w:val="000000" w:themeColor="text1"/>
          <w:sz w:val="32"/>
          <w:szCs w:val="32"/>
          <w:lang w:val="zh-CN"/>
          <w14:textFill>
            <w14:solidFill>
              <w14:schemeClr w14:val="tx1"/>
            </w14:solidFill>
          </w14:textFill>
        </w:rPr>
        <w:t>（一）部门预算总体绩效分析</w:t>
      </w:r>
      <w:r>
        <w:rPr>
          <w:rStyle w:val="42"/>
          <w:rFonts w:hint="eastAsia" w:ascii="楷体_GB2312" w:hAnsi="楷体_GB2312" w:eastAsia="楷体_GB2312" w:cs="楷体_GB2312"/>
          <w:color w:val="000000" w:themeColor="text1"/>
          <w:sz w:val="32"/>
          <w:szCs w:val="32"/>
          <w14:textFill>
            <w14:solidFill>
              <w14:schemeClr w14:val="tx1"/>
            </w14:solidFill>
          </w14:textFill>
        </w:rPr>
        <w:t>（59.74 分）</w:t>
      </w:r>
    </w:p>
    <w:p>
      <w:pPr>
        <w:suppressAutoHyphens/>
        <w:spacing w:line="576" w:lineRule="exact"/>
        <w:ind w:firstLine="640" w:firstLineChars="200"/>
        <w:rPr>
          <w:rStyle w:val="42"/>
          <w:rFonts w:ascii="仿宋_GB2312" w:eastAsia="仿宋_GB2312"/>
          <w:color w:val="000000" w:themeColor="text1"/>
          <w:sz w:val="32"/>
          <w:szCs w:val="32"/>
          <w:lang w:val="zh-CN"/>
          <w14:textFill>
            <w14:solidFill>
              <w14:schemeClr w14:val="tx1"/>
            </w14:solidFill>
          </w14:textFill>
        </w:rPr>
      </w:pPr>
      <w:r>
        <w:rPr>
          <w:rStyle w:val="42"/>
          <w:rFonts w:hint="eastAsia" w:ascii="仿宋_GB2312" w:eastAsia="仿宋_GB2312"/>
          <w:color w:val="000000" w:themeColor="text1"/>
          <w:sz w:val="32"/>
          <w:szCs w:val="32"/>
          <w:lang w:val="zh-CN"/>
          <w14:textFill>
            <w14:solidFill>
              <w14:schemeClr w14:val="tx1"/>
            </w14:solidFill>
          </w14:textFill>
        </w:rPr>
        <w:t>根据</w:t>
      </w:r>
      <w:r>
        <w:rPr>
          <w:rStyle w:val="42"/>
          <w:rFonts w:hint="eastAsia" w:ascii="仿宋_GB2312" w:eastAsia="仿宋_GB2312"/>
          <w:color w:val="000000" w:themeColor="text1"/>
          <w:sz w:val="32"/>
          <w:szCs w:val="32"/>
          <w14:textFill>
            <w14:solidFill>
              <w14:schemeClr w14:val="tx1"/>
            </w14:solidFill>
          </w14:textFill>
        </w:rPr>
        <w:t>部门整体绩效评价评分表</w:t>
      </w:r>
      <w:r>
        <w:rPr>
          <w:rStyle w:val="42"/>
          <w:rFonts w:hint="eastAsia" w:ascii="仿宋_GB2312" w:eastAsia="仿宋_GB2312"/>
          <w:color w:val="000000" w:themeColor="text1"/>
          <w:sz w:val="32"/>
          <w:szCs w:val="32"/>
          <w:lang w:val="zh-CN"/>
          <w14:textFill>
            <w14:solidFill>
              <w14:schemeClr w14:val="tx1"/>
            </w14:solidFill>
          </w14:textFill>
        </w:rPr>
        <w:t>“总体绩效”中对履职效能、预算管理、财务管理、资产管理、采购管理等情况进行全面自评。</w:t>
      </w:r>
    </w:p>
    <w:p>
      <w:pPr>
        <w:suppressAutoHyphens/>
        <w:spacing w:line="576" w:lineRule="exact"/>
        <w:ind w:firstLine="640" w:firstLineChars="200"/>
        <w:rPr>
          <w:rStyle w:val="42"/>
          <w:rFonts w:ascii="仿宋_GB2312" w:eastAsia="仿宋_GB2312"/>
          <w:color w:val="000000" w:themeColor="text1"/>
          <w:sz w:val="32"/>
          <w:szCs w:val="32"/>
          <w:lang w:val="zh-CN"/>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1.</w:t>
      </w:r>
      <w:r>
        <w:rPr>
          <w:rStyle w:val="42"/>
          <w:rFonts w:hint="eastAsia" w:ascii="仿宋_GB2312" w:eastAsia="仿宋_GB2312"/>
          <w:color w:val="000000" w:themeColor="text1"/>
          <w:sz w:val="32"/>
          <w:szCs w:val="32"/>
          <w:lang w:val="zh-CN"/>
          <w14:textFill>
            <w14:solidFill>
              <w14:schemeClr w14:val="tx1"/>
            </w14:solidFill>
          </w14:textFill>
        </w:rPr>
        <w:t>履职效能（</w:t>
      </w:r>
      <w:r>
        <w:rPr>
          <w:rStyle w:val="42"/>
          <w:rFonts w:hint="eastAsia" w:ascii="仿宋_GB2312" w:eastAsia="仿宋_GB2312"/>
          <w:color w:val="000000" w:themeColor="text1"/>
          <w:sz w:val="32"/>
          <w:szCs w:val="32"/>
          <w14:textFill>
            <w14:solidFill>
              <w14:schemeClr w14:val="tx1"/>
            </w14:solidFill>
          </w14:textFill>
        </w:rPr>
        <w:t>15分</w:t>
      </w:r>
      <w:r>
        <w:rPr>
          <w:rStyle w:val="42"/>
          <w:rFonts w:hint="eastAsia" w:ascii="仿宋_GB2312" w:eastAsia="仿宋_GB2312"/>
          <w:color w:val="000000" w:themeColor="text1"/>
          <w:sz w:val="32"/>
          <w:szCs w:val="32"/>
          <w:lang w:val="zh-CN"/>
          <w14:textFill>
            <w14:solidFill>
              <w14:schemeClr w14:val="tx1"/>
            </w14:solidFill>
          </w14:textFill>
        </w:rPr>
        <w:t>）</w:t>
      </w:r>
    </w:p>
    <w:p>
      <w:pPr>
        <w:numPr>
          <w:ilvl w:val="0"/>
          <w:numId w:val="7"/>
        </w:numPr>
        <w:suppressAutoHyphens/>
        <w:spacing w:line="576" w:lineRule="exact"/>
        <w:ind w:firstLine="640" w:firstLineChars="200"/>
        <w:rPr>
          <w:rStyle w:val="42"/>
          <w:rFonts w:ascii="仿宋_GB2312" w:eastAsia="仿宋_GB2312"/>
          <w:color w:val="000000" w:themeColor="text1"/>
          <w:sz w:val="32"/>
          <w:szCs w:val="32"/>
          <w:lang w:val="zh-CN"/>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监管全覆盖履职效能。建立健全基金监管</w:t>
      </w:r>
      <w:r>
        <w:rPr>
          <w:rFonts w:ascii="方正楷体简体" w:eastAsia="方正楷体简体" w:cs="仿宋_GB2312"/>
          <w:color w:val="000000" w:themeColor="text1"/>
          <w:sz w:val="32"/>
          <w:szCs w:val="32"/>
          <w14:textFill>
            <w14:solidFill>
              <w14:schemeClr w14:val="tx1"/>
            </w14:solidFill>
          </w14:textFill>
        </w:rPr>
        <w:t>机制</w:t>
      </w:r>
      <w:r>
        <w:rPr>
          <w:rFonts w:hint="eastAsia" w:ascii="方正楷体简体" w:eastAsia="方正楷体简体" w:cs="仿宋_GB2312"/>
          <w:color w:val="000000" w:themeColor="text1"/>
          <w:sz w:val="32"/>
          <w:szCs w:val="32"/>
          <w14:textFill>
            <w14:solidFill>
              <w14:schemeClr w14:val="tx1"/>
            </w14:solidFill>
          </w14:textFill>
        </w:rPr>
        <w:t>，</w:t>
      </w:r>
      <w:r>
        <w:rPr>
          <w:rFonts w:hint="eastAsia" w:ascii="仿宋_GB2312" w:eastAsia="仿宋_GB2312" w:cs="仿宋_GB2312"/>
          <w:color w:val="000000" w:themeColor="text1"/>
          <w:sz w:val="32"/>
          <w:szCs w:val="32"/>
          <w14:textFill>
            <w14:solidFill>
              <w14:schemeClr w14:val="tx1"/>
            </w14:solidFill>
          </w14:textFill>
        </w:rPr>
        <w:t>扎实开展各项检查，抓实医保基金专项治理，实现检查全覆盖，共查处违规医药机构1451家，追回资金7927.24万元，实现了</w:t>
      </w:r>
      <w:r>
        <w:rPr>
          <w:rStyle w:val="42"/>
          <w:rFonts w:hint="eastAsia" w:ascii="仿宋_GB2312" w:eastAsia="仿宋_GB2312"/>
          <w:color w:val="000000" w:themeColor="text1"/>
          <w:sz w:val="32"/>
          <w:szCs w:val="32"/>
          <w:lang w:val="zh-CN"/>
          <w14:textFill>
            <w14:solidFill>
              <w14:schemeClr w14:val="tx1"/>
            </w14:solidFill>
          </w14:textFill>
        </w:rPr>
        <w:t>监管履职效能，该项得</w:t>
      </w:r>
      <w:r>
        <w:rPr>
          <w:rStyle w:val="42"/>
          <w:rFonts w:hint="eastAsia" w:ascii="仿宋_GB2312" w:eastAsia="仿宋_GB2312"/>
          <w:color w:val="000000" w:themeColor="text1"/>
          <w:sz w:val="32"/>
          <w:szCs w:val="32"/>
          <w14:textFill>
            <w14:solidFill>
              <w14:schemeClr w14:val="tx1"/>
            </w14:solidFill>
          </w14:textFill>
        </w:rPr>
        <w:t>5分。</w:t>
      </w:r>
    </w:p>
    <w:p>
      <w:pPr>
        <w:numPr>
          <w:ilvl w:val="0"/>
          <w:numId w:val="7"/>
        </w:numPr>
        <w:suppressAutoHyphens/>
        <w:spacing w:line="576" w:lineRule="exact"/>
        <w:ind w:firstLine="640" w:firstLineChars="200"/>
        <w:rPr>
          <w:rStyle w:val="42"/>
          <w:rFonts w:ascii="仿宋_GB2312" w:eastAsia="仿宋_GB2312"/>
          <w:color w:val="000000" w:themeColor="text1"/>
          <w:sz w:val="32"/>
          <w:szCs w:val="32"/>
          <w:lang w:val="zh-CN"/>
          <w14:textFill>
            <w14:solidFill>
              <w14:schemeClr w14:val="tx1"/>
            </w14:solidFill>
          </w14:textFill>
        </w:rPr>
      </w:pPr>
      <w:r>
        <w:rPr>
          <w:rStyle w:val="42"/>
          <w:rFonts w:hint="eastAsia" w:ascii="仿宋_GB2312" w:eastAsia="仿宋_GB2312"/>
          <w:color w:val="000000" w:themeColor="text1"/>
          <w:sz w:val="32"/>
          <w:szCs w:val="32"/>
          <w:lang w:val="zh-CN"/>
          <w14:textFill>
            <w14:solidFill>
              <w14:schemeClr w14:val="tx1"/>
            </w14:solidFill>
          </w14:textFill>
        </w:rPr>
        <w:t>经办工作统一规范履职效能。推进医保经办服务管理规范统一，</w:t>
      </w:r>
      <w:r>
        <w:rPr>
          <w:rFonts w:hint="eastAsia" w:ascii="仿宋_GB2312" w:eastAsia="仿宋_GB2312" w:cs="仿宋_GB2312"/>
          <w:color w:val="000000" w:themeColor="text1"/>
          <w:spacing w:val="-6"/>
          <w:sz w:val="32"/>
          <w:szCs w:val="32"/>
          <w14:textFill>
            <w14:solidFill>
              <w14:schemeClr w14:val="tx1"/>
            </w14:solidFill>
          </w14:textFill>
        </w:rPr>
        <w:t>统一全市定点医药机构考核管理办法，我市38项医疗保障政务服务事项线上可办率达100%，提</w:t>
      </w:r>
      <w:r>
        <w:rPr>
          <w:rStyle w:val="42"/>
          <w:rFonts w:hint="eastAsia" w:ascii="仿宋_GB2312" w:eastAsia="仿宋_GB2312"/>
          <w:color w:val="000000" w:themeColor="text1"/>
          <w:sz w:val="32"/>
          <w:szCs w:val="32"/>
          <w:lang w:val="zh-CN"/>
          <w14:textFill>
            <w14:solidFill>
              <w14:schemeClr w14:val="tx1"/>
            </w14:solidFill>
          </w14:textFill>
        </w:rPr>
        <w:t>升了医保经办机构的服务水平，</w:t>
      </w:r>
      <w:r>
        <w:rPr>
          <w:rFonts w:hint="eastAsia" w:ascii="仿宋_GB2312" w:eastAsia="仿宋_GB2312" w:cs="仿宋_GB2312"/>
          <w:color w:val="000000" w:themeColor="text1"/>
          <w:spacing w:val="-6"/>
          <w:sz w:val="32"/>
          <w:szCs w:val="32"/>
          <w14:textFill>
            <w14:solidFill>
              <w14:schemeClr w14:val="tx1"/>
            </w14:solidFill>
          </w14:textFill>
        </w:rPr>
        <w:t>实现了医保经办效能</w:t>
      </w:r>
      <w:r>
        <w:rPr>
          <w:rStyle w:val="42"/>
          <w:rFonts w:hint="eastAsia" w:ascii="仿宋_GB2312" w:eastAsia="仿宋_GB2312"/>
          <w:color w:val="000000" w:themeColor="text1"/>
          <w:sz w:val="32"/>
          <w:szCs w:val="32"/>
          <w:lang w:val="zh-CN"/>
          <w14:textFill>
            <w14:solidFill>
              <w14:schemeClr w14:val="tx1"/>
            </w14:solidFill>
          </w14:textFill>
        </w:rPr>
        <w:t>。该项得</w:t>
      </w:r>
      <w:r>
        <w:rPr>
          <w:rStyle w:val="42"/>
          <w:rFonts w:hint="eastAsia" w:ascii="仿宋_GB2312" w:eastAsia="仿宋_GB2312"/>
          <w:color w:val="000000" w:themeColor="text1"/>
          <w:sz w:val="32"/>
          <w:szCs w:val="32"/>
          <w14:textFill>
            <w14:solidFill>
              <w14:schemeClr w14:val="tx1"/>
            </w14:solidFill>
          </w14:textFill>
        </w:rPr>
        <w:t>5分。</w:t>
      </w:r>
    </w:p>
    <w:p>
      <w:pPr>
        <w:numPr>
          <w:ilvl w:val="0"/>
          <w:numId w:val="7"/>
        </w:numPr>
        <w:suppressAutoHyphens/>
        <w:spacing w:line="576" w:lineRule="exact"/>
        <w:ind w:firstLine="640" w:firstLineChars="200"/>
        <w:rPr>
          <w:rStyle w:val="42"/>
          <w:rFonts w:ascii="仿宋_GB2312" w:eastAsia="仿宋_GB2312"/>
          <w:color w:val="000000" w:themeColor="text1"/>
          <w:sz w:val="32"/>
          <w:szCs w:val="32"/>
          <w:lang w:val="zh-CN"/>
          <w14:textFill>
            <w14:solidFill>
              <w14:schemeClr w14:val="tx1"/>
            </w14:solidFill>
          </w14:textFill>
        </w:rPr>
      </w:pPr>
      <w:r>
        <w:rPr>
          <w:rStyle w:val="42"/>
          <w:rFonts w:hint="eastAsia" w:ascii="仿宋_GB2312" w:eastAsia="仿宋_GB2312"/>
          <w:color w:val="000000" w:themeColor="text1"/>
          <w:sz w:val="32"/>
          <w:szCs w:val="32"/>
          <w:lang w:val="zh-CN"/>
          <w14:textFill>
            <w14:solidFill>
              <w14:schemeClr w14:val="tx1"/>
            </w14:solidFill>
          </w14:textFill>
        </w:rPr>
        <w:t>医保政策培训宣传履职效能。积极开展各类政策培训会；印制发放医保政策宣传资料，提升群众政策知晓率，实现了医保政策宣传效能。该项得</w:t>
      </w:r>
      <w:r>
        <w:rPr>
          <w:rStyle w:val="42"/>
          <w:rFonts w:hint="eastAsia" w:ascii="仿宋_GB2312" w:eastAsia="仿宋_GB2312"/>
          <w:color w:val="000000" w:themeColor="text1"/>
          <w:sz w:val="32"/>
          <w:szCs w:val="32"/>
          <w14:textFill>
            <w14:solidFill>
              <w14:schemeClr w14:val="tx1"/>
            </w14:solidFill>
          </w14:textFill>
        </w:rPr>
        <w:t>5分。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lang w:val="zh-CN"/>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2</w:t>
      </w:r>
      <w:r>
        <w:rPr>
          <w:rStyle w:val="42"/>
          <w:rFonts w:ascii="仿宋_GB2312" w:eastAsia="仿宋_GB2312"/>
          <w:color w:val="000000" w:themeColor="text1"/>
          <w:sz w:val="32"/>
          <w:szCs w:val="32"/>
          <w14:textFill>
            <w14:solidFill>
              <w14:schemeClr w14:val="tx1"/>
            </w14:solidFill>
          </w14:textFill>
        </w:rPr>
        <w:t>.</w:t>
      </w:r>
      <w:r>
        <w:rPr>
          <w:rStyle w:val="42"/>
          <w:rFonts w:hint="eastAsia" w:ascii="仿宋_GB2312" w:eastAsia="仿宋_GB2312"/>
          <w:color w:val="000000" w:themeColor="text1"/>
          <w:sz w:val="32"/>
          <w:szCs w:val="32"/>
          <w:lang w:val="zh-CN"/>
          <w14:textFill>
            <w14:solidFill>
              <w14:schemeClr w14:val="tx1"/>
            </w14:solidFill>
          </w14:textFill>
        </w:rPr>
        <w:t>预算管理（</w:t>
      </w:r>
      <w:r>
        <w:rPr>
          <w:rStyle w:val="42"/>
          <w:rFonts w:hint="eastAsia" w:ascii="仿宋_GB2312" w:eastAsia="仿宋_GB2312"/>
          <w:color w:val="000000" w:themeColor="text1"/>
          <w:sz w:val="32"/>
          <w:szCs w:val="32"/>
          <w14:textFill>
            <w14:solidFill>
              <w14:schemeClr w14:val="tx1"/>
            </w14:solidFill>
          </w14:textFill>
        </w:rPr>
        <w:t>23.15分</w:t>
      </w:r>
      <w:r>
        <w:rPr>
          <w:rStyle w:val="42"/>
          <w:rFonts w:hint="eastAsia" w:ascii="仿宋_GB2312" w:eastAsia="仿宋_GB2312"/>
          <w:color w:val="000000" w:themeColor="text1"/>
          <w:sz w:val="32"/>
          <w:szCs w:val="32"/>
          <w:lang w:val="zh-CN"/>
          <w14:textFill>
            <w14:solidFill>
              <w14:schemeClr w14:val="tx1"/>
            </w14:solidFill>
          </w14:textFill>
        </w:rPr>
        <w:t>）</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lang w:val="zh-CN"/>
          <w14:textFill>
            <w14:solidFill>
              <w14:schemeClr w14:val="tx1"/>
            </w14:solidFill>
          </w14:textFill>
        </w:rPr>
        <w:t>（</w:t>
      </w:r>
      <w:r>
        <w:rPr>
          <w:rStyle w:val="42"/>
          <w:rFonts w:hint="eastAsia" w:ascii="仿宋_GB2312" w:eastAsia="仿宋_GB2312"/>
          <w:color w:val="000000" w:themeColor="text1"/>
          <w:sz w:val="32"/>
          <w:szCs w:val="32"/>
          <w14:textFill>
            <w14:solidFill>
              <w14:schemeClr w14:val="tx1"/>
            </w14:solidFill>
          </w14:textFill>
        </w:rPr>
        <w:t>1</w:t>
      </w:r>
      <w:r>
        <w:rPr>
          <w:rStyle w:val="42"/>
          <w:rFonts w:hint="eastAsia" w:ascii="仿宋_GB2312" w:eastAsia="仿宋_GB2312"/>
          <w:color w:val="000000" w:themeColor="text1"/>
          <w:sz w:val="32"/>
          <w:szCs w:val="32"/>
          <w:lang w:val="zh-CN"/>
          <w14:textFill>
            <w14:solidFill>
              <w14:schemeClr w14:val="tx1"/>
            </w14:solidFill>
          </w14:textFill>
        </w:rPr>
        <w:t>）</w:t>
      </w:r>
      <w:r>
        <w:rPr>
          <w:rStyle w:val="42"/>
          <w:rFonts w:hint="eastAsia" w:ascii="仿宋_GB2312" w:eastAsia="仿宋_GB2312"/>
          <w:color w:val="000000" w:themeColor="text1"/>
          <w:spacing w:val="-6"/>
          <w:sz w:val="32"/>
          <w:szCs w:val="32"/>
          <w:lang w:val="zh-CN"/>
          <w14:textFill>
            <w14:solidFill>
              <w14:schemeClr w14:val="tx1"/>
            </w14:solidFill>
          </w14:textFill>
        </w:rPr>
        <w:t>预算编制质量。我局2023年年初财政拨款预算数为1157.29万元，其中年末收回18.17元，最终年初预算数为1139.52万元，执行数为111.65万元，资产配置与采购年初预算数均为4.1万元，执行数均为4.03万元，根据公式计算该项得分为7.86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（2）单</w:t>
      </w:r>
      <w:r>
        <w:rPr>
          <w:rStyle w:val="42"/>
          <w:rFonts w:hint="eastAsia" w:ascii="仿宋_GB2312" w:eastAsia="仿宋_GB2312"/>
          <w:color w:val="000000" w:themeColor="text1"/>
          <w:spacing w:val="-6"/>
          <w:sz w:val="32"/>
          <w:szCs w:val="32"/>
          <w14:textFill>
            <w14:solidFill>
              <w14:schemeClr w14:val="tx1"/>
            </w14:solidFill>
          </w14:textFill>
        </w:rPr>
        <w:t>位收入统筹。我局不存在部门自有收入，该项得4分。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（3）支出执行进度。截止年底我局预算数为2647.07万元，6月底支付数为731.99万元，10月底支付数为1872.57万元，且不存在预警与违规支出，根据公式计算得4.4分。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（4）预算年终结余。截止年底我局预算数为2647.07万元，部门未使用金额共计147.67万元，部门整体预算结余率为5.57%，根据公式计算得1.89分。</w:t>
      </w:r>
    </w:p>
    <w:p>
      <w:pPr>
        <w:adjustRightInd w:val="0"/>
        <w:snapToGrid w:val="0"/>
        <w:spacing w:line="576" w:lineRule="exact"/>
        <w:ind w:firstLine="640" w:firstLineChars="200"/>
        <w:textAlignment w:val="baseline"/>
        <w:rPr>
          <w:rStyle w:val="42"/>
          <w:rFonts w:ascii="仿宋_GB2312" w:eastAsia="仿宋_GB2312"/>
          <w:color w:val="000000" w:themeColor="text1"/>
          <w:spacing w:val="-1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（5）</w:t>
      </w:r>
      <w:r>
        <w:rPr>
          <w:rStyle w:val="42"/>
          <w:rFonts w:hint="eastAsia" w:ascii="仿宋_GB2312" w:eastAsia="仿宋_GB2312"/>
          <w:color w:val="000000" w:themeColor="text1"/>
          <w:spacing w:val="-11"/>
          <w:sz w:val="32"/>
          <w:szCs w:val="32"/>
          <w14:textFill>
            <w14:solidFill>
              <w14:schemeClr w14:val="tx1"/>
            </w14:solidFill>
          </w14:textFill>
        </w:rPr>
        <w:t>严控一般性支出。2023年我局“三公”经费、会议、培训、差旅、办公设备购置、信息网络及软件购置更新8项一般性支出年初预算数为58.1万元，上年预算数为84.03万元，预算数较上年压减超30%，2023年一般性支出执行数为293万元，2022年一般性支出执行数为382万元，压减超20%，根据要求，此项得4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3</w:t>
      </w:r>
      <w:r>
        <w:rPr>
          <w:rStyle w:val="42"/>
          <w:rFonts w:ascii="仿宋_GB2312" w:eastAsia="仿宋_GB2312"/>
          <w:color w:val="000000" w:themeColor="text1"/>
          <w:sz w:val="32"/>
          <w:szCs w:val="32"/>
          <w14:textFill>
            <w14:solidFill>
              <w14:schemeClr w14:val="tx1"/>
            </w14:solidFill>
          </w14:textFill>
        </w:rPr>
        <w:t>.</w:t>
      </w:r>
      <w:r>
        <w:rPr>
          <w:rStyle w:val="42"/>
          <w:rFonts w:hint="eastAsia" w:ascii="仿宋_GB2312" w:eastAsia="仿宋_GB2312"/>
          <w:color w:val="000000" w:themeColor="text1"/>
          <w:sz w:val="32"/>
          <w:szCs w:val="32"/>
          <w14:textFill>
            <w14:solidFill>
              <w14:schemeClr w14:val="tx1"/>
            </w14:solidFill>
          </w14:textFill>
        </w:rPr>
        <w:t>财务管理（10分）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（1）财务管理制度。我局制度有内部财务管理制度等制度机制，且财务管理制度得到落实，此项得4分。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（2）财务岗位设置。我局合理设置财务工作岗位，明确职责权限，并严格实行不相容岗位分离的，此项得2分。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（3）资金使用规范。我局资金使用符合相关财务管理制度规定的，此项得4分。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4.资产管理（6分）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（1）</w:t>
      </w:r>
      <w:r>
        <w:rPr>
          <w:rStyle w:val="42"/>
          <w:rFonts w:hint="eastAsia" w:ascii="仿宋_GB2312" w:eastAsia="仿宋_GB2312"/>
          <w:color w:val="000000" w:themeColor="text1"/>
          <w:spacing w:val="-6"/>
          <w:sz w:val="32"/>
          <w:szCs w:val="32"/>
          <w14:textFill>
            <w14:solidFill>
              <w14:schemeClr w14:val="tx1"/>
            </w14:solidFill>
          </w14:textFill>
        </w:rPr>
        <w:t>人均资产变化率。我局年末资产总计10149439.94元，年初资产总计为9941306.57元，年末实有人数40人，我局人均资产变化率0.05%，市直行政单位人均资产变化率为3.13%，0＜0.05%≤3.13%，我局人均资产增长率为0.05%，同期市级财政收入增长率为6.9%，0＜0.05%≤6.9%，根据公式计算，该项得2.4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2）资产利用率。2023年底我局办公家具账面价值共计34.61万元元，超最低使用年限的办公家具账面价值为1.46万元，根据公式计算我局办公家具最低使用年限资产利用率为4.23%，市直行政事业单位平均值为16.57%,4.23%≤0.6*16.57%.得0.3分；2023年底我局办公设备账面价值共计604.42万元，超最低使用年限的办公设备账面价值为12.02万元，根据公式计算我局办公设备最低使用年限资产利用率为19.88%，市直行政事业单位平均值为49.20%，19.88%≤0.6*49.20%，得0.3分</w:t>
      </w:r>
    </w:p>
    <w:p>
      <w:pPr>
        <w:spacing w:line="576" w:lineRule="exact"/>
        <w:ind w:firstLine="640" w:firstLineChars="200"/>
        <w:rPr>
          <w:rStyle w:val="42"/>
          <w:rFonts w:ascii="仿宋_GB2312" w:eastAsia="仿宋_GB2312"/>
          <w:color w:val="000000" w:themeColor="text1"/>
          <w:spacing w:val="-6"/>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（3）</w:t>
      </w:r>
      <w:r>
        <w:rPr>
          <w:rStyle w:val="42"/>
          <w:rFonts w:hint="eastAsia" w:ascii="仿宋_GB2312" w:eastAsia="仿宋_GB2312"/>
          <w:color w:val="000000" w:themeColor="text1"/>
          <w:spacing w:val="-6"/>
          <w:sz w:val="32"/>
          <w:szCs w:val="32"/>
          <w14:textFill>
            <w14:solidFill>
              <w14:schemeClr w14:val="tx1"/>
            </w14:solidFill>
          </w14:textFill>
        </w:rPr>
        <w:t>资产盘活率。我单位两年内均无闲置资产，该项得3分。</w:t>
      </w:r>
    </w:p>
    <w:p>
      <w:pPr>
        <w:adjustRightInd w:val="0"/>
        <w:snapToGrid w:val="0"/>
        <w:spacing w:line="550"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5</w:t>
      </w:r>
      <w:r>
        <w:rPr>
          <w:rStyle w:val="42"/>
          <w:rFonts w:ascii="仿宋_GB2312" w:eastAsia="仿宋_GB2312"/>
          <w:color w:val="000000" w:themeColor="text1"/>
          <w:sz w:val="32"/>
          <w:szCs w:val="32"/>
          <w14:textFill>
            <w14:solidFill>
              <w14:schemeClr w14:val="tx1"/>
            </w14:solidFill>
          </w14:textFill>
        </w:rPr>
        <w:t>.采购管理</w:t>
      </w:r>
      <w:r>
        <w:rPr>
          <w:rStyle w:val="42"/>
          <w:rFonts w:hint="eastAsia" w:ascii="仿宋_GB2312" w:eastAsia="仿宋_GB2312"/>
          <w:color w:val="000000" w:themeColor="text1"/>
          <w:sz w:val="32"/>
          <w:szCs w:val="32"/>
          <w14:textFill>
            <w14:solidFill>
              <w14:schemeClr w14:val="tx1"/>
            </w14:solidFill>
          </w14:textFill>
        </w:rPr>
        <w:t>（5.59分）</w:t>
      </w:r>
    </w:p>
    <w:p>
      <w:pPr>
        <w:adjustRightInd w:val="0"/>
        <w:snapToGrid w:val="0"/>
        <w:spacing w:line="550"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（1）支持中小企业发展。我局严格执行政府采购促进中小企业发展相关管理办法，对适宜由中小企业提供的采购项目和采购包，预留采购份额专门面向中小企业采购，并在采购预算中单独列示，该项自评得3分。</w:t>
      </w:r>
    </w:p>
    <w:p>
      <w:pPr>
        <w:adjustRightInd w:val="0"/>
        <w:snapToGrid w:val="0"/>
        <w:spacing w:line="550"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（2）采购执行率。2023年我局采购项目预算金额为201.45万元，合同价格为194.38万元，当年支付167.74万元，根据公式计算得2.59分。</w:t>
      </w:r>
    </w:p>
    <w:p>
      <w:pPr>
        <w:adjustRightInd w:val="0"/>
        <w:snapToGrid w:val="0"/>
        <w:spacing w:line="550" w:lineRule="exact"/>
        <w:ind w:firstLine="640" w:firstLineChars="200"/>
        <w:textAlignment w:val="baseline"/>
        <w:rPr>
          <w:rStyle w:val="42"/>
          <w:rFonts w:ascii="楷体_GB2312" w:hAnsi="楷体_GB2312" w:eastAsia="楷体_GB2312" w:cs="楷体_GB2312"/>
          <w:color w:val="000000" w:themeColor="text1"/>
          <w:sz w:val="32"/>
          <w:szCs w:val="32"/>
          <w:lang w:val="zh-CN"/>
          <w14:textFill>
            <w14:solidFill>
              <w14:schemeClr w14:val="tx1"/>
            </w14:solidFill>
          </w14:textFill>
        </w:rPr>
      </w:pPr>
      <w:r>
        <w:rPr>
          <w:rStyle w:val="42"/>
          <w:rFonts w:ascii="楷体_GB2312" w:hAnsi="楷体_GB2312" w:eastAsia="楷体_GB2312" w:cs="楷体_GB2312"/>
          <w:color w:val="000000" w:themeColor="text1"/>
          <w:sz w:val="32"/>
          <w:szCs w:val="32"/>
          <w:lang w:val="zh-CN"/>
          <w14:textFill>
            <w14:solidFill>
              <w14:schemeClr w14:val="tx1"/>
            </w14:solidFill>
          </w14:textFill>
        </w:rPr>
        <w:t>（二）部门预算项目绩效分析</w:t>
      </w:r>
      <w:r>
        <w:rPr>
          <w:rStyle w:val="42"/>
          <w:rFonts w:hint="eastAsia" w:ascii="楷体_GB2312" w:hAnsi="楷体_GB2312" w:eastAsia="楷体_GB2312" w:cs="楷体_GB2312"/>
          <w:color w:val="000000" w:themeColor="text1"/>
          <w:sz w:val="32"/>
          <w:szCs w:val="32"/>
          <w:lang w:val="zh-CN"/>
          <w14:textFill>
            <w14:solidFill>
              <w14:schemeClr w14:val="tx1"/>
            </w14:solidFill>
          </w14:textFill>
        </w:rPr>
        <w:t>（</w:t>
      </w:r>
      <w:r>
        <w:rPr>
          <w:rStyle w:val="42"/>
          <w:rFonts w:hint="eastAsia" w:ascii="楷体_GB2312" w:hAnsi="楷体_GB2312" w:eastAsia="楷体_GB2312" w:cs="楷体_GB2312"/>
          <w:color w:val="000000" w:themeColor="text1"/>
          <w:sz w:val="32"/>
          <w:szCs w:val="32"/>
          <w14:textFill>
            <w14:solidFill>
              <w14:schemeClr w14:val="tx1"/>
            </w14:solidFill>
          </w14:textFill>
        </w:rPr>
        <w:t>34.58分</w:t>
      </w:r>
      <w:r>
        <w:rPr>
          <w:rStyle w:val="42"/>
          <w:rFonts w:hint="eastAsia" w:ascii="楷体_GB2312" w:hAnsi="楷体_GB2312" w:eastAsia="楷体_GB2312" w:cs="楷体_GB2312"/>
          <w:color w:val="000000" w:themeColor="text1"/>
          <w:sz w:val="32"/>
          <w:szCs w:val="32"/>
          <w:lang w:val="zh-CN"/>
          <w14:textFill>
            <w14:solidFill>
              <w14:schemeClr w14:val="tx1"/>
            </w14:solidFill>
          </w14:textFill>
        </w:rPr>
        <w:t>）</w:t>
      </w:r>
    </w:p>
    <w:p>
      <w:pPr>
        <w:adjustRightInd w:val="0"/>
        <w:snapToGrid w:val="0"/>
        <w:spacing w:line="550"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lang w:val="zh-CN"/>
          <w14:textFill>
            <w14:solidFill>
              <w14:schemeClr w14:val="tx1"/>
            </w14:solidFill>
          </w14:textFill>
        </w:rPr>
        <w:t>根据</w:t>
      </w:r>
      <w:r>
        <w:rPr>
          <w:rStyle w:val="42"/>
          <w:rFonts w:hint="eastAsia" w:ascii="仿宋_GB2312" w:eastAsia="仿宋_GB2312"/>
          <w:color w:val="000000" w:themeColor="text1"/>
          <w:sz w:val="32"/>
          <w:szCs w:val="32"/>
          <w:lang w:val="zh-CN"/>
          <w14:textFill>
            <w14:solidFill>
              <w14:schemeClr w14:val="tx1"/>
            </w14:solidFill>
          </w14:textFill>
        </w:rPr>
        <w:t>部门整体绩效评价评分表</w:t>
      </w:r>
      <w:r>
        <w:rPr>
          <w:rStyle w:val="42"/>
          <w:rFonts w:ascii="仿宋_GB2312" w:eastAsia="仿宋_GB2312"/>
          <w:color w:val="000000" w:themeColor="text1"/>
          <w:sz w:val="32"/>
          <w:szCs w:val="32"/>
          <w:lang w:val="zh-CN"/>
          <w14:textFill>
            <w14:solidFill>
              <w14:schemeClr w14:val="tx1"/>
            </w14:solidFill>
          </w14:textFill>
        </w:rPr>
        <w:t>“项目绩效”</w:t>
      </w:r>
      <w:r>
        <w:rPr>
          <w:rStyle w:val="42"/>
          <w:rFonts w:hint="eastAsia" w:ascii="仿宋_GB2312" w:eastAsia="仿宋_GB2312"/>
          <w:color w:val="000000" w:themeColor="text1"/>
          <w:sz w:val="32"/>
          <w:szCs w:val="32"/>
          <w:lang w:val="zh-CN"/>
          <w14:textFill>
            <w14:solidFill>
              <w14:schemeClr w14:val="tx1"/>
            </w14:solidFill>
          </w14:textFill>
        </w:rPr>
        <w:t>对</w:t>
      </w:r>
      <w:r>
        <w:rPr>
          <w:rStyle w:val="42"/>
          <w:rFonts w:ascii="仿宋_GB2312" w:eastAsia="仿宋_GB2312"/>
          <w:color w:val="000000" w:themeColor="text1"/>
          <w:sz w:val="32"/>
          <w:szCs w:val="32"/>
          <w:lang w:val="zh-CN"/>
          <w14:textFill>
            <w14:solidFill>
              <w14:schemeClr w14:val="tx1"/>
            </w14:solidFill>
          </w14:textFill>
        </w:rPr>
        <w:t>项目</w:t>
      </w:r>
      <w:r>
        <w:rPr>
          <w:rStyle w:val="42"/>
          <w:rFonts w:ascii="仿宋_GB2312" w:eastAsia="仿宋_GB2312"/>
          <w:color w:val="000000" w:themeColor="text1"/>
          <w:sz w:val="32"/>
          <w:szCs w:val="32"/>
          <w14:textFill>
            <w14:solidFill>
              <w14:schemeClr w14:val="tx1"/>
            </w14:solidFill>
          </w14:textFill>
        </w:rPr>
        <w:t>决策、项目执行、目标实现等情况</w:t>
      </w:r>
      <w:r>
        <w:rPr>
          <w:rStyle w:val="42"/>
          <w:rFonts w:hint="eastAsia" w:ascii="仿宋_GB2312" w:eastAsia="仿宋_GB2312"/>
          <w:color w:val="000000" w:themeColor="text1"/>
          <w:sz w:val="32"/>
          <w:szCs w:val="32"/>
          <w14:textFill>
            <w14:solidFill>
              <w14:schemeClr w14:val="tx1"/>
            </w14:solidFill>
          </w14:textFill>
        </w:rPr>
        <w:t>进行全面分析。</w:t>
      </w:r>
    </w:p>
    <w:p>
      <w:pPr>
        <w:adjustRightInd w:val="0"/>
        <w:snapToGrid w:val="0"/>
        <w:spacing w:line="550" w:lineRule="exact"/>
        <w:ind w:firstLine="640" w:firstLineChars="200"/>
        <w:textAlignment w:val="baseline"/>
        <w:rPr>
          <w:rStyle w:val="42"/>
          <w:rFonts w:ascii="仿宋_GB2312" w:eastAsia="仿宋_GB2312"/>
          <w:color w:val="000000" w:themeColor="text1"/>
          <w:sz w:val="32"/>
          <w:szCs w:val="32"/>
          <w:lang w:val="zh-CN"/>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2023年度项目预算金额共计1829.28万元，</w:t>
      </w:r>
      <w:r>
        <w:rPr>
          <w:rStyle w:val="42"/>
          <w:rFonts w:ascii="仿宋_GB2312" w:eastAsia="仿宋_GB2312"/>
          <w:color w:val="000000" w:themeColor="text1"/>
          <w:sz w:val="32"/>
          <w:szCs w:val="32"/>
          <w:lang w:val="zh-CN"/>
          <w14:textFill>
            <w14:solidFill>
              <w14:schemeClr w14:val="tx1"/>
            </w14:solidFill>
          </w14:textFill>
        </w:rPr>
        <w:t>除去上年结转，</w:t>
      </w:r>
      <w:r>
        <w:rPr>
          <w:rStyle w:val="42"/>
          <w:rFonts w:hint="eastAsia" w:ascii="仿宋_GB2312" w:eastAsia="仿宋_GB2312"/>
          <w:color w:val="000000" w:themeColor="text1"/>
          <w:sz w:val="32"/>
          <w:szCs w:val="32"/>
          <w:lang w:val="zh-CN"/>
          <w14:textFill>
            <w14:solidFill>
              <w14:schemeClr w14:val="tx1"/>
            </w14:solidFill>
          </w14:textFill>
        </w:rPr>
        <w:t>本年项目共</w:t>
      </w:r>
      <w:r>
        <w:rPr>
          <w:rStyle w:val="42"/>
          <w:rFonts w:hint="eastAsia" w:ascii="仿宋_GB2312" w:eastAsia="仿宋_GB2312"/>
          <w:color w:val="000000" w:themeColor="text1"/>
          <w:sz w:val="32"/>
          <w:szCs w:val="32"/>
          <w14:textFill>
            <w14:solidFill>
              <w14:schemeClr w14:val="tx1"/>
            </w14:solidFill>
          </w14:textFill>
        </w:rPr>
        <w:t>19个</w:t>
      </w:r>
      <w:r>
        <w:rPr>
          <w:rStyle w:val="42"/>
          <w:rFonts w:ascii="仿宋_GB2312" w:eastAsia="仿宋_GB2312"/>
          <w:color w:val="000000" w:themeColor="text1"/>
          <w:sz w:val="32"/>
          <w:szCs w:val="32"/>
          <w:lang w:val="zh-CN"/>
          <w14:textFill>
            <w14:solidFill>
              <w14:schemeClr w14:val="tx1"/>
            </w14:solidFill>
          </w14:textFill>
        </w:rPr>
        <w:t>，</w:t>
      </w:r>
      <w:r>
        <w:rPr>
          <w:rStyle w:val="42"/>
          <w:rFonts w:hint="eastAsia" w:ascii="仿宋_GB2312" w:eastAsia="仿宋_GB2312"/>
          <w:color w:val="000000" w:themeColor="text1"/>
          <w:sz w:val="32"/>
          <w:szCs w:val="32"/>
          <w:lang w:val="zh-CN"/>
          <w14:textFill>
            <w14:solidFill>
              <w14:schemeClr w14:val="tx1"/>
            </w14:solidFill>
          </w14:textFill>
        </w:rPr>
        <w:t>涉及金额</w:t>
      </w:r>
      <w:r>
        <w:rPr>
          <w:rStyle w:val="42"/>
          <w:rFonts w:hint="eastAsia" w:ascii="仿宋_GB2312" w:eastAsia="仿宋_GB2312"/>
          <w:color w:val="000000" w:themeColor="text1"/>
          <w:sz w:val="32"/>
          <w:szCs w:val="32"/>
          <w14:textFill>
            <w14:solidFill>
              <w14:schemeClr w14:val="tx1"/>
            </w14:solidFill>
          </w14:textFill>
        </w:rPr>
        <w:t>1603.44 万元，支付1490.29万元，</w:t>
      </w:r>
      <w:r>
        <w:rPr>
          <w:rStyle w:val="42"/>
          <w:rFonts w:ascii="仿宋_GB2312" w:eastAsia="仿宋_GB2312"/>
          <w:color w:val="000000" w:themeColor="text1"/>
          <w:sz w:val="32"/>
          <w:szCs w:val="32"/>
          <w:lang w:val="zh-CN"/>
          <w14:textFill>
            <w14:solidFill>
              <w14:schemeClr w14:val="tx1"/>
            </w14:solidFill>
          </w14:textFill>
        </w:rPr>
        <w:t>1</w:t>
      </w:r>
      <w:r>
        <w:rPr>
          <w:rStyle w:val="42"/>
          <w:rFonts w:hint="eastAsia" w:ascii="仿宋_GB2312" w:eastAsia="仿宋_GB2312"/>
          <w:color w:val="000000" w:themeColor="text1"/>
          <w:sz w:val="32"/>
          <w:szCs w:val="32"/>
          <w:lang w:val="zh-CN"/>
          <w14:textFill>
            <w14:solidFill>
              <w14:schemeClr w14:val="tx1"/>
            </w14:solidFill>
          </w14:textFill>
        </w:rPr>
        <w:t>—</w:t>
      </w:r>
      <w:r>
        <w:rPr>
          <w:rStyle w:val="42"/>
          <w:rFonts w:ascii="仿宋_GB2312" w:eastAsia="仿宋_GB2312"/>
          <w:color w:val="000000" w:themeColor="text1"/>
          <w:sz w:val="32"/>
          <w:szCs w:val="32"/>
          <w:lang w:val="zh-CN"/>
          <w14:textFill>
            <w14:solidFill>
              <w14:schemeClr w14:val="tx1"/>
            </w14:solidFill>
          </w14:textFill>
        </w:rPr>
        <w:t>1</w:t>
      </w:r>
      <w:r>
        <w:rPr>
          <w:rStyle w:val="42"/>
          <w:rFonts w:ascii="仿宋_GB2312" w:eastAsia="仿宋_GB2312"/>
          <w:color w:val="000000" w:themeColor="text1"/>
          <w:sz w:val="32"/>
          <w:szCs w:val="32"/>
          <w14:textFill>
            <w14:solidFill>
              <w14:schemeClr w14:val="tx1"/>
            </w14:solidFill>
          </w14:textFill>
        </w:rPr>
        <w:t>2</w:t>
      </w:r>
      <w:r>
        <w:rPr>
          <w:rStyle w:val="42"/>
          <w:rFonts w:ascii="仿宋_GB2312" w:eastAsia="仿宋_GB2312"/>
          <w:color w:val="000000" w:themeColor="text1"/>
          <w:sz w:val="32"/>
          <w:szCs w:val="32"/>
          <w:lang w:val="zh-CN"/>
          <w14:textFill>
            <w14:solidFill>
              <w14:schemeClr w14:val="tx1"/>
            </w14:solidFill>
          </w14:textFill>
        </w:rPr>
        <w:t>月预算执行总体进度为</w:t>
      </w:r>
      <w:r>
        <w:rPr>
          <w:rStyle w:val="42"/>
          <w:rFonts w:ascii="仿宋_GB2312" w:eastAsia="仿宋_GB2312"/>
          <w:color w:val="000000" w:themeColor="text1"/>
          <w:sz w:val="32"/>
          <w:szCs w:val="32"/>
          <w14:textFill>
            <w14:solidFill>
              <w14:schemeClr w14:val="tx1"/>
            </w14:solidFill>
          </w14:textFill>
        </w:rPr>
        <w:t xml:space="preserve"> </w:t>
      </w:r>
      <w:r>
        <w:rPr>
          <w:rStyle w:val="42"/>
          <w:rFonts w:hint="eastAsia" w:ascii="仿宋_GB2312" w:eastAsia="仿宋_GB2312"/>
          <w:color w:val="000000" w:themeColor="text1"/>
          <w:sz w:val="32"/>
          <w:szCs w:val="32"/>
          <w14:textFill>
            <w14:solidFill>
              <w14:schemeClr w14:val="tx1"/>
            </w14:solidFill>
          </w14:textFill>
        </w:rPr>
        <w:t>92.94</w:t>
      </w:r>
      <w:r>
        <w:rPr>
          <w:rStyle w:val="42"/>
          <w:rFonts w:ascii="仿宋_GB2312" w:eastAsia="仿宋_GB2312"/>
          <w:color w:val="000000" w:themeColor="text1"/>
          <w:sz w:val="32"/>
          <w:szCs w:val="32"/>
          <w14:textFill>
            <w14:solidFill>
              <w14:schemeClr w14:val="tx1"/>
            </w14:solidFill>
          </w14:textFill>
        </w:rPr>
        <w:t xml:space="preserve"> </w:t>
      </w:r>
      <w:r>
        <w:rPr>
          <w:rStyle w:val="42"/>
          <w:rFonts w:ascii="仿宋_GB2312" w:eastAsia="仿宋_GB2312"/>
          <w:color w:val="000000" w:themeColor="text1"/>
          <w:sz w:val="32"/>
          <w:szCs w:val="32"/>
          <w:lang w:val="zh-CN"/>
          <w14:textFill>
            <w14:solidFill>
              <w14:schemeClr w14:val="tx1"/>
            </w14:solidFill>
          </w14:textFill>
        </w:rPr>
        <w:t>%，其中：预算结余率大于</w:t>
      </w:r>
      <w:r>
        <w:rPr>
          <w:rStyle w:val="42"/>
          <w:rFonts w:ascii="仿宋_GB2312" w:eastAsia="仿宋_GB2312"/>
          <w:color w:val="000000" w:themeColor="text1"/>
          <w:sz w:val="32"/>
          <w:szCs w:val="32"/>
          <w14:textFill>
            <w14:solidFill>
              <w14:schemeClr w14:val="tx1"/>
            </w14:solidFill>
          </w14:textFill>
        </w:rPr>
        <w:t>10%</w:t>
      </w:r>
      <w:r>
        <w:rPr>
          <w:rStyle w:val="42"/>
          <w:rFonts w:ascii="仿宋_GB2312" w:eastAsia="仿宋_GB2312"/>
          <w:color w:val="000000" w:themeColor="text1"/>
          <w:sz w:val="32"/>
          <w:szCs w:val="32"/>
          <w:lang w:val="zh-CN"/>
          <w14:textFill>
            <w14:solidFill>
              <w14:schemeClr w14:val="tx1"/>
            </w14:solidFill>
          </w14:textFill>
        </w:rPr>
        <w:t>的项目共计</w:t>
      </w:r>
      <w:r>
        <w:rPr>
          <w:rStyle w:val="42"/>
          <w:rFonts w:ascii="仿宋_GB2312" w:eastAsia="仿宋_GB2312"/>
          <w:color w:val="000000" w:themeColor="text1"/>
          <w:sz w:val="32"/>
          <w:szCs w:val="32"/>
          <w14:textFill>
            <w14:solidFill>
              <w14:schemeClr w14:val="tx1"/>
            </w14:solidFill>
          </w14:textFill>
        </w:rPr>
        <w:t xml:space="preserve"> </w:t>
      </w:r>
      <w:r>
        <w:rPr>
          <w:rStyle w:val="42"/>
          <w:rFonts w:hint="eastAsia" w:ascii="仿宋_GB2312" w:eastAsia="仿宋_GB2312"/>
          <w:color w:val="000000" w:themeColor="text1"/>
          <w:sz w:val="32"/>
          <w:szCs w:val="32"/>
          <w14:textFill>
            <w14:solidFill>
              <w14:schemeClr w14:val="tx1"/>
            </w14:solidFill>
          </w14:textFill>
        </w:rPr>
        <w:t>2</w:t>
      </w:r>
      <w:r>
        <w:rPr>
          <w:rStyle w:val="42"/>
          <w:rFonts w:ascii="仿宋_GB2312" w:eastAsia="仿宋_GB2312"/>
          <w:color w:val="000000" w:themeColor="text1"/>
          <w:sz w:val="32"/>
          <w:szCs w:val="32"/>
          <w14:textFill>
            <w14:solidFill>
              <w14:schemeClr w14:val="tx1"/>
            </w14:solidFill>
          </w14:textFill>
        </w:rPr>
        <w:t xml:space="preserve"> </w:t>
      </w:r>
      <w:r>
        <w:rPr>
          <w:rStyle w:val="42"/>
          <w:rFonts w:ascii="仿宋_GB2312" w:eastAsia="仿宋_GB2312"/>
          <w:color w:val="000000" w:themeColor="text1"/>
          <w:sz w:val="32"/>
          <w:szCs w:val="32"/>
          <w:lang w:val="zh-CN"/>
          <w14:textFill>
            <w14:solidFill>
              <w14:schemeClr w14:val="tx1"/>
            </w14:solidFill>
          </w14:textFill>
        </w:rPr>
        <w:t>个</w:t>
      </w:r>
      <w:r>
        <w:rPr>
          <w:rStyle w:val="42"/>
          <w:rFonts w:hint="eastAsia" w:ascii="仿宋_GB2312" w:eastAsia="仿宋_GB2312"/>
          <w:color w:val="000000" w:themeColor="text1"/>
          <w:sz w:val="32"/>
          <w:szCs w:val="32"/>
          <w:lang w:val="zh-CN"/>
          <w14:textFill>
            <w14:solidFill>
              <w14:schemeClr w14:val="tx1"/>
            </w14:solidFill>
          </w14:textFill>
        </w:rPr>
        <w:t>。</w:t>
      </w:r>
    </w:p>
    <w:p>
      <w:pPr>
        <w:adjustRightInd w:val="0"/>
        <w:snapToGrid w:val="0"/>
        <w:spacing w:line="550"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1</w:t>
      </w:r>
      <w:r>
        <w:rPr>
          <w:rStyle w:val="42"/>
          <w:rFonts w:ascii="仿宋_GB2312" w:eastAsia="仿宋_GB2312"/>
          <w:color w:val="000000" w:themeColor="text1"/>
          <w:sz w:val="32"/>
          <w:szCs w:val="32"/>
          <w14:textFill>
            <w14:solidFill>
              <w14:schemeClr w14:val="tx1"/>
            </w14:solidFill>
          </w14:textFill>
        </w:rPr>
        <w:t>.</w:t>
      </w:r>
      <w:r>
        <w:rPr>
          <w:rStyle w:val="42"/>
          <w:rFonts w:hint="eastAsia" w:ascii="仿宋_GB2312" w:eastAsia="仿宋_GB2312"/>
          <w:color w:val="000000" w:themeColor="text1"/>
          <w:sz w:val="32"/>
          <w:szCs w:val="32"/>
          <w14:textFill>
            <w14:solidFill>
              <w14:schemeClr w14:val="tx1"/>
            </w14:solidFill>
          </w14:textFill>
        </w:rPr>
        <w:t>项目决策</w:t>
      </w:r>
      <w:r>
        <w:rPr>
          <w:rStyle w:val="42"/>
          <w:rFonts w:ascii="仿宋_GB2312" w:eastAsia="仿宋_GB2312"/>
          <w:color w:val="000000" w:themeColor="text1"/>
          <w:sz w:val="32"/>
          <w:szCs w:val="32"/>
          <w14:textFill>
            <w14:solidFill>
              <w14:schemeClr w14:val="tx1"/>
            </w14:solidFill>
          </w14:textFill>
        </w:rPr>
        <w:t>（12分）</w:t>
      </w:r>
    </w:p>
    <w:p>
      <w:pPr>
        <w:adjustRightInd w:val="0"/>
        <w:snapToGrid w:val="0"/>
        <w:spacing w:line="550"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（1）决策程序。我局预算项目设立全部按规定履行评估论证、申报程序</w:t>
      </w:r>
      <w:r>
        <w:rPr>
          <w:rStyle w:val="42"/>
          <w:rFonts w:ascii="仿宋_GB2312" w:eastAsia="仿宋_GB2312"/>
          <w:color w:val="000000" w:themeColor="text1"/>
          <w:sz w:val="32"/>
          <w:szCs w:val="32"/>
          <w14:textFill>
            <w14:solidFill>
              <w14:schemeClr w14:val="tx1"/>
            </w14:solidFill>
          </w14:textFill>
        </w:rPr>
        <w:t>。该项自评得4分。</w:t>
      </w:r>
    </w:p>
    <w:p>
      <w:pPr>
        <w:adjustRightInd w:val="0"/>
        <w:snapToGrid w:val="0"/>
        <w:spacing w:line="550"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（2）</w:t>
      </w:r>
      <w:r>
        <w:rPr>
          <w:rStyle w:val="42"/>
          <w:rFonts w:ascii="仿宋_GB2312" w:eastAsia="仿宋_GB2312"/>
          <w:color w:val="000000" w:themeColor="text1"/>
          <w:sz w:val="32"/>
          <w:szCs w:val="32"/>
          <w14:textFill>
            <w14:solidFill>
              <w14:schemeClr w14:val="tx1"/>
            </w14:solidFill>
          </w14:textFill>
        </w:rPr>
        <w:t>目标设置。我局预算项目绩效目标与计划期内的任务量、预算安排的资金量匹配情况，绩效目标设置是否科学合理、规范完整、量化细化、预算匹配。该项自评得4分。</w:t>
      </w:r>
    </w:p>
    <w:p>
      <w:pPr>
        <w:adjustRightInd w:val="0"/>
        <w:snapToGrid w:val="0"/>
        <w:spacing w:line="550"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（3）</w:t>
      </w:r>
      <w:r>
        <w:rPr>
          <w:rStyle w:val="42"/>
          <w:rFonts w:ascii="仿宋_GB2312" w:eastAsia="仿宋_GB2312"/>
          <w:color w:val="000000" w:themeColor="text1"/>
          <w:sz w:val="32"/>
          <w:szCs w:val="32"/>
          <w14:textFill>
            <w14:solidFill>
              <w14:schemeClr w14:val="tx1"/>
            </w14:solidFill>
          </w14:textFill>
        </w:rPr>
        <w:t>项目入库。我局预算项目在规定时间完成项目入库。该项自评得4分。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2</w:t>
      </w:r>
      <w:r>
        <w:rPr>
          <w:rStyle w:val="42"/>
          <w:rFonts w:ascii="仿宋_GB2312" w:eastAsia="仿宋_GB2312"/>
          <w:color w:val="000000" w:themeColor="text1"/>
          <w:sz w:val="32"/>
          <w:szCs w:val="32"/>
          <w14:textFill>
            <w14:solidFill>
              <w14:schemeClr w14:val="tx1"/>
            </w14:solidFill>
          </w14:textFill>
        </w:rPr>
        <w:t>.项目执行</w:t>
      </w:r>
      <w:r>
        <w:rPr>
          <w:rStyle w:val="42"/>
          <w:rFonts w:hint="eastAsia" w:ascii="仿宋_GB2312" w:eastAsia="仿宋_GB2312"/>
          <w:color w:val="000000" w:themeColor="text1"/>
          <w:sz w:val="32"/>
          <w:szCs w:val="32"/>
          <w14:textFill>
            <w14:solidFill>
              <w14:schemeClr w14:val="tx1"/>
            </w14:solidFill>
          </w14:textFill>
        </w:rPr>
        <w:t>（11.62分）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（1）</w:t>
      </w:r>
      <w:r>
        <w:rPr>
          <w:rStyle w:val="42"/>
          <w:rFonts w:ascii="仿宋_GB2312" w:eastAsia="仿宋_GB2312"/>
          <w:color w:val="000000" w:themeColor="text1"/>
          <w:sz w:val="32"/>
          <w:szCs w:val="32"/>
          <w14:textFill>
            <w14:solidFill>
              <w14:schemeClr w14:val="tx1"/>
            </w14:solidFill>
          </w14:textFill>
        </w:rPr>
        <w:t>执行同向</w:t>
      </w:r>
      <w:r>
        <w:rPr>
          <w:rStyle w:val="42"/>
          <w:rFonts w:hint="eastAsia" w:ascii="仿宋_GB2312" w:eastAsia="仿宋_GB2312"/>
          <w:color w:val="000000" w:themeColor="text1"/>
          <w:sz w:val="32"/>
          <w:szCs w:val="32"/>
          <w14:textFill>
            <w14:solidFill>
              <w14:schemeClr w14:val="tx1"/>
            </w14:solidFill>
          </w14:textFill>
        </w:rPr>
        <w:t>。我局预算项目实际列支内容与绩效目标设置方向相符。该项自评得4分。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（2）</w:t>
      </w:r>
      <w:r>
        <w:rPr>
          <w:rStyle w:val="42"/>
          <w:rFonts w:ascii="仿宋_GB2312" w:eastAsia="仿宋_GB2312"/>
          <w:color w:val="000000" w:themeColor="text1"/>
          <w:sz w:val="32"/>
          <w:szCs w:val="32"/>
          <w14:textFill>
            <w14:solidFill>
              <w14:schemeClr w14:val="tx1"/>
            </w14:solidFill>
          </w14:textFill>
        </w:rPr>
        <w:t>项目调整</w:t>
      </w:r>
      <w:r>
        <w:rPr>
          <w:rStyle w:val="42"/>
          <w:rFonts w:hint="eastAsia" w:ascii="仿宋_GB2312" w:eastAsia="仿宋_GB2312"/>
          <w:color w:val="000000" w:themeColor="text1"/>
          <w:sz w:val="32"/>
          <w:szCs w:val="32"/>
          <w14:textFill>
            <w14:solidFill>
              <w14:schemeClr w14:val="tx1"/>
            </w14:solidFill>
          </w14:textFill>
        </w:rPr>
        <w:t>。我局预算项目均采取对应调整措施。该项自评得4分。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3）执行结果。除去上年结转，本年特定预算项目13个，转移支付项目3个，待下预算项目5个，共计21个项目，预算结余率小于10%的项目有19个，定点医疗机构监管工作经费和医疗服务与保障能力提升资金项目预算结余率大于10%，该项目自评得3.62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3</w:t>
      </w:r>
      <w:r>
        <w:rPr>
          <w:rStyle w:val="42"/>
          <w:rFonts w:ascii="仿宋_GB2312" w:eastAsia="仿宋_GB2312"/>
          <w:color w:val="000000" w:themeColor="text1"/>
          <w:sz w:val="32"/>
          <w:szCs w:val="32"/>
          <w14:textFill>
            <w14:solidFill>
              <w14:schemeClr w14:val="tx1"/>
            </w14:solidFill>
          </w14:textFill>
        </w:rPr>
        <w:t>.</w:t>
      </w:r>
      <w:r>
        <w:rPr>
          <w:rStyle w:val="42"/>
          <w:rFonts w:hint="eastAsia" w:ascii="仿宋_GB2312" w:eastAsia="仿宋_GB2312"/>
          <w:color w:val="000000" w:themeColor="text1"/>
          <w:sz w:val="32"/>
          <w:szCs w:val="32"/>
          <w14:textFill>
            <w14:solidFill>
              <w14:schemeClr w14:val="tx1"/>
            </w14:solidFill>
          </w14:textFill>
        </w:rPr>
        <w:t>目标实现（11分）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（1）目标完成。我局预算项目绩效目标数量指标全部完成。该项自评得4分。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（2）</w:t>
      </w:r>
      <w:r>
        <w:rPr>
          <w:rStyle w:val="42"/>
          <w:rFonts w:ascii="仿宋_GB2312" w:eastAsia="仿宋_GB2312"/>
          <w:color w:val="000000" w:themeColor="text1"/>
          <w:sz w:val="32"/>
          <w:szCs w:val="32"/>
          <w14:textFill>
            <w14:solidFill>
              <w14:schemeClr w14:val="tx1"/>
            </w14:solidFill>
          </w14:textFill>
        </w:rPr>
        <w:t>目标偏离</w:t>
      </w:r>
      <w:r>
        <w:rPr>
          <w:rStyle w:val="42"/>
          <w:rFonts w:hint="eastAsia" w:ascii="仿宋_GB2312" w:eastAsia="仿宋_GB2312"/>
          <w:color w:val="000000" w:themeColor="text1"/>
          <w:sz w:val="32"/>
          <w:szCs w:val="32"/>
          <w14:textFill>
            <w14:solidFill>
              <w14:schemeClr w14:val="tx1"/>
            </w14:solidFill>
          </w14:textFill>
        </w:rPr>
        <w:t>。我局预算项目绩效目标数量指标实现程度与预期目标的偏离度均低于30%该项自评得4分。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（3）实现效果。我局部门预算特定目标类项目绩效目标效益指标全部完成。该项自评得3分。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（三）扣分项（-4分）</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我局在对2023年度部门预算执行情况审计中，发现的问题涉及预算管理、资产管理等四个方面，故本项扣4分</w:t>
      </w:r>
    </w:p>
    <w:p>
      <w:pPr>
        <w:spacing w:line="57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2023年末全市参加基本医疗保险总人数为251.96万人，实现基本医保覆盖率98%以上总体目标，基本医疗保险待遇保障水平稳步提高，财政补助资金按时足额到位，实现了基金收支平衡，切实减轻了参保人员医疗负担，提高了参保群众获得感。</w:t>
      </w:r>
    </w:p>
    <w:p>
      <w:pPr>
        <w:spacing w:line="57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Style w:val="42"/>
          <w:rFonts w:ascii="楷体_GB2312" w:hAnsi="楷体_GB2312" w:eastAsia="楷体_GB2312" w:cs="楷体_GB2312"/>
          <w:color w:val="000000" w:themeColor="text1"/>
          <w:sz w:val="32"/>
          <w:szCs w:val="32"/>
          <w:lang w:val="zh-CN"/>
          <w14:textFill>
            <w14:solidFill>
              <w14:schemeClr w14:val="tx1"/>
            </w14:solidFill>
          </w14:textFill>
        </w:rPr>
        <w:t>（</w:t>
      </w:r>
      <w:r>
        <w:rPr>
          <w:rStyle w:val="42"/>
          <w:rFonts w:hint="eastAsia" w:ascii="楷体_GB2312" w:hAnsi="楷体_GB2312" w:eastAsia="楷体_GB2312" w:cs="楷体_GB2312"/>
          <w:color w:val="000000" w:themeColor="text1"/>
          <w:sz w:val="32"/>
          <w:szCs w:val="32"/>
          <w:lang w:val="zh-CN"/>
          <w14:textFill>
            <w14:solidFill>
              <w14:schemeClr w14:val="tx1"/>
            </w14:solidFill>
          </w14:textFill>
        </w:rPr>
        <w:t>三</w:t>
      </w:r>
      <w:r>
        <w:rPr>
          <w:rStyle w:val="42"/>
          <w:rFonts w:ascii="楷体_GB2312" w:hAnsi="楷体_GB2312" w:eastAsia="楷体_GB2312" w:cs="楷体_GB2312"/>
          <w:color w:val="000000" w:themeColor="text1"/>
          <w:sz w:val="32"/>
          <w:szCs w:val="32"/>
          <w:lang w:val="zh-CN"/>
          <w14:textFill>
            <w14:solidFill>
              <w14:schemeClr w14:val="tx1"/>
            </w14:solidFill>
          </w14:textFill>
        </w:rPr>
        <w:t>）重点领域绩效分析。</w:t>
      </w:r>
      <w:r>
        <w:rPr>
          <w:rFonts w:hint="eastAsia" w:ascii="仿宋_GB2312" w:hAnsi="仿宋_GB2312" w:eastAsia="仿宋_GB2312" w:cs="仿宋_GB2312"/>
          <w:color w:val="000000" w:themeColor="text1"/>
          <w:sz w:val="32"/>
          <w:szCs w:val="32"/>
          <w14:textFill>
            <w14:solidFill>
              <w14:schemeClr w14:val="tx1"/>
            </w14:solidFill>
          </w14:textFill>
        </w:rPr>
        <w:t>我局按照节约、效能适用的原则，合理配置资产，对资产购置做到年初有预算年中有统筹年末有决算，购置有审批，使用中加强资产保管核算，保障了行政事业性国有资产的高效利用。2023年我局办公设施设备购置和维护项目、定点医疗机构监管工作经费项目、医疗与服务能力提升补助资金项目涉及政府采购，均严格按照政府采购流程实施。</w:t>
      </w:r>
    </w:p>
    <w:p>
      <w:pPr>
        <w:adjustRightInd w:val="0"/>
        <w:snapToGrid w:val="0"/>
        <w:spacing w:line="576" w:lineRule="exact"/>
        <w:ind w:firstLine="640" w:firstLineChars="200"/>
        <w:textAlignment w:val="baseline"/>
        <w:rPr>
          <w:rStyle w:val="42"/>
          <w:rFonts w:ascii="楷体_GB2312" w:hAnsi="楷体_GB2312" w:eastAsia="楷体_GB2312" w:cs="楷体_GB2312"/>
          <w:color w:val="000000" w:themeColor="text1"/>
          <w:sz w:val="32"/>
          <w:szCs w:val="32"/>
          <w14:textFill>
            <w14:solidFill>
              <w14:schemeClr w14:val="tx1"/>
            </w14:solidFill>
          </w14:textFill>
        </w:rPr>
      </w:pPr>
      <w:r>
        <w:rPr>
          <w:rStyle w:val="42"/>
          <w:rFonts w:hint="eastAsia" w:ascii="楷体_GB2312" w:hAnsi="楷体_GB2312" w:eastAsia="楷体_GB2312" w:cs="楷体_GB2312"/>
          <w:color w:val="000000" w:themeColor="text1"/>
          <w:sz w:val="32"/>
          <w:szCs w:val="32"/>
          <w14:textFill>
            <w14:solidFill>
              <w14:schemeClr w14:val="tx1"/>
            </w14:solidFill>
          </w14:textFill>
        </w:rPr>
        <w:t>（三）绩效结果应用情况</w:t>
      </w:r>
    </w:p>
    <w:p>
      <w:pPr>
        <w:adjustRightInd w:val="0"/>
        <w:snapToGrid w:val="0"/>
        <w:spacing w:line="576" w:lineRule="exact"/>
        <w:ind w:firstLine="640" w:firstLineChars="200"/>
        <w:textAlignment w:val="baseline"/>
        <w:rPr>
          <w:rStyle w:val="42"/>
          <w:rFonts w:ascii="仿宋_GB2312" w:eastAsia="仿宋_GB2312"/>
          <w:color w:val="000000" w:themeColor="text1"/>
          <w:spacing w:val="0"/>
          <w:sz w:val="32"/>
          <w:szCs w:val="32"/>
          <w14:textFill>
            <w14:solidFill>
              <w14:schemeClr w14:val="tx1"/>
            </w14:solidFill>
          </w14:textFill>
        </w:rPr>
      </w:pPr>
      <w:r>
        <w:rPr>
          <w:rStyle w:val="42"/>
          <w:rFonts w:ascii="仿宋_GB2312" w:eastAsia="仿宋_GB2312"/>
          <w:color w:val="000000" w:themeColor="text1"/>
          <w:spacing w:val="0"/>
          <w:sz w:val="32"/>
          <w:szCs w:val="32"/>
          <w14:textFill>
            <w14:solidFill>
              <w14:schemeClr w14:val="tx1"/>
            </w14:solidFill>
          </w14:textFill>
        </w:rPr>
        <w:t>一是内部应用。落实组织保障，将科室设置和绩效自评纳入考核体系，建立相关科室和下属单位预算与绩效挂钩机制，成立了由局长为组长，党组成员为副组长，各科室及局属单位负责人为成员的预算绩效管理工作领导小组，定期研究解决预算绩效管理工作中的实际问题，确保预算项目绩效管理抓严抓实抓落地</w:t>
      </w:r>
      <w:r>
        <w:rPr>
          <w:rStyle w:val="42"/>
          <w:rFonts w:hint="eastAsia" w:ascii="仿宋_GB2312" w:eastAsia="仿宋_GB2312"/>
          <w:color w:val="000000" w:themeColor="text1"/>
          <w:spacing w:val="0"/>
          <w:sz w:val="32"/>
          <w:szCs w:val="32"/>
          <w14:textFill>
            <w14:solidFill>
              <w14:schemeClr w14:val="tx1"/>
            </w14:solidFill>
          </w14:textFill>
        </w:rPr>
        <w:t>。</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二是</w:t>
      </w:r>
      <w:r>
        <w:rPr>
          <w:rStyle w:val="42"/>
          <w:rFonts w:hint="eastAsia" w:ascii="仿宋_GB2312" w:eastAsia="仿宋_GB2312"/>
          <w:color w:val="000000" w:themeColor="text1"/>
          <w:sz w:val="32"/>
          <w:szCs w:val="32"/>
          <w14:textFill>
            <w14:solidFill>
              <w14:schemeClr w14:val="tx1"/>
            </w14:solidFill>
          </w14:textFill>
        </w:rPr>
        <w:t>信息</w:t>
      </w:r>
      <w:r>
        <w:rPr>
          <w:rStyle w:val="42"/>
          <w:rFonts w:ascii="仿宋_GB2312" w:eastAsia="仿宋_GB2312"/>
          <w:color w:val="000000" w:themeColor="text1"/>
          <w:sz w:val="32"/>
          <w:szCs w:val="32"/>
          <w14:textFill>
            <w14:solidFill>
              <w14:schemeClr w14:val="tx1"/>
            </w14:solidFill>
          </w14:textFill>
        </w:rPr>
        <w:t>公开。我局按要求将绩效目标随同部门年初预算同步公开，绩效目标完成情况、部门整体支出绩效评价自评报告等绩效信息随同部门年终决算公开</w:t>
      </w:r>
      <w:r>
        <w:rPr>
          <w:rStyle w:val="42"/>
          <w:rFonts w:hint="eastAsia" w:ascii="仿宋_GB2312" w:eastAsia="仿宋_GB2312"/>
          <w:color w:val="000000" w:themeColor="text1"/>
          <w:sz w:val="32"/>
          <w:szCs w:val="32"/>
          <w14:textFill>
            <w14:solidFill>
              <w14:schemeClr w14:val="tx1"/>
            </w14:solidFill>
          </w14:textFill>
        </w:rPr>
        <w:t>。</w:t>
      </w:r>
      <w:r>
        <w:rPr>
          <w:rStyle w:val="42"/>
          <w:rFonts w:ascii="仿宋_GB2312" w:eastAsia="仿宋_GB2312"/>
          <w:color w:val="000000" w:themeColor="text1"/>
          <w:sz w:val="32"/>
          <w:szCs w:val="32"/>
          <w14:textFill>
            <w14:solidFill>
              <w14:schemeClr w14:val="tx1"/>
            </w14:solidFill>
          </w14:textFill>
        </w:rPr>
        <w:t xml:space="preserve"> </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三</w:t>
      </w:r>
      <w:r>
        <w:rPr>
          <w:rStyle w:val="42"/>
          <w:rFonts w:ascii="仿宋_GB2312" w:eastAsia="仿宋_GB2312"/>
          <w:color w:val="000000" w:themeColor="text1"/>
          <w:sz w:val="32"/>
          <w:szCs w:val="32"/>
          <w14:textFill>
            <w14:solidFill>
              <w14:schemeClr w14:val="tx1"/>
            </w14:solidFill>
          </w14:textFill>
        </w:rPr>
        <w:t>是问题整改。202</w:t>
      </w:r>
      <w:r>
        <w:rPr>
          <w:rStyle w:val="42"/>
          <w:rFonts w:hint="eastAsia" w:ascii="仿宋_GB2312" w:eastAsia="仿宋_GB2312"/>
          <w:color w:val="000000" w:themeColor="text1"/>
          <w:sz w:val="32"/>
          <w:szCs w:val="32"/>
          <w14:textFill>
            <w14:solidFill>
              <w14:schemeClr w14:val="tx1"/>
            </w14:solidFill>
          </w14:textFill>
        </w:rPr>
        <w:t>3</w:t>
      </w:r>
      <w:r>
        <w:rPr>
          <w:rStyle w:val="42"/>
          <w:rFonts w:ascii="仿宋_GB2312" w:eastAsia="仿宋_GB2312"/>
          <w:color w:val="000000" w:themeColor="text1"/>
          <w:sz w:val="32"/>
          <w:szCs w:val="32"/>
          <w14:textFill>
            <w14:solidFill>
              <w14:schemeClr w14:val="tx1"/>
            </w14:solidFill>
          </w14:textFill>
        </w:rPr>
        <w:t>年，我局根据上级统一安排部署，结合地方实际，制定了详细的项目资金执行进度表、路线图，每月对资金执行进度进行考核通报，有效提高了资金的使用率。</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四</w:t>
      </w:r>
      <w:r>
        <w:rPr>
          <w:rStyle w:val="42"/>
          <w:rFonts w:ascii="仿宋_GB2312" w:eastAsia="仿宋_GB2312"/>
          <w:color w:val="000000" w:themeColor="text1"/>
          <w:sz w:val="32"/>
          <w:szCs w:val="32"/>
          <w14:textFill>
            <w14:solidFill>
              <w14:schemeClr w14:val="tx1"/>
            </w14:solidFill>
          </w14:textFill>
        </w:rPr>
        <w:t>是应用反馈。严格按照绩效管理要求要求，按时报送预算绩效管理工作考核自查报告及相关材料，同时我局将各项目绩效评价结果作为次年政策优化、改进管理、预算调整、项目调整等的重要依据，并根据结果对202</w:t>
      </w:r>
      <w:r>
        <w:rPr>
          <w:rStyle w:val="42"/>
          <w:rFonts w:hint="eastAsia" w:ascii="仿宋_GB2312" w:eastAsia="仿宋_GB2312"/>
          <w:color w:val="000000" w:themeColor="text1"/>
          <w:sz w:val="32"/>
          <w:szCs w:val="32"/>
          <w14:textFill>
            <w14:solidFill>
              <w14:schemeClr w14:val="tx1"/>
            </w14:solidFill>
          </w14:textFill>
        </w:rPr>
        <w:t>4</w:t>
      </w:r>
      <w:r>
        <w:rPr>
          <w:rStyle w:val="42"/>
          <w:rFonts w:ascii="仿宋_GB2312" w:eastAsia="仿宋_GB2312"/>
          <w:color w:val="000000" w:themeColor="text1"/>
          <w:sz w:val="32"/>
          <w:szCs w:val="32"/>
          <w14:textFill>
            <w14:solidFill>
              <w14:schemeClr w14:val="tx1"/>
            </w14:solidFill>
          </w14:textFill>
        </w:rPr>
        <w:t>年部分项目做了调整优化</w:t>
      </w:r>
      <w:r>
        <w:rPr>
          <w:rStyle w:val="42"/>
          <w:rFonts w:hint="eastAsia" w:ascii="仿宋_GB2312" w:eastAsia="仿宋_GB2312"/>
          <w:color w:val="000000" w:themeColor="text1"/>
          <w:sz w:val="32"/>
          <w:szCs w:val="32"/>
          <w14:textFill>
            <w14:solidFill>
              <w14:schemeClr w14:val="tx1"/>
            </w14:solidFill>
          </w14:textFill>
        </w:rPr>
        <w:t>。</w:t>
      </w:r>
    </w:p>
    <w:p>
      <w:pPr>
        <w:adjustRightInd w:val="0"/>
        <w:snapToGrid w:val="0"/>
        <w:spacing w:line="576" w:lineRule="exact"/>
        <w:ind w:firstLine="640" w:firstLineChars="200"/>
        <w:textAlignment w:val="baseline"/>
        <w:rPr>
          <w:rStyle w:val="42"/>
          <w:rFonts w:ascii="黑体" w:hAnsi="黑体" w:eastAsia="黑体"/>
          <w:color w:val="000000" w:themeColor="text1"/>
          <w:sz w:val="32"/>
          <w:szCs w:val="32"/>
          <w14:textFill>
            <w14:solidFill>
              <w14:schemeClr w14:val="tx1"/>
            </w14:solidFill>
          </w14:textFill>
        </w:rPr>
      </w:pPr>
      <w:r>
        <w:rPr>
          <w:rStyle w:val="42"/>
          <w:rFonts w:ascii="黑体" w:hAnsi="黑体" w:eastAsia="黑体"/>
          <w:color w:val="000000" w:themeColor="text1"/>
          <w:sz w:val="32"/>
          <w:szCs w:val="32"/>
          <w14:textFill>
            <w14:solidFill>
              <w14:schemeClr w14:val="tx1"/>
            </w14:solidFill>
          </w14:textFill>
        </w:rPr>
        <w:t>四、评价结论及建议</w:t>
      </w:r>
    </w:p>
    <w:p>
      <w:pPr>
        <w:adjustRightInd w:val="0"/>
        <w:snapToGrid w:val="0"/>
        <w:spacing w:line="576" w:lineRule="exact"/>
        <w:ind w:firstLine="640" w:firstLineChars="200"/>
        <w:textAlignment w:val="baseline"/>
        <w:rPr>
          <w:rStyle w:val="42"/>
          <w:rFonts w:ascii="楷体_GB2312" w:hAnsi="楷体_GB2312" w:eastAsia="楷体_GB2312" w:cs="楷体_GB2312"/>
          <w:color w:val="000000" w:themeColor="text1"/>
          <w:sz w:val="32"/>
          <w:szCs w:val="32"/>
          <w14:textFill>
            <w14:solidFill>
              <w14:schemeClr w14:val="tx1"/>
            </w14:solidFill>
          </w14:textFill>
        </w:rPr>
      </w:pPr>
      <w:r>
        <w:rPr>
          <w:rStyle w:val="42"/>
          <w:rFonts w:hint="eastAsia" w:ascii="楷体_GB2312" w:hAnsi="楷体_GB2312" w:eastAsia="楷体_GB2312" w:cs="楷体_GB2312"/>
          <w:color w:val="000000" w:themeColor="text1"/>
          <w:sz w:val="32"/>
          <w:szCs w:val="32"/>
          <w14:textFill>
            <w14:solidFill>
              <w14:schemeClr w14:val="tx1"/>
            </w14:solidFill>
          </w14:textFill>
        </w:rPr>
        <w:t>（一）评价结论</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根据</w:t>
      </w:r>
      <w:r>
        <w:rPr>
          <w:rStyle w:val="42"/>
          <w:rFonts w:ascii="仿宋_GB2312" w:hAnsi="仿宋_GB2312" w:eastAsia="仿宋_GB2312"/>
          <w:color w:val="000000" w:themeColor="text1"/>
          <w:spacing w:val="-6"/>
          <w:sz w:val="32"/>
          <w:szCs w:val="32"/>
          <w14:textFill>
            <w14:solidFill>
              <w14:schemeClr w14:val="tx1"/>
            </w14:solidFill>
          </w14:textFill>
        </w:rPr>
        <w:t>《广元市财政局关于开展202</w:t>
      </w:r>
      <w:r>
        <w:rPr>
          <w:rStyle w:val="42"/>
          <w:rFonts w:hint="eastAsia" w:ascii="仿宋_GB2312" w:hAnsi="仿宋_GB2312" w:eastAsia="仿宋_GB2312"/>
          <w:color w:val="000000" w:themeColor="text1"/>
          <w:spacing w:val="-6"/>
          <w:sz w:val="32"/>
          <w:szCs w:val="32"/>
          <w14:textFill>
            <w14:solidFill>
              <w14:schemeClr w14:val="tx1"/>
            </w14:solidFill>
          </w14:textFill>
        </w:rPr>
        <w:t>4</w:t>
      </w:r>
      <w:r>
        <w:rPr>
          <w:rStyle w:val="42"/>
          <w:rFonts w:ascii="仿宋_GB2312" w:hAnsi="仿宋_GB2312" w:eastAsia="仿宋_GB2312"/>
          <w:color w:val="000000" w:themeColor="text1"/>
          <w:spacing w:val="-6"/>
          <w:sz w:val="32"/>
          <w:szCs w:val="32"/>
          <w14:textFill>
            <w14:solidFill>
              <w14:schemeClr w14:val="tx1"/>
            </w14:solidFill>
          </w14:textFill>
        </w:rPr>
        <w:t>年度</w:t>
      </w:r>
      <w:r>
        <w:rPr>
          <w:rStyle w:val="42"/>
          <w:rFonts w:hint="eastAsia" w:ascii="仿宋_GB2312" w:hAnsi="仿宋_GB2312" w:eastAsia="仿宋_GB2312"/>
          <w:color w:val="000000" w:themeColor="text1"/>
          <w:spacing w:val="-6"/>
          <w:sz w:val="32"/>
          <w:szCs w:val="32"/>
          <w14:textFill>
            <w14:solidFill>
              <w14:schemeClr w14:val="tx1"/>
            </w14:solidFill>
          </w14:textFill>
        </w:rPr>
        <w:t>市级</w:t>
      </w:r>
      <w:r>
        <w:rPr>
          <w:rStyle w:val="42"/>
          <w:rFonts w:ascii="仿宋_GB2312" w:hAnsi="仿宋_GB2312" w:eastAsia="仿宋_GB2312"/>
          <w:color w:val="000000" w:themeColor="text1"/>
          <w:spacing w:val="-6"/>
          <w:sz w:val="32"/>
          <w:szCs w:val="32"/>
          <w14:textFill>
            <w14:solidFill>
              <w14:schemeClr w14:val="tx1"/>
            </w14:solidFill>
          </w14:textFill>
        </w:rPr>
        <w:t>部门绩效自评工作的通知》（广财绩〔202</w:t>
      </w:r>
      <w:r>
        <w:rPr>
          <w:rStyle w:val="42"/>
          <w:rFonts w:hint="eastAsia" w:ascii="仿宋_GB2312" w:hAnsi="仿宋_GB2312" w:eastAsia="仿宋_GB2312"/>
          <w:color w:val="000000" w:themeColor="text1"/>
          <w:spacing w:val="-6"/>
          <w:sz w:val="32"/>
          <w:szCs w:val="32"/>
          <w14:textFill>
            <w14:solidFill>
              <w14:schemeClr w14:val="tx1"/>
            </w14:solidFill>
          </w14:textFill>
        </w:rPr>
        <w:t>4</w:t>
      </w:r>
      <w:r>
        <w:rPr>
          <w:rStyle w:val="42"/>
          <w:rFonts w:ascii="仿宋_GB2312" w:hAnsi="仿宋_GB2312" w:eastAsia="仿宋_GB2312"/>
          <w:color w:val="000000" w:themeColor="text1"/>
          <w:spacing w:val="-6"/>
          <w:sz w:val="32"/>
          <w:szCs w:val="32"/>
          <w14:textFill>
            <w14:solidFill>
              <w14:schemeClr w14:val="tx1"/>
            </w14:solidFill>
          </w14:textFill>
        </w:rPr>
        <w:t>〕6号）</w:t>
      </w:r>
      <w:r>
        <w:rPr>
          <w:rStyle w:val="42"/>
          <w:rFonts w:ascii="仿宋_GB2312" w:eastAsia="仿宋_GB2312"/>
          <w:color w:val="000000" w:themeColor="text1"/>
          <w:sz w:val="32"/>
          <w:szCs w:val="32"/>
          <w14:textFill>
            <w14:solidFill>
              <w14:schemeClr w14:val="tx1"/>
            </w14:solidFill>
          </w14:textFill>
        </w:rPr>
        <w:t>文件要求，我局高度重视，认真学习解读，并对2023年整体支出情况开展自评，自评得</w:t>
      </w:r>
      <w:r>
        <w:rPr>
          <w:rStyle w:val="42"/>
          <w:rFonts w:hint="eastAsia" w:ascii="仿宋_GB2312" w:eastAsia="仿宋_GB2312"/>
          <w:color w:val="000000" w:themeColor="text1"/>
          <w:sz w:val="32"/>
          <w:szCs w:val="32"/>
          <w14:textFill>
            <w14:solidFill>
              <w14:schemeClr w14:val="tx1"/>
            </w14:solidFill>
          </w14:textFill>
        </w:rPr>
        <w:t>90.36</w:t>
      </w:r>
      <w:r>
        <w:rPr>
          <w:rStyle w:val="42"/>
          <w:rFonts w:ascii="仿宋_GB2312" w:eastAsia="仿宋_GB2312"/>
          <w:color w:val="000000" w:themeColor="text1"/>
          <w:sz w:val="32"/>
          <w:szCs w:val="32"/>
          <w14:textFill>
            <w14:solidFill>
              <w14:schemeClr w14:val="tx1"/>
            </w14:solidFill>
          </w14:textFill>
        </w:rPr>
        <w:t>分，自评结果为优秀。</w:t>
      </w:r>
    </w:p>
    <w:p>
      <w:pPr>
        <w:adjustRightInd w:val="0"/>
        <w:snapToGrid w:val="0"/>
        <w:spacing w:line="576" w:lineRule="exact"/>
        <w:ind w:firstLine="640" w:firstLineChars="200"/>
        <w:textAlignment w:val="baseline"/>
        <w:rPr>
          <w:rStyle w:val="42"/>
          <w:rFonts w:ascii="楷体_GB2312" w:hAnsi="楷体_GB2312" w:eastAsia="楷体_GB2312" w:cs="楷体_GB2312"/>
          <w:color w:val="000000" w:themeColor="text1"/>
          <w:sz w:val="32"/>
          <w:szCs w:val="32"/>
          <w14:textFill>
            <w14:solidFill>
              <w14:schemeClr w14:val="tx1"/>
            </w14:solidFill>
          </w14:textFill>
        </w:rPr>
      </w:pPr>
      <w:r>
        <w:rPr>
          <w:rStyle w:val="42"/>
          <w:rFonts w:hint="eastAsia" w:ascii="楷体_GB2312" w:hAnsi="楷体_GB2312" w:eastAsia="楷体_GB2312" w:cs="楷体_GB2312"/>
          <w:color w:val="000000" w:themeColor="text1"/>
          <w:sz w:val="32"/>
          <w:szCs w:val="32"/>
          <w14:textFill>
            <w14:solidFill>
              <w14:schemeClr w14:val="tx1"/>
            </w14:solidFill>
          </w14:textFill>
        </w:rPr>
        <w:t>（二）存在问题</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一是预算</w:t>
      </w:r>
      <w:r>
        <w:rPr>
          <w:rStyle w:val="42"/>
          <w:rFonts w:hint="eastAsia" w:ascii="仿宋_GB2312" w:eastAsia="仿宋_GB2312"/>
          <w:color w:val="000000" w:themeColor="text1"/>
          <w:sz w:val="32"/>
          <w:szCs w:val="32"/>
          <w14:textFill>
            <w14:solidFill>
              <w14:schemeClr w14:val="tx1"/>
            </w14:solidFill>
          </w14:textFill>
        </w:rPr>
        <w:t>绩效指标设置不够全面</w:t>
      </w:r>
      <w:r>
        <w:rPr>
          <w:rStyle w:val="42"/>
          <w:rFonts w:ascii="仿宋_GB2312" w:eastAsia="仿宋_GB2312"/>
          <w:color w:val="000000" w:themeColor="text1"/>
          <w:sz w:val="32"/>
          <w:szCs w:val="32"/>
          <w14:textFill>
            <w14:solidFill>
              <w14:schemeClr w14:val="tx1"/>
            </w14:solidFill>
          </w14:textFill>
        </w:rPr>
        <w:t>。</w:t>
      </w:r>
      <w:r>
        <w:rPr>
          <w:rStyle w:val="42"/>
          <w:rFonts w:hint="eastAsia" w:ascii="仿宋_GB2312" w:eastAsia="仿宋_GB2312"/>
          <w:color w:val="000000" w:themeColor="text1"/>
          <w:sz w:val="32"/>
          <w:szCs w:val="32"/>
          <w14:textFill>
            <w14:solidFill>
              <w14:schemeClr w14:val="tx1"/>
            </w14:solidFill>
          </w14:textFill>
        </w:rPr>
        <w:t>因对项目</w:t>
      </w:r>
      <w:r>
        <w:rPr>
          <w:rStyle w:val="42"/>
          <w:rFonts w:ascii="仿宋_GB2312" w:eastAsia="仿宋_GB2312"/>
          <w:color w:val="000000" w:themeColor="text1"/>
          <w:sz w:val="32"/>
          <w:szCs w:val="32"/>
          <w14:textFill>
            <w14:solidFill>
              <w14:schemeClr w14:val="tx1"/>
            </w14:solidFill>
          </w14:textFill>
        </w:rPr>
        <w:t>编制依据和测算深度不够，</w:t>
      </w:r>
      <w:r>
        <w:rPr>
          <w:rStyle w:val="42"/>
          <w:rFonts w:hint="eastAsia" w:ascii="仿宋_GB2312" w:eastAsia="仿宋_GB2312"/>
          <w:color w:val="000000" w:themeColor="text1"/>
          <w:sz w:val="32"/>
          <w:szCs w:val="32"/>
          <w14:textFill>
            <w14:solidFill>
              <w14:schemeClr w14:val="tx1"/>
            </w14:solidFill>
          </w14:textFill>
        </w:rPr>
        <w:t>导致部分绩效目标无法较好的反映项目整体情况。</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二是预算执行进度不均衡。因个别项目支出集中在年底，</w:t>
      </w:r>
      <w:r>
        <w:rPr>
          <w:rStyle w:val="42"/>
          <w:rFonts w:hint="eastAsia" w:ascii="仿宋_GB2312" w:eastAsia="仿宋_GB2312"/>
          <w:color w:val="000000" w:themeColor="text1"/>
          <w:sz w:val="32"/>
          <w:szCs w:val="32"/>
          <w14:textFill>
            <w14:solidFill>
              <w14:schemeClr w14:val="tx1"/>
            </w14:solidFill>
          </w14:textFill>
        </w:rPr>
        <w:t>导致上半年执行进度低于序时进度。</w:t>
      </w:r>
    </w:p>
    <w:p>
      <w:pPr>
        <w:adjustRightInd w:val="0"/>
        <w:snapToGrid w:val="0"/>
        <w:spacing w:line="576" w:lineRule="exact"/>
        <w:ind w:firstLine="640" w:firstLineChars="200"/>
        <w:textAlignment w:val="baseline"/>
        <w:rPr>
          <w:rStyle w:val="42"/>
          <w:rFonts w:ascii="楷体_GB2312" w:hAnsi="楷体_GB2312" w:eastAsia="楷体_GB2312" w:cs="楷体_GB2312"/>
          <w:color w:val="000000" w:themeColor="text1"/>
          <w:sz w:val="32"/>
          <w:szCs w:val="32"/>
          <w14:textFill>
            <w14:solidFill>
              <w14:schemeClr w14:val="tx1"/>
            </w14:solidFill>
          </w14:textFill>
        </w:rPr>
      </w:pPr>
      <w:r>
        <w:rPr>
          <w:rStyle w:val="42"/>
          <w:rFonts w:hint="eastAsia" w:ascii="楷体_GB2312" w:hAnsi="楷体_GB2312" w:eastAsia="楷体_GB2312" w:cs="楷体_GB2312"/>
          <w:color w:val="000000" w:themeColor="text1"/>
          <w:sz w:val="32"/>
          <w:szCs w:val="32"/>
          <w14:textFill>
            <w14:solidFill>
              <w14:schemeClr w14:val="tx1"/>
            </w14:solidFill>
          </w14:textFill>
        </w:rPr>
        <w:t>（三）改进建议</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ascii="仿宋_GB2312" w:eastAsia="仿宋_GB2312"/>
          <w:color w:val="000000" w:themeColor="text1"/>
          <w:sz w:val="32"/>
          <w:szCs w:val="32"/>
          <w14:textFill>
            <w14:solidFill>
              <w14:schemeClr w14:val="tx1"/>
            </w14:solidFill>
          </w14:textFill>
        </w:rPr>
        <w:t>一是严格执行预算绩效管理规定。定期做好支出财务分析，及时对预算执行情况进行通报和预警。加强项目实施进度的跟踪，</w:t>
      </w:r>
      <w:r>
        <w:rPr>
          <w:rStyle w:val="42"/>
          <w:rFonts w:hint="eastAsia" w:ascii="仿宋_GB2312" w:eastAsia="仿宋_GB2312"/>
          <w:color w:val="000000" w:themeColor="text1"/>
          <w:sz w:val="32"/>
          <w:szCs w:val="32"/>
          <w14:textFill>
            <w14:solidFill>
              <w14:schemeClr w14:val="tx1"/>
            </w14:solidFill>
          </w14:textFill>
        </w:rPr>
        <w:t>提高财政资金支出的运行效率。</w:t>
      </w:r>
    </w:p>
    <w:p>
      <w:pPr>
        <w:adjustRightInd w:val="0"/>
        <w:snapToGrid w:val="0"/>
        <w:spacing w:line="576" w:lineRule="exact"/>
        <w:ind w:firstLine="640" w:firstLineChars="200"/>
        <w:textAlignment w:val="baseline"/>
        <w:rPr>
          <w:rStyle w:val="42"/>
          <w:rFonts w:hint="eastAsia"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二是提升绩效指标编制全面性。深化绩效申报及自评工作，在不同项目核心绩效指标的细化、量化上下功夫，做到各级预算指标均能全面、科学地评价预算项目资金运用情况，从而确保项目绩效目标全面完成。</w:t>
      </w:r>
    </w:p>
    <w:p>
      <w:pPr>
        <w:adjustRightInd w:val="0"/>
        <w:snapToGrid w:val="0"/>
        <w:spacing w:line="576" w:lineRule="exact"/>
        <w:ind w:firstLine="640" w:firstLineChars="200"/>
        <w:textAlignment w:val="baseline"/>
        <w:rPr>
          <w:rStyle w:val="42"/>
          <w:rFonts w:ascii="仿宋_GB2312" w:eastAsia="仿宋_GB2312"/>
          <w:color w:val="000000" w:themeColor="text1"/>
          <w:sz w:val="32"/>
          <w:szCs w:val="32"/>
          <w14:textFill>
            <w14:solidFill>
              <w14:schemeClr w14:val="tx1"/>
            </w14:solidFill>
          </w14:textFill>
        </w:rPr>
      </w:pPr>
      <w:r>
        <w:rPr>
          <w:rStyle w:val="42"/>
          <w:rFonts w:hint="eastAsia" w:ascii="仿宋_GB2312" w:eastAsia="仿宋_GB2312"/>
          <w:color w:val="000000" w:themeColor="text1"/>
          <w:sz w:val="32"/>
          <w:szCs w:val="32"/>
          <w14:textFill>
            <w14:solidFill>
              <w14:schemeClr w14:val="tx1"/>
            </w14:solidFill>
          </w14:textFill>
        </w:rPr>
        <w:t>附表：部门预算项目支出绩效自评表（2023年度）</w:t>
      </w:r>
    </w:p>
    <w:p>
      <w:pPr>
        <w:adjustRightInd w:val="0"/>
        <w:snapToGrid w:val="0"/>
        <w:spacing w:line="576" w:lineRule="exact"/>
        <w:textAlignment w:val="baseline"/>
        <w:rPr>
          <w:color w:val="000000" w:themeColor="text1"/>
          <w:kern w:val="0"/>
          <w:szCs w:val="32"/>
          <w:shd w:val="clear" w:color="auto" w:fill="FFFFFF"/>
          <w14:textFill>
            <w14:solidFill>
              <w14:schemeClr w14:val="tx1"/>
            </w14:solidFill>
          </w14:textFill>
        </w:rPr>
        <w:sectPr>
          <w:footerReference r:id="rId5" w:type="first"/>
          <w:headerReference r:id="rId3" w:type="default"/>
          <w:footerReference r:id="rId4" w:type="default"/>
          <w:pgSz w:w="11906" w:h="16838"/>
          <w:pgMar w:top="2098" w:right="1474" w:bottom="1984" w:left="1587" w:header="851" w:footer="1417" w:gutter="0"/>
          <w:cols w:space="0" w:num="1"/>
          <w:titlePg/>
          <w:docGrid w:type="lines" w:linePitch="313" w:charSpace="0"/>
        </w:sectPr>
      </w:pPr>
    </w:p>
    <w:p>
      <w:pPr>
        <w:spacing w:line="500" w:lineRule="exact"/>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附件</w:t>
      </w:r>
      <w:r>
        <w:rPr>
          <w:rFonts w:ascii="黑体" w:hAnsi="黑体" w:eastAsia="黑体" w:cs="黑体"/>
          <w:color w:val="000000" w:themeColor="text1"/>
          <w:sz w:val="32"/>
          <w:szCs w:val="32"/>
          <w14:textFill>
            <w14:solidFill>
              <w14:schemeClr w14:val="tx1"/>
            </w14:solidFill>
          </w14:textFill>
        </w:rPr>
        <w:t>2-1</w:t>
      </w:r>
    </w:p>
    <w:p>
      <w:pPr>
        <w:pStyle w:val="41"/>
        <w:spacing w:line="578" w:lineRule="exact"/>
        <w:ind w:firstLine="440" w:firstLineChars="100"/>
        <w:jc w:val="cente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pPr>
    </w:p>
    <w:p>
      <w:pPr>
        <w:pStyle w:val="41"/>
        <w:spacing w:line="578" w:lineRule="exact"/>
        <w:ind w:firstLine="440" w:firstLineChars="100"/>
        <w:jc w:val="cente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pPr>
      <w: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t>2023</w:t>
      </w:r>
      <w:r>
        <w:rPr>
          <w:rFonts w:hint="eastAsia" w:ascii="方正小标宋简体" w:hAnsi="方正小标宋简体" w:eastAsia="方正小标宋简体" w:cs="方正小标宋简体"/>
          <w:color w:val="000000" w:themeColor="text1"/>
          <w:kern w:val="2"/>
          <w:sz w:val="44"/>
          <w:szCs w:val="44"/>
          <w:lang w:val="en-US"/>
          <w14:textFill>
            <w14:solidFill>
              <w14:schemeClr w14:val="tx1"/>
            </w14:solidFill>
          </w14:textFill>
        </w:rPr>
        <w:t>年专项预算项目绩效评价报告</w:t>
      </w:r>
    </w:p>
    <w:p>
      <w:pPr>
        <w:pStyle w:val="41"/>
        <w:spacing w:line="578" w:lineRule="exact"/>
        <w:ind w:firstLine="320" w:firstLineChars="100"/>
        <w:jc w:val="center"/>
        <w:rPr>
          <w:rFonts w:ascii="方正楷体简体" w:hAnsi="方正楷体简体" w:eastAsia="方正楷体简体" w:cs="方正楷体简体"/>
          <w:color w:val="000000" w:themeColor="text1"/>
          <w:kern w:val="2"/>
          <w:sz w:val="32"/>
          <w:szCs w:val="32"/>
          <w:lang w:val="en-US"/>
          <w14:textFill>
            <w14:solidFill>
              <w14:schemeClr w14:val="tx1"/>
            </w14:solidFill>
          </w14:textFill>
        </w:rPr>
      </w:pPr>
      <w:r>
        <w:rPr>
          <w:rFonts w:hint="eastAsia" w:ascii="方正楷体简体" w:hAnsi="方正楷体简体" w:eastAsia="方正楷体简体" w:cs="方正楷体简体"/>
          <w:color w:val="000000" w:themeColor="text1"/>
          <w:kern w:val="2"/>
          <w:sz w:val="32"/>
          <w:szCs w:val="32"/>
          <w:lang w:val="en-US"/>
          <w14:textFill>
            <w14:solidFill>
              <w14:schemeClr w14:val="tx1"/>
            </w14:solidFill>
          </w14:textFill>
        </w:rPr>
        <w:t>（大病医疗救助费用）</w:t>
      </w:r>
    </w:p>
    <w:p>
      <w:pPr>
        <w:pStyle w:val="41"/>
        <w:spacing w:line="578" w:lineRule="exact"/>
        <w:ind w:firstLine="640"/>
        <w:jc w:val="center"/>
        <w:rPr>
          <w:rFonts w:ascii="宋体" w:hAnsi="宋体"/>
          <w:color w:val="000000" w:themeColor="text1"/>
          <w:kern w:val="2"/>
          <w:sz w:val="32"/>
          <w:szCs w:val="32"/>
          <w14:textFill>
            <w14:solidFill>
              <w14:schemeClr w14:val="tx1"/>
            </w14:solidFill>
          </w14:textFill>
        </w:rPr>
      </w:pPr>
    </w:p>
    <w:p>
      <w:pPr>
        <w:adjustRightInd w:val="0"/>
        <w:snapToGrid w:val="0"/>
        <w:spacing w:line="576" w:lineRule="exact"/>
        <w:ind w:firstLine="640" w:firstLineChars="200"/>
        <w:rPr>
          <w:rFonts w:ascii="黑体" w:hAnsi="宋体" w:eastAsia="黑体"/>
          <w:color w:val="000000" w:themeColor="text1"/>
          <w:sz w:val="32"/>
          <w:szCs w:val="32"/>
          <w:lang w:val="zh-CN"/>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一、</w:t>
      </w:r>
      <w:r>
        <w:rPr>
          <w:rFonts w:hint="eastAsia" w:ascii="黑体" w:hAnsi="宋体" w:eastAsia="黑体"/>
          <w:color w:val="000000" w:themeColor="text1"/>
          <w:sz w:val="32"/>
          <w:szCs w:val="32"/>
          <w:lang w:val="zh-CN"/>
          <w14:textFill>
            <w14:solidFill>
              <w14:schemeClr w14:val="tx1"/>
            </w14:solidFill>
          </w14:textFill>
        </w:rPr>
        <w:t>项目概况</w:t>
      </w:r>
    </w:p>
    <w:p>
      <w:pPr>
        <w:adjustRightInd w:val="0"/>
        <w:snapToGrid w:val="0"/>
        <w:spacing w:line="576" w:lineRule="exact"/>
        <w:ind w:firstLine="640" w:firstLineChars="200"/>
        <w:rPr>
          <w:rFonts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（一）设立背景及基本情况。</w:t>
      </w:r>
      <w:r>
        <w:rPr>
          <w:rFonts w:hint="eastAsia" w:ascii="仿宋_GB2312" w:hAnsi="仿宋_GB2312" w:eastAsia="仿宋_GB2312" w:cs="仿宋_GB2312"/>
          <w:color w:val="000000" w:themeColor="text1"/>
          <w:sz w:val="32"/>
          <w:szCs w:val="32"/>
          <w:lang w:val="zh-CN"/>
          <w14:textFill>
            <w14:solidFill>
              <w14:schemeClr w14:val="tx1"/>
            </w14:solidFill>
          </w14:textFill>
        </w:rPr>
        <w:t>广元市医疗保障局结合自身职责职能，负责贯彻执行国家、省、市医疗和生育保险政策，对各项医疗政策相关工作进行监督、管理，对各项医疗费报销进行审核、支付。广元市医疗保障事务中心作为市医疗保障局二级单位，具体负责对大病医疗救助费用进行</w:t>
      </w:r>
      <w:r>
        <w:rPr>
          <w:rFonts w:hint="eastAsia" w:ascii="仿宋_GB2312" w:hAnsi="仿宋_GB2312" w:eastAsia="仿宋_GB2312" w:cs="仿宋_GB2312"/>
          <w:color w:val="000000" w:themeColor="text1"/>
          <w:sz w:val="32"/>
          <w:szCs w:val="32"/>
          <w14:textFill>
            <w14:solidFill>
              <w14:schemeClr w14:val="tx1"/>
            </w14:solidFill>
          </w14:textFill>
        </w:rPr>
        <w:t>划转</w:t>
      </w:r>
      <w:r>
        <w:rPr>
          <w:rFonts w:hint="eastAsia" w:ascii="仿宋_GB2312" w:hAnsi="仿宋_GB2312" w:eastAsia="仿宋_GB2312" w:cs="仿宋_GB2312"/>
          <w:color w:val="000000" w:themeColor="text1"/>
          <w:sz w:val="32"/>
          <w:szCs w:val="32"/>
          <w:lang w:val="zh-CN"/>
          <w14:textFill>
            <w14:solidFill>
              <w14:schemeClr w14:val="tx1"/>
            </w14:solidFill>
          </w14:textFill>
        </w:rPr>
        <w:t>。</w:t>
      </w:r>
    </w:p>
    <w:p>
      <w:pPr>
        <w:adjustRightInd w:val="0"/>
        <w:snapToGrid w:val="0"/>
        <w:spacing w:line="576" w:lineRule="exact"/>
        <w:ind w:firstLine="640" w:firstLineChars="200"/>
        <w:rPr>
          <w:rFonts w:ascii="楷体_GB2312" w:hAnsi="宋体" w:eastAsia="楷体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（二）</w:t>
      </w:r>
      <w:r>
        <w:rPr>
          <w:rFonts w:ascii="楷体_GB2312" w:hAnsi="宋体" w:eastAsia="楷体_GB2312"/>
          <w:color w:val="000000" w:themeColor="text1"/>
          <w:sz w:val="32"/>
          <w:szCs w:val="32"/>
          <w14:textFill>
            <w14:solidFill>
              <w14:schemeClr w14:val="tx1"/>
            </w14:solidFill>
          </w14:textFill>
        </w:rPr>
        <w:t>实施目的及支持方向</w:t>
      </w:r>
      <w:r>
        <w:rPr>
          <w:rFonts w:hint="eastAsia" w:ascii="楷体_GB2312" w:hAnsi="宋体" w:eastAsia="楷体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zh-CN"/>
          <w14:textFill>
            <w14:solidFill>
              <w14:schemeClr w14:val="tx1"/>
            </w14:solidFill>
          </w14:textFill>
        </w:rPr>
        <w:t>制定了《广元市医疗保障事务中心关于特殊人群医疗费用审核拨付流程的规定》，对大病医疗救助费用的审核和</w:t>
      </w:r>
      <w:r>
        <w:rPr>
          <w:rFonts w:hint="eastAsia" w:ascii="仿宋_GB2312" w:hAnsi="仿宋_GB2312" w:eastAsia="仿宋_GB2312" w:cs="仿宋_GB2312"/>
          <w:color w:val="000000" w:themeColor="text1"/>
          <w:sz w:val="32"/>
          <w:szCs w:val="32"/>
          <w14:textFill>
            <w14:solidFill>
              <w14:schemeClr w14:val="tx1"/>
            </w14:solidFill>
          </w14:textFill>
        </w:rPr>
        <w:t>划转</w:t>
      </w:r>
      <w:r>
        <w:rPr>
          <w:rFonts w:hint="eastAsia" w:ascii="仿宋_GB2312" w:hAnsi="仿宋_GB2312" w:eastAsia="仿宋_GB2312" w:cs="仿宋_GB2312"/>
          <w:color w:val="000000" w:themeColor="text1"/>
          <w:sz w:val="32"/>
          <w:szCs w:val="32"/>
          <w:lang w:val="zh-CN"/>
          <w14:textFill>
            <w14:solidFill>
              <w14:schemeClr w14:val="tx1"/>
            </w14:solidFill>
          </w14:textFill>
        </w:rPr>
        <w:t>严格按规定执行，控制项目实施成本。</w:t>
      </w:r>
    </w:p>
    <w:p>
      <w:pPr>
        <w:adjustRightInd w:val="0"/>
        <w:snapToGrid w:val="0"/>
        <w:spacing w:line="576" w:lineRule="exact"/>
        <w:ind w:firstLine="640" w:firstLineChars="200"/>
        <w:rPr>
          <w:rFonts w:ascii="仿宋_GB2312" w:hAnsi="宋体"/>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（三）</w:t>
      </w:r>
      <w:r>
        <w:rPr>
          <w:rFonts w:ascii="楷体_GB2312" w:hAnsi="宋体" w:eastAsia="楷体_GB2312"/>
          <w:color w:val="000000" w:themeColor="text1"/>
          <w:sz w:val="32"/>
          <w:szCs w:val="32"/>
          <w14:textFill>
            <w14:solidFill>
              <w14:schemeClr w14:val="tx1"/>
            </w14:solidFill>
          </w14:textFill>
        </w:rPr>
        <w:t>预</w:t>
      </w:r>
      <w:r>
        <w:rPr>
          <w:rFonts w:ascii="楷体_GB2312" w:hAnsi="宋体" w:eastAsia="楷体_GB2312"/>
          <w:color w:val="000000" w:themeColor="text1"/>
          <w:spacing w:val="-11"/>
          <w:sz w:val="32"/>
          <w:szCs w:val="32"/>
          <w14:textFill>
            <w14:solidFill>
              <w14:schemeClr w14:val="tx1"/>
            </w14:solidFill>
          </w14:textFill>
        </w:rPr>
        <w:t>算安排及分配管理</w:t>
      </w:r>
      <w:r>
        <w:rPr>
          <w:rFonts w:hint="eastAsia" w:ascii="楷体_GB2312" w:hAnsi="宋体" w:eastAsia="楷体_GB2312"/>
          <w:color w:val="000000" w:themeColor="text1"/>
          <w:spacing w:val="-11"/>
          <w:sz w:val="32"/>
          <w:szCs w:val="32"/>
          <w:lang w:val="zh-CN"/>
          <w14:textFill>
            <w14:solidFill>
              <w14:schemeClr w14:val="tx1"/>
            </w14:solidFill>
          </w14:textFill>
        </w:rPr>
        <w:t>。</w:t>
      </w:r>
      <w:r>
        <w:rPr>
          <w:rFonts w:hint="eastAsia" w:ascii="仿宋_GB2312" w:hAnsi="仿宋_GB2312" w:eastAsia="仿宋_GB2312" w:cs="仿宋_GB2312"/>
          <w:color w:val="000000" w:themeColor="text1"/>
          <w:spacing w:val="-11"/>
          <w:sz w:val="32"/>
          <w:szCs w:val="32"/>
          <w:lang w:val="zh-CN"/>
          <w14:textFill>
            <w14:solidFill>
              <w14:schemeClr w14:val="tx1"/>
            </w14:solidFill>
          </w14:textFill>
        </w:rPr>
        <w:t>确保符合条件的救助人员能及时享受医疗待遇</w:t>
      </w:r>
      <w:r>
        <w:rPr>
          <w:rFonts w:hint="eastAsia" w:ascii="仿宋_GB2312" w:hAnsi="仿宋_GB2312" w:cs="仿宋_GB2312"/>
          <w:color w:val="000000" w:themeColor="text1"/>
          <w:spacing w:val="-11"/>
          <w:sz w:val="32"/>
          <w:szCs w:val="32"/>
          <w:lang w:val="zh-CN"/>
          <w14:textFill>
            <w14:solidFill>
              <w14:schemeClr w14:val="tx1"/>
            </w14:solidFill>
          </w14:textFill>
        </w:rPr>
        <w:t>，</w:t>
      </w:r>
      <w:r>
        <w:rPr>
          <w:rFonts w:hint="eastAsia" w:ascii="仿宋_GB2312" w:hAnsi="仿宋_GB2312" w:eastAsia="仿宋_GB2312" w:cs="仿宋_GB2312"/>
          <w:color w:val="000000" w:themeColor="text1"/>
          <w:spacing w:val="-11"/>
          <w:sz w:val="32"/>
          <w:szCs w:val="32"/>
          <w:lang w:val="zh-CN"/>
          <w14:textFill>
            <w14:solidFill>
              <w14:schemeClr w14:val="tx1"/>
            </w14:solidFill>
          </w14:textFill>
        </w:rPr>
        <w:t>同时结合当前医疗机构诊水平，合理分配项目资金。</w:t>
      </w:r>
    </w:p>
    <w:p>
      <w:pPr>
        <w:adjustRightInd w:val="0"/>
        <w:snapToGrid w:val="0"/>
        <w:spacing w:line="576" w:lineRule="exact"/>
        <w:ind w:firstLine="640" w:firstLineChars="200"/>
        <w:rPr>
          <w:rFonts w:ascii="仿宋_GB2312" w:hAnsi="仿宋_GB2312" w:cs="仿宋_GB2312"/>
          <w:color w:val="000000" w:themeColor="text1"/>
          <w:kern w:val="0"/>
          <w:sz w:val="32"/>
          <w:szCs w:val="32"/>
          <w:shd w:val="clear" w:color="auto" w:fill="FFFFFF"/>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（四）项目绩效目标设置。</w:t>
      </w:r>
      <w:r>
        <w:rPr>
          <w:rFonts w:hint="eastAsia" w:ascii="仿宋_GB2312" w:hAnsi="宋体" w:eastAsia="仿宋_GB2312"/>
          <w:color w:val="000000" w:themeColor="text1"/>
          <w:sz w:val="32"/>
          <w:szCs w:val="32"/>
          <w14:textFill>
            <w14:solidFill>
              <w14:schemeClr w14:val="tx1"/>
            </w14:solidFill>
          </w14:textFill>
        </w:rPr>
        <w:t>参保人员能及时享受医疗待遇。</w:t>
      </w:r>
    </w:p>
    <w:p>
      <w:pPr>
        <w:adjustRightInd w:val="0"/>
        <w:snapToGrid w:val="0"/>
        <w:spacing w:line="576" w:lineRule="exact"/>
        <w:ind w:firstLine="640" w:firstLineChars="200"/>
        <w:rPr>
          <w:rFonts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二、评价实施</w:t>
      </w:r>
    </w:p>
    <w:p>
      <w:pPr>
        <w:spacing w:line="576" w:lineRule="exact"/>
        <w:ind w:firstLine="640"/>
        <w:rPr>
          <w:rFonts w:ascii="仿宋_GB2312" w:hAnsi="宋体" w:eastAsia="仿宋_GB2312"/>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（一）评价目的。</w:t>
      </w:r>
      <w:r>
        <w:rPr>
          <w:rFonts w:hint="eastAsia" w:ascii="仿宋_GB2312" w:hAnsi="宋体" w:eastAsia="仿宋_GB2312"/>
          <w:color w:val="000000" w:themeColor="text1"/>
          <w:sz w:val="32"/>
          <w:szCs w:val="32"/>
          <w14:textFill>
            <w14:solidFill>
              <w14:schemeClr w14:val="tx1"/>
            </w14:solidFill>
          </w14:textFill>
        </w:rPr>
        <w:t>提高财政资金使用效益，确保参保人员能及时享受医疗待遇。</w:t>
      </w:r>
    </w:p>
    <w:p>
      <w:pPr>
        <w:adjustRightInd w:val="0"/>
        <w:snapToGrid w:val="0"/>
        <w:spacing w:line="576" w:lineRule="exact"/>
        <w:ind w:firstLine="640" w:firstLineChars="200"/>
        <w:rPr>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（二）预设问题及评价重点。</w:t>
      </w:r>
      <w:r>
        <w:rPr>
          <w:rFonts w:hint="eastAsia" w:ascii="仿宋_GB2312" w:hAnsi="仿宋_GB2312" w:eastAsia="仿宋_GB2312" w:cs="仿宋_GB2312"/>
          <w:color w:val="000000" w:themeColor="text1"/>
          <w:sz w:val="32"/>
          <w:szCs w:val="32"/>
          <w:lang w:val="zh-CN"/>
          <w14:textFill>
            <w14:solidFill>
              <w14:schemeClr w14:val="tx1"/>
            </w14:solidFill>
          </w14:textFill>
        </w:rPr>
        <w:t>确保符合条件的救助人员能及时享受医疗待遇</w:t>
      </w:r>
      <w:r>
        <w:rPr>
          <w:rFonts w:hint="eastAsia" w:ascii="仿宋_GB2312" w:hAnsi="仿宋_GB2312" w:cs="仿宋_GB2312"/>
          <w:color w:val="000000" w:themeColor="text1"/>
          <w:sz w:val="32"/>
          <w:szCs w:val="32"/>
          <w:lang w:val="zh-CN"/>
          <w14:textFill>
            <w14:solidFill>
              <w14:schemeClr w14:val="tx1"/>
            </w14:solidFill>
          </w14:textFill>
        </w:rPr>
        <w:t>。</w:t>
      </w:r>
    </w:p>
    <w:p>
      <w:pPr>
        <w:adjustRightInd w:val="0"/>
        <w:snapToGrid w:val="0"/>
        <w:spacing w:line="576" w:lineRule="exact"/>
        <w:ind w:firstLine="640" w:firstLineChars="200"/>
        <w:rPr>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（三）评价选点。</w:t>
      </w:r>
      <w:r>
        <w:rPr>
          <w:rFonts w:hint="eastAsia" w:ascii="仿宋_GB2312" w:hAnsi="仿宋_GB2312" w:eastAsia="仿宋_GB2312" w:cs="仿宋_GB2312"/>
          <w:color w:val="000000" w:themeColor="text1"/>
          <w:sz w:val="32"/>
          <w:szCs w:val="32"/>
          <w:lang w:val="zh-CN"/>
          <w14:textFill>
            <w14:solidFill>
              <w14:schemeClr w14:val="tx1"/>
            </w14:solidFill>
          </w14:textFill>
        </w:rPr>
        <w:t>以整体作为评价。</w:t>
      </w:r>
    </w:p>
    <w:p>
      <w:pPr>
        <w:spacing w:line="576" w:lineRule="exact"/>
        <w:ind w:firstLine="640"/>
        <w:rPr>
          <w:rFonts w:ascii="仿宋_GB2312" w:hAnsi="宋体" w:eastAsia="仿宋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（四）评价方法。</w:t>
      </w:r>
      <w:r>
        <w:rPr>
          <w:rFonts w:hint="eastAsia" w:ascii="仿宋_GB2312" w:hAnsi="宋体" w:eastAsia="仿宋_GB2312"/>
          <w:color w:val="000000" w:themeColor="text1"/>
          <w:sz w:val="32"/>
          <w:szCs w:val="32"/>
          <w:lang w:val="zh-CN"/>
          <w14:textFill>
            <w14:solidFill>
              <w14:schemeClr w14:val="tx1"/>
            </w14:solidFill>
          </w14:textFill>
        </w:rPr>
        <w:t>项目绩效自评按市财政局要求，部门决算后在规定时间内按规定内容进行自评。</w:t>
      </w:r>
    </w:p>
    <w:p>
      <w:pPr>
        <w:spacing w:line="576" w:lineRule="exact"/>
        <w:ind w:firstLine="640" w:firstLineChars="200"/>
        <w:rPr>
          <w:rFonts w:eastAsia="仿宋_GB2312"/>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（五）评价组织。</w:t>
      </w:r>
      <w:r>
        <w:rPr>
          <w:rFonts w:hint="eastAsia" w:ascii="仿宋_GB2312" w:eastAsia="仿宋_GB2312"/>
          <w:color w:val="000000" w:themeColor="text1"/>
          <w:sz w:val="32"/>
          <w:szCs w:val="32"/>
          <w14:textFill>
            <w14:solidFill>
              <w14:schemeClr w14:val="tx1"/>
            </w14:solidFill>
          </w14:textFill>
        </w:rPr>
        <w:t>自评工作领导小组认真全面的进行绩效评价工作，建立健全财务管理制度和内控约束机制，依法、有效地使用财政资金，提高财政资金使用效率，合理分配人、财、物，完成部门职能目标，实现较高的工作效率和水平。</w:t>
      </w:r>
    </w:p>
    <w:p>
      <w:pPr>
        <w:adjustRightInd w:val="0"/>
        <w:snapToGrid w:val="0"/>
        <w:spacing w:line="576" w:lineRule="exact"/>
        <w:ind w:firstLine="640" w:firstLineChars="200"/>
        <w:rPr>
          <w:rFonts w:ascii="仿宋_GB2312" w:hAnsi="宋体"/>
          <w:color w:val="000000" w:themeColor="text1"/>
          <w:sz w:val="32"/>
          <w:szCs w:val="32"/>
          <w:lang w:val="zh-CN"/>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三、绩效分析</w:t>
      </w:r>
      <w:r>
        <w:rPr>
          <w:rFonts w:hint="eastAsia" w:ascii="仿宋_GB2312" w:hAnsi="宋体"/>
          <w:color w:val="000000" w:themeColor="text1"/>
          <w:sz w:val="32"/>
          <w:szCs w:val="32"/>
          <w:lang w:val="zh-CN"/>
          <w14:textFill>
            <w14:solidFill>
              <w14:schemeClr w14:val="tx1"/>
            </w14:solidFill>
          </w14:textFill>
        </w:rPr>
        <w:tab/>
      </w:r>
    </w:p>
    <w:p>
      <w:pPr>
        <w:spacing w:line="576" w:lineRule="exact"/>
        <w:ind w:firstLine="640" w:firstLineChars="200"/>
        <w:rPr>
          <w:rFonts w:ascii="楷体_GB2312" w:hAnsi="楷体_GB2312" w:eastAsia="楷体_GB2312" w:cs="楷体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楷体_GB2312" w:hAnsi="宋体" w:eastAsia="楷体_GB2312"/>
          <w:color w:val="000000" w:themeColor="text1"/>
          <w:sz w:val="32"/>
          <w:szCs w:val="32"/>
          <w14:textFill>
            <w14:solidFill>
              <w14:schemeClr w14:val="tx1"/>
            </w14:solidFill>
          </w14:textFill>
        </w:rPr>
        <w:t>一</w:t>
      </w: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楷体_GB2312" w:hAnsi="宋体" w:eastAsia="楷体_GB2312"/>
          <w:color w:val="000000" w:themeColor="text1"/>
          <w:sz w:val="32"/>
          <w:szCs w:val="32"/>
          <w14:textFill>
            <w14:solidFill>
              <w14:schemeClr w14:val="tx1"/>
            </w14:solidFill>
          </w14:textFill>
        </w:rPr>
        <w:t>专用指标</w:t>
      </w:r>
      <w:r>
        <w:rPr>
          <w:rFonts w:eastAsia="楷体_GB2312"/>
          <w:color w:val="000000" w:themeColor="text1"/>
          <w:kern w:val="0"/>
          <w:sz w:val="32"/>
          <w:szCs w:val="32"/>
          <w:shd w:val="clear" w:color="auto" w:fill="FFFFFF"/>
          <w:lang w:val="zh-CN"/>
          <w14:textFill>
            <w14:solidFill>
              <w14:schemeClr w14:val="tx1"/>
            </w14:solidFill>
          </w14:textFill>
        </w:rPr>
        <w:t>绩效分析</w:t>
      </w:r>
    </w:p>
    <w:p>
      <w:pPr>
        <w:pStyle w:val="37"/>
        <w:adjustRightInd w:val="0"/>
        <w:snapToGrid w:val="0"/>
        <w:spacing w:line="576" w:lineRule="exact"/>
        <w:ind w:firstLine="640"/>
        <w:rPr>
          <w:rFonts w:ascii="仿宋_GB2312" w:eastAsia="仿宋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1.政策制定（自评得30分）。</w:t>
      </w:r>
      <w:r>
        <w:rPr>
          <w:rFonts w:hint="eastAsia" w:ascii="仿宋_GB2312" w:eastAsia="仿宋_GB2312"/>
          <w:color w:val="000000" w:themeColor="text1"/>
          <w:sz w:val="32"/>
          <w:szCs w:val="32"/>
          <w:lang w:val="zh-CN"/>
          <w14:textFill>
            <w14:solidFill>
              <w14:schemeClr w14:val="tx1"/>
            </w14:solidFill>
          </w14:textFill>
        </w:rPr>
        <w:t>民生保障</w:t>
      </w:r>
      <w:r>
        <w:rPr>
          <w:rFonts w:hint="eastAsia" w:ascii="仿宋_GB2312" w:eastAsia="仿宋_GB2312"/>
          <w:color w:val="000000" w:themeColor="text1"/>
          <w:sz w:val="32"/>
          <w:szCs w:val="32"/>
          <w14:textFill>
            <w14:solidFill>
              <w14:schemeClr w14:val="tx1"/>
            </w14:solidFill>
          </w14:textFill>
        </w:rPr>
        <w:t>方面</w:t>
      </w:r>
      <w:r>
        <w:rPr>
          <w:rFonts w:hint="eastAsia" w:ascii="仿宋_GB2312" w:eastAsia="仿宋_GB2312"/>
          <w:color w:val="000000" w:themeColor="text1"/>
          <w:sz w:val="32"/>
          <w:szCs w:val="32"/>
          <w:lang w:val="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政策内各项目资金分配均衡公平，项目支持方向全面覆盖政策应支持的范围和对象，有效衔接了政策内各项目间支持标准，不存在标准差异较大的情况。</w:t>
      </w:r>
    </w:p>
    <w:p>
      <w:pPr>
        <w:adjustRightInd w:val="0"/>
        <w:snapToGrid w:val="0"/>
        <w:spacing w:line="576"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2.政策执行（自评得24分）。</w:t>
      </w:r>
      <w:r>
        <w:rPr>
          <w:rFonts w:hint="eastAsia" w:ascii="仿宋_GB2312" w:hAnsi="宋体" w:eastAsia="仿宋_GB2312"/>
          <w:color w:val="000000" w:themeColor="text1"/>
          <w:sz w:val="32"/>
          <w:szCs w:val="32"/>
          <w14:textFill>
            <w14:solidFill>
              <w14:schemeClr w14:val="tx1"/>
            </w14:solidFill>
          </w14:textFill>
        </w:rPr>
        <w:t>在业务</w:t>
      </w:r>
      <w:r>
        <w:rPr>
          <w:rFonts w:hint="eastAsia" w:ascii="仿宋_GB2312" w:eastAsia="仿宋_GB2312"/>
          <w:color w:val="000000" w:themeColor="text1"/>
          <w:sz w:val="32"/>
          <w:szCs w:val="32"/>
          <w14:textFill>
            <w14:solidFill>
              <w14:schemeClr w14:val="tx1"/>
            </w14:solidFill>
          </w14:textFill>
        </w:rPr>
        <w:t>流程方面，中心严格按照《广元市医疗保障事务中心关于特殊人群医疗费用审核拨付流程的规定》，由业务经办人员对特殊人群有关资料进行初审，业务组长复核，业务分管领导审核后方可由财务领导审批拨付，对金额大于2万元或特殊业务由中心主任签字审批。在财务流程方面，该笔</w:t>
      </w:r>
      <w:r>
        <w:rPr>
          <w:rFonts w:hint="eastAsia" w:ascii="仿宋_GB2312" w:eastAsia="仿宋_GB2312"/>
          <w:color w:val="000000" w:themeColor="text1"/>
          <w:sz w:val="32"/>
          <w:szCs w:val="32"/>
          <w:lang w:val="zh-CN"/>
          <w14:textFill>
            <w14:solidFill>
              <w14:schemeClr w14:val="tx1"/>
            </w14:solidFill>
          </w14:textFill>
        </w:rPr>
        <w:t>经费按财政集中支付管理流程</w:t>
      </w:r>
      <w:r>
        <w:rPr>
          <w:rFonts w:hint="eastAsia" w:ascii="仿宋_GB2312" w:eastAsia="仿宋_GB2312"/>
          <w:color w:val="000000" w:themeColor="text1"/>
          <w:sz w:val="32"/>
          <w:szCs w:val="32"/>
          <w14:textFill>
            <w14:solidFill>
              <w14:schemeClr w14:val="tx1"/>
            </w14:solidFill>
          </w14:textFill>
        </w:rPr>
        <w:t>拨付至广元市医疗保障事务中心医疗保险基金支出户</w:t>
      </w:r>
      <w:r>
        <w:rPr>
          <w:rFonts w:hint="eastAsia" w:ascii="仿宋_GB2312" w:eastAsia="仿宋_GB2312"/>
          <w:color w:val="000000" w:themeColor="text1"/>
          <w:sz w:val="32"/>
          <w:szCs w:val="32"/>
          <w:lang w:val="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医疗保障事务中心根据有关人员申请，经业务工作人员及各级领导审核后，由财务人员进行</w:t>
      </w:r>
      <w:r>
        <w:rPr>
          <w:rFonts w:hint="eastAsia" w:ascii="仿宋_GB2312" w:hAnsi="宋体" w:eastAsia="仿宋_GB2312"/>
          <w:color w:val="000000" w:themeColor="text1"/>
          <w:sz w:val="32"/>
          <w:szCs w:val="32"/>
          <w14:textFill>
            <w14:solidFill>
              <w14:schemeClr w14:val="tx1"/>
            </w14:solidFill>
          </w14:textFill>
        </w:rPr>
        <w:t>拨付。</w:t>
      </w:r>
    </w:p>
    <w:p>
      <w:pPr>
        <w:adjustRightInd w:val="0"/>
        <w:snapToGrid w:val="0"/>
        <w:spacing w:line="576" w:lineRule="exact"/>
        <w:ind w:firstLine="640" w:firstLineChars="200"/>
        <w:rPr>
          <w:rFonts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3.政策效果（自评得16分）。</w:t>
      </w:r>
      <w:r>
        <w:rPr>
          <w:rFonts w:hint="eastAsia" w:ascii="仿宋_GB2312" w:hAnsi="仿宋_GB2312" w:eastAsia="仿宋_GB2312" w:cs="仿宋_GB2312"/>
          <w:color w:val="000000" w:themeColor="text1"/>
          <w:sz w:val="32"/>
          <w:szCs w:val="32"/>
          <w:lang w:val="zh-CN"/>
          <w14:textFill>
            <w14:solidFill>
              <w14:schemeClr w14:val="tx1"/>
            </w14:solidFill>
          </w14:textFill>
        </w:rPr>
        <w:t>本项目资金全年</w:t>
      </w:r>
      <w:r>
        <w:rPr>
          <w:rFonts w:hint="eastAsia" w:ascii="仿宋_GB2312" w:hAnsi="宋体" w:eastAsia="仿宋_GB2312"/>
          <w:color w:val="000000" w:themeColor="text1"/>
          <w:sz w:val="32"/>
          <w:szCs w:val="32"/>
          <w:lang w:val="zh-CN"/>
          <w14:textFill>
            <w14:solidFill>
              <w14:schemeClr w14:val="tx1"/>
            </w14:solidFill>
          </w14:textFill>
        </w:rPr>
        <w:t>共支出</w:t>
      </w:r>
      <w:r>
        <w:rPr>
          <w:rFonts w:hint="eastAsia" w:ascii="仿宋_GB2312" w:hAnsi="宋体" w:eastAsia="仿宋_GB2312"/>
          <w:color w:val="000000" w:themeColor="text1"/>
          <w:sz w:val="32"/>
          <w:szCs w:val="32"/>
          <w14:textFill>
            <w14:solidFill>
              <w14:schemeClr w14:val="tx1"/>
            </w14:solidFill>
          </w14:textFill>
        </w:rPr>
        <w:t>140万元</w:t>
      </w:r>
      <w:r>
        <w:rPr>
          <w:rFonts w:hint="eastAsia" w:ascii="仿宋_GB2312" w:hAnsi="宋体" w:eastAsia="仿宋_GB2312"/>
          <w:color w:val="000000" w:themeColor="text1"/>
          <w:sz w:val="32"/>
          <w:szCs w:val="32"/>
          <w:lang w:val="zh-CN"/>
          <w14:textFill>
            <w14:solidFill>
              <w14:schemeClr w14:val="tx1"/>
            </w14:solidFill>
          </w14:textFill>
        </w:rPr>
        <w:t>，支出进</w:t>
      </w:r>
      <w:r>
        <w:rPr>
          <w:rFonts w:hint="eastAsia" w:ascii="仿宋_GB2312" w:hAnsi="仿宋_GB2312" w:eastAsia="仿宋_GB2312" w:cs="仿宋_GB2312"/>
          <w:color w:val="000000" w:themeColor="text1"/>
          <w:sz w:val="32"/>
          <w:szCs w:val="32"/>
          <w:lang w:val="zh-CN"/>
          <w14:textFill>
            <w14:solidFill>
              <w14:schemeClr w14:val="tx1"/>
            </w14:solidFill>
          </w14:textFill>
        </w:rPr>
        <w:t>度为100%，主要</w:t>
      </w:r>
      <w:r>
        <w:rPr>
          <w:rFonts w:hint="eastAsia" w:ascii="仿宋_GB2312" w:hAnsi="仿宋_GB2312" w:eastAsia="仿宋_GB2312" w:cs="仿宋_GB2312"/>
          <w:color w:val="000000" w:themeColor="text1"/>
          <w:sz w:val="32"/>
          <w:szCs w:val="32"/>
          <w14:textFill>
            <w14:solidFill>
              <w14:schemeClr w14:val="tx1"/>
            </w14:solidFill>
          </w14:textFill>
        </w:rPr>
        <w:t>用于确保符合条件的救助人员能及时享受医疗待遇</w:t>
      </w:r>
      <w:r>
        <w:rPr>
          <w:rFonts w:hint="eastAsia" w:ascii="仿宋_GB2312" w:hAnsi="仿宋_GB2312" w:eastAsia="仿宋_GB2312" w:cs="仿宋_GB2312"/>
          <w:color w:val="000000" w:themeColor="text1"/>
          <w:sz w:val="32"/>
          <w:szCs w:val="32"/>
          <w:lang w:val="zh-CN"/>
          <w14:textFill>
            <w14:solidFill>
              <w14:schemeClr w14:val="tx1"/>
            </w14:solidFill>
          </w14:textFill>
        </w:rPr>
        <w:t>。在项目执行过程中，严格按照预算批复项目资金支付范围、支付标准执行，严控预算执行进度和经费支出情况，资金使用安全、规范、高效</w:t>
      </w:r>
      <w:r>
        <w:rPr>
          <w:rFonts w:hint="eastAsia" w:ascii="仿宋_GB2312" w:hAnsi="宋体" w:eastAsia="仿宋_GB2312"/>
          <w:color w:val="000000" w:themeColor="text1"/>
          <w:sz w:val="32"/>
          <w:szCs w:val="32"/>
          <w:lang w:val="zh-CN"/>
          <w14:textFill>
            <w14:solidFill>
              <w14:schemeClr w14:val="tx1"/>
            </w14:solidFill>
          </w14:textFill>
        </w:rPr>
        <w:t>。</w:t>
      </w:r>
    </w:p>
    <w:p>
      <w:pPr>
        <w:adjustRightInd w:val="0"/>
        <w:snapToGrid w:val="0"/>
        <w:spacing w:line="576" w:lineRule="exact"/>
        <w:ind w:firstLine="640" w:firstLineChars="200"/>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楷体_GB2312" w:hAnsi="宋体" w:eastAsia="楷体_GB2312"/>
          <w:color w:val="000000" w:themeColor="text1"/>
          <w:sz w:val="32"/>
          <w:szCs w:val="32"/>
          <w14:textFill>
            <w14:solidFill>
              <w14:schemeClr w14:val="tx1"/>
            </w14:solidFill>
          </w14:textFill>
        </w:rPr>
        <w:t>二</w:t>
      </w: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楷体_GB2312" w:hAnsi="宋体" w:eastAsia="楷体_GB2312"/>
          <w:color w:val="000000" w:themeColor="text1"/>
          <w:sz w:val="32"/>
          <w:szCs w:val="32"/>
          <w14:textFill>
            <w14:solidFill>
              <w14:schemeClr w14:val="tx1"/>
            </w14:solidFill>
          </w14:textFill>
        </w:rPr>
        <w:t>个性指标</w:t>
      </w:r>
      <w:r>
        <w:rPr>
          <w:rFonts w:eastAsia="楷体_GB2312"/>
          <w:color w:val="000000" w:themeColor="text1"/>
          <w:kern w:val="0"/>
          <w:sz w:val="32"/>
          <w:szCs w:val="32"/>
          <w:shd w:val="clear" w:color="auto" w:fill="FFFFFF"/>
          <w:lang w:val="zh-CN"/>
          <w14:textFill>
            <w14:solidFill>
              <w14:schemeClr w14:val="tx1"/>
            </w14:solidFill>
          </w14:textFill>
        </w:rPr>
        <w:t>绩效分析</w:t>
      </w:r>
      <w:r>
        <w:rPr>
          <w:rFonts w:hint="eastAsia" w:ascii="楷体_GB2312" w:hAnsi="楷体_GB2312" w:eastAsia="楷体_GB2312" w:cs="楷体_GB2312"/>
          <w:color w:val="000000" w:themeColor="text1"/>
          <w:sz w:val="32"/>
          <w:szCs w:val="32"/>
          <w14:textFill>
            <w14:solidFill>
              <w14:schemeClr w14:val="tx1"/>
            </w14:solidFill>
          </w14:textFill>
        </w:rPr>
        <w:t>（自评得20分）</w:t>
      </w:r>
    </w:p>
    <w:p>
      <w:pPr>
        <w:adjustRightInd w:val="0"/>
        <w:snapToGrid w:val="0"/>
        <w:spacing w:line="576" w:lineRule="exact"/>
        <w:ind w:firstLine="640" w:firstLineChars="200"/>
        <w:rPr>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我单位</w:t>
      </w:r>
      <w:r>
        <w:rPr>
          <w:rFonts w:hint="eastAsia" w:ascii="仿宋_GB2312" w:eastAsia="仿宋_GB2312"/>
          <w:color w:val="000000" w:themeColor="text1"/>
          <w:sz w:val="32"/>
          <w:szCs w:val="32"/>
          <w:lang w:val="zh-CN"/>
          <w14:textFill>
            <w14:solidFill>
              <w14:schemeClr w14:val="tx1"/>
            </w14:solidFill>
          </w14:textFill>
        </w:rPr>
        <w:t>财务管理制度健全，制度执行严格，账务处理及时，会计核算规范。</w:t>
      </w:r>
      <w:r>
        <w:rPr>
          <w:rFonts w:hint="eastAsia" w:ascii="仿宋_GB2312" w:eastAsia="仿宋_GB2312"/>
          <w:color w:val="000000" w:themeColor="text1"/>
          <w:sz w:val="32"/>
          <w:szCs w:val="32"/>
          <w14:textFill>
            <w14:solidFill>
              <w14:schemeClr w14:val="tx1"/>
            </w14:solidFill>
          </w14:textFill>
        </w:rPr>
        <w:t>严格</w:t>
      </w:r>
      <w:r>
        <w:rPr>
          <w:rFonts w:hint="eastAsia" w:ascii="仿宋_GB2312" w:eastAsia="仿宋_GB2312"/>
          <w:color w:val="000000" w:themeColor="text1"/>
          <w:sz w:val="32"/>
          <w:szCs w:val="32"/>
          <w:lang w:val="zh-CN"/>
          <w14:textFill>
            <w14:solidFill>
              <w14:schemeClr w14:val="tx1"/>
            </w14:solidFill>
          </w14:textFill>
        </w:rPr>
        <w:t>按</w:t>
      </w:r>
      <w:r>
        <w:rPr>
          <w:rFonts w:hint="eastAsia" w:ascii="仿宋_GB2312" w:eastAsia="仿宋_GB2312"/>
          <w:color w:val="000000" w:themeColor="text1"/>
          <w:sz w:val="32"/>
          <w:szCs w:val="32"/>
          <w14:textFill>
            <w14:solidFill>
              <w14:schemeClr w14:val="tx1"/>
            </w14:solidFill>
          </w14:textFill>
        </w:rPr>
        <w:t>照</w:t>
      </w:r>
      <w:r>
        <w:rPr>
          <w:rFonts w:hint="eastAsia" w:ascii="仿宋_GB2312" w:eastAsia="仿宋_GB2312"/>
          <w:color w:val="000000" w:themeColor="text1"/>
          <w:sz w:val="32"/>
          <w:szCs w:val="32"/>
          <w:lang w:val="zh-CN"/>
          <w14:textFill>
            <w14:solidFill>
              <w14:schemeClr w14:val="tx1"/>
            </w14:solidFill>
          </w14:textFill>
        </w:rPr>
        <w:t>《社保基金财务制度》《社保基金会计制度》管理和核算基金。</w:t>
      </w:r>
      <w:r>
        <w:rPr>
          <w:rFonts w:hint="eastAsia" w:ascii="仿宋_GB2312" w:eastAsia="仿宋_GB2312"/>
          <w:color w:val="000000" w:themeColor="text1"/>
          <w:sz w:val="32"/>
          <w:szCs w:val="32"/>
          <w14:textFill>
            <w14:solidFill>
              <w14:schemeClr w14:val="tx1"/>
            </w14:solidFill>
          </w14:textFill>
        </w:rPr>
        <w:t>救助对象住院费用报销比例大于70%，医疗</w:t>
      </w:r>
      <w:r>
        <w:rPr>
          <w:rFonts w:hint="eastAsia" w:ascii="仿宋_GB2312" w:eastAsia="仿宋_GB2312"/>
          <w:color w:val="000000" w:themeColor="text1"/>
          <w:sz w:val="32"/>
          <w:szCs w:val="32"/>
          <w:lang w:val="zh-CN"/>
          <w14:textFill>
            <w14:solidFill>
              <w14:schemeClr w14:val="tx1"/>
            </w14:solidFill>
          </w14:textFill>
        </w:rPr>
        <w:t>照顾对象满意度</w:t>
      </w:r>
      <w:r>
        <w:rPr>
          <w:rFonts w:hint="eastAsia" w:ascii="仿宋_GB2312" w:eastAsia="仿宋_GB2312"/>
          <w:color w:val="000000" w:themeColor="text1"/>
          <w:sz w:val="32"/>
          <w:szCs w:val="32"/>
          <w14:textFill>
            <w14:solidFill>
              <w14:schemeClr w14:val="tx1"/>
            </w14:solidFill>
          </w14:textFill>
        </w:rPr>
        <w:t>在</w:t>
      </w:r>
      <w:r>
        <w:rPr>
          <w:rFonts w:hint="eastAsia" w:ascii="仿宋_GB2312" w:eastAsia="仿宋_GB2312"/>
          <w:color w:val="000000" w:themeColor="text1"/>
          <w:sz w:val="32"/>
          <w:szCs w:val="32"/>
          <w:lang w:val="zh-CN"/>
          <w14:textFill>
            <w14:solidFill>
              <w14:schemeClr w14:val="tx1"/>
            </w14:solidFill>
          </w14:textFill>
        </w:rPr>
        <w:t>85%</w:t>
      </w:r>
      <w:r>
        <w:rPr>
          <w:rFonts w:hint="eastAsia" w:ascii="仿宋_GB2312" w:eastAsia="仿宋_GB2312"/>
          <w:color w:val="000000" w:themeColor="text1"/>
          <w:sz w:val="32"/>
          <w:szCs w:val="32"/>
          <w14:textFill>
            <w14:solidFill>
              <w14:schemeClr w14:val="tx1"/>
            </w14:solidFill>
          </w14:textFill>
        </w:rPr>
        <w:t>以上</w:t>
      </w:r>
      <w:r>
        <w:rPr>
          <w:rFonts w:hint="eastAsia" w:ascii="仿宋_GB2312" w:eastAsia="仿宋_GB2312"/>
          <w:color w:val="000000" w:themeColor="text1"/>
          <w:sz w:val="32"/>
          <w:szCs w:val="32"/>
          <w:lang w:val="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对于</w:t>
      </w:r>
      <w:r>
        <w:rPr>
          <w:rFonts w:hint="eastAsia" w:ascii="仿宋_GB2312" w:eastAsia="仿宋_GB2312"/>
          <w:color w:val="000000" w:themeColor="text1"/>
          <w:sz w:val="32"/>
          <w:szCs w:val="32"/>
          <w:lang w:val="zh-CN"/>
          <w14:textFill>
            <w14:solidFill>
              <w14:schemeClr w14:val="tx1"/>
            </w14:solidFill>
          </w14:textFill>
        </w:rPr>
        <w:t>医疗照顾费用审核准确率</w:t>
      </w:r>
      <w:r>
        <w:rPr>
          <w:rFonts w:hint="eastAsia" w:ascii="仿宋_GB2312" w:eastAsia="仿宋_GB2312"/>
          <w:color w:val="000000" w:themeColor="text1"/>
          <w:sz w:val="32"/>
          <w:szCs w:val="32"/>
          <w14:textFill>
            <w14:solidFill>
              <w14:schemeClr w14:val="tx1"/>
            </w14:solidFill>
          </w14:textFill>
        </w:rPr>
        <w:t>在</w:t>
      </w:r>
      <w:r>
        <w:rPr>
          <w:rFonts w:hint="eastAsia" w:ascii="仿宋_GB2312" w:eastAsia="仿宋_GB2312"/>
          <w:color w:val="000000" w:themeColor="text1"/>
          <w:sz w:val="32"/>
          <w:szCs w:val="32"/>
          <w:lang w:val="zh-CN"/>
          <w14:textFill>
            <w14:solidFill>
              <w14:schemeClr w14:val="tx1"/>
            </w14:solidFill>
          </w14:textFill>
        </w:rPr>
        <w:t>98%</w:t>
      </w:r>
      <w:r>
        <w:rPr>
          <w:rFonts w:hint="eastAsia" w:ascii="仿宋_GB2312" w:eastAsia="仿宋_GB2312"/>
          <w:color w:val="000000" w:themeColor="text1"/>
          <w:sz w:val="32"/>
          <w:szCs w:val="32"/>
          <w14:textFill>
            <w14:solidFill>
              <w14:schemeClr w14:val="tx1"/>
            </w14:solidFill>
          </w14:textFill>
        </w:rPr>
        <w:t>以上。</w:t>
      </w:r>
    </w:p>
    <w:p>
      <w:pPr>
        <w:pStyle w:val="7"/>
        <w:tabs>
          <w:tab w:val="left" w:pos="2160"/>
        </w:tabs>
        <w:spacing w:before="93" w:line="576" w:lineRule="exact"/>
        <w:ind w:firstLine="640" w:firstLineChars="200"/>
        <w:rPr>
          <w:rFonts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四、评价结论</w:t>
      </w:r>
    </w:p>
    <w:p>
      <w:pPr>
        <w:adjustRightInd w:val="0"/>
        <w:snapToGrid w:val="0"/>
        <w:spacing w:line="576"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通过项目实施，解决了符合条件的救助人员能及时享受医疗待遇，减轻了救助人员的经济压力和生活压力。该项目自评得100分。</w:t>
      </w:r>
    </w:p>
    <w:p>
      <w:pPr>
        <w:pStyle w:val="7"/>
        <w:tabs>
          <w:tab w:val="left" w:pos="2160"/>
        </w:tabs>
        <w:spacing w:before="93" w:line="576" w:lineRule="exact"/>
        <w:ind w:firstLine="640" w:firstLineChars="200"/>
        <w:rPr>
          <w:rFonts w:ascii="黑体" w:hAnsi="宋体" w:eastAsia="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w:t>
      </w:r>
      <w:r>
        <w:rPr>
          <w:rFonts w:hint="eastAsia" w:ascii="黑体" w:hAnsi="宋体" w:eastAsia="黑体"/>
          <w:color w:val="000000" w:themeColor="text1"/>
          <w:sz w:val="32"/>
          <w:szCs w:val="32"/>
          <w14:textFill>
            <w14:solidFill>
              <w14:schemeClr w14:val="tx1"/>
            </w14:solidFill>
          </w14:textFill>
        </w:rPr>
        <w:t>存在主要问题</w:t>
      </w:r>
    </w:p>
    <w:p>
      <w:pPr>
        <w:pStyle w:val="7"/>
        <w:tabs>
          <w:tab w:val="left" w:pos="2160"/>
        </w:tabs>
        <w:spacing w:before="93" w:line="576" w:lineRule="exact"/>
        <w:ind w:firstLine="640" w:firstLineChars="200"/>
        <w:rPr>
          <w:rFonts w:hAnsi="仿宋_GB2312" w:cs="仿宋_GB2312"/>
          <w:color w:val="000000" w:themeColor="text1"/>
          <w:sz w:val="32"/>
          <w:szCs w:val="32"/>
          <w14:textFill>
            <w14:solidFill>
              <w14:schemeClr w14:val="tx1"/>
            </w14:solidFill>
          </w14:textFill>
        </w:rPr>
      </w:pPr>
      <w:r>
        <w:rPr>
          <w:rFonts w:hint="eastAsia" w:hAnsi="仿宋_GB2312" w:cs="仿宋_GB2312"/>
          <w:color w:val="000000" w:themeColor="text1"/>
          <w:sz w:val="32"/>
          <w:szCs w:val="32"/>
          <w14:textFill>
            <w14:solidFill>
              <w14:schemeClr w14:val="tx1"/>
            </w14:solidFill>
          </w14:textFill>
        </w:rPr>
        <w:t>无。</w:t>
      </w:r>
    </w:p>
    <w:p>
      <w:pPr>
        <w:pStyle w:val="7"/>
        <w:tabs>
          <w:tab w:val="left" w:pos="2160"/>
        </w:tabs>
        <w:spacing w:before="93" w:line="576" w:lineRule="exact"/>
        <w:ind w:firstLine="640" w:firstLineChars="200"/>
        <w:rPr>
          <w:rFonts w:ascii="黑体" w:hAnsi="宋体" w:eastAsia="黑体"/>
          <w:color w:val="000000" w:themeColor="text1"/>
          <w:position w:val="3"/>
          <w:sz w:val="32"/>
          <w:szCs w:val="32"/>
          <w:lang w:val="zh-CN"/>
          <w14:textFill>
            <w14:solidFill>
              <w14:schemeClr w14:val="tx1"/>
            </w14:solidFill>
          </w14:textFill>
        </w:rPr>
      </w:pPr>
      <w:r>
        <w:rPr>
          <w:rFonts w:hint="eastAsia" w:ascii="黑体" w:hAnsi="宋体" w:eastAsia="黑体"/>
          <w:color w:val="000000" w:themeColor="text1"/>
          <w:position w:val="3"/>
          <w:sz w:val="32"/>
          <w:szCs w:val="32"/>
          <w:lang w:val="zh-CN"/>
          <w14:textFill>
            <w14:solidFill>
              <w14:schemeClr w14:val="tx1"/>
            </w14:solidFill>
          </w14:textFill>
        </w:rPr>
        <w:t>六、改进建议</w:t>
      </w:r>
    </w:p>
    <w:p>
      <w:pPr>
        <w:pStyle w:val="7"/>
        <w:tabs>
          <w:tab w:val="left" w:pos="2160"/>
        </w:tabs>
        <w:spacing w:before="93" w:line="576" w:lineRule="exact"/>
        <w:ind w:firstLine="640" w:firstLineChars="200"/>
        <w:rPr>
          <w:rFonts w:hAnsi="仿宋_GB2312" w:cs="仿宋_GB2312"/>
          <w:color w:val="000000" w:themeColor="text1"/>
          <w:sz w:val="32"/>
          <w:szCs w:val="32"/>
          <w:lang w:val="en"/>
          <w14:textFill>
            <w14:solidFill>
              <w14:schemeClr w14:val="tx1"/>
            </w14:solidFill>
          </w14:textFill>
        </w:rPr>
      </w:pPr>
      <w:bookmarkStart w:id="56" w:name="_Hlk110546638"/>
      <w:r>
        <w:rPr>
          <w:rFonts w:hint="eastAsia" w:hAnsi="仿宋_GB2312" w:cs="仿宋_GB2312"/>
          <w:color w:val="000000" w:themeColor="text1"/>
          <w:sz w:val="32"/>
          <w:szCs w:val="32"/>
          <w14:textFill>
            <w14:solidFill>
              <w14:schemeClr w14:val="tx1"/>
            </w14:solidFill>
          </w14:textFill>
        </w:rPr>
        <w:t>无。</w:t>
      </w:r>
    </w:p>
    <w:bookmarkEnd w:id="56"/>
    <w:p>
      <w:pPr>
        <w:snapToGrid w:val="0"/>
        <w:spacing w:line="576" w:lineRule="exact"/>
        <w:ind w:firstLine="640" w:firstLineChars="200"/>
        <w:rPr>
          <w:color w:val="000000" w:themeColor="text1"/>
          <w:kern w:val="0"/>
          <w:sz w:val="32"/>
          <w:szCs w:val="32"/>
          <w:shd w:val="clear" w:color="auto" w:fill="FFFFFF"/>
          <w:lang w:val="zh-CN"/>
          <w14:textFill>
            <w14:solidFill>
              <w14:schemeClr w14:val="tx1"/>
            </w14:solidFill>
          </w14:textFill>
        </w:rPr>
      </w:pPr>
    </w:p>
    <w:p>
      <w:pPr>
        <w:spacing w:line="576" w:lineRule="exact"/>
        <w:ind w:firstLine="640" w:firstLineChars="200"/>
        <w:rPr>
          <w:rFonts w:ascii="黑体" w:hAnsi="黑体" w:eastAsia="黑体" w:cs="黑体"/>
          <w:color w:val="000000" w:themeColor="text1"/>
          <w:kern w:val="0"/>
          <w:sz w:val="32"/>
          <w:szCs w:val="32"/>
          <w:shd w:val="clear" w:color="auto" w:fill="FFFFFF"/>
          <w:lang w:val="zh-CN"/>
          <w14:textFill>
            <w14:solidFill>
              <w14:schemeClr w14:val="tx1"/>
            </w14:solidFill>
          </w14:textFill>
        </w:rPr>
        <w:sectPr>
          <w:headerReference r:id="rId6" w:type="default"/>
          <w:footerReference r:id="rId7" w:type="default"/>
          <w:pgSz w:w="11906" w:h="16838"/>
          <w:pgMar w:top="2098" w:right="1474" w:bottom="1984" w:left="1587" w:header="851" w:footer="1417" w:gutter="0"/>
          <w:cols w:space="0" w:num="1"/>
          <w:rtlGutter w:val="0"/>
          <w:docGrid w:type="lines" w:linePitch="319" w:charSpace="0"/>
        </w:sectPr>
      </w:pPr>
      <w:r>
        <w:rPr>
          <w:rFonts w:ascii="仿宋_GB2312" w:eastAsia="仿宋_GB2312"/>
          <w:color w:val="000000" w:themeColor="text1"/>
          <w:sz w:val="32"/>
          <w:szCs w:val="32"/>
          <w14:textFill>
            <w14:solidFill>
              <w14:schemeClr w14:val="tx1"/>
            </w14:solidFill>
          </w14:textFill>
        </w:rPr>
        <w:t xml:space="preserve"> </w:t>
      </w:r>
    </w:p>
    <w:p>
      <w:pPr>
        <w:spacing w:line="500" w:lineRule="exact"/>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附件</w:t>
      </w:r>
      <w:r>
        <w:rPr>
          <w:rFonts w:ascii="黑体" w:hAnsi="黑体" w:eastAsia="黑体" w:cs="黑体"/>
          <w:color w:val="000000" w:themeColor="text1"/>
          <w:sz w:val="32"/>
          <w:szCs w:val="32"/>
          <w14:textFill>
            <w14:solidFill>
              <w14:schemeClr w14:val="tx1"/>
            </w14:solidFill>
          </w14:textFill>
        </w:rPr>
        <w:t>2-2</w:t>
      </w:r>
    </w:p>
    <w:p>
      <w:pPr>
        <w:pStyle w:val="41"/>
        <w:spacing w:line="578" w:lineRule="exact"/>
        <w:ind w:firstLine="440" w:firstLineChars="100"/>
        <w:jc w:val="cente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pPr>
    </w:p>
    <w:p>
      <w:pPr>
        <w:pStyle w:val="41"/>
        <w:spacing w:line="578" w:lineRule="exact"/>
        <w:ind w:firstLine="440" w:firstLineChars="100"/>
        <w:jc w:val="cente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pPr>
      <w: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t>2023</w:t>
      </w:r>
      <w:r>
        <w:rPr>
          <w:rFonts w:hint="eastAsia" w:ascii="方正小标宋简体" w:hAnsi="方正小标宋简体" w:eastAsia="方正小标宋简体" w:cs="方正小标宋简体"/>
          <w:color w:val="000000" w:themeColor="text1"/>
          <w:kern w:val="2"/>
          <w:sz w:val="44"/>
          <w:szCs w:val="44"/>
          <w:lang w:val="en-US"/>
          <w14:textFill>
            <w14:solidFill>
              <w14:schemeClr w14:val="tx1"/>
            </w14:solidFill>
          </w14:textFill>
        </w:rPr>
        <w:t>年专项预算项目绩效评价报告</w:t>
      </w:r>
    </w:p>
    <w:p>
      <w:pPr>
        <w:pStyle w:val="41"/>
        <w:spacing w:line="578" w:lineRule="exact"/>
        <w:ind w:firstLine="320" w:firstLineChars="100"/>
        <w:jc w:val="center"/>
        <w:rPr>
          <w:rFonts w:ascii="方正楷体简体" w:hAnsi="方正楷体简体" w:eastAsia="方正楷体简体" w:cs="方正楷体简体"/>
          <w:color w:val="000000" w:themeColor="text1"/>
          <w:kern w:val="2"/>
          <w:sz w:val="32"/>
          <w:szCs w:val="32"/>
          <w:lang w:val="en-US"/>
          <w14:textFill>
            <w14:solidFill>
              <w14:schemeClr w14:val="tx1"/>
            </w14:solidFill>
          </w14:textFill>
        </w:rPr>
      </w:pPr>
      <w:r>
        <w:rPr>
          <w:rFonts w:hint="eastAsia" w:ascii="方正楷体简体" w:hAnsi="方正楷体简体" w:eastAsia="方正楷体简体" w:cs="方正楷体简体"/>
          <w:color w:val="000000" w:themeColor="text1"/>
          <w:kern w:val="2"/>
          <w:sz w:val="32"/>
          <w:szCs w:val="32"/>
          <w:lang w:val="en-US"/>
          <w14:textFill>
            <w14:solidFill>
              <w14:schemeClr w14:val="tx1"/>
            </w14:solidFill>
          </w14:textFill>
        </w:rPr>
        <w:t>（建国初期退休老干部医疗照顾费）</w:t>
      </w:r>
    </w:p>
    <w:p>
      <w:pPr>
        <w:pStyle w:val="41"/>
        <w:spacing w:line="578" w:lineRule="exact"/>
        <w:ind w:firstLine="640"/>
        <w:jc w:val="center"/>
        <w:rPr>
          <w:rFonts w:ascii="宋体" w:hAnsi="宋体"/>
          <w:color w:val="000000" w:themeColor="text1"/>
          <w:kern w:val="2"/>
          <w:sz w:val="32"/>
          <w:szCs w:val="32"/>
          <w14:textFill>
            <w14:solidFill>
              <w14:schemeClr w14:val="tx1"/>
            </w14:solidFill>
          </w14:textFill>
        </w:rPr>
      </w:pPr>
    </w:p>
    <w:p>
      <w:pPr>
        <w:adjustRightInd w:val="0"/>
        <w:snapToGrid w:val="0"/>
        <w:spacing w:line="576" w:lineRule="exact"/>
        <w:ind w:firstLine="640" w:firstLineChars="200"/>
        <w:rPr>
          <w:rFonts w:ascii="黑体" w:hAnsi="宋体" w:eastAsia="黑体"/>
          <w:color w:val="000000" w:themeColor="text1"/>
          <w:sz w:val="32"/>
          <w:szCs w:val="32"/>
          <w:lang w:val="zh-CN"/>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一、</w:t>
      </w:r>
      <w:r>
        <w:rPr>
          <w:rFonts w:hint="eastAsia" w:ascii="黑体" w:hAnsi="宋体" w:eastAsia="黑体"/>
          <w:color w:val="000000" w:themeColor="text1"/>
          <w:sz w:val="32"/>
          <w:szCs w:val="32"/>
          <w:lang w:val="zh-CN"/>
          <w14:textFill>
            <w14:solidFill>
              <w14:schemeClr w14:val="tx1"/>
            </w14:solidFill>
          </w14:textFill>
        </w:rPr>
        <w:t>项目概况</w:t>
      </w:r>
    </w:p>
    <w:p>
      <w:pPr>
        <w:adjustRightInd w:val="0"/>
        <w:snapToGrid w:val="0"/>
        <w:spacing w:line="576" w:lineRule="exact"/>
        <w:ind w:firstLine="640" w:firstLineChars="200"/>
        <w:rPr>
          <w:rFonts w:ascii="仿宋_GB2312" w:hAnsi="仿宋_GB2312" w:eastAsia="仿宋_GB2312" w:cs="仿宋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（一）设立背景及基本情况。</w:t>
      </w:r>
      <w:r>
        <w:rPr>
          <w:rFonts w:hint="eastAsia" w:ascii="仿宋_GB2312" w:hAnsi="仿宋_GB2312" w:eastAsia="仿宋_GB2312" w:cs="仿宋_GB2312"/>
          <w:color w:val="000000" w:themeColor="text1"/>
          <w:sz w:val="32"/>
          <w:szCs w:val="32"/>
          <w:lang w:val="zh-CN"/>
          <w14:textFill>
            <w14:solidFill>
              <w14:schemeClr w14:val="tx1"/>
            </w14:solidFill>
          </w14:textFill>
        </w:rPr>
        <w:t>广元市医疗保障局结合自身职责职能，负责贯彻执行国家、省、市医疗和生育保险政策，对各项医疗政策相关工作进行监督、管理，对各项医疗费报销进行审核、支付。广元市医疗保障事务中心作为市医疗保障局二级单位，具体负责对建国初期人员医疗门诊照顾金费用进行</w:t>
      </w:r>
      <w:r>
        <w:rPr>
          <w:rFonts w:hint="eastAsia" w:ascii="仿宋_GB2312" w:hAnsi="仿宋_GB2312" w:eastAsia="仿宋_GB2312" w:cs="仿宋_GB2312"/>
          <w:color w:val="000000" w:themeColor="text1"/>
          <w:sz w:val="32"/>
          <w:szCs w:val="32"/>
          <w14:textFill>
            <w14:solidFill>
              <w14:schemeClr w14:val="tx1"/>
            </w14:solidFill>
          </w14:textFill>
        </w:rPr>
        <w:t>划转</w:t>
      </w:r>
      <w:r>
        <w:rPr>
          <w:rFonts w:hint="eastAsia" w:ascii="仿宋_GB2312" w:hAnsi="仿宋_GB2312" w:eastAsia="仿宋_GB2312" w:cs="仿宋_GB2312"/>
          <w:color w:val="000000" w:themeColor="text1"/>
          <w:sz w:val="32"/>
          <w:szCs w:val="32"/>
          <w:lang w:val="zh-CN"/>
          <w14:textFill>
            <w14:solidFill>
              <w14:schemeClr w14:val="tx1"/>
            </w14:solidFill>
          </w14:textFill>
        </w:rPr>
        <w:t>。</w:t>
      </w:r>
    </w:p>
    <w:p>
      <w:pPr>
        <w:adjustRightInd w:val="0"/>
        <w:snapToGrid w:val="0"/>
        <w:spacing w:line="576" w:lineRule="exact"/>
        <w:ind w:firstLine="640" w:firstLineChars="200"/>
        <w:rPr>
          <w:rFonts w:ascii="楷体_GB2312" w:hAnsi="宋体" w:eastAsia="楷体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（二）</w:t>
      </w:r>
      <w:r>
        <w:rPr>
          <w:rFonts w:ascii="楷体_GB2312" w:hAnsi="宋体" w:eastAsia="楷体_GB2312"/>
          <w:color w:val="000000" w:themeColor="text1"/>
          <w:sz w:val="32"/>
          <w:szCs w:val="32"/>
          <w14:textFill>
            <w14:solidFill>
              <w14:schemeClr w14:val="tx1"/>
            </w14:solidFill>
          </w14:textFill>
        </w:rPr>
        <w:t>实施目的及支持方向</w:t>
      </w:r>
      <w:r>
        <w:rPr>
          <w:rFonts w:hint="eastAsia" w:ascii="楷体_GB2312" w:hAnsi="宋体" w:eastAsia="楷体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zh-CN"/>
          <w14:textFill>
            <w14:solidFill>
              <w14:schemeClr w14:val="tx1"/>
            </w14:solidFill>
          </w14:textFill>
        </w:rPr>
        <w:t>制定了《广元市医疗保障事务中心关于特殊人群医疗费用审核拨付流程的规定》，对建国初期人员医疗门诊照顾金的审核和</w:t>
      </w:r>
      <w:r>
        <w:rPr>
          <w:rFonts w:hint="eastAsia" w:ascii="仿宋_GB2312" w:hAnsi="仿宋_GB2312" w:eastAsia="仿宋_GB2312" w:cs="仿宋_GB2312"/>
          <w:color w:val="000000" w:themeColor="text1"/>
          <w:sz w:val="32"/>
          <w:szCs w:val="32"/>
          <w14:textFill>
            <w14:solidFill>
              <w14:schemeClr w14:val="tx1"/>
            </w14:solidFill>
          </w14:textFill>
        </w:rPr>
        <w:t>划转</w:t>
      </w:r>
      <w:r>
        <w:rPr>
          <w:rFonts w:hint="eastAsia" w:ascii="仿宋_GB2312" w:hAnsi="仿宋_GB2312" w:eastAsia="仿宋_GB2312" w:cs="仿宋_GB2312"/>
          <w:color w:val="000000" w:themeColor="text1"/>
          <w:sz w:val="32"/>
          <w:szCs w:val="32"/>
          <w:lang w:val="zh-CN"/>
          <w14:textFill>
            <w14:solidFill>
              <w14:schemeClr w14:val="tx1"/>
            </w14:solidFill>
          </w14:textFill>
        </w:rPr>
        <w:t>严格按规定执行，控制项目实施成本。</w:t>
      </w:r>
    </w:p>
    <w:p>
      <w:pPr>
        <w:adjustRightInd w:val="0"/>
        <w:snapToGrid w:val="0"/>
        <w:spacing w:line="576" w:lineRule="exact"/>
        <w:ind w:firstLine="640" w:firstLineChars="200"/>
        <w:rPr>
          <w:rFonts w:ascii="仿宋_GB2312" w:hAnsi="宋体"/>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（三）</w:t>
      </w:r>
      <w:r>
        <w:rPr>
          <w:rFonts w:ascii="楷体_GB2312" w:hAnsi="宋体" w:eastAsia="楷体_GB2312"/>
          <w:color w:val="000000" w:themeColor="text1"/>
          <w:sz w:val="32"/>
          <w:szCs w:val="32"/>
          <w14:textFill>
            <w14:solidFill>
              <w14:schemeClr w14:val="tx1"/>
            </w14:solidFill>
          </w14:textFill>
        </w:rPr>
        <w:t>预算安排及分配管理</w:t>
      </w: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仿宋_GB2312" w:hAnsi="仿宋_GB2312" w:eastAsia="仿宋_GB2312" w:cs="仿宋_GB2312"/>
          <w:color w:val="000000" w:themeColor="text1"/>
          <w:sz w:val="32"/>
          <w:szCs w:val="32"/>
          <w:lang w:val="zh-CN"/>
          <w14:textFill>
            <w14:solidFill>
              <w14:schemeClr w14:val="tx1"/>
            </w14:solidFill>
          </w14:textFill>
        </w:rPr>
        <w:t>依据市委老干局提供的照顾对象名单，按照4000元/人标准</w:t>
      </w:r>
      <w:r>
        <w:rPr>
          <w:rFonts w:hint="eastAsia" w:ascii="仿宋_GB2312" w:hAnsi="仿宋_GB2312" w:cs="仿宋_GB2312"/>
          <w:color w:val="000000" w:themeColor="text1"/>
          <w:sz w:val="32"/>
          <w:szCs w:val="32"/>
          <w:lang w:val="zh-CN"/>
          <w14:textFill>
            <w14:solidFill>
              <w14:schemeClr w14:val="tx1"/>
            </w14:solidFill>
          </w14:textFill>
        </w:rPr>
        <w:t>，</w:t>
      </w:r>
      <w:r>
        <w:rPr>
          <w:rFonts w:hint="eastAsia" w:ascii="仿宋_GB2312" w:hAnsi="宋体" w:eastAsia="仿宋_GB2312"/>
          <w:color w:val="000000" w:themeColor="text1"/>
          <w:sz w:val="32"/>
          <w:szCs w:val="32"/>
          <w14:textFill>
            <w14:solidFill>
              <w14:schemeClr w14:val="tx1"/>
            </w14:solidFill>
          </w14:textFill>
        </w:rPr>
        <w:t>符合条件人员</w:t>
      </w:r>
      <w:r>
        <w:rPr>
          <w:rFonts w:hint="eastAsia" w:ascii="仿宋_GB2312" w:hAnsi="仿宋_GB2312" w:eastAsia="仿宋_GB2312" w:cs="仿宋_GB2312"/>
          <w:color w:val="000000" w:themeColor="text1"/>
          <w:sz w:val="32"/>
          <w:szCs w:val="32"/>
          <w14:textFill>
            <w14:solidFill>
              <w14:schemeClr w14:val="tx1"/>
            </w14:solidFill>
          </w14:textFill>
        </w:rPr>
        <w:t>政策内住院费用报销比例大于等于95%</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zh-CN"/>
          <w14:textFill>
            <w14:solidFill>
              <w14:schemeClr w14:val="tx1"/>
            </w14:solidFill>
          </w14:textFill>
        </w:rPr>
        <w:t>同时结合当前医疗机构诊水平，合理分配项目资金。</w:t>
      </w:r>
    </w:p>
    <w:p>
      <w:pPr>
        <w:adjustRightInd w:val="0"/>
        <w:snapToGrid w:val="0"/>
        <w:spacing w:line="576" w:lineRule="exact"/>
        <w:ind w:firstLine="640" w:firstLineChars="200"/>
        <w:rPr>
          <w:rFonts w:ascii="仿宋_GB2312" w:hAnsi="仿宋_GB2312" w:cs="仿宋_GB2312"/>
          <w:color w:val="000000" w:themeColor="text1"/>
          <w:kern w:val="0"/>
          <w:sz w:val="32"/>
          <w:szCs w:val="32"/>
          <w:shd w:val="clear" w:color="auto" w:fill="FFFFFF"/>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（四）项目绩效目标设置。</w:t>
      </w:r>
      <w:r>
        <w:rPr>
          <w:rFonts w:hint="eastAsia" w:ascii="仿宋_GB2312" w:hAnsi="宋体" w:eastAsia="仿宋_GB2312"/>
          <w:color w:val="000000" w:themeColor="text1"/>
          <w:sz w:val="32"/>
          <w:szCs w:val="32"/>
          <w14:textFill>
            <w14:solidFill>
              <w14:schemeClr w14:val="tx1"/>
            </w14:solidFill>
          </w14:textFill>
        </w:rPr>
        <w:t>参保人员能及时享受医疗待遇，定点医疗机构能及时收到医疗费用。</w:t>
      </w:r>
    </w:p>
    <w:p>
      <w:pPr>
        <w:adjustRightInd w:val="0"/>
        <w:snapToGrid w:val="0"/>
        <w:spacing w:line="576" w:lineRule="exact"/>
        <w:ind w:firstLine="640" w:firstLineChars="200"/>
        <w:rPr>
          <w:rFonts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二、评价实施</w:t>
      </w:r>
    </w:p>
    <w:p>
      <w:pPr>
        <w:adjustRightInd w:val="0"/>
        <w:snapToGrid w:val="0"/>
        <w:spacing w:line="576" w:lineRule="exact"/>
        <w:ind w:firstLine="640" w:firstLineChars="200"/>
        <w:rPr>
          <w:rFonts w:eastAsia="仿宋_GB2312"/>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（一）评价目的。</w:t>
      </w:r>
      <w:r>
        <w:rPr>
          <w:rFonts w:hint="eastAsia" w:ascii="仿宋_GB2312" w:hAnsi="仿宋_GB2312" w:eastAsia="仿宋_GB2312" w:cs="仿宋_GB2312"/>
          <w:color w:val="000000" w:themeColor="text1"/>
          <w:sz w:val="32"/>
          <w:szCs w:val="32"/>
          <w14:textFill>
            <w14:solidFill>
              <w14:schemeClr w14:val="tx1"/>
            </w14:solidFill>
          </w14:textFill>
        </w:rPr>
        <w:t>提高财政资金使用效益，确保</w:t>
      </w:r>
      <w:r>
        <w:rPr>
          <w:rFonts w:hint="eastAsia" w:ascii="仿宋_GB2312" w:hAnsi="仿宋_GB2312" w:eastAsia="仿宋_GB2312" w:cs="仿宋_GB2312"/>
          <w:color w:val="000000" w:themeColor="text1"/>
          <w:sz w:val="32"/>
          <w:szCs w:val="32"/>
          <w:lang w:val="zh-CN"/>
          <w14:textFill>
            <w14:solidFill>
              <w14:schemeClr w14:val="tx1"/>
            </w14:solidFill>
          </w14:textFill>
        </w:rPr>
        <w:t>参保人员能及时享受医疗待遇，定点医疗机构能</w:t>
      </w:r>
      <w:r>
        <w:rPr>
          <w:rFonts w:hint="eastAsia" w:ascii="仿宋_GB2312" w:hAnsi="宋体" w:eastAsia="仿宋_GB2312"/>
          <w:color w:val="000000" w:themeColor="text1"/>
          <w:sz w:val="32"/>
          <w:szCs w:val="32"/>
          <w14:textFill>
            <w14:solidFill>
              <w14:schemeClr w14:val="tx1"/>
            </w14:solidFill>
          </w14:textFill>
        </w:rPr>
        <w:t>及时收到医疗费用。</w:t>
      </w:r>
    </w:p>
    <w:p>
      <w:pPr>
        <w:adjustRightInd w:val="0"/>
        <w:snapToGrid w:val="0"/>
        <w:spacing w:line="576" w:lineRule="exact"/>
        <w:ind w:firstLine="640" w:firstLineChars="200"/>
        <w:rPr>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（二）预设问题及评价重点。</w:t>
      </w:r>
      <w:r>
        <w:rPr>
          <w:rFonts w:hint="eastAsia" w:ascii="仿宋_GB2312" w:hAnsi="宋体" w:eastAsia="仿宋_GB2312"/>
          <w:color w:val="000000" w:themeColor="text1"/>
          <w:sz w:val="32"/>
          <w:szCs w:val="32"/>
          <w14:textFill>
            <w14:solidFill>
              <w14:schemeClr w14:val="tx1"/>
            </w14:solidFill>
          </w14:textFill>
        </w:rPr>
        <w:t>符合条件人员</w:t>
      </w:r>
      <w:r>
        <w:rPr>
          <w:rFonts w:hint="eastAsia" w:ascii="仿宋_GB2312" w:hAnsi="仿宋_GB2312" w:eastAsia="仿宋_GB2312" w:cs="仿宋_GB2312"/>
          <w:color w:val="000000" w:themeColor="text1"/>
          <w:sz w:val="32"/>
          <w:szCs w:val="32"/>
          <w14:textFill>
            <w14:solidFill>
              <w14:schemeClr w14:val="tx1"/>
            </w14:solidFill>
          </w14:textFill>
        </w:rPr>
        <w:t>政策内住院费用报销比例大于等于95%</w:t>
      </w:r>
      <w:r>
        <w:rPr>
          <w:rFonts w:hint="eastAsia" w:ascii="仿宋_GB2312" w:hAnsi="宋体" w:eastAsia="仿宋_GB2312"/>
          <w:color w:val="000000" w:themeColor="text1"/>
          <w:sz w:val="32"/>
          <w:szCs w:val="32"/>
          <w14:textFill>
            <w14:solidFill>
              <w14:schemeClr w14:val="tx1"/>
            </w14:solidFill>
          </w14:textFill>
        </w:rPr>
        <w:t>，参保人员能及时享受医疗待遇，定点医疗机构能及时收到医疗费用。</w:t>
      </w:r>
    </w:p>
    <w:p>
      <w:pPr>
        <w:adjustRightInd w:val="0"/>
        <w:snapToGrid w:val="0"/>
        <w:spacing w:line="576" w:lineRule="exact"/>
        <w:ind w:firstLine="640" w:firstLineChars="200"/>
        <w:rPr>
          <w:rFonts w:ascii="仿宋_GB2312" w:hAnsi="仿宋_GB2312" w:eastAsia="仿宋_GB2312" w:cs="仿宋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（三）评价选点。</w:t>
      </w:r>
      <w:r>
        <w:rPr>
          <w:rFonts w:hint="eastAsia" w:ascii="仿宋_GB2312" w:hAnsi="仿宋_GB2312" w:eastAsia="仿宋_GB2312" w:cs="仿宋_GB2312"/>
          <w:color w:val="000000" w:themeColor="text1"/>
          <w:sz w:val="32"/>
          <w:szCs w:val="32"/>
          <w:lang w:val="zh-CN"/>
          <w14:textFill>
            <w14:solidFill>
              <w14:schemeClr w14:val="tx1"/>
            </w14:solidFill>
          </w14:textFill>
        </w:rPr>
        <w:t>以整体作为评价。</w:t>
      </w:r>
    </w:p>
    <w:p>
      <w:pPr>
        <w:spacing w:line="576" w:lineRule="exact"/>
        <w:ind w:firstLine="640"/>
        <w:rPr>
          <w:rFonts w:ascii="仿宋_GB2312" w:hAnsi="宋体" w:eastAsia="仿宋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（四）评价方法。</w:t>
      </w:r>
      <w:r>
        <w:rPr>
          <w:rFonts w:hint="eastAsia" w:ascii="仿宋_GB2312" w:hAnsi="宋体" w:eastAsia="仿宋_GB2312"/>
          <w:color w:val="000000" w:themeColor="text1"/>
          <w:sz w:val="32"/>
          <w:szCs w:val="32"/>
          <w:lang w:val="zh-CN"/>
          <w14:textFill>
            <w14:solidFill>
              <w14:schemeClr w14:val="tx1"/>
            </w14:solidFill>
          </w14:textFill>
        </w:rPr>
        <w:t>项目绩效自评按市财政局要求，部门决算后在规定时间内按规定内容进行自评。</w:t>
      </w:r>
    </w:p>
    <w:p>
      <w:pPr>
        <w:spacing w:line="576" w:lineRule="exact"/>
        <w:ind w:firstLine="640" w:firstLineChars="200"/>
        <w:rPr>
          <w:rFonts w:eastAsia="仿宋_GB2312"/>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（五）评价组织。</w:t>
      </w:r>
      <w:r>
        <w:rPr>
          <w:rFonts w:hint="eastAsia" w:ascii="仿宋_GB2312" w:eastAsia="仿宋_GB2312"/>
          <w:color w:val="000000" w:themeColor="text1"/>
          <w:sz w:val="32"/>
          <w:szCs w:val="32"/>
          <w14:textFill>
            <w14:solidFill>
              <w14:schemeClr w14:val="tx1"/>
            </w14:solidFill>
          </w14:textFill>
        </w:rPr>
        <w:t>自评工作领导小组认真全面的进行绩效评价工作，建立健全财务管理制度和内控约束机制，依法、有效地使用财政资金，提高财政资金使用效率，合理分配人、财、物，完成部门职能目标，实现较高的工作效率和水平。</w:t>
      </w:r>
    </w:p>
    <w:p>
      <w:pPr>
        <w:adjustRightInd w:val="0"/>
        <w:snapToGrid w:val="0"/>
        <w:spacing w:line="576" w:lineRule="exact"/>
        <w:ind w:firstLine="640" w:firstLineChars="200"/>
        <w:rPr>
          <w:rFonts w:ascii="仿宋_GB2312" w:hAnsi="宋体"/>
          <w:color w:val="000000" w:themeColor="text1"/>
          <w:sz w:val="32"/>
          <w:szCs w:val="32"/>
          <w:lang w:val="zh-CN"/>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三、绩效分析</w:t>
      </w:r>
      <w:r>
        <w:rPr>
          <w:rFonts w:hint="eastAsia" w:ascii="仿宋_GB2312" w:hAnsi="宋体"/>
          <w:color w:val="000000" w:themeColor="text1"/>
          <w:sz w:val="32"/>
          <w:szCs w:val="32"/>
          <w:lang w:val="zh-CN"/>
          <w14:textFill>
            <w14:solidFill>
              <w14:schemeClr w14:val="tx1"/>
            </w14:solidFill>
          </w14:textFill>
        </w:rPr>
        <w:tab/>
      </w:r>
    </w:p>
    <w:p>
      <w:pPr>
        <w:spacing w:line="576" w:lineRule="exact"/>
        <w:ind w:firstLine="640" w:firstLineChars="200"/>
        <w:rPr>
          <w:rFonts w:ascii="楷体_GB2312" w:hAnsi="楷体_GB2312" w:eastAsia="楷体_GB2312" w:cs="楷体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楷体_GB2312" w:hAnsi="宋体" w:eastAsia="楷体_GB2312"/>
          <w:color w:val="000000" w:themeColor="text1"/>
          <w:sz w:val="32"/>
          <w:szCs w:val="32"/>
          <w14:textFill>
            <w14:solidFill>
              <w14:schemeClr w14:val="tx1"/>
            </w14:solidFill>
          </w14:textFill>
        </w:rPr>
        <w:t>一</w:t>
      </w: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楷体_GB2312" w:hAnsi="宋体" w:eastAsia="楷体_GB2312"/>
          <w:color w:val="000000" w:themeColor="text1"/>
          <w:sz w:val="32"/>
          <w:szCs w:val="32"/>
          <w14:textFill>
            <w14:solidFill>
              <w14:schemeClr w14:val="tx1"/>
            </w14:solidFill>
          </w14:textFill>
        </w:rPr>
        <w:t>专用指标</w:t>
      </w:r>
      <w:r>
        <w:rPr>
          <w:rFonts w:eastAsia="楷体_GB2312"/>
          <w:color w:val="000000" w:themeColor="text1"/>
          <w:kern w:val="0"/>
          <w:sz w:val="32"/>
          <w:szCs w:val="32"/>
          <w:shd w:val="clear" w:color="auto" w:fill="FFFFFF"/>
          <w:lang w:val="zh-CN"/>
          <w14:textFill>
            <w14:solidFill>
              <w14:schemeClr w14:val="tx1"/>
            </w14:solidFill>
          </w14:textFill>
        </w:rPr>
        <w:t>绩效分析</w:t>
      </w:r>
    </w:p>
    <w:p>
      <w:pPr>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1.政策制定（自评得30分）。</w:t>
      </w:r>
      <w:r>
        <w:rPr>
          <w:rFonts w:hint="eastAsia" w:ascii="仿宋_GB2312" w:eastAsia="仿宋_GB2312"/>
          <w:color w:val="000000" w:themeColor="text1"/>
          <w:sz w:val="32"/>
          <w:szCs w:val="32"/>
          <w:lang w:val="zh-CN"/>
          <w14:textFill>
            <w14:solidFill>
              <w14:schemeClr w14:val="tx1"/>
            </w14:solidFill>
          </w14:textFill>
        </w:rPr>
        <w:t>民生保障</w:t>
      </w:r>
      <w:r>
        <w:rPr>
          <w:rFonts w:hint="eastAsia" w:ascii="仿宋_GB2312" w:eastAsia="仿宋_GB2312"/>
          <w:color w:val="000000" w:themeColor="text1"/>
          <w:sz w:val="32"/>
          <w:szCs w:val="32"/>
          <w14:textFill>
            <w14:solidFill>
              <w14:schemeClr w14:val="tx1"/>
            </w14:solidFill>
          </w14:textFill>
        </w:rPr>
        <w:t>方面</w:t>
      </w:r>
      <w:r>
        <w:rPr>
          <w:rFonts w:hint="eastAsia" w:ascii="仿宋_GB2312" w:eastAsia="仿宋_GB2312"/>
          <w:color w:val="000000" w:themeColor="text1"/>
          <w:sz w:val="32"/>
          <w:szCs w:val="32"/>
          <w:lang w:val="zh-CN"/>
          <w14:textFill>
            <w14:solidFill>
              <w14:schemeClr w14:val="tx1"/>
            </w14:solidFill>
          </w14:textFill>
        </w:rPr>
        <w:t>。政策内各项目资金分配均衡公平，项目支持方向全面覆盖政策应支持</w:t>
      </w:r>
      <w:r>
        <w:rPr>
          <w:rFonts w:hint="eastAsia" w:ascii="仿宋_GB2312" w:eastAsia="仿宋_GB2312"/>
          <w:color w:val="000000" w:themeColor="text1"/>
          <w:sz w:val="32"/>
          <w:szCs w:val="32"/>
          <w14:textFill>
            <w14:solidFill>
              <w14:schemeClr w14:val="tx1"/>
            </w14:solidFill>
          </w14:textFill>
        </w:rPr>
        <w:t>的</w:t>
      </w:r>
      <w:r>
        <w:rPr>
          <w:rFonts w:hint="eastAsia" w:ascii="仿宋_GB2312" w:eastAsia="仿宋_GB2312"/>
          <w:color w:val="000000" w:themeColor="text1"/>
          <w:sz w:val="32"/>
          <w:szCs w:val="32"/>
          <w:lang w:val="zh-CN"/>
          <w14:textFill>
            <w14:solidFill>
              <w14:schemeClr w14:val="tx1"/>
            </w14:solidFill>
          </w14:textFill>
        </w:rPr>
        <w:t>范围和对象，有效衔接</w:t>
      </w:r>
      <w:r>
        <w:rPr>
          <w:rFonts w:hint="eastAsia" w:ascii="仿宋_GB2312" w:eastAsia="仿宋_GB2312"/>
          <w:color w:val="000000" w:themeColor="text1"/>
          <w:sz w:val="32"/>
          <w:szCs w:val="32"/>
          <w14:textFill>
            <w14:solidFill>
              <w14:schemeClr w14:val="tx1"/>
            </w14:solidFill>
          </w14:textFill>
        </w:rPr>
        <w:t>了</w:t>
      </w:r>
      <w:r>
        <w:rPr>
          <w:rFonts w:hint="eastAsia" w:ascii="仿宋_GB2312" w:eastAsia="仿宋_GB2312"/>
          <w:color w:val="000000" w:themeColor="text1"/>
          <w:sz w:val="32"/>
          <w:szCs w:val="32"/>
          <w:lang w:val="zh-CN"/>
          <w14:textFill>
            <w14:solidFill>
              <w14:schemeClr w14:val="tx1"/>
            </w14:solidFill>
          </w14:textFill>
        </w:rPr>
        <w:t>政策内各项目间支持标准，</w:t>
      </w:r>
      <w:r>
        <w:rPr>
          <w:rFonts w:hint="eastAsia" w:ascii="仿宋_GB2312" w:eastAsia="仿宋_GB2312"/>
          <w:color w:val="000000" w:themeColor="text1"/>
          <w:sz w:val="32"/>
          <w:szCs w:val="32"/>
          <w14:textFill>
            <w14:solidFill>
              <w14:schemeClr w14:val="tx1"/>
            </w14:solidFill>
          </w14:textFill>
        </w:rPr>
        <w:t>不</w:t>
      </w:r>
      <w:r>
        <w:rPr>
          <w:rFonts w:hint="eastAsia" w:ascii="仿宋_GB2312" w:eastAsia="仿宋_GB2312"/>
          <w:color w:val="000000" w:themeColor="text1"/>
          <w:sz w:val="32"/>
          <w:szCs w:val="32"/>
          <w:lang w:val="zh-CN"/>
          <w14:textFill>
            <w14:solidFill>
              <w14:schemeClr w14:val="tx1"/>
            </w14:solidFill>
          </w14:textFill>
        </w:rPr>
        <w:t>存在标准差异较大</w:t>
      </w:r>
      <w:r>
        <w:rPr>
          <w:rFonts w:hint="eastAsia" w:ascii="仿宋_GB2312" w:eastAsia="仿宋_GB2312"/>
          <w:color w:val="000000" w:themeColor="text1"/>
          <w:sz w:val="32"/>
          <w:szCs w:val="32"/>
          <w14:textFill>
            <w14:solidFill>
              <w14:schemeClr w14:val="tx1"/>
            </w14:solidFill>
          </w14:textFill>
        </w:rPr>
        <w:t>的</w:t>
      </w:r>
      <w:r>
        <w:rPr>
          <w:rFonts w:hint="eastAsia" w:ascii="仿宋_GB2312" w:eastAsia="仿宋_GB2312"/>
          <w:color w:val="000000" w:themeColor="text1"/>
          <w:sz w:val="32"/>
          <w:szCs w:val="32"/>
          <w:lang w:val="zh-CN"/>
          <w14:textFill>
            <w14:solidFill>
              <w14:schemeClr w14:val="tx1"/>
            </w14:solidFill>
          </w14:textFill>
        </w:rPr>
        <w:t>情况。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宋体" w:eastAsia="仿宋_GB2312"/>
          <w:color w:val="000000" w:themeColor="text1"/>
          <w:spacing w:val="6"/>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2.政</w:t>
      </w:r>
      <w:r>
        <w:rPr>
          <w:rFonts w:hint="eastAsia" w:ascii="仿宋_GB2312" w:eastAsia="仿宋_GB2312"/>
          <w:color w:val="000000" w:themeColor="text1"/>
          <w:spacing w:val="6"/>
          <w:sz w:val="32"/>
          <w:szCs w:val="32"/>
          <w14:textFill>
            <w14:solidFill>
              <w14:schemeClr w14:val="tx1"/>
            </w14:solidFill>
          </w14:textFill>
        </w:rPr>
        <w:t>策执行（自评得24分）。在业务流程方面，</w:t>
      </w:r>
      <w:r>
        <w:rPr>
          <w:rFonts w:hint="eastAsia" w:ascii="仿宋_GB2312" w:eastAsia="仿宋_GB2312"/>
          <w:color w:val="000000" w:themeColor="text1"/>
          <w:spacing w:val="6"/>
          <w:sz w:val="32"/>
          <w:szCs w:val="32"/>
          <w:lang w:val="zh-CN"/>
          <w14:textFill>
            <w14:solidFill>
              <w14:schemeClr w14:val="tx1"/>
            </w14:solidFill>
          </w14:textFill>
        </w:rPr>
        <w:t>中心严格按照《广元市医疗保障事务中心关</w:t>
      </w:r>
      <w:r>
        <w:rPr>
          <w:rFonts w:hint="eastAsia" w:ascii="仿宋_GB2312" w:hAnsi="仿宋_GB2312" w:eastAsia="仿宋_GB2312" w:cs="仿宋_GB2312"/>
          <w:color w:val="000000" w:themeColor="text1"/>
          <w:spacing w:val="6"/>
          <w:sz w:val="32"/>
          <w:szCs w:val="32"/>
          <w:lang w:val="zh-CN"/>
          <w14:textFill>
            <w14:solidFill>
              <w14:schemeClr w14:val="tx1"/>
            </w14:solidFill>
          </w14:textFill>
        </w:rPr>
        <w:t>于特殊人群医疗费用审核拨付流程的规定》，由业务经办人员对特殊人群有关资料进行初审，业务组长复核，业务分管领导审核后方可由财务领导审批拨付，对金额大于2万元或特殊业务由中心主任签字审批。</w:t>
      </w:r>
      <w:r>
        <w:rPr>
          <w:rFonts w:hint="eastAsia" w:ascii="仿宋_GB2312" w:hAnsi="仿宋_GB2312" w:eastAsia="仿宋_GB2312" w:cs="仿宋_GB2312"/>
          <w:color w:val="000000" w:themeColor="text1"/>
          <w:spacing w:val="6"/>
          <w:sz w:val="32"/>
          <w:szCs w:val="32"/>
          <w14:textFill>
            <w14:solidFill>
              <w14:schemeClr w14:val="tx1"/>
            </w14:solidFill>
          </w14:textFill>
        </w:rPr>
        <w:t>在财务流程方面，该笔</w:t>
      </w:r>
      <w:r>
        <w:rPr>
          <w:rFonts w:hint="eastAsia" w:ascii="仿宋_GB2312" w:hAnsi="仿宋_GB2312" w:eastAsia="仿宋_GB2312" w:cs="仿宋_GB2312"/>
          <w:color w:val="000000" w:themeColor="text1"/>
          <w:spacing w:val="6"/>
          <w:sz w:val="32"/>
          <w:szCs w:val="32"/>
          <w:lang w:val="zh-CN"/>
          <w14:textFill>
            <w14:solidFill>
              <w14:schemeClr w14:val="tx1"/>
            </w14:solidFill>
          </w14:textFill>
        </w:rPr>
        <w:t>经费按财政集中支付管理流程拨付至广元市医</w:t>
      </w:r>
      <w:r>
        <w:rPr>
          <w:rFonts w:hint="eastAsia" w:ascii="仿宋_GB2312" w:hAnsi="宋体" w:eastAsia="仿宋_GB2312"/>
          <w:color w:val="000000" w:themeColor="text1"/>
          <w:spacing w:val="6"/>
          <w:sz w:val="32"/>
          <w:szCs w:val="32"/>
          <w14:textFill>
            <w14:solidFill>
              <w14:schemeClr w14:val="tx1"/>
            </w14:solidFill>
          </w14:textFill>
        </w:rPr>
        <w:t>疗保障事务中心医疗保险基金支出户</w:t>
      </w:r>
      <w:r>
        <w:rPr>
          <w:rFonts w:hint="eastAsia" w:ascii="仿宋_GB2312" w:hAnsi="宋体" w:eastAsia="仿宋_GB2312"/>
          <w:color w:val="000000" w:themeColor="text1"/>
          <w:spacing w:val="6"/>
          <w:sz w:val="32"/>
          <w:szCs w:val="32"/>
          <w:lang w:val="zh-CN"/>
          <w14:textFill>
            <w14:solidFill>
              <w14:schemeClr w14:val="tx1"/>
            </w14:solidFill>
          </w14:textFill>
        </w:rPr>
        <w:t>。</w:t>
      </w:r>
      <w:r>
        <w:rPr>
          <w:rFonts w:hint="eastAsia" w:ascii="仿宋_GB2312" w:hAnsi="宋体" w:eastAsia="仿宋_GB2312"/>
          <w:color w:val="000000" w:themeColor="text1"/>
          <w:spacing w:val="6"/>
          <w:sz w:val="32"/>
          <w:szCs w:val="32"/>
          <w14:textFill>
            <w14:solidFill>
              <w14:schemeClr w14:val="tx1"/>
            </w14:solidFill>
          </w14:textFill>
        </w:rPr>
        <w:t>医疗保障事务中心根据有关人员申请，经业务工作人员及各级领导审核后，由财务人员进行拨付。</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楷体_GB2312" w:hAnsi="楷体_GB2312" w:eastAsia="楷体_GB2312" w:cs="楷体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3.政策效果（自评得16分）。</w:t>
      </w:r>
      <w:r>
        <w:rPr>
          <w:rFonts w:hint="eastAsia" w:ascii="仿宋_GB2312" w:eastAsia="仿宋_GB2312"/>
          <w:color w:val="000000" w:themeColor="text1"/>
          <w:sz w:val="32"/>
          <w:szCs w:val="32"/>
          <w:lang w:val="zh-CN"/>
          <w14:textFill>
            <w14:solidFill>
              <w14:schemeClr w14:val="tx1"/>
            </w14:solidFill>
          </w14:textFill>
        </w:rPr>
        <w:t>本项目资金全年共支出15</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val="zh-CN"/>
          <w14:textFill>
            <w14:solidFill>
              <w14:schemeClr w14:val="tx1"/>
            </w14:solidFill>
          </w14:textFill>
        </w:rPr>
        <w:t>61</w:t>
      </w:r>
      <w:r>
        <w:rPr>
          <w:rFonts w:hint="eastAsia" w:ascii="仿宋_GB2312" w:eastAsia="仿宋_GB2312"/>
          <w:color w:val="000000" w:themeColor="text1"/>
          <w:sz w:val="32"/>
          <w:szCs w:val="32"/>
          <w14:textFill>
            <w14:solidFill>
              <w14:schemeClr w14:val="tx1"/>
            </w14:solidFill>
          </w14:textFill>
        </w:rPr>
        <w:t>万</w:t>
      </w:r>
      <w:r>
        <w:rPr>
          <w:rFonts w:hint="eastAsia" w:ascii="仿宋_GB2312" w:eastAsia="仿宋_GB2312"/>
          <w:color w:val="000000" w:themeColor="text1"/>
          <w:sz w:val="32"/>
          <w:szCs w:val="32"/>
          <w:lang w:val="zh-CN"/>
          <w14:textFill>
            <w14:solidFill>
              <w14:schemeClr w14:val="tx1"/>
            </w14:solidFill>
          </w14:textFill>
        </w:rPr>
        <w:t>元，支出进度为100%，主</w:t>
      </w:r>
      <w:r>
        <w:rPr>
          <w:rFonts w:hint="eastAsia" w:ascii="仿宋_GB2312" w:hAnsi="仿宋_GB2312" w:eastAsia="仿宋_GB2312" w:cs="仿宋_GB2312"/>
          <w:color w:val="000000" w:themeColor="text1"/>
          <w:sz w:val="32"/>
          <w:szCs w:val="32"/>
          <w:lang w:val="zh-CN"/>
          <w14:textFill>
            <w14:solidFill>
              <w14:schemeClr w14:val="tx1"/>
            </w14:solidFill>
          </w14:textFill>
        </w:rPr>
        <w:t>要</w:t>
      </w:r>
      <w:r>
        <w:rPr>
          <w:rFonts w:hint="eastAsia" w:ascii="仿宋_GB2312" w:hAnsi="仿宋_GB2312" w:eastAsia="仿宋_GB2312" w:cs="仿宋_GB2312"/>
          <w:color w:val="000000" w:themeColor="text1"/>
          <w:sz w:val="32"/>
          <w:szCs w:val="32"/>
          <w14:textFill>
            <w14:solidFill>
              <w14:schemeClr w14:val="tx1"/>
            </w14:solidFill>
          </w14:textFill>
        </w:rPr>
        <w:t>用于支付建</w:t>
      </w:r>
      <w:r>
        <w:rPr>
          <w:rFonts w:hint="eastAsia" w:ascii="仿宋_GB2312" w:hAnsi="仿宋_GB2312" w:eastAsia="仿宋_GB2312" w:cs="仿宋_GB2312"/>
          <w:color w:val="000000" w:themeColor="text1"/>
          <w:sz w:val="32"/>
          <w:szCs w:val="32"/>
          <w:lang w:val="zh-CN"/>
          <w14:textFill>
            <w14:solidFill>
              <w14:schemeClr w14:val="tx1"/>
            </w14:solidFill>
          </w14:textFill>
        </w:rPr>
        <w:t>国初期人员</w:t>
      </w:r>
      <w:r>
        <w:rPr>
          <w:rFonts w:hint="eastAsia" w:ascii="仿宋_GB2312" w:hAnsi="仿宋_GB2312" w:eastAsia="仿宋_GB2312" w:cs="仿宋_GB2312"/>
          <w:color w:val="000000" w:themeColor="text1"/>
          <w:sz w:val="32"/>
          <w:szCs w:val="32"/>
          <w14:textFill>
            <w14:solidFill>
              <w14:schemeClr w14:val="tx1"/>
            </w14:solidFill>
          </w14:textFill>
        </w:rPr>
        <w:t>住院</w:t>
      </w:r>
      <w:r>
        <w:rPr>
          <w:rFonts w:hint="eastAsia" w:ascii="仿宋_GB2312" w:hAnsi="仿宋_GB2312" w:eastAsia="仿宋_GB2312" w:cs="仿宋_GB2312"/>
          <w:color w:val="000000" w:themeColor="text1"/>
          <w:sz w:val="32"/>
          <w:szCs w:val="32"/>
          <w:lang w:val="zh-CN"/>
          <w14:textFill>
            <w14:solidFill>
              <w14:schemeClr w14:val="tx1"/>
            </w14:solidFill>
          </w14:textFill>
        </w:rPr>
        <w:t>医疗</w:t>
      </w:r>
      <w:r>
        <w:rPr>
          <w:rFonts w:hint="eastAsia" w:ascii="仿宋_GB2312" w:hAnsi="仿宋_GB2312" w:eastAsia="仿宋_GB2312" w:cs="仿宋_GB2312"/>
          <w:color w:val="000000" w:themeColor="text1"/>
          <w:sz w:val="32"/>
          <w:szCs w:val="32"/>
          <w14:textFill>
            <w14:solidFill>
              <w14:schemeClr w14:val="tx1"/>
            </w14:solidFill>
          </w14:textFill>
        </w:rPr>
        <w:t>费用</w:t>
      </w:r>
      <w:r>
        <w:rPr>
          <w:rFonts w:hint="eastAsia" w:ascii="仿宋_GB2312" w:hAnsi="仿宋_GB2312" w:eastAsia="仿宋_GB2312" w:cs="仿宋_GB2312"/>
          <w:color w:val="000000" w:themeColor="text1"/>
          <w:sz w:val="32"/>
          <w:szCs w:val="32"/>
          <w:lang w:val="zh-CN"/>
          <w14:textFill>
            <w14:solidFill>
              <w14:schemeClr w14:val="tx1"/>
            </w14:solidFill>
          </w14:textFill>
        </w:rPr>
        <w:t>。在项目执行过程中，严格按照预算批复项目资金支付范围、支付标准执行，严控预算执行进度和经费支出情况，资金使用安全、规范、高效</w:t>
      </w:r>
      <w:r>
        <w:rPr>
          <w:rFonts w:hint="eastAsia" w:ascii="仿宋_GB2312" w:hAnsi="宋体" w:eastAsia="仿宋_GB2312"/>
          <w:color w:val="000000" w:themeColor="text1"/>
          <w:sz w:val="32"/>
          <w:szCs w:val="32"/>
          <w:lang w:val="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楷体_GB2312" w:hAnsi="楷体_GB2312" w:eastAsia="楷体_GB2312" w:cs="楷体_GB2312"/>
          <w:color w:val="000000" w:themeColor="text1"/>
          <w:spacing w:val="6"/>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楷体_GB2312" w:hAnsi="宋体" w:eastAsia="楷体_GB2312"/>
          <w:color w:val="000000" w:themeColor="text1"/>
          <w:sz w:val="32"/>
          <w:szCs w:val="32"/>
          <w14:textFill>
            <w14:solidFill>
              <w14:schemeClr w14:val="tx1"/>
            </w14:solidFill>
          </w14:textFill>
        </w:rPr>
        <w:t>二</w:t>
      </w: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楷体_GB2312" w:hAnsi="宋体" w:eastAsia="楷体_GB2312"/>
          <w:color w:val="000000" w:themeColor="text1"/>
          <w:spacing w:val="6"/>
          <w:sz w:val="32"/>
          <w:szCs w:val="32"/>
          <w14:textFill>
            <w14:solidFill>
              <w14:schemeClr w14:val="tx1"/>
            </w14:solidFill>
          </w14:textFill>
        </w:rPr>
        <w:t>个性指标</w:t>
      </w:r>
      <w:r>
        <w:rPr>
          <w:rFonts w:eastAsia="楷体_GB2312"/>
          <w:color w:val="000000" w:themeColor="text1"/>
          <w:spacing w:val="6"/>
          <w:kern w:val="0"/>
          <w:sz w:val="32"/>
          <w:szCs w:val="32"/>
          <w:shd w:val="clear" w:color="auto" w:fill="FFFFFF"/>
          <w:lang w:val="zh-CN"/>
          <w14:textFill>
            <w14:solidFill>
              <w14:schemeClr w14:val="tx1"/>
            </w14:solidFill>
          </w14:textFill>
        </w:rPr>
        <w:t>绩效分析</w:t>
      </w:r>
      <w:r>
        <w:rPr>
          <w:rFonts w:hint="eastAsia" w:ascii="楷体_GB2312" w:hAnsi="楷体_GB2312" w:eastAsia="楷体_GB2312" w:cs="楷体_GB2312"/>
          <w:color w:val="000000" w:themeColor="text1"/>
          <w:spacing w:val="6"/>
          <w:sz w:val="32"/>
          <w:szCs w:val="32"/>
          <w14:textFill>
            <w14:solidFill>
              <w14:schemeClr w14:val="tx1"/>
            </w14:solidFill>
          </w14:textFill>
        </w:rPr>
        <w:t>（自评得20分）</w:t>
      </w:r>
    </w:p>
    <w:p>
      <w:pPr>
        <w:keepNext w:val="0"/>
        <w:keepLines w:val="0"/>
        <w:pageBreakBefore w:val="0"/>
        <w:widowControl w:val="0"/>
        <w:kinsoku/>
        <w:wordWrap/>
        <w:overflowPunct/>
        <w:topLinePunct w:val="0"/>
        <w:autoSpaceDE/>
        <w:autoSpaceDN/>
        <w:bidi w:val="0"/>
        <w:adjustRightInd w:val="0"/>
        <w:snapToGrid w:val="0"/>
        <w:spacing w:line="576" w:lineRule="exact"/>
        <w:ind w:firstLine="664" w:firstLineChars="200"/>
        <w:textAlignment w:val="auto"/>
        <w:rPr>
          <w:color w:val="000000" w:themeColor="text1"/>
          <w:spacing w:val="6"/>
          <w:sz w:val="32"/>
          <w:szCs w:val="32"/>
          <w14:textFill>
            <w14:solidFill>
              <w14:schemeClr w14:val="tx1"/>
            </w14:solidFill>
          </w14:textFill>
        </w:rPr>
      </w:pPr>
      <w:r>
        <w:rPr>
          <w:rFonts w:hint="eastAsia" w:ascii="仿宋_GB2312" w:hAnsi="宋体" w:eastAsia="仿宋_GB2312"/>
          <w:color w:val="000000" w:themeColor="text1"/>
          <w:spacing w:val="6"/>
          <w:sz w:val="32"/>
          <w:szCs w:val="32"/>
          <w14:textFill>
            <w14:solidFill>
              <w14:schemeClr w14:val="tx1"/>
            </w14:solidFill>
          </w14:textFill>
        </w:rPr>
        <w:t>我</w:t>
      </w:r>
      <w:r>
        <w:rPr>
          <w:rFonts w:hint="eastAsia" w:ascii="仿宋_GB2312" w:hAnsi="仿宋_GB2312" w:eastAsia="仿宋_GB2312" w:cs="仿宋_GB2312"/>
          <w:color w:val="000000" w:themeColor="text1"/>
          <w:spacing w:val="6"/>
          <w:sz w:val="32"/>
          <w:szCs w:val="32"/>
          <w14:textFill>
            <w14:solidFill>
              <w14:schemeClr w14:val="tx1"/>
            </w14:solidFill>
          </w14:textFill>
        </w:rPr>
        <w:t>单位</w:t>
      </w:r>
      <w:r>
        <w:rPr>
          <w:rFonts w:hint="eastAsia" w:ascii="仿宋_GB2312" w:hAnsi="仿宋_GB2312" w:eastAsia="仿宋_GB2312" w:cs="仿宋_GB2312"/>
          <w:color w:val="000000" w:themeColor="text1"/>
          <w:spacing w:val="6"/>
          <w:sz w:val="32"/>
          <w:szCs w:val="32"/>
          <w:lang w:val="zh-CN"/>
          <w14:textFill>
            <w14:solidFill>
              <w14:schemeClr w14:val="tx1"/>
            </w14:solidFill>
          </w14:textFill>
        </w:rPr>
        <w:t>财务管理制度健全，制度执行严格，账务处理及时，会计核算</w:t>
      </w:r>
      <w:r>
        <w:rPr>
          <w:rFonts w:hint="eastAsia" w:ascii="仿宋_GB2312" w:hAnsi="宋体" w:eastAsia="仿宋_GB2312"/>
          <w:color w:val="000000" w:themeColor="text1"/>
          <w:spacing w:val="6"/>
          <w:sz w:val="32"/>
          <w:szCs w:val="32"/>
          <w:lang w:val="zh-CN"/>
          <w14:textFill>
            <w14:solidFill>
              <w14:schemeClr w14:val="tx1"/>
            </w14:solidFill>
          </w14:textFill>
        </w:rPr>
        <w:t>规范</w:t>
      </w:r>
      <w:r>
        <w:rPr>
          <w:rFonts w:hint="eastAsia" w:ascii="仿宋_GB2312" w:hAnsi="仿宋_GB2312" w:eastAsia="仿宋_GB2312" w:cs="仿宋_GB2312"/>
          <w:color w:val="000000" w:themeColor="text1"/>
          <w:spacing w:val="6"/>
          <w:sz w:val="32"/>
          <w:szCs w:val="32"/>
          <w:lang w:val="zh-CN"/>
          <w14:textFill>
            <w14:solidFill>
              <w14:schemeClr w14:val="tx1"/>
            </w14:solidFill>
          </w14:textFill>
        </w:rPr>
        <w:t>。</w:t>
      </w:r>
      <w:r>
        <w:rPr>
          <w:rFonts w:hint="eastAsia" w:ascii="仿宋_GB2312" w:hAnsi="仿宋_GB2312" w:eastAsia="仿宋_GB2312" w:cs="仿宋_GB2312"/>
          <w:color w:val="000000" w:themeColor="text1"/>
          <w:spacing w:val="6"/>
          <w:sz w:val="32"/>
          <w:szCs w:val="32"/>
          <w14:textFill>
            <w14:solidFill>
              <w14:schemeClr w14:val="tx1"/>
            </w14:solidFill>
          </w14:textFill>
        </w:rPr>
        <w:t>严格</w:t>
      </w:r>
      <w:r>
        <w:rPr>
          <w:rFonts w:hint="eastAsia" w:ascii="仿宋_GB2312" w:hAnsi="仿宋_GB2312" w:eastAsia="仿宋_GB2312" w:cs="仿宋_GB2312"/>
          <w:color w:val="000000" w:themeColor="text1"/>
          <w:spacing w:val="6"/>
          <w:sz w:val="32"/>
          <w:szCs w:val="32"/>
          <w:lang w:val="zh-CN"/>
          <w14:textFill>
            <w14:solidFill>
              <w14:schemeClr w14:val="tx1"/>
            </w14:solidFill>
          </w14:textFill>
        </w:rPr>
        <w:t>按</w:t>
      </w:r>
      <w:r>
        <w:rPr>
          <w:rFonts w:hint="eastAsia" w:ascii="仿宋_GB2312" w:hAnsi="仿宋_GB2312" w:eastAsia="仿宋_GB2312" w:cs="仿宋_GB2312"/>
          <w:color w:val="000000" w:themeColor="text1"/>
          <w:spacing w:val="6"/>
          <w:sz w:val="32"/>
          <w:szCs w:val="32"/>
          <w14:textFill>
            <w14:solidFill>
              <w14:schemeClr w14:val="tx1"/>
            </w14:solidFill>
          </w14:textFill>
        </w:rPr>
        <w:t>照</w:t>
      </w:r>
      <w:r>
        <w:rPr>
          <w:rFonts w:hint="eastAsia" w:ascii="仿宋_GB2312" w:hAnsi="仿宋_GB2312" w:eastAsia="仿宋_GB2312" w:cs="仿宋_GB2312"/>
          <w:color w:val="000000" w:themeColor="text1"/>
          <w:spacing w:val="6"/>
          <w:sz w:val="32"/>
          <w:szCs w:val="32"/>
          <w:lang w:val="zh-CN"/>
          <w14:textFill>
            <w14:solidFill>
              <w14:schemeClr w14:val="tx1"/>
            </w14:solidFill>
          </w14:textFill>
        </w:rPr>
        <w:t>《社保基金财务制度》《社保基金会计制度》管理和核</w:t>
      </w:r>
      <w:r>
        <w:rPr>
          <w:rFonts w:hint="eastAsia" w:ascii="仿宋_GB2312" w:hAnsi="宋体" w:eastAsia="仿宋_GB2312"/>
          <w:color w:val="000000" w:themeColor="text1"/>
          <w:spacing w:val="6"/>
          <w:sz w:val="32"/>
          <w:szCs w:val="32"/>
          <w:lang w:val="zh-CN"/>
          <w14:textFill>
            <w14:solidFill>
              <w14:schemeClr w14:val="tx1"/>
            </w14:solidFill>
          </w14:textFill>
        </w:rPr>
        <w:t>算基金</w:t>
      </w:r>
      <w:r>
        <w:rPr>
          <w:rFonts w:hint="eastAsia" w:ascii="仿宋_GB2312" w:hAnsi="宋体"/>
          <w:color w:val="000000" w:themeColor="text1"/>
          <w:spacing w:val="6"/>
          <w:sz w:val="32"/>
          <w:szCs w:val="32"/>
          <w:lang w:val="zh-CN"/>
          <w14:textFill>
            <w14:solidFill>
              <w14:schemeClr w14:val="tx1"/>
            </w14:solidFill>
          </w14:textFill>
        </w:rPr>
        <w:t>。</w:t>
      </w:r>
      <w:r>
        <w:rPr>
          <w:rFonts w:hint="eastAsia" w:ascii="仿宋_GB2312" w:hAnsi="仿宋_GB2312" w:eastAsia="仿宋_GB2312" w:cs="仿宋_GB2312"/>
          <w:color w:val="000000" w:themeColor="text1"/>
          <w:spacing w:val="6"/>
          <w:sz w:val="32"/>
          <w:szCs w:val="32"/>
          <w14:textFill>
            <w14:solidFill>
              <w14:schemeClr w14:val="tx1"/>
            </w14:solidFill>
          </w14:textFill>
        </w:rPr>
        <w:t>严格</w:t>
      </w:r>
      <w:r>
        <w:rPr>
          <w:rFonts w:hint="eastAsia" w:ascii="仿宋_GB2312" w:hAnsi="仿宋_GB2312" w:eastAsia="仿宋_GB2312" w:cs="仿宋_GB2312"/>
          <w:color w:val="000000" w:themeColor="text1"/>
          <w:spacing w:val="6"/>
          <w:sz w:val="32"/>
          <w:szCs w:val="32"/>
          <w:lang w:val="zh-CN"/>
          <w14:textFill>
            <w14:solidFill>
              <w14:schemeClr w14:val="tx1"/>
            </w14:solidFill>
          </w14:textFill>
        </w:rPr>
        <w:t>依据市委老干局提供的照顾对象名单，按照4000元/人标准，符合条件人员政策内住院费用报销比例大于等于95%，同时结合当前医疗机构诊水平，合理分配项目资金。</w:t>
      </w:r>
      <w:r>
        <w:rPr>
          <w:rFonts w:hint="eastAsia" w:ascii="仿宋_GB2312" w:hAnsi="仿宋_GB2312" w:eastAsia="仿宋_GB2312" w:cs="仿宋_GB2312"/>
          <w:color w:val="000000" w:themeColor="text1"/>
          <w:spacing w:val="6"/>
          <w:sz w:val="32"/>
          <w:szCs w:val="32"/>
          <w14:textFill>
            <w14:solidFill>
              <w14:schemeClr w14:val="tx1"/>
            </w14:solidFill>
          </w14:textFill>
        </w:rPr>
        <w:t>医疗</w:t>
      </w:r>
      <w:r>
        <w:rPr>
          <w:rFonts w:hint="eastAsia" w:ascii="仿宋_GB2312" w:hAnsi="仿宋_GB2312" w:eastAsia="仿宋_GB2312" w:cs="仿宋_GB2312"/>
          <w:color w:val="000000" w:themeColor="text1"/>
          <w:spacing w:val="6"/>
          <w:sz w:val="32"/>
          <w:szCs w:val="32"/>
          <w:lang w:val="zh-CN"/>
          <w14:textFill>
            <w14:solidFill>
              <w14:schemeClr w14:val="tx1"/>
            </w14:solidFill>
          </w14:textFill>
        </w:rPr>
        <w:t>照顾对象满意度</w:t>
      </w:r>
      <w:r>
        <w:rPr>
          <w:rFonts w:hint="eastAsia" w:ascii="仿宋_GB2312" w:hAnsi="仿宋_GB2312" w:eastAsia="仿宋_GB2312" w:cs="仿宋_GB2312"/>
          <w:color w:val="000000" w:themeColor="text1"/>
          <w:spacing w:val="6"/>
          <w:sz w:val="32"/>
          <w:szCs w:val="32"/>
          <w14:textFill>
            <w14:solidFill>
              <w14:schemeClr w14:val="tx1"/>
            </w14:solidFill>
          </w14:textFill>
        </w:rPr>
        <w:t>在</w:t>
      </w:r>
      <w:r>
        <w:rPr>
          <w:rFonts w:hint="eastAsia" w:ascii="仿宋_GB2312" w:hAnsi="仿宋_GB2312" w:eastAsia="仿宋_GB2312" w:cs="仿宋_GB2312"/>
          <w:color w:val="000000" w:themeColor="text1"/>
          <w:spacing w:val="6"/>
          <w:sz w:val="32"/>
          <w:szCs w:val="32"/>
          <w:lang w:val="zh-CN"/>
          <w14:textFill>
            <w14:solidFill>
              <w14:schemeClr w14:val="tx1"/>
            </w14:solidFill>
          </w14:textFill>
        </w:rPr>
        <w:t>85%</w:t>
      </w:r>
      <w:r>
        <w:rPr>
          <w:rFonts w:hint="eastAsia" w:ascii="仿宋_GB2312" w:hAnsi="仿宋_GB2312" w:eastAsia="仿宋_GB2312" w:cs="仿宋_GB2312"/>
          <w:color w:val="000000" w:themeColor="text1"/>
          <w:spacing w:val="6"/>
          <w:sz w:val="32"/>
          <w:szCs w:val="32"/>
          <w14:textFill>
            <w14:solidFill>
              <w14:schemeClr w14:val="tx1"/>
            </w14:solidFill>
          </w14:textFill>
        </w:rPr>
        <w:t>以上</w:t>
      </w:r>
      <w:r>
        <w:rPr>
          <w:rFonts w:hint="eastAsia" w:ascii="仿宋_GB2312" w:hAnsi="仿宋_GB2312" w:eastAsia="仿宋_GB2312" w:cs="仿宋_GB2312"/>
          <w:color w:val="000000" w:themeColor="text1"/>
          <w:spacing w:val="6"/>
          <w:sz w:val="32"/>
          <w:szCs w:val="32"/>
          <w:lang w:val="zh-CN"/>
          <w14:textFill>
            <w14:solidFill>
              <w14:schemeClr w14:val="tx1"/>
            </w14:solidFill>
          </w14:textFill>
        </w:rPr>
        <w:t>，</w:t>
      </w:r>
      <w:r>
        <w:rPr>
          <w:rFonts w:hint="eastAsia" w:ascii="仿宋_GB2312" w:hAnsi="仿宋_GB2312" w:eastAsia="仿宋_GB2312" w:cs="仿宋_GB2312"/>
          <w:color w:val="000000" w:themeColor="text1"/>
          <w:spacing w:val="6"/>
          <w:sz w:val="32"/>
          <w:szCs w:val="32"/>
          <w14:textFill>
            <w14:solidFill>
              <w14:schemeClr w14:val="tx1"/>
            </w14:solidFill>
          </w14:textFill>
        </w:rPr>
        <w:t>对于</w:t>
      </w:r>
      <w:r>
        <w:rPr>
          <w:rFonts w:hint="eastAsia" w:ascii="仿宋_GB2312" w:hAnsi="仿宋_GB2312" w:eastAsia="仿宋_GB2312" w:cs="仿宋_GB2312"/>
          <w:color w:val="000000" w:themeColor="text1"/>
          <w:spacing w:val="6"/>
          <w:sz w:val="32"/>
          <w:szCs w:val="32"/>
          <w:lang w:val="zh-CN"/>
          <w14:textFill>
            <w14:solidFill>
              <w14:schemeClr w14:val="tx1"/>
            </w14:solidFill>
          </w14:textFill>
        </w:rPr>
        <w:t>医疗照顾费用审核准确率</w:t>
      </w:r>
      <w:r>
        <w:rPr>
          <w:rFonts w:hint="eastAsia" w:ascii="仿宋_GB2312" w:hAnsi="仿宋_GB2312" w:eastAsia="仿宋_GB2312" w:cs="仿宋_GB2312"/>
          <w:color w:val="000000" w:themeColor="text1"/>
          <w:spacing w:val="6"/>
          <w:sz w:val="32"/>
          <w:szCs w:val="32"/>
          <w14:textFill>
            <w14:solidFill>
              <w14:schemeClr w14:val="tx1"/>
            </w14:solidFill>
          </w14:textFill>
        </w:rPr>
        <w:t>在</w:t>
      </w:r>
      <w:r>
        <w:rPr>
          <w:rFonts w:hint="eastAsia" w:ascii="仿宋_GB2312" w:hAnsi="仿宋_GB2312" w:eastAsia="仿宋_GB2312" w:cs="仿宋_GB2312"/>
          <w:color w:val="000000" w:themeColor="text1"/>
          <w:spacing w:val="6"/>
          <w:sz w:val="32"/>
          <w:szCs w:val="32"/>
          <w:lang w:val="zh-CN"/>
          <w14:textFill>
            <w14:solidFill>
              <w14:schemeClr w14:val="tx1"/>
            </w14:solidFill>
          </w14:textFill>
        </w:rPr>
        <w:t>98%</w:t>
      </w:r>
      <w:r>
        <w:rPr>
          <w:rFonts w:hint="eastAsia" w:ascii="仿宋_GB2312" w:hAnsi="仿宋_GB2312" w:eastAsia="仿宋_GB2312" w:cs="仿宋_GB2312"/>
          <w:color w:val="000000" w:themeColor="text1"/>
          <w:spacing w:val="6"/>
          <w:sz w:val="32"/>
          <w:szCs w:val="32"/>
          <w14:textFill>
            <w14:solidFill>
              <w14:schemeClr w14:val="tx1"/>
            </w14:solidFill>
          </w14:textFill>
        </w:rPr>
        <w:t>以上。</w:t>
      </w:r>
    </w:p>
    <w:p>
      <w:pPr>
        <w:pStyle w:val="7"/>
        <w:keepNext w:val="0"/>
        <w:keepLines w:val="0"/>
        <w:pageBreakBefore w:val="0"/>
        <w:widowControl w:val="0"/>
        <w:tabs>
          <w:tab w:val="left" w:pos="2160"/>
        </w:tabs>
        <w:kinsoku/>
        <w:wordWrap/>
        <w:overflowPunct/>
        <w:topLinePunct w:val="0"/>
        <w:autoSpaceDE/>
        <w:autoSpaceDN/>
        <w:bidi w:val="0"/>
        <w:spacing w:beforeLines="0" w:line="576" w:lineRule="exact"/>
        <w:ind w:firstLine="640" w:firstLineChars="200"/>
        <w:textAlignment w:val="auto"/>
        <w:rPr>
          <w:rFonts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四、评价结论</w:t>
      </w:r>
    </w:p>
    <w:p>
      <w:pPr>
        <w:keepNext w:val="0"/>
        <w:keepLines w:val="0"/>
        <w:pageBreakBefore w:val="0"/>
        <w:widowControl w:val="0"/>
        <w:kinsoku/>
        <w:wordWrap/>
        <w:overflowPunct/>
        <w:topLinePunct w:val="0"/>
        <w:autoSpaceDE/>
        <w:autoSpaceDN/>
        <w:bidi w:val="0"/>
        <w:adjustRightInd w:val="0"/>
        <w:snapToGrid w:val="0"/>
        <w:spacing w:line="576" w:lineRule="exact"/>
        <w:ind w:firstLine="684" w:firstLineChars="200"/>
        <w:textAlignment w:val="auto"/>
        <w:rPr>
          <w:rFonts w:ascii="仿宋_GB2312" w:hAnsi="宋体" w:eastAsia="仿宋_GB2312"/>
          <w:color w:val="000000" w:themeColor="text1"/>
          <w:spacing w:val="11"/>
          <w:sz w:val="32"/>
          <w:szCs w:val="32"/>
          <w14:textFill>
            <w14:solidFill>
              <w14:schemeClr w14:val="tx1"/>
            </w14:solidFill>
          </w14:textFill>
        </w:rPr>
      </w:pPr>
      <w:r>
        <w:rPr>
          <w:rFonts w:hint="eastAsia" w:ascii="仿宋_GB2312" w:hAnsi="宋体" w:eastAsia="仿宋_GB2312"/>
          <w:color w:val="000000" w:themeColor="text1"/>
          <w:spacing w:val="11"/>
          <w:sz w:val="32"/>
          <w:szCs w:val="32"/>
          <w14:textFill>
            <w14:solidFill>
              <w14:schemeClr w14:val="tx1"/>
            </w14:solidFill>
          </w14:textFill>
        </w:rPr>
        <w:t>通过项目实施，解决了建国初期参加革命工作人员医疗费用问题，减轻了建国初期人员参加革命工作人员的经济压力和生活压力，既是对建国初期人员参加革命工作人员贡献价值的肯定，更是时代背景下的现实需求的满足。该项目得100分。</w:t>
      </w:r>
    </w:p>
    <w:p>
      <w:pPr>
        <w:pStyle w:val="7"/>
        <w:tabs>
          <w:tab w:val="left" w:pos="2160"/>
        </w:tabs>
        <w:spacing w:before="93" w:line="576" w:lineRule="exact"/>
        <w:ind w:firstLine="640" w:firstLineChars="200"/>
        <w:rPr>
          <w:rFonts w:ascii="黑体" w:hAnsi="宋体" w:eastAsia="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w:t>
      </w:r>
      <w:r>
        <w:rPr>
          <w:rFonts w:hint="eastAsia" w:ascii="黑体" w:hAnsi="宋体" w:eastAsia="黑体"/>
          <w:color w:val="000000" w:themeColor="text1"/>
          <w:sz w:val="32"/>
          <w:szCs w:val="32"/>
          <w14:textFill>
            <w14:solidFill>
              <w14:schemeClr w14:val="tx1"/>
            </w14:solidFill>
          </w14:textFill>
        </w:rPr>
        <w:t>存在主要问题</w:t>
      </w:r>
    </w:p>
    <w:p>
      <w:pPr>
        <w:pStyle w:val="7"/>
        <w:tabs>
          <w:tab w:val="left" w:pos="2160"/>
        </w:tabs>
        <w:spacing w:before="93" w:line="576" w:lineRule="exact"/>
        <w:ind w:firstLine="640" w:firstLineChars="200"/>
        <w:rPr>
          <w:rFonts w:hAnsi="仿宋_GB2312" w:cs="仿宋_GB2312"/>
          <w:color w:val="000000" w:themeColor="text1"/>
          <w:sz w:val="32"/>
          <w:szCs w:val="32"/>
          <w14:textFill>
            <w14:solidFill>
              <w14:schemeClr w14:val="tx1"/>
            </w14:solidFill>
          </w14:textFill>
        </w:rPr>
      </w:pPr>
      <w:r>
        <w:rPr>
          <w:rFonts w:hint="eastAsia" w:hAnsi="仿宋_GB2312" w:cs="仿宋_GB2312"/>
          <w:color w:val="000000" w:themeColor="text1"/>
          <w:sz w:val="32"/>
          <w:szCs w:val="32"/>
          <w14:textFill>
            <w14:solidFill>
              <w14:schemeClr w14:val="tx1"/>
            </w14:solidFill>
          </w14:textFill>
        </w:rPr>
        <w:t>无。</w:t>
      </w:r>
    </w:p>
    <w:p>
      <w:pPr>
        <w:pStyle w:val="7"/>
        <w:tabs>
          <w:tab w:val="left" w:pos="2160"/>
        </w:tabs>
        <w:spacing w:before="93" w:line="576" w:lineRule="exact"/>
        <w:ind w:firstLine="640" w:firstLineChars="200"/>
        <w:rPr>
          <w:rFonts w:ascii="黑体" w:hAnsi="宋体" w:eastAsia="黑体"/>
          <w:color w:val="000000" w:themeColor="text1"/>
          <w:position w:val="3"/>
          <w:sz w:val="32"/>
          <w:szCs w:val="32"/>
          <w:lang w:val="zh-CN"/>
          <w14:textFill>
            <w14:solidFill>
              <w14:schemeClr w14:val="tx1"/>
            </w14:solidFill>
          </w14:textFill>
        </w:rPr>
      </w:pPr>
      <w:r>
        <w:rPr>
          <w:rFonts w:hint="eastAsia" w:ascii="黑体" w:hAnsi="宋体" w:eastAsia="黑体"/>
          <w:color w:val="000000" w:themeColor="text1"/>
          <w:position w:val="3"/>
          <w:sz w:val="32"/>
          <w:szCs w:val="32"/>
          <w:lang w:val="zh-CN"/>
          <w14:textFill>
            <w14:solidFill>
              <w14:schemeClr w14:val="tx1"/>
            </w14:solidFill>
          </w14:textFill>
        </w:rPr>
        <w:t>六、改进建议</w:t>
      </w:r>
    </w:p>
    <w:p>
      <w:pPr>
        <w:pStyle w:val="7"/>
        <w:tabs>
          <w:tab w:val="left" w:pos="2160"/>
        </w:tabs>
        <w:spacing w:before="93" w:line="576" w:lineRule="exact"/>
        <w:ind w:firstLine="640" w:firstLineChars="200"/>
        <w:rPr>
          <w:rFonts w:hAnsi="仿宋_GB2312" w:cs="仿宋_GB2312"/>
          <w:color w:val="000000" w:themeColor="text1"/>
          <w:sz w:val="32"/>
          <w:szCs w:val="32"/>
          <w:lang w:val="en"/>
          <w14:textFill>
            <w14:solidFill>
              <w14:schemeClr w14:val="tx1"/>
            </w14:solidFill>
          </w14:textFill>
        </w:rPr>
      </w:pPr>
      <w:r>
        <w:rPr>
          <w:rFonts w:hint="eastAsia" w:hAnsi="仿宋_GB2312" w:cs="仿宋_GB2312"/>
          <w:color w:val="000000" w:themeColor="text1"/>
          <w:sz w:val="32"/>
          <w:szCs w:val="32"/>
          <w14:textFill>
            <w14:solidFill>
              <w14:schemeClr w14:val="tx1"/>
            </w14:solidFill>
          </w14:textFill>
        </w:rPr>
        <w:t>无。</w:t>
      </w:r>
    </w:p>
    <w:p>
      <w:pPr>
        <w:snapToGrid w:val="0"/>
        <w:spacing w:line="576" w:lineRule="exact"/>
        <w:ind w:firstLine="640" w:firstLineChars="200"/>
        <w:rPr>
          <w:color w:val="000000" w:themeColor="text1"/>
          <w:kern w:val="0"/>
          <w:sz w:val="32"/>
          <w:szCs w:val="32"/>
          <w:shd w:val="clear" w:color="auto" w:fill="FFFFFF"/>
          <w:lang w:val="zh-CN"/>
          <w14:textFill>
            <w14:solidFill>
              <w14:schemeClr w14:val="tx1"/>
            </w14:solidFill>
          </w14:textFill>
        </w:rPr>
      </w:pPr>
    </w:p>
    <w:p>
      <w:pPr>
        <w:snapToGrid w:val="0"/>
        <w:spacing w:line="578" w:lineRule="exact"/>
        <w:ind w:firstLine="420" w:firstLineChars="200"/>
        <w:rPr>
          <w:rFonts w:ascii="黑体" w:hAnsi="黑体" w:eastAsia="黑体" w:cs="黑体"/>
          <w:color w:val="000000" w:themeColor="text1"/>
          <w:kern w:val="0"/>
          <w:sz w:val="32"/>
          <w:szCs w:val="32"/>
          <w:shd w:val="clear" w:color="auto" w:fill="FFFFFF"/>
          <w:lang w:val="zh-CN"/>
          <w14:textFill>
            <w14:solidFill>
              <w14:schemeClr w14:val="tx1"/>
            </w14:solidFill>
          </w14:textFill>
        </w:rPr>
        <w:sectPr>
          <w:pgSz w:w="11906" w:h="16838"/>
          <w:pgMar w:top="2098" w:right="1474" w:bottom="1984" w:left="1587" w:header="851" w:footer="1417" w:gutter="0"/>
          <w:cols w:space="0" w:num="1"/>
          <w:rtlGutter w:val="0"/>
          <w:docGrid w:type="lines" w:linePitch="319" w:charSpace="0"/>
        </w:sectPr>
      </w:pPr>
      <w:r>
        <w:rPr>
          <w:rFonts w:hint="eastAsia"/>
          <w:color w:val="000000" w:themeColor="text1"/>
          <w:kern w:val="0"/>
          <w:szCs w:val="32"/>
          <w:shd w:val="clear" w:color="auto" w:fill="FFFFFF"/>
          <w:lang w:val="zh-CN"/>
          <w14:textFill>
            <w14:solidFill>
              <w14:schemeClr w14:val="tx1"/>
            </w14:solidFill>
          </w14:textFill>
        </w:rPr>
        <w:br w:type="page"/>
      </w:r>
    </w:p>
    <w:p>
      <w:pPr>
        <w:spacing w:line="500" w:lineRule="exact"/>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附件</w:t>
      </w:r>
      <w:r>
        <w:rPr>
          <w:rFonts w:ascii="黑体" w:hAnsi="黑体" w:eastAsia="黑体" w:cs="黑体"/>
          <w:color w:val="000000" w:themeColor="text1"/>
          <w:sz w:val="32"/>
          <w:szCs w:val="32"/>
          <w14:textFill>
            <w14:solidFill>
              <w14:schemeClr w14:val="tx1"/>
            </w14:solidFill>
          </w14:textFill>
        </w:rPr>
        <w:t>2-3</w:t>
      </w:r>
    </w:p>
    <w:p>
      <w:pPr>
        <w:pStyle w:val="41"/>
        <w:spacing w:line="578" w:lineRule="exact"/>
        <w:ind w:firstLine="440" w:firstLineChars="100"/>
        <w:jc w:val="cente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pPr>
    </w:p>
    <w:p>
      <w:pPr>
        <w:pStyle w:val="41"/>
        <w:spacing w:line="578" w:lineRule="exact"/>
        <w:ind w:firstLine="440" w:firstLineChars="100"/>
        <w:jc w:val="cente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pPr>
      <w: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t>2023</w:t>
      </w:r>
      <w:r>
        <w:rPr>
          <w:rFonts w:hint="eastAsia" w:ascii="方正小标宋简体" w:hAnsi="方正小标宋简体" w:eastAsia="方正小标宋简体" w:cs="方正小标宋简体"/>
          <w:color w:val="000000" w:themeColor="text1"/>
          <w:kern w:val="2"/>
          <w:sz w:val="44"/>
          <w:szCs w:val="44"/>
          <w:lang w:val="en-US"/>
          <w14:textFill>
            <w14:solidFill>
              <w14:schemeClr w14:val="tx1"/>
            </w14:solidFill>
          </w14:textFill>
        </w:rPr>
        <w:t>年专项预算项目绩效评价报告</w:t>
      </w:r>
    </w:p>
    <w:p>
      <w:pPr>
        <w:pStyle w:val="41"/>
        <w:spacing w:line="578" w:lineRule="exact"/>
        <w:ind w:firstLine="320" w:firstLineChars="100"/>
        <w:jc w:val="center"/>
        <w:rPr>
          <w:rFonts w:ascii="方正楷体简体" w:hAnsi="方正楷体简体" w:eastAsia="方正楷体简体" w:cs="方正楷体简体"/>
          <w:color w:val="000000" w:themeColor="text1"/>
          <w:kern w:val="2"/>
          <w:sz w:val="32"/>
          <w:szCs w:val="32"/>
          <w:lang w:val="en-US"/>
          <w14:textFill>
            <w14:solidFill>
              <w14:schemeClr w14:val="tx1"/>
            </w14:solidFill>
          </w14:textFill>
        </w:rPr>
      </w:pPr>
      <w:r>
        <w:rPr>
          <w:rFonts w:hint="eastAsia" w:ascii="方正楷体简体" w:hAnsi="方正楷体简体" w:eastAsia="方正楷体简体" w:cs="方正楷体简体"/>
          <w:color w:val="000000" w:themeColor="text1"/>
          <w:kern w:val="2"/>
          <w:sz w:val="32"/>
          <w:szCs w:val="32"/>
          <w:lang w:val="en-US"/>
          <w14:textFill>
            <w14:solidFill>
              <w14:schemeClr w14:val="tx1"/>
            </w14:solidFill>
          </w14:textFill>
        </w:rPr>
        <w:t>（离休干部医疗保险费）</w:t>
      </w:r>
    </w:p>
    <w:p>
      <w:pPr>
        <w:pStyle w:val="41"/>
        <w:spacing w:line="578" w:lineRule="exact"/>
        <w:ind w:firstLine="640"/>
        <w:jc w:val="center"/>
        <w:rPr>
          <w:rFonts w:ascii="宋体" w:hAnsi="宋体"/>
          <w:color w:val="000000" w:themeColor="text1"/>
          <w:kern w:val="2"/>
          <w:sz w:val="32"/>
          <w:szCs w:val="32"/>
          <w14:textFill>
            <w14:solidFill>
              <w14:schemeClr w14:val="tx1"/>
            </w14:solidFill>
          </w14:textFill>
        </w:rPr>
      </w:pPr>
    </w:p>
    <w:p>
      <w:pPr>
        <w:adjustRightInd w:val="0"/>
        <w:snapToGrid w:val="0"/>
        <w:spacing w:line="576" w:lineRule="exact"/>
        <w:ind w:firstLine="640" w:firstLineChars="200"/>
        <w:rPr>
          <w:rFonts w:ascii="黑体" w:hAnsi="宋体" w:eastAsia="黑体"/>
          <w:color w:val="000000" w:themeColor="text1"/>
          <w:sz w:val="32"/>
          <w:szCs w:val="32"/>
          <w:lang w:val="zh-CN"/>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一、</w:t>
      </w:r>
      <w:r>
        <w:rPr>
          <w:rFonts w:hint="eastAsia" w:ascii="黑体" w:hAnsi="宋体" w:eastAsia="黑体"/>
          <w:color w:val="000000" w:themeColor="text1"/>
          <w:sz w:val="32"/>
          <w:szCs w:val="32"/>
          <w:lang w:val="zh-CN"/>
          <w14:textFill>
            <w14:solidFill>
              <w14:schemeClr w14:val="tx1"/>
            </w14:solidFill>
          </w14:textFill>
        </w:rPr>
        <w:t>项目概况</w:t>
      </w:r>
    </w:p>
    <w:p>
      <w:pPr>
        <w:adjustRightInd w:val="0"/>
        <w:snapToGrid w:val="0"/>
        <w:spacing w:line="576"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（一）设立背景及基本情况。</w:t>
      </w:r>
      <w:r>
        <w:rPr>
          <w:rFonts w:hint="eastAsia" w:ascii="仿宋_GB2312" w:hAnsi="宋体" w:eastAsia="仿宋_GB2312"/>
          <w:color w:val="000000" w:themeColor="text1"/>
          <w:sz w:val="32"/>
          <w:szCs w:val="32"/>
          <w14:textFill>
            <w14:solidFill>
              <w14:schemeClr w14:val="tx1"/>
            </w14:solidFill>
          </w14:textFill>
        </w:rPr>
        <w:t>广元市医疗保障局结合自身职责职能，负责贯彻执行国家、省、市医疗和生育保险政策，对各项医疗政策相关工作进行监督、管理，对各项医疗费报销进行审核、支付。广元市医疗保障事务中心作为市医疗保障局二级单位，具体负责对离休干部及老红军遗孀医药费用进行审核、拨付。</w:t>
      </w:r>
    </w:p>
    <w:p>
      <w:pPr>
        <w:adjustRightInd w:val="0"/>
        <w:snapToGrid w:val="0"/>
        <w:spacing w:line="576" w:lineRule="exact"/>
        <w:ind w:firstLine="640" w:firstLineChars="200"/>
        <w:rPr>
          <w:rFonts w:ascii="楷体_GB2312" w:hAnsi="宋体" w:eastAsia="楷体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（二）</w:t>
      </w:r>
      <w:r>
        <w:rPr>
          <w:rFonts w:ascii="楷体_GB2312" w:hAnsi="宋体" w:eastAsia="楷体_GB2312"/>
          <w:color w:val="000000" w:themeColor="text1"/>
          <w:spacing w:val="-11"/>
          <w:sz w:val="32"/>
          <w:szCs w:val="32"/>
          <w14:textFill>
            <w14:solidFill>
              <w14:schemeClr w14:val="tx1"/>
            </w14:solidFill>
          </w14:textFill>
        </w:rPr>
        <w:t>实施目的及支持方向</w:t>
      </w:r>
      <w:r>
        <w:rPr>
          <w:rFonts w:hint="eastAsia" w:ascii="楷体_GB2312" w:hAnsi="宋体" w:eastAsia="楷体_GB2312"/>
          <w:color w:val="000000" w:themeColor="text1"/>
          <w:spacing w:val="-11"/>
          <w:sz w:val="32"/>
          <w:szCs w:val="32"/>
          <w14:textFill>
            <w14:solidFill>
              <w14:schemeClr w14:val="tx1"/>
            </w14:solidFill>
          </w14:textFill>
        </w:rPr>
        <w:t>。</w:t>
      </w:r>
      <w:r>
        <w:rPr>
          <w:rFonts w:hint="eastAsia" w:ascii="仿宋_GB2312" w:hAnsi="宋体" w:eastAsia="仿宋_GB2312"/>
          <w:color w:val="000000" w:themeColor="text1"/>
          <w:spacing w:val="-11"/>
          <w:sz w:val="32"/>
          <w:szCs w:val="32"/>
          <w14:textFill>
            <w14:solidFill>
              <w14:schemeClr w14:val="tx1"/>
            </w14:solidFill>
          </w14:textFill>
        </w:rPr>
        <w:t>制定了《广元市医疗保障事务中心关于特殊人群医疗费用审核拨付流程的规定》，对离休干部及老红军遗孀医疗费用的审核和拨付严格按规定执行，控制项目实施成本。</w:t>
      </w:r>
    </w:p>
    <w:p>
      <w:pPr>
        <w:adjustRightInd w:val="0"/>
        <w:snapToGrid w:val="0"/>
        <w:spacing w:line="576" w:lineRule="exact"/>
        <w:ind w:firstLine="640" w:firstLineChars="200"/>
        <w:rPr>
          <w:rFonts w:ascii="仿宋_GB2312" w:hAnsi="宋体"/>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（三）</w:t>
      </w:r>
      <w:r>
        <w:rPr>
          <w:rFonts w:ascii="楷体_GB2312" w:hAnsi="宋体" w:eastAsia="楷体_GB2312"/>
          <w:color w:val="000000" w:themeColor="text1"/>
          <w:spacing w:val="-11"/>
          <w:sz w:val="32"/>
          <w:szCs w:val="32"/>
          <w14:textFill>
            <w14:solidFill>
              <w14:schemeClr w14:val="tx1"/>
            </w14:solidFill>
          </w14:textFill>
        </w:rPr>
        <w:t>预算安排及分配管理</w:t>
      </w:r>
      <w:r>
        <w:rPr>
          <w:rFonts w:hint="eastAsia" w:ascii="楷体_GB2312" w:hAnsi="宋体" w:eastAsia="楷体_GB2312"/>
          <w:color w:val="000000" w:themeColor="text1"/>
          <w:spacing w:val="-11"/>
          <w:sz w:val="32"/>
          <w:szCs w:val="32"/>
          <w:lang w:val="zh-CN"/>
          <w14:textFill>
            <w14:solidFill>
              <w14:schemeClr w14:val="tx1"/>
            </w14:solidFill>
          </w14:textFill>
        </w:rPr>
        <w:t>。</w:t>
      </w:r>
      <w:r>
        <w:rPr>
          <w:rFonts w:hint="eastAsia" w:ascii="仿宋_GB2312" w:hAnsi="宋体" w:eastAsia="仿宋_GB2312"/>
          <w:color w:val="000000" w:themeColor="text1"/>
          <w:spacing w:val="-11"/>
          <w:sz w:val="32"/>
          <w:szCs w:val="32"/>
          <w14:textFill>
            <w14:solidFill>
              <w14:schemeClr w14:val="tx1"/>
            </w14:solidFill>
          </w14:textFill>
        </w:rPr>
        <w:t>通过分析前3个年度离休干部及老红军遗孀医疗费，结合当前医疗机构诊水平，合理分配项目资金。</w:t>
      </w:r>
    </w:p>
    <w:p>
      <w:pPr>
        <w:adjustRightInd w:val="0"/>
        <w:snapToGrid w:val="0"/>
        <w:spacing w:line="576" w:lineRule="exact"/>
        <w:ind w:firstLine="640" w:firstLineChars="200"/>
        <w:rPr>
          <w:rFonts w:ascii="仿宋_GB2312" w:hAnsi="仿宋_GB2312" w:cs="仿宋_GB2312"/>
          <w:color w:val="000000" w:themeColor="text1"/>
          <w:kern w:val="0"/>
          <w:sz w:val="32"/>
          <w:szCs w:val="32"/>
          <w:shd w:val="clear" w:color="auto" w:fill="FFFFFF"/>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（四）项目绩效目标设置。</w:t>
      </w:r>
      <w:r>
        <w:rPr>
          <w:rFonts w:hint="eastAsia" w:ascii="仿宋_GB2312" w:hAnsi="宋体" w:eastAsia="仿宋_GB2312"/>
          <w:color w:val="000000" w:themeColor="text1"/>
          <w:sz w:val="32"/>
          <w:szCs w:val="32"/>
          <w14:textFill>
            <w14:solidFill>
              <w14:schemeClr w14:val="tx1"/>
            </w14:solidFill>
          </w14:textFill>
        </w:rPr>
        <w:t>为广元市离休干部及老红军遗孀的医药费予以足额支付报销。</w:t>
      </w:r>
    </w:p>
    <w:p>
      <w:pPr>
        <w:adjustRightInd w:val="0"/>
        <w:snapToGrid w:val="0"/>
        <w:spacing w:line="576" w:lineRule="exact"/>
        <w:ind w:firstLine="640" w:firstLineChars="200"/>
        <w:rPr>
          <w:rFonts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二、评价实施</w:t>
      </w:r>
    </w:p>
    <w:p>
      <w:pPr>
        <w:adjustRightInd w:val="0"/>
        <w:snapToGrid w:val="0"/>
        <w:spacing w:line="576"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（一）评价目的。</w:t>
      </w:r>
      <w:r>
        <w:rPr>
          <w:rFonts w:hint="eastAsia" w:ascii="仿宋_GB2312" w:hAnsi="宋体" w:eastAsia="仿宋_GB2312"/>
          <w:color w:val="000000" w:themeColor="text1"/>
          <w:sz w:val="32"/>
          <w:szCs w:val="32"/>
          <w14:textFill>
            <w14:solidFill>
              <w14:schemeClr w14:val="tx1"/>
            </w14:solidFill>
          </w14:textFill>
        </w:rPr>
        <w:t>提高财政资金使用效益，确保广元市离休干部及老红军遗孀的医药费予以足额支付报销。</w:t>
      </w:r>
    </w:p>
    <w:p>
      <w:pPr>
        <w:adjustRightInd w:val="0"/>
        <w:snapToGrid w:val="0"/>
        <w:spacing w:line="576" w:lineRule="exact"/>
        <w:ind w:firstLine="640" w:firstLineChars="200"/>
        <w:rPr>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（二）预设问题及评价重点。</w:t>
      </w:r>
      <w:r>
        <w:rPr>
          <w:rFonts w:hint="eastAsia" w:ascii="仿宋_GB2312" w:hAnsi="宋体" w:eastAsia="仿宋_GB2312"/>
          <w:color w:val="000000" w:themeColor="text1"/>
          <w:sz w:val="32"/>
          <w:szCs w:val="32"/>
          <w14:textFill>
            <w14:solidFill>
              <w14:schemeClr w14:val="tx1"/>
            </w14:solidFill>
          </w14:textFill>
        </w:rPr>
        <w:t>全年享受待遇人数</w:t>
      </w:r>
      <w:r>
        <w:rPr>
          <w:rFonts w:hint="eastAsia" w:ascii="仿宋_GB2312" w:hAnsi="宋体"/>
          <w:color w:val="000000" w:themeColor="text1"/>
          <w:sz w:val="32"/>
          <w:szCs w:val="32"/>
          <w14:textFill>
            <w14:solidFill>
              <w14:schemeClr w14:val="tx1"/>
            </w14:solidFill>
          </w14:textFill>
        </w:rPr>
        <w:t>57</w:t>
      </w:r>
      <w:r>
        <w:rPr>
          <w:rFonts w:hint="eastAsia" w:ascii="仿宋_GB2312" w:hAnsi="宋体" w:eastAsia="仿宋_GB2312"/>
          <w:color w:val="000000" w:themeColor="text1"/>
          <w:sz w:val="32"/>
          <w:szCs w:val="32"/>
          <w14:textFill>
            <w14:solidFill>
              <w14:schemeClr w14:val="tx1"/>
            </w14:solidFill>
          </w14:textFill>
        </w:rPr>
        <w:t>人，缩短对医疗机构基金审核拨付时间，确保参保人员能及时享受医疗待遇，定点医疗机构能及时收到医疗费用。</w:t>
      </w:r>
    </w:p>
    <w:p>
      <w:pPr>
        <w:adjustRightInd w:val="0"/>
        <w:snapToGrid w:val="0"/>
        <w:spacing w:line="546" w:lineRule="exact"/>
        <w:ind w:firstLine="640" w:firstLineChars="200"/>
        <w:rPr>
          <w:rFonts w:ascii="仿宋_GB2312" w:hAnsi="宋体" w:eastAsia="仿宋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（三）评价选点。</w:t>
      </w:r>
      <w:r>
        <w:rPr>
          <w:rFonts w:hint="eastAsia" w:ascii="仿宋_GB2312" w:hAnsi="宋体" w:eastAsia="仿宋_GB2312"/>
          <w:color w:val="000000" w:themeColor="text1"/>
          <w:sz w:val="32"/>
          <w:szCs w:val="32"/>
          <w:lang w:val="zh-CN"/>
          <w14:textFill>
            <w14:solidFill>
              <w14:schemeClr w14:val="tx1"/>
            </w14:solidFill>
          </w14:textFill>
        </w:rPr>
        <w:t>以整体作为评价。</w:t>
      </w:r>
    </w:p>
    <w:p>
      <w:pPr>
        <w:spacing w:line="546" w:lineRule="exact"/>
        <w:ind w:firstLine="640"/>
        <w:rPr>
          <w:rFonts w:ascii="仿宋_GB2312" w:hAnsi="宋体" w:eastAsia="仿宋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（四）评价方法。</w:t>
      </w:r>
      <w:r>
        <w:rPr>
          <w:rFonts w:hint="eastAsia" w:ascii="仿宋_GB2312" w:hAnsi="宋体" w:eastAsia="仿宋_GB2312"/>
          <w:color w:val="000000" w:themeColor="text1"/>
          <w:sz w:val="32"/>
          <w:szCs w:val="32"/>
          <w:lang w:val="zh-CN"/>
          <w14:textFill>
            <w14:solidFill>
              <w14:schemeClr w14:val="tx1"/>
            </w14:solidFill>
          </w14:textFill>
        </w:rPr>
        <w:t>项目绩效自评按市财政局要求，部门决算后在规定时间内按规定内容进行自评。</w:t>
      </w:r>
    </w:p>
    <w:p>
      <w:pPr>
        <w:spacing w:line="546" w:lineRule="exact"/>
        <w:ind w:firstLine="640" w:firstLineChars="200"/>
        <w:rPr>
          <w:rFonts w:eastAsia="仿宋_GB2312"/>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（五）评价组织。</w:t>
      </w:r>
      <w:r>
        <w:rPr>
          <w:rFonts w:hint="eastAsia" w:ascii="仿宋_GB2312" w:eastAsia="仿宋_GB2312"/>
          <w:color w:val="000000" w:themeColor="text1"/>
          <w:sz w:val="32"/>
          <w:szCs w:val="32"/>
          <w14:textFill>
            <w14:solidFill>
              <w14:schemeClr w14:val="tx1"/>
            </w14:solidFill>
          </w14:textFill>
        </w:rPr>
        <w:t>自评工作领导小组认真全面的进行绩效评价工作，建立健全财务管理制度和内控约束机制，依法、有效地使用财政资金，提高财政资金使用效率，合理分配人、财、物，完成部门职能目标，实现较高的工作效率和水平。</w:t>
      </w:r>
    </w:p>
    <w:p>
      <w:pPr>
        <w:adjustRightInd w:val="0"/>
        <w:snapToGrid w:val="0"/>
        <w:spacing w:line="546" w:lineRule="exact"/>
        <w:ind w:firstLine="640" w:firstLineChars="200"/>
        <w:rPr>
          <w:rFonts w:ascii="仿宋_GB2312" w:hAnsi="宋体"/>
          <w:color w:val="000000" w:themeColor="text1"/>
          <w:sz w:val="32"/>
          <w:szCs w:val="32"/>
          <w:lang w:val="zh-CN"/>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三、绩效分析</w:t>
      </w:r>
      <w:r>
        <w:rPr>
          <w:rFonts w:hint="eastAsia" w:ascii="仿宋_GB2312" w:hAnsi="宋体"/>
          <w:color w:val="000000" w:themeColor="text1"/>
          <w:sz w:val="32"/>
          <w:szCs w:val="32"/>
          <w:lang w:val="zh-CN"/>
          <w14:textFill>
            <w14:solidFill>
              <w14:schemeClr w14:val="tx1"/>
            </w14:solidFill>
          </w14:textFill>
        </w:rPr>
        <w:tab/>
      </w:r>
    </w:p>
    <w:p>
      <w:pPr>
        <w:spacing w:line="546" w:lineRule="exact"/>
        <w:ind w:firstLine="640" w:firstLineChars="200"/>
        <w:rPr>
          <w:rFonts w:ascii="楷体_GB2312" w:hAnsi="楷体_GB2312" w:eastAsia="楷体_GB2312" w:cs="楷体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楷体_GB2312" w:hAnsi="宋体" w:eastAsia="楷体_GB2312"/>
          <w:color w:val="000000" w:themeColor="text1"/>
          <w:sz w:val="32"/>
          <w:szCs w:val="32"/>
          <w14:textFill>
            <w14:solidFill>
              <w14:schemeClr w14:val="tx1"/>
            </w14:solidFill>
          </w14:textFill>
        </w:rPr>
        <w:t>一</w:t>
      </w: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楷体_GB2312" w:hAnsi="宋体" w:eastAsia="楷体_GB2312"/>
          <w:color w:val="000000" w:themeColor="text1"/>
          <w:sz w:val="32"/>
          <w:szCs w:val="32"/>
          <w14:textFill>
            <w14:solidFill>
              <w14:schemeClr w14:val="tx1"/>
            </w14:solidFill>
          </w14:textFill>
        </w:rPr>
        <w:t>专用指标</w:t>
      </w:r>
      <w:r>
        <w:rPr>
          <w:rFonts w:eastAsia="楷体_GB2312"/>
          <w:color w:val="000000" w:themeColor="text1"/>
          <w:kern w:val="0"/>
          <w:sz w:val="32"/>
          <w:szCs w:val="32"/>
          <w:shd w:val="clear" w:color="auto" w:fill="FFFFFF"/>
          <w:lang w:val="zh-CN"/>
          <w14:textFill>
            <w14:solidFill>
              <w14:schemeClr w14:val="tx1"/>
            </w14:solidFill>
          </w14:textFill>
        </w:rPr>
        <w:t>绩效分析</w:t>
      </w:r>
    </w:p>
    <w:p>
      <w:pPr>
        <w:adjustRightInd w:val="0"/>
        <w:snapToGrid w:val="0"/>
        <w:spacing w:line="546"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1.政策制定（自评得30分）。</w:t>
      </w:r>
      <w:r>
        <w:rPr>
          <w:rFonts w:hint="eastAsia" w:ascii="仿宋_GB2312" w:hAnsi="宋体" w:eastAsia="仿宋_GB2312"/>
          <w:color w:val="000000" w:themeColor="text1"/>
          <w:sz w:val="32"/>
          <w:szCs w:val="32"/>
          <w:lang w:val="zh-CN"/>
          <w14:textFill>
            <w14:solidFill>
              <w14:schemeClr w14:val="tx1"/>
            </w14:solidFill>
          </w14:textFill>
        </w:rPr>
        <w:t>民生保障</w:t>
      </w:r>
      <w:r>
        <w:rPr>
          <w:rFonts w:hint="eastAsia" w:ascii="仿宋_GB2312" w:hAnsi="宋体" w:eastAsia="仿宋_GB2312"/>
          <w:color w:val="000000" w:themeColor="text1"/>
          <w:sz w:val="32"/>
          <w:szCs w:val="32"/>
          <w14:textFill>
            <w14:solidFill>
              <w14:schemeClr w14:val="tx1"/>
            </w14:solidFill>
          </w14:textFill>
        </w:rPr>
        <w:t>方面</w:t>
      </w:r>
      <w:r>
        <w:rPr>
          <w:rFonts w:hint="eastAsia" w:ascii="仿宋_GB2312" w:hAnsi="宋体" w:eastAsia="仿宋_GB2312"/>
          <w:color w:val="000000" w:themeColor="text1"/>
          <w:sz w:val="32"/>
          <w:szCs w:val="32"/>
          <w:lang w:val="zh-CN"/>
          <w14:textFill>
            <w14:solidFill>
              <w14:schemeClr w14:val="tx1"/>
            </w14:solidFill>
          </w14:textFill>
        </w:rPr>
        <w:t>。</w:t>
      </w:r>
      <w:r>
        <w:rPr>
          <w:rFonts w:hint="eastAsia" w:ascii="仿宋_GB2312" w:hAnsi="宋体" w:eastAsia="仿宋_GB2312"/>
          <w:color w:val="000000" w:themeColor="text1"/>
          <w:sz w:val="32"/>
          <w:szCs w:val="32"/>
          <w14:textFill>
            <w14:solidFill>
              <w14:schemeClr w14:val="tx1"/>
            </w14:solidFill>
          </w14:textFill>
        </w:rPr>
        <w:t>政策内各项目资金分配均衡公平，项目支持方向全面覆盖政策应支持的范围和对象，有效衔接了政策内各项目间支持标准，不存在标准差异较大的情况。</w:t>
      </w:r>
    </w:p>
    <w:p>
      <w:pPr>
        <w:adjustRightInd w:val="0"/>
        <w:snapToGrid w:val="0"/>
        <w:spacing w:line="546"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政策执行（自评得24分）。在业务流程方面，中心严格按照《广元市医疗保障事务中心关于特殊人群医疗费用审核拨付流程的规定》，由业务经办人员对特殊人群有关资料进行初审，业务组长复核，业务分管领导审核后方可由财务领导审批拨付，对金额大于2万元或特殊业务由中心主任签字审批。在财务流程方面，该笔</w:t>
      </w:r>
      <w:r>
        <w:rPr>
          <w:rFonts w:hint="eastAsia" w:ascii="仿宋_GB2312" w:hAnsi="宋体" w:eastAsia="仿宋_GB2312"/>
          <w:color w:val="000000" w:themeColor="text1"/>
          <w:sz w:val="32"/>
          <w:szCs w:val="32"/>
          <w:lang w:val="zh-CN"/>
          <w14:textFill>
            <w14:solidFill>
              <w14:schemeClr w14:val="tx1"/>
            </w14:solidFill>
          </w14:textFill>
        </w:rPr>
        <w:t>经费按财政集中支付管理流程</w:t>
      </w:r>
      <w:r>
        <w:rPr>
          <w:rFonts w:hint="eastAsia" w:ascii="仿宋_GB2312" w:hAnsi="宋体" w:eastAsia="仿宋_GB2312"/>
          <w:color w:val="000000" w:themeColor="text1"/>
          <w:sz w:val="32"/>
          <w:szCs w:val="32"/>
          <w14:textFill>
            <w14:solidFill>
              <w14:schemeClr w14:val="tx1"/>
            </w14:solidFill>
          </w14:textFill>
        </w:rPr>
        <w:t>拨付至广元市医疗保障事务中心医疗保险基金支出户</w:t>
      </w:r>
      <w:r>
        <w:rPr>
          <w:rFonts w:hint="eastAsia" w:ascii="仿宋_GB2312" w:hAnsi="宋体" w:eastAsia="仿宋_GB2312"/>
          <w:color w:val="000000" w:themeColor="text1"/>
          <w:sz w:val="32"/>
          <w:szCs w:val="32"/>
          <w:lang w:val="zh-CN"/>
          <w14:textFill>
            <w14:solidFill>
              <w14:schemeClr w14:val="tx1"/>
            </w14:solidFill>
          </w14:textFill>
        </w:rPr>
        <w:t>。</w:t>
      </w:r>
      <w:r>
        <w:rPr>
          <w:rFonts w:hint="eastAsia" w:ascii="仿宋_GB2312" w:hAnsi="宋体" w:eastAsia="仿宋_GB2312"/>
          <w:color w:val="000000" w:themeColor="text1"/>
          <w:sz w:val="32"/>
          <w:szCs w:val="32"/>
          <w14:textFill>
            <w14:solidFill>
              <w14:schemeClr w14:val="tx1"/>
            </w14:solidFill>
          </w14:textFill>
        </w:rPr>
        <w:t>医疗保障事务中心根据有关人员申请，经业务工作人员及各级领导审核后，由财务人员进行拨付。</w:t>
      </w:r>
    </w:p>
    <w:p>
      <w:pPr>
        <w:adjustRightInd w:val="0"/>
        <w:snapToGrid w:val="0"/>
        <w:spacing w:line="576" w:lineRule="exact"/>
        <w:ind w:firstLine="640" w:firstLineChars="200"/>
        <w:rPr>
          <w:rFonts w:ascii="楷体_GB2312" w:hAnsi="楷体_GB2312" w:eastAsia="楷体_GB2312" w:cs="楷体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3.政策效果（自评得16分）。</w:t>
      </w:r>
      <w:r>
        <w:rPr>
          <w:rFonts w:hint="eastAsia" w:ascii="仿宋_GB2312" w:hAnsi="宋体" w:eastAsia="仿宋_GB2312"/>
          <w:color w:val="000000" w:themeColor="text1"/>
          <w:sz w:val="32"/>
          <w:szCs w:val="32"/>
          <w:lang w:val="zh-CN"/>
          <w14:textFill>
            <w14:solidFill>
              <w14:schemeClr w14:val="tx1"/>
            </w14:solidFill>
          </w14:textFill>
        </w:rPr>
        <w:t>本项目资金全年共支出505</w:t>
      </w:r>
      <w:r>
        <w:rPr>
          <w:rFonts w:hint="eastAsia" w:ascii="仿宋_GB2312" w:hAnsi="宋体" w:eastAsia="仿宋_GB2312"/>
          <w:color w:val="000000" w:themeColor="text1"/>
          <w:sz w:val="32"/>
          <w:szCs w:val="32"/>
          <w14:textFill>
            <w14:solidFill>
              <w14:schemeClr w14:val="tx1"/>
            </w14:solidFill>
          </w14:textFill>
        </w:rPr>
        <w:t>万</w:t>
      </w:r>
      <w:r>
        <w:rPr>
          <w:rFonts w:hint="eastAsia" w:ascii="仿宋_GB2312" w:hAnsi="宋体" w:eastAsia="仿宋_GB2312"/>
          <w:color w:val="000000" w:themeColor="text1"/>
          <w:sz w:val="32"/>
          <w:szCs w:val="32"/>
          <w:lang w:val="zh-CN"/>
          <w14:textFill>
            <w14:solidFill>
              <w14:schemeClr w14:val="tx1"/>
            </w14:solidFill>
          </w14:textFill>
        </w:rPr>
        <w:t>元，支出进度为100%，主要</w:t>
      </w:r>
      <w:r>
        <w:rPr>
          <w:rFonts w:hint="eastAsia" w:ascii="仿宋_GB2312" w:hAnsi="宋体" w:eastAsia="仿宋_GB2312"/>
          <w:color w:val="000000" w:themeColor="text1"/>
          <w:sz w:val="32"/>
          <w:szCs w:val="32"/>
          <w14:textFill>
            <w14:solidFill>
              <w14:schemeClr w14:val="tx1"/>
            </w14:solidFill>
          </w14:textFill>
        </w:rPr>
        <w:t>用于支付离休干部及老红军遗孀医疗费</w:t>
      </w:r>
      <w:r>
        <w:rPr>
          <w:rFonts w:hint="eastAsia" w:ascii="仿宋_GB2312" w:hAnsi="宋体" w:eastAsia="仿宋_GB2312"/>
          <w:color w:val="000000" w:themeColor="text1"/>
          <w:sz w:val="32"/>
          <w:szCs w:val="32"/>
          <w:lang w:val="zh-CN"/>
          <w14:textFill>
            <w14:solidFill>
              <w14:schemeClr w14:val="tx1"/>
            </w14:solidFill>
          </w14:textFill>
        </w:rPr>
        <w:t>。在项目执行过程中，严格按照预算批复项目资金支付范围、支付标准执行，严控预算执行进度和经费支出情况，资金</w:t>
      </w:r>
      <w:r>
        <w:rPr>
          <w:rFonts w:hint="eastAsia" w:ascii="仿宋_GB2312" w:hAnsi="仿宋_GB2312" w:eastAsia="仿宋_GB2312" w:cs="仿宋_GB2312"/>
          <w:color w:val="000000" w:themeColor="text1"/>
          <w:spacing w:val="-6"/>
          <w:sz w:val="32"/>
          <w:szCs w:val="32"/>
          <w:lang w:val="zh-CN"/>
          <w14:textFill>
            <w14:solidFill>
              <w14:schemeClr w14:val="tx1"/>
            </w14:solidFill>
          </w14:textFill>
        </w:rPr>
        <w:t>使用安全、规范、高效</w:t>
      </w:r>
      <w:r>
        <w:rPr>
          <w:rFonts w:hint="eastAsia" w:ascii="仿宋_GB2312" w:hAnsi="宋体" w:eastAsia="仿宋_GB2312"/>
          <w:color w:val="000000" w:themeColor="text1"/>
          <w:spacing w:val="-6"/>
          <w:sz w:val="32"/>
          <w:szCs w:val="32"/>
          <w:lang w:val="zh-CN"/>
          <w14:textFill>
            <w14:solidFill>
              <w14:schemeClr w14:val="tx1"/>
            </w14:solidFill>
          </w14:textFill>
        </w:rPr>
        <w:t>。</w:t>
      </w:r>
    </w:p>
    <w:p>
      <w:pPr>
        <w:adjustRightInd w:val="0"/>
        <w:snapToGrid w:val="0"/>
        <w:spacing w:line="576" w:lineRule="exact"/>
        <w:ind w:firstLine="640" w:firstLineChars="200"/>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楷体_GB2312" w:hAnsi="宋体" w:eastAsia="楷体_GB2312"/>
          <w:color w:val="000000" w:themeColor="text1"/>
          <w:sz w:val="32"/>
          <w:szCs w:val="32"/>
          <w14:textFill>
            <w14:solidFill>
              <w14:schemeClr w14:val="tx1"/>
            </w14:solidFill>
          </w14:textFill>
        </w:rPr>
        <w:t>二</w:t>
      </w: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楷体_GB2312" w:hAnsi="宋体" w:eastAsia="楷体_GB2312"/>
          <w:color w:val="000000" w:themeColor="text1"/>
          <w:sz w:val="32"/>
          <w:szCs w:val="32"/>
          <w14:textFill>
            <w14:solidFill>
              <w14:schemeClr w14:val="tx1"/>
            </w14:solidFill>
          </w14:textFill>
        </w:rPr>
        <w:t>个性指标</w:t>
      </w:r>
      <w:r>
        <w:rPr>
          <w:rFonts w:eastAsia="楷体_GB2312"/>
          <w:color w:val="000000" w:themeColor="text1"/>
          <w:kern w:val="0"/>
          <w:sz w:val="32"/>
          <w:szCs w:val="32"/>
          <w:shd w:val="clear" w:color="auto" w:fill="FFFFFF"/>
          <w:lang w:val="zh-CN"/>
          <w14:textFill>
            <w14:solidFill>
              <w14:schemeClr w14:val="tx1"/>
            </w14:solidFill>
          </w14:textFill>
        </w:rPr>
        <w:t>绩效分析</w:t>
      </w:r>
      <w:r>
        <w:rPr>
          <w:rFonts w:hint="eastAsia" w:ascii="楷体_GB2312" w:hAnsi="楷体_GB2312" w:eastAsia="楷体_GB2312" w:cs="楷体_GB2312"/>
          <w:color w:val="000000" w:themeColor="text1"/>
          <w:sz w:val="32"/>
          <w:szCs w:val="32"/>
          <w14:textFill>
            <w14:solidFill>
              <w14:schemeClr w14:val="tx1"/>
            </w14:solidFill>
          </w14:textFill>
        </w:rPr>
        <w:t>（自评得20分）</w:t>
      </w:r>
    </w:p>
    <w:p>
      <w:pPr>
        <w:adjustRightInd w:val="0"/>
        <w:snapToGrid w:val="0"/>
        <w:spacing w:line="576"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我单位</w:t>
      </w:r>
      <w:r>
        <w:rPr>
          <w:rFonts w:hint="eastAsia" w:ascii="仿宋_GB2312" w:hAnsi="宋体" w:eastAsia="仿宋_GB2312"/>
          <w:color w:val="000000" w:themeColor="text1"/>
          <w:sz w:val="32"/>
          <w:szCs w:val="32"/>
          <w:lang w:val="zh-CN"/>
          <w14:textFill>
            <w14:solidFill>
              <w14:schemeClr w14:val="tx1"/>
            </w14:solidFill>
          </w14:textFill>
        </w:rPr>
        <w:t>财务管理制度健全，制度执行严格，账务处理及时，会计核算规范。</w:t>
      </w:r>
      <w:r>
        <w:rPr>
          <w:rFonts w:hint="eastAsia" w:ascii="仿宋_GB2312" w:hAnsi="宋体" w:eastAsia="仿宋_GB2312"/>
          <w:color w:val="000000" w:themeColor="text1"/>
          <w:sz w:val="32"/>
          <w:szCs w:val="32"/>
          <w14:textFill>
            <w14:solidFill>
              <w14:schemeClr w14:val="tx1"/>
            </w14:solidFill>
          </w14:textFill>
        </w:rPr>
        <w:t>严格</w:t>
      </w:r>
      <w:r>
        <w:rPr>
          <w:rFonts w:hint="eastAsia" w:ascii="仿宋_GB2312" w:hAnsi="宋体" w:eastAsia="仿宋_GB2312"/>
          <w:color w:val="000000" w:themeColor="text1"/>
          <w:sz w:val="32"/>
          <w:szCs w:val="32"/>
          <w:lang w:val="zh-CN"/>
          <w14:textFill>
            <w14:solidFill>
              <w14:schemeClr w14:val="tx1"/>
            </w14:solidFill>
          </w14:textFill>
        </w:rPr>
        <w:t>按</w:t>
      </w:r>
      <w:r>
        <w:rPr>
          <w:rFonts w:hint="eastAsia" w:ascii="仿宋_GB2312" w:hAnsi="宋体" w:eastAsia="仿宋_GB2312"/>
          <w:color w:val="000000" w:themeColor="text1"/>
          <w:sz w:val="32"/>
          <w:szCs w:val="32"/>
          <w14:textFill>
            <w14:solidFill>
              <w14:schemeClr w14:val="tx1"/>
            </w14:solidFill>
          </w14:textFill>
        </w:rPr>
        <w:t>照</w:t>
      </w:r>
      <w:r>
        <w:rPr>
          <w:rFonts w:hint="eastAsia" w:ascii="仿宋_GB2312" w:hAnsi="宋体" w:eastAsia="仿宋_GB2312"/>
          <w:color w:val="000000" w:themeColor="text1"/>
          <w:sz w:val="32"/>
          <w:szCs w:val="32"/>
          <w:lang w:val="zh-CN"/>
          <w14:textFill>
            <w14:solidFill>
              <w14:schemeClr w14:val="tx1"/>
            </w14:solidFill>
          </w14:textFill>
        </w:rPr>
        <w:t>《社保基金财务制度》《社保基金会计制度》管理和核算基金。</w:t>
      </w:r>
      <w:r>
        <w:rPr>
          <w:rFonts w:hint="eastAsia" w:ascii="仿宋_GB2312" w:hAnsi="宋体" w:eastAsia="仿宋_GB2312"/>
          <w:color w:val="000000" w:themeColor="text1"/>
          <w:sz w:val="32"/>
          <w:szCs w:val="32"/>
          <w14:textFill>
            <w14:solidFill>
              <w14:schemeClr w14:val="tx1"/>
            </w14:solidFill>
          </w14:textFill>
        </w:rPr>
        <w:t>离休干部门诊费用报销比例大于90%，医疗</w:t>
      </w:r>
      <w:r>
        <w:rPr>
          <w:rFonts w:hint="eastAsia" w:ascii="仿宋_GB2312" w:hAnsi="宋体" w:eastAsia="仿宋_GB2312"/>
          <w:color w:val="000000" w:themeColor="text1"/>
          <w:sz w:val="32"/>
          <w:szCs w:val="32"/>
          <w:lang w:val="zh-CN"/>
          <w14:textFill>
            <w14:solidFill>
              <w14:schemeClr w14:val="tx1"/>
            </w14:solidFill>
          </w14:textFill>
        </w:rPr>
        <w:t>照顾对象满意度</w:t>
      </w:r>
      <w:r>
        <w:rPr>
          <w:rFonts w:hint="eastAsia" w:ascii="仿宋_GB2312" w:hAnsi="宋体" w:eastAsia="仿宋_GB2312"/>
          <w:color w:val="000000" w:themeColor="text1"/>
          <w:sz w:val="32"/>
          <w:szCs w:val="32"/>
          <w14:textFill>
            <w14:solidFill>
              <w14:schemeClr w14:val="tx1"/>
            </w14:solidFill>
          </w14:textFill>
        </w:rPr>
        <w:t>在</w:t>
      </w:r>
      <w:r>
        <w:rPr>
          <w:rFonts w:hint="eastAsia" w:ascii="仿宋_GB2312" w:hAnsi="宋体" w:eastAsia="仿宋_GB2312"/>
          <w:color w:val="000000" w:themeColor="text1"/>
          <w:sz w:val="32"/>
          <w:szCs w:val="32"/>
          <w:lang w:val="zh-CN"/>
          <w14:textFill>
            <w14:solidFill>
              <w14:schemeClr w14:val="tx1"/>
            </w14:solidFill>
          </w14:textFill>
        </w:rPr>
        <w:t>85%</w:t>
      </w:r>
      <w:r>
        <w:rPr>
          <w:rFonts w:hint="eastAsia" w:ascii="仿宋_GB2312" w:hAnsi="宋体" w:eastAsia="仿宋_GB2312"/>
          <w:color w:val="000000" w:themeColor="text1"/>
          <w:sz w:val="32"/>
          <w:szCs w:val="32"/>
          <w14:textFill>
            <w14:solidFill>
              <w14:schemeClr w14:val="tx1"/>
            </w14:solidFill>
          </w14:textFill>
        </w:rPr>
        <w:t>以上</w:t>
      </w:r>
      <w:r>
        <w:rPr>
          <w:rFonts w:hint="eastAsia" w:ascii="仿宋_GB2312" w:hAnsi="宋体" w:eastAsia="仿宋_GB2312"/>
          <w:color w:val="000000" w:themeColor="text1"/>
          <w:sz w:val="32"/>
          <w:szCs w:val="32"/>
          <w:lang w:val="zh-CN"/>
          <w14:textFill>
            <w14:solidFill>
              <w14:schemeClr w14:val="tx1"/>
            </w14:solidFill>
          </w14:textFill>
        </w:rPr>
        <w:t>，</w:t>
      </w:r>
      <w:r>
        <w:rPr>
          <w:rFonts w:hint="eastAsia" w:ascii="仿宋_GB2312" w:hAnsi="宋体" w:eastAsia="仿宋_GB2312"/>
          <w:color w:val="000000" w:themeColor="text1"/>
          <w:sz w:val="32"/>
          <w:szCs w:val="32"/>
          <w14:textFill>
            <w14:solidFill>
              <w14:schemeClr w14:val="tx1"/>
            </w14:solidFill>
          </w14:textFill>
        </w:rPr>
        <w:t>对于</w:t>
      </w:r>
      <w:r>
        <w:rPr>
          <w:rFonts w:hint="eastAsia" w:ascii="仿宋_GB2312" w:hAnsi="宋体" w:eastAsia="仿宋_GB2312"/>
          <w:color w:val="000000" w:themeColor="text1"/>
          <w:sz w:val="32"/>
          <w:szCs w:val="32"/>
          <w:lang w:val="zh-CN"/>
          <w14:textFill>
            <w14:solidFill>
              <w14:schemeClr w14:val="tx1"/>
            </w14:solidFill>
          </w14:textFill>
        </w:rPr>
        <w:t>医疗照顾费用审核准确率</w:t>
      </w:r>
      <w:r>
        <w:rPr>
          <w:rFonts w:hint="eastAsia" w:ascii="仿宋_GB2312" w:hAnsi="宋体" w:eastAsia="仿宋_GB2312"/>
          <w:color w:val="000000" w:themeColor="text1"/>
          <w:sz w:val="32"/>
          <w:szCs w:val="32"/>
          <w14:textFill>
            <w14:solidFill>
              <w14:schemeClr w14:val="tx1"/>
            </w14:solidFill>
          </w14:textFill>
        </w:rPr>
        <w:t>在</w:t>
      </w:r>
      <w:r>
        <w:rPr>
          <w:rFonts w:hint="eastAsia" w:ascii="仿宋_GB2312" w:hAnsi="宋体" w:eastAsia="仿宋_GB2312"/>
          <w:color w:val="000000" w:themeColor="text1"/>
          <w:sz w:val="32"/>
          <w:szCs w:val="32"/>
          <w:lang w:val="zh-CN"/>
          <w14:textFill>
            <w14:solidFill>
              <w14:schemeClr w14:val="tx1"/>
            </w14:solidFill>
          </w14:textFill>
        </w:rPr>
        <w:t>98%</w:t>
      </w:r>
      <w:r>
        <w:rPr>
          <w:rFonts w:hint="eastAsia" w:ascii="仿宋_GB2312" w:hAnsi="宋体" w:eastAsia="仿宋_GB2312"/>
          <w:color w:val="000000" w:themeColor="text1"/>
          <w:sz w:val="32"/>
          <w:szCs w:val="32"/>
          <w14:textFill>
            <w14:solidFill>
              <w14:schemeClr w14:val="tx1"/>
            </w14:solidFill>
          </w14:textFill>
        </w:rPr>
        <w:t>以上。</w:t>
      </w:r>
    </w:p>
    <w:p>
      <w:pPr>
        <w:pStyle w:val="7"/>
        <w:tabs>
          <w:tab w:val="left" w:pos="2160"/>
        </w:tabs>
        <w:spacing w:before="95" w:line="576" w:lineRule="exact"/>
        <w:ind w:firstLine="640" w:firstLineChars="200"/>
        <w:rPr>
          <w:rFonts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四、评价结论</w:t>
      </w:r>
    </w:p>
    <w:p>
      <w:pPr>
        <w:adjustRightInd w:val="0"/>
        <w:spacing w:line="576"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lang w:val="zh-CN"/>
          <w14:textFill>
            <w14:solidFill>
              <w14:schemeClr w14:val="tx1"/>
            </w14:solidFill>
          </w14:textFill>
        </w:rPr>
        <w:t>通过项目实施，解决了离休干部及老红军遗孀医疗费用问题，减轻了离休干部及老红军遗孀的经济压力和生活压力，既是对离休干部及老红军先烈贡献价值的肯定，更是时代背景下的现实需求的满足。该项目得</w:t>
      </w:r>
      <w:r>
        <w:rPr>
          <w:rFonts w:hint="eastAsia" w:ascii="仿宋_GB2312" w:hAnsi="宋体" w:eastAsia="仿宋_GB2312"/>
          <w:color w:val="000000" w:themeColor="text1"/>
          <w:sz w:val="32"/>
          <w:szCs w:val="32"/>
          <w14:textFill>
            <w14:solidFill>
              <w14:schemeClr w14:val="tx1"/>
            </w14:solidFill>
          </w14:textFill>
        </w:rPr>
        <w:t>100分。</w:t>
      </w:r>
    </w:p>
    <w:p>
      <w:pPr>
        <w:pStyle w:val="7"/>
        <w:tabs>
          <w:tab w:val="left" w:pos="2160"/>
        </w:tabs>
        <w:spacing w:before="95" w:line="576" w:lineRule="exact"/>
        <w:ind w:firstLine="640" w:firstLineChars="200"/>
        <w:rPr>
          <w:rFonts w:ascii="黑体" w:hAnsi="宋体" w:eastAsia="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w:t>
      </w:r>
      <w:r>
        <w:rPr>
          <w:rFonts w:hint="eastAsia" w:ascii="黑体" w:hAnsi="宋体" w:eastAsia="黑体"/>
          <w:color w:val="000000" w:themeColor="text1"/>
          <w:sz w:val="32"/>
          <w:szCs w:val="32"/>
          <w14:textFill>
            <w14:solidFill>
              <w14:schemeClr w14:val="tx1"/>
            </w14:solidFill>
          </w14:textFill>
        </w:rPr>
        <w:t>存在主要问题</w:t>
      </w:r>
    </w:p>
    <w:p>
      <w:pPr>
        <w:pStyle w:val="7"/>
        <w:tabs>
          <w:tab w:val="left" w:pos="2160"/>
        </w:tabs>
        <w:spacing w:before="95" w:line="576" w:lineRule="exact"/>
        <w:ind w:firstLine="640" w:firstLineChars="200"/>
        <w:rPr>
          <w:rFonts w:hAnsi="仿宋_GB2312" w:cs="仿宋_GB2312"/>
          <w:color w:val="000000" w:themeColor="text1"/>
          <w:sz w:val="32"/>
          <w:szCs w:val="32"/>
          <w14:textFill>
            <w14:solidFill>
              <w14:schemeClr w14:val="tx1"/>
            </w14:solidFill>
          </w14:textFill>
        </w:rPr>
      </w:pPr>
      <w:r>
        <w:rPr>
          <w:rFonts w:hint="eastAsia" w:hAnsi="仿宋_GB2312" w:cs="仿宋_GB2312"/>
          <w:color w:val="000000" w:themeColor="text1"/>
          <w:sz w:val="32"/>
          <w:szCs w:val="32"/>
          <w14:textFill>
            <w14:solidFill>
              <w14:schemeClr w14:val="tx1"/>
            </w14:solidFill>
          </w14:textFill>
        </w:rPr>
        <w:t>无。</w:t>
      </w:r>
    </w:p>
    <w:p>
      <w:pPr>
        <w:pStyle w:val="7"/>
        <w:tabs>
          <w:tab w:val="left" w:pos="2160"/>
        </w:tabs>
        <w:spacing w:before="95" w:line="576" w:lineRule="exact"/>
        <w:ind w:firstLine="640" w:firstLineChars="200"/>
        <w:rPr>
          <w:rFonts w:ascii="黑体" w:hAnsi="宋体" w:eastAsia="黑体"/>
          <w:color w:val="000000" w:themeColor="text1"/>
          <w:position w:val="3"/>
          <w:sz w:val="32"/>
          <w:szCs w:val="32"/>
          <w:lang w:val="zh-CN"/>
          <w14:textFill>
            <w14:solidFill>
              <w14:schemeClr w14:val="tx1"/>
            </w14:solidFill>
          </w14:textFill>
        </w:rPr>
      </w:pPr>
      <w:r>
        <w:rPr>
          <w:rFonts w:hint="eastAsia" w:ascii="黑体" w:hAnsi="宋体" w:eastAsia="黑体"/>
          <w:color w:val="000000" w:themeColor="text1"/>
          <w:position w:val="3"/>
          <w:sz w:val="32"/>
          <w:szCs w:val="32"/>
          <w:lang w:val="zh-CN"/>
          <w14:textFill>
            <w14:solidFill>
              <w14:schemeClr w14:val="tx1"/>
            </w14:solidFill>
          </w14:textFill>
        </w:rPr>
        <w:t>六、改进建议</w:t>
      </w:r>
    </w:p>
    <w:p>
      <w:pPr>
        <w:pStyle w:val="7"/>
        <w:tabs>
          <w:tab w:val="left" w:pos="2160"/>
        </w:tabs>
        <w:spacing w:before="95" w:line="576" w:lineRule="exact"/>
        <w:ind w:firstLine="640" w:firstLineChars="200"/>
        <w:rPr>
          <w:rFonts w:hAnsi="仿宋_GB2312" w:cs="仿宋_GB2312"/>
          <w:color w:val="000000" w:themeColor="text1"/>
          <w:sz w:val="32"/>
          <w:szCs w:val="32"/>
          <w:lang w:val="zh-CN"/>
          <w14:textFill>
            <w14:solidFill>
              <w14:schemeClr w14:val="tx1"/>
            </w14:solidFill>
          </w14:textFill>
        </w:rPr>
      </w:pPr>
      <w:r>
        <w:rPr>
          <w:rFonts w:hint="eastAsia" w:hAnsi="仿宋_GB2312" w:cs="仿宋_GB2312"/>
          <w:color w:val="000000" w:themeColor="text1"/>
          <w:sz w:val="32"/>
          <w:szCs w:val="32"/>
          <w14:textFill>
            <w14:solidFill>
              <w14:schemeClr w14:val="tx1"/>
            </w14:solidFill>
          </w14:textFill>
        </w:rPr>
        <w:t>无。</w:t>
      </w:r>
    </w:p>
    <w:p>
      <w:pPr>
        <w:snapToGrid w:val="0"/>
        <w:spacing w:line="578" w:lineRule="exact"/>
        <w:ind w:firstLine="420" w:firstLineChars="200"/>
        <w:rPr>
          <w:rFonts w:ascii="黑体" w:hAnsi="黑体" w:eastAsia="黑体" w:cs="黑体"/>
          <w:color w:val="000000" w:themeColor="text1"/>
          <w:kern w:val="0"/>
          <w:sz w:val="32"/>
          <w:szCs w:val="32"/>
          <w:shd w:val="clear" w:color="auto" w:fill="FFFFFF"/>
          <w:lang w:val="zh-CN"/>
          <w14:textFill>
            <w14:solidFill>
              <w14:schemeClr w14:val="tx1"/>
            </w14:solidFill>
          </w14:textFill>
        </w:rPr>
        <w:sectPr>
          <w:pgSz w:w="11906" w:h="16838"/>
          <w:pgMar w:top="2098" w:right="1474" w:bottom="1984" w:left="1587" w:header="851" w:footer="1417" w:gutter="0"/>
          <w:cols w:space="0" w:num="1"/>
          <w:rtlGutter w:val="0"/>
          <w:docGrid w:type="lines" w:linePitch="319" w:charSpace="0"/>
        </w:sectPr>
      </w:pPr>
      <w:r>
        <w:rPr>
          <w:rFonts w:hint="eastAsia"/>
          <w:color w:val="000000" w:themeColor="text1"/>
          <w:kern w:val="0"/>
          <w:szCs w:val="32"/>
          <w:shd w:val="clear" w:color="auto" w:fill="FFFFFF"/>
          <w:lang w:val="zh-CN"/>
          <w14:textFill>
            <w14:solidFill>
              <w14:schemeClr w14:val="tx1"/>
            </w14:solidFill>
          </w14:textFill>
        </w:rPr>
        <w:br w:type="page"/>
      </w:r>
    </w:p>
    <w:p>
      <w:pPr>
        <w:spacing w:line="500" w:lineRule="exact"/>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附件</w:t>
      </w:r>
      <w:r>
        <w:rPr>
          <w:rFonts w:ascii="黑体" w:hAnsi="黑体" w:eastAsia="黑体" w:cs="黑体"/>
          <w:color w:val="000000" w:themeColor="text1"/>
          <w:sz w:val="32"/>
          <w:szCs w:val="32"/>
          <w14:textFill>
            <w14:solidFill>
              <w14:schemeClr w14:val="tx1"/>
            </w14:solidFill>
          </w14:textFill>
        </w:rPr>
        <w:t>2-4</w:t>
      </w:r>
    </w:p>
    <w:p>
      <w:pPr>
        <w:pStyle w:val="41"/>
        <w:spacing w:line="578" w:lineRule="exact"/>
        <w:ind w:firstLine="440" w:firstLineChars="100"/>
        <w:jc w:val="cente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pPr>
    </w:p>
    <w:p>
      <w:pPr>
        <w:pStyle w:val="41"/>
        <w:spacing w:line="578" w:lineRule="exact"/>
        <w:ind w:firstLine="440" w:firstLineChars="100"/>
        <w:jc w:val="cente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pPr>
      <w: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t>2023</w:t>
      </w:r>
      <w:r>
        <w:rPr>
          <w:rFonts w:hint="eastAsia" w:ascii="方正小标宋简体" w:hAnsi="方正小标宋简体" w:eastAsia="方正小标宋简体" w:cs="方正小标宋简体"/>
          <w:color w:val="000000" w:themeColor="text1"/>
          <w:kern w:val="2"/>
          <w:sz w:val="44"/>
          <w:szCs w:val="44"/>
          <w:lang w:val="en-US"/>
          <w14:textFill>
            <w14:solidFill>
              <w14:schemeClr w14:val="tx1"/>
            </w14:solidFill>
          </w14:textFill>
        </w:rPr>
        <w:t>年专项预算项目绩效评价报告</w:t>
      </w:r>
    </w:p>
    <w:p>
      <w:pPr>
        <w:pStyle w:val="41"/>
        <w:spacing w:line="578" w:lineRule="exact"/>
        <w:ind w:firstLine="320" w:firstLineChars="100"/>
        <w:jc w:val="center"/>
        <w:rPr>
          <w:rFonts w:ascii="方正楷体简体" w:hAnsi="方正楷体简体" w:eastAsia="方正楷体简体" w:cs="方正楷体简体"/>
          <w:color w:val="000000" w:themeColor="text1"/>
          <w:kern w:val="2"/>
          <w:sz w:val="32"/>
          <w:szCs w:val="32"/>
          <w:lang w:val="en-US"/>
          <w14:textFill>
            <w14:solidFill>
              <w14:schemeClr w14:val="tx1"/>
            </w14:solidFill>
          </w14:textFill>
        </w:rPr>
      </w:pPr>
      <w:r>
        <w:rPr>
          <w:rFonts w:hint="eastAsia" w:ascii="方正楷体简体" w:hAnsi="方正楷体简体" w:eastAsia="方正楷体简体" w:cs="方正楷体简体"/>
          <w:color w:val="000000" w:themeColor="text1"/>
          <w:kern w:val="2"/>
          <w:sz w:val="32"/>
          <w:szCs w:val="32"/>
          <w:lang w:val="en-US"/>
          <w14:textFill>
            <w14:solidFill>
              <w14:schemeClr w14:val="tx1"/>
            </w14:solidFill>
          </w14:textFill>
        </w:rPr>
        <w:t>（市本级建初人员门诊医疗照顾金）</w:t>
      </w:r>
    </w:p>
    <w:p>
      <w:pPr>
        <w:pStyle w:val="41"/>
        <w:spacing w:line="578" w:lineRule="exact"/>
        <w:ind w:firstLine="640"/>
        <w:jc w:val="center"/>
        <w:rPr>
          <w:rFonts w:ascii="宋体" w:hAnsi="宋体"/>
          <w:color w:val="000000" w:themeColor="text1"/>
          <w:kern w:val="2"/>
          <w:sz w:val="32"/>
          <w:szCs w:val="32"/>
          <w14:textFill>
            <w14:solidFill>
              <w14:schemeClr w14:val="tx1"/>
            </w14:solidFill>
          </w14:textFill>
        </w:rPr>
      </w:pPr>
    </w:p>
    <w:p>
      <w:pPr>
        <w:adjustRightInd w:val="0"/>
        <w:snapToGrid w:val="0"/>
        <w:spacing w:line="576" w:lineRule="exact"/>
        <w:ind w:firstLine="640" w:firstLineChars="200"/>
        <w:rPr>
          <w:rFonts w:ascii="黑体" w:hAnsi="宋体" w:eastAsia="黑体"/>
          <w:color w:val="000000" w:themeColor="text1"/>
          <w:sz w:val="32"/>
          <w:szCs w:val="32"/>
          <w:lang w:val="zh-CN"/>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一、</w:t>
      </w:r>
      <w:r>
        <w:rPr>
          <w:rFonts w:hint="eastAsia" w:ascii="黑体" w:hAnsi="宋体" w:eastAsia="黑体"/>
          <w:color w:val="000000" w:themeColor="text1"/>
          <w:sz w:val="32"/>
          <w:szCs w:val="32"/>
          <w:lang w:val="zh-CN"/>
          <w14:textFill>
            <w14:solidFill>
              <w14:schemeClr w14:val="tx1"/>
            </w14:solidFill>
          </w14:textFill>
        </w:rPr>
        <w:t>项目概况</w:t>
      </w:r>
    </w:p>
    <w:p>
      <w:pPr>
        <w:adjustRightInd w:val="0"/>
        <w:snapToGrid w:val="0"/>
        <w:spacing w:line="576" w:lineRule="exact"/>
        <w:ind w:firstLine="640" w:firstLineChars="200"/>
        <w:rPr>
          <w:rFonts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（一）设立背景及基本情况。</w:t>
      </w:r>
      <w:r>
        <w:rPr>
          <w:rFonts w:hint="eastAsia" w:ascii="仿宋_GB2312" w:hAnsi="仿宋_GB2312" w:eastAsia="仿宋_GB2312" w:cs="仿宋_GB2312"/>
          <w:color w:val="000000" w:themeColor="text1"/>
          <w:sz w:val="32"/>
          <w:szCs w:val="32"/>
          <w:lang w:val="zh-CN"/>
          <w14:textFill>
            <w14:solidFill>
              <w14:schemeClr w14:val="tx1"/>
            </w14:solidFill>
          </w14:textFill>
        </w:rPr>
        <w:t>广元市医疗保障局结合自身职责职能，负责贯彻执行国家、省、市医疗和生育保险政策，对各项医疗政策相关工作进行监督、管理，对各项医疗费报销进行审核、支付。广元市医疗保障事务中心作为市医疗保障局二级单位，具体负责对建国初期人员医疗门诊照顾金费用进行</w:t>
      </w:r>
      <w:r>
        <w:rPr>
          <w:rFonts w:hint="eastAsia" w:ascii="仿宋_GB2312" w:hAnsi="仿宋_GB2312" w:eastAsia="仿宋_GB2312" w:cs="仿宋_GB2312"/>
          <w:color w:val="000000" w:themeColor="text1"/>
          <w:sz w:val="32"/>
          <w:szCs w:val="32"/>
          <w14:textFill>
            <w14:solidFill>
              <w14:schemeClr w14:val="tx1"/>
            </w14:solidFill>
          </w14:textFill>
        </w:rPr>
        <w:t>划转</w:t>
      </w:r>
      <w:r>
        <w:rPr>
          <w:rFonts w:hint="eastAsia" w:ascii="仿宋_GB2312" w:hAnsi="仿宋_GB2312" w:eastAsia="仿宋_GB2312" w:cs="仿宋_GB2312"/>
          <w:color w:val="000000" w:themeColor="text1"/>
          <w:sz w:val="32"/>
          <w:szCs w:val="32"/>
          <w:lang w:val="zh-CN"/>
          <w14:textFill>
            <w14:solidFill>
              <w14:schemeClr w14:val="tx1"/>
            </w14:solidFill>
          </w14:textFill>
        </w:rPr>
        <w:t>。</w:t>
      </w:r>
    </w:p>
    <w:p>
      <w:pPr>
        <w:adjustRightInd w:val="0"/>
        <w:snapToGrid w:val="0"/>
        <w:spacing w:line="576" w:lineRule="exact"/>
        <w:ind w:firstLine="640" w:firstLineChars="200"/>
        <w:rPr>
          <w:rFonts w:ascii="楷体_GB2312" w:hAnsi="宋体" w:eastAsia="楷体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（二）</w:t>
      </w:r>
      <w:r>
        <w:rPr>
          <w:rFonts w:ascii="楷体_GB2312" w:hAnsi="宋体" w:eastAsia="楷体_GB2312"/>
          <w:color w:val="000000" w:themeColor="text1"/>
          <w:spacing w:val="-6"/>
          <w:sz w:val="32"/>
          <w:szCs w:val="32"/>
          <w14:textFill>
            <w14:solidFill>
              <w14:schemeClr w14:val="tx1"/>
            </w14:solidFill>
          </w14:textFill>
        </w:rPr>
        <w:t>实施目的及支持方向</w:t>
      </w:r>
      <w:r>
        <w:rPr>
          <w:rFonts w:hint="eastAsia" w:ascii="楷体_GB2312" w:hAnsi="宋体" w:eastAsia="楷体_GB2312"/>
          <w:color w:val="000000" w:themeColor="text1"/>
          <w:spacing w:val="-6"/>
          <w:sz w:val="32"/>
          <w:szCs w:val="32"/>
          <w14:textFill>
            <w14:solidFill>
              <w14:schemeClr w14:val="tx1"/>
            </w14:solidFill>
          </w14:textFill>
        </w:rPr>
        <w:t>。</w:t>
      </w:r>
      <w:r>
        <w:rPr>
          <w:rFonts w:hint="eastAsia" w:ascii="仿宋_GB2312" w:hAnsi="仿宋_GB2312" w:eastAsia="仿宋_GB2312" w:cs="仿宋_GB2312"/>
          <w:color w:val="000000" w:themeColor="text1"/>
          <w:spacing w:val="-6"/>
          <w:sz w:val="32"/>
          <w:szCs w:val="32"/>
          <w:lang w:val="zh-CN"/>
          <w14:textFill>
            <w14:solidFill>
              <w14:schemeClr w14:val="tx1"/>
            </w14:solidFill>
          </w14:textFill>
        </w:rPr>
        <w:t>制定了《广元市医疗保障事务中心关于特殊人群医疗费用审核拨付流程的规定》，对建国初期人员医疗门诊照顾金的审核和</w:t>
      </w:r>
      <w:r>
        <w:rPr>
          <w:rFonts w:hint="eastAsia" w:ascii="仿宋_GB2312" w:hAnsi="仿宋_GB2312" w:eastAsia="仿宋_GB2312" w:cs="仿宋_GB2312"/>
          <w:color w:val="000000" w:themeColor="text1"/>
          <w:spacing w:val="-6"/>
          <w:sz w:val="32"/>
          <w:szCs w:val="32"/>
          <w14:textFill>
            <w14:solidFill>
              <w14:schemeClr w14:val="tx1"/>
            </w14:solidFill>
          </w14:textFill>
        </w:rPr>
        <w:t>划转</w:t>
      </w:r>
      <w:r>
        <w:rPr>
          <w:rFonts w:hint="eastAsia" w:ascii="仿宋_GB2312" w:hAnsi="仿宋_GB2312" w:eastAsia="仿宋_GB2312" w:cs="仿宋_GB2312"/>
          <w:color w:val="000000" w:themeColor="text1"/>
          <w:spacing w:val="-6"/>
          <w:sz w:val="32"/>
          <w:szCs w:val="32"/>
          <w:lang w:val="zh-CN"/>
          <w14:textFill>
            <w14:solidFill>
              <w14:schemeClr w14:val="tx1"/>
            </w14:solidFill>
          </w14:textFill>
        </w:rPr>
        <w:t>严格按规定执行，控制项目实施成本。</w:t>
      </w:r>
    </w:p>
    <w:p>
      <w:pPr>
        <w:adjustRightInd w:val="0"/>
        <w:snapToGrid w:val="0"/>
        <w:spacing w:line="576" w:lineRule="exact"/>
        <w:ind w:firstLine="640" w:firstLineChars="200"/>
        <w:rPr>
          <w:rFonts w:ascii="仿宋_GB2312" w:hAnsi="宋体"/>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（三）</w:t>
      </w:r>
      <w:r>
        <w:rPr>
          <w:rFonts w:ascii="楷体_GB2312" w:hAnsi="宋体" w:eastAsia="楷体_GB2312"/>
          <w:color w:val="000000" w:themeColor="text1"/>
          <w:sz w:val="32"/>
          <w:szCs w:val="32"/>
          <w14:textFill>
            <w14:solidFill>
              <w14:schemeClr w14:val="tx1"/>
            </w14:solidFill>
          </w14:textFill>
        </w:rPr>
        <w:t>预算安排及分配管理</w:t>
      </w: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仿宋_GB2312" w:hAnsi="仿宋_GB2312" w:eastAsia="仿宋_GB2312" w:cs="仿宋_GB2312"/>
          <w:color w:val="000000" w:themeColor="text1"/>
          <w:sz w:val="32"/>
          <w:szCs w:val="32"/>
          <w:lang w:val="zh-CN"/>
          <w14:textFill>
            <w14:solidFill>
              <w14:schemeClr w14:val="tx1"/>
            </w14:solidFill>
          </w14:textFill>
        </w:rPr>
        <w:t>依据市委老干局提供的照顾对象名单，按照4000元/人标准，同时结合当前医疗机构诊水平，合理分配项目资金。</w:t>
      </w:r>
    </w:p>
    <w:p>
      <w:pPr>
        <w:adjustRightInd w:val="0"/>
        <w:snapToGrid w:val="0"/>
        <w:spacing w:line="576" w:lineRule="exact"/>
        <w:ind w:firstLine="640" w:firstLineChars="200"/>
        <w:rPr>
          <w:rFonts w:ascii="仿宋_GB2312" w:hAnsi="仿宋_GB2312" w:cs="仿宋_GB2312"/>
          <w:color w:val="000000" w:themeColor="text1"/>
          <w:kern w:val="0"/>
          <w:sz w:val="32"/>
          <w:szCs w:val="32"/>
          <w:shd w:val="clear" w:color="auto" w:fill="FFFFFF"/>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（四）项目绩效目标设置。</w:t>
      </w:r>
      <w:r>
        <w:rPr>
          <w:rFonts w:hint="eastAsia" w:ascii="仿宋_GB2312" w:hAnsi="宋体" w:eastAsia="仿宋_GB2312"/>
          <w:color w:val="000000" w:themeColor="text1"/>
          <w:sz w:val="32"/>
          <w:szCs w:val="32"/>
          <w14:textFill>
            <w14:solidFill>
              <w14:schemeClr w14:val="tx1"/>
            </w14:solidFill>
          </w14:textFill>
        </w:rPr>
        <w:t>参保人员能及时享受医疗待遇，定点医疗机构能及时收到医疗费用。</w:t>
      </w:r>
    </w:p>
    <w:p>
      <w:pPr>
        <w:adjustRightInd w:val="0"/>
        <w:snapToGrid w:val="0"/>
        <w:spacing w:line="576" w:lineRule="exact"/>
        <w:ind w:firstLine="640" w:firstLineChars="200"/>
        <w:rPr>
          <w:rFonts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二、评价实施</w:t>
      </w:r>
    </w:p>
    <w:p>
      <w:pPr>
        <w:spacing w:line="576" w:lineRule="exact"/>
        <w:ind w:firstLine="640"/>
        <w:rPr>
          <w:rFonts w:ascii="仿宋_GB2312" w:hAnsi="仿宋_GB2312" w:eastAsia="仿宋_GB2312" w:cs="仿宋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（一）评价目的。</w:t>
      </w:r>
      <w:r>
        <w:rPr>
          <w:rFonts w:hint="eastAsia" w:ascii="仿宋_GB2312" w:hAnsi="仿宋_GB2312" w:eastAsia="仿宋_GB2312" w:cs="仿宋_GB2312"/>
          <w:color w:val="000000" w:themeColor="text1"/>
          <w:sz w:val="32"/>
          <w:szCs w:val="32"/>
          <w14:textFill>
            <w14:solidFill>
              <w14:schemeClr w14:val="tx1"/>
            </w14:solidFill>
          </w14:textFill>
        </w:rPr>
        <w:t>提高财政资金使用效益，确保</w:t>
      </w:r>
      <w:r>
        <w:rPr>
          <w:rFonts w:hint="eastAsia" w:ascii="仿宋_GB2312" w:hAnsi="仿宋_GB2312" w:eastAsia="仿宋_GB2312" w:cs="仿宋_GB2312"/>
          <w:color w:val="000000" w:themeColor="text1"/>
          <w:sz w:val="32"/>
          <w:szCs w:val="32"/>
          <w:lang w:val="zh-CN"/>
          <w14:textFill>
            <w14:solidFill>
              <w14:schemeClr w14:val="tx1"/>
            </w14:solidFill>
          </w14:textFill>
        </w:rPr>
        <w:t>参保人员能及时享受医疗待遇。</w:t>
      </w:r>
    </w:p>
    <w:p>
      <w:pPr>
        <w:adjustRightInd w:val="0"/>
        <w:snapToGrid w:val="0"/>
        <w:spacing w:line="550" w:lineRule="exact"/>
        <w:ind w:firstLine="640" w:firstLineChars="200"/>
        <w:rPr>
          <w:rFonts w:ascii="仿宋_GB2312" w:hAnsi="仿宋_GB2312" w:eastAsia="仿宋_GB2312" w:cs="仿宋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（二）预设问题及评价重点。</w:t>
      </w:r>
      <w:r>
        <w:rPr>
          <w:rFonts w:hint="eastAsia" w:ascii="仿宋_GB2312" w:hAnsi="宋体" w:eastAsia="仿宋_GB2312"/>
          <w:color w:val="000000" w:themeColor="text1"/>
          <w:sz w:val="32"/>
          <w:szCs w:val="32"/>
          <w14:textFill>
            <w14:solidFill>
              <w14:schemeClr w14:val="tx1"/>
            </w14:solidFill>
          </w14:textFill>
        </w:rPr>
        <w:t>符合条件的参保人员能及时享受医疗待遇，定点医疗机构能及时收到医疗</w:t>
      </w:r>
      <w:r>
        <w:rPr>
          <w:rFonts w:hint="eastAsia" w:ascii="仿宋_GB2312" w:hAnsi="仿宋_GB2312" w:eastAsia="仿宋_GB2312" w:cs="仿宋_GB2312"/>
          <w:color w:val="000000" w:themeColor="text1"/>
          <w:sz w:val="32"/>
          <w:szCs w:val="32"/>
          <w:lang w:val="zh-CN"/>
          <w14:textFill>
            <w14:solidFill>
              <w14:schemeClr w14:val="tx1"/>
            </w14:solidFill>
          </w14:textFill>
        </w:rPr>
        <w:t>费用。</w:t>
      </w:r>
    </w:p>
    <w:p>
      <w:pPr>
        <w:adjustRightInd w:val="0"/>
        <w:snapToGrid w:val="0"/>
        <w:spacing w:line="550" w:lineRule="exact"/>
        <w:ind w:firstLine="640" w:firstLineChars="200"/>
        <w:rPr>
          <w:rFonts w:ascii="仿宋_GB2312" w:hAnsi="仿宋_GB2312" w:eastAsia="仿宋_GB2312" w:cs="仿宋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（三）评价选点。</w:t>
      </w:r>
      <w:r>
        <w:rPr>
          <w:rFonts w:hint="eastAsia" w:ascii="仿宋_GB2312" w:hAnsi="仿宋_GB2312" w:eastAsia="仿宋_GB2312" w:cs="仿宋_GB2312"/>
          <w:color w:val="000000" w:themeColor="text1"/>
          <w:sz w:val="32"/>
          <w:szCs w:val="32"/>
          <w:lang w:val="zh-CN"/>
          <w14:textFill>
            <w14:solidFill>
              <w14:schemeClr w14:val="tx1"/>
            </w14:solidFill>
          </w14:textFill>
        </w:rPr>
        <w:t>以整体作为评价。</w:t>
      </w:r>
    </w:p>
    <w:p>
      <w:pPr>
        <w:adjustRightInd w:val="0"/>
        <w:snapToGrid w:val="0"/>
        <w:spacing w:line="550" w:lineRule="exact"/>
        <w:ind w:firstLine="640" w:firstLineChars="200"/>
        <w:rPr>
          <w:rFonts w:ascii="仿宋_GB2312" w:hAnsi="仿宋_GB2312" w:eastAsia="仿宋_GB2312" w:cs="仿宋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（四）评价方法。</w:t>
      </w:r>
      <w:r>
        <w:rPr>
          <w:rFonts w:hint="eastAsia" w:ascii="仿宋_GB2312" w:hAnsi="仿宋_GB2312" w:eastAsia="仿宋_GB2312" w:cs="仿宋_GB2312"/>
          <w:color w:val="000000" w:themeColor="text1"/>
          <w:sz w:val="32"/>
          <w:szCs w:val="32"/>
          <w:lang w:val="zh-CN"/>
          <w14:textFill>
            <w14:solidFill>
              <w14:schemeClr w14:val="tx1"/>
            </w14:solidFill>
          </w14:textFill>
        </w:rPr>
        <w:t>项目绩效自评按市财政局要求，部门决算后在规定时间内按规定内容进行自评。</w:t>
      </w:r>
    </w:p>
    <w:p>
      <w:pPr>
        <w:adjustRightInd w:val="0"/>
        <w:snapToGrid w:val="0"/>
        <w:spacing w:line="550" w:lineRule="exact"/>
        <w:ind w:firstLine="640" w:firstLineChars="200"/>
        <w:rPr>
          <w:rFonts w:ascii="仿宋_GB2312" w:hAnsi="仿宋_GB2312" w:eastAsia="仿宋_GB2312" w:cs="仿宋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（五）评价组织。</w:t>
      </w:r>
      <w:r>
        <w:rPr>
          <w:rFonts w:hint="eastAsia" w:ascii="仿宋_GB2312" w:hAnsi="仿宋_GB2312" w:eastAsia="仿宋_GB2312" w:cs="仿宋_GB2312"/>
          <w:color w:val="000000" w:themeColor="text1"/>
          <w:sz w:val="32"/>
          <w:szCs w:val="32"/>
          <w:lang w:val="zh-CN"/>
          <w14:textFill>
            <w14:solidFill>
              <w14:schemeClr w14:val="tx1"/>
            </w14:solidFill>
          </w14:textFill>
        </w:rPr>
        <w:t>自评工作领导小组认真全面的进行绩效评价工作，建立健全财务管理制度和内控约束机制，依法、有效地使用财政资金，提高财政资金使用效率，合理分配人、财、物，完成部门职能目标，实现较高的工作效率和水平。</w:t>
      </w:r>
    </w:p>
    <w:p>
      <w:pPr>
        <w:adjustRightInd w:val="0"/>
        <w:snapToGrid w:val="0"/>
        <w:spacing w:line="550" w:lineRule="exact"/>
        <w:ind w:firstLine="640" w:firstLineChars="200"/>
        <w:rPr>
          <w:rFonts w:ascii="黑体" w:hAnsi="黑体" w:eastAsia="黑体" w:cs="黑体"/>
          <w:color w:val="000000" w:themeColor="text1"/>
          <w:sz w:val="32"/>
          <w:szCs w:val="32"/>
          <w:lang w:val="zh-CN"/>
          <w14:textFill>
            <w14:solidFill>
              <w14:schemeClr w14:val="tx1"/>
            </w14:solidFill>
          </w14:textFill>
        </w:rPr>
      </w:pPr>
      <w:r>
        <w:rPr>
          <w:rFonts w:hint="eastAsia" w:ascii="黑体" w:hAnsi="黑体" w:eastAsia="黑体" w:cs="黑体"/>
          <w:color w:val="000000" w:themeColor="text1"/>
          <w:sz w:val="32"/>
          <w:szCs w:val="32"/>
          <w:lang w:val="zh-CN"/>
          <w14:textFill>
            <w14:solidFill>
              <w14:schemeClr w14:val="tx1"/>
            </w14:solidFill>
          </w14:textFill>
        </w:rPr>
        <w:t>三、绩效分析</w:t>
      </w:r>
      <w:r>
        <w:rPr>
          <w:rFonts w:hint="eastAsia" w:ascii="黑体" w:hAnsi="黑体" w:eastAsia="黑体" w:cs="黑体"/>
          <w:color w:val="000000" w:themeColor="text1"/>
          <w:sz w:val="32"/>
          <w:szCs w:val="32"/>
          <w:lang w:val="zh-CN"/>
          <w14:textFill>
            <w14:solidFill>
              <w14:schemeClr w14:val="tx1"/>
            </w14:solidFill>
          </w14:textFill>
        </w:rPr>
        <w:tab/>
      </w:r>
    </w:p>
    <w:p>
      <w:pPr>
        <w:adjustRightInd w:val="0"/>
        <w:snapToGrid w:val="0"/>
        <w:spacing w:line="576" w:lineRule="exact"/>
        <w:ind w:firstLine="640" w:firstLineChars="200"/>
        <w:rPr>
          <w:rFonts w:hint="eastAsia" w:ascii="楷体_GB2312" w:hAnsi="宋体" w:eastAsia="楷体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（一）专用指标绩效分析</w:t>
      </w:r>
    </w:p>
    <w:p>
      <w:pPr>
        <w:adjustRightInd w:val="0"/>
        <w:snapToGrid w:val="0"/>
        <w:spacing w:line="550" w:lineRule="exact"/>
        <w:ind w:firstLine="640" w:firstLineChars="200"/>
        <w:rPr>
          <w:rFonts w:ascii="仿宋_GB2312" w:hAnsi="仿宋_GB2312" w:eastAsia="仿宋_GB2312" w:cs="仿宋_GB2312"/>
          <w:color w:val="000000" w:themeColor="text1"/>
          <w:spacing w:val="-1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pacing w:val="0"/>
          <w:sz w:val="32"/>
          <w:szCs w:val="32"/>
          <w14:textFill>
            <w14:solidFill>
              <w14:schemeClr w14:val="tx1"/>
            </w14:solidFill>
          </w14:textFill>
        </w:rPr>
        <w:t>政策制定（自评得30分）。</w:t>
      </w:r>
      <w:r>
        <w:rPr>
          <w:rFonts w:hint="eastAsia" w:ascii="仿宋_GB2312" w:hAnsi="仿宋_GB2312" w:eastAsia="仿宋_GB2312" w:cs="仿宋_GB2312"/>
          <w:color w:val="000000" w:themeColor="text1"/>
          <w:spacing w:val="0"/>
          <w:sz w:val="32"/>
          <w:szCs w:val="32"/>
          <w:lang w:val="zh-CN"/>
          <w14:textFill>
            <w14:solidFill>
              <w14:schemeClr w14:val="tx1"/>
            </w14:solidFill>
          </w14:textFill>
        </w:rPr>
        <w:t>民生保障</w:t>
      </w:r>
      <w:r>
        <w:rPr>
          <w:rFonts w:hint="eastAsia" w:ascii="仿宋_GB2312" w:hAnsi="仿宋_GB2312" w:eastAsia="仿宋_GB2312" w:cs="仿宋_GB2312"/>
          <w:color w:val="000000" w:themeColor="text1"/>
          <w:spacing w:val="0"/>
          <w:sz w:val="32"/>
          <w:szCs w:val="32"/>
          <w14:textFill>
            <w14:solidFill>
              <w14:schemeClr w14:val="tx1"/>
            </w14:solidFill>
          </w14:textFill>
        </w:rPr>
        <w:t>方面</w:t>
      </w:r>
      <w:r>
        <w:rPr>
          <w:rFonts w:hint="eastAsia" w:ascii="仿宋_GB2312" w:hAnsi="仿宋_GB2312" w:eastAsia="仿宋_GB2312" w:cs="仿宋_GB2312"/>
          <w:color w:val="000000" w:themeColor="text1"/>
          <w:spacing w:val="0"/>
          <w:sz w:val="32"/>
          <w:szCs w:val="32"/>
          <w:lang w:val="zh-CN"/>
          <w14:textFill>
            <w14:solidFill>
              <w14:schemeClr w14:val="tx1"/>
            </w14:solidFill>
          </w14:textFill>
        </w:rPr>
        <w:t>。政策内各项目资金分配均衡公平，项目支持方向全面覆盖政策应支持范围和对象，有效衔接</w:t>
      </w:r>
      <w:r>
        <w:rPr>
          <w:rFonts w:hint="eastAsia" w:ascii="仿宋_GB2312" w:hAnsi="仿宋_GB2312" w:eastAsia="仿宋_GB2312" w:cs="仿宋_GB2312"/>
          <w:color w:val="000000" w:themeColor="text1"/>
          <w:spacing w:val="0"/>
          <w:sz w:val="32"/>
          <w:szCs w:val="32"/>
          <w14:textFill>
            <w14:solidFill>
              <w14:schemeClr w14:val="tx1"/>
            </w14:solidFill>
          </w14:textFill>
        </w:rPr>
        <w:t>了</w:t>
      </w:r>
      <w:r>
        <w:rPr>
          <w:rFonts w:hint="eastAsia" w:ascii="仿宋_GB2312" w:hAnsi="仿宋_GB2312" w:eastAsia="仿宋_GB2312" w:cs="仿宋_GB2312"/>
          <w:color w:val="000000" w:themeColor="text1"/>
          <w:spacing w:val="0"/>
          <w:sz w:val="32"/>
          <w:szCs w:val="32"/>
          <w:lang w:val="zh-CN"/>
          <w14:textFill>
            <w14:solidFill>
              <w14:schemeClr w14:val="tx1"/>
            </w14:solidFill>
          </w14:textFill>
        </w:rPr>
        <w:t>政策内各项目间支持标准，</w:t>
      </w:r>
      <w:r>
        <w:rPr>
          <w:rFonts w:hint="eastAsia" w:ascii="仿宋_GB2312" w:hAnsi="仿宋_GB2312" w:eastAsia="仿宋_GB2312" w:cs="仿宋_GB2312"/>
          <w:color w:val="000000" w:themeColor="text1"/>
          <w:spacing w:val="0"/>
          <w:sz w:val="32"/>
          <w:szCs w:val="32"/>
          <w14:textFill>
            <w14:solidFill>
              <w14:schemeClr w14:val="tx1"/>
            </w14:solidFill>
          </w14:textFill>
        </w:rPr>
        <w:t>不</w:t>
      </w:r>
      <w:r>
        <w:rPr>
          <w:rFonts w:hint="eastAsia" w:ascii="仿宋_GB2312" w:hAnsi="仿宋_GB2312" w:eastAsia="仿宋_GB2312" w:cs="仿宋_GB2312"/>
          <w:color w:val="000000" w:themeColor="text1"/>
          <w:spacing w:val="0"/>
          <w:sz w:val="32"/>
          <w:szCs w:val="32"/>
          <w:lang w:val="zh-CN"/>
          <w14:textFill>
            <w14:solidFill>
              <w14:schemeClr w14:val="tx1"/>
            </w14:solidFill>
          </w14:textFill>
        </w:rPr>
        <w:t>存在标准差异较大</w:t>
      </w:r>
      <w:r>
        <w:rPr>
          <w:rFonts w:hint="eastAsia" w:ascii="仿宋_GB2312" w:hAnsi="仿宋_GB2312" w:eastAsia="仿宋_GB2312" w:cs="仿宋_GB2312"/>
          <w:color w:val="000000" w:themeColor="text1"/>
          <w:spacing w:val="0"/>
          <w:sz w:val="32"/>
          <w:szCs w:val="32"/>
          <w14:textFill>
            <w14:solidFill>
              <w14:schemeClr w14:val="tx1"/>
            </w14:solidFill>
          </w14:textFill>
        </w:rPr>
        <w:t>的</w:t>
      </w:r>
      <w:r>
        <w:rPr>
          <w:rFonts w:hint="eastAsia" w:ascii="仿宋_GB2312" w:hAnsi="仿宋_GB2312" w:eastAsia="仿宋_GB2312" w:cs="仿宋_GB2312"/>
          <w:color w:val="000000" w:themeColor="text1"/>
          <w:spacing w:val="0"/>
          <w:sz w:val="32"/>
          <w:szCs w:val="32"/>
          <w:lang w:val="zh-CN"/>
          <w14:textFill>
            <w14:solidFill>
              <w14:schemeClr w14:val="tx1"/>
            </w14:solidFill>
          </w14:textFill>
        </w:rPr>
        <w:t>情况。</w:t>
      </w:r>
    </w:p>
    <w:p>
      <w:pPr>
        <w:adjustRightInd w:val="0"/>
        <w:snapToGrid w:val="0"/>
        <w:spacing w:line="550" w:lineRule="exact"/>
        <w:ind w:firstLine="640" w:firstLineChars="200"/>
        <w:rPr>
          <w:rFonts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2.政策执行（自评得24分）。在业务流程方面，</w:t>
      </w:r>
      <w:r>
        <w:rPr>
          <w:rFonts w:hint="eastAsia" w:ascii="仿宋_GB2312" w:hAnsi="仿宋_GB2312" w:eastAsia="仿宋_GB2312" w:cs="仿宋_GB2312"/>
          <w:color w:val="000000" w:themeColor="text1"/>
          <w:sz w:val="32"/>
          <w:szCs w:val="32"/>
          <w:lang w:val="zh-CN"/>
          <w14:textFill>
            <w14:solidFill>
              <w14:schemeClr w14:val="tx1"/>
            </w14:solidFill>
          </w14:textFill>
        </w:rPr>
        <w:t>中心严格按照《广元市医疗保障事务中心关于特殊人群医疗费用审核拨付流程的规定》，由业务经办人员对特殊人群有关资料进行初审，业务组长复核，业务分管领导审核后方可由财务领导审批拨付，对金额大于2万元或特殊业务由中心主任签字审批。</w:t>
      </w:r>
      <w:r>
        <w:rPr>
          <w:rFonts w:hint="eastAsia" w:ascii="仿宋_GB2312" w:hAnsi="仿宋_GB2312" w:eastAsia="仿宋_GB2312" w:cs="仿宋_GB2312"/>
          <w:color w:val="000000" w:themeColor="text1"/>
          <w:sz w:val="32"/>
          <w:szCs w:val="32"/>
          <w14:textFill>
            <w14:solidFill>
              <w14:schemeClr w14:val="tx1"/>
            </w14:solidFill>
          </w14:textFill>
        </w:rPr>
        <w:t>在财务流程方面，该笔</w:t>
      </w:r>
      <w:r>
        <w:rPr>
          <w:rFonts w:hint="eastAsia" w:ascii="仿宋_GB2312" w:hAnsi="仿宋_GB2312" w:eastAsia="仿宋_GB2312" w:cs="仿宋_GB2312"/>
          <w:color w:val="000000" w:themeColor="text1"/>
          <w:sz w:val="32"/>
          <w:szCs w:val="32"/>
          <w:lang w:val="zh-CN"/>
          <w14:textFill>
            <w14:solidFill>
              <w14:schemeClr w14:val="tx1"/>
            </w14:solidFill>
          </w14:textFill>
        </w:rPr>
        <w:t>经费按财政集中支付管理流程拨付至广元市医疗保障事务中心医疗保险基金支出户。医疗保障事务中心根据有关人员申请，经业务工作人员及各级领导审核后，由财务人员进行拨付。</w:t>
      </w:r>
    </w:p>
    <w:p>
      <w:pPr>
        <w:adjustRightInd w:val="0"/>
        <w:snapToGrid w:val="0"/>
        <w:spacing w:line="57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3.政策效果（自评得16分）。</w:t>
      </w:r>
      <w:r>
        <w:rPr>
          <w:rFonts w:hint="eastAsia" w:ascii="仿宋_GB2312" w:hAnsi="仿宋_GB2312" w:eastAsia="仿宋_GB2312" w:cs="仿宋_GB2312"/>
          <w:color w:val="000000" w:themeColor="text1"/>
          <w:sz w:val="32"/>
          <w:szCs w:val="32"/>
          <w:lang w:val="zh-CN"/>
          <w14:textFill>
            <w14:solidFill>
              <w14:schemeClr w14:val="tx1"/>
            </w14:solidFill>
          </w14:textFill>
        </w:rPr>
        <w:t>本项目资金全年共支出</w:t>
      </w:r>
      <w:r>
        <w:rPr>
          <w:rFonts w:hint="eastAsia" w:ascii="仿宋_GB2312" w:hAnsi="仿宋_GB2312" w:eastAsia="仿宋_GB2312" w:cs="仿宋_GB2312"/>
          <w:color w:val="000000" w:themeColor="text1"/>
          <w:sz w:val="32"/>
          <w:szCs w:val="32"/>
          <w14:textFill>
            <w14:solidFill>
              <w14:schemeClr w14:val="tx1"/>
            </w14:solidFill>
          </w14:textFill>
        </w:rPr>
        <w:t>26.4</w:t>
      </w:r>
      <w:r>
        <w:rPr>
          <w:rFonts w:hint="eastAsia" w:ascii="仿宋_GB2312" w:hAnsi="仿宋_GB2312" w:eastAsia="仿宋_GB2312" w:cs="仿宋_GB2312"/>
          <w:color w:val="000000" w:themeColor="text1"/>
          <w:sz w:val="32"/>
          <w:szCs w:val="32"/>
          <w:lang w:val="zh-CN"/>
          <w14:textFill>
            <w14:solidFill>
              <w14:schemeClr w14:val="tx1"/>
            </w14:solidFill>
          </w14:textFill>
        </w:rPr>
        <w:t>万元，支出进度为100%，主要用于支付建国初期人员医疗门诊、住院医疗照顾金。在项目执行过程中，严格按照预算批复项目资金支付范围、支付标准执行，严控预算执行进度和经费支出情况，资金使用安全、规范、高效。</w:t>
      </w:r>
    </w:p>
    <w:p>
      <w:pPr>
        <w:adjustRightInd w:val="0"/>
        <w:snapToGrid w:val="0"/>
        <w:spacing w:line="576" w:lineRule="exact"/>
        <w:ind w:firstLine="640" w:firstLineChars="200"/>
        <w:rPr>
          <w:rFonts w:hint="eastAsia" w:ascii="楷体_GB2312" w:hAnsi="宋体" w:eastAsia="楷体_GB2312"/>
          <w:color w:val="000000" w:themeColor="text1"/>
          <w:spacing w:val="0"/>
          <w:sz w:val="32"/>
          <w:szCs w:val="32"/>
          <w:lang w:val="zh-CN"/>
          <w14:textFill>
            <w14:solidFill>
              <w14:schemeClr w14:val="tx1"/>
            </w14:solidFill>
          </w14:textFill>
        </w:rPr>
      </w:pPr>
      <w:r>
        <w:rPr>
          <w:rFonts w:hint="eastAsia" w:ascii="楷体_GB2312" w:hAnsi="宋体" w:eastAsia="楷体_GB2312"/>
          <w:color w:val="000000" w:themeColor="text1"/>
          <w:spacing w:val="0"/>
          <w:sz w:val="32"/>
          <w:szCs w:val="32"/>
          <w:lang w:val="zh-CN"/>
          <w14:textFill>
            <w14:solidFill>
              <w14:schemeClr w14:val="tx1"/>
            </w14:solidFill>
          </w14:textFill>
        </w:rPr>
        <w:t>（二）个性指标绩效分析（自评得20分）</w:t>
      </w:r>
    </w:p>
    <w:p>
      <w:pPr>
        <w:adjustRightInd w:val="0"/>
        <w:snapToGrid w:val="0"/>
        <w:spacing w:line="576" w:lineRule="exact"/>
        <w:ind w:firstLine="640" w:firstLineChars="200"/>
        <w:rPr>
          <w:rFonts w:ascii="仿宋_GB2312" w:hAnsi="仿宋_GB2312" w:eastAsia="仿宋_GB2312" w:cs="仿宋_GB2312"/>
          <w:color w:val="000000" w:themeColor="text1"/>
          <w:spacing w:val="0"/>
          <w:sz w:val="32"/>
          <w:szCs w:val="32"/>
          <w14:textFill>
            <w14:solidFill>
              <w14:schemeClr w14:val="tx1"/>
            </w14:solidFill>
          </w14:textFill>
        </w:rPr>
      </w:pPr>
      <w:r>
        <w:rPr>
          <w:rFonts w:hint="eastAsia" w:ascii="仿宋_GB2312" w:hAnsi="仿宋_GB2312" w:eastAsia="仿宋_GB2312" w:cs="仿宋_GB2312"/>
          <w:color w:val="000000" w:themeColor="text1"/>
          <w:spacing w:val="0"/>
          <w:sz w:val="32"/>
          <w:szCs w:val="32"/>
          <w14:textFill>
            <w14:solidFill>
              <w14:schemeClr w14:val="tx1"/>
            </w14:solidFill>
          </w14:textFill>
        </w:rPr>
        <w:t>我单位</w:t>
      </w:r>
      <w:r>
        <w:rPr>
          <w:rFonts w:hint="eastAsia" w:ascii="仿宋_GB2312" w:hAnsi="仿宋_GB2312" w:eastAsia="仿宋_GB2312" w:cs="仿宋_GB2312"/>
          <w:color w:val="000000" w:themeColor="text1"/>
          <w:spacing w:val="0"/>
          <w:sz w:val="32"/>
          <w:szCs w:val="32"/>
          <w:lang w:val="zh-CN"/>
          <w14:textFill>
            <w14:solidFill>
              <w14:schemeClr w14:val="tx1"/>
            </w14:solidFill>
          </w14:textFill>
        </w:rPr>
        <w:t>财务管理制度健全，制度执行严格，账务处理及时，会计核算规范。</w:t>
      </w:r>
      <w:r>
        <w:rPr>
          <w:rFonts w:hint="eastAsia" w:ascii="仿宋_GB2312" w:hAnsi="仿宋_GB2312" w:eastAsia="仿宋_GB2312" w:cs="仿宋_GB2312"/>
          <w:color w:val="000000" w:themeColor="text1"/>
          <w:spacing w:val="0"/>
          <w:sz w:val="32"/>
          <w:szCs w:val="32"/>
          <w14:textFill>
            <w14:solidFill>
              <w14:schemeClr w14:val="tx1"/>
            </w14:solidFill>
          </w14:textFill>
        </w:rPr>
        <w:t>严格</w:t>
      </w:r>
      <w:r>
        <w:rPr>
          <w:rFonts w:hint="eastAsia" w:ascii="仿宋_GB2312" w:hAnsi="仿宋_GB2312" w:eastAsia="仿宋_GB2312" w:cs="仿宋_GB2312"/>
          <w:color w:val="000000" w:themeColor="text1"/>
          <w:spacing w:val="0"/>
          <w:sz w:val="32"/>
          <w:szCs w:val="32"/>
          <w:lang w:val="zh-CN"/>
          <w14:textFill>
            <w14:solidFill>
              <w14:schemeClr w14:val="tx1"/>
            </w14:solidFill>
          </w14:textFill>
        </w:rPr>
        <w:t>按</w:t>
      </w:r>
      <w:r>
        <w:rPr>
          <w:rFonts w:hint="eastAsia" w:ascii="仿宋_GB2312" w:hAnsi="仿宋_GB2312" w:eastAsia="仿宋_GB2312" w:cs="仿宋_GB2312"/>
          <w:color w:val="000000" w:themeColor="text1"/>
          <w:spacing w:val="0"/>
          <w:sz w:val="32"/>
          <w:szCs w:val="32"/>
          <w14:textFill>
            <w14:solidFill>
              <w14:schemeClr w14:val="tx1"/>
            </w14:solidFill>
          </w14:textFill>
        </w:rPr>
        <w:t>照</w:t>
      </w:r>
      <w:r>
        <w:rPr>
          <w:rFonts w:hint="eastAsia" w:ascii="仿宋_GB2312" w:hAnsi="仿宋_GB2312" w:eastAsia="仿宋_GB2312" w:cs="仿宋_GB2312"/>
          <w:color w:val="000000" w:themeColor="text1"/>
          <w:spacing w:val="0"/>
          <w:sz w:val="32"/>
          <w:szCs w:val="32"/>
          <w:lang w:val="zh-CN"/>
          <w14:textFill>
            <w14:solidFill>
              <w14:schemeClr w14:val="tx1"/>
            </w14:solidFill>
          </w14:textFill>
        </w:rPr>
        <w:t>《社保基金财务制度》《社保基金会计制度》管理和核算基金。</w:t>
      </w:r>
      <w:r>
        <w:rPr>
          <w:rFonts w:hint="eastAsia" w:ascii="仿宋_GB2312" w:hAnsi="仿宋_GB2312" w:eastAsia="仿宋_GB2312" w:cs="仿宋_GB2312"/>
          <w:color w:val="000000" w:themeColor="text1"/>
          <w:spacing w:val="0"/>
          <w:sz w:val="32"/>
          <w:szCs w:val="32"/>
          <w14:textFill>
            <w14:solidFill>
              <w14:schemeClr w14:val="tx1"/>
            </w14:solidFill>
          </w14:textFill>
        </w:rPr>
        <w:t>严格</w:t>
      </w:r>
      <w:r>
        <w:rPr>
          <w:rFonts w:hint="eastAsia" w:ascii="仿宋_GB2312" w:hAnsi="仿宋_GB2312" w:eastAsia="仿宋_GB2312" w:cs="仿宋_GB2312"/>
          <w:color w:val="000000" w:themeColor="text1"/>
          <w:spacing w:val="0"/>
          <w:sz w:val="32"/>
          <w:szCs w:val="32"/>
          <w:lang w:val="zh-CN"/>
          <w14:textFill>
            <w14:solidFill>
              <w14:schemeClr w14:val="tx1"/>
            </w14:solidFill>
          </w14:textFill>
        </w:rPr>
        <w:t>依据市委老干局提供的照顾对象名单，按照4000元/人标准，同时结合当前医疗机构诊水平，合理分配项目资金。</w:t>
      </w:r>
      <w:r>
        <w:rPr>
          <w:rFonts w:hint="eastAsia" w:ascii="仿宋_GB2312" w:hAnsi="仿宋_GB2312" w:eastAsia="仿宋_GB2312" w:cs="仿宋_GB2312"/>
          <w:color w:val="000000" w:themeColor="text1"/>
          <w:spacing w:val="0"/>
          <w:sz w:val="32"/>
          <w:szCs w:val="32"/>
          <w14:textFill>
            <w14:solidFill>
              <w14:schemeClr w14:val="tx1"/>
            </w14:solidFill>
          </w14:textFill>
        </w:rPr>
        <w:t>医疗</w:t>
      </w:r>
      <w:r>
        <w:rPr>
          <w:rFonts w:hint="eastAsia" w:ascii="仿宋_GB2312" w:hAnsi="仿宋_GB2312" w:eastAsia="仿宋_GB2312" w:cs="仿宋_GB2312"/>
          <w:color w:val="000000" w:themeColor="text1"/>
          <w:spacing w:val="0"/>
          <w:sz w:val="32"/>
          <w:szCs w:val="32"/>
          <w:lang w:val="zh-CN"/>
          <w14:textFill>
            <w14:solidFill>
              <w14:schemeClr w14:val="tx1"/>
            </w14:solidFill>
          </w14:textFill>
        </w:rPr>
        <w:t>照顾对象满意度</w:t>
      </w:r>
      <w:r>
        <w:rPr>
          <w:rFonts w:hint="eastAsia" w:ascii="仿宋_GB2312" w:hAnsi="仿宋_GB2312" w:eastAsia="仿宋_GB2312" w:cs="仿宋_GB2312"/>
          <w:color w:val="000000" w:themeColor="text1"/>
          <w:spacing w:val="0"/>
          <w:sz w:val="32"/>
          <w:szCs w:val="32"/>
          <w14:textFill>
            <w14:solidFill>
              <w14:schemeClr w14:val="tx1"/>
            </w14:solidFill>
          </w14:textFill>
        </w:rPr>
        <w:t>在</w:t>
      </w:r>
      <w:r>
        <w:rPr>
          <w:rFonts w:hint="eastAsia" w:ascii="仿宋_GB2312" w:hAnsi="仿宋_GB2312" w:eastAsia="仿宋_GB2312" w:cs="仿宋_GB2312"/>
          <w:color w:val="000000" w:themeColor="text1"/>
          <w:spacing w:val="0"/>
          <w:sz w:val="32"/>
          <w:szCs w:val="32"/>
          <w:lang w:val="zh-CN"/>
          <w14:textFill>
            <w14:solidFill>
              <w14:schemeClr w14:val="tx1"/>
            </w14:solidFill>
          </w14:textFill>
        </w:rPr>
        <w:t>85%</w:t>
      </w:r>
      <w:r>
        <w:rPr>
          <w:rFonts w:hint="eastAsia" w:ascii="仿宋_GB2312" w:hAnsi="仿宋_GB2312" w:eastAsia="仿宋_GB2312" w:cs="仿宋_GB2312"/>
          <w:color w:val="000000" w:themeColor="text1"/>
          <w:spacing w:val="0"/>
          <w:sz w:val="32"/>
          <w:szCs w:val="32"/>
          <w14:textFill>
            <w14:solidFill>
              <w14:schemeClr w14:val="tx1"/>
            </w14:solidFill>
          </w14:textFill>
        </w:rPr>
        <w:t>以上</w:t>
      </w:r>
      <w:r>
        <w:rPr>
          <w:rFonts w:hint="eastAsia" w:ascii="仿宋_GB2312" w:hAnsi="仿宋_GB2312" w:eastAsia="仿宋_GB2312" w:cs="仿宋_GB2312"/>
          <w:color w:val="000000" w:themeColor="text1"/>
          <w:spacing w:val="0"/>
          <w:sz w:val="32"/>
          <w:szCs w:val="32"/>
          <w:lang w:val="zh-CN"/>
          <w14:textFill>
            <w14:solidFill>
              <w14:schemeClr w14:val="tx1"/>
            </w14:solidFill>
          </w14:textFill>
        </w:rPr>
        <w:t>，</w:t>
      </w:r>
      <w:r>
        <w:rPr>
          <w:rFonts w:hint="eastAsia" w:ascii="仿宋_GB2312" w:hAnsi="仿宋_GB2312" w:eastAsia="仿宋_GB2312" w:cs="仿宋_GB2312"/>
          <w:color w:val="000000" w:themeColor="text1"/>
          <w:spacing w:val="0"/>
          <w:sz w:val="32"/>
          <w:szCs w:val="32"/>
          <w14:textFill>
            <w14:solidFill>
              <w14:schemeClr w14:val="tx1"/>
            </w14:solidFill>
          </w14:textFill>
        </w:rPr>
        <w:t>对于</w:t>
      </w:r>
      <w:r>
        <w:rPr>
          <w:rFonts w:hint="eastAsia" w:ascii="仿宋_GB2312" w:hAnsi="仿宋_GB2312" w:eastAsia="仿宋_GB2312" w:cs="仿宋_GB2312"/>
          <w:color w:val="000000" w:themeColor="text1"/>
          <w:spacing w:val="0"/>
          <w:sz w:val="32"/>
          <w:szCs w:val="32"/>
          <w:lang w:val="zh-CN"/>
          <w14:textFill>
            <w14:solidFill>
              <w14:schemeClr w14:val="tx1"/>
            </w14:solidFill>
          </w14:textFill>
        </w:rPr>
        <w:t>医疗照顾费用审核准确率</w:t>
      </w:r>
      <w:r>
        <w:rPr>
          <w:rFonts w:hint="eastAsia" w:ascii="仿宋_GB2312" w:hAnsi="仿宋_GB2312" w:eastAsia="仿宋_GB2312" w:cs="仿宋_GB2312"/>
          <w:color w:val="000000" w:themeColor="text1"/>
          <w:spacing w:val="0"/>
          <w:sz w:val="32"/>
          <w:szCs w:val="32"/>
          <w14:textFill>
            <w14:solidFill>
              <w14:schemeClr w14:val="tx1"/>
            </w14:solidFill>
          </w14:textFill>
        </w:rPr>
        <w:t>在</w:t>
      </w:r>
      <w:r>
        <w:rPr>
          <w:rFonts w:hint="eastAsia" w:ascii="仿宋_GB2312" w:hAnsi="仿宋_GB2312" w:eastAsia="仿宋_GB2312" w:cs="仿宋_GB2312"/>
          <w:color w:val="000000" w:themeColor="text1"/>
          <w:spacing w:val="0"/>
          <w:sz w:val="32"/>
          <w:szCs w:val="32"/>
          <w:lang w:val="zh-CN"/>
          <w14:textFill>
            <w14:solidFill>
              <w14:schemeClr w14:val="tx1"/>
            </w14:solidFill>
          </w14:textFill>
        </w:rPr>
        <w:t>98%</w:t>
      </w:r>
      <w:r>
        <w:rPr>
          <w:rFonts w:hint="eastAsia" w:ascii="仿宋_GB2312" w:hAnsi="仿宋_GB2312" w:eastAsia="仿宋_GB2312" w:cs="仿宋_GB2312"/>
          <w:color w:val="000000" w:themeColor="text1"/>
          <w:spacing w:val="0"/>
          <w:sz w:val="32"/>
          <w:szCs w:val="32"/>
          <w14:textFill>
            <w14:solidFill>
              <w14:schemeClr w14:val="tx1"/>
            </w14:solidFill>
          </w14:textFill>
        </w:rPr>
        <w:t>以上。</w:t>
      </w:r>
    </w:p>
    <w:p>
      <w:pPr>
        <w:pStyle w:val="7"/>
        <w:tabs>
          <w:tab w:val="left" w:pos="2160"/>
        </w:tabs>
        <w:spacing w:before="98" w:line="576" w:lineRule="exact"/>
        <w:ind w:firstLine="640" w:firstLineChars="200"/>
        <w:rPr>
          <w:rFonts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四、评价结论</w:t>
      </w:r>
    </w:p>
    <w:p>
      <w:pPr>
        <w:adjustRightInd w:val="0"/>
        <w:snapToGrid w:val="0"/>
        <w:spacing w:line="576"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通过项目实施，解决了建国初期参加革命工作人员医疗费用问题，减轻了建国初期人员参加革命工作人员的经济压力和生活压力，既是对建国初期人员参加革命工作人员贡献价值的肯定，更是时代背景下的现实需求的满足。该项目得100分。</w:t>
      </w:r>
    </w:p>
    <w:p>
      <w:pPr>
        <w:pStyle w:val="7"/>
        <w:tabs>
          <w:tab w:val="left" w:pos="2160"/>
        </w:tabs>
        <w:spacing w:before="98" w:line="576" w:lineRule="exact"/>
        <w:ind w:firstLine="640" w:firstLineChars="200"/>
        <w:rPr>
          <w:rFonts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五、存在主要问题</w:t>
      </w:r>
    </w:p>
    <w:p>
      <w:pPr>
        <w:pStyle w:val="7"/>
        <w:tabs>
          <w:tab w:val="left" w:pos="2160"/>
        </w:tabs>
        <w:spacing w:before="98" w:line="576" w:lineRule="exact"/>
        <w:ind w:firstLine="640" w:firstLineChars="200"/>
        <w:rPr>
          <w:rFonts w:hAnsi="仿宋_GB2312" w:cs="仿宋_GB2312"/>
          <w:color w:val="000000" w:themeColor="text1"/>
          <w:sz w:val="32"/>
          <w:szCs w:val="32"/>
          <w14:textFill>
            <w14:solidFill>
              <w14:schemeClr w14:val="tx1"/>
            </w14:solidFill>
          </w14:textFill>
        </w:rPr>
      </w:pPr>
      <w:r>
        <w:rPr>
          <w:rFonts w:hint="eastAsia" w:hAnsi="仿宋_GB2312" w:cs="仿宋_GB2312"/>
          <w:color w:val="000000" w:themeColor="text1"/>
          <w:sz w:val="32"/>
          <w:szCs w:val="32"/>
          <w14:textFill>
            <w14:solidFill>
              <w14:schemeClr w14:val="tx1"/>
            </w14:solidFill>
          </w14:textFill>
        </w:rPr>
        <w:t>无。</w:t>
      </w:r>
    </w:p>
    <w:p>
      <w:pPr>
        <w:pStyle w:val="7"/>
        <w:tabs>
          <w:tab w:val="left" w:pos="2160"/>
        </w:tabs>
        <w:spacing w:before="98" w:line="576" w:lineRule="exact"/>
        <w:ind w:firstLine="640" w:firstLineChars="200"/>
        <w:rPr>
          <w:rFonts w:ascii="黑体" w:hAnsi="宋体" w:eastAsia="黑体"/>
          <w:color w:val="000000" w:themeColor="text1"/>
          <w:position w:val="3"/>
          <w:sz w:val="32"/>
          <w:szCs w:val="32"/>
          <w:lang w:val="zh-CN"/>
          <w14:textFill>
            <w14:solidFill>
              <w14:schemeClr w14:val="tx1"/>
            </w14:solidFill>
          </w14:textFill>
        </w:rPr>
      </w:pPr>
      <w:r>
        <w:rPr>
          <w:rFonts w:hint="eastAsia" w:ascii="黑体" w:hAnsi="宋体" w:eastAsia="黑体"/>
          <w:color w:val="000000" w:themeColor="text1"/>
          <w:position w:val="3"/>
          <w:sz w:val="32"/>
          <w:szCs w:val="32"/>
          <w:lang w:val="zh-CN"/>
          <w14:textFill>
            <w14:solidFill>
              <w14:schemeClr w14:val="tx1"/>
            </w14:solidFill>
          </w14:textFill>
        </w:rPr>
        <w:t>六、改进建议</w:t>
      </w:r>
    </w:p>
    <w:p>
      <w:pPr>
        <w:pStyle w:val="7"/>
        <w:tabs>
          <w:tab w:val="left" w:pos="2160"/>
        </w:tabs>
        <w:spacing w:before="98" w:line="576" w:lineRule="exact"/>
        <w:ind w:firstLine="640" w:firstLineChars="200"/>
        <w:rPr>
          <w:rFonts w:ascii="黑体" w:hAnsi="黑体" w:eastAsia="黑体" w:cs="黑体"/>
          <w:color w:val="000000" w:themeColor="text1"/>
          <w:kern w:val="0"/>
          <w:sz w:val="32"/>
          <w:szCs w:val="32"/>
          <w:shd w:val="clear" w:color="auto" w:fill="FFFFFF"/>
          <w:lang w:val="zh-CN"/>
          <w14:textFill>
            <w14:solidFill>
              <w14:schemeClr w14:val="tx1"/>
            </w14:solidFill>
          </w14:textFill>
        </w:rPr>
        <w:sectPr>
          <w:pgSz w:w="11906" w:h="16838"/>
          <w:pgMar w:top="2098" w:right="1474" w:bottom="1984" w:left="1587" w:header="851" w:footer="1417" w:gutter="0"/>
          <w:cols w:space="0" w:num="1"/>
          <w:rtlGutter w:val="0"/>
          <w:docGrid w:type="lines" w:linePitch="319" w:charSpace="0"/>
        </w:sectPr>
      </w:pPr>
      <w:r>
        <w:rPr>
          <w:rFonts w:hint="eastAsia" w:hAnsi="仿宋_GB2312" w:cs="仿宋_GB2312"/>
          <w:color w:val="000000" w:themeColor="text1"/>
          <w:sz w:val="32"/>
          <w:szCs w:val="32"/>
          <w14:textFill>
            <w14:solidFill>
              <w14:schemeClr w14:val="tx1"/>
            </w14:solidFill>
          </w14:textFill>
        </w:rPr>
        <w:t>无。</w:t>
      </w:r>
      <w:r>
        <w:rPr>
          <w:rFonts w:hint="eastAsia"/>
          <w:color w:val="000000" w:themeColor="text1"/>
          <w:kern w:val="0"/>
          <w:szCs w:val="32"/>
          <w:shd w:val="clear" w:color="auto" w:fill="FFFFFF"/>
          <w:lang w:val="zh-CN"/>
          <w14:textFill>
            <w14:solidFill>
              <w14:schemeClr w14:val="tx1"/>
            </w14:solidFill>
          </w14:textFill>
        </w:rPr>
        <w:br w:type="page"/>
      </w:r>
    </w:p>
    <w:p>
      <w:pPr>
        <w:spacing w:line="500" w:lineRule="exact"/>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附件</w:t>
      </w:r>
      <w:r>
        <w:rPr>
          <w:rFonts w:ascii="黑体" w:hAnsi="黑体" w:eastAsia="黑体" w:cs="黑体"/>
          <w:color w:val="000000" w:themeColor="text1"/>
          <w:sz w:val="32"/>
          <w:szCs w:val="32"/>
          <w14:textFill>
            <w14:solidFill>
              <w14:schemeClr w14:val="tx1"/>
            </w14:solidFill>
          </w14:textFill>
        </w:rPr>
        <w:t>2-5</w:t>
      </w:r>
    </w:p>
    <w:p>
      <w:pPr>
        <w:pStyle w:val="41"/>
        <w:spacing w:line="578" w:lineRule="exact"/>
        <w:ind w:firstLine="440" w:firstLineChars="100"/>
        <w:jc w:val="cente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pPr>
    </w:p>
    <w:p>
      <w:pPr>
        <w:pStyle w:val="41"/>
        <w:spacing w:line="578" w:lineRule="exact"/>
        <w:ind w:firstLine="440" w:firstLineChars="100"/>
        <w:jc w:val="cente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pPr>
      <w: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t>2023</w:t>
      </w:r>
      <w:r>
        <w:rPr>
          <w:rFonts w:hint="eastAsia" w:ascii="方正小标宋简体" w:hAnsi="方正小标宋简体" w:eastAsia="方正小标宋简体" w:cs="方正小标宋简体"/>
          <w:color w:val="000000" w:themeColor="text1"/>
          <w:kern w:val="2"/>
          <w:sz w:val="44"/>
          <w:szCs w:val="44"/>
          <w:lang w:val="en-US"/>
          <w14:textFill>
            <w14:solidFill>
              <w14:schemeClr w14:val="tx1"/>
            </w14:solidFill>
          </w14:textFill>
        </w:rPr>
        <w:t>年专项预算项目绩效评价报告</w:t>
      </w:r>
    </w:p>
    <w:p>
      <w:pPr>
        <w:pStyle w:val="41"/>
        <w:spacing w:line="578" w:lineRule="exact"/>
        <w:ind w:firstLine="320" w:firstLineChars="100"/>
        <w:jc w:val="center"/>
        <w:rPr>
          <w:rFonts w:ascii="方正楷体简体" w:hAnsi="方正楷体简体" w:eastAsia="方正楷体简体" w:cs="方正楷体简体"/>
          <w:color w:val="000000" w:themeColor="text1"/>
          <w:kern w:val="2"/>
          <w:sz w:val="32"/>
          <w:szCs w:val="32"/>
          <w:lang w:val="en-US"/>
          <w14:textFill>
            <w14:solidFill>
              <w14:schemeClr w14:val="tx1"/>
            </w14:solidFill>
          </w14:textFill>
        </w:rPr>
      </w:pPr>
      <w:r>
        <w:rPr>
          <w:rFonts w:hint="eastAsia" w:ascii="方正楷体简体" w:hAnsi="方正楷体简体" w:eastAsia="方正楷体简体" w:cs="方正楷体简体"/>
          <w:color w:val="000000" w:themeColor="text1"/>
          <w:kern w:val="2"/>
          <w:sz w:val="32"/>
          <w:szCs w:val="32"/>
          <w:lang w:val="en-US"/>
          <w14:textFill>
            <w14:solidFill>
              <w14:schemeClr w14:val="tx1"/>
            </w14:solidFill>
          </w14:textFill>
        </w:rPr>
        <w:t>（市本级企业军转干部门诊补助资金）</w:t>
      </w:r>
    </w:p>
    <w:p>
      <w:pPr>
        <w:pStyle w:val="41"/>
        <w:spacing w:line="578" w:lineRule="exact"/>
        <w:ind w:firstLine="640"/>
        <w:jc w:val="center"/>
        <w:rPr>
          <w:rFonts w:ascii="宋体" w:hAnsi="宋体"/>
          <w:color w:val="000000" w:themeColor="text1"/>
          <w:kern w:val="2"/>
          <w:sz w:val="32"/>
          <w:szCs w:val="32"/>
          <w14:textFill>
            <w14:solidFill>
              <w14:schemeClr w14:val="tx1"/>
            </w14:solidFill>
          </w14:textFill>
        </w:rPr>
      </w:pPr>
    </w:p>
    <w:p>
      <w:pPr>
        <w:adjustRightInd w:val="0"/>
        <w:snapToGrid w:val="0"/>
        <w:spacing w:line="550" w:lineRule="exact"/>
        <w:ind w:firstLine="640" w:firstLineChars="200"/>
        <w:rPr>
          <w:rFonts w:ascii="黑体" w:hAnsi="宋体" w:eastAsia="黑体"/>
          <w:color w:val="000000" w:themeColor="text1"/>
          <w:sz w:val="32"/>
          <w:szCs w:val="32"/>
          <w:lang w:val="zh-CN"/>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一、</w:t>
      </w:r>
      <w:r>
        <w:rPr>
          <w:rFonts w:hint="eastAsia" w:ascii="黑体" w:hAnsi="宋体" w:eastAsia="黑体"/>
          <w:color w:val="000000" w:themeColor="text1"/>
          <w:sz w:val="32"/>
          <w:szCs w:val="32"/>
          <w:lang w:val="zh-CN"/>
          <w14:textFill>
            <w14:solidFill>
              <w14:schemeClr w14:val="tx1"/>
            </w14:solidFill>
          </w14:textFill>
        </w:rPr>
        <w:t>项目概况</w:t>
      </w:r>
    </w:p>
    <w:p>
      <w:pPr>
        <w:adjustRightInd w:val="0"/>
        <w:snapToGrid w:val="0"/>
        <w:spacing w:line="550"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（一）设立背景及基本情况。</w:t>
      </w:r>
      <w:r>
        <w:rPr>
          <w:rFonts w:hint="eastAsia" w:ascii="仿宋_GB2312" w:hAnsi="宋体" w:eastAsia="仿宋_GB2312"/>
          <w:color w:val="000000" w:themeColor="text1"/>
          <w:sz w:val="32"/>
          <w:szCs w:val="32"/>
          <w14:textFill>
            <w14:solidFill>
              <w14:schemeClr w14:val="tx1"/>
            </w14:solidFill>
          </w14:textFill>
        </w:rPr>
        <w:t>广元市医疗保障局结合自身职责职能，负责贯彻执行国家、省、市医疗和生育保险政策，对各项医疗政策相关工作进行监督、管理，对各项医疗费报销进行审核、支付。广元市医疗保障事务中心作为市医疗保障局二级单位，具体负责对企业军转干部门诊费用进行审核、拨付。</w:t>
      </w:r>
    </w:p>
    <w:p>
      <w:pPr>
        <w:autoSpaceDE w:val="0"/>
        <w:adjustRightInd w:val="0"/>
        <w:snapToGrid w:val="0"/>
        <w:spacing w:line="550"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（二）</w:t>
      </w:r>
      <w:r>
        <w:rPr>
          <w:rFonts w:ascii="楷体_GB2312" w:hAnsi="宋体" w:eastAsia="楷体_GB2312"/>
          <w:color w:val="000000" w:themeColor="text1"/>
          <w:spacing w:val="-6"/>
          <w:sz w:val="32"/>
          <w:szCs w:val="32"/>
          <w14:textFill>
            <w14:solidFill>
              <w14:schemeClr w14:val="tx1"/>
            </w14:solidFill>
          </w14:textFill>
        </w:rPr>
        <w:t>实施目的及支持方向</w:t>
      </w:r>
      <w:r>
        <w:rPr>
          <w:rFonts w:hint="eastAsia" w:ascii="楷体_GB2312" w:hAnsi="宋体" w:eastAsia="楷体_GB2312"/>
          <w:color w:val="000000" w:themeColor="text1"/>
          <w:spacing w:val="-6"/>
          <w:sz w:val="32"/>
          <w:szCs w:val="32"/>
          <w14:textFill>
            <w14:solidFill>
              <w14:schemeClr w14:val="tx1"/>
            </w14:solidFill>
          </w14:textFill>
        </w:rPr>
        <w:t>。</w:t>
      </w:r>
      <w:r>
        <w:rPr>
          <w:rFonts w:hint="eastAsia" w:ascii="仿宋_GB2312" w:hAnsi="宋体" w:eastAsia="仿宋_GB2312"/>
          <w:color w:val="000000" w:themeColor="text1"/>
          <w:spacing w:val="-6"/>
          <w:sz w:val="32"/>
          <w:szCs w:val="32"/>
          <w14:textFill>
            <w14:solidFill>
              <w14:schemeClr w14:val="tx1"/>
            </w14:solidFill>
          </w14:textFill>
        </w:rPr>
        <w:t>制定了《广元市医疗保障事务中心关于特殊人群医疗费用审核拨付流程的规定》，对企业军转干部门诊补助的审核和拨付严格按规定执行，控制项目实施成本。</w:t>
      </w:r>
    </w:p>
    <w:p>
      <w:pPr>
        <w:adjustRightInd w:val="0"/>
        <w:snapToGrid w:val="0"/>
        <w:spacing w:line="550" w:lineRule="exact"/>
        <w:ind w:firstLine="640" w:firstLineChars="200"/>
        <w:rPr>
          <w:rFonts w:ascii="仿宋_GB2312" w:hAnsi="宋体"/>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（三）</w:t>
      </w:r>
      <w:r>
        <w:rPr>
          <w:rFonts w:ascii="楷体_GB2312" w:hAnsi="宋体" w:eastAsia="楷体_GB2312"/>
          <w:color w:val="000000" w:themeColor="text1"/>
          <w:sz w:val="32"/>
          <w:szCs w:val="32"/>
          <w14:textFill>
            <w14:solidFill>
              <w14:schemeClr w14:val="tx1"/>
            </w14:solidFill>
          </w14:textFill>
        </w:rPr>
        <w:t>预算安排及分配管理</w:t>
      </w: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根据退役军人事务管理局提供的标准</w:t>
      </w:r>
      <w:r>
        <w:rPr>
          <w:rFonts w:hint="eastAsia" w:ascii="仿宋_GB2312" w:hAnsi="仿宋_GB2312" w:eastAsia="仿宋_GB2312" w:cs="仿宋_GB2312"/>
          <w:color w:val="000000" w:themeColor="text1"/>
          <w:sz w:val="32"/>
          <w:szCs w:val="32"/>
          <w:lang w:val="zh-CN"/>
          <w14:textFill>
            <w14:solidFill>
              <w14:schemeClr w14:val="tx1"/>
            </w14:solidFill>
          </w14:textFill>
        </w:rPr>
        <w:t>，同时结合当前医疗机构诊水平，合理分配项目资金。</w:t>
      </w:r>
    </w:p>
    <w:p>
      <w:pPr>
        <w:autoSpaceDE w:val="0"/>
        <w:adjustRightInd w:val="0"/>
        <w:snapToGrid w:val="0"/>
        <w:spacing w:line="550"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（四）项目绩效目标设置。</w:t>
      </w:r>
      <w:r>
        <w:rPr>
          <w:rFonts w:hint="eastAsia" w:ascii="仿宋_GB2312" w:hAnsi="宋体" w:eastAsia="仿宋_GB2312"/>
          <w:color w:val="000000" w:themeColor="text1"/>
          <w:sz w:val="32"/>
          <w:szCs w:val="32"/>
          <w14:textFill>
            <w14:solidFill>
              <w14:schemeClr w14:val="tx1"/>
            </w14:solidFill>
          </w14:textFill>
        </w:rPr>
        <w:t>为市本级已参保且符合补助标准的企业军转干部拨付门诊补助。</w:t>
      </w:r>
    </w:p>
    <w:p>
      <w:pPr>
        <w:adjustRightInd w:val="0"/>
        <w:snapToGrid w:val="0"/>
        <w:spacing w:line="550" w:lineRule="exact"/>
        <w:ind w:firstLine="960" w:firstLineChars="300"/>
        <w:rPr>
          <w:rFonts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二、评价实施</w:t>
      </w:r>
    </w:p>
    <w:p>
      <w:pPr>
        <w:spacing w:line="550" w:lineRule="exact"/>
        <w:ind w:firstLine="640"/>
        <w:rPr>
          <w:rFonts w:eastAsia="仿宋_GB2312"/>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（一）评价目的。</w:t>
      </w:r>
      <w:r>
        <w:rPr>
          <w:rFonts w:hint="eastAsia" w:ascii="仿宋_GB2312" w:hAnsi="宋体" w:eastAsia="仿宋_GB2312"/>
          <w:color w:val="000000" w:themeColor="text1"/>
          <w:sz w:val="32"/>
          <w:szCs w:val="32"/>
          <w14:textFill>
            <w14:solidFill>
              <w14:schemeClr w14:val="tx1"/>
            </w14:solidFill>
          </w14:textFill>
        </w:rPr>
        <w:t>提高财政资金使用效益，确保为市本级已参保且符合补助标准的企业军转干部拨付门诊补助。</w:t>
      </w:r>
    </w:p>
    <w:p>
      <w:pPr>
        <w:autoSpaceDE w:val="0"/>
        <w:adjustRightInd w:val="0"/>
        <w:snapToGrid w:val="0"/>
        <w:spacing w:line="550"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（二）预设问题及评价重点。</w:t>
      </w:r>
      <w:r>
        <w:rPr>
          <w:rFonts w:hint="eastAsia" w:ascii="仿宋_GB2312" w:hAnsi="宋体" w:eastAsia="仿宋_GB2312"/>
          <w:color w:val="000000" w:themeColor="text1"/>
          <w:sz w:val="32"/>
          <w:szCs w:val="32"/>
          <w14:textFill>
            <w14:solidFill>
              <w14:schemeClr w14:val="tx1"/>
            </w14:solidFill>
          </w14:textFill>
        </w:rPr>
        <w:t>确保符合条件人员能及时享受医疗待遇。</w:t>
      </w:r>
    </w:p>
    <w:p>
      <w:pPr>
        <w:adjustRightInd w:val="0"/>
        <w:snapToGrid w:val="0"/>
        <w:spacing w:line="550" w:lineRule="exact"/>
        <w:ind w:firstLine="640" w:firstLineChars="200"/>
        <w:rPr>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（三）评价选点。</w:t>
      </w:r>
      <w:r>
        <w:rPr>
          <w:rFonts w:hint="eastAsia" w:ascii="仿宋_GB2312" w:hAnsi="宋体" w:eastAsia="仿宋_GB2312"/>
          <w:color w:val="000000" w:themeColor="text1"/>
          <w:sz w:val="32"/>
          <w:szCs w:val="32"/>
          <w:lang w:val="zh-CN"/>
          <w14:textFill>
            <w14:solidFill>
              <w14:schemeClr w14:val="tx1"/>
            </w14:solidFill>
          </w14:textFill>
        </w:rPr>
        <w:t>以整体作为评价。</w:t>
      </w:r>
    </w:p>
    <w:p>
      <w:pPr>
        <w:spacing w:line="550" w:lineRule="exact"/>
        <w:ind w:firstLine="640"/>
        <w:rPr>
          <w:rFonts w:ascii="仿宋_GB2312" w:hAnsi="宋体" w:eastAsia="仿宋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（四）评价方法。</w:t>
      </w:r>
      <w:r>
        <w:rPr>
          <w:rFonts w:hint="eastAsia" w:ascii="仿宋_GB2312" w:hAnsi="宋体" w:eastAsia="仿宋_GB2312"/>
          <w:color w:val="000000" w:themeColor="text1"/>
          <w:sz w:val="32"/>
          <w:szCs w:val="32"/>
          <w:lang w:val="zh-CN"/>
          <w14:textFill>
            <w14:solidFill>
              <w14:schemeClr w14:val="tx1"/>
            </w14:solidFill>
          </w14:textFill>
        </w:rPr>
        <w:t>项目绩效自评按市财政局要求，部门决算后在规定时间内按规定内容进行自评。</w:t>
      </w:r>
    </w:p>
    <w:p>
      <w:pPr>
        <w:spacing w:line="550" w:lineRule="exact"/>
        <w:ind w:firstLine="640" w:firstLineChars="200"/>
        <w:rPr>
          <w:rFonts w:eastAsia="仿宋_GB2312"/>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（五）评价组织。</w:t>
      </w:r>
      <w:r>
        <w:rPr>
          <w:rFonts w:hint="eastAsia" w:ascii="仿宋_GB2312" w:eastAsia="仿宋_GB2312"/>
          <w:color w:val="000000" w:themeColor="text1"/>
          <w:sz w:val="32"/>
          <w:szCs w:val="32"/>
          <w14:textFill>
            <w14:solidFill>
              <w14:schemeClr w14:val="tx1"/>
            </w14:solidFill>
          </w14:textFill>
        </w:rPr>
        <w:t>自评工作领导小组认真全面的进行绩效评价工作，建立健全财务管理制度和内控约束机制，依法、有效地使用财政资金，提高财政资金使用效率，合理分配人、财、物，完成部门职能目标，实现较高的工作效率和水平。</w:t>
      </w:r>
    </w:p>
    <w:p>
      <w:pPr>
        <w:adjustRightInd w:val="0"/>
        <w:snapToGrid w:val="0"/>
        <w:spacing w:line="550" w:lineRule="exact"/>
        <w:ind w:firstLine="640" w:firstLineChars="200"/>
        <w:rPr>
          <w:rFonts w:ascii="仿宋_GB2312" w:hAnsi="宋体"/>
          <w:color w:val="000000" w:themeColor="text1"/>
          <w:sz w:val="32"/>
          <w:szCs w:val="32"/>
          <w:lang w:val="zh-CN"/>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三、绩效分析</w:t>
      </w:r>
      <w:r>
        <w:rPr>
          <w:rFonts w:hint="eastAsia" w:ascii="仿宋_GB2312" w:hAnsi="宋体"/>
          <w:color w:val="000000" w:themeColor="text1"/>
          <w:sz w:val="32"/>
          <w:szCs w:val="32"/>
          <w:lang w:val="zh-CN"/>
          <w14:textFill>
            <w14:solidFill>
              <w14:schemeClr w14:val="tx1"/>
            </w14:solidFill>
          </w14:textFill>
        </w:rPr>
        <w:tab/>
      </w:r>
    </w:p>
    <w:p>
      <w:pPr>
        <w:spacing w:line="550" w:lineRule="exact"/>
        <w:ind w:firstLine="640" w:firstLineChars="200"/>
        <w:rPr>
          <w:rFonts w:ascii="楷体_GB2312" w:hAnsi="楷体_GB2312" w:eastAsia="楷体_GB2312" w:cs="楷体_GB2312"/>
          <w:color w:val="000000" w:themeColor="text1"/>
          <w:sz w:val="32"/>
          <w:szCs w:val="32"/>
          <w:lang w:val="zh-CN"/>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楷体_GB2312" w:hAnsi="宋体" w:eastAsia="楷体_GB2312"/>
          <w:color w:val="000000" w:themeColor="text1"/>
          <w:sz w:val="32"/>
          <w:szCs w:val="32"/>
          <w14:textFill>
            <w14:solidFill>
              <w14:schemeClr w14:val="tx1"/>
            </w14:solidFill>
          </w14:textFill>
        </w:rPr>
        <w:t>一</w:t>
      </w: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楷体_GB2312" w:hAnsi="宋体" w:eastAsia="楷体_GB2312"/>
          <w:color w:val="000000" w:themeColor="text1"/>
          <w:sz w:val="32"/>
          <w:szCs w:val="32"/>
          <w14:textFill>
            <w14:solidFill>
              <w14:schemeClr w14:val="tx1"/>
            </w14:solidFill>
          </w14:textFill>
        </w:rPr>
        <w:t>专用指标</w:t>
      </w:r>
      <w:r>
        <w:rPr>
          <w:rFonts w:eastAsia="楷体_GB2312"/>
          <w:color w:val="000000" w:themeColor="text1"/>
          <w:kern w:val="0"/>
          <w:sz w:val="32"/>
          <w:szCs w:val="32"/>
          <w:shd w:val="clear" w:color="auto" w:fill="FFFFFF"/>
          <w:lang w:val="zh-CN"/>
          <w14:textFill>
            <w14:solidFill>
              <w14:schemeClr w14:val="tx1"/>
            </w14:solidFill>
          </w14:textFill>
        </w:rPr>
        <w:t>绩效分析</w:t>
      </w:r>
    </w:p>
    <w:p>
      <w:pPr>
        <w:adjustRightInd w:val="0"/>
        <w:snapToGrid w:val="0"/>
        <w:spacing w:line="550"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1.政策制定（自评得30分）。</w:t>
      </w:r>
      <w:r>
        <w:rPr>
          <w:rFonts w:hint="eastAsia" w:ascii="仿宋_GB2312" w:hAnsi="宋体" w:eastAsia="仿宋_GB2312"/>
          <w:color w:val="000000" w:themeColor="text1"/>
          <w:sz w:val="32"/>
          <w:szCs w:val="32"/>
          <w:lang w:val="zh-CN"/>
          <w14:textFill>
            <w14:solidFill>
              <w14:schemeClr w14:val="tx1"/>
            </w14:solidFill>
          </w14:textFill>
        </w:rPr>
        <w:t>民生保障</w:t>
      </w:r>
      <w:r>
        <w:rPr>
          <w:rFonts w:hint="eastAsia" w:ascii="仿宋_GB2312" w:hAnsi="宋体" w:eastAsia="仿宋_GB2312"/>
          <w:color w:val="000000" w:themeColor="text1"/>
          <w:sz w:val="32"/>
          <w:szCs w:val="32"/>
          <w14:textFill>
            <w14:solidFill>
              <w14:schemeClr w14:val="tx1"/>
            </w14:solidFill>
          </w14:textFill>
        </w:rPr>
        <w:t>方面</w:t>
      </w:r>
      <w:r>
        <w:rPr>
          <w:rFonts w:hint="eastAsia" w:ascii="仿宋_GB2312" w:hAnsi="宋体" w:eastAsia="仿宋_GB2312"/>
          <w:color w:val="000000" w:themeColor="text1"/>
          <w:sz w:val="32"/>
          <w:szCs w:val="32"/>
          <w:lang w:val="zh-CN"/>
          <w14:textFill>
            <w14:solidFill>
              <w14:schemeClr w14:val="tx1"/>
            </w14:solidFill>
          </w14:textFill>
        </w:rPr>
        <w:t>。</w:t>
      </w:r>
      <w:r>
        <w:rPr>
          <w:rFonts w:hint="eastAsia" w:ascii="仿宋_GB2312" w:hAnsi="宋体" w:eastAsia="仿宋_GB2312"/>
          <w:color w:val="000000" w:themeColor="text1"/>
          <w:sz w:val="32"/>
          <w:szCs w:val="32"/>
          <w14:textFill>
            <w14:solidFill>
              <w14:schemeClr w14:val="tx1"/>
            </w14:solidFill>
          </w14:textFill>
        </w:rPr>
        <w:t>政策内各项目资金分配均衡公平，项目支持方向全面覆盖政策应支持的范围和对象，有效衔接了政策内各项目间支持标准，不存在标准差异较大的情况。</w:t>
      </w:r>
    </w:p>
    <w:p>
      <w:pPr>
        <w:adjustRightInd w:val="0"/>
        <w:snapToGrid w:val="0"/>
        <w:spacing w:line="550"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政策执行（自评得24分）。在业务流程方面，中心严格按照《广元市医疗保障事务中心关于特殊人群医疗费用审核拨付流程的规定》，由业务经办人员对特殊人群有关资料进行初审，业务组长复核，业务分管领导审核后方可由财务领导审批拨付，对金额大于2万元或特殊业务由中心主任签字审批。在财务流程方面，该笔</w:t>
      </w:r>
      <w:r>
        <w:rPr>
          <w:rFonts w:hint="eastAsia" w:ascii="仿宋_GB2312" w:hAnsi="宋体" w:eastAsia="仿宋_GB2312"/>
          <w:color w:val="000000" w:themeColor="text1"/>
          <w:sz w:val="32"/>
          <w:szCs w:val="32"/>
          <w:lang w:val="zh-CN"/>
          <w14:textFill>
            <w14:solidFill>
              <w14:schemeClr w14:val="tx1"/>
            </w14:solidFill>
          </w14:textFill>
        </w:rPr>
        <w:t>经费按财政集中支付管理流程</w:t>
      </w:r>
      <w:r>
        <w:rPr>
          <w:rFonts w:hint="eastAsia" w:ascii="仿宋_GB2312" w:hAnsi="宋体" w:eastAsia="仿宋_GB2312"/>
          <w:color w:val="000000" w:themeColor="text1"/>
          <w:sz w:val="32"/>
          <w:szCs w:val="32"/>
          <w14:textFill>
            <w14:solidFill>
              <w14:schemeClr w14:val="tx1"/>
            </w14:solidFill>
          </w14:textFill>
        </w:rPr>
        <w:t>拨付至广元市医疗保障事务中心医疗保险基金支出户</w:t>
      </w:r>
      <w:r>
        <w:rPr>
          <w:rFonts w:hint="eastAsia" w:ascii="仿宋_GB2312" w:hAnsi="宋体" w:eastAsia="仿宋_GB2312"/>
          <w:color w:val="000000" w:themeColor="text1"/>
          <w:sz w:val="32"/>
          <w:szCs w:val="32"/>
          <w:lang w:val="zh-CN"/>
          <w14:textFill>
            <w14:solidFill>
              <w14:schemeClr w14:val="tx1"/>
            </w14:solidFill>
          </w14:textFill>
        </w:rPr>
        <w:t>。</w:t>
      </w:r>
      <w:r>
        <w:rPr>
          <w:rFonts w:hint="eastAsia" w:ascii="仿宋_GB2312" w:hAnsi="宋体" w:eastAsia="仿宋_GB2312"/>
          <w:color w:val="000000" w:themeColor="text1"/>
          <w:sz w:val="32"/>
          <w:szCs w:val="32"/>
          <w14:textFill>
            <w14:solidFill>
              <w14:schemeClr w14:val="tx1"/>
            </w14:solidFill>
          </w14:textFill>
        </w:rPr>
        <w:t>医疗保障事务中心根据有关人员申请，经业务工作人员及各级领导审核后，由财务人员进行拨付。</w:t>
      </w:r>
    </w:p>
    <w:p>
      <w:pPr>
        <w:adjustRightInd w:val="0"/>
        <w:snapToGrid w:val="0"/>
        <w:spacing w:line="576"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3.政策效</w:t>
      </w:r>
      <w:r>
        <w:rPr>
          <w:rFonts w:hint="eastAsia" w:ascii="仿宋_GB2312" w:hAnsi="宋体" w:eastAsia="仿宋_GB2312"/>
          <w:color w:val="000000" w:themeColor="text1"/>
          <w:spacing w:val="-6"/>
          <w:sz w:val="32"/>
          <w:szCs w:val="32"/>
          <w14:textFill>
            <w14:solidFill>
              <w14:schemeClr w14:val="tx1"/>
            </w14:solidFill>
          </w14:textFill>
        </w:rPr>
        <w:t>果（自评得16分）。</w:t>
      </w:r>
      <w:r>
        <w:rPr>
          <w:rFonts w:hint="eastAsia" w:ascii="仿宋_GB2312" w:hAnsi="宋体" w:eastAsia="仿宋_GB2312"/>
          <w:color w:val="000000" w:themeColor="text1"/>
          <w:spacing w:val="-6"/>
          <w:sz w:val="32"/>
          <w:szCs w:val="32"/>
          <w:lang w:val="zh-CN"/>
          <w14:textFill>
            <w14:solidFill>
              <w14:schemeClr w14:val="tx1"/>
            </w14:solidFill>
          </w14:textFill>
        </w:rPr>
        <w:t>本项目资金全年共支出</w:t>
      </w:r>
      <w:r>
        <w:rPr>
          <w:rFonts w:hint="eastAsia" w:ascii="仿宋_GB2312" w:hAnsi="宋体" w:eastAsia="仿宋_GB2312"/>
          <w:color w:val="000000" w:themeColor="text1"/>
          <w:spacing w:val="-6"/>
          <w:sz w:val="32"/>
          <w:szCs w:val="32"/>
          <w14:textFill>
            <w14:solidFill>
              <w14:schemeClr w14:val="tx1"/>
            </w14:solidFill>
          </w14:textFill>
        </w:rPr>
        <w:t>51.99万元</w:t>
      </w:r>
      <w:r>
        <w:rPr>
          <w:rFonts w:hint="eastAsia" w:ascii="仿宋_GB2312" w:hAnsi="宋体" w:eastAsia="仿宋_GB2312"/>
          <w:color w:val="000000" w:themeColor="text1"/>
          <w:spacing w:val="-6"/>
          <w:sz w:val="32"/>
          <w:szCs w:val="32"/>
          <w:lang w:val="zh-CN"/>
          <w14:textFill>
            <w14:solidFill>
              <w14:schemeClr w14:val="tx1"/>
            </w14:solidFill>
          </w14:textFill>
        </w:rPr>
        <w:t>，支出进度为100%，</w:t>
      </w:r>
      <w:r>
        <w:rPr>
          <w:rFonts w:hint="eastAsia" w:ascii="仿宋_GB2312" w:hAnsi="宋体" w:eastAsia="仿宋_GB2312"/>
          <w:color w:val="000000" w:themeColor="text1"/>
          <w:spacing w:val="-6"/>
          <w:sz w:val="32"/>
          <w:szCs w:val="32"/>
          <w14:textFill>
            <w14:solidFill>
              <w14:schemeClr w14:val="tx1"/>
            </w14:solidFill>
          </w14:textFill>
        </w:rPr>
        <w:t>主要用于支</w:t>
      </w:r>
      <w:r>
        <w:rPr>
          <w:rFonts w:hint="eastAsia" w:ascii="仿宋_GB2312" w:hAnsi="宋体" w:eastAsia="仿宋_GB2312"/>
          <w:color w:val="000000" w:themeColor="text1"/>
          <w:sz w:val="32"/>
          <w:szCs w:val="32"/>
          <w14:textFill>
            <w14:solidFill>
              <w14:schemeClr w14:val="tx1"/>
            </w14:solidFill>
          </w14:textFill>
        </w:rPr>
        <w:t>付市本级已参保且符合补助标准的企业军转干部门诊补助。在项目执行过程中，严格按照预算批复项目资金支付范围、支付标准执行，严控预算执行进度和经费支出情况，资金使用安全、规范、高效。</w:t>
      </w:r>
    </w:p>
    <w:p>
      <w:pPr>
        <w:adjustRightInd w:val="0"/>
        <w:snapToGrid w:val="0"/>
        <w:spacing w:line="576" w:lineRule="exact"/>
        <w:ind w:firstLine="640" w:firstLineChars="200"/>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楷体_GB2312" w:hAnsi="宋体" w:eastAsia="楷体_GB2312"/>
          <w:color w:val="000000" w:themeColor="text1"/>
          <w:sz w:val="32"/>
          <w:szCs w:val="32"/>
          <w14:textFill>
            <w14:solidFill>
              <w14:schemeClr w14:val="tx1"/>
            </w14:solidFill>
          </w14:textFill>
        </w:rPr>
        <w:t>二</w:t>
      </w:r>
      <w:r>
        <w:rPr>
          <w:rFonts w:hint="eastAsia" w:ascii="楷体_GB2312" w:hAnsi="宋体" w:eastAsia="楷体_GB2312"/>
          <w:color w:val="000000" w:themeColor="text1"/>
          <w:sz w:val="32"/>
          <w:szCs w:val="32"/>
          <w:lang w:val="zh-CN"/>
          <w14:textFill>
            <w14:solidFill>
              <w14:schemeClr w14:val="tx1"/>
            </w14:solidFill>
          </w14:textFill>
        </w:rPr>
        <w:t>）</w:t>
      </w:r>
      <w:r>
        <w:rPr>
          <w:rFonts w:hint="eastAsia" w:ascii="楷体_GB2312" w:hAnsi="宋体" w:eastAsia="楷体_GB2312"/>
          <w:color w:val="000000" w:themeColor="text1"/>
          <w:sz w:val="32"/>
          <w:szCs w:val="32"/>
          <w14:textFill>
            <w14:solidFill>
              <w14:schemeClr w14:val="tx1"/>
            </w14:solidFill>
          </w14:textFill>
        </w:rPr>
        <w:t>个性指标</w:t>
      </w:r>
      <w:r>
        <w:rPr>
          <w:rFonts w:eastAsia="楷体_GB2312"/>
          <w:color w:val="000000" w:themeColor="text1"/>
          <w:kern w:val="0"/>
          <w:sz w:val="32"/>
          <w:szCs w:val="32"/>
          <w:shd w:val="clear" w:color="auto" w:fill="FFFFFF"/>
          <w:lang w:val="zh-CN"/>
          <w14:textFill>
            <w14:solidFill>
              <w14:schemeClr w14:val="tx1"/>
            </w14:solidFill>
          </w14:textFill>
        </w:rPr>
        <w:t>绩效分析</w:t>
      </w:r>
      <w:r>
        <w:rPr>
          <w:rFonts w:hint="eastAsia" w:ascii="楷体_GB2312" w:hAnsi="楷体_GB2312" w:eastAsia="楷体_GB2312" w:cs="楷体_GB2312"/>
          <w:color w:val="000000" w:themeColor="text1"/>
          <w:sz w:val="32"/>
          <w:szCs w:val="32"/>
          <w14:textFill>
            <w14:solidFill>
              <w14:schemeClr w14:val="tx1"/>
            </w14:solidFill>
          </w14:textFill>
        </w:rPr>
        <w:t>（自评得20分）</w:t>
      </w:r>
    </w:p>
    <w:p>
      <w:pPr>
        <w:adjustRightInd w:val="0"/>
        <w:snapToGrid w:val="0"/>
        <w:spacing w:line="576"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我单位</w:t>
      </w:r>
      <w:r>
        <w:rPr>
          <w:rFonts w:hint="eastAsia" w:ascii="仿宋_GB2312" w:hAnsi="宋体" w:eastAsia="仿宋_GB2312"/>
          <w:color w:val="000000" w:themeColor="text1"/>
          <w:sz w:val="32"/>
          <w:szCs w:val="32"/>
          <w:lang w:val="zh-CN"/>
          <w14:textFill>
            <w14:solidFill>
              <w14:schemeClr w14:val="tx1"/>
            </w14:solidFill>
          </w14:textFill>
        </w:rPr>
        <w:t>财务管理制度健全，制度执行严格，账务处理及时，会计核算规范。</w:t>
      </w:r>
      <w:r>
        <w:rPr>
          <w:rFonts w:hint="eastAsia" w:ascii="仿宋_GB2312" w:hAnsi="宋体" w:eastAsia="仿宋_GB2312"/>
          <w:color w:val="000000" w:themeColor="text1"/>
          <w:sz w:val="32"/>
          <w:szCs w:val="32"/>
          <w14:textFill>
            <w14:solidFill>
              <w14:schemeClr w14:val="tx1"/>
            </w14:solidFill>
          </w14:textFill>
        </w:rPr>
        <w:t>严格</w:t>
      </w:r>
      <w:r>
        <w:rPr>
          <w:rFonts w:hint="eastAsia" w:ascii="仿宋_GB2312" w:hAnsi="宋体" w:eastAsia="仿宋_GB2312"/>
          <w:color w:val="000000" w:themeColor="text1"/>
          <w:sz w:val="32"/>
          <w:szCs w:val="32"/>
          <w:lang w:val="zh-CN"/>
          <w14:textFill>
            <w14:solidFill>
              <w14:schemeClr w14:val="tx1"/>
            </w14:solidFill>
          </w14:textFill>
        </w:rPr>
        <w:t>按</w:t>
      </w:r>
      <w:r>
        <w:rPr>
          <w:rFonts w:hint="eastAsia" w:ascii="仿宋_GB2312" w:hAnsi="宋体" w:eastAsia="仿宋_GB2312"/>
          <w:color w:val="000000" w:themeColor="text1"/>
          <w:sz w:val="32"/>
          <w:szCs w:val="32"/>
          <w14:textFill>
            <w14:solidFill>
              <w14:schemeClr w14:val="tx1"/>
            </w14:solidFill>
          </w14:textFill>
        </w:rPr>
        <w:t>照</w:t>
      </w:r>
      <w:r>
        <w:rPr>
          <w:rFonts w:hint="eastAsia" w:ascii="仿宋_GB2312" w:hAnsi="宋体" w:eastAsia="仿宋_GB2312"/>
          <w:color w:val="000000" w:themeColor="text1"/>
          <w:sz w:val="32"/>
          <w:szCs w:val="32"/>
          <w:lang w:val="zh-CN"/>
          <w14:textFill>
            <w14:solidFill>
              <w14:schemeClr w14:val="tx1"/>
            </w14:solidFill>
          </w14:textFill>
        </w:rPr>
        <w:t>《社保基金财务制度》《社保基金会计制度》管理和核算基金。</w:t>
      </w:r>
      <w:r>
        <w:rPr>
          <w:rFonts w:hint="eastAsia" w:ascii="仿宋_GB2312" w:hAnsi="宋体" w:eastAsia="仿宋_GB2312"/>
          <w:color w:val="000000" w:themeColor="text1"/>
          <w:sz w:val="32"/>
          <w:szCs w:val="32"/>
          <w14:textFill>
            <w14:solidFill>
              <w14:schemeClr w14:val="tx1"/>
            </w14:solidFill>
          </w14:textFill>
        </w:rPr>
        <w:t>严格</w:t>
      </w:r>
      <w:r>
        <w:rPr>
          <w:rFonts w:hint="eastAsia" w:ascii="仿宋_GB2312" w:hAnsi="宋体" w:eastAsia="仿宋_GB2312"/>
          <w:color w:val="000000" w:themeColor="text1"/>
          <w:sz w:val="32"/>
          <w:szCs w:val="32"/>
          <w:lang w:val="zh-CN"/>
          <w14:textFill>
            <w14:solidFill>
              <w14:schemeClr w14:val="tx1"/>
            </w14:solidFill>
          </w14:textFill>
        </w:rPr>
        <w:t>依据市</w:t>
      </w:r>
      <w:r>
        <w:rPr>
          <w:rFonts w:hint="eastAsia" w:ascii="仿宋_GB2312" w:hAnsi="宋体" w:eastAsia="仿宋_GB2312"/>
          <w:color w:val="000000" w:themeColor="text1"/>
          <w:sz w:val="32"/>
          <w:szCs w:val="32"/>
          <w14:textFill>
            <w14:solidFill>
              <w14:schemeClr w14:val="tx1"/>
            </w14:solidFill>
          </w14:textFill>
        </w:rPr>
        <w:t>退役军人事务管理局</w:t>
      </w:r>
      <w:r>
        <w:rPr>
          <w:rFonts w:hint="eastAsia" w:ascii="仿宋_GB2312" w:hAnsi="宋体" w:eastAsia="仿宋_GB2312"/>
          <w:color w:val="000000" w:themeColor="text1"/>
          <w:sz w:val="32"/>
          <w:szCs w:val="32"/>
          <w:lang w:val="zh-CN"/>
          <w14:textFill>
            <w14:solidFill>
              <w14:schemeClr w14:val="tx1"/>
            </w14:solidFill>
          </w14:textFill>
        </w:rPr>
        <w:t>提供的标准，同时结合当前医疗机构诊水平，合理分配项目资金。照顾对象个人门诊补助金额大于60元/月，</w:t>
      </w:r>
      <w:r>
        <w:rPr>
          <w:rFonts w:hint="eastAsia" w:ascii="仿宋_GB2312" w:hAnsi="宋体" w:eastAsia="仿宋_GB2312"/>
          <w:color w:val="000000" w:themeColor="text1"/>
          <w:sz w:val="32"/>
          <w:szCs w:val="32"/>
          <w14:textFill>
            <w14:solidFill>
              <w14:schemeClr w14:val="tx1"/>
            </w14:solidFill>
          </w14:textFill>
        </w:rPr>
        <w:t>医疗</w:t>
      </w:r>
      <w:r>
        <w:rPr>
          <w:rFonts w:hint="eastAsia" w:ascii="仿宋_GB2312" w:hAnsi="宋体" w:eastAsia="仿宋_GB2312"/>
          <w:color w:val="000000" w:themeColor="text1"/>
          <w:sz w:val="32"/>
          <w:szCs w:val="32"/>
          <w:lang w:val="zh-CN"/>
          <w14:textFill>
            <w14:solidFill>
              <w14:schemeClr w14:val="tx1"/>
            </w14:solidFill>
          </w14:textFill>
        </w:rPr>
        <w:t>照顾对象满意度</w:t>
      </w:r>
      <w:r>
        <w:rPr>
          <w:rFonts w:hint="eastAsia" w:ascii="仿宋_GB2312" w:hAnsi="宋体" w:eastAsia="仿宋_GB2312"/>
          <w:color w:val="000000" w:themeColor="text1"/>
          <w:sz w:val="32"/>
          <w:szCs w:val="32"/>
          <w14:textFill>
            <w14:solidFill>
              <w14:schemeClr w14:val="tx1"/>
            </w14:solidFill>
          </w14:textFill>
        </w:rPr>
        <w:t>在</w:t>
      </w:r>
      <w:r>
        <w:rPr>
          <w:rFonts w:hint="eastAsia" w:ascii="仿宋_GB2312" w:hAnsi="宋体" w:eastAsia="仿宋_GB2312"/>
          <w:color w:val="000000" w:themeColor="text1"/>
          <w:sz w:val="32"/>
          <w:szCs w:val="32"/>
          <w:lang w:val="zh-CN"/>
          <w14:textFill>
            <w14:solidFill>
              <w14:schemeClr w14:val="tx1"/>
            </w14:solidFill>
          </w14:textFill>
        </w:rPr>
        <w:t>85%</w:t>
      </w:r>
      <w:r>
        <w:rPr>
          <w:rFonts w:hint="eastAsia" w:ascii="仿宋_GB2312" w:hAnsi="宋体" w:eastAsia="仿宋_GB2312"/>
          <w:color w:val="000000" w:themeColor="text1"/>
          <w:sz w:val="32"/>
          <w:szCs w:val="32"/>
          <w14:textFill>
            <w14:solidFill>
              <w14:schemeClr w14:val="tx1"/>
            </w14:solidFill>
          </w14:textFill>
        </w:rPr>
        <w:t>以上</w:t>
      </w:r>
      <w:r>
        <w:rPr>
          <w:rFonts w:hint="eastAsia" w:ascii="仿宋_GB2312" w:hAnsi="宋体" w:eastAsia="仿宋_GB2312"/>
          <w:color w:val="000000" w:themeColor="text1"/>
          <w:sz w:val="32"/>
          <w:szCs w:val="32"/>
          <w:lang w:val="zh-CN"/>
          <w14:textFill>
            <w14:solidFill>
              <w14:schemeClr w14:val="tx1"/>
            </w14:solidFill>
          </w14:textFill>
        </w:rPr>
        <w:t>，</w:t>
      </w:r>
      <w:r>
        <w:rPr>
          <w:rFonts w:hint="eastAsia" w:ascii="仿宋_GB2312" w:hAnsi="宋体" w:eastAsia="仿宋_GB2312"/>
          <w:color w:val="000000" w:themeColor="text1"/>
          <w:sz w:val="32"/>
          <w:szCs w:val="32"/>
          <w14:textFill>
            <w14:solidFill>
              <w14:schemeClr w14:val="tx1"/>
            </w14:solidFill>
          </w14:textFill>
        </w:rPr>
        <w:t>对于</w:t>
      </w:r>
      <w:r>
        <w:rPr>
          <w:rFonts w:hint="eastAsia" w:ascii="仿宋_GB2312" w:hAnsi="宋体" w:eastAsia="仿宋_GB2312"/>
          <w:color w:val="000000" w:themeColor="text1"/>
          <w:sz w:val="32"/>
          <w:szCs w:val="32"/>
          <w:lang w:val="zh-CN"/>
          <w14:textFill>
            <w14:solidFill>
              <w14:schemeClr w14:val="tx1"/>
            </w14:solidFill>
          </w14:textFill>
        </w:rPr>
        <w:t>医疗照顾费用审核准确率</w:t>
      </w:r>
      <w:r>
        <w:rPr>
          <w:rFonts w:hint="eastAsia" w:ascii="仿宋_GB2312" w:hAnsi="宋体" w:eastAsia="仿宋_GB2312"/>
          <w:color w:val="000000" w:themeColor="text1"/>
          <w:sz w:val="32"/>
          <w:szCs w:val="32"/>
          <w14:textFill>
            <w14:solidFill>
              <w14:schemeClr w14:val="tx1"/>
            </w14:solidFill>
          </w14:textFill>
        </w:rPr>
        <w:t>在</w:t>
      </w:r>
      <w:r>
        <w:rPr>
          <w:rFonts w:hint="eastAsia" w:ascii="仿宋_GB2312" w:hAnsi="宋体" w:eastAsia="仿宋_GB2312"/>
          <w:color w:val="000000" w:themeColor="text1"/>
          <w:sz w:val="32"/>
          <w:szCs w:val="32"/>
          <w:lang w:val="zh-CN"/>
          <w14:textFill>
            <w14:solidFill>
              <w14:schemeClr w14:val="tx1"/>
            </w14:solidFill>
          </w14:textFill>
        </w:rPr>
        <w:t>98%</w:t>
      </w:r>
      <w:r>
        <w:rPr>
          <w:rFonts w:hint="eastAsia" w:ascii="仿宋_GB2312" w:hAnsi="宋体" w:eastAsia="仿宋_GB2312"/>
          <w:color w:val="000000" w:themeColor="text1"/>
          <w:sz w:val="32"/>
          <w:szCs w:val="32"/>
          <w14:textFill>
            <w14:solidFill>
              <w14:schemeClr w14:val="tx1"/>
            </w14:solidFill>
          </w14:textFill>
        </w:rPr>
        <w:t>以上。</w:t>
      </w:r>
    </w:p>
    <w:p>
      <w:pPr>
        <w:pStyle w:val="7"/>
        <w:tabs>
          <w:tab w:val="left" w:pos="2160"/>
        </w:tabs>
        <w:spacing w:before="98" w:line="576" w:lineRule="exact"/>
        <w:ind w:firstLine="640" w:firstLineChars="200"/>
        <w:rPr>
          <w:rFonts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四、评价结论</w:t>
      </w:r>
    </w:p>
    <w:p>
      <w:pPr>
        <w:adjustRightInd w:val="0"/>
        <w:spacing w:line="576" w:lineRule="exact"/>
        <w:ind w:firstLine="616" w:firstLineChars="200"/>
        <w:rPr>
          <w:rFonts w:ascii="仿宋_GB2312" w:hAnsi="宋体" w:eastAsia="仿宋_GB2312"/>
          <w:color w:val="000000" w:themeColor="text1"/>
          <w:spacing w:val="-6"/>
          <w:sz w:val="32"/>
          <w:szCs w:val="32"/>
          <w14:textFill>
            <w14:solidFill>
              <w14:schemeClr w14:val="tx1"/>
            </w14:solidFill>
          </w14:textFill>
        </w:rPr>
      </w:pPr>
      <w:r>
        <w:rPr>
          <w:rFonts w:hint="eastAsia" w:ascii="仿宋_GB2312" w:hAnsi="宋体" w:eastAsia="仿宋_GB2312"/>
          <w:color w:val="000000" w:themeColor="text1"/>
          <w:spacing w:val="-6"/>
          <w:sz w:val="32"/>
          <w:szCs w:val="32"/>
          <w14:textFill>
            <w14:solidFill>
              <w14:schemeClr w14:val="tx1"/>
            </w14:solidFill>
          </w14:textFill>
        </w:rPr>
        <w:t>通过项目实施，保障了企业军转干部及时享受医疗待遇，减轻了企业军转干部的经济压力和生活压力，既是对企业军转干部贡献价值的肯定，更是时代背景下的现实需求的满足。该项目得100分。</w:t>
      </w:r>
    </w:p>
    <w:p>
      <w:pPr>
        <w:pStyle w:val="7"/>
        <w:tabs>
          <w:tab w:val="left" w:pos="2160"/>
        </w:tabs>
        <w:spacing w:before="98" w:line="576" w:lineRule="exact"/>
        <w:ind w:firstLine="640" w:firstLineChars="200"/>
        <w:rPr>
          <w:rFonts w:ascii="黑体" w:hAnsi="宋体" w:eastAsia="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w:t>
      </w:r>
      <w:r>
        <w:rPr>
          <w:rFonts w:hint="eastAsia" w:ascii="黑体" w:hAnsi="宋体" w:eastAsia="黑体"/>
          <w:color w:val="000000" w:themeColor="text1"/>
          <w:sz w:val="32"/>
          <w:szCs w:val="32"/>
          <w14:textFill>
            <w14:solidFill>
              <w14:schemeClr w14:val="tx1"/>
            </w14:solidFill>
          </w14:textFill>
        </w:rPr>
        <w:t>存在主要问题</w:t>
      </w:r>
    </w:p>
    <w:p>
      <w:pPr>
        <w:pStyle w:val="7"/>
        <w:tabs>
          <w:tab w:val="left" w:pos="2160"/>
        </w:tabs>
        <w:spacing w:before="98" w:line="576" w:lineRule="exact"/>
        <w:ind w:firstLine="640" w:firstLineChars="200"/>
        <w:rPr>
          <w:rFonts w:hAnsi="仿宋_GB2312" w:cs="仿宋_GB2312"/>
          <w:color w:val="000000" w:themeColor="text1"/>
          <w:sz w:val="32"/>
          <w:szCs w:val="32"/>
          <w14:textFill>
            <w14:solidFill>
              <w14:schemeClr w14:val="tx1"/>
            </w14:solidFill>
          </w14:textFill>
        </w:rPr>
      </w:pPr>
      <w:r>
        <w:rPr>
          <w:rFonts w:hint="eastAsia" w:hAnsi="仿宋_GB2312" w:cs="仿宋_GB2312"/>
          <w:color w:val="000000" w:themeColor="text1"/>
          <w:sz w:val="32"/>
          <w:szCs w:val="32"/>
          <w14:textFill>
            <w14:solidFill>
              <w14:schemeClr w14:val="tx1"/>
            </w14:solidFill>
          </w14:textFill>
        </w:rPr>
        <w:t>无。</w:t>
      </w:r>
    </w:p>
    <w:p>
      <w:pPr>
        <w:pStyle w:val="7"/>
        <w:tabs>
          <w:tab w:val="left" w:pos="2160"/>
        </w:tabs>
        <w:spacing w:before="98" w:line="576" w:lineRule="exact"/>
        <w:ind w:firstLine="640" w:firstLineChars="200"/>
        <w:rPr>
          <w:rFonts w:ascii="黑体" w:hAnsi="宋体" w:eastAsia="黑体"/>
          <w:color w:val="000000" w:themeColor="text1"/>
          <w:position w:val="3"/>
          <w:sz w:val="32"/>
          <w:szCs w:val="32"/>
          <w:lang w:val="zh-CN"/>
          <w14:textFill>
            <w14:solidFill>
              <w14:schemeClr w14:val="tx1"/>
            </w14:solidFill>
          </w14:textFill>
        </w:rPr>
      </w:pPr>
      <w:r>
        <w:rPr>
          <w:rFonts w:hint="eastAsia" w:ascii="黑体" w:hAnsi="宋体" w:eastAsia="黑体"/>
          <w:color w:val="000000" w:themeColor="text1"/>
          <w:position w:val="3"/>
          <w:sz w:val="32"/>
          <w:szCs w:val="32"/>
          <w:lang w:val="zh-CN"/>
          <w14:textFill>
            <w14:solidFill>
              <w14:schemeClr w14:val="tx1"/>
            </w14:solidFill>
          </w14:textFill>
        </w:rPr>
        <w:t>六、改进建议</w:t>
      </w:r>
    </w:p>
    <w:p>
      <w:pPr>
        <w:pStyle w:val="7"/>
        <w:tabs>
          <w:tab w:val="left" w:pos="2160"/>
        </w:tabs>
        <w:spacing w:before="98" w:line="576" w:lineRule="exact"/>
        <w:ind w:firstLine="640" w:firstLineChars="200"/>
        <w:rPr>
          <w:rFonts w:ascii="黑体" w:hAnsi="黑体" w:eastAsia="黑体" w:cs="黑体"/>
          <w:color w:val="000000" w:themeColor="text1"/>
          <w:kern w:val="0"/>
          <w:sz w:val="32"/>
          <w:szCs w:val="32"/>
          <w:shd w:val="clear" w:color="auto" w:fill="FFFFFF"/>
          <w:lang w:val="zh-CN"/>
          <w14:textFill>
            <w14:solidFill>
              <w14:schemeClr w14:val="tx1"/>
            </w14:solidFill>
          </w14:textFill>
        </w:rPr>
        <w:sectPr>
          <w:pgSz w:w="11906" w:h="16838"/>
          <w:pgMar w:top="2098" w:right="1474" w:bottom="1984" w:left="1587" w:header="851" w:footer="1417" w:gutter="0"/>
          <w:cols w:space="0" w:num="1"/>
          <w:rtlGutter w:val="0"/>
          <w:docGrid w:type="lines" w:linePitch="319" w:charSpace="0"/>
        </w:sectPr>
      </w:pPr>
      <w:r>
        <w:rPr>
          <w:rFonts w:hint="eastAsia" w:hAnsi="仿宋_GB2312" w:cs="仿宋_GB2312"/>
          <w:color w:val="000000" w:themeColor="text1"/>
          <w:sz w:val="32"/>
          <w:szCs w:val="32"/>
          <w14:textFill>
            <w14:solidFill>
              <w14:schemeClr w14:val="tx1"/>
            </w14:solidFill>
          </w14:textFill>
        </w:rPr>
        <w:t>无。</w:t>
      </w:r>
      <w:r>
        <w:rPr>
          <w:rFonts w:hint="eastAsia" w:ascii="仿宋_GB2312" w:hAnsi="宋体" w:eastAsia="仿宋_GB2312"/>
          <w:color w:val="000000" w:themeColor="text1"/>
          <w:sz w:val="32"/>
          <w:szCs w:val="32"/>
          <w:lang w:val="zh-CN"/>
          <w14:textFill>
            <w14:solidFill>
              <w14:schemeClr w14:val="tx1"/>
            </w14:solidFill>
          </w14:textFill>
        </w:rPr>
        <w:br w:type="page"/>
      </w:r>
    </w:p>
    <w:p>
      <w:pPr>
        <w:spacing w:line="500" w:lineRule="exact"/>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附件</w:t>
      </w:r>
      <w:r>
        <w:rPr>
          <w:rFonts w:ascii="黑体" w:hAnsi="黑体" w:eastAsia="黑体" w:cs="黑体"/>
          <w:color w:val="000000" w:themeColor="text1"/>
          <w:sz w:val="32"/>
          <w:szCs w:val="32"/>
          <w14:textFill>
            <w14:solidFill>
              <w14:schemeClr w14:val="tx1"/>
            </w14:solidFill>
          </w14:textFill>
        </w:rPr>
        <w:t>2-6</w:t>
      </w:r>
    </w:p>
    <w:p>
      <w:pPr>
        <w:pStyle w:val="41"/>
        <w:spacing w:line="578" w:lineRule="exact"/>
        <w:ind w:firstLine="440" w:firstLineChars="100"/>
        <w:jc w:val="cente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pPr>
    </w:p>
    <w:p>
      <w:pPr>
        <w:spacing w:line="640" w:lineRule="exact"/>
        <w:jc w:val="center"/>
        <w:rPr>
          <w:rFonts w:asci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eastAsia="方正小标宋简体" w:cs="方正小标宋简体"/>
          <w:color w:val="000000" w:themeColor="text1"/>
          <w:sz w:val="44"/>
          <w:szCs w:val="44"/>
          <w14:textFill>
            <w14:solidFill>
              <w14:schemeClr w14:val="tx1"/>
            </w14:solidFill>
          </w14:textFill>
        </w:rPr>
        <w:t>2023年专项预算项目绩效评价报告</w:t>
      </w:r>
    </w:p>
    <w:p>
      <w:pPr>
        <w:adjustRightInd w:val="0"/>
        <w:snapToGrid w:val="0"/>
        <w:spacing w:line="640" w:lineRule="exact"/>
        <w:jc w:val="center"/>
        <w:rPr>
          <w:rFonts w:ascii="方正楷体简体" w:hAnsi="方正楷体简体" w:eastAsia="方正楷体简体" w:cs="方正楷体简体"/>
          <w:color w:val="000000" w:themeColor="text1"/>
          <w:sz w:val="32"/>
          <w:szCs w:val="32"/>
          <w14:textFill>
            <w14:solidFill>
              <w14:schemeClr w14:val="tx1"/>
            </w14:solidFill>
          </w14:textFill>
        </w:rPr>
      </w:pPr>
      <w:r>
        <w:rPr>
          <w:rFonts w:hint="eastAsia" w:ascii="方正楷体简体" w:hAnsi="方正楷体简体" w:eastAsia="方正楷体简体" w:cs="方正楷体简体"/>
          <w:color w:val="000000" w:themeColor="text1"/>
          <w:sz w:val="32"/>
          <w:szCs w:val="32"/>
          <w14:textFill>
            <w14:solidFill>
              <w14:schemeClr w14:val="tx1"/>
            </w14:solidFill>
          </w14:textFill>
        </w:rPr>
        <w:t>（医疗服务与保障能力提升资金绩效的自评报告）</w:t>
      </w:r>
    </w:p>
    <w:p>
      <w:pPr>
        <w:pStyle w:val="19"/>
        <w:spacing w:after="0" w:line="440" w:lineRule="exact"/>
        <w:ind w:left="0" w:leftChars="0" w:firstLine="0" w:firstLineChars="0"/>
        <w:rPr>
          <w:rFonts w:hAnsi="黑体" w:eastAsia="仿宋_GB2312" w:cs="宋体"/>
          <w:color w:val="000000" w:themeColor="text1"/>
          <w:sz w:val="32"/>
          <w14:textFill>
            <w14:solidFill>
              <w14:schemeClr w14:val="tx1"/>
            </w14:solidFill>
          </w14:textFill>
        </w:rPr>
      </w:pPr>
    </w:p>
    <w:p>
      <w:pPr>
        <w:pStyle w:val="19"/>
        <w:keepNext w:val="0"/>
        <w:keepLines w:val="0"/>
        <w:pageBreakBefore w:val="0"/>
        <w:widowControl w:val="0"/>
        <w:kinsoku/>
        <w:wordWrap/>
        <w:overflowPunct/>
        <w:autoSpaceDE/>
        <w:autoSpaceDN/>
        <w:bidi w:val="0"/>
        <w:spacing w:after="0" w:line="576" w:lineRule="exact"/>
        <w:ind w:left="0" w:leftChars="0" w:firstLine="640"/>
        <w:textAlignment w:val="auto"/>
        <w:rPr>
          <w:rFonts w:hAnsi="黑体" w:eastAsia="仿宋_GB2312" w:cs="宋体"/>
          <w:color w:val="000000" w:themeColor="text1"/>
          <w:sz w:val="32"/>
          <w14:textFill>
            <w14:solidFill>
              <w14:schemeClr w14:val="tx1"/>
            </w14:solidFill>
          </w14:textFill>
        </w:rPr>
      </w:pPr>
      <w:r>
        <w:rPr>
          <w:rFonts w:hint="eastAsia" w:hAnsi="黑体" w:eastAsia="仿宋_GB2312" w:cs="宋体"/>
          <w:color w:val="000000" w:themeColor="text1"/>
          <w:sz w:val="32"/>
          <w14:textFill>
            <w14:solidFill>
              <w14:schemeClr w14:val="tx1"/>
            </w14:solidFill>
          </w14:textFill>
        </w:rPr>
        <w:t>根据四川省医疗保障局《关于报送医保转移支付资金绩效自评报告的通知》，我局高度重视，组织专人对2023年全市医疗服务与保障能力提升</w:t>
      </w:r>
      <w:r>
        <w:rPr>
          <w:rFonts w:hint="eastAsia" w:hAnsi="宋体" w:eastAsia="仿宋_GB2312"/>
          <w:color w:val="000000" w:themeColor="text1"/>
          <w:sz w:val="32"/>
          <w14:textFill>
            <w14:solidFill>
              <w14:schemeClr w14:val="tx1"/>
            </w14:solidFill>
          </w14:textFill>
        </w:rPr>
        <w:t>专项资金</w:t>
      </w:r>
      <w:r>
        <w:rPr>
          <w:rFonts w:hint="eastAsia" w:hAnsi="黑体" w:eastAsia="仿宋_GB2312" w:cs="宋体"/>
          <w:color w:val="000000" w:themeColor="text1"/>
          <w:sz w:val="32"/>
          <w14:textFill>
            <w14:solidFill>
              <w14:schemeClr w14:val="tx1"/>
            </w14:solidFill>
          </w14:textFill>
        </w:rPr>
        <w:t>进行全面分析和自评工作，现将该项目资金自评情况报告如下。</w:t>
      </w:r>
    </w:p>
    <w:p>
      <w:pPr>
        <w:keepNext w:val="0"/>
        <w:keepLines w:val="0"/>
        <w:pageBreakBefore w:val="0"/>
        <w:widowControl w:val="0"/>
        <w:kinsoku/>
        <w:wordWrap/>
        <w:overflowPunct/>
        <w:autoSpaceDE/>
        <w:autoSpaceDN/>
        <w:bidi w:val="0"/>
        <w:spacing w:line="576" w:lineRule="exact"/>
        <w:ind w:firstLine="640" w:firstLineChars="200"/>
        <w:textAlignment w:val="auto"/>
        <w:rPr>
          <w:rFonts w:ascii="黑体" w:hAnsi="黑体" w:eastAsia="黑体" w:cs="仿宋_GB2312"/>
          <w:color w:val="000000" w:themeColor="text1"/>
          <w:sz w:val="32"/>
          <w:szCs w:val="32"/>
          <w14:textFill>
            <w14:solidFill>
              <w14:schemeClr w14:val="tx1"/>
            </w14:solidFill>
          </w14:textFill>
        </w:rPr>
      </w:pPr>
      <w:r>
        <w:rPr>
          <w:rFonts w:hint="eastAsia" w:ascii="黑体" w:hAnsi="黑体" w:eastAsia="黑体" w:cs="仿宋_GB2312"/>
          <w:color w:val="000000" w:themeColor="text1"/>
          <w:sz w:val="32"/>
          <w:szCs w:val="32"/>
          <w14:textFill>
            <w14:solidFill>
              <w14:schemeClr w14:val="tx1"/>
            </w14:solidFill>
          </w14:textFill>
        </w:rPr>
        <w:t>一、绩效目标分解下达情况</w:t>
      </w:r>
    </w:p>
    <w:p>
      <w:pPr>
        <w:keepNext w:val="0"/>
        <w:keepLines w:val="0"/>
        <w:pageBreakBefore w:val="0"/>
        <w:widowControl w:val="0"/>
        <w:kinsoku/>
        <w:wordWrap/>
        <w:overflowPunct/>
        <w:autoSpaceDE/>
        <w:autoSpaceDN/>
        <w:bidi w:val="0"/>
        <w:spacing w:line="576" w:lineRule="exact"/>
        <w:ind w:firstLine="664" w:firstLineChars="200"/>
        <w:textAlignment w:val="auto"/>
        <w:rPr>
          <w:rFonts w:ascii="仿宋_GB2312" w:eastAsia="仿宋_GB2312" w:cs="仿宋_GB2312"/>
          <w:color w:val="000000" w:themeColor="text1"/>
          <w:spacing w:val="6"/>
          <w:sz w:val="32"/>
          <w:szCs w:val="32"/>
          <w14:textFill>
            <w14:solidFill>
              <w14:schemeClr w14:val="tx1"/>
            </w14:solidFill>
          </w14:textFill>
        </w:rPr>
      </w:pPr>
      <w:r>
        <w:rPr>
          <w:rFonts w:hint="eastAsia" w:ascii="仿宋_GB2312" w:eastAsia="仿宋_GB2312" w:cs="仿宋_GB2312"/>
          <w:color w:val="000000" w:themeColor="text1"/>
          <w:spacing w:val="6"/>
          <w:sz w:val="32"/>
          <w:szCs w:val="32"/>
          <w14:textFill>
            <w14:solidFill>
              <w14:schemeClr w14:val="tx1"/>
            </w14:solidFill>
          </w14:textFill>
        </w:rPr>
        <w:t>根据《四川省财政厅 四川省医疗保障局关于提前下达2023年中央财政医疗服务与保障能力提升补助资金预算的通知》(川财社〔2022〕177号)《四川省财政厅 四川省医疗保障局关于下达2023年中央财政医疗服务与保障能力中央财政补助资金（医疗保障服务能力建设部分）预算的通知》(川财社〔2023〕61号)，下达我市2023年医疗服务与保障能力提升资金674万元，主要用于医保信息建设、打击欺诈骗保、医保政策宣传、推进医保支付方式改革和提升经办服务能力方面，其中市本级分配464万元，苍溪县33万元、旺苍县31万元、剑阁县34万元、青川县26万元、利州区30万元、昭化区26万元、朝天区30万元。</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根据各县（区）上报的绩效目标，结合我市实际，制定了我市绩效目标表，有效提升综合监管、宣传引导、经办服务、信息化建设、人才队伍建设等医疗保障服务能力。</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黑体" w:hAnsi="黑体" w:eastAsia="黑体" w:cs="仿宋_GB2312"/>
          <w:color w:val="000000" w:themeColor="text1"/>
          <w:sz w:val="32"/>
          <w:szCs w:val="32"/>
          <w14:textFill>
            <w14:solidFill>
              <w14:schemeClr w14:val="tx1"/>
            </w14:solidFill>
          </w14:textFill>
        </w:rPr>
      </w:pPr>
      <w:r>
        <w:rPr>
          <w:rFonts w:hint="eastAsia" w:ascii="黑体" w:hAnsi="黑体" w:eastAsia="黑体" w:cs="仿宋_GB2312"/>
          <w:color w:val="000000" w:themeColor="text1"/>
          <w:sz w:val="32"/>
          <w:szCs w:val="32"/>
          <w14:textFill>
            <w14:solidFill>
              <w14:schemeClr w14:val="tx1"/>
            </w14:solidFill>
          </w14:textFill>
        </w:rPr>
        <w:t>二、绩效目标完成情况分析</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方正楷体简体" w:eastAsia="方正楷体简体" w:cs="仿宋_GB2312"/>
          <w:color w:val="000000" w:themeColor="text1"/>
          <w:sz w:val="32"/>
          <w:szCs w:val="32"/>
          <w14:textFill>
            <w14:solidFill>
              <w14:schemeClr w14:val="tx1"/>
            </w14:solidFill>
          </w14:textFill>
        </w:rPr>
      </w:pPr>
      <w:r>
        <w:rPr>
          <w:rFonts w:hint="eastAsia" w:ascii="方正楷体简体" w:eastAsia="方正楷体简体" w:cs="仿宋_GB2312"/>
          <w:color w:val="000000" w:themeColor="text1"/>
          <w:sz w:val="32"/>
          <w:szCs w:val="32"/>
          <w14:textFill>
            <w14:solidFill>
              <w14:schemeClr w14:val="tx1"/>
            </w14:solidFill>
          </w14:textFill>
        </w:rPr>
        <w:t>（一）资金投入情况分析</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项目资金到位情况</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市医保局根据省级下拨文件，及时联合市财政将中央转移支付资金分配下达至市本级及各县（区），674万元中央补助资金全部到位，到位率100%。</w:t>
      </w:r>
    </w:p>
    <w:p>
      <w:pPr>
        <w:keepNext w:val="0"/>
        <w:keepLines w:val="0"/>
        <w:pageBreakBefore w:val="0"/>
        <w:widowControl w:val="0"/>
        <w:numPr>
          <w:ilvl w:val="0"/>
          <w:numId w:val="8"/>
        </w:numPr>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项目资金执行情况</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2023年医疗服务与保障能力提升中央财政补助资金（医疗保障服务能力提升部分）与以前年度该项目结转结余资金统筹使用，共计1014.76万元，主要用于医保信息化、基金监管和支付方式改革、经办服务体系建设等方面，保障信息数据回流共享区建设，确保医保经办服务体系建设、国家信息平台上线示范点建设、医保移动支付等省级改革试点工作顺利开展，有效提升综合监管、经办服务、信息化建设、人才队伍建设等医疗保障服务能力。2023年我市医保能力提升补助资金总支出883.13万元，预算执行率为87.03%，其中：当年下拨补助资金674万元，执行553.8万元，预算执行率为82.17%。</w:t>
      </w:r>
    </w:p>
    <w:p>
      <w:pPr>
        <w:keepNext w:val="0"/>
        <w:keepLines w:val="0"/>
        <w:pageBreakBefore w:val="0"/>
        <w:widowControl w:val="0"/>
        <w:numPr>
          <w:ilvl w:val="0"/>
          <w:numId w:val="8"/>
        </w:numPr>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项目资金管理情况</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（1）资金分配情况</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我市在分配下达医疗服务与保障能力提升补助（医疗保障能力建设部分）资金时，市本级使用的资金实行项目法分配，补助县（区）资金实行因素法分配。主要因素：基本医疗保险参保人数、2022年医疗服务与保障能力提升补助资金执行率、以及2022年县（区）综合考核排名等，资金分配方案符合相关文件要求，分配方法、支出内容符合《四川省医疗服务与保障能力提升补助资金管理办法》，资金分配与绩效评价结果挂钩。</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（2）资金下达拨付情况</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我市根据川财社〔2022〕177号、川财社〔2023〕61号文件，及时将拟分配方案报市财政局同意并经局党组会议集体决策通过后，分别以广财社〔2023〕44号、广财社〔2023〕121号文件将中央转移支付资金分配下达至市本级及7个县（区），下达预算指标的同时明确绩效目标，程序合规完整。因川财社〔2022〕177号文件我市收到时间较晚，且又遇春节长假，故未达到收到资金30日内分配下达的要求。下一步我市将严格按照要求及时下拨资金。</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（3）资金使用情况</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我市各级医疗保障部门严格按照《四川省医疗服务与保障能力提升补助资金管理办法》管理和使用医疗保障服务能力提升补助资金，所有资金全部纳入同级财政预算管理，严格按照财务管理的规定，履行审批程序，做到手续完整，未发生截留、挤占、挪用、虚列支出等问题。</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（4）资金执行情况</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我市医疗服务与保障能力提升补助（医疗保障能力建设部分）资金当年预算执行率为82.17%。</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（5）资金预算绩效管理情况</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我市在分配下达医疗服务与保障能力提升补助（医疗保障能力建设部分）资金时，同步下达绩效目标，绩效目标设置科学，明确产出指标、满意度指标等绩效指标要求。安排专人负责预算绩效管理工作，对医疗服务与保障能力提升补助（医疗保障能力建设部分）资金全面实施绩效管理，绩效指标细化明确，绩效运行监控有力，评价报告规范完整，评价结果应用及时。</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（6）资金支出责任履行情况</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严格实行资金支付审批手续，定期跟踪预算执行进度，将执行情况纳入局务会、党组会进行通报，提升了医疗服务与保障能力提升补助资金的使用效益。</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方正楷体简体" w:eastAsia="方正楷体简体" w:cs="仿宋_GB2312"/>
          <w:color w:val="000000" w:themeColor="text1"/>
          <w:sz w:val="32"/>
          <w:szCs w:val="32"/>
          <w14:textFill>
            <w14:solidFill>
              <w14:schemeClr w14:val="tx1"/>
            </w14:solidFill>
          </w14:textFill>
        </w:rPr>
      </w:pPr>
      <w:r>
        <w:rPr>
          <w:rFonts w:hint="eastAsia" w:ascii="方正楷体简体" w:eastAsia="方正楷体简体" w:cs="仿宋_GB2312"/>
          <w:color w:val="000000" w:themeColor="text1"/>
          <w:sz w:val="32"/>
          <w:szCs w:val="32"/>
          <w14:textFill>
            <w14:solidFill>
              <w14:schemeClr w14:val="tx1"/>
            </w14:solidFill>
          </w14:textFill>
        </w:rPr>
        <w:t>（二）总体绩效目标完成情况</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2023年全市医保业务信息化水平不断提升，医保骨干网安全运行，完成医保数据共享服务区广元专区建设，促进市级医保数据共享；拓展医保线上服务渠道，医保码激活率、结算率均位居全省前列；移动支付成效明显。深入推进医保支付方式改革。2023年我市统一DRG付费费率，实现了全市一个总额控制下的DRG付费，推动支付方式改革向纵深发展；多方式全覆盖开展医保基金监管，提升了医保基金监管能力；开展全市经办机构内控检查评估，推进各级经办大厅、医保窗口标准化规范化建设，在川内率先推进医保服务市区同城一体化办理；宣传引导、人才队伍建设等医疗保障服务能力明显提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方正楷体简体" w:eastAsia="方正楷体简体" w:cs="仿宋_GB2312"/>
          <w:color w:val="000000" w:themeColor="text1"/>
          <w:sz w:val="32"/>
          <w:szCs w:val="32"/>
          <w14:textFill>
            <w14:solidFill>
              <w14:schemeClr w14:val="tx1"/>
            </w14:solidFill>
          </w14:textFill>
        </w:rPr>
      </w:pPr>
      <w:r>
        <w:rPr>
          <w:rFonts w:hint="eastAsia" w:ascii="方正楷体简体" w:eastAsia="方正楷体简体" w:cs="仿宋_GB2312"/>
          <w:color w:val="000000" w:themeColor="text1"/>
          <w:sz w:val="32"/>
          <w:szCs w:val="32"/>
          <w14:textFill>
            <w14:solidFill>
              <w14:schemeClr w14:val="tx1"/>
            </w14:solidFill>
          </w14:textFill>
        </w:rPr>
        <w:t>（三）绩效指标完成情况分析</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数量指标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村（社区）提供医保办理或帮办代办服务的覆盖率。2023年我市医保业务村（社区）提供医保办理或帮办代办服务的覆盖率为100%，下沉医保服务事项到乡镇18项、村（社区）11项，实现村（社区）医保业务由帮办代办向“村能办”“家门办”转变。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（2）</w:t>
      </w:r>
      <w:r>
        <w:rPr>
          <w:rFonts w:hint="eastAsia" w:ascii="仿宋_GB2312" w:eastAsia="仿宋_GB2312" w:cs="仿宋_GB2312"/>
          <w:color w:val="000000" w:themeColor="text1"/>
          <w:spacing w:val="6"/>
          <w:sz w:val="32"/>
          <w:szCs w:val="32"/>
          <w14:textFill>
            <w14:solidFill>
              <w14:schemeClr w14:val="tx1"/>
            </w14:solidFill>
          </w14:textFill>
        </w:rPr>
        <w:t>参加国家、省或开展全市医保系统法治培训。2023年我局积极组织人员参加国家医疗保障法治专题培训、全省医保系统宪法专题培训，并组织全市开展医保政策培训、医药服务管理培训，对医保主要政策及相关法律法规进行了讲解。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（3）每个县（区）范围内开通门诊慢特病相关治疗费用跨省联网定点医疗机构数。我市共开通门诊慢特病相关治疗费用跨省联网定点医疗机构25个，每个县（区）开通个数均大于1个。实现绩效目标。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（4）医保基金结算清单上传率。我市医保基金结算清单上传率为94%。实现绩效目标。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（5）医保电子凭证激活率。2023年我市医保电子凭证激活率为93.06%。实现绩效目标。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（6）电子凭证月结算比数占比。2023年我市电子凭证结算率为5</w:t>
      </w:r>
      <w:r>
        <w:rPr>
          <w:rFonts w:ascii="仿宋_GB2312" w:eastAsia="仿宋_GB2312" w:cs="仿宋_GB2312"/>
          <w:color w:val="000000" w:themeColor="text1"/>
          <w:sz w:val="32"/>
          <w:szCs w:val="32"/>
          <w14:textFill>
            <w14:solidFill>
              <w14:schemeClr w14:val="tx1"/>
            </w14:solidFill>
          </w14:textFill>
        </w:rPr>
        <w:t>6.16</w:t>
      </w:r>
      <w:r>
        <w:rPr>
          <w:rFonts w:hint="eastAsia" w:ascii="仿宋_GB2312" w:eastAsia="仿宋_GB2312" w:cs="仿宋_GB2312"/>
          <w:color w:val="000000" w:themeColor="text1"/>
          <w:sz w:val="32"/>
          <w:szCs w:val="32"/>
          <w14:textFill>
            <w14:solidFill>
              <w14:schemeClr w14:val="tx1"/>
            </w14:solidFill>
          </w14:textFill>
        </w:rPr>
        <w:t>%。实现绩效目标。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（7）移动支付结算笔数占比。我市移动支付结算笔数占比3.33%。未完全实现绩效目标。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pacing w:val="-6"/>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（8）</w:t>
      </w:r>
      <w:r>
        <w:rPr>
          <w:rFonts w:hint="eastAsia" w:ascii="仿宋_GB2312" w:eastAsia="仿宋_GB2312" w:cs="仿宋_GB2312"/>
          <w:color w:val="000000" w:themeColor="text1"/>
          <w:spacing w:val="6"/>
          <w:sz w:val="32"/>
          <w:szCs w:val="32"/>
          <w14:textFill>
            <w14:solidFill>
              <w14:schemeClr w14:val="tx1"/>
            </w14:solidFill>
          </w14:textFill>
        </w:rPr>
        <w:t>提升公立医疗机构平台采购药品耗材比例。我市公立医疗机构通过省药械集中采购及医药价格监管平台采购药品(不含中药饮片)金额占全部采购药品金额的85%以上，采购高值医用耗材金额占全部高值医用耗材金额的75%以上。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pacing w:val="6"/>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（9）</w:t>
      </w:r>
      <w:r>
        <w:rPr>
          <w:rFonts w:hint="eastAsia" w:ascii="仿宋_GB2312" w:eastAsia="仿宋_GB2312" w:cs="仿宋_GB2312"/>
          <w:color w:val="000000" w:themeColor="text1"/>
          <w:spacing w:val="6"/>
          <w:sz w:val="32"/>
          <w:szCs w:val="32"/>
          <w14:textFill>
            <w14:solidFill>
              <w14:schemeClr w14:val="tx1"/>
            </w14:solidFill>
          </w14:textFill>
        </w:rPr>
        <w:t>国谈药等相关药品落地及统计监测情况。国谈药品落地数据和其他医保药品监测数据报送及时率为100%。实现绩效目标。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10）开展全市定点医疗机构检查。2023年全市共查处违规医药机构1451家，追回资金7927.24万元，规范行政执法行为，开展行政处罚193家，做好行刑衔接工作，向司法部门移交线索3件，向法院申请执行1人。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（11）提能培训人次。2023</w:t>
      </w:r>
      <w:r>
        <w:rPr>
          <w:rFonts w:hint="eastAsia" w:ascii="仿宋_GB2312" w:eastAsia="仿宋_GB2312" w:cs="仿宋_GB2312"/>
          <w:color w:val="000000" w:themeColor="text1"/>
          <w:sz w:val="32"/>
          <w:szCs w:val="32"/>
          <w:lang w:val="zh-TW" w:eastAsia="zh-TW"/>
          <w14:textFill>
            <w14:solidFill>
              <w14:schemeClr w14:val="tx1"/>
            </w14:solidFill>
          </w14:textFill>
        </w:rPr>
        <w:t>年全市医保系统以</w:t>
      </w:r>
      <w:r>
        <w:rPr>
          <w:rFonts w:hint="eastAsia" w:ascii="仿宋_GB2312" w:eastAsia="仿宋_GB2312" w:cs="仿宋_GB2312"/>
          <w:color w:val="000000" w:themeColor="text1"/>
          <w:sz w:val="32"/>
          <w:szCs w:val="32"/>
          <w14:textFill>
            <w14:solidFill>
              <w14:schemeClr w14:val="tx1"/>
            </w14:solidFill>
          </w14:textFill>
        </w:rPr>
        <w:t>“</w:t>
      </w:r>
      <w:r>
        <w:rPr>
          <w:rFonts w:hint="eastAsia" w:ascii="仿宋_GB2312" w:eastAsia="仿宋_GB2312" w:cs="仿宋_GB2312"/>
          <w:color w:val="000000" w:themeColor="text1"/>
          <w:sz w:val="32"/>
          <w:szCs w:val="32"/>
          <w:lang w:val="zh-TW" w:eastAsia="zh-TW"/>
          <w14:textFill>
            <w14:solidFill>
              <w14:schemeClr w14:val="tx1"/>
            </w14:solidFill>
          </w14:textFill>
        </w:rPr>
        <w:t>模范六型机关</w:t>
      </w:r>
      <w:r>
        <w:rPr>
          <w:rFonts w:hint="eastAsia" w:ascii="仿宋_GB2312" w:eastAsia="仿宋_GB2312" w:cs="仿宋_GB2312"/>
          <w:color w:val="000000" w:themeColor="text1"/>
          <w:sz w:val="32"/>
          <w:szCs w:val="32"/>
          <w14:textFill>
            <w14:solidFill>
              <w14:schemeClr w14:val="tx1"/>
            </w14:solidFill>
          </w14:textFill>
        </w:rPr>
        <w:t>”</w:t>
      </w:r>
      <w:r>
        <w:rPr>
          <w:rFonts w:hint="eastAsia" w:ascii="仿宋_GB2312" w:eastAsia="仿宋_GB2312" w:cs="仿宋_GB2312"/>
          <w:color w:val="000000" w:themeColor="text1"/>
          <w:sz w:val="32"/>
          <w:szCs w:val="32"/>
          <w:lang w:val="zh-TW" w:eastAsia="zh-TW"/>
          <w14:textFill>
            <w14:solidFill>
              <w14:schemeClr w14:val="tx1"/>
            </w14:solidFill>
          </w14:textFill>
        </w:rPr>
        <w:t>建设为目标，扎实开展干部</w:t>
      </w:r>
      <w:r>
        <w:rPr>
          <w:rFonts w:hint="eastAsia" w:ascii="仿宋_GB2312" w:eastAsia="仿宋_GB2312" w:cs="仿宋_GB2312"/>
          <w:color w:val="000000" w:themeColor="text1"/>
          <w:sz w:val="32"/>
          <w:szCs w:val="32"/>
          <w14:textFill>
            <w14:solidFill>
              <w14:schemeClr w14:val="tx1"/>
            </w14:solidFill>
          </w14:textFill>
        </w:rPr>
        <w:t>“</w:t>
      </w:r>
      <w:r>
        <w:rPr>
          <w:rFonts w:hint="eastAsia" w:ascii="仿宋_GB2312" w:eastAsia="仿宋_GB2312" w:cs="仿宋_GB2312"/>
          <w:color w:val="000000" w:themeColor="text1"/>
          <w:sz w:val="32"/>
          <w:szCs w:val="32"/>
          <w:lang w:val="zh-TW" w:eastAsia="zh-TW"/>
          <w14:textFill>
            <w14:solidFill>
              <w14:schemeClr w14:val="tx1"/>
            </w14:solidFill>
          </w14:textFill>
        </w:rPr>
        <w:t>五大能力提升</w:t>
      </w:r>
      <w:r>
        <w:rPr>
          <w:rFonts w:hint="eastAsia" w:ascii="仿宋_GB2312" w:eastAsia="仿宋_GB2312" w:cs="仿宋_GB2312"/>
          <w:color w:val="000000" w:themeColor="text1"/>
          <w:sz w:val="32"/>
          <w:szCs w:val="32"/>
          <w14:textFill>
            <w14:solidFill>
              <w14:schemeClr w14:val="tx1"/>
            </w14:solidFill>
          </w14:textFill>
        </w:rPr>
        <w:t>”</w:t>
      </w:r>
      <w:r>
        <w:rPr>
          <w:rFonts w:hint="eastAsia" w:ascii="仿宋_GB2312" w:eastAsia="仿宋_GB2312" w:cs="仿宋_GB2312"/>
          <w:color w:val="000000" w:themeColor="text1"/>
          <w:sz w:val="32"/>
          <w:szCs w:val="32"/>
          <w:lang w:val="zh-TW" w:eastAsia="zh-TW"/>
          <w14:textFill>
            <w14:solidFill>
              <w14:schemeClr w14:val="tx1"/>
            </w14:solidFill>
          </w14:textFill>
        </w:rPr>
        <w:t>工程，推进干部能力建设，为新时期医疗保障高质量发展提供坚实人才保障。全年共开展业务提能培训</w:t>
      </w:r>
      <w:r>
        <w:rPr>
          <w:rFonts w:hint="eastAsia" w:ascii="仿宋_GB2312" w:eastAsia="仿宋_GB2312" w:cs="仿宋_GB2312"/>
          <w:color w:val="000000" w:themeColor="text1"/>
          <w:sz w:val="32"/>
          <w:szCs w:val="32"/>
          <w14:textFill>
            <w14:solidFill>
              <w14:schemeClr w14:val="tx1"/>
            </w14:solidFill>
          </w14:textFill>
        </w:rPr>
        <w:t>17</w:t>
      </w:r>
      <w:r>
        <w:rPr>
          <w:rFonts w:hint="eastAsia" w:ascii="仿宋_GB2312" w:eastAsia="仿宋_GB2312" w:cs="仿宋_GB2312"/>
          <w:color w:val="000000" w:themeColor="text1"/>
          <w:sz w:val="32"/>
          <w:szCs w:val="32"/>
          <w:lang w:val="zh-TW" w:eastAsia="zh-TW"/>
          <w14:textFill>
            <w14:solidFill>
              <w14:schemeClr w14:val="tx1"/>
            </w14:solidFill>
          </w14:textFill>
        </w:rPr>
        <w:t>场</w:t>
      </w:r>
      <w:r>
        <w:rPr>
          <w:rFonts w:hint="eastAsia" w:ascii="仿宋_GB2312" w:eastAsia="仿宋_GB2312" w:cs="仿宋_GB2312"/>
          <w:color w:val="000000" w:themeColor="text1"/>
          <w:sz w:val="32"/>
          <w:szCs w:val="32"/>
          <w14:textFill>
            <w14:solidFill>
              <w14:schemeClr w14:val="tx1"/>
            </w14:solidFill>
          </w14:textFill>
        </w:rPr>
        <w:t>1300</w:t>
      </w:r>
      <w:r>
        <w:rPr>
          <w:rFonts w:hint="eastAsia" w:ascii="仿宋_GB2312" w:eastAsia="仿宋_GB2312" w:cs="仿宋_GB2312"/>
          <w:color w:val="000000" w:themeColor="text1"/>
          <w:sz w:val="32"/>
          <w:szCs w:val="32"/>
          <w:lang w:val="zh-TW" w:eastAsia="zh-TW"/>
          <w14:textFill>
            <w14:solidFill>
              <w14:schemeClr w14:val="tx1"/>
            </w14:solidFill>
          </w14:textFill>
        </w:rPr>
        <w:t>余人次；开展练兵比武大赛</w:t>
      </w:r>
      <w:r>
        <w:rPr>
          <w:rFonts w:hint="eastAsia" w:ascii="仿宋_GB2312" w:eastAsia="仿宋_GB2312" w:cs="仿宋_GB2312"/>
          <w:color w:val="000000" w:themeColor="text1"/>
          <w:sz w:val="32"/>
          <w:szCs w:val="32"/>
          <w14:textFill>
            <w14:solidFill>
              <w14:schemeClr w14:val="tx1"/>
            </w14:solidFill>
          </w14:textFill>
        </w:rPr>
        <w:t>1</w:t>
      </w:r>
      <w:r>
        <w:rPr>
          <w:rFonts w:hint="eastAsia" w:ascii="仿宋_GB2312" w:eastAsia="仿宋_GB2312" w:cs="仿宋_GB2312"/>
          <w:color w:val="000000" w:themeColor="text1"/>
          <w:sz w:val="32"/>
          <w:szCs w:val="32"/>
          <w:lang w:val="zh-TW" w:eastAsia="zh-TW"/>
          <w14:textFill>
            <w14:solidFill>
              <w14:schemeClr w14:val="tx1"/>
            </w14:solidFill>
          </w14:textFill>
        </w:rPr>
        <w:t>次，评选团体奖</w:t>
      </w:r>
      <w:r>
        <w:rPr>
          <w:rFonts w:hint="eastAsia" w:ascii="仿宋_GB2312" w:eastAsia="仿宋_GB2312" w:cs="仿宋_GB2312"/>
          <w:color w:val="000000" w:themeColor="text1"/>
          <w:sz w:val="32"/>
          <w:szCs w:val="32"/>
          <w14:textFill>
            <w14:solidFill>
              <w14:schemeClr w14:val="tx1"/>
            </w14:solidFill>
          </w14:textFill>
        </w:rPr>
        <w:t>8</w:t>
      </w:r>
      <w:r>
        <w:rPr>
          <w:rFonts w:hint="eastAsia" w:ascii="仿宋_GB2312" w:eastAsia="仿宋_GB2312" w:cs="仿宋_GB2312"/>
          <w:color w:val="000000" w:themeColor="text1"/>
          <w:sz w:val="32"/>
          <w:szCs w:val="32"/>
          <w:lang w:val="zh-TW" w:eastAsia="zh-TW"/>
          <w14:textFill>
            <w14:solidFill>
              <w14:schemeClr w14:val="tx1"/>
            </w14:solidFill>
          </w14:textFill>
        </w:rPr>
        <w:t>个和个人奖</w:t>
      </w:r>
      <w:r>
        <w:rPr>
          <w:rFonts w:hint="eastAsia" w:ascii="仿宋_GB2312" w:eastAsia="仿宋_GB2312" w:cs="仿宋_GB2312"/>
          <w:color w:val="000000" w:themeColor="text1"/>
          <w:sz w:val="32"/>
          <w:szCs w:val="32"/>
          <w14:textFill>
            <w14:solidFill>
              <w14:schemeClr w14:val="tx1"/>
            </w14:solidFill>
          </w14:textFill>
        </w:rPr>
        <w:t>10</w:t>
      </w:r>
      <w:r>
        <w:rPr>
          <w:rFonts w:hint="eastAsia" w:ascii="仿宋_GB2312" w:eastAsia="仿宋_GB2312" w:cs="仿宋_GB2312"/>
          <w:color w:val="000000" w:themeColor="text1"/>
          <w:sz w:val="32"/>
          <w:szCs w:val="32"/>
          <w:lang w:val="zh-TW" w:eastAsia="zh-TW"/>
          <w14:textFill>
            <w14:solidFill>
              <w14:schemeClr w14:val="tx1"/>
            </w14:solidFill>
          </w14:textFill>
        </w:rPr>
        <w:t>个，并组建参赛队</w:t>
      </w:r>
      <w:r>
        <w:rPr>
          <w:rFonts w:hint="eastAsia" w:ascii="仿宋_GB2312" w:eastAsia="仿宋_GB2312" w:cs="仿宋_GB2312"/>
          <w:color w:val="000000" w:themeColor="text1"/>
          <w:sz w:val="32"/>
          <w:szCs w:val="32"/>
          <w14:textFill>
            <w14:solidFill>
              <w14:schemeClr w14:val="tx1"/>
            </w14:solidFill>
          </w14:textFill>
        </w:rPr>
        <w:t>1</w:t>
      </w:r>
      <w:r>
        <w:rPr>
          <w:rFonts w:hint="eastAsia" w:ascii="仿宋_GB2312" w:eastAsia="仿宋_GB2312" w:cs="仿宋_GB2312"/>
          <w:color w:val="000000" w:themeColor="text1"/>
          <w:sz w:val="32"/>
          <w:szCs w:val="32"/>
          <w:lang w:val="zh-TW" w:eastAsia="zh-TW"/>
          <w14:textFill>
            <w14:solidFill>
              <w14:schemeClr w14:val="tx1"/>
            </w14:solidFill>
          </w14:textFill>
        </w:rPr>
        <w:t>支参加省级大比武。</w:t>
      </w:r>
      <w:r>
        <w:rPr>
          <w:rFonts w:hint="eastAsia" w:ascii="仿宋_GB2312" w:eastAsia="仿宋_GB2312" w:cs="仿宋_GB2312"/>
          <w:color w:val="000000" w:themeColor="text1"/>
          <w:sz w:val="32"/>
          <w:szCs w:val="32"/>
          <w14:textFill>
            <w14:solidFill>
              <w14:schemeClr w14:val="tx1"/>
            </w14:solidFill>
          </w14:textFill>
        </w:rPr>
        <w:t>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（12）开展医保系统党员干部红色教育实地学习。2023年我局开展党员干部红色教育实地学习3次。实现绩效目标。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（13）医保信息系统运行维护。2023年我市医保信息系统运行维护10余次。实现绩效目标。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ascii="仿宋_GB2312" w:eastAsia="仿宋_GB2312" w:cs="仿宋_GB2312"/>
          <w:color w:val="000000" w:themeColor="text1"/>
          <w:sz w:val="32"/>
          <w:szCs w:val="32"/>
          <w14:textFill>
            <w14:solidFill>
              <w14:schemeClr w14:val="tx1"/>
            </w14:solidFill>
          </w14:textFill>
        </w:rPr>
        <w:t xml:space="preserve">2. </w:t>
      </w:r>
      <w:r>
        <w:rPr>
          <w:rFonts w:hint="eastAsia" w:ascii="仿宋_GB2312" w:eastAsia="仿宋_GB2312" w:cs="仿宋_GB2312"/>
          <w:color w:val="000000" w:themeColor="text1"/>
          <w:sz w:val="32"/>
          <w:szCs w:val="32"/>
          <w14:textFill>
            <w14:solidFill>
              <w14:schemeClr w14:val="tx1"/>
            </w14:solidFill>
          </w14:textFill>
        </w:rPr>
        <w:t>质量指标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（1）在市政府开展的上年度依法行政绩效考评情况。2023年我局在市政府开展的上年度依法行政绩效考评中未扣分。实现绩效目标。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（2）基金预警和风险防控能力。切实加强全市基金运行监测及风险防控，定期开展基金运行状况及支撑能力分析，提出相应的管控措施和建议。实现绩效目标。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3）医保基金综合监管能力。坚持实施第三方力量参与医保监管；努力引入智能监管模式，对全市1200家药店和诊所进行进销存实时监控，通过AI人脸识别技术对全市18家血透定点机构血透治疗真实性进行数据辨别，通过智能监管追回医保基金389.5万元。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pacing w:val="0"/>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（4）</w:t>
      </w:r>
      <w:r>
        <w:rPr>
          <w:rFonts w:hint="eastAsia" w:ascii="仿宋_GB2312" w:eastAsia="仿宋_GB2312" w:cs="仿宋_GB2312"/>
          <w:color w:val="000000" w:themeColor="text1"/>
          <w:spacing w:val="0"/>
          <w:sz w:val="32"/>
          <w:szCs w:val="32"/>
          <w14:textFill>
            <w14:solidFill>
              <w14:schemeClr w14:val="tx1"/>
            </w14:solidFill>
          </w14:textFill>
        </w:rPr>
        <w:t>医保经办服务能力。加强定点医疗机构、定点零售药店协议管理，修订完善全市协议文本，统一全市定点医药机构考核管理办法，开展全市经办机构内控检查评估，推进各级经办大厅、医保窗口标准化规范化建设，统一医保服务事项清单、办事指南、业务经办规程，优化异地就医服务，扩大联网覆盖面及直接结算率，医保经办服务能力不断提升。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（5）医保目录管理规范情况。我市年内未出现违反目录管理情况，认真落地执行川医保规〔2023〕5号文件，未出现影响医疗机构制剂目录落地的重大问题。实现绩效目标。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6）医疗服务价格动态调整情况。完成2023年医疗服务调价评估、价格调整方案及医疗服务价格指数等信息季度上报工作。为促进医疗技术创新发展和临床运用，加大对新开展医疗服务项目的支持，优化医疗服务价格结构，</w:t>
      </w:r>
      <w:bookmarkStart w:id="70" w:name="_GoBack"/>
      <w:bookmarkEnd w:id="70"/>
      <w:r>
        <w:rPr>
          <w:rFonts w:hint="eastAsia" w:ascii="仿宋_GB2312" w:eastAsia="仿宋_GB2312" w:cs="仿宋_GB2312"/>
          <w:color w:val="000000" w:themeColor="text1"/>
          <w:sz w:val="32"/>
          <w:szCs w:val="32"/>
          <w14:textFill>
            <w14:solidFill>
              <w14:schemeClr w14:val="tx1"/>
            </w14:solidFill>
          </w14:textFill>
        </w:rPr>
        <w:t>上调体现技术劳务价值项目价格。2023年新增医疗服务项目价格</w:t>
      </w:r>
      <w:r>
        <w:rPr>
          <w:rFonts w:ascii="仿宋_GB2312" w:eastAsia="仿宋_GB2312" w:cs="仿宋_GB2312"/>
          <w:color w:val="000000" w:themeColor="text1"/>
          <w:sz w:val="32"/>
          <w:szCs w:val="32"/>
          <w14:textFill>
            <w14:solidFill>
              <w14:schemeClr w14:val="tx1"/>
            </w14:solidFill>
          </w14:textFill>
        </w:rPr>
        <w:t>77</w:t>
      </w:r>
      <w:r>
        <w:rPr>
          <w:rFonts w:hint="eastAsia" w:ascii="仿宋_GB2312" w:eastAsia="仿宋_GB2312" w:cs="仿宋_GB2312"/>
          <w:color w:val="000000" w:themeColor="text1"/>
          <w:sz w:val="32"/>
          <w:szCs w:val="32"/>
          <w14:textFill>
            <w14:solidFill>
              <w14:schemeClr w14:val="tx1"/>
            </w14:solidFill>
          </w14:textFill>
        </w:rPr>
        <w:t>项，规范</w:t>
      </w:r>
      <w:r>
        <w:rPr>
          <w:rFonts w:ascii="仿宋_GB2312" w:eastAsia="仿宋_GB2312" w:cs="仿宋_GB2312"/>
          <w:color w:val="000000" w:themeColor="text1"/>
          <w:sz w:val="32"/>
          <w:szCs w:val="32"/>
          <w14:textFill>
            <w14:solidFill>
              <w14:schemeClr w14:val="tx1"/>
            </w14:solidFill>
          </w14:textFill>
        </w:rPr>
        <w:t>27</w:t>
      </w:r>
      <w:r>
        <w:rPr>
          <w:rFonts w:hint="eastAsia" w:ascii="仿宋_GB2312" w:eastAsia="仿宋_GB2312" w:cs="仿宋_GB2312"/>
          <w:color w:val="000000" w:themeColor="text1"/>
          <w:sz w:val="32"/>
          <w:szCs w:val="32"/>
          <w14:textFill>
            <w14:solidFill>
              <w14:schemeClr w14:val="tx1"/>
            </w14:solidFill>
          </w14:textFill>
        </w:rPr>
        <w:t>项，价格调整134项。实现绩效目标。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（7）集中采购落实情况。完成国家组织的集中采购中选产品约定采购量。实现绩效目标。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（8）实行按DRG支付方式改革。到2023年底，我市已全面实现DRG付费。实现绩效目标。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（9）结算清单规范性。我市按照国家医保局《医疗保障基金结算清单填写规范》规范填写。实现绩效目标。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pacing w:val="-6"/>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（10）</w:t>
      </w:r>
      <w:r>
        <w:rPr>
          <w:rFonts w:hint="eastAsia" w:ascii="仿宋_GB2312" w:eastAsia="仿宋_GB2312" w:cs="仿宋_GB2312"/>
          <w:color w:val="000000" w:themeColor="text1"/>
          <w:spacing w:val="-6"/>
          <w:sz w:val="32"/>
          <w:szCs w:val="32"/>
          <w14:textFill>
            <w14:solidFill>
              <w14:schemeClr w14:val="tx1"/>
            </w14:solidFill>
          </w14:textFill>
        </w:rPr>
        <w:t>医保电子凭证全流程应用。我市所有三级、二级定点医疗机构均支持医保电子凭证全流程应用，包括“挂号”“诊间核验身份”“支付”“取药”“取报告”等业务环节。实现绩效目标。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（11）移动支付上线国家医保支付APP。本统筹地区无日均结算量1000笔以上的二级定点机构，三级定点医疗机构共11家，其中9家三级医疗机构移动支付上线国家医保APP。未完全实现绩效目标。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（12）专项检查违规查处率。2023年我市医保专项检查，违规查处率为100%。实现绩效目标。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（13）医保系统人才培训合格率。2023年我市医保系统人才培训合格率为100%。实现绩效目标。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3</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时效指标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（1）完成三级等保测评时间。我局于2023年完成了医保系统三级等保测评。实现绩效目标。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（2）开展全市医保基金监管检查。我局于2023年完成了全市医保基金监管检查工作。实现绩效目标。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（3）开展医保人员提能培训时间。我市于2023年完成了全市医保人员提能培训。实现了绩效目标。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4</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满意度指标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服务对象满意度指标。2023年我市参保人员医保服务满意度9</w:t>
      </w:r>
      <w:r>
        <w:rPr>
          <w:rFonts w:ascii="仿宋_GB2312" w:eastAsia="仿宋_GB2312" w:cs="仿宋_GB2312"/>
          <w:color w:val="000000" w:themeColor="text1"/>
          <w:sz w:val="32"/>
          <w:szCs w:val="32"/>
          <w14:textFill>
            <w14:solidFill>
              <w14:schemeClr w14:val="tx1"/>
            </w14:solidFill>
          </w14:textFill>
        </w:rPr>
        <w:t>5</w:t>
      </w:r>
      <w:r>
        <w:rPr>
          <w:rFonts w:hint="eastAsia" w:ascii="仿宋_GB2312" w:eastAsia="仿宋_GB2312" w:cs="仿宋_GB2312"/>
          <w:color w:val="000000" w:themeColor="text1"/>
          <w:sz w:val="32"/>
          <w:szCs w:val="32"/>
          <w14:textFill>
            <w14:solidFill>
              <w14:schemeClr w14:val="tx1"/>
            </w14:solidFill>
          </w14:textFill>
        </w:rPr>
        <w:t>%以上。定点医疗机构对医保管理服务满意度为95%以上。实现绩效目标。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黑体" w:hAnsi="黑体" w:eastAsia="黑体" w:cs="仿宋_GB2312"/>
          <w:color w:val="000000" w:themeColor="text1"/>
          <w:sz w:val="32"/>
          <w:szCs w:val="32"/>
          <w14:textFill>
            <w14:solidFill>
              <w14:schemeClr w14:val="tx1"/>
            </w14:solidFill>
          </w14:textFill>
        </w:rPr>
      </w:pPr>
      <w:r>
        <w:rPr>
          <w:rFonts w:hint="eastAsia" w:ascii="黑体" w:hAnsi="黑体" w:eastAsia="黑体" w:cs="仿宋_GB2312"/>
          <w:color w:val="000000" w:themeColor="text1"/>
          <w:sz w:val="32"/>
          <w:szCs w:val="32"/>
          <w14:textFill>
            <w14:solidFill>
              <w14:schemeClr w14:val="tx1"/>
            </w14:solidFill>
          </w14:textFill>
        </w:rPr>
        <w:t>三、偏离绩效目标的原因和下一步改进措施</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方正楷体简体" w:eastAsia="方正楷体简体" w:cs="仿宋_GB2312"/>
          <w:color w:val="000000" w:themeColor="text1"/>
          <w:sz w:val="32"/>
          <w:szCs w:val="32"/>
          <w14:textFill>
            <w14:solidFill>
              <w14:schemeClr w14:val="tx1"/>
            </w14:solidFill>
          </w14:textFill>
        </w:rPr>
      </w:pPr>
      <w:r>
        <w:rPr>
          <w:rFonts w:hint="eastAsia" w:ascii="方正楷体简体" w:eastAsia="方正楷体简体" w:cs="仿宋_GB2312"/>
          <w:color w:val="000000" w:themeColor="text1"/>
          <w:sz w:val="32"/>
          <w:szCs w:val="32"/>
          <w14:textFill>
            <w14:solidFill>
              <w14:schemeClr w14:val="tx1"/>
            </w14:solidFill>
          </w14:textFill>
        </w:rPr>
        <w:t>（一）偏离绩效目标的原因</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pacing w:val="-6"/>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pacing w:val="-6"/>
          <w:sz w:val="32"/>
          <w:szCs w:val="32"/>
          <w14:textFill>
            <w14:solidFill>
              <w14:schemeClr w14:val="tx1"/>
            </w14:solidFill>
          </w14:textFill>
        </w:rPr>
        <w:t>移动支付结算笔数占比指标未全面完成，我市移动支付结算笔数占比低于指标值，主要原因为我市多数三级医院移动支付功能上线时间短，宣传不到位，群众知晓度不高，就医人员尚有风险担忧，不愿使用移动支付，导致移动支付结算率不高。</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ascii="仿宋_GB2312" w:eastAsia="仿宋_GB2312" w:cs="仿宋_GB2312"/>
          <w:color w:val="000000" w:themeColor="text1"/>
          <w:sz w:val="32"/>
          <w:szCs w:val="32"/>
          <w14:textFill>
            <w14:solidFill>
              <w14:schemeClr w14:val="tx1"/>
            </w14:solidFill>
          </w14:textFill>
        </w:rPr>
        <w:t xml:space="preserve">2. </w:t>
      </w:r>
      <w:r>
        <w:rPr>
          <w:rFonts w:hint="eastAsia" w:ascii="仿宋_GB2312" w:eastAsia="仿宋_GB2312" w:cs="仿宋_GB2312"/>
          <w:color w:val="000000" w:themeColor="text1"/>
          <w:sz w:val="32"/>
          <w:szCs w:val="32"/>
          <w14:textFill>
            <w14:solidFill>
              <w14:schemeClr w14:val="tx1"/>
            </w14:solidFill>
          </w14:textFill>
        </w:rPr>
        <w:t>移动支付上线国家医保支付APP指标未全面完成，我市广元市第二人民医院和广元市妇幼保健院未完成移动支付建设，主要原因为我市第二人民医院属广旺集团下属企业，医院资金由集团公司管理，医院无自主权，前期无银行愿意合作，导致移动支付建设工作无法落实推进，市妇幼保健院更换主要领导，法人证件及医院财务相关证件同时更换，导致大量业务无法正常开展，故该院移动支付建设推迟。</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方正楷体简体" w:eastAsia="方正楷体简体" w:cs="仿宋_GB2312"/>
          <w:color w:val="000000" w:themeColor="text1"/>
          <w:sz w:val="32"/>
          <w:szCs w:val="32"/>
          <w14:textFill>
            <w14:solidFill>
              <w14:schemeClr w14:val="tx1"/>
            </w14:solidFill>
          </w14:textFill>
        </w:rPr>
      </w:pPr>
      <w:r>
        <w:rPr>
          <w:rFonts w:hint="eastAsia" w:ascii="方正楷体简体" w:eastAsia="方正楷体简体" w:cs="仿宋_GB2312"/>
          <w:color w:val="000000" w:themeColor="text1"/>
          <w:sz w:val="32"/>
          <w:szCs w:val="32"/>
          <w14:textFill>
            <w14:solidFill>
              <w14:schemeClr w14:val="tx1"/>
            </w14:solidFill>
          </w14:textFill>
        </w:rPr>
        <w:t>（二）改进措施</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ascii="仿宋_GB2312" w:eastAsia="仿宋_GB2312" w:cs="仿宋_GB2312"/>
          <w:color w:val="000000" w:themeColor="text1"/>
          <w:sz w:val="32"/>
          <w:szCs w:val="32"/>
          <w14:textFill>
            <w14:solidFill>
              <w14:schemeClr w14:val="tx1"/>
            </w14:solidFill>
          </w14:textFill>
        </w:rPr>
        <w:t>1</w:t>
      </w:r>
      <w:r>
        <w:rPr>
          <w:rFonts w:hint="eastAsia" w:ascii="仿宋_GB2312" w:eastAsia="仿宋_GB2312" w:cs="仿宋_GB2312"/>
          <w:color w:val="000000" w:themeColor="text1"/>
          <w:sz w:val="32"/>
          <w:szCs w:val="32"/>
          <w14:textFill>
            <w14:solidFill>
              <w14:schemeClr w14:val="tx1"/>
            </w14:solidFill>
          </w14:textFill>
        </w:rPr>
        <w:t>.</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通过报刊、电视、广播、新媒体、短视频等宣传媒体，加大宣传力度，在医院大厅设置引导员，引导就医人员通过移动支付功能进行挂号、门诊缴费，提高移动支付使用率。</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ascii="仿宋_GB2312" w:eastAsia="仿宋_GB2312" w:cs="仿宋_GB2312"/>
          <w:color w:val="000000" w:themeColor="text1"/>
          <w:sz w:val="32"/>
          <w:szCs w:val="32"/>
          <w14:textFill>
            <w14:solidFill>
              <w14:schemeClr w14:val="tx1"/>
            </w14:solidFill>
          </w14:textFill>
        </w:rPr>
        <w:t>2</w:t>
      </w:r>
      <w:r>
        <w:rPr>
          <w:rFonts w:hint="eastAsia" w:ascii="仿宋_GB2312" w:eastAsia="仿宋_GB2312" w:cs="仿宋_GB2312"/>
          <w:color w:val="000000" w:themeColor="text1"/>
          <w:sz w:val="32"/>
          <w:szCs w:val="32"/>
          <w14:textFill>
            <w14:solidFill>
              <w14:schemeClr w14:val="tx1"/>
            </w14:solidFill>
          </w14:textFill>
        </w:rPr>
        <w:t>.</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积极推进移动支付上线国家医保支付APP，现两家医院与有关银行已签订合作协议，正在开展移动支付建设工作。</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黑体" w:hAnsi="黑体" w:eastAsia="黑体" w:cs="仿宋_GB2312"/>
          <w:color w:val="000000" w:themeColor="text1"/>
          <w:sz w:val="32"/>
          <w:szCs w:val="32"/>
          <w14:textFill>
            <w14:solidFill>
              <w14:schemeClr w14:val="tx1"/>
            </w14:solidFill>
          </w14:textFill>
        </w:rPr>
      </w:pPr>
      <w:r>
        <w:rPr>
          <w:rFonts w:hint="eastAsia" w:ascii="黑体" w:hAnsi="黑体" w:eastAsia="黑体" w:cs="仿宋_GB2312"/>
          <w:color w:val="000000" w:themeColor="text1"/>
          <w:sz w:val="32"/>
          <w:szCs w:val="32"/>
          <w14:textFill>
            <w14:solidFill>
              <w14:schemeClr w14:val="tx1"/>
            </w14:solidFill>
          </w14:textFill>
        </w:rPr>
        <w:t>四、绩效自评结果拟应用和公开情况</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将此次绩效评价结果作为以后年度资金分配和绩效指标分解细化的依据和参考，更加科学合理、切合实际地设定绩效指标，有效促进资金使用绩效提升。按照要求，及时主动将绩效自评结果在门户网站公开，接受社会监督。</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五、其他需要说明的问题</w:t>
      </w: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方正楷体简体" w:hAnsi="宋体" w:eastAsia="方正楷体简体" w:cs="宋体"/>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巡察、审计和财会监督中未发现医疗服务与保障能力提升补助（医疗保障能力建设部分）资金相关问题。</w:t>
      </w:r>
      <w:r>
        <w:rPr>
          <w:rFonts w:hint="eastAsia" w:ascii="仿宋_GB2312" w:hAnsi="仿宋_GB2312" w:eastAsia="仿宋_GB2312" w:cs="仿宋_GB2312"/>
          <w:color w:val="000000" w:themeColor="text1"/>
          <w:sz w:val="32"/>
          <w:szCs w:val="32"/>
          <w14:textFill>
            <w14:solidFill>
              <w14:schemeClr w14:val="tx1"/>
            </w14:solidFill>
          </w14:textFill>
        </w:rPr>
        <w:br w:type="page"/>
      </w:r>
    </w:p>
    <w:p>
      <w:pPr>
        <w:spacing w:line="40" w:lineRule="exact"/>
        <w:rPr>
          <w:rFonts w:ascii="方正楷体简体" w:hAnsi="宋体" w:eastAsia="方正楷体简体" w:cs="宋体"/>
          <w:color w:val="000000" w:themeColor="text1"/>
          <w:sz w:val="32"/>
          <w:szCs w:val="32"/>
          <w14:textFill>
            <w14:solidFill>
              <w14:schemeClr w14:val="tx1"/>
            </w14:solidFill>
          </w14:textFill>
        </w:rPr>
      </w:pPr>
    </w:p>
    <w:p>
      <w:pPr>
        <w:spacing w:line="40" w:lineRule="exact"/>
        <w:rPr>
          <w:rFonts w:ascii="方正楷体简体" w:hAnsi="宋体" w:eastAsia="方正楷体简体" w:cs="宋体"/>
          <w:color w:val="000000" w:themeColor="text1"/>
          <w:sz w:val="32"/>
          <w:szCs w:val="32"/>
          <w14:textFill>
            <w14:solidFill>
              <w14:schemeClr w14:val="tx1"/>
            </w14:solidFill>
          </w14:textFill>
        </w:rPr>
      </w:pPr>
    </w:p>
    <w:p>
      <w:pPr>
        <w:spacing w:line="40" w:lineRule="exact"/>
        <w:rPr>
          <w:rFonts w:ascii="方正楷体简体" w:hAnsi="宋体" w:eastAsia="方正楷体简体" w:cs="宋体"/>
          <w:color w:val="000000" w:themeColor="text1"/>
          <w:sz w:val="32"/>
          <w:szCs w:val="32"/>
          <w14:textFill>
            <w14:solidFill>
              <w14:schemeClr w14:val="tx1"/>
            </w14:solidFill>
          </w14:textFill>
        </w:rPr>
      </w:pPr>
    </w:p>
    <w:p>
      <w:pPr>
        <w:spacing w:line="600" w:lineRule="exact"/>
        <w:jc w:val="center"/>
        <w:outlineLvl w:val="0"/>
        <w:rPr>
          <w:rFonts w:ascii="仿宋" w:hAnsi="仿宋" w:eastAsia="仿宋"/>
          <w:color w:val="000000" w:themeColor="text1"/>
          <w14:textFill>
            <w14:solidFill>
              <w14:schemeClr w14:val="tx1"/>
            </w14:solidFill>
          </w14:textFill>
        </w:rPr>
      </w:pPr>
      <w:r>
        <w:rPr>
          <w:rFonts w:hint="eastAsia" w:ascii="黑体" w:hAnsi="黑体" w:eastAsia="黑体"/>
          <w:color w:val="000000" w:themeColor="text1"/>
          <w:sz w:val="44"/>
          <w:szCs w:val="44"/>
          <w14:textFill>
            <w14:solidFill>
              <w14:schemeClr w14:val="tx1"/>
            </w14:solidFill>
          </w14:textFill>
        </w:rPr>
        <w:t>第</w:t>
      </w:r>
      <w:r>
        <w:rPr>
          <w:rStyle w:val="25"/>
          <w:rFonts w:hint="eastAsia" w:ascii="黑体" w:hAnsi="黑体" w:eastAsia="黑体"/>
          <w:b w:val="0"/>
          <w:color w:val="000000" w:themeColor="text1"/>
          <w14:textFill>
            <w14:solidFill>
              <w14:schemeClr w14:val="tx1"/>
            </w14:solidFill>
          </w14:textFill>
        </w:rPr>
        <w:t>五部分</w:t>
      </w:r>
      <w:r>
        <w:rPr>
          <w:rStyle w:val="25"/>
          <w:rFonts w:ascii="黑体" w:hAnsi="黑体" w:eastAsia="黑体"/>
          <w:b w:val="0"/>
          <w:color w:val="000000" w:themeColor="text1"/>
          <w14:textFill>
            <w14:solidFill>
              <w14:schemeClr w14:val="tx1"/>
            </w14:solidFill>
          </w14:textFill>
        </w:rPr>
        <w:t xml:space="preserve">  </w:t>
      </w:r>
      <w:r>
        <w:rPr>
          <w:rStyle w:val="25"/>
          <w:rFonts w:hint="eastAsia" w:ascii="黑体" w:hAnsi="黑体" w:eastAsia="黑体"/>
          <w:b w:val="0"/>
          <w:color w:val="000000" w:themeColor="text1"/>
          <w14:textFill>
            <w14:solidFill>
              <w14:schemeClr w14:val="tx1"/>
            </w14:solidFill>
          </w14:textFill>
        </w:rPr>
        <w:t>附</w:t>
      </w:r>
      <w:r>
        <w:rPr>
          <w:rStyle w:val="25"/>
          <w:rFonts w:ascii="黑体" w:hAnsi="黑体" w:eastAsia="黑体"/>
          <w:b w:val="0"/>
          <w:color w:val="000000" w:themeColor="text1"/>
          <w14:textFill>
            <w14:solidFill>
              <w14:schemeClr w14:val="tx1"/>
            </w14:solidFill>
          </w14:textFill>
        </w:rPr>
        <w:t xml:space="preserve">  </w:t>
      </w:r>
      <w:r>
        <w:rPr>
          <w:rStyle w:val="25"/>
          <w:rFonts w:hint="eastAsia" w:ascii="黑体" w:hAnsi="黑体" w:eastAsia="黑体"/>
          <w:b w:val="0"/>
          <w:color w:val="000000" w:themeColor="text1"/>
          <w14:textFill>
            <w14:solidFill>
              <w14:schemeClr w14:val="tx1"/>
            </w14:solidFill>
          </w14:textFill>
        </w:rPr>
        <w:t>表</w:t>
      </w:r>
      <w:bookmarkEnd w:id="54"/>
      <w:bookmarkEnd w:id="55"/>
      <w:bookmarkStart w:id="57" w:name="_Toc15396619"/>
    </w:p>
    <w:p>
      <w:pPr>
        <w:pStyle w:val="4"/>
        <w:keepNext w:val="0"/>
        <w:keepLines w:val="0"/>
        <w:spacing w:before="0" w:after="0" w:line="576" w:lineRule="exact"/>
        <w:ind w:firstLine="640" w:firstLineChars="200"/>
        <w:rPr>
          <w:rFonts w:ascii="仿宋_GB2312" w:hAnsi="仿宋_GB2312" w:eastAsia="仿宋_GB2312" w:cs="仿宋_GB2312"/>
          <w:b w:val="0"/>
          <w:color w:val="000000" w:themeColor="text1"/>
          <w14:textFill>
            <w14:solidFill>
              <w14:schemeClr w14:val="tx1"/>
            </w14:solidFill>
          </w14:textFill>
        </w:rPr>
      </w:pPr>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b w:val="0"/>
          <w:color w:val="000000" w:themeColor="text1"/>
          <w14:textFill>
            <w14:solidFill>
              <w14:schemeClr w14:val="tx1"/>
            </w14:solidFill>
          </w14:textFill>
        </w:rPr>
        <w:t>一、收</w:t>
      </w:r>
      <w:r>
        <w:rPr>
          <w:rStyle w:val="26"/>
          <w:rFonts w:hint="eastAsia" w:ascii="仿宋_GB2312" w:hAnsi="仿宋_GB2312" w:eastAsia="仿宋_GB2312" w:cs="仿宋_GB2312"/>
          <w:b w:val="0"/>
          <w:bCs w:val="0"/>
          <w:color w:val="000000" w:themeColor="text1"/>
          <w14:textFill>
            <w14:solidFill>
              <w14:schemeClr w14:val="tx1"/>
            </w14:solidFill>
          </w14:textFill>
        </w:rPr>
        <w:t>入支出决算总表</w:t>
      </w:r>
      <w:bookmarkEnd w:id="57"/>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58" w:name="_Toc15396620"/>
      <w:r>
        <w:rPr>
          <w:rFonts w:hint="eastAsia" w:ascii="仿宋_GB2312" w:hAnsi="仿宋_GB2312" w:eastAsia="仿宋_GB2312" w:cs="仿宋_GB2312"/>
          <w:b w:val="0"/>
          <w:color w:val="000000" w:themeColor="text1"/>
          <w14:textFill>
            <w14:solidFill>
              <w14:schemeClr w14:val="tx1"/>
            </w14:solidFill>
          </w14:textFill>
        </w:rPr>
        <w:t>二、收</w:t>
      </w:r>
      <w:r>
        <w:rPr>
          <w:rStyle w:val="26"/>
          <w:rFonts w:hint="eastAsia" w:ascii="仿宋_GB2312" w:hAnsi="仿宋_GB2312" w:eastAsia="仿宋_GB2312" w:cs="仿宋_GB2312"/>
          <w:b w:val="0"/>
          <w:bCs w:val="0"/>
          <w:color w:val="000000" w:themeColor="text1"/>
          <w14:textFill>
            <w14:solidFill>
              <w14:schemeClr w14:val="tx1"/>
            </w14:solidFill>
          </w14:textFill>
        </w:rPr>
        <w:t>入决算表</w:t>
      </w:r>
      <w:bookmarkEnd w:id="58"/>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59" w:name="_Toc15396621"/>
      <w:r>
        <w:rPr>
          <w:rStyle w:val="26"/>
          <w:rFonts w:hint="eastAsia" w:ascii="仿宋_GB2312" w:hAnsi="仿宋_GB2312" w:eastAsia="仿宋_GB2312" w:cs="仿宋_GB2312"/>
          <w:b w:val="0"/>
          <w:bCs w:val="0"/>
          <w:color w:val="000000" w:themeColor="text1"/>
          <w14:textFill>
            <w14:solidFill>
              <w14:schemeClr w14:val="tx1"/>
            </w14:solidFill>
          </w14:textFill>
        </w:rPr>
        <w:t>三、</w:t>
      </w:r>
      <w:r>
        <w:rPr>
          <w:rFonts w:hint="eastAsia" w:ascii="仿宋_GB2312" w:hAnsi="仿宋_GB2312" w:eastAsia="仿宋_GB2312" w:cs="仿宋_GB2312"/>
          <w:b w:val="0"/>
          <w:color w:val="000000" w:themeColor="text1"/>
          <w14:textFill>
            <w14:solidFill>
              <w14:schemeClr w14:val="tx1"/>
            </w14:solidFill>
          </w14:textFill>
        </w:rPr>
        <w:t>支</w:t>
      </w:r>
      <w:r>
        <w:rPr>
          <w:rStyle w:val="26"/>
          <w:rFonts w:hint="eastAsia" w:ascii="仿宋_GB2312" w:hAnsi="仿宋_GB2312" w:eastAsia="仿宋_GB2312" w:cs="仿宋_GB2312"/>
          <w:b w:val="0"/>
          <w:bCs w:val="0"/>
          <w:color w:val="000000" w:themeColor="text1"/>
          <w14:textFill>
            <w14:solidFill>
              <w14:schemeClr w14:val="tx1"/>
            </w14:solidFill>
          </w14:textFill>
        </w:rPr>
        <w:t>出决算表</w:t>
      </w:r>
      <w:bookmarkEnd w:id="59"/>
    </w:p>
    <w:p>
      <w:pPr>
        <w:pStyle w:val="4"/>
        <w:keepNext w:val="0"/>
        <w:keepLines w:val="0"/>
        <w:spacing w:before="0" w:after="0" w:line="576" w:lineRule="exact"/>
        <w:ind w:firstLine="640" w:firstLineChars="200"/>
        <w:rPr>
          <w:rFonts w:ascii="仿宋_GB2312" w:hAnsi="仿宋_GB2312" w:eastAsia="仿宋_GB2312" w:cs="仿宋_GB2312"/>
          <w:b w:val="0"/>
          <w:color w:val="000000" w:themeColor="text1"/>
          <w14:textFill>
            <w14:solidFill>
              <w14:schemeClr w14:val="tx1"/>
            </w14:solidFill>
          </w14:textFill>
        </w:rPr>
      </w:pPr>
      <w:bookmarkStart w:id="60" w:name="_Toc15396622"/>
      <w:r>
        <w:rPr>
          <w:rStyle w:val="26"/>
          <w:rFonts w:hint="eastAsia" w:ascii="仿宋_GB2312" w:hAnsi="仿宋_GB2312" w:eastAsia="仿宋_GB2312" w:cs="仿宋_GB2312"/>
          <w:b w:val="0"/>
          <w:bCs w:val="0"/>
          <w:color w:val="000000" w:themeColor="text1"/>
          <w14:textFill>
            <w14:solidFill>
              <w14:schemeClr w14:val="tx1"/>
            </w14:solidFill>
          </w14:textFill>
        </w:rPr>
        <w:t>四、</w:t>
      </w:r>
      <w:r>
        <w:rPr>
          <w:rFonts w:hint="eastAsia" w:ascii="仿宋_GB2312" w:hAnsi="仿宋_GB2312" w:eastAsia="仿宋_GB2312" w:cs="仿宋_GB2312"/>
          <w:b w:val="0"/>
          <w:color w:val="000000" w:themeColor="text1"/>
          <w14:textFill>
            <w14:solidFill>
              <w14:schemeClr w14:val="tx1"/>
            </w14:solidFill>
          </w14:textFill>
        </w:rPr>
        <w:t>财</w:t>
      </w:r>
      <w:r>
        <w:rPr>
          <w:rStyle w:val="26"/>
          <w:rFonts w:hint="eastAsia" w:ascii="仿宋_GB2312" w:hAnsi="仿宋_GB2312" w:eastAsia="仿宋_GB2312" w:cs="仿宋_GB2312"/>
          <w:b w:val="0"/>
          <w:bCs w:val="0"/>
          <w:color w:val="000000" w:themeColor="text1"/>
          <w14:textFill>
            <w14:solidFill>
              <w14:schemeClr w14:val="tx1"/>
            </w14:solidFill>
          </w14:textFill>
        </w:rPr>
        <w:t>政拨款收入支出决算总表</w:t>
      </w:r>
      <w:bookmarkEnd w:id="60"/>
    </w:p>
    <w:p>
      <w:pPr>
        <w:pStyle w:val="4"/>
        <w:keepNext w:val="0"/>
        <w:keepLines w:val="0"/>
        <w:spacing w:before="0" w:after="0" w:line="576" w:lineRule="exact"/>
        <w:ind w:firstLine="640" w:firstLineChars="200"/>
        <w:rPr>
          <w:rStyle w:val="26"/>
          <w:rFonts w:ascii="仿宋_GB2312" w:hAnsi="仿宋_GB2312" w:eastAsia="仿宋_GB2312" w:cs="仿宋_GB2312"/>
          <w:b w:val="0"/>
          <w:bCs w:val="0"/>
          <w:color w:val="000000" w:themeColor="text1"/>
          <w14:textFill>
            <w14:solidFill>
              <w14:schemeClr w14:val="tx1"/>
            </w14:solidFill>
          </w14:textFill>
        </w:rPr>
      </w:pPr>
      <w:bookmarkStart w:id="61" w:name="_Toc15396623"/>
      <w:r>
        <w:rPr>
          <w:rStyle w:val="26"/>
          <w:rFonts w:hint="eastAsia" w:ascii="仿宋_GB2312" w:hAnsi="仿宋_GB2312" w:eastAsia="仿宋_GB2312" w:cs="仿宋_GB2312"/>
          <w:b w:val="0"/>
          <w:bCs w:val="0"/>
          <w:color w:val="000000" w:themeColor="text1"/>
          <w14:textFill>
            <w14:solidFill>
              <w14:schemeClr w14:val="tx1"/>
            </w14:solidFill>
          </w14:textFill>
        </w:rPr>
        <w:t>五、</w:t>
      </w:r>
      <w:r>
        <w:rPr>
          <w:rFonts w:hint="eastAsia" w:ascii="仿宋_GB2312" w:hAnsi="仿宋_GB2312" w:eastAsia="仿宋_GB2312" w:cs="仿宋_GB2312"/>
          <w:b w:val="0"/>
          <w:color w:val="000000" w:themeColor="text1"/>
          <w14:textFill>
            <w14:solidFill>
              <w14:schemeClr w14:val="tx1"/>
            </w14:solidFill>
          </w14:textFill>
        </w:rPr>
        <w:t>财</w:t>
      </w:r>
      <w:r>
        <w:rPr>
          <w:rStyle w:val="26"/>
          <w:rFonts w:hint="eastAsia" w:ascii="仿宋_GB2312" w:hAnsi="仿宋_GB2312" w:eastAsia="仿宋_GB2312" w:cs="仿宋_GB2312"/>
          <w:b w:val="0"/>
          <w:bCs w:val="0"/>
          <w:color w:val="000000" w:themeColor="text1"/>
          <w14:textFill>
            <w14:solidFill>
              <w14:schemeClr w14:val="tx1"/>
            </w14:solidFill>
          </w14:textFill>
        </w:rPr>
        <w:t>政拨款支出决算明细表</w:t>
      </w:r>
      <w:bookmarkEnd w:id="61"/>
      <w:bookmarkStart w:id="62" w:name="_Toc15396624"/>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r>
        <w:rPr>
          <w:rStyle w:val="26"/>
          <w:rFonts w:hint="eastAsia" w:ascii="仿宋_GB2312" w:hAnsi="仿宋_GB2312" w:eastAsia="仿宋_GB2312" w:cs="仿宋_GB2312"/>
          <w:b w:val="0"/>
          <w:bCs w:val="0"/>
          <w:color w:val="000000" w:themeColor="text1"/>
          <w14:textFill>
            <w14:solidFill>
              <w14:schemeClr w14:val="tx1"/>
            </w14:solidFill>
          </w14:textFill>
        </w:rPr>
        <w:t>六、</w:t>
      </w:r>
      <w:r>
        <w:rPr>
          <w:rFonts w:hint="eastAsia" w:ascii="仿宋_GB2312" w:hAnsi="仿宋_GB2312" w:eastAsia="仿宋_GB2312" w:cs="仿宋_GB2312"/>
          <w:b w:val="0"/>
          <w:color w:val="000000" w:themeColor="text1"/>
          <w14:textFill>
            <w14:solidFill>
              <w14:schemeClr w14:val="tx1"/>
            </w14:solidFill>
          </w14:textFill>
        </w:rPr>
        <w:t>一</w:t>
      </w:r>
      <w:r>
        <w:rPr>
          <w:rStyle w:val="26"/>
          <w:rFonts w:hint="eastAsia" w:ascii="仿宋_GB2312" w:hAnsi="仿宋_GB2312" w:eastAsia="仿宋_GB2312" w:cs="仿宋_GB2312"/>
          <w:b w:val="0"/>
          <w:bCs w:val="0"/>
          <w:color w:val="000000" w:themeColor="text1"/>
          <w14:textFill>
            <w14:solidFill>
              <w14:schemeClr w14:val="tx1"/>
            </w14:solidFill>
          </w14:textFill>
        </w:rPr>
        <w:t>般公共预算财政拨款支出决算表</w:t>
      </w:r>
      <w:bookmarkEnd w:id="62"/>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63" w:name="_Toc15396625"/>
      <w:r>
        <w:rPr>
          <w:rStyle w:val="26"/>
          <w:rFonts w:hint="eastAsia" w:ascii="仿宋_GB2312" w:hAnsi="仿宋_GB2312" w:eastAsia="仿宋_GB2312" w:cs="仿宋_GB2312"/>
          <w:b w:val="0"/>
          <w:bCs w:val="0"/>
          <w:color w:val="000000" w:themeColor="text1"/>
          <w14:textFill>
            <w14:solidFill>
              <w14:schemeClr w14:val="tx1"/>
            </w14:solidFill>
          </w14:textFill>
        </w:rPr>
        <w:t>七、</w:t>
      </w:r>
      <w:r>
        <w:rPr>
          <w:rFonts w:hint="eastAsia" w:ascii="仿宋_GB2312" w:hAnsi="仿宋_GB2312" w:eastAsia="仿宋_GB2312" w:cs="仿宋_GB2312"/>
          <w:b w:val="0"/>
          <w:color w:val="000000" w:themeColor="text1"/>
          <w14:textFill>
            <w14:solidFill>
              <w14:schemeClr w14:val="tx1"/>
            </w14:solidFill>
          </w14:textFill>
        </w:rPr>
        <w:t>一</w:t>
      </w:r>
      <w:r>
        <w:rPr>
          <w:rStyle w:val="26"/>
          <w:rFonts w:hint="eastAsia" w:ascii="仿宋_GB2312" w:hAnsi="仿宋_GB2312" w:eastAsia="仿宋_GB2312" w:cs="仿宋_GB2312"/>
          <w:b w:val="0"/>
          <w:bCs w:val="0"/>
          <w:color w:val="000000" w:themeColor="text1"/>
          <w14:textFill>
            <w14:solidFill>
              <w14:schemeClr w14:val="tx1"/>
            </w14:solidFill>
          </w14:textFill>
        </w:rPr>
        <w:t>般公共预算财政拨款支出决算明细表</w:t>
      </w:r>
      <w:bookmarkEnd w:id="63"/>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64" w:name="_Toc15396626"/>
      <w:r>
        <w:rPr>
          <w:rStyle w:val="26"/>
          <w:rFonts w:hint="eastAsia" w:ascii="仿宋_GB2312" w:hAnsi="仿宋_GB2312" w:eastAsia="仿宋_GB2312" w:cs="仿宋_GB2312"/>
          <w:b w:val="0"/>
          <w:bCs w:val="0"/>
          <w:color w:val="000000" w:themeColor="text1"/>
          <w14:textFill>
            <w14:solidFill>
              <w14:schemeClr w14:val="tx1"/>
            </w14:solidFill>
          </w14:textFill>
        </w:rPr>
        <w:t>八、</w:t>
      </w:r>
      <w:r>
        <w:rPr>
          <w:rFonts w:hint="eastAsia" w:ascii="仿宋_GB2312" w:hAnsi="仿宋_GB2312" w:eastAsia="仿宋_GB2312" w:cs="仿宋_GB2312"/>
          <w:b w:val="0"/>
          <w:color w:val="000000" w:themeColor="text1"/>
          <w14:textFill>
            <w14:solidFill>
              <w14:schemeClr w14:val="tx1"/>
            </w14:solidFill>
          </w14:textFill>
        </w:rPr>
        <w:t>一</w:t>
      </w:r>
      <w:r>
        <w:rPr>
          <w:rStyle w:val="26"/>
          <w:rFonts w:hint="eastAsia" w:ascii="仿宋_GB2312" w:hAnsi="仿宋_GB2312" w:eastAsia="仿宋_GB2312" w:cs="仿宋_GB2312"/>
          <w:b w:val="0"/>
          <w:bCs w:val="0"/>
          <w:color w:val="000000" w:themeColor="text1"/>
          <w14:textFill>
            <w14:solidFill>
              <w14:schemeClr w14:val="tx1"/>
            </w14:solidFill>
          </w14:textFill>
        </w:rPr>
        <w:t>般公共预算财政拨款基本支出决算表</w:t>
      </w:r>
      <w:bookmarkEnd w:id="64"/>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65" w:name="_Toc15396627"/>
      <w:r>
        <w:rPr>
          <w:rStyle w:val="26"/>
          <w:rFonts w:hint="eastAsia" w:ascii="仿宋_GB2312" w:hAnsi="仿宋_GB2312" w:eastAsia="仿宋_GB2312" w:cs="仿宋_GB2312"/>
          <w:b w:val="0"/>
          <w:bCs w:val="0"/>
          <w:color w:val="000000" w:themeColor="text1"/>
          <w14:textFill>
            <w14:solidFill>
              <w14:schemeClr w14:val="tx1"/>
            </w14:solidFill>
          </w14:textFill>
        </w:rPr>
        <w:t>九、</w:t>
      </w:r>
      <w:r>
        <w:rPr>
          <w:rFonts w:hint="eastAsia" w:ascii="仿宋_GB2312" w:hAnsi="仿宋_GB2312" w:eastAsia="仿宋_GB2312" w:cs="仿宋_GB2312"/>
          <w:b w:val="0"/>
          <w:color w:val="000000" w:themeColor="text1"/>
          <w14:textFill>
            <w14:solidFill>
              <w14:schemeClr w14:val="tx1"/>
            </w14:solidFill>
          </w14:textFill>
        </w:rPr>
        <w:t>一</w:t>
      </w:r>
      <w:r>
        <w:rPr>
          <w:rStyle w:val="26"/>
          <w:rFonts w:hint="eastAsia" w:ascii="仿宋_GB2312" w:hAnsi="仿宋_GB2312" w:eastAsia="仿宋_GB2312" w:cs="仿宋_GB2312"/>
          <w:b w:val="0"/>
          <w:bCs w:val="0"/>
          <w:color w:val="000000" w:themeColor="text1"/>
          <w14:textFill>
            <w14:solidFill>
              <w14:schemeClr w14:val="tx1"/>
            </w14:solidFill>
          </w14:textFill>
        </w:rPr>
        <w:t>般公共预算财政拨款项目支出决算表</w:t>
      </w:r>
      <w:bookmarkEnd w:id="65"/>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66" w:name="_Toc15396628"/>
      <w:r>
        <w:rPr>
          <w:rStyle w:val="26"/>
          <w:rFonts w:hint="eastAsia" w:ascii="仿宋_GB2312" w:hAnsi="仿宋_GB2312" w:eastAsia="仿宋_GB2312" w:cs="仿宋_GB2312"/>
          <w:b w:val="0"/>
          <w:bCs w:val="0"/>
          <w:color w:val="000000" w:themeColor="text1"/>
          <w14:textFill>
            <w14:solidFill>
              <w14:schemeClr w14:val="tx1"/>
            </w14:solidFill>
          </w14:textFill>
        </w:rPr>
        <w:t>十、</w:t>
      </w:r>
      <w:bookmarkEnd w:id="66"/>
      <w:r>
        <w:rPr>
          <w:rFonts w:hint="eastAsia" w:ascii="仿宋_GB2312" w:hAnsi="仿宋_GB2312" w:eastAsia="仿宋_GB2312" w:cs="仿宋_GB2312"/>
          <w:b w:val="0"/>
          <w:color w:val="000000" w:themeColor="text1"/>
          <w14:textFill>
            <w14:solidFill>
              <w14:schemeClr w14:val="tx1"/>
            </w14:solidFill>
          </w14:textFill>
        </w:rPr>
        <w:t>政</w:t>
      </w:r>
      <w:r>
        <w:rPr>
          <w:rStyle w:val="26"/>
          <w:rFonts w:hint="eastAsia" w:ascii="仿宋_GB2312" w:hAnsi="仿宋_GB2312" w:eastAsia="仿宋_GB2312" w:cs="仿宋_GB2312"/>
          <w:b w:val="0"/>
          <w:bCs w:val="0"/>
          <w:color w:val="000000" w:themeColor="text1"/>
          <w14:textFill>
            <w14:solidFill>
              <w14:schemeClr w14:val="tx1"/>
            </w14:solidFill>
          </w14:textFill>
        </w:rPr>
        <w:t>府性基金预算财政拨款收入支出决算表</w:t>
      </w:r>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67" w:name="_Toc15396629"/>
      <w:r>
        <w:rPr>
          <w:rStyle w:val="26"/>
          <w:rFonts w:hint="eastAsia" w:ascii="仿宋_GB2312" w:hAnsi="仿宋_GB2312" w:eastAsia="仿宋_GB2312" w:cs="仿宋_GB2312"/>
          <w:b w:val="0"/>
          <w:bCs w:val="0"/>
          <w:color w:val="000000" w:themeColor="text1"/>
          <w14:textFill>
            <w14:solidFill>
              <w14:schemeClr w14:val="tx1"/>
            </w14:solidFill>
          </w14:textFill>
        </w:rPr>
        <w:t>十一、</w:t>
      </w:r>
      <w:bookmarkEnd w:id="67"/>
      <w:r>
        <w:rPr>
          <w:rFonts w:hint="eastAsia" w:ascii="仿宋_GB2312" w:hAnsi="仿宋_GB2312" w:eastAsia="仿宋_GB2312" w:cs="仿宋_GB2312"/>
          <w:b w:val="0"/>
          <w:color w:val="000000" w:themeColor="text1"/>
          <w14:textFill>
            <w14:solidFill>
              <w14:schemeClr w14:val="tx1"/>
            </w14:solidFill>
          </w14:textFill>
        </w:rPr>
        <w:t>国</w:t>
      </w:r>
      <w:r>
        <w:rPr>
          <w:rStyle w:val="26"/>
          <w:rFonts w:hint="eastAsia" w:ascii="仿宋_GB2312" w:hAnsi="仿宋_GB2312" w:eastAsia="仿宋_GB2312" w:cs="仿宋_GB2312"/>
          <w:b w:val="0"/>
          <w:bCs w:val="0"/>
          <w:color w:val="000000" w:themeColor="text1"/>
          <w14:textFill>
            <w14:solidFill>
              <w14:schemeClr w14:val="tx1"/>
            </w14:solidFill>
          </w14:textFill>
        </w:rPr>
        <w:t>有资本经营预算财政拨款收入支出决算表</w:t>
      </w:r>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68" w:name="_Toc15396630"/>
      <w:r>
        <w:rPr>
          <w:rStyle w:val="26"/>
          <w:rFonts w:hint="eastAsia" w:ascii="仿宋_GB2312" w:hAnsi="仿宋_GB2312" w:eastAsia="仿宋_GB2312" w:cs="仿宋_GB2312"/>
          <w:b w:val="0"/>
          <w:bCs w:val="0"/>
          <w:color w:val="000000" w:themeColor="text1"/>
          <w14:textFill>
            <w14:solidFill>
              <w14:schemeClr w14:val="tx1"/>
            </w14:solidFill>
          </w14:textFill>
        </w:rPr>
        <w:t>十二、</w:t>
      </w:r>
      <w:bookmarkEnd w:id="68"/>
      <w:r>
        <w:rPr>
          <w:rStyle w:val="26"/>
          <w:rFonts w:hint="eastAsia" w:ascii="仿宋_GB2312" w:hAnsi="仿宋_GB2312" w:eastAsia="仿宋_GB2312" w:cs="仿宋_GB2312"/>
          <w:b w:val="0"/>
          <w:bCs w:val="0"/>
          <w:color w:val="000000" w:themeColor="text1"/>
          <w14:textFill>
            <w14:solidFill>
              <w14:schemeClr w14:val="tx1"/>
            </w14:solidFill>
          </w14:textFill>
        </w:rPr>
        <w:t>国有资本经营预算财政拨款支出决算表</w:t>
      </w:r>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69" w:name="_Toc15396631"/>
      <w:r>
        <w:rPr>
          <w:rStyle w:val="26"/>
          <w:rFonts w:hint="eastAsia" w:ascii="仿宋_GB2312" w:hAnsi="仿宋_GB2312" w:eastAsia="仿宋_GB2312" w:cs="仿宋_GB2312"/>
          <w:b w:val="0"/>
          <w:bCs w:val="0"/>
          <w:color w:val="000000" w:themeColor="text1"/>
          <w14:textFill>
            <w14:solidFill>
              <w14:schemeClr w14:val="tx1"/>
            </w14:solidFill>
          </w14:textFill>
        </w:rPr>
        <w:t>十三、</w:t>
      </w:r>
      <w:bookmarkEnd w:id="69"/>
      <w:r>
        <w:rPr>
          <w:rStyle w:val="26"/>
          <w:rFonts w:hint="eastAsia" w:ascii="仿宋_GB2312" w:hAnsi="仿宋_GB2312" w:eastAsia="仿宋_GB2312" w:cs="仿宋_GB2312"/>
          <w:b w:val="0"/>
          <w:bCs w:val="0"/>
          <w:color w:val="000000" w:themeColor="text1"/>
          <w14:textFill>
            <w14:solidFill>
              <w14:schemeClr w14:val="tx1"/>
            </w14:solidFill>
          </w14:textFill>
        </w:rPr>
        <w:t>财政拨款“三公”经费支出决算表</w:t>
      </w:r>
    </w:p>
    <w:sectPr>
      <w:headerReference r:id="rId9" w:type="first"/>
      <w:footerReference r:id="rId11" w:type="first"/>
      <w:headerReference r:id="rId8" w:type="default"/>
      <w:footerReference r:id="rId10" w:type="default"/>
      <w:pgSz w:w="11906" w:h="16838"/>
      <w:pgMar w:top="2098" w:right="1474" w:bottom="1984" w:left="1587" w:header="851" w:footer="1417"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16723F3-6787-447E-A549-CB49BB910E7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A856B165-009B-4A5D-887A-FB81892E1A84}"/>
  </w:font>
  <w:font w:name="仿宋">
    <w:panose1 w:val="02010609060101010101"/>
    <w:charset w:val="86"/>
    <w:family w:val="modern"/>
    <w:pitch w:val="default"/>
    <w:sig w:usb0="800002BF" w:usb1="38CF7CFA" w:usb2="00000016" w:usb3="00000000" w:csb0="00040001" w:csb1="00000000"/>
    <w:embedRegular r:id="rId3" w:fontKey="{2AB1DBE3-ADA2-42E4-9D3C-E67095D68341}"/>
  </w:font>
  <w:font w:name="??">
    <w:altName w:val="Times New Roman"/>
    <w:panose1 w:val="00000000000000000000"/>
    <w:charset w:val="00"/>
    <w:family w:val="roman"/>
    <w:pitch w:val="default"/>
    <w:sig w:usb0="00000000" w:usb1="00000000" w:usb2="00000000" w:usb3="00000000" w:csb0="00000000" w:csb1="00000000"/>
  </w:font>
  <w:font w:name="Liberation Sans">
    <w:altName w:val="Arial"/>
    <w:panose1 w:val="00000000000000000000"/>
    <w:charset w:val="01"/>
    <w:family w:val="swiss"/>
    <w:pitch w:val="default"/>
    <w:sig w:usb0="00000000" w:usb1="00000000" w:usb2="00000000" w:usb3="00000000" w:csb0="00040001" w:csb1="00000000"/>
  </w:font>
  <w:font w:name="Noto Sans CJK SC Regular">
    <w:altName w:val="宋体"/>
    <w:panose1 w:val="00000000000000000000"/>
    <w:charset w:val="86"/>
    <w:family w:val="auto"/>
    <w:pitch w:val="default"/>
    <w:sig w:usb0="00000000" w:usb1="00000000" w:usb2="00000016" w:usb3="00000000" w:csb0="602E0107"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embedRegular r:id="rId4" w:fontKey="{A007C60E-6419-4FAA-B885-C1330EB6B393}"/>
  </w:font>
  <w:font w:name="楷体_GB2312">
    <w:panose1 w:val="02010609030101010101"/>
    <w:charset w:val="86"/>
    <w:family w:val="auto"/>
    <w:pitch w:val="default"/>
    <w:sig w:usb0="00000001" w:usb1="080E0000" w:usb2="00000000" w:usb3="00000000" w:csb0="00040000" w:csb1="00000000"/>
    <w:embedRegular r:id="rId5" w:fontKey="{D79F2E6E-2312-4B27-BE7C-FA0747649180}"/>
  </w:font>
  <w:font w:name="方正楷体简体">
    <w:panose1 w:val="02010601030101010101"/>
    <w:charset w:val="86"/>
    <w:family w:val="auto"/>
    <w:pitch w:val="default"/>
    <w:sig w:usb0="00000001" w:usb1="080E0000" w:usb2="00000000" w:usb3="00000000" w:csb0="00040000" w:csb1="00000000"/>
    <w:embedRegular r:id="rId6" w:fontKey="{DFC6FC53-2955-4B56-82B4-730EDF1F079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rFonts w:ascii="宋体" w:hAnsi="宋体" w:cs="宋体"/>
        <w:sz w:val="28"/>
        <w:szCs w:val="28"/>
      </w:rPr>
    </w:pPr>
    <w:r>
      <w:rPr>
        <w:sz w:val="2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jc w:val="right"/>
                          </w:pPr>
                          <w:r>
                            <w:rPr>
                              <w:rFonts w:ascii="宋体" w:hAnsi="宋体" w:cs="宋体"/>
                              <w:sz w:val="28"/>
                              <w:szCs w:val="28"/>
                            </w:rPr>
                            <w:t xml:space="preserve">— </w:t>
                          </w: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lang w:val="zh-CN"/>
                            </w:rPr>
                            <w:t>39</w:t>
                          </w:r>
                          <w:r>
                            <w:rPr>
                              <w:rFonts w:ascii="宋体" w:hAnsi="宋体" w:cs="宋体"/>
                              <w:sz w:val="28"/>
                              <w:szCs w:val="28"/>
                            </w:rPr>
                            <w:fldChar w:fldCharType="end"/>
                          </w:r>
                          <w:r>
                            <w:rPr>
                              <w:rFonts w:ascii="宋体" w:hAnsi="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12"/>
                      <w:jc w:val="right"/>
                    </w:pPr>
                    <w:r>
                      <w:rPr>
                        <w:rFonts w:ascii="宋体" w:hAnsi="宋体" w:cs="宋体"/>
                        <w:sz w:val="28"/>
                        <w:szCs w:val="28"/>
                      </w:rPr>
                      <w:t xml:space="preserve">— </w:t>
                    </w: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lang w:val="zh-CN"/>
                      </w:rPr>
                      <w:t>39</w:t>
                    </w:r>
                    <w:r>
                      <w:rPr>
                        <w:rFonts w:ascii="宋体" w:hAnsi="宋体" w:cs="宋体"/>
                        <w:sz w:val="28"/>
                        <w:szCs w:val="28"/>
                      </w:rPr>
                      <w:fldChar w:fldCharType="end"/>
                    </w:r>
                    <w:r>
                      <w:rPr>
                        <w:rFonts w:ascii="宋体" w:hAnsi="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firstLine="360"/>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rPr>
                              <w:rStyle w:val="23"/>
                              <w:rFonts w:ascii="宋体" w:hAnsi="宋体"/>
                              <w:sz w:val="28"/>
                              <w:szCs w:val="28"/>
                            </w:rPr>
                          </w:pPr>
                          <w:r>
                            <w:rPr>
                              <w:rStyle w:val="23"/>
                              <w:rFonts w:ascii="宋体" w:hAnsi="宋体" w:cs="宋体"/>
                              <w:sz w:val="28"/>
                              <w:szCs w:val="28"/>
                            </w:rPr>
                            <w:t xml:space="preserve">— </w:t>
                          </w:r>
                          <w:r>
                            <w:rPr>
                              <w:rStyle w:val="23"/>
                              <w:rFonts w:ascii="宋体" w:hAnsi="宋体" w:cs="宋体"/>
                              <w:sz w:val="28"/>
                              <w:szCs w:val="28"/>
                            </w:rPr>
                            <w:fldChar w:fldCharType="begin"/>
                          </w:r>
                          <w:r>
                            <w:rPr>
                              <w:rStyle w:val="23"/>
                              <w:rFonts w:ascii="宋体" w:hAnsi="宋体" w:cs="宋体"/>
                              <w:sz w:val="28"/>
                              <w:szCs w:val="28"/>
                            </w:rPr>
                            <w:instrText xml:space="preserve">PAGE  </w:instrText>
                          </w:r>
                          <w:r>
                            <w:rPr>
                              <w:rStyle w:val="23"/>
                              <w:rFonts w:ascii="宋体" w:hAnsi="宋体" w:cs="宋体"/>
                              <w:sz w:val="28"/>
                              <w:szCs w:val="28"/>
                            </w:rPr>
                            <w:fldChar w:fldCharType="separate"/>
                          </w:r>
                          <w:r>
                            <w:rPr>
                              <w:rStyle w:val="23"/>
                              <w:rFonts w:ascii="宋体" w:hAnsi="宋体" w:cs="宋体"/>
                              <w:sz w:val="28"/>
                              <w:szCs w:val="28"/>
                            </w:rPr>
                            <w:t>116</w:t>
                          </w:r>
                          <w:r>
                            <w:rPr>
                              <w:rStyle w:val="23"/>
                              <w:rFonts w:ascii="宋体" w:hAnsi="宋体" w:cs="宋体"/>
                              <w:sz w:val="28"/>
                              <w:szCs w:val="28"/>
                            </w:rPr>
                            <w:fldChar w:fldCharType="end"/>
                          </w:r>
                          <w:r>
                            <w:rPr>
                              <w:rStyle w:val="23"/>
                              <w:rFonts w:ascii="宋体" w:hAnsi="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pPr>
                      <w:pStyle w:val="12"/>
                      <w:rPr>
                        <w:rStyle w:val="23"/>
                        <w:rFonts w:ascii="宋体" w:hAnsi="宋体"/>
                        <w:sz w:val="28"/>
                        <w:szCs w:val="28"/>
                      </w:rPr>
                    </w:pPr>
                    <w:r>
                      <w:rPr>
                        <w:rStyle w:val="23"/>
                        <w:rFonts w:ascii="宋体" w:hAnsi="宋体" w:cs="宋体"/>
                        <w:sz w:val="28"/>
                        <w:szCs w:val="28"/>
                      </w:rPr>
                      <w:t xml:space="preserve">— </w:t>
                    </w:r>
                    <w:r>
                      <w:rPr>
                        <w:rStyle w:val="23"/>
                        <w:rFonts w:ascii="宋体" w:hAnsi="宋体" w:cs="宋体"/>
                        <w:sz w:val="28"/>
                        <w:szCs w:val="28"/>
                      </w:rPr>
                      <w:fldChar w:fldCharType="begin"/>
                    </w:r>
                    <w:r>
                      <w:rPr>
                        <w:rStyle w:val="23"/>
                        <w:rFonts w:ascii="宋体" w:hAnsi="宋体" w:cs="宋体"/>
                        <w:sz w:val="28"/>
                        <w:szCs w:val="28"/>
                      </w:rPr>
                      <w:instrText xml:space="preserve">PAGE  </w:instrText>
                    </w:r>
                    <w:r>
                      <w:rPr>
                        <w:rStyle w:val="23"/>
                        <w:rFonts w:ascii="宋体" w:hAnsi="宋体" w:cs="宋体"/>
                        <w:sz w:val="28"/>
                        <w:szCs w:val="28"/>
                      </w:rPr>
                      <w:fldChar w:fldCharType="separate"/>
                    </w:r>
                    <w:r>
                      <w:rPr>
                        <w:rStyle w:val="23"/>
                        <w:rFonts w:ascii="宋体" w:hAnsi="宋体" w:cs="宋体"/>
                        <w:sz w:val="28"/>
                        <w:szCs w:val="28"/>
                      </w:rPr>
                      <w:t>116</w:t>
                    </w:r>
                    <w:r>
                      <w:rPr>
                        <w:rStyle w:val="23"/>
                        <w:rFonts w:ascii="宋体" w:hAnsi="宋体" w:cs="宋体"/>
                        <w:sz w:val="28"/>
                        <w:szCs w:val="28"/>
                      </w:rPr>
                      <w:fldChar w:fldCharType="end"/>
                    </w:r>
                    <w:r>
                      <w:rPr>
                        <w:rStyle w:val="23"/>
                        <w:rFonts w:ascii="宋体" w:hAnsi="宋体" w:cs="宋体"/>
                        <w:sz w:val="28"/>
                        <w:szCs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ind w:left="0" w:leftChars="0" w:firstLine="0" w:firstLineChars="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125</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9"/>
                      <w:ind w:left="0" w:leftChars="0" w:firstLine="0" w:firstLineChars="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125</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p>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152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152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2573E6"/>
    <w:multiLevelType w:val="singleLevel"/>
    <w:tmpl w:val="B02573E6"/>
    <w:lvl w:ilvl="0" w:tentative="0">
      <w:start w:val="3"/>
      <w:numFmt w:val="chineseCounting"/>
      <w:suff w:val="nothing"/>
      <w:lvlText w:val="（%1）"/>
      <w:lvlJc w:val="left"/>
      <w:rPr>
        <w:rFonts w:hint="eastAsia"/>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rPr>
    </w:lvl>
  </w:abstractNum>
  <w:abstractNum w:abstractNumId="3">
    <w:nsid w:val="EF7E4F2F"/>
    <w:multiLevelType w:val="singleLevel"/>
    <w:tmpl w:val="EF7E4F2F"/>
    <w:lvl w:ilvl="0" w:tentative="0">
      <w:start w:val="1"/>
      <w:numFmt w:val="decimal"/>
      <w:suff w:val="nothing"/>
      <w:lvlText w:val="（%1）"/>
      <w:lvlJc w:val="left"/>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2922577E"/>
    <w:multiLevelType w:val="singleLevel"/>
    <w:tmpl w:val="2922577E"/>
    <w:lvl w:ilvl="0" w:tentative="0">
      <w:start w:val="2"/>
      <w:numFmt w:val="decimal"/>
      <w:suff w:val="space"/>
      <w:lvlText w:val="%1."/>
      <w:lvlJc w:val="left"/>
    </w:lvl>
  </w:abstractNum>
  <w:abstractNum w:abstractNumId="6">
    <w:nsid w:val="5DC70B7F"/>
    <w:multiLevelType w:val="singleLevel"/>
    <w:tmpl w:val="5DC70B7F"/>
    <w:lvl w:ilvl="0" w:tentative="0">
      <w:start w:val="2"/>
      <w:numFmt w:val="chineseCounting"/>
      <w:suff w:val="nothing"/>
      <w:lvlText w:val="（%1）"/>
      <w:lvlJc w:val="left"/>
      <w:rPr>
        <w:rFonts w:hint="eastAsia"/>
      </w:rPr>
    </w:lvl>
  </w:abstractNum>
  <w:abstractNum w:abstractNumId="7">
    <w:nsid w:val="62621CDC"/>
    <w:multiLevelType w:val="multilevel"/>
    <w:tmpl w:val="62621CDC"/>
    <w:lvl w:ilvl="0" w:tentative="0">
      <w:start w:val="1"/>
      <w:numFmt w:val="decimal"/>
      <w:lvlText w:val="%1."/>
      <w:lvlJc w:val="left"/>
      <w:pPr>
        <w:ind w:left="1152" w:hanging="480"/>
      </w:pPr>
      <w:rPr>
        <w:rFonts w:hint="default"/>
      </w:rPr>
    </w:lvl>
    <w:lvl w:ilvl="1" w:tentative="0">
      <w:start w:val="1"/>
      <w:numFmt w:val="lowerLetter"/>
      <w:lvlText w:val="%2)"/>
      <w:lvlJc w:val="left"/>
      <w:pPr>
        <w:ind w:left="1512" w:hanging="420"/>
      </w:pPr>
    </w:lvl>
    <w:lvl w:ilvl="2" w:tentative="0">
      <w:start w:val="1"/>
      <w:numFmt w:val="lowerRoman"/>
      <w:lvlText w:val="%3."/>
      <w:lvlJc w:val="right"/>
      <w:pPr>
        <w:ind w:left="1932" w:hanging="420"/>
      </w:pPr>
    </w:lvl>
    <w:lvl w:ilvl="3" w:tentative="0">
      <w:start w:val="1"/>
      <w:numFmt w:val="decimal"/>
      <w:lvlText w:val="%4."/>
      <w:lvlJc w:val="left"/>
      <w:pPr>
        <w:ind w:left="2352" w:hanging="420"/>
      </w:pPr>
    </w:lvl>
    <w:lvl w:ilvl="4" w:tentative="0">
      <w:start w:val="1"/>
      <w:numFmt w:val="lowerLetter"/>
      <w:lvlText w:val="%5)"/>
      <w:lvlJc w:val="left"/>
      <w:pPr>
        <w:ind w:left="2772" w:hanging="420"/>
      </w:pPr>
    </w:lvl>
    <w:lvl w:ilvl="5" w:tentative="0">
      <w:start w:val="1"/>
      <w:numFmt w:val="lowerRoman"/>
      <w:lvlText w:val="%6."/>
      <w:lvlJc w:val="right"/>
      <w:pPr>
        <w:ind w:left="3192" w:hanging="420"/>
      </w:pPr>
    </w:lvl>
    <w:lvl w:ilvl="6" w:tentative="0">
      <w:start w:val="1"/>
      <w:numFmt w:val="decimal"/>
      <w:lvlText w:val="%7."/>
      <w:lvlJc w:val="left"/>
      <w:pPr>
        <w:ind w:left="3612" w:hanging="420"/>
      </w:pPr>
    </w:lvl>
    <w:lvl w:ilvl="7" w:tentative="0">
      <w:start w:val="1"/>
      <w:numFmt w:val="lowerLetter"/>
      <w:lvlText w:val="%8)"/>
      <w:lvlJc w:val="left"/>
      <w:pPr>
        <w:ind w:left="4032" w:hanging="420"/>
      </w:pPr>
    </w:lvl>
    <w:lvl w:ilvl="8" w:tentative="0">
      <w:start w:val="1"/>
      <w:numFmt w:val="lowerRoman"/>
      <w:lvlText w:val="%9."/>
      <w:lvlJc w:val="right"/>
      <w:pPr>
        <w:ind w:left="4452" w:hanging="420"/>
      </w:pPr>
    </w:lvl>
  </w:abstractNum>
  <w:num w:numId="1">
    <w:abstractNumId w:val="7"/>
  </w:num>
  <w:num w:numId="2">
    <w:abstractNumId w:val="4"/>
  </w:num>
  <w:num w:numId="3">
    <w:abstractNumId w:val="1"/>
  </w:num>
  <w:num w:numId="4">
    <w:abstractNumId w:val="2"/>
  </w:num>
  <w:num w:numId="5">
    <w:abstractNumId w:val="6"/>
  </w:num>
  <w:num w:numId="6">
    <w:abstractNumId w:val="0"/>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hideSpellingErrors/>
  <w:documentProtection w:enforcement="0"/>
  <w:defaultTabStop w:val="420"/>
  <w:drawingGridHorizontalSpacing w:val="105"/>
  <w:drawingGridVerticalSpacing w:val="159"/>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3NDU1YzljNjkwMDc2Y2Q3MmZiYjExZmUxNjM2NGIifQ=="/>
  </w:docVars>
  <w:rsids>
    <w:rsidRoot w:val="00F1361C"/>
    <w:rsid w:val="000222C6"/>
    <w:rsid w:val="0002549F"/>
    <w:rsid w:val="00042B81"/>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56181"/>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2AF9"/>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41569"/>
    <w:rsid w:val="00D51276"/>
    <w:rsid w:val="00D7035F"/>
    <w:rsid w:val="00D97E43"/>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0105B3"/>
    <w:rsid w:val="015975B8"/>
    <w:rsid w:val="02143E91"/>
    <w:rsid w:val="066E0107"/>
    <w:rsid w:val="07996F6E"/>
    <w:rsid w:val="0A2032A3"/>
    <w:rsid w:val="0A8C0C42"/>
    <w:rsid w:val="0C841217"/>
    <w:rsid w:val="0D376F80"/>
    <w:rsid w:val="0EF56552"/>
    <w:rsid w:val="0F98263C"/>
    <w:rsid w:val="0FF938D1"/>
    <w:rsid w:val="101860EC"/>
    <w:rsid w:val="108F5D13"/>
    <w:rsid w:val="10C055FF"/>
    <w:rsid w:val="118107EC"/>
    <w:rsid w:val="12274B45"/>
    <w:rsid w:val="127A0B46"/>
    <w:rsid w:val="13066EC4"/>
    <w:rsid w:val="137B0AA6"/>
    <w:rsid w:val="138C2CC1"/>
    <w:rsid w:val="13D50BC4"/>
    <w:rsid w:val="1448764C"/>
    <w:rsid w:val="14532F0C"/>
    <w:rsid w:val="15046C6E"/>
    <w:rsid w:val="16BB723D"/>
    <w:rsid w:val="1AD71B4C"/>
    <w:rsid w:val="1ADE13F6"/>
    <w:rsid w:val="1BE8440E"/>
    <w:rsid w:val="1BEB0537"/>
    <w:rsid w:val="1D155CEE"/>
    <w:rsid w:val="1DFE1FA0"/>
    <w:rsid w:val="1EC361A4"/>
    <w:rsid w:val="1FF35744"/>
    <w:rsid w:val="21CC5486"/>
    <w:rsid w:val="22307384"/>
    <w:rsid w:val="23860B96"/>
    <w:rsid w:val="240371BF"/>
    <w:rsid w:val="240E5CC6"/>
    <w:rsid w:val="2538775C"/>
    <w:rsid w:val="26C26CF7"/>
    <w:rsid w:val="28397CDC"/>
    <w:rsid w:val="29813F30"/>
    <w:rsid w:val="29FD04D3"/>
    <w:rsid w:val="2A1262DA"/>
    <w:rsid w:val="2C8A61B5"/>
    <w:rsid w:val="2DF04E50"/>
    <w:rsid w:val="2E5A3799"/>
    <w:rsid w:val="2ECB74BA"/>
    <w:rsid w:val="2F040D46"/>
    <w:rsid w:val="2FE30054"/>
    <w:rsid w:val="306D4B10"/>
    <w:rsid w:val="319F7F4E"/>
    <w:rsid w:val="31A54284"/>
    <w:rsid w:val="323D70D2"/>
    <w:rsid w:val="325D030E"/>
    <w:rsid w:val="32A9493D"/>
    <w:rsid w:val="3304709D"/>
    <w:rsid w:val="330B1E75"/>
    <w:rsid w:val="33A66308"/>
    <w:rsid w:val="34B777B3"/>
    <w:rsid w:val="34EC77A1"/>
    <w:rsid w:val="35375618"/>
    <w:rsid w:val="36AA5135"/>
    <w:rsid w:val="37306987"/>
    <w:rsid w:val="376D39B2"/>
    <w:rsid w:val="37E16F03"/>
    <w:rsid w:val="37FF41CE"/>
    <w:rsid w:val="38D469F0"/>
    <w:rsid w:val="3A265085"/>
    <w:rsid w:val="3A9B4763"/>
    <w:rsid w:val="3D98207C"/>
    <w:rsid w:val="3E78745D"/>
    <w:rsid w:val="3F82710F"/>
    <w:rsid w:val="43BC62B5"/>
    <w:rsid w:val="44E268DA"/>
    <w:rsid w:val="4583699D"/>
    <w:rsid w:val="45B2087F"/>
    <w:rsid w:val="467B618C"/>
    <w:rsid w:val="488D7D82"/>
    <w:rsid w:val="4A627F82"/>
    <w:rsid w:val="4ABE2AF3"/>
    <w:rsid w:val="4B0E749A"/>
    <w:rsid w:val="4B4F25DA"/>
    <w:rsid w:val="4BE068DB"/>
    <w:rsid w:val="4C351649"/>
    <w:rsid w:val="4D577224"/>
    <w:rsid w:val="4DA07F9C"/>
    <w:rsid w:val="4EAB630A"/>
    <w:rsid w:val="4ECE2238"/>
    <w:rsid w:val="4EEA6C06"/>
    <w:rsid w:val="4F992E4A"/>
    <w:rsid w:val="527A4985"/>
    <w:rsid w:val="52885D6E"/>
    <w:rsid w:val="537E6D0A"/>
    <w:rsid w:val="539B0015"/>
    <w:rsid w:val="576956F6"/>
    <w:rsid w:val="58AC0BF6"/>
    <w:rsid w:val="58EE582A"/>
    <w:rsid w:val="59096793"/>
    <w:rsid w:val="5AF92295"/>
    <w:rsid w:val="5BA466A3"/>
    <w:rsid w:val="5C3A23F1"/>
    <w:rsid w:val="5CD71FC4"/>
    <w:rsid w:val="5CF175E5"/>
    <w:rsid w:val="5DB37829"/>
    <w:rsid w:val="5E3BD9D7"/>
    <w:rsid w:val="5E7B17AF"/>
    <w:rsid w:val="5EF03B48"/>
    <w:rsid w:val="5FFE692D"/>
    <w:rsid w:val="610832EF"/>
    <w:rsid w:val="63487723"/>
    <w:rsid w:val="666E37D5"/>
    <w:rsid w:val="6697005E"/>
    <w:rsid w:val="679A2115"/>
    <w:rsid w:val="67C61CAF"/>
    <w:rsid w:val="687A1573"/>
    <w:rsid w:val="68EF365D"/>
    <w:rsid w:val="6AD434B1"/>
    <w:rsid w:val="6ADF69B9"/>
    <w:rsid w:val="6C4A05C8"/>
    <w:rsid w:val="6CC80F39"/>
    <w:rsid w:val="6E5E34F1"/>
    <w:rsid w:val="6E7E3605"/>
    <w:rsid w:val="6E8864BA"/>
    <w:rsid w:val="6FF5CC65"/>
    <w:rsid w:val="71302AFD"/>
    <w:rsid w:val="715C0E4B"/>
    <w:rsid w:val="72734D90"/>
    <w:rsid w:val="72C232B3"/>
    <w:rsid w:val="72CFEC3E"/>
    <w:rsid w:val="73AD73D5"/>
    <w:rsid w:val="73B6EB34"/>
    <w:rsid w:val="744731E5"/>
    <w:rsid w:val="767E397C"/>
    <w:rsid w:val="76B822CB"/>
    <w:rsid w:val="76E3355F"/>
    <w:rsid w:val="778769C8"/>
    <w:rsid w:val="792E27DA"/>
    <w:rsid w:val="79EE5BA4"/>
    <w:rsid w:val="7A894339"/>
    <w:rsid w:val="7BAFB79F"/>
    <w:rsid w:val="7BEB053E"/>
    <w:rsid w:val="7BFE6AF1"/>
    <w:rsid w:val="7CD750DF"/>
    <w:rsid w:val="7D0211AE"/>
    <w:rsid w:val="7DBC785F"/>
    <w:rsid w:val="7E52017D"/>
    <w:rsid w:val="7EBD0EA6"/>
    <w:rsid w:val="7EDE4CA2"/>
    <w:rsid w:val="7EEF11D3"/>
    <w:rsid w:val="7F2B555A"/>
    <w:rsid w:val="7FA30C79"/>
    <w:rsid w:val="7FB7269E"/>
    <w:rsid w:val="7FC96657"/>
    <w:rsid w:val="7FD3250E"/>
    <w:rsid w:val="B4CFAE34"/>
    <w:rsid w:val="D8D6DB89"/>
    <w:rsid w:val="DB6F4CAB"/>
    <w:rsid w:val="DDEF9212"/>
    <w:rsid w:val="DF6F9789"/>
    <w:rsid w:val="E87FDFFA"/>
    <w:rsid w:val="EB2DB28E"/>
    <w:rsid w:val="F3CF1C9A"/>
    <w:rsid w:val="FE3A5065"/>
    <w:rsid w:val="FE7DB59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7"/>
    <w:unhideWhenUsed/>
    <w:qFormat/>
    <w:uiPriority w:val="9"/>
    <w:pPr>
      <w:keepNext/>
      <w:keepLines/>
      <w:spacing w:before="260" w:after="260" w:line="416" w:lineRule="auto"/>
      <w:outlineLvl w:val="2"/>
    </w:pPr>
    <w:rPr>
      <w:b/>
      <w:bCs/>
      <w:sz w:val="32"/>
      <w:szCs w:val="3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next w:val="1"/>
    <w:qFormat/>
    <w:uiPriority w:val="0"/>
    <w:pPr>
      <w:widowControl w:val="0"/>
      <w:suppressAutoHyphens/>
      <w:jc w:val="both"/>
    </w:pPr>
    <w:rPr>
      <w:rFonts w:ascii="宋体" w:hAnsi="Times New Roman" w:eastAsia="宋体" w:cs="Courier New"/>
      <w:kern w:val="2"/>
      <w:sz w:val="21"/>
      <w:szCs w:val="21"/>
      <w:lang w:val="en-US" w:eastAsia="zh-CN" w:bidi="ar-SA"/>
    </w:rPr>
  </w:style>
  <w:style w:type="paragraph" w:styleId="6">
    <w:name w:val="annotation text"/>
    <w:basedOn w:val="1"/>
    <w:qFormat/>
    <w:uiPriority w:val="0"/>
    <w:pPr>
      <w:jc w:val="left"/>
    </w:pPr>
    <w:rPr>
      <w:rFonts w:ascii="Calibri" w:hAnsi="Calibri" w:cs="Calibri"/>
      <w:szCs w:val="21"/>
    </w:rPr>
  </w:style>
  <w:style w:type="paragraph" w:styleId="7">
    <w:name w:val="Body Text"/>
    <w:basedOn w:val="1"/>
    <w:link w:val="35"/>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ody Text Indent 2"/>
    <w:basedOn w:val="1"/>
    <w:qFormat/>
    <w:uiPriority w:val="99"/>
    <w:pPr>
      <w:spacing w:after="120" w:line="480" w:lineRule="auto"/>
      <w:ind w:left="420"/>
    </w:pPr>
  </w:style>
  <w:style w:type="paragraph" w:styleId="11">
    <w:name w:val="Balloon Text"/>
    <w:basedOn w:val="1"/>
    <w:link w:val="39"/>
    <w:semiHidden/>
    <w:unhideWhenUsed/>
    <w:qFormat/>
    <w:uiPriority w:val="99"/>
    <w:rPr>
      <w:sz w:val="18"/>
      <w:szCs w:val="18"/>
    </w:rPr>
  </w:style>
  <w:style w:type="paragraph" w:styleId="12">
    <w:name w:val="footer"/>
    <w:basedOn w:val="1"/>
    <w:next w:val="13"/>
    <w:link w:val="33"/>
    <w:qFormat/>
    <w:uiPriority w:val="99"/>
    <w:pPr>
      <w:tabs>
        <w:tab w:val="center" w:pos="4153"/>
        <w:tab w:val="right" w:pos="8306"/>
      </w:tabs>
      <w:snapToGrid w:val="0"/>
      <w:jc w:val="left"/>
    </w:pPr>
    <w:rPr>
      <w:rFonts w:ascii="Calibri" w:hAnsi="Calibri"/>
      <w:kern w:val="0"/>
      <w:sz w:val="18"/>
      <w:szCs w:val="18"/>
    </w:rPr>
  </w:style>
  <w:style w:type="paragraph" w:styleId="13">
    <w:name w:val="Normal (Web)"/>
    <w:basedOn w:val="1"/>
    <w:next w:val="12"/>
    <w:unhideWhenUsed/>
    <w:qFormat/>
    <w:uiPriority w:val="0"/>
    <w:pPr>
      <w:widowControl/>
      <w:spacing w:before="100" w:beforeAutospacing="1" w:after="100" w:afterAutospacing="1"/>
      <w:jc w:val="left"/>
    </w:pPr>
    <w:rPr>
      <w:rFonts w:ascii="宋体" w:hAnsi="宋体" w:cs="宋体"/>
      <w:kern w:val="0"/>
      <w:sz w:val="24"/>
    </w:rPr>
  </w:style>
  <w:style w:type="paragraph" w:styleId="14">
    <w:name w:val="header"/>
    <w:basedOn w:val="1"/>
    <w:link w:val="3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5">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6">
    <w:name w:val="table of figures"/>
    <w:basedOn w:val="1"/>
    <w:next w:val="1"/>
    <w:qFormat/>
    <w:uiPriority w:val="0"/>
    <w:pPr>
      <w:ind w:left="400" w:leftChars="200" w:hanging="200" w:hangingChars="200"/>
    </w:pPr>
    <w:rPr>
      <w:rFonts w:ascii="Calibri" w:hAnsi="Calibri" w:cs="Calibri"/>
      <w:szCs w:val="21"/>
    </w:rPr>
  </w:style>
  <w:style w:type="paragraph" w:styleId="17">
    <w:name w:val="toc 2"/>
    <w:basedOn w:val="1"/>
    <w:next w:val="1"/>
    <w:unhideWhenUsed/>
    <w:qFormat/>
    <w:uiPriority w:val="39"/>
    <w:pPr>
      <w:tabs>
        <w:tab w:val="right" w:leader="dot" w:pos="8296"/>
      </w:tabs>
      <w:ind w:left="420" w:leftChars="200"/>
    </w:pPr>
  </w:style>
  <w:style w:type="paragraph" w:styleId="18">
    <w:name w:val="annotation subject"/>
    <w:basedOn w:val="6"/>
    <w:next w:val="6"/>
    <w:qFormat/>
    <w:uiPriority w:val="0"/>
    <w:rPr>
      <w:b/>
      <w:bCs/>
    </w:rPr>
  </w:style>
  <w:style w:type="paragraph" w:styleId="19">
    <w:name w:val="Body Text First Indent 2"/>
    <w:basedOn w:val="8"/>
    <w:next w:val="8"/>
    <w:unhideWhenUsed/>
    <w:qFormat/>
    <w:uiPriority w:val="99"/>
    <w:pPr>
      <w:ind w:firstLine="420" w:firstLineChars="200"/>
    </w:pPr>
  </w:style>
  <w:style w:type="character" w:styleId="22">
    <w:name w:val="Strong"/>
    <w:basedOn w:val="21"/>
    <w:qFormat/>
    <w:uiPriority w:val="99"/>
    <w:rPr>
      <w:b/>
    </w:rPr>
  </w:style>
  <w:style w:type="character" w:styleId="23">
    <w:name w:val="page number"/>
    <w:basedOn w:val="21"/>
    <w:qFormat/>
    <w:uiPriority w:val="99"/>
  </w:style>
  <w:style w:type="character" w:styleId="24">
    <w:name w:val="Hyperlink"/>
    <w:basedOn w:val="21"/>
    <w:unhideWhenUsed/>
    <w:qFormat/>
    <w:uiPriority w:val="99"/>
    <w:rPr>
      <w:color w:val="0000FF" w:themeColor="hyperlink"/>
      <w:u w:val="single"/>
      <w14:textFill>
        <w14:solidFill>
          <w14:schemeClr w14:val="hlink"/>
        </w14:solidFill>
      </w14:textFill>
    </w:rPr>
  </w:style>
  <w:style w:type="character" w:customStyle="1" w:styleId="25">
    <w:name w:val="标题 1 Char"/>
    <w:basedOn w:val="21"/>
    <w:link w:val="3"/>
    <w:qFormat/>
    <w:uiPriority w:val="9"/>
    <w:rPr>
      <w:rFonts w:ascii="Times New Roman" w:hAnsi="Times New Roman"/>
      <w:b/>
      <w:bCs/>
      <w:kern w:val="44"/>
      <w:sz w:val="44"/>
      <w:szCs w:val="44"/>
    </w:rPr>
  </w:style>
  <w:style w:type="character" w:customStyle="1" w:styleId="26">
    <w:name w:val="标题 2 Char"/>
    <w:basedOn w:val="21"/>
    <w:link w:val="4"/>
    <w:qFormat/>
    <w:uiPriority w:val="9"/>
    <w:rPr>
      <w:rFonts w:asciiTheme="majorHAnsi" w:hAnsiTheme="majorHAnsi" w:eastAsiaTheme="majorEastAsia" w:cstheme="majorBidi"/>
      <w:b/>
      <w:bCs/>
      <w:kern w:val="2"/>
      <w:sz w:val="32"/>
      <w:szCs w:val="32"/>
    </w:rPr>
  </w:style>
  <w:style w:type="character" w:customStyle="1" w:styleId="27">
    <w:name w:val="标题 3 Char"/>
    <w:basedOn w:val="21"/>
    <w:link w:val="5"/>
    <w:qFormat/>
    <w:uiPriority w:val="9"/>
    <w:rPr>
      <w:rFonts w:ascii="Times New Roman" w:hAnsi="Times New Roman"/>
      <w:b/>
      <w:bCs/>
      <w:kern w:val="2"/>
      <w:sz w:val="32"/>
      <w:szCs w:val="32"/>
    </w:rPr>
  </w:style>
  <w:style w:type="paragraph" w:customStyle="1" w:styleId="28">
    <w:name w:val="BodyTextIndent2"/>
    <w:basedOn w:val="1"/>
    <w:qFormat/>
    <w:uiPriority w:val="0"/>
    <w:pPr>
      <w:spacing w:after="120" w:line="480" w:lineRule="auto"/>
      <w:ind w:left="420"/>
      <w:textAlignment w:val="baseline"/>
    </w:pPr>
  </w:style>
  <w:style w:type="paragraph" w:customStyle="1" w:styleId="2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30">
    <w:name w:val="Header Char"/>
    <w:basedOn w:val="21"/>
    <w:semiHidden/>
    <w:qFormat/>
    <w:uiPriority w:val="99"/>
    <w:rPr>
      <w:rFonts w:ascii="Times New Roman" w:hAnsi="Times New Roman"/>
      <w:sz w:val="18"/>
      <w:szCs w:val="18"/>
    </w:rPr>
  </w:style>
  <w:style w:type="character" w:customStyle="1" w:styleId="31">
    <w:name w:val="页眉 Char"/>
    <w:link w:val="14"/>
    <w:semiHidden/>
    <w:qFormat/>
    <w:locked/>
    <w:uiPriority w:val="99"/>
    <w:rPr>
      <w:sz w:val="18"/>
    </w:rPr>
  </w:style>
  <w:style w:type="character" w:customStyle="1" w:styleId="32">
    <w:name w:val="Footer Char"/>
    <w:basedOn w:val="21"/>
    <w:semiHidden/>
    <w:qFormat/>
    <w:uiPriority w:val="99"/>
    <w:rPr>
      <w:rFonts w:ascii="Times New Roman" w:hAnsi="Times New Roman"/>
      <w:sz w:val="18"/>
      <w:szCs w:val="18"/>
    </w:rPr>
  </w:style>
  <w:style w:type="character" w:customStyle="1" w:styleId="33">
    <w:name w:val="页脚 Char"/>
    <w:link w:val="12"/>
    <w:qFormat/>
    <w:locked/>
    <w:uiPriority w:val="99"/>
    <w:rPr>
      <w:sz w:val="18"/>
    </w:rPr>
  </w:style>
  <w:style w:type="character" w:customStyle="1" w:styleId="34">
    <w:name w:val="Body Text Char"/>
    <w:basedOn w:val="21"/>
    <w:semiHidden/>
    <w:qFormat/>
    <w:uiPriority w:val="99"/>
    <w:rPr>
      <w:rFonts w:ascii="Times New Roman" w:hAnsi="Times New Roman"/>
      <w:szCs w:val="24"/>
    </w:rPr>
  </w:style>
  <w:style w:type="character" w:customStyle="1" w:styleId="35">
    <w:name w:val="正文文本 Char"/>
    <w:link w:val="7"/>
    <w:qFormat/>
    <w:locked/>
    <w:uiPriority w:val="99"/>
    <w:rPr>
      <w:rFonts w:ascii="仿宋_GB2312" w:hAnsi="Times New Roman" w:eastAsia="仿宋_GB2312"/>
      <w:sz w:val="24"/>
    </w:rPr>
  </w:style>
  <w:style w:type="paragraph" w:customStyle="1" w:styleId="3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7">
    <w:name w:val="List Paragraph"/>
    <w:basedOn w:val="1"/>
    <w:qFormat/>
    <w:uiPriority w:val="34"/>
    <w:pPr>
      <w:ind w:firstLine="420" w:firstLineChars="200"/>
    </w:pPr>
  </w:style>
  <w:style w:type="paragraph" w:customStyle="1" w:styleId="3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9">
    <w:name w:val="批注框文本 Char"/>
    <w:basedOn w:val="21"/>
    <w:link w:val="11"/>
    <w:semiHidden/>
    <w:qFormat/>
    <w:uiPriority w:val="99"/>
    <w:rPr>
      <w:rFonts w:ascii="Times New Roman" w:hAnsi="Times New Roman"/>
      <w:kern w:val="2"/>
      <w:sz w:val="18"/>
      <w:szCs w:val="18"/>
    </w:rPr>
  </w:style>
  <w:style w:type="paragraph" w:customStyle="1" w:styleId="40">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41">
    <w:name w:val="四号正文"/>
    <w:basedOn w:val="1"/>
    <w:qFormat/>
    <w:uiPriority w:val="0"/>
    <w:pPr>
      <w:spacing w:line="360" w:lineRule="auto"/>
    </w:pPr>
    <w:rPr>
      <w:rFonts w:ascii="??" w:hAnsi="??"/>
      <w:color w:val="000000"/>
      <w:kern w:val="0"/>
      <w:sz w:val="28"/>
      <w:szCs w:val="21"/>
      <w:lang w:val="zh-CN"/>
    </w:rPr>
  </w:style>
  <w:style w:type="character" w:customStyle="1" w:styleId="42">
    <w:name w:val="NormalCharacter"/>
    <w:qFormat/>
    <w:uiPriority w:val="0"/>
    <w:rPr>
      <w:kern w:val="2"/>
      <w:sz w:val="21"/>
      <w:szCs w:val="24"/>
      <w:lang w:val="en-US" w:eastAsia="zh-CN" w:bidi="ar-SA"/>
    </w:rPr>
  </w:style>
  <w:style w:type="paragraph" w:customStyle="1" w:styleId="43">
    <w:name w:val="样式 行距: 固定值 28.9 磅"/>
    <w:basedOn w:val="1"/>
    <w:next w:val="44"/>
    <w:qFormat/>
    <w:uiPriority w:val="0"/>
    <w:pPr>
      <w:spacing w:line="578" w:lineRule="exact"/>
    </w:pPr>
    <w:rPr>
      <w:rFonts w:cs="宋体"/>
      <w:szCs w:val="20"/>
    </w:rPr>
  </w:style>
  <w:style w:type="paragraph" w:customStyle="1" w:styleId="44">
    <w:name w:val="Heading"/>
    <w:basedOn w:val="1"/>
    <w:next w:val="7"/>
    <w:qFormat/>
    <w:uiPriority w:val="0"/>
    <w:pPr>
      <w:keepNext/>
      <w:suppressAutoHyphens/>
      <w:spacing w:before="240" w:after="120"/>
    </w:pPr>
    <w:rPr>
      <w:rFonts w:ascii="Liberation Sans" w:hAnsi="Liberation Sans" w:eastAsia="Noto Sans CJK SC Regular" w:cs="Noto Sans CJK SC Regular"/>
      <w:sz w:val="28"/>
      <w:szCs w:val="28"/>
    </w:rPr>
  </w:style>
  <w:style w:type="character" w:customStyle="1" w:styleId="45">
    <w:name w:val="font61"/>
    <w:basedOn w:val="21"/>
    <w:qFormat/>
    <w:uiPriority w:val="0"/>
    <w:rPr>
      <w:rFonts w:hint="eastAsia" w:ascii="宋体" w:hAnsi="宋体" w:eastAsia="宋体" w:cs="宋体"/>
      <w:color w:val="000000"/>
      <w:sz w:val="18"/>
      <w:szCs w:val="18"/>
      <w:u w:val="none"/>
    </w:rPr>
  </w:style>
  <w:style w:type="character" w:customStyle="1" w:styleId="46">
    <w:name w:val="font51"/>
    <w:basedOn w:val="21"/>
    <w:qFormat/>
    <w:uiPriority w:val="0"/>
    <w:rPr>
      <w:rFonts w:hint="eastAsia" w:ascii="宋体" w:hAnsi="宋体" w:eastAsia="宋体" w:cs="宋体"/>
      <w:color w:val="000000"/>
      <w:sz w:val="18"/>
      <w:szCs w:val="18"/>
      <w:u w:val="none"/>
    </w:rPr>
  </w:style>
  <w:style w:type="character" w:customStyle="1" w:styleId="47">
    <w:name w:val="font71"/>
    <w:basedOn w:val="21"/>
    <w:qFormat/>
    <w:uiPriority w:val="0"/>
    <w:rPr>
      <w:rFonts w:hint="eastAsia" w:ascii="宋体" w:hAnsi="宋体" w:eastAsia="宋体" w:cs="宋体"/>
      <w:color w:val="000000"/>
      <w:sz w:val="18"/>
      <w:szCs w:val="18"/>
      <w:u w:val="none"/>
    </w:rPr>
  </w:style>
  <w:style w:type="paragraph" w:customStyle="1" w:styleId="48">
    <w:name w:val="Char"/>
    <w:basedOn w:val="1"/>
    <w:qFormat/>
    <w:uiPriority w:val="99"/>
    <w:pPr>
      <w:widowControl/>
      <w:spacing w:after="160" w:line="240" w:lineRule="exact"/>
      <w:jc w:val="left"/>
    </w:pPr>
  </w:style>
  <w:style w:type="character" w:customStyle="1" w:styleId="49">
    <w:name w:val="font11"/>
    <w:basedOn w:val="21"/>
    <w:qFormat/>
    <w:uiPriority w:val="0"/>
    <w:rPr>
      <w:rFonts w:hint="eastAsia" w:ascii="宋体" w:hAnsi="宋体" w:eastAsia="宋体" w:cs="宋体"/>
      <w:b/>
      <w:bCs/>
      <w:color w:val="000000"/>
      <w:sz w:val="32"/>
      <w:szCs w:val="32"/>
      <w:u w:val="none"/>
    </w:rPr>
  </w:style>
  <w:style w:type="character" w:customStyle="1" w:styleId="50">
    <w:name w:val="font21"/>
    <w:basedOn w:val="21"/>
    <w:qFormat/>
    <w:uiPriority w:val="0"/>
    <w:rPr>
      <w:rFonts w:hint="eastAsia" w:ascii="宋体" w:hAnsi="宋体" w:eastAsia="宋体" w:cs="宋体"/>
      <w:color w:val="000000"/>
      <w:sz w:val="20"/>
      <w:szCs w:val="20"/>
      <w:u w:val="none"/>
    </w:rPr>
  </w:style>
  <w:style w:type="paragraph" w:customStyle="1" w:styleId="51">
    <w:name w:val="正文 A"/>
    <w:qFormat/>
    <w:uiPriority w:val="0"/>
    <w:pPr>
      <w:framePr w:wrap="around" w:vAnchor="margin" w:hAnchor="text" w:y="1"/>
      <w:widowControl w:val="0"/>
      <w:jc w:val="both"/>
    </w:pPr>
    <w:rPr>
      <w:rFonts w:ascii="Times New Roman" w:hAnsi="Times New Roman" w:eastAsia="宋体" w:cs="Arial Unicode MS"/>
      <w:color w:val="000000"/>
      <w:kern w:val="2"/>
      <w:sz w:val="21"/>
      <w:szCs w:val="21"/>
      <w:u w:color="000000"/>
      <w:lang w:val="en-US" w:eastAsia="zh-CN" w:bidi="ar-SA"/>
    </w:rPr>
  </w:style>
  <w:style w:type="character" w:customStyle="1" w:styleId="52">
    <w:name w:val="font81"/>
    <w:basedOn w:val="21"/>
    <w:qFormat/>
    <w:uiPriority w:val="0"/>
    <w:rPr>
      <w:rFonts w:hint="eastAsia" w:ascii="方正小标宋简体" w:hAnsi="方正小标宋简体" w:eastAsia="方正小标宋简体" w:cs="方正小标宋简体"/>
      <w:color w:val="000000"/>
      <w:sz w:val="32"/>
      <w:szCs w:val="32"/>
      <w:u w:val="none"/>
    </w:rPr>
  </w:style>
  <w:style w:type="character" w:customStyle="1" w:styleId="53">
    <w:name w:val="font01"/>
    <w:basedOn w:val="21"/>
    <w:qFormat/>
    <w:uiPriority w:val="0"/>
    <w:rPr>
      <w:rFonts w:hint="eastAsia" w:ascii="宋体" w:hAnsi="宋体" w:eastAsia="宋体" w:cs="宋体"/>
      <w:color w:val="000000"/>
      <w:sz w:val="22"/>
      <w:szCs w:val="22"/>
      <w:u w:val="none"/>
    </w:rPr>
  </w:style>
  <w:style w:type="character" w:customStyle="1" w:styleId="54">
    <w:name w:val="font91"/>
    <w:basedOn w:val="21"/>
    <w:qFormat/>
    <w:uiPriority w:val="0"/>
    <w:rPr>
      <w:rFonts w:ascii="Arial" w:hAnsi="Arial" w:cs="Arial"/>
      <w:color w:val="000000"/>
      <w:sz w:val="20"/>
      <w:szCs w:val="20"/>
      <w:u w:val="none"/>
    </w:rPr>
  </w:style>
  <w:style w:type="character" w:customStyle="1" w:styleId="55">
    <w:name w:val="font171"/>
    <w:basedOn w:val="21"/>
    <w:qFormat/>
    <w:uiPriority w:val="0"/>
    <w:rPr>
      <w:rFonts w:hint="eastAsia" w:ascii="宋体" w:hAnsi="宋体" w:eastAsia="宋体" w:cs="宋体"/>
      <w:color w:val="000000"/>
      <w:sz w:val="20"/>
      <w:szCs w:val="20"/>
      <w:u w:val="none"/>
    </w:rPr>
  </w:style>
  <w:style w:type="character" w:customStyle="1" w:styleId="56">
    <w:name w:val="font181"/>
    <w:basedOn w:val="2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chart" Target="charts/chart7.xml"/><Relationship Id="rId18" Type="http://schemas.openxmlformats.org/officeDocument/2006/relationships/chart" Target="charts/chart6.xml"/><Relationship Id="rId17" Type="http://schemas.openxmlformats.org/officeDocument/2006/relationships/chart" Target="charts/chart5.xml"/><Relationship Id="rId16" Type="http://schemas.openxmlformats.org/officeDocument/2006/relationships/chart" Target="charts/chart4.xml"/><Relationship Id="rId15" Type="http://schemas.openxmlformats.org/officeDocument/2006/relationships/chart" Target="charts/chart3.xml"/><Relationship Id="rId14" Type="http://schemas.openxmlformats.org/officeDocument/2006/relationships/chart" Target="charts/chart2.xml"/><Relationship Id="rId13" Type="http://schemas.openxmlformats.org/officeDocument/2006/relationships/chart" Target="charts/chart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5036524413687"/>
          <c:y val="0.106910039113429"/>
          <c:w val="0.891118800461361"/>
          <c:h val="0.816531942633638"/>
        </c:manualLayout>
      </c:layout>
      <c:barChart>
        <c:barDir val="col"/>
        <c:grouping val="stacked"/>
        <c:varyColors val="0"/>
        <c:ser>
          <c:idx val="0"/>
          <c:order val="0"/>
          <c:tx>
            <c:strRef>
              <c:f>Sheet1!$B$1</c:f>
              <c:strCache>
                <c:ptCount val="1"/>
                <c:pt idx="0">
                  <c:v>收、支决算总计</c:v>
                </c:pt>
              </c:strCache>
            </c:strRef>
          </c:tx>
          <c:spPr>
            <a:solidFill>
              <a:schemeClr val="accent1"/>
            </a:solidFill>
            <a:ln>
              <a:noFill/>
            </a:ln>
            <a:effectLst/>
          </c:spPr>
          <c:invertIfNegative val="0"/>
          <c:dLbls>
            <c:dLbl>
              <c:idx val="0"/>
              <c:layout>
                <c:manualLayout>
                  <c:x val="0.451493015506856"/>
                  <c:y val="-0.50586701434159"/>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2499.57</a:t>
                    </a:r>
                    <a:r>
                      <a:rPr lang="zh-CN" altLang="en-US"/>
                      <a:t>万元</a:t>
                    </a:r>
                    <a:endParaRPr lang="zh-CN" altLang="en-US"/>
                  </a:p>
                </c:rich>
              </c:tx>
              <c:dLblPos val="ctr"/>
              <c:showLegendKey val="0"/>
              <c:showVal val="1"/>
              <c:showCatName val="0"/>
              <c:showSerName val="0"/>
              <c:showPercent val="0"/>
              <c:showBubbleSize val="0"/>
              <c:extLst>
                <c:ext xmlns:c15="http://schemas.microsoft.com/office/drawing/2012/chart" uri="{CE6537A1-D6FC-4f65-9D91-7224C49458BB}">
                  <c15:layout>
                    <c:manualLayout>
                      <c:w val="0.142765602973215"/>
                      <c:h val="0.13142112125163"/>
                    </c:manualLayout>
                  </c15:layout>
                </c:ext>
              </c:extLst>
            </c:dLbl>
            <c:dLbl>
              <c:idx val="1"/>
              <c:layout>
                <c:manualLayout>
                  <c:x val="-0.447135717031911"/>
                  <c:y val="-0.211734028683181"/>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1714.33</a:t>
                    </a:r>
                    <a:r>
                      <a:rPr lang="zh-CN" altLang="en-US"/>
                      <a:t>万元</a:t>
                    </a:r>
                    <a:endParaRPr lang="zh-CN" altLang="en-US"/>
                  </a:p>
                </c:rich>
              </c:tx>
              <c:dLblPos val="ctr"/>
              <c:showLegendKey val="0"/>
              <c:showVal val="1"/>
              <c:showCatName val="0"/>
              <c:showSerName val="0"/>
              <c:showPercent val="0"/>
              <c:showBubbleSize val="0"/>
              <c:extLst>
                <c:ext xmlns:c15="http://schemas.microsoft.com/office/drawing/2012/chart" uri="{CE6537A1-D6FC-4f65-9D91-7224C49458BB}">
                  <c15:layout>
                    <c:manualLayout>
                      <c:w val="0.141355888760733"/>
                      <c:h val="0.156975228161669"/>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1714.33</c:v>
                </c:pt>
                <c:pt idx="1">
                  <c:v>2499.57</c:v>
                </c:pt>
              </c:numCache>
            </c:numRef>
          </c:val>
        </c:ser>
        <c:dLbls>
          <c:showLegendKey val="0"/>
          <c:showVal val="1"/>
          <c:showCatName val="0"/>
          <c:showSerName val="0"/>
          <c:showPercent val="0"/>
          <c:showBubbleSize val="0"/>
        </c:dLbls>
        <c:gapWidth val="150"/>
        <c:overlap val="100"/>
        <c:axId val="102998016"/>
        <c:axId val="103000704"/>
      </c:barChart>
      <c:catAx>
        <c:axId val="10299801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3000704"/>
        <c:crosses val="autoZero"/>
        <c:auto val="1"/>
        <c:lblAlgn val="ctr"/>
        <c:lblOffset val="100"/>
        <c:noMultiLvlLbl val="0"/>
      </c:catAx>
      <c:valAx>
        <c:axId val="1030007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29980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86516103167179"/>
          <c:y val="0.198483496877788"/>
          <c:w val="0.412935988240011"/>
          <c:h val="0.689116859946476"/>
        </c:manualLayout>
      </c:layout>
      <c:pieChart>
        <c:varyColors val="1"/>
        <c:ser>
          <c:idx val="0"/>
          <c:order val="0"/>
          <c:tx>
            <c:strRef>
              <c:f>Sheet1!$B$1</c:f>
              <c:strCache>
                <c:ptCount val="1"/>
                <c:pt idx="0">
                  <c:v>销售额</c:v>
                </c:pt>
              </c:strCache>
            </c:strRef>
          </c:tx>
          <c:explosion val="0"/>
          <c:dPt>
            <c:idx val="0"/>
            <c:bubble3D val="0"/>
            <c:explosion val="15"/>
            <c:spPr>
              <a:gradFill>
                <a:gsLst>
                  <a:gs pos="0">
                    <a:schemeClr val="accent1">
                      <a:lumMod val="40000"/>
                      <a:lumOff val="60000"/>
                    </a:schemeClr>
                  </a:gs>
                  <a:gs pos="90000">
                    <a:schemeClr val="accent1"/>
                  </a:gs>
                </a:gsLst>
                <a:lin ang="5400000" scaled="0"/>
              </a:gradFill>
              <a:ln>
                <a:gradFill>
                  <a:gsLst>
                    <a:gs pos="0">
                      <a:schemeClr val="accent1"/>
                    </a:gs>
                    <a:gs pos="100000">
                      <a:schemeClr val="accent1">
                        <a:lumMod val="75000"/>
                      </a:schemeClr>
                    </a:gs>
                  </a:gsLst>
                  <a:lin ang="5400000" scaled="1"/>
                </a:gradFill>
              </a:ln>
              <a:effectLst>
                <a:outerShdw blurRad="76200" dist="25400" dir="2700000" algn="tl" rotWithShape="0">
                  <a:schemeClr val="accent1">
                    <a:lumMod val="50000"/>
                    <a:alpha val="30000"/>
                  </a:schemeClr>
                </a:outerShdw>
              </a:effectLst>
            </c:spPr>
          </c:dPt>
          <c:dPt>
            <c:idx val="1"/>
            <c:bubble3D val="0"/>
            <c:explosion val="6"/>
            <c:spPr>
              <a:gradFill>
                <a:gsLst>
                  <a:gs pos="0">
                    <a:schemeClr val="accent2">
                      <a:lumMod val="40000"/>
                      <a:lumOff val="60000"/>
                    </a:schemeClr>
                  </a:gs>
                  <a:gs pos="90000">
                    <a:schemeClr val="accent2"/>
                  </a:gs>
                </a:gsLst>
                <a:lin ang="5400000" scaled="0"/>
              </a:gradFill>
              <a:ln>
                <a:gradFill>
                  <a:gsLst>
                    <a:gs pos="0">
                      <a:schemeClr val="accent2"/>
                    </a:gs>
                    <a:gs pos="100000">
                      <a:schemeClr val="accent2">
                        <a:lumMod val="75000"/>
                      </a:schemeClr>
                    </a:gs>
                  </a:gsLst>
                  <a:lin ang="5400000" scaled="1"/>
                </a:gradFill>
              </a:ln>
              <a:effectLst>
                <a:outerShdw blurRad="76200" dist="25400" dir="2700000" algn="tl" rotWithShape="0">
                  <a:schemeClr val="accent2">
                    <a:lumMod val="50000"/>
                    <a:alpha val="30000"/>
                  </a:schemeClr>
                </a:outerShdw>
              </a:effectLst>
            </c:spPr>
          </c:dPt>
          <c:dPt>
            <c:idx val="2"/>
            <c:bubble3D val="0"/>
            <c:explosion val="12"/>
            <c:spPr>
              <a:gradFill>
                <a:gsLst>
                  <a:gs pos="0">
                    <a:schemeClr val="accent3">
                      <a:lumMod val="40000"/>
                      <a:lumOff val="60000"/>
                    </a:schemeClr>
                  </a:gs>
                  <a:gs pos="90000">
                    <a:schemeClr val="accent3"/>
                  </a:gs>
                </a:gsLst>
                <a:lin ang="5400000" scaled="0"/>
              </a:gradFill>
              <a:ln>
                <a:gradFill>
                  <a:gsLst>
                    <a:gs pos="0">
                      <a:schemeClr val="accent3"/>
                    </a:gs>
                    <a:gs pos="100000">
                      <a:schemeClr val="accent3">
                        <a:lumMod val="75000"/>
                      </a:schemeClr>
                    </a:gs>
                  </a:gsLst>
                  <a:lin ang="5400000" scaled="1"/>
                </a:gradFill>
              </a:ln>
              <a:effectLst>
                <a:outerShdw blurRad="76200" dist="25400" dir="2700000" algn="tl" rotWithShape="0">
                  <a:schemeClr val="accent3">
                    <a:lumMod val="50000"/>
                    <a:alpha val="30000"/>
                  </a:schemeClr>
                </a:outerShdw>
              </a:effectLst>
            </c:spPr>
          </c:dPt>
          <c:dPt>
            <c:idx val="3"/>
            <c:bubble3D val="0"/>
            <c:explosion val="3"/>
            <c:spPr>
              <a:gradFill>
                <a:gsLst>
                  <a:gs pos="0">
                    <a:schemeClr val="accent4">
                      <a:lumMod val="40000"/>
                      <a:lumOff val="60000"/>
                    </a:schemeClr>
                  </a:gs>
                  <a:gs pos="90000">
                    <a:schemeClr val="accent4"/>
                  </a:gs>
                </a:gsLst>
                <a:lin ang="5400000" scaled="0"/>
              </a:gradFill>
              <a:ln>
                <a:gradFill>
                  <a:gsLst>
                    <a:gs pos="0">
                      <a:schemeClr val="accent4"/>
                    </a:gs>
                    <a:gs pos="100000">
                      <a:schemeClr val="accent4">
                        <a:lumMod val="75000"/>
                      </a:schemeClr>
                    </a:gs>
                  </a:gsLst>
                  <a:lin ang="5400000" scaled="1"/>
                </a:gradFill>
              </a:ln>
              <a:effectLst>
                <a:outerShdw blurRad="76200" dist="25400" dir="2700000" algn="tl" rotWithShape="0">
                  <a:schemeClr val="accent4">
                    <a:lumMod val="50000"/>
                    <a:alpha val="30000"/>
                  </a:schemeClr>
                </a:outerShdw>
              </a:effectLst>
            </c:spPr>
          </c:dPt>
          <c:dLbls>
            <c:dLbl>
              <c:idx val="0"/>
              <c:layout>
                <c:manualLayout>
                  <c:x val="-0.00411586632988031"/>
                  <c:y val="-0.182403162039049"/>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99.99</a:t>
                    </a:r>
                    <a:r>
                      <a:rPr lang="en-US"/>
                      <a:t>%</a:t>
                    </a:r>
                    <a:endParaRPr lang="en-US"/>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185732814526589"/>
                      <c:h val="0.133037694013304"/>
                    </c:manualLayout>
                  </c15:layout>
                </c:ext>
              </c:extLst>
            </c:dLbl>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0.01</a:t>
                    </a:r>
                    <a:r>
                      <a:rPr lang="en-US"/>
                      <a:t>%</a:t>
                    </a:r>
                    <a:endParaRPr lang="en-US"/>
                  </a:p>
                </c:rich>
              </c:tx>
              <c:dLblPos val="bestFit"/>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Sheet1!$A$2:$A$5</c:f>
              <c:strCache>
                <c:ptCount val="4"/>
                <c:pt idx="0">
                  <c:v>一般公共预算财政拨款收入</c:v>
                </c:pt>
                <c:pt idx="1">
                  <c:v>其他收入</c:v>
                </c:pt>
              </c:strCache>
            </c:strRef>
          </c:cat>
          <c:val>
            <c:numRef>
              <c:f>Sheet1!$B$2:$B$5</c:f>
              <c:numCache>
                <c:formatCode>General</c:formatCode>
                <c:ptCount val="4"/>
                <c:pt idx="0">
                  <c:v>2499.4</c:v>
                </c:pt>
                <c:pt idx="1">
                  <c:v>0.2</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egendEntry>
        <c:idx val="2"/>
        <c:delete val="1"/>
      </c:legendEntry>
      <c:legendEntry>
        <c:idx val="3"/>
        <c:delete val="1"/>
      </c:legendEntry>
      <c:layout>
        <c:manualLayout>
          <c:xMode val="edge"/>
          <c:yMode val="edge"/>
          <c:x val="0.0638145315487572"/>
          <c:y val="0.868628121792679"/>
          <c:w val="0.718809751434034"/>
          <c:h val="0.11170030790284"/>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金额</c:v>
                </c:pt>
              </c:strCache>
            </c:strRef>
          </c:tx>
          <c:explosion val="0"/>
          <c:dPt>
            <c:idx val="0"/>
            <c:bubble3D val="0"/>
            <c:spPr>
              <a:solidFill>
                <a:schemeClr val="accent1"/>
              </a:solidFill>
              <a:ln w="19050">
                <a:solidFill>
                  <a:schemeClr val="lt1"/>
                </a:solidFill>
              </a:ln>
              <a:effectLst/>
            </c:spPr>
          </c:dPt>
          <c:dPt>
            <c:idx val="1"/>
            <c:bubble3D val="0"/>
            <c:spPr>
              <a:solidFill>
                <a:schemeClr val="accent3"/>
              </a:solidFill>
              <a:ln w="19050">
                <a:solidFill>
                  <a:schemeClr val="lt1"/>
                </a:solidFill>
              </a:ln>
              <a:effectLst/>
            </c:spPr>
          </c:dPt>
          <c:dLbls>
            <c:dLbl>
              <c:idx val="0"/>
              <c:layout>
                <c:manualLayout>
                  <c:x val="-0.197853198926498"/>
                  <c:y val="0.0901771349979187"/>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sz="1050">
                        <a:solidFill>
                          <a:schemeClr val="bg1"/>
                        </a:solidFill>
                      </a:rPr>
                      <a:t>817.32</a:t>
                    </a:r>
                    <a:r>
                      <a:rPr lang="zh-CN" altLang="en-US" sz="1050">
                        <a:solidFill>
                          <a:schemeClr val="bg1"/>
                        </a:solidFill>
                      </a:rPr>
                      <a:t>万元</a:t>
                    </a:r>
                    <a:endParaRPr lang="zh-CN" altLang="en-US" sz="1050">
                      <a:solidFill>
                        <a:schemeClr val="bg1"/>
                      </a:solidFill>
                    </a:endParaRPr>
                  </a:p>
                  <a:p>
                    <a:pPr>
                      <a:defRPr lang="zh-CN" sz="900" b="0" i="0" u="none" strike="noStrike" kern="1200" baseline="0">
                        <a:solidFill>
                          <a:schemeClr val="tx1">
                            <a:lumMod val="75000"/>
                            <a:lumOff val="25000"/>
                          </a:schemeClr>
                        </a:solidFill>
                        <a:latin typeface="+mn-lt"/>
                        <a:ea typeface="+mn-ea"/>
                        <a:cs typeface="+mn-cs"/>
                      </a:defRPr>
                    </a:pPr>
                    <a:r>
                      <a:rPr lang="zh-CN" altLang="en-US" sz="1050">
                        <a:solidFill>
                          <a:schemeClr val="bg1"/>
                        </a:solidFill>
                      </a:rPr>
                      <a:t>占</a:t>
                    </a:r>
                    <a:r>
                      <a:rPr lang="en-US" altLang="zh-CN" sz="1050">
                        <a:solidFill>
                          <a:schemeClr val="bg1"/>
                        </a:solidFill>
                      </a:rPr>
                      <a:t>32.7%</a:t>
                    </a:r>
                    <a:endParaRPr lang="en-US" altLang="zh-CN" sz="1050">
                      <a:solidFill>
                        <a:schemeClr val="bg1"/>
                      </a:solidFill>
                    </a:endParaRPr>
                  </a:p>
                </c:rich>
              </c:tx>
              <c:dLblPos val="bestFit"/>
              <c:showLegendKey val="0"/>
              <c:showVal val="1"/>
              <c:showCatName val="0"/>
              <c:showSerName val="0"/>
              <c:showPercent val="0"/>
              <c:showBubbleSize val="0"/>
              <c:extLst>
                <c:ext xmlns:c15="http://schemas.microsoft.com/office/drawing/2012/chart" uri="{CE6537A1-D6FC-4f65-9D91-7224C49458BB}">
                  <c15:layout>
                    <c:manualLayout>
                      <c:w val="0.225142045454545"/>
                      <c:h val="0.221624266144814"/>
                    </c:manualLayout>
                  </c15:layout>
                </c:ext>
              </c:extLst>
            </c:dLbl>
            <c:dLbl>
              <c:idx val="1"/>
              <c:layout>
                <c:manualLayout>
                  <c:x val="0.193978981253046"/>
                  <c:y val="-0.0769656030068193"/>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sz="1050">
                        <a:solidFill>
                          <a:schemeClr val="bg1"/>
                        </a:solidFill>
                      </a:rPr>
                      <a:t>1682.09</a:t>
                    </a:r>
                    <a:r>
                      <a:rPr lang="zh-CN" altLang="en-US" sz="1050">
                        <a:solidFill>
                          <a:schemeClr val="bg1"/>
                        </a:solidFill>
                      </a:rPr>
                      <a:t>万元</a:t>
                    </a:r>
                    <a:endParaRPr lang="zh-CN" altLang="en-US" sz="1050">
                      <a:solidFill>
                        <a:schemeClr val="bg1"/>
                      </a:solidFill>
                    </a:endParaRPr>
                  </a:p>
                  <a:p>
                    <a:pPr>
                      <a:defRPr lang="zh-CN" sz="900" b="0" i="0" u="none" strike="noStrike" kern="1200" baseline="0">
                        <a:solidFill>
                          <a:schemeClr val="tx1">
                            <a:lumMod val="75000"/>
                            <a:lumOff val="25000"/>
                          </a:schemeClr>
                        </a:solidFill>
                        <a:latin typeface="+mn-lt"/>
                        <a:ea typeface="+mn-ea"/>
                        <a:cs typeface="+mn-cs"/>
                      </a:defRPr>
                    </a:pPr>
                    <a:r>
                      <a:rPr lang="zh-CN" altLang="en-US" sz="1050">
                        <a:solidFill>
                          <a:schemeClr val="bg1"/>
                        </a:solidFill>
                      </a:rPr>
                      <a:t>占</a:t>
                    </a:r>
                    <a:r>
                      <a:rPr lang="en-US" altLang="zh-CN" sz="1050">
                        <a:solidFill>
                          <a:schemeClr val="bg1"/>
                        </a:solidFill>
                      </a:rPr>
                      <a:t>67.3%</a:t>
                    </a:r>
                    <a:endParaRPr lang="en-US" altLang="zh-CN" sz="1050">
                      <a:solidFill>
                        <a:schemeClr val="bg1"/>
                      </a:solidFill>
                    </a:endParaRPr>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817.32</c:v>
                </c:pt>
                <c:pt idx="1">
                  <c:v>1682.09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293974358974359"/>
          <c:y val="0.84675440553201"/>
          <c:w val="0.391025641025641"/>
          <c:h val="0.12647780504126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4367757544887"/>
          <c:y val="0.0351720647773279"/>
          <c:w val="0.891812046351713"/>
          <c:h val="0.789524291497976"/>
        </c:manualLayout>
      </c:layout>
      <c:barChart>
        <c:barDir val="col"/>
        <c:grouping val="stacked"/>
        <c:varyColors val="0"/>
        <c:ser>
          <c:idx val="0"/>
          <c:order val="0"/>
          <c:tx>
            <c:strRef>
              <c:f>Sheet1!$B$1</c:f>
              <c:strCache>
                <c:ptCount val="1"/>
                <c:pt idx="0">
                  <c:v>收、支决算总计</c:v>
                </c:pt>
              </c:strCache>
            </c:strRef>
          </c:tx>
          <c:spPr>
            <a:solidFill>
              <a:schemeClr val="accent1"/>
            </a:solidFill>
            <a:ln>
              <a:noFill/>
            </a:ln>
            <a:effectLst/>
          </c:spPr>
          <c:invertIfNegative val="0"/>
          <c:dLbls>
            <c:dLbl>
              <c:idx val="0"/>
              <c:layout>
                <c:manualLayout>
                  <c:x val="0.000382019610339997"/>
                  <c:y val="-0.260627530364373"/>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1714.33</a:t>
                    </a:r>
                    <a:r>
                      <a:t>万元</a:t>
                    </a:r>
                  </a:p>
                </c:rich>
              </c:tx>
              <c:dLblPos val="ctr"/>
              <c:showLegendKey val="0"/>
              <c:showVal val="1"/>
              <c:showCatName val="0"/>
              <c:showSerName val="0"/>
              <c:showPercent val="0"/>
              <c:showBubbleSize val="0"/>
              <c:extLst>
                <c:ext xmlns:c15="http://schemas.microsoft.com/office/drawing/2012/chart" uri="{CE6537A1-D6FC-4f65-9D91-7224C49458BB}">
                  <c15:layout>
                    <c:manualLayout>
                      <c:w val="0.152553164395772"/>
                      <c:h val="0.0594635627530364"/>
                    </c:manualLayout>
                  </c15:layout>
                </c:ext>
              </c:extLst>
            </c:dLbl>
            <c:dLbl>
              <c:idx val="1"/>
              <c:layout>
                <c:manualLayout>
                  <c:x val="0.000764039220679995"/>
                  <c:y val="-0.364878542510122"/>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2499.4</a:t>
                    </a:r>
                    <a:r>
                      <a:t>万元</a:t>
                    </a:r>
                  </a:p>
                </c:rich>
              </c:tx>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1714.33</c:v>
                </c:pt>
                <c:pt idx="1">
                  <c:v>2499.4</c:v>
                </c:pt>
              </c:numCache>
            </c:numRef>
          </c:val>
        </c:ser>
        <c:dLbls>
          <c:showLegendKey val="0"/>
          <c:showVal val="1"/>
          <c:showCatName val="0"/>
          <c:showSerName val="0"/>
          <c:showPercent val="0"/>
          <c:showBubbleSize val="0"/>
        </c:dLbls>
        <c:gapWidth val="150"/>
        <c:overlap val="100"/>
        <c:axId val="405210624"/>
        <c:axId val="405221760"/>
      </c:barChart>
      <c:catAx>
        <c:axId val="405210624"/>
        <c:scaling>
          <c:orientation val="minMax"/>
        </c:scaling>
        <c:delete val="0"/>
        <c:axPos val="b"/>
        <c:majorTickMark val="out"/>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1200" b="0" i="0" u="none" strike="noStrike" kern="1200" cap="none" spc="0" normalizeH="0" baseline="0">
                <a:solidFill>
                  <a:schemeClr val="tx1">
                    <a:lumMod val="65000"/>
                    <a:lumOff val="35000"/>
                  </a:schemeClr>
                </a:solidFill>
                <a:uFill>
                  <a:solidFill>
                    <a:schemeClr val="tx1">
                      <a:lumMod val="65000"/>
                      <a:lumOff val="35000"/>
                    </a:schemeClr>
                  </a:solidFill>
                </a:uFill>
                <a:latin typeface="+mn-lt"/>
                <a:ea typeface="+mn-ea"/>
                <a:cs typeface="+mn-cs"/>
              </a:defRPr>
            </a:pPr>
          </a:p>
        </c:txPr>
        <c:crossAx val="405221760"/>
        <c:crosses val="autoZero"/>
        <c:auto val="1"/>
        <c:lblAlgn val="ctr"/>
        <c:lblOffset val="100"/>
        <c:noMultiLvlLbl val="0"/>
      </c:catAx>
      <c:valAx>
        <c:axId val="40522176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52106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5036524413687"/>
          <c:y val="0.106910039113429"/>
          <c:w val="0.891118800461361"/>
          <c:h val="0.816531942633638"/>
        </c:manualLayout>
      </c:layout>
      <c:barChart>
        <c:barDir val="col"/>
        <c:grouping val="stacked"/>
        <c:varyColors val="0"/>
        <c:ser>
          <c:idx val="0"/>
          <c:order val="0"/>
          <c:tx>
            <c:strRef>
              <c:f>Sheet1!$B$1</c:f>
              <c:strCache>
                <c:ptCount val="1"/>
                <c:pt idx="0">
                  <c:v>收、支决算总计</c:v>
                </c:pt>
              </c:strCache>
            </c:strRef>
          </c:tx>
          <c:spPr>
            <a:solidFill>
              <a:schemeClr val="accent1"/>
            </a:solidFill>
            <a:ln>
              <a:noFill/>
            </a:ln>
            <a:effectLst/>
          </c:spPr>
          <c:invertIfNegative val="0"/>
          <c:dLbls>
            <c:dLbl>
              <c:idx val="0"/>
              <c:layout>
                <c:manualLayout>
                  <c:x val="0.451493015506856"/>
                  <c:y val="-0.50586701434159"/>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2499.4</a:t>
                    </a:r>
                    <a:r>
                      <a:t>万元</a:t>
                    </a:r>
                  </a:p>
                </c:rich>
              </c:tx>
              <c:dLblPos val="ctr"/>
              <c:showLegendKey val="0"/>
              <c:showVal val="1"/>
              <c:showCatName val="0"/>
              <c:showSerName val="0"/>
              <c:showPercent val="0"/>
              <c:showBubbleSize val="0"/>
              <c:extLst>
                <c:ext xmlns:c15="http://schemas.microsoft.com/office/drawing/2012/chart" uri="{CE6537A1-D6FC-4f65-9D91-7224C49458BB}">
                  <c15:layout>
                    <c:manualLayout>
                      <c:w val="0.142765602973215"/>
                      <c:h val="0.13142112125163"/>
                    </c:manualLayout>
                  </c15:layout>
                </c:ext>
              </c:extLst>
            </c:dLbl>
            <c:dLbl>
              <c:idx val="1"/>
              <c:layout>
                <c:manualLayout>
                  <c:x val="-0.447135717031911"/>
                  <c:y val="-0.211734028683181"/>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t>1714.33万元</a:t>
                    </a:r>
                  </a:p>
                </c:rich>
              </c:tx>
              <c:dLblPos val="ctr"/>
              <c:showLegendKey val="0"/>
              <c:showVal val="1"/>
              <c:showCatName val="0"/>
              <c:showSerName val="0"/>
              <c:showPercent val="0"/>
              <c:showBubbleSize val="0"/>
              <c:extLst>
                <c:ext xmlns:c15="http://schemas.microsoft.com/office/drawing/2012/chart" uri="{CE6537A1-D6FC-4f65-9D91-7224C49458BB}">
                  <c15:layout>
                    <c:manualLayout>
                      <c:w val="0.141355888760733"/>
                      <c:h val="0.156975228161669"/>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1714.33</c:v>
                </c:pt>
                <c:pt idx="1">
                  <c:v>2499.4</c:v>
                </c:pt>
              </c:numCache>
            </c:numRef>
          </c:val>
        </c:ser>
        <c:dLbls>
          <c:showLegendKey val="0"/>
          <c:showVal val="1"/>
          <c:showCatName val="0"/>
          <c:showSerName val="0"/>
          <c:showPercent val="0"/>
          <c:showBubbleSize val="0"/>
        </c:dLbls>
        <c:gapWidth val="150"/>
        <c:overlap val="100"/>
        <c:axId val="405232256"/>
        <c:axId val="405235200"/>
      </c:barChart>
      <c:catAx>
        <c:axId val="40523225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5235200"/>
        <c:crosses val="autoZero"/>
        <c:auto val="1"/>
        <c:lblAlgn val="ctr"/>
        <c:lblOffset val="100"/>
        <c:noMultiLvlLbl val="0"/>
      </c:catAx>
      <c:valAx>
        <c:axId val="40523520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52322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13010809385711"/>
          <c:y val="0.00810153929246557"/>
          <c:w val="0.430134458212497"/>
          <c:h val="0.881177423710505"/>
        </c:manualLayout>
      </c:layout>
      <c:pieChart>
        <c:varyColors val="1"/>
        <c:ser>
          <c:idx val="0"/>
          <c:order val="0"/>
          <c:tx>
            <c:strRef>
              <c:f>Sheet1!$B$1</c:f>
              <c:strCache>
                <c:ptCount val="1"/>
                <c:pt idx="0">
                  <c:v>销售额</c:v>
                </c:pt>
              </c:strCache>
            </c:strRef>
          </c:tx>
          <c:explosion val="0"/>
          <c:dPt>
            <c:idx val="0"/>
            <c:bubble3D val="0"/>
            <c:spPr>
              <a:solidFill>
                <a:schemeClr val="accent6"/>
              </a:solidFill>
              <a:ln w="19050">
                <a:solidFill>
                  <a:schemeClr val="lt1"/>
                </a:solidFill>
              </a:ln>
              <a:effectLst/>
            </c:spPr>
          </c:dPt>
          <c:dPt>
            <c:idx val="1"/>
            <c:bubble3D val="0"/>
            <c:spPr>
              <a:solidFill>
                <a:schemeClr val="accent5"/>
              </a:solidFill>
              <a:ln w="19050">
                <a:solidFill>
                  <a:schemeClr val="lt1"/>
                </a:solidFill>
              </a:ln>
              <a:effectLst/>
            </c:spPr>
          </c:dPt>
          <c:dPt>
            <c:idx val="2"/>
            <c:bubble3D val="0"/>
            <c:spPr>
              <a:solidFill>
                <a:schemeClr val="accent4"/>
              </a:solidFill>
              <a:ln w="19050">
                <a:solidFill>
                  <a:schemeClr val="lt1"/>
                </a:solidFill>
              </a:ln>
              <a:effectLst/>
            </c:spPr>
          </c:dPt>
          <c:dLbls>
            <c:dLbl>
              <c:idx val="0"/>
              <c:layout>
                <c:manualLayout>
                  <c:x val="0.111031617924398"/>
                  <c:y val="0.12233060901661"/>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142.92</a:t>
                    </a:r>
                    <a:r>
                      <a:t>万元,占</a:t>
                    </a:r>
                    <a:r>
                      <a:rPr lang="en-US" altLang="zh-CN"/>
                      <a:t>5.72</a:t>
                    </a:r>
                    <a:r>
                      <a:t>%</a:t>
                    </a:r>
                  </a:p>
                </c:rich>
              </c:tx>
              <c:dLblPos val="bestFit"/>
              <c:showLegendKey val="0"/>
              <c:showVal val="1"/>
              <c:showCatName val="0"/>
              <c:showSerName val="0"/>
              <c:showPercent val="1"/>
              <c:showBubbleSize val="0"/>
              <c:extLst>
                <c:ext xmlns:c15="http://schemas.microsoft.com/office/drawing/2012/chart" uri="{CE6537A1-D6FC-4f65-9D91-7224C49458BB}">
                  <c15:layout>
                    <c:manualLayout>
                      <c:w val="0.249060804229859"/>
                      <c:h val="0.0738201950962299"/>
                    </c:manualLayout>
                  </c15:layout>
                </c:ext>
              </c:extLst>
            </c:dLbl>
            <c:dLbl>
              <c:idx val="1"/>
              <c:layout>
                <c:manualLayout>
                  <c:x val="0.00292979462639836"/>
                  <c:y val="-0.27274345326375"/>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2297.22</a:t>
                    </a:r>
                    <a:r>
                      <a:t>万元,        </a:t>
                    </a:r>
                  </a:p>
                  <a:p>
                    <a:pPr>
                      <a:defRPr lang="zh-CN" sz="900" b="0" i="0" u="none" strike="noStrike" kern="1200" baseline="0">
                        <a:solidFill>
                          <a:schemeClr val="tx1">
                            <a:lumMod val="75000"/>
                            <a:lumOff val="25000"/>
                          </a:schemeClr>
                        </a:solidFill>
                        <a:latin typeface="+mn-lt"/>
                        <a:ea typeface="+mn-ea"/>
                        <a:cs typeface="+mn-cs"/>
                      </a:defRPr>
                    </a:pPr>
                    <a:r>
                      <a:t> 占</a:t>
                    </a:r>
                    <a:r>
                      <a:rPr lang="en-US" altLang="zh-CN"/>
                      <a:t>91.91</a:t>
                    </a:r>
                    <a:r>
                      <a:t>%</a:t>
                    </a:r>
                  </a:p>
                </c:rich>
              </c:tx>
              <c:numFmt formatCode="General" sourceLinked="1"/>
              <c:spPr>
                <a:solidFill>
                  <a:schemeClr val="accent5"/>
                </a:solid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manualLayout>
                      <c:w val="0.211492973424238"/>
                      <c:h val="0.211969417347746"/>
                    </c:manualLayout>
                  </c15:layout>
                </c:ext>
              </c:extLst>
            </c:dLbl>
            <c:dLbl>
              <c:idx val="2"/>
              <c:layout>
                <c:manualLayout>
                  <c:x val="-0.105441577587693"/>
                  <c:y val="0.152649617716847"/>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59.26</a:t>
                    </a:r>
                    <a:r>
                      <a:t>万元, 占</a:t>
                    </a:r>
                    <a:r>
                      <a:rPr lang="en-US" altLang="zh-CN"/>
                      <a:t>2.37</a:t>
                    </a:r>
                    <a:r>
                      <a:t>%</a:t>
                    </a:r>
                  </a:p>
                </c:rich>
              </c:tx>
              <c:numFmt formatCode="General" sourceLinked="1"/>
              <c:spPr>
                <a:solidFill>
                  <a:schemeClr val="accent4"/>
                </a:solid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manualLayout>
                      <c:w val="0.243912620008348"/>
                      <c:h val="0.0904297389928816"/>
                    </c:manualLayout>
                  </c15:layout>
                </c:ext>
              </c:extLst>
            </c:dLbl>
            <c:spPr>
              <a:solidFill>
                <a:schemeClr val="accent6"/>
              </a:solid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Sheet1!$A$2:$A$4</c:f>
              <c:strCache>
                <c:ptCount val="3"/>
                <c:pt idx="0">
                  <c:v>社会保障和就业（类）支出</c:v>
                </c:pt>
                <c:pt idx="1">
                  <c:v>卫生健康支出</c:v>
                </c:pt>
                <c:pt idx="2">
                  <c:v>住房保障支出</c:v>
                </c:pt>
              </c:strCache>
            </c:strRef>
          </c:cat>
          <c:val>
            <c:numRef>
              <c:f>Sheet1!$B$2:$B$4</c:f>
              <c:numCache>
                <c:formatCode>General</c:formatCode>
                <c:ptCount val="3"/>
                <c:pt idx="0">
                  <c:v>142.92</c:v>
                </c:pt>
                <c:pt idx="1">
                  <c:v>2297.22</c:v>
                </c:pt>
                <c:pt idx="2">
                  <c:v>59.26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c:v>
                </c:pt>
              </c:strCache>
            </c:strRef>
          </c:tx>
          <c:explosion val="0"/>
          <c:dPt>
            <c:idx val="0"/>
            <c:bubble3D val="0"/>
            <c:spPr>
              <a:solidFill>
                <a:schemeClr val="accent1"/>
              </a:solidFill>
              <a:ln>
                <a:solidFill>
                  <a:schemeClr val="bg1"/>
                </a:solidFill>
              </a:ln>
              <a:effectLst/>
            </c:spPr>
          </c:dPt>
          <c:dLbls>
            <c:delete val="1"/>
          </c:dLbls>
          <c:cat>
            <c:strRef>
              <c:f>Sheet1!$A$2</c:f>
              <c:strCache>
                <c:ptCount val="1"/>
                <c:pt idx="0">
                  <c:v>公务接待支出</c:v>
                </c:pt>
              </c:strCache>
            </c:strRef>
          </c:cat>
          <c:val>
            <c:numRef>
              <c:f>Sheet1!$B$2</c:f>
              <c:numCache>
                <c:formatCode>General</c:formatCode>
                <c:ptCount val="1"/>
                <c:pt idx="0">
                  <c:v>100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77</Pages>
  <Words>37554</Words>
  <Characters>41304</Characters>
  <Lines>523</Lines>
  <Paragraphs>147</Paragraphs>
  <TotalTime>6</TotalTime>
  <ScaleCrop>false</ScaleCrop>
  <LinksUpToDate>false</LinksUpToDate>
  <CharactersWithSpaces>41824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2013-01-01T01:39:00Z</dcterms:created>
  <dc:creator>曹颖</dc:creator>
  <cp:lastModifiedBy>&amp; 双儿 &amp;</cp:lastModifiedBy>
  <cp:lastPrinted>2024-09-26T02:22:00Z</cp:lastPrinted>
  <dcterms:modified xsi:type="dcterms:W3CDTF">2024-09-27T01:39:25Z</dcterms:modified>
  <dc:title>四川省***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644A702E44014D29BC73E2FE3E5E4C51</vt:lpwstr>
  </property>
</Properties>
</file>