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ascii="方正小标宋简体" w:hAnsi="宋体" w:eastAsia="方正小标宋简体"/>
          <w:sz w:val="72"/>
          <w:szCs w:val="72"/>
        </w:rPr>
      </w:pPr>
      <w:bookmarkStart w:id="0" w:name="_Toc15378441"/>
      <w:bookmarkStart w:id="1" w:name="_Toc15396475"/>
      <w:bookmarkStart w:id="2" w:name="_Toc15377425"/>
      <w:bookmarkStart w:id="3" w:name="_Toc15396597"/>
      <w:bookmarkStart w:id="4" w:name="_Toc15377193"/>
      <w:bookmarkStart w:id="5" w:name="_Toc15306267"/>
    </w:p>
    <w:p>
      <w:pPr>
        <w:pStyle w:val="5"/>
        <w:pageBreakBefore w:val="0"/>
        <w:kinsoku/>
        <w:wordWrap/>
        <w:overflowPunct/>
        <w:topLinePunct w:val="0"/>
        <w:bidi w:val="0"/>
        <w:spacing w:beforeLines="0" w:line="576" w:lineRule="exact"/>
        <w:ind w:left="0" w:leftChars="0" w:right="0"/>
        <w:textAlignment w:val="auto"/>
      </w:pPr>
    </w:p>
    <w:p>
      <w:pPr>
        <w:pageBreakBefore w:val="0"/>
        <w:kinsoku/>
        <w:wordWrap/>
        <w:overflowPunct/>
        <w:topLinePunct w:val="0"/>
        <w:bidi w:val="0"/>
        <w:spacing w:line="576" w:lineRule="exact"/>
        <w:ind w:left="0" w:leftChars="0" w:right="0"/>
        <w:jc w:val="center"/>
        <w:textAlignment w:val="auto"/>
        <w:outlineLvl w:val="9"/>
        <w:rPr>
          <w:rFonts w:ascii="方正小标宋简体" w:hAnsi="宋体" w:eastAsia="方正小标宋简体"/>
          <w:sz w:val="72"/>
          <w:szCs w:val="72"/>
        </w:rPr>
      </w:pPr>
    </w:p>
    <w:p>
      <w:pPr>
        <w:autoSpaceDE w:val="0"/>
        <w:autoSpaceDN w:val="0"/>
        <w:adjustRightInd w:val="0"/>
        <w:spacing w:line="360" w:lineRule="auto"/>
        <w:jc w:val="center"/>
        <w:rPr>
          <w:rFonts w:ascii="方正小标宋简体" w:hAnsi="Calibri" w:eastAsia="方正小标宋简体" w:cs="方正小标宋简体"/>
          <w:kern w:val="2"/>
          <w:sz w:val="72"/>
          <w:szCs w:val="72"/>
          <w:lang w:val="zh-CN"/>
        </w:rPr>
      </w:pPr>
    </w:p>
    <w:p>
      <w:pPr>
        <w:autoSpaceDE w:val="0"/>
        <w:autoSpaceDN w:val="0"/>
        <w:adjustRightInd w:val="0"/>
        <w:spacing w:line="360" w:lineRule="auto"/>
        <w:jc w:val="center"/>
        <w:rPr>
          <w:rFonts w:ascii="方正小标宋简体" w:hAnsi="Calibri" w:eastAsia="方正小标宋简体" w:cs="方正小标宋简体"/>
          <w:kern w:val="2"/>
          <w:sz w:val="72"/>
          <w:szCs w:val="72"/>
          <w:lang w:val="zh-CN"/>
        </w:rPr>
      </w:pPr>
      <w:r>
        <w:rPr>
          <w:rFonts w:hint="eastAsia" w:ascii="方正小标宋简体" w:hAnsi="Calibri" w:eastAsia="方正小标宋简体" w:cs="方正小标宋简体"/>
          <w:kern w:val="2"/>
          <w:sz w:val="72"/>
          <w:szCs w:val="72"/>
          <w:lang w:val="zh-CN"/>
        </w:rPr>
        <w:t>2023年度</w:t>
      </w:r>
      <w:bookmarkEnd w:id="0"/>
      <w:bookmarkEnd w:id="1"/>
      <w:bookmarkEnd w:id="2"/>
      <w:bookmarkEnd w:id="3"/>
      <w:bookmarkEnd w:id="4"/>
    </w:p>
    <w:p>
      <w:pPr>
        <w:autoSpaceDE w:val="0"/>
        <w:autoSpaceDN w:val="0"/>
        <w:adjustRightInd w:val="0"/>
        <w:spacing w:line="360" w:lineRule="auto"/>
        <w:jc w:val="center"/>
        <w:outlineLvl w:val="0"/>
        <w:rPr>
          <w:rFonts w:hint="eastAsia" w:ascii="黑体" w:hAnsi="黑体" w:eastAsia="黑体"/>
          <w:sz w:val="48"/>
          <w:szCs w:val="48"/>
        </w:rPr>
        <w:sectPr>
          <w:footerReference r:id="rId5" w:type="first"/>
          <w:headerReference r:id="rId3" w:type="default"/>
          <w:footerReference r:id="rId4" w:type="default"/>
          <w:pgSz w:w="11906" w:h="16838"/>
          <w:pgMar w:top="2098" w:right="1474" w:bottom="1984" w:left="1587" w:header="851" w:footer="992" w:gutter="0"/>
          <w:pgNumType w:fmt="decimal" w:start="1"/>
          <w:cols w:space="425" w:num="1"/>
          <w:titlePg/>
          <w:docGrid w:type="lines" w:linePitch="312" w:charSpace="0"/>
        </w:sectPr>
      </w:pPr>
      <w:bookmarkStart w:id="6" w:name="_Toc15396598"/>
      <w:bookmarkStart w:id="7" w:name="_Toc849"/>
      <w:bookmarkStart w:id="8" w:name="_Toc15378442"/>
      <w:bookmarkStart w:id="9" w:name="_Toc15377194"/>
      <w:bookmarkStart w:id="10" w:name="_Toc15377426"/>
      <w:bookmarkStart w:id="11" w:name="_Toc28952"/>
      <w:bookmarkStart w:id="12" w:name="_Toc15396476"/>
      <w:r>
        <w:rPr>
          <w:rFonts w:hint="eastAsia" w:ascii="方正小标宋简体" w:hAnsi="Calibri" w:eastAsia="方正小标宋简体" w:cs="方正小标宋简体"/>
          <w:kern w:val="2"/>
          <w:sz w:val="72"/>
          <w:szCs w:val="72"/>
          <w:lang w:val="zh-CN"/>
        </w:rPr>
        <w:t>四川省</w:t>
      </w:r>
      <w:bookmarkEnd w:id="5"/>
      <w:bookmarkStart w:id="13" w:name="_Toc15306268"/>
      <w:r>
        <w:rPr>
          <w:rFonts w:hint="eastAsia" w:ascii="方正小标宋简体" w:hAnsi="Calibri" w:eastAsia="方正小标宋简体" w:cs="方正小标宋简体"/>
          <w:kern w:val="2"/>
          <w:sz w:val="72"/>
          <w:szCs w:val="72"/>
          <w:lang w:val="zh-CN" w:eastAsia="zh-CN"/>
        </w:rPr>
        <w:t>广元市工商业联合会</w:t>
      </w:r>
      <w:r>
        <w:rPr>
          <w:rFonts w:hint="eastAsia" w:ascii="方正小标宋简体" w:hAnsi="Calibri" w:eastAsia="方正小标宋简体" w:cs="方正小标宋简体"/>
          <w:kern w:val="2"/>
          <w:sz w:val="72"/>
          <w:szCs w:val="72"/>
          <w:lang w:val="zh-CN"/>
        </w:rPr>
        <w:t>部门决算</w:t>
      </w:r>
      <w:bookmarkEnd w:id="6"/>
      <w:bookmarkEnd w:id="7"/>
      <w:bookmarkEnd w:id="8"/>
      <w:bookmarkEnd w:id="9"/>
      <w:bookmarkEnd w:id="10"/>
      <w:bookmarkEnd w:id="11"/>
      <w:bookmarkEnd w:id="12"/>
      <w:bookmarkEnd w:id="13"/>
    </w:p>
    <w:sdt>
      <w:sdtPr>
        <w:rPr>
          <w:rFonts w:ascii="宋体" w:hAnsi="宋体" w:eastAsia="宋体" w:cs="Times New Roman"/>
          <w:b/>
          <w:bCs/>
          <w:spacing w:val="1"/>
          <w:w w:val="63"/>
          <w:kern w:val="0"/>
          <w:sz w:val="44"/>
          <w:szCs w:val="44"/>
          <w:fitText w:val="1260" w:id="1895323871"/>
          <w:lang w:val="en-US" w:eastAsia="zh-CN" w:bidi="ar-SA"/>
        </w:rPr>
        <w:id w:val="147472139"/>
        <w15:color w:val="DBDBDB"/>
        <w:docPartObj>
          <w:docPartGallery w:val="Table of Contents"/>
          <w:docPartUnique/>
        </w:docPartObj>
      </w:sdtPr>
      <w:sdtEndPr>
        <w:rPr>
          <w:rFonts w:ascii="宋体" w:hAnsi="宋体" w:eastAsia="宋体" w:cs="Times New Roman"/>
          <w:b/>
          <w:bCs/>
          <w:spacing w:val="1"/>
          <w:w w:val="63"/>
          <w:kern w:val="2"/>
          <w:sz w:val="21"/>
          <w:szCs w:val="24"/>
          <w:fitText w:val="1260" w:id="1895323871"/>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b/>
              <w:bCs/>
              <w:sz w:val="21"/>
            </w:rPr>
          </w:pPr>
          <w:bookmarkStart w:id="14" w:name="_Toc15396599"/>
          <w:bookmarkStart w:id="15" w:name="_Toc15377196"/>
          <w:r>
            <w:rPr>
              <w:rFonts w:ascii="宋体" w:hAnsi="宋体" w:eastAsia="宋体"/>
              <w:b/>
              <w:bCs/>
              <w:spacing w:val="1"/>
              <w:w w:val="81"/>
              <w:kern w:val="0"/>
              <w:sz w:val="44"/>
              <w:szCs w:val="44"/>
              <w:fitText w:val="1260" w:id="1895323871"/>
            </w:rPr>
            <w:t>目</w:t>
          </w:r>
          <w:r>
            <w:rPr>
              <w:rFonts w:hint="eastAsia" w:ascii="宋体" w:hAnsi="宋体"/>
              <w:b/>
              <w:bCs/>
              <w:spacing w:val="1"/>
              <w:w w:val="81"/>
              <w:kern w:val="0"/>
              <w:sz w:val="44"/>
              <w:szCs w:val="44"/>
              <w:fitText w:val="1260" w:id="1895323871"/>
              <w:lang w:val="en-US" w:eastAsia="zh-CN"/>
            </w:rPr>
            <w:t xml:space="preserve">   </w:t>
          </w:r>
          <w:r>
            <w:rPr>
              <w:rFonts w:ascii="宋体" w:hAnsi="宋体" w:eastAsia="宋体"/>
              <w:b/>
              <w:bCs/>
              <w:spacing w:val="5"/>
              <w:w w:val="81"/>
              <w:kern w:val="0"/>
              <w:sz w:val="44"/>
              <w:szCs w:val="44"/>
              <w:fitText w:val="1260" w:id="1895323871"/>
            </w:rPr>
            <w:t>录</w:t>
          </w:r>
        </w:p>
        <w:p>
          <w:pPr>
            <w:spacing w:before="0" w:beforeLines="0" w:after="0" w:afterLines="0" w:line="240" w:lineRule="auto"/>
            <w:ind w:left="0" w:leftChars="0" w:right="0" w:rightChars="0" w:firstLine="0" w:firstLineChars="0"/>
            <w:jc w:val="center"/>
            <w:rPr>
              <w:rFonts w:hint="default" w:ascii="宋体" w:hAnsi="宋体" w:eastAsia="宋体"/>
              <w:sz w:val="21"/>
              <w:lang w:val="en-US" w:eastAsia="zh-CN"/>
            </w:rPr>
          </w:pPr>
          <w:r>
            <w:rPr>
              <w:rFonts w:hint="eastAsia" w:ascii="宋体" w:hAnsi="宋体"/>
              <w:sz w:val="21"/>
              <w:lang w:val="en-US" w:eastAsia="zh-CN"/>
            </w:rPr>
            <w:t>公开时间 2024年10月2日</w:t>
          </w:r>
        </w:p>
        <w:p>
          <w:pPr>
            <w:pStyle w:val="11"/>
            <w:tabs>
              <w:tab w:val="right" w:leader="dot" w:pos="8845"/>
              <w:tab w:val="clear" w:pos="8296"/>
            </w:tabs>
          </w:pPr>
          <w:r>
            <w:fldChar w:fldCharType="begin"/>
          </w:r>
          <w:r>
            <w:instrText xml:space="preserve">TOC \o "1-3" \h \u </w:instrText>
          </w:r>
          <w:r>
            <w:fldChar w:fldCharType="separate"/>
          </w:r>
          <w:r>
            <w:fldChar w:fldCharType="begin"/>
          </w:r>
          <w:r>
            <w:instrText xml:space="preserve"> HYPERLINK \l _Toc32047 </w:instrText>
          </w:r>
          <w:r>
            <w:fldChar w:fldCharType="separate"/>
          </w:r>
          <w:r>
            <w:rPr>
              <w:rFonts w:hint="eastAsia" w:ascii="黑体" w:hAnsi="黑体" w:eastAsia="黑体"/>
            </w:rPr>
            <w:t xml:space="preserve">第一部分 </w:t>
          </w:r>
          <w:r>
            <w:rPr>
              <w:rFonts w:hint="eastAsia" w:ascii="黑体" w:hAnsi="黑体" w:eastAsia="黑体"/>
              <w:bCs w:val="0"/>
            </w:rPr>
            <w:t>部门概况</w:t>
          </w:r>
          <w:r>
            <w:tab/>
          </w:r>
          <w:r>
            <w:fldChar w:fldCharType="begin"/>
          </w:r>
          <w:r>
            <w:instrText xml:space="preserve"> PAGEREF _Toc32047 \h </w:instrText>
          </w:r>
          <w:r>
            <w:fldChar w:fldCharType="separate"/>
          </w:r>
          <w:r>
            <w:t>3</w:t>
          </w:r>
          <w:r>
            <w:fldChar w:fldCharType="end"/>
          </w:r>
          <w:r>
            <w:fldChar w:fldCharType="end"/>
          </w:r>
        </w:p>
        <w:p>
          <w:pPr>
            <w:pStyle w:val="12"/>
            <w:tabs>
              <w:tab w:val="right" w:leader="dot" w:pos="8845"/>
              <w:tab w:val="clear" w:pos="8296"/>
            </w:tabs>
          </w:pPr>
          <w:r>
            <w:fldChar w:fldCharType="begin"/>
          </w:r>
          <w:r>
            <w:instrText xml:space="preserve"> HYPERLINK \l _Toc3539 </w:instrText>
          </w:r>
          <w:r>
            <w:fldChar w:fldCharType="separate"/>
          </w:r>
          <w:r>
            <w:rPr>
              <w:rFonts w:hint="eastAsia" w:ascii="黑体" w:hAnsi="黑体" w:eastAsia="黑体"/>
              <w:lang w:eastAsia="zh-CN"/>
            </w:rPr>
            <w:t>一、</w:t>
          </w:r>
          <w:r>
            <w:rPr>
              <w:rFonts w:hint="eastAsia" w:ascii="黑体" w:hAnsi="黑体" w:eastAsia="黑体"/>
            </w:rPr>
            <w:t>部门职责</w:t>
          </w:r>
          <w:r>
            <w:tab/>
          </w:r>
          <w:r>
            <w:fldChar w:fldCharType="begin"/>
          </w:r>
          <w:r>
            <w:instrText xml:space="preserve"> PAGEREF _Toc3539 \h </w:instrText>
          </w:r>
          <w:r>
            <w:fldChar w:fldCharType="separate"/>
          </w:r>
          <w:r>
            <w:t>3</w:t>
          </w:r>
          <w:r>
            <w:fldChar w:fldCharType="end"/>
          </w:r>
          <w:r>
            <w:fldChar w:fldCharType="end"/>
          </w:r>
        </w:p>
        <w:p>
          <w:pPr>
            <w:pStyle w:val="12"/>
            <w:tabs>
              <w:tab w:val="right" w:leader="dot" w:pos="8845"/>
              <w:tab w:val="clear" w:pos="8296"/>
            </w:tabs>
          </w:pPr>
          <w:r>
            <w:fldChar w:fldCharType="begin"/>
          </w:r>
          <w:r>
            <w:instrText xml:space="preserve"> HYPERLINK \l _Toc18525 </w:instrText>
          </w:r>
          <w:r>
            <w:fldChar w:fldCharType="separate"/>
          </w:r>
          <w:r>
            <w:rPr>
              <w:rFonts w:hint="eastAsia" w:ascii="黑体" w:eastAsia="黑体"/>
            </w:rPr>
            <w:t>二、</w:t>
          </w:r>
          <w:r>
            <w:rPr>
              <w:rFonts w:hint="eastAsia" w:ascii="黑体" w:hAnsi="黑体" w:eastAsia="黑体"/>
            </w:rPr>
            <w:t>机</w:t>
          </w:r>
          <w:r>
            <w:rPr>
              <w:rFonts w:hint="eastAsia" w:ascii="黑体" w:hAnsi="黑体" w:eastAsia="黑体"/>
              <w:bCs w:val="0"/>
            </w:rPr>
            <w:t>构设置</w:t>
          </w:r>
          <w:r>
            <w:tab/>
          </w:r>
          <w:r>
            <w:fldChar w:fldCharType="begin"/>
          </w:r>
          <w:r>
            <w:instrText xml:space="preserve"> PAGEREF _Toc18525 \h </w:instrText>
          </w:r>
          <w:r>
            <w:fldChar w:fldCharType="separate"/>
          </w:r>
          <w:r>
            <w:t>4</w:t>
          </w:r>
          <w:r>
            <w:fldChar w:fldCharType="end"/>
          </w:r>
          <w:r>
            <w:fldChar w:fldCharType="end"/>
          </w:r>
        </w:p>
        <w:p>
          <w:pPr>
            <w:pStyle w:val="11"/>
            <w:tabs>
              <w:tab w:val="right" w:leader="dot" w:pos="8845"/>
              <w:tab w:val="clear" w:pos="8296"/>
            </w:tabs>
          </w:pPr>
          <w:r>
            <w:fldChar w:fldCharType="begin"/>
          </w:r>
          <w:r>
            <w:instrText xml:space="preserve"> HYPERLINK \l _Toc29135 </w:instrText>
          </w:r>
          <w:r>
            <w:fldChar w:fldCharType="separate"/>
          </w:r>
          <w:r>
            <w:rPr>
              <w:rFonts w:hint="eastAsia" w:ascii="黑体" w:hAnsi="黑体" w:eastAsia="黑体"/>
            </w:rPr>
            <w:t>第二部分 2023年度</w:t>
          </w:r>
          <w:r>
            <w:rPr>
              <w:rFonts w:hint="eastAsia" w:ascii="黑体" w:hAnsi="黑体" w:eastAsia="黑体"/>
              <w:bCs/>
            </w:rPr>
            <w:t>部门决算情况说明</w:t>
          </w:r>
          <w:r>
            <w:tab/>
          </w:r>
          <w:r>
            <w:fldChar w:fldCharType="begin"/>
          </w:r>
          <w:r>
            <w:instrText xml:space="preserve"> PAGEREF _Toc29135 \h </w:instrText>
          </w:r>
          <w:r>
            <w:fldChar w:fldCharType="separate"/>
          </w:r>
          <w:r>
            <w:t>5</w:t>
          </w:r>
          <w:r>
            <w:fldChar w:fldCharType="end"/>
          </w:r>
          <w:r>
            <w:fldChar w:fldCharType="end"/>
          </w:r>
        </w:p>
        <w:p>
          <w:pPr>
            <w:pStyle w:val="12"/>
            <w:tabs>
              <w:tab w:val="right" w:leader="dot" w:pos="8845"/>
              <w:tab w:val="clear" w:pos="8296"/>
            </w:tabs>
          </w:pPr>
          <w:r>
            <w:fldChar w:fldCharType="begin"/>
          </w:r>
          <w:r>
            <w:instrText xml:space="preserve"> HYPERLINK \l _Toc20212 </w:instrText>
          </w:r>
          <w:r>
            <w:fldChar w:fldCharType="separate"/>
          </w:r>
          <w:r>
            <w:rPr>
              <w:rFonts w:hint="eastAsia" w:ascii="黑体" w:hAnsi="黑体" w:eastAsia="黑体"/>
              <w:szCs w:val="32"/>
              <w:lang w:eastAsia="zh-CN"/>
            </w:rPr>
            <w:t>一、</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_Toc20212 \h </w:instrText>
          </w:r>
          <w:r>
            <w:fldChar w:fldCharType="separate"/>
          </w:r>
          <w:r>
            <w:t>5</w:t>
          </w:r>
          <w:r>
            <w:fldChar w:fldCharType="end"/>
          </w:r>
          <w:r>
            <w:fldChar w:fldCharType="end"/>
          </w:r>
        </w:p>
        <w:p>
          <w:pPr>
            <w:pStyle w:val="12"/>
            <w:tabs>
              <w:tab w:val="right" w:leader="dot" w:pos="8845"/>
              <w:tab w:val="clear" w:pos="8296"/>
            </w:tabs>
          </w:pPr>
          <w:r>
            <w:fldChar w:fldCharType="begin"/>
          </w:r>
          <w:r>
            <w:instrText xml:space="preserve"> HYPERLINK \l _Toc15619 </w:instrText>
          </w:r>
          <w:r>
            <w:fldChar w:fldCharType="separate"/>
          </w:r>
          <w:r>
            <w:rPr>
              <w:rFonts w:hint="eastAsia" w:ascii="黑体" w:hAnsi="黑体" w:eastAsia="黑体"/>
              <w:szCs w:val="32"/>
              <w:lang w:eastAsia="zh-CN"/>
            </w:rPr>
            <w:t>二、</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_Toc15619 \h </w:instrText>
          </w:r>
          <w:r>
            <w:fldChar w:fldCharType="separate"/>
          </w:r>
          <w:r>
            <w:t>5</w:t>
          </w:r>
          <w:r>
            <w:fldChar w:fldCharType="end"/>
          </w:r>
          <w:r>
            <w:fldChar w:fldCharType="end"/>
          </w:r>
        </w:p>
        <w:p>
          <w:pPr>
            <w:pStyle w:val="12"/>
            <w:tabs>
              <w:tab w:val="right" w:leader="dot" w:pos="8845"/>
              <w:tab w:val="clear" w:pos="8296"/>
            </w:tabs>
          </w:pPr>
          <w:r>
            <w:fldChar w:fldCharType="begin"/>
          </w:r>
          <w:r>
            <w:instrText xml:space="preserve"> HYPERLINK \l _Toc27793 </w:instrText>
          </w:r>
          <w:r>
            <w:fldChar w:fldCharType="separate"/>
          </w:r>
          <w:r>
            <w:rPr>
              <w:rFonts w:hint="eastAsia" w:ascii="黑体" w:hAnsi="黑体" w:eastAsia="黑体"/>
              <w:szCs w:val="32"/>
              <w:lang w:eastAsia="zh-CN"/>
            </w:rPr>
            <w:t>三、</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_Toc27793 \h </w:instrText>
          </w:r>
          <w:r>
            <w:fldChar w:fldCharType="separate"/>
          </w:r>
          <w:r>
            <w:t>6</w:t>
          </w:r>
          <w:r>
            <w:fldChar w:fldCharType="end"/>
          </w:r>
          <w:r>
            <w:fldChar w:fldCharType="end"/>
          </w:r>
        </w:p>
        <w:p>
          <w:pPr>
            <w:pStyle w:val="12"/>
            <w:tabs>
              <w:tab w:val="right" w:leader="dot" w:pos="8845"/>
              <w:tab w:val="clear" w:pos="8296"/>
            </w:tabs>
          </w:pPr>
          <w:r>
            <w:fldChar w:fldCharType="begin"/>
          </w:r>
          <w:r>
            <w:instrText xml:space="preserve"> HYPERLINK \l _Toc4650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_Toc4650 \h </w:instrText>
          </w:r>
          <w:r>
            <w:fldChar w:fldCharType="separate"/>
          </w:r>
          <w:r>
            <w:t>6</w:t>
          </w:r>
          <w:r>
            <w:fldChar w:fldCharType="end"/>
          </w:r>
          <w:r>
            <w:fldChar w:fldCharType="end"/>
          </w:r>
        </w:p>
        <w:p>
          <w:pPr>
            <w:pStyle w:val="12"/>
            <w:tabs>
              <w:tab w:val="right" w:leader="dot" w:pos="8845"/>
              <w:tab w:val="clear" w:pos="8296"/>
            </w:tabs>
          </w:pPr>
          <w:r>
            <w:fldChar w:fldCharType="begin"/>
          </w:r>
          <w:r>
            <w:instrText xml:space="preserve"> HYPERLINK \l _Toc24645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_Toc24645 \h </w:instrText>
          </w:r>
          <w:r>
            <w:fldChar w:fldCharType="separate"/>
          </w:r>
          <w:r>
            <w:t>7</w:t>
          </w:r>
          <w:r>
            <w:fldChar w:fldCharType="end"/>
          </w:r>
          <w:r>
            <w:fldChar w:fldCharType="end"/>
          </w:r>
        </w:p>
        <w:p>
          <w:pPr>
            <w:pStyle w:val="12"/>
            <w:tabs>
              <w:tab w:val="right" w:leader="dot" w:pos="8845"/>
              <w:tab w:val="clear" w:pos="8296"/>
            </w:tabs>
          </w:pPr>
          <w:r>
            <w:fldChar w:fldCharType="begin"/>
          </w:r>
          <w:r>
            <w:instrText xml:space="preserve"> HYPERLINK \l _Toc222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_Toc222 \h </w:instrText>
          </w:r>
          <w:r>
            <w:fldChar w:fldCharType="separate"/>
          </w:r>
          <w:r>
            <w:t>9</w:t>
          </w:r>
          <w:r>
            <w:fldChar w:fldCharType="end"/>
          </w:r>
          <w:r>
            <w:fldChar w:fldCharType="end"/>
          </w:r>
        </w:p>
        <w:p>
          <w:pPr>
            <w:pStyle w:val="12"/>
            <w:tabs>
              <w:tab w:val="right" w:leader="dot" w:pos="8845"/>
              <w:tab w:val="clear" w:pos="8296"/>
            </w:tabs>
          </w:pPr>
          <w:r>
            <w:fldChar w:fldCharType="begin"/>
          </w:r>
          <w:r>
            <w:instrText xml:space="preserve"> HYPERLINK \l _Toc7287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_Toc7287 \h </w:instrText>
          </w:r>
          <w:r>
            <w:fldChar w:fldCharType="separate"/>
          </w:r>
          <w:r>
            <w:t>9</w:t>
          </w:r>
          <w:r>
            <w:fldChar w:fldCharType="end"/>
          </w:r>
          <w:r>
            <w:fldChar w:fldCharType="end"/>
          </w:r>
        </w:p>
        <w:p>
          <w:pPr>
            <w:pStyle w:val="12"/>
            <w:tabs>
              <w:tab w:val="right" w:leader="dot" w:pos="8845"/>
              <w:tab w:val="clear" w:pos="8296"/>
            </w:tabs>
          </w:pPr>
          <w:r>
            <w:fldChar w:fldCharType="begin"/>
          </w:r>
          <w:r>
            <w:instrText xml:space="preserve"> HYPERLINK \l _Toc29077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_Toc29077 \h </w:instrText>
          </w:r>
          <w:r>
            <w:fldChar w:fldCharType="separate"/>
          </w:r>
          <w:r>
            <w:t>11</w:t>
          </w:r>
          <w:r>
            <w:fldChar w:fldCharType="end"/>
          </w:r>
          <w:r>
            <w:fldChar w:fldCharType="end"/>
          </w:r>
        </w:p>
        <w:p>
          <w:pPr>
            <w:pStyle w:val="12"/>
            <w:tabs>
              <w:tab w:val="right" w:leader="dot" w:pos="8845"/>
              <w:tab w:val="clear" w:pos="8296"/>
            </w:tabs>
          </w:pPr>
          <w:r>
            <w:fldChar w:fldCharType="begin"/>
          </w:r>
          <w:r>
            <w:instrText xml:space="preserve"> HYPERLINK \l _Toc22691 </w:instrText>
          </w:r>
          <w:r>
            <w:fldChar w:fldCharType="separate"/>
          </w:r>
          <w:r>
            <w:rPr>
              <w:rFonts w:hint="eastAsia" w:ascii="黑体" w:hAnsi="黑体" w:eastAsia="黑体"/>
              <w:lang w:eastAsia="zh-CN"/>
            </w:rPr>
            <w:t>九、</w:t>
          </w:r>
          <w:r>
            <w:rPr>
              <w:rFonts w:hint="eastAsia" w:ascii="黑体" w:hAnsi="黑体" w:eastAsia="黑体"/>
            </w:rPr>
            <w:t>国有资本经营预算支出决算情况说明</w:t>
          </w:r>
          <w:r>
            <w:tab/>
          </w:r>
          <w:r>
            <w:fldChar w:fldCharType="begin"/>
          </w:r>
          <w:r>
            <w:instrText xml:space="preserve"> PAGEREF _Toc22691 \h </w:instrText>
          </w:r>
          <w:r>
            <w:fldChar w:fldCharType="separate"/>
          </w:r>
          <w:r>
            <w:t>11</w:t>
          </w:r>
          <w:r>
            <w:fldChar w:fldCharType="end"/>
          </w:r>
          <w:r>
            <w:fldChar w:fldCharType="end"/>
          </w:r>
        </w:p>
        <w:p>
          <w:pPr>
            <w:pStyle w:val="12"/>
            <w:tabs>
              <w:tab w:val="right" w:leader="dot" w:pos="8845"/>
              <w:tab w:val="clear" w:pos="8296"/>
            </w:tabs>
          </w:pPr>
          <w:r>
            <w:fldChar w:fldCharType="begin"/>
          </w:r>
          <w:r>
            <w:instrText xml:space="preserve"> HYPERLINK \l _Toc1256 </w:instrText>
          </w:r>
          <w:r>
            <w:fldChar w:fldCharType="separate"/>
          </w:r>
          <w:r>
            <w:rPr>
              <w:rFonts w:hint="eastAsia" w:ascii="黑体" w:hAnsi="黑体" w:eastAsia="黑体"/>
              <w:lang w:eastAsia="zh-CN"/>
            </w:rPr>
            <w:t>十、</w:t>
          </w:r>
          <w:r>
            <w:rPr>
              <w:rFonts w:hint="eastAsia" w:ascii="黑体" w:hAnsi="黑体" w:eastAsia="黑体"/>
            </w:rPr>
            <w:t>其他重要事项的情况说明</w:t>
          </w:r>
          <w:r>
            <w:tab/>
          </w:r>
          <w:r>
            <w:fldChar w:fldCharType="begin"/>
          </w:r>
          <w:r>
            <w:instrText xml:space="preserve"> PAGEREF _Toc1256 \h </w:instrText>
          </w:r>
          <w:r>
            <w:fldChar w:fldCharType="separate"/>
          </w:r>
          <w:r>
            <w:t>11</w:t>
          </w:r>
          <w:r>
            <w:fldChar w:fldCharType="end"/>
          </w:r>
          <w:r>
            <w:fldChar w:fldCharType="end"/>
          </w:r>
        </w:p>
        <w:p>
          <w:pPr>
            <w:pStyle w:val="11"/>
            <w:tabs>
              <w:tab w:val="right" w:leader="dot" w:pos="8845"/>
              <w:tab w:val="clear" w:pos="8296"/>
            </w:tabs>
          </w:pPr>
          <w:r>
            <w:fldChar w:fldCharType="begin"/>
          </w:r>
          <w:r>
            <w:instrText xml:space="preserve"> HYPERLINK \l _Toc25750 </w:instrText>
          </w:r>
          <w:r>
            <w:fldChar w:fldCharType="separate"/>
          </w:r>
          <w:r>
            <w:rPr>
              <w:rFonts w:hint="eastAsia" w:ascii="黑体" w:hAnsi="黑体" w:eastAsia="黑体" w:cs="黑体"/>
              <w:szCs w:val="44"/>
              <w:lang w:val="en-US" w:eastAsia="zh-CN"/>
            </w:rPr>
            <w:t>第三部分 名词解释</w:t>
          </w:r>
          <w:r>
            <w:tab/>
          </w:r>
          <w:r>
            <w:fldChar w:fldCharType="begin"/>
          </w:r>
          <w:r>
            <w:instrText xml:space="preserve"> PAGEREF _Toc25750 \h </w:instrText>
          </w:r>
          <w:r>
            <w:fldChar w:fldCharType="separate"/>
          </w:r>
          <w:r>
            <w:t>14</w:t>
          </w:r>
          <w:r>
            <w:fldChar w:fldCharType="end"/>
          </w:r>
          <w:r>
            <w:fldChar w:fldCharType="end"/>
          </w:r>
        </w:p>
        <w:p>
          <w:pPr>
            <w:pStyle w:val="11"/>
            <w:tabs>
              <w:tab w:val="right" w:leader="dot" w:pos="8845"/>
              <w:tab w:val="clear" w:pos="8296"/>
            </w:tabs>
          </w:pPr>
          <w:r>
            <w:fldChar w:fldCharType="begin"/>
          </w:r>
          <w:r>
            <w:instrText xml:space="preserve"> HYPERLINK \l _Toc13735 </w:instrText>
          </w:r>
          <w:r>
            <w:fldChar w:fldCharType="separate"/>
          </w:r>
          <w:r>
            <w:rPr>
              <w:rFonts w:hint="eastAsia" w:ascii="黑体" w:hAnsi="黑体" w:eastAsia="黑体" w:cs="黑体"/>
              <w:szCs w:val="44"/>
              <w:lang w:val="en-US" w:eastAsia="zh-CN"/>
            </w:rPr>
            <w:t>第四部分 附件</w:t>
          </w:r>
          <w:r>
            <w:tab/>
          </w:r>
          <w:r>
            <w:fldChar w:fldCharType="begin"/>
          </w:r>
          <w:r>
            <w:instrText xml:space="preserve"> PAGEREF _Toc13735 \h </w:instrText>
          </w:r>
          <w:r>
            <w:fldChar w:fldCharType="separate"/>
          </w:r>
          <w:r>
            <w:t>16</w:t>
          </w:r>
          <w:r>
            <w:fldChar w:fldCharType="end"/>
          </w:r>
          <w:r>
            <w:fldChar w:fldCharType="end"/>
          </w:r>
        </w:p>
        <w:p>
          <w:pPr>
            <w:pStyle w:val="11"/>
            <w:tabs>
              <w:tab w:val="right" w:leader="dot" w:pos="8845"/>
              <w:tab w:val="clear" w:pos="8296"/>
            </w:tabs>
          </w:pPr>
          <w:r>
            <w:fldChar w:fldCharType="begin"/>
          </w:r>
          <w:r>
            <w:instrText xml:space="preserve"> HYPERLINK \l _Toc14650 </w:instrText>
          </w:r>
          <w:r>
            <w:fldChar w:fldCharType="separate"/>
          </w:r>
          <w:r>
            <w:rPr>
              <w:rFonts w:hint="eastAsia" w:ascii="黑体" w:hAnsi="宋体" w:eastAsia="黑体" w:cs="黑体"/>
              <w:kern w:val="2"/>
              <w:szCs w:val="44"/>
              <w:lang w:val="en-US" w:eastAsia="zh-CN" w:bidi="ar"/>
            </w:rPr>
            <w:t>第</w:t>
          </w:r>
          <w:r>
            <w:rPr>
              <w:rFonts w:hint="eastAsia" w:ascii="黑体" w:hAnsi="宋体" w:eastAsia="黑体" w:cs="黑体"/>
              <w:kern w:val="44"/>
              <w:szCs w:val="44"/>
              <w:lang w:val="en-US" w:eastAsia="zh-CN" w:bidi="ar"/>
            </w:rPr>
            <w:t>五部分 附表</w:t>
          </w:r>
          <w:r>
            <w:tab/>
          </w:r>
          <w:r>
            <w:fldChar w:fldCharType="begin"/>
          </w:r>
          <w:r>
            <w:instrText xml:space="preserve"> PAGEREF _Toc14650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_Toc27980 </w:instrText>
          </w:r>
          <w:r>
            <w:fldChar w:fldCharType="separate"/>
          </w:r>
          <w:r>
            <w:rPr>
              <w:rFonts w:hint="eastAsia" w:ascii="仿宋" w:hAnsi="仿宋" w:eastAsia="仿宋" w:cs="仿宋"/>
              <w:kern w:val="2"/>
              <w:szCs w:val="32"/>
            </w:rPr>
            <w:t>一、收入支出决算总表</w:t>
          </w:r>
          <w:r>
            <w:tab/>
          </w:r>
          <w:r>
            <w:fldChar w:fldCharType="begin"/>
          </w:r>
          <w:r>
            <w:instrText xml:space="preserve"> PAGEREF _Toc27980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_Toc8930 </w:instrText>
          </w:r>
          <w:r>
            <w:fldChar w:fldCharType="separate"/>
          </w:r>
          <w:r>
            <w:rPr>
              <w:rFonts w:hint="eastAsia" w:ascii="仿宋" w:hAnsi="仿宋" w:eastAsia="仿宋" w:cs="仿宋"/>
              <w:kern w:val="2"/>
              <w:szCs w:val="32"/>
            </w:rPr>
            <w:t>二、收入决算表</w:t>
          </w:r>
          <w:r>
            <w:tab/>
          </w:r>
          <w:r>
            <w:fldChar w:fldCharType="begin"/>
          </w:r>
          <w:r>
            <w:instrText xml:space="preserve"> PAGEREF _Toc8930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_Toc23594 </w:instrText>
          </w:r>
          <w:r>
            <w:fldChar w:fldCharType="separate"/>
          </w:r>
          <w:r>
            <w:rPr>
              <w:rFonts w:hint="eastAsia" w:ascii="仿宋" w:hAnsi="仿宋" w:eastAsia="仿宋" w:cs="仿宋"/>
              <w:kern w:val="2"/>
              <w:szCs w:val="32"/>
            </w:rPr>
            <w:t>三、支出决算表</w:t>
          </w:r>
          <w:r>
            <w:tab/>
          </w:r>
          <w:r>
            <w:fldChar w:fldCharType="begin"/>
          </w:r>
          <w:r>
            <w:instrText xml:space="preserve"> PAGEREF _Toc23594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_Toc29673 </w:instrText>
          </w:r>
          <w:r>
            <w:fldChar w:fldCharType="separate"/>
          </w:r>
          <w:r>
            <w:rPr>
              <w:rFonts w:hint="eastAsia" w:ascii="仿宋" w:hAnsi="仿宋" w:eastAsia="仿宋" w:cs="仿宋"/>
              <w:kern w:val="2"/>
              <w:szCs w:val="32"/>
            </w:rPr>
            <w:t>四、财政拨款收入支出决算总表</w:t>
          </w:r>
          <w:r>
            <w:tab/>
          </w:r>
          <w:r>
            <w:fldChar w:fldCharType="begin"/>
          </w:r>
          <w:r>
            <w:instrText xml:space="preserve"> PAGEREF _Toc29673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_Toc11481 </w:instrText>
          </w:r>
          <w:r>
            <w:fldChar w:fldCharType="separate"/>
          </w:r>
          <w:r>
            <w:rPr>
              <w:rFonts w:hint="eastAsia" w:ascii="仿宋" w:hAnsi="仿宋" w:eastAsia="仿宋" w:cs="仿宋"/>
              <w:kern w:val="2"/>
              <w:szCs w:val="32"/>
            </w:rPr>
            <w:t>五、财政拨款支出决算明细表</w:t>
          </w:r>
          <w:r>
            <w:tab/>
          </w:r>
          <w:r>
            <w:fldChar w:fldCharType="begin"/>
          </w:r>
          <w:r>
            <w:instrText xml:space="preserve"> PAGEREF _Toc11481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_Toc24750 </w:instrText>
          </w:r>
          <w:r>
            <w:fldChar w:fldCharType="separate"/>
          </w:r>
          <w:r>
            <w:rPr>
              <w:rFonts w:hint="eastAsia" w:ascii="仿宋" w:hAnsi="仿宋" w:eastAsia="仿宋" w:cs="仿宋"/>
              <w:kern w:val="2"/>
              <w:szCs w:val="32"/>
            </w:rPr>
            <w:t>六、一般公共预算财政拨款支出决算表</w:t>
          </w:r>
          <w:r>
            <w:tab/>
          </w:r>
          <w:r>
            <w:fldChar w:fldCharType="begin"/>
          </w:r>
          <w:r>
            <w:instrText xml:space="preserve"> PAGEREF _Toc24750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_Toc19374 </w:instrText>
          </w:r>
          <w:r>
            <w:fldChar w:fldCharType="separate"/>
          </w:r>
          <w:r>
            <w:rPr>
              <w:rFonts w:hint="eastAsia" w:ascii="仿宋" w:hAnsi="仿宋" w:eastAsia="仿宋" w:cs="仿宋"/>
              <w:kern w:val="2"/>
              <w:szCs w:val="32"/>
            </w:rPr>
            <w:t>七、一般公共预算财政拨款支出决算明细表</w:t>
          </w:r>
          <w:r>
            <w:tab/>
          </w:r>
          <w:r>
            <w:fldChar w:fldCharType="begin"/>
          </w:r>
          <w:r>
            <w:instrText xml:space="preserve"> PAGEREF _Toc19374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_Toc20451 </w:instrText>
          </w:r>
          <w:r>
            <w:fldChar w:fldCharType="separate"/>
          </w:r>
          <w:r>
            <w:rPr>
              <w:rFonts w:hint="eastAsia" w:ascii="仿宋" w:hAnsi="仿宋" w:eastAsia="仿宋" w:cs="仿宋"/>
              <w:kern w:val="2"/>
              <w:szCs w:val="32"/>
            </w:rPr>
            <w:t>八、一般公共预算财政拨款基本支出决算表</w:t>
          </w:r>
          <w:r>
            <w:tab/>
          </w:r>
          <w:r>
            <w:fldChar w:fldCharType="begin"/>
          </w:r>
          <w:r>
            <w:instrText xml:space="preserve"> PAGEREF _Toc20451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_Toc10646 </w:instrText>
          </w:r>
          <w:r>
            <w:fldChar w:fldCharType="separate"/>
          </w:r>
          <w:r>
            <w:rPr>
              <w:rFonts w:hint="eastAsia" w:ascii="仿宋" w:hAnsi="仿宋" w:eastAsia="仿宋" w:cs="仿宋"/>
              <w:kern w:val="2"/>
              <w:szCs w:val="32"/>
            </w:rPr>
            <w:t>九、一般公共预算财政拨款项目支出决算表</w:t>
          </w:r>
          <w:r>
            <w:tab/>
          </w:r>
          <w:r>
            <w:fldChar w:fldCharType="begin"/>
          </w:r>
          <w:r>
            <w:instrText xml:space="preserve"> PAGEREF _Toc10646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_Toc1976 </w:instrText>
          </w:r>
          <w:r>
            <w:fldChar w:fldCharType="separate"/>
          </w:r>
          <w:r>
            <w:rPr>
              <w:rFonts w:hint="eastAsia" w:ascii="仿宋" w:hAnsi="仿宋" w:eastAsia="仿宋" w:cs="仿宋"/>
              <w:kern w:val="2"/>
              <w:szCs w:val="32"/>
            </w:rPr>
            <w:t>十、政府性基金预算财政拨款收入支出决算表</w:t>
          </w:r>
          <w:r>
            <w:tab/>
          </w:r>
          <w:r>
            <w:fldChar w:fldCharType="begin"/>
          </w:r>
          <w:r>
            <w:instrText xml:space="preserve"> PAGEREF _Toc1976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_Toc4371 </w:instrText>
          </w:r>
          <w:r>
            <w:fldChar w:fldCharType="separate"/>
          </w:r>
          <w:r>
            <w:rPr>
              <w:rFonts w:hint="eastAsia" w:ascii="仿宋" w:hAnsi="仿宋" w:eastAsia="仿宋" w:cs="仿宋"/>
              <w:kern w:val="2"/>
              <w:szCs w:val="32"/>
            </w:rPr>
            <w:t>十一、国有资本经营预算财政拨款收入支出决算表</w:t>
          </w:r>
          <w:r>
            <w:tab/>
          </w:r>
          <w:r>
            <w:fldChar w:fldCharType="begin"/>
          </w:r>
          <w:r>
            <w:instrText xml:space="preserve"> PAGEREF _Toc4371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_Toc6513 </w:instrText>
          </w:r>
          <w:r>
            <w:fldChar w:fldCharType="separate"/>
          </w:r>
          <w:r>
            <w:rPr>
              <w:rFonts w:hint="eastAsia" w:ascii="仿宋" w:hAnsi="仿宋" w:eastAsia="仿宋" w:cs="仿宋"/>
              <w:kern w:val="2"/>
              <w:szCs w:val="32"/>
            </w:rPr>
            <w:t>十二、国有资本经营预算财政拨款支出决算表</w:t>
          </w:r>
          <w:r>
            <w:tab/>
          </w:r>
          <w:r>
            <w:fldChar w:fldCharType="begin"/>
          </w:r>
          <w:r>
            <w:instrText xml:space="preserve"> PAGEREF _Toc6513 \h </w:instrText>
          </w:r>
          <w:r>
            <w:fldChar w:fldCharType="separate"/>
          </w:r>
          <w:r>
            <w:t>74</w:t>
          </w:r>
          <w:r>
            <w:fldChar w:fldCharType="end"/>
          </w:r>
          <w:r>
            <w:fldChar w:fldCharType="end"/>
          </w:r>
        </w:p>
        <w:p>
          <w:pPr>
            <w:pStyle w:val="12"/>
            <w:tabs>
              <w:tab w:val="right" w:leader="dot" w:pos="8845"/>
              <w:tab w:val="clear" w:pos="8296"/>
            </w:tabs>
          </w:pPr>
          <w:r>
            <w:fldChar w:fldCharType="begin"/>
          </w:r>
          <w:r>
            <w:instrText xml:space="preserve"> HYPERLINK \l _Toc9207 </w:instrText>
          </w:r>
          <w:r>
            <w:fldChar w:fldCharType="separate"/>
          </w:r>
          <w:r>
            <w:rPr>
              <w:rFonts w:hint="eastAsia" w:ascii="仿宋" w:hAnsi="仿宋" w:eastAsia="仿宋" w:cs="仿宋"/>
              <w:kern w:val="2"/>
              <w:szCs w:val="32"/>
            </w:rPr>
            <w:t>十三、财政拨款</w:t>
          </w:r>
          <w:r>
            <w:rPr>
              <w:rFonts w:hint="default" w:ascii="仿宋" w:hAnsi="仿宋" w:eastAsia="仿宋" w:cs="仿宋"/>
              <w:kern w:val="2"/>
              <w:szCs w:val="32"/>
            </w:rPr>
            <w:t>“</w:t>
          </w:r>
          <w:r>
            <w:rPr>
              <w:rFonts w:hint="eastAsia" w:ascii="仿宋" w:hAnsi="仿宋" w:eastAsia="仿宋" w:cs="仿宋"/>
              <w:kern w:val="2"/>
              <w:szCs w:val="32"/>
            </w:rPr>
            <w:t>三公</w:t>
          </w:r>
          <w:r>
            <w:rPr>
              <w:rFonts w:hint="default" w:ascii="仿宋" w:hAnsi="仿宋" w:eastAsia="仿宋" w:cs="仿宋"/>
              <w:kern w:val="2"/>
              <w:szCs w:val="32"/>
            </w:rPr>
            <w:t>”</w:t>
          </w:r>
          <w:r>
            <w:rPr>
              <w:rFonts w:hint="eastAsia" w:ascii="仿宋" w:hAnsi="仿宋" w:eastAsia="仿宋" w:cs="仿宋"/>
              <w:kern w:val="2"/>
              <w:szCs w:val="32"/>
            </w:rPr>
            <w:t>经费支出决算表</w:t>
          </w:r>
          <w:r>
            <w:tab/>
          </w:r>
          <w:r>
            <w:fldChar w:fldCharType="begin"/>
          </w:r>
          <w:r>
            <w:instrText xml:space="preserve"> PAGEREF _Toc9207 \h </w:instrText>
          </w:r>
          <w:r>
            <w:fldChar w:fldCharType="separate"/>
          </w:r>
          <w:r>
            <w:t>74</w:t>
          </w:r>
          <w:r>
            <w:fldChar w:fldCharType="end"/>
          </w:r>
          <w:r>
            <w:fldChar w:fldCharType="end"/>
          </w:r>
        </w:p>
        <w:p>
          <w:r>
            <w:fldChar w:fldCharType="end"/>
          </w:r>
        </w:p>
      </w:sdtContent>
    </w:sdt>
    <w:p>
      <w:pPr>
        <w:pageBreakBefore w:val="0"/>
        <w:widowControl/>
        <w:kinsoku/>
        <w:wordWrap/>
        <w:overflowPunct/>
        <w:topLinePunct w:val="0"/>
        <w:bidi w:val="0"/>
        <w:spacing w:line="576" w:lineRule="exact"/>
        <w:ind w:left="0" w:leftChars="0" w:right="0"/>
        <w:jc w:val="left"/>
        <w:textAlignment w:val="auto"/>
        <w:rPr>
          <w:rFonts w:ascii="仿宋" w:hAnsi="仿宋" w:eastAsia="仿宋"/>
          <w:bCs/>
          <w:kern w:val="44"/>
          <w:sz w:val="24"/>
        </w:rPr>
      </w:pPr>
      <w:r>
        <w:rPr>
          <w:rFonts w:ascii="仿宋" w:hAnsi="仿宋" w:eastAsia="仿宋"/>
          <w:b/>
          <w:sz w:val="24"/>
        </w:rPr>
        <w:br w:type="page"/>
      </w:r>
    </w:p>
    <w:p>
      <w:pPr>
        <w:pStyle w:val="2"/>
        <w:keepNext/>
        <w:keepLines/>
        <w:pageBreakBefore w:val="0"/>
        <w:widowControl w:val="0"/>
        <w:kinsoku/>
        <w:wordWrap/>
        <w:overflowPunct/>
        <w:topLinePunct w:val="0"/>
        <w:autoSpaceDE/>
        <w:autoSpaceDN/>
        <w:bidi w:val="0"/>
        <w:adjustRightInd/>
        <w:snapToGrid/>
        <w:spacing w:before="0" w:after="0" w:line="576" w:lineRule="exact"/>
        <w:ind w:left="0" w:leftChars="0" w:right="0"/>
        <w:jc w:val="center"/>
        <w:textAlignment w:val="auto"/>
        <w:rPr>
          <w:rStyle w:val="29"/>
          <w:rFonts w:ascii="黑体" w:hAnsi="黑体" w:eastAsia="黑体"/>
          <w:b/>
          <w:bCs w:val="0"/>
        </w:rPr>
      </w:pPr>
      <w:bookmarkStart w:id="16" w:name="_Toc32047"/>
      <w:r>
        <w:rPr>
          <w:rFonts w:hint="eastAsia" w:ascii="黑体" w:hAnsi="黑体" w:eastAsia="黑体"/>
          <w:b w:val="0"/>
        </w:rPr>
        <w:t xml:space="preserve">第一部分 </w:t>
      </w:r>
      <w:r>
        <w:rPr>
          <w:rStyle w:val="29"/>
          <w:rFonts w:hint="eastAsia" w:ascii="黑体" w:hAnsi="黑体" w:eastAsia="黑体"/>
          <w:b w:val="0"/>
          <w:bCs w:val="0"/>
        </w:rPr>
        <w:t>部门概况</w:t>
      </w:r>
      <w:bookmarkEnd w:id="14"/>
      <w:bookmarkEnd w:id="15"/>
      <w:bookmarkEnd w:id="16"/>
    </w:p>
    <w:p>
      <w:pPr>
        <w:pageBreakBefore w:val="0"/>
        <w:widowControl/>
        <w:kinsoku/>
        <w:wordWrap/>
        <w:overflowPunct/>
        <w:topLinePunct w:val="0"/>
        <w:bidi w:val="0"/>
        <w:spacing w:line="576" w:lineRule="exact"/>
        <w:ind w:left="0" w:leftChars="0" w:right="0"/>
        <w:jc w:val="left"/>
        <w:textAlignment w:val="auto"/>
        <w:rPr>
          <w:rFonts w:ascii="黑体" w:eastAsia="黑体"/>
          <w:sz w:val="32"/>
          <w:szCs w:val="32"/>
        </w:rPr>
      </w:pPr>
    </w:p>
    <w:p>
      <w:pPr>
        <w:pStyle w:val="3"/>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right="0" w:rightChars="0"/>
        <w:textAlignment w:val="auto"/>
        <w:rPr>
          <w:rFonts w:hint="eastAsia" w:ascii="黑体" w:hAnsi="黑体" w:eastAsia="黑体"/>
          <w:b w:val="0"/>
        </w:rPr>
      </w:pPr>
      <w:bookmarkStart w:id="17" w:name="_Toc3539"/>
      <w:r>
        <w:rPr>
          <w:rFonts w:hint="eastAsia" w:ascii="黑体" w:hAnsi="黑体" w:eastAsia="黑体"/>
          <w:b w:val="0"/>
          <w:lang w:eastAsia="zh-CN"/>
        </w:rPr>
        <w:t>一、</w:t>
      </w:r>
      <w:r>
        <w:rPr>
          <w:rFonts w:hint="eastAsia" w:ascii="黑体" w:hAnsi="黑体" w:eastAsia="黑体"/>
          <w:b w:val="0"/>
        </w:rPr>
        <w:t>部门职责</w:t>
      </w:r>
      <w:bookmarkEnd w:id="17"/>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default"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工商联工作是党的统一战线工作和经济工作的重要内容。广元市工商业联合会（广元市总商会）是中共广元市委领导的以民营企业和民营经济人士为主体，具有统战性、经济性、民间性有机统一基本特征的人民团体和商会组织，是党和政府联系民营经济人士的桥梁纽带，是政府管理和服务民营经济的助手，是中国人民政治协商会议广元市委员会的重要组成部分，主要职能职责如下。</w:t>
      </w:r>
      <w:r>
        <w:rPr>
          <w:rFonts w:hint="default" w:ascii="仿宋_GB2312" w:hAnsi="Times New Roman" w:eastAsia="仿宋_GB2312" w:cs="Times New Roman"/>
          <w:sz w:val="32"/>
          <w:szCs w:val="32"/>
          <w:lang w:eastAsia="zh-CN"/>
        </w:rPr>
        <w:t xml:space="preserve">           </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default" w:ascii="仿宋_GB2312" w:hAnsi="Times New Roman" w:eastAsia="仿宋_GB2312" w:cs="Times New Roman"/>
          <w:sz w:val="32"/>
          <w:szCs w:val="32"/>
          <w:lang w:eastAsia="zh-CN"/>
        </w:rPr>
        <w:t> </w:t>
      </w: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参与市委、市政府大政方针及政治、经济、社会生活中的重要问题的政治协商，发挥民主监督作用，参政议政。</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eastAsia="zh-CN"/>
        </w:rPr>
        <w:t>引导会员积极参加国家经济建设，推动社会主义市场经济体制逐步完善。</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做好工商界代表人士政治安排的推荐工作。</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lang w:eastAsia="zh-CN"/>
        </w:rPr>
        <w:t>指导同业公会和行业商会等专业组织的工作。</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lang w:eastAsia="zh-CN"/>
        </w:rPr>
        <w:t>发扬自我教育的优良传统，宣传、贯彻党和国家的方针政策，加强和改进思想政治工作，坚持对广大会员进行团结、帮助、引导、教育，促进非公有制经济健康发展，提倡爱国、敬业、守法，提高会员素质，培养积极分子队伍。</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lang w:eastAsia="zh-CN"/>
        </w:rPr>
        <w:t>代表并维护会员的合法权益，反映会员的意见、要求和建议；为会员提供有关证明，协调关系，参与调解经济纠纷。</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7.</w:t>
      </w:r>
      <w:r>
        <w:rPr>
          <w:rFonts w:hint="eastAsia" w:ascii="仿宋_GB2312" w:hAnsi="Times New Roman" w:eastAsia="仿宋_GB2312" w:cs="Times New Roman"/>
          <w:sz w:val="32"/>
          <w:szCs w:val="32"/>
          <w:lang w:eastAsia="zh-CN"/>
        </w:rPr>
        <w:t>引导会员把自身企业的发展与国家发展结合起来，把个人富裕与全体人民的共同富裕结合起来，把遵守市场规则与发扬社会主义道德结合起来，弘扬中华民族传统美德，先富帮后富，走共同富裕的道路，热心社会公益事业，积极参加扶贫光彩事业。</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8.</w:t>
      </w:r>
      <w:r>
        <w:rPr>
          <w:rFonts w:hint="eastAsia" w:ascii="仿宋_GB2312" w:hAnsi="Times New Roman" w:eastAsia="仿宋_GB2312" w:cs="Times New Roman"/>
          <w:sz w:val="32"/>
          <w:szCs w:val="32"/>
          <w:lang w:eastAsia="zh-CN"/>
        </w:rPr>
        <w:t>为会员提供信息、培训、科技、管理、法律、会计、审计、融资、咨询等服务，帮助会员改进经营管理，完善财会制度，照章纳税，提高自身素质和生产技术、产品质量等。</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9.</w:t>
      </w:r>
      <w:r>
        <w:rPr>
          <w:rFonts w:hint="eastAsia" w:ascii="仿宋_GB2312" w:hAnsi="Times New Roman" w:eastAsia="仿宋_GB2312" w:cs="Times New Roman"/>
          <w:sz w:val="32"/>
          <w:szCs w:val="32"/>
          <w:lang w:eastAsia="zh-CN"/>
        </w:rPr>
        <w:t>组织会员出国、出境考察访问，举办和参加各种对内对外展销会、交易会，帮助会员开拓国内、国际市场；增进与港澳特别行政区、台湾地区和世界各国工商社团及工商经济界人士的联系和友谊，促进经济、技术和贸易合作的发展，协助引进资金、技术、人才。</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10.</w:t>
      </w:r>
      <w:r>
        <w:rPr>
          <w:rFonts w:hint="eastAsia" w:ascii="仿宋_GB2312" w:hAnsi="Times New Roman" w:eastAsia="仿宋_GB2312" w:cs="Times New Roman"/>
          <w:sz w:val="32"/>
          <w:szCs w:val="32"/>
          <w:lang w:eastAsia="zh-CN"/>
        </w:rPr>
        <w:t>办好会办企业、事业。</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11.</w:t>
      </w:r>
      <w:r>
        <w:rPr>
          <w:rFonts w:hint="eastAsia" w:ascii="仿宋_GB2312" w:hAnsi="Times New Roman" w:eastAsia="仿宋_GB2312" w:cs="Times New Roman"/>
          <w:sz w:val="32"/>
          <w:szCs w:val="32"/>
          <w:lang w:eastAsia="zh-CN"/>
        </w:rPr>
        <w:t>承办市委、市政府交办和有关部门委托的事项。</w:t>
      </w:r>
    </w:p>
    <w:p>
      <w:pPr>
        <w:pStyle w:val="3"/>
        <w:keepNext/>
        <w:keepLines/>
        <w:pageBreakBefore w:val="0"/>
        <w:widowControl w:val="0"/>
        <w:kinsoku/>
        <w:wordWrap/>
        <w:overflowPunct/>
        <w:topLinePunct w:val="0"/>
        <w:autoSpaceDE/>
        <w:autoSpaceDN/>
        <w:bidi w:val="0"/>
        <w:adjustRightInd/>
        <w:snapToGrid/>
        <w:spacing w:before="0" w:after="0" w:line="576" w:lineRule="exact"/>
        <w:ind w:left="0" w:leftChars="0" w:right="0"/>
        <w:textAlignment w:val="auto"/>
        <w:rPr>
          <w:rStyle w:val="30"/>
          <w:b w:val="0"/>
          <w:bCs w:val="0"/>
        </w:rPr>
      </w:pPr>
      <w:bookmarkStart w:id="18" w:name="_Toc15377200"/>
      <w:bookmarkStart w:id="19" w:name="_Toc15396601"/>
      <w:bookmarkStart w:id="20" w:name="_Toc18525"/>
      <w:r>
        <w:rPr>
          <w:rFonts w:hint="eastAsia" w:ascii="黑体" w:eastAsia="黑体"/>
          <w:b w:val="0"/>
        </w:rPr>
        <w:t>二、</w:t>
      </w:r>
      <w:r>
        <w:rPr>
          <w:rFonts w:hint="eastAsia" w:ascii="黑体" w:hAnsi="黑体" w:eastAsia="黑体"/>
          <w:b w:val="0"/>
        </w:rPr>
        <w:t>机</w:t>
      </w:r>
      <w:r>
        <w:rPr>
          <w:rStyle w:val="30"/>
          <w:rFonts w:hint="eastAsia" w:ascii="黑体" w:hAnsi="黑体" w:eastAsia="黑体"/>
          <w:b w:val="0"/>
          <w:bCs w:val="0"/>
        </w:rPr>
        <w:t>构设置</w:t>
      </w:r>
      <w:bookmarkEnd w:id="18"/>
      <w:bookmarkEnd w:id="19"/>
      <w:bookmarkEnd w:id="20"/>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广元市工商业联合会</w:t>
      </w:r>
      <w:r>
        <w:rPr>
          <w:rFonts w:hint="eastAsia" w:ascii="仿宋_GB2312" w:eastAsia="仿宋_GB2312" w:cs="Times New Roman"/>
          <w:sz w:val="32"/>
          <w:szCs w:val="32"/>
          <w:lang w:eastAsia="zh-CN"/>
        </w:rPr>
        <w:t>部门</w:t>
      </w:r>
      <w:r>
        <w:rPr>
          <w:rFonts w:hint="eastAsia" w:ascii="仿宋_GB2312" w:hAnsi="Times New Roman" w:eastAsia="仿宋_GB2312" w:cs="Times New Roman"/>
          <w:sz w:val="32"/>
          <w:szCs w:val="32"/>
          <w:lang w:eastAsia="zh-CN"/>
        </w:rPr>
        <w:t>是一级预算单位，下属二级预算单位</w:t>
      </w:r>
      <w:r>
        <w:rPr>
          <w:rFonts w:hint="eastAsia" w:ascii="仿宋_GB2312" w:eastAsia="仿宋_GB2312" w:cs="Times New Roman"/>
          <w:sz w:val="32"/>
          <w:szCs w:val="32"/>
          <w:lang w:val="en-US" w:eastAsia="zh-CN"/>
        </w:rPr>
        <w:t>1个</w:t>
      </w:r>
      <w:r>
        <w:rPr>
          <w:rFonts w:hint="eastAsia" w:ascii="仿宋_GB2312" w:hAnsi="Times New Roman" w:eastAsia="仿宋_GB2312" w:cs="Times New Roman"/>
          <w:sz w:val="32"/>
          <w:szCs w:val="32"/>
          <w:lang w:eastAsia="zh-CN"/>
        </w:rPr>
        <w:t>广元市工商业联合会。</w:t>
      </w:r>
    </w:p>
    <w:p>
      <w:pPr>
        <w:pageBreakBefore w:val="0"/>
        <w:widowControl/>
        <w:kinsoku/>
        <w:wordWrap/>
        <w:overflowPunct/>
        <w:topLinePunct w:val="0"/>
        <w:bidi w:val="0"/>
        <w:spacing w:line="576" w:lineRule="exact"/>
        <w:ind w:left="0" w:leftChars="0" w:right="0"/>
        <w:jc w:val="left"/>
        <w:textAlignment w:val="auto"/>
        <w:rPr>
          <w:rFonts w:ascii="仿宋" w:hAnsi="仿宋" w:eastAsia="仿宋"/>
          <w:kern w:val="0"/>
          <w:sz w:val="32"/>
          <w:szCs w:val="32"/>
        </w:rPr>
      </w:pPr>
    </w:p>
    <w:p>
      <w:pPr>
        <w:pageBreakBefore w:val="0"/>
        <w:widowControl/>
        <w:kinsoku/>
        <w:wordWrap/>
        <w:overflowPunct/>
        <w:topLinePunct w:val="0"/>
        <w:bidi w:val="0"/>
        <w:spacing w:line="576" w:lineRule="exact"/>
        <w:ind w:left="0" w:leftChars="0" w:right="0"/>
        <w:jc w:val="left"/>
        <w:textAlignment w:val="auto"/>
        <w:rPr>
          <w:rFonts w:ascii="仿宋" w:hAnsi="仿宋" w:eastAsia="仿宋"/>
          <w:kern w:val="0"/>
          <w:sz w:val="32"/>
          <w:szCs w:val="32"/>
        </w:rPr>
      </w:pPr>
    </w:p>
    <w:p>
      <w:pPr>
        <w:pageBreakBefore w:val="0"/>
        <w:widowControl/>
        <w:kinsoku/>
        <w:wordWrap/>
        <w:overflowPunct/>
        <w:topLinePunct w:val="0"/>
        <w:bidi w:val="0"/>
        <w:spacing w:line="576" w:lineRule="exact"/>
        <w:ind w:left="0" w:leftChars="0" w:right="0"/>
        <w:jc w:val="left"/>
        <w:textAlignment w:val="auto"/>
        <w:rPr>
          <w:rFonts w:ascii="仿宋" w:hAnsi="仿宋" w:eastAsia="仿宋"/>
          <w:kern w:val="0"/>
          <w:sz w:val="32"/>
          <w:szCs w:val="32"/>
        </w:rPr>
      </w:pPr>
    </w:p>
    <w:p>
      <w:pPr>
        <w:pageBreakBefore w:val="0"/>
        <w:widowControl/>
        <w:kinsoku/>
        <w:wordWrap/>
        <w:overflowPunct/>
        <w:topLinePunct w:val="0"/>
        <w:bidi w:val="0"/>
        <w:spacing w:line="576" w:lineRule="exact"/>
        <w:ind w:left="0" w:leftChars="0" w:right="0"/>
        <w:jc w:val="left"/>
        <w:textAlignment w:val="auto"/>
        <w:rPr>
          <w:rFonts w:ascii="仿宋" w:hAnsi="仿宋" w:eastAsia="仿宋"/>
          <w:kern w:val="0"/>
          <w:sz w:val="32"/>
          <w:szCs w:val="32"/>
        </w:rPr>
      </w:pPr>
    </w:p>
    <w:p>
      <w:pPr>
        <w:pageBreakBefore w:val="0"/>
        <w:widowControl/>
        <w:kinsoku/>
        <w:wordWrap/>
        <w:overflowPunct/>
        <w:topLinePunct w:val="0"/>
        <w:bidi w:val="0"/>
        <w:spacing w:line="576" w:lineRule="exact"/>
        <w:ind w:left="0" w:leftChars="0" w:right="0"/>
        <w:jc w:val="left"/>
        <w:textAlignment w:val="auto"/>
        <w:rPr>
          <w:rFonts w:ascii="仿宋" w:hAnsi="仿宋" w:eastAsia="仿宋"/>
          <w:kern w:val="0"/>
          <w:sz w:val="32"/>
          <w:szCs w:val="32"/>
        </w:rPr>
      </w:pPr>
    </w:p>
    <w:p>
      <w:pPr>
        <w:pStyle w:val="2"/>
        <w:pageBreakBefore w:val="0"/>
        <w:kinsoku/>
        <w:wordWrap/>
        <w:overflowPunct/>
        <w:topLinePunct w:val="0"/>
        <w:bidi w:val="0"/>
        <w:spacing w:before="0" w:after="0" w:line="576" w:lineRule="exact"/>
        <w:ind w:left="0" w:leftChars="0" w:right="0"/>
        <w:jc w:val="center"/>
        <w:textAlignment w:val="auto"/>
        <w:rPr>
          <w:rStyle w:val="29"/>
          <w:rFonts w:ascii="黑体" w:hAnsi="黑体" w:eastAsia="黑体"/>
          <w:b w:val="0"/>
          <w:bCs/>
        </w:rPr>
      </w:pPr>
      <w:bookmarkStart w:id="21" w:name="_Toc15377204"/>
      <w:bookmarkStart w:id="22" w:name="_Toc29135"/>
      <w:bookmarkStart w:id="23" w:name="_Toc15396602"/>
      <w:r>
        <w:rPr>
          <w:rFonts w:hint="eastAsia" w:ascii="黑体" w:hAnsi="黑体" w:eastAsia="黑体"/>
          <w:b w:val="0"/>
        </w:rPr>
        <w:t>第二部分 2023年度</w:t>
      </w:r>
      <w:r>
        <w:rPr>
          <w:rStyle w:val="29"/>
          <w:rFonts w:hint="eastAsia" w:ascii="黑体" w:hAnsi="黑体" w:eastAsia="黑体"/>
          <w:b w:val="0"/>
          <w:bCs/>
        </w:rPr>
        <w:t>部门决算情况说明</w:t>
      </w:r>
      <w:bookmarkEnd w:id="21"/>
      <w:bookmarkEnd w:id="22"/>
      <w:bookmarkEnd w:id="23"/>
    </w:p>
    <w:p>
      <w:pPr>
        <w:pageBreakBefore w:val="0"/>
        <w:kinsoku/>
        <w:wordWrap/>
        <w:overflowPunct/>
        <w:topLinePunct w:val="0"/>
        <w:bidi w:val="0"/>
        <w:spacing w:line="576" w:lineRule="exact"/>
        <w:ind w:left="0" w:leftChars="0" w:right="0"/>
        <w:textAlignment w:val="auto"/>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textAlignment w:val="auto"/>
        <w:outlineLvl w:val="1"/>
        <w:rPr>
          <w:rStyle w:val="30"/>
          <w:rFonts w:ascii="黑体" w:hAnsi="黑体" w:eastAsia="黑体"/>
          <w:b w:val="0"/>
        </w:rPr>
      </w:pPr>
      <w:bookmarkStart w:id="24" w:name="_Toc15377205"/>
      <w:bookmarkStart w:id="25" w:name="_Toc20212"/>
      <w:bookmarkStart w:id="26" w:name="_Toc15396603"/>
      <w:r>
        <w:rPr>
          <w:rFonts w:hint="eastAsia" w:ascii="黑体" w:hAnsi="黑体" w:eastAsia="黑体"/>
          <w:sz w:val="32"/>
          <w:szCs w:val="32"/>
          <w:lang w:eastAsia="zh-CN"/>
        </w:rPr>
        <w:t>一、</w:t>
      </w:r>
      <w:r>
        <w:rPr>
          <w:rFonts w:hint="eastAsia" w:ascii="黑体" w:hAnsi="黑体" w:eastAsia="黑体"/>
          <w:sz w:val="32"/>
          <w:szCs w:val="32"/>
        </w:rPr>
        <w:t>收</w:t>
      </w:r>
      <w:r>
        <w:rPr>
          <w:rStyle w:val="30"/>
          <w:rFonts w:hint="eastAsia" w:ascii="黑体" w:hAnsi="黑体" w:eastAsia="黑体"/>
          <w:b w:val="0"/>
        </w:rPr>
        <w:t>入支出决算总体情况说明</w:t>
      </w:r>
      <w:bookmarkEnd w:id="24"/>
      <w:bookmarkEnd w:id="25"/>
      <w:bookmarkEnd w:id="26"/>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2023年度收、支总计均为428.61万元。与2022年度相比，收、支总计各增加</w:t>
      </w:r>
      <w:r>
        <w:rPr>
          <w:rFonts w:hint="eastAsia" w:ascii="仿宋_GB2312" w:hAnsi="Times New Roman" w:eastAsia="仿宋_GB2312" w:cs="Times New Roman"/>
          <w:sz w:val="32"/>
          <w:szCs w:val="32"/>
          <w:lang w:val="en-US" w:eastAsia="zh-CN"/>
        </w:rPr>
        <w:t>25.43</w:t>
      </w:r>
      <w:r>
        <w:rPr>
          <w:rFonts w:hint="eastAsia" w:ascii="仿宋_GB2312" w:hAnsi="Times New Roman" w:eastAsia="仿宋_GB2312" w:cs="Times New Roman"/>
          <w:sz w:val="32"/>
          <w:szCs w:val="32"/>
          <w:lang w:eastAsia="zh-CN"/>
        </w:rPr>
        <w:t>万元，增长</w:t>
      </w:r>
      <w:r>
        <w:rPr>
          <w:rFonts w:hint="eastAsia" w:ascii="仿宋_GB2312" w:hAnsi="Times New Roman" w:eastAsia="仿宋_GB2312" w:cs="Times New Roman"/>
          <w:sz w:val="32"/>
          <w:szCs w:val="32"/>
          <w:lang w:val="en-US" w:eastAsia="zh-CN"/>
        </w:rPr>
        <w:t>6.3</w:t>
      </w:r>
      <w:r>
        <w:rPr>
          <w:rFonts w:hint="eastAsia" w:ascii="仿宋_GB2312" w:hAnsi="Times New Roman" w:eastAsia="仿宋_GB2312" w:cs="Times New Roman"/>
          <w:sz w:val="32"/>
          <w:szCs w:val="32"/>
          <w:lang w:eastAsia="zh-CN"/>
        </w:rPr>
        <w:t>%。主要变动原因一是</w:t>
      </w:r>
      <w:r>
        <w:rPr>
          <w:rFonts w:hint="eastAsia" w:ascii="仿宋_GB2312" w:hAnsi="Times New Roman" w:eastAsia="仿宋_GB2312" w:cs="Times New Roman"/>
          <w:sz w:val="32"/>
          <w:szCs w:val="32"/>
          <w:lang w:val="en-US" w:eastAsia="zh-CN"/>
        </w:rPr>
        <w:t>2023年市工商联年中因工作开展需要招录两名工作人员，人员经费预算有所增加，二是2023年承办了</w:t>
      </w:r>
      <w:r>
        <w:rPr>
          <w:rFonts w:hint="eastAsia" w:ascii="仿宋_GB2312" w:hAnsi="仿宋_GB2312" w:eastAsia="仿宋_GB2312" w:cs="仿宋_GB2312"/>
          <w:sz w:val="32"/>
          <w:szCs w:val="32"/>
          <w:lang w:eastAsia="zh-CN"/>
        </w:rPr>
        <w:t>全国万企兴万村行动西部片区广元座谈会、全省万企兴万村行动推进会和知名川商广元行活动</w:t>
      </w:r>
      <w:r>
        <w:rPr>
          <w:rFonts w:hint="eastAsia" w:ascii="仿宋_GB2312" w:hAnsi="Times New Roman" w:eastAsia="仿宋_GB2312" w:cs="Times New Roman"/>
          <w:sz w:val="32"/>
          <w:szCs w:val="32"/>
          <w:lang w:val="en-US" w:eastAsia="zh-CN"/>
        </w:rPr>
        <w:t>，项目经费有所增加，因此收、支较2022年有所增长。</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（图1：收、支决算总计变动情况图）（柱状图）</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textAlignment w:val="auto"/>
        <w:outlineLvl w:val="1"/>
        <w:rPr>
          <w:rStyle w:val="30"/>
          <w:rFonts w:ascii="黑体" w:hAnsi="黑体" w:eastAsia="黑体"/>
          <w:b w:val="0"/>
        </w:rPr>
      </w:pPr>
      <w:bookmarkStart w:id="27" w:name="_Toc15377206"/>
      <w:bookmarkStart w:id="28" w:name="_Toc15396604"/>
      <w:bookmarkStart w:id="29" w:name="_Toc15619"/>
      <w:r>
        <w:drawing>
          <wp:anchor distT="0" distB="0" distL="114300" distR="114300" simplePos="0" relativeHeight="251661312" behindDoc="0" locked="0" layoutInCell="1" allowOverlap="1">
            <wp:simplePos x="0" y="0"/>
            <wp:positionH relativeFrom="column">
              <wp:posOffset>121285</wp:posOffset>
            </wp:positionH>
            <wp:positionV relativeFrom="paragraph">
              <wp:posOffset>22860</wp:posOffset>
            </wp:positionV>
            <wp:extent cx="4199890" cy="2125345"/>
            <wp:effectExtent l="4445" t="4445" r="5715" b="22860"/>
            <wp:wrapTopAndBottom/>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黑体" w:hAnsi="黑体" w:eastAsia="黑体"/>
          <w:sz w:val="32"/>
          <w:szCs w:val="32"/>
          <w:lang w:eastAsia="zh-CN"/>
        </w:rPr>
        <w:t>二、</w:t>
      </w:r>
      <w:r>
        <w:rPr>
          <w:rFonts w:hint="eastAsia" w:ascii="黑体" w:hAnsi="黑体" w:eastAsia="黑体"/>
          <w:sz w:val="32"/>
          <w:szCs w:val="32"/>
        </w:rPr>
        <w:t>收</w:t>
      </w:r>
      <w:r>
        <w:rPr>
          <w:rStyle w:val="30"/>
          <w:rFonts w:hint="eastAsia" w:ascii="黑体" w:hAnsi="黑体" w:eastAsia="黑体"/>
          <w:b w:val="0"/>
        </w:rPr>
        <w:t>入决算情况说明</w:t>
      </w:r>
      <w:bookmarkEnd w:id="27"/>
      <w:bookmarkEnd w:id="28"/>
      <w:bookmarkEnd w:id="29"/>
    </w:p>
    <w:p>
      <w:pPr>
        <w:spacing w:line="600" w:lineRule="exact"/>
        <w:ind w:firstLine="640" w:firstLineChars="200"/>
        <w:outlineLvl w:val="1"/>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2023年度本年收入合计427.85万元，其中：一般公共预算财政拨款收入427.85万元，占100%。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（图2：收入决算结构图）（饼状图）</w:t>
      </w:r>
    </w:p>
    <w:p>
      <w:pPr>
        <w:pageBreakBefore w:val="0"/>
        <w:kinsoku/>
        <w:wordWrap/>
        <w:overflowPunct/>
        <w:topLinePunct w:val="0"/>
        <w:bidi w:val="0"/>
        <w:spacing w:line="576" w:lineRule="exact"/>
        <w:ind w:left="0" w:leftChars="0" w:right="0" w:firstLine="640" w:firstLineChars="200"/>
        <w:textAlignment w:val="auto"/>
        <w:rPr>
          <w:rFonts w:ascii="仿宋_GB2312" w:eastAsia="仿宋_GB2312"/>
          <w:sz w:val="32"/>
          <w:szCs w:val="32"/>
        </w:rPr>
      </w:pPr>
    </w:p>
    <w:p>
      <w:pPr>
        <w:pStyle w:val="28"/>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textAlignment w:val="auto"/>
        <w:outlineLvl w:val="1"/>
        <w:rPr>
          <w:rStyle w:val="30"/>
          <w:rFonts w:ascii="黑体" w:hAnsi="黑体" w:eastAsia="黑体"/>
          <w:b w:val="0"/>
        </w:rPr>
      </w:pPr>
      <w:bookmarkStart w:id="30" w:name="_Toc27793"/>
      <w:bookmarkStart w:id="31" w:name="_Toc15396605"/>
      <w:bookmarkStart w:id="32" w:name="_Toc15377207"/>
      <w:r>
        <w:drawing>
          <wp:anchor distT="0" distB="0" distL="114300" distR="114300" simplePos="0" relativeHeight="251659264" behindDoc="0" locked="0" layoutInCell="1" allowOverlap="1">
            <wp:simplePos x="0" y="0"/>
            <wp:positionH relativeFrom="column">
              <wp:posOffset>770890</wp:posOffset>
            </wp:positionH>
            <wp:positionV relativeFrom="paragraph">
              <wp:posOffset>-8947785</wp:posOffset>
            </wp:positionV>
            <wp:extent cx="3216275" cy="2131695"/>
            <wp:effectExtent l="4445" t="4445" r="17780" b="16510"/>
            <wp:wrapTopAndBottom/>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sz w:val="32"/>
          <w:szCs w:val="32"/>
          <w:lang w:eastAsia="zh-CN"/>
        </w:rPr>
        <w:t>三、</w:t>
      </w:r>
      <w:r>
        <w:rPr>
          <w:rFonts w:hint="eastAsia" w:ascii="黑体" w:hAnsi="黑体" w:eastAsia="黑体"/>
          <w:sz w:val="32"/>
          <w:szCs w:val="32"/>
        </w:rPr>
        <w:t>支</w:t>
      </w:r>
      <w:r>
        <w:rPr>
          <w:rStyle w:val="30"/>
          <w:rFonts w:hint="eastAsia" w:ascii="黑体" w:hAnsi="黑体" w:eastAsia="黑体"/>
          <w:b w:val="0"/>
        </w:rPr>
        <w:t>出决算情况说明</w:t>
      </w:r>
      <w:bookmarkEnd w:id="30"/>
      <w:bookmarkEnd w:id="31"/>
      <w:bookmarkEnd w:id="32"/>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2023年度本年支出合计428.61万元，其中：基本支出383.39万元，占89.4%；项目支出45.22万元，占10.</w:t>
      </w: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lang w:eastAsia="zh-CN"/>
        </w:rPr>
        <w:t>%。</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（图3：支出决算结构图）（饼状图）</w:t>
      </w:r>
    </w:p>
    <w:p>
      <w:pPr>
        <w:keepNext w:val="0"/>
        <w:keepLines w:val="0"/>
        <w:pageBreakBefore w:val="0"/>
        <w:widowControl w:val="0"/>
        <w:kinsoku/>
        <w:wordWrap/>
        <w:overflowPunct/>
        <w:topLinePunct w:val="0"/>
        <w:autoSpaceDE/>
        <w:autoSpaceDN/>
        <w:bidi w:val="0"/>
        <w:adjustRightInd/>
        <w:snapToGrid/>
        <w:spacing w:line="576" w:lineRule="exact"/>
        <w:ind w:right="0"/>
        <w:textAlignment w:val="auto"/>
        <w:outlineLvl w:val="1"/>
        <w:rPr>
          <w:rStyle w:val="30"/>
          <w:rFonts w:ascii="黑体" w:hAnsi="黑体" w:eastAsia="黑体"/>
          <w:b w:val="0"/>
        </w:rPr>
      </w:pPr>
      <w:bookmarkStart w:id="33" w:name="_Toc4650"/>
      <w:bookmarkStart w:id="34" w:name="_Toc15396606"/>
      <w:bookmarkStart w:id="35" w:name="_Toc15377208"/>
      <w:r>
        <w:drawing>
          <wp:anchor distT="0" distB="0" distL="114300" distR="114300" simplePos="0" relativeHeight="251660288" behindDoc="0" locked="0" layoutInCell="1" allowOverlap="1">
            <wp:simplePos x="0" y="0"/>
            <wp:positionH relativeFrom="column">
              <wp:posOffset>111760</wp:posOffset>
            </wp:positionH>
            <wp:positionV relativeFrom="paragraph">
              <wp:posOffset>25400</wp:posOffset>
            </wp:positionV>
            <wp:extent cx="4501515" cy="2433955"/>
            <wp:effectExtent l="4445" t="4445" r="8890" b="19050"/>
            <wp:wrapTopAndBottom/>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33"/>
      <w:bookmarkEnd w:id="34"/>
      <w:bookmarkEnd w:id="35"/>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2023年度收、支总计均为428.61万元。与2022年度相比，收、支总计各增加</w:t>
      </w:r>
      <w:r>
        <w:rPr>
          <w:rFonts w:hint="eastAsia" w:ascii="仿宋_GB2312" w:hAnsi="Times New Roman" w:eastAsia="仿宋_GB2312" w:cs="Times New Roman"/>
          <w:sz w:val="32"/>
          <w:szCs w:val="32"/>
          <w:lang w:val="en-US" w:eastAsia="zh-CN"/>
        </w:rPr>
        <w:t>25.43</w:t>
      </w:r>
      <w:r>
        <w:rPr>
          <w:rFonts w:hint="eastAsia" w:ascii="仿宋_GB2312" w:hAnsi="Times New Roman" w:eastAsia="仿宋_GB2312" w:cs="Times New Roman"/>
          <w:sz w:val="32"/>
          <w:szCs w:val="32"/>
          <w:lang w:eastAsia="zh-CN"/>
        </w:rPr>
        <w:t>万元，增长</w:t>
      </w:r>
      <w:r>
        <w:rPr>
          <w:rFonts w:hint="eastAsia" w:ascii="仿宋_GB2312" w:hAnsi="Times New Roman" w:eastAsia="仿宋_GB2312" w:cs="Times New Roman"/>
          <w:sz w:val="32"/>
          <w:szCs w:val="32"/>
          <w:lang w:val="en-US" w:eastAsia="zh-CN"/>
        </w:rPr>
        <w:t>6.3</w:t>
      </w:r>
      <w:r>
        <w:rPr>
          <w:rFonts w:hint="eastAsia" w:ascii="仿宋_GB2312" w:hAnsi="Times New Roman" w:eastAsia="仿宋_GB2312" w:cs="Times New Roman"/>
          <w:sz w:val="32"/>
          <w:szCs w:val="32"/>
          <w:lang w:eastAsia="zh-CN"/>
        </w:rPr>
        <w:t>%。主要变动原因一是</w:t>
      </w:r>
      <w:r>
        <w:rPr>
          <w:rFonts w:hint="eastAsia" w:ascii="仿宋_GB2312" w:hAnsi="Times New Roman" w:eastAsia="仿宋_GB2312" w:cs="Times New Roman"/>
          <w:sz w:val="32"/>
          <w:szCs w:val="32"/>
          <w:lang w:val="en-US" w:eastAsia="zh-CN"/>
        </w:rPr>
        <w:t>2023年市工商联年中因工作开展需要招录两名工作人员，人员经费预算有所增加，二是2023年承办了</w:t>
      </w:r>
      <w:r>
        <w:rPr>
          <w:rFonts w:hint="eastAsia" w:ascii="仿宋_GB2312" w:hAnsi="仿宋_GB2312" w:eastAsia="仿宋_GB2312" w:cs="仿宋_GB2312"/>
          <w:sz w:val="32"/>
          <w:szCs w:val="32"/>
          <w:lang w:eastAsia="zh-CN"/>
        </w:rPr>
        <w:t>全国万企兴万村行动西部片区广元座谈会、全省万企兴万村行动推进会和知名川商广元行活动，</w:t>
      </w:r>
      <w:r>
        <w:rPr>
          <w:rFonts w:hint="eastAsia" w:ascii="仿宋_GB2312" w:hAnsi="Times New Roman" w:eastAsia="仿宋_GB2312" w:cs="Times New Roman"/>
          <w:sz w:val="32"/>
          <w:szCs w:val="32"/>
          <w:lang w:val="en-US" w:eastAsia="zh-CN"/>
        </w:rPr>
        <w:t>项目经费有所增加，因此收、支较2022年有所增加。</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ascii="仿宋" w:hAnsi="仿宋" w:eastAsia="仿宋"/>
          <w:sz w:val="32"/>
          <w:szCs w:val="32"/>
        </w:rPr>
      </w:pPr>
      <w:r>
        <w:rPr>
          <w:rFonts w:hint="eastAsia" w:ascii="仿宋_GB2312" w:hAnsi="Times New Roman" w:eastAsia="仿宋_GB2312" w:cs="Times New Roman"/>
          <w:sz w:val="32"/>
          <w:szCs w:val="32"/>
          <w:lang w:eastAsia="zh-CN"/>
        </w:rPr>
        <w:t>（图4：财政拨款收、支决算总计变动情况）（柱状图）</w:t>
      </w:r>
    </w:p>
    <w:p>
      <w:pPr>
        <w:keepNext w:val="0"/>
        <w:keepLines w:val="0"/>
        <w:pageBreakBefore w:val="0"/>
        <w:widowControl w:val="0"/>
        <w:kinsoku/>
        <w:wordWrap/>
        <w:overflowPunct/>
        <w:topLinePunct w:val="0"/>
        <w:autoSpaceDE/>
        <w:autoSpaceDN/>
        <w:bidi w:val="0"/>
        <w:adjustRightInd/>
        <w:snapToGrid/>
        <w:spacing w:line="576" w:lineRule="exact"/>
        <w:ind w:right="0"/>
        <w:textAlignment w:val="auto"/>
        <w:outlineLvl w:val="1"/>
        <w:rPr>
          <w:rStyle w:val="30"/>
          <w:rFonts w:ascii="黑体" w:hAnsi="黑体" w:eastAsia="黑体"/>
          <w:b w:val="0"/>
        </w:rPr>
      </w:pPr>
      <w:bookmarkStart w:id="36" w:name="_Toc15377209"/>
      <w:bookmarkStart w:id="37" w:name="_Toc15396607"/>
      <w:bookmarkStart w:id="38" w:name="_Toc24645"/>
      <w:r>
        <w:drawing>
          <wp:anchor distT="0" distB="0" distL="114300" distR="114300" simplePos="0" relativeHeight="251662336" behindDoc="0" locked="0" layoutInCell="1" allowOverlap="1">
            <wp:simplePos x="0" y="0"/>
            <wp:positionH relativeFrom="column">
              <wp:posOffset>521335</wp:posOffset>
            </wp:positionH>
            <wp:positionV relativeFrom="page">
              <wp:posOffset>1763395</wp:posOffset>
            </wp:positionV>
            <wp:extent cx="4135755" cy="2240915"/>
            <wp:effectExtent l="4445" t="4445" r="12700" b="2159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36"/>
      <w:bookmarkEnd w:id="37"/>
      <w:bookmarkEnd w:id="38"/>
    </w:p>
    <w:p>
      <w:pPr>
        <w:keepNext w:val="0"/>
        <w:keepLines w:val="0"/>
        <w:pageBreakBefore w:val="0"/>
        <w:widowControl w:val="0"/>
        <w:kinsoku/>
        <w:wordWrap/>
        <w:overflowPunct/>
        <w:topLinePunct w:val="0"/>
        <w:autoSpaceDE/>
        <w:autoSpaceDN/>
        <w:bidi w:val="0"/>
        <w:adjustRightInd/>
        <w:snapToGrid/>
        <w:spacing w:line="576" w:lineRule="exact"/>
        <w:ind w:left="0" w:leftChars="0" w:right="0" w:firstLine="640" w:firstLineChars="200"/>
        <w:textAlignment w:val="auto"/>
        <w:outlineLvl w:val="2"/>
        <w:rPr>
          <w:rFonts w:hint="eastAsia" w:ascii="楷体_GB2312" w:hAnsi="楷体_GB2312" w:eastAsia="楷体_GB2312" w:cs="楷体_GB2312"/>
          <w:b w:val="0"/>
          <w:bCs/>
          <w:sz w:val="32"/>
          <w:szCs w:val="32"/>
        </w:rPr>
      </w:pPr>
      <w:bookmarkStart w:id="39" w:name="_Toc15377210"/>
      <w:bookmarkStart w:id="40" w:name="_Toc26161"/>
      <w:r>
        <w:rPr>
          <w:rFonts w:hint="eastAsia" w:ascii="楷体_GB2312" w:hAnsi="楷体_GB2312" w:eastAsia="楷体_GB2312" w:cs="楷体_GB2312"/>
          <w:b w:val="0"/>
          <w:bCs/>
          <w:sz w:val="32"/>
          <w:szCs w:val="32"/>
        </w:rPr>
        <w:t>（一）一般公共预算财政拨款支出决算总体情况</w:t>
      </w:r>
      <w:bookmarkEnd w:id="39"/>
      <w:bookmarkEnd w:id="40"/>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drawing>
          <wp:anchor distT="0" distB="0" distL="114300" distR="114300" simplePos="0" relativeHeight="251663360" behindDoc="0" locked="0" layoutInCell="1" allowOverlap="1">
            <wp:simplePos x="0" y="0"/>
            <wp:positionH relativeFrom="column">
              <wp:posOffset>521335</wp:posOffset>
            </wp:positionH>
            <wp:positionV relativeFrom="page">
              <wp:posOffset>7397750</wp:posOffset>
            </wp:positionV>
            <wp:extent cx="4330065" cy="2108835"/>
            <wp:effectExtent l="4445" t="4445" r="8890" b="20320"/>
            <wp:wrapTopAndBottom/>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_GB2312" w:hAnsi="Times New Roman" w:eastAsia="仿宋_GB2312" w:cs="Times New Roman"/>
          <w:sz w:val="32"/>
          <w:szCs w:val="32"/>
          <w:lang w:eastAsia="zh-CN"/>
        </w:rPr>
        <w:t>2023年度一般公共预算财政拨款支出428.61万元，占本年支出合计的100%。与2022年度相比，一般公共预算财政拨款支出增加</w:t>
      </w:r>
      <w:r>
        <w:rPr>
          <w:rFonts w:hint="eastAsia" w:ascii="仿宋_GB2312" w:hAnsi="Times New Roman" w:eastAsia="仿宋_GB2312" w:cs="Times New Roman"/>
          <w:sz w:val="32"/>
          <w:szCs w:val="32"/>
          <w:lang w:val="en-US" w:eastAsia="zh-CN"/>
        </w:rPr>
        <w:t>26.19</w:t>
      </w:r>
      <w:r>
        <w:rPr>
          <w:rFonts w:hint="eastAsia" w:ascii="仿宋_GB2312" w:hAnsi="Times New Roman" w:eastAsia="仿宋_GB2312" w:cs="Times New Roman"/>
          <w:sz w:val="32"/>
          <w:szCs w:val="32"/>
          <w:lang w:eastAsia="zh-CN"/>
        </w:rPr>
        <w:t>万元，增长</w:t>
      </w:r>
      <w:r>
        <w:rPr>
          <w:rFonts w:hint="eastAsia" w:ascii="仿宋_GB2312" w:hAnsi="Times New Roman" w:eastAsia="仿宋_GB2312" w:cs="Times New Roman"/>
          <w:sz w:val="32"/>
          <w:szCs w:val="32"/>
          <w:lang w:val="en-US" w:eastAsia="zh-CN"/>
        </w:rPr>
        <w:t>6.5</w:t>
      </w:r>
      <w:r>
        <w:rPr>
          <w:rFonts w:hint="eastAsia" w:ascii="仿宋_GB2312" w:hAnsi="Times New Roman" w:eastAsia="仿宋_GB2312" w:cs="Times New Roman"/>
          <w:sz w:val="32"/>
          <w:szCs w:val="32"/>
          <w:lang w:eastAsia="zh-CN"/>
        </w:rPr>
        <w:t>%。主要变动原因是</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一是</w:t>
      </w:r>
      <w:r>
        <w:rPr>
          <w:rFonts w:hint="eastAsia" w:ascii="仿宋_GB2312" w:hAnsi="Times New Roman" w:eastAsia="仿宋_GB2312" w:cs="Times New Roman"/>
          <w:sz w:val="32"/>
          <w:szCs w:val="32"/>
          <w:lang w:val="en-US" w:eastAsia="zh-CN"/>
        </w:rPr>
        <w:t>2023年市工商联年中因工作开展需要招录两名工作人员，人员经费预算有所增加，二是2023年承办了</w:t>
      </w:r>
      <w:r>
        <w:rPr>
          <w:rFonts w:hint="eastAsia" w:ascii="仿宋_GB2312" w:hAnsi="仿宋_GB2312" w:eastAsia="仿宋_GB2312" w:cs="仿宋_GB2312"/>
          <w:sz w:val="32"/>
          <w:szCs w:val="32"/>
          <w:lang w:eastAsia="zh-CN"/>
        </w:rPr>
        <w:t>全国万企兴万村行动西部片区广元座谈会、全省万企兴万村行动推进会和知名川商广元行活动</w:t>
      </w:r>
      <w:r>
        <w:rPr>
          <w:rFonts w:hint="eastAsia" w:ascii="仿宋_GB2312" w:hAnsi="Times New Roman" w:eastAsia="仿宋_GB2312" w:cs="Times New Roman"/>
          <w:sz w:val="32"/>
          <w:szCs w:val="32"/>
          <w:lang w:val="en-US" w:eastAsia="zh-CN"/>
        </w:rPr>
        <w:t>，项目经费有所增加，因此收、支较2022年有所增加。</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（图5：一般公共预算财政拨款支出决算变动情况）（柱状图）</w:t>
      </w:r>
    </w:p>
    <w:p>
      <w:pPr>
        <w:keepNext w:val="0"/>
        <w:keepLines w:val="0"/>
        <w:pageBreakBefore w:val="0"/>
        <w:widowControl w:val="0"/>
        <w:kinsoku/>
        <w:wordWrap/>
        <w:overflowPunct/>
        <w:topLinePunct w:val="0"/>
        <w:autoSpaceDE/>
        <w:autoSpaceDN/>
        <w:bidi w:val="0"/>
        <w:adjustRightInd/>
        <w:snapToGrid/>
        <w:spacing w:line="576" w:lineRule="exact"/>
        <w:ind w:left="0" w:leftChars="0" w:right="0" w:firstLine="640" w:firstLineChars="200"/>
        <w:textAlignment w:val="auto"/>
        <w:outlineLvl w:val="2"/>
        <w:rPr>
          <w:rFonts w:hint="eastAsia" w:ascii="楷体_GB2312" w:hAnsi="楷体_GB2312" w:eastAsia="楷体_GB2312" w:cs="楷体_GB2312"/>
          <w:b w:val="0"/>
          <w:bCs/>
          <w:sz w:val="32"/>
          <w:szCs w:val="32"/>
        </w:rPr>
      </w:pPr>
      <w:bookmarkStart w:id="41" w:name="_Toc15592"/>
      <w:bookmarkStart w:id="42" w:name="_Toc15377211"/>
      <w:r>
        <w:rPr>
          <w:rFonts w:hint="eastAsia" w:ascii="楷体_GB2312" w:hAnsi="楷体_GB2312" w:eastAsia="楷体_GB2312" w:cs="楷体_GB2312"/>
          <w:b w:val="0"/>
          <w:bCs/>
          <w:sz w:val="32"/>
          <w:szCs w:val="32"/>
        </w:rPr>
        <w:t>（二）一般公共预算财政拨款支出决算结构情况</w:t>
      </w:r>
      <w:bookmarkEnd w:id="41"/>
      <w:bookmarkEnd w:id="42"/>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2023年度一般公共预算财政拨款支出428.61万元，主要用于以下方面</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一般公共服务支出</w:t>
      </w:r>
      <w:r>
        <w:rPr>
          <w:rFonts w:hint="eastAsia" w:ascii="仿宋_GB2312" w:hAnsi="Times New Roman" w:eastAsia="仿宋_GB2312" w:cs="Times New Roman"/>
          <w:sz w:val="32"/>
          <w:szCs w:val="32"/>
          <w:lang w:val="en-US" w:eastAsia="zh-CN"/>
        </w:rPr>
        <w:t>348.43</w:t>
      </w:r>
      <w:r>
        <w:rPr>
          <w:rFonts w:hint="eastAsia" w:ascii="仿宋_GB2312" w:hAnsi="Times New Roman" w:eastAsia="仿宋_GB2312" w:cs="Times New Roman"/>
          <w:sz w:val="32"/>
          <w:szCs w:val="32"/>
          <w:lang w:eastAsia="zh-CN"/>
        </w:rPr>
        <w:t>万元，占</w:t>
      </w:r>
      <w:r>
        <w:rPr>
          <w:rFonts w:hint="eastAsia" w:ascii="仿宋_GB2312" w:hAnsi="Times New Roman" w:eastAsia="仿宋_GB2312" w:cs="Times New Roman"/>
          <w:sz w:val="32"/>
          <w:szCs w:val="32"/>
          <w:lang w:val="en-US" w:eastAsia="zh-CN"/>
        </w:rPr>
        <w:t>81.3</w:t>
      </w:r>
      <w:r>
        <w:rPr>
          <w:rFonts w:hint="eastAsia" w:ascii="仿宋_GB2312" w:hAnsi="Times New Roman" w:eastAsia="仿宋_GB2312" w:cs="Times New Roman"/>
          <w:sz w:val="32"/>
          <w:szCs w:val="32"/>
          <w:lang w:eastAsia="zh-CN"/>
        </w:rPr>
        <w:t>%；社会保障和就业支出</w:t>
      </w:r>
      <w:r>
        <w:rPr>
          <w:rFonts w:hint="eastAsia" w:ascii="仿宋_GB2312" w:hAnsi="Times New Roman" w:eastAsia="仿宋_GB2312" w:cs="Times New Roman"/>
          <w:sz w:val="32"/>
          <w:szCs w:val="32"/>
          <w:lang w:val="en-US" w:eastAsia="zh-CN"/>
        </w:rPr>
        <w:t>46.66</w:t>
      </w:r>
      <w:r>
        <w:rPr>
          <w:rFonts w:hint="eastAsia" w:ascii="仿宋_GB2312" w:hAnsi="Times New Roman" w:eastAsia="仿宋_GB2312" w:cs="Times New Roman"/>
          <w:sz w:val="32"/>
          <w:szCs w:val="32"/>
          <w:lang w:eastAsia="zh-CN"/>
        </w:rPr>
        <w:t>万元，占</w:t>
      </w:r>
      <w:r>
        <w:rPr>
          <w:rFonts w:hint="eastAsia" w:ascii="仿宋_GB2312" w:hAnsi="Times New Roman" w:eastAsia="仿宋_GB2312" w:cs="Times New Roman"/>
          <w:sz w:val="32"/>
          <w:szCs w:val="32"/>
          <w:lang w:val="en-US" w:eastAsia="zh-CN"/>
        </w:rPr>
        <w:t>10.9</w:t>
      </w:r>
      <w:r>
        <w:rPr>
          <w:rFonts w:hint="eastAsia" w:ascii="仿宋_GB2312" w:hAnsi="Times New Roman" w:eastAsia="仿宋_GB2312" w:cs="Times New Roman"/>
          <w:sz w:val="32"/>
          <w:szCs w:val="32"/>
          <w:lang w:eastAsia="zh-CN"/>
        </w:rPr>
        <w:t>%；卫生健康支出</w:t>
      </w:r>
      <w:r>
        <w:rPr>
          <w:rFonts w:hint="eastAsia" w:ascii="仿宋_GB2312" w:hAnsi="Times New Roman" w:eastAsia="仿宋_GB2312" w:cs="Times New Roman"/>
          <w:sz w:val="32"/>
          <w:szCs w:val="32"/>
          <w:lang w:val="en-US" w:eastAsia="zh-CN"/>
        </w:rPr>
        <w:t>9.8</w:t>
      </w:r>
      <w:r>
        <w:rPr>
          <w:rFonts w:hint="eastAsia" w:ascii="仿宋_GB2312" w:hAnsi="Times New Roman" w:eastAsia="仿宋_GB2312" w:cs="Times New Roman"/>
          <w:sz w:val="32"/>
          <w:szCs w:val="32"/>
          <w:lang w:eastAsia="zh-CN"/>
        </w:rPr>
        <w:t>万元，占</w:t>
      </w:r>
      <w:r>
        <w:rPr>
          <w:rFonts w:hint="eastAsia" w:ascii="仿宋_GB2312" w:hAnsi="Times New Roman" w:eastAsia="仿宋_GB2312" w:cs="Times New Roman"/>
          <w:sz w:val="32"/>
          <w:szCs w:val="32"/>
          <w:lang w:val="en-US" w:eastAsia="zh-CN"/>
        </w:rPr>
        <w:t>2.3</w:t>
      </w:r>
      <w:r>
        <w:rPr>
          <w:rFonts w:hint="eastAsia" w:ascii="仿宋_GB2312" w:hAnsi="Times New Roman" w:eastAsia="仿宋_GB2312" w:cs="Times New Roman"/>
          <w:sz w:val="32"/>
          <w:szCs w:val="32"/>
          <w:lang w:eastAsia="zh-CN"/>
        </w:rPr>
        <w:t>%；住房保障支出</w:t>
      </w:r>
      <w:r>
        <w:rPr>
          <w:rFonts w:hint="eastAsia" w:ascii="仿宋_GB2312" w:hAnsi="Times New Roman" w:eastAsia="仿宋_GB2312" w:cs="Times New Roman"/>
          <w:sz w:val="32"/>
          <w:szCs w:val="32"/>
          <w:lang w:val="en-US" w:eastAsia="zh-CN"/>
        </w:rPr>
        <w:t>23.71</w:t>
      </w:r>
      <w:r>
        <w:rPr>
          <w:rFonts w:hint="eastAsia" w:ascii="仿宋_GB2312" w:hAnsi="Times New Roman" w:eastAsia="仿宋_GB2312" w:cs="Times New Roman"/>
          <w:sz w:val="32"/>
          <w:szCs w:val="32"/>
          <w:lang w:eastAsia="zh-CN"/>
        </w:rPr>
        <w:t>万元，占</w:t>
      </w:r>
      <w:r>
        <w:rPr>
          <w:rFonts w:hint="eastAsia" w:ascii="仿宋_GB2312" w:hAnsi="Times New Roman" w:eastAsia="仿宋_GB2312" w:cs="Times New Roman"/>
          <w:sz w:val="32"/>
          <w:szCs w:val="32"/>
          <w:lang w:val="en-US" w:eastAsia="zh-CN"/>
        </w:rPr>
        <w:t>5.5</w:t>
      </w:r>
      <w:r>
        <w:rPr>
          <w:rFonts w:hint="eastAsia" w:ascii="仿宋_GB2312" w:hAnsi="Times New Roman" w:eastAsia="仿宋_GB2312" w:cs="Times New Roman"/>
          <w:sz w:val="32"/>
          <w:szCs w:val="32"/>
          <w:lang w:eastAsia="zh-CN"/>
        </w:rPr>
        <w:t>%。</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（图6：一般公共预算财政拨款支出决算结构）（饼状图）</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outlineLvl w:val="2"/>
        <w:rPr>
          <w:rFonts w:hint="eastAsia" w:ascii="楷体_GB2312" w:hAnsi="楷体_GB2312" w:eastAsia="楷体_GB2312" w:cs="楷体_GB2312"/>
          <w:b w:val="0"/>
          <w:bCs/>
          <w:sz w:val="32"/>
          <w:szCs w:val="32"/>
        </w:rPr>
      </w:pPr>
      <w:bookmarkStart w:id="43" w:name="_Toc5059"/>
      <w:r>
        <w:rPr>
          <w:rFonts w:hint="eastAsia" w:ascii="楷体_GB2312" w:hAnsi="楷体_GB2312" w:eastAsia="楷体_GB2312" w:cs="楷体_GB2312"/>
          <w:b w:val="0"/>
          <w:bCs/>
          <w:sz w:val="32"/>
          <w:szCs w:val="32"/>
        </w:rPr>
        <w:drawing>
          <wp:anchor distT="0" distB="0" distL="114300" distR="114300" simplePos="0" relativeHeight="251664384" behindDoc="0" locked="0" layoutInCell="1" allowOverlap="1">
            <wp:simplePos x="0" y="0"/>
            <wp:positionH relativeFrom="column">
              <wp:posOffset>127635</wp:posOffset>
            </wp:positionH>
            <wp:positionV relativeFrom="paragraph">
              <wp:posOffset>158115</wp:posOffset>
            </wp:positionV>
            <wp:extent cx="4826000" cy="2743200"/>
            <wp:effectExtent l="4445" t="4445" r="8255" b="14605"/>
            <wp:wrapTopAndBottom/>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bookmarkStart w:id="44" w:name="_Toc15377212"/>
      <w:r>
        <w:rPr>
          <w:rFonts w:hint="eastAsia" w:ascii="楷体_GB2312" w:hAnsi="楷体_GB2312" w:eastAsia="楷体_GB2312" w:cs="楷体_GB2312"/>
          <w:b w:val="0"/>
          <w:bCs/>
          <w:sz w:val="32"/>
          <w:szCs w:val="32"/>
        </w:rPr>
        <w:t>（三）一般公共预算财政拨款支出决算具体情况</w:t>
      </w:r>
      <w:bookmarkEnd w:id="43"/>
      <w:bookmarkEnd w:id="44"/>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bookmarkStart w:id="45" w:name="_Toc15378460"/>
      <w:bookmarkStart w:id="46" w:name="_Toc15377213"/>
      <w:bookmarkStart w:id="47" w:name="_Toc15377444"/>
      <w:r>
        <w:rPr>
          <w:rFonts w:hint="eastAsia" w:ascii="仿宋_GB2312" w:hAnsi="Times New Roman" w:eastAsia="仿宋_GB2312" w:cs="Times New Roman"/>
          <w:sz w:val="32"/>
          <w:szCs w:val="32"/>
          <w:lang w:eastAsia="zh-CN"/>
        </w:rPr>
        <w:t>2023年度一般公共预算支出决算数为428.61</w:t>
      </w:r>
      <w:r>
        <w:rPr>
          <w:rFonts w:hint="eastAsia" w:ascii="仿宋_GB2312" w:eastAsia="仿宋_GB2312" w:cs="Times New Roman"/>
          <w:sz w:val="32"/>
          <w:szCs w:val="32"/>
          <w:lang w:eastAsia="zh-CN"/>
        </w:rPr>
        <w:t>万元</w:t>
      </w:r>
      <w:r>
        <w:rPr>
          <w:rFonts w:hint="eastAsia" w:ascii="仿宋_GB2312" w:hAnsi="Times New Roman" w:eastAsia="仿宋_GB2312" w:cs="Times New Roman"/>
          <w:sz w:val="32"/>
          <w:szCs w:val="32"/>
          <w:lang w:eastAsia="zh-CN"/>
        </w:rPr>
        <w:t>，完成预算</w:t>
      </w:r>
      <w:r>
        <w:rPr>
          <w:rFonts w:hint="eastAsia" w:ascii="仿宋_GB2312" w:hAnsi="Times New Roman" w:eastAsia="仿宋_GB2312" w:cs="Times New Roman"/>
          <w:sz w:val="32"/>
          <w:szCs w:val="32"/>
          <w:lang w:val="en-US" w:eastAsia="zh-CN"/>
        </w:rPr>
        <w:t>100</w:t>
      </w:r>
      <w:r>
        <w:rPr>
          <w:rFonts w:hint="eastAsia" w:ascii="仿宋_GB2312" w:hAnsi="Times New Roman" w:eastAsia="仿宋_GB2312" w:cs="Times New Roman"/>
          <w:sz w:val="32"/>
          <w:szCs w:val="32"/>
          <w:lang w:eastAsia="zh-CN"/>
        </w:rPr>
        <w:t>%。其中：</w:t>
      </w:r>
      <w:bookmarkEnd w:id="45"/>
      <w:bookmarkEnd w:id="46"/>
      <w:bookmarkEnd w:id="47"/>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一般公共服务（类）民主党派及工商联事务（款）行政运行（项）</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 xml:space="preserve"> 支出决算为</w:t>
      </w:r>
      <w:r>
        <w:rPr>
          <w:rFonts w:hint="eastAsia" w:ascii="仿宋_GB2312" w:hAnsi="Times New Roman" w:eastAsia="仿宋_GB2312" w:cs="Times New Roman"/>
          <w:sz w:val="32"/>
          <w:szCs w:val="32"/>
          <w:lang w:val="en-US" w:eastAsia="zh-CN"/>
        </w:rPr>
        <w:t>303.21</w:t>
      </w:r>
      <w:r>
        <w:rPr>
          <w:rFonts w:hint="eastAsia" w:ascii="仿宋_GB2312" w:hAnsi="Times New Roman" w:eastAsia="仿宋_GB2312" w:cs="Times New Roman"/>
          <w:sz w:val="32"/>
          <w:szCs w:val="32"/>
          <w:lang w:eastAsia="zh-CN"/>
        </w:rPr>
        <w:t>万元，完成预算</w:t>
      </w:r>
      <w:r>
        <w:rPr>
          <w:rFonts w:hint="eastAsia" w:ascii="仿宋_GB2312" w:hAnsi="Times New Roman" w:eastAsia="仿宋_GB2312" w:cs="Times New Roman"/>
          <w:sz w:val="32"/>
          <w:szCs w:val="32"/>
          <w:lang w:val="en-US" w:eastAsia="zh-CN"/>
        </w:rPr>
        <w:t>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eastAsia="zh-CN"/>
        </w:rPr>
        <w:t>一般公共服务（类）民主党派及工商联事务（款）一般行政管理事务（项）：支出决算为</w:t>
      </w:r>
      <w:r>
        <w:rPr>
          <w:rFonts w:hint="eastAsia" w:ascii="仿宋_GB2312" w:hAnsi="Times New Roman" w:eastAsia="仿宋_GB2312" w:cs="Times New Roman"/>
          <w:sz w:val="32"/>
          <w:szCs w:val="32"/>
          <w:lang w:val="en-US" w:eastAsia="zh-CN"/>
        </w:rPr>
        <w:t>45.22万元，完成预算100%。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社会保障和就业支出（类）行政事业单位养老支出（款）机关事业单位基本养老保险缴费（项）：支出决算为</w:t>
      </w:r>
      <w:r>
        <w:rPr>
          <w:rFonts w:hint="eastAsia" w:ascii="仿宋_GB2312" w:hAnsi="Times New Roman" w:eastAsia="仿宋_GB2312" w:cs="Times New Roman"/>
          <w:sz w:val="32"/>
          <w:szCs w:val="32"/>
          <w:lang w:val="en-US" w:eastAsia="zh-CN"/>
        </w:rPr>
        <w:t>29.3</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lang w:eastAsia="zh-CN"/>
        </w:rPr>
        <w:t>社会保障和就业支出（类）抚恤（款）死亡抚恤（项）：支出决算为</w:t>
      </w:r>
      <w:r>
        <w:rPr>
          <w:rFonts w:hint="eastAsia" w:ascii="仿宋_GB2312" w:hAnsi="Times New Roman" w:eastAsia="仿宋_GB2312" w:cs="Times New Roman"/>
          <w:sz w:val="32"/>
          <w:szCs w:val="32"/>
          <w:lang w:val="en-US" w:eastAsia="zh-CN"/>
        </w:rPr>
        <w:t>17.36</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lang w:eastAsia="zh-CN"/>
        </w:rPr>
        <w:t>卫生健康支出（类）行政事业单位医疗（款）行政单位医疗（项）：支出决算为</w:t>
      </w:r>
      <w:r>
        <w:rPr>
          <w:rFonts w:hint="eastAsia" w:ascii="仿宋_GB2312" w:hAnsi="Times New Roman" w:eastAsia="仿宋_GB2312" w:cs="Times New Roman"/>
          <w:sz w:val="32"/>
          <w:szCs w:val="32"/>
          <w:lang w:val="en-US" w:eastAsia="zh-CN"/>
        </w:rPr>
        <w:t>9.8</w:t>
      </w:r>
      <w:r>
        <w:rPr>
          <w:rFonts w:hint="eastAsia" w:ascii="仿宋_GB2312" w:hAnsi="Times New Roman" w:eastAsia="仿宋_GB2312" w:cs="Times New Roman"/>
          <w:sz w:val="32"/>
          <w:szCs w:val="32"/>
          <w:lang w:eastAsia="zh-CN"/>
        </w:rPr>
        <w:t>万元，完成预算100%。</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6.住房保障支出（类）住房改革支出（款）住房公积金（项）支出决算为</w:t>
      </w:r>
      <w:r>
        <w:rPr>
          <w:rFonts w:hint="eastAsia" w:ascii="仿宋_GB2312" w:hAnsi="Times New Roman" w:eastAsia="仿宋_GB2312" w:cs="Times New Roman"/>
          <w:sz w:val="32"/>
          <w:szCs w:val="32"/>
          <w:lang w:val="en-US" w:eastAsia="zh-CN"/>
        </w:rPr>
        <w:t>23.71</w:t>
      </w:r>
      <w:r>
        <w:rPr>
          <w:rFonts w:hint="eastAsia" w:ascii="仿宋_GB2312" w:hAnsi="Times New Roman" w:eastAsia="仿宋_GB2312" w:cs="Times New Roman"/>
          <w:sz w:val="32"/>
          <w:szCs w:val="32"/>
          <w:lang w:eastAsia="zh-CN"/>
        </w:rPr>
        <w:t>万元。完成预算100%。</w:t>
      </w:r>
    </w:p>
    <w:p>
      <w:pPr>
        <w:keepNext w:val="0"/>
        <w:keepLines w:val="0"/>
        <w:pageBreakBefore w:val="0"/>
        <w:widowControl w:val="0"/>
        <w:tabs>
          <w:tab w:val="right" w:pos="8306"/>
        </w:tabs>
        <w:kinsoku/>
        <w:wordWrap/>
        <w:overflowPunct/>
        <w:topLinePunct w:val="0"/>
        <w:autoSpaceDE/>
        <w:autoSpaceDN/>
        <w:bidi w:val="0"/>
        <w:adjustRightInd/>
        <w:snapToGrid/>
        <w:spacing w:line="576" w:lineRule="exact"/>
        <w:ind w:right="0"/>
        <w:textAlignment w:val="auto"/>
        <w:outlineLvl w:val="1"/>
        <w:rPr>
          <w:rStyle w:val="30"/>
        </w:rPr>
      </w:pPr>
      <w:bookmarkStart w:id="48" w:name="_Toc15377214"/>
      <w:bookmarkStart w:id="49" w:name="_Toc15396608"/>
      <w:bookmarkStart w:id="50" w:name="_Toc222"/>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48"/>
      <w:bookmarkEnd w:id="49"/>
      <w:bookmarkEnd w:id="50"/>
      <w:r>
        <w:rPr>
          <w:rStyle w:val="30"/>
          <w:rFonts w:ascii="黑体" w:hAnsi="黑体" w:eastAsia="黑体"/>
          <w:b w:val="0"/>
        </w:rPr>
        <w:tab/>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2023年度一般公共预算财政拨款基本支出383.39万元，其中：</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bookmarkStart w:id="51" w:name="_Toc7287"/>
      <w:bookmarkStart w:id="52" w:name="_Toc15377215"/>
      <w:bookmarkStart w:id="53" w:name="_Toc15396609"/>
      <w:r>
        <w:rPr>
          <w:rFonts w:hint="eastAsia" w:ascii="仿宋_GB2312" w:hAnsi="Times New Roman" w:eastAsia="仿宋_GB2312" w:cs="Times New Roman"/>
          <w:sz w:val="32"/>
          <w:szCs w:val="32"/>
          <w:lang w:eastAsia="zh-CN"/>
        </w:rPr>
        <w:t>人员经费338.44万元，主要包括：基本工资、津贴补贴、奖金、机关事业单位基本养老保险缴费、其他工资福利支出、住房公积金</w:t>
      </w:r>
      <w:r>
        <w:rPr>
          <w:rFonts w:hint="eastAsia" w:ascii="仿宋_GB2312" w:eastAsia="仿宋_GB2312" w:cs="Times New Roman"/>
          <w:sz w:val="32"/>
          <w:szCs w:val="32"/>
          <w:lang w:eastAsia="zh-CN"/>
        </w:rPr>
        <w:t>、其他工资福利支出、</w:t>
      </w:r>
      <w:r>
        <w:rPr>
          <w:rFonts w:hint="eastAsia" w:ascii="仿宋_GB2312" w:hAnsi="Times New Roman" w:eastAsia="仿宋_GB2312" w:cs="Times New Roman"/>
          <w:sz w:val="32"/>
          <w:szCs w:val="32"/>
          <w:lang w:eastAsia="zh-CN"/>
        </w:rPr>
        <w:t>抚恤金、生活补助。</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ascii="仿宋" w:hAnsi="仿宋" w:eastAsia="仿宋"/>
          <w:b/>
          <w:color w:val="auto"/>
          <w:sz w:val="32"/>
          <w:szCs w:val="32"/>
          <w:highlight w:val="none"/>
        </w:rPr>
      </w:pPr>
      <w:r>
        <w:rPr>
          <w:rFonts w:hint="eastAsia" w:ascii="仿宋_GB2312" w:hAnsi="Times New Roman" w:eastAsia="仿宋_GB2312" w:cs="Times New Roman"/>
          <w:sz w:val="32"/>
          <w:szCs w:val="32"/>
          <w:lang w:eastAsia="zh-CN"/>
        </w:rPr>
        <w:t>公用经费44.94万元，主要包括：办公费、印刷费、水费、电费、邮电费、差旅费、会议费、培训费、公务接待费、工会经费、福利费、其他交通费</w:t>
      </w:r>
      <w:r>
        <w:rPr>
          <w:rFonts w:hint="eastAsia" w:ascii="仿宋_GB2312" w:eastAsia="仿宋_GB2312" w:cs="Times New Roman"/>
          <w:sz w:val="32"/>
          <w:szCs w:val="32"/>
          <w:lang w:val="en-US" w:eastAsia="zh-CN"/>
        </w:rPr>
        <w:t>用</w:t>
      </w:r>
      <w:r>
        <w:rPr>
          <w:rFonts w:hint="eastAsia" w:ascii="仿宋_GB2312" w:hAnsi="Times New Roman" w:eastAsia="仿宋_GB2312" w:cs="Times New Roman"/>
          <w:sz w:val="32"/>
          <w:szCs w:val="32"/>
          <w:lang w:eastAsia="zh-CN"/>
        </w:rPr>
        <w:t>、其他商品和服务支出。</w:t>
      </w:r>
    </w:p>
    <w:p>
      <w:pPr>
        <w:keepNext w:val="0"/>
        <w:keepLines w:val="0"/>
        <w:pageBreakBefore w:val="0"/>
        <w:widowControl w:val="0"/>
        <w:kinsoku/>
        <w:wordWrap/>
        <w:overflowPunct/>
        <w:topLinePunct w:val="0"/>
        <w:autoSpaceDE/>
        <w:autoSpaceDN/>
        <w:bidi w:val="0"/>
        <w:adjustRightInd/>
        <w:snapToGrid/>
        <w:spacing w:line="576" w:lineRule="exact"/>
        <w:ind w:right="0"/>
        <w:textAlignment w:val="auto"/>
        <w:outlineLvl w:val="1"/>
        <w:rPr>
          <w:rStyle w:val="30"/>
          <w:rFonts w:ascii="黑体" w:hAnsi="黑体" w:eastAsia="黑体"/>
          <w:b w:val="0"/>
        </w:rPr>
      </w:pPr>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51"/>
      <w:bookmarkEnd w:id="52"/>
      <w:bookmarkEnd w:id="53"/>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outlineLvl w:val="2"/>
        <w:rPr>
          <w:rFonts w:hint="eastAsia" w:ascii="楷体_GB2312" w:hAnsi="楷体_GB2312" w:eastAsia="楷体_GB2312" w:cs="楷体_GB2312"/>
          <w:b w:val="0"/>
          <w:bCs/>
          <w:sz w:val="32"/>
          <w:szCs w:val="32"/>
        </w:rPr>
      </w:pPr>
      <w:bookmarkStart w:id="54" w:name="_Toc14625"/>
      <w:bookmarkStart w:id="55" w:name="_Toc15377216"/>
      <w:r>
        <w:rPr>
          <w:rFonts w:hint="eastAsia" w:ascii="楷体_GB2312" w:hAnsi="楷体_GB2312" w:eastAsia="楷体_GB2312" w:cs="楷体_GB2312"/>
          <w:b w:val="0"/>
          <w:bCs/>
          <w:sz w:val="32"/>
          <w:szCs w:val="32"/>
        </w:rPr>
        <w:t>（一）“三公”经费财政拨款支出决算总体情况说明</w:t>
      </w:r>
      <w:bookmarkEnd w:id="54"/>
      <w:bookmarkEnd w:id="55"/>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2023年度“三公”经费财政拨款支出决算为0.82万元，完成预算42.47%，较上年度减少</w:t>
      </w:r>
      <w:r>
        <w:rPr>
          <w:rFonts w:hint="eastAsia" w:ascii="仿宋_GB2312" w:hAnsi="Times New Roman" w:eastAsia="仿宋_GB2312" w:cs="Times New Roman"/>
          <w:sz w:val="32"/>
          <w:szCs w:val="32"/>
          <w:lang w:val="en-US" w:eastAsia="zh-CN"/>
        </w:rPr>
        <w:t>0.4</w:t>
      </w:r>
      <w:r>
        <w:rPr>
          <w:rFonts w:hint="eastAsia" w:ascii="仿宋_GB2312" w:hAnsi="Times New Roman" w:eastAsia="仿宋_GB2312" w:cs="Times New Roman"/>
          <w:sz w:val="32"/>
          <w:szCs w:val="32"/>
          <w:lang w:eastAsia="zh-CN"/>
        </w:rPr>
        <w:t>万元，下降</w:t>
      </w:r>
      <w:r>
        <w:rPr>
          <w:rFonts w:hint="eastAsia" w:ascii="仿宋_GB2312" w:hAnsi="Times New Roman" w:eastAsia="仿宋_GB2312" w:cs="Times New Roman"/>
          <w:sz w:val="32"/>
          <w:szCs w:val="32"/>
          <w:lang w:val="en-US" w:eastAsia="zh-CN"/>
        </w:rPr>
        <w:t>32.8</w:t>
      </w:r>
      <w:r>
        <w:rPr>
          <w:rFonts w:hint="eastAsia" w:ascii="仿宋_GB2312" w:hAnsi="Times New Roman" w:eastAsia="仿宋_GB2312" w:cs="Times New Roman"/>
          <w:sz w:val="32"/>
          <w:szCs w:val="32"/>
          <w:lang w:eastAsia="zh-CN"/>
        </w:rPr>
        <w:t>%。决算数小于预算数主要原因</w:t>
      </w:r>
      <w:r>
        <w:rPr>
          <w:rFonts w:hint="eastAsia" w:ascii="仿宋_GB2312" w:hAnsi="Times New Roman" w:eastAsia="仿宋_GB2312" w:cs="Times New Roman"/>
          <w:sz w:val="32"/>
          <w:szCs w:val="32"/>
          <w:lang w:val="zh-CN" w:eastAsia="zh-CN"/>
        </w:rPr>
        <w:t>是严格遵守过紧日子要求，压减“三公经费”，严把支出关</w:t>
      </w:r>
      <w:r>
        <w:rPr>
          <w:rFonts w:hint="eastAsia" w:ascii="仿宋_GB2312" w:hAnsi="Times New Roman" w:eastAsia="仿宋_GB2312" w:cs="Times New Roman"/>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outlineLvl w:val="2"/>
        <w:rPr>
          <w:rFonts w:hint="eastAsia" w:ascii="楷体_GB2312" w:hAnsi="楷体_GB2312" w:eastAsia="楷体_GB2312" w:cs="楷体_GB2312"/>
          <w:b w:val="0"/>
          <w:bCs/>
          <w:sz w:val="32"/>
          <w:szCs w:val="32"/>
        </w:rPr>
      </w:pPr>
      <w:bookmarkStart w:id="56" w:name="_Toc3119"/>
      <w:bookmarkStart w:id="57" w:name="_Toc15377217"/>
      <w:r>
        <w:rPr>
          <w:rFonts w:hint="eastAsia" w:ascii="楷体_GB2312" w:hAnsi="楷体_GB2312" w:eastAsia="楷体_GB2312" w:cs="楷体_GB2312"/>
          <w:b w:val="0"/>
          <w:bCs/>
          <w:sz w:val="32"/>
          <w:szCs w:val="32"/>
        </w:rPr>
        <w:t>（二）“三公”经费财政拨款支出决算具体情况说明</w:t>
      </w:r>
      <w:bookmarkEnd w:id="56"/>
      <w:bookmarkEnd w:id="57"/>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2023年度“三公”经费财政拨款支出决算中，因公出国（境）费支出决算0万元，占0%；公务用车购置及运行维护费支出决算0万元，占0%；公务接待费支出决算0.82万元，占100%。具体情况如下：</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 w:hAnsi="仿宋" w:eastAsia="仿宋"/>
          <w:sz w:val="32"/>
          <w:szCs w:val="32"/>
        </w:rPr>
      </w:pPr>
      <w:r>
        <w:rPr>
          <w:rFonts w:hint="eastAsia" w:ascii="仿宋_GB2312" w:hAnsi="Times New Roman" w:eastAsia="仿宋_GB2312" w:cs="Times New Roman"/>
          <w:sz w:val="32"/>
          <w:szCs w:val="32"/>
          <w:lang w:eastAsia="zh-CN"/>
        </w:rPr>
        <w:t>（图7：“三公”经费财政拨款支出结构）（饼状图）</w:t>
      </w:r>
    </w:p>
    <w:p>
      <w:pPr>
        <w:pageBreakBefore w:val="0"/>
        <w:kinsoku/>
        <w:wordWrap/>
        <w:overflowPunct/>
        <w:topLinePunct w:val="0"/>
        <w:bidi w:val="0"/>
        <w:spacing w:line="576" w:lineRule="exact"/>
        <w:ind w:left="0" w:leftChars="0" w:right="0" w:firstLine="640"/>
        <w:textAlignment w:val="auto"/>
        <w:rPr>
          <w:rFonts w:ascii="仿宋_GB2312" w:eastAsia="仿宋_GB2312"/>
          <w:b/>
          <w:sz w:val="32"/>
          <w:szCs w:val="32"/>
        </w:rPr>
      </w:pPr>
      <w:r>
        <w:drawing>
          <wp:anchor distT="0" distB="0" distL="114300" distR="114300" simplePos="0" relativeHeight="251665408" behindDoc="0" locked="0" layoutInCell="1" allowOverlap="1">
            <wp:simplePos x="0" y="0"/>
            <wp:positionH relativeFrom="column">
              <wp:posOffset>273050</wp:posOffset>
            </wp:positionH>
            <wp:positionV relativeFrom="paragraph">
              <wp:posOffset>75565</wp:posOffset>
            </wp:positionV>
            <wp:extent cx="4549775" cy="2781300"/>
            <wp:effectExtent l="4445" t="4445" r="17780" b="14605"/>
            <wp:wrapTopAndBottom/>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hAnsi="Times New Roman" w:eastAsia="仿宋_GB2312" w:cs="Times New Roman"/>
          <w:sz w:val="32"/>
          <w:szCs w:val="32"/>
          <w:lang w:eastAsia="zh-CN"/>
        </w:rPr>
        <w:t>0万元，全年未安排预算。因公出国（境）支出决算较2022年无变化。</w:t>
      </w:r>
    </w:p>
    <w:p>
      <w:pPr>
        <w:pageBreakBefore w:val="0"/>
        <w:kinsoku/>
        <w:wordWrap/>
        <w:overflowPunct/>
        <w:topLinePunct w:val="0"/>
        <w:bidi w:val="0"/>
        <w:spacing w:line="576" w:lineRule="exact"/>
        <w:ind w:left="0" w:leftChars="0" w:right="0" w:firstLine="640"/>
        <w:textAlignment w:val="auto"/>
        <w:rPr>
          <w:rFonts w:ascii="仿宋_GB2312" w:eastAsia="仿宋_GB2312"/>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hAnsi="Times New Roman" w:eastAsia="仿宋_GB2312" w:cs="Times New Roman"/>
          <w:sz w:val="32"/>
          <w:szCs w:val="32"/>
          <w:lang w:eastAsia="zh-CN"/>
        </w:rPr>
        <w:t>0万元</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lang w:eastAsia="zh-CN"/>
        </w:rPr>
        <w:t>全年未安排预算。公务用车购置及运行维护费支出决算较202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eastAsia="zh-CN"/>
        </w:rPr>
        <w:t>年无变化。其中：</w:t>
      </w:r>
      <w:r>
        <w:rPr>
          <w:rFonts w:hint="eastAsia" w:ascii="仿宋_GB2312" w:eastAsia="仿宋_GB2312"/>
          <w:b/>
          <w:sz w:val="32"/>
          <w:szCs w:val="32"/>
        </w:rPr>
        <w:t>公务用车购置支出</w:t>
      </w:r>
      <w:r>
        <w:rPr>
          <w:rFonts w:hint="eastAsia" w:ascii="仿宋_GB2312" w:hAnsi="Times New Roman" w:eastAsia="仿宋_GB2312" w:cs="Times New Roman"/>
          <w:sz w:val="32"/>
          <w:szCs w:val="32"/>
          <w:lang w:eastAsia="zh-CN"/>
        </w:rPr>
        <w:t>0万元</w:t>
      </w:r>
      <w:r>
        <w:rPr>
          <w:rFonts w:hint="eastAsia" w:ascii="仿宋_GB2312" w:eastAsia="仿宋_GB2312"/>
          <w:sz w:val="32"/>
          <w:szCs w:val="32"/>
        </w:rPr>
        <w:t>。</w:t>
      </w:r>
      <w:r>
        <w:rPr>
          <w:rFonts w:hint="eastAsia" w:ascii="仿宋_GB2312" w:eastAsia="仿宋_GB2312"/>
          <w:b/>
          <w:sz w:val="32"/>
          <w:szCs w:val="32"/>
        </w:rPr>
        <w:t>公务用车运行维护费支出</w:t>
      </w:r>
      <w:r>
        <w:rPr>
          <w:rFonts w:hint="eastAsia" w:ascii="仿宋_GB2312" w:hAnsi="Times New Roman" w:eastAsia="仿宋_GB2312" w:cs="Times New Roman"/>
          <w:sz w:val="32"/>
          <w:szCs w:val="32"/>
          <w:lang w:eastAsia="zh-CN"/>
        </w:rPr>
        <w:t>0万元</w:t>
      </w:r>
      <w:r>
        <w:rPr>
          <w:rFonts w:hint="eastAsia" w:ascii="仿宋_GB2312" w:eastAsia="仿宋_GB2312"/>
          <w:sz w:val="32"/>
          <w:szCs w:val="32"/>
        </w:rPr>
        <w:t>。</w:t>
      </w:r>
    </w:p>
    <w:p>
      <w:pPr>
        <w:pageBreakBefore w:val="0"/>
        <w:kinsoku/>
        <w:wordWrap/>
        <w:overflowPunct/>
        <w:topLinePunct w:val="0"/>
        <w:bidi w:val="0"/>
        <w:spacing w:line="576" w:lineRule="exact"/>
        <w:ind w:left="0" w:leftChars="0" w:right="0" w:firstLine="640"/>
        <w:textAlignment w:val="auto"/>
        <w:rPr>
          <w:rFonts w:ascii="仿宋" w:hAnsi="仿宋" w:eastAsia="仿宋"/>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hAnsi="Times New Roman" w:eastAsia="仿宋_GB2312" w:cs="Times New Roman"/>
          <w:sz w:val="32"/>
          <w:szCs w:val="32"/>
          <w:lang w:eastAsia="zh-CN"/>
        </w:rPr>
        <w:t>0.82万元，完成预算42.47%。公务接待费支出决算比2022年度减少</w:t>
      </w:r>
      <w:r>
        <w:rPr>
          <w:rFonts w:hint="eastAsia" w:ascii="仿宋_GB2312" w:hAnsi="Times New Roman" w:eastAsia="仿宋_GB2312" w:cs="Times New Roman"/>
          <w:sz w:val="32"/>
          <w:szCs w:val="32"/>
          <w:lang w:val="en-US" w:eastAsia="zh-CN"/>
        </w:rPr>
        <w:t>0.4</w:t>
      </w:r>
      <w:r>
        <w:rPr>
          <w:rFonts w:hint="eastAsia" w:ascii="仿宋_GB2312" w:hAnsi="Times New Roman" w:eastAsia="仿宋_GB2312" w:cs="Times New Roman"/>
          <w:sz w:val="32"/>
          <w:szCs w:val="32"/>
          <w:lang w:eastAsia="zh-CN"/>
        </w:rPr>
        <w:t>万元，下降</w:t>
      </w:r>
      <w:r>
        <w:rPr>
          <w:rFonts w:hint="eastAsia" w:ascii="仿宋_GB2312" w:hAnsi="Times New Roman" w:eastAsia="仿宋_GB2312" w:cs="Times New Roman"/>
          <w:sz w:val="32"/>
          <w:szCs w:val="32"/>
          <w:lang w:val="en-US" w:eastAsia="zh-CN"/>
        </w:rPr>
        <w:t>32.8</w:t>
      </w:r>
      <w:r>
        <w:rPr>
          <w:rFonts w:hint="eastAsia" w:ascii="仿宋_GB2312" w:hAnsi="Times New Roman" w:eastAsia="仿宋_GB2312" w:cs="Times New Roman"/>
          <w:sz w:val="32"/>
          <w:szCs w:val="32"/>
          <w:lang w:eastAsia="zh-CN"/>
        </w:rPr>
        <w:t>%。主要原因是</w:t>
      </w:r>
      <w:r>
        <w:rPr>
          <w:rFonts w:hint="eastAsia" w:ascii="仿宋_GB2312" w:hAnsi="Times New Roman" w:eastAsia="仿宋_GB2312" w:cs="Times New Roman"/>
          <w:sz w:val="32"/>
          <w:szCs w:val="32"/>
          <w:lang w:val="zh-CN" w:eastAsia="zh-CN"/>
        </w:rPr>
        <w:t>严格遵守过紧日子要求，压减“三公经费”，严把支出关</w:t>
      </w:r>
      <w:r>
        <w:rPr>
          <w:rFonts w:hint="eastAsia" w:ascii="仿宋_GB2312" w:hAnsi="Times New Roman" w:eastAsia="仿宋_GB2312" w:cs="Times New Roman"/>
          <w:sz w:val="32"/>
          <w:szCs w:val="32"/>
          <w:lang w:eastAsia="zh-CN"/>
        </w:rPr>
        <w:t>。</w:t>
      </w:r>
    </w:p>
    <w:p>
      <w:pPr>
        <w:pageBreakBefore w:val="0"/>
        <w:kinsoku/>
        <w:wordWrap/>
        <w:overflowPunct/>
        <w:topLinePunct w:val="0"/>
        <w:bidi w:val="0"/>
        <w:spacing w:line="576" w:lineRule="exact"/>
        <w:ind w:left="0" w:leftChars="0" w:right="0" w:firstLine="640"/>
        <w:textAlignment w:val="auto"/>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0.82</w:t>
      </w:r>
      <w:r>
        <w:rPr>
          <w:rFonts w:hint="eastAsia" w:ascii="仿宋_GB2312" w:hAnsi="Times New Roman" w:eastAsia="仿宋_GB2312" w:cs="Times New Roman"/>
          <w:sz w:val="32"/>
          <w:szCs w:val="32"/>
          <w:lang w:eastAsia="zh-CN"/>
        </w:rPr>
        <w:t>万元，主要用于开展业务活动开支的用餐费。国内公务接待</w:t>
      </w:r>
      <w:r>
        <w:rPr>
          <w:rFonts w:hint="eastAsia" w:ascii="仿宋_GB2312" w:hAnsi="Times New Roman" w:eastAsia="仿宋_GB2312" w:cs="Times New Roman"/>
          <w:sz w:val="32"/>
          <w:szCs w:val="32"/>
          <w:lang w:val="en-US" w:eastAsia="zh-CN"/>
        </w:rPr>
        <w:t>9</w:t>
      </w:r>
      <w:r>
        <w:rPr>
          <w:rFonts w:hint="eastAsia" w:ascii="仿宋_GB2312" w:hAnsi="Times New Roman" w:eastAsia="仿宋_GB2312" w:cs="Times New Roman"/>
          <w:sz w:val="32"/>
          <w:szCs w:val="32"/>
          <w:lang w:eastAsia="zh-CN"/>
        </w:rPr>
        <w:t>批次，</w:t>
      </w:r>
      <w:r>
        <w:rPr>
          <w:rFonts w:hint="eastAsia" w:ascii="仿宋_GB2312" w:hAnsi="Times New Roman" w:eastAsia="仿宋_GB2312" w:cs="Times New Roman"/>
          <w:sz w:val="32"/>
          <w:szCs w:val="32"/>
          <w:lang w:val="en-US" w:eastAsia="zh-CN"/>
        </w:rPr>
        <w:t>84</w:t>
      </w:r>
      <w:r>
        <w:rPr>
          <w:rFonts w:hint="eastAsia" w:ascii="仿宋_GB2312" w:hAnsi="Times New Roman" w:eastAsia="仿宋_GB2312" w:cs="Times New Roman"/>
          <w:sz w:val="32"/>
          <w:szCs w:val="32"/>
          <w:lang w:eastAsia="zh-CN"/>
        </w:rPr>
        <w:t>人次，共计支出</w:t>
      </w:r>
      <w:r>
        <w:rPr>
          <w:rFonts w:hint="eastAsia" w:ascii="仿宋_GB2312" w:hAnsi="Times New Roman" w:eastAsia="仿宋_GB2312" w:cs="Times New Roman"/>
          <w:sz w:val="32"/>
          <w:szCs w:val="32"/>
          <w:lang w:val="en-US" w:eastAsia="zh-CN"/>
        </w:rPr>
        <w:t>0.82</w:t>
      </w:r>
      <w:r>
        <w:rPr>
          <w:rFonts w:hint="eastAsia" w:ascii="仿宋_GB2312" w:hAnsi="Times New Roman" w:eastAsia="仿宋_GB2312" w:cs="Times New Roman"/>
          <w:sz w:val="32"/>
          <w:szCs w:val="32"/>
          <w:lang w:eastAsia="zh-CN"/>
        </w:rPr>
        <w:t>万元，具体内容包括：</w:t>
      </w:r>
      <w:r>
        <w:rPr>
          <w:rFonts w:hint="eastAsia" w:ascii="仿宋_GB2312" w:eastAsia="仿宋_GB2312" w:cs="Times New Roman"/>
          <w:sz w:val="32"/>
          <w:szCs w:val="32"/>
          <w:lang w:eastAsia="zh-CN"/>
        </w:rPr>
        <w:t>为</w:t>
      </w:r>
      <w:r>
        <w:rPr>
          <w:rFonts w:hint="eastAsia" w:ascii="仿宋_GB2312" w:hAnsi="Times New Roman" w:eastAsia="仿宋_GB2312" w:cs="Times New Roman"/>
          <w:sz w:val="32"/>
          <w:szCs w:val="32"/>
          <w:lang w:eastAsia="zh-CN"/>
        </w:rPr>
        <w:t>正常公务运转接待以及向上级争取资金开展活动等产生的餐费共计</w:t>
      </w:r>
      <w:r>
        <w:rPr>
          <w:rFonts w:hint="eastAsia" w:ascii="仿宋_GB2312" w:hAnsi="Times New Roman" w:eastAsia="仿宋_GB2312" w:cs="Times New Roman"/>
          <w:sz w:val="32"/>
          <w:szCs w:val="32"/>
          <w:lang w:val="en-US" w:eastAsia="zh-CN"/>
        </w:rPr>
        <w:t>0.82万元</w:t>
      </w:r>
      <w:r>
        <w:rPr>
          <w:rFonts w:hint="eastAsia" w:ascii="仿宋_GB2312" w:hAnsi="Times New Roman" w:eastAsia="仿宋_GB2312" w:cs="Times New Roman"/>
          <w:sz w:val="32"/>
          <w:szCs w:val="32"/>
          <w:lang w:eastAsia="zh-CN"/>
        </w:rPr>
        <w:t>。</w:t>
      </w:r>
    </w:p>
    <w:p>
      <w:pPr>
        <w:pageBreakBefore w:val="0"/>
        <w:kinsoku/>
        <w:wordWrap/>
        <w:overflowPunct/>
        <w:topLinePunct w:val="0"/>
        <w:bidi w:val="0"/>
        <w:spacing w:line="576" w:lineRule="exact"/>
        <w:ind w:left="0" w:leftChars="0" w:right="0" w:firstLine="642" w:firstLineChars="200"/>
        <w:textAlignment w:val="auto"/>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b/>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6" w:lineRule="exact"/>
        <w:ind w:right="0"/>
        <w:textAlignment w:val="auto"/>
        <w:outlineLvl w:val="1"/>
        <w:rPr>
          <w:rStyle w:val="30"/>
          <w:rFonts w:ascii="黑体" w:hAnsi="黑体" w:eastAsia="黑体"/>
        </w:rPr>
      </w:pPr>
      <w:bookmarkStart w:id="58" w:name="_Toc29077"/>
      <w:bookmarkStart w:id="59" w:name="_Toc15377218"/>
      <w:bookmarkStart w:id="60" w:name="_Toc15396610"/>
      <w:r>
        <w:rPr>
          <w:rFonts w:hint="eastAsia" w:ascii="黑体" w:eastAsia="黑体"/>
          <w:sz w:val="32"/>
          <w:szCs w:val="32"/>
        </w:rPr>
        <w:t>八、</w:t>
      </w:r>
      <w:r>
        <w:rPr>
          <w:rStyle w:val="30"/>
          <w:rFonts w:hint="eastAsia" w:ascii="黑体" w:hAnsi="黑体" w:eastAsia="黑体"/>
          <w:b w:val="0"/>
        </w:rPr>
        <w:t>政府性基金预算支出决算情况说明</w:t>
      </w:r>
      <w:bookmarkEnd w:id="58"/>
      <w:bookmarkEnd w:id="59"/>
      <w:bookmarkEnd w:id="60"/>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2023年度政府性基金预算财政拨款支出0万元。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textAlignment w:val="auto"/>
        <w:outlineLvl w:val="1"/>
        <w:rPr>
          <w:rStyle w:val="30"/>
          <w:rFonts w:ascii="黑体" w:hAnsi="黑体" w:eastAsia="黑体"/>
          <w:b w:val="0"/>
        </w:rPr>
      </w:pPr>
      <w:bookmarkStart w:id="61" w:name="_Toc15396611"/>
      <w:bookmarkStart w:id="62" w:name="_Toc15377219"/>
      <w:bookmarkStart w:id="63" w:name="_Toc22691"/>
      <w:r>
        <w:rPr>
          <w:rStyle w:val="30"/>
          <w:rFonts w:hint="eastAsia" w:ascii="黑体" w:hAnsi="黑体" w:eastAsia="黑体"/>
          <w:b w:val="0"/>
          <w:lang w:eastAsia="zh-CN"/>
        </w:rPr>
        <w:t>九、</w:t>
      </w:r>
      <w:r>
        <w:rPr>
          <w:rStyle w:val="30"/>
          <w:rFonts w:hint="eastAsia" w:ascii="黑体" w:hAnsi="黑体" w:eastAsia="黑体"/>
          <w:b w:val="0"/>
        </w:rPr>
        <w:t>国有资本经营预算支出决算情况说明</w:t>
      </w:r>
      <w:bookmarkEnd w:id="61"/>
      <w:bookmarkEnd w:id="62"/>
      <w:bookmarkEnd w:id="63"/>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2023年度国有资本经营预算财政拨款支出0万元。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textAlignment w:val="auto"/>
        <w:outlineLvl w:val="1"/>
        <w:rPr>
          <w:rStyle w:val="30"/>
          <w:rFonts w:ascii="黑体" w:hAnsi="黑体" w:eastAsia="黑体"/>
          <w:b w:val="0"/>
        </w:rPr>
      </w:pPr>
      <w:bookmarkStart w:id="64" w:name="_Toc1256"/>
      <w:bookmarkStart w:id="65" w:name="_Toc15377221"/>
      <w:bookmarkStart w:id="66" w:name="_Toc15396612"/>
      <w:r>
        <w:rPr>
          <w:rStyle w:val="30"/>
          <w:rFonts w:hint="eastAsia" w:ascii="黑体" w:hAnsi="黑体" w:eastAsia="黑体"/>
          <w:b w:val="0"/>
          <w:lang w:eastAsia="zh-CN"/>
        </w:rPr>
        <w:t>十、</w:t>
      </w:r>
      <w:r>
        <w:rPr>
          <w:rStyle w:val="30"/>
          <w:rFonts w:hint="eastAsia" w:ascii="黑体" w:hAnsi="黑体" w:eastAsia="黑体"/>
          <w:b w:val="0"/>
        </w:rPr>
        <w:t>其他重要事项的情况说明</w:t>
      </w:r>
      <w:bookmarkEnd w:id="64"/>
      <w:bookmarkEnd w:id="65"/>
      <w:bookmarkEnd w:id="66"/>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outlineLvl w:val="2"/>
        <w:rPr>
          <w:rFonts w:hint="eastAsia" w:ascii="楷体_GB2312" w:hAnsi="楷体_GB2312" w:eastAsia="楷体_GB2312" w:cs="楷体_GB2312"/>
          <w:b w:val="0"/>
          <w:bCs/>
          <w:sz w:val="32"/>
          <w:szCs w:val="32"/>
        </w:rPr>
      </w:pPr>
      <w:bookmarkStart w:id="67" w:name="_Toc9787"/>
      <w:bookmarkStart w:id="68" w:name="_Toc15377222"/>
      <w:r>
        <w:rPr>
          <w:rFonts w:hint="eastAsia" w:ascii="楷体_GB2312" w:hAnsi="楷体_GB2312" w:eastAsia="楷体_GB2312" w:cs="楷体_GB2312"/>
          <w:b w:val="0"/>
          <w:bCs/>
          <w:sz w:val="32"/>
          <w:szCs w:val="32"/>
        </w:rPr>
        <w:t>（一）机关运行经费支出情况</w:t>
      </w:r>
      <w:bookmarkEnd w:id="67"/>
      <w:bookmarkEnd w:id="68"/>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2023年度，广元市工商业联合会机关运行经费支出44.94万元，比2022年度减少</w:t>
      </w:r>
      <w:r>
        <w:rPr>
          <w:rFonts w:hint="eastAsia" w:ascii="仿宋_GB2312" w:hAnsi="Times New Roman" w:eastAsia="仿宋_GB2312" w:cs="Times New Roman"/>
          <w:sz w:val="32"/>
          <w:szCs w:val="32"/>
          <w:lang w:val="en-US" w:eastAsia="zh-CN"/>
        </w:rPr>
        <w:t>5.12</w:t>
      </w:r>
      <w:r>
        <w:rPr>
          <w:rFonts w:hint="eastAsia" w:ascii="仿宋_GB2312" w:hAnsi="Times New Roman" w:eastAsia="仿宋_GB2312" w:cs="Times New Roman"/>
          <w:sz w:val="32"/>
          <w:szCs w:val="32"/>
          <w:lang w:eastAsia="zh-CN"/>
        </w:rPr>
        <w:t>万元，下降</w:t>
      </w:r>
      <w:r>
        <w:rPr>
          <w:rFonts w:hint="eastAsia" w:ascii="仿宋_GB2312" w:hAnsi="Times New Roman" w:eastAsia="仿宋_GB2312" w:cs="Times New Roman"/>
          <w:sz w:val="32"/>
          <w:szCs w:val="32"/>
          <w:lang w:val="en-US" w:eastAsia="zh-CN"/>
        </w:rPr>
        <w:t>11.4</w:t>
      </w:r>
      <w:r>
        <w:rPr>
          <w:rFonts w:hint="eastAsia" w:ascii="仿宋_GB2312" w:hAnsi="Times New Roman" w:eastAsia="仿宋_GB2312" w:cs="Times New Roman"/>
          <w:sz w:val="32"/>
          <w:szCs w:val="32"/>
          <w:lang w:eastAsia="zh-CN"/>
        </w:rPr>
        <w:t>%。主要原因是单位在日常办公运转中始终坚持</w:t>
      </w:r>
      <w:r>
        <w:rPr>
          <w:rFonts w:hint="eastAsia" w:ascii="仿宋_GB2312" w:eastAsia="仿宋_GB2312" w:cs="Times New Roman"/>
          <w:sz w:val="32"/>
          <w:szCs w:val="32"/>
          <w:lang w:eastAsia="zh-CN"/>
        </w:rPr>
        <w:t>厉行节约</w:t>
      </w:r>
      <w:r>
        <w:rPr>
          <w:rFonts w:hint="eastAsia" w:ascii="仿宋_GB2312" w:hAnsi="Times New Roman" w:eastAsia="仿宋_GB2312" w:cs="Times New Roman"/>
          <w:sz w:val="32"/>
          <w:szCs w:val="32"/>
          <w:lang w:eastAsia="zh-CN"/>
        </w:rPr>
        <w:t>的原则。</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0" w:firstLine="640" w:firstLineChars="200"/>
        <w:jc w:val="left"/>
        <w:textAlignment w:val="auto"/>
        <w:outlineLvl w:val="2"/>
        <w:rPr>
          <w:rFonts w:hint="eastAsia" w:ascii="楷体_GB2312" w:hAnsi="楷体_GB2312" w:eastAsia="楷体_GB2312" w:cs="楷体_GB2312"/>
          <w:b w:val="0"/>
          <w:bCs/>
          <w:sz w:val="32"/>
          <w:szCs w:val="32"/>
        </w:rPr>
      </w:pPr>
      <w:bookmarkStart w:id="69" w:name="_Toc15377223"/>
      <w:bookmarkStart w:id="70" w:name="_Toc12432"/>
      <w:r>
        <w:rPr>
          <w:rFonts w:hint="eastAsia" w:ascii="楷体_GB2312" w:hAnsi="楷体_GB2312" w:eastAsia="楷体_GB2312" w:cs="楷体_GB2312"/>
          <w:b w:val="0"/>
          <w:bCs/>
          <w:sz w:val="32"/>
          <w:szCs w:val="32"/>
        </w:rPr>
        <w:t>（二）政府采购支出情况</w:t>
      </w:r>
      <w:bookmarkEnd w:id="69"/>
      <w:bookmarkEnd w:id="70"/>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2023年度，广元市工商业联合会政府采购支出总额0万元。</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楷体_GB2312" w:hAnsi="楷体_GB2312" w:eastAsia="楷体_GB2312" w:cs="楷体_GB2312"/>
          <w:b w:val="0"/>
          <w:bCs/>
          <w:sz w:val="32"/>
          <w:szCs w:val="32"/>
        </w:rPr>
      </w:pPr>
      <w:bookmarkStart w:id="71" w:name="_Toc15377224"/>
      <w:r>
        <w:rPr>
          <w:rFonts w:hint="eastAsia" w:ascii="楷体_GB2312" w:hAnsi="楷体_GB2312" w:eastAsia="楷体_GB2312" w:cs="楷体_GB2312"/>
          <w:b w:val="0"/>
          <w:bCs/>
          <w:sz w:val="32"/>
          <w:szCs w:val="32"/>
        </w:rPr>
        <w:t>（三）国有资产占有使用情况</w:t>
      </w:r>
      <w:bookmarkEnd w:id="71"/>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截至2023年12月31日，广元市工商业联合会无公务用车。单价100万元以上设备（不含车辆）0台（套）。</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（四）预算绩效管理情况</w:t>
      </w:r>
    </w:p>
    <w:p>
      <w:pPr>
        <w:pageBreakBefore w:val="0"/>
        <w:kinsoku/>
        <w:wordWrap/>
        <w:overflowPunct/>
        <w:topLinePunct w:val="0"/>
        <w:bidi w:val="0"/>
        <w:spacing w:line="576" w:lineRule="exact"/>
        <w:ind w:left="0" w:leftChars="0" w:righ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w:t>
      </w:r>
      <w:r>
        <w:rPr>
          <w:rFonts w:hint="eastAsia" w:ascii="仿宋_GB2312" w:hAnsi="Cambria" w:eastAsia="仿宋_GB2312" w:cs="仿宋_GB2312"/>
          <w:kern w:val="2"/>
          <w:sz w:val="32"/>
          <w:szCs w:val="32"/>
        </w:rPr>
        <w:t>经济服务及维权经费、宣传调研工作经费、组织建设工作经费</w:t>
      </w:r>
      <w:r>
        <w:rPr>
          <w:rFonts w:hint="eastAsia" w:ascii="仿宋_GB2312" w:hAnsi="Cambria" w:eastAsia="仿宋_GB2312" w:cs="仿宋_GB2312"/>
          <w:kern w:val="2"/>
          <w:sz w:val="32"/>
          <w:szCs w:val="32"/>
          <w:lang w:eastAsia="zh-CN"/>
        </w:rPr>
        <w:t>、乡村振兴工作经费、万企兴万村经费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个项目编制了绩效目标，预算执行过程中，</w:t>
      </w:r>
      <w:r>
        <w:rPr>
          <w:rFonts w:hint="eastAsia" w:ascii="仿宋_GB2312" w:hAnsi="仿宋_GB2312" w:eastAsia="仿宋_GB2312" w:cs="仿宋_GB2312"/>
          <w:sz w:val="32"/>
          <w:szCs w:val="32"/>
          <w:lang w:eastAsia="zh-CN"/>
        </w:rPr>
        <w:t>对全部</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绩效监控。</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组织对2023年度一般公共预算资金全面开展绩效自评，形成广元市工商业联合会整体（含部门预算项目）绩效自评报告、两新组织党建工作经费、全国万企兴万村行动西部片区广元座谈会等专项预算项目绩效自评报告，其中</w:t>
      </w:r>
      <w:r>
        <w:rPr>
          <w:rFonts w:hint="eastAsia" w:ascii="仿宋_GB2312" w:eastAsia="仿宋_GB2312" w:cs="Times New Roman"/>
          <w:sz w:val="32"/>
          <w:szCs w:val="32"/>
          <w:lang w:val="en-US" w:eastAsia="zh-CN"/>
        </w:rPr>
        <w:t>：</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广元市工商业联合会整体（含部门预算项目）绩效自评得分为99.08分，绩效自评综述：我单位支出绩效总体良好，各项目达到了相应时期执行进度，各项目经费按预算实施，使财政收支预算执行都得到了良好的制度保障和实施效果</w:t>
      </w:r>
      <w:r>
        <w:rPr>
          <w:rFonts w:hint="eastAsia" w:ascii="仿宋_GB2312" w:eastAsia="仿宋_GB2312" w:cs="Times New Roman"/>
          <w:sz w:val="32"/>
          <w:szCs w:val="32"/>
          <w:lang w:val="en-US" w:eastAsia="zh-CN"/>
        </w:rPr>
        <w:t>。</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全国万企兴万村行动西部片区广元座谈会、全省万企兴万村行动推进会和知名川商广元行活动</w:t>
      </w:r>
      <w:r>
        <w:rPr>
          <w:rFonts w:hint="eastAsia" w:ascii="仿宋_GB2312" w:hAnsi="Times New Roman" w:eastAsia="仿宋_GB2312" w:cs="Times New Roman"/>
          <w:sz w:val="32"/>
          <w:szCs w:val="32"/>
          <w:lang w:val="en-US" w:eastAsia="zh-CN"/>
        </w:rPr>
        <w:t>专项预算项目</w:t>
      </w:r>
      <w:r>
        <w:rPr>
          <w:rFonts w:hint="eastAsia" w:ascii="仿宋_GB2312" w:eastAsia="仿宋_GB2312" w:cs="Times New Roman"/>
          <w:sz w:val="32"/>
          <w:szCs w:val="32"/>
          <w:lang w:val="en-US" w:eastAsia="zh-CN"/>
        </w:rPr>
        <w:t>涉及评分细则满分84分，</w:t>
      </w:r>
      <w:r>
        <w:rPr>
          <w:rFonts w:hint="eastAsia" w:ascii="仿宋_GB2312" w:hAnsi="Times New Roman" w:eastAsia="仿宋_GB2312" w:cs="Times New Roman"/>
          <w:sz w:val="32"/>
          <w:szCs w:val="32"/>
          <w:lang w:val="en-US" w:eastAsia="zh-CN"/>
        </w:rPr>
        <w:t>绩效自评得分为84分，绩效自评综述：</w:t>
      </w:r>
      <w:r>
        <w:rPr>
          <w:rFonts w:hint="eastAsia" w:ascii="仿宋_GB2312" w:hAnsi="Times New Roman" w:eastAsia="仿宋_GB2312" w:cs="Times New Roman"/>
          <w:sz w:val="32"/>
          <w:szCs w:val="32"/>
          <w:lang w:val="zh-CN" w:eastAsia="zh-CN"/>
        </w:rPr>
        <w:t>该项目的实施，为顺利召开万企兴万村行动全国、全省会议提供了保障，为全市招商引资搭建了平台，为加快建设川陕甘结合部现代化中心城市作出新的积极贡献</w:t>
      </w:r>
      <w:r>
        <w:rPr>
          <w:rFonts w:hint="eastAsia" w:ascii="仿宋_GB2312" w:eastAsia="仿宋_GB2312" w:cs="Times New Roman"/>
          <w:sz w:val="32"/>
          <w:szCs w:val="32"/>
          <w:lang w:val="zh-CN" w:eastAsia="zh-CN"/>
        </w:rPr>
        <w:t>。</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两新党建工作经费专项预算项目</w:t>
      </w:r>
      <w:r>
        <w:rPr>
          <w:rFonts w:hint="eastAsia" w:ascii="仿宋_GB2312" w:eastAsia="仿宋_GB2312" w:cs="Times New Roman"/>
          <w:sz w:val="32"/>
          <w:szCs w:val="32"/>
          <w:lang w:val="en-US" w:eastAsia="zh-CN"/>
        </w:rPr>
        <w:t>涉及评分细则满分84分，</w:t>
      </w:r>
      <w:r>
        <w:rPr>
          <w:rFonts w:hint="eastAsia" w:ascii="仿宋_GB2312" w:hAnsi="Times New Roman" w:eastAsia="仿宋_GB2312" w:cs="Times New Roman"/>
          <w:sz w:val="32"/>
          <w:szCs w:val="32"/>
          <w:lang w:val="en-US" w:eastAsia="zh-CN"/>
        </w:rPr>
        <w:t>绩效自评得分为84分，绩效自评综述：市工商联直属商协会联合党委及9个商协会党支部党建工作经费严格按文件要求支出使用，党支部书记认真履职，党支部班子的关键作用得到有效发挥。</w:t>
      </w:r>
    </w:p>
    <w:p>
      <w:pPr>
        <w:pageBreakBefore w:val="0"/>
        <w:kinsoku/>
        <w:wordWrap/>
        <w:overflowPunct/>
        <w:topLinePunct w:val="0"/>
        <w:autoSpaceDE w:val="0"/>
        <w:autoSpaceDN w:val="0"/>
        <w:bidi w:val="0"/>
        <w:adjustRightInd w:val="0"/>
        <w:spacing w:line="576" w:lineRule="exact"/>
        <w:ind w:left="0" w:leftChars="0" w:right="0"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绩效自评报告详见</w:t>
      </w:r>
      <w:r>
        <w:rPr>
          <w:rFonts w:hint="eastAsia" w:ascii="仿宋_GB2312" w:hAnsi="Times New Roman" w:eastAsia="仿宋_GB2312" w:cs="Times New Roman"/>
          <w:color w:val="auto"/>
          <w:sz w:val="32"/>
          <w:szCs w:val="32"/>
          <w:highlight w:val="none"/>
          <w:lang w:val="en-US" w:eastAsia="zh-CN"/>
        </w:rPr>
        <w:t>第四部分附件</w:t>
      </w:r>
      <w:r>
        <w:rPr>
          <w:rFonts w:hint="eastAsia" w:ascii="仿宋_GB2312" w:hAnsi="Times New Roman" w:eastAsia="仿宋_GB2312" w:cs="Times New Roman"/>
          <w:sz w:val="32"/>
          <w:szCs w:val="32"/>
          <w:lang w:val="en-US" w:eastAsia="zh-CN"/>
        </w:rPr>
        <w:t>。</w:t>
      </w:r>
    </w:p>
    <w:p>
      <w:pPr>
        <w:pStyle w:val="2"/>
        <w:pageBreakBefore w:val="0"/>
        <w:kinsoku/>
        <w:wordWrap/>
        <w:overflowPunct/>
        <w:topLinePunct w:val="0"/>
        <w:bidi w:val="0"/>
        <w:spacing w:before="0" w:after="0" w:line="576" w:lineRule="exact"/>
        <w:ind w:left="0" w:leftChars="0" w:right="0"/>
        <w:jc w:val="center"/>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center"/>
        <w:textAlignment w:val="auto"/>
        <w:outlineLvl w:val="9"/>
        <w:rPr>
          <w:rFonts w:hint="eastAsia"/>
        </w:rPr>
      </w:pPr>
    </w:p>
    <w:p>
      <w:pPr>
        <w:rPr>
          <w:rFonts w:hint="eastAsia"/>
        </w:rPr>
      </w:pPr>
    </w:p>
    <w:p>
      <w:pPr>
        <w:pStyle w:val="2"/>
        <w:pageBreakBefore w:val="0"/>
        <w:kinsoku/>
        <w:wordWrap/>
        <w:overflowPunct/>
        <w:topLinePunct w:val="0"/>
        <w:bidi w:val="0"/>
        <w:spacing w:before="0" w:after="0" w:line="576" w:lineRule="exact"/>
        <w:ind w:left="0" w:leftChars="0" w:right="0"/>
        <w:jc w:val="center"/>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center"/>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Style w:val="2"/>
        <w:pageBreakBefore w:val="0"/>
        <w:kinsoku/>
        <w:wordWrap/>
        <w:overflowPunct/>
        <w:topLinePunct w:val="0"/>
        <w:bidi w:val="0"/>
        <w:spacing w:before="0" w:after="0" w:line="576" w:lineRule="exact"/>
        <w:ind w:left="0" w:leftChars="0" w:right="0"/>
        <w:jc w:val="both"/>
        <w:textAlignment w:val="auto"/>
        <w:outlineLvl w:val="9"/>
        <w:rPr>
          <w:rFonts w:hint="eastAsia"/>
        </w:rPr>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rPr>
          <w:rFonts w:hint="eastAsia" w:eastAsia="宋体"/>
          <w:lang w:eastAsia="zh-CN"/>
        </w:rPr>
      </w:pPr>
      <w:r>
        <w:rPr>
          <w:rFonts w:hint="eastAsia"/>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center"/>
        <w:textAlignment w:val="auto"/>
        <w:outlineLvl w:val="0"/>
        <w:rPr>
          <w:rFonts w:hint="eastAsia" w:ascii="黑体" w:hAnsi="黑体" w:eastAsia="黑体" w:cs="黑体"/>
          <w:sz w:val="44"/>
          <w:szCs w:val="44"/>
          <w:lang w:val="en-US" w:eastAsia="zh-CN"/>
        </w:rPr>
      </w:pPr>
      <w:bookmarkStart w:id="72" w:name="_Toc25750"/>
      <w:r>
        <w:rPr>
          <w:rFonts w:hint="eastAsia" w:ascii="黑体" w:hAnsi="黑体" w:eastAsia="黑体" w:cs="黑体"/>
          <w:sz w:val="44"/>
          <w:szCs w:val="44"/>
          <w:lang w:val="en-US" w:eastAsia="zh-CN"/>
        </w:rPr>
        <w:t>第三部分 名词解释</w:t>
      </w:r>
      <w:bookmarkEnd w:id="72"/>
    </w:p>
    <w:p>
      <w:pPr>
        <w:pageBreakBefore w:val="0"/>
        <w:kinsoku/>
        <w:wordWrap/>
        <w:overflowPunct/>
        <w:topLinePunct w:val="0"/>
        <w:bidi w:val="0"/>
        <w:spacing w:line="576" w:lineRule="exact"/>
        <w:ind w:left="0" w:leftChars="0" w:right="0"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1.财政拨款收入：指单位从同级财政部门取得的财政预算资金。</w:t>
      </w:r>
    </w:p>
    <w:p>
      <w:pPr>
        <w:pageBreakBefore w:val="0"/>
        <w:kinsoku/>
        <w:wordWrap/>
        <w:overflowPunct/>
        <w:topLinePunct w:val="0"/>
        <w:bidi w:val="0"/>
        <w:spacing w:line="576" w:lineRule="exact"/>
        <w:ind w:left="0" w:leftChars="0" w:right="0"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 xml:space="preserve">.年初结转和结余：指以前年度尚未完成、结转到本年按有关规定继续使用的资金。 </w:t>
      </w:r>
    </w:p>
    <w:p>
      <w:pPr>
        <w:pageBreakBefore w:val="0"/>
        <w:kinsoku/>
        <w:wordWrap/>
        <w:overflowPunct/>
        <w:topLinePunct w:val="0"/>
        <w:bidi w:val="0"/>
        <w:spacing w:line="576" w:lineRule="exact"/>
        <w:ind w:left="0" w:leftChars="0" w:right="0"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 一般公共服务支出（类）民主党派及工商联事务（款） 行政运行（项）指工商联部门日常运转经费开支，包括水费、电费、办公费、差旅费印刷费等。</w:t>
      </w:r>
    </w:p>
    <w:p>
      <w:pPr>
        <w:pageBreakBefore w:val="0"/>
        <w:kinsoku/>
        <w:wordWrap/>
        <w:overflowPunct/>
        <w:topLinePunct w:val="0"/>
        <w:bidi w:val="0"/>
        <w:spacing w:line="576" w:lineRule="exact"/>
        <w:ind w:left="0" w:leftChars="0" w:right="0"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5.一般公共服务支出（类）民主党派及工商联事务（款）一般行政管理事务（项），指工商联部门开展业务项目工作专项经费支出。</w:t>
      </w:r>
    </w:p>
    <w:p>
      <w:pPr>
        <w:pageBreakBefore w:val="0"/>
        <w:kinsoku/>
        <w:wordWrap/>
        <w:overflowPunct/>
        <w:topLinePunct w:val="0"/>
        <w:bidi w:val="0"/>
        <w:spacing w:line="576" w:lineRule="exact"/>
        <w:ind w:left="0" w:leftChars="0" w:right="0"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 社会保障和就业支出（类） 行政事业单位养老支出 （款）机关事业单位基本养老保险缴费（项）支出，指行政事业单位职工养老保险支出。</w:t>
      </w:r>
    </w:p>
    <w:p>
      <w:pPr>
        <w:pageBreakBefore w:val="0"/>
        <w:kinsoku/>
        <w:wordWrap/>
        <w:overflowPunct/>
        <w:topLinePunct w:val="0"/>
        <w:bidi w:val="0"/>
        <w:spacing w:line="576" w:lineRule="exact"/>
        <w:ind w:left="0" w:leftChars="0" w:right="0"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 卫生健康支出（类）行政事业单位医疗（款）行政单位医疗（项）支出，指行政事业单位职工医疗保险费用支出。</w:t>
      </w:r>
    </w:p>
    <w:p>
      <w:pPr>
        <w:pageBreakBefore w:val="0"/>
        <w:kinsoku/>
        <w:wordWrap/>
        <w:overflowPunct/>
        <w:topLinePunct w:val="0"/>
        <w:bidi w:val="0"/>
        <w:spacing w:line="576" w:lineRule="exact"/>
        <w:ind w:left="0" w:leftChars="0" w:right="0"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 住房保障支出（类）住房改革性支出（款）住房公积金（项），指行政事业单位职工住房公积金费用支出。</w:t>
      </w:r>
    </w:p>
    <w:p>
      <w:pPr>
        <w:pageBreakBefore w:val="0"/>
        <w:kinsoku/>
        <w:wordWrap/>
        <w:overflowPunct/>
        <w:topLinePunct w:val="0"/>
        <w:bidi w:val="0"/>
        <w:spacing w:line="576" w:lineRule="exact"/>
        <w:ind w:left="0" w:leftChars="0" w:right="0"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10</w:t>
      </w:r>
      <w:r>
        <w:rPr>
          <w:rFonts w:hint="eastAsia" w:ascii="仿宋_GB2312" w:eastAsia="仿宋_GB2312"/>
          <w:sz w:val="32"/>
          <w:szCs w:val="32"/>
        </w:rPr>
        <w:t>.基本支出：指为保障机构正常</w:t>
      </w:r>
      <w:bookmarkStart w:id="139" w:name="_GoBack"/>
      <w:bookmarkEnd w:id="139"/>
      <w:r>
        <w:rPr>
          <w:rFonts w:hint="eastAsia" w:ascii="仿宋_GB2312" w:eastAsia="仿宋_GB2312"/>
          <w:sz w:val="32"/>
          <w:szCs w:val="32"/>
        </w:rPr>
        <w:t>运转、完成日常工作任务而发生的人员支出和公用支出。</w:t>
      </w:r>
    </w:p>
    <w:p>
      <w:pPr>
        <w:pageBreakBefore w:val="0"/>
        <w:kinsoku/>
        <w:wordWrap/>
        <w:overflowPunct/>
        <w:topLinePunct w:val="0"/>
        <w:bidi w:val="0"/>
        <w:spacing w:line="576" w:lineRule="exact"/>
        <w:ind w:left="0" w:leftChars="0" w:right="0"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11</w:t>
      </w:r>
      <w:r>
        <w:rPr>
          <w:rFonts w:hint="eastAsia" w:ascii="仿宋_GB2312" w:eastAsia="仿宋_GB2312"/>
          <w:sz w:val="32"/>
          <w:szCs w:val="32"/>
        </w:rPr>
        <w:t xml:space="preserve">.项目支出：指在基本支出之外为完成特定行政任务和事业发展目标所发生的支出。 </w:t>
      </w:r>
    </w:p>
    <w:p>
      <w:pPr>
        <w:pageBreakBefore w:val="0"/>
        <w:kinsoku/>
        <w:wordWrap/>
        <w:overflowPunct/>
        <w:topLinePunct w:val="0"/>
        <w:bidi w:val="0"/>
        <w:spacing w:line="576" w:lineRule="exact"/>
        <w:ind w:left="0" w:leftChars="0" w:right="0"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13</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kinsoku/>
        <w:wordWrap/>
        <w:overflowPunct/>
        <w:topLinePunct w:val="0"/>
        <w:bidi w:val="0"/>
        <w:spacing w:line="576" w:lineRule="exact"/>
        <w:ind w:left="0" w:leftChars="0" w:right="0"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14</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p>
      <w:pPr>
        <w:pageBreakBefore w:val="0"/>
        <w:numPr>
          <w:ilvl w:val="0"/>
          <w:numId w:val="0"/>
        </w:numPr>
        <w:kinsoku/>
        <w:wordWrap/>
        <w:overflowPunct/>
        <w:topLinePunct w:val="0"/>
        <w:bidi w:val="0"/>
        <w:spacing w:line="576" w:lineRule="exact"/>
        <w:ind w:right="0" w:rightChars="0"/>
        <w:jc w:val="both"/>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center"/>
        <w:textAlignment w:val="auto"/>
        <w:outlineLvl w:val="0"/>
        <w:rPr>
          <w:rFonts w:hint="eastAsia" w:ascii="黑体" w:hAnsi="黑体" w:eastAsia="黑体" w:cs="黑体"/>
          <w:sz w:val="44"/>
          <w:szCs w:val="44"/>
          <w:lang w:val="en-US" w:eastAsia="zh-CN"/>
        </w:rPr>
      </w:pPr>
      <w:bookmarkStart w:id="73" w:name="_Toc13735"/>
      <w:r>
        <w:rPr>
          <w:rFonts w:hint="eastAsia" w:ascii="黑体" w:hAnsi="黑体" w:eastAsia="黑体" w:cs="黑体"/>
          <w:sz w:val="44"/>
          <w:szCs w:val="44"/>
          <w:lang w:val="en-US" w:eastAsia="zh-CN"/>
        </w:rPr>
        <w:t>第四部分 附件</w:t>
      </w:r>
      <w:bookmarkEnd w:id="73"/>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textAlignment w:val="auto"/>
        <w:outlineLvl w:val="9"/>
        <w:rPr>
          <w:rFonts w:ascii="黑体" w:hAnsi="黑体" w:eastAsia="黑体"/>
          <w:sz w:val="32"/>
          <w:szCs w:val="32"/>
        </w:rPr>
      </w:pPr>
      <w:bookmarkStart w:id="74" w:name="_Toc1005"/>
      <w:r>
        <w:rPr>
          <w:rFonts w:hint="eastAsia" w:ascii="黑体" w:hAnsi="黑体" w:eastAsia="黑体"/>
          <w:sz w:val="32"/>
          <w:szCs w:val="32"/>
        </w:rPr>
        <w:t>附件1</w:t>
      </w:r>
      <w:bookmarkEnd w:id="74"/>
    </w:p>
    <w:p>
      <w:pPr>
        <w:keepNext w:val="0"/>
        <w:keepLines w:val="0"/>
        <w:pageBreakBefore w:val="0"/>
        <w:widowControl/>
        <w:kinsoku/>
        <w:wordWrap/>
        <w:overflowPunct/>
        <w:topLinePunct w:val="0"/>
        <w:autoSpaceDE/>
        <w:autoSpaceDN/>
        <w:bidi w:val="0"/>
        <w:adjustRightInd/>
        <w:snapToGrid/>
        <w:spacing w:line="576" w:lineRule="exact"/>
        <w:contextualSpacing/>
        <w:jc w:val="center"/>
        <w:textAlignment w:val="auto"/>
        <w:outlineLvl w:val="9"/>
        <w:rPr>
          <w:rFonts w:hint="eastAsia" w:eastAsia="方正小标宋简体" w:cs="Times New Roman"/>
          <w:b w:val="0"/>
          <w:bCs/>
          <w:sz w:val="44"/>
          <w:szCs w:val="44"/>
          <w:highlight w:val="none"/>
          <w:shd w:val="clear" w:color="auto" w:fill="FFFFFF"/>
          <w:lang w:eastAsia="zh-CN"/>
        </w:rPr>
      </w:pPr>
      <w:bookmarkStart w:id="75" w:name="_Toc18411"/>
      <w:r>
        <w:rPr>
          <w:rFonts w:hint="eastAsia" w:eastAsia="方正小标宋简体" w:cs="Times New Roman"/>
          <w:b w:val="0"/>
          <w:bCs/>
          <w:sz w:val="44"/>
          <w:szCs w:val="44"/>
          <w:highlight w:val="none"/>
          <w:shd w:val="clear" w:color="auto" w:fill="FFFFFF"/>
          <w:lang w:eastAsia="zh-CN"/>
        </w:rPr>
        <w:t>广元市工商业联合会</w:t>
      </w:r>
      <w:bookmarkEnd w:id="75"/>
    </w:p>
    <w:p>
      <w:pPr>
        <w:keepNext w:val="0"/>
        <w:keepLines w:val="0"/>
        <w:pageBreakBefore w:val="0"/>
        <w:widowControl/>
        <w:kinsoku/>
        <w:wordWrap/>
        <w:overflowPunct/>
        <w:topLinePunct w:val="0"/>
        <w:autoSpaceDE/>
        <w:autoSpaceDN/>
        <w:bidi w:val="0"/>
        <w:adjustRightInd/>
        <w:snapToGrid/>
        <w:spacing w:line="576" w:lineRule="exact"/>
        <w:contextualSpacing/>
        <w:jc w:val="center"/>
        <w:textAlignment w:val="auto"/>
        <w:outlineLvl w:val="1"/>
        <w:rPr>
          <w:rFonts w:hint="default" w:ascii="Times New Roman" w:hAnsi="Times New Roman" w:eastAsia="方正小标宋简体" w:cs="Times New Roman"/>
          <w:b w:val="0"/>
          <w:bCs/>
          <w:sz w:val="44"/>
          <w:szCs w:val="44"/>
          <w:highlight w:val="none"/>
          <w:shd w:val="clear" w:color="auto" w:fill="FFFFFF"/>
        </w:rPr>
      </w:pPr>
      <w:bookmarkStart w:id="76" w:name="_Toc2165"/>
      <w:r>
        <w:rPr>
          <w:rFonts w:hint="eastAsia" w:eastAsia="方正小标宋简体" w:cs="Times New Roman"/>
          <w:b w:val="0"/>
          <w:bCs/>
          <w:sz w:val="44"/>
          <w:szCs w:val="44"/>
          <w:highlight w:val="none"/>
          <w:shd w:val="clear" w:color="auto" w:fill="FFFFFF"/>
          <w:lang w:val="en-US" w:eastAsia="zh-CN"/>
        </w:rPr>
        <w:t>2023年</w:t>
      </w:r>
      <w:r>
        <w:rPr>
          <w:rFonts w:hint="default" w:ascii="Times New Roman" w:hAnsi="Times New Roman" w:eastAsia="方正小标宋简体" w:cs="Times New Roman"/>
          <w:b w:val="0"/>
          <w:bCs/>
          <w:sz w:val="44"/>
          <w:szCs w:val="44"/>
          <w:highlight w:val="none"/>
          <w:shd w:val="clear" w:color="auto" w:fill="FFFFFF"/>
        </w:rPr>
        <w:t>部门</w:t>
      </w:r>
      <w:r>
        <w:rPr>
          <w:rFonts w:hint="eastAsia" w:eastAsia="方正小标宋简体" w:cs="Times New Roman"/>
          <w:b w:val="0"/>
          <w:bCs/>
          <w:sz w:val="44"/>
          <w:szCs w:val="44"/>
          <w:highlight w:val="none"/>
          <w:shd w:val="clear" w:color="auto" w:fill="FFFFFF"/>
          <w:lang w:eastAsia="zh-CN"/>
        </w:rPr>
        <w:t>整体</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bookmarkEnd w:id="76"/>
    </w:p>
    <w:p>
      <w:pPr>
        <w:pageBreakBefore w:val="0"/>
        <w:kinsoku/>
        <w:wordWrap/>
        <w:overflowPunct/>
        <w:topLinePunct w:val="0"/>
        <w:bidi w:val="0"/>
        <w:spacing w:line="576" w:lineRule="exact"/>
        <w:ind w:left="0" w:leftChars="0" w:right="0"/>
        <w:textAlignment w:val="auto"/>
      </w:pPr>
    </w:p>
    <w:p>
      <w:pPr>
        <w:keepNext w:val="0"/>
        <w:keepLines w:val="0"/>
        <w:pageBreakBefore w:val="0"/>
        <w:widowControl w:val="0"/>
        <w:kinsoku/>
        <w:wordWrap/>
        <w:overflowPunct/>
        <w:topLinePunct w:val="0"/>
        <w:autoSpaceDE/>
        <w:autoSpaceDN/>
        <w:bidi w:val="0"/>
        <w:adjustRightInd/>
        <w:snapToGrid/>
        <w:spacing w:line="576" w:lineRule="exact"/>
        <w:ind w:left="0" w:leftChars="0" w:right="0" w:firstLine="640" w:firstLineChars="200"/>
        <w:textAlignment w:val="auto"/>
        <w:outlineLvl w:val="2"/>
        <w:rPr>
          <w:rFonts w:ascii="黑体" w:hAnsi="黑体" w:eastAsia="黑体"/>
          <w:sz w:val="32"/>
          <w:szCs w:val="32"/>
        </w:rPr>
      </w:pPr>
      <w:bookmarkStart w:id="77" w:name="_Toc21941"/>
      <w:r>
        <w:rPr>
          <w:rFonts w:hint="eastAsia" w:ascii="黑体" w:hAnsi="黑体" w:eastAsia="黑体"/>
          <w:sz w:val="32"/>
          <w:szCs w:val="32"/>
        </w:rPr>
        <w:t>一、部门（单位）基本情况</w:t>
      </w:r>
      <w:bookmarkEnd w:id="77"/>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left="0" w:right="0" w:firstLine="640" w:firstLineChars="200"/>
        <w:jc w:val="both"/>
        <w:textAlignment w:val="auto"/>
        <w:outlineLvl w:val="9"/>
        <w:rPr>
          <w:rFonts w:hint="default" w:ascii="Times New Roman" w:hAnsi="Times New Roman" w:eastAsia="楷体_GB2312" w:cs="Times New Roman"/>
          <w:b w:val="0"/>
          <w:bCs w:val="0"/>
          <w:color w:val="000000"/>
          <w:kern w:val="0"/>
          <w:sz w:val="32"/>
          <w:szCs w:val="32"/>
          <w:shd w:val="clear" w:fill="FFFFFF"/>
        </w:rPr>
      </w:pPr>
      <w:bookmarkStart w:id="78" w:name="_Toc24481"/>
      <w:r>
        <w:rPr>
          <w:rFonts w:hint="eastAsia" w:ascii="楷体_GB2312" w:hAnsi="Times New Roman" w:eastAsia="楷体_GB2312" w:cs="楷体_GB2312"/>
          <w:b w:val="0"/>
          <w:bCs w:val="0"/>
          <w:color w:val="000000"/>
          <w:kern w:val="0"/>
          <w:sz w:val="32"/>
          <w:szCs w:val="32"/>
          <w:shd w:val="clear" w:fill="FFFFFF"/>
          <w:lang w:val="en-US" w:eastAsia="zh-CN" w:bidi="ar"/>
        </w:rPr>
        <w:t>（一）机构组成。</w:t>
      </w:r>
      <w:bookmarkEnd w:id="78"/>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kern w:val="2"/>
          <w:sz w:val="32"/>
          <w:szCs w:val="32"/>
          <w:lang w:val="en-US" w:eastAsia="zh-CN" w:bidi="ar"/>
        </w:rPr>
        <w:t>广元市工商业联合</w:t>
      </w:r>
      <w:r>
        <w:rPr>
          <w:rFonts w:hint="eastAsia" w:ascii="仿宋_GB2312" w:eastAsia="仿宋_GB2312" w:cs="仿宋_GB2312"/>
          <w:kern w:val="2"/>
          <w:sz w:val="32"/>
          <w:szCs w:val="32"/>
          <w:lang w:val="en-US" w:eastAsia="zh-CN" w:bidi="ar"/>
        </w:rPr>
        <w:t>会</w:t>
      </w:r>
      <w:r>
        <w:rPr>
          <w:rFonts w:hint="eastAsia" w:ascii="仿宋_GB2312" w:hAnsi="Times New Roman" w:eastAsia="仿宋_GB2312" w:cs="仿宋_GB2312"/>
          <w:kern w:val="2"/>
          <w:sz w:val="32"/>
          <w:szCs w:val="32"/>
          <w:lang w:val="en-US" w:eastAsia="zh-CN" w:bidi="ar"/>
        </w:rPr>
        <w:t>为市级直属一级预算单位，内设机构为“四部一室”，即：办公室、会员部、经济联络部（维权部）、宣传教育部（调研部）、直属商协会党建工作部。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left="0" w:right="0" w:firstLine="640" w:firstLineChars="200"/>
        <w:jc w:val="both"/>
        <w:textAlignment w:val="auto"/>
        <w:outlineLvl w:val="9"/>
        <w:rPr>
          <w:rFonts w:hint="eastAsia" w:ascii="楷体_GB2312" w:hAnsi="Times New Roman" w:eastAsia="楷体_GB2312" w:cs="楷体_GB2312"/>
          <w:b w:val="0"/>
          <w:bCs w:val="0"/>
          <w:color w:val="000000"/>
          <w:kern w:val="0"/>
          <w:sz w:val="32"/>
          <w:szCs w:val="32"/>
          <w:shd w:val="clear" w:fill="FFFFFF"/>
          <w:lang w:val="en-US" w:eastAsia="zh-CN" w:bidi="ar"/>
        </w:rPr>
      </w:pPr>
      <w:bookmarkStart w:id="79" w:name="_Toc24764"/>
      <w:r>
        <w:rPr>
          <w:rFonts w:hint="default" w:ascii="楷体_GB2312" w:eastAsia="楷体_GB2312" w:cs="楷体_GB2312"/>
          <w:b w:val="0"/>
          <w:bCs w:val="0"/>
          <w:color w:val="000000"/>
          <w:kern w:val="0"/>
          <w:sz w:val="32"/>
          <w:szCs w:val="32"/>
          <w:shd w:val="clear" w:fill="FFFFFF"/>
          <w:lang w:eastAsia="zh-CN" w:bidi="ar"/>
        </w:rPr>
        <w:t>（二）</w:t>
      </w:r>
      <w:r>
        <w:rPr>
          <w:rFonts w:hint="eastAsia" w:ascii="楷体_GB2312" w:hAnsi="Times New Roman" w:eastAsia="楷体_GB2312" w:cs="楷体_GB2312"/>
          <w:b w:val="0"/>
          <w:bCs w:val="0"/>
          <w:color w:val="000000"/>
          <w:kern w:val="0"/>
          <w:sz w:val="32"/>
          <w:szCs w:val="32"/>
          <w:shd w:val="clear" w:fill="FFFFFF"/>
          <w:lang w:val="en-US" w:eastAsia="zh-CN" w:bidi="ar"/>
        </w:rPr>
        <w:t>机构职能。</w:t>
      </w:r>
      <w:bookmarkEnd w:id="79"/>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工商联工作是党的统一战线工作和经济工作的重要内容。广元市工商业联合会（广元市总商会）是中共广元市委领导的以民营企业和民营经济人士为主体，具有统战性、经济性、民间性有机统一基本特征的人民团体和商会组织，是党和政府联系民营经济人士的桥梁纽带，是政府管理和服务民营经济的助手，是中国人民政治协商会议广元市委员会的重要组成部分，主要职能职责如下。</w:t>
      </w:r>
      <w:r>
        <w:rPr>
          <w:rFonts w:hint="eastAsia" w:ascii="仿宋_GB2312" w:hAnsi="Times New Roman" w:eastAsia="仿宋_GB2312"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1.参与市委、市政府大政方针及政治、经济、社会生活中的重要问题的政治协商，发挥民主监督作用，参政议政。</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2.引导会员积极参加国家经济建设，推动社会主义市场经济体制逐步完善。</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3.做好工商界代表人士政治安排的推荐工作。</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4.指导同业公会和行业商会等专业组织的工作。</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5.发扬自我教育的优良传统，宣传、贯彻党和国家的方针政策，加强和改进思想政治工作，坚持对广大会员进行团结、帮助、引导、教育，促进非公有制经济健康发展，提倡爱国、敬业、守法，提高会员素质，培养积极分子队伍。</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6.代表并维护会员的合法权益，反映会员的意见、要求和建议；为会员提供有关证明，协调关系，参与调解经济纠纷。</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7.引导会员把自身企业的发展与国家发展结合起来，把个人富裕与全体人民的共同富裕结合起来，把遵守市场规则与发扬社会主义道德结合起来，弘扬中华民族传统美德，先富帮后富，走共同富裕的道路，热心社会公益事业，积极参加扶贫光彩事业。</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8.为会员提供信息、培训、科技、管理、法律、会计、审计、融资、咨询等服务，帮助会员改进经营管理，完善财会制度，照章纳税，提高自身素质和生产技术、产品质量等。</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9.组织会员出国、出境考察访问，举办和参加各种对内对外展销会、交易会，帮助会员开拓国内、国际市场；增进与港澳特别行政区、台湾地区和世界各国工商社团及工商经济界人士的联系和友谊，促进经济、技术和贸易合作的发展，协助引进资金、技术、人才。</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10.办好会办企业、事业。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11.承办市委、市政府交办和有关部门委托的事项。</w:t>
      </w:r>
    </w:p>
    <w:p>
      <w:pPr>
        <w:keepNext w:val="0"/>
        <w:keepLines w:val="0"/>
        <w:widowControl/>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default" w:ascii="Times New Roman" w:hAnsi="Times New Roman" w:eastAsia="仿宋_GB2312" w:cs="Times New Roman"/>
          <w:b w:val="0"/>
          <w:bCs w:val="0"/>
          <w:kern w:val="2"/>
          <w:sz w:val="32"/>
          <w:szCs w:val="32"/>
        </w:rPr>
      </w:pPr>
      <w:r>
        <w:rPr>
          <w:rFonts w:hint="eastAsia" w:ascii="楷体_GB2312" w:hAnsi="Times New Roman" w:eastAsia="楷体_GB2312" w:cs="楷体_GB2312"/>
          <w:b w:val="0"/>
          <w:bCs w:val="0"/>
          <w:color w:val="000000"/>
          <w:kern w:val="0"/>
          <w:sz w:val="32"/>
          <w:szCs w:val="32"/>
          <w:shd w:val="clear" w:fill="FFFFFF"/>
          <w:lang w:val="en-US" w:eastAsia="zh-CN" w:bidi="ar"/>
        </w:rPr>
        <w:t>（三）人员概况。</w:t>
      </w:r>
      <w:r>
        <w:rPr>
          <w:rFonts w:hint="eastAsia" w:ascii="仿宋_GB2312" w:hAnsi="Times New Roman" w:eastAsia="仿宋_GB2312" w:cs="仿宋_GB2312"/>
          <w:b w:val="0"/>
          <w:bCs w:val="0"/>
          <w:kern w:val="2"/>
          <w:sz w:val="32"/>
          <w:szCs w:val="32"/>
          <w:lang w:val="en-US" w:eastAsia="zh-CN" w:bidi="ar"/>
        </w:rPr>
        <w:t>截至2023年末，</w:t>
      </w:r>
      <w:r>
        <w:rPr>
          <w:rFonts w:hint="eastAsia" w:ascii="仿宋_GB2312" w:hAnsi="Times New Roman" w:eastAsia="仿宋_GB2312" w:cs="仿宋_GB2312"/>
          <w:kern w:val="2"/>
          <w:sz w:val="32"/>
          <w:szCs w:val="32"/>
          <w:lang w:val="en-US" w:eastAsia="zh-CN" w:bidi="ar"/>
        </w:rPr>
        <w:t>市工商业联合会总编制17名，其中行政编制11名，参公事业编制4名，工勤编制2名。在职人员总数17人，退休人员16人。</w:t>
      </w:r>
    </w:p>
    <w:p>
      <w:pPr>
        <w:keepNext w:val="0"/>
        <w:keepLines w:val="0"/>
        <w:pageBreakBefore w:val="0"/>
        <w:widowControl w:val="0"/>
        <w:kinsoku/>
        <w:wordWrap/>
        <w:overflowPunct/>
        <w:topLinePunct w:val="0"/>
        <w:autoSpaceDE/>
        <w:autoSpaceDN/>
        <w:bidi w:val="0"/>
        <w:adjustRightInd/>
        <w:snapToGrid/>
        <w:spacing w:line="576" w:lineRule="exact"/>
        <w:ind w:left="0" w:leftChars="0" w:right="0" w:firstLine="640" w:firstLineChars="200"/>
        <w:textAlignment w:val="auto"/>
        <w:outlineLvl w:val="2"/>
        <w:rPr>
          <w:rFonts w:ascii="黑体" w:hAnsi="黑体" w:eastAsia="黑体"/>
          <w:sz w:val="32"/>
          <w:szCs w:val="32"/>
        </w:rPr>
      </w:pPr>
      <w:bookmarkStart w:id="80" w:name="_Toc5610"/>
      <w:r>
        <w:rPr>
          <w:rFonts w:hint="eastAsia" w:ascii="黑体" w:hAnsi="黑体" w:eastAsia="黑体"/>
          <w:sz w:val="32"/>
          <w:szCs w:val="32"/>
        </w:rPr>
        <w:t>二、部门资金收支情况</w:t>
      </w:r>
      <w:bookmarkEnd w:id="80"/>
    </w:p>
    <w:p>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contextualSpacing/>
        <w:jc w:val="left"/>
        <w:textAlignment w:val="auto"/>
        <w:outlineLvl w:val="9"/>
        <w:rPr>
          <w:rFonts w:hint="default" w:ascii="Times New Roman" w:hAnsi="Times New Roman" w:eastAsia="楷体_GB2312" w:cs="Times New Roman"/>
          <w:b w:val="0"/>
          <w:bCs w:val="0"/>
          <w:color w:val="000000"/>
          <w:kern w:val="0"/>
          <w:sz w:val="32"/>
          <w:szCs w:val="32"/>
          <w:shd w:val="clear" w:fill="FFFFFF"/>
        </w:rPr>
      </w:pPr>
      <w:bookmarkStart w:id="81" w:name="_Toc14755"/>
      <w:r>
        <w:rPr>
          <w:rFonts w:hint="eastAsia" w:ascii="楷体_GB2312" w:hAnsi="Times New Roman" w:eastAsia="楷体_GB2312" w:cs="楷体_GB2312"/>
          <w:b w:val="0"/>
          <w:bCs w:val="0"/>
          <w:color w:val="000000"/>
          <w:kern w:val="0"/>
          <w:sz w:val="32"/>
          <w:szCs w:val="32"/>
          <w:shd w:val="clear" w:fill="FFFFFF"/>
          <w:lang w:val="en-US" w:eastAsia="zh-CN" w:bidi="ar"/>
        </w:rPr>
        <w:t>（一）收入情况。</w:t>
      </w:r>
      <w:bookmarkEnd w:id="81"/>
    </w:p>
    <w:p>
      <w:pPr>
        <w:keepNext w:val="0"/>
        <w:keepLines w:val="0"/>
        <w:widowControl/>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广元市工商业联合会2023年总收入443.47万元，其中年初预算362.11万元，结转上年结余37.03万元，年中预算调整追加28.71万元，调整后预算收入443.47万元。决算报表收入427.85万元，均为一般公共预算财政拨款收入。</w:t>
      </w:r>
    </w:p>
    <w:p>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76" w:lineRule="exact"/>
        <w:ind w:left="420" w:leftChars="200" w:right="0"/>
        <w:contextualSpacing/>
        <w:jc w:val="left"/>
        <w:textAlignment w:val="auto"/>
        <w:outlineLvl w:val="9"/>
        <w:rPr>
          <w:rFonts w:hint="default" w:ascii="Times New Roman" w:hAnsi="Times New Roman" w:eastAsia="楷体_GB2312" w:cs="Times New Roman"/>
          <w:b w:val="0"/>
          <w:bCs w:val="0"/>
          <w:color w:val="000000"/>
          <w:kern w:val="0"/>
          <w:sz w:val="32"/>
          <w:szCs w:val="32"/>
          <w:shd w:val="clear" w:fill="FFFFFF"/>
        </w:rPr>
      </w:pPr>
      <w:bookmarkStart w:id="82" w:name="_Toc17194"/>
      <w:r>
        <w:rPr>
          <w:rFonts w:hint="eastAsia" w:ascii="楷体_GB2312" w:hAnsi="Times New Roman" w:eastAsia="楷体_GB2312" w:cs="楷体_GB2312"/>
          <w:b w:val="0"/>
          <w:bCs w:val="0"/>
          <w:color w:val="000000"/>
          <w:kern w:val="0"/>
          <w:sz w:val="32"/>
          <w:szCs w:val="32"/>
          <w:shd w:val="clear" w:fill="FFFFFF"/>
          <w:lang w:val="en-US" w:eastAsia="zh-CN" w:bidi="ar"/>
        </w:rPr>
        <w:t>（二）支出情况。</w:t>
      </w:r>
      <w:bookmarkEnd w:id="82"/>
    </w:p>
    <w:p>
      <w:pPr>
        <w:keepNext w:val="0"/>
        <w:keepLines w:val="0"/>
        <w:widowControl/>
        <w:suppressLineNumbers w:val="0"/>
        <w:autoSpaceDE w:val="0"/>
        <w:autoSpaceDN/>
        <w:adjustRightInd w:val="0"/>
        <w:snapToGrid w:val="0"/>
        <w:spacing w:before="0" w:beforeAutospacing="0" w:after="0" w:afterAutospacing="0" w:line="576" w:lineRule="exact"/>
        <w:ind w:left="0" w:right="0"/>
        <w:contextualSpacing/>
        <w:jc w:val="left"/>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 xml:space="preserve">    广元市工商业联合会2023年预算执行支出427.85万元，决算报表支出428.61万元，年初结转0.76万元。</w:t>
      </w:r>
    </w:p>
    <w:p>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76" w:lineRule="exact"/>
        <w:ind w:left="420" w:leftChars="200" w:right="0"/>
        <w:contextualSpacing/>
        <w:jc w:val="left"/>
        <w:textAlignment w:val="auto"/>
        <w:outlineLvl w:val="9"/>
        <w:rPr>
          <w:rFonts w:hint="eastAsia" w:ascii="仿宋_GB2312" w:eastAsia="仿宋_GB2312" w:cs="仿宋_GB2312"/>
          <w:b w:val="0"/>
          <w:bCs w:val="0"/>
          <w:kern w:val="2"/>
          <w:sz w:val="32"/>
          <w:szCs w:val="32"/>
        </w:rPr>
      </w:pPr>
      <w:bookmarkStart w:id="83" w:name="_Toc19728"/>
      <w:r>
        <w:rPr>
          <w:rFonts w:hint="eastAsia" w:ascii="楷体_GB2312" w:hAnsi="Times New Roman" w:eastAsia="楷体_GB2312" w:cs="楷体_GB2312"/>
          <w:b w:val="0"/>
          <w:bCs w:val="0"/>
          <w:kern w:val="2"/>
          <w:sz w:val="32"/>
          <w:szCs w:val="32"/>
          <w:lang w:val="en-US" w:eastAsia="zh-CN" w:bidi="ar"/>
        </w:rPr>
        <w:t>（三）结转结余情况。</w:t>
      </w:r>
      <w:bookmarkEnd w:id="83"/>
    </w:p>
    <w:p>
      <w:pPr>
        <w:keepNext w:val="0"/>
        <w:keepLines w:val="0"/>
        <w:widowControl/>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b w:val="0"/>
          <w:bCs w:val="0"/>
          <w:kern w:val="2"/>
          <w:sz w:val="32"/>
          <w:szCs w:val="32"/>
        </w:rPr>
      </w:pPr>
      <w:r>
        <w:rPr>
          <w:rFonts w:hint="eastAsia" w:ascii="仿宋_GB2312" w:hAnsi="宋体" w:eastAsia="仿宋_GB2312" w:cs="仿宋_GB2312"/>
          <w:kern w:val="0"/>
          <w:sz w:val="32"/>
          <w:szCs w:val="32"/>
          <w:lang w:val="en-US" w:eastAsia="zh-CN" w:bidi="ar"/>
        </w:rPr>
        <w:t>广元市工商联2023年度结余15.62万元，主要为2023年市工商联年中5月调入一人，7月考录一人，增加的人员经费预算结余。</w:t>
      </w:r>
    </w:p>
    <w:p>
      <w:pPr>
        <w:keepNext w:val="0"/>
        <w:keepLines w:val="0"/>
        <w:pageBreakBefore w:val="0"/>
        <w:widowControl w:val="0"/>
        <w:kinsoku/>
        <w:wordWrap/>
        <w:overflowPunct/>
        <w:topLinePunct w:val="0"/>
        <w:autoSpaceDE/>
        <w:autoSpaceDN/>
        <w:bidi w:val="0"/>
        <w:adjustRightInd/>
        <w:snapToGrid/>
        <w:spacing w:line="576" w:lineRule="exact"/>
        <w:ind w:left="0" w:leftChars="0" w:right="0" w:firstLine="640" w:firstLineChars="200"/>
        <w:textAlignment w:val="auto"/>
        <w:outlineLvl w:val="2"/>
        <w:rPr>
          <w:rFonts w:ascii="黑体" w:hAnsi="黑体" w:eastAsia="黑体"/>
          <w:sz w:val="32"/>
          <w:szCs w:val="32"/>
        </w:rPr>
      </w:pPr>
      <w:bookmarkStart w:id="84" w:name="_Toc12960"/>
      <w:r>
        <w:rPr>
          <w:rFonts w:hint="eastAsia" w:ascii="黑体" w:hAnsi="黑体" w:eastAsia="黑体"/>
          <w:sz w:val="32"/>
          <w:szCs w:val="32"/>
        </w:rPr>
        <w:t>三、部门预算绩效分析</w:t>
      </w:r>
      <w:bookmarkEnd w:id="84"/>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楷体_GB2312" w:hAnsi="Times New Roman" w:eastAsia="楷体_GB2312" w:cs="楷体_GB2312"/>
          <w:b w:val="0"/>
          <w:bCs w:val="0"/>
          <w:color w:val="000000"/>
          <w:kern w:val="0"/>
          <w:sz w:val="32"/>
          <w:szCs w:val="32"/>
          <w:shd w:val="clear" w:fill="FFFFFF"/>
          <w:lang w:val="en-US" w:eastAsia="zh-CN" w:bidi="ar"/>
        </w:rPr>
        <w:t>（一）部门预算总体绩效分析。</w:t>
      </w:r>
      <w:r>
        <w:rPr>
          <w:rFonts w:hint="eastAsia" w:ascii="仿宋_GB2312" w:hAnsi="Times New Roman" w:eastAsia="仿宋_GB2312" w:cs="仿宋_GB2312"/>
          <w:color w:val="000000"/>
          <w:kern w:val="0"/>
          <w:sz w:val="32"/>
          <w:szCs w:val="32"/>
          <w:shd w:val="clear" w:fill="FFFFFF"/>
          <w:lang w:val="en-US" w:eastAsia="zh-CN" w:bidi="ar"/>
        </w:rPr>
        <w:t>根据</w:t>
      </w:r>
      <w:r>
        <w:rPr>
          <w:rFonts w:hint="eastAsia" w:ascii="仿宋_GB2312" w:hAnsi="Times New Roman" w:eastAsia="仿宋_GB2312" w:cs="仿宋_GB2312"/>
          <w:kern w:val="2"/>
          <w:sz w:val="32"/>
          <w:szCs w:val="32"/>
          <w:lang w:val="en-US" w:eastAsia="zh-CN" w:bidi="ar"/>
        </w:rPr>
        <w:t>部门整体绩效评价评分表</w:t>
      </w:r>
      <w:r>
        <w:rPr>
          <w:rFonts w:hint="eastAsia" w:ascii="仿宋_GB2312" w:hAnsi="Times New Roman" w:eastAsia="仿宋_GB2312" w:cs="仿宋_GB2312"/>
          <w:color w:val="000000"/>
          <w:kern w:val="0"/>
          <w:sz w:val="32"/>
          <w:szCs w:val="32"/>
          <w:shd w:val="clear" w:fill="FFFFFF"/>
          <w:lang w:val="en-US" w:eastAsia="zh-CN" w:bidi="ar"/>
        </w:rPr>
        <w:t>“总体绩效”涉及二、三级指标进行逐项绩效分析并评分，依次包括履职效能、预算管理、财务管理、资产管理、采购管理等情况。</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contextualSpacing/>
        <w:jc w:val="left"/>
        <w:textAlignment w:val="auto"/>
        <w:outlineLvl w:val="9"/>
        <w:rPr>
          <w:rFonts w:hint="eastAsia" w:ascii="仿宋_GB2312" w:eastAsia="仿宋_GB2312" w:cs="仿宋_GB2312"/>
          <w:color w:val="000000"/>
          <w:kern w:val="0"/>
          <w:sz w:val="32"/>
          <w:szCs w:val="32"/>
          <w:shd w:val="clear" w:fill="FFFFFF"/>
        </w:rPr>
      </w:pPr>
      <w:bookmarkStart w:id="85" w:name="_Toc12300"/>
      <w:r>
        <w:rPr>
          <w:rFonts w:hint="eastAsia" w:ascii="仿宋_GB2312" w:hAnsi="Times New Roman" w:eastAsia="仿宋_GB2312" w:cs="仿宋_GB2312"/>
          <w:color w:val="000000"/>
          <w:kern w:val="0"/>
          <w:sz w:val="32"/>
          <w:szCs w:val="32"/>
          <w:shd w:val="clear" w:fill="FFFFFF"/>
          <w:lang w:val="en-US" w:eastAsia="zh-CN" w:bidi="ar"/>
        </w:rPr>
        <w:t>1.履职效能。（15分）</w:t>
      </w:r>
      <w:bookmarkEnd w:id="85"/>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①开展宣传调研工作，调研次数不少于4次，形成调研成果不少于4篇，设定分值5分。指标主要反映工商联作为</w:t>
      </w:r>
      <w:r>
        <w:rPr>
          <w:rFonts w:hint="eastAsia" w:ascii="仿宋_GB2312" w:hAnsi="Times New Roman" w:eastAsia="仿宋_GB2312" w:cs="仿宋_GB2312"/>
          <w:kern w:val="2"/>
          <w:sz w:val="32"/>
          <w:szCs w:val="32"/>
          <w:lang w:val="en-US" w:eastAsia="zh-CN" w:bidi="ar"/>
        </w:rPr>
        <w:t>党和政府联系非公有制经济人士的</w:t>
      </w:r>
      <w:r>
        <w:rPr>
          <w:rFonts w:hint="eastAsia" w:ascii="仿宋_GB2312" w:hAnsi="Times New Roman" w:eastAsia="仿宋_GB2312" w:cs="仿宋_GB2312"/>
          <w:color w:val="000000"/>
          <w:kern w:val="0"/>
          <w:sz w:val="32"/>
          <w:szCs w:val="32"/>
          <w:shd w:val="clear" w:fill="FFFFFF"/>
          <w:lang w:val="en-US" w:eastAsia="zh-CN" w:bidi="ar"/>
        </w:rPr>
        <w:t>桥梁纽带，发挥反映社情民意及有序参政议政的助手作用。评分方法比率分值法。实际2023年度走访调研6次，组织民营企业填报调查问卷1500余份，形成调研报告10篇，4篇调研报告被省联表彰</w:t>
      </w:r>
      <w:r>
        <w:rPr>
          <w:rFonts w:hint="eastAsia" w:ascii="仿宋_GB2312" w:eastAsia="仿宋_GB2312" w:cs="仿宋_GB2312"/>
          <w:color w:val="000000"/>
          <w:kern w:val="0"/>
          <w:sz w:val="32"/>
          <w:szCs w:val="32"/>
          <w:shd w:val="clear" w:fill="FFFFFF"/>
          <w:lang w:val="en-US" w:eastAsia="zh-CN" w:bidi="ar"/>
        </w:rPr>
        <w:t>，</w:t>
      </w:r>
      <w:r>
        <w:rPr>
          <w:rFonts w:hint="eastAsia" w:ascii="仿宋_GB2312" w:hAnsi="Times New Roman" w:eastAsia="仿宋_GB2312" w:cs="仿宋_GB2312"/>
          <w:color w:val="000000"/>
          <w:kern w:val="0"/>
          <w:sz w:val="32"/>
          <w:szCs w:val="32"/>
          <w:shd w:val="clear" w:fill="FFFFFF"/>
          <w:lang w:val="en-US" w:eastAsia="zh-CN" w:bidi="ar"/>
        </w:rPr>
        <w:t>3篇被市委统战部表彰，完成年度目标任务。自评得分5分。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hAnsi="Times New Roman" w:eastAsia="仿宋_GB2312" w:cs="Times New Roman"/>
          <w:kern w:val="2"/>
          <w:sz w:val="32"/>
          <w:szCs w:val="32"/>
        </w:rPr>
      </w:pPr>
      <w:r>
        <w:rPr>
          <w:rFonts w:hint="eastAsia" w:ascii="仿宋_GB2312" w:hAnsi="Times New Roman" w:eastAsia="仿宋_GB2312" w:cs="仿宋_GB2312"/>
          <w:color w:val="000000"/>
          <w:kern w:val="0"/>
          <w:sz w:val="32"/>
          <w:szCs w:val="32"/>
          <w:shd w:val="clear" w:fill="FFFFFF"/>
          <w:lang w:val="en-US" w:eastAsia="zh-CN" w:bidi="ar"/>
        </w:rPr>
        <w:t>②组织经贸考察交流次数不少于1次，招引项目不少于1个。指标主要反映工商联作为</w:t>
      </w:r>
      <w:r>
        <w:rPr>
          <w:rFonts w:hint="eastAsia" w:ascii="仿宋_GB2312" w:hAnsi="Times New Roman" w:eastAsia="仿宋_GB2312" w:cs="仿宋_GB2312"/>
          <w:kern w:val="2"/>
          <w:sz w:val="32"/>
          <w:szCs w:val="32"/>
          <w:lang w:val="en-US" w:eastAsia="zh-CN" w:bidi="ar"/>
        </w:rPr>
        <w:t>服务非公有制经济的助手，服务中心大局助力广元经济社会发展的作用。评分方法比率分值法。实际2023年度，组织企业赴重庆、杭州等地考察交流4次，全年洽谈项目14次，落地项目1个，争取社会资金50万元。自评得分5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③加强组织建设，发展会员不少于10个。指标主要反映工商联作为人民团体和商会组织，吸收会员壮大队伍履行统一战线职责的效能。评分方法比率分值法。实际2023年度，组织召开全市商协会工作会，表扬10家市级先进商会，推荐2家商会参评全国“四好”商会，发展市传化物流、广元广通国际、瑞锋精工、四川久达科技公司等10家企业为会员。自评得分5分。</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contextualSpacing/>
        <w:jc w:val="left"/>
        <w:textAlignment w:val="auto"/>
        <w:outlineLvl w:val="9"/>
        <w:rPr>
          <w:rFonts w:hint="eastAsia" w:ascii="仿宋_GB2312" w:eastAsia="仿宋_GB2312" w:cs="仿宋_GB2312"/>
          <w:color w:val="000000"/>
          <w:kern w:val="0"/>
          <w:sz w:val="32"/>
          <w:szCs w:val="32"/>
          <w:shd w:val="clear" w:fill="FFFFFF"/>
        </w:rPr>
      </w:pPr>
      <w:bookmarkStart w:id="86" w:name="_Toc21659"/>
      <w:r>
        <w:rPr>
          <w:rFonts w:hint="eastAsia" w:ascii="仿宋_GB2312" w:hAnsi="Times New Roman" w:eastAsia="仿宋_GB2312" w:cs="仿宋_GB2312"/>
          <w:color w:val="000000"/>
          <w:kern w:val="0"/>
          <w:sz w:val="32"/>
          <w:szCs w:val="32"/>
          <w:shd w:val="clear" w:fill="FFFFFF"/>
          <w:lang w:val="en-US" w:eastAsia="zh-CN" w:bidi="ar"/>
        </w:rPr>
        <w:t>2.预算管理。（25分）</w:t>
      </w:r>
      <w:bookmarkEnd w:id="86"/>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①预算编制质量。（8分）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2023年财政预算执行数427.85万元，但其中4.78万元两新组织工作经费是11月由组织部申报预算下达至市工商联，再由市工商联拨付至下属商协会党支部，属于预算追加项，建议不纳入市工商联预算。另外，2023年召开了全国万企兴万村西部片区座谈会，追加预算16.11万元，该项会议属于省工商联9月临时安排由广元市承办，建议不纳入市工商联预算，因此2023年实际预算执行数为406.96万元。故财政拨款预算偏离度=|406.96-399.14|÷399.14=1.96%。</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hAnsi="Times New Roman" w:eastAsia="仿宋_GB2312" w:cs="Times New Roman"/>
          <w:kern w:val="2"/>
          <w:sz w:val="32"/>
          <w:szCs w:val="32"/>
        </w:rPr>
      </w:pPr>
      <w:r>
        <w:rPr>
          <w:rFonts w:hint="eastAsia" w:ascii="仿宋_GB2312" w:hAnsi="Times New Roman" w:eastAsia="仿宋_GB2312" w:cs="仿宋_GB2312"/>
          <w:color w:val="000000"/>
          <w:kern w:val="0"/>
          <w:sz w:val="32"/>
          <w:szCs w:val="32"/>
          <w:shd w:val="clear" w:fill="FFFFFF"/>
          <w:lang w:val="en-US" w:eastAsia="zh-CN" w:bidi="ar"/>
        </w:rPr>
        <w:t>该项指标得分（1-1.96%）×100%×4+（1-0）×100%×2+（1-0）×100%×2=7.92分。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 xml:space="preserve">    ②单位收入统筹。（4分）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 xml:space="preserve">    部门无自有收入，不涉及综合补助。该项指标自评得4分。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③支出执行进度。（6分）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市工商联2023年1至6月预算执行数193.83万元，2023年6月30日预算数为年初预算399.14万元+6月30日前预算追加4.5万元=403.64万元，因此1-6月执行进度为96.04%。</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市工商联2023年1至10月预算执行数321.03万元，2023年10月31日部门预算数为年初预算399.14万元+10月30日前预算追加4.5万元=403.64万元，因此1-10月执行进度为95.46%。</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2023年无预警指出金额。</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该项指标得分=（1至6月预算执行数193.83÷（部门预算数</w:t>
      </w:r>
      <w:r>
        <w:rPr>
          <w:rFonts w:hint="eastAsia" w:ascii="仿宋_GB2312" w:hAnsi="Times New Roman" w:eastAsia="仿宋_GB2312" w:cs="仿宋_GB2312"/>
          <w:b w:val="0"/>
          <w:bCs w:val="0"/>
          <w:kern w:val="2"/>
          <w:sz w:val="32"/>
          <w:szCs w:val="32"/>
          <w:lang w:val="en-US" w:eastAsia="zh-CN" w:bidi="ar"/>
        </w:rPr>
        <w:t>403.64</w:t>
      </w:r>
      <w:r>
        <w:rPr>
          <w:rFonts w:hint="eastAsia" w:ascii="仿宋_GB2312" w:hAnsi="Times New Roman" w:eastAsia="仿宋_GB2312" w:cs="仿宋_GB2312"/>
          <w:color w:val="000000"/>
          <w:kern w:val="0"/>
          <w:sz w:val="32"/>
          <w:szCs w:val="32"/>
          <w:shd w:val="clear" w:fill="FFFFFF"/>
          <w:lang w:val="en-US" w:eastAsia="zh-CN" w:bidi="ar"/>
        </w:rPr>
        <w:t>×50%）×2）+（1-1至6月支出预警金额占比×0.8-1至6月支出违规金额占比×0.2）+（1至10月预算执行数321.03÷（部门预算数403.64×83.33%）×2）+（1-1至10月支出预警金额占比×0.8-1至10月支出违规金额占比×0.2）=5.83分。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④预算年终结余。（2分）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2023年预算结余15.62万元，部门预算总金额443.47万元，部门整体预算结余率为3.52%。该项指标得分=（1-部门整体预算结余率）×100%×2=1.93分。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⑤严控一般性支出。（5分）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2022年市工商联</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2022年市工商联一般性支出年初预算中“三公”经费2.4万元，会议费1万元，差旅费1万元，合计4.4万元，无培训、办节办展、办公设备购置、信息网络及软件购置更新、课题经费等支出。2023年市工商联一般性支出年初预算中“三公”经费1.92万元、会议费0.5万元、培训费0.9万元、差旅费1万元，合计4.32万元。一般性支出财政拨款年初预算较上年实现压减得1分；压减比例为2%，得0.4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2022年市工商联一般性支出预算执行中“三公经费”经费1.92万元，会议费0.98万元，差旅费0.98万元，合计3.88万元。2023年市工商联一般性支出预算执行中“三公经费”经费0.82万元，会议费0.5万元，培训费0.9万元，差旅费1万元，合计3.22万元。一般性支出财政拨款预算执行较上年实现压减得1分，压减比例为17%，得2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综上，该项指标自评得4.4分。</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contextualSpacing/>
        <w:jc w:val="left"/>
        <w:textAlignment w:val="auto"/>
        <w:outlineLvl w:val="9"/>
        <w:rPr>
          <w:rFonts w:hint="eastAsia" w:ascii="仿宋_GB2312" w:eastAsia="仿宋_GB2312" w:cs="仿宋_GB2312"/>
          <w:color w:val="000000"/>
          <w:kern w:val="0"/>
          <w:sz w:val="32"/>
          <w:szCs w:val="32"/>
          <w:shd w:val="clear" w:fill="FFFFFF"/>
        </w:rPr>
      </w:pPr>
      <w:bookmarkStart w:id="87" w:name="_Toc23290"/>
      <w:r>
        <w:rPr>
          <w:rFonts w:hint="eastAsia" w:ascii="仿宋_GB2312" w:hAnsi="Times New Roman" w:eastAsia="仿宋_GB2312" w:cs="仿宋_GB2312"/>
          <w:color w:val="000000"/>
          <w:kern w:val="0"/>
          <w:sz w:val="32"/>
          <w:szCs w:val="32"/>
          <w:shd w:val="clear" w:fill="FFFFFF"/>
          <w:lang w:val="en-US" w:eastAsia="zh-CN" w:bidi="ar"/>
        </w:rPr>
        <w:t>3.财务管理。</w:t>
      </w:r>
      <w:bookmarkEnd w:id="87"/>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①财务管理制度。（4分）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市工商联制定出台《机关工会财务管理制度》《固定资产管理办法》《机关财务管理制度》，并按照相关规定落实三重一大、财务审批等流程，严明了财经纪律。该项自评得4分。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②财务岗位设置。（2分）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部门合理设置出纳、会计、财务负责人三个财务工作岗位，分别由三人担任，明确职责权限，严格实行不相容岗位分离制度，财务岗位设置符合相关财务管理制度要求。该项自评得2分。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③资金使用规范。（4分）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部门资金使用符合相关财务管理制度规定，该项指标自评得4分。</w:t>
      </w:r>
    </w:p>
    <w:p>
      <w:pPr>
        <w:keepNext w:val="0"/>
        <w:keepLines w:val="0"/>
        <w:pageBreakBefore w:val="0"/>
        <w:widowControl w:val="0"/>
        <w:numPr>
          <w:ilvl w:val="0"/>
          <w:numId w:val="0"/>
        </w:numPr>
        <w:suppressLineNumbers w:val="0"/>
        <w:kinsoku/>
        <w:wordWrap/>
        <w:overflowPunct/>
        <w:topLinePunct w:val="0"/>
        <w:autoSpaceDE w:val="0"/>
        <w:autoSpaceDN/>
        <w:bidi w:val="0"/>
        <w:adjustRightInd w:val="0"/>
        <w:snapToGrid w:val="0"/>
        <w:spacing w:before="0" w:beforeAutospacing="0" w:after="0" w:afterAutospacing="0" w:line="576" w:lineRule="exact"/>
        <w:ind w:leftChars="200" w:right="0" w:rightChars="0" w:firstLine="320" w:firstLineChars="100"/>
        <w:contextualSpacing/>
        <w:jc w:val="left"/>
        <w:textAlignment w:val="auto"/>
        <w:outlineLvl w:val="9"/>
        <w:rPr>
          <w:rFonts w:hint="eastAsia" w:ascii="仿宋_GB2312" w:eastAsia="仿宋_GB2312" w:cs="仿宋_GB2312"/>
          <w:color w:val="000000"/>
          <w:kern w:val="0"/>
          <w:sz w:val="32"/>
          <w:szCs w:val="32"/>
          <w:shd w:val="clear" w:fill="FFFFFF"/>
        </w:rPr>
      </w:pPr>
      <w:bookmarkStart w:id="88" w:name="_Toc13798"/>
      <w:r>
        <w:rPr>
          <w:rFonts w:hint="eastAsia" w:ascii="仿宋_GB2312" w:hAnsi="Times New Roman" w:eastAsia="仿宋_GB2312" w:cs="仿宋_GB2312"/>
          <w:color w:val="000000"/>
          <w:kern w:val="0"/>
          <w:sz w:val="32"/>
          <w:szCs w:val="32"/>
          <w:shd w:val="clear" w:fill="FFFFFF"/>
          <w:lang w:val="en-US" w:eastAsia="zh-CN" w:bidi="ar"/>
        </w:rPr>
        <w:t>4.资产管理。（9分）</w:t>
      </w:r>
      <w:bookmarkEnd w:id="88"/>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①人均资产变化率。（3分）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部门人均资产变化率为(77.73/17-86.08/15)÷86.08/15*100%=-20.32%</w:t>
      </w:r>
      <w:r>
        <w:rPr>
          <w:rFonts w:hint="eastAsia" w:ascii="仿宋_GB2312" w:eastAsia="仿宋_GB2312" w:cs="仿宋_GB2312"/>
          <w:color w:val="000000"/>
          <w:kern w:val="0"/>
          <w:sz w:val="32"/>
          <w:szCs w:val="32"/>
          <w:shd w:val="clear" w:fill="FFFFFF"/>
          <w:lang w:val="en-US" w:eastAsia="zh-CN" w:bidi="ar"/>
        </w:rPr>
        <w:t>，</w:t>
      </w:r>
      <w:r>
        <w:rPr>
          <w:rFonts w:hint="eastAsia" w:ascii="仿宋_GB2312" w:hAnsi="Times New Roman" w:eastAsia="仿宋_GB2312" w:cs="仿宋_GB2312"/>
          <w:color w:val="000000"/>
          <w:kern w:val="0"/>
          <w:sz w:val="32"/>
          <w:szCs w:val="32"/>
          <w:shd w:val="clear" w:fill="FFFFFF"/>
          <w:lang w:val="en-US" w:eastAsia="zh-CN" w:bidi="ar"/>
        </w:rPr>
        <w:t>小于市直行政事业单位人均资产变化率3.13%，得1.5分。部门人均资产增长率为-20.32%，小于同期市级财政收入增长率6.9%，得1.5分。该项指标自评得3分。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②资产利用率。（3分）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办公家具超最低使用年限资产利用率为37.06%，大于市直行政事业单位平均值16.57%，得1.5分。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市工商联办公设备超最低使用年限资产利用率为51.3%，大于市直行政事业单位平均值49.2%，得1.5分。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③资产盘活率。（3分）</w:t>
      </w:r>
    </w:p>
    <w:p>
      <w:pPr>
        <w:keepNext w:val="0"/>
        <w:keepLines w:val="0"/>
        <w:widowControl w:val="0"/>
        <w:suppressLineNumbers w:val="0"/>
        <w:autoSpaceDE w:val="0"/>
        <w:autoSpaceDN/>
        <w:adjustRightInd w:val="0"/>
        <w:snapToGrid w:val="0"/>
        <w:spacing w:before="0" w:beforeAutospacing="0" w:after="0" w:afterAutospacing="0" w:line="576" w:lineRule="exact"/>
        <w:ind w:left="0" w:right="0" w:firstLine="64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无闲置资产，该项指标自评得3分。</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76" w:lineRule="exact"/>
        <w:ind w:left="420" w:leftChars="200" w:right="0" w:firstLine="320" w:firstLineChars="100"/>
        <w:contextualSpacing/>
        <w:jc w:val="left"/>
        <w:textAlignment w:val="auto"/>
        <w:outlineLvl w:val="9"/>
        <w:rPr>
          <w:rFonts w:hint="eastAsia" w:ascii="仿宋_GB2312" w:eastAsia="仿宋_GB2312" w:cs="仿宋_GB2312"/>
          <w:color w:val="000000"/>
          <w:kern w:val="0"/>
          <w:sz w:val="32"/>
          <w:szCs w:val="32"/>
          <w:shd w:val="clear" w:fill="FFFFFF"/>
        </w:rPr>
      </w:pPr>
      <w:bookmarkStart w:id="89" w:name="_Toc15479"/>
      <w:r>
        <w:rPr>
          <w:rFonts w:hint="eastAsia" w:ascii="仿宋_GB2312" w:hAnsi="Times New Roman" w:eastAsia="仿宋_GB2312" w:cs="仿宋_GB2312"/>
          <w:color w:val="000000"/>
          <w:kern w:val="0"/>
          <w:sz w:val="32"/>
          <w:szCs w:val="32"/>
          <w:shd w:val="clear" w:fill="FFFFFF"/>
          <w:lang w:val="en-US" w:eastAsia="zh-CN" w:bidi="ar"/>
        </w:rPr>
        <w:t>5.采购管理。（6分）</w:t>
      </w:r>
      <w:bookmarkEnd w:id="89"/>
    </w:p>
    <w:p>
      <w:pPr>
        <w:keepNext w:val="0"/>
        <w:keepLines w:val="0"/>
        <w:widowControl w:val="0"/>
        <w:suppressLineNumbers w:val="0"/>
        <w:autoSpaceDE w:val="0"/>
        <w:autoSpaceDN/>
        <w:adjustRightInd w:val="0"/>
        <w:snapToGrid w:val="0"/>
        <w:spacing w:before="0" w:beforeAutospacing="0" w:after="0" w:afterAutospacing="0" w:line="576" w:lineRule="exact"/>
        <w:ind w:left="420" w:leftChars="200" w:right="0" w:firstLine="320" w:firstLineChars="1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①支持中小企业发展。（3分）</w:t>
      </w:r>
    </w:p>
    <w:p>
      <w:pPr>
        <w:keepNext w:val="0"/>
        <w:keepLines w:val="0"/>
        <w:widowControl w:val="0"/>
        <w:suppressLineNumbers w:val="0"/>
        <w:autoSpaceDE w:val="0"/>
        <w:autoSpaceDN/>
        <w:adjustRightInd w:val="0"/>
        <w:snapToGrid w:val="0"/>
        <w:spacing w:before="0" w:beforeAutospacing="0" w:after="0" w:afterAutospacing="0" w:line="576" w:lineRule="exact"/>
        <w:ind w:left="420" w:leftChars="200" w:right="0" w:firstLine="320" w:firstLineChars="1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2023年无政府采购项目，自评得分3分。</w:t>
      </w:r>
    </w:p>
    <w:p>
      <w:pPr>
        <w:keepNext w:val="0"/>
        <w:keepLines w:val="0"/>
        <w:widowControl w:val="0"/>
        <w:suppressLineNumbers w:val="0"/>
        <w:autoSpaceDE w:val="0"/>
        <w:autoSpaceDN/>
        <w:adjustRightInd w:val="0"/>
        <w:snapToGrid w:val="0"/>
        <w:spacing w:before="0" w:beforeAutospacing="0" w:after="0" w:afterAutospacing="0" w:line="576" w:lineRule="exact"/>
        <w:ind w:left="420" w:leftChars="200" w:right="0" w:firstLine="320" w:firstLineChars="1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②采购执行率。（3分）</w:t>
      </w:r>
    </w:p>
    <w:p>
      <w:pPr>
        <w:keepNext w:val="0"/>
        <w:keepLines w:val="0"/>
        <w:widowControl w:val="0"/>
        <w:suppressLineNumbers w:val="0"/>
        <w:autoSpaceDE w:val="0"/>
        <w:autoSpaceDN/>
        <w:adjustRightInd w:val="0"/>
        <w:snapToGrid w:val="0"/>
        <w:spacing w:before="0" w:beforeAutospacing="0" w:after="0" w:afterAutospacing="0" w:line="576" w:lineRule="exact"/>
        <w:ind w:left="420" w:leftChars="200" w:right="0" w:firstLine="320" w:firstLineChars="100"/>
        <w:contextualSpacing/>
        <w:jc w:val="left"/>
        <w:rPr>
          <w:rFonts w:hint="eastAsia" w:ascii="仿宋_GB2312" w:eastAsia="仿宋_GB2312" w:cs="仿宋_GB2312"/>
          <w:color w:val="000000"/>
          <w:kern w:val="0"/>
          <w:sz w:val="32"/>
          <w:szCs w:val="32"/>
          <w:shd w:val="clear" w:fill="FFFFFF"/>
        </w:rPr>
      </w:pPr>
      <w:r>
        <w:rPr>
          <w:rFonts w:hint="eastAsia" w:ascii="仿宋_GB2312" w:hAnsi="Times New Roman" w:eastAsia="仿宋_GB2312" w:cs="仿宋_GB2312"/>
          <w:color w:val="000000"/>
          <w:kern w:val="0"/>
          <w:sz w:val="32"/>
          <w:szCs w:val="32"/>
          <w:shd w:val="clear" w:fill="FFFFFF"/>
          <w:lang w:val="en-US" w:eastAsia="zh-CN" w:bidi="ar"/>
        </w:rPr>
        <w:t>2023年无政府采购项目，自评得分3分。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楷体_GB2312" w:hAnsi="Times New Roman" w:eastAsia="楷体_GB2312" w:cs="楷体_GB2312"/>
          <w:b w:val="0"/>
          <w:bCs w:val="0"/>
          <w:color w:val="000000"/>
          <w:kern w:val="0"/>
          <w:sz w:val="32"/>
          <w:szCs w:val="32"/>
          <w:shd w:val="clear" w:fill="FFFFFF"/>
          <w:lang w:val="en-US" w:eastAsia="zh-CN" w:bidi="ar"/>
        </w:rPr>
        <w:t>（二）部门预算项目绩效分析。</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项目总数8个，涉及预算总金额55.72万元，1—12月预算执行总体进度为100%。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both"/>
        <w:textAlignment w:val="auto"/>
        <w:outlineLvl w:val="9"/>
        <w:rPr>
          <w:rFonts w:hint="eastAsia" w:ascii="仿宋_GB2312" w:eastAsia="仿宋_GB2312" w:cs="仿宋_GB2312"/>
          <w:b w:val="0"/>
          <w:bCs w:val="0"/>
          <w:kern w:val="2"/>
          <w:sz w:val="32"/>
          <w:szCs w:val="32"/>
        </w:rPr>
      </w:pPr>
      <w:bookmarkStart w:id="90" w:name="_Toc32379"/>
      <w:r>
        <w:rPr>
          <w:rFonts w:hint="eastAsia" w:ascii="仿宋_GB2312" w:hAnsi="Times New Roman" w:eastAsia="仿宋_GB2312" w:cs="仿宋_GB2312"/>
          <w:b w:val="0"/>
          <w:bCs w:val="0"/>
          <w:kern w:val="2"/>
          <w:sz w:val="32"/>
          <w:szCs w:val="32"/>
          <w:lang w:val="en-US" w:eastAsia="zh-CN" w:bidi="ar"/>
        </w:rPr>
        <w:t>1.项目决策。（12分）</w:t>
      </w:r>
      <w:bookmarkEnd w:id="90"/>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①决策程序。（4分）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2023年市工商联8个特定预算项目设立均按规定履行评估论证、申报程序，自评得4分。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②目标设置。（4分）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2023年市工商联预算项目绩效目标与计划期内的任务量、预算安排的资金量匹配，绩效目标设置科学合理、规范完整、量化细化、预算匹配，自评得4分。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③项目入库。（4分）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2023年市工商联预算项目在规定时间完成项目入库，自评得4分。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both"/>
        <w:textAlignment w:val="auto"/>
        <w:outlineLvl w:val="9"/>
        <w:rPr>
          <w:rFonts w:hint="eastAsia" w:ascii="仿宋_GB2312" w:hAnsi="Times New Roman" w:eastAsia="仿宋_GB2312" w:cs="仿宋_GB2312"/>
          <w:b w:val="0"/>
          <w:bCs w:val="0"/>
          <w:kern w:val="2"/>
          <w:sz w:val="32"/>
          <w:szCs w:val="32"/>
          <w:lang w:val="en-US" w:eastAsia="zh-CN" w:bidi="ar"/>
        </w:rPr>
      </w:pPr>
      <w:bookmarkStart w:id="91" w:name="_Toc9274"/>
      <w:r>
        <w:rPr>
          <w:rFonts w:hint="eastAsia" w:ascii="仿宋_GB2312" w:hAnsi="Times New Roman" w:eastAsia="仿宋_GB2312" w:cs="仿宋_GB2312"/>
          <w:b w:val="0"/>
          <w:bCs w:val="0"/>
          <w:kern w:val="2"/>
          <w:sz w:val="32"/>
          <w:szCs w:val="32"/>
          <w:lang w:val="en-US" w:eastAsia="zh-CN" w:bidi="ar"/>
        </w:rPr>
        <w:t>2.项目执行。（12分）</w:t>
      </w:r>
      <w:bookmarkEnd w:id="91"/>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①执行同向。（4分）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2023年市工商联预算项目实际列支内容与绩效目标设置方向相符，自评得4分。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②项目调整。（4分）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2023年市工商联预算项目未采取对应调整措施，自评得4分。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③执行结果。（4分）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2023年市工商联无预算结余率小于10%的项目，自评得4分。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both"/>
        <w:textAlignment w:val="auto"/>
        <w:outlineLvl w:val="9"/>
        <w:rPr>
          <w:rFonts w:hint="eastAsia" w:ascii="仿宋_GB2312" w:hAnsi="Times New Roman" w:eastAsia="仿宋_GB2312" w:cs="仿宋_GB2312"/>
          <w:b w:val="0"/>
          <w:bCs w:val="0"/>
          <w:kern w:val="2"/>
          <w:sz w:val="32"/>
          <w:szCs w:val="32"/>
          <w:lang w:val="en-US" w:eastAsia="zh-CN" w:bidi="ar"/>
        </w:rPr>
      </w:pPr>
      <w:bookmarkStart w:id="92" w:name="_Toc26824"/>
      <w:r>
        <w:rPr>
          <w:rFonts w:hint="eastAsia" w:ascii="仿宋_GB2312" w:hAnsi="Times New Roman" w:eastAsia="仿宋_GB2312" w:cs="仿宋_GB2312"/>
          <w:b w:val="0"/>
          <w:bCs w:val="0"/>
          <w:kern w:val="2"/>
          <w:sz w:val="32"/>
          <w:szCs w:val="32"/>
          <w:lang w:val="en-US" w:eastAsia="zh-CN" w:bidi="ar"/>
        </w:rPr>
        <w:t>3.目标实现。（11分）</w:t>
      </w:r>
      <w:bookmarkEnd w:id="92"/>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①目标完成。（4分）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2023年市工商联8个部门预算特定项目全部完成绩效目标，自评得4分。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②目标偏离。（4分）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2023年市工商联预算项目绩效目标数量指标实现程度与预期目标偏离度在30%以上的有2个，其余6项偏离度为0，该项指标得4分。</w:t>
      </w:r>
    </w:p>
    <w:p>
      <w:pPr>
        <w:keepNext w:val="0"/>
        <w:keepLines w:val="0"/>
        <w:widowControl w:val="0"/>
        <w:suppressLineNumbers w:val="0"/>
        <w:autoSpaceDE w:val="0"/>
        <w:autoSpaceDN/>
        <w:spacing w:before="0" w:beforeAutospacing="0" w:after="0" w:afterAutospacing="0" w:line="576" w:lineRule="exact"/>
        <w:ind w:left="0" w:right="0" w:firstLine="64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③实现效果。（3分）</w:t>
      </w:r>
    </w:p>
    <w:p>
      <w:pPr>
        <w:keepNext w:val="0"/>
        <w:keepLines w:val="0"/>
        <w:widowControl w:val="0"/>
        <w:suppressLineNumbers w:val="0"/>
        <w:autoSpaceDE w:val="0"/>
        <w:autoSpaceDN/>
        <w:spacing w:before="0" w:beforeAutospacing="0" w:after="0" w:afterAutospacing="0" w:line="576" w:lineRule="exact"/>
        <w:ind w:left="0" w:right="0" w:firstLine="640"/>
        <w:jc w:val="both"/>
        <w:rPr>
          <w:rFonts w:hint="eastAsia" w:ascii="仿宋_GB2312" w:eastAsia="仿宋_GB2312" w:cs="仿宋_GB2312"/>
          <w:b w:val="0"/>
          <w:bCs w:val="0"/>
          <w:kern w:val="2"/>
          <w:sz w:val="32"/>
          <w:szCs w:val="32"/>
        </w:rPr>
      </w:pPr>
      <w:r>
        <w:rPr>
          <w:rFonts w:hint="eastAsia" w:ascii="仿宋_GB2312" w:hAnsi="Times New Roman" w:eastAsia="仿宋_GB2312" w:cs="仿宋_GB2312"/>
          <w:b w:val="0"/>
          <w:bCs w:val="0"/>
          <w:kern w:val="2"/>
          <w:sz w:val="32"/>
          <w:szCs w:val="32"/>
          <w:lang w:val="en-US" w:eastAsia="zh-CN" w:bidi="ar"/>
        </w:rPr>
        <w:t>2023年市工商联部门预算特定目标类项目均完成绩效目标效益指标，该项指标得3分。</w:t>
      </w:r>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default" w:ascii="Times New Roman" w:hAnsi="Times New Roman" w:eastAsia="楷体_GB2312" w:cs="Times New Roman"/>
          <w:b w:val="0"/>
          <w:bCs w:val="0"/>
          <w:color w:val="333333"/>
          <w:kern w:val="2"/>
          <w:sz w:val="32"/>
          <w:szCs w:val="32"/>
        </w:rPr>
      </w:pPr>
      <w:r>
        <w:rPr>
          <w:rFonts w:hint="eastAsia" w:ascii="仿宋_GB2312" w:hAnsi="Times New Roman" w:eastAsia="仿宋_GB2312" w:cs="仿宋_GB2312"/>
          <w:b w:val="0"/>
          <w:bCs w:val="0"/>
          <w:kern w:val="2"/>
          <w:sz w:val="32"/>
          <w:szCs w:val="32"/>
          <w:lang w:val="en-US" w:eastAsia="zh-CN" w:bidi="ar"/>
        </w:rPr>
        <w:t>2023年度市工商联不涉及国有资本经营预算、社会保险基金预算。</w:t>
      </w:r>
    </w:p>
    <w:p>
      <w:pPr>
        <w:keepNext w:val="0"/>
        <w:keepLines w:val="0"/>
        <w:widowControl/>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eastAsia" w:ascii="仿宋_GB2312" w:eastAsia="仿宋_GB2312" w:cs="仿宋_GB2312"/>
          <w:b w:val="0"/>
          <w:bCs w:val="0"/>
          <w:color w:val="000000"/>
          <w:kern w:val="0"/>
          <w:sz w:val="32"/>
          <w:szCs w:val="32"/>
          <w:shd w:val="clear" w:fill="FFFFFF"/>
        </w:rPr>
      </w:pPr>
      <w:r>
        <w:rPr>
          <w:rFonts w:hint="eastAsia" w:ascii="楷体_GB2312" w:hAnsi="Times New Roman" w:eastAsia="楷体_GB2312" w:cs="楷体_GB2312"/>
          <w:b w:val="0"/>
          <w:bCs w:val="0"/>
          <w:color w:val="000000"/>
          <w:kern w:val="0"/>
          <w:sz w:val="32"/>
          <w:szCs w:val="32"/>
          <w:shd w:val="clear" w:fill="FFFFFF"/>
          <w:lang w:val="en-US" w:eastAsia="zh-CN" w:bidi="ar"/>
        </w:rPr>
        <w:t>（三）重点领域绩效分析。</w:t>
      </w:r>
      <w:r>
        <w:rPr>
          <w:rFonts w:hint="eastAsia" w:ascii="仿宋_GB2312" w:hAnsi="Times New Roman" w:eastAsia="仿宋_GB2312" w:cs="仿宋_GB2312"/>
          <w:b w:val="0"/>
          <w:bCs w:val="0"/>
          <w:kern w:val="2"/>
          <w:sz w:val="32"/>
          <w:szCs w:val="32"/>
          <w:lang w:val="en-US" w:eastAsia="zh-CN" w:bidi="ar"/>
        </w:rPr>
        <w:t>2023年度市工商联不涉及国有资本、行政事业性国有资产、债券资金、政府采购和政府购买服务等重点领域。</w:t>
      </w:r>
    </w:p>
    <w:p>
      <w:pPr>
        <w:keepNext w:val="0"/>
        <w:keepLines w:val="0"/>
        <w:widowControl w:val="0"/>
        <w:suppressLineNumbers w:val="0"/>
        <w:autoSpaceDE w:val="0"/>
        <w:autoSpaceDN/>
        <w:snapToGrid w:val="0"/>
        <w:spacing w:before="0" w:beforeAutospacing="0" w:after="0" w:afterAutospacing="0" w:line="576" w:lineRule="exact"/>
        <w:ind w:left="0" w:right="0" w:firstLine="640" w:firstLineChars="200"/>
        <w:jc w:val="both"/>
        <w:rPr>
          <w:rFonts w:hint="eastAsia" w:ascii="Times New Roman" w:hAnsi="Times New Roman" w:eastAsia="楷体_GB2312" w:cs="Times New Roman"/>
          <w:b w:val="0"/>
          <w:bCs w:val="0"/>
          <w:kern w:val="2"/>
          <w:sz w:val="32"/>
          <w:szCs w:val="32"/>
        </w:rPr>
      </w:pPr>
      <w:r>
        <w:rPr>
          <w:rFonts w:hint="eastAsia" w:ascii="楷体_GB2312" w:hAnsi="Times New Roman" w:eastAsia="楷体_GB2312" w:cs="楷体_GB2312"/>
          <w:b w:val="0"/>
          <w:bCs w:val="0"/>
          <w:kern w:val="2"/>
          <w:sz w:val="32"/>
          <w:szCs w:val="32"/>
          <w:lang w:val="en-US" w:eastAsia="zh-CN" w:bidi="ar"/>
        </w:rPr>
        <w:t>（四）绩效结果应用情况。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both"/>
        <w:textAlignment w:val="auto"/>
        <w:outlineLvl w:val="9"/>
        <w:rPr>
          <w:rFonts w:hint="eastAsia" w:ascii="仿宋_GB2312" w:hAnsi="Times New Roman" w:eastAsia="仿宋_GB2312" w:cs="仿宋_GB2312"/>
          <w:b w:val="0"/>
          <w:bCs w:val="0"/>
          <w:kern w:val="2"/>
          <w:sz w:val="32"/>
          <w:szCs w:val="32"/>
          <w:lang w:val="en-US" w:eastAsia="zh-CN" w:bidi="ar"/>
        </w:rPr>
      </w:pPr>
      <w:bookmarkStart w:id="93" w:name="_Toc20015"/>
      <w:r>
        <w:rPr>
          <w:rFonts w:hint="default" w:ascii="仿宋_GB2312" w:hAnsi="Times New Roman" w:eastAsia="仿宋_GB2312" w:cs="仿宋_GB2312"/>
          <w:b w:val="0"/>
          <w:bCs w:val="0"/>
          <w:kern w:val="2"/>
          <w:sz w:val="32"/>
          <w:szCs w:val="32"/>
          <w:lang w:val="en-US" w:eastAsia="zh-CN" w:bidi="ar"/>
        </w:rPr>
        <w:t>1.</w:t>
      </w:r>
      <w:r>
        <w:rPr>
          <w:rFonts w:hint="eastAsia" w:ascii="仿宋_GB2312" w:hAnsi="Times New Roman" w:eastAsia="仿宋_GB2312" w:cs="仿宋_GB2312"/>
          <w:b w:val="0"/>
          <w:bCs w:val="0"/>
          <w:kern w:val="2"/>
          <w:sz w:val="32"/>
          <w:szCs w:val="32"/>
          <w:lang w:val="en-US" w:eastAsia="zh-CN" w:bidi="ar"/>
        </w:rPr>
        <w:t>内部应用。</w:t>
      </w:r>
      <w:bookmarkEnd w:id="93"/>
    </w:p>
    <w:p>
      <w:pPr>
        <w:keepNext w:val="0"/>
        <w:keepLines w:val="0"/>
        <w:widowControl w:val="0"/>
        <w:suppressLineNumbers w:val="0"/>
        <w:autoSpaceDE w:val="0"/>
        <w:autoSpaceDN/>
        <w:spacing w:before="0" w:beforeAutospacing="0" w:after="0" w:afterAutospacing="0" w:line="576" w:lineRule="exact"/>
        <w:ind w:left="0" w:right="0" w:firstLine="627" w:firstLineChars="196"/>
        <w:jc w:val="both"/>
        <w:rPr>
          <w:rFonts w:hint="eastAsia" w:ascii="仿宋_GB2312" w:hAnsi="宋体" w:eastAsia="仿宋_GB2312" w:cs="宋体"/>
          <w:kern w:val="0"/>
          <w:sz w:val="32"/>
          <w:szCs w:val="32"/>
        </w:rPr>
      </w:pPr>
      <w:r>
        <w:rPr>
          <w:rFonts w:hint="eastAsia" w:ascii="仿宋_GB2312" w:hAnsi="宋体" w:eastAsia="仿宋_GB2312" w:cs="仿宋_GB2312"/>
          <w:kern w:val="0"/>
          <w:sz w:val="32"/>
          <w:szCs w:val="32"/>
          <w:lang w:val="en-US" w:eastAsia="zh-CN" w:bidi="ar"/>
        </w:rPr>
        <w:t>经自查，我会将内设机构绩效自评纳入了考核体系，建立了对内设机构预算与绩效挂钩机制。</w:t>
      </w:r>
      <w:r>
        <w:rPr>
          <w:rFonts w:hint="eastAsia" w:ascii="仿宋_GB2312" w:hAnsi="宋体" w:eastAsia="仿宋_GB2312" w:cs="宋体"/>
          <w:kern w:val="0"/>
          <w:sz w:val="32"/>
          <w:szCs w:val="32"/>
          <w:lang w:val="en-US" w:eastAsia="zh-CN" w:bidi="ar"/>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both"/>
        <w:textAlignment w:val="auto"/>
        <w:outlineLvl w:val="9"/>
        <w:rPr>
          <w:rFonts w:hint="eastAsia" w:ascii="仿宋_GB2312" w:hAnsi="Times New Roman" w:eastAsia="仿宋_GB2312" w:cs="仿宋_GB2312"/>
          <w:b w:val="0"/>
          <w:bCs w:val="0"/>
          <w:kern w:val="2"/>
          <w:sz w:val="32"/>
          <w:szCs w:val="32"/>
          <w:lang w:val="en-US" w:eastAsia="zh-CN" w:bidi="ar"/>
        </w:rPr>
      </w:pPr>
      <w:bookmarkStart w:id="94" w:name="_Toc18294"/>
      <w:r>
        <w:rPr>
          <w:rFonts w:hint="default" w:ascii="仿宋_GB2312" w:hAnsi="Times New Roman" w:eastAsia="仿宋_GB2312" w:cs="仿宋_GB2312"/>
          <w:b w:val="0"/>
          <w:bCs w:val="0"/>
          <w:kern w:val="2"/>
          <w:sz w:val="32"/>
          <w:szCs w:val="32"/>
          <w:lang w:val="en-US" w:eastAsia="zh-CN" w:bidi="ar"/>
        </w:rPr>
        <w:t>2.</w:t>
      </w:r>
      <w:r>
        <w:rPr>
          <w:rFonts w:hint="eastAsia" w:ascii="仿宋_GB2312" w:hAnsi="Times New Roman" w:eastAsia="仿宋_GB2312" w:cs="仿宋_GB2312"/>
          <w:b w:val="0"/>
          <w:bCs w:val="0"/>
          <w:kern w:val="2"/>
          <w:sz w:val="32"/>
          <w:szCs w:val="32"/>
          <w:lang w:val="en-US" w:eastAsia="zh-CN" w:bidi="ar"/>
        </w:rPr>
        <w:t>信息公开。</w:t>
      </w:r>
      <w:bookmarkEnd w:id="94"/>
    </w:p>
    <w:p>
      <w:pPr>
        <w:keepNext w:val="0"/>
        <w:keepLines w:val="0"/>
        <w:widowControl w:val="0"/>
        <w:suppressLineNumbers w:val="0"/>
        <w:autoSpaceDE w:val="0"/>
        <w:autoSpaceDN/>
        <w:spacing w:before="0" w:beforeAutospacing="0" w:after="0" w:afterAutospacing="0" w:line="576" w:lineRule="exact"/>
        <w:ind w:left="0" w:right="0" w:firstLine="627" w:firstLineChars="196"/>
        <w:jc w:val="left"/>
        <w:rPr>
          <w:rFonts w:hint="eastAsia" w:ascii="仿宋_GB2312" w:hAnsi="宋体" w:eastAsia="仿宋_GB2312" w:cs="宋体"/>
          <w:kern w:val="0"/>
          <w:sz w:val="32"/>
          <w:szCs w:val="32"/>
        </w:rPr>
      </w:pPr>
      <w:r>
        <w:rPr>
          <w:rFonts w:hint="eastAsia" w:ascii="仿宋_GB2312" w:hAnsi="宋体" w:eastAsia="仿宋_GB2312" w:cs="仿宋_GB2312"/>
          <w:kern w:val="0"/>
          <w:sz w:val="32"/>
          <w:szCs w:val="32"/>
          <w:lang w:val="en-US" w:eastAsia="zh-CN" w:bidi="ar"/>
        </w:rPr>
        <w:t>经自查，我会按要求将部门整体绩效自评情况和自行组织的评价情况，在政府门户网和广元市工商业联合会网站上向社会公进行了公开。</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right="0" w:firstLine="640" w:firstLineChars="200"/>
        <w:jc w:val="both"/>
        <w:textAlignment w:val="auto"/>
        <w:outlineLvl w:val="9"/>
        <w:rPr>
          <w:rFonts w:hint="eastAsia" w:ascii="仿宋_GB2312" w:hAnsi="Times New Roman" w:eastAsia="仿宋_GB2312" w:cs="仿宋_GB2312"/>
          <w:b w:val="0"/>
          <w:bCs w:val="0"/>
          <w:kern w:val="2"/>
          <w:sz w:val="32"/>
          <w:szCs w:val="32"/>
          <w:lang w:val="en-US" w:eastAsia="zh-CN" w:bidi="ar"/>
        </w:rPr>
      </w:pPr>
      <w:bookmarkStart w:id="95" w:name="_Toc22297"/>
      <w:r>
        <w:rPr>
          <w:rFonts w:hint="default" w:ascii="仿宋_GB2312" w:hAnsi="Times New Roman" w:eastAsia="仿宋_GB2312" w:cs="仿宋_GB2312"/>
          <w:b w:val="0"/>
          <w:bCs w:val="0"/>
          <w:kern w:val="2"/>
          <w:sz w:val="32"/>
          <w:szCs w:val="32"/>
          <w:lang w:val="en-US" w:eastAsia="zh-CN" w:bidi="ar"/>
        </w:rPr>
        <w:t>3.</w:t>
      </w:r>
      <w:r>
        <w:rPr>
          <w:rFonts w:hint="eastAsia" w:ascii="仿宋_GB2312" w:hAnsi="Times New Roman" w:eastAsia="仿宋_GB2312" w:cs="仿宋_GB2312"/>
          <w:b w:val="0"/>
          <w:bCs w:val="0"/>
          <w:kern w:val="2"/>
          <w:sz w:val="32"/>
          <w:szCs w:val="32"/>
          <w:lang w:val="en-US" w:eastAsia="zh-CN" w:bidi="ar"/>
        </w:rPr>
        <w:t>整改反馈。</w:t>
      </w:r>
      <w:bookmarkEnd w:id="95"/>
    </w:p>
    <w:p>
      <w:pPr>
        <w:keepNext w:val="0"/>
        <w:keepLines w:val="0"/>
        <w:widowControl w:val="0"/>
        <w:suppressLineNumbers w:val="0"/>
        <w:autoSpaceDE w:val="0"/>
        <w:autoSpaceDN/>
        <w:snapToGrid w:val="0"/>
        <w:spacing w:before="0" w:beforeAutospacing="0" w:after="0" w:afterAutospacing="0" w:line="576" w:lineRule="exact"/>
        <w:ind w:left="0" w:right="0" w:firstLine="640" w:firstLineChars="200"/>
        <w:jc w:val="both"/>
        <w:rPr>
          <w:rFonts w:hint="eastAsia" w:ascii="仿宋_GB2312" w:hAnsi="宋体" w:eastAsia="仿宋_GB2312" w:cs="宋体"/>
          <w:kern w:val="0"/>
          <w:sz w:val="32"/>
          <w:szCs w:val="32"/>
        </w:rPr>
      </w:pPr>
      <w:r>
        <w:rPr>
          <w:rFonts w:hint="eastAsia" w:ascii="仿宋_GB2312" w:hAnsi="宋体" w:eastAsia="仿宋_GB2312" w:cs="仿宋_GB2312"/>
          <w:kern w:val="0"/>
          <w:sz w:val="32"/>
          <w:szCs w:val="32"/>
          <w:lang w:val="en-US" w:eastAsia="zh-CN" w:bidi="ar"/>
        </w:rPr>
        <w:t>我会没有财政部门针对绩效管理过程中（包括绩效目标核查、绩效监控核查和重点绩效评价）提出的问题进行整改的情况。</w:t>
      </w:r>
    </w:p>
    <w:p>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contextualSpacing/>
        <w:jc w:val="left"/>
        <w:textAlignment w:val="auto"/>
        <w:outlineLvl w:val="2"/>
        <w:rPr>
          <w:rFonts w:hint="default" w:ascii="Times New Roman" w:hAnsi="Times New Roman" w:eastAsia="黑体" w:cs="Times New Roman"/>
          <w:b w:val="0"/>
          <w:bCs w:val="0"/>
          <w:color w:val="000000"/>
          <w:kern w:val="0"/>
          <w:sz w:val="32"/>
          <w:szCs w:val="32"/>
          <w:shd w:val="clear" w:fill="FFFFFF"/>
        </w:rPr>
      </w:pPr>
      <w:bookmarkStart w:id="96" w:name="_Toc1263"/>
      <w:r>
        <w:rPr>
          <w:rFonts w:hint="eastAsia" w:ascii="黑体" w:hAnsi="宋体" w:eastAsia="黑体" w:cs="黑体"/>
          <w:b w:val="0"/>
          <w:bCs w:val="0"/>
          <w:color w:val="000000"/>
          <w:kern w:val="0"/>
          <w:sz w:val="32"/>
          <w:szCs w:val="32"/>
          <w:shd w:val="clear" w:fill="FFFFFF"/>
          <w:lang w:val="en-US" w:eastAsia="zh-CN" w:bidi="ar"/>
        </w:rPr>
        <w:t>四、评价结论及建议</w:t>
      </w:r>
      <w:bookmarkEnd w:id="96"/>
    </w:p>
    <w:p>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contextualSpacing/>
        <w:jc w:val="left"/>
        <w:textAlignment w:val="auto"/>
        <w:outlineLvl w:val="9"/>
        <w:rPr>
          <w:rFonts w:hint="default" w:ascii="Times New Roman" w:hAnsi="Times New Roman" w:eastAsia="楷体_GB2312" w:cs="Times New Roman"/>
          <w:b w:val="0"/>
          <w:bCs w:val="0"/>
          <w:color w:val="000000"/>
          <w:kern w:val="0"/>
          <w:sz w:val="32"/>
          <w:szCs w:val="32"/>
          <w:shd w:val="clear" w:fill="FFFFFF"/>
        </w:rPr>
      </w:pPr>
      <w:bookmarkStart w:id="97" w:name="_Toc28537"/>
      <w:r>
        <w:rPr>
          <w:rFonts w:hint="eastAsia" w:ascii="楷体_GB2312" w:hAnsi="Times New Roman" w:eastAsia="楷体_GB2312" w:cs="楷体_GB2312"/>
          <w:b w:val="0"/>
          <w:bCs w:val="0"/>
          <w:color w:val="000000"/>
          <w:kern w:val="0"/>
          <w:sz w:val="32"/>
          <w:szCs w:val="32"/>
          <w:shd w:val="clear" w:fill="FFFFFF"/>
          <w:lang w:val="en-US" w:eastAsia="zh-CN" w:bidi="ar"/>
        </w:rPr>
        <w:t>（一）评价结论。</w:t>
      </w:r>
      <w:bookmarkEnd w:id="97"/>
    </w:p>
    <w:p>
      <w:pPr>
        <w:keepNext w:val="0"/>
        <w:keepLines w:val="0"/>
        <w:widowControl w:val="0"/>
        <w:suppressLineNumbers w:val="0"/>
        <w:autoSpaceDE w:val="0"/>
        <w:autoSpaceDN/>
        <w:spacing w:before="0" w:beforeAutospacing="0" w:after="0" w:afterAutospacing="0" w:line="576" w:lineRule="exact"/>
        <w:ind w:left="0" w:right="0" w:firstLine="640" w:firstLineChars="200"/>
        <w:jc w:val="both"/>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经过各项绩效综合分析，我单位支出绩效总体良好，各项目达到了相应时期执行进度，各项目经费按预算实施，使财政收支预算执行都得到了良好的制度保障和实施效果，自评总得分得99.08分。</w:t>
      </w:r>
    </w:p>
    <w:p>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contextualSpacing/>
        <w:jc w:val="left"/>
        <w:textAlignment w:val="auto"/>
        <w:outlineLvl w:val="9"/>
        <w:rPr>
          <w:rFonts w:hint="default" w:ascii="Times New Roman" w:hAnsi="Times New Roman" w:eastAsia="楷体_GB2312" w:cs="Times New Roman"/>
          <w:b w:val="0"/>
          <w:bCs w:val="0"/>
          <w:color w:val="000000"/>
          <w:kern w:val="0"/>
          <w:sz w:val="32"/>
          <w:szCs w:val="32"/>
          <w:shd w:val="clear" w:fill="FFFFFF"/>
        </w:rPr>
      </w:pPr>
      <w:bookmarkStart w:id="98" w:name="_Toc21075"/>
      <w:r>
        <w:rPr>
          <w:rFonts w:hint="eastAsia" w:ascii="楷体_GB2312" w:hAnsi="Times New Roman" w:eastAsia="楷体_GB2312" w:cs="楷体_GB2312"/>
          <w:b w:val="0"/>
          <w:bCs w:val="0"/>
          <w:color w:val="000000"/>
          <w:kern w:val="0"/>
          <w:sz w:val="32"/>
          <w:szCs w:val="32"/>
          <w:shd w:val="clear" w:fill="FFFFFF"/>
          <w:lang w:val="en-US" w:eastAsia="zh-CN" w:bidi="ar"/>
        </w:rPr>
        <w:t>（二）存在问题。</w:t>
      </w:r>
      <w:bookmarkEnd w:id="98"/>
    </w:p>
    <w:p>
      <w:pPr>
        <w:keepNext w:val="0"/>
        <w:keepLines w:val="0"/>
        <w:widowControl/>
        <w:suppressLineNumbers w:val="0"/>
        <w:autoSpaceDE w:val="0"/>
        <w:autoSpaceDN/>
        <w:adjustRightInd w:val="0"/>
        <w:snapToGrid w:val="0"/>
        <w:spacing w:before="0" w:beforeAutospacing="0" w:after="0" w:afterAutospacing="0" w:line="576" w:lineRule="exact"/>
        <w:ind w:left="0" w:right="0" w:firstLine="640" w:firstLineChars="200"/>
        <w:contextualSpacing/>
        <w:jc w:val="left"/>
        <w:rPr>
          <w:rFonts w:hint="default" w:ascii="Times New Roman" w:hAnsi="Times New Roman" w:eastAsia="仿宋_GB2312" w:cs="Times New Roman"/>
          <w:b w:val="0"/>
          <w:bCs w:val="0"/>
          <w:color w:val="000000"/>
          <w:kern w:val="0"/>
          <w:sz w:val="32"/>
          <w:szCs w:val="32"/>
          <w:shd w:val="clear" w:fill="FFFFFF"/>
        </w:rPr>
      </w:pPr>
      <w:r>
        <w:rPr>
          <w:rFonts w:hint="eastAsia" w:ascii="仿宋_GB2312" w:hAnsi="宋体" w:eastAsia="仿宋_GB2312" w:cs="仿宋_GB2312"/>
          <w:color w:val="000000"/>
          <w:kern w:val="2"/>
          <w:sz w:val="32"/>
          <w:szCs w:val="32"/>
          <w:shd w:val="clear" w:fill="FFFFFF"/>
          <w:lang w:val="en-US" w:eastAsia="zh-CN" w:bidi="ar"/>
        </w:rPr>
        <w:t>一是</w:t>
      </w:r>
      <w:r>
        <w:rPr>
          <w:rFonts w:hint="eastAsia" w:ascii="仿宋_GB2312" w:hAnsi="Times New Roman" w:eastAsia="仿宋_GB2312" w:cs="仿宋_GB2312"/>
          <w:color w:val="000000"/>
          <w:kern w:val="2"/>
          <w:sz w:val="32"/>
          <w:szCs w:val="32"/>
          <w:shd w:val="clear" w:fill="FFFFFF"/>
          <w:lang w:val="en-US" w:eastAsia="zh-CN" w:bidi="ar"/>
        </w:rPr>
        <w:t>资金管理使用需进一步加强，严格控制“三公”经费等</w:t>
      </w:r>
      <w:r>
        <w:rPr>
          <w:rFonts w:hint="eastAsia" w:ascii="仿宋_GB2312" w:hAnsi="Times New Roman" w:eastAsia="仿宋_GB2312" w:cs="仿宋_GB2312"/>
          <w:color w:val="000000"/>
          <w:kern w:val="0"/>
          <w:sz w:val="32"/>
          <w:szCs w:val="32"/>
          <w:shd w:val="clear" w:fill="FFFFFF"/>
          <w:lang w:val="en-US" w:eastAsia="zh-CN" w:bidi="ar"/>
        </w:rPr>
        <w:t>一般性支出。</w:t>
      </w:r>
      <w:r>
        <w:rPr>
          <w:rFonts w:hint="eastAsia" w:ascii="仿宋_GB2312" w:hAnsi="Times New Roman" w:eastAsia="仿宋_GB2312" w:cs="仿宋_GB2312"/>
          <w:color w:val="000000"/>
          <w:kern w:val="2"/>
          <w:sz w:val="32"/>
          <w:szCs w:val="32"/>
          <w:shd w:val="clear" w:fill="FFFFFF"/>
          <w:lang w:val="en-US" w:eastAsia="zh-CN" w:bidi="ar"/>
        </w:rPr>
        <w:t>二是年初预算编制不够精细，存在较大偏离。三是预算执行过程中未按照进度使用资金，资金使用进度相对滞后。</w:t>
      </w:r>
    </w:p>
    <w:p>
      <w:pPr>
        <w:keepNext w:val="0"/>
        <w:keepLines w:val="0"/>
        <w:pageBreakBefore w:val="0"/>
        <w:widowControl/>
        <w:numPr>
          <w:ilvl w:val="0"/>
          <w:numId w:val="1"/>
        </w:numPr>
        <w:suppressLineNumbers w:val="0"/>
        <w:kinsoku/>
        <w:wordWrap/>
        <w:overflowPunct/>
        <w:topLinePunct w:val="0"/>
        <w:autoSpaceDE w:val="0"/>
        <w:autoSpaceDN/>
        <w:bidi w:val="0"/>
        <w:adjustRightInd w:val="0"/>
        <w:snapToGrid w:val="0"/>
        <w:spacing w:before="0" w:beforeAutospacing="0" w:after="0" w:afterAutospacing="0" w:line="576" w:lineRule="exact"/>
        <w:ind w:right="0" w:rightChars="0" w:firstLine="640" w:firstLineChars="200"/>
        <w:contextualSpacing/>
        <w:jc w:val="left"/>
        <w:textAlignment w:val="auto"/>
        <w:outlineLvl w:val="9"/>
        <w:rPr>
          <w:rFonts w:hint="eastAsia" w:ascii="楷体_GB2312" w:hAnsi="Times New Roman" w:eastAsia="楷体_GB2312" w:cs="楷体_GB2312"/>
          <w:b w:val="0"/>
          <w:bCs w:val="0"/>
          <w:color w:val="000000"/>
          <w:kern w:val="0"/>
          <w:sz w:val="32"/>
          <w:szCs w:val="32"/>
          <w:shd w:val="clear" w:fill="FFFFFF"/>
          <w:lang w:val="en-US" w:eastAsia="zh-CN" w:bidi="ar"/>
        </w:rPr>
      </w:pPr>
      <w:r>
        <w:rPr>
          <w:rFonts w:hint="eastAsia" w:ascii="楷体_GB2312" w:hAnsi="Times New Roman" w:eastAsia="楷体_GB2312" w:cs="楷体_GB2312"/>
          <w:b w:val="0"/>
          <w:bCs w:val="0"/>
          <w:color w:val="000000"/>
          <w:kern w:val="0"/>
          <w:sz w:val="32"/>
          <w:szCs w:val="32"/>
          <w:shd w:val="clear" w:fill="FFFFFF"/>
          <w:lang w:val="en-US" w:eastAsia="zh-CN" w:bidi="ar"/>
        </w:rPr>
        <w:t>改进建议。</w:t>
      </w:r>
    </w:p>
    <w:p>
      <w:pPr>
        <w:keepNext w:val="0"/>
        <w:keepLines w:val="0"/>
        <w:widowControl/>
        <w:numPr>
          <w:ilvl w:val="0"/>
          <w:numId w:val="0"/>
        </w:numPr>
        <w:suppressLineNumbers w:val="0"/>
        <w:autoSpaceDE w:val="0"/>
        <w:autoSpaceDN/>
        <w:adjustRightInd w:val="0"/>
        <w:snapToGrid w:val="0"/>
        <w:spacing w:before="0" w:beforeAutospacing="0" w:after="0" w:afterAutospacing="0" w:line="576" w:lineRule="exact"/>
        <w:ind w:right="0" w:rightChars="0" w:firstLine="640" w:firstLineChars="200"/>
        <w:contextualSpacing/>
        <w:jc w:val="left"/>
        <w:rPr>
          <w:rFonts w:hint="eastAsia" w:ascii="仿宋_GB2312" w:eastAsia="仿宋_GB2312" w:cs="仿宋_GB2312"/>
          <w:color w:val="000000"/>
          <w:kern w:val="2"/>
          <w:sz w:val="32"/>
          <w:szCs w:val="32"/>
          <w:shd w:val="clear" w:fill="FFFFFF"/>
        </w:rPr>
      </w:pPr>
      <w:r>
        <w:rPr>
          <w:rFonts w:hint="eastAsia" w:ascii="仿宋_GB2312" w:eastAsia="仿宋_GB2312" w:cs="仿宋_GB2312"/>
          <w:b w:val="0"/>
          <w:bCs w:val="0"/>
          <w:kern w:val="0"/>
          <w:sz w:val="32"/>
          <w:szCs w:val="32"/>
        </w:rPr>
        <w:t>一是</w:t>
      </w:r>
      <w:r>
        <w:rPr>
          <w:rFonts w:hint="eastAsia" w:ascii="仿宋_GB2312" w:eastAsia="仿宋_GB2312" w:cs="仿宋_GB2312"/>
          <w:bCs/>
          <w:color w:val="000000"/>
          <w:kern w:val="2"/>
          <w:sz w:val="32"/>
          <w:szCs w:val="32"/>
          <w:shd w:val="clear" w:fill="FFFFFF"/>
        </w:rPr>
        <w:t>加强资金管理，严格审核把关“三公”经费等支出，尽可能压减一般性支出。二是</w:t>
      </w:r>
      <w:r>
        <w:rPr>
          <w:rFonts w:hint="eastAsia" w:ascii="仿宋_GB2312" w:hAnsi="Times New Roman" w:eastAsia="仿宋_GB2312" w:cs="仿宋_GB2312"/>
          <w:kern w:val="2"/>
          <w:sz w:val="32"/>
          <w:szCs w:val="32"/>
        </w:rPr>
        <w:t>完善绩效管理机制，</w:t>
      </w:r>
      <w:r>
        <w:rPr>
          <w:rFonts w:hint="eastAsia" w:ascii="仿宋_GB2312" w:eastAsia="仿宋_GB2312" w:cs="仿宋_GB2312"/>
          <w:bCs/>
          <w:color w:val="000000"/>
          <w:kern w:val="2"/>
          <w:sz w:val="32"/>
          <w:szCs w:val="32"/>
          <w:shd w:val="clear" w:fill="FFFFFF"/>
        </w:rPr>
        <w:t>树立绩效管理理念</w:t>
      </w:r>
      <w:r>
        <w:rPr>
          <w:rFonts w:hint="eastAsia" w:ascii="仿宋_GB2312" w:hAnsi="Times New Roman" w:eastAsia="仿宋_GB2312" w:cs="仿宋_GB2312"/>
          <w:kern w:val="0"/>
          <w:sz w:val="32"/>
          <w:szCs w:val="32"/>
        </w:rPr>
        <w:t>，将财务预算同部门职能职责相结合，做到合理编制项目预算，精细化使用预算资金，切实促进业务发展，提升履职效能。三是</w:t>
      </w:r>
      <w:r>
        <w:rPr>
          <w:rFonts w:hint="eastAsia" w:ascii="仿宋_GB2312" w:eastAsia="仿宋_GB2312" w:cs="仿宋_GB2312"/>
          <w:bCs/>
          <w:color w:val="000000"/>
          <w:kern w:val="2"/>
          <w:sz w:val="32"/>
          <w:szCs w:val="32"/>
          <w:shd w:val="clear" w:fill="FFFFFF"/>
        </w:rPr>
        <w:t>加</w:t>
      </w:r>
      <w:r>
        <w:rPr>
          <w:rFonts w:hint="eastAsia" w:ascii="仿宋_GB2312" w:eastAsia="仿宋_GB2312" w:cs="仿宋_GB2312"/>
          <w:color w:val="000000"/>
          <w:kern w:val="2"/>
          <w:sz w:val="32"/>
          <w:szCs w:val="32"/>
          <w:shd w:val="clear" w:fill="FFFFFF"/>
        </w:rPr>
        <w:t>强财会人员新会计制度和新预算法培训，提升业务能力，严格按照标准和进度执行预算，</w:t>
      </w:r>
      <w:r>
        <w:rPr>
          <w:rFonts w:hint="eastAsia" w:ascii="仿宋_GB2312" w:hAnsi="Times New Roman" w:eastAsia="仿宋_GB2312" w:cs="仿宋_GB2312"/>
          <w:kern w:val="2"/>
          <w:sz w:val="32"/>
          <w:szCs w:val="32"/>
        </w:rPr>
        <w:t>做到财务核算规范、依据充分、数字准确，</w:t>
      </w:r>
      <w:r>
        <w:rPr>
          <w:rFonts w:hint="eastAsia" w:ascii="仿宋_GB2312" w:eastAsia="仿宋_GB2312" w:cs="仿宋_GB2312"/>
          <w:color w:val="000000"/>
          <w:kern w:val="2"/>
          <w:sz w:val="32"/>
          <w:szCs w:val="32"/>
          <w:shd w:val="clear" w:fill="FFFFFF"/>
        </w:rPr>
        <w:t>切实提高部门预算管理力度和水平。</w:t>
      </w:r>
    </w:p>
    <w:p>
      <w:pPr>
        <w:keepNext w:val="0"/>
        <w:keepLines w:val="0"/>
        <w:widowControl/>
        <w:numPr>
          <w:ilvl w:val="0"/>
          <w:numId w:val="0"/>
        </w:numPr>
        <w:suppressLineNumbers w:val="0"/>
        <w:autoSpaceDE w:val="0"/>
        <w:autoSpaceDN/>
        <w:adjustRightInd w:val="0"/>
        <w:snapToGrid w:val="0"/>
        <w:spacing w:before="0" w:beforeAutospacing="0" w:after="0" w:afterAutospacing="0" w:line="576" w:lineRule="exact"/>
        <w:ind w:leftChars="200" w:right="0" w:rightChars="0"/>
        <w:contextualSpacing/>
        <w:jc w:val="left"/>
        <w:rPr>
          <w:rFonts w:hint="eastAsia" w:ascii="仿宋_GB2312" w:eastAsia="仿宋_GB2312" w:cs="仿宋_GB2312"/>
          <w:color w:val="000000"/>
          <w:kern w:val="2"/>
          <w:sz w:val="32"/>
          <w:szCs w:val="32"/>
          <w:shd w:val="clear" w:fill="FFFFFF"/>
          <w:lang w:val="zh-CN"/>
        </w:rPr>
      </w:pPr>
    </w:p>
    <w:p>
      <w:pPr>
        <w:keepNext w:val="0"/>
        <w:keepLines w:val="0"/>
        <w:widowControl/>
        <w:numPr>
          <w:ilvl w:val="0"/>
          <w:numId w:val="0"/>
        </w:numPr>
        <w:suppressLineNumbers w:val="0"/>
        <w:autoSpaceDE w:val="0"/>
        <w:autoSpaceDN/>
        <w:adjustRightInd w:val="0"/>
        <w:snapToGrid w:val="0"/>
        <w:spacing w:before="0" w:beforeAutospacing="0" w:after="0" w:afterAutospacing="0" w:line="576" w:lineRule="exact"/>
        <w:ind w:right="0" w:rightChars="0" w:firstLine="640" w:firstLineChars="200"/>
        <w:contextualSpacing/>
        <w:jc w:val="left"/>
        <w:rPr>
          <w:rFonts w:hint="eastAsia" w:ascii="仿宋_GB2312" w:eastAsia="仿宋_GB2312" w:cs="仿宋_GB2312"/>
          <w:color w:val="000000"/>
          <w:kern w:val="2"/>
          <w:sz w:val="32"/>
          <w:szCs w:val="32"/>
          <w:shd w:val="clear" w:fill="FFFFFF"/>
          <w:lang w:val="zh-CN"/>
        </w:rPr>
      </w:pPr>
      <w:r>
        <w:rPr>
          <w:rFonts w:hint="eastAsia" w:ascii="仿宋_GB2312" w:eastAsia="仿宋_GB2312" w:cs="仿宋_GB2312"/>
          <w:color w:val="000000"/>
          <w:kern w:val="2"/>
          <w:sz w:val="32"/>
          <w:szCs w:val="32"/>
          <w:shd w:val="clear" w:fill="FFFFFF"/>
          <w:lang w:val="zh-CN"/>
        </w:rPr>
        <w:t>附表：</w:t>
      </w:r>
      <w:r>
        <w:rPr>
          <w:rFonts w:hint="default" w:ascii="仿宋_GB2312" w:eastAsia="仿宋_GB2312" w:cs="仿宋_GB2312"/>
          <w:color w:val="000000"/>
          <w:kern w:val="2"/>
          <w:sz w:val="32"/>
          <w:szCs w:val="32"/>
          <w:shd w:val="clear" w:fill="FFFFFF"/>
          <w:lang w:val="en-US" w:eastAsia="zh-CN"/>
        </w:rPr>
        <w:t>部门整体支出绩效目标完成情况自评表</w:t>
      </w:r>
    </w:p>
    <w:p>
      <w:pPr>
        <w:keepNext w:val="0"/>
        <w:keepLines w:val="0"/>
        <w:widowControl/>
        <w:numPr>
          <w:ilvl w:val="0"/>
          <w:numId w:val="0"/>
        </w:numPr>
        <w:suppressLineNumbers w:val="0"/>
        <w:autoSpaceDE w:val="0"/>
        <w:autoSpaceDN/>
        <w:adjustRightInd w:val="0"/>
        <w:snapToGrid w:val="0"/>
        <w:spacing w:before="0" w:beforeAutospacing="0" w:after="0" w:afterAutospacing="0" w:line="576" w:lineRule="exact"/>
        <w:ind w:right="0" w:rightChars="0" w:firstLine="1600" w:firstLineChars="500"/>
        <w:contextualSpacing/>
        <w:jc w:val="left"/>
        <w:rPr>
          <w:rFonts w:hint="eastAsia" w:ascii="仿宋_GB2312" w:eastAsia="仿宋_GB2312" w:cs="仿宋_GB2312"/>
          <w:color w:val="000000"/>
          <w:kern w:val="2"/>
          <w:sz w:val="32"/>
          <w:szCs w:val="32"/>
          <w:shd w:val="clear" w:fill="FFFFFF"/>
          <w:lang w:val="zh-CN"/>
        </w:rPr>
      </w:pPr>
      <w:r>
        <w:rPr>
          <w:rFonts w:hint="eastAsia" w:ascii="仿宋_GB2312" w:eastAsia="仿宋_GB2312" w:cs="仿宋_GB2312"/>
          <w:color w:val="000000"/>
          <w:kern w:val="2"/>
          <w:sz w:val="32"/>
          <w:szCs w:val="32"/>
          <w:shd w:val="clear" w:fill="FFFFFF"/>
        </w:rPr>
        <w:t>部门</w:t>
      </w:r>
      <w:r>
        <w:rPr>
          <w:rFonts w:hint="eastAsia" w:ascii="仿宋_GB2312" w:eastAsia="仿宋_GB2312" w:cs="仿宋_GB2312"/>
          <w:color w:val="000000"/>
          <w:kern w:val="2"/>
          <w:sz w:val="32"/>
          <w:szCs w:val="32"/>
          <w:shd w:val="clear" w:fill="FFFFFF"/>
          <w:lang w:val="zh-CN"/>
        </w:rPr>
        <w:t>预算项目支出绩效自评表（2023年度）</w:t>
      </w: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tbl>
      <w:tblPr>
        <w:tblStyle w:val="16"/>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09"/>
        <w:gridCol w:w="1347"/>
        <w:gridCol w:w="1165"/>
        <w:gridCol w:w="1514"/>
        <w:gridCol w:w="967"/>
        <w:gridCol w:w="982"/>
        <w:gridCol w:w="996"/>
        <w:gridCol w:w="477"/>
        <w:gridCol w:w="1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2" w:hRule="exact"/>
          <w:jc w:val="center"/>
        </w:trPr>
        <w:tc>
          <w:tcPr>
            <w:tcW w:w="1056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default" w:ascii="Times New Roman" w:hAnsi="Times New Roman" w:eastAsia="黑体" w:cs="Times New Roman"/>
                <w:i w:val="0"/>
                <w:color w:val="000000"/>
                <w:sz w:val="28"/>
                <w:szCs w:val="28"/>
                <w:u w:val="none"/>
              </w:rPr>
            </w:pPr>
            <w:r>
              <w:rPr>
                <w:rFonts w:hint="default" w:ascii="Times New Roman" w:hAnsi="Times New Roman" w:eastAsia="方正小标宋简体" w:cs="Times New Roman"/>
                <w:i w:val="0"/>
                <w:color w:val="000000"/>
                <w:kern w:val="0"/>
                <w:sz w:val="44"/>
                <w:szCs w:val="44"/>
                <w:u w:val="none"/>
                <w:lang w:val="en-US" w:eastAsia="zh-CN" w:bidi="ar"/>
              </w:rPr>
              <w:t>部门整体支出绩效目标完成情况自评表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056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8"/>
                <w:szCs w:val="28"/>
                <w:u w:val="none"/>
              </w:rPr>
            </w:pPr>
            <w:r>
              <w:rPr>
                <w:rFonts w:hint="eastAsia" w:ascii="楷体_GB2312" w:hAnsi="楷体_GB2312" w:eastAsia="楷体_GB2312" w:cs="楷体_GB2312"/>
                <w:i w:val="0"/>
                <w:color w:val="000000"/>
                <w:kern w:val="0"/>
                <w:sz w:val="28"/>
                <w:szCs w:val="28"/>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0560" w:type="dxa"/>
            <w:gridSpan w:val="9"/>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38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部门名称</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年度部门整体支出预算</w:t>
            </w: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资金总额</w:t>
            </w:r>
          </w:p>
        </w:tc>
        <w:tc>
          <w:tcPr>
            <w:tcW w:w="2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财政拨款</w:t>
            </w:r>
          </w:p>
        </w:tc>
        <w:tc>
          <w:tcPr>
            <w:tcW w:w="4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427.85</w:t>
            </w:r>
          </w:p>
        </w:tc>
        <w:tc>
          <w:tcPr>
            <w:tcW w:w="2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sz w:val="21"/>
                <w:szCs w:val="21"/>
                <w:u w:val="none"/>
                <w:lang w:val="en-US" w:eastAsia="zh-CN"/>
              </w:rPr>
            </w:pPr>
            <w:r>
              <w:rPr>
                <w:rFonts w:hint="eastAsia" w:ascii="宋体" w:hAnsi="宋体" w:eastAsia="宋体" w:cs="宋体"/>
                <w:i w:val="0"/>
                <w:color w:val="000000"/>
                <w:sz w:val="21"/>
                <w:szCs w:val="21"/>
                <w:u w:val="none"/>
                <w:lang w:val="en-US" w:eastAsia="zh-CN"/>
              </w:rPr>
              <w:t>427.85</w:t>
            </w:r>
          </w:p>
        </w:tc>
        <w:tc>
          <w:tcPr>
            <w:tcW w:w="4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年度总体</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目标</w:t>
            </w:r>
          </w:p>
        </w:tc>
        <w:tc>
          <w:tcPr>
            <w:tcW w:w="925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是深入学习贯彻党的二十大精神。深刻领会党的二十大精神实质，认真贯彻落实党中央、省委、市委决策部署。引导广大民营经济人士坚定发展信心、勇担历史使命，贯彻新发展理念、抓好企业发展，为广元现代化贡献智慧力量。</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二是坚持凝心聚力，服务中心大局。开展理想信念实践活动，抓好企业家思想教育和经营能力培训，引导非公经济人士健康成长。加强典型宣传，弘扬优秀企业家精神，引导企业家积极投身“万企兴万村”行动，积极推动共同富裕，助力乡村振兴。发挥商会和民营企业联络优势，以商招商开展项目推介、招引，助力项目投资工作。 </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三是坚持靠前服务，促进民营经济健康发展。常态化走访企业，及时反映企业面临的困难问题、诉求、建议等，推动问题解决。继续推进与司法、市场监管、政务服务、税务、人社、科技、工会等部门建立联络机制，合力为民营企业提供政策、信息、法律、融资、技术、人才等服务。开展法律维权服务，维护民营企业和企业家合法权益。</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四是深入调查研究，围绕中心议政建言。围绕民营经济高质量发展、纾困惠企政策落实、基层治理、产业发展、商会建设等开展调研，及时提出意见建议。认真履行参政议政职能，参与政党协商，履行政治协商职能，围绕党委政府工作中心，深入调研，为广元经济社会发展建言献策。</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五是坚持改革创新，夯实工作基础。加强组织建设，推进乡镇、街道、园区等基层商会建设，积极创建“五好”县级工商联和“四好”商会。推进所属商会改革发展，强化商协会党建工作，规范商会建设，提升商会服务能力。抓好企业家队伍建设，着力发现、培养、推荐年轻一代民营经济代表人士。</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六是加强自身建设，提高服务能力。落实全面从严治党主体责任，加强党风廉政建设，深化纪律作风，开展学习提能，提升干部执行力。深化巡察整改成果，完善制度管理，健全工作机制，全面提升工商联服务“两个健康”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年度主要</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任务</w:t>
            </w: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任务名称</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宣传调研工作</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lang w:eastAsia="zh-CN"/>
              </w:rPr>
              <w:t>开展</w:t>
            </w:r>
            <w:r>
              <w:rPr>
                <w:rFonts w:hint="eastAsia" w:ascii="宋体" w:hAnsi="宋体" w:eastAsia="宋体" w:cs="宋体"/>
                <w:i w:val="0"/>
                <w:color w:val="000000"/>
                <w:sz w:val="21"/>
                <w:szCs w:val="21"/>
                <w:u w:val="none"/>
              </w:rPr>
              <w:t>宣传教育、调查研究、参政议政等相关工作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rPr>
              <w:t>经济服务及维权</w:t>
            </w:r>
            <w:r>
              <w:rPr>
                <w:rFonts w:hint="eastAsia" w:ascii="宋体" w:hAnsi="宋体" w:eastAsia="宋体" w:cs="宋体"/>
                <w:i w:val="0"/>
                <w:color w:val="000000"/>
                <w:sz w:val="21"/>
                <w:szCs w:val="21"/>
                <w:u w:val="none"/>
                <w:lang w:eastAsia="zh-CN"/>
              </w:rPr>
              <w:t>工作</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（1）融入成渝双城经济圈；（2）开展招商引资活动；（3）推动杭广协作；（4）法律维权服务。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rPr>
              <w:t>组织建设</w:t>
            </w:r>
            <w:r>
              <w:rPr>
                <w:rFonts w:hint="eastAsia" w:ascii="宋体" w:hAnsi="宋体" w:eastAsia="宋体" w:cs="宋体"/>
                <w:i w:val="0"/>
                <w:color w:val="000000"/>
                <w:sz w:val="21"/>
                <w:szCs w:val="21"/>
                <w:u w:val="none"/>
                <w:lang w:eastAsia="zh-CN"/>
              </w:rPr>
              <w:t>工作</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lang w:eastAsia="zh-CN"/>
              </w:rPr>
              <w:t>召开全市商协会工作会，创建“四好”商会，发展会员，录入系统，组织民营经济人士素质提升培训，创建“五好”县级工商联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rPr>
              <w:t>万企兴万村</w:t>
            </w:r>
            <w:r>
              <w:rPr>
                <w:rFonts w:hint="eastAsia" w:ascii="宋体" w:hAnsi="宋体" w:eastAsia="宋体" w:cs="宋体"/>
                <w:i w:val="0"/>
                <w:color w:val="000000"/>
                <w:sz w:val="21"/>
                <w:szCs w:val="21"/>
                <w:u w:val="none"/>
                <w:lang w:eastAsia="zh-CN"/>
              </w:rPr>
              <w:t>工作</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tabs>
                <w:tab w:val="left" w:pos="1043"/>
              </w:tabs>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lang w:eastAsia="zh-CN"/>
              </w:rPr>
              <w:t>组织企业参与“万企兴万村”行动，强化工作宣传，开展1次以上相关业务培训会议，确保274个乡村振兴重点村至少有一家企业帮联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乡村振兴工作</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rPr>
              <w:t>加强帮扶村党的建设，争取社会力量与村的结对工作</w:t>
            </w:r>
            <w:r>
              <w:rPr>
                <w:rFonts w:hint="eastAsia" w:ascii="宋体" w:hAnsi="宋体" w:eastAsia="宋体" w:cs="宋体"/>
                <w:i w:val="0"/>
                <w:color w:val="000000"/>
                <w:sz w:val="21"/>
                <w:szCs w:val="21"/>
                <w:u w:val="none"/>
                <w:lang w:eastAsia="zh-CN"/>
              </w:rPr>
              <w:t>，巩固拓展脱贫攻坚成果与乡村振兴有效衔接工作，持续深入扩大推进集体经济发展。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两新组织党建工作</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组织部拨付两新组织工作经费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全国万企兴万村行动西部片区广元座谈会、全省万企兴万村行动推进会和知名川商广元兴活动</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tabs>
                <w:tab w:val="left" w:pos="1470"/>
              </w:tabs>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lang w:eastAsia="zh-CN"/>
              </w:rPr>
              <w:t>争取全国“万企兴万村”行动会议、全省“万企兴万村”行动推进会和知名川商“广元行”活动在我市召开，提升广元形象和品牌，扩大招商引资宣传。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人员及公用经费</w:t>
            </w:r>
          </w:p>
        </w:tc>
        <w:tc>
          <w:tcPr>
            <w:tcW w:w="6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tabs>
                <w:tab w:val="left" w:pos="1470"/>
              </w:tabs>
              <w:kinsoku/>
              <w:wordWrap/>
              <w:overflowPunct/>
              <w:topLinePunct w:val="0"/>
              <w:autoSpaceDE/>
              <w:autoSpaceDN/>
              <w:bidi w:val="0"/>
              <w:adjustRightInd/>
              <w:snapToGrid/>
              <w:spacing w:line="300" w:lineRule="exact"/>
              <w:jc w:val="left"/>
              <w:outlineLvl w:val="9"/>
              <w:rPr>
                <w:rFonts w:hint="eastAsia" w:ascii="宋体" w:hAnsi="宋体" w:eastAsia="宋体" w:cs="宋体"/>
                <w:i w:val="0"/>
                <w:color w:val="000000"/>
                <w:sz w:val="21"/>
                <w:szCs w:val="21"/>
                <w:u w:val="none"/>
                <w:lang w:eastAsia="zh-CN"/>
              </w:rPr>
            </w:pPr>
            <w:r>
              <w:rPr>
                <w:rFonts w:hint="eastAsia" w:ascii="宋体" w:hAnsi="宋体" w:eastAsia="宋体" w:cs="宋体"/>
                <w:i w:val="0"/>
                <w:color w:val="000000"/>
                <w:sz w:val="21"/>
                <w:szCs w:val="21"/>
                <w:u w:val="none"/>
                <w:lang w:eastAsia="zh-CN"/>
              </w:rPr>
              <w:t>保障在职职工全年工资及单位正常办公运转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16" w:hRule="atLeast"/>
          <w:jc w:val="center"/>
        </w:trPr>
        <w:tc>
          <w:tcPr>
            <w:tcW w:w="130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年度绩效</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指标</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一级指标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二级指标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绩效指标</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性质</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绩效指标值</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绩效度量单位</w:t>
            </w:r>
          </w:p>
        </w:tc>
        <w:tc>
          <w:tcPr>
            <w:tcW w:w="477" w:type="dxa"/>
            <w:tcBorders>
              <w:top w:val="single" w:color="000000" w:sz="4" w:space="0"/>
              <w:left w:val="single" w:color="000000" w:sz="4" w:space="0"/>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权重</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实际完成</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产出指标</w:t>
            </w:r>
          </w:p>
        </w:tc>
        <w:tc>
          <w:tcPr>
            <w:tcW w:w="116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数量指标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人员及公用经费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387.74</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保障17人在职职工全年工资及单位正常办公运转，实际支出372.13万元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59"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开展与重庆、杭州等外地工商联经贸考察交流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次</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组织企业赴重庆、杭州等地考察交流4次。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31"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召开“万企兴万村”行动专题会议</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次</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开全国“万企兴万村”行动西部片区座谈会、省“万企兴万村”行动推进会2场次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开展调研次数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次</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开展调研6次。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乡村振兴巩固耙耙柑产业园面积</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亩</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开展撂荒地复垦复耕工作，巩固耙耙柑产业园面积230亩。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FF"/>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发展会员个数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发展市传化物流、四川久达科技公司等10家企业为会员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FF"/>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拨付两新组织党建工作经费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发放年度考核奖缴纳覆盖率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FF"/>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参加四川“万企兴万村”行动推进会人数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人</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FF"/>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参加知名川商“广元行”活动人数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人</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FF"/>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参加全国“万企兴万村”行动会议</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人</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10"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质量指标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使用经济联络和法律维权经费，促进我市项目投资、产业协作经济活力等进一步提高</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定性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优良差</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级</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万企兴万村活动完成及时率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落实机关帮扶责任，巩固脱贫攻坚成果</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定性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优良差</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级</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全市民营经济人士守法经营、回报社会</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定性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优良差</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级</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优。4名企业家被评为省优秀中国特色社会主义事业建设者。永隆集团、旭航构件等5企业捐资助学130余万元，所属商协会党支部慈善捐款9.2万元。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6"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eastAsia="zh-CN"/>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民营经济人士培训人次</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100</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个</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组织组织企业家及商协会负责人赴陇南、广安、重庆等地考察学习4次，开展云课堂政策法规等民营经济人士素质提升培训4次，累计培训200余人。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效益指标</w:t>
            </w:r>
          </w:p>
        </w:tc>
        <w:tc>
          <w:tcPr>
            <w:tcW w:w="116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指标</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引导民营经济人士自觉履行社会责任</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定性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优良差</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其他</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强化对典型案例和先进标杆的宣传力度</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定性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优良差</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其他</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16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民营经济人士素质提升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定性</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优良差</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其他</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满意度指标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满意度指标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民营经济人士满意度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成本指标</w:t>
            </w:r>
          </w:p>
        </w:tc>
        <w:tc>
          <w:tcPr>
            <w:tcW w:w="116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经济成本指标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宣传调研工作经费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经济服务及维权经费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组织建设经费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万企兴万村经费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乡村振兴工作经费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1.82</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两新组织党建工作经费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5.78</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16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年度考核奖</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eastAsia" w:ascii="宋体" w:hAnsi="宋体" w:eastAsia="宋体" w:cs="宋体"/>
                <w:i w:val="0"/>
                <w:color w:val="000000"/>
                <w:sz w:val="21"/>
                <w:szCs w:val="21"/>
                <w:u w:val="none"/>
              </w:rPr>
            </w:pPr>
          </w:p>
        </w:tc>
        <w:tc>
          <w:tcPr>
            <w:tcW w:w="134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16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-全国万企兴万村行动西部片区广元座谈会、全省万企兴万村行动推进会和知名川商广元兴活动</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16.11</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万元</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16.11</w:t>
            </w:r>
          </w:p>
        </w:tc>
      </w:tr>
    </w:tbl>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pPr>
    </w:p>
    <w:p>
      <w:pPr>
        <w:rPr>
          <w:rFonts w:hint="eastAsia" w:ascii="黑体" w:hAnsi="黑体" w:eastAsia="黑体"/>
          <w:sz w:val="32"/>
          <w:szCs w:val="32"/>
        </w:rPr>
        <w:sectPr>
          <w:footerReference r:id="rId7" w:type="first"/>
          <w:footerReference r:id="rId6" w:type="default"/>
          <w:pgSz w:w="11906" w:h="16838"/>
          <w:pgMar w:top="2098" w:right="1474" w:bottom="1984" w:left="1587" w:header="851" w:footer="992" w:gutter="0"/>
          <w:pgNumType w:fmt="decimal"/>
          <w:cols w:space="425" w:num="1"/>
          <w:titlePg/>
          <w:docGrid w:type="lines" w:linePitch="312" w:charSpace="0"/>
        </w:sectPr>
      </w:pPr>
    </w:p>
    <w:tbl>
      <w:tblPr>
        <w:tblStyle w:val="16"/>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25"/>
        <w:gridCol w:w="1757"/>
        <w:gridCol w:w="2245"/>
        <w:gridCol w:w="519"/>
        <w:gridCol w:w="1660"/>
        <w:gridCol w:w="519"/>
        <w:gridCol w:w="1087"/>
        <w:gridCol w:w="505"/>
        <w:gridCol w:w="576"/>
        <w:gridCol w:w="2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因年中招录两名工作人员，预算资金有所增加，已足额发放工资，按标准缴纳社保。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按月发放工资和缴纳社保，无异常情况。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252.67</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267.32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251.70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年中招录公务员2名，年初调走公务员一名，调入公务员一名，因此追加预算14.65万元。因本年度期间考入，起薪时间为年中，因此预算略有结余。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252.67</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267.32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251.70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94.16%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99.4</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按进度保障人员工资经费正常发放，单位运转正常，自评得99.4分。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预算执行率未达到100%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进一步精确预算编制，严格遵守“过紧日子”要求，严把支出关，确保人员同工资经费同步精确调整。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保障退休人员丧葬费及抚恤金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按照标准发放退休公职人员丧葬费及抚恤金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17.36</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17.36</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17.36</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17.36</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按照要求按时支付退休公职人员死亡抚恤金，预算执行率100%，发放覆盖率100%，足额保障率100%，自评得100分。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按照退休人员生活补助标准，按月发放16名退休人员生活补助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按照退休人员生活补助标准，按月发放16名退休人员生活补助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按照退休人员生活补助标准，按月发放16名退休人员生活补助，预算执行率100%，发放覆盖率100%，足额保障率100%，自评得100分。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支付遗属生活补助0.71万元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按照标准发放遗属生活补助0.71万元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按照要求按时支付遗属生活补助，预算执行率100%，发放覆盖率100%，足额保障率100%，自评得100分。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严格按照过“紧日子”要求，压减三公经费支出，严把支出关，保障机关运行正常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严格按照过“紧日子”要求，按预算控制公用经费支出，保障机关运行正常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42.7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严格按照过“紧日子”要求，按预算控制公用经费支出，调整科目1次，预算编制准确，“三公经费”空置率小于100%，机关运行正常，自评得100分。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51080021T000000054676-宣传调研工作经费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主要用于2023年度市工商联宣传教育、调查研究、参政议政等相关工作开展，根据《中国共产党统一战线工作条例》（2020年12月21日印发）、中共中央办公厅印发《关于加强新时代民营经济统战工作的意见》（2020年9月15日印发）、《中共四川省委 四川省人民政府关于促进民营经济健康发展的意见》（2018年11月16日印发）等文件精神，按照分类调研、分类谋划、分类施策、分类推进的原则，丰富宣教工作载体，创新调查研究形式，提高建言献策水平，为较好地服务“两个健康”工作主题营造浓厚的舆论宣传氛围</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为加快建设川陕甘结合部现代化中心城市提供理论支撑。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全联民营企业运行状况问卷调查和万家民营企业评营商环境调查。民营企业调查点入库企业283家，较上年新增78家，入库率和填报质量大幅提升，利州区工商联获全国工商联2023年度民营企业调查点工作先进单位，市联、苍溪县联获省工商联民营企业调查点工作先进单位。完成省联民营经济发展情况报告、劳动关系监测和上规模民营企业等调查。开展民营企业运行现状线上问卷调查900余家次。参与市委民营经济发展研究调查，开展惠企政策落实、专精特新中小企业发展、营商环境等调研近40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上级单位要求及时间进度安排宣传教育、调查研究、参政议政等先关工作，完成全联民营企业运行状况问卷调查和万家民营企业评营商环境调查。民营企业调查点入库企业283家，较上年新增78家，入库率和填报质量大幅提升，利州区工商联获全国工商联2023年度民营企业调查点工作先进单位，市联、苍溪县联获省工商联民营企业调查点工作先进单位。完成省联民营经济发展情况报告、劳动关系监测和上规模民营企业等调查。开展民营企业运行现状线上问卷调查900余家次。参与市委民营经济发展研究调查，开展惠企政策落实、专精特新中小企业发展、营商环境等调研近40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开展调研次数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开展培训次数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全市民营经济人士守法经营、回报社会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引导民营经济人士自觉履行社会责任</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开展活动费用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超额完成数量指标，切实引导了民营经济人士自觉履行社会责任，做到了诚信守法经营，各项活动按进度有序推进，在一年内完成了所有任务，获得民营经济人士一致好评，满意度达到100%，预算使用完毕，达到预期效果，项目总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研究不够深入，在将调查研究的成果转化为解决民营企业急难愁盼问题、破解民营经济发展难题上有差距。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制定计划，选好课题，提高调研深度广度，扎实开展调查研究和参政议政工作，为党委政府决策提供参考。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项目负责人：李镓君</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严格执行预算，按月发放车贴，有序开展慰问党员等活动，合理购买党建学习书籍，公用经费支出合理。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按月发放车贴13.21万元，党建经费4.83万元，工会、福利经费3.68万元，退休人员活动经费0.72万元，均严格执行预算，按照计划有序使用。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22.44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严格按照过“紧日子”要求，按预算控制其他公用经费支出，未调整科目，预算编制准确，“三公经费”空置率小于100%，机关运行正常，自评得100分。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51080022T000004948580-经济服务及维权经费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分别开展与重庆、杭州等外地工商联经贸考察交流1次以上，推动产业项目来广考察、投资；开展法律知识培训1期以上，不断提升企业依法治企水平能力。搭建与外地工商联组织、商协会交流协作平台、民营企业走出去平台，促进我市项目投资、产业协作经济活力等进一步提高。具体工作：（1）融入成渝双城经济圈；（2）开展招商引资活动；（3）推动杭广协作；（4）法律维权服务。</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开展“大宣讲、大走访、大服务”活动，深入走访企业600余家次，编报《民企之声》等反映企业困难问题130余件次。做好统战部部长与民营企业家沟通协商“面对面”活动相关工作，协调落实省和市“面对面”活动企业反映困难问题及建议21个，调解矛盾纠纷8件次。政策服务突出“快”，及时编发《政策快递》10余期，通过网站、微信群推送政策信息72条次，召开惠企政策宣讲座谈会13次，印发惠企政策明白卡600余份。助力用工服务，参与组织企业用工招聘8次，达成初步就业意向1000余人，推动构建和谐劳动关系，推选新怡飞供应链有限公司进入省级和谐劳动关系示范企业创建名单。助力融资服务，开展银企对接16次，税企对接1次。加强法律服务，开展法治宣传和法律培训13期，健全与司法、法院、检察院、律所的联动机制，发挥商协会调解委员会作用，依法维护企业合法权益43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经贸考察交流次数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促进我市项目投资、产业协作经济活力等进一步提高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各任务完成时限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开展法律知识培训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经贸考察交流</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超额完成数量指标，切实促进了我市项目投资、产业协作经济活力等进一步提高，各项活动按进度有序推进，在一年内完成了所有任务，获得民营经济人士一致好评，满意度达到100%，预算使用完毕，达到预期效果，项目总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当前形势下，部分民营企业生产经营存在较大压力，在破解民营经济发展难题上还有差距。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快捷高效推送、宣传、解读惠企政策，做实政策服务。深入走访，畅通渠道，助企纾难解困，及时反映企业合理诉求和意见建议。搭建融资、用工服务平台，助企化解融资难用工难。聚焦护企业保权益，加强与司法部门协作，推动“万所联万会”、法官联系民营企业走深走实。加快商会调委会建设，打造工商联商会调解品牌。推进涉案企业合规改革试点，发挥第三方机制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项目负责人：韩圳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51080022T000004949072-组织建设经费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2023年度，市工商联组织召开1次全市基层组织建设推进会，筹建市内商会组织1个，创建省以上“四好”商会1个。2、市工商联2023年度拟发展会员10个以上，组织会员开展会员交流、建言献策等活动3次以上。3、2023年度，市工商联计划组织召开2次民营经济人士素质提升培训。</w:t>
            </w:r>
            <w:r>
              <w:rPr>
                <w:rStyle w:val="36"/>
                <w:rFonts w:eastAsia="宋体"/>
                <w:lang w:val="en-US" w:eastAsia="zh-CN" w:bidi="ar"/>
              </w:rPr>
              <w:t xml:space="preserve">        </w:t>
            </w:r>
            <w:r>
              <w:rPr>
                <w:rStyle w:val="37"/>
                <w:lang w:val="en-US" w:eastAsia="zh-CN" w:bidi="ar"/>
              </w:rPr>
              <w:br w:type="textWrapping"/>
            </w:r>
            <w:r>
              <w:rPr>
                <w:rStyle w:val="36"/>
                <w:rFonts w:eastAsia="宋体"/>
                <w:lang w:val="en-US" w:eastAsia="zh-CN" w:bidi="ar"/>
              </w:rPr>
              <w:t xml:space="preserve">        </w:t>
            </w:r>
            <w:r>
              <w:rPr>
                <w:rStyle w:val="37"/>
                <w:lang w:val="en-US" w:eastAsia="zh-CN" w:bidi="ar"/>
              </w:rPr>
              <w:br w:type="textWrapping"/>
            </w:r>
            <w:r>
              <w:rPr>
                <w:rStyle w:val="36"/>
                <w:rFonts w:eastAsia="宋体"/>
                <w:lang w:val="en-US" w:eastAsia="zh-CN" w:bidi="ar"/>
              </w:rPr>
              <w:t xml:space="preserve">        </w:t>
            </w:r>
            <w:r>
              <w:rPr>
                <w:rStyle w:val="37"/>
                <w:lang w:val="en-US" w:eastAsia="zh-CN" w:bidi="ar"/>
              </w:rPr>
              <w:br w:type="textWrapping"/>
            </w:r>
            <w:r>
              <w:rPr>
                <w:rStyle w:val="36"/>
                <w:rFonts w:eastAsia="宋体"/>
                <w:lang w:val="en-US" w:eastAsia="zh-CN" w:bidi="ar"/>
              </w:rPr>
              <w:t xml:space="preserve">        </w:t>
            </w:r>
            <w:r>
              <w:rPr>
                <w:rStyle w:val="37"/>
                <w:lang w:val="en-US" w:eastAsia="zh-CN" w:bidi="ar"/>
              </w:rPr>
              <w:br w:type="textWrapping"/>
            </w:r>
            <w:r>
              <w:rPr>
                <w:rStyle w:val="36"/>
                <w:rFonts w:eastAsia="宋体"/>
                <w:lang w:val="en-US" w:eastAsia="zh-CN" w:bidi="ar"/>
              </w:rPr>
              <w:t xml:space="preserve">        </w:t>
            </w:r>
            <w:r>
              <w:rPr>
                <w:rStyle w:val="37"/>
                <w:lang w:val="en-US" w:eastAsia="zh-CN" w:bidi="ar"/>
              </w:rPr>
              <w:br w:type="textWrapping"/>
            </w:r>
            <w:r>
              <w:rPr>
                <w:rStyle w:val="36"/>
                <w:rFonts w:eastAsia="宋体"/>
                <w:lang w:val="en-US" w:eastAsia="zh-CN" w:bidi="ar"/>
              </w:rPr>
              <w:t xml:space="preserve">        </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2023年10月，组织召开全市商协会工作会，表扬10家市级先进商会。推荐2家商会参评全国“四好”商会，组织企业家及商协会负责人赴陇南、广安、重庆等地考察学习。积极发展壮大会员队伍，2022年，吸纳市食品饮料行业协会、市百货零售协会为团体会员，发展市传化物流、广元广通国际、瑞锋精工、四川久达科技公司等企业为会员。指导县区工商联加强乡镇商会建设，乡镇商会覆盖率达80%以上。加强推进网上工商联建设，完成平台数据录入目标。加强县区工商联建设，旺苍县工商联等5个县区工商联被表扬为全国“五好县级工商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筹建市内商会组织个数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发展会员个数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创省四好商会个数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民营经济报人士培训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民营经济人士素质提升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各类培训所需会议及资料费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吸纳团体会员数2个，发展会员个数10个，创建四好商会个数2个，圆满完成数量指标。开展民营经济人士素质提能培训4次，切实提升民营经济人士能力本领，收到广泛好评，去年圆满完成各项任务，该项指标评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还存在组织覆盖不够广、服务手段不够新、服务能力不够强等问题。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完善县级工商联工作评价体系，巩固“五好”县级工商联建设成果。促进会员增量提质，积极吸纳创新型、引领型、产业骨干、产业链主等企业为市直会员，有序新增或吸纳团体会员。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项目负责人：王家宝</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51080022T000004949089-万企兴万村经费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企业参与“万企兴万村”行动，召开2次以上专题会议研究部署工作和总结表彰；组织人员到村到企开展调研，摸清家底，逐村制定工作方案；全覆盖到村到企指导工作开展，确保274个乡村振兴重点村至少有一家企业帮联，有具体工作举措；强化工作宣传，对帮联过程中的典型案例和先进加大宣传力度，树立标杆，营造氛围；开展1次以上相关业务培训会议，为更好推动工作开展打下基础。</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持续推进“万企兴万村”行动。明确年度任务，将“万企兴万村”行动纳入对县区工商联年度考核，组织开展“万企兴万村”专项调研活动10余场次，系统总结全市万企兴万村行动取得的成绩。省委常委、省委统战部部长赵俊民，省工商联副主席胡景寿先后莅广调研，全国“万企兴万村”行动西部片区座谈会、省“万企兴万村”行动推进会在广元召开，我市工作得到有关领导和与会嘉宾的高度肯定。全年，全市新增村企结对数82对，新增投资1.2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召开专题会议次数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活动完成及时率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各任务完成时限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强化工作宣传，对帮联过程中的典型案例和先进加大宣传力度，树立标杆，营造氛围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强化工作宣传，对帮联过程中的典型案例和先进加大宣传力度，树立标杆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民营经济人士满意度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召开2次以上专题会议，组织人员调研</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召开专题会议两次，及时完成各项任务。省委常委、省委统战部部长赵俊民，省工商联副主席胡景寿先后莅广调研，典型经验做法受到领导高度肯定，被《中华工商联时报》广泛宣传报道，自评得100分。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对工作经验和成果总结宣传还不够。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坚持协同推进，强化分类指导，持续提升企业参与率。以产业为重点，强化示范点带动。抓好平台数据填报管理，注重提炼经验做法，及时反映工作动态。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项目负责人：韩圳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51080022T000004949092-乡村振兴工作经费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在驻村工作中开展一、以习近平新时代中国特色社会主义思想为指引，加强帮扶村党的建设，以党建促进乡村振兴工作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1、巩固完善村级阵地建设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2、加强班子和党员队伍建设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3、加强村级治理和提升为民办事服务能力的建设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二、巩固脱贫攻坚成果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1、继续保持51户脱贫户持续稳定增收，确保不出现规模性返贫</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2、推动全村农户持续稳定增收。加强监测低收入农户，或因病、灾、意外事故造成减收的边缘户和临界返贫户，确保不出现大量返贫现象。</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3、持续稳定推动原有集体经济发展。</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三、巩固拓展脱贫攻坚成果与乡村振兴有效衔接工作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1、持续深化与帮扶村和农户开展结对工作。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（1）两个帮扶单位与村上的结队工作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（2）帮扶干部与村户的结对工作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2、争取社会力量与村的结对工作。一是杭广合作，协调引入浙江、杭州商协会、民营企业与村结对。二是在“万企兴万村”模式下，协调本地商 协会、民营企业与村结对。三是引入民间资本与村结对。四是利用东西部扶贫协作项目、资金等外来资源推动乡村振兴工作。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3、持续深入扩大推进集体经济发展</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（1）以集体入股参股形式，扩大发展养殖场（鸡、鹿等）。</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（2）巩固提升耙耙柑产业园100亩、及散户50亩；脆香甜柚80亩；料场的管理利用</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（3）利用当地有利资源兴办小型农副产品加工企业（比如糙米加工、九龙山矿泉水、酿酒等）</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一、建强村党组织：第一书记、驻村队长、工作队员积极组织村“两委”开展党的政策理论知识的学习，助柏溪村培育了2名入党积极分子，如期转正1名预备党员，增强了村党组织后备力量。二、推进强村富民：鼓励脱贫户积极发展粮油和果树稳粮增收。驻村队根据农时，到农户指导旱秧育秧管理，小春田管，双抢双收。开展撂荒地复垦复耕工作，全村耕地面积应种尽种，确保粮油安全。4月份，市农科院果树所专家冯建海一行到脱贫户程孟华等入户指导李子树等果树管理技术。组织帮扶单位以购代扶购买农副产品0.287万元。认真摸排全村特殊困难群体，了解其生产生活情况，适时组织慰问，确保这些群众温暖过冬，保证了全村重点人群稳控。三、促进集体经济产业升级，稳定农户就业增收，推进乡村振兴工作发放农业科技知识等各项宣传资料1500份。发放青饲玉米种子60斤，帮助村发展肉牛羊养殖业。组织帮扶单位购买协调到位集体经济清产核资经费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巩固提升耙耙柑产业园面积</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活动完成时限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利用当地有利资源兴办小型农副产品加工企业（比如糙米加工、九龙山矿泉水、酿酒等）</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以集体入股参股形式，扩大发展养殖场利用当地有利资源兴办小型农副产品加工企业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引入民间资本与村结对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脱贫攻坚成果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驻村队员费用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提升粑粑柑产业面积230亩，年内利用当地有利资源兴办橄榄油加工提纯等企业，鼓励农户+村集体+企业的合作模式，加大农产品种植力度，促进民间资本与村结对，助力帮扶对象提升收入，有效巩固脱贫攻坚成果，该项目预算完成，取得良好效果，总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还应该在帮助农民增收、推进乡村产业发展方面取得更好的工作成效。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以全面推进柏溪村产业、人才、文化、生态、组织“五大振兴”为抓手，按照产业兴旺、生态宜居、乡风文明、治理有效、生活富裕总要求，着力促进农业高质高效、乡村宜居宜业、农民富裕富足，加快农业农村现代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项目负责人：韩圳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发放基础绩效奖及生活补助8.31万元。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按时发放基础绩效奖及生活补助8.31万元。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按时发放基础绩效奖及生活补助8.31万元，发放覆盖率100%，足额保障率100%，自评得100分。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按进度发放2022年绩效奖考核第二、第三部分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按进度发放2022年绩效奖考核第二部分4.5万元，第三部分4.28万元。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按进度发放2022年绩效奖考核第二部分4.5万元，第三部分4.28万元，发放覆盖率100%，足额保障率100%，自评得100分。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51080023T000008575710-两新组织党建工作经费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组织部拨付两新组织工作经费</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总划拨金额5.78万元。其中，广元市工商联直属商协会联合党委2万元，广元市商贸协会党支部、福建商会党支部、浙江温州商会党支部、市江西商会党支部、市广告协会党支部、市汽车行业协会党支部、市质量品牌协会党支部、市五金机电建材商会党支部、市遂宁商会党支部等9个党支部每个党支部经费0.42万元（包含：0.3万元党组织活动经费、0.12万元党组织书记岗位补贴），共计3.78万元；执行数5.78万元，年末结余0，完成预算的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总划拨金额5.78万元。其中，广元市工商联直属商协会联合党委2万元，广元市商贸协会党支部、福建商会党支部、浙江温州商会党支部、市江西商会党支部、市广告协会党支部、市汽车行业协会党支部、市质量品牌协会党支部、市五金机电建材商会党支部、市遂宁商会党支部等9个党支部每个党支部经费0.42万元（包含：0.3万元党组织活动经费、0.12万元党组织书记岗位补贴），共计3.78万元；执行数5.78万元，年末结余0，完成预算的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5.78</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支部工作经费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党支部开展活动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活动完成及时率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直属商协会党支部活动开展情况</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直属商协会党支部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4.78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党建工作经费支撑，确保广元市工商联直属商协会联合党委，广元市商贸协会党支部、福建商会党支部、浙江温州商会党支部、市江西商会党支部、市广告协会党支部、市汽车行业协会党支部、市质量品牌协会党支部、市五金机电建材商会党支部、市遂宁商会党支部等9个党支部扎实开展党建活动，党支部书记认真履职，积极发挥党支部班子的关键作用。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党建工作定位不够明晰、党建工作质效有待提高、党建工作所需人才不足、党员队伍培养力度不够等问题。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持续强化思想政治引领。引导商会党支部和党员深入学习贯彻习近平新时代中国特色社会主义思想，团结带领广大民营经济人士与党同心同德。（二）持续推进标准化建设。指导所属商协会党组织开展好专题组织生活会暨民主评议党员，抓好“三会一课”、主题党日、党组织书记述职等组织生活制度，支部书记带头讲党课。（三）持续突出组织发展基础。指导党支部做好换届工作；按照“成熟一个，组建一个”原则，筹备组建商协会党支部，严格规范发展党员。（四）持续加强党员队伍建设。坚持专兼职结合，多渠道、多样化选用，强化培训提能，不断增强内生动力和队伍活力。充分发挥商会党组织的辐射作用，以商会党建支持、带动会员企业人才队伍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项目负责人：徐飞</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预发2022年在职绩效奖第一部分，人均7000</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已发放2022年在职绩效考核奖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按要求发放2022年在职绩效考核奖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按要求发放2022年在职绩效奖第一部分，发放覆盖率100%，足额保障率100%，自评得100分。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项目负责人：赵钰</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51080024T000011015354-全国万企兴万村行动西部片区广元座谈会、全省万企兴万村行动推进会和知名川商广元兴活动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争取全国“万企兴万村”行动会议、全省“万企兴万村”行动推进会和知名川商“广元行”活动在我市召开，提升广元形象和品牌，扩大招商引资宣传，我市“1345”发展战略得到进一步彰显。</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顺利承办四川“万企兴万村”行动推进会，参会人员220人，妥当安排食宿。顺利举办知名川商“广元行”活动，参加人数90人，取得良好效果。承办全国“万企兴万村”行动西部片区座谈会，参会人数220人，受到全国工商联副主席方光华，省委常委、省委统战部部长赵俊民高度肯定，获得全国各地民营企业家一致认可，被中华工商时报宣传报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顺利承办四川“万企兴万村”行动推进会，参会人员220人，妥当安排食宿。顺利举办知名川商“广元行”活动，参加人数90人，取得良好效果。承办全国“万企兴万村”行动西部片区座谈会，参会人数220人，受到全国工商联副主席方光华，省委常委、省委统战部部长赵俊民高度肯定，获得全国各地民营企业家一致认可，被中华工商时报宣传报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16.11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16.11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16.11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16.11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参加四川“万企兴万村”行动推进会人数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参加知名川商“广元行”活动人数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参加全国“万企兴万村”行动会议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召知名川商“广元行”活动民营企业参会率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全国“万企兴万村”行动西部片区（广元）座谈会民营企业参会率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四川“万企兴万村”行动推进会民营企业参会率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任务完成及时率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参会人员对广元发展情况有较好认识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广元“1345”战略得到有效宣传和贯彻</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对广元“万企兴万村”行动满意度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完成任务费用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161118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161118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顺利召开全国“万企兴万村”行动西部片区（广元）座谈会，四川省“万企兴万村”行动推进会和知名川商“广元行”活动，来自西部各省（区、市）、四川各市州工商联负责同志和民营企业家231人参加活动，受到全国工商联副主席方光华，省委常委、省委统战部部长赵俊民高度肯定，获得全国各地民营企业家一致认可，被中华工商时报宣传报道，自评得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活动后期招商引资工作需进一步加大对接。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加强同各地工商联、民营企业的沟通联系，积极开展招商引资。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项目负责人：韩圳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财务负责人：向德</w:t>
            </w:r>
          </w:p>
        </w:tc>
      </w:tr>
    </w:tbl>
    <w:p>
      <w:pPr>
        <w:rPr>
          <w:rFonts w:hint="eastAsia" w:ascii="黑体" w:hAnsi="黑体" w:eastAsia="黑体"/>
          <w:sz w:val="32"/>
          <w:szCs w:val="32"/>
        </w:rPr>
      </w:pPr>
      <w:r>
        <w:rPr>
          <w:rFonts w:hint="eastAsia" w:ascii="黑体" w:hAnsi="黑体" w:eastAsia="黑体"/>
          <w:sz w:val="32"/>
          <w:szCs w:val="32"/>
        </w:rPr>
        <w:br w:type="page"/>
      </w:r>
    </w:p>
    <w:p>
      <w:pPr>
        <w:pageBreakBefore w:val="0"/>
        <w:kinsoku/>
        <w:wordWrap/>
        <w:overflowPunct/>
        <w:topLinePunct w:val="0"/>
        <w:bidi w:val="0"/>
        <w:spacing w:line="576" w:lineRule="exact"/>
        <w:ind w:left="0" w:leftChars="0" w:right="0"/>
        <w:textAlignment w:val="auto"/>
        <w:rPr>
          <w:rFonts w:hint="eastAsia" w:ascii="黑体" w:hAnsi="黑体" w:eastAsia="黑体"/>
          <w:sz w:val="32"/>
          <w:szCs w:val="32"/>
        </w:rPr>
        <w:sectPr>
          <w:pgSz w:w="16838" w:h="11906" w:orient="landscape"/>
          <w:pgMar w:top="1587" w:right="2098" w:bottom="1474" w:left="1984" w:header="851" w:footer="992" w:gutter="0"/>
          <w:pgNumType w:fmt="decimal"/>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textAlignment w:val="auto"/>
        <w:outlineLvl w:val="9"/>
        <w:rPr>
          <w:rFonts w:ascii="黑体" w:hAnsi="黑体" w:eastAsia="黑体"/>
          <w:sz w:val="32"/>
          <w:szCs w:val="32"/>
        </w:rPr>
      </w:pPr>
      <w:bookmarkStart w:id="99" w:name="_Toc1685"/>
      <w:r>
        <w:rPr>
          <w:rFonts w:hint="eastAsia" w:ascii="黑体" w:hAnsi="黑体" w:eastAsia="黑体"/>
          <w:sz w:val="32"/>
          <w:szCs w:val="32"/>
        </w:rPr>
        <w:t>附件2</w:t>
      </w:r>
      <w:bookmarkEnd w:id="99"/>
    </w:p>
    <w:p>
      <w:pPr>
        <w:pStyle w:val="35"/>
        <w:spacing w:line="576" w:lineRule="exact"/>
        <w:jc w:val="center"/>
        <w:rPr>
          <w:rFonts w:hint="eastAsia" w:ascii="方正小标宋_GBK" w:hAnsi="方正小标宋_GBK" w:eastAsia="方正小标宋_GBK" w:cs="方正小标宋_GBK"/>
          <w:color w:val="auto"/>
          <w:kern w:val="2"/>
          <w:sz w:val="44"/>
          <w:szCs w:val="44"/>
          <w:lang w:val="zh-CN" w:eastAsia="zh-CN" w:bidi="ar-SA"/>
        </w:rPr>
      </w:pPr>
      <w:r>
        <w:rPr>
          <w:rFonts w:hint="eastAsia" w:ascii="方正小标宋简体" w:hAnsi="方正小标宋简体" w:eastAsia="方正小标宋简体" w:cs="方正小标宋简体"/>
          <w:color w:val="auto"/>
          <w:kern w:val="2"/>
          <w:sz w:val="44"/>
          <w:szCs w:val="44"/>
          <w:lang w:val="en-US"/>
        </w:rPr>
        <w:t>广元市工商业联合会</w:t>
      </w:r>
    </w:p>
    <w:p>
      <w:pPr>
        <w:pStyle w:val="13"/>
        <w:keepNext w:val="0"/>
        <w:keepLines w:val="0"/>
        <w:pageBreakBefore w:val="0"/>
        <w:widowControl/>
        <w:suppressLineNumbers w:val="0"/>
        <w:kinsoku/>
        <w:wordWrap/>
        <w:overflowPunct w:val="0"/>
        <w:topLinePunct/>
        <w:autoSpaceDE/>
        <w:autoSpaceDN/>
        <w:bidi w:val="0"/>
        <w:adjustRightInd/>
        <w:snapToGrid/>
        <w:spacing w:beforeAutospacing="0" w:afterAutospacing="0" w:line="576" w:lineRule="exact"/>
        <w:ind w:left="0" w:right="0" w:firstLine="0"/>
        <w:jc w:val="center"/>
        <w:textAlignment w:val="auto"/>
        <w:outlineLvl w:val="1"/>
        <w:rPr>
          <w:rFonts w:hint="eastAsia" w:ascii="方正小标宋_GBK" w:hAnsi="方正小标宋_GBK" w:eastAsia="方正小标宋_GBK" w:cs="方正小标宋_GBK"/>
          <w:color w:val="auto"/>
          <w:kern w:val="2"/>
          <w:sz w:val="44"/>
          <w:szCs w:val="44"/>
          <w:lang w:val="zh-CN" w:eastAsia="zh-CN" w:bidi="ar-SA"/>
        </w:rPr>
      </w:pPr>
      <w:bookmarkStart w:id="100" w:name="_Toc4962"/>
      <w:r>
        <w:rPr>
          <w:rFonts w:hint="eastAsia" w:ascii="方正小标宋_GBK" w:hAnsi="方正小标宋_GBK" w:eastAsia="方正小标宋_GBK" w:cs="方正小标宋_GBK"/>
          <w:color w:val="auto"/>
          <w:kern w:val="2"/>
          <w:sz w:val="44"/>
          <w:szCs w:val="44"/>
          <w:lang w:val="zh-CN" w:eastAsia="zh-CN" w:bidi="ar-SA"/>
        </w:rPr>
        <w:t>全国万企兴万村行动西部片区广元座谈会、全省万企兴万村行动推进会和知名川商广元行</w:t>
      </w:r>
      <w:bookmarkEnd w:id="100"/>
    </w:p>
    <w:p>
      <w:pPr>
        <w:pStyle w:val="13"/>
        <w:keepNext w:val="0"/>
        <w:keepLines w:val="0"/>
        <w:pageBreakBefore w:val="0"/>
        <w:widowControl/>
        <w:suppressLineNumbers w:val="0"/>
        <w:kinsoku/>
        <w:wordWrap/>
        <w:overflowPunct w:val="0"/>
        <w:topLinePunct/>
        <w:autoSpaceDE/>
        <w:autoSpaceDN/>
        <w:bidi w:val="0"/>
        <w:adjustRightInd/>
        <w:snapToGrid/>
        <w:spacing w:beforeAutospacing="0" w:afterAutospacing="0" w:line="576" w:lineRule="exact"/>
        <w:ind w:left="0" w:right="0" w:firstLine="0"/>
        <w:jc w:val="center"/>
        <w:textAlignment w:val="auto"/>
        <w:outlineLvl w:val="1"/>
        <w:rPr>
          <w:rFonts w:ascii="方正小标宋_GBK" w:hAnsi="方正小标宋_GBK" w:eastAsia="方正小标宋_GBK" w:cs="方正小标宋_GBK"/>
          <w:color w:val="auto"/>
          <w:kern w:val="2"/>
          <w:sz w:val="44"/>
          <w:szCs w:val="44"/>
        </w:rPr>
      </w:pPr>
      <w:bookmarkStart w:id="101" w:name="_Toc7128"/>
      <w:r>
        <w:rPr>
          <w:rFonts w:hint="eastAsia" w:ascii="方正小标宋_GBK" w:hAnsi="方正小标宋_GBK" w:eastAsia="方正小标宋_GBK" w:cs="方正小标宋_GBK"/>
          <w:color w:val="auto"/>
          <w:kern w:val="2"/>
          <w:sz w:val="44"/>
          <w:szCs w:val="44"/>
          <w:lang w:val="zh-CN" w:eastAsia="zh-CN" w:bidi="ar-SA"/>
        </w:rPr>
        <w:t>活动</w:t>
      </w:r>
      <w:r>
        <w:rPr>
          <w:rFonts w:hint="eastAsia" w:ascii="方正小标宋_GBK" w:hAnsi="方正小标宋_GBK" w:eastAsia="方正小标宋_GBK" w:cs="方正小标宋_GBK"/>
          <w:color w:val="auto"/>
          <w:kern w:val="2"/>
          <w:sz w:val="44"/>
          <w:szCs w:val="44"/>
        </w:rPr>
        <w:t>专项预算项目支出绩效自评报告</w:t>
      </w:r>
      <w:bookmarkEnd w:id="101"/>
    </w:p>
    <w:p>
      <w:pPr>
        <w:pageBreakBefore w:val="0"/>
        <w:kinsoku/>
        <w:wordWrap/>
        <w:overflowPunct/>
        <w:topLinePunct w:val="0"/>
        <w:bidi w:val="0"/>
        <w:spacing w:line="576" w:lineRule="exact"/>
        <w:ind w:left="0" w:leftChars="0" w:right="0"/>
        <w:textAlignment w:val="auto"/>
        <w:rPr>
          <w:rFonts w:eastAsia="仿宋_GB2312"/>
          <w:sz w:val="32"/>
          <w:szCs w:val="32"/>
          <w:lang w:val="zh-CN"/>
        </w:rPr>
      </w:pP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6" w:firstLineChars="200"/>
        <w:jc w:val="both"/>
        <w:textAlignment w:val="auto"/>
        <w:outlineLvl w:val="2"/>
        <w:rPr>
          <w:rFonts w:hint="eastAsia" w:ascii="黑体" w:hAnsi="宋体" w:eastAsia="黑体" w:cs="Times New Roman"/>
          <w:spacing w:val="-6"/>
          <w:kern w:val="2"/>
          <w:sz w:val="32"/>
          <w:szCs w:val="32"/>
        </w:rPr>
      </w:pPr>
      <w:bookmarkStart w:id="102" w:name="_Toc23353"/>
      <w:r>
        <w:rPr>
          <w:rFonts w:hint="eastAsia" w:ascii="黑体" w:hAnsi="宋体" w:eastAsia="黑体" w:cs="黑体"/>
          <w:spacing w:val="-6"/>
          <w:kern w:val="2"/>
          <w:sz w:val="32"/>
          <w:szCs w:val="32"/>
          <w:lang w:val="en-US" w:eastAsia="zh-CN" w:bidi="ar"/>
        </w:rPr>
        <w:t>一、项目概况</w:t>
      </w:r>
      <w:bookmarkEnd w:id="102"/>
    </w:p>
    <w:p>
      <w:pPr>
        <w:keepNext w:val="0"/>
        <w:keepLines w:val="0"/>
        <w:pageBreakBefore w:val="0"/>
        <w:widowControl/>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8" w:firstLineChars="200"/>
        <w:contextualSpacing/>
        <w:jc w:val="left"/>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（一）设立背景及基本情况。</w:t>
      </w:r>
      <w:r>
        <w:rPr>
          <w:rFonts w:hint="eastAsia" w:ascii="仿宋_GB2312" w:hAnsi="Times New Roman" w:eastAsia="仿宋_GB2312" w:cs="仿宋_GB2312"/>
          <w:spacing w:val="-6"/>
          <w:kern w:val="2"/>
          <w:sz w:val="32"/>
          <w:szCs w:val="32"/>
          <w:lang w:val="en-US" w:eastAsia="zh-CN" w:bidi="ar"/>
        </w:rPr>
        <w:t>9月10日，全国工商联、省工商联确定在我市举办相关会议活动后，我会主要领导庚即向市委、市政府主要领导和分管领导报告了相关情况，市委、市政府主要领导亲自审定会议活动工作方案，市委、市政府分管领导亲自研究安排、督查会议活动筹备工作。</w:t>
      </w:r>
    </w:p>
    <w:p>
      <w:pPr>
        <w:keepNext w:val="0"/>
        <w:keepLines w:val="0"/>
        <w:pageBreakBefore w:val="0"/>
        <w:widowControl/>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6" w:firstLineChars="200"/>
        <w:contextualSpacing/>
        <w:jc w:val="left"/>
        <w:textAlignment w:val="auto"/>
        <w:rPr>
          <w:rFonts w:hint="eastAsia" w:ascii="仿宋" w:hAnsi="仿宋" w:eastAsia="仿宋" w:cs="仿宋"/>
          <w:spacing w:val="-6"/>
          <w:kern w:val="0"/>
          <w:sz w:val="32"/>
          <w:szCs w:val="32"/>
          <w:shd w:val="clear" w:fill="FFFFFF"/>
        </w:rPr>
      </w:pPr>
      <w:r>
        <w:rPr>
          <w:rFonts w:hint="eastAsia" w:ascii="仿宋_GB2312" w:hAnsi="Times New Roman" w:eastAsia="仿宋_GB2312" w:cs="仿宋_GB2312"/>
          <w:color w:val="000000"/>
          <w:spacing w:val="-6"/>
          <w:kern w:val="2"/>
          <w:sz w:val="32"/>
          <w:szCs w:val="32"/>
          <w:lang w:val="en-US" w:eastAsia="zh-CN" w:bidi="ar"/>
        </w:rPr>
        <w:t>在民营企业经济服务工作项目中，广元市工商业联合会（以下简称“市工商联”）主要职能为：一是负责该项目的策划、组织、实施，推动项目顺利开展并达到预期效果。二是负责该项目资金的预算、使用和管理，确保项目资金使用合法合规，</w:t>
      </w:r>
      <w:r>
        <w:rPr>
          <w:rFonts w:hint="eastAsia" w:ascii="仿宋_GB2312" w:hAnsi="Times New Roman" w:eastAsia="仿宋_GB2312" w:cs="仿宋_GB2312"/>
          <w:color w:val="000000"/>
          <w:spacing w:val="-6"/>
          <w:kern w:val="0"/>
          <w:sz w:val="32"/>
          <w:szCs w:val="32"/>
          <w:shd w:val="clear" w:fill="FFFFFF"/>
          <w:lang w:val="en-US" w:eastAsia="zh-CN" w:bidi="ar"/>
        </w:rPr>
        <w:t>确保在规定的时限内保质保量完成并</w:t>
      </w:r>
      <w:r>
        <w:rPr>
          <w:rFonts w:hint="eastAsia" w:ascii="仿宋_GB2312" w:hAnsi="Times New Roman" w:eastAsia="仿宋_GB2312" w:cs="仿宋_GB2312"/>
          <w:color w:val="000000"/>
          <w:spacing w:val="-6"/>
          <w:kern w:val="2"/>
          <w:sz w:val="32"/>
          <w:szCs w:val="32"/>
          <w:lang w:val="en-US" w:eastAsia="zh-CN" w:bidi="ar"/>
        </w:rPr>
        <w:t>发挥资金最大效益。三是</w:t>
      </w:r>
      <w:r>
        <w:rPr>
          <w:rFonts w:hint="eastAsia" w:ascii="仿宋_GB2312" w:hAnsi="Times New Roman" w:eastAsia="仿宋_GB2312" w:cs="仿宋_GB2312"/>
          <w:color w:val="000000"/>
          <w:spacing w:val="-6"/>
          <w:kern w:val="0"/>
          <w:sz w:val="32"/>
          <w:szCs w:val="32"/>
          <w:shd w:val="clear" w:fill="FFFFFF"/>
          <w:lang w:val="en-US" w:eastAsia="zh-CN" w:bidi="ar"/>
        </w:rPr>
        <w:t>全面检查总结项目完成情况，做好项目实施和资金使用的绩效评价工作。</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8" w:firstLineChars="20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（二）实施目的及支持方向。</w:t>
      </w:r>
      <w:r>
        <w:rPr>
          <w:rFonts w:hint="eastAsia" w:ascii="仿宋_GB2312" w:hAnsi="Times New Roman" w:eastAsia="仿宋_GB2312" w:cs="仿宋_GB2312"/>
          <w:spacing w:val="-6"/>
          <w:kern w:val="2"/>
          <w:sz w:val="32"/>
          <w:szCs w:val="32"/>
          <w:lang w:val="en-US" w:eastAsia="zh-CN" w:bidi="ar"/>
        </w:rPr>
        <w:t>组织开展全国“万企兴万村”行动会议、全省“万企兴万村”行动推进会和知名川商“广元行”活动。相关经费用于会议费用支出。</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8" w:firstLineChars="20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（三）预算安排及分配管理。</w:t>
      </w:r>
      <w:r>
        <w:rPr>
          <w:rFonts w:hint="eastAsia" w:ascii="仿宋_GB2312" w:hAnsi="Times New Roman" w:eastAsia="仿宋_GB2312" w:cs="仿宋_GB2312"/>
          <w:spacing w:val="-6"/>
          <w:kern w:val="2"/>
          <w:sz w:val="32"/>
          <w:szCs w:val="32"/>
          <w:lang w:val="en-US" w:eastAsia="zh-CN" w:bidi="ar"/>
        </w:rPr>
        <w:t>该项目资金申报16.11万元，财政批复16.11万元。执行数16.11万元，年末结余0，完成预算的100%。截至2023年12月31日，该项目实际到位资金16.11万元。截至2023年12月31日，该项目使用资金16.11万元，主要用于人员会议相关费用。我会单位财务管理制度健全，严格执行财务管理制度，账务处理及时，会计核算规范。</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8" w:firstLineChars="20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（四）项目绩效目标设置。</w:t>
      </w:r>
      <w:r>
        <w:rPr>
          <w:rFonts w:hint="eastAsia" w:ascii="仿宋_GB2312" w:hAnsi="Times New Roman" w:eastAsia="仿宋_GB2312" w:cs="仿宋_GB2312"/>
          <w:spacing w:val="-6"/>
          <w:kern w:val="2"/>
          <w:sz w:val="32"/>
          <w:szCs w:val="32"/>
          <w:lang w:val="en-US" w:eastAsia="zh-CN" w:bidi="ar"/>
        </w:rPr>
        <w:t>项目实施过程中，严格按照工作实际需要，与市委市政府对我会的要求一致。申报的项目目标符合我会实际，合理可行。</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6" w:firstLineChars="200"/>
        <w:jc w:val="both"/>
        <w:textAlignment w:val="auto"/>
        <w:outlineLvl w:val="2"/>
        <w:rPr>
          <w:rFonts w:hint="eastAsia" w:ascii="黑体" w:hAnsi="宋体" w:eastAsia="黑体" w:cs="Times New Roman"/>
          <w:spacing w:val="-6"/>
          <w:kern w:val="2"/>
          <w:sz w:val="32"/>
          <w:szCs w:val="32"/>
        </w:rPr>
      </w:pPr>
      <w:bookmarkStart w:id="103" w:name="_Toc30271"/>
      <w:r>
        <w:rPr>
          <w:rFonts w:hint="eastAsia" w:ascii="黑体" w:hAnsi="宋体" w:eastAsia="黑体" w:cs="黑体"/>
          <w:spacing w:val="-6"/>
          <w:kern w:val="2"/>
          <w:sz w:val="32"/>
          <w:szCs w:val="32"/>
          <w:lang w:val="en-US" w:eastAsia="zh-CN" w:bidi="ar"/>
        </w:rPr>
        <w:t>二、评价实施</w:t>
      </w:r>
      <w:bookmarkEnd w:id="103"/>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4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（一）评价目的。</w:t>
      </w:r>
      <w:r>
        <w:rPr>
          <w:rFonts w:hint="eastAsia" w:ascii="仿宋_GB2312" w:hAnsi="Times New Roman" w:eastAsia="仿宋_GB2312" w:cs="仿宋_GB2312"/>
          <w:spacing w:val="-6"/>
          <w:kern w:val="2"/>
          <w:sz w:val="32"/>
          <w:szCs w:val="32"/>
          <w:lang w:val="en-US" w:eastAsia="zh-CN" w:bidi="ar"/>
        </w:rPr>
        <w:t>进一步规范项目经费使用。</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8" w:firstLineChars="20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（二）预设问题及评价重点。</w:t>
      </w:r>
      <w:r>
        <w:rPr>
          <w:rFonts w:hint="eastAsia" w:ascii="仿宋_GB2312" w:hAnsi="Times New Roman" w:eastAsia="仿宋_GB2312" w:cs="仿宋_GB2312"/>
          <w:spacing w:val="-6"/>
          <w:kern w:val="2"/>
          <w:sz w:val="32"/>
          <w:szCs w:val="32"/>
          <w:lang w:val="en-US" w:eastAsia="zh-CN" w:bidi="ar"/>
        </w:rPr>
        <w:t>重点对参会人员和会议时长进行评价。</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8" w:firstLineChars="20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（三）评价选点。</w:t>
      </w:r>
      <w:r>
        <w:rPr>
          <w:rFonts w:hint="eastAsia" w:ascii="仿宋_GB2312" w:hAnsi="Times New Roman" w:eastAsia="仿宋_GB2312" w:cs="仿宋_GB2312"/>
          <w:spacing w:val="-6"/>
          <w:kern w:val="2"/>
          <w:sz w:val="32"/>
          <w:szCs w:val="32"/>
          <w:lang w:val="en-US" w:eastAsia="zh-CN" w:bidi="ar"/>
        </w:rPr>
        <w:t>重点对参会人员情况进行抽查。</w:t>
      </w:r>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4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（四）评价方法。</w:t>
      </w:r>
      <w:r>
        <w:rPr>
          <w:rFonts w:hint="eastAsia" w:ascii="仿宋_GB2312" w:hAnsi="Times New Roman" w:eastAsia="仿宋_GB2312" w:cs="仿宋_GB2312"/>
          <w:spacing w:val="-6"/>
          <w:kern w:val="2"/>
          <w:sz w:val="32"/>
          <w:szCs w:val="32"/>
          <w:lang w:val="en-US" w:eastAsia="zh-CN" w:bidi="ar"/>
        </w:rPr>
        <w:t>主要采用成本效益分析法、案卷研究法、单位自评法进行评价，对会议效果和项目支出票据进行查验。</w:t>
      </w:r>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40"/>
        <w:jc w:val="both"/>
        <w:textAlignment w:val="auto"/>
        <w:rPr>
          <w:rFonts w:hint="eastAsia" w:ascii="仿宋_GB2312" w:eastAsia="仿宋_GB2312" w:cs="仿宋_GB2312"/>
          <w:spacing w:val="-6"/>
          <w:kern w:val="2"/>
          <w:sz w:val="32"/>
          <w:szCs w:val="32"/>
        </w:rPr>
      </w:pPr>
      <w:r>
        <w:rPr>
          <w:rFonts w:hint="eastAsia" w:ascii="楷体" w:hAnsi="楷体" w:eastAsia="楷体" w:cs="楷体"/>
          <w:b/>
          <w:bCs w:val="0"/>
          <w:spacing w:val="-6"/>
          <w:kern w:val="2"/>
          <w:sz w:val="32"/>
          <w:szCs w:val="32"/>
          <w:lang w:val="en-US" w:eastAsia="zh-CN" w:bidi="ar"/>
        </w:rPr>
        <w:t>（五）评价组织。</w:t>
      </w:r>
      <w:r>
        <w:rPr>
          <w:rFonts w:hint="eastAsia" w:ascii="仿宋_GB2312" w:hAnsi="Times New Roman" w:eastAsia="仿宋_GB2312" w:cs="仿宋_GB2312"/>
          <w:spacing w:val="-6"/>
          <w:kern w:val="2"/>
          <w:sz w:val="32"/>
          <w:szCs w:val="32"/>
          <w:lang w:val="en-US" w:eastAsia="zh-CN" w:bidi="ar"/>
        </w:rPr>
        <w:t>为做好项目支出绩效自评工作，我会成立了由会分管领导牵头，办公室具体承办，会计、出纳等具体负责负责项目支出绩效自评各项工作。</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6" w:firstLineChars="200"/>
        <w:jc w:val="both"/>
        <w:textAlignment w:val="auto"/>
        <w:outlineLvl w:val="2"/>
        <w:rPr>
          <w:rFonts w:hint="eastAsia" w:ascii="仿宋" w:hAnsi="宋体" w:eastAsia="仿宋" w:cs="Times New Roman"/>
          <w:spacing w:val="-6"/>
          <w:kern w:val="2"/>
          <w:sz w:val="32"/>
          <w:szCs w:val="32"/>
        </w:rPr>
      </w:pPr>
      <w:bookmarkStart w:id="104" w:name="_Toc12126"/>
      <w:r>
        <w:rPr>
          <w:rFonts w:hint="eastAsia" w:ascii="黑体" w:hAnsi="宋体" w:eastAsia="黑体" w:cs="黑体"/>
          <w:spacing w:val="-6"/>
          <w:kern w:val="2"/>
          <w:sz w:val="32"/>
          <w:szCs w:val="32"/>
          <w:lang w:val="en-US" w:eastAsia="zh-CN" w:bidi="ar"/>
        </w:rPr>
        <w:t>三、绩效分析</w:t>
      </w:r>
      <w:bookmarkEnd w:id="104"/>
      <w:r>
        <w:rPr>
          <w:rFonts w:hint="eastAsia" w:ascii="仿宋" w:hAnsi="宋体" w:eastAsia="仿宋" w:cs="Times New Roman"/>
          <w:spacing w:val="-6"/>
          <w:kern w:val="2"/>
          <w:sz w:val="32"/>
          <w:szCs w:val="32"/>
          <w:lang w:val="en-US" w:eastAsia="zh-CN" w:bidi="ar"/>
        </w:rPr>
        <w:tab/>
      </w:r>
    </w:p>
    <w:p>
      <w:pPr>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76" w:lineRule="exact"/>
        <w:ind w:left="0" w:leftChars="0" w:right="0" w:firstLine="641"/>
        <w:jc w:val="both"/>
        <w:textAlignment w:val="auto"/>
        <w:outlineLvl w:val="9"/>
        <w:rPr>
          <w:rFonts w:hint="eastAsia" w:ascii="楷体" w:hAnsi="宋体" w:eastAsia="楷体" w:cs="Times New Roman"/>
          <w:b w:val="0"/>
          <w:bCs/>
          <w:spacing w:val="-6"/>
          <w:kern w:val="2"/>
          <w:sz w:val="32"/>
          <w:szCs w:val="32"/>
        </w:rPr>
      </w:pPr>
      <w:bookmarkStart w:id="105" w:name="_Toc23929"/>
      <w:r>
        <w:rPr>
          <w:rFonts w:hint="eastAsia" w:ascii="楷体" w:hAnsi="楷体" w:eastAsia="楷体" w:cs="楷体"/>
          <w:b w:val="0"/>
          <w:bCs/>
          <w:spacing w:val="-6"/>
          <w:kern w:val="2"/>
          <w:sz w:val="32"/>
          <w:szCs w:val="32"/>
          <w:lang w:val="en-US" w:eastAsia="zh-CN" w:bidi="ar"/>
        </w:rPr>
        <w:t>（一）通用指标</w:t>
      </w:r>
      <w:r>
        <w:rPr>
          <w:rFonts w:hint="eastAsia" w:ascii="楷体" w:hAnsi="楷体" w:eastAsia="楷体" w:cs="楷体"/>
          <w:b w:val="0"/>
          <w:bCs/>
          <w:color w:val="000000"/>
          <w:spacing w:val="-6"/>
          <w:kern w:val="0"/>
          <w:sz w:val="32"/>
          <w:szCs w:val="32"/>
          <w:shd w:val="clear" w:fill="FFFFFF"/>
          <w:lang w:val="en-US" w:eastAsia="zh-CN" w:bidi="ar"/>
        </w:rPr>
        <w:t>绩效分析。（</w:t>
      </w:r>
      <w:r>
        <w:rPr>
          <w:rFonts w:hint="default" w:ascii="Times New Roman" w:hAnsi="Times New Roman" w:eastAsia="楷体" w:cs="Times New Roman"/>
          <w:b w:val="0"/>
          <w:bCs/>
          <w:color w:val="000000"/>
          <w:spacing w:val="-6"/>
          <w:kern w:val="0"/>
          <w:sz w:val="32"/>
          <w:szCs w:val="32"/>
          <w:shd w:val="clear" w:fill="FFFFFF"/>
          <w:lang w:val="en-US" w:eastAsia="zh-CN" w:bidi="ar"/>
        </w:rPr>
        <w:t>54</w:t>
      </w:r>
      <w:r>
        <w:rPr>
          <w:rFonts w:hint="eastAsia" w:ascii="楷体" w:hAnsi="楷体" w:eastAsia="楷体" w:cs="楷体"/>
          <w:b w:val="0"/>
          <w:bCs/>
          <w:color w:val="000000"/>
          <w:spacing w:val="-6"/>
          <w:kern w:val="0"/>
          <w:sz w:val="32"/>
          <w:szCs w:val="32"/>
          <w:shd w:val="clear" w:fill="FFFFFF"/>
          <w:lang w:val="en-US" w:eastAsia="zh-CN" w:bidi="ar"/>
        </w:rPr>
        <w:t>分）</w:t>
      </w:r>
      <w:bookmarkEnd w:id="105"/>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6" w:firstLineChars="200"/>
        <w:jc w:val="both"/>
        <w:textAlignment w:val="auto"/>
        <w:rPr>
          <w:rFonts w:hint="eastAsia" w:ascii="楷体" w:hAnsi="宋体" w:eastAsia="楷体" w:cs="Times New Roman"/>
          <w:spacing w:val="-6"/>
          <w:kern w:val="2"/>
          <w:sz w:val="32"/>
          <w:szCs w:val="32"/>
        </w:rPr>
      </w:pPr>
      <w:r>
        <w:rPr>
          <w:rFonts w:hint="eastAsia" w:ascii="楷体" w:hAnsi="楷体" w:eastAsia="楷体" w:cs="楷体"/>
          <w:spacing w:val="-6"/>
          <w:kern w:val="2"/>
          <w:sz w:val="32"/>
          <w:szCs w:val="32"/>
          <w:lang w:val="en-US" w:eastAsia="zh-CN" w:bidi="ar"/>
        </w:rPr>
        <w:t>1.项目决策（18分）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楷体" w:hAnsi="宋体" w:eastAsia="楷体" w:cs="Times New Roman"/>
          <w:spacing w:val="-6"/>
          <w:kern w:val="2"/>
          <w:sz w:val="32"/>
          <w:szCs w:val="32"/>
        </w:rPr>
      </w:pPr>
      <w:r>
        <w:rPr>
          <w:rFonts w:hint="eastAsia" w:ascii="楷体" w:hAnsi="楷体" w:eastAsia="楷体" w:cs="楷体"/>
          <w:spacing w:val="-6"/>
          <w:kern w:val="2"/>
          <w:sz w:val="32"/>
          <w:szCs w:val="32"/>
          <w:lang w:val="en-US" w:eastAsia="zh-CN" w:bidi="ar"/>
        </w:rPr>
        <w:t>①决策程序（6分）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市委、市政府倡导各级各部门在工作中争先创优，对召开全国“万企兴万村”行动西部片区（广元）座谈会、全省“万企兴万村”行动推进会以及知名川商“广元行”活动给予了关心支持，市委、市政府主要领导和市工商联分管联系市领导均亲自审定工作方案。自评得6分。</w:t>
      </w:r>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楷体" w:hAnsi="宋体" w:eastAsia="楷体" w:cs="Times New Roman"/>
          <w:spacing w:val="-6"/>
          <w:kern w:val="2"/>
          <w:sz w:val="32"/>
          <w:szCs w:val="32"/>
        </w:rPr>
      </w:pPr>
      <w:r>
        <w:rPr>
          <w:rFonts w:hint="eastAsia" w:ascii="楷体" w:hAnsi="楷体" w:eastAsia="楷体" w:cs="楷体"/>
          <w:spacing w:val="-6"/>
          <w:kern w:val="2"/>
          <w:sz w:val="32"/>
          <w:szCs w:val="32"/>
          <w:lang w:val="en-US" w:eastAsia="zh-CN" w:bidi="ar"/>
        </w:rPr>
        <w:t>②规划论证（6分）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因属行政支出事项，严格按照会议经费标准和要求进行。自评得6分。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楷体" w:hAnsi="宋体" w:eastAsia="楷体" w:cs="Times New Roman"/>
          <w:spacing w:val="-6"/>
          <w:kern w:val="2"/>
          <w:sz w:val="32"/>
          <w:szCs w:val="32"/>
        </w:rPr>
      </w:pPr>
      <w:r>
        <w:rPr>
          <w:rFonts w:hint="eastAsia" w:ascii="楷体" w:hAnsi="楷体" w:eastAsia="楷体" w:cs="楷体"/>
          <w:spacing w:val="-6"/>
          <w:kern w:val="2"/>
          <w:sz w:val="32"/>
          <w:szCs w:val="32"/>
          <w:lang w:val="en-US" w:eastAsia="zh-CN" w:bidi="ar"/>
        </w:rPr>
        <w:t>③资金投向。（6分）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该项目资金申报16.11万元，财政批复16.11万元。执行数16.11万元，年末结余0，完成预算的100%。截至2023年12月31日，该项目实际到位资金16.11万元。截至2023年12月31日，该项目使用资金16.11万元，自评得6分。</w:t>
      </w:r>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40"/>
        <w:jc w:val="both"/>
        <w:textAlignment w:val="auto"/>
        <w:outlineLvl w:val="9"/>
        <w:rPr>
          <w:rFonts w:hint="eastAsia" w:ascii="楷体" w:hAnsi="宋体" w:eastAsia="楷体" w:cs="Times New Roman"/>
          <w:b w:val="0"/>
          <w:bCs/>
          <w:spacing w:val="-6"/>
          <w:kern w:val="2"/>
          <w:sz w:val="32"/>
          <w:szCs w:val="32"/>
        </w:rPr>
      </w:pPr>
      <w:bookmarkStart w:id="106" w:name="_Toc16071"/>
      <w:r>
        <w:rPr>
          <w:rFonts w:hint="eastAsia" w:ascii="楷体" w:hAnsi="楷体" w:eastAsia="楷体" w:cs="楷体"/>
          <w:b w:val="0"/>
          <w:bCs/>
          <w:spacing w:val="-6"/>
          <w:kern w:val="2"/>
          <w:sz w:val="32"/>
          <w:szCs w:val="32"/>
          <w:lang w:val="en-US" w:eastAsia="zh-CN" w:bidi="ar"/>
        </w:rPr>
        <w:t>2.项目管理（18分）</w:t>
      </w:r>
      <w:bookmarkEnd w:id="106"/>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楷体" w:hAnsi="宋体" w:eastAsia="楷体" w:cs="Times New Roman"/>
          <w:spacing w:val="-6"/>
          <w:kern w:val="2"/>
          <w:sz w:val="32"/>
          <w:szCs w:val="32"/>
        </w:rPr>
      </w:pPr>
      <w:r>
        <w:rPr>
          <w:rFonts w:hint="eastAsia" w:ascii="楷体" w:hAnsi="楷体" w:eastAsia="楷体" w:cs="楷体"/>
          <w:spacing w:val="-6"/>
          <w:kern w:val="2"/>
          <w:sz w:val="32"/>
          <w:szCs w:val="32"/>
          <w:lang w:val="en-US" w:eastAsia="zh-CN" w:bidi="ar"/>
        </w:rPr>
        <w:t>①制度办法。（2分）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活动过程中，制定了详细工作方案，并严格按照市财政支出有关规定加以落实。自评得2分。</w:t>
      </w:r>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 w:hAnsi="宋体" w:eastAsia="仿宋" w:cs="Times New Roman"/>
          <w:color w:val="000000"/>
          <w:spacing w:val="-6"/>
          <w:kern w:val="2"/>
          <w:sz w:val="32"/>
          <w:szCs w:val="32"/>
        </w:rPr>
      </w:pPr>
      <w:r>
        <w:rPr>
          <w:rFonts w:hint="eastAsia" w:ascii="楷体" w:hAnsi="楷体" w:eastAsia="楷体" w:cs="楷体"/>
          <w:spacing w:val="-6"/>
          <w:kern w:val="2"/>
          <w:sz w:val="32"/>
          <w:szCs w:val="32"/>
          <w:lang w:val="en-US" w:eastAsia="zh-CN" w:bidi="ar"/>
        </w:rPr>
        <w:t>②分配管理</w:t>
      </w:r>
      <w:r>
        <w:rPr>
          <w:rFonts w:hint="eastAsia" w:ascii="仿宋" w:hAnsi="仿宋" w:eastAsia="仿宋" w:cs="仿宋"/>
          <w:color w:val="000000"/>
          <w:spacing w:val="-6"/>
          <w:kern w:val="2"/>
          <w:sz w:val="32"/>
          <w:szCs w:val="32"/>
          <w:lang w:val="en-US" w:eastAsia="zh-CN" w:bidi="ar"/>
        </w:rPr>
        <w:t>。（10分）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市工商联党组多次就活动经费支出进行研究，并形成专门报告报市财政局审批，执行过程严格按照市财政一类会议标准支出。自评得10分。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楷体" w:hAnsi="宋体" w:eastAsia="楷体" w:cs="Times New Roman"/>
          <w:spacing w:val="-6"/>
          <w:kern w:val="2"/>
          <w:sz w:val="32"/>
          <w:szCs w:val="32"/>
        </w:rPr>
      </w:pPr>
      <w:r>
        <w:rPr>
          <w:rFonts w:hint="eastAsia" w:ascii="楷体" w:hAnsi="楷体" w:eastAsia="楷体" w:cs="楷体"/>
          <w:spacing w:val="-6"/>
          <w:kern w:val="2"/>
          <w:sz w:val="32"/>
          <w:szCs w:val="32"/>
          <w:lang w:val="en-US" w:eastAsia="zh-CN" w:bidi="ar"/>
        </w:rPr>
        <w:t>③绩效监管。（6分）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该项经费根据参会人数和参会天数以实报实销予以支出，在此过程中，市工商联严格按照有关规定对人员进行清点，活动流程严格按照方案执行。自评得6分。</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6" w:firstLineChars="200"/>
        <w:jc w:val="both"/>
        <w:textAlignment w:val="auto"/>
        <w:outlineLvl w:val="9"/>
        <w:rPr>
          <w:rFonts w:hint="eastAsia" w:ascii="楷体" w:hAnsi="宋体" w:eastAsia="楷体" w:cs="Times New Roman"/>
          <w:spacing w:val="-6"/>
          <w:kern w:val="2"/>
          <w:sz w:val="32"/>
          <w:szCs w:val="32"/>
        </w:rPr>
      </w:pPr>
      <w:bookmarkStart w:id="107" w:name="_Toc4704"/>
      <w:r>
        <w:rPr>
          <w:rFonts w:hint="eastAsia" w:ascii="楷体" w:hAnsi="楷体" w:eastAsia="楷体" w:cs="楷体"/>
          <w:spacing w:val="-6"/>
          <w:kern w:val="2"/>
          <w:sz w:val="32"/>
          <w:szCs w:val="32"/>
          <w:lang w:val="en-US" w:eastAsia="zh-CN" w:bidi="ar"/>
        </w:rPr>
        <w:t>3.项目实施情况（9分）</w:t>
      </w:r>
      <w:bookmarkEnd w:id="107"/>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40"/>
        <w:jc w:val="both"/>
        <w:textAlignment w:val="auto"/>
        <w:rPr>
          <w:rFonts w:hint="eastAsia" w:ascii="Times New Roman" w:hAnsi="Times New Roman" w:eastAsia="仿宋" w:cs="Times New Roman"/>
          <w:spacing w:val="-6"/>
          <w:kern w:val="2"/>
          <w:sz w:val="32"/>
          <w:szCs w:val="32"/>
        </w:rPr>
      </w:pPr>
      <w:r>
        <w:rPr>
          <w:rFonts w:hint="eastAsia" w:ascii="楷体" w:hAnsi="楷体" w:eastAsia="楷体" w:cs="楷体"/>
          <w:spacing w:val="-6"/>
          <w:kern w:val="2"/>
          <w:sz w:val="32"/>
          <w:szCs w:val="32"/>
          <w:lang w:val="en-US" w:eastAsia="zh-CN" w:bidi="ar"/>
        </w:rPr>
        <w:t>①预算执行</w:t>
      </w:r>
      <w:r>
        <w:rPr>
          <w:rFonts w:hint="eastAsia" w:ascii="仿宋" w:hAnsi="仿宋" w:eastAsia="仿宋" w:cs="仿宋"/>
          <w:spacing w:val="-6"/>
          <w:kern w:val="2"/>
          <w:sz w:val="32"/>
          <w:szCs w:val="32"/>
          <w:lang w:val="en-US" w:eastAsia="zh-CN" w:bidi="ar"/>
        </w:rPr>
        <w:t>。（</w:t>
      </w:r>
      <w:r>
        <w:rPr>
          <w:rFonts w:hint="default" w:ascii="Times New Roman" w:hAnsi="Times New Roman" w:eastAsia="仿宋" w:cs="Times New Roman"/>
          <w:spacing w:val="-6"/>
          <w:kern w:val="2"/>
          <w:sz w:val="32"/>
          <w:szCs w:val="32"/>
          <w:lang w:val="en-US" w:eastAsia="zh-CN" w:bidi="ar"/>
        </w:rPr>
        <w:t>6</w:t>
      </w:r>
      <w:r>
        <w:rPr>
          <w:rFonts w:hint="eastAsia" w:ascii="仿宋" w:hAnsi="仿宋" w:eastAsia="仿宋" w:cs="仿宋"/>
          <w:spacing w:val="-6"/>
          <w:kern w:val="2"/>
          <w:sz w:val="32"/>
          <w:szCs w:val="32"/>
          <w:lang w:val="en-US" w:eastAsia="zh-CN" w:bidi="ar"/>
        </w:rPr>
        <w:t>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该项目属追加预算，以市委、市政府主要领导和市工商联分管联系领导审定工作方案以及实际发生费用为主要依据，不存在配套资金等情况。自评得6分。</w:t>
      </w:r>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Times New Roman" w:hAnsi="Times New Roman" w:eastAsia="仿宋" w:cs="Times New Roman"/>
          <w:spacing w:val="-6"/>
          <w:kern w:val="2"/>
          <w:sz w:val="32"/>
          <w:szCs w:val="32"/>
        </w:rPr>
      </w:pPr>
      <w:r>
        <w:rPr>
          <w:rFonts w:hint="eastAsia" w:ascii="仿宋" w:hAnsi="仿宋" w:eastAsia="仿宋" w:cs="仿宋"/>
          <w:spacing w:val="-6"/>
          <w:kern w:val="2"/>
          <w:sz w:val="32"/>
          <w:szCs w:val="32"/>
          <w:lang w:val="en-US" w:eastAsia="zh-CN" w:bidi="ar"/>
        </w:rPr>
        <w:t>②</w:t>
      </w:r>
      <w:r>
        <w:rPr>
          <w:rFonts w:hint="eastAsia" w:ascii="楷体" w:hAnsi="楷体" w:eastAsia="楷体" w:cs="楷体"/>
          <w:spacing w:val="-6"/>
          <w:kern w:val="2"/>
          <w:sz w:val="32"/>
          <w:szCs w:val="32"/>
          <w:lang w:val="en-US" w:eastAsia="zh-CN" w:bidi="ar"/>
        </w:rPr>
        <w:t>资金使用</w:t>
      </w:r>
      <w:r>
        <w:rPr>
          <w:rFonts w:hint="eastAsia" w:ascii="仿宋" w:hAnsi="仿宋" w:eastAsia="仿宋" w:cs="仿宋"/>
          <w:spacing w:val="-6"/>
          <w:kern w:val="2"/>
          <w:sz w:val="32"/>
          <w:szCs w:val="32"/>
          <w:lang w:val="en-US" w:eastAsia="zh-CN" w:bidi="ar"/>
        </w:rPr>
        <w:t>。（</w:t>
      </w:r>
      <w:r>
        <w:rPr>
          <w:rFonts w:hint="default" w:ascii="Times New Roman" w:hAnsi="Times New Roman" w:eastAsia="仿宋" w:cs="Times New Roman"/>
          <w:spacing w:val="-6"/>
          <w:kern w:val="2"/>
          <w:sz w:val="32"/>
          <w:szCs w:val="32"/>
          <w:lang w:val="en-US" w:eastAsia="zh-CN" w:bidi="ar"/>
        </w:rPr>
        <w:t>3</w:t>
      </w:r>
      <w:r>
        <w:rPr>
          <w:rFonts w:hint="eastAsia" w:ascii="仿宋" w:hAnsi="仿宋" w:eastAsia="仿宋" w:cs="仿宋"/>
          <w:spacing w:val="-6"/>
          <w:kern w:val="2"/>
          <w:sz w:val="32"/>
          <w:szCs w:val="32"/>
          <w:lang w:val="en-US" w:eastAsia="zh-CN" w:bidi="ar"/>
        </w:rPr>
        <w:t>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 w:hAnsi="宋体" w:eastAsia="仿宋" w:cs="Times New Roman"/>
          <w:color w:val="000000"/>
          <w:spacing w:val="-6"/>
          <w:kern w:val="2"/>
          <w:sz w:val="32"/>
          <w:szCs w:val="32"/>
        </w:rPr>
      </w:pPr>
      <w:r>
        <w:rPr>
          <w:rFonts w:hint="eastAsia" w:ascii="仿宋_GB2312" w:hAnsi="Times New Roman" w:eastAsia="仿宋_GB2312" w:cs="仿宋_GB2312"/>
          <w:spacing w:val="-6"/>
          <w:kern w:val="2"/>
          <w:sz w:val="32"/>
          <w:szCs w:val="32"/>
          <w:lang w:val="en-US" w:eastAsia="zh-CN" w:bidi="ar"/>
        </w:rPr>
        <w:t>不存在超范围、超标准、超进度使用专项资金，不存在资金损失浪费、长期沉淀、截留、挤占、挪用、虚列支出等情况，项目实施严格遵守相关法律法规。自评得3分</w:t>
      </w:r>
      <w:r>
        <w:rPr>
          <w:rFonts w:hint="eastAsia" w:ascii="仿宋" w:hAnsi="仿宋" w:eastAsia="仿宋" w:cs="仿宋"/>
          <w:color w:val="FF0000"/>
          <w:spacing w:val="-6"/>
          <w:kern w:val="2"/>
          <w:sz w:val="32"/>
          <w:szCs w:val="32"/>
          <w:lang w:val="en-US" w:eastAsia="zh-CN" w:bidi="ar"/>
        </w:rPr>
        <w:t>。</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16" w:firstLineChars="200"/>
        <w:jc w:val="both"/>
        <w:textAlignment w:val="auto"/>
        <w:outlineLvl w:val="9"/>
        <w:rPr>
          <w:rFonts w:hint="eastAsia" w:ascii="楷体" w:hAnsi="宋体" w:eastAsia="楷体" w:cs="Times New Roman"/>
          <w:spacing w:val="-6"/>
          <w:kern w:val="2"/>
          <w:sz w:val="32"/>
          <w:szCs w:val="32"/>
        </w:rPr>
      </w:pPr>
      <w:bookmarkStart w:id="108" w:name="_Toc17978"/>
      <w:r>
        <w:rPr>
          <w:rFonts w:hint="eastAsia" w:ascii="楷体" w:hAnsi="楷体" w:eastAsia="楷体" w:cs="楷体"/>
          <w:spacing w:val="-6"/>
          <w:kern w:val="2"/>
          <w:sz w:val="32"/>
          <w:szCs w:val="32"/>
          <w:lang w:val="en-US" w:eastAsia="zh-CN" w:bidi="ar"/>
        </w:rPr>
        <w:t>4.项目结果情况（9分）</w:t>
      </w:r>
      <w:bookmarkEnd w:id="108"/>
    </w:p>
    <w:p>
      <w:pPr>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45"/>
        <w:jc w:val="both"/>
        <w:textAlignment w:val="auto"/>
        <w:rPr>
          <w:rFonts w:hint="eastAsia" w:ascii="Times New Roman" w:hAnsi="Times New Roman" w:eastAsia="仿宋" w:cs="Times New Roman"/>
          <w:spacing w:val="-6"/>
          <w:kern w:val="2"/>
          <w:sz w:val="32"/>
          <w:szCs w:val="32"/>
        </w:rPr>
      </w:pPr>
      <w:r>
        <w:rPr>
          <w:rFonts w:hint="eastAsia" w:ascii="楷体" w:hAnsi="楷体" w:eastAsia="楷体" w:cs="楷体"/>
          <w:spacing w:val="-6"/>
          <w:kern w:val="2"/>
          <w:sz w:val="32"/>
          <w:szCs w:val="32"/>
          <w:lang w:val="en-US" w:eastAsia="zh-CN" w:bidi="ar"/>
        </w:rPr>
        <w:t>①目标完成</w:t>
      </w:r>
      <w:r>
        <w:rPr>
          <w:rFonts w:hint="eastAsia" w:ascii="仿宋" w:hAnsi="仿宋" w:eastAsia="仿宋" w:cs="仿宋"/>
          <w:spacing w:val="-6"/>
          <w:kern w:val="2"/>
          <w:sz w:val="32"/>
          <w:szCs w:val="32"/>
          <w:lang w:val="en-US" w:eastAsia="zh-CN" w:bidi="ar"/>
        </w:rPr>
        <w:t>。（</w:t>
      </w:r>
      <w:r>
        <w:rPr>
          <w:rFonts w:hint="default" w:ascii="Times New Roman" w:hAnsi="Times New Roman" w:eastAsia="仿宋" w:cs="Times New Roman"/>
          <w:spacing w:val="-6"/>
          <w:kern w:val="2"/>
          <w:sz w:val="32"/>
          <w:szCs w:val="32"/>
          <w:lang w:val="en-US" w:eastAsia="zh-CN" w:bidi="ar"/>
        </w:rPr>
        <w:t>6</w:t>
      </w:r>
      <w:r>
        <w:rPr>
          <w:rFonts w:hint="eastAsia" w:ascii="仿宋" w:hAnsi="仿宋" w:eastAsia="仿宋" w:cs="仿宋"/>
          <w:spacing w:val="-6"/>
          <w:kern w:val="2"/>
          <w:sz w:val="32"/>
          <w:szCs w:val="32"/>
          <w:lang w:val="en-US" w:eastAsia="zh-CN" w:bidi="ar"/>
        </w:rPr>
        <w:t>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9月24日至26日全国“万企兴万村”行动西部片区（广元）座谈会在广元召开，全国工商联副主席方光华出席讲话，省委常委、统战部部长赵俊民致辞，四川省工商联主席唐燕全程参会，西部13省（区、市、兵团）工商联相关领导、四川省21个市（州）工商联主要领导和民营企业家共计220人参加会议。9月25日四川省“万企兴万村”行动推进会在广元召开，省委常委、统战部部长赵俊民出席会议并讲话，全国工商联副主席方光华到会致辞，四川省工商联主席唐燕主持会议，四川省“万企兴万村”行动领导小组成员单位有关负责人，四川省21个市州工商联主要领导，省内民营企业家代表等220人参加会议。9月24日至25日知名川商“广元行”活动在广元举行，省工商联主席唐燕带领52名知名川商参观考察了广元中孚铝业、四川久达新材、四川能投广元燃机项目、广元铁路综合物流基地，并参加知名川商“广元行”投资推介会，市委常委、统战部部长、市总工会主席陈正永主持，市政府副市长吴勇致辞，省工商联主席唐燕出席会议并讲话。自评得6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40"/>
        <w:jc w:val="both"/>
        <w:textAlignment w:val="auto"/>
        <w:rPr>
          <w:rFonts w:hint="eastAsia" w:ascii="Times New Roman" w:hAnsi="Times New Roman" w:eastAsia="仿宋" w:cs="Times New Roman"/>
          <w:spacing w:val="-6"/>
          <w:kern w:val="2"/>
          <w:sz w:val="32"/>
          <w:szCs w:val="32"/>
        </w:rPr>
      </w:pPr>
      <w:r>
        <w:rPr>
          <w:rFonts w:hint="eastAsia" w:ascii="楷体" w:hAnsi="楷体" w:eastAsia="楷体" w:cs="楷体"/>
          <w:spacing w:val="-6"/>
          <w:kern w:val="2"/>
          <w:sz w:val="32"/>
          <w:szCs w:val="32"/>
          <w:lang w:val="en-US" w:eastAsia="zh-CN" w:bidi="ar"/>
        </w:rPr>
        <w:t>②完成时效</w:t>
      </w:r>
      <w:r>
        <w:rPr>
          <w:rFonts w:hint="eastAsia" w:ascii="仿宋" w:hAnsi="仿宋" w:eastAsia="仿宋" w:cs="仿宋"/>
          <w:spacing w:val="-6"/>
          <w:kern w:val="2"/>
          <w:sz w:val="32"/>
          <w:szCs w:val="32"/>
          <w:lang w:val="en-US" w:eastAsia="zh-CN" w:bidi="ar"/>
        </w:rPr>
        <w:t>。（</w:t>
      </w:r>
      <w:r>
        <w:rPr>
          <w:rFonts w:hint="default" w:ascii="Times New Roman" w:hAnsi="Times New Roman" w:eastAsia="仿宋" w:cs="Times New Roman"/>
          <w:spacing w:val="-6"/>
          <w:kern w:val="2"/>
          <w:sz w:val="32"/>
          <w:szCs w:val="32"/>
          <w:lang w:val="en-US" w:eastAsia="zh-CN" w:bidi="ar"/>
        </w:rPr>
        <w:t>3</w:t>
      </w:r>
      <w:r>
        <w:rPr>
          <w:rFonts w:hint="eastAsia" w:ascii="仿宋" w:hAnsi="仿宋" w:eastAsia="仿宋" w:cs="仿宋"/>
          <w:spacing w:val="-6"/>
          <w:kern w:val="2"/>
          <w:sz w:val="32"/>
          <w:szCs w:val="32"/>
          <w:lang w:val="en-US" w:eastAsia="zh-CN" w:bidi="ar"/>
        </w:rPr>
        <w:t>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项目严格按照市领导审定会议方案执行，所有内容均在规定时间完成。自评得3分。</w:t>
      </w:r>
    </w:p>
    <w:p>
      <w:pPr>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76" w:lineRule="exact"/>
        <w:ind w:left="0" w:leftChars="0" w:right="0" w:firstLine="640"/>
        <w:jc w:val="both"/>
        <w:textAlignment w:val="auto"/>
        <w:outlineLvl w:val="9"/>
        <w:rPr>
          <w:rFonts w:hint="eastAsia" w:ascii="楷体" w:hAnsi="楷体" w:eastAsia="楷体" w:cs="楷体"/>
          <w:b w:val="0"/>
          <w:bCs/>
          <w:spacing w:val="-6"/>
          <w:kern w:val="2"/>
          <w:sz w:val="32"/>
          <w:szCs w:val="32"/>
          <w:lang w:val="en-US" w:eastAsia="zh-CN" w:bidi="ar"/>
        </w:rPr>
      </w:pPr>
      <w:bookmarkStart w:id="109" w:name="_Toc7981"/>
      <w:r>
        <w:rPr>
          <w:rFonts w:hint="eastAsia" w:ascii="楷体" w:hAnsi="楷体" w:eastAsia="楷体" w:cs="楷体"/>
          <w:b w:val="0"/>
          <w:bCs/>
          <w:spacing w:val="-6"/>
          <w:kern w:val="2"/>
          <w:sz w:val="32"/>
          <w:szCs w:val="32"/>
          <w:lang w:val="en-US" w:eastAsia="zh-CN" w:bidi="ar"/>
        </w:rPr>
        <w:t>（二）专用指标完成情况（30分）</w:t>
      </w:r>
      <w:bookmarkEnd w:id="109"/>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37" w:firstLineChars="207"/>
        <w:jc w:val="both"/>
        <w:textAlignment w:val="auto"/>
        <w:rPr>
          <w:rFonts w:hint="eastAsia" w:ascii="仿宋_GB2312" w:hAnsi="Times New Roman" w:eastAsia="仿宋_GB2312" w:cs="仿宋_GB2312"/>
          <w:spacing w:val="-6"/>
          <w:kern w:val="2"/>
          <w:sz w:val="32"/>
          <w:szCs w:val="32"/>
          <w:lang w:val="en-US" w:eastAsia="zh-CN" w:bidi="ar"/>
        </w:rPr>
      </w:pPr>
      <w:r>
        <w:rPr>
          <w:rFonts w:hint="eastAsia" w:ascii="仿宋_GB2312" w:hAnsi="Times New Roman" w:eastAsia="仿宋_GB2312" w:cs="仿宋_GB2312"/>
          <w:spacing w:val="-6"/>
          <w:kern w:val="2"/>
          <w:sz w:val="32"/>
          <w:szCs w:val="32"/>
          <w:lang w:val="en-US" w:eastAsia="zh-CN" w:bidi="ar"/>
        </w:rPr>
        <w:t>该项工作属于行政运转事宜，严格按照相关规定执行。</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37" w:firstLineChars="207"/>
        <w:jc w:val="both"/>
        <w:textAlignment w:val="auto"/>
        <w:rPr>
          <w:rFonts w:hint="eastAsia" w:ascii="楷体_GB2312" w:eastAsia="楷体_GB2312" w:cs="楷体_GB2312"/>
          <w:spacing w:val="-6"/>
          <w:kern w:val="2"/>
          <w:sz w:val="32"/>
          <w:szCs w:val="32"/>
        </w:rPr>
      </w:pPr>
      <w:r>
        <w:rPr>
          <w:rFonts w:hint="eastAsia" w:ascii="楷体_GB2312" w:hAnsi="Times New Roman" w:eastAsia="楷体_GB2312" w:cs="楷体_GB2312"/>
          <w:spacing w:val="-6"/>
          <w:kern w:val="2"/>
          <w:sz w:val="32"/>
          <w:szCs w:val="32"/>
          <w:lang w:val="en-US" w:eastAsia="zh-CN" w:bidi="ar"/>
        </w:rPr>
        <w:t>1.用途合规性。（10分）</w:t>
      </w:r>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该项目严格落实厉行节约有关规定和市财政会议费用有关规定执行。自评得10分。</w:t>
      </w:r>
    </w:p>
    <w:p>
      <w:pPr>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76" w:lineRule="exact"/>
        <w:ind w:left="0" w:leftChars="0" w:right="0" w:firstLine="616" w:firstLineChars="200"/>
        <w:jc w:val="both"/>
        <w:textAlignment w:val="auto"/>
        <w:outlineLvl w:val="9"/>
        <w:rPr>
          <w:rFonts w:hint="eastAsia" w:ascii="楷体_GB2312" w:eastAsia="楷体_GB2312" w:cs="楷体_GB2312"/>
          <w:spacing w:val="-6"/>
          <w:kern w:val="2"/>
          <w:sz w:val="32"/>
          <w:szCs w:val="32"/>
        </w:rPr>
      </w:pPr>
      <w:bookmarkStart w:id="110" w:name="_Toc30082"/>
      <w:r>
        <w:rPr>
          <w:rFonts w:hint="eastAsia" w:ascii="楷体_GB2312" w:hAnsi="Times New Roman" w:eastAsia="楷体_GB2312" w:cs="楷体_GB2312"/>
          <w:spacing w:val="-6"/>
          <w:kern w:val="2"/>
          <w:sz w:val="32"/>
          <w:szCs w:val="32"/>
          <w:lang w:val="en-US" w:eastAsia="zh-CN" w:bidi="ar"/>
        </w:rPr>
        <w:t>2.程序合规性。（10分）</w:t>
      </w:r>
      <w:bookmarkEnd w:id="110"/>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该项目自市政府接收到全国工商联、省工商联通知时启动，市工商联草拟了工作方案和资金预算方案并报市委、市政府主要领导审批通过。会议及活动结束后，按照相关规定及时向市财政局进行申报，并提供相关佐证资料。自评得10分。</w:t>
      </w:r>
    </w:p>
    <w:p>
      <w:pPr>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76" w:lineRule="exact"/>
        <w:ind w:left="0" w:leftChars="0" w:right="0" w:firstLine="616" w:firstLineChars="200"/>
        <w:jc w:val="both"/>
        <w:textAlignment w:val="auto"/>
        <w:outlineLvl w:val="9"/>
        <w:rPr>
          <w:rFonts w:hint="eastAsia" w:ascii="楷体_GB2312" w:eastAsia="楷体_GB2312" w:cs="楷体_GB2312"/>
          <w:spacing w:val="-6"/>
          <w:kern w:val="2"/>
          <w:sz w:val="32"/>
          <w:szCs w:val="32"/>
        </w:rPr>
      </w:pPr>
      <w:bookmarkStart w:id="111" w:name="_Toc21218"/>
      <w:r>
        <w:rPr>
          <w:rFonts w:hint="eastAsia" w:ascii="楷体_GB2312" w:hAnsi="Times New Roman" w:eastAsia="楷体_GB2312" w:cs="楷体_GB2312"/>
          <w:spacing w:val="-6"/>
          <w:kern w:val="2"/>
          <w:sz w:val="32"/>
          <w:szCs w:val="32"/>
          <w:lang w:val="en-US" w:eastAsia="zh-CN" w:bidi="ar"/>
        </w:rPr>
        <w:t>3.标准合规性。（10分）</w:t>
      </w:r>
      <w:bookmarkEnd w:id="111"/>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会议及活动期间全国工商联副主席方光华（副部级），省委常委、省委统战部部长赵俊民（副部级）全程参加，市委、市政府主要领导和分管联系领导分段参加，按照一类会议标准执行。自评得10分。</w:t>
      </w:r>
    </w:p>
    <w:p>
      <w:pPr>
        <w:pStyle w:val="13"/>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76" w:lineRule="exact"/>
        <w:ind w:left="0" w:leftChars="0" w:right="0" w:firstLine="616" w:firstLineChars="200"/>
        <w:jc w:val="both"/>
        <w:textAlignment w:val="auto"/>
        <w:outlineLvl w:val="2"/>
        <w:rPr>
          <w:rFonts w:hint="eastAsia" w:ascii="黑体" w:hAnsi="宋体" w:eastAsia="黑体" w:cs="Times New Roman"/>
          <w:spacing w:val="-6"/>
          <w:kern w:val="2"/>
          <w:sz w:val="32"/>
          <w:szCs w:val="32"/>
        </w:rPr>
      </w:pPr>
      <w:bookmarkStart w:id="112" w:name="_Toc25688"/>
      <w:r>
        <w:rPr>
          <w:rFonts w:hint="eastAsia" w:ascii="黑体" w:hAnsi="宋体" w:eastAsia="黑体" w:cs="黑体"/>
          <w:spacing w:val="-6"/>
          <w:kern w:val="2"/>
          <w:sz w:val="32"/>
          <w:szCs w:val="32"/>
          <w:lang w:val="en-US" w:eastAsia="zh-CN" w:bidi="ar"/>
        </w:rPr>
        <w:t>四、评价结论</w:t>
      </w:r>
      <w:bookmarkEnd w:id="112"/>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项目圆满完成，取得预期效果，指标总分84分，自评得84分。该项目的实施，为顺利召开万企兴万村行动全国、全省会议提供了保障，为全市招商引资搭建了平台，为加快建设川陕甘结合部现代化中心城市作出新的积极贡献。</w:t>
      </w:r>
    </w:p>
    <w:p>
      <w:pPr>
        <w:pStyle w:val="13"/>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76" w:lineRule="exact"/>
        <w:ind w:left="0" w:leftChars="0" w:right="0" w:firstLine="616" w:firstLineChars="200"/>
        <w:jc w:val="both"/>
        <w:textAlignment w:val="auto"/>
        <w:outlineLvl w:val="2"/>
        <w:rPr>
          <w:rFonts w:hint="eastAsia" w:ascii="黑体" w:hAnsi="宋体" w:eastAsia="黑体" w:cs="Times New Roman"/>
          <w:spacing w:val="-6"/>
          <w:kern w:val="2"/>
          <w:sz w:val="32"/>
          <w:szCs w:val="32"/>
        </w:rPr>
      </w:pPr>
      <w:bookmarkStart w:id="113" w:name="_Toc26518"/>
      <w:r>
        <w:rPr>
          <w:rFonts w:hint="eastAsia" w:ascii="黑体" w:hAnsi="宋体" w:eastAsia="黑体" w:cs="黑体"/>
          <w:spacing w:val="-6"/>
          <w:kern w:val="2"/>
          <w:sz w:val="32"/>
          <w:szCs w:val="32"/>
          <w:lang w:val="en-US" w:eastAsia="zh-CN" w:bidi="ar"/>
        </w:rPr>
        <w:t>五、存在主要问题</w:t>
      </w:r>
      <w:bookmarkEnd w:id="113"/>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招商引资项目签约与预期存在差距。</w:t>
      </w:r>
    </w:p>
    <w:p>
      <w:pPr>
        <w:pStyle w:val="13"/>
        <w:keepNext w:val="0"/>
        <w:keepLines w:val="0"/>
        <w:pageBreakBefore w:val="0"/>
        <w:widowControl w:val="0"/>
        <w:suppressLineNumbers w:val="0"/>
        <w:kinsoku/>
        <w:wordWrap/>
        <w:overflowPunct w:val="0"/>
        <w:topLinePunct/>
        <w:autoSpaceDE w:val="0"/>
        <w:autoSpaceDN/>
        <w:bidi w:val="0"/>
        <w:adjustRightInd w:val="0"/>
        <w:snapToGrid/>
        <w:spacing w:before="0" w:beforeAutospacing="0" w:after="0" w:afterAutospacing="0" w:line="576" w:lineRule="exact"/>
        <w:ind w:left="0" w:leftChars="0" w:right="0" w:firstLine="616" w:firstLineChars="200"/>
        <w:jc w:val="both"/>
        <w:textAlignment w:val="auto"/>
        <w:outlineLvl w:val="2"/>
        <w:rPr>
          <w:rFonts w:hint="eastAsia" w:ascii="黑体" w:hAnsi="宋体" w:eastAsia="黑体" w:cs="Times New Roman"/>
          <w:spacing w:val="-6"/>
          <w:kern w:val="0"/>
          <w:position w:val="3"/>
          <w:sz w:val="32"/>
          <w:szCs w:val="32"/>
        </w:rPr>
      </w:pPr>
      <w:bookmarkStart w:id="114" w:name="_Toc28106"/>
      <w:r>
        <w:rPr>
          <w:rFonts w:hint="eastAsia" w:ascii="黑体" w:hAnsi="宋体" w:eastAsia="黑体" w:cs="黑体"/>
          <w:spacing w:val="-6"/>
          <w:kern w:val="0"/>
          <w:position w:val="3"/>
          <w:sz w:val="32"/>
          <w:szCs w:val="32"/>
          <w:lang w:val="en-US" w:eastAsia="zh-CN" w:bidi="ar"/>
        </w:rPr>
        <w:t>六、改进建议</w:t>
      </w:r>
      <w:bookmarkEnd w:id="114"/>
    </w:p>
    <w:p>
      <w:pPr>
        <w:pStyle w:val="13"/>
        <w:keepNext w:val="0"/>
        <w:keepLines w:val="0"/>
        <w:pageBreakBefore w:val="0"/>
        <w:widowControl w:val="0"/>
        <w:suppressLineNumbers w:val="0"/>
        <w:kinsoku/>
        <w:wordWrap/>
        <w:overflowPunct w:val="0"/>
        <w:topLinePunct/>
        <w:autoSpaceDE w:val="0"/>
        <w:autoSpaceDN/>
        <w:bidi w:val="0"/>
        <w:adjustRightInd w:val="0"/>
        <w:spacing w:before="0" w:beforeAutospacing="0" w:after="0" w:afterAutospacing="0" w:line="576" w:lineRule="exact"/>
        <w:ind w:left="0" w:leftChars="0" w:right="0" w:firstLine="616" w:firstLineChars="200"/>
        <w:jc w:val="both"/>
        <w:textAlignment w:val="auto"/>
        <w:rPr>
          <w:rFonts w:hint="eastAsia" w:ascii="仿宋_GB2312" w:eastAsia="仿宋_GB2312" w:cs="仿宋_GB2312"/>
          <w:spacing w:val="-6"/>
          <w:kern w:val="2"/>
          <w:sz w:val="32"/>
          <w:szCs w:val="32"/>
        </w:rPr>
      </w:pPr>
      <w:r>
        <w:rPr>
          <w:rFonts w:hint="eastAsia" w:ascii="仿宋_GB2312" w:hAnsi="Times New Roman" w:eastAsia="仿宋_GB2312" w:cs="仿宋_GB2312"/>
          <w:spacing w:val="-6"/>
          <w:kern w:val="2"/>
          <w:sz w:val="32"/>
          <w:szCs w:val="32"/>
          <w:lang w:val="en-US" w:eastAsia="zh-CN" w:bidi="ar"/>
        </w:rPr>
        <w:t>加强同相关工商联、商协会、民营企业对接，大力宣传广元，主动招引项目资金。</w:t>
      </w:r>
    </w:p>
    <w:p>
      <w:pPr>
        <w:pageBreakBefore w:val="0"/>
        <w:kinsoku/>
        <w:wordWrap/>
        <w:overflowPunct/>
        <w:topLinePunct w:val="0"/>
        <w:bidi w:val="0"/>
        <w:spacing w:line="576" w:lineRule="exact"/>
        <w:ind w:left="0" w:leftChars="0" w:right="0" w:firstLine="640" w:firstLineChars="200"/>
        <w:textAlignment w:val="auto"/>
        <w:rPr>
          <w:rFonts w:eastAsia="仿宋_GB2312"/>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ageBreakBefore w:val="0"/>
        <w:kinsoku/>
        <w:wordWrap/>
        <w:overflowPunct/>
        <w:topLinePunct w:val="0"/>
        <w:bidi w:val="0"/>
        <w:spacing w:line="576" w:lineRule="exact"/>
        <w:ind w:left="0" w:leftChars="0" w:right="0" w:firstLine="640" w:firstLineChars="200"/>
        <w:textAlignment w:val="auto"/>
        <w:rPr>
          <w:rFonts w:hint="eastAsia" w:eastAsia="仿宋_GB2312"/>
          <w:color w:val="FF0000"/>
          <w:sz w:val="32"/>
          <w:szCs w:val="32"/>
          <w:lang w:val="zh-CN"/>
        </w:rPr>
      </w:pP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jc w:val="center"/>
        <w:textAlignment w:val="auto"/>
        <w:rPr>
          <w:rFonts w:hint="eastAsia"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color w:val="000000"/>
          <w:kern w:val="2"/>
          <w:sz w:val="44"/>
          <w:szCs w:val="44"/>
          <w:lang w:val="en-US" w:eastAsia="zh-CN" w:bidi="ar"/>
        </w:rPr>
        <w:t>广元市工商业联合会</w:t>
      </w:r>
    </w:p>
    <w:p>
      <w:pPr>
        <w:pStyle w:val="1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left="0" w:right="0"/>
        <w:jc w:val="center"/>
        <w:textAlignment w:val="auto"/>
        <w:outlineLvl w:val="1"/>
        <w:rPr>
          <w:rFonts w:hint="eastAsia" w:ascii="方正小标宋简体" w:hAnsi="方正小标宋简体" w:eastAsia="方正小标宋简体" w:cs="方正小标宋简体"/>
          <w:kern w:val="2"/>
          <w:sz w:val="44"/>
          <w:szCs w:val="44"/>
        </w:rPr>
      </w:pPr>
      <w:bookmarkStart w:id="115" w:name="_Toc2064"/>
      <w:r>
        <w:rPr>
          <w:rFonts w:hint="eastAsia" w:ascii="方正小标宋简体" w:hAnsi="方正小标宋简体" w:eastAsia="方正小标宋简体" w:cs="方正小标宋简体"/>
          <w:color w:val="000000"/>
          <w:kern w:val="2"/>
          <w:sz w:val="44"/>
          <w:szCs w:val="44"/>
          <w:lang w:val="en-US" w:eastAsia="zh-CN" w:bidi="ar"/>
        </w:rPr>
        <w:t>2023年专项预算（两新党建工作经费）项目</w:t>
      </w:r>
      <w:bookmarkEnd w:id="115"/>
    </w:p>
    <w:p>
      <w:pPr>
        <w:pStyle w:val="1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left="0" w:right="0"/>
        <w:jc w:val="center"/>
        <w:textAlignment w:val="auto"/>
        <w:outlineLvl w:val="1"/>
        <w:rPr>
          <w:rFonts w:hint="eastAsia" w:ascii="方正小标宋简体" w:hAnsi="方正小标宋简体" w:eastAsia="方正小标宋简体" w:cs="方正小标宋简体"/>
          <w:kern w:val="2"/>
          <w:sz w:val="44"/>
          <w:szCs w:val="44"/>
        </w:rPr>
      </w:pPr>
      <w:bookmarkStart w:id="116" w:name="_Toc23689"/>
      <w:r>
        <w:rPr>
          <w:rFonts w:hint="eastAsia" w:ascii="方正小标宋简体" w:hAnsi="方正小标宋简体" w:eastAsia="方正小标宋简体" w:cs="方正小标宋简体"/>
          <w:color w:val="000000"/>
          <w:kern w:val="2"/>
          <w:sz w:val="44"/>
          <w:szCs w:val="44"/>
          <w:lang w:val="en-US" w:eastAsia="zh-CN" w:bidi="ar"/>
        </w:rPr>
        <w:t>支出绩效自评报告</w:t>
      </w:r>
      <w:bookmarkEnd w:id="116"/>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right="0" w:firstLine="720"/>
        <w:jc w:val="both"/>
        <w:textAlignment w:val="auto"/>
        <w:rPr>
          <w:rFonts w:hint="eastAsia" w:ascii="黑体" w:hAnsi="宋体" w:eastAsia="黑体" w:cs="Times New Roman"/>
          <w:kern w:val="2"/>
          <w:sz w:val="32"/>
          <w:szCs w:val="32"/>
        </w:rPr>
      </w:pPr>
      <w:r>
        <w:rPr>
          <w:rFonts w:hint="eastAsia" w:ascii="黑体" w:hAnsi="宋体" w:eastAsia="黑体" w:cs="Times New Roman"/>
          <w:kern w:val="2"/>
          <w:sz w:val="32"/>
          <w:szCs w:val="32"/>
          <w:lang w:val="en-US" w:eastAsia="zh-CN" w:bidi="ar"/>
        </w:rPr>
        <w:t xml:space="preserve"> </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jc w:val="both"/>
        <w:textAlignment w:val="auto"/>
        <w:outlineLvl w:val="2"/>
        <w:rPr>
          <w:rFonts w:hint="eastAsia" w:ascii="黑体" w:hAnsi="宋体" w:eastAsia="黑体" w:cs="Times New Roman"/>
          <w:kern w:val="2"/>
          <w:sz w:val="32"/>
          <w:szCs w:val="32"/>
        </w:rPr>
      </w:pPr>
      <w:bookmarkStart w:id="117" w:name="_Toc14189"/>
      <w:r>
        <w:rPr>
          <w:rFonts w:hint="eastAsia" w:ascii="黑体" w:hAnsi="宋体" w:eastAsia="黑体" w:cs="黑体"/>
          <w:kern w:val="2"/>
          <w:sz w:val="32"/>
          <w:szCs w:val="32"/>
          <w:lang w:val="en-US" w:eastAsia="zh-CN" w:bidi="ar"/>
        </w:rPr>
        <w:t>一、项目概况</w:t>
      </w:r>
      <w:bookmarkEnd w:id="117"/>
    </w:p>
    <w:p>
      <w:pPr>
        <w:keepNext w:val="0"/>
        <w:keepLines w:val="0"/>
        <w:pageBreakBefore w:val="0"/>
        <w:widowControl/>
        <w:suppressLineNumbers w:val="0"/>
        <w:kinsoku/>
        <w:wordWrap/>
        <w:autoSpaceDE w:val="0"/>
        <w:autoSpaceDN/>
        <w:bidi w:val="0"/>
        <w:adjustRightInd w:val="0"/>
        <w:snapToGrid w:val="0"/>
        <w:spacing w:before="0" w:beforeAutospacing="0" w:after="0" w:afterAutospacing="0" w:line="576" w:lineRule="exact"/>
        <w:ind w:left="0" w:leftChars="0" w:right="0" w:firstLine="642" w:firstLineChars="200"/>
        <w:contextualSpacing/>
        <w:jc w:val="left"/>
        <w:textAlignment w:val="auto"/>
        <w:rPr>
          <w:rFonts w:hint="eastAsia" w:ascii="仿宋_GB2312" w:eastAsia="仿宋_GB2312" w:cs="仿宋_GB2312"/>
          <w:kern w:val="0"/>
          <w:sz w:val="32"/>
          <w:szCs w:val="32"/>
          <w:shd w:val="clear" w:fill="FFFFFF"/>
        </w:rPr>
      </w:pPr>
      <w:r>
        <w:rPr>
          <w:rFonts w:hint="eastAsia" w:ascii="楷体_GB2312" w:hAnsi="宋体" w:eastAsia="楷体_GB2312" w:cs="楷体_GB2312"/>
          <w:b/>
          <w:bCs w:val="0"/>
          <w:kern w:val="2"/>
          <w:sz w:val="32"/>
          <w:szCs w:val="32"/>
          <w:lang w:val="en-US" w:eastAsia="zh-CN" w:bidi="ar"/>
        </w:rPr>
        <w:t>（一）设立背景及基本情况。</w:t>
      </w:r>
      <w:r>
        <w:rPr>
          <w:rFonts w:hint="eastAsia" w:ascii="仿宋_GB2312" w:hAnsi="Times New Roman" w:eastAsia="仿宋_GB2312" w:cs="仿宋_GB2312"/>
          <w:kern w:val="2"/>
          <w:sz w:val="32"/>
          <w:szCs w:val="32"/>
          <w:lang w:val="en-US" w:eastAsia="zh-CN" w:bidi="ar"/>
        </w:rPr>
        <w:t>按照中央组织部、财政部、国家税务总局和省委组织部、省财政厅、省国家税务局、省地方税务局“建立两新组织党建工作经费保障机制”相关要求，</w:t>
      </w:r>
      <w:r>
        <w:rPr>
          <w:rFonts w:hint="default" w:ascii="Times New Roman" w:hAnsi="Times New Roman" w:eastAsia="仿宋_GB2312" w:cs="Times New Roman"/>
          <w:kern w:val="2"/>
          <w:sz w:val="32"/>
          <w:szCs w:val="32"/>
          <w:lang w:val="en-US" w:eastAsia="zh-CN" w:bidi="ar"/>
        </w:rPr>
        <w:t>2015</w:t>
      </w:r>
      <w:r>
        <w:rPr>
          <w:rFonts w:hint="eastAsia" w:ascii="仿宋_GB2312" w:hAnsi="Times New Roman" w:eastAsia="仿宋_GB2312" w:cs="仿宋_GB2312"/>
          <w:kern w:val="2"/>
          <w:sz w:val="32"/>
          <w:szCs w:val="32"/>
          <w:lang w:val="en-US" w:eastAsia="zh-CN" w:bidi="ar"/>
        </w:rPr>
        <w:t>年市委组织部联合市财政局、市国税局、市地税局下发《关于进一步加强“两新”组织党建工作经费保障的通知》（广组通</w:t>
      </w:r>
      <w:r>
        <w:rPr>
          <w:rFonts w:hint="eastAsia" w:ascii="方正小标宋简体" w:hAnsi="方正小标宋简体" w:eastAsia="方正小标宋简体" w:cs="方正小标宋简体"/>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2015</w:t>
      </w:r>
      <w:r>
        <w:rPr>
          <w:rFonts w:hint="eastAsia" w:ascii="方正小标宋简体" w:hAnsi="方正小标宋简体" w:eastAsia="方正小标宋简体" w:cs="方正小标宋简体"/>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41</w:t>
      </w:r>
      <w:r>
        <w:rPr>
          <w:rFonts w:hint="eastAsia" w:ascii="仿宋_GB2312" w:hAnsi="Times New Roman" w:eastAsia="仿宋_GB2312" w:cs="仿宋_GB2312"/>
          <w:kern w:val="2"/>
          <w:sz w:val="32"/>
          <w:szCs w:val="32"/>
          <w:lang w:val="en-US" w:eastAsia="zh-CN" w:bidi="ar"/>
        </w:rPr>
        <w:t>号），广元市委组织部、市委两新组织工委为下辖的行业党委、党支部划拨专项工作经费</w:t>
      </w:r>
      <w:r>
        <w:rPr>
          <w:rFonts w:hint="eastAsia" w:ascii="仿宋_GB2312" w:hAnsi="Times New Roman" w:eastAsia="仿宋_GB2312" w:cs="仿宋_GB2312"/>
          <w:kern w:val="0"/>
          <w:sz w:val="32"/>
          <w:szCs w:val="32"/>
          <w:shd w:val="clear" w:fill="FFFFFF"/>
          <w:lang w:val="en-US" w:eastAsia="zh-CN" w:bidi="ar"/>
        </w:rPr>
        <w:t>。</w:t>
      </w:r>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leftChars="0" w:right="0" w:firstLine="642" w:firstLineChars="200"/>
        <w:jc w:val="both"/>
        <w:textAlignment w:val="auto"/>
        <w:rPr>
          <w:rFonts w:hint="eastAsia" w:ascii="Times New Roman" w:hAnsi="Times New Roman" w:eastAsia="仿宋_GB2312" w:cs="Times New Roman"/>
          <w:kern w:val="2"/>
          <w:sz w:val="32"/>
          <w:szCs w:val="32"/>
        </w:rPr>
      </w:pPr>
      <w:r>
        <w:rPr>
          <w:rFonts w:hint="eastAsia" w:ascii="楷体_GB2312" w:hAnsi="宋体" w:eastAsia="楷体_GB2312" w:cs="楷体_GB2312"/>
          <w:b/>
          <w:bCs w:val="0"/>
          <w:kern w:val="2"/>
          <w:sz w:val="32"/>
          <w:szCs w:val="32"/>
          <w:lang w:val="en-US" w:eastAsia="zh-CN" w:bidi="ar"/>
        </w:rPr>
        <w:t>（二）实施目的及支持方向。</w:t>
      </w:r>
      <w:r>
        <w:rPr>
          <w:rFonts w:hint="eastAsia" w:ascii="仿宋_GB2312" w:hAnsi="Times New Roman" w:eastAsia="仿宋_GB2312" w:cs="仿宋_GB2312"/>
          <w:kern w:val="2"/>
          <w:sz w:val="32"/>
          <w:szCs w:val="32"/>
          <w:lang w:val="en-US" w:eastAsia="zh-CN" w:bidi="ar"/>
        </w:rPr>
        <w:t>通过党建工作经费支撑，确保广元市工商联直属商协会联合党委，广元市商贸协会党支部、福建商会党支部、浙江温州商会党支部、市江西商会党支部、市广告协会党支部、市汽车行业协会党支部、市质量品牌协会党支部、市五金机电建材商会党支部、市遂宁商会党支部等</w:t>
      </w:r>
      <w:r>
        <w:rPr>
          <w:rFonts w:hint="default" w:ascii="Times New Roman" w:hAnsi="Times New Roman" w:eastAsia="仿宋_GB2312" w:cs="Times New Roman"/>
          <w:kern w:val="2"/>
          <w:sz w:val="32"/>
          <w:szCs w:val="32"/>
          <w:lang w:val="en-US" w:eastAsia="zh-CN" w:bidi="ar"/>
        </w:rPr>
        <w:t>9</w:t>
      </w:r>
      <w:r>
        <w:rPr>
          <w:rFonts w:hint="eastAsia" w:ascii="仿宋_GB2312" w:hAnsi="Times New Roman" w:eastAsia="仿宋_GB2312" w:cs="仿宋_GB2312"/>
          <w:kern w:val="2"/>
          <w:sz w:val="32"/>
          <w:szCs w:val="32"/>
          <w:lang w:val="en-US" w:eastAsia="zh-CN" w:bidi="ar"/>
        </w:rPr>
        <w:t>个党支部扎实开展党建活动，党支部书记认真履职，积极发挥党支部班子的关键作用。</w:t>
      </w:r>
    </w:p>
    <w:p>
      <w:pPr>
        <w:keepNext w:val="0"/>
        <w:keepLines w:val="0"/>
        <w:pageBreakBefore w:val="0"/>
        <w:widowControl/>
        <w:suppressLineNumbers w:val="0"/>
        <w:kinsoku/>
        <w:wordWrap/>
        <w:autoSpaceDE w:val="0"/>
        <w:autoSpaceDN/>
        <w:bidi w:val="0"/>
        <w:adjustRightInd w:val="0"/>
        <w:snapToGrid w:val="0"/>
        <w:spacing w:before="0" w:beforeAutospacing="0" w:after="0" w:afterAutospacing="0" w:line="576" w:lineRule="exact"/>
        <w:ind w:left="0" w:leftChars="0" w:right="0" w:firstLine="642" w:firstLineChars="200"/>
        <w:contextualSpacing/>
        <w:jc w:val="left"/>
        <w:textAlignment w:val="auto"/>
        <w:rPr>
          <w:rFonts w:hint="eastAsia" w:ascii="仿宋_GB2312" w:eastAsia="仿宋_GB2312" w:cs="仿宋_GB2312"/>
          <w:kern w:val="0"/>
          <w:sz w:val="32"/>
          <w:szCs w:val="32"/>
          <w:shd w:val="clear" w:fill="FFFFFF"/>
        </w:rPr>
      </w:pPr>
      <w:r>
        <w:rPr>
          <w:rFonts w:hint="eastAsia" w:ascii="楷体_GB2312" w:hAnsi="宋体" w:eastAsia="楷体_GB2312" w:cs="楷体_GB2312"/>
          <w:b/>
          <w:bCs w:val="0"/>
          <w:kern w:val="2"/>
          <w:sz w:val="32"/>
          <w:szCs w:val="32"/>
          <w:lang w:val="en-US" w:eastAsia="zh-CN" w:bidi="ar"/>
        </w:rPr>
        <w:t>（三）预算安排及分配管理。</w:t>
      </w:r>
      <w:r>
        <w:rPr>
          <w:rFonts w:hint="eastAsia" w:ascii="仿宋_GB2312" w:hAnsi="宋体" w:eastAsia="仿宋_GB2312" w:cs="仿宋_GB2312"/>
          <w:color w:val="000000"/>
          <w:kern w:val="2"/>
          <w:sz w:val="32"/>
          <w:szCs w:val="32"/>
          <w:lang w:val="en-US" w:eastAsia="zh-CN" w:bidi="ar"/>
        </w:rPr>
        <w:t>该项目总划拨金额5.78万元。其中，广元市工商联直属商协会联合党委2万元，广元市商贸协会党支部、福建商会党支部、浙江温州商会党支部、市江西商会党支部、市广告协会党支部、市汽车行业协会党支部、市质量品牌协会党支部、市五金机电建材商会党支部、市遂宁商会党支部等9个党支部每个党支部经费0.42万元（包含：0.3万元党组织活动经费、0.12万元党组织书记岗位补贴），共计3.78万元；</w:t>
      </w:r>
      <w:r>
        <w:rPr>
          <w:rFonts w:hint="eastAsia" w:ascii="仿宋" w:hAnsi="仿宋" w:eastAsia="仿宋" w:cs="仿宋"/>
          <w:color w:val="000000"/>
          <w:kern w:val="2"/>
          <w:sz w:val="32"/>
          <w:szCs w:val="32"/>
          <w:lang w:val="en-US" w:eastAsia="zh-CN" w:bidi="ar"/>
        </w:rPr>
        <w:t>执行数</w:t>
      </w:r>
      <w:r>
        <w:rPr>
          <w:rFonts w:hint="eastAsia" w:ascii="仿宋_GB2312" w:hAnsi="宋体" w:eastAsia="仿宋_GB2312" w:cs="仿宋_GB2312"/>
          <w:color w:val="000000"/>
          <w:kern w:val="2"/>
          <w:sz w:val="32"/>
          <w:szCs w:val="32"/>
          <w:lang w:val="en-US" w:eastAsia="zh-CN" w:bidi="ar"/>
        </w:rPr>
        <w:t>5.78</w:t>
      </w:r>
      <w:r>
        <w:rPr>
          <w:rFonts w:hint="eastAsia" w:ascii="仿宋" w:hAnsi="仿宋" w:eastAsia="仿宋" w:cs="仿宋"/>
          <w:color w:val="000000"/>
          <w:kern w:val="2"/>
          <w:sz w:val="32"/>
          <w:szCs w:val="32"/>
          <w:lang w:val="en-US" w:eastAsia="zh-CN" w:bidi="ar"/>
        </w:rPr>
        <w:t>万元，年末结余</w:t>
      </w:r>
      <w:r>
        <w:rPr>
          <w:rFonts w:hint="eastAsia" w:ascii="仿宋" w:hAnsi="仿宋" w:eastAsia="仿宋" w:cs="仿宋_GB2312"/>
          <w:color w:val="000000"/>
          <w:kern w:val="2"/>
          <w:sz w:val="32"/>
          <w:szCs w:val="32"/>
          <w:lang w:val="en-US" w:eastAsia="zh-CN" w:bidi="ar"/>
        </w:rPr>
        <w:t>0</w:t>
      </w:r>
      <w:r>
        <w:rPr>
          <w:rFonts w:hint="eastAsia" w:ascii="仿宋" w:hAnsi="仿宋" w:eastAsia="仿宋" w:cs="仿宋"/>
          <w:color w:val="000000"/>
          <w:kern w:val="2"/>
          <w:sz w:val="32"/>
          <w:szCs w:val="32"/>
          <w:lang w:val="en-US" w:eastAsia="zh-CN" w:bidi="ar"/>
        </w:rPr>
        <w:t>，完成预算的</w:t>
      </w:r>
      <w:r>
        <w:rPr>
          <w:rFonts w:hint="eastAsia" w:ascii="仿宋" w:hAnsi="仿宋" w:eastAsia="仿宋" w:cs="仿宋_GB2312"/>
          <w:color w:val="000000"/>
          <w:kern w:val="2"/>
          <w:sz w:val="32"/>
          <w:szCs w:val="32"/>
          <w:lang w:val="en-US" w:eastAsia="zh-CN" w:bidi="ar"/>
        </w:rPr>
        <w:t>100</w:t>
      </w:r>
      <w:r>
        <w:rPr>
          <w:rFonts w:hint="eastAsia" w:ascii="仿宋" w:hAnsi="仿宋" w:eastAsia="仿宋" w:cs="仿宋"/>
          <w:color w:val="000000"/>
          <w:kern w:val="2"/>
          <w:sz w:val="32"/>
          <w:szCs w:val="32"/>
          <w:lang w:val="en-US" w:eastAsia="zh-CN" w:bidi="ar"/>
        </w:rPr>
        <w:t>%。</w:t>
      </w:r>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right="0" w:firstLine="642" w:firstLineChars="200"/>
        <w:jc w:val="both"/>
        <w:textAlignment w:val="auto"/>
        <w:rPr>
          <w:rFonts w:hint="eastAsia" w:ascii="仿宋_GB2312" w:eastAsia="仿宋_GB2312" w:cs="仿宋_GB2312"/>
          <w:kern w:val="0"/>
          <w:sz w:val="32"/>
          <w:szCs w:val="32"/>
          <w:shd w:val="clear" w:fill="FFFFFF"/>
        </w:rPr>
      </w:pPr>
      <w:r>
        <w:rPr>
          <w:rFonts w:hint="eastAsia" w:ascii="楷体_GB2312" w:hAnsi="宋体" w:eastAsia="楷体_GB2312" w:cs="楷体_GB2312"/>
          <w:b/>
          <w:bCs w:val="0"/>
          <w:kern w:val="2"/>
          <w:sz w:val="32"/>
          <w:szCs w:val="32"/>
          <w:lang w:val="en-US" w:eastAsia="zh-CN" w:bidi="ar"/>
        </w:rPr>
        <w:t>（四）项目绩效目标设置。</w:t>
      </w:r>
      <w:r>
        <w:rPr>
          <w:rFonts w:hint="eastAsia" w:ascii="仿宋_GB2312" w:hAnsi="宋体" w:eastAsia="仿宋_GB2312" w:cs="仿宋_GB2312"/>
          <w:color w:val="000000"/>
          <w:kern w:val="2"/>
          <w:sz w:val="32"/>
          <w:szCs w:val="32"/>
          <w:lang w:val="en-US" w:eastAsia="zh-CN" w:bidi="ar"/>
        </w:rPr>
        <w:t>项目实施过程中，严格根据市工商联直属商协会党建工作需要，与市委组织部、市委两新工委对行业党委的要求一致。申报的项目目标符合我会实际，合理可行。</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jc w:val="both"/>
        <w:textAlignment w:val="auto"/>
        <w:outlineLvl w:val="2"/>
        <w:rPr>
          <w:rFonts w:hint="eastAsia" w:ascii="黑体" w:hAnsi="宋体" w:eastAsia="黑体" w:cs="Times New Roman"/>
          <w:kern w:val="2"/>
          <w:sz w:val="32"/>
          <w:szCs w:val="32"/>
        </w:rPr>
      </w:pPr>
      <w:bookmarkStart w:id="118" w:name="_Toc5955"/>
      <w:r>
        <w:rPr>
          <w:rFonts w:hint="eastAsia" w:ascii="黑体" w:hAnsi="宋体" w:eastAsia="黑体" w:cs="黑体"/>
          <w:kern w:val="2"/>
          <w:sz w:val="32"/>
          <w:szCs w:val="32"/>
          <w:lang w:val="en-US" w:eastAsia="zh-CN" w:bidi="ar"/>
        </w:rPr>
        <w:t>二、评价实施</w:t>
      </w:r>
      <w:bookmarkEnd w:id="118"/>
    </w:p>
    <w:p>
      <w:pPr>
        <w:keepNext w:val="0"/>
        <w:keepLines w:val="0"/>
        <w:pageBreakBefore w:val="0"/>
        <w:widowControl w:val="0"/>
        <w:suppressLineNumbers w:val="0"/>
        <w:kinsoku/>
        <w:wordWrap/>
        <w:overflowPunct w:val="0"/>
        <w:topLinePunct/>
        <w:autoSpaceDE w:val="0"/>
        <w:autoSpaceDN/>
        <w:bidi w:val="0"/>
        <w:spacing w:before="0" w:beforeAutospacing="0" w:after="0" w:afterAutospacing="0" w:line="576" w:lineRule="exact"/>
        <w:ind w:left="0" w:right="0" w:firstLine="640"/>
        <w:jc w:val="both"/>
        <w:textAlignment w:val="auto"/>
        <w:rPr>
          <w:rFonts w:hint="eastAsia" w:ascii="Times New Roman" w:hAnsi="Times New Roman" w:eastAsia="楷体" w:cs="Times New Roman"/>
          <w:kern w:val="2"/>
          <w:sz w:val="32"/>
          <w:szCs w:val="32"/>
        </w:rPr>
      </w:pPr>
      <w:r>
        <w:rPr>
          <w:rFonts w:hint="eastAsia" w:ascii="楷体" w:hAnsi="楷体" w:eastAsia="楷体" w:cs="楷体"/>
          <w:b/>
          <w:bCs w:val="0"/>
          <w:kern w:val="2"/>
          <w:sz w:val="32"/>
          <w:szCs w:val="32"/>
          <w:lang w:val="en-US" w:eastAsia="zh-CN" w:bidi="ar"/>
        </w:rPr>
        <w:t>（一）评价目的。</w:t>
      </w:r>
      <w:r>
        <w:rPr>
          <w:rFonts w:hint="eastAsia" w:ascii="仿宋_GB2312" w:hAnsi="Times New Roman" w:eastAsia="仿宋_GB2312" w:cs="仿宋_GB2312"/>
          <w:kern w:val="2"/>
          <w:sz w:val="32"/>
          <w:szCs w:val="32"/>
          <w:lang w:val="en-US" w:eastAsia="zh-CN" w:bidi="ar"/>
        </w:rPr>
        <w:t>进一步规范</w:t>
      </w:r>
      <w:r>
        <w:rPr>
          <w:rFonts w:hint="default" w:ascii="Times New Roman" w:hAnsi="Times New Roman" w:eastAsia="仿宋_GB2312" w:cs="Times New Roman"/>
          <w:kern w:val="2"/>
          <w:sz w:val="32"/>
          <w:szCs w:val="32"/>
          <w:lang w:val="en-US" w:eastAsia="zh-CN" w:bidi="ar"/>
        </w:rPr>
        <w:t>2023</w:t>
      </w:r>
      <w:r>
        <w:rPr>
          <w:rFonts w:hint="eastAsia" w:ascii="仿宋_GB2312" w:hAnsi="Times New Roman" w:eastAsia="仿宋_GB2312" w:cs="仿宋_GB2312"/>
          <w:kern w:val="2"/>
          <w:sz w:val="32"/>
          <w:szCs w:val="32"/>
          <w:lang w:val="en-US" w:eastAsia="zh-CN" w:bidi="ar"/>
        </w:rPr>
        <w:t>年市工商联直属商协会联合党委及各直属商协会党组织党建工作经费使用。</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42" w:firstLineChars="200"/>
        <w:jc w:val="both"/>
        <w:textAlignment w:val="auto"/>
        <w:rPr>
          <w:rFonts w:hint="eastAsia" w:ascii="Times New Roman" w:hAnsi="Times New Roman" w:eastAsia="仿宋_GB2312" w:cs="Times New Roman"/>
          <w:kern w:val="2"/>
          <w:sz w:val="32"/>
          <w:szCs w:val="32"/>
        </w:rPr>
      </w:pPr>
      <w:r>
        <w:rPr>
          <w:rFonts w:hint="eastAsia" w:ascii="楷体" w:hAnsi="楷体" w:eastAsia="楷体" w:cs="楷体"/>
          <w:b/>
          <w:bCs w:val="0"/>
          <w:kern w:val="2"/>
          <w:sz w:val="32"/>
          <w:szCs w:val="32"/>
          <w:lang w:val="en-US" w:eastAsia="zh-CN" w:bidi="ar"/>
        </w:rPr>
        <w:t>（二）预设问题及评价重点。</w:t>
      </w:r>
      <w:r>
        <w:rPr>
          <w:rFonts w:hint="eastAsia" w:ascii="仿宋_GB2312" w:hAnsi="Times New Roman" w:eastAsia="仿宋_GB2312" w:cs="仿宋_GB2312"/>
          <w:kern w:val="2"/>
          <w:sz w:val="32"/>
          <w:szCs w:val="32"/>
          <w:lang w:val="en-US" w:eastAsia="zh-CN" w:bidi="ar"/>
        </w:rPr>
        <w:t>重点对党建经费是否专款专用、专项专用进行评价</w:t>
      </w:r>
      <w:r>
        <w:rPr>
          <w:rFonts w:hint="eastAsia" w:ascii="仿宋" w:hAnsi="仿宋" w:eastAsia="仿宋" w:cs="仿宋"/>
          <w:kern w:val="2"/>
          <w:sz w:val="32"/>
          <w:szCs w:val="32"/>
          <w:lang w:val="en-US" w:eastAsia="zh-CN" w:bidi="ar"/>
        </w:rPr>
        <w:t>。</w:t>
      </w:r>
    </w:p>
    <w:p>
      <w:pPr>
        <w:keepNext w:val="0"/>
        <w:keepLines w:val="0"/>
        <w:pageBreakBefore w:val="0"/>
        <w:widowControl w:val="0"/>
        <w:suppressLineNumbers w:val="0"/>
        <w:kinsoku/>
        <w:wordWrap/>
        <w:overflowPunct w:val="0"/>
        <w:topLinePunct/>
        <w:autoSpaceDE w:val="0"/>
        <w:autoSpaceDN/>
        <w:bidi w:val="0"/>
        <w:adjustRightInd w:val="0"/>
        <w:snapToGrid w:val="0"/>
        <w:spacing w:before="0" w:beforeAutospacing="0" w:after="0" w:afterAutospacing="0" w:line="576" w:lineRule="exact"/>
        <w:ind w:left="0" w:leftChars="0" w:right="0" w:firstLine="642" w:firstLineChars="200"/>
        <w:jc w:val="both"/>
        <w:textAlignment w:val="auto"/>
        <w:rPr>
          <w:rFonts w:hint="eastAsia" w:ascii="Times New Roman" w:hAnsi="Times New Roman" w:eastAsia="仿宋_GB2312" w:cs="Times New Roman"/>
          <w:kern w:val="2"/>
          <w:sz w:val="32"/>
          <w:szCs w:val="32"/>
        </w:rPr>
      </w:pPr>
      <w:r>
        <w:rPr>
          <w:rFonts w:hint="eastAsia" w:ascii="楷体" w:hAnsi="楷体" w:eastAsia="楷体" w:cs="楷体"/>
          <w:b/>
          <w:bCs w:val="0"/>
          <w:kern w:val="2"/>
          <w:sz w:val="32"/>
          <w:szCs w:val="32"/>
          <w:lang w:val="en-US" w:eastAsia="zh-CN" w:bidi="ar"/>
        </w:rPr>
        <w:t>（三）评价选点。</w:t>
      </w:r>
      <w:r>
        <w:rPr>
          <w:rFonts w:hint="eastAsia" w:ascii="仿宋_GB2312" w:hAnsi="Times New Roman" w:eastAsia="仿宋_GB2312" w:cs="仿宋_GB2312"/>
          <w:kern w:val="2"/>
          <w:sz w:val="32"/>
          <w:szCs w:val="32"/>
          <w:lang w:val="en-US" w:eastAsia="zh-CN" w:bidi="ar"/>
        </w:rPr>
        <w:t>通过对</w:t>
      </w:r>
      <w:r>
        <w:rPr>
          <w:rFonts w:hint="default" w:ascii="Times New Roman" w:hAnsi="Times New Roman" w:eastAsia="仿宋_GB2312" w:cs="Times New Roman"/>
          <w:kern w:val="2"/>
          <w:sz w:val="32"/>
          <w:szCs w:val="32"/>
          <w:lang w:val="en-US" w:eastAsia="zh-CN" w:bidi="ar"/>
        </w:rPr>
        <w:t>9</w:t>
      </w:r>
      <w:r>
        <w:rPr>
          <w:rFonts w:hint="eastAsia" w:ascii="仿宋_GB2312" w:hAnsi="Times New Roman" w:eastAsia="仿宋_GB2312" w:cs="仿宋_GB2312"/>
          <w:kern w:val="2"/>
          <w:sz w:val="32"/>
          <w:szCs w:val="32"/>
          <w:lang w:val="en-US" w:eastAsia="zh-CN" w:bidi="ar"/>
        </w:rPr>
        <w:t>个直属商协会中的</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个商协会党组织进行抽查评选。</w:t>
      </w:r>
    </w:p>
    <w:p>
      <w:pPr>
        <w:keepNext w:val="0"/>
        <w:keepLines w:val="0"/>
        <w:pageBreakBefore w:val="0"/>
        <w:widowControl w:val="0"/>
        <w:suppressLineNumbers w:val="0"/>
        <w:kinsoku/>
        <w:wordWrap/>
        <w:overflowPunct w:val="0"/>
        <w:topLinePunct/>
        <w:autoSpaceDE w:val="0"/>
        <w:autoSpaceDN/>
        <w:bidi w:val="0"/>
        <w:spacing w:before="0" w:beforeAutospacing="0" w:after="0" w:afterAutospacing="0" w:line="576" w:lineRule="exact"/>
        <w:ind w:left="0" w:right="0" w:firstLine="640"/>
        <w:jc w:val="both"/>
        <w:textAlignment w:val="auto"/>
        <w:rPr>
          <w:rFonts w:hint="eastAsia" w:ascii="Times New Roman" w:hAnsi="Times New Roman" w:eastAsia="仿宋" w:cs="Times New Roman"/>
          <w:kern w:val="2"/>
          <w:sz w:val="32"/>
          <w:szCs w:val="32"/>
        </w:rPr>
      </w:pPr>
      <w:r>
        <w:rPr>
          <w:rFonts w:hint="eastAsia" w:ascii="楷体" w:hAnsi="楷体" w:eastAsia="楷体" w:cs="楷体"/>
          <w:b/>
          <w:bCs w:val="0"/>
          <w:kern w:val="2"/>
          <w:sz w:val="32"/>
          <w:szCs w:val="32"/>
          <w:lang w:val="en-US" w:eastAsia="zh-CN" w:bidi="ar"/>
        </w:rPr>
        <w:t>（四）评价方法。</w:t>
      </w:r>
      <w:r>
        <w:rPr>
          <w:rFonts w:hint="eastAsia" w:ascii="仿宋_GB2312" w:hAnsi="Times New Roman" w:eastAsia="仿宋_GB2312" w:cs="仿宋_GB2312"/>
          <w:kern w:val="2"/>
          <w:sz w:val="32"/>
          <w:szCs w:val="32"/>
          <w:lang w:val="en-US" w:eastAsia="zh-CN" w:bidi="ar"/>
        </w:rPr>
        <w:t>主要采用</w:t>
      </w:r>
      <w:r>
        <w:rPr>
          <w:rFonts w:hint="eastAsia" w:ascii="仿宋" w:hAnsi="仿宋" w:eastAsia="仿宋" w:cs="仿宋"/>
          <w:kern w:val="2"/>
          <w:sz w:val="32"/>
          <w:szCs w:val="32"/>
          <w:lang w:val="en-US" w:eastAsia="zh-CN" w:bidi="ar"/>
        </w:rPr>
        <w:t>成本效益分析法、案卷研究法、直属商协会党组织自评法</w:t>
      </w:r>
      <w:r>
        <w:rPr>
          <w:rFonts w:hint="eastAsia" w:ascii="仿宋_GB2312" w:hAnsi="Times New Roman" w:eastAsia="仿宋_GB2312" w:cs="仿宋_GB2312"/>
          <w:kern w:val="2"/>
          <w:sz w:val="32"/>
          <w:szCs w:val="32"/>
          <w:lang w:val="en-US" w:eastAsia="zh-CN" w:bidi="ar"/>
        </w:rPr>
        <w:t>进行评价，对会议效果和项目支出票据进行查验。</w:t>
      </w:r>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right="0" w:firstLine="642" w:firstLineChars="200"/>
        <w:jc w:val="both"/>
        <w:textAlignment w:val="auto"/>
        <w:rPr>
          <w:rFonts w:hint="eastAsia" w:ascii="仿宋_GB2312" w:hAnsi="Times New Roman" w:eastAsia="仿宋_GB2312" w:cs="Times New Roman"/>
          <w:color w:val="000000"/>
          <w:kern w:val="2"/>
          <w:sz w:val="32"/>
          <w:szCs w:val="32"/>
        </w:rPr>
      </w:pPr>
      <w:r>
        <w:rPr>
          <w:rFonts w:hint="eastAsia" w:ascii="楷体" w:hAnsi="楷体" w:eastAsia="楷体" w:cs="楷体"/>
          <w:b/>
          <w:bCs w:val="0"/>
          <w:kern w:val="2"/>
          <w:sz w:val="32"/>
          <w:szCs w:val="32"/>
          <w:lang w:val="en-US" w:eastAsia="zh-CN" w:bidi="ar"/>
        </w:rPr>
        <w:t>（五）评价组织。</w:t>
      </w:r>
      <w:r>
        <w:rPr>
          <w:rFonts w:hint="eastAsia" w:ascii="仿宋_GB2312" w:hAnsi="Times New Roman" w:eastAsia="仿宋_GB2312" w:cs="仿宋_GB2312"/>
          <w:color w:val="000000"/>
          <w:kern w:val="2"/>
          <w:sz w:val="32"/>
          <w:szCs w:val="32"/>
          <w:lang w:val="en-US" w:eastAsia="zh-CN" w:bidi="ar"/>
        </w:rPr>
        <w:t>为做好经费支出绩效考评自评工作，市工商联直属商协会联合党委成立了由党委书记牵头，直属商协会党建工作部具体承办，直属商协会党委委员、市工商联会计出纳等具体负责项目支出绩效考评自评各项工作。</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76" w:lineRule="exact"/>
        <w:ind w:left="0" w:right="0" w:firstLine="640" w:firstLineChars="200"/>
        <w:jc w:val="both"/>
        <w:textAlignment w:val="auto"/>
        <w:outlineLvl w:val="2"/>
        <w:rPr>
          <w:rFonts w:hint="eastAsia" w:ascii="仿宋_GB2312" w:hAnsi="宋体" w:eastAsia="仿宋_GB2312" w:cs="Times New Roman"/>
          <w:kern w:val="2"/>
          <w:sz w:val="32"/>
          <w:szCs w:val="32"/>
        </w:rPr>
      </w:pPr>
      <w:bookmarkStart w:id="119" w:name="_Toc31215"/>
      <w:r>
        <w:rPr>
          <w:rFonts w:hint="eastAsia" w:ascii="黑体" w:hAnsi="宋体" w:eastAsia="黑体" w:cs="黑体"/>
          <w:kern w:val="2"/>
          <w:sz w:val="32"/>
          <w:szCs w:val="32"/>
          <w:lang w:val="en-US" w:eastAsia="zh-CN" w:bidi="ar"/>
        </w:rPr>
        <w:t>三、绩效分析</w:t>
      </w:r>
      <w:bookmarkEnd w:id="119"/>
      <w:r>
        <w:rPr>
          <w:rFonts w:hint="eastAsia" w:ascii="仿宋_GB2312" w:hAnsi="宋体" w:eastAsia="仿宋_GB2312" w:cs="Times New Roman"/>
          <w:kern w:val="2"/>
          <w:sz w:val="32"/>
          <w:szCs w:val="32"/>
          <w:lang w:val="en-US" w:eastAsia="zh-CN" w:bidi="ar"/>
        </w:rPr>
        <w:tab/>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left="0" w:right="0" w:firstLine="641"/>
        <w:jc w:val="both"/>
        <w:textAlignment w:val="auto"/>
        <w:outlineLvl w:val="9"/>
        <w:rPr>
          <w:rFonts w:hint="eastAsia" w:ascii="楷体_GB2312" w:hAnsi="宋体" w:eastAsia="楷体_GB2312" w:cs="Times New Roman"/>
          <w:b w:val="0"/>
          <w:bCs/>
          <w:kern w:val="2"/>
          <w:sz w:val="32"/>
          <w:szCs w:val="32"/>
        </w:rPr>
      </w:pPr>
      <w:bookmarkStart w:id="120" w:name="_Toc2894"/>
      <w:r>
        <w:rPr>
          <w:rFonts w:hint="eastAsia" w:ascii="楷体_GB2312" w:hAnsi="宋体" w:eastAsia="楷体_GB2312" w:cs="楷体_GB2312"/>
          <w:b w:val="0"/>
          <w:bCs/>
          <w:kern w:val="2"/>
          <w:sz w:val="32"/>
          <w:szCs w:val="32"/>
          <w:lang w:val="en-US" w:eastAsia="zh-CN" w:bidi="ar"/>
        </w:rPr>
        <w:t>（一）通用指标</w:t>
      </w:r>
      <w:r>
        <w:rPr>
          <w:rFonts w:hint="eastAsia" w:ascii="楷体_GB2312" w:hAnsi="Times New Roman" w:eastAsia="楷体_GB2312" w:cs="楷体_GB2312"/>
          <w:b w:val="0"/>
          <w:bCs/>
          <w:color w:val="000000"/>
          <w:kern w:val="0"/>
          <w:sz w:val="32"/>
          <w:szCs w:val="32"/>
          <w:shd w:val="clear" w:fill="FFFFFF"/>
          <w:lang w:val="en-US" w:eastAsia="zh-CN" w:bidi="ar"/>
        </w:rPr>
        <w:t>绩效分析。</w:t>
      </w:r>
      <w:bookmarkEnd w:id="120"/>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1.项目决策（18分）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①决策程序（6分）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按照中央组织部、财政部、国家税务总局和省委组织部、省财政厅、省国家税务局、省地方税务局“建立两新组织党建工作经费保障机制”相关要求，</w:t>
      </w:r>
      <w:r>
        <w:rPr>
          <w:rFonts w:hint="default" w:ascii="Times New Roman" w:hAnsi="Times New Roman" w:eastAsia="仿宋_GB2312" w:cs="Times New Roman"/>
          <w:kern w:val="2"/>
          <w:sz w:val="32"/>
          <w:szCs w:val="32"/>
          <w:lang w:val="en-US" w:eastAsia="zh-CN" w:bidi="ar"/>
        </w:rPr>
        <w:t>2015</w:t>
      </w:r>
      <w:r>
        <w:rPr>
          <w:rFonts w:hint="eastAsia" w:ascii="仿宋_GB2312" w:hAnsi="Times New Roman" w:eastAsia="仿宋_GB2312" w:cs="仿宋_GB2312"/>
          <w:kern w:val="2"/>
          <w:sz w:val="32"/>
          <w:szCs w:val="32"/>
          <w:lang w:val="en-US" w:eastAsia="zh-CN" w:bidi="ar"/>
        </w:rPr>
        <w:t>年市委组织部联合市财政局、市国税局、市地税局下发《关于进一步加强“两新”组织党建工作经费保障的通知》（广组通</w:t>
      </w:r>
      <w:r>
        <w:rPr>
          <w:rFonts w:hint="eastAsia" w:ascii="方正小标宋简体" w:hAnsi="方正小标宋简体" w:eastAsia="方正小标宋简体" w:cs="方正小标宋简体"/>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2015</w:t>
      </w:r>
      <w:r>
        <w:rPr>
          <w:rFonts w:hint="eastAsia" w:ascii="方正小标宋简体" w:hAnsi="方正小标宋简体" w:eastAsia="方正小标宋简体" w:cs="方正小标宋简体"/>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41</w:t>
      </w:r>
      <w:r>
        <w:rPr>
          <w:rFonts w:hint="eastAsia" w:ascii="仿宋_GB2312" w:hAnsi="Times New Roman" w:eastAsia="仿宋_GB2312" w:cs="仿宋_GB2312"/>
          <w:kern w:val="2"/>
          <w:sz w:val="32"/>
          <w:szCs w:val="32"/>
          <w:lang w:val="en-US" w:eastAsia="zh-CN" w:bidi="ar"/>
        </w:rPr>
        <w:t>号），就进一步建立健全两新组织党建工作经费，提出了明确要求（自评得分</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②规划论证（6分）。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根据市委组织部联合市财政局、市国税局、市地税局联合下发的文件，每年市委组织部、市委两新工委对主管的各行业党委、两新党组织数量、经费总额进行核实、评估、汇总，</w:t>
      </w:r>
      <w:r>
        <w:rPr>
          <w:rFonts w:hint="eastAsia" w:ascii="仿宋_GB2312" w:hAnsi="宋体" w:eastAsia="仿宋_GB2312" w:cs="仿宋_GB2312"/>
          <w:color w:val="000000"/>
          <w:kern w:val="2"/>
          <w:sz w:val="32"/>
          <w:szCs w:val="32"/>
          <w:lang w:val="en-US" w:eastAsia="zh-CN" w:bidi="ar"/>
        </w:rPr>
        <w:t>按照《中共广元市委组织部关于划拨2023年市本级两新组织党建工作经费的函》，划拨给各行业党委及下辖的两新党组织（自评得分6分）。</w:t>
      </w:r>
      <w:r>
        <w:rPr>
          <w:rFonts w:hint="eastAsia" w:ascii="Times New Roman" w:hAnsi="Times New Roman" w:eastAsia="仿宋_GB2312" w:cs="Times New Roman"/>
          <w:kern w:val="2"/>
          <w:sz w:val="32"/>
          <w:szCs w:val="32"/>
          <w:lang w:val="en-US" w:eastAsia="zh-CN" w:bidi="ar"/>
        </w:rPr>
        <w:t xml:space="preserve">  </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③资金投向。（6分）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仿宋_GB2312" w:hAnsi="宋体" w:eastAsia="仿宋_GB2312" w:cs="Times New Roman"/>
          <w:color w:val="000000"/>
          <w:kern w:val="2"/>
          <w:sz w:val="32"/>
          <w:szCs w:val="32"/>
        </w:rPr>
      </w:pPr>
      <w:r>
        <w:rPr>
          <w:rFonts w:hint="eastAsia" w:ascii="仿宋_GB2312" w:hAnsi="宋体" w:eastAsia="仿宋_GB2312" w:cs="仿宋_GB2312"/>
          <w:color w:val="000000"/>
          <w:kern w:val="2"/>
          <w:sz w:val="32"/>
          <w:szCs w:val="32"/>
          <w:lang w:val="en-US" w:eastAsia="zh-CN" w:bidi="ar"/>
        </w:rPr>
        <w:t>2023年总金额5.78万元。其中，广元市工商联直属商协会联合党委2万元，广元市商贸协会党支部、福建商会党支部、浙江温州商会党支部、市江西商会党支部、市广告协会党支部、市汽车行业协会党支部、市质量品牌协会党支部、市五金机电建材商会党支部、市遂宁商会党支部等9个党支部每个党支部经费0.42万元（包含：0.3万元党组织活动经费、0.12万元党组织书记岗位补贴），共计3.78万元（自评得分6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项目管理（</w:t>
      </w:r>
      <w:r>
        <w:rPr>
          <w:rFonts w:hint="default" w:ascii="Times New Roman" w:hAnsi="Times New Roman" w:eastAsia="仿宋_GB2312" w:cs="Times New Roman"/>
          <w:kern w:val="2"/>
          <w:sz w:val="32"/>
          <w:szCs w:val="32"/>
          <w:lang w:val="en-US" w:eastAsia="zh-CN" w:bidi="ar"/>
        </w:rPr>
        <w:t>18</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①制度办法。（2分）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仿宋_GB2312" w:hAnsi="宋体" w:eastAsia="仿宋_GB2312" w:cs="Times New Roman"/>
          <w:color w:val="000000"/>
          <w:kern w:val="2"/>
          <w:sz w:val="32"/>
          <w:szCs w:val="32"/>
        </w:rPr>
      </w:pPr>
      <w:r>
        <w:rPr>
          <w:rFonts w:hint="eastAsia" w:ascii="仿宋_GB2312" w:hAnsi="宋体" w:eastAsia="仿宋_GB2312" w:cs="仿宋_GB2312"/>
          <w:color w:val="000000"/>
          <w:kern w:val="2"/>
          <w:sz w:val="32"/>
          <w:szCs w:val="32"/>
          <w:lang w:val="en-US" w:eastAsia="zh-CN" w:bidi="ar"/>
        </w:rPr>
        <w:t>为便于资金管理和使用，市工商联直属商协会联合党委按照《中共广元市委组织部关于划拨2023年市本级两新组织党建工作经费的函》的要求，进一步细化了制定了详细工作方案，并严格按照市财政支出相关规定严格落实。（自评得分2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仿宋_GB2312" w:hAnsi="宋体" w:eastAsia="仿宋_GB2312" w:cs="Times New Roman"/>
          <w:color w:val="000000"/>
          <w:kern w:val="2"/>
          <w:sz w:val="32"/>
          <w:szCs w:val="32"/>
        </w:rPr>
      </w:pPr>
      <w:r>
        <w:rPr>
          <w:rFonts w:hint="eastAsia" w:ascii="楷体_GB2312" w:hAnsi="宋体" w:eastAsia="楷体_GB2312" w:cs="楷体_GB2312"/>
          <w:kern w:val="2"/>
          <w:sz w:val="32"/>
          <w:szCs w:val="32"/>
          <w:lang w:val="en-US" w:eastAsia="zh-CN" w:bidi="ar"/>
        </w:rPr>
        <w:t>②分配管理</w:t>
      </w:r>
      <w:r>
        <w:rPr>
          <w:rFonts w:hint="eastAsia" w:ascii="仿宋_GB2312" w:hAnsi="宋体" w:eastAsia="仿宋_GB2312" w:cs="仿宋_GB2312"/>
          <w:color w:val="000000"/>
          <w:kern w:val="2"/>
          <w:sz w:val="32"/>
          <w:szCs w:val="32"/>
          <w:lang w:val="en-US" w:eastAsia="zh-CN" w:bidi="ar"/>
        </w:rPr>
        <w:t>。（10分）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仿宋_GB2312" w:hAnsi="宋体" w:eastAsia="仿宋_GB2312" w:cs="Times New Roman"/>
          <w:color w:val="000000"/>
          <w:kern w:val="2"/>
          <w:sz w:val="32"/>
          <w:szCs w:val="32"/>
        </w:rPr>
      </w:pPr>
      <w:r>
        <w:rPr>
          <w:rFonts w:hint="eastAsia" w:ascii="仿宋_GB2312" w:hAnsi="Times New Roman" w:eastAsia="仿宋_GB2312" w:cs="仿宋_GB2312"/>
          <w:b w:val="0"/>
          <w:color w:val="000000"/>
          <w:kern w:val="2"/>
          <w:sz w:val="32"/>
          <w:szCs w:val="32"/>
          <w:lang w:val="en-US" w:eastAsia="zh-CN" w:bidi="ar"/>
        </w:rPr>
        <w:t>市工商联直属商协会党组织两新党建经费分配管理遵循以下原则：一是公平竞争，公开透明。</w:t>
      </w:r>
      <w:r>
        <w:rPr>
          <w:rFonts w:hint="eastAsia" w:ascii="仿宋_GB2312" w:hAnsi="宋体" w:eastAsia="仿宋_GB2312" w:cs="仿宋_GB2312"/>
          <w:color w:val="000000"/>
          <w:kern w:val="2"/>
          <w:sz w:val="32"/>
          <w:szCs w:val="32"/>
          <w:lang w:val="en-US" w:eastAsia="zh-CN" w:bidi="ar"/>
        </w:rPr>
        <w:t>市工商联直属商协会联合党委结合市委两新工委文件精神，将资金分配使用情况上报市工商联党组会，市工商联党组成员专题研究各直属商协会党组织党建经费分配情况，经党组会研究同意后第一时间划拨给各直属商协会党组织。</w:t>
      </w:r>
      <w:r>
        <w:rPr>
          <w:rFonts w:hint="eastAsia" w:ascii="仿宋_GB2312" w:hAnsi="Times New Roman" w:eastAsia="仿宋_GB2312" w:cs="仿宋_GB2312"/>
          <w:b w:val="0"/>
          <w:color w:val="000000"/>
          <w:kern w:val="2"/>
          <w:sz w:val="32"/>
          <w:szCs w:val="32"/>
          <w:lang w:val="en-US" w:eastAsia="zh-CN" w:bidi="ar"/>
        </w:rPr>
        <w:t>二是创新机制，高效科学。专项资金使用以提高资金使用效益为基本导向，增强资金使用的绩效观念。三是从严监管，合理使用。专项资金使用严格遵守有关法律、法规和相关规章制度。</w:t>
      </w:r>
      <w:r>
        <w:rPr>
          <w:rFonts w:hint="eastAsia" w:ascii="仿宋_GB2312" w:hAnsi="宋体" w:eastAsia="仿宋_GB2312" w:cs="仿宋_GB2312"/>
          <w:color w:val="000000"/>
          <w:kern w:val="2"/>
          <w:sz w:val="32"/>
          <w:szCs w:val="32"/>
          <w:lang w:val="en-US" w:eastAsia="zh-CN" w:bidi="ar"/>
        </w:rPr>
        <w:t>（自评得分10分）。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③绩效监管。（6分）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该项经费拨付到各直属商协会专项账户上后，市工商联直属商协会联合党委通过召开党委扩大会议、开展党建工作调研、电话提醒提示问询等方式，确保各支部的党建工作经费专项使用、专门落实到位。</w:t>
      </w:r>
      <w:r>
        <w:rPr>
          <w:rFonts w:hint="eastAsia" w:ascii="仿宋_GB2312" w:hAnsi="宋体" w:eastAsia="仿宋_GB2312" w:cs="仿宋_GB2312"/>
          <w:color w:val="000000"/>
          <w:kern w:val="2"/>
          <w:sz w:val="32"/>
          <w:szCs w:val="32"/>
          <w:lang w:val="en-US" w:eastAsia="zh-CN" w:bidi="ar"/>
        </w:rPr>
        <w:t>（自评得分6分）。</w:t>
      </w:r>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3.项目实施情况（9分）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jc w:val="both"/>
        <w:textAlignment w:val="auto"/>
        <w:rPr>
          <w:rFonts w:hint="eastAsia" w:ascii="Times New Roman" w:hAnsi="Times New Roman" w:eastAsia="仿宋_GB2312" w:cs="Times New Roman"/>
          <w:kern w:val="2"/>
          <w:sz w:val="32"/>
          <w:szCs w:val="32"/>
        </w:rPr>
      </w:pPr>
      <w:r>
        <w:rPr>
          <w:rFonts w:hint="eastAsia" w:ascii="楷体_GB2312" w:hAnsi="宋体" w:eastAsia="楷体_GB2312" w:cs="楷体_GB2312"/>
          <w:kern w:val="2"/>
          <w:sz w:val="32"/>
          <w:szCs w:val="32"/>
          <w:lang w:val="en-US" w:eastAsia="zh-CN" w:bidi="ar"/>
        </w:rPr>
        <w:t>①预算执行</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该项目属广元市委组织部、市委两新工委专项拨付，以</w:t>
      </w:r>
      <w:r>
        <w:rPr>
          <w:rFonts w:hint="eastAsia" w:ascii="仿宋_GB2312" w:hAnsi="宋体" w:eastAsia="仿宋_GB2312" w:cs="仿宋_GB2312"/>
          <w:color w:val="000000"/>
          <w:kern w:val="2"/>
          <w:sz w:val="32"/>
          <w:szCs w:val="32"/>
          <w:lang w:val="en-US" w:eastAsia="zh-CN" w:bidi="ar"/>
        </w:rPr>
        <w:t>《中共广元市委组织部关于划拨2023年市本级两新组织党建工作经费的函》</w:t>
      </w:r>
      <w:r>
        <w:rPr>
          <w:rFonts w:hint="eastAsia" w:ascii="仿宋_GB2312" w:hAnsi="Times New Roman" w:eastAsia="仿宋_GB2312" w:cs="仿宋_GB2312"/>
          <w:kern w:val="2"/>
          <w:sz w:val="32"/>
          <w:szCs w:val="32"/>
          <w:lang w:val="en-US" w:eastAsia="zh-CN" w:bidi="ar"/>
        </w:rPr>
        <w:t>为主要依据，不存在配套资金等情况。自评得</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jc w:val="both"/>
        <w:textAlignment w:val="auto"/>
        <w:rPr>
          <w:rFonts w:hint="eastAsia" w:ascii="Times New Roman" w:hAnsi="Times New Roman" w:eastAsia="仿宋_GB2312" w:cs="Times New Roman"/>
          <w:kern w:val="2"/>
          <w:sz w:val="32"/>
          <w:szCs w:val="32"/>
        </w:rPr>
      </w:pPr>
      <w:r>
        <w:rPr>
          <w:rFonts w:hint="eastAsia" w:ascii="楷体_GB2312" w:hAnsi="宋体" w:eastAsia="楷体_GB2312" w:cs="楷体_GB2312"/>
          <w:kern w:val="2"/>
          <w:sz w:val="32"/>
          <w:szCs w:val="32"/>
          <w:lang w:val="en-US" w:eastAsia="zh-CN" w:bidi="ar"/>
        </w:rPr>
        <w:t>②资金使用</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一是不存在超范围、超标准、超进度使用专项资金；二是不存在资金损失浪费、长期沉淀、截留、挤占、挪用、虚列支出等情况，项目实施严格遵守相关法律法规；三是广元市工商联直属商协会联合党委使用专项资金</w:t>
      </w: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万元，广元市商贸协会党支部等</w:t>
      </w:r>
      <w:r>
        <w:rPr>
          <w:rFonts w:hint="default" w:ascii="Times New Roman" w:hAnsi="Times New Roman" w:eastAsia="仿宋_GB2312" w:cs="Times New Roman"/>
          <w:kern w:val="2"/>
          <w:sz w:val="32"/>
          <w:szCs w:val="32"/>
          <w:lang w:val="en-US" w:eastAsia="zh-CN" w:bidi="ar"/>
        </w:rPr>
        <w:t>9</w:t>
      </w:r>
      <w:r>
        <w:rPr>
          <w:rFonts w:hint="eastAsia" w:ascii="仿宋_GB2312" w:hAnsi="Times New Roman" w:eastAsia="仿宋_GB2312" w:cs="仿宋_GB2312"/>
          <w:kern w:val="2"/>
          <w:sz w:val="32"/>
          <w:szCs w:val="32"/>
          <w:lang w:val="en-US" w:eastAsia="zh-CN" w:bidi="ar"/>
        </w:rPr>
        <w:t>个党组织各使用资金</w:t>
      </w:r>
      <w:r>
        <w:rPr>
          <w:rFonts w:hint="default" w:ascii="Times New Roman" w:hAnsi="Times New Roman" w:eastAsia="仿宋_GB2312" w:cs="Times New Roman"/>
          <w:kern w:val="2"/>
          <w:sz w:val="32"/>
          <w:szCs w:val="32"/>
          <w:lang w:val="en-US" w:eastAsia="zh-CN" w:bidi="ar"/>
        </w:rPr>
        <w:t>0.42</w:t>
      </w:r>
      <w:r>
        <w:rPr>
          <w:rFonts w:hint="eastAsia" w:ascii="仿宋_GB2312" w:hAnsi="Times New Roman" w:eastAsia="仿宋_GB2312" w:cs="仿宋_GB2312"/>
          <w:kern w:val="2"/>
          <w:sz w:val="32"/>
          <w:szCs w:val="32"/>
          <w:lang w:val="en-US" w:eastAsia="zh-CN" w:bidi="ar"/>
        </w:rPr>
        <w:t>万元共计使用</w:t>
      </w:r>
      <w:r>
        <w:rPr>
          <w:rFonts w:hint="default" w:ascii="Times New Roman" w:hAnsi="Times New Roman" w:eastAsia="仿宋_GB2312" w:cs="Times New Roman"/>
          <w:kern w:val="2"/>
          <w:sz w:val="32"/>
          <w:szCs w:val="32"/>
          <w:lang w:val="en-US" w:eastAsia="zh-CN" w:bidi="ar"/>
        </w:rPr>
        <w:t>3.78</w:t>
      </w:r>
      <w:r>
        <w:rPr>
          <w:rFonts w:hint="eastAsia" w:ascii="仿宋_GB2312" w:hAnsi="Times New Roman" w:eastAsia="仿宋_GB2312" w:cs="仿宋_GB2312"/>
          <w:kern w:val="2"/>
          <w:sz w:val="32"/>
          <w:szCs w:val="32"/>
          <w:lang w:val="en-US" w:eastAsia="zh-CN" w:bidi="ar"/>
        </w:rPr>
        <w:t>万元资金。自评得</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4.项目结果情况（9分）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5"/>
        <w:jc w:val="both"/>
        <w:textAlignment w:val="auto"/>
        <w:rPr>
          <w:rFonts w:hint="eastAsia" w:ascii="Times New Roman" w:hAnsi="Times New Roman" w:eastAsia="仿宋_GB2312" w:cs="Times New Roman"/>
          <w:kern w:val="2"/>
          <w:sz w:val="32"/>
          <w:szCs w:val="32"/>
        </w:rPr>
      </w:pPr>
      <w:r>
        <w:rPr>
          <w:rFonts w:hint="eastAsia" w:ascii="楷体_GB2312" w:hAnsi="宋体" w:eastAsia="楷体_GB2312" w:cs="楷体_GB2312"/>
          <w:kern w:val="2"/>
          <w:sz w:val="32"/>
          <w:szCs w:val="32"/>
          <w:lang w:val="en-US" w:eastAsia="zh-CN" w:bidi="ar"/>
        </w:rPr>
        <w:t>①目标完成</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5"/>
        <w:jc w:val="both"/>
        <w:textAlignment w:val="auto"/>
        <w:rPr>
          <w:rFonts w:hint="eastAsia" w:ascii="仿宋_GB2312" w:eastAsia="仿宋_GB2312" w:cs="仿宋_GB2312"/>
          <w:kern w:val="2"/>
          <w:sz w:val="32"/>
          <w:szCs w:val="32"/>
        </w:rPr>
      </w:pPr>
      <w:r>
        <w:rPr>
          <w:rFonts w:hint="eastAsia" w:ascii="仿宋_GB2312" w:hAnsi="Times New Roman" w:eastAsia="仿宋_GB2312" w:cs="仿宋_GB2312"/>
          <w:kern w:val="2"/>
          <w:sz w:val="32"/>
          <w:szCs w:val="32"/>
          <w:lang w:val="en-US" w:eastAsia="zh-CN" w:bidi="ar"/>
        </w:rPr>
        <w:t>一是直属商协会党组织严格按照党建工作经费用途，召开党员大会，专题明确资金拨付及使用范围，进一步明确党建工作经费专款专用工作机制；二是各支部根据财务管理制度，严格落实费用支出和使用明细，确保每笔资金公开、透明，经得起审核；三是市工商联直属商协会联合党委定期深入各党支部走访调研、实地走访、全面摸排党建工作开展、工作经费使用、存在困难问题等相关情况；四是通过党委与各党支部之间“一级抓一级、层层抓落实”的工作模式，确保党建工作经费使用落到实处。自评得</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楷体_GB2312" w:hAnsi="宋体" w:eastAsia="楷体_GB2312" w:cs="Times New Roman"/>
          <w:kern w:val="2"/>
          <w:sz w:val="32"/>
          <w:szCs w:val="32"/>
        </w:rPr>
      </w:pPr>
      <w:r>
        <w:rPr>
          <w:rFonts w:hint="eastAsia" w:ascii="楷体_GB2312" w:hAnsi="宋体" w:eastAsia="楷体_GB2312" w:cs="楷体_GB2312"/>
          <w:kern w:val="2"/>
          <w:sz w:val="32"/>
          <w:szCs w:val="32"/>
          <w:lang w:val="en-US" w:eastAsia="zh-CN" w:bidi="ar"/>
        </w:rPr>
        <w:t>②完成时效。（3分）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default" w:ascii="Times New Roman" w:hAnsi="Times New Roman" w:eastAsia="仿宋_GB2312" w:cs="Times New Roman"/>
          <w:kern w:val="2"/>
          <w:sz w:val="32"/>
          <w:szCs w:val="32"/>
        </w:rPr>
      </w:pPr>
      <w:r>
        <w:rPr>
          <w:rFonts w:hint="eastAsia" w:ascii="楷体_GB2312" w:hAnsi="宋体" w:eastAsia="楷体_GB2312" w:cs="楷体_GB2312"/>
          <w:kern w:val="2"/>
          <w:sz w:val="32"/>
          <w:szCs w:val="32"/>
          <w:lang w:val="en-US" w:eastAsia="zh-CN" w:bidi="ar"/>
        </w:rPr>
        <w:t>该党建工作经费严格按照市委组织部、市委两新组织要求，</w:t>
      </w:r>
      <w:r>
        <w:rPr>
          <w:rFonts w:hint="eastAsia" w:ascii="仿宋_GB2312" w:hAnsi="Times New Roman" w:eastAsia="仿宋_GB2312" w:cs="仿宋_GB2312"/>
          <w:kern w:val="2"/>
          <w:sz w:val="32"/>
          <w:szCs w:val="32"/>
          <w:lang w:val="en-US" w:eastAsia="zh-CN" w:bidi="ar"/>
        </w:rPr>
        <w:t>在</w:t>
      </w:r>
      <w:r>
        <w:rPr>
          <w:rFonts w:hint="default" w:ascii="Times New Roman" w:hAnsi="Times New Roman" w:eastAsia="仿宋_GB2312" w:cs="Times New Roman"/>
          <w:kern w:val="2"/>
          <w:sz w:val="32"/>
          <w:szCs w:val="32"/>
          <w:lang w:val="en-US" w:eastAsia="zh-CN" w:bidi="ar"/>
        </w:rPr>
        <w:t>2023</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w:t>
      </w:r>
      <w:r>
        <w:rPr>
          <w:rFonts w:hint="default" w:ascii="Times New Roman" w:hAnsi="Times New Roman" w:eastAsia="仿宋_GB2312" w:cs="Times New Roman"/>
          <w:kern w:val="2"/>
          <w:sz w:val="32"/>
          <w:szCs w:val="32"/>
          <w:lang w:val="en-US" w:eastAsia="zh-CN" w:bidi="ar"/>
        </w:rPr>
        <w:t>20</w:t>
      </w:r>
      <w:r>
        <w:rPr>
          <w:rFonts w:hint="eastAsia" w:ascii="仿宋_GB2312" w:hAnsi="Times New Roman" w:eastAsia="仿宋_GB2312" w:cs="仿宋_GB2312"/>
          <w:kern w:val="2"/>
          <w:sz w:val="32"/>
          <w:szCs w:val="32"/>
          <w:lang w:val="en-US" w:eastAsia="zh-CN" w:bidi="ar"/>
        </w:rPr>
        <w:t>前完成使用。自评得</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76" w:lineRule="exact"/>
        <w:ind w:left="641" w:leftChars="0" w:right="0" w:rightChars="0"/>
        <w:jc w:val="both"/>
        <w:textAlignment w:val="auto"/>
        <w:outlineLvl w:val="9"/>
        <w:rPr>
          <w:rFonts w:hint="default" w:ascii="Times New Roman" w:hAnsi="Times New Roman" w:eastAsia="楷体_GB2312" w:cs="Times New Roman"/>
          <w:b w:val="0"/>
          <w:bCs/>
          <w:color w:val="000000"/>
          <w:kern w:val="0"/>
          <w:sz w:val="32"/>
          <w:szCs w:val="32"/>
          <w:shd w:val="clear" w:fill="FFFFFF"/>
        </w:rPr>
      </w:pPr>
      <w:bookmarkStart w:id="121" w:name="_Toc12269"/>
      <w:r>
        <w:rPr>
          <w:rFonts w:hint="eastAsia" w:ascii="楷体_GB2312" w:hAnsi="宋体" w:eastAsia="楷体_GB2312" w:cs="楷体_GB2312"/>
          <w:b w:val="0"/>
          <w:bCs/>
          <w:kern w:val="2"/>
          <w:sz w:val="32"/>
          <w:szCs w:val="32"/>
          <w:lang w:val="en-US" w:eastAsia="zh-CN" w:bidi="ar"/>
        </w:rPr>
        <w:t>（二）专用指标</w:t>
      </w:r>
      <w:r>
        <w:rPr>
          <w:rFonts w:hint="eastAsia" w:ascii="楷体_GB2312" w:hAnsi="Times New Roman" w:eastAsia="楷体_GB2312" w:cs="楷体_GB2312"/>
          <w:b w:val="0"/>
          <w:bCs/>
          <w:color w:val="000000"/>
          <w:kern w:val="0"/>
          <w:sz w:val="32"/>
          <w:szCs w:val="32"/>
          <w:shd w:val="clear" w:fill="FFFFFF"/>
          <w:lang w:val="en-US" w:eastAsia="zh-CN" w:bidi="ar"/>
        </w:rPr>
        <w:t>绩效分析。</w:t>
      </w:r>
      <w:bookmarkEnd w:id="121"/>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该项工作属于行政运转事宜，严格按照相关规定执行。</w:t>
      </w:r>
    </w:p>
    <w:p>
      <w:pPr>
        <w:pStyle w:val="13"/>
        <w:keepNext w:val="0"/>
        <w:keepLines w:val="0"/>
        <w:pageBreakBefore w:val="0"/>
        <w:widowControl w:val="0"/>
        <w:numPr>
          <w:ilvl w:val="0"/>
          <w:numId w:val="2"/>
        </w:numPr>
        <w:suppressLineNumbers w:val="0"/>
        <w:kinsoku/>
        <w:wordWrap/>
        <w:autoSpaceDE w:val="0"/>
        <w:autoSpaceDN/>
        <w:bidi w:val="0"/>
        <w:spacing w:before="0" w:beforeAutospacing="0" w:after="0" w:afterAutospacing="0" w:line="576" w:lineRule="exact"/>
        <w:ind w:left="0" w:right="0" w:firstLine="640"/>
        <w:jc w:val="both"/>
        <w:textAlignment w:val="auto"/>
        <w:rPr>
          <w:rFonts w:hint="eastAsia" w:ascii="Times New Roman" w:hAnsi="Times New Roman" w:eastAsia="仿宋_GB2312" w:cs="Times New Roman"/>
          <w:kern w:val="2"/>
          <w:sz w:val="32"/>
          <w:szCs w:val="32"/>
        </w:rPr>
      </w:pPr>
      <w:r>
        <w:rPr>
          <w:rFonts w:hint="eastAsia" w:ascii="楷体_GB2312" w:hAnsi="宋体" w:eastAsia="楷体_GB2312" w:cs="楷体_GB2312"/>
          <w:kern w:val="2"/>
          <w:sz w:val="32"/>
          <w:szCs w:val="32"/>
          <w:lang w:val="en-US" w:eastAsia="zh-CN" w:bidi="ar"/>
        </w:rPr>
        <w:t>用途合规性</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该项目严格落实厉行节约有关规定和市委组织部党建工作有关规定执行。自评得</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分。</w:t>
      </w:r>
    </w:p>
    <w:p>
      <w:pPr>
        <w:keepNext w:val="0"/>
        <w:keepLines w:val="0"/>
        <w:pageBreakBefore w:val="0"/>
        <w:widowControl w:val="0"/>
        <w:numPr>
          <w:ilvl w:val="0"/>
          <w:numId w:val="2"/>
        </w:numPr>
        <w:suppressLineNumbers w:val="0"/>
        <w:kinsoku/>
        <w:wordWrap/>
        <w:autoSpaceDE w:val="0"/>
        <w:autoSpaceDN/>
        <w:bidi w:val="0"/>
        <w:spacing w:before="0" w:beforeAutospacing="0" w:after="0" w:afterAutospacing="0" w:line="576" w:lineRule="exact"/>
        <w:ind w:left="0" w:leftChars="0" w:right="0" w:firstLine="640" w:firstLineChars="0"/>
        <w:jc w:val="both"/>
        <w:textAlignment w:val="auto"/>
        <w:rPr>
          <w:rFonts w:hint="eastAsia" w:ascii="Times New Roman" w:hAnsi="Times New Roman" w:eastAsia="仿宋_GB2312" w:cs="Times New Roman"/>
          <w:kern w:val="2"/>
          <w:sz w:val="32"/>
          <w:szCs w:val="32"/>
        </w:rPr>
      </w:pPr>
      <w:r>
        <w:rPr>
          <w:rFonts w:hint="eastAsia" w:ascii="楷体_GB2312" w:hAnsi="宋体" w:eastAsia="楷体_GB2312" w:cs="楷体_GB2312"/>
          <w:kern w:val="2"/>
          <w:sz w:val="32"/>
          <w:szCs w:val="32"/>
          <w:lang w:val="en-US" w:eastAsia="zh-CN" w:bidi="ar"/>
        </w:rPr>
        <w:t>程序合规性</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分）</w:t>
      </w:r>
    </w:p>
    <w:p>
      <w:pPr>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该项目自广元市委两新工委经费划拨后，经市工商联党组会议专题讨论，按照相关规定及时划拨到各直属商协会党组织，通过走访调研、定期检查、年终总结等方式确保资金使用合理合法合规。自评得</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numPr>
          <w:ilvl w:val="0"/>
          <w:numId w:val="2"/>
        </w:numPr>
        <w:suppressLineNumbers w:val="0"/>
        <w:kinsoku/>
        <w:wordWrap/>
        <w:autoSpaceDE w:val="0"/>
        <w:autoSpaceDN/>
        <w:bidi w:val="0"/>
        <w:spacing w:before="0" w:beforeAutospacing="0" w:after="0" w:afterAutospacing="0" w:line="576" w:lineRule="exact"/>
        <w:ind w:left="0" w:leftChars="0" w:right="0" w:firstLine="640" w:firstLineChars="0"/>
        <w:jc w:val="both"/>
        <w:textAlignment w:val="auto"/>
        <w:rPr>
          <w:rFonts w:hint="eastAsia" w:ascii="Times New Roman" w:hAnsi="Times New Roman" w:eastAsia="仿宋_GB2312" w:cs="Times New Roman"/>
          <w:kern w:val="2"/>
          <w:sz w:val="32"/>
          <w:szCs w:val="32"/>
        </w:rPr>
      </w:pPr>
      <w:r>
        <w:rPr>
          <w:rFonts w:hint="eastAsia" w:ascii="楷体_GB2312" w:hAnsi="宋体" w:eastAsia="楷体_GB2312" w:cs="楷体_GB2312"/>
          <w:kern w:val="2"/>
          <w:sz w:val="32"/>
          <w:szCs w:val="32"/>
          <w:lang w:val="en-US" w:eastAsia="zh-CN" w:bidi="ar"/>
        </w:rPr>
        <w:t>标准合规性</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该项目按照中央组织部、财政部、国家税务总局和省委组织部、省财政厅、省国家税务局、省地方税务局“建立两新组织党建工作经费保障机制”相关要求，结合广元财政实际，按照市委组织部、市财政局、市国税局、市地税局联合下发《关于进一步加强“两新”组织党建工作经费保障的通知》（广组通</w:t>
      </w:r>
      <w:r>
        <w:rPr>
          <w:rFonts w:hint="eastAsia" w:ascii="方正小标宋简体" w:hAnsi="方正小标宋简体" w:eastAsia="方正小标宋简体" w:cs="方正小标宋简体"/>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2015</w:t>
      </w:r>
      <w:r>
        <w:rPr>
          <w:rFonts w:hint="eastAsia" w:ascii="方正小标宋简体" w:hAnsi="方正小标宋简体" w:eastAsia="方正小标宋简体" w:cs="方正小标宋简体"/>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41</w:t>
      </w:r>
      <w:r>
        <w:rPr>
          <w:rFonts w:hint="eastAsia" w:ascii="仿宋_GB2312" w:hAnsi="Times New Roman" w:eastAsia="仿宋_GB2312" w:cs="仿宋_GB2312"/>
          <w:kern w:val="2"/>
          <w:sz w:val="32"/>
          <w:szCs w:val="32"/>
          <w:lang w:val="en-US" w:eastAsia="zh-CN" w:bidi="ar"/>
        </w:rPr>
        <w:t>号）的 文件标准执行。自评得</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576" w:lineRule="exact"/>
        <w:ind w:leftChars="200" w:right="0" w:rightChars="0" w:firstLine="320" w:firstLineChars="100"/>
        <w:jc w:val="both"/>
        <w:textAlignment w:val="auto"/>
        <w:outlineLvl w:val="2"/>
        <w:rPr>
          <w:rFonts w:hint="eastAsia" w:ascii="黑体" w:hAnsi="宋体" w:eastAsia="黑体" w:cs="Times New Roman"/>
          <w:kern w:val="2"/>
          <w:sz w:val="32"/>
          <w:szCs w:val="32"/>
        </w:rPr>
      </w:pPr>
      <w:bookmarkStart w:id="122" w:name="_Toc4180"/>
      <w:r>
        <w:rPr>
          <w:rFonts w:hint="eastAsia" w:ascii="黑体" w:hAnsi="宋体" w:eastAsia="黑体" w:cs="黑体"/>
          <w:kern w:val="2"/>
          <w:sz w:val="32"/>
          <w:szCs w:val="32"/>
          <w:lang w:val="en-US" w:eastAsia="zh-CN" w:bidi="ar"/>
        </w:rPr>
        <w:t>四、评价结论</w:t>
      </w:r>
      <w:bookmarkEnd w:id="122"/>
    </w:p>
    <w:p>
      <w:pPr>
        <w:pStyle w:val="13"/>
        <w:keepNext w:val="0"/>
        <w:keepLines w:val="0"/>
        <w:pageBreakBefore w:val="0"/>
        <w:widowControl w:val="0"/>
        <w:suppressLineNumbers w:val="0"/>
        <w:kinsoku/>
        <w:wordWrap/>
        <w:autoSpaceDE w:val="0"/>
        <w:autoSpaceDN/>
        <w:bidi w:val="0"/>
        <w:spacing w:before="0" w:beforeAutospacing="0" w:after="0" w:afterAutospacing="0" w:line="576" w:lineRule="exact"/>
        <w:ind w:left="0" w:right="0" w:firstLine="640" w:firstLineChars="200"/>
        <w:jc w:val="both"/>
        <w:textAlignment w:val="auto"/>
        <w:rPr>
          <w:rFonts w:hint="eastAsia"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市工商联直属商协会联合党委及</w:t>
      </w:r>
      <w:r>
        <w:rPr>
          <w:rFonts w:hint="default" w:ascii="Times New Roman" w:hAnsi="Times New Roman" w:eastAsia="仿宋_GB2312" w:cs="Times New Roman"/>
          <w:kern w:val="2"/>
          <w:sz w:val="32"/>
          <w:szCs w:val="32"/>
          <w:lang w:val="en-US" w:eastAsia="zh-CN" w:bidi="ar"/>
        </w:rPr>
        <w:t>9</w:t>
      </w:r>
      <w:r>
        <w:rPr>
          <w:rFonts w:hint="eastAsia" w:ascii="仿宋_GB2312" w:hAnsi="Times New Roman" w:eastAsia="仿宋_GB2312" w:cs="仿宋_GB2312"/>
          <w:kern w:val="2"/>
          <w:sz w:val="32"/>
          <w:szCs w:val="32"/>
          <w:lang w:val="en-US" w:eastAsia="zh-CN" w:bidi="ar"/>
        </w:rPr>
        <w:t>个商协会党支部党建工作经费严格按文件要求支出使用，整个项目有序推进，高质量完成，项目总分</w:t>
      </w:r>
      <w:r>
        <w:rPr>
          <w:rFonts w:hint="default" w:ascii="Times New Roman" w:hAnsi="Times New Roman" w:eastAsia="仿宋_GB2312" w:cs="Times New Roman"/>
          <w:kern w:val="2"/>
          <w:sz w:val="32"/>
          <w:szCs w:val="32"/>
          <w:lang w:val="en-US" w:eastAsia="zh-CN" w:bidi="ar"/>
        </w:rPr>
        <w:t>84</w:t>
      </w:r>
      <w:r>
        <w:rPr>
          <w:rFonts w:hint="eastAsia" w:ascii="仿宋_GB2312" w:hAnsi="Times New Roman" w:eastAsia="仿宋_GB2312" w:cs="仿宋_GB2312"/>
          <w:kern w:val="2"/>
          <w:sz w:val="32"/>
          <w:szCs w:val="32"/>
          <w:lang w:val="en-US" w:eastAsia="zh-CN" w:bidi="ar"/>
        </w:rPr>
        <w:t>分，自评得分</w:t>
      </w:r>
      <w:r>
        <w:rPr>
          <w:rFonts w:hint="default" w:ascii="Times New Roman" w:hAnsi="Times New Roman" w:eastAsia="仿宋_GB2312" w:cs="Times New Roman"/>
          <w:kern w:val="2"/>
          <w:sz w:val="32"/>
          <w:szCs w:val="32"/>
          <w:lang w:val="en-US" w:eastAsia="zh-CN" w:bidi="ar"/>
        </w:rPr>
        <w:t>84</w:t>
      </w:r>
      <w:r>
        <w:rPr>
          <w:rFonts w:hint="eastAsia" w:ascii="仿宋_GB2312" w:hAnsi="Times New Roman" w:eastAsia="仿宋_GB2312" w:cs="仿宋_GB2312"/>
          <w:kern w:val="2"/>
          <w:sz w:val="32"/>
          <w:szCs w:val="32"/>
          <w:lang w:val="en-US" w:eastAsia="zh-CN" w:bidi="ar"/>
        </w:rPr>
        <w:t>分。</w:t>
      </w:r>
    </w:p>
    <w:p>
      <w:pPr>
        <w:pStyle w:val="1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left="0" w:right="0" w:firstLine="640" w:firstLineChars="200"/>
        <w:jc w:val="both"/>
        <w:textAlignment w:val="auto"/>
        <w:outlineLvl w:val="2"/>
        <w:rPr>
          <w:rFonts w:hint="eastAsia" w:ascii="黑体" w:hAnsi="宋体" w:eastAsia="黑体" w:cs="Times New Roman"/>
          <w:kern w:val="2"/>
          <w:sz w:val="32"/>
          <w:szCs w:val="32"/>
        </w:rPr>
      </w:pPr>
      <w:bookmarkStart w:id="123" w:name="_Toc790"/>
      <w:r>
        <w:rPr>
          <w:rFonts w:hint="eastAsia" w:ascii="黑体" w:hAnsi="宋体" w:eastAsia="黑体" w:cs="黑体"/>
          <w:kern w:val="2"/>
          <w:sz w:val="32"/>
          <w:szCs w:val="32"/>
          <w:lang w:val="en-US" w:eastAsia="zh-CN" w:bidi="ar"/>
        </w:rPr>
        <w:t>五、存在主要问题</w:t>
      </w:r>
      <w:bookmarkEnd w:id="123"/>
    </w:p>
    <w:p>
      <w:pPr>
        <w:keepNext w:val="0"/>
        <w:keepLines w:val="0"/>
        <w:pageBreakBefore w:val="0"/>
        <w:widowControl w:val="0"/>
        <w:suppressLineNumbers w:val="0"/>
        <w:kinsoku/>
        <w:wordWrap/>
        <w:autoSpaceDE w:val="0"/>
        <w:autoSpaceDN/>
        <w:bidi w:val="0"/>
        <w:adjustRightInd w:val="0"/>
        <w:snapToGrid w:val="0"/>
        <w:spacing w:before="0" w:beforeAutospacing="0" w:after="0" w:afterAutospacing="0" w:line="576" w:lineRule="exact"/>
        <w:ind w:left="0" w:right="0" w:firstLine="640" w:firstLineChars="200"/>
        <w:jc w:val="both"/>
        <w:textAlignment w:val="auto"/>
        <w:rPr>
          <w:rFonts w:hint="eastAsia" w:ascii="仿宋" w:hAnsi="仿宋" w:eastAsia="仿宋" w:cs="仿宋_GB2312"/>
          <w:color w:val="000000"/>
          <w:kern w:val="2"/>
          <w:sz w:val="32"/>
          <w:szCs w:val="32"/>
        </w:rPr>
      </w:pPr>
      <w:r>
        <w:rPr>
          <w:rFonts w:hint="eastAsia" w:ascii="仿宋" w:hAnsi="仿宋" w:eastAsia="仿宋" w:cs="仿宋"/>
          <w:color w:val="000000"/>
          <w:kern w:val="2"/>
          <w:sz w:val="32"/>
          <w:szCs w:val="32"/>
          <w:lang w:val="en-US" w:eastAsia="zh-CN" w:bidi="ar"/>
        </w:rPr>
        <w:t>党建工作定位不够明晰、党建工作质效有待提高、党建工作所需人才不足、党员队伍培养力度不够等问题。</w:t>
      </w:r>
    </w:p>
    <w:p>
      <w:pPr>
        <w:pStyle w:val="1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76" w:lineRule="exact"/>
        <w:ind w:left="0" w:right="0" w:firstLine="640" w:firstLineChars="200"/>
        <w:jc w:val="both"/>
        <w:textAlignment w:val="auto"/>
        <w:outlineLvl w:val="2"/>
        <w:rPr>
          <w:rFonts w:hint="eastAsia" w:ascii="黑体" w:hAnsi="宋体" w:eastAsia="黑体" w:cs="Times New Roman"/>
          <w:kern w:val="0"/>
          <w:position w:val="3"/>
          <w:sz w:val="32"/>
          <w:szCs w:val="32"/>
        </w:rPr>
      </w:pPr>
      <w:bookmarkStart w:id="124" w:name="_Toc30062"/>
      <w:r>
        <w:rPr>
          <w:rFonts w:hint="eastAsia" w:ascii="黑体" w:hAnsi="宋体" w:eastAsia="黑体" w:cs="黑体"/>
          <w:kern w:val="0"/>
          <w:position w:val="3"/>
          <w:sz w:val="32"/>
          <w:szCs w:val="32"/>
          <w:lang w:val="en-US" w:eastAsia="zh-CN" w:bidi="ar"/>
        </w:rPr>
        <w:t>六、改进建议</w:t>
      </w:r>
      <w:bookmarkEnd w:id="124"/>
    </w:p>
    <w:p>
      <w:pPr>
        <w:keepNext w:val="0"/>
        <w:keepLines w:val="0"/>
        <w:pageBreakBefore w:val="0"/>
        <w:widowControl w:val="0"/>
        <w:numPr>
          <w:ilvl w:val="0"/>
          <w:numId w:val="0"/>
        </w:numPr>
        <w:suppressLineNumbers w:val="0"/>
        <w:kinsoku/>
        <w:wordWrap/>
        <w:autoSpaceDE w:val="0"/>
        <w:autoSpaceDN/>
        <w:bidi w:val="0"/>
        <w:spacing w:before="0" w:beforeAutospacing="0" w:after="0" w:afterAutospacing="0" w:line="576" w:lineRule="exact"/>
        <w:ind w:right="0" w:rightChars="0" w:firstLine="640" w:firstLineChars="200"/>
        <w:jc w:val="both"/>
        <w:textAlignment w:val="auto"/>
        <w:rPr>
          <w:rFonts w:hint="eastAsia" w:ascii="黑体" w:hAnsi="黑体" w:eastAsia="黑体"/>
        </w:rPr>
        <w:sectPr>
          <w:pgSz w:w="11906" w:h="16838"/>
          <w:pgMar w:top="2098" w:right="1474" w:bottom="1984" w:left="1587" w:header="851" w:footer="992" w:gutter="0"/>
          <w:pgNumType w:fmt="decimal"/>
          <w:cols w:space="425" w:num="1"/>
          <w:titlePg/>
          <w:docGrid w:type="lines" w:linePitch="312" w:charSpace="0"/>
        </w:sectPr>
      </w:pPr>
      <w:r>
        <w:rPr>
          <w:rFonts w:hint="eastAsia" w:ascii="方正楷体_GBK" w:hAnsi="方正楷体_GBK" w:eastAsia="方正楷体_GBK" w:cs="方正楷体_GBK"/>
          <w:i w:val="0"/>
          <w:caps w:val="0"/>
          <w:color w:val="000000"/>
          <w:spacing w:val="0"/>
          <w:kern w:val="0"/>
          <w:sz w:val="32"/>
          <w:szCs w:val="32"/>
          <w:shd w:val="clear" w:fill="FFFFFF"/>
          <w:lang w:val="en-US" w:eastAsia="zh-CN" w:bidi="ar"/>
        </w:rPr>
        <w:t>（一）持续强化思想政治引领。</w:t>
      </w:r>
      <w:r>
        <w:rPr>
          <w:rFonts w:hint="eastAsia" w:ascii="仿宋_GB2312" w:hAnsi="Times New Roman" w:eastAsia="仿宋_GB2312" w:cs="仿宋_GB2312"/>
          <w:kern w:val="0"/>
          <w:sz w:val="32"/>
          <w:szCs w:val="32"/>
          <w:lang w:val="en-US" w:eastAsia="zh-CN" w:bidi="ar"/>
        </w:rPr>
        <w:t>引导商会党支部和党员深入学习贯彻习近平新时代中国特色社会主义思想，</w:t>
      </w:r>
      <w:r>
        <w:rPr>
          <w:rFonts w:hint="eastAsia" w:ascii="仿宋_GB2312" w:hAnsi="Times New Roman" w:eastAsia="仿宋_GB2312" w:cs="仿宋_GB2312"/>
          <w:kern w:val="2"/>
          <w:sz w:val="32"/>
          <w:szCs w:val="32"/>
          <w:lang w:val="en-US" w:eastAsia="zh-CN" w:bidi="ar"/>
        </w:rPr>
        <w:t>团结带领广大民营经济人士与党同心同德。</w:t>
      </w:r>
      <w:r>
        <w:rPr>
          <w:rFonts w:hint="eastAsia" w:ascii="方正楷体_GBK" w:hAnsi="方正楷体_GBK" w:eastAsia="方正楷体_GBK" w:cs="方正楷体_GBK"/>
          <w:i w:val="0"/>
          <w:caps w:val="0"/>
          <w:color w:val="000000"/>
          <w:spacing w:val="0"/>
          <w:kern w:val="0"/>
          <w:sz w:val="32"/>
          <w:szCs w:val="32"/>
          <w:shd w:val="clear" w:fill="FFFFFF"/>
          <w:lang w:val="en-US" w:eastAsia="zh-CN" w:bidi="ar"/>
        </w:rPr>
        <w:t>（二）持续推进标准化建设。</w:t>
      </w:r>
      <w:r>
        <w:rPr>
          <w:rFonts w:hint="eastAsia" w:ascii="仿宋_GB2312" w:hAnsi="Times New Roman" w:eastAsia="仿宋_GB2312" w:cs="仿宋_GB2312"/>
          <w:kern w:val="0"/>
          <w:sz w:val="32"/>
          <w:szCs w:val="32"/>
          <w:lang w:val="en-US" w:eastAsia="zh-CN" w:bidi="ar"/>
        </w:rPr>
        <w:t>指导所属商协会党组织开展好专题组织生活会暨民主评议党员，抓好“三会一课”、主题党日、党组织书记述职等组织生活制度，支部书记带头讲党课。</w:t>
      </w:r>
      <w:r>
        <w:rPr>
          <w:rFonts w:hint="eastAsia" w:ascii="方正楷体_GBK" w:hAnsi="方正楷体_GBK" w:eastAsia="方正楷体_GBK" w:cs="方正楷体_GBK"/>
          <w:i w:val="0"/>
          <w:caps w:val="0"/>
          <w:color w:val="000000"/>
          <w:spacing w:val="0"/>
          <w:kern w:val="0"/>
          <w:sz w:val="32"/>
          <w:szCs w:val="32"/>
          <w:shd w:val="clear" w:fill="FFFFFF"/>
          <w:lang w:val="en-US" w:eastAsia="zh-CN" w:bidi="ar"/>
        </w:rPr>
        <w:t>（三）持续突出组织发展基础。</w:t>
      </w:r>
      <w:r>
        <w:rPr>
          <w:rFonts w:hint="eastAsia" w:ascii="仿宋_GB2312" w:hAnsi="Times New Roman" w:eastAsia="仿宋_GB2312" w:cs="仿宋_GB2312"/>
          <w:kern w:val="0"/>
          <w:sz w:val="32"/>
          <w:szCs w:val="32"/>
          <w:lang w:val="en-US" w:eastAsia="zh-CN" w:bidi="ar"/>
        </w:rPr>
        <w:t>指导党支部做好换届工作；按照“成熟一个，组建一个”原则，筹备组建商协会党支部，严格规范发展党员。</w:t>
      </w:r>
      <w:r>
        <w:rPr>
          <w:rFonts w:hint="eastAsia" w:ascii="方正楷体_GBK" w:hAnsi="方正楷体_GBK" w:eastAsia="方正楷体_GBK" w:cs="方正楷体_GBK"/>
          <w:i w:val="0"/>
          <w:caps w:val="0"/>
          <w:color w:val="000000"/>
          <w:spacing w:val="0"/>
          <w:kern w:val="0"/>
          <w:sz w:val="32"/>
          <w:szCs w:val="32"/>
          <w:shd w:val="clear" w:fill="FFFFFF"/>
          <w:lang w:val="en-US" w:eastAsia="zh-CN" w:bidi="ar"/>
        </w:rPr>
        <w:t>（四）持续加强党员队伍建设。</w:t>
      </w:r>
      <w:r>
        <w:rPr>
          <w:rFonts w:hint="eastAsia" w:ascii="仿宋_GB2312" w:hAnsi="Times New Roman" w:eastAsia="仿宋_GB2312" w:cs="仿宋_GB2312"/>
          <w:kern w:val="0"/>
          <w:sz w:val="32"/>
          <w:szCs w:val="32"/>
          <w:lang w:val="en-US" w:eastAsia="zh-CN" w:bidi="ar"/>
        </w:rPr>
        <w:t>坚持专兼职结合，多渠道、多样化选用，强化培训提能，不断增强内生动力和队伍活力。充分发挥商会党组织的辐射作用，以商会党建支持、带动会员企业人才队伍建设。</w:t>
      </w:r>
      <w:r>
        <w:rPr>
          <w:rFonts w:hint="eastAsia" w:ascii="方正楷体_GBK" w:hAnsi="方正楷体_GBK" w:eastAsia="方正楷体_GBK" w:cs="方正楷体_GBK"/>
          <w:i w:val="0"/>
          <w:caps w:val="0"/>
          <w:color w:val="000000"/>
          <w:spacing w:val="0"/>
          <w:kern w:val="0"/>
          <w:sz w:val="32"/>
          <w:szCs w:val="32"/>
          <w:shd w:val="clear" w:fill="FFFFFF"/>
          <w:lang w:val="en-US" w:eastAsia="zh-CN" w:bidi="ar"/>
        </w:rPr>
        <w:t>（五）持续开展联建互促活动。</w:t>
      </w:r>
      <w:r>
        <w:rPr>
          <w:rFonts w:hint="eastAsia" w:ascii="仿宋_GB2312" w:hAnsi="Times New Roman" w:eastAsia="仿宋_GB2312" w:cs="仿宋_GB2312"/>
          <w:kern w:val="0"/>
          <w:sz w:val="32"/>
          <w:szCs w:val="32"/>
          <w:lang w:val="en-US" w:eastAsia="zh-CN" w:bidi="ar"/>
        </w:rPr>
        <w:t>建立健全商会党组织、会员企业交流和展示渠道机制，推动结对共建、互促共进，将商会党组织打造成为地方党委政府、金融机构等与商会及其会员企业沟通交流的桥梁和纽带。</w:t>
      </w:r>
      <w:r>
        <w:rPr>
          <w:rFonts w:hint="eastAsia" w:ascii="方正楷体_GBK" w:hAnsi="方正楷体_GBK" w:eastAsia="方正楷体_GBK" w:cs="方正楷体_GBK"/>
          <w:i w:val="0"/>
          <w:caps w:val="0"/>
          <w:color w:val="000000"/>
          <w:spacing w:val="0"/>
          <w:kern w:val="0"/>
          <w:sz w:val="32"/>
          <w:szCs w:val="32"/>
          <w:shd w:val="clear" w:fill="FFFFFF"/>
          <w:lang w:val="en-US" w:eastAsia="zh-CN" w:bidi="ar"/>
        </w:rPr>
        <w:t>（六）持续提升党建工作质效。</w:t>
      </w:r>
      <w:r>
        <w:rPr>
          <w:rFonts w:hint="eastAsia" w:ascii="仿宋_GB2312" w:hAnsi="Times New Roman" w:eastAsia="仿宋_GB2312" w:cs="仿宋_GB2312"/>
          <w:kern w:val="0"/>
          <w:sz w:val="32"/>
          <w:szCs w:val="32"/>
          <w:lang w:val="en-US" w:eastAsia="zh-CN" w:bidi="ar"/>
        </w:rPr>
        <w:t>推动商会党组织找准自身工作定位，创造性开展工作，选树典型强化宣传，激发工作生机活力，推动商会发展和会员企业健康</w:t>
      </w:r>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center"/>
        <w:textAlignment w:val="auto"/>
        <w:outlineLvl w:val="0"/>
        <w:rPr>
          <w:rFonts w:hint="eastAsia" w:ascii="黑体" w:hAnsi="宋体" w:eastAsia="黑体" w:cs="黑体"/>
          <w:kern w:val="44"/>
          <w:sz w:val="44"/>
          <w:szCs w:val="44"/>
          <w:lang w:val="en-US" w:eastAsia="zh-CN" w:bidi="ar"/>
        </w:rPr>
      </w:pPr>
      <w:bookmarkStart w:id="125" w:name="_Toc14650"/>
      <w:r>
        <w:rPr>
          <w:rFonts w:hint="eastAsia" w:ascii="黑体" w:hAnsi="宋体" w:eastAsia="黑体" w:cs="黑体"/>
          <w:kern w:val="2"/>
          <w:sz w:val="44"/>
          <w:szCs w:val="44"/>
          <w:lang w:val="en-US" w:eastAsia="zh-CN" w:bidi="ar"/>
        </w:rPr>
        <w:t>第</w:t>
      </w:r>
      <w:r>
        <w:rPr>
          <w:rFonts w:hint="eastAsia" w:ascii="黑体" w:hAnsi="宋体" w:eastAsia="黑体" w:cs="黑体"/>
          <w:kern w:val="44"/>
          <w:sz w:val="44"/>
          <w:szCs w:val="44"/>
          <w:lang w:val="en-US" w:eastAsia="zh-CN" w:bidi="ar"/>
        </w:rPr>
        <w:t>五部分 附表</w:t>
      </w:r>
      <w:bookmarkEnd w:id="125"/>
    </w:p>
    <w:p>
      <w:pPr>
        <w:keepNext w:val="0"/>
        <w:keepLines w:val="0"/>
        <w:widowControl w:val="0"/>
        <w:suppressLineNumbers w:val="0"/>
        <w:autoSpaceDE w:val="0"/>
        <w:autoSpaceDN w:val="0"/>
        <w:adjustRightInd w:val="0"/>
        <w:spacing w:before="0" w:beforeAutospacing="0" w:after="0" w:afterAutospacing="0" w:line="600" w:lineRule="exact"/>
        <w:ind w:right="0"/>
        <w:jc w:val="both"/>
        <w:rPr>
          <w:rFonts w:hint="eastAsia" w:ascii="仿宋" w:hAnsi="仿宋" w:eastAsia="仿宋" w:cs="仿宋"/>
          <w:kern w:val="2"/>
          <w:sz w:val="32"/>
          <w:szCs w:val="32"/>
        </w:rPr>
      </w:pPr>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right="0"/>
        <w:jc w:val="both"/>
        <w:textAlignment w:val="auto"/>
        <w:outlineLvl w:val="1"/>
        <w:rPr>
          <w:rFonts w:hint="eastAsia" w:ascii="仿宋" w:hAnsi="仿宋" w:eastAsia="仿宋" w:cs="仿宋"/>
          <w:kern w:val="2"/>
          <w:sz w:val="32"/>
          <w:szCs w:val="32"/>
        </w:rPr>
      </w:pPr>
      <w:bookmarkStart w:id="126" w:name="_Toc27980"/>
      <w:r>
        <w:rPr>
          <w:rFonts w:hint="eastAsia" w:ascii="仿宋" w:hAnsi="仿宋" w:eastAsia="仿宋" w:cs="仿宋"/>
          <w:kern w:val="2"/>
          <w:sz w:val="32"/>
          <w:szCs w:val="32"/>
        </w:rPr>
        <w:t>一、收入支出决算总表</w:t>
      </w:r>
      <w:bookmarkEnd w:id="126"/>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27" w:name="_Toc8930"/>
      <w:r>
        <w:rPr>
          <w:rFonts w:hint="eastAsia" w:ascii="仿宋" w:hAnsi="仿宋" w:eastAsia="仿宋" w:cs="仿宋"/>
          <w:kern w:val="2"/>
          <w:sz w:val="32"/>
          <w:szCs w:val="32"/>
        </w:rPr>
        <w:t>二、收入决算表</w:t>
      </w:r>
      <w:bookmarkEnd w:id="127"/>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28" w:name="_Toc23594"/>
      <w:r>
        <w:rPr>
          <w:rFonts w:hint="eastAsia" w:ascii="仿宋" w:hAnsi="仿宋" w:eastAsia="仿宋" w:cs="仿宋"/>
          <w:kern w:val="2"/>
          <w:sz w:val="32"/>
          <w:szCs w:val="32"/>
        </w:rPr>
        <w:t>三、支出决算表</w:t>
      </w:r>
      <w:bookmarkEnd w:id="128"/>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29" w:name="_Toc29673"/>
      <w:r>
        <w:rPr>
          <w:rFonts w:hint="eastAsia" w:ascii="仿宋" w:hAnsi="仿宋" w:eastAsia="仿宋" w:cs="仿宋"/>
          <w:kern w:val="2"/>
          <w:sz w:val="32"/>
          <w:szCs w:val="32"/>
        </w:rPr>
        <w:t>四、财政拨款收入支出决算总表</w:t>
      </w:r>
      <w:bookmarkEnd w:id="129"/>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0" w:name="_Toc11481"/>
      <w:r>
        <w:rPr>
          <w:rFonts w:hint="eastAsia" w:ascii="仿宋" w:hAnsi="仿宋" w:eastAsia="仿宋" w:cs="仿宋"/>
          <w:kern w:val="2"/>
          <w:sz w:val="32"/>
          <w:szCs w:val="32"/>
        </w:rPr>
        <w:t>五、财政拨款支出决算明细表</w:t>
      </w:r>
      <w:bookmarkEnd w:id="130"/>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1" w:name="_Toc24750"/>
      <w:r>
        <w:rPr>
          <w:rFonts w:hint="eastAsia" w:ascii="仿宋" w:hAnsi="仿宋" w:eastAsia="仿宋" w:cs="仿宋"/>
          <w:kern w:val="2"/>
          <w:sz w:val="32"/>
          <w:szCs w:val="32"/>
        </w:rPr>
        <w:t>六、一般公共预算财政拨款支出决算表</w:t>
      </w:r>
      <w:bookmarkEnd w:id="131"/>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2" w:name="_Toc19374"/>
      <w:r>
        <w:rPr>
          <w:rFonts w:hint="eastAsia" w:ascii="仿宋" w:hAnsi="仿宋" w:eastAsia="仿宋" w:cs="仿宋"/>
          <w:kern w:val="2"/>
          <w:sz w:val="32"/>
          <w:szCs w:val="32"/>
        </w:rPr>
        <w:t>七、一般公共预算财政拨款支出决算明细表</w:t>
      </w:r>
      <w:bookmarkEnd w:id="132"/>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3" w:name="_Toc20451"/>
      <w:r>
        <w:rPr>
          <w:rFonts w:hint="eastAsia" w:ascii="仿宋" w:hAnsi="仿宋" w:eastAsia="仿宋" w:cs="仿宋"/>
          <w:kern w:val="2"/>
          <w:sz w:val="32"/>
          <w:szCs w:val="32"/>
        </w:rPr>
        <w:t>八、一般公共预算财政拨款基本支出决算表</w:t>
      </w:r>
      <w:bookmarkEnd w:id="133"/>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4" w:name="_Toc10646"/>
      <w:r>
        <w:rPr>
          <w:rFonts w:hint="eastAsia" w:ascii="仿宋" w:hAnsi="仿宋" w:eastAsia="仿宋" w:cs="仿宋"/>
          <w:kern w:val="2"/>
          <w:sz w:val="32"/>
          <w:szCs w:val="32"/>
        </w:rPr>
        <w:t>九、一般公共预算财政拨款项目支出决算表</w:t>
      </w:r>
      <w:bookmarkEnd w:id="134"/>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5" w:name="_Toc1976"/>
      <w:r>
        <w:rPr>
          <w:rFonts w:hint="eastAsia" w:ascii="仿宋" w:hAnsi="仿宋" w:eastAsia="仿宋" w:cs="仿宋"/>
          <w:kern w:val="2"/>
          <w:sz w:val="32"/>
          <w:szCs w:val="32"/>
        </w:rPr>
        <w:t>十、政府性基金预算财政拨款收入支出决算表</w:t>
      </w:r>
      <w:bookmarkEnd w:id="135"/>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6" w:name="_Toc4371"/>
      <w:r>
        <w:rPr>
          <w:rFonts w:hint="eastAsia" w:ascii="仿宋" w:hAnsi="仿宋" w:eastAsia="仿宋" w:cs="仿宋"/>
          <w:kern w:val="2"/>
          <w:sz w:val="32"/>
          <w:szCs w:val="32"/>
        </w:rPr>
        <w:t>十一、国有资本经营预算财政拨款收入支出决算表</w:t>
      </w:r>
      <w:bookmarkEnd w:id="136"/>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7" w:name="_Toc6513"/>
      <w:r>
        <w:rPr>
          <w:rFonts w:hint="eastAsia" w:ascii="仿宋" w:hAnsi="仿宋" w:eastAsia="仿宋" w:cs="仿宋"/>
          <w:kern w:val="2"/>
          <w:sz w:val="32"/>
          <w:szCs w:val="32"/>
        </w:rPr>
        <w:t>十二、国有资本经营预算财政拨款支出决算表</w:t>
      </w:r>
      <w:bookmarkEnd w:id="137"/>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600" w:lineRule="exact"/>
        <w:ind w:left="0" w:right="0"/>
        <w:jc w:val="both"/>
        <w:textAlignment w:val="auto"/>
        <w:outlineLvl w:val="1"/>
        <w:rPr>
          <w:rFonts w:hint="eastAsia" w:ascii="仿宋" w:hAnsi="仿宋" w:eastAsia="仿宋" w:cs="仿宋"/>
          <w:kern w:val="2"/>
          <w:sz w:val="32"/>
          <w:szCs w:val="32"/>
        </w:rPr>
      </w:pPr>
      <w:bookmarkStart w:id="138" w:name="_Toc9207"/>
      <w:r>
        <w:rPr>
          <w:rFonts w:hint="eastAsia" w:ascii="仿宋" w:hAnsi="仿宋" w:eastAsia="仿宋" w:cs="仿宋"/>
          <w:kern w:val="2"/>
          <w:sz w:val="32"/>
          <w:szCs w:val="32"/>
        </w:rPr>
        <w:t>十三、财政拨款</w:t>
      </w:r>
      <w:r>
        <w:rPr>
          <w:rFonts w:hint="default" w:ascii="仿宋" w:hAnsi="仿宋" w:eastAsia="仿宋" w:cs="仿宋"/>
          <w:kern w:val="2"/>
          <w:sz w:val="32"/>
          <w:szCs w:val="32"/>
        </w:rPr>
        <w:t>“</w:t>
      </w:r>
      <w:r>
        <w:rPr>
          <w:rFonts w:hint="eastAsia" w:ascii="仿宋" w:hAnsi="仿宋" w:eastAsia="仿宋" w:cs="仿宋"/>
          <w:kern w:val="2"/>
          <w:sz w:val="32"/>
          <w:szCs w:val="32"/>
        </w:rPr>
        <w:t>三公</w:t>
      </w:r>
      <w:r>
        <w:rPr>
          <w:rFonts w:hint="default" w:ascii="仿宋" w:hAnsi="仿宋" w:eastAsia="仿宋" w:cs="仿宋"/>
          <w:kern w:val="2"/>
          <w:sz w:val="32"/>
          <w:szCs w:val="32"/>
        </w:rPr>
        <w:t>”</w:t>
      </w:r>
      <w:r>
        <w:rPr>
          <w:rFonts w:hint="eastAsia" w:ascii="仿宋" w:hAnsi="仿宋" w:eastAsia="仿宋" w:cs="仿宋"/>
          <w:kern w:val="2"/>
          <w:sz w:val="32"/>
          <w:szCs w:val="32"/>
        </w:rPr>
        <w:t>经费支出决算表</w:t>
      </w:r>
      <w:bookmarkEnd w:id="138"/>
    </w:p>
    <w:p>
      <w:pPr>
        <w:pageBreakBefore w:val="0"/>
        <w:numPr>
          <w:ilvl w:val="0"/>
          <w:numId w:val="0"/>
        </w:numPr>
        <w:kinsoku/>
        <w:wordWrap/>
        <w:overflowPunct/>
        <w:topLinePunct w:val="0"/>
        <w:bidi w:val="0"/>
        <w:spacing w:line="576" w:lineRule="exact"/>
        <w:ind w:right="0" w:rightChars="0"/>
        <w:jc w:val="both"/>
        <w:textAlignment w:val="auto"/>
        <w:rPr>
          <w:rFonts w:ascii="仿宋" w:hAnsi="仿宋" w:eastAsia="仿宋"/>
          <w:sz w:val="32"/>
          <w:szCs w:val="32"/>
        </w:rPr>
      </w:pPr>
    </w:p>
    <w:sectPr>
      <w:pgSz w:w="11906" w:h="16838"/>
      <w:pgMar w:top="2098" w:right="1474" w:bottom="1984" w:left="1587"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77142C"/>
    <w:multiLevelType w:val="singleLevel"/>
    <w:tmpl w:val="E577142C"/>
    <w:lvl w:ilvl="0" w:tentative="0">
      <w:start w:val="3"/>
      <w:numFmt w:val="chineseCounting"/>
      <w:suff w:val="nothing"/>
      <w:lvlText w:val="（%1）"/>
      <w:lvlJc w:val="left"/>
      <w:rPr>
        <w:rFonts w:hint="eastAsia"/>
      </w:rPr>
    </w:lvl>
  </w:abstractNum>
  <w:abstractNum w:abstractNumId="1">
    <w:nsid w:val="1C016786"/>
    <w:multiLevelType w:val="multilevel"/>
    <w:tmpl w:val="1C016786"/>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172A27"/>
    <w:rsid w:val="00014A1C"/>
    <w:rsid w:val="000222C6"/>
    <w:rsid w:val="0002549F"/>
    <w:rsid w:val="00035392"/>
    <w:rsid w:val="000468DB"/>
    <w:rsid w:val="0006487A"/>
    <w:rsid w:val="00065F8F"/>
    <w:rsid w:val="00070A43"/>
    <w:rsid w:val="000768F2"/>
    <w:rsid w:val="00082EAC"/>
    <w:rsid w:val="0009184B"/>
    <w:rsid w:val="00094236"/>
    <w:rsid w:val="0009593C"/>
    <w:rsid w:val="00097322"/>
    <w:rsid w:val="00097358"/>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30E5"/>
    <w:rsid w:val="00174518"/>
    <w:rsid w:val="0018106D"/>
    <w:rsid w:val="001877A7"/>
    <w:rsid w:val="00191536"/>
    <w:rsid w:val="00196687"/>
    <w:rsid w:val="001C0962"/>
    <w:rsid w:val="001C2738"/>
    <w:rsid w:val="001D7531"/>
    <w:rsid w:val="001E737D"/>
    <w:rsid w:val="001F0592"/>
    <w:rsid w:val="001F6419"/>
    <w:rsid w:val="001F7506"/>
    <w:rsid w:val="002006CD"/>
    <w:rsid w:val="00202B36"/>
    <w:rsid w:val="00204B7A"/>
    <w:rsid w:val="00204CDE"/>
    <w:rsid w:val="0021101A"/>
    <w:rsid w:val="00220536"/>
    <w:rsid w:val="00235629"/>
    <w:rsid w:val="00260289"/>
    <w:rsid w:val="00260C38"/>
    <w:rsid w:val="002616C0"/>
    <w:rsid w:val="002643DB"/>
    <w:rsid w:val="00265372"/>
    <w:rsid w:val="002662AA"/>
    <w:rsid w:val="00280496"/>
    <w:rsid w:val="00283D47"/>
    <w:rsid w:val="00294DC9"/>
    <w:rsid w:val="00295495"/>
    <w:rsid w:val="002A31DE"/>
    <w:rsid w:val="002A62F7"/>
    <w:rsid w:val="002B2613"/>
    <w:rsid w:val="002C1468"/>
    <w:rsid w:val="002D6D05"/>
    <w:rsid w:val="002F1818"/>
    <w:rsid w:val="002F5109"/>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20B47"/>
    <w:rsid w:val="004223DE"/>
    <w:rsid w:val="00434489"/>
    <w:rsid w:val="00437085"/>
    <w:rsid w:val="00443880"/>
    <w:rsid w:val="004464F4"/>
    <w:rsid w:val="00447329"/>
    <w:rsid w:val="00471401"/>
    <w:rsid w:val="00473F31"/>
    <w:rsid w:val="0048263A"/>
    <w:rsid w:val="004826A2"/>
    <w:rsid w:val="00487E5D"/>
    <w:rsid w:val="004A711F"/>
    <w:rsid w:val="004B199D"/>
    <w:rsid w:val="004B4690"/>
    <w:rsid w:val="004E0A2D"/>
    <w:rsid w:val="004E206B"/>
    <w:rsid w:val="004E3607"/>
    <w:rsid w:val="004E6DF7"/>
    <w:rsid w:val="004F0FBD"/>
    <w:rsid w:val="00505A47"/>
    <w:rsid w:val="00512FDA"/>
    <w:rsid w:val="00520DA0"/>
    <w:rsid w:val="005664BB"/>
    <w:rsid w:val="00566FFA"/>
    <w:rsid w:val="0057481D"/>
    <w:rsid w:val="0058486E"/>
    <w:rsid w:val="00585B33"/>
    <w:rsid w:val="0059014D"/>
    <w:rsid w:val="005A09FD"/>
    <w:rsid w:val="005B0198"/>
    <w:rsid w:val="005B321C"/>
    <w:rsid w:val="005B5C64"/>
    <w:rsid w:val="005C5337"/>
    <w:rsid w:val="005C6BD0"/>
    <w:rsid w:val="005D1C8B"/>
    <w:rsid w:val="005D468D"/>
    <w:rsid w:val="005D5CED"/>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16B"/>
    <w:rsid w:val="00746F48"/>
    <w:rsid w:val="0075404D"/>
    <w:rsid w:val="0076182A"/>
    <w:rsid w:val="00762406"/>
    <w:rsid w:val="0076493D"/>
    <w:rsid w:val="00767B7E"/>
    <w:rsid w:val="007770C3"/>
    <w:rsid w:val="00784D24"/>
    <w:rsid w:val="00785FBA"/>
    <w:rsid w:val="00786E4A"/>
    <w:rsid w:val="007875EB"/>
    <w:rsid w:val="0079426B"/>
    <w:rsid w:val="007D1682"/>
    <w:rsid w:val="007D312A"/>
    <w:rsid w:val="007D3F19"/>
    <w:rsid w:val="007E23B0"/>
    <w:rsid w:val="007E23E5"/>
    <w:rsid w:val="007E6A82"/>
    <w:rsid w:val="007F1991"/>
    <w:rsid w:val="007F2C2F"/>
    <w:rsid w:val="007F55FC"/>
    <w:rsid w:val="007F5665"/>
    <w:rsid w:val="007F7385"/>
    <w:rsid w:val="00800112"/>
    <w:rsid w:val="00813348"/>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56DF2"/>
    <w:rsid w:val="00A56E6E"/>
    <w:rsid w:val="00A67AB5"/>
    <w:rsid w:val="00A733B2"/>
    <w:rsid w:val="00A741C2"/>
    <w:rsid w:val="00A74A9E"/>
    <w:rsid w:val="00A91760"/>
    <w:rsid w:val="00A93B00"/>
    <w:rsid w:val="00A93C21"/>
    <w:rsid w:val="00AB64C9"/>
    <w:rsid w:val="00AC2E50"/>
    <w:rsid w:val="00AC3C6A"/>
    <w:rsid w:val="00AD5620"/>
    <w:rsid w:val="00AD656B"/>
    <w:rsid w:val="00AD7C1B"/>
    <w:rsid w:val="00AE16BA"/>
    <w:rsid w:val="00AE1EBE"/>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50A1"/>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72B1"/>
    <w:rsid w:val="00E50624"/>
    <w:rsid w:val="00E568DF"/>
    <w:rsid w:val="00E64269"/>
    <w:rsid w:val="00E82267"/>
    <w:rsid w:val="00E853CE"/>
    <w:rsid w:val="00E867B6"/>
    <w:rsid w:val="00EA010F"/>
    <w:rsid w:val="00EB0FAE"/>
    <w:rsid w:val="00ED1B63"/>
    <w:rsid w:val="00ED3C1F"/>
    <w:rsid w:val="00ED4085"/>
    <w:rsid w:val="00ED420E"/>
    <w:rsid w:val="00ED6FBE"/>
    <w:rsid w:val="00EE2F57"/>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F1E02"/>
    <w:rsid w:val="00FF30B4"/>
    <w:rsid w:val="015975B8"/>
    <w:rsid w:val="02FEBE30"/>
    <w:rsid w:val="036F8141"/>
    <w:rsid w:val="04D66C53"/>
    <w:rsid w:val="06106A21"/>
    <w:rsid w:val="066E0107"/>
    <w:rsid w:val="07996F6E"/>
    <w:rsid w:val="07DFD8BA"/>
    <w:rsid w:val="0A2032A3"/>
    <w:rsid w:val="0D35B1ED"/>
    <w:rsid w:val="0D4903E8"/>
    <w:rsid w:val="0E7ED1F5"/>
    <w:rsid w:val="0F98263C"/>
    <w:rsid w:val="101860EC"/>
    <w:rsid w:val="10C055FF"/>
    <w:rsid w:val="118107EC"/>
    <w:rsid w:val="13D50BC4"/>
    <w:rsid w:val="13F5616D"/>
    <w:rsid w:val="16BB723D"/>
    <w:rsid w:val="17F9714D"/>
    <w:rsid w:val="1918F934"/>
    <w:rsid w:val="1BE8440E"/>
    <w:rsid w:val="1D155CEE"/>
    <w:rsid w:val="1DFBC4B3"/>
    <w:rsid w:val="1E740ACF"/>
    <w:rsid w:val="1E8C11D9"/>
    <w:rsid w:val="1F19C781"/>
    <w:rsid w:val="1F33FCE5"/>
    <w:rsid w:val="1F7F7398"/>
    <w:rsid w:val="1FD2DB6F"/>
    <w:rsid w:val="1FF35744"/>
    <w:rsid w:val="1FF6BC77"/>
    <w:rsid w:val="1FF9236D"/>
    <w:rsid w:val="22B24B42"/>
    <w:rsid w:val="2333840E"/>
    <w:rsid w:val="23860B96"/>
    <w:rsid w:val="240371BF"/>
    <w:rsid w:val="257C638F"/>
    <w:rsid w:val="29FD04D3"/>
    <w:rsid w:val="2BFF7BC6"/>
    <w:rsid w:val="2C8A61B5"/>
    <w:rsid w:val="2CD59C95"/>
    <w:rsid w:val="2DF04E50"/>
    <w:rsid w:val="2EFD05E5"/>
    <w:rsid w:val="2F040D46"/>
    <w:rsid w:val="2F4F95CE"/>
    <w:rsid w:val="2FACAFDD"/>
    <w:rsid w:val="2FAE5751"/>
    <w:rsid w:val="2FB1A395"/>
    <w:rsid w:val="2FCF0B76"/>
    <w:rsid w:val="2FD9A7D8"/>
    <w:rsid w:val="319F7F4E"/>
    <w:rsid w:val="3304709D"/>
    <w:rsid w:val="36AA5135"/>
    <w:rsid w:val="36BE0DA7"/>
    <w:rsid w:val="376B6AA6"/>
    <w:rsid w:val="376D39B2"/>
    <w:rsid w:val="37E16F03"/>
    <w:rsid w:val="37F53A3B"/>
    <w:rsid w:val="38D469F0"/>
    <w:rsid w:val="38F78389"/>
    <w:rsid w:val="397BAF1F"/>
    <w:rsid w:val="39E7B272"/>
    <w:rsid w:val="39F7642F"/>
    <w:rsid w:val="39FF7B37"/>
    <w:rsid w:val="3AB79AF3"/>
    <w:rsid w:val="3AFDCB77"/>
    <w:rsid w:val="3B7EF35A"/>
    <w:rsid w:val="3B9FDB6C"/>
    <w:rsid w:val="3BF5BC2F"/>
    <w:rsid w:val="3BF7C23A"/>
    <w:rsid w:val="3BFF223E"/>
    <w:rsid w:val="3C6EC0A1"/>
    <w:rsid w:val="3CDB0824"/>
    <w:rsid w:val="3CEBA265"/>
    <w:rsid w:val="3D6A7F9F"/>
    <w:rsid w:val="3D7E7F4D"/>
    <w:rsid w:val="3D98207C"/>
    <w:rsid w:val="3D9CF30A"/>
    <w:rsid w:val="3DFF5A3E"/>
    <w:rsid w:val="3E78745D"/>
    <w:rsid w:val="3EEE77E9"/>
    <w:rsid w:val="3F394AF5"/>
    <w:rsid w:val="3FBE5714"/>
    <w:rsid w:val="3FDD8615"/>
    <w:rsid w:val="3FDFB2FF"/>
    <w:rsid w:val="3FF4CAE0"/>
    <w:rsid w:val="3FF75FAF"/>
    <w:rsid w:val="3FF7B227"/>
    <w:rsid w:val="40CE4E85"/>
    <w:rsid w:val="44E268DA"/>
    <w:rsid w:val="457F4F6B"/>
    <w:rsid w:val="4737FB58"/>
    <w:rsid w:val="47B5127A"/>
    <w:rsid w:val="47ECCB02"/>
    <w:rsid w:val="47FA6A3F"/>
    <w:rsid w:val="49D7AE48"/>
    <w:rsid w:val="4A3F6C7E"/>
    <w:rsid w:val="4A627F82"/>
    <w:rsid w:val="4B0E749A"/>
    <w:rsid w:val="4B4F25DA"/>
    <w:rsid w:val="4BBB4781"/>
    <w:rsid w:val="4BD709A5"/>
    <w:rsid w:val="4BDD9BFF"/>
    <w:rsid w:val="4BE068DB"/>
    <w:rsid w:val="4D577224"/>
    <w:rsid w:val="4D671BE9"/>
    <w:rsid w:val="4DBF1CEB"/>
    <w:rsid w:val="4DBF6A6B"/>
    <w:rsid w:val="4DF6A672"/>
    <w:rsid w:val="4EAB630A"/>
    <w:rsid w:val="4ECE2238"/>
    <w:rsid w:val="4F7EA413"/>
    <w:rsid w:val="4FAB812F"/>
    <w:rsid w:val="4FE9BD67"/>
    <w:rsid w:val="4FEE4C07"/>
    <w:rsid w:val="4FFB052F"/>
    <w:rsid w:val="537E6D0A"/>
    <w:rsid w:val="53AB6B88"/>
    <w:rsid w:val="53F74C96"/>
    <w:rsid w:val="5583522D"/>
    <w:rsid w:val="57860ED8"/>
    <w:rsid w:val="57BD3DD4"/>
    <w:rsid w:val="57F9CD1E"/>
    <w:rsid w:val="58CC09D4"/>
    <w:rsid w:val="5AF92295"/>
    <w:rsid w:val="5AF9D8E9"/>
    <w:rsid w:val="5BDD38BD"/>
    <w:rsid w:val="5BDD79E6"/>
    <w:rsid w:val="5BEFC772"/>
    <w:rsid w:val="5BFF5DFC"/>
    <w:rsid w:val="5CD71FC4"/>
    <w:rsid w:val="5D1F11B5"/>
    <w:rsid w:val="5D3647F9"/>
    <w:rsid w:val="5DA644D4"/>
    <w:rsid w:val="5DAE1B18"/>
    <w:rsid w:val="5DE7D9E5"/>
    <w:rsid w:val="5ECEC941"/>
    <w:rsid w:val="5EFF8FC6"/>
    <w:rsid w:val="5F5BA39A"/>
    <w:rsid w:val="5F7D3B79"/>
    <w:rsid w:val="5F7F4610"/>
    <w:rsid w:val="5FBF9FF3"/>
    <w:rsid w:val="5FCD4E2C"/>
    <w:rsid w:val="5FEF394A"/>
    <w:rsid w:val="5FF67715"/>
    <w:rsid w:val="61CA71D5"/>
    <w:rsid w:val="627EE9EA"/>
    <w:rsid w:val="63B23AA5"/>
    <w:rsid w:val="647F5392"/>
    <w:rsid w:val="64E322C4"/>
    <w:rsid w:val="65FB93B9"/>
    <w:rsid w:val="6633C463"/>
    <w:rsid w:val="67D55B77"/>
    <w:rsid w:val="67EE7F84"/>
    <w:rsid w:val="686F5F53"/>
    <w:rsid w:val="6AFFCEAF"/>
    <w:rsid w:val="6B96E9E6"/>
    <w:rsid w:val="6BCE57B5"/>
    <w:rsid w:val="6BFEA4DB"/>
    <w:rsid w:val="6BFFB662"/>
    <w:rsid w:val="6C4A05C8"/>
    <w:rsid w:val="6CFF4FB8"/>
    <w:rsid w:val="6D6BD6E0"/>
    <w:rsid w:val="6D77E73C"/>
    <w:rsid w:val="6DBF5E93"/>
    <w:rsid w:val="6DFF077E"/>
    <w:rsid w:val="6E7E3605"/>
    <w:rsid w:val="6E7FDCC7"/>
    <w:rsid w:val="6EA9A198"/>
    <w:rsid w:val="6ED6A62E"/>
    <w:rsid w:val="6EE00B15"/>
    <w:rsid w:val="6EE737B2"/>
    <w:rsid w:val="6EEB2329"/>
    <w:rsid w:val="6EECE67A"/>
    <w:rsid w:val="6F6F90A8"/>
    <w:rsid w:val="6F6FB3EB"/>
    <w:rsid w:val="6F8731EA"/>
    <w:rsid w:val="6FBC2ADD"/>
    <w:rsid w:val="6FD57C00"/>
    <w:rsid w:val="6FEFFFD8"/>
    <w:rsid w:val="6FF5CC65"/>
    <w:rsid w:val="6FFB47EC"/>
    <w:rsid w:val="6FFF034A"/>
    <w:rsid w:val="712A28F1"/>
    <w:rsid w:val="715C0E4B"/>
    <w:rsid w:val="71A8634C"/>
    <w:rsid w:val="71FFD401"/>
    <w:rsid w:val="72233669"/>
    <w:rsid w:val="72734D90"/>
    <w:rsid w:val="7332FE48"/>
    <w:rsid w:val="73AD73D5"/>
    <w:rsid w:val="73B6EB34"/>
    <w:rsid w:val="73FA497D"/>
    <w:rsid w:val="744731E5"/>
    <w:rsid w:val="74BBD01D"/>
    <w:rsid w:val="74ED5379"/>
    <w:rsid w:val="75DEEEC2"/>
    <w:rsid w:val="767F479D"/>
    <w:rsid w:val="76E3355F"/>
    <w:rsid w:val="76F742AF"/>
    <w:rsid w:val="76F7BE7D"/>
    <w:rsid w:val="76FF5125"/>
    <w:rsid w:val="773570D3"/>
    <w:rsid w:val="77597F31"/>
    <w:rsid w:val="776F6FFA"/>
    <w:rsid w:val="7777A522"/>
    <w:rsid w:val="77858688"/>
    <w:rsid w:val="778769C8"/>
    <w:rsid w:val="77CB741A"/>
    <w:rsid w:val="77D7BE3A"/>
    <w:rsid w:val="77DC22F5"/>
    <w:rsid w:val="797E3A6C"/>
    <w:rsid w:val="79CF70E2"/>
    <w:rsid w:val="79D7FD79"/>
    <w:rsid w:val="79E75806"/>
    <w:rsid w:val="79EE5BA4"/>
    <w:rsid w:val="7A641148"/>
    <w:rsid w:val="7A6F8BF5"/>
    <w:rsid w:val="7A894339"/>
    <w:rsid w:val="7ACF82B5"/>
    <w:rsid w:val="7AFF28C9"/>
    <w:rsid w:val="7AFF72A0"/>
    <w:rsid w:val="7AFF7572"/>
    <w:rsid w:val="7B6C7DFB"/>
    <w:rsid w:val="7B7D76A7"/>
    <w:rsid w:val="7BAE2FE2"/>
    <w:rsid w:val="7BAF6951"/>
    <w:rsid w:val="7BBFBED0"/>
    <w:rsid w:val="7BC3E394"/>
    <w:rsid w:val="7BF3FE4C"/>
    <w:rsid w:val="7BFB5035"/>
    <w:rsid w:val="7BFDE17E"/>
    <w:rsid w:val="7CBFC87B"/>
    <w:rsid w:val="7CFE0F48"/>
    <w:rsid w:val="7D3DE31C"/>
    <w:rsid w:val="7D7EC23E"/>
    <w:rsid w:val="7D7F8A13"/>
    <w:rsid w:val="7DBBCB01"/>
    <w:rsid w:val="7DC765D0"/>
    <w:rsid w:val="7DDB0EE0"/>
    <w:rsid w:val="7DFF51D8"/>
    <w:rsid w:val="7E634199"/>
    <w:rsid w:val="7E8ADEBF"/>
    <w:rsid w:val="7EEF11D3"/>
    <w:rsid w:val="7EF78C20"/>
    <w:rsid w:val="7F3F679B"/>
    <w:rsid w:val="7F4FC4EF"/>
    <w:rsid w:val="7F5E4D54"/>
    <w:rsid w:val="7F6B75FA"/>
    <w:rsid w:val="7F9F518D"/>
    <w:rsid w:val="7FA30C79"/>
    <w:rsid w:val="7FAF8ABF"/>
    <w:rsid w:val="7FB7269E"/>
    <w:rsid w:val="7FBD6753"/>
    <w:rsid w:val="7FBFABB4"/>
    <w:rsid w:val="7FC65084"/>
    <w:rsid w:val="7FC96657"/>
    <w:rsid w:val="7FD72595"/>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D14DE"/>
    <w:rsid w:val="7FFFF783"/>
    <w:rsid w:val="93F70A9E"/>
    <w:rsid w:val="997D060E"/>
    <w:rsid w:val="99FF2014"/>
    <w:rsid w:val="9E59F895"/>
    <w:rsid w:val="9E7DEDC1"/>
    <w:rsid w:val="9EEF2B0D"/>
    <w:rsid w:val="9FF6F2A6"/>
    <w:rsid w:val="9FFE4AD9"/>
    <w:rsid w:val="9FFF61B9"/>
    <w:rsid w:val="A6DD0D7F"/>
    <w:rsid w:val="A7955197"/>
    <w:rsid w:val="A7FE5E0E"/>
    <w:rsid w:val="ADC6F725"/>
    <w:rsid w:val="AF0FFA84"/>
    <w:rsid w:val="AF9F0A5E"/>
    <w:rsid w:val="AFEF7964"/>
    <w:rsid w:val="B27A6F28"/>
    <w:rsid w:val="B35F0D5A"/>
    <w:rsid w:val="B3F7F693"/>
    <w:rsid w:val="B3FBBB6C"/>
    <w:rsid w:val="B5FFE407"/>
    <w:rsid w:val="B7CF06AB"/>
    <w:rsid w:val="B7CFA926"/>
    <w:rsid w:val="B7F8786B"/>
    <w:rsid w:val="B9EF5647"/>
    <w:rsid w:val="BABB6AA1"/>
    <w:rsid w:val="BAFCD398"/>
    <w:rsid w:val="BAFFDA0F"/>
    <w:rsid w:val="BB2F4199"/>
    <w:rsid w:val="BBDFB9AB"/>
    <w:rsid w:val="BBFBD24E"/>
    <w:rsid w:val="BD079C78"/>
    <w:rsid w:val="BD2DD278"/>
    <w:rsid w:val="BD733540"/>
    <w:rsid w:val="BDF7970E"/>
    <w:rsid w:val="BDFE68BD"/>
    <w:rsid w:val="BE6FC990"/>
    <w:rsid w:val="BEBE9537"/>
    <w:rsid w:val="BEE327B2"/>
    <w:rsid w:val="BEFF02B9"/>
    <w:rsid w:val="BEFF0D62"/>
    <w:rsid w:val="BEFF90EF"/>
    <w:rsid w:val="BF3735D5"/>
    <w:rsid w:val="BF7F09AC"/>
    <w:rsid w:val="BFB3380D"/>
    <w:rsid w:val="BFB7E7A2"/>
    <w:rsid w:val="BFC2F103"/>
    <w:rsid w:val="BFD475C3"/>
    <w:rsid w:val="BFDE5EA6"/>
    <w:rsid w:val="BFEF99E9"/>
    <w:rsid w:val="BFF9E564"/>
    <w:rsid w:val="BFFF3A69"/>
    <w:rsid w:val="C71BBBCA"/>
    <w:rsid w:val="C7BFEF9C"/>
    <w:rsid w:val="C8BD8F25"/>
    <w:rsid w:val="C94DA72E"/>
    <w:rsid w:val="CBEEAA00"/>
    <w:rsid w:val="CC7E9ECE"/>
    <w:rsid w:val="CDBFF9FF"/>
    <w:rsid w:val="CDF78664"/>
    <w:rsid w:val="CE3FF57E"/>
    <w:rsid w:val="CF3AB4AC"/>
    <w:rsid w:val="CF6FC6F3"/>
    <w:rsid w:val="CFD3D3D7"/>
    <w:rsid w:val="CFDF1009"/>
    <w:rsid w:val="D6B7E4F6"/>
    <w:rsid w:val="D6CB2739"/>
    <w:rsid w:val="D776A8DB"/>
    <w:rsid w:val="D7B6B268"/>
    <w:rsid w:val="D7D7B16A"/>
    <w:rsid w:val="D7EF2E2A"/>
    <w:rsid w:val="D8D6DB89"/>
    <w:rsid w:val="DB6F4CAB"/>
    <w:rsid w:val="DB777682"/>
    <w:rsid w:val="DBDDA52A"/>
    <w:rsid w:val="DCFFC0D1"/>
    <w:rsid w:val="DD1FB521"/>
    <w:rsid w:val="DDCB2E5E"/>
    <w:rsid w:val="DDFE75CA"/>
    <w:rsid w:val="DEFBBE33"/>
    <w:rsid w:val="DEFBFEAE"/>
    <w:rsid w:val="DF1F3B80"/>
    <w:rsid w:val="DF6F9789"/>
    <w:rsid w:val="DF9B8D55"/>
    <w:rsid w:val="DF9D198A"/>
    <w:rsid w:val="DFDF1D8E"/>
    <w:rsid w:val="DFEFC58B"/>
    <w:rsid w:val="DFF5F241"/>
    <w:rsid w:val="DFFFA9E8"/>
    <w:rsid w:val="E37D5D3F"/>
    <w:rsid w:val="E3FFE98D"/>
    <w:rsid w:val="E5F4E9DC"/>
    <w:rsid w:val="E67FF583"/>
    <w:rsid w:val="E70FE695"/>
    <w:rsid w:val="E7676621"/>
    <w:rsid w:val="E76B2B9A"/>
    <w:rsid w:val="E7AB7A34"/>
    <w:rsid w:val="E7DF1E20"/>
    <w:rsid w:val="E7FF6381"/>
    <w:rsid w:val="E9A30291"/>
    <w:rsid w:val="EBBF924C"/>
    <w:rsid w:val="ECFED1BC"/>
    <w:rsid w:val="ED1D69BB"/>
    <w:rsid w:val="ED2C2584"/>
    <w:rsid w:val="ED7FD312"/>
    <w:rsid w:val="EDBE03E0"/>
    <w:rsid w:val="EDD1A84A"/>
    <w:rsid w:val="EDFF8263"/>
    <w:rsid w:val="EE1FA0C7"/>
    <w:rsid w:val="EF53993F"/>
    <w:rsid w:val="EF7B8152"/>
    <w:rsid w:val="EF8E27E2"/>
    <w:rsid w:val="EFBFB2F4"/>
    <w:rsid w:val="EFBFFA21"/>
    <w:rsid w:val="EFDF4337"/>
    <w:rsid w:val="EFF7097E"/>
    <w:rsid w:val="F2BEBCB8"/>
    <w:rsid w:val="F36FB518"/>
    <w:rsid w:val="F3DE1A04"/>
    <w:rsid w:val="F3E244FA"/>
    <w:rsid w:val="F3EFB7CA"/>
    <w:rsid w:val="F3F722E5"/>
    <w:rsid w:val="F699BB1A"/>
    <w:rsid w:val="F6DEABFE"/>
    <w:rsid w:val="F7B650C7"/>
    <w:rsid w:val="F7EBA87C"/>
    <w:rsid w:val="F7EF9033"/>
    <w:rsid w:val="F7FDC2B1"/>
    <w:rsid w:val="F8DDDAC6"/>
    <w:rsid w:val="F96B55C8"/>
    <w:rsid w:val="FA2F5BEB"/>
    <w:rsid w:val="FA5F1E70"/>
    <w:rsid w:val="FA5FDB97"/>
    <w:rsid w:val="FB1BB959"/>
    <w:rsid w:val="FB75E3C8"/>
    <w:rsid w:val="FB7F461B"/>
    <w:rsid w:val="FB7F486A"/>
    <w:rsid w:val="FB7F6E28"/>
    <w:rsid w:val="FB8778F4"/>
    <w:rsid w:val="FBB61866"/>
    <w:rsid w:val="FBEE055A"/>
    <w:rsid w:val="FBF91527"/>
    <w:rsid w:val="FBFD1260"/>
    <w:rsid w:val="FBFF5B2E"/>
    <w:rsid w:val="FC833EBB"/>
    <w:rsid w:val="FCFE0B49"/>
    <w:rsid w:val="FD4B388D"/>
    <w:rsid w:val="FD77A83C"/>
    <w:rsid w:val="FD7FFE2B"/>
    <w:rsid w:val="FDADA43D"/>
    <w:rsid w:val="FDBDC432"/>
    <w:rsid w:val="FDEB412A"/>
    <w:rsid w:val="FDEE196B"/>
    <w:rsid w:val="FDEF50BC"/>
    <w:rsid w:val="FDFD5EC3"/>
    <w:rsid w:val="FDFE6575"/>
    <w:rsid w:val="FE9E11AB"/>
    <w:rsid w:val="FEBF38CD"/>
    <w:rsid w:val="FEDFDDC2"/>
    <w:rsid w:val="FEEB4E4D"/>
    <w:rsid w:val="FEED32F6"/>
    <w:rsid w:val="FEF781DD"/>
    <w:rsid w:val="FEF9D8C4"/>
    <w:rsid w:val="FF3F7E3F"/>
    <w:rsid w:val="FF3FF759"/>
    <w:rsid w:val="FF4749A3"/>
    <w:rsid w:val="FF4D3A28"/>
    <w:rsid w:val="FF5913BC"/>
    <w:rsid w:val="FF7F1E7E"/>
    <w:rsid w:val="FF9BAA5C"/>
    <w:rsid w:val="FFA57884"/>
    <w:rsid w:val="FFB513DD"/>
    <w:rsid w:val="FFBA12D7"/>
    <w:rsid w:val="FFBFE8C6"/>
    <w:rsid w:val="FFCF2925"/>
    <w:rsid w:val="FFD33B6C"/>
    <w:rsid w:val="FFDAD824"/>
    <w:rsid w:val="FFDE4064"/>
    <w:rsid w:val="FFDEA9D8"/>
    <w:rsid w:val="FFDF2DEC"/>
    <w:rsid w:val="FFDF624E"/>
    <w:rsid w:val="FFDF6BC0"/>
    <w:rsid w:val="FFDFFAEE"/>
    <w:rsid w:val="FFE3BA41"/>
    <w:rsid w:val="FFE3BED4"/>
    <w:rsid w:val="FFF316C1"/>
    <w:rsid w:val="FFF59975"/>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6"/>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pPr>
      <w:spacing w:beforeAutospacing="1" w:afterAutospacing="1"/>
      <w:jc w:val="left"/>
    </w:pPr>
    <w:rPr>
      <w:kern w:val="0"/>
      <w:sz w:val="24"/>
    </w:rPr>
  </w:style>
  <w:style w:type="paragraph" w:styleId="14">
    <w:name w:val="Body Text First Indent"/>
    <w:qFormat/>
    <w:uiPriority w:val="0"/>
    <w:pPr>
      <w:keepNext w:val="0"/>
      <w:keepLines w:val="0"/>
      <w:widowControl w:val="0"/>
      <w:suppressLineNumbers w:val="0"/>
      <w:spacing w:after="120" w:afterAutospacing="0"/>
      <w:ind w:firstLine="420" w:firstLineChars="100"/>
      <w:jc w:val="both"/>
    </w:pPr>
    <w:rPr>
      <w:rFonts w:hint="default" w:ascii="Times New Roman" w:hAnsi="Times New Roman" w:eastAsia="仿宋_GB2312" w:cs="Times New Roman"/>
      <w:kern w:val="2"/>
      <w:sz w:val="32"/>
      <w:szCs w:val="32"/>
      <w:lang w:val="en-US" w:eastAsia="zh-CN" w:bidi="ar"/>
    </w:rPr>
  </w:style>
  <w:style w:type="paragraph" w:styleId="15">
    <w:name w:val="Body Text First Indent 2"/>
    <w:basedOn w:val="6"/>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0"/>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9"/>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5"/>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2"/>
    <w:qFormat/>
    <w:uiPriority w:val="9"/>
    <w:rPr>
      <w:rFonts w:ascii="Times New Roman" w:hAnsi="Times New Roman"/>
      <w:b/>
      <w:bCs/>
      <w:kern w:val="44"/>
      <w:sz w:val="44"/>
      <w:szCs w:val="44"/>
    </w:rPr>
  </w:style>
  <w:style w:type="character" w:customStyle="1" w:styleId="30">
    <w:name w:val="标题 2 字符"/>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8"/>
    <w:semiHidden/>
    <w:qFormat/>
    <w:uiPriority w:val="99"/>
    <w:rPr>
      <w:rFonts w:ascii="Times New Roman" w:hAnsi="Times New Roman"/>
      <w:kern w:val="2"/>
      <w:sz w:val="18"/>
      <w:szCs w:val="18"/>
    </w:rPr>
  </w:style>
  <w:style w:type="character" w:customStyle="1" w:styleId="33">
    <w:name w:val="标题 3 字符"/>
    <w:basedOn w:val="17"/>
    <w:link w:val="4"/>
    <w:qFormat/>
    <w:uiPriority w:val="9"/>
    <w:rPr>
      <w:rFonts w:ascii="Times New Roman" w:hAnsi="Times New Roman"/>
      <w:b/>
      <w:bCs/>
      <w:kern w:val="2"/>
      <w:sz w:val="32"/>
      <w:szCs w:val="32"/>
    </w:rPr>
  </w:style>
  <w:style w:type="paragraph" w:customStyle="1" w:styleId="3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 w:type="character" w:customStyle="1" w:styleId="36">
    <w:name w:val="font91"/>
    <w:basedOn w:val="17"/>
    <w:qFormat/>
    <w:uiPriority w:val="0"/>
    <w:rPr>
      <w:rFonts w:ascii="Arial" w:hAnsi="Arial" w:cs="Arial"/>
      <w:color w:val="000000"/>
      <w:sz w:val="18"/>
      <w:szCs w:val="18"/>
      <w:u w:val="none"/>
    </w:rPr>
  </w:style>
  <w:style w:type="character" w:customStyle="1" w:styleId="37">
    <w:name w:val="font21"/>
    <w:basedOn w:val="17"/>
    <w:qFormat/>
    <w:uiPriority w:val="0"/>
    <w:rPr>
      <w:rFonts w:ascii="宋体" w:hAnsi="宋体" w:eastAsia="宋体" w:cs="宋体"/>
      <w:color w:val="000000"/>
      <w:sz w:val="18"/>
      <w:szCs w:val="18"/>
      <w:u w:val="none"/>
    </w:rPr>
  </w:style>
  <w:style w:type="paragraph" w:customStyle="1" w:styleId="38">
    <w:name w:val="WPSOffice手动目录 1"/>
    <w:qFormat/>
    <w:uiPriority w:val="0"/>
    <w:pPr>
      <w:ind w:leftChars="0"/>
    </w:pPr>
    <w:rPr>
      <w:rFonts w:ascii="Times New Roman" w:hAnsi="Times New Roman" w:eastAsia="宋体" w:cs="Times New Roman"/>
      <w:sz w:val="20"/>
      <w:szCs w:val="20"/>
    </w:r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 w:type="paragraph" w:customStyle="1" w:styleId="40">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Desktop\&#24352;&#38058;\2023&#24180;&#20915;&#31639;&#20844;&#24320;\2023-313-&#24191;&#20803;&#24066;&#24037;&#21830;&#19994;&#32852;&#21512;&#20250;&#37096;&#38376;&#20915;&#31639;&#20844;&#24320;&#34920;(2)\&#26032;&#24314;&#25991;&#20214;&#22841;\&#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收、支决算总计变动情况图（单位：万元）</a:t>
            </a:r>
          </a:p>
        </c:rich>
      </c:tx>
      <c:layout>
        <c:manualLayout>
          <c:xMode val="edge"/>
          <c:yMode val="edge"/>
          <c:x val="0.144473684210526"/>
          <c:y val="0.0416666666666667"/>
        </c:manualLayout>
      </c:layout>
      <c:overlay val="false"/>
      <c:spPr>
        <a:noFill/>
        <a:ln>
          <a:noFill/>
        </a:ln>
        <a:effectLst/>
      </c:spPr>
    </c:title>
    <c:autoTitleDeleted val="false"/>
    <c:plotArea>
      <c:layout/>
      <c:barChart>
        <c:barDir val="col"/>
        <c:grouping val="clustered"/>
        <c:varyColors val="false"/>
        <c:ser>
          <c:idx val="0"/>
          <c:order val="0"/>
          <c:tx>
            <c:strRef>
              <c:f>'[新建 XLS 工作表.xls]Sheet1'!$A$4</c:f>
              <c:strCache>
                <c:ptCount val="1"/>
                <c:pt idx="0">
                  <c:v>收入支出总额</c:v>
                </c:pt>
              </c:strCache>
            </c:strRef>
          </c:tx>
          <c:spPr>
            <a:solidFill>
              <a:schemeClr val="accent1"/>
            </a:solidFill>
            <a:ln>
              <a:noFill/>
            </a:ln>
            <a:effectLst/>
          </c:spPr>
          <c:invertIfNegative val="false"/>
          <c:dLbls>
            <c:delete val="true"/>
          </c:dLbls>
          <c:cat>
            <c:strRef>
              <c:f>'[新建 XLS 工作表.xls]Sheet1'!$B$3:$C$3</c:f>
              <c:strCache>
                <c:ptCount val="2"/>
                <c:pt idx="0">
                  <c:v>2022年</c:v>
                </c:pt>
                <c:pt idx="1">
                  <c:v>2023年</c:v>
                </c:pt>
              </c:strCache>
            </c:strRef>
          </c:cat>
          <c:val>
            <c:numRef>
              <c:f>'[新建 XLS 工作表.xls]Sheet1'!$B$4:$C$4</c:f>
              <c:numCache>
                <c:formatCode>General</c:formatCode>
                <c:ptCount val="2"/>
                <c:pt idx="0">
                  <c:v>403.18</c:v>
                </c:pt>
                <c:pt idx="1">
                  <c:v>428.61</c:v>
                </c:pt>
              </c:numCache>
            </c:numRef>
          </c:val>
        </c:ser>
        <c:dLbls>
          <c:showLegendKey val="false"/>
          <c:showVal val="false"/>
          <c:showCatName val="false"/>
          <c:showSerName val="false"/>
          <c:showPercent val="false"/>
          <c:showBubbleSize val="false"/>
        </c:dLbls>
        <c:gapWidth val="246"/>
        <c:overlap val="-28"/>
        <c:axId val="478581679"/>
        <c:axId val="486424075"/>
      </c:barChart>
      <c:catAx>
        <c:axId val="47858167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86424075"/>
        <c:crosses val="autoZero"/>
        <c:auto val="true"/>
        <c:lblAlgn val="ctr"/>
        <c:lblOffset val="100"/>
        <c:noMultiLvlLbl val="false"/>
      </c:catAx>
      <c:valAx>
        <c:axId val="486424075"/>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858167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'[新建 XLS 工作表.xls]Sheet1'!$A$27</c:f>
              <c:strCache>
                <c:ptCount val="1"/>
                <c:pt idx="0">
                  <c:v>收入决算结构图</c:v>
                </c:pt>
              </c:strCache>
            </c:strRef>
          </c:tx>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 工作表.xls]Sheet1'!$B$26</c:f>
              <c:strCache>
                <c:ptCount val="1"/>
                <c:pt idx="0">
                  <c:v>一般公共预算财政拨款收入</c:v>
                </c:pt>
              </c:strCache>
            </c:strRef>
          </c:cat>
          <c:val>
            <c:numRef>
              <c:f>'[新建 XLS 工作表.xls]Sheet1'!$B$27</c:f>
              <c:numCache>
                <c:formatCode>General</c:formatCode>
                <c:ptCount val="1"/>
                <c:pt idx="0">
                  <c:v>427.5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manualLayout>
          <c:xMode val="edge"/>
          <c:yMode val="edge"/>
          <c:x val="0.640785781103835"/>
          <c:y val="0.891056422569028"/>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31838058964593"/>
          <c:y val="0.0346986694495173"/>
        </c:manualLayout>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'[新建 XLS 工作表.xls]Sheet1'!$A$33</c:f>
              <c:strCache>
                <c:ptCount val="1"/>
                <c:pt idx="0">
                  <c:v>本年支出合计（单位：万元）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 工作表.xls]Sheet1'!$B$32:$C$32</c:f>
              <c:strCache>
                <c:ptCount val="2"/>
                <c:pt idx="0">
                  <c:v>基本支出</c:v>
                </c:pt>
                <c:pt idx="1">
                  <c:v>项目支出</c:v>
                </c:pt>
              </c:strCache>
            </c:strRef>
          </c:cat>
          <c:val>
            <c:numRef>
              <c:f>'[新建 XLS 工作表.xls]Sheet1'!$B$33:$C$33</c:f>
              <c:numCache>
                <c:formatCode>General</c:formatCode>
                <c:ptCount val="2"/>
                <c:pt idx="0">
                  <c:v>383.39</c:v>
                </c:pt>
                <c:pt idx="1">
                  <c:v>45.22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财政拨款收、支决算总计变动情况（单位：万元）</a:t>
            </a:r>
          </a:p>
        </c:rich>
      </c:tx>
      <c:layout>
        <c:manualLayout>
          <c:xMode val="edge"/>
          <c:yMode val="edge"/>
          <c:x val="0.108947368421053"/>
          <c:y val="0.0423611111111111"/>
        </c:manualLayout>
      </c:layout>
      <c:overlay val="false"/>
      <c:spPr>
        <a:noFill/>
        <a:ln>
          <a:noFill/>
        </a:ln>
        <a:effectLst/>
      </c:spPr>
    </c:title>
    <c:autoTitleDeleted val="false"/>
    <c:plotArea>
      <c:layout/>
      <c:barChart>
        <c:barDir val="col"/>
        <c:grouping val="clustered"/>
        <c:varyColors val="false"/>
        <c:ser>
          <c:idx val="0"/>
          <c:order val="0"/>
          <c:tx>
            <c:strRef>
              <c:f>'[新建 XLS 工作表.xls]Sheet1'!$A$4</c:f>
              <c:strCache>
                <c:ptCount val="1"/>
                <c:pt idx="0">
                  <c:v>财政拨款收、支决算总额</c:v>
                </c:pt>
              </c:strCache>
            </c:strRef>
          </c:tx>
          <c:spPr>
            <a:solidFill>
              <a:schemeClr val="accent1"/>
            </a:solidFill>
            <a:ln>
              <a:noFill/>
            </a:ln>
            <a:effectLst/>
          </c:spPr>
          <c:invertIfNegative val="false"/>
          <c:dLbls>
            <c:delete val="true"/>
          </c:dLbls>
          <c:cat>
            <c:strRef>
              <c:f>'[新建 XLS 工作表.xls]Sheet1'!$B$3:$C$3</c:f>
              <c:strCache>
                <c:ptCount val="2"/>
                <c:pt idx="0">
                  <c:v>2022年</c:v>
                </c:pt>
                <c:pt idx="1">
                  <c:v>2023年</c:v>
                </c:pt>
              </c:strCache>
            </c:strRef>
          </c:cat>
          <c:val>
            <c:numRef>
              <c:f>'[新建 XLS 工作表.xls]Sheet1'!$B$4:$C$4</c:f>
              <c:numCache>
                <c:formatCode>General</c:formatCode>
                <c:ptCount val="2"/>
                <c:pt idx="0">
                  <c:v>403.18</c:v>
                </c:pt>
                <c:pt idx="1">
                  <c:v>428.61</c:v>
                </c:pt>
              </c:numCache>
            </c:numRef>
          </c:val>
        </c:ser>
        <c:dLbls>
          <c:showLegendKey val="false"/>
          <c:showVal val="false"/>
          <c:showCatName val="false"/>
          <c:showSerName val="false"/>
          <c:showPercent val="false"/>
          <c:showBubbleSize val="false"/>
        </c:dLbls>
        <c:gapWidth val="246"/>
        <c:overlap val="-28"/>
        <c:axId val="478581679"/>
        <c:axId val="486424075"/>
      </c:barChart>
      <c:catAx>
        <c:axId val="47858167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86424075"/>
        <c:crosses val="autoZero"/>
        <c:auto val="true"/>
        <c:lblAlgn val="ctr"/>
        <c:lblOffset val="100"/>
        <c:noMultiLvlLbl val="false"/>
      </c:catAx>
      <c:valAx>
        <c:axId val="486424075"/>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858167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一般公共预算财政拨款支出决算变动情况（单位：万元）</a:t>
            </a:r>
          </a:p>
        </c:rich>
      </c:tx>
      <c:layout>
        <c:manualLayout>
          <c:xMode val="edge"/>
          <c:yMode val="edge"/>
          <c:x val="0.114078947368421"/>
          <c:y val="0.0555555555555556"/>
        </c:manualLayout>
      </c:layout>
      <c:overlay val="false"/>
      <c:spPr>
        <a:noFill/>
        <a:ln>
          <a:noFill/>
        </a:ln>
        <a:effectLst/>
      </c:spPr>
    </c:title>
    <c:autoTitleDeleted val="false"/>
    <c:plotArea>
      <c:layout/>
      <c:barChart>
        <c:barDir val="col"/>
        <c:grouping val="clustered"/>
        <c:varyColors val="false"/>
        <c:ser>
          <c:idx val="0"/>
          <c:order val="0"/>
          <c:tx>
            <c:strRef>
              <c:f>'[新建 XLS 工作表.xls]Sheet1'!$A$52</c:f>
              <c:strCache>
                <c:ptCount val="1"/>
                <c:pt idx="0">
                  <c:v>一般公共预算财政拨款支出</c:v>
                </c:pt>
              </c:strCache>
            </c:strRef>
          </c:tx>
          <c:spPr>
            <a:solidFill>
              <a:schemeClr val="accent1"/>
            </a:solidFill>
            <a:ln>
              <a:noFill/>
            </a:ln>
            <a:effectLst/>
          </c:spPr>
          <c:invertIfNegative val="false"/>
          <c:dLbls>
            <c:delete val="true"/>
          </c:dLbls>
          <c:cat>
            <c:strRef>
              <c:f>'[新建 XLS 工作表.xls]Sheet1'!$B$51:$C$51</c:f>
              <c:strCache>
                <c:ptCount val="2"/>
                <c:pt idx="0">
                  <c:v>2022年</c:v>
                </c:pt>
                <c:pt idx="1">
                  <c:v>2023年</c:v>
                </c:pt>
              </c:strCache>
            </c:strRef>
          </c:cat>
          <c:val>
            <c:numRef>
              <c:f>'[新建 XLS 工作表.xls]Sheet1'!$B$52:$C$52</c:f>
              <c:numCache>
                <c:formatCode>General</c:formatCode>
                <c:ptCount val="2"/>
                <c:pt idx="0">
                  <c:v>402.42</c:v>
                </c:pt>
                <c:pt idx="1">
                  <c:v>428.61</c:v>
                </c:pt>
              </c:numCache>
            </c:numRef>
          </c:val>
        </c:ser>
        <c:dLbls>
          <c:showLegendKey val="false"/>
          <c:showVal val="false"/>
          <c:showCatName val="false"/>
          <c:showSerName val="false"/>
          <c:showPercent val="false"/>
          <c:showBubbleSize val="false"/>
        </c:dLbls>
        <c:gapWidth val="246"/>
        <c:overlap val="-28"/>
        <c:axId val="150230930"/>
        <c:axId val="89348094"/>
      </c:barChart>
      <c:catAx>
        <c:axId val="15023093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9348094"/>
        <c:crosses val="autoZero"/>
        <c:auto val="true"/>
        <c:lblAlgn val="ctr"/>
        <c:lblOffset val="100"/>
        <c:noMultiLvlLbl val="false"/>
      </c:catAx>
      <c:valAx>
        <c:axId val="89348094"/>
        <c:scaling>
          <c:orientation val="minMax"/>
          <c:min val="0"/>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solidFill>
              <a:schemeClr val="accent1"/>
            </a:solid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0230930"/>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'[新建 XLS 工作表.xls]Sheet1'!$B$62</c:f>
              <c:strCache>
                <c:ptCount val="1"/>
                <c:pt idx="0">
                  <c:v>一般公共预算财政拨款支出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 工作表.xls]Sheet1'!$A$63:$A$66</c:f>
              <c:strCache>
                <c:ptCount val="4"/>
                <c:pt idx="0">
                  <c:v>一般公共服务支出</c:v>
                </c:pt>
                <c:pt idx="1">
                  <c:v>社会保障和就业支出</c:v>
                </c:pt>
                <c:pt idx="2">
                  <c:v>卫生健康支出</c:v>
                </c:pt>
                <c:pt idx="3">
                  <c:v>住房保障支出</c:v>
                </c:pt>
              </c:strCache>
            </c:strRef>
          </c:cat>
          <c:val>
            <c:numRef>
              <c:f>'[新建 XLS 工作表.xls]Sheet1'!$B$63:$B$66</c:f>
              <c:numCache>
                <c:formatCode>General</c:formatCode>
                <c:ptCount val="4"/>
                <c:pt idx="0">
                  <c:v>348.43</c:v>
                </c:pt>
                <c:pt idx="1">
                  <c:v>46.66</c:v>
                </c:pt>
                <c:pt idx="2">
                  <c:v>9.8</c:v>
                </c:pt>
                <c:pt idx="3">
                  <c:v>23.71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'[新建 XLS 工作表.xls]Sheet1'!$A$81</c:f>
              <c:strCache>
                <c:ptCount val="1"/>
                <c:pt idx="0">
                  <c:v>“三公”经费财政拨款支出结构</c:v>
                </c:pt>
              </c:strCache>
            </c:strRef>
          </c:tx>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 工作表.xls]Sheet1'!$B$80</c:f>
              <c:strCache>
                <c:ptCount val="1"/>
                <c:pt idx="0">
                  <c:v>公务接待费</c:v>
                </c:pt>
              </c:strCache>
            </c:strRef>
          </c:cat>
          <c:val>
            <c:numRef>
              <c:f>'[新建 XLS 工作表.xls]Sheet1'!$B$81</c:f>
              <c:numCache>
                <c:formatCode>General</c:formatCode>
                <c:ptCount val="1"/>
                <c:pt idx="0">
                  <c:v>0.82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74</Pages>
  <Words>32445</Words>
  <Characters>35928</Characters>
  <Lines>1</Lines>
  <Paragraphs>1</Paragraphs>
  <TotalTime>18</TotalTime>
  <ScaleCrop>false</ScaleCrop>
  <LinksUpToDate>false</LinksUpToDate>
  <CharactersWithSpaces>36153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2024-08-05T15:12:00Z</dcterms:created>
  <dc:creator>曹颖</dc:creator>
  <cp:lastModifiedBy> </cp:lastModifiedBy>
  <cp:lastPrinted>2023-08-03T18:35:00Z</cp:lastPrinted>
  <dcterms:modified xsi:type="dcterms:W3CDTF">2024-09-25T11:01:01Z</dcterms:modified>
  <dc:title>四川省***</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3DF5F65DF0A94D3493ECAF5DB9BA0010_13</vt:lpwstr>
  </property>
</Properties>
</file>