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72"/>
          <w:szCs w:val="72"/>
        </w:rPr>
      </w:pPr>
    </w:p>
    <w:p>
      <w:pPr>
        <w:jc w:val="center"/>
        <w:rPr>
          <w:rFonts w:ascii="黑体" w:hAnsi="黑体" w:eastAsia="黑体"/>
          <w:sz w:val="72"/>
          <w:szCs w:val="72"/>
        </w:rPr>
      </w:pPr>
    </w:p>
    <w:p>
      <w:pPr>
        <w:jc w:val="center"/>
        <w:rPr>
          <w:rFonts w:ascii="黑体" w:hAnsi="黑体" w:eastAsia="黑体"/>
          <w:sz w:val="72"/>
          <w:szCs w:val="72"/>
        </w:rPr>
      </w:pPr>
    </w:p>
    <w:p>
      <w:pPr>
        <w:jc w:val="center"/>
        <w:rPr>
          <w:rFonts w:ascii="黑体" w:hAnsi="黑体" w:eastAsia="黑体"/>
          <w:sz w:val="72"/>
          <w:szCs w:val="72"/>
        </w:rPr>
      </w:pPr>
      <w:r>
        <w:rPr>
          <w:rFonts w:ascii="黑体" w:hAnsi="黑体" w:eastAsia="黑体"/>
          <w:sz w:val="72"/>
          <w:szCs w:val="72"/>
        </w:rPr>
        <w:t>2023年度</w:t>
      </w:r>
    </w:p>
    <w:p>
      <w:pPr>
        <w:jc w:val="center"/>
        <w:rPr>
          <w:rFonts w:ascii="黑体" w:hAnsi="黑体" w:eastAsia="黑体"/>
          <w:sz w:val="52"/>
          <w:szCs w:val="52"/>
        </w:rPr>
      </w:pPr>
    </w:p>
    <w:p>
      <w:pPr>
        <w:jc w:val="center"/>
        <w:outlineLvl w:val="0"/>
        <w:rPr>
          <w:rFonts w:ascii="黑体" w:hAnsi="黑体" w:eastAsia="黑体"/>
          <w:sz w:val="52"/>
          <w:szCs w:val="52"/>
        </w:rPr>
      </w:pPr>
      <w:bookmarkStart w:id="0" w:name="_Toc32453"/>
      <w:bookmarkStart w:id="1" w:name="_Toc8131"/>
      <w:r>
        <w:rPr>
          <w:rFonts w:ascii="黑体" w:hAnsi="黑体" w:eastAsia="黑体"/>
          <w:sz w:val="52"/>
          <w:szCs w:val="52"/>
        </w:rPr>
        <w:t>广元市</w:t>
      </w:r>
      <w:r>
        <w:rPr>
          <w:rFonts w:hint="eastAsia" w:ascii="黑体" w:hAnsi="黑体" w:eastAsia="黑体"/>
          <w:sz w:val="52"/>
          <w:szCs w:val="52"/>
        </w:rPr>
        <w:t>公安局交通</w:t>
      </w:r>
      <w:r>
        <w:rPr>
          <w:rFonts w:ascii="黑体" w:hAnsi="黑体" w:eastAsia="黑体"/>
          <w:sz w:val="52"/>
          <w:szCs w:val="52"/>
        </w:rPr>
        <w:t>警察支队</w:t>
      </w:r>
      <w:bookmarkEnd w:id="0"/>
      <w:bookmarkEnd w:id="1"/>
    </w:p>
    <w:p>
      <w:pPr>
        <w:jc w:val="center"/>
        <w:rPr>
          <w:rFonts w:ascii="黑体" w:hAnsi="黑体" w:eastAsia="黑体"/>
          <w:sz w:val="52"/>
          <w:szCs w:val="52"/>
        </w:rPr>
      </w:pPr>
      <w:r>
        <w:rPr>
          <w:rFonts w:ascii="黑体" w:hAnsi="黑体" w:eastAsia="黑体"/>
          <w:sz w:val="52"/>
          <w:szCs w:val="52"/>
        </w:rPr>
        <w:t>部门决算</w:t>
      </w: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18"/>
          <w:szCs w:val="18"/>
        </w:rPr>
      </w:pPr>
    </w:p>
    <w:p>
      <w:pPr>
        <w:jc w:val="center"/>
        <w:rPr>
          <w:rFonts w:ascii="黑体" w:hAnsi="黑体" w:eastAsia="黑体"/>
          <w:sz w:val="48"/>
          <w:szCs w:val="48"/>
        </w:rPr>
      </w:pPr>
      <w:r>
        <w:rPr>
          <w:rFonts w:hint="eastAsia" w:ascii="黑体" w:hAnsi="黑体" w:eastAsia="黑体"/>
          <w:sz w:val="48"/>
          <w:szCs w:val="48"/>
        </w:rPr>
        <w:t>目  录</w:t>
      </w:r>
    </w:p>
    <w:p/>
    <w:p>
      <w:pPr>
        <w:jc w:val="center"/>
        <w:rPr>
          <w:rFonts w:ascii="仿宋_GB2312" w:eastAsia="仿宋_GB2312"/>
          <w:sz w:val="30"/>
          <w:szCs w:val="30"/>
        </w:rPr>
      </w:pPr>
      <w:r>
        <w:rPr>
          <w:rFonts w:hint="eastAsia" w:ascii="仿宋_GB2312" w:eastAsia="仿宋_GB2312"/>
          <w:sz w:val="30"/>
          <w:szCs w:val="30"/>
        </w:rPr>
        <w:t>公开时间：2024年10月2日</w:t>
      </w:r>
    </w:p>
    <w:sdt>
      <w:sdtPr>
        <w:rPr>
          <w:rFonts w:ascii="宋体" w:hAnsi="宋体" w:eastAsia="宋体"/>
        </w:rPr>
        <w:id w:val="147463670"/>
        <w15:color w:val="DBDBDB"/>
        <w:docPartObj>
          <w:docPartGallery w:val="Table of Contents"/>
          <w:docPartUnique/>
        </w:docPartObj>
      </w:sdtPr>
      <w:sdtEndPr>
        <w:rPr>
          <w:rFonts w:hint="eastAsia" w:ascii="黑体" w:hAnsi="黑体" w:eastAsia="黑体"/>
          <w:kern w:val="0"/>
          <w:sz w:val="20"/>
          <w:szCs w:val="32"/>
        </w:rPr>
      </w:sdtEndPr>
      <w:sdtContent>
        <w:p>
          <w:pPr>
            <w:jc w:val="center"/>
          </w:pPr>
          <w:bookmarkStart w:id="225" w:name="_GoBack"/>
          <w:bookmarkEnd w:id="225"/>
        </w:p>
        <w:p>
          <w:pPr>
            <w:pStyle w:val="9"/>
            <w:tabs>
              <w:tab w:val="right" w:leader="dot" w:pos="8306"/>
            </w:tabs>
          </w:pPr>
          <w:r>
            <w:rPr>
              <w:rFonts w:ascii="仿宋_GB2312"/>
            </w:rPr>
            <w:fldChar w:fldCharType="begin"/>
          </w:r>
          <w:r>
            <w:rPr>
              <w:rFonts w:ascii="仿宋_GB2312"/>
            </w:rPr>
            <w:instrText xml:space="preserve">TOC \o "1-2" \h \u </w:instrText>
          </w:r>
          <w:r>
            <w:rPr>
              <w:rFonts w:ascii="仿宋_GB2312"/>
            </w:rPr>
            <w:fldChar w:fldCharType="separate"/>
          </w:r>
          <w:r>
            <w:fldChar w:fldCharType="begin"/>
          </w:r>
          <w:r>
            <w:instrText xml:space="preserve"> HYPERLINK \l "_Toc17996" </w:instrText>
          </w:r>
          <w:r>
            <w:fldChar w:fldCharType="separate"/>
          </w:r>
          <w:r>
            <w:rPr>
              <w:rFonts w:hint="eastAsia" w:ascii="黑体" w:hAnsi="黑体" w:eastAsia="黑体"/>
              <w:szCs w:val="44"/>
            </w:rPr>
            <w:t>第一部分</w:t>
          </w:r>
          <w:r>
            <w:rPr>
              <w:rFonts w:ascii="黑体" w:hAnsi="黑体" w:eastAsia="黑体"/>
              <w:szCs w:val="44"/>
            </w:rPr>
            <w:t xml:space="preserve"> 部门概况</w:t>
          </w:r>
          <w:r>
            <w:tab/>
          </w:r>
          <w:r>
            <w:fldChar w:fldCharType="begin"/>
          </w:r>
          <w:r>
            <w:instrText xml:space="preserve"> PAGEREF _Toc17996 \h </w:instrText>
          </w:r>
          <w:r>
            <w:fldChar w:fldCharType="separate"/>
          </w:r>
          <w:r>
            <w:t>1</w:t>
          </w:r>
          <w:r>
            <w:fldChar w:fldCharType="end"/>
          </w:r>
          <w:r>
            <w:fldChar w:fldCharType="end"/>
          </w:r>
        </w:p>
        <w:p>
          <w:pPr>
            <w:pStyle w:val="10"/>
            <w:tabs>
              <w:tab w:val="right" w:leader="dot" w:pos="8306"/>
            </w:tabs>
          </w:pPr>
          <w:r>
            <w:fldChar w:fldCharType="begin"/>
          </w:r>
          <w:r>
            <w:instrText xml:space="preserve"> HYPERLINK \l "_Toc20375" </w:instrText>
          </w:r>
          <w:r>
            <w:fldChar w:fldCharType="separate"/>
          </w:r>
          <w:r>
            <w:rPr>
              <w:rFonts w:hint="eastAsia" w:ascii="黑体" w:hAnsi="黑体" w:eastAsia="黑体"/>
              <w:szCs w:val="32"/>
            </w:rPr>
            <w:t>一、部门职责</w:t>
          </w:r>
          <w:r>
            <w:tab/>
          </w:r>
          <w:r>
            <w:fldChar w:fldCharType="begin"/>
          </w:r>
          <w:r>
            <w:instrText xml:space="preserve"> PAGEREF _Toc20375 \h </w:instrText>
          </w:r>
          <w:r>
            <w:fldChar w:fldCharType="separate"/>
          </w:r>
          <w:r>
            <w:t>1</w:t>
          </w:r>
          <w:r>
            <w:fldChar w:fldCharType="end"/>
          </w:r>
          <w:r>
            <w:fldChar w:fldCharType="end"/>
          </w:r>
        </w:p>
        <w:p>
          <w:pPr>
            <w:pStyle w:val="10"/>
            <w:tabs>
              <w:tab w:val="right" w:leader="dot" w:pos="8306"/>
            </w:tabs>
          </w:pPr>
          <w:r>
            <w:fldChar w:fldCharType="begin"/>
          </w:r>
          <w:r>
            <w:instrText xml:space="preserve"> HYPERLINK \l "_Toc5743" </w:instrText>
          </w:r>
          <w:r>
            <w:fldChar w:fldCharType="separate"/>
          </w:r>
          <w:r>
            <w:rPr>
              <w:rFonts w:hint="eastAsia" w:ascii="黑体" w:hAnsi="黑体" w:eastAsia="黑体"/>
              <w:szCs w:val="32"/>
            </w:rPr>
            <w:t>二、机构设置</w:t>
          </w:r>
          <w:r>
            <w:tab/>
          </w:r>
          <w:r>
            <w:fldChar w:fldCharType="begin"/>
          </w:r>
          <w:r>
            <w:instrText xml:space="preserve"> PAGEREF _Toc5743 \h </w:instrText>
          </w:r>
          <w:r>
            <w:fldChar w:fldCharType="separate"/>
          </w:r>
          <w:r>
            <w:t>1</w:t>
          </w:r>
          <w:r>
            <w:fldChar w:fldCharType="end"/>
          </w:r>
          <w:r>
            <w:fldChar w:fldCharType="end"/>
          </w:r>
        </w:p>
        <w:p>
          <w:pPr>
            <w:pStyle w:val="9"/>
            <w:tabs>
              <w:tab w:val="right" w:leader="dot" w:pos="8306"/>
            </w:tabs>
          </w:pPr>
          <w:r>
            <w:fldChar w:fldCharType="begin"/>
          </w:r>
          <w:r>
            <w:instrText xml:space="preserve"> HYPERLINK \l "_Toc19820" </w:instrText>
          </w:r>
          <w:r>
            <w:fldChar w:fldCharType="separate"/>
          </w:r>
          <w:r>
            <w:rPr>
              <w:rFonts w:hint="eastAsia" w:ascii="黑体" w:hAnsi="黑体" w:eastAsia="黑体"/>
              <w:szCs w:val="44"/>
            </w:rPr>
            <w:t>第二部分</w:t>
          </w:r>
          <w:r>
            <w:rPr>
              <w:rFonts w:ascii="黑体" w:hAnsi="黑体" w:eastAsia="黑体"/>
              <w:szCs w:val="44"/>
            </w:rPr>
            <w:t xml:space="preserve"> 2023年度部门决算情况说明</w:t>
          </w:r>
          <w:r>
            <w:tab/>
          </w:r>
          <w:r>
            <w:fldChar w:fldCharType="begin"/>
          </w:r>
          <w:r>
            <w:instrText xml:space="preserve"> PAGEREF _Toc19820 \h </w:instrText>
          </w:r>
          <w:r>
            <w:fldChar w:fldCharType="separate"/>
          </w:r>
          <w:r>
            <w:t>2</w:t>
          </w:r>
          <w:r>
            <w:fldChar w:fldCharType="end"/>
          </w:r>
          <w:r>
            <w:fldChar w:fldCharType="end"/>
          </w:r>
        </w:p>
        <w:p>
          <w:pPr>
            <w:pStyle w:val="10"/>
            <w:tabs>
              <w:tab w:val="right" w:leader="dot" w:pos="8306"/>
            </w:tabs>
          </w:pPr>
          <w:r>
            <w:fldChar w:fldCharType="begin"/>
          </w:r>
          <w:r>
            <w:instrText xml:space="preserve"> HYPERLINK \l "_Toc10967" </w:instrText>
          </w:r>
          <w:r>
            <w:fldChar w:fldCharType="separate"/>
          </w:r>
          <w:r>
            <w:rPr>
              <w:rFonts w:hint="eastAsia" w:ascii="黑体" w:hAnsi="黑体" w:eastAsia="黑体"/>
              <w:szCs w:val="32"/>
            </w:rPr>
            <w:t>一、</w:t>
          </w:r>
          <w:r>
            <w:rPr>
              <w:rFonts w:ascii="黑体" w:hAnsi="黑体" w:eastAsia="黑体"/>
              <w:szCs w:val="32"/>
            </w:rPr>
            <w:t>收入支出决算总体情况说明</w:t>
          </w:r>
          <w:r>
            <w:tab/>
          </w:r>
          <w:r>
            <w:fldChar w:fldCharType="begin"/>
          </w:r>
          <w:r>
            <w:instrText xml:space="preserve"> PAGEREF _Toc10967 \h </w:instrText>
          </w:r>
          <w:r>
            <w:fldChar w:fldCharType="separate"/>
          </w:r>
          <w:r>
            <w:t>2</w:t>
          </w:r>
          <w:r>
            <w:fldChar w:fldCharType="end"/>
          </w:r>
          <w:r>
            <w:fldChar w:fldCharType="end"/>
          </w:r>
        </w:p>
        <w:p>
          <w:pPr>
            <w:pStyle w:val="10"/>
            <w:tabs>
              <w:tab w:val="right" w:leader="dot" w:pos="8306"/>
            </w:tabs>
          </w:pPr>
          <w:r>
            <w:fldChar w:fldCharType="begin"/>
          </w:r>
          <w:r>
            <w:instrText xml:space="preserve"> HYPERLINK \l "_Toc23711" </w:instrText>
          </w:r>
          <w:r>
            <w:fldChar w:fldCharType="separate"/>
          </w:r>
          <w:r>
            <w:rPr>
              <w:rFonts w:hint="eastAsia" w:ascii="黑体" w:hAnsi="黑体" w:eastAsia="黑体"/>
              <w:szCs w:val="32"/>
            </w:rPr>
            <w:t>二、</w:t>
          </w:r>
          <w:r>
            <w:rPr>
              <w:rFonts w:ascii="黑体" w:hAnsi="黑体" w:eastAsia="黑体"/>
              <w:szCs w:val="32"/>
            </w:rPr>
            <w:t>收入决算情况说明</w:t>
          </w:r>
          <w:r>
            <w:tab/>
          </w:r>
          <w:r>
            <w:fldChar w:fldCharType="begin"/>
          </w:r>
          <w:r>
            <w:instrText xml:space="preserve"> PAGEREF _Toc23711 \h </w:instrText>
          </w:r>
          <w:r>
            <w:fldChar w:fldCharType="separate"/>
          </w:r>
          <w:r>
            <w:t>3</w:t>
          </w:r>
          <w:r>
            <w:fldChar w:fldCharType="end"/>
          </w:r>
          <w:r>
            <w:fldChar w:fldCharType="end"/>
          </w:r>
        </w:p>
        <w:p>
          <w:pPr>
            <w:pStyle w:val="10"/>
            <w:tabs>
              <w:tab w:val="right" w:leader="dot" w:pos="8306"/>
            </w:tabs>
          </w:pPr>
          <w:r>
            <w:fldChar w:fldCharType="begin"/>
          </w:r>
          <w:r>
            <w:instrText xml:space="preserve"> HYPERLINK \l "_Toc13726" </w:instrText>
          </w:r>
          <w:r>
            <w:fldChar w:fldCharType="separate"/>
          </w:r>
          <w:r>
            <w:rPr>
              <w:rFonts w:hint="eastAsia" w:ascii="黑体" w:hAnsi="黑体" w:eastAsia="黑体"/>
              <w:szCs w:val="32"/>
            </w:rPr>
            <w:t>三、支出决算情况说明</w:t>
          </w:r>
          <w:r>
            <w:tab/>
          </w:r>
          <w:r>
            <w:fldChar w:fldCharType="begin"/>
          </w:r>
          <w:r>
            <w:instrText xml:space="preserve"> PAGEREF _Toc13726 \h </w:instrText>
          </w:r>
          <w:r>
            <w:fldChar w:fldCharType="separate"/>
          </w:r>
          <w:r>
            <w:t>3</w:t>
          </w:r>
          <w:r>
            <w:fldChar w:fldCharType="end"/>
          </w:r>
          <w:r>
            <w:fldChar w:fldCharType="end"/>
          </w:r>
        </w:p>
        <w:p>
          <w:pPr>
            <w:pStyle w:val="10"/>
            <w:tabs>
              <w:tab w:val="right" w:leader="dot" w:pos="8306"/>
            </w:tabs>
          </w:pPr>
          <w:r>
            <w:fldChar w:fldCharType="begin"/>
          </w:r>
          <w:r>
            <w:instrText xml:space="preserve"> HYPERLINK \l "_Toc14924" </w:instrText>
          </w:r>
          <w:r>
            <w:fldChar w:fldCharType="separate"/>
          </w:r>
          <w:r>
            <w:rPr>
              <w:rFonts w:hint="eastAsia" w:ascii="黑体" w:hAnsi="黑体" w:eastAsia="黑体"/>
              <w:szCs w:val="32"/>
            </w:rPr>
            <w:t>四、财政拨款收入支出决算总体情况说明</w:t>
          </w:r>
          <w:r>
            <w:tab/>
          </w:r>
          <w:r>
            <w:fldChar w:fldCharType="begin"/>
          </w:r>
          <w:r>
            <w:instrText xml:space="preserve"> PAGEREF _Toc14924 \h </w:instrText>
          </w:r>
          <w:r>
            <w:fldChar w:fldCharType="separate"/>
          </w:r>
          <w:r>
            <w:t>4</w:t>
          </w:r>
          <w:r>
            <w:fldChar w:fldCharType="end"/>
          </w:r>
          <w:r>
            <w:fldChar w:fldCharType="end"/>
          </w:r>
        </w:p>
        <w:p>
          <w:pPr>
            <w:pStyle w:val="10"/>
            <w:tabs>
              <w:tab w:val="right" w:leader="dot" w:pos="8306"/>
            </w:tabs>
          </w:pPr>
          <w:r>
            <w:fldChar w:fldCharType="begin"/>
          </w:r>
          <w:r>
            <w:instrText xml:space="preserve"> HYPERLINK \l "_Toc11569" </w:instrText>
          </w:r>
          <w:r>
            <w:fldChar w:fldCharType="separate"/>
          </w:r>
          <w:r>
            <w:rPr>
              <w:rFonts w:hint="eastAsia" w:ascii="黑体" w:hAnsi="黑体" w:eastAsia="黑体"/>
              <w:szCs w:val="32"/>
            </w:rPr>
            <w:t>五、一般公共预算财政拨款支出决算情况说明</w:t>
          </w:r>
          <w:r>
            <w:tab/>
          </w:r>
          <w:r>
            <w:fldChar w:fldCharType="begin"/>
          </w:r>
          <w:r>
            <w:instrText xml:space="preserve"> PAGEREF _Toc11569 \h </w:instrText>
          </w:r>
          <w:r>
            <w:fldChar w:fldCharType="separate"/>
          </w:r>
          <w:r>
            <w:t>4</w:t>
          </w:r>
          <w:r>
            <w:fldChar w:fldCharType="end"/>
          </w:r>
          <w:r>
            <w:fldChar w:fldCharType="end"/>
          </w:r>
        </w:p>
        <w:p>
          <w:pPr>
            <w:pStyle w:val="10"/>
            <w:tabs>
              <w:tab w:val="right" w:leader="dot" w:pos="8306"/>
            </w:tabs>
          </w:pPr>
          <w:r>
            <w:fldChar w:fldCharType="begin"/>
          </w:r>
          <w:r>
            <w:instrText xml:space="preserve"> HYPERLINK \l "_Toc488" </w:instrText>
          </w:r>
          <w:r>
            <w:fldChar w:fldCharType="separate"/>
          </w:r>
          <w:r>
            <w:rPr>
              <w:rFonts w:hint="eastAsia" w:ascii="楷体_GB2312" w:eastAsia="楷体_GB2312"/>
              <w:szCs w:val="32"/>
            </w:rPr>
            <w:t>六、一般公共预算财政拨款基本支出决算情况说明</w:t>
          </w:r>
          <w:r>
            <w:tab/>
          </w:r>
          <w:r>
            <w:fldChar w:fldCharType="begin"/>
          </w:r>
          <w:r>
            <w:instrText xml:space="preserve"> PAGEREF _Toc488 \h </w:instrText>
          </w:r>
          <w:r>
            <w:fldChar w:fldCharType="separate"/>
          </w:r>
          <w:r>
            <w:t>7</w:t>
          </w:r>
          <w:r>
            <w:fldChar w:fldCharType="end"/>
          </w:r>
          <w:r>
            <w:fldChar w:fldCharType="end"/>
          </w:r>
        </w:p>
        <w:p>
          <w:pPr>
            <w:pStyle w:val="10"/>
            <w:tabs>
              <w:tab w:val="right" w:leader="dot" w:pos="8306"/>
            </w:tabs>
          </w:pPr>
          <w:r>
            <w:fldChar w:fldCharType="begin"/>
          </w:r>
          <w:r>
            <w:instrText xml:space="preserve"> HYPERLINK \l "_Toc11010" </w:instrText>
          </w:r>
          <w:r>
            <w:fldChar w:fldCharType="separate"/>
          </w:r>
          <w:r>
            <w:rPr>
              <w:rFonts w:hint="eastAsia" w:ascii="楷体_GB2312" w:eastAsia="楷体_GB2312"/>
              <w:szCs w:val="32"/>
            </w:rPr>
            <w:t>七、财政拨款“三公”经费支出决算情况说明</w:t>
          </w:r>
          <w:r>
            <w:tab/>
          </w:r>
          <w:r>
            <w:fldChar w:fldCharType="begin"/>
          </w:r>
          <w:r>
            <w:instrText xml:space="preserve"> PAGEREF _Toc11010 \h </w:instrText>
          </w:r>
          <w:r>
            <w:fldChar w:fldCharType="separate"/>
          </w:r>
          <w:r>
            <w:t>7</w:t>
          </w:r>
          <w:r>
            <w:fldChar w:fldCharType="end"/>
          </w:r>
          <w:r>
            <w:fldChar w:fldCharType="end"/>
          </w:r>
        </w:p>
        <w:p>
          <w:pPr>
            <w:pStyle w:val="10"/>
            <w:tabs>
              <w:tab w:val="right" w:leader="dot" w:pos="8306"/>
            </w:tabs>
          </w:pPr>
          <w:r>
            <w:fldChar w:fldCharType="begin"/>
          </w:r>
          <w:r>
            <w:instrText xml:space="preserve"> HYPERLINK \l "_Toc27555" </w:instrText>
          </w:r>
          <w:r>
            <w:fldChar w:fldCharType="separate"/>
          </w:r>
          <w:r>
            <w:rPr>
              <w:rFonts w:hint="eastAsia" w:ascii="黑体" w:hAnsi="黑体" w:eastAsia="黑体"/>
              <w:szCs w:val="32"/>
            </w:rPr>
            <w:t>八、政府性基金预算支出决算情况说明</w:t>
          </w:r>
          <w:r>
            <w:tab/>
          </w:r>
          <w:r>
            <w:fldChar w:fldCharType="begin"/>
          </w:r>
          <w:r>
            <w:instrText xml:space="preserve"> PAGEREF _Toc27555 \h </w:instrText>
          </w:r>
          <w:r>
            <w:fldChar w:fldCharType="separate"/>
          </w:r>
          <w:r>
            <w:t>9</w:t>
          </w:r>
          <w:r>
            <w:fldChar w:fldCharType="end"/>
          </w:r>
          <w:r>
            <w:fldChar w:fldCharType="end"/>
          </w:r>
        </w:p>
        <w:p>
          <w:pPr>
            <w:pStyle w:val="10"/>
            <w:tabs>
              <w:tab w:val="right" w:leader="dot" w:pos="8306"/>
            </w:tabs>
          </w:pPr>
          <w:r>
            <w:fldChar w:fldCharType="begin"/>
          </w:r>
          <w:r>
            <w:instrText xml:space="preserve"> HYPERLINK \l "_Toc8423" </w:instrText>
          </w:r>
          <w:r>
            <w:fldChar w:fldCharType="separate"/>
          </w:r>
          <w:r>
            <w:rPr>
              <w:rFonts w:hint="eastAsia" w:ascii="黑体" w:hAnsi="黑体" w:eastAsia="黑体"/>
              <w:szCs w:val="32"/>
            </w:rPr>
            <w:t>九、国有资本经营预算支出决算情况说明</w:t>
          </w:r>
          <w:r>
            <w:tab/>
          </w:r>
          <w:r>
            <w:fldChar w:fldCharType="begin"/>
          </w:r>
          <w:r>
            <w:instrText xml:space="preserve"> PAGEREF _Toc8423 \h </w:instrText>
          </w:r>
          <w:r>
            <w:fldChar w:fldCharType="separate"/>
          </w:r>
          <w:r>
            <w:t>9</w:t>
          </w:r>
          <w:r>
            <w:fldChar w:fldCharType="end"/>
          </w:r>
          <w:r>
            <w:fldChar w:fldCharType="end"/>
          </w:r>
        </w:p>
        <w:p>
          <w:pPr>
            <w:pStyle w:val="10"/>
            <w:tabs>
              <w:tab w:val="right" w:leader="dot" w:pos="8306"/>
            </w:tabs>
          </w:pPr>
          <w:r>
            <w:fldChar w:fldCharType="begin"/>
          </w:r>
          <w:r>
            <w:instrText xml:space="preserve"> HYPERLINK \l "_Toc23256" </w:instrText>
          </w:r>
          <w:r>
            <w:fldChar w:fldCharType="separate"/>
          </w:r>
          <w:r>
            <w:rPr>
              <w:rFonts w:hint="eastAsia" w:ascii="黑体" w:hAnsi="黑体" w:eastAsia="黑体"/>
              <w:szCs w:val="32"/>
            </w:rPr>
            <w:t>十、其他重要事项的情况说明</w:t>
          </w:r>
          <w:r>
            <w:tab/>
          </w:r>
          <w:r>
            <w:fldChar w:fldCharType="begin"/>
          </w:r>
          <w:r>
            <w:instrText xml:space="preserve"> PAGEREF _Toc23256 \h </w:instrText>
          </w:r>
          <w:r>
            <w:fldChar w:fldCharType="separate"/>
          </w:r>
          <w:r>
            <w:t>9</w:t>
          </w:r>
          <w:r>
            <w:fldChar w:fldCharType="end"/>
          </w:r>
          <w:r>
            <w:fldChar w:fldCharType="end"/>
          </w:r>
        </w:p>
        <w:p>
          <w:pPr>
            <w:pStyle w:val="9"/>
            <w:tabs>
              <w:tab w:val="right" w:leader="dot" w:pos="8306"/>
            </w:tabs>
          </w:pPr>
          <w:r>
            <w:fldChar w:fldCharType="begin"/>
          </w:r>
          <w:r>
            <w:instrText xml:space="preserve"> HYPERLINK \l "_Toc8763" </w:instrText>
          </w:r>
          <w:r>
            <w:fldChar w:fldCharType="separate"/>
          </w:r>
          <w:r>
            <w:rPr>
              <w:rFonts w:hint="eastAsia" w:ascii="黑体" w:hAnsi="黑体" w:eastAsia="黑体" w:cs="仿宋_GB2312"/>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_Toc8763 \h </w:instrText>
          </w:r>
          <w:r>
            <w:fldChar w:fldCharType="separate"/>
          </w:r>
          <w:r>
            <w:t>12</w:t>
          </w:r>
          <w:r>
            <w:fldChar w:fldCharType="end"/>
          </w:r>
          <w:r>
            <w:fldChar w:fldCharType="end"/>
          </w:r>
        </w:p>
        <w:p>
          <w:pPr>
            <w:pStyle w:val="9"/>
            <w:tabs>
              <w:tab w:val="right" w:leader="dot" w:pos="8306"/>
            </w:tabs>
          </w:pPr>
          <w:r>
            <w:fldChar w:fldCharType="begin"/>
          </w:r>
          <w:r>
            <w:instrText xml:space="preserve"> HYPERLINK \l "_Toc10045" </w:instrText>
          </w:r>
          <w:r>
            <w:fldChar w:fldCharType="separate"/>
          </w:r>
          <w:r>
            <w:rPr>
              <w:rFonts w:hint="eastAsia" w:ascii="黑体" w:hAnsi="黑体" w:eastAsia="黑体"/>
              <w:szCs w:val="52"/>
            </w:rPr>
            <w:t>第四部分 附件</w:t>
          </w:r>
          <w:r>
            <w:tab/>
          </w:r>
          <w:r>
            <w:t>14</w:t>
          </w:r>
          <w:r>
            <w:fldChar w:fldCharType="end"/>
          </w:r>
        </w:p>
        <w:p>
          <w:pPr>
            <w:pStyle w:val="9"/>
            <w:tabs>
              <w:tab w:val="right" w:leader="dot" w:pos="8306"/>
            </w:tabs>
          </w:pPr>
          <w:r>
            <w:fldChar w:fldCharType="begin"/>
          </w:r>
          <w:r>
            <w:instrText xml:space="preserve"> HYPERLINK \l "_Toc30683" </w:instrText>
          </w:r>
          <w:r>
            <w:fldChar w:fldCharType="separate"/>
          </w:r>
          <w:r>
            <w:rPr>
              <w:rFonts w:hint="eastAsia" w:ascii="黑体" w:hAnsi="黑体" w:eastAsia="黑体"/>
              <w:szCs w:val="36"/>
            </w:rPr>
            <w:t>第五部分</w:t>
          </w:r>
          <w:r>
            <w:rPr>
              <w:rFonts w:ascii="黑体" w:hAnsi="黑体" w:eastAsia="黑体"/>
              <w:szCs w:val="36"/>
            </w:rPr>
            <w:t xml:space="preserve"> 附表</w:t>
          </w:r>
          <w:r>
            <w:tab/>
          </w:r>
          <w:r>
            <w:t>137</w:t>
          </w:r>
          <w:r>
            <w:fldChar w:fldCharType="end"/>
          </w:r>
        </w:p>
        <w:p>
          <w:pPr>
            <w:pStyle w:val="10"/>
            <w:tabs>
              <w:tab w:val="right" w:leader="dot" w:pos="8306"/>
            </w:tabs>
          </w:pPr>
          <w:r>
            <w:fldChar w:fldCharType="begin"/>
          </w:r>
          <w:r>
            <w:instrText xml:space="preserve"> HYPERLINK \l "_Toc30142" </w:instrText>
          </w:r>
          <w:r>
            <w:fldChar w:fldCharType="separate"/>
          </w:r>
          <w:r>
            <w:rPr>
              <w:rFonts w:hint="eastAsia"/>
            </w:rPr>
            <w:t>一、收入支出决算总表</w:t>
          </w:r>
          <w:r>
            <w:tab/>
          </w:r>
          <w:r>
            <w:t>137</w:t>
          </w:r>
          <w:r>
            <w:fldChar w:fldCharType="end"/>
          </w:r>
        </w:p>
        <w:p>
          <w:pPr>
            <w:pStyle w:val="10"/>
            <w:tabs>
              <w:tab w:val="right" w:leader="dot" w:pos="8306"/>
            </w:tabs>
          </w:pPr>
          <w:r>
            <w:fldChar w:fldCharType="begin"/>
          </w:r>
          <w:r>
            <w:instrText xml:space="preserve"> HYPERLINK \l "_Toc558" </w:instrText>
          </w:r>
          <w:r>
            <w:fldChar w:fldCharType="separate"/>
          </w:r>
          <w:r>
            <w:rPr>
              <w:rFonts w:hint="eastAsia"/>
            </w:rPr>
            <w:t>二、收入决算表</w:t>
          </w:r>
          <w:r>
            <w:tab/>
          </w:r>
          <w:r>
            <w:t>137</w:t>
          </w:r>
          <w:r>
            <w:fldChar w:fldCharType="end"/>
          </w:r>
        </w:p>
        <w:p>
          <w:pPr>
            <w:pStyle w:val="10"/>
            <w:tabs>
              <w:tab w:val="right" w:leader="dot" w:pos="8306"/>
            </w:tabs>
          </w:pPr>
          <w:r>
            <w:fldChar w:fldCharType="begin"/>
          </w:r>
          <w:r>
            <w:instrText xml:space="preserve"> HYPERLINK \l "_Toc899" </w:instrText>
          </w:r>
          <w:r>
            <w:fldChar w:fldCharType="separate"/>
          </w:r>
          <w:r>
            <w:rPr>
              <w:rFonts w:hint="eastAsia"/>
            </w:rPr>
            <w:t>三、支出决算表</w:t>
          </w:r>
          <w:r>
            <w:tab/>
          </w:r>
          <w:r>
            <w:t>137</w:t>
          </w:r>
          <w:r>
            <w:fldChar w:fldCharType="end"/>
          </w:r>
        </w:p>
        <w:p>
          <w:pPr>
            <w:pStyle w:val="10"/>
            <w:tabs>
              <w:tab w:val="right" w:leader="dot" w:pos="8306"/>
            </w:tabs>
          </w:pPr>
          <w:r>
            <w:fldChar w:fldCharType="begin"/>
          </w:r>
          <w:r>
            <w:instrText xml:space="preserve"> HYPERLINK \l "_Toc8392" </w:instrText>
          </w:r>
          <w:r>
            <w:fldChar w:fldCharType="separate"/>
          </w:r>
          <w:r>
            <w:rPr>
              <w:rFonts w:hint="eastAsia"/>
            </w:rPr>
            <w:t>四、财政拨款收入支出决算总表</w:t>
          </w:r>
          <w:r>
            <w:tab/>
          </w:r>
          <w:r>
            <w:t>137</w:t>
          </w:r>
          <w:r>
            <w:fldChar w:fldCharType="end"/>
          </w:r>
        </w:p>
        <w:p>
          <w:pPr>
            <w:pStyle w:val="10"/>
            <w:tabs>
              <w:tab w:val="right" w:leader="dot" w:pos="8306"/>
            </w:tabs>
          </w:pPr>
          <w:r>
            <w:fldChar w:fldCharType="begin"/>
          </w:r>
          <w:r>
            <w:instrText xml:space="preserve"> HYPERLINK \l "_Toc26009" </w:instrText>
          </w:r>
          <w:r>
            <w:fldChar w:fldCharType="separate"/>
          </w:r>
          <w:r>
            <w:rPr>
              <w:rFonts w:hint="eastAsia"/>
            </w:rPr>
            <w:t>五、财政拨款支出决算明细表</w:t>
          </w:r>
          <w:r>
            <w:tab/>
          </w:r>
          <w:r>
            <w:t>137</w:t>
          </w:r>
          <w:r>
            <w:fldChar w:fldCharType="end"/>
          </w:r>
        </w:p>
        <w:p>
          <w:pPr>
            <w:pStyle w:val="10"/>
            <w:tabs>
              <w:tab w:val="right" w:leader="dot" w:pos="8306"/>
            </w:tabs>
          </w:pPr>
          <w:r>
            <w:fldChar w:fldCharType="begin"/>
          </w:r>
          <w:r>
            <w:instrText xml:space="preserve"> HYPERLINK \l "_Toc32758" </w:instrText>
          </w:r>
          <w:r>
            <w:fldChar w:fldCharType="separate"/>
          </w:r>
          <w:r>
            <w:rPr>
              <w:rFonts w:hint="eastAsia"/>
            </w:rPr>
            <w:t>六、一般公共预算财政拨款支出决算表</w:t>
          </w:r>
          <w:r>
            <w:tab/>
          </w:r>
          <w:r>
            <w:t>137</w:t>
          </w:r>
          <w:r>
            <w:fldChar w:fldCharType="end"/>
          </w:r>
        </w:p>
        <w:p>
          <w:pPr>
            <w:pStyle w:val="10"/>
            <w:tabs>
              <w:tab w:val="right" w:leader="dot" w:pos="8306"/>
            </w:tabs>
          </w:pPr>
          <w:r>
            <w:fldChar w:fldCharType="begin"/>
          </w:r>
          <w:r>
            <w:instrText xml:space="preserve"> HYPERLINK \l "_Toc31327" </w:instrText>
          </w:r>
          <w:r>
            <w:fldChar w:fldCharType="separate"/>
          </w:r>
          <w:r>
            <w:rPr>
              <w:rFonts w:hint="eastAsia"/>
            </w:rPr>
            <w:t>七、一般公共预算财政拨款支出决算明细表</w:t>
          </w:r>
          <w:r>
            <w:tab/>
          </w:r>
          <w:r>
            <w:t>137</w:t>
          </w:r>
          <w:r>
            <w:fldChar w:fldCharType="end"/>
          </w:r>
        </w:p>
        <w:p>
          <w:pPr>
            <w:pStyle w:val="10"/>
            <w:tabs>
              <w:tab w:val="right" w:leader="dot" w:pos="8306"/>
            </w:tabs>
          </w:pPr>
          <w:r>
            <w:fldChar w:fldCharType="begin"/>
          </w:r>
          <w:r>
            <w:instrText xml:space="preserve"> HYPERLINK \l "_Toc25303" </w:instrText>
          </w:r>
          <w:r>
            <w:fldChar w:fldCharType="separate"/>
          </w:r>
          <w:r>
            <w:rPr>
              <w:rFonts w:hint="eastAsia"/>
            </w:rPr>
            <w:t>八、一般公共预算财政拨款基本支出决算表</w:t>
          </w:r>
          <w:r>
            <w:tab/>
          </w:r>
          <w:r>
            <w:t>137</w:t>
          </w:r>
          <w:r>
            <w:fldChar w:fldCharType="end"/>
          </w:r>
        </w:p>
        <w:p>
          <w:pPr>
            <w:pStyle w:val="10"/>
            <w:tabs>
              <w:tab w:val="right" w:leader="dot" w:pos="8306"/>
            </w:tabs>
          </w:pPr>
          <w:r>
            <w:fldChar w:fldCharType="begin"/>
          </w:r>
          <w:r>
            <w:instrText xml:space="preserve"> HYPERLINK \l "_Toc17864" </w:instrText>
          </w:r>
          <w:r>
            <w:fldChar w:fldCharType="separate"/>
          </w:r>
          <w:r>
            <w:rPr>
              <w:rFonts w:hint="eastAsia"/>
            </w:rPr>
            <w:t>九、一般公共预算财政拨款项目支出决算表</w:t>
          </w:r>
          <w:r>
            <w:tab/>
          </w:r>
          <w:r>
            <w:t>137</w:t>
          </w:r>
          <w:r>
            <w:fldChar w:fldCharType="end"/>
          </w:r>
        </w:p>
        <w:p>
          <w:pPr>
            <w:pStyle w:val="10"/>
            <w:tabs>
              <w:tab w:val="right" w:leader="dot" w:pos="8306"/>
            </w:tabs>
          </w:pPr>
          <w:r>
            <w:fldChar w:fldCharType="begin"/>
          </w:r>
          <w:r>
            <w:instrText xml:space="preserve"> HYPERLINK \l "_Toc7575" </w:instrText>
          </w:r>
          <w:r>
            <w:fldChar w:fldCharType="separate"/>
          </w:r>
          <w:r>
            <w:rPr>
              <w:rFonts w:hint="eastAsia"/>
            </w:rPr>
            <w:t>十、政府性基金预算财政拨款收入支出决算表</w:t>
          </w:r>
          <w:r>
            <w:tab/>
          </w:r>
          <w:r>
            <w:t>137</w:t>
          </w:r>
          <w:r>
            <w:fldChar w:fldCharType="end"/>
          </w:r>
        </w:p>
        <w:p>
          <w:pPr>
            <w:pStyle w:val="10"/>
            <w:tabs>
              <w:tab w:val="right" w:leader="dot" w:pos="8306"/>
            </w:tabs>
          </w:pPr>
          <w:r>
            <w:fldChar w:fldCharType="begin"/>
          </w:r>
          <w:r>
            <w:instrText xml:space="preserve"> HYPERLINK \l "_Toc21298" </w:instrText>
          </w:r>
          <w:r>
            <w:fldChar w:fldCharType="separate"/>
          </w:r>
          <w:r>
            <w:rPr>
              <w:rFonts w:hint="eastAsia"/>
            </w:rPr>
            <w:t>十一、国有资本经营预算财政拨款收入支出决算表</w:t>
          </w:r>
          <w:r>
            <w:tab/>
          </w:r>
          <w:r>
            <w:t>137</w:t>
          </w:r>
          <w:r>
            <w:fldChar w:fldCharType="end"/>
          </w:r>
        </w:p>
        <w:p>
          <w:pPr>
            <w:pStyle w:val="10"/>
            <w:tabs>
              <w:tab w:val="right" w:leader="dot" w:pos="8306"/>
            </w:tabs>
          </w:pPr>
          <w:r>
            <w:fldChar w:fldCharType="begin"/>
          </w:r>
          <w:r>
            <w:instrText xml:space="preserve"> HYPERLINK \l "_Toc32379" </w:instrText>
          </w:r>
          <w:r>
            <w:fldChar w:fldCharType="separate"/>
          </w:r>
          <w:r>
            <w:rPr>
              <w:rFonts w:hint="eastAsia"/>
            </w:rPr>
            <w:t>十二、国有资本经营预算财政拨款支出决算表</w:t>
          </w:r>
          <w:r>
            <w:tab/>
          </w:r>
          <w:r>
            <w:t>137</w:t>
          </w:r>
          <w:r>
            <w:fldChar w:fldCharType="end"/>
          </w:r>
        </w:p>
        <w:p>
          <w:pPr>
            <w:pStyle w:val="10"/>
            <w:tabs>
              <w:tab w:val="right" w:leader="dot" w:pos="8306"/>
            </w:tabs>
          </w:pPr>
          <w:r>
            <w:fldChar w:fldCharType="begin"/>
          </w:r>
          <w:r>
            <w:instrText xml:space="preserve"> HYPERLINK \l "_Toc20159" </w:instrText>
          </w:r>
          <w:r>
            <w:fldChar w:fldCharType="separate"/>
          </w:r>
          <w:r>
            <w:rPr>
              <w:rFonts w:hint="eastAsia"/>
            </w:rPr>
            <w:t>十三、财政拨款“三公”经费支出决算表</w:t>
          </w:r>
          <w:r>
            <w:tab/>
          </w:r>
          <w:r>
            <w:t>137</w:t>
          </w:r>
          <w:r>
            <w:fldChar w:fldCharType="end"/>
          </w:r>
        </w:p>
        <w:p>
          <w:pPr>
            <w:tabs>
              <w:tab w:val="left" w:pos="8190"/>
            </w:tabs>
            <w:rPr>
              <w:rFonts w:ascii="黑体" w:hAnsi="黑体" w:eastAsia="黑体"/>
              <w:sz w:val="44"/>
              <w:szCs w:val="44"/>
            </w:rPr>
          </w:pPr>
          <w:r>
            <w:rPr>
              <w:rFonts w:ascii="仿宋_GB2312" w:eastAsia="仿宋_GB2312"/>
              <w:szCs w:val="32"/>
            </w:rPr>
            <w:fldChar w:fldCharType="end"/>
          </w:r>
        </w:p>
      </w:sdtContent>
    </w:sdt>
    <w:p>
      <w:pPr>
        <w:ind w:firstLine="880" w:firstLineChars="200"/>
        <w:jc w:val="center"/>
        <w:rPr>
          <w:rFonts w:hint="eastAsia" w:ascii="黑体" w:hAnsi="黑体" w:eastAsia="黑体"/>
          <w:sz w:val="44"/>
          <w:szCs w:val="44"/>
        </w:rPr>
        <w:sectPr>
          <w:pgSz w:w="11906" w:h="16838"/>
          <w:pgMar w:top="1440" w:right="1800" w:bottom="1440" w:left="1800" w:header="851" w:footer="992" w:gutter="0"/>
          <w:pgNumType w:start="1"/>
          <w:cols w:space="425" w:num="1"/>
          <w:titlePg/>
          <w:docGrid w:type="lines" w:linePitch="312" w:charSpace="0"/>
        </w:sectPr>
      </w:pPr>
    </w:p>
    <w:p>
      <w:pPr>
        <w:rPr>
          <w:rFonts w:ascii="黑体" w:hAnsi="黑体" w:eastAsia="黑体"/>
          <w:sz w:val="44"/>
          <w:szCs w:val="44"/>
        </w:rPr>
      </w:pPr>
    </w:p>
    <w:p>
      <w:pPr>
        <w:ind w:firstLine="880" w:firstLineChars="200"/>
        <w:jc w:val="center"/>
        <w:outlineLvl w:val="0"/>
        <w:rPr>
          <w:rFonts w:ascii="黑体" w:hAnsi="黑体" w:eastAsia="黑体"/>
          <w:sz w:val="44"/>
          <w:szCs w:val="44"/>
        </w:rPr>
      </w:pPr>
      <w:bookmarkStart w:id="2" w:name="_Toc17996"/>
      <w:r>
        <w:rPr>
          <w:rFonts w:hint="eastAsia" w:ascii="黑体" w:hAnsi="黑体" w:eastAsia="黑体"/>
          <w:sz w:val="44"/>
          <w:szCs w:val="44"/>
        </w:rPr>
        <w:t>第一部分</w:t>
      </w:r>
      <w:r>
        <w:rPr>
          <w:rFonts w:ascii="黑体" w:hAnsi="黑体" w:eastAsia="黑体"/>
          <w:sz w:val="44"/>
          <w:szCs w:val="44"/>
        </w:rPr>
        <w:t xml:space="preserve"> 部门概况</w:t>
      </w:r>
      <w:bookmarkEnd w:id="2"/>
    </w:p>
    <w:p>
      <w:pPr>
        <w:ind w:firstLine="640" w:firstLineChars="200"/>
        <w:rPr>
          <w:rFonts w:ascii="黑体" w:hAnsi="黑体" w:eastAsia="黑体"/>
          <w:sz w:val="32"/>
          <w:szCs w:val="32"/>
        </w:rPr>
      </w:pPr>
    </w:p>
    <w:p>
      <w:pPr>
        <w:ind w:firstLine="640" w:firstLineChars="200"/>
        <w:outlineLvl w:val="1"/>
        <w:rPr>
          <w:rFonts w:ascii="黑体" w:hAnsi="黑体" w:eastAsia="黑体"/>
          <w:sz w:val="32"/>
          <w:szCs w:val="32"/>
        </w:rPr>
      </w:pPr>
      <w:bookmarkStart w:id="3" w:name="_Toc20375"/>
      <w:r>
        <w:rPr>
          <w:rFonts w:hint="eastAsia" w:ascii="黑体" w:hAnsi="黑体" w:eastAsia="黑体"/>
          <w:sz w:val="32"/>
          <w:szCs w:val="32"/>
        </w:rPr>
        <w:t>一、部门职责</w:t>
      </w:r>
      <w:bookmarkEnd w:id="3"/>
    </w:p>
    <w:p>
      <w:pPr>
        <w:ind w:firstLine="640" w:firstLineChars="200"/>
        <w:rPr>
          <w:rStyle w:val="17"/>
          <w:rFonts w:ascii="仿宋_GB2312" w:hAnsi="Calibri" w:eastAsia="仿宋_GB2312"/>
          <w:b w:val="0"/>
          <w:bCs w:val="0"/>
        </w:rPr>
      </w:pPr>
      <w:r>
        <w:rPr>
          <w:rFonts w:hint="eastAsia" w:ascii="仿宋_GB2312" w:eastAsia="仿宋_GB2312"/>
          <w:sz w:val="32"/>
          <w:szCs w:val="32"/>
        </w:rPr>
        <w:t>广元市</w:t>
      </w:r>
      <w:r>
        <w:rPr>
          <w:rFonts w:ascii="仿宋_GB2312" w:eastAsia="仿宋_GB2312"/>
          <w:sz w:val="32"/>
          <w:szCs w:val="32"/>
        </w:rPr>
        <w:t>公安局</w:t>
      </w:r>
      <w:r>
        <w:rPr>
          <w:rFonts w:hint="eastAsia" w:ascii="仿宋_GB2312" w:eastAsia="仿宋_GB2312"/>
          <w:sz w:val="32"/>
          <w:szCs w:val="32"/>
        </w:rPr>
        <w:t>交通</w:t>
      </w:r>
      <w:r>
        <w:rPr>
          <w:rFonts w:ascii="仿宋_GB2312" w:eastAsia="仿宋_GB2312"/>
          <w:sz w:val="32"/>
          <w:szCs w:val="32"/>
        </w:rPr>
        <w:t>警察支队</w:t>
      </w:r>
      <w:r>
        <w:rPr>
          <w:rFonts w:hint="eastAsia" w:ascii="仿宋_GB2312" w:eastAsia="仿宋_GB2312"/>
          <w:sz w:val="32"/>
          <w:szCs w:val="32"/>
        </w:rPr>
        <w:t>一是负责全市20031公里道路（其中国道684公里、省道1337公里、县道3017公里、乡道2445公里、村道12155公里、专用道393公里）交通安全管理，纠正交通违章，维护交通秩序，处理突发事件，配合开展警卫工作。二是负责全市机动车及非机动车注册登记、核发牌证、过户、转籍等工作；三是负责全市机动车驾驶人考试及驾驶证的核发、补发等工作；四是负责交通事故责任认定、交通安全宣传以及参与道路交通管理工作规划。</w:t>
      </w:r>
    </w:p>
    <w:p>
      <w:pPr>
        <w:ind w:firstLine="640" w:firstLineChars="200"/>
        <w:outlineLvl w:val="1"/>
        <w:rPr>
          <w:rFonts w:ascii="黑体" w:hAnsi="黑体" w:eastAsia="黑体"/>
          <w:sz w:val="32"/>
          <w:szCs w:val="32"/>
        </w:rPr>
      </w:pPr>
      <w:bookmarkStart w:id="4" w:name="_Toc5743"/>
      <w:r>
        <w:rPr>
          <w:rFonts w:hint="eastAsia" w:ascii="黑体" w:hAnsi="黑体" w:eastAsia="黑体"/>
          <w:sz w:val="32"/>
          <w:szCs w:val="32"/>
        </w:rPr>
        <w:t>二、机构设置</w:t>
      </w:r>
      <w:bookmarkEnd w:id="4"/>
    </w:p>
    <w:p>
      <w:pPr>
        <w:ind w:firstLine="640" w:firstLineChars="200"/>
      </w:pPr>
      <w:r>
        <w:rPr>
          <w:rFonts w:hint="eastAsia" w:ascii="仿宋_GB2312" w:eastAsia="仿宋_GB2312"/>
          <w:sz w:val="32"/>
          <w:szCs w:val="32"/>
        </w:rPr>
        <w:t>交警支队下属二级预算单位0个，下设交警一大队、二大队、三大队、四大队、特勤大队和办公室、政工科、事故科、秩序科、宣法科、指挥中心、车管所、非机所等13个正科级单位；业务指导和监督苍溪、剑阁、旺苍、青川、元坝、朝天六个县区交警大队，本年机构情况无变化。</w:t>
      </w:r>
    </w:p>
    <w:p>
      <w:r>
        <w:t> </w:t>
      </w:r>
    </w:p>
    <w:p/>
    <w:p/>
    <w:p/>
    <w:p/>
    <w:p/>
    <w:p/>
    <w:p/>
    <w:p/>
    <w:p>
      <w:pPr>
        <w:jc w:val="center"/>
        <w:rPr>
          <w:rFonts w:ascii="黑体" w:hAnsi="黑体" w:eastAsia="黑体"/>
          <w:sz w:val="44"/>
          <w:szCs w:val="44"/>
        </w:rPr>
      </w:pPr>
    </w:p>
    <w:p>
      <w:pPr>
        <w:jc w:val="center"/>
        <w:outlineLvl w:val="0"/>
        <w:rPr>
          <w:rFonts w:ascii="黑体" w:hAnsi="黑体" w:eastAsia="黑体"/>
          <w:sz w:val="44"/>
          <w:szCs w:val="44"/>
        </w:rPr>
      </w:pPr>
      <w:bookmarkStart w:id="5" w:name="_Toc19820"/>
      <w:r>
        <w:rPr>
          <w:rFonts w:hint="eastAsia" w:ascii="黑体" w:hAnsi="黑体" w:eastAsia="黑体"/>
          <w:sz w:val="44"/>
          <w:szCs w:val="44"/>
        </w:rPr>
        <w:t>第二部分</w:t>
      </w:r>
      <w:r>
        <w:rPr>
          <w:rFonts w:ascii="黑体" w:hAnsi="黑体" w:eastAsia="黑体"/>
          <w:sz w:val="44"/>
          <w:szCs w:val="44"/>
        </w:rPr>
        <w:t xml:space="preserve"> 2023年度部门决算情况说明</w:t>
      </w:r>
      <w:bookmarkEnd w:id="5"/>
    </w:p>
    <w:p/>
    <w:p>
      <w:pPr>
        <w:ind w:firstLine="640" w:firstLineChars="200"/>
        <w:outlineLvl w:val="1"/>
        <w:rPr>
          <w:rFonts w:ascii="黑体" w:hAnsi="黑体" w:eastAsia="黑体"/>
          <w:sz w:val="32"/>
          <w:szCs w:val="32"/>
        </w:rPr>
      </w:pPr>
      <w:bookmarkStart w:id="6" w:name="_Toc10967"/>
      <w:r>
        <w:rPr>
          <w:rFonts w:hint="eastAsia" w:ascii="黑体" w:hAnsi="黑体" w:eastAsia="黑体"/>
          <w:sz w:val="32"/>
          <w:szCs w:val="32"/>
        </w:rPr>
        <w:t>一、</w:t>
      </w:r>
      <w:r>
        <w:rPr>
          <w:rFonts w:ascii="黑体" w:hAnsi="黑体" w:eastAsia="黑体"/>
          <w:sz w:val="32"/>
          <w:szCs w:val="32"/>
        </w:rPr>
        <w:t>收入支出决算总体情况说明</w:t>
      </w:r>
      <w:bookmarkEnd w:id="6"/>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114300" distR="114300" simplePos="0" relativeHeight="251660288" behindDoc="1" locked="0" layoutInCell="1" allowOverlap="1">
            <wp:simplePos x="0" y="0"/>
            <wp:positionH relativeFrom="margin">
              <wp:posOffset>266700</wp:posOffset>
            </wp:positionH>
            <wp:positionV relativeFrom="paragraph">
              <wp:posOffset>1786890</wp:posOffset>
            </wp:positionV>
            <wp:extent cx="5191125" cy="2524125"/>
            <wp:effectExtent l="0" t="0" r="9525" b="952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_GB2312" w:hAnsi="仿宋_GB2312" w:eastAsia="仿宋_GB2312" w:cs="仿宋_GB2312"/>
          <w:sz w:val="32"/>
          <w:szCs w:val="32"/>
        </w:rPr>
        <w:t>2023年度收、支总计均为</w:t>
      </w:r>
      <w:r>
        <w:rPr>
          <w:rFonts w:ascii="仿宋_GB2312" w:hAnsi="仿宋_GB2312" w:eastAsia="仿宋_GB2312" w:cs="仿宋_GB2312"/>
          <w:sz w:val="32"/>
          <w:szCs w:val="32"/>
        </w:rPr>
        <w:t>9685.7</w:t>
      </w:r>
      <w:r>
        <w:rPr>
          <w:rFonts w:hint="eastAsia" w:ascii="仿宋_GB2312" w:hAnsi="仿宋_GB2312" w:eastAsia="仿宋_GB2312" w:cs="仿宋_GB2312"/>
          <w:sz w:val="32"/>
          <w:szCs w:val="32"/>
        </w:rPr>
        <w:t>万元。与2022年度相比，收、支总计各增加</w:t>
      </w:r>
      <w:r>
        <w:rPr>
          <w:rFonts w:ascii="仿宋_GB2312" w:hAnsi="仿宋_GB2312" w:eastAsia="仿宋_GB2312" w:cs="仿宋_GB2312"/>
          <w:sz w:val="32"/>
          <w:szCs w:val="32"/>
        </w:rPr>
        <w:t>157.62</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1.65</w:t>
      </w:r>
      <w:r>
        <w:rPr>
          <w:rFonts w:hint="eastAsia" w:ascii="仿宋_GB2312" w:hAnsi="仿宋_GB2312" w:eastAsia="仿宋_GB2312" w:cs="仿宋_GB2312"/>
          <w:sz w:val="32"/>
          <w:szCs w:val="32"/>
        </w:rPr>
        <w:t>%。主要变动原因是上年度部分</w:t>
      </w:r>
      <w:r>
        <w:rPr>
          <w:rFonts w:ascii="仿宋_GB2312" w:hAnsi="仿宋_GB2312" w:eastAsia="仿宋_GB2312" w:cs="仿宋_GB2312"/>
          <w:sz w:val="32"/>
          <w:szCs w:val="32"/>
        </w:rPr>
        <w:t>项目因资金计划下达较迟，结转</w:t>
      </w:r>
      <w:r>
        <w:rPr>
          <w:rFonts w:hint="eastAsia" w:ascii="仿宋_GB2312" w:hAnsi="仿宋_GB2312" w:eastAsia="仿宋_GB2312" w:cs="仿宋_GB2312"/>
          <w:sz w:val="32"/>
          <w:szCs w:val="32"/>
        </w:rPr>
        <w:t>了部分</w:t>
      </w:r>
      <w:r>
        <w:rPr>
          <w:rFonts w:ascii="仿宋_GB2312" w:hAnsi="仿宋_GB2312" w:eastAsia="仿宋_GB2312" w:cs="仿宋_GB2312"/>
          <w:sz w:val="32"/>
          <w:szCs w:val="32"/>
        </w:rPr>
        <w:t>项目</w:t>
      </w:r>
      <w:r>
        <w:rPr>
          <w:rFonts w:hint="eastAsia" w:ascii="仿宋_GB2312" w:hAnsi="仿宋_GB2312" w:eastAsia="仿宋_GB2312" w:cs="仿宋_GB2312"/>
          <w:sz w:val="32"/>
          <w:szCs w:val="32"/>
        </w:rPr>
        <w:t>资金</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2023年，</w:t>
      </w:r>
      <w:r>
        <w:rPr>
          <w:rFonts w:ascii="仿宋_GB2312" w:hAnsi="仿宋_GB2312" w:eastAsia="仿宋_GB2312" w:cs="仿宋_GB2312"/>
          <w:sz w:val="32"/>
          <w:szCs w:val="32"/>
        </w:rPr>
        <w:t>结转资金全部为政府采购资金。</w:t>
      </w:r>
    </w:p>
    <w:p>
      <w:pPr>
        <w:jc w:val="center"/>
        <w:rPr>
          <w:rFonts w:ascii="仿宋_GB2312" w:eastAsia="仿宋_GB2312"/>
          <w:sz w:val="32"/>
          <w:szCs w:val="32"/>
        </w:rPr>
      </w:pPr>
      <w:r>
        <w:rPr>
          <w:rFonts w:hint="eastAsia" w:ascii="仿宋_GB2312" w:eastAsia="仿宋_GB2312"/>
          <w:sz w:val="32"/>
          <w:szCs w:val="32"/>
        </w:rPr>
        <w:t>（图1：收、支决算总计变动情况图）</w:t>
      </w:r>
    </w:p>
    <w:p/>
    <w:p>
      <w:pPr>
        <w:ind w:firstLine="640" w:firstLineChars="200"/>
        <w:outlineLvl w:val="1"/>
        <w:rPr>
          <w:rFonts w:ascii="黑体" w:hAnsi="黑体" w:eastAsia="黑体"/>
          <w:sz w:val="32"/>
          <w:szCs w:val="32"/>
        </w:rPr>
      </w:pPr>
      <w:bookmarkStart w:id="7" w:name="_Toc23711"/>
      <w:r>
        <w:rPr>
          <w:rFonts w:hint="eastAsia" w:ascii="黑体" w:hAnsi="黑体" w:eastAsia="黑体"/>
          <w:sz w:val="32"/>
          <w:szCs w:val="32"/>
        </w:rPr>
        <w:t>二、</w:t>
      </w:r>
      <w:r>
        <w:rPr>
          <w:rFonts w:ascii="黑体" w:hAnsi="黑体" w:eastAsia="黑体"/>
          <w:sz w:val="32"/>
          <w:szCs w:val="32"/>
        </w:rPr>
        <w:t>收入决算情况说明</w:t>
      </w:r>
      <w:bookmarkEnd w:id="7"/>
    </w:p>
    <w:p>
      <w:pPr>
        <w:ind w:firstLine="640" w:firstLineChars="200"/>
        <w:rPr>
          <w:rFonts w:ascii="仿宋_GB2312" w:eastAsia="仿宋_GB2312"/>
          <w:sz w:val="32"/>
          <w:szCs w:val="32"/>
        </w:rPr>
      </w:pPr>
      <w:r>
        <w:rPr>
          <w:rFonts w:hint="eastAsia" w:ascii="仿宋_GB2312" w:eastAsia="仿宋_GB2312"/>
          <w:sz w:val="32"/>
          <w:szCs w:val="32"/>
        </w:rPr>
        <w:t>2023年度本年收入合计9454.09万元，其中：一般公共预算财政拨款收入</w:t>
      </w:r>
      <w:r>
        <w:rPr>
          <w:rFonts w:ascii="仿宋_GB2312" w:eastAsia="仿宋_GB2312"/>
          <w:sz w:val="32"/>
          <w:szCs w:val="32"/>
        </w:rPr>
        <w:t>9217.24</w:t>
      </w:r>
      <w:r>
        <w:rPr>
          <w:rFonts w:hint="eastAsia" w:ascii="仿宋_GB2312" w:eastAsia="仿宋_GB2312"/>
          <w:sz w:val="32"/>
          <w:szCs w:val="32"/>
        </w:rPr>
        <w:t>万元，占</w:t>
      </w:r>
      <w:r>
        <w:rPr>
          <w:rFonts w:ascii="仿宋_GB2312" w:eastAsia="仿宋_GB2312"/>
          <w:sz w:val="32"/>
          <w:szCs w:val="32"/>
        </w:rPr>
        <w:t>97.49</w:t>
      </w:r>
      <w:r>
        <w:rPr>
          <w:rFonts w:hint="eastAsia" w:ascii="仿宋_GB2312" w:eastAsia="仿宋_GB2312"/>
          <w:sz w:val="32"/>
          <w:szCs w:val="32"/>
        </w:rPr>
        <w:t>%；政府性基金预算财政拨款收入</w:t>
      </w:r>
      <w:r>
        <w:rPr>
          <w:rFonts w:ascii="仿宋_GB2312" w:eastAsia="仿宋_GB2312"/>
          <w:sz w:val="32"/>
          <w:szCs w:val="32"/>
        </w:rPr>
        <w:t>202.73</w:t>
      </w:r>
      <w:r>
        <w:rPr>
          <w:rFonts w:hint="eastAsia" w:ascii="仿宋_GB2312" w:eastAsia="仿宋_GB2312"/>
          <w:sz w:val="32"/>
          <w:szCs w:val="32"/>
        </w:rPr>
        <w:t>万元，占</w:t>
      </w:r>
      <w:r>
        <w:rPr>
          <w:rFonts w:ascii="仿宋_GB2312" w:eastAsia="仿宋_GB2312"/>
          <w:sz w:val="32"/>
          <w:szCs w:val="32"/>
        </w:rPr>
        <w:t>2.15</w:t>
      </w:r>
      <w:r>
        <w:rPr>
          <w:rFonts w:hint="eastAsia" w:ascii="仿宋_GB2312" w:eastAsia="仿宋_GB2312"/>
          <w:sz w:val="32"/>
          <w:szCs w:val="32"/>
        </w:rPr>
        <w:t>%；其他收入</w:t>
      </w:r>
      <w:r>
        <w:rPr>
          <w:rFonts w:ascii="仿宋_GB2312" w:eastAsia="仿宋_GB2312"/>
          <w:sz w:val="32"/>
          <w:szCs w:val="32"/>
        </w:rPr>
        <w:t>34.12</w:t>
      </w:r>
      <w:r>
        <w:rPr>
          <w:rFonts w:hint="eastAsia" w:ascii="仿宋_GB2312" w:eastAsia="仿宋_GB2312"/>
          <w:sz w:val="32"/>
          <w:szCs w:val="32"/>
        </w:rPr>
        <w:t>万元，占</w:t>
      </w:r>
      <w:r>
        <w:rPr>
          <w:rFonts w:ascii="仿宋_GB2312" w:eastAsia="仿宋_GB2312"/>
          <w:sz w:val="32"/>
          <w:szCs w:val="32"/>
        </w:rPr>
        <w:t>0.36</w:t>
      </w:r>
      <w:r>
        <w:rPr>
          <w:rFonts w:hint="eastAsia" w:ascii="仿宋_GB2312" w:eastAsia="仿宋_GB2312"/>
          <w:sz w:val="32"/>
          <w:szCs w:val="32"/>
        </w:rPr>
        <w:t>%。</w:t>
      </w:r>
    </w:p>
    <w:p>
      <w:pPr>
        <w:rPr>
          <w:rFonts w:ascii="仿宋_GB2312" w:eastAsia="仿宋_GB2312"/>
          <w:sz w:val="32"/>
          <w:szCs w:val="32"/>
        </w:rPr>
      </w:pPr>
    </w:p>
    <w:p>
      <w:pPr>
        <w:rPr>
          <w:rFonts w:ascii="仿宋_GB2312" w:eastAsia="仿宋_GB2312"/>
          <w:sz w:val="32"/>
          <w:szCs w:val="32"/>
        </w:rPr>
      </w:pPr>
      <w:r>
        <w:rPr>
          <w:rFonts w:ascii="仿宋_GB2312" w:eastAsia="仿宋_GB2312"/>
          <w:sz w:val="32"/>
          <w:szCs w:val="32"/>
        </w:rPr>
        <w:drawing>
          <wp:inline distT="0" distB="0" distL="0" distR="0">
            <wp:extent cx="5514975" cy="2409825"/>
            <wp:effectExtent l="0" t="0" r="9525"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jc w:val="center"/>
        <w:rPr>
          <w:rFonts w:ascii="仿宋_GB2312" w:eastAsia="仿宋_GB2312"/>
          <w:sz w:val="32"/>
          <w:szCs w:val="32"/>
        </w:rPr>
      </w:pPr>
      <w:r>
        <w:rPr>
          <w:rFonts w:hint="eastAsia" w:ascii="仿宋_GB2312" w:eastAsia="仿宋_GB2312"/>
          <w:sz w:val="32"/>
          <w:szCs w:val="32"/>
        </w:rPr>
        <w:t>（图2：收入决算结构图）</w:t>
      </w:r>
    </w:p>
    <w:p>
      <w:pPr>
        <w:ind w:firstLine="640" w:firstLineChars="200"/>
        <w:outlineLvl w:val="1"/>
        <w:rPr>
          <w:rFonts w:ascii="黑体" w:hAnsi="黑体" w:eastAsia="黑体"/>
          <w:sz w:val="32"/>
          <w:szCs w:val="32"/>
        </w:rPr>
      </w:pPr>
      <w:bookmarkStart w:id="8" w:name="_Toc13726"/>
      <w:r>
        <w:rPr>
          <w:rFonts w:hint="eastAsia" w:ascii="黑体" w:hAnsi="黑体" w:eastAsia="黑体"/>
          <w:sz w:val="32"/>
          <w:szCs w:val="32"/>
        </w:rPr>
        <w:t>三、支出决算情况说明</w:t>
      </w:r>
      <w:bookmarkEnd w:id="8"/>
    </w:p>
    <w:p>
      <w:pPr>
        <w:ind w:firstLine="640" w:firstLineChars="200"/>
        <w:rPr>
          <w:rFonts w:ascii="仿宋_GB2312" w:eastAsia="仿宋_GB2312"/>
          <w:sz w:val="32"/>
          <w:szCs w:val="32"/>
        </w:rPr>
      </w:pPr>
      <w:r>
        <w:rPr>
          <w:rFonts w:hint="eastAsia" w:ascii="仿宋_GB2312" w:eastAsia="仿宋_GB2312"/>
          <w:sz w:val="32"/>
          <w:szCs w:val="32"/>
        </w:rPr>
        <w:t>2023年度本年支出合计</w:t>
      </w:r>
      <w:r>
        <w:rPr>
          <w:rFonts w:ascii="仿宋_GB2312" w:eastAsia="仿宋_GB2312"/>
          <w:sz w:val="32"/>
          <w:szCs w:val="32"/>
        </w:rPr>
        <w:t>9459.98</w:t>
      </w:r>
      <w:r>
        <w:rPr>
          <w:rFonts w:hint="eastAsia" w:ascii="仿宋_GB2312" w:eastAsia="仿宋_GB2312"/>
          <w:sz w:val="32"/>
          <w:szCs w:val="32"/>
        </w:rPr>
        <w:t>万元，其中：基本支出</w:t>
      </w:r>
      <w:r>
        <w:rPr>
          <w:rFonts w:ascii="仿宋_GB2312" w:eastAsia="仿宋_GB2312"/>
          <w:sz w:val="32"/>
          <w:szCs w:val="32"/>
        </w:rPr>
        <w:t>8155.83</w:t>
      </w:r>
      <w:r>
        <w:rPr>
          <w:rFonts w:hint="eastAsia" w:ascii="仿宋_GB2312" w:eastAsia="仿宋_GB2312"/>
          <w:sz w:val="32"/>
          <w:szCs w:val="32"/>
        </w:rPr>
        <w:t>万元，占</w:t>
      </w:r>
      <w:r>
        <w:rPr>
          <w:rFonts w:ascii="仿宋_GB2312" w:eastAsia="仿宋_GB2312"/>
          <w:sz w:val="32"/>
          <w:szCs w:val="32"/>
        </w:rPr>
        <w:t>86.21</w:t>
      </w:r>
      <w:r>
        <w:rPr>
          <w:rFonts w:hint="eastAsia" w:ascii="仿宋_GB2312" w:eastAsia="仿宋_GB2312"/>
          <w:sz w:val="32"/>
          <w:szCs w:val="32"/>
        </w:rPr>
        <w:t>%；项目支出</w:t>
      </w:r>
      <w:r>
        <w:rPr>
          <w:rFonts w:ascii="仿宋_GB2312" w:eastAsia="仿宋_GB2312"/>
          <w:sz w:val="32"/>
          <w:szCs w:val="32"/>
        </w:rPr>
        <w:t>1304.15</w:t>
      </w:r>
      <w:r>
        <w:rPr>
          <w:rFonts w:hint="eastAsia" w:ascii="仿宋_GB2312" w:eastAsia="仿宋_GB2312"/>
          <w:sz w:val="32"/>
          <w:szCs w:val="32"/>
        </w:rPr>
        <w:t>万元，占</w:t>
      </w:r>
      <w:r>
        <w:rPr>
          <w:rFonts w:ascii="仿宋_GB2312" w:eastAsia="仿宋_GB2312"/>
          <w:sz w:val="32"/>
          <w:szCs w:val="32"/>
        </w:rPr>
        <w:t>13.79</w:t>
      </w:r>
      <w:r>
        <w:rPr>
          <w:rFonts w:hint="eastAsia" w:ascii="仿宋_GB2312" w:eastAsia="仿宋_GB2312"/>
          <w:sz w:val="32"/>
          <w:szCs w:val="32"/>
        </w:rPr>
        <w:t>%。</w:t>
      </w:r>
    </w:p>
    <w:p>
      <w:pPr>
        <w:rPr>
          <w:rFonts w:ascii="仿宋_GB2312" w:eastAsia="仿宋_GB2312"/>
          <w:sz w:val="32"/>
          <w:szCs w:val="32"/>
        </w:rPr>
      </w:pPr>
      <w:r>
        <w:rPr>
          <w:rFonts w:ascii="仿宋_GB2312" w:eastAsia="仿宋_GB2312"/>
          <w:sz w:val="32"/>
          <w:szCs w:val="32"/>
        </w:rPr>
        <w:drawing>
          <wp:inline distT="0" distB="0" distL="0" distR="0">
            <wp:extent cx="5553075" cy="2295525"/>
            <wp:effectExtent l="0" t="0" r="9525"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center"/>
        <w:rPr>
          <w:rFonts w:ascii="仿宋_GB2312" w:eastAsia="仿宋_GB2312"/>
          <w:sz w:val="32"/>
          <w:szCs w:val="32"/>
        </w:rPr>
      </w:pPr>
      <w:r>
        <w:rPr>
          <w:rFonts w:hint="eastAsia" w:ascii="仿宋_GB2312" w:eastAsia="仿宋_GB2312"/>
          <w:sz w:val="32"/>
          <w:szCs w:val="32"/>
        </w:rPr>
        <w:t>（图3：支出决算结构图）</w:t>
      </w:r>
    </w:p>
    <w:p>
      <w:pPr>
        <w:ind w:firstLine="640" w:firstLineChars="200"/>
        <w:outlineLvl w:val="1"/>
        <w:rPr>
          <w:rFonts w:ascii="黑体" w:hAnsi="黑体" w:eastAsia="黑体"/>
          <w:sz w:val="32"/>
          <w:szCs w:val="32"/>
        </w:rPr>
      </w:pPr>
      <w:bookmarkStart w:id="9" w:name="_Toc14924"/>
      <w:r>
        <w:rPr>
          <w:rFonts w:hint="eastAsia" w:ascii="黑体" w:hAnsi="黑体" w:eastAsia="黑体"/>
          <w:sz w:val="32"/>
          <w:szCs w:val="32"/>
        </w:rPr>
        <w:t>四、财政拨款收入支出决算总体情况说明</w:t>
      </w:r>
      <w:bookmarkEnd w:id="9"/>
    </w:p>
    <w:p>
      <w:pPr>
        <w:ind w:firstLine="640" w:firstLineChars="200"/>
        <w:rPr>
          <w:rFonts w:ascii="仿宋_GB2312" w:hAnsi="仿宋_GB2312" w:eastAsia="仿宋_GB2312" w:cs="仿宋_GB2312"/>
          <w:sz w:val="32"/>
          <w:szCs w:val="32"/>
        </w:rPr>
      </w:pPr>
      <w:r>
        <w:rPr>
          <w:rFonts w:hint="eastAsia" w:ascii="仿宋_GB2312" w:eastAsia="仿宋_GB2312"/>
          <w:sz w:val="32"/>
          <w:szCs w:val="32"/>
        </w:rPr>
        <w:t>2023年度财政拨款收、支总计均为</w:t>
      </w:r>
      <w:r>
        <w:rPr>
          <w:rFonts w:ascii="仿宋_GB2312" w:eastAsia="仿宋_GB2312"/>
          <w:sz w:val="32"/>
          <w:szCs w:val="32"/>
        </w:rPr>
        <w:t>9651.58</w:t>
      </w:r>
      <w:r>
        <w:rPr>
          <w:rFonts w:hint="eastAsia" w:ascii="仿宋_GB2312" w:eastAsia="仿宋_GB2312"/>
          <w:sz w:val="32"/>
          <w:szCs w:val="32"/>
        </w:rPr>
        <w:t>万元。与2022年度相比，财政拨款收、支总计各增加134.37万元，增长</w:t>
      </w:r>
      <w:r>
        <w:rPr>
          <w:rFonts w:ascii="仿宋_GB2312" w:eastAsia="仿宋_GB2312"/>
          <w:sz w:val="32"/>
          <w:szCs w:val="32"/>
        </w:rPr>
        <w:t>1.41</w:t>
      </w:r>
      <w:r>
        <w:rPr>
          <w:rFonts w:hint="eastAsia" w:ascii="仿宋_GB2312" w:eastAsia="仿宋_GB2312"/>
          <w:sz w:val="32"/>
          <w:szCs w:val="32"/>
        </w:rPr>
        <w:t>%。主要变动原因是</w:t>
      </w:r>
      <w:r>
        <w:rPr>
          <w:rFonts w:hint="eastAsia" w:ascii="仿宋_GB2312" w:hAnsi="仿宋_GB2312" w:eastAsia="仿宋_GB2312" w:cs="仿宋_GB2312"/>
          <w:sz w:val="32"/>
          <w:szCs w:val="32"/>
        </w:rPr>
        <w:t>上年度部分</w:t>
      </w:r>
      <w:r>
        <w:rPr>
          <w:rFonts w:ascii="仿宋_GB2312" w:hAnsi="仿宋_GB2312" w:eastAsia="仿宋_GB2312" w:cs="仿宋_GB2312"/>
          <w:sz w:val="32"/>
          <w:szCs w:val="32"/>
        </w:rPr>
        <w:t>项目因资金计划下达较迟，结转</w:t>
      </w:r>
      <w:r>
        <w:rPr>
          <w:rFonts w:hint="eastAsia" w:ascii="仿宋_GB2312" w:hAnsi="仿宋_GB2312" w:eastAsia="仿宋_GB2312" w:cs="仿宋_GB2312"/>
          <w:sz w:val="32"/>
          <w:szCs w:val="32"/>
        </w:rPr>
        <w:t>了部分</w:t>
      </w:r>
      <w:r>
        <w:rPr>
          <w:rFonts w:ascii="仿宋_GB2312" w:hAnsi="仿宋_GB2312" w:eastAsia="仿宋_GB2312" w:cs="仿宋_GB2312"/>
          <w:sz w:val="32"/>
          <w:szCs w:val="32"/>
        </w:rPr>
        <w:t>项目</w:t>
      </w:r>
      <w:r>
        <w:rPr>
          <w:rFonts w:hint="eastAsia" w:ascii="仿宋_GB2312" w:hAnsi="仿宋_GB2312" w:eastAsia="仿宋_GB2312" w:cs="仿宋_GB2312"/>
          <w:sz w:val="32"/>
          <w:szCs w:val="32"/>
        </w:rPr>
        <w:t>资金</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2023年</w:t>
      </w:r>
      <w:r>
        <w:rPr>
          <w:rFonts w:ascii="仿宋_GB2312" w:hAnsi="仿宋_GB2312" w:eastAsia="仿宋_GB2312" w:cs="仿宋_GB2312"/>
          <w:sz w:val="32"/>
          <w:szCs w:val="32"/>
        </w:rPr>
        <w:t>。</w:t>
      </w:r>
    </w:p>
    <w:p>
      <w:pPr>
        <w:rPr>
          <w:rFonts w:ascii="仿宋_GB2312" w:eastAsia="仿宋_GB2312"/>
          <w:sz w:val="32"/>
          <w:szCs w:val="32"/>
        </w:rPr>
      </w:pPr>
      <w:r>
        <w:rPr>
          <w:rFonts w:ascii="仿宋_GB2312" w:eastAsia="仿宋_GB2312"/>
          <w:sz w:val="32"/>
          <w:szCs w:val="32"/>
        </w:rPr>
        <w:drawing>
          <wp:inline distT="0" distB="0" distL="0" distR="0">
            <wp:extent cx="5581650" cy="220980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ascii="仿宋_GB2312" w:eastAsia="仿宋_GB2312"/>
          <w:sz w:val="32"/>
          <w:szCs w:val="32"/>
        </w:rPr>
      </w:pPr>
      <w:r>
        <w:rPr>
          <w:rFonts w:hint="eastAsia" w:ascii="仿宋_GB2312" w:eastAsia="仿宋_GB2312"/>
          <w:sz w:val="32"/>
          <w:szCs w:val="32"/>
        </w:rPr>
        <w:t>（图4：财政拨款收、支决算总计变动情况）</w:t>
      </w:r>
    </w:p>
    <w:p>
      <w:pPr>
        <w:ind w:firstLine="640" w:firstLineChars="200"/>
        <w:outlineLvl w:val="1"/>
        <w:rPr>
          <w:rFonts w:ascii="黑体" w:hAnsi="黑体" w:eastAsia="黑体"/>
          <w:sz w:val="32"/>
          <w:szCs w:val="32"/>
        </w:rPr>
      </w:pPr>
      <w:bookmarkStart w:id="10" w:name="_Toc11569"/>
      <w:r>
        <w:rPr>
          <w:rFonts w:hint="eastAsia" w:ascii="黑体" w:hAnsi="黑体" w:eastAsia="黑体"/>
          <w:sz w:val="32"/>
          <w:szCs w:val="32"/>
        </w:rPr>
        <w:t>五、一般公共预算财政拨款支出决算情况说明</w:t>
      </w:r>
      <w:bookmarkEnd w:id="10"/>
    </w:p>
    <w:p>
      <w:pPr>
        <w:ind w:firstLine="640" w:firstLineChars="200"/>
        <w:rPr>
          <w:rFonts w:ascii="楷体_GB2312" w:eastAsia="楷体_GB2312"/>
          <w:sz w:val="32"/>
          <w:szCs w:val="32"/>
        </w:rPr>
      </w:pPr>
      <w:r>
        <w:rPr>
          <w:rFonts w:hint="eastAsia" w:ascii="楷体_GB2312" w:eastAsia="楷体_GB2312"/>
          <w:sz w:val="32"/>
          <w:szCs w:val="32"/>
        </w:rPr>
        <w:t>（一）一般公共预算财政拨款支出决算总体情况</w:t>
      </w:r>
    </w:p>
    <w:p>
      <w:pPr>
        <w:ind w:firstLine="640" w:firstLineChars="200"/>
        <w:rPr>
          <w:rFonts w:ascii="仿宋_GB2312" w:hAnsi="仿宋_GB2312" w:eastAsia="仿宋_GB2312" w:cs="仿宋_GB2312"/>
          <w:sz w:val="32"/>
          <w:szCs w:val="32"/>
        </w:rPr>
      </w:pPr>
      <w:r>
        <w:rPr>
          <w:rFonts w:hint="eastAsia" w:ascii="仿宋_GB2312" w:eastAsia="仿宋_GB2312"/>
          <w:sz w:val="32"/>
          <w:szCs w:val="32"/>
        </w:rPr>
        <w:t>2023年度一般公共预算财政拨款支出</w:t>
      </w:r>
      <w:r>
        <w:rPr>
          <w:rFonts w:ascii="仿宋_GB2312" w:eastAsia="仿宋_GB2312"/>
          <w:sz w:val="32"/>
          <w:szCs w:val="32"/>
        </w:rPr>
        <w:t>9223.12</w:t>
      </w:r>
      <w:r>
        <w:rPr>
          <w:rFonts w:hint="eastAsia" w:ascii="仿宋_GB2312" w:eastAsia="仿宋_GB2312"/>
          <w:sz w:val="32"/>
          <w:szCs w:val="32"/>
        </w:rPr>
        <w:t>万元，占本年支出合计的</w:t>
      </w:r>
      <w:r>
        <w:rPr>
          <w:rFonts w:ascii="仿宋_GB2312" w:eastAsia="仿宋_GB2312"/>
          <w:sz w:val="32"/>
          <w:szCs w:val="32"/>
        </w:rPr>
        <w:t>97.5</w:t>
      </w:r>
      <w:r>
        <w:rPr>
          <w:rFonts w:hint="eastAsia" w:ascii="仿宋_GB2312" w:eastAsia="仿宋_GB2312"/>
          <w:sz w:val="32"/>
          <w:szCs w:val="32"/>
        </w:rPr>
        <w:t>%。与2022年度相比，一般公共预算财政拨款支出增加</w:t>
      </w:r>
      <w:r>
        <w:rPr>
          <w:rFonts w:ascii="仿宋_GB2312" w:eastAsia="仿宋_GB2312"/>
          <w:sz w:val="32"/>
          <w:szCs w:val="32"/>
        </w:rPr>
        <w:t>234.79</w:t>
      </w:r>
      <w:r>
        <w:rPr>
          <w:rFonts w:hint="eastAsia" w:ascii="仿宋_GB2312" w:eastAsia="仿宋_GB2312"/>
          <w:sz w:val="32"/>
          <w:szCs w:val="32"/>
        </w:rPr>
        <w:t>万元，增长2.61%。主要变动原因是</w:t>
      </w:r>
      <w:r>
        <w:rPr>
          <w:rFonts w:hint="eastAsia" w:ascii="仿宋_GB2312" w:hAnsi="仿宋_GB2312" w:eastAsia="仿宋_GB2312" w:cs="仿宋_GB2312"/>
          <w:sz w:val="32"/>
          <w:szCs w:val="32"/>
        </w:rPr>
        <w:t>上年度部分</w:t>
      </w:r>
      <w:r>
        <w:rPr>
          <w:rFonts w:ascii="仿宋_GB2312" w:hAnsi="仿宋_GB2312" w:eastAsia="仿宋_GB2312" w:cs="仿宋_GB2312"/>
          <w:sz w:val="32"/>
          <w:szCs w:val="32"/>
        </w:rPr>
        <w:t>项目因资金计划下达较迟，结转</w:t>
      </w:r>
      <w:r>
        <w:rPr>
          <w:rFonts w:hint="eastAsia" w:ascii="仿宋_GB2312" w:hAnsi="仿宋_GB2312" w:eastAsia="仿宋_GB2312" w:cs="仿宋_GB2312"/>
          <w:sz w:val="32"/>
          <w:szCs w:val="32"/>
        </w:rPr>
        <w:t>了部分</w:t>
      </w:r>
      <w:r>
        <w:rPr>
          <w:rFonts w:ascii="仿宋_GB2312" w:hAnsi="仿宋_GB2312" w:eastAsia="仿宋_GB2312" w:cs="仿宋_GB2312"/>
          <w:sz w:val="32"/>
          <w:szCs w:val="32"/>
        </w:rPr>
        <w:t>项目</w:t>
      </w:r>
      <w:r>
        <w:rPr>
          <w:rFonts w:hint="eastAsia" w:ascii="仿宋_GB2312" w:hAnsi="仿宋_GB2312" w:eastAsia="仿宋_GB2312" w:cs="仿宋_GB2312"/>
          <w:sz w:val="32"/>
          <w:szCs w:val="32"/>
        </w:rPr>
        <w:t>资金</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2023年</w:t>
      </w:r>
      <w:r>
        <w:rPr>
          <w:rFonts w:ascii="仿宋_GB2312" w:hAnsi="仿宋_GB2312" w:eastAsia="仿宋_GB2312" w:cs="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drawing>
          <wp:inline distT="0" distB="0" distL="0" distR="0">
            <wp:extent cx="5274310" cy="2266950"/>
            <wp:effectExtent l="0" t="0" r="254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ascii="仿宋_GB2312" w:eastAsia="仿宋_GB2312"/>
          <w:sz w:val="32"/>
          <w:szCs w:val="32"/>
        </w:rPr>
      </w:pPr>
      <w:r>
        <w:rPr>
          <w:rFonts w:hint="eastAsia" w:ascii="仿宋_GB2312" w:eastAsia="仿宋_GB2312"/>
          <w:sz w:val="32"/>
          <w:szCs w:val="32"/>
        </w:rPr>
        <w:t>（图5：一般公共预算财政拨款支出决算变动情况）</w:t>
      </w:r>
    </w:p>
    <w:p>
      <w:pPr>
        <w:ind w:firstLine="640" w:firstLineChars="200"/>
        <w:rPr>
          <w:rFonts w:ascii="楷体_GB2312" w:eastAsia="楷体_GB2312"/>
          <w:sz w:val="32"/>
          <w:szCs w:val="32"/>
        </w:rPr>
      </w:pPr>
      <w:r>
        <w:rPr>
          <w:rFonts w:hint="eastAsia" w:ascii="楷体_GB2312" w:eastAsia="楷体_GB2312"/>
          <w:sz w:val="32"/>
          <w:szCs w:val="32"/>
        </w:rPr>
        <w:t>（二）一般公共预算财政拨款支出决算结构情况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w:t>
      </w:r>
      <w:r>
        <w:rPr>
          <w:rFonts w:ascii="仿宋_GB2312" w:eastAsia="仿宋_GB2312"/>
          <w:sz w:val="32"/>
          <w:szCs w:val="32"/>
        </w:rPr>
        <w:t>9223.12</w:t>
      </w:r>
      <w:r>
        <w:rPr>
          <w:rFonts w:hint="eastAsia" w:ascii="仿宋_GB2312" w:eastAsia="仿宋_GB2312"/>
          <w:sz w:val="32"/>
          <w:szCs w:val="32"/>
        </w:rPr>
        <w:t>万元，主要用于以下方面： 公共安全支出</w:t>
      </w:r>
      <w:r>
        <w:rPr>
          <w:rFonts w:ascii="仿宋_GB2312" w:eastAsia="仿宋_GB2312"/>
          <w:sz w:val="32"/>
          <w:szCs w:val="32"/>
        </w:rPr>
        <w:t>8067.58</w:t>
      </w:r>
      <w:r>
        <w:rPr>
          <w:rFonts w:hint="eastAsia" w:ascii="仿宋_GB2312" w:hAnsi="仿宋" w:eastAsia="仿宋_GB2312"/>
          <w:sz w:val="32"/>
          <w:szCs w:val="32"/>
        </w:rPr>
        <w:t>万元，占</w:t>
      </w:r>
      <w:r>
        <w:rPr>
          <w:rFonts w:ascii="仿宋_GB2312" w:hAnsi="仿宋" w:eastAsia="仿宋_GB2312"/>
          <w:sz w:val="32"/>
          <w:szCs w:val="32"/>
        </w:rPr>
        <w:t>87.47</w:t>
      </w:r>
      <w:r>
        <w:rPr>
          <w:rFonts w:hint="eastAsia" w:ascii="仿宋_GB2312" w:hAnsi="仿宋" w:eastAsia="仿宋_GB2312"/>
          <w:sz w:val="32"/>
          <w:szCs w:val="32"/>
        </w:rPr>
        <w:t>%；</w:t>
      </w:r>
      <w:r>
        <w:rPr>
          <w:rFonts w:hint="eastAsia" w:ascii="仿宋_GB2312" w:eastAsia="仿宋_GB2312"/>
          <w:sz w:val="32"/>
          <w:szCs w:val="32"/>
        </w:rPr>
        <w:t>社会保障和就业支出</w:t>
      </w:r>
      <w:r>
        <w:rPr>
          <w:rFonts w:ascii="仿宋_GB2312" w:eastAsia="仿宋_GB2312"/>
          <w:sz w:val="32"/>
          <w:szCs w:val="32"/>
        </w:rPr>
        <w:t>561.41</w:t>
      </w:r>
      <w:r>
        <w:rPr>
          <w:rFonts w:hint="eastAsia" w:ascii="仿宋_GB2312" w:hAnsi="仿宋" w:eastAsia="仿宋_GB2312"/>
          <w:sz w:val="32"/>
          <w:szCs w:val="32"/>
        </w:rPr>
        <w:t>万元，占</w:t>
      </w:r>
      <w:r>
        <w:rPr>
          <w:rFonts w:ascii="仿宋_GB2312" w:hAnsi="仿宋" w:eastAsia="仿宋_GB2312"/>
          <w:sz w:val="32"/>
          <w:szCs w:val="32"/>
        </w:rPr>
        <w:t>6.09</w:t>
      </w:r>
      <w:r>
        <w:rPr>
          <w:rFonts w:hint="eastAsia" w:ascii="仿宋_GB2312" w:hAnsi="仿宋" w:eastAsia="仿宋_GB2312"/>
          <w:sz w:val="32"/>
          <w:szCs w:val="32"/>
        </w:rPr>
        <w:t>%；</w:t>
      </w:r>
      <w:r>
        <w:rPr>
          <w:rFonts w:hint="eastAsia" w:ascii="仿宋_GB2312" w:eastAsia="仿宋_GB2312"/>
          <w:sz w:val="32"/>
          <w:szCs w:val="32"/>
        </w:rPr>
        <w:t>卫生健康支出</w:t>
      </w:r>
      <w:r>
        <w:rPr>
          <w:rFonts w:ascii="仿宋_GB2312" w:eastAsia="仿宋_GB2312"/>
          <w:sz w:val="32"/>
          <w:szCs w:val="32"/>
        </w:rPr>
        <w:t>192.29</w:t>
      </w:r>
      <w:r>
        <w:rPr>
          <w:rFonts w:hint="eastAsia" w:ascii="仿宋_GB2312" w:hAnsi="仿宋" w:eastAsia="仿宋_GB2312"/>
          <w:sz w:val="32"/>
          <w:szCs w:val="32"/>
        </w:rPr>
        <w:t>万元，占</w:t>
      </w:r>
      <w:r>
        <w:rPr>
          <w:rFonts w:ascii="仿宋_GB2312" w:hAnsi="仿宋" w:eastAsia="仿宋_GB2312"/>
          <w:sz w:val="32"/>
          <w:szCs w:val="32"/>
        </w:rPr>
        <w:t>2.08</w:t>
      </w:r>
      <w:r>
        <w:rPr>
          <w:rFonts w:hint="eastAsia" w:ascii="仿宋_GB2312" w:hAnsi="仿宋" w:eastAsia="仿宋_GB2312"/>
          <w:sz w:val="32"/>
          <w:szCs w:val="32"/>
        </w:rPr>
        <w:t>%；</w:t>
      </w:r>
      <w:r>
        <w:rPr>
          <w:rFonts w:hint="eastAsia" w:ascii="仿宋_GB2312" w:eastAsia="仿宋_GB2312"/>
          <w:sz w:val="32"/>
          <w:szCs w:val="32"/>
        </w:rPr>
        <w:t>住房保障支出</w:t>
      </w:r>
      <w:r>
        <w:rPr>
          <w:rFonts w:ascii="仿宋_GB2312" w:eastAsia="仿宋_GB2312"/>
          <w:sz w:val="32"/>
          <w:szCs w:val="32"/>
        </w:rPr>
        <w:t>401.84</w:t>
      </w:r>
      <w:r>
        <w:rPr>
          <w:rFonts w:hint="eastAsia" w:ascii="仿宋_GB2312" w:hAnsi="仿宋" w:eastAsia="仿宋_GB2312"/>
          <w:bCs/>
          <w:sz w:val="32"/>
          <w:szCs w:val="32"/>
        </w:rPr>
        <w:t>万元，占</w:t>
      </w:r>
      <w:r>
        <w:rPr>
          <w:rFonts w:ascii="仿宋_GB2312" w:hAnsi="仿宋" w:eastAsia="仿宋_GB2312"/>
          <w:bCs/>
          <w:sz w:val="32"/>
          <w:szCs w:val="32"/>
        </w:rPr>
        <w:t>4.36</w:t>
      </w:r>
      <w:r>
        <w:rPr>
          <w:rFonts w:hint="eastAsia" w:ascii="仿宋_GB2312" w:hAnsi="仿宋" w:eastAsia="仿宋_GB2312"/>
          <w:bCs/>
          <w:sz w:val="32"/>
          <w:szCs w:val="32"/>
        </w:rPr>
        <w:t>%</w:t>
      </w:r>
      <w:r>
        <w:rPr>
          <w:rFonts w:hint="eastAsia" w:ascii="仿宋_GB2312" w:hAnsi="仿宋" w:eastAsia="仿宋_GB2312"/>
          <w:sz w:val="32"/>
          <w:szCs w:val="32"/>
        </w:rPr>
        <w:t>。</w:t>
      </w:r>
    </w:p>
    <w:p>
      <w:pPr>
        <w:rPr>
          <w:rFonts w:ascii="仿宋_GB2312" w:eastAsia="仿宋_GB2312"/>
          <w:sz w:val="32"/>
          <w:szCs w:val="32"/>
        </w:rPr>
      </w:pPr>
      <w:r>
        <w:rPr>
          <w:rFonts w:ascii="仿宋_GB2312" w:eastAsia="仿宋_GB2312"/>
          <w:sz w:val="32"/>
          <w:szCs w:val="32"/>
        </w:rPr>
        <w:drawing>
          <wp:inline distT="0" distB="0" distL="0" distR="0">
            <wp:extent cx="5753100" cy="281940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ascii="仿宋_GB2312" w:eastAsia="仿宋_GB2312"/>
          <w:sz w:val="32"/>
          <w:szCs w:val="32"/>
        </w:rPr>
      </w:pPr>
      <w:r>
        <w:rPr>
          <w:rFonts w:hint="eastAsia" w:ascii="仿宋_GB2312" w:eastAsia="仿宋_GB2312"/>
          <w:sz w:val="32"/>
          <w:szCs w:val="32"/>
        </w:rPr>
        <w:t>（图6：一般公共预算财政拨款支出决算结构）</w:t>
      </w:r>
    </w:p>
    <w:p>
      <w:pPr>
        <w:ind w:firstLine="642" w:firstLineChars="200"/>
        <w:rPr>
          <w:rFonts w:ascii="楷体_GB2312" w:eastAsia="楷体_GB2312"/>
          <w:b/>
          <w:sz w:val="32"/>
          <w:szCs w:val="32"/>
        </w:rPr>
      </w:pPr>
      <w:r>
        <w:rPr>
          <w:rFonts w:hint="eastAsia" w:ascii="楷体_GB2312" w:eastAsia="楷体_GB2312"/>
          <w:b/>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2023年度一般公共预算支出决算数为</w:t>
      </w:r>
      <w:r>
        <w:rPr>
          <w:rFonts w:ascii="仿宋_GB2312" w:eastAsia="仿宋_GB2312"/>
          <w:sz w:val="32"/>
          <w:szCs w:val="32"/>
        </w:rPr>
        <w:t>9223.12</w:t>
      </w:r>
      <w:r>
        <w:rPr>
          <w:rFonts w:hint="eastAsia" w:ascii="仿宋_GB2312" w:eastAsia="仿宋_GB2312"/>
          <w:sz w:val="32"/>
          <w:szCs w:val="32"/>
        </w:rPr>
        <w:t>万元，完成预算</w:t>
      </w:r>
      <w:r>
        <w:rPr>
          <w:rFonts w:ascii="仿宋_GB2312" w:eastAsia="仿宋_GB2312"/>
          <w:sz w:val="32"/>
          <w:szCs w:val="32"/>
        </w:rPr>
        <w:t>97.61</w:t>
      </w:r>
      <w:r>
        <w:rPr>
          <w:rFonts w:hint="eastAsia" w:ascii="仿宋_GB2312" w:eastAsia="仿宋_GB2312"/>
          <w:sz w:val="32"/>
          <w:szCs w:val="32"/>
        </w:rPr>
        <w:t>%。其中：</w:t>
      </w:r>
    </w:p>
    <w:p>
      <w:pPr>
        <w:spacing w:line="600" w:lineRule="exact"/>
        <w:ind w:firstLine="642" w:firstLineChars="200"/>
        <w:rPr>
          <w:rFonts w:ascii="仿宋_GB2312" w:hAnsi="仿宋" w:eastAsia="仿宋_GB2312"/>
          <w:b/>
          <w:sz w:val="32"/>
          <w:szCs w:val="32"/>
        </w:rPr>
      </w:pPr>
      <w:r>
        <w:rPr>
          <w:rStyle w:val="15"/>
          <w:rFonts w:hint="eastAsia" w:ascii="仿宋_GB2312" w:hAnsi="仿宋" w:eastAsia="仿宋_GB2312"/>
          <w:bCs/>
          <w:sz w:val="32"/>
          <w:szCs w:val="32"/>
        </w:rPr>
        <w:t>1.</w:t>
      </w:r>
      <w:r>
        <w:rPr>
          <w:rFonts w:hint="eastAsia" w:ascii="仿宋_GB2312" w:hAnsi="仿宋" w:eastAsia="仿宋_GB2312"/>
          <w:b/>
          <w:sz w:val="32"/>
          <w:szCs w:val="32"/>
        </w:rPr>
        <w:t xml:space="preserve"> 公共安全支出（类)公安（款）：</w:t>
      </w:r>
      <w:r>
        <w:rPr>
          <w:rFonts w:ascii="仿宋_GB2312" w:hAnsi="仿宋" w:eastAsia="仿宋_GB2312"/>
          <w:sz w:val="32"/>
          <w:szCs w:val="32"/>
        </w:rPr>
        <w:t>其中：</w:t>
      </w:r>
      <w:r>
        <w:rPr>
          <w:rFonts w:hint="eastAsia" w:ascii="仿宋_GB2312" w:hAnsi="仿宋" w:eastAsia="仿宋_GB2312"/>
          <w:sz w:val="32"/>
          <w:szCs w:val="32"/>
        </w:rPr>
        <w:t>行政运行（项）：</w:t>
      </w:r>
      <w:r>
        <w:rPr>
          <w:rStyle w:val="15"/>
          <w:rFonts w:hint="eastAsia" w:ascii="仿宋_GB2312" w:hAnsi="仿宋" w:eastAsia="仿宋_GB2312"/>
          <w:bCs/>
          <w:sz w:val="32"/>
          <w:szCs w:val="32"/>
        </w:rPr>
        <w:t>支出</w:t>
      </w:r>
      <w:r>
        <w:rPr>
          <w:rStyle w:val="15"/>
          <w:rFonts w:ascii="仿宋_GB2312" w:hAnsi="仿宋" w:eastAsia="仿宋_GB2312"/>
          <w:bCs/>
          <w:sz w:val="32"/>
          <w:szCs w:val="32"/>
        </w:rPr>
        <w:t>决算</w:t>
      </w:r>
      <w:r>
        <w:rPr>
          <w:rStyle w:val="15"/>
          <w:rFonts w:hint="eastAsia" w:ascii="仿宋_GB2312" w:hAnsi="仿宋" w:eastAsia="仿宋_GB2312"/>
          <w:bCs/>
          <w:sz w:val="32"/>
          <w:szCs w:val="32"/>
        </w:rPr>
        <w:t>数</w:t>
      </w:r>
      <w:r>
        <w:rPr>
          <w:rStyle w:val="15"/>
          <w:rFonts w:ascii="仿宋_GB2312" w:hAnsi="仿宋" w:eastAsia="仿宋_GB2312"/>
          <w:bCs/>
          <w:sz w:val="32"/>
          <w:szCs w:val="32"/>
        </w:rPr>
        <w:t>为6112.38</w:t>
      </w:r>
      <w:r>
        <w:rPr>
          <w:rStyle w:val="15"/>
          <w:rFonts w:hint="eastAsia" w:ascii="仿宋_GB2312" w:hAnsi="仿宋" w:eastAsia="仿宋_GB2312"/>
          <w:bCs/>
          <w:sz w:val="32"/>
          <w:szCs w:val="32"/>
        </w:rPr>
        <w:t>万元</w:t>
      </w:r>
      <w:r>
        <w:rPr>
          <w:rStyle w:val="15"/>
          <w:rFonts w:ascii="仿宋_GB2312" w:hAnsi="仿宋" w:eastAsia="仿宋_GB2312"/>
          <w:bCs/>
          <w:sz w:val="32"/>
          <w:szCs w:val="32"/>
        </w:rPr>
        <w:t>，完成预算</w:t>
      </w:r>
      <w:r>
        <w:rPr>
          <w:rStyle w:val="15"/>
          <w:rFonts w:hint="eastAsia" w:ascii="仿宋_GB2312" w:hAnsi="仿宋" w:eastAsia="仿宋_GB2312"/>
          <w:bCs/>
          <w:sz w:val="32"/>
          <w:szCs w:val="32"/>
        </w:rPr>
        <w:t>100%。</w:t>
      </w:r>
      <w:r>
        <w:rPr>
          <w:rFonts w:hint="eastAsia" w:ascii="仿宋_GB2312" w:hAnsi="仿宋" w:eastAsia="仿宋_GB2312"/>
          <w:sz w:val="32"/>
          <w:szCs w:val="32"/>
        </w:rPr>
        <w:t>其他公安支出（项）：</w:t>
      </w:r>
      <w:r>
        <w:rPr>
          <w:rStyle w:val="15"/>
          <w:rFonts w:hint="eastAsia" w:ascii="仿宋_GB2312" w:hAnsi="仿宋" w:eastAsia="仿宋_GB2312"/>
          <w:bCs/>
          <w:sz w:val="32"/>
          <w:szCs w:val="32"/>
        </w:rPr>
        <w:t>支出决算为</w:t>
      </w:r>
      <w:r>
        <w:rPr>
          <w:rStyle w:val="15"/>
          <w:rFonts w:ascii="仿宋_GB2312" w:hAnsi="仿宋" w:eastAsia="仿宋_GB2312"/>
          <w:bCs/>
          <w:sz w:val="32"/>
          <w:szCs w:val="32"/>
        </w:rPr>
        <w:t>1955.2</w:t>
      </w:r>
      <w:r>
        <w:rPr>
          <w:rStyle w:val="15"/>
          <w:rFonts w:hint="eastAsia" w:ascii="仿宋_GB2312" w:hAnsi="仿宋" w:eastAsia="仿宋_GB2312"/>
          <w:bCs/>
          <w:sz w:val="32"/>
          <w:szCs w:val="32"/>
        </w:rPr>
        <w:t>万元，完成预算</w:t>
      </w:r>
      <w:r>
        <w:rPr>
          <w:rStyle w:val="15"/>
          <w:rFonts w:ascii="仿宋_GB2312" w:hAnsi="仿宋" w:eastAsia="仿宋_GB2312"/>
          <w:bCs/>
          <w:sz w:val="32"/>
          <w:szCs w:val="32"/>
        </w:rPr>
        <w:t>97.61</w:t>
      </w:r>
      <w:r>
        <w:rPr>
          <w:rStyle w:val="15"/>
          <w:rFonts w:hint="eastAsia" w:ascii="仿宋_GB2312" w:hAnsi="仿宋" w:eastAsia="仿宋_GB2312"/>
          <w:bCs/>
          <w:sz w:val="32"/>
          <w:szCs w:val="32"/>
        </w:rPr>
        <w:t>%，决算数小于预算数的主要原因是</w:t>
      </w:r>
      <w:r>
        <w:rPr>
          <w:rFonts w:hint="eastAsia" w:ascii="仿宋_GB2312" w:hAnsi="仿宋" w:eastAsia="仿宋_GB2312"/>
          <w:sz w:val="32"/>
          <w:szCs w:val="32"/>
        </w:rPr>
        <w:t>城区交通管理设施建设经费年底才到账，部分资金尚未支付完毕</w:t>
      </w:r>
      <w:r>
        <w:rPr>
          <w:rFonts w:hint="eastAsia" w:ascii="仿宋_GB2312" w:eastAsia="仿宋_GB2312"/>
          <w:spacing w:val="10"/>
          <w:sz w:val="32"/>
          <w:szCs w:val="32"/>
        </w:rPr>
        <w:t>。</w:t>
      </w:r>
    </w:p>
    <w:p>
      <w:pPr>
        <w:spacing w:line="360" w:lineRule="auto"/>
        <w:ind w:firstLine="629" w:firstLineChars="196"/>
        <w:rPr>
          <w:rFonts w:ascii="仿宋_GB2312" w:hAnsi="仿宋" w:eastAsia="仿宋_GB2312"/>
          <w:sz w:val="32"/>
          <w:szCs w:val="32"/>
        </w:rPr>
      </w:pPr>
      <w:r>
        <w:rPr>
          <w:rStyle w:val="15"/>
          <w:rFonts w:ascii="仿宋_GB2312" w:hAnsi="仿宋" w:eastAsia="仿宋_GB2312"/>
          <w:bCs/>
          <w:sz w:val="32"/>
          <w:szCs w:val="32"/>
        </w:rPr>
        <w:t>2.</w:t>
      </w:r>
      <w:r>
        <w:rPr>
          <w:rStyle w:val="15"/>
          <w:rFonts w:hint="eastAsia" w:ascii="仿宋_GB2312" w:hAnsi="仿宋" w:eastAsia="仿宋_GB2312"/>
          <w:bCs/>
          <w:sz w:val="32"/>
          <w:szCs w:val="32"/>
        </w:rPr>
        <w:t>社会保障和就业支出（类）</w:t>
      </w:r>
      <w:r>
        <w:rPr>
          <w:rStyle w:val="15"/>
          <w:rFonts w:ascii="仿宋_GB2312" w:hAnsi="仿宋" w:eastAsia="仿宋_GB2312"/>
          <w:bCs/>
          <w:sz w:val="32"/>
          <w:szCs w:val="32"/>
        </w:rPr>
        <w:t>行政事业单位养老支出</w:t>
      </w:r>
      <w:r>
        <w:rPr>
          <w:rStyle w:val="15"/>
          <w:rFonts w:hint="eastAsia" w:ascii="仿宋_GB2312" w:hAnsi="仿宋" w:eastAsia="仿宋_GB2312"/>
          <w:bCs/>
          <w:sz w:val="32"/>
          <w:szCs w:val="32"/>
        </w:rPr>
        <w:t>（款）：</w:t>
      </w:r>
      <w:r>
        <w:rPr>
          <w:rStyle w:val="15"/>
          <w:rFonts w:hint="eastAsia" w:ascii="仿宋_GB2312" w:hAnsi="仿宋" w:eastAsia="仿宋_GB2312"/>
          <w:b w:val="0"/>
          <w:bCs/>
          <w:sz w:val="32"/>
          <w:szCs w:val="32"/>
        </w:rPr>
        <w:t>其中：</w:t>
      </w:r>
      <w:r>
        <w:rPr>
          <w:rStyle w:val="15"/>
          <w:rFonts w:hint="eastAsia" w:ascii="仿宋_GB2312" w:hAnsi="仿宋" w:eastAsia="仿宋_GB2312"/>
          <w:b w:val="0"/>
          <w:sz w:val="32"/>
          <w:szCs w:val="32"/>
        </w:rPr>
        <w:t>机关事业单位基本养老保险缴费（项）</w:t>
      </w:r>
      <w:r>
        <w:rPr>
          <w:rStyle w:val="15"/>
          <w:rFonts w:hint="eastAsia" w:ascii="仿宋_GB2312" w:hAnsi="仿宋" w:eastAsia="仿宋_GB2312"/>
          <w:b w:val="0"/>
          <w:bCs/>
          <w:sz w:val="32"/>
          <w:szCs w:val="32"/>
        </w:rPr>
        <w:t>支出决算为</w:t>
      </w:r>
      <w:r>
        <w:rPr>
          <w:rStyle w:val="15"/>
          <w:rFonts w:ascii="仿宋_GB2312" w:hAnsi="仿宋" w:eastAsia="仿宋_GB2312"/>
          <w:b w:val="0"/>
          <w:bCs/>
          <w:sz w:val="32"/>
          <w:szCs w:val="32"/>
        </w:rPr>
        <w:t>422.88</w:t>
      </w:r>
      <w:r>
        <w:rPr>
          <w:rStyle w:val="15"/>
          <w:rFonts w:hint="eastAsia" w:ascii="仿宋_GB2312" w:hAnsi="仿宋" w:eastAsia="仿宋_GB2312"/>
          <w:b w:val="0"/>
          <w:bCs/>
          <w:sz w:val="32"/>
          <w:szCs w:val="32"/>
        </w:rPr>
        <w:t>万元，完成预算100%；</w:t>
      </w:r>
      <w:r>
        <w:rPr>
          <w:rStyle w:val="15"/>
          <w:rFonts w:hint="eastAsia" w:ascii="仿宋_GB2312" w:hAnsi="仿宋" w:eastAsia="仿宋_GB2312"/>
          <w:b w:val="0"/>
          <w:sz w:val="32"/>
          <w:szCs w:val="32"/>
        </w:rPr>
        <w:t>机关事业单位职业年金缴费（项）</w:t>
      </w:r>
      <w:r>
        <w:rPr>
          <w:rStyle w:val="15"/>
          <w:rFonts w:hint="eastAsia" w:ascii="仿宋_GB2312" w:hAnsi="仿宋" w:eastAsia="仿宋_GB2312"/>
          <w:b w:val="0"/>
          <w:bCs/>
          <w:sz w:val="32"/>
          <w:szCs w:val="32"/>
        </w:rPr>
        <w:t>支出决算为</w:t>
      </w:r>
      <w:r>
        <w:rPr>
          <w:rStyle w:val="15"/>
          <w:rFonts w:ascii="仿宋_GB2312" w:hAnsi="仿宋" w:eastAsia="仿宋_GB2312"/>
          <w:b w:val="0"/>
          <w:bCs/>
          <w:sz w:val="32"/>
          <w:szCs w:val="32"/>
        </w:rPr>
        <w:t>138.53</w:t>
      </w:r>
      <w:r>
        <w:rPr>
          <w:rStyle w:val="15"/>
          <w:rFonts w:hint="eastAsia" w:ascii="仿宋_GB2312" w:hAnsi="仿宋" w:eastAsia="仿宋_GB2312"/>
          <w:b w:val="0"/>
          <w:bCs/>
          <w:sz w:val="32"/>
          <w:szCs w:val="32"/>
        </w:rPr>
        <w:t>万元，完成预算100%。</w:t>
      </w:r>
      <w:r>
        <w:rPr>
          <w:rFonts w:ascii="仿宋_GB2312" w:hAnsi="仿宋" w:eastAsia="仿宋_GB2312"/>
          <w:sz w:val="32"/>
          <w:szCs w:val="32"/>
        </w:rPr>
        <w:t xml:space="preserve"> </w:t>
      </w:r>
    </w:p>
    <w:p>
      <w:pPr>
        <w:spacing w:line="600" w:lineRule="exact"/>
        <w:ind w:firstLine="642" w:firstLineChars="200"/>
        <w:rPr>
          <w:rStyle w:val="15"/>
          <w:rFonts w:ascii="仿宋_GB2312" w:hAnsi="仿宋" w:eastAsia="仿宋_GB2312"/>
          <w:b w:val="0"/>
          <w:bCs/>
          <w:sz w:val="32"/>
          <w:szCs w:val="32"/>
        </w:rPr>
      </w:pPr>
      <w:r>
        <w:rPr>
          <w:rStyle w:val="15"/>
          <w:rFonts w:ascii="仿宋_GB2312" w:hAnsi="仿宋" w:eastAsia="仿宋_GB2312"/>
          <w:bCs/>
          <w:sz w:val="32"/>
          <w:szCs w:val="32"/>
        </w:rPr>
        <w:t>3</w:t>
      </w:r>
      <w:r>
        <w:rPr>
          <w:rStyle w:val="15"/>
          <w:rFonts w:hint="eastAsia" w:ascii="仿宋_GB2312" w:hAnsi="仿宋" w:eastAsia="仿宋_GB2312"/>
          <w:bCs/>
          <w:sz w:val="32"/>
          <w:szCs w:val="32"/>
        </w:rPr>
        <w:t>.卫生健康支出（类）行政事业单位医疗（款）行政单位医疗（项）：</w:t>
      </w:r>
      <w:r>
        <w:rPr>
          <w:rStyle w:val="15"/>
          <w:rFonts w:hint="eastAsia" w:ascii="仿宋_GB2312" w:hAnsi="仿宋" w:eastAsia="仿宋_GB2312"/>
          <w:b w:val="0"/>
          <w:bCs/>
          <w:sz w:val="32"/>
          <w:szCs w:val="32"/>
        </w:rPr>
        <w:t>支出决算为</w:t>
      </w:r>
      <w:r>
        <w:rPr>
          <w:rStyle w:val="15"/>
          <w:rFonts w:ascii="仿宋_GB2312" w:hAnsi="仿宋" w:eastAsia="仿宋_GB2312"/>
          <w:b w:val="0"/>
          <w:bCs/>
          <w:sz w:val="32"/>
          <w:szCs w:val="32"/>
        </w:rPr>
        <w:t>192.29</w:t>
      </w:r>
      <w:r>
        <w:rPr>
          <w:rStyle w:val="15"/>
          <w:rFonts w:hint="eastAsia" w:ascii="仿宋_GB2312" w:hAnsi="仿宋" w:eastAsia="仿宋_GB2312"/>
          <w:b w:val="0"/>
          <w:bCs/>
          <w:sz w:val="32"/>
          <w:szCs w:val="32"/>
        </w:rPr>
        <w:t>万元，完成预算100%。</w:t>
      </w:r>
    </w:p>
    <w:p>
      <w:pPr>
        <w:spacing w:line="360" w:lineRule="auto"/>
        <w:ind w:firstLine="629" w:firstLineChars="196"/>
        <w:rPr>
          <w:rFonts w:ascii="仿宋_GB2312" w:hAnsi="仿宋" w:eastAsia="仿宋_GB2312"/>
          <w:b/>
          <w:sz w:val="32"/>
          <w:szCs w:val="32"/>
        </w:rPr>
      </w:pPr>
      <w:r>
        <w:rPr>
          <w:rStyle w:val="15"/>
          <w:rFonts w:ascii="仿宋_GB2312" w:hAnsi="仿宋" w:eastAsia="仿宋_GB2312"/>
          <w:bCs/>
          <w:sz w:val="32"/>
          <w:szCs w:val="32"/>
        </w:rPr>
        <w:t>4</w:t>
      </w:r>
      <w:r>
        <w:rPr>
          <w:rStyle w:val="15"/>
          <w:rFonts w:hint="eastAsia" w:ascii="仿宋_GB2312" w:hAnsi="仿宋" w:eastAsia="仿宋_GB2312"/>
          <w:bCs/>
          <w:sz w:val="32"/>
          <w:szCs w:val="32"/>
        </w:rPr>
        <w:t>.住房保障支出（类）住房改革支出（款）住房公积金（项）：</w:t>
      </w:r>
      <w:r>
        <w:rPr>
          <w:rStyle w:val="15"/>
          <w:rFonts w:hint="eastAsia" w:ascii="仿宋_GB2312" w:hAnsi="仿宋" w:eastAsia="仿宋_GB2312"/>
          <w:b w:val="0"/>
          <w:bCs/>
          <w:sz w:val="32"/>
          <w:szCs w:val="32"/>
        </w:rPr>
        <w:t>支出决算为</w:t>
      </w:r>
      <w:r>
        <w:rPr>
          <w:rStyle w:val="15"/>
          <w:rFonts w:ascii="仿宋_GB2312" w:hAnsi="仿宋" w:eastAsia="仿宋_GB2312"/>
          <w:b w:val="0"/>
          <w:bCs/>
          <w:sz w:val="32"/>
          <w:szCs w:val="32"/>
        </w:rPr>
        <w:t>401.84</w:t>
      </w:r>
      <w:r>
        <w:rPr>
          <w:rStyle w:val="15"/>
          <w:rFonts w:hint="eastAsia" w:ascii="仿宋_GB2312" w:hAnsi="仿宋" w:eastAsia="仿宋_GB2312"/>
          <w:b w:val="0"/>
          <w:bCs/>
          <w:sz w:val="32"/>
          <w:szCs w:val="32"/>
        </w:rPr>
        <w:t>万元，完成预算100%。</w:t>
      </w:r>
    </w:p>
    <w:p>
      <w:pPr>
        <w:ind w:firstLine="642" w:firstLineChars="200"/>
        <w:outlineLvl w:val="1"/>
        <w:rPr>
          <w:rFonts w:ascii="楷体_GB2312" w:eastAsia="楷体_GB2312"/>
          <w:b/>
          <w:sz w:val="32"/>
          <w:szCs w:val="32"/>
        </w:rPr>
      </w:pPr>
      <w:bookmarkStart w:id="11" w:name="_Toc488"/>
      <w:r>
        <w:rPr>
          <w:rFonts w:hint="eastAsia" w:ascii="楷体_GB2312" w:eastAsia="楷体_GB2312"/>
          <w:b/>
          <w:sz w:val="32"/>
          <w:szCs w:val="32"/>
        </w:rPr>
        <w:t>六、一般公共预算财政拨款基本支出决算情况说明</w:t>
      </w:r>
      <w:bookmarkEnd w:id="11"/>
      <w:r>
        <w:rPr>
          <w:rFonts w:hint="eastAsia" w:ascii="楷体_GB2312" w:eastAsia="楷体_GB2312"/>
          <w:b/>
          <w:sz w:val="32"/>
          <w:szCs w:val="32"/>
        </w:rPr>
        <w:tab/>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w:t>
      </w:r>
      <w:r>
        <w:rPr>
          <w:rFonts w:ascii="仿宋_GB2312" w:eastAsia="仿宋_GB2312"/>
          <w:sz w:val="32"/>
          <w:szCs w:val="32"/>
        </w:rPr>
        <w:t>8121.7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5072.16</w:t>
      </w:r>
      <w:r>
        <w:rPr>
          <w:rFonts w:hint="eastAsia" w:ascii="仿宋_GB2312" w:eastAsia="仿宋_GB2312"/>
          <w:sz w:val="32"/>
          <w:szCs w:val="32"/>
        </w:rPr>
        <w:t>万元，主要包括：基本工资、津贴补贴、奖金、伙食补助费、绩效工资、机关事业单位基本养老保险缴费、职业年金缴费、</w:t>
      </w:r>
      <w:r>
        <w:rPr>
          <w:rFonts w:ascii="仿宋_GB2312" w:eastAsia="仿宋_GB2312"/>
          <w:sz w:val="32"/>
          <w:szCs w:val="32"/>
        </w:rPr>
        <w:t xml:space="preserve"> 职工基本医疗保险缴费</w:t>
      </w:r>
      <w:r>
        <w:rPr>
          <w:rFonts w:hint="eastAsia" w:ascii="仿宋_GB2312" w:eastAsia="仿宋_GB2312"/>
          <w:sz w:val="32"/>
          <w:szCs w:val="32"/>
        </w:rPr>
        <w:t>、其他社会保障缴费、住房公积金</w:t>
      </w:r>
      <w:r>
        <w:rPr>
          <w:rFonts w:ascii="仿宋_GB2312" w:eastAsia="仿宋_GB2312"/>
          <w:sz w:val="32"/>
          <w:szCs w:val="32"/>
        </w:rPr>
        <w:t>、</w:t>
      </w:r>
      <w:r>
        <w:rPr>
          <w:rFonts w:hint="eastAsia" w:ascii="仿宋_GB2312" w:eastAsia="仿宋_GB2312"/>
          <w:sz w:val="32"/>
          <w:szCs w:val="32"/>
        </w:rPr>
        <w:t>其他工资福利支出、抚恤金、生活补助、奖励金、其他对个人和家庭的补助支出。</w:t>
      </w:r>
    </w:p>
    <w:p>
      <w:pPr>
        <w:ind w:firstLine="645"/>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3049.55</w:t>
      </w:r>
      <w:r>
        <w:rPr>
          <w:rFonts w:hint="eastAsia" w:ascii="仿宋_GB2312" w:eastAsia="仿宋_GB2312"/>
          <w:sz w:val="32"/>
          <w:szCs w:val="32"/>
        </w:rPr>
        <w:t>万元，主要包括：办公费、印刷费、手续费、水费、电费、邮电费、物业管理费、差旅费、维修（护）费、租赁费、会议费、培训费、公务接待费、专用材料费、劳务费、委托业务费、工会经费、福利费、公务用车运行维护费、其他交通费用、其他商品和服务支出。</w:t>
      </w:r>
    </w:p>
    <w:p>
      <w:pPr>
        <w:ind w:firstLine="642" w:firstLineChars="200"/>
        <w:outlineLvl w:val="1"/>
        <w:rPr>
          <w:rFonts w:ascii="楷体_GB2312" w:eastAsia="楷体_GB2312"/>
          <w:b/>
          <w:sz w:val="32"/>
          <w:szCs w:val="32"/>
        </w:rPr>
      </w:pPr>
      <w:bookmarkStart w:id="12" w:name="_Toc11010"/>
      <w:r>
        <w:rPr>
          <w:rFonts w:hint="eastAsia" w:ascii="楷体_GB2312" w:eastAsia="楷体_GB2312"/>
          <w:b/>
          <w:sz w:val="32"/>
          <w:szCs w:val="32"/>
        </w:rPr>
        <w:t>七、财政拨款“三公”经费支出决算情况说明</w:t>
      </w:r>
      <w:bookmarkEnd w:id="12"/>
    </w:p>
    <w:p>
      <w:pPr>
        <w:ind w:firstLine="640" w:firstLineChars="200"/>
        <w:rPr>
          <w:rFonts w:ascii="仿宋_GB2312" w:eastAsia="仿宋_GB2312"/>
          <w:sz w:val="32"/>
          <w:szCs w:val="32"/>
        </w:rPr>
      </w:pPr>
      <w:r>
        <w:rPr>
          <w:rFonts w:hint="eastAsia" w:ascii="仿宋_GB2312" w:eastAsia="仿宋_GB2312"/>
          <w:sz w:val="32"/>
          <w:szCs w:val="32"/>
        </w:rPr>
        <w:t>（一）“三公”经费财政拨款支出决算总体情况说明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2023年度“三公”经费财政拨款支出决算为</w:t>
      </w:r>
      <w:r>
        <w:rPr>
          <w:rFonts w:ascii="仿宋_GB2312" w:eastAsia="仿宋_GB2312"/>
          <w:sz w:val="32"/>
          <w:szCs w:val="32"/>
        </w:rPr>
        <w:t>389.48</w:t>
      </w:r>
      <w:r>
        <w:rPr>
          <w:rFonts w:hint="eastAsia" w:ascii="仿宋_GB2312" w:eastAsia="仿宋_GB2312"/>
          <w:sz w:val="32"/>
          <w:szCs w:val="32"/>
        </w:rPr>
        <w:t>万元，完成预算</w:t>
      </w:r>
      <w:r>
        <w:rPr>
          <w:rFonts w:ascii="仿宋_GB2312" w:eastAsia="仿宋_GB2312"/>
          <w:sz w:val="32"/>
          <w:szCs w:val="32"/>
        </w:rPr>
        <w:t>100</w:t>
      </w:r>
      <w:r>
        <w:rPr>
          <w:rFonts w:hint="eastAsia" w:ascii="仿宋_GB2312" w:eastAsia="仿宋_GB2312"/>
          <w:sz w:val="32"/>
          <w:szCs w:val="32"/>
        </w:rPr>
        <w:t>%，较上年度增加</w:t>
      </w:r>
      <w:r>
        <w:rPr>
          <w:rFonts w:ascii="仿宋_GB2312" w:eastAsia="仿宋_GB2312"/>
          <w:sz w:val="32"/>
          <w:szCs w:val="32"/>
        </w:rPr>
        <w:t>226.01</w:t>
      </w:r>
      <w:r>
        <w:rPr>
          <w:rFonts w:hint="eastAsia" w:ascii="仿宋_GB2312" w:eastAsia="仿宋_GB2312"/>
          <w:sz w:val="32"/>
          <w:szCs w:val="32"/>
        </w:rPr>
        <w:t>万元，增长</w:t>
      </w:r>
      <w:r>
        <w:rPr>
          <w:rFonts w:ascii="仿宋_GB2312" w:eastAsia="仿宋_GB2312"/>
          <w:sz w:val="32"/>
          <w:szCs w:val="32"/>
        </w:rPr>
        <w:t>138.26</w:t>
      </w:r>
      <w:r>
        <w:rPr>
          <w:rFonts w:hint="eastAsia" w:ascii="仿宋_GB2312" w:eastAsia="仿宋_GB2312"/>
          <w:sz w:val="32"/>
          <w:szCs w:val="32"/>
        </w:rPr>
        <w:t>%。决算数与预算数持平。</w:t>
      </w:r>
    </w:p>
    <w:p>
      <w:pPr>
        <w:ind w:firstLine="640" w:firstLineChars="200"/>
        <w:rPr>
          <w:rFonts w:ascii="仿宋_GB2312" w:eastAsia="仿宋_GB2312"/>
          <w:sz w:val="32"/>
          <w:szCs w:val="32"/>
        </w:rPr>
      </w:pPr>
      <w:r>
        <w:rPr>
          <w:rFonts w:hint="eastAsia" w:ascii="仿宋_GB2312" w:eastAsia="仿宋_GB2312"/>
          <w:sz w:val="32"/>
          <w:szCs w:val="32"/>
        </w:rPr>
        <w:t>（二）“三公”经费财政拨款支出决算具体情况说明</w:t>
      </w:r>
    </w:p>
    <w:p>
      <w:pPr>
        <w:ind w:firstLine="640" w:firstLineChars="200"/>
        <w:rPr>
          <w:rFonts w:ascii="仿宋_GB2312" w:eastAsia="仿宋_GB2312"/>
          <w:sz w:val="32"/>
          <w:szCs w:val="32"/>
        </w:rPr>
      </w:pPr>
      <w:r>
        <w:rPr>
          <w:rFonts w:hint="eastAsia" w:ascii="仿宋_GB2312" w:eastAsia="仿宋_GB2312"/>
          <w:sz w:val="32"/>
          <w:szCs w:val="32"/>
        </w:rPr>
        <w:t>2023年度“三公”经费财政拨款支出决算中，因公出国（境）费支出决算</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%；公务用车购置及运行维护费支出决算</w:t>
      </w:r>
      <w:r>
        <w:rPr>
          <w:rFonts w:ascii="仿宋_GB2312" w:eastAsia="仿宋_GB2312"/>
          <w:sz w:val="32"/>
          <w:szCs w:val="32"/>
        </w:rPr>
        <w:t>385.48</w:t>
      </w:r>
      <w:r>
        <w:rPr>
          <w:rFonts w:hint="eastAsia" w:ascii="仿宋_GB2312" w:eastAsia="仿宋_GB2312"/>
          <w:sz w:val="32"/>
          <w:szCs w:val="32"/>
        </w:rPr>
        <w:t>万元，占</w:t>
      </w:r>
      <w:r>
        <w:rPr>
          <w:rFonts w:ascii="仿宋_GB2312" w:eastAsia="仿宋_GB2312"/>
          <w:sz w:val="32"/>
          <w:szCs w:val="32"/>
        </w:rPr>
        <w:t>98.97</w:t>
      </w:r>
      <w:r>
        <w:rPr>
          <w:rFonts w:hint="eastAsia" w:ascii="仿宋_GB2312" w:eastAsia="仿宋_GB2312"/>
          <w:sz w:val="32"/>
          <w:szCs w:val="32"/>
        </w:rPr>
        <w:t>%；公务接待费支出决算</w:t>
      </w:r>
      <w:r>
        <w:rPr>
          <w:rFonts w:ascii="仿宋_GB2312" w:eastAsia="仿宋_GB2312"/>
          <w:sz w:val="32"/>
          <w:szCs w:val="32"/>
        </w:rPr>
        <w:t>4</w:t>
      </w:r>
      <w:r>
        <w:rPr>
          <w:rFonts w:hint="eastAsia" w:ascii="仿宋_GB2312" w:eastAsia="仿宋_GB2312"/>
          <w:sz w:val="32"/>
          <w:szCs w:val="32"/>
        </w:rPr>
        <w:t>万元，占</w:t>
      </w:r>
      <w:r>
        <w:rPr>
          <w:rFonts w:ascii="仿宋_GB2312" w:eastAsia="仿宋_GB2312"/>
          <w:sz w:val="32"/>
          <w:szCs w:val="32"/>
        </w:rPr>
        <w:t>1.03</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drawing>
          <wp:inline distT="0" distB="0" distL="0" distR="0">
            <wp:extent cx="5305425" cy="2562225"/>
            <wp:effectExtent l="0" t="0" r="9525" b="952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rFonts w:ascii="仿宋_GB2312" w:eastAsia="仿宋_GB2312"/>
          <w:sz w:val="32"/>
          <w:szCs w:val="32"/>
        </w:rPr>
      </w:pPr>
      <w:r>
        <w:rPr>
          <w:rFonts w:hint="eastAsia" w:ascii="仿宋_GB2312" w:eastAsia="仿宋_GB2312"/>
          <w:sz w:val="32"/>
          <w:szCs w:val="32"/>
        </w:rPr>
        <w:t>（图7：“三公”经费财政拨款支出结构）</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1.因公出国（境）经费支出</w:t>
      </w:r>
      <w:r>
        <w:rPr>
          <w:rFonts w:ascii="仿宋_GB2312" w:eastAsia="仿宋_GB2312"/>
          <w:sz w:val="32"/>
          <w:szCs w:val="32"/>
        </w:rPr>
        <w:t>0</w:t>
      </w:r>
      <w:r>
        <w:rPr>
          <w:rFonts w:hint="eastAsia" w:ascii="仿宋_GB2312" w:eastAsia="仿宋_GB2312"/>
          <w:sz w:val="32"/>
          <w:szCs w:val="32"/>
        </w:rPr>
        <w:t>万元，年初未安排预算，因公出国（境）支出决算较202</w:t>
      </w:r>
      <w:r>
        <w:rPr>
          <w:rFonts w:ascii="仿宋_GB2312" w:eastAsia="仿宋_GB2312"/>
          <w:sz w:val="32"/>
          <w:szCs w:val="32"/>
        </w:rPr>
        <w:t>2</w:t>
      </w:r>
      <w:r>
        <w:rPr>
          <w:rFonts w:hint="eastAsia" w:ascii="仿宋_GB2312" w:eastAsia="仿宋_GB2312"/>
          <w:sz w:val="32"/>
          <w:szCs w:val="32"/>
        </w:rPr>
        <w:t>年无变化。</w:t>
      </w:r>
    </w:p>
    <w:p>
      <w:pPr>
        <w:ind w:firstLine="640" w:firstLineChars="200"/>
        <w:rPr>
          <w:rFonts w:ascii="仿宋_GB2312" w:eastAsia="仿宋_GB2312"/>
          <w:sz w:val="32"/>
          <w:szCs w:val="32"/>
        </w:rPr>
      </w:pPr>
      <w:r>
        <w:rPr>
          <w:rFonts w:hint="eastAsia" w:ascii="仿宋_GB2312" w:eastAsia="仿宋_GB2312"/>
          <w:sz w:val="32"/>
          <w:szCs w:val="32"/>
        </w:rPr>
        <w:t>2.公务用车购置及运行维护费支出</w:t>
      </w:r>
      <w:r>
        <w:rPr>
          <w:rFonts w:ascii="仿宋_GB2312" w:eastAsia="仿宋_GB2312"/>
          <w:sz w:val="32"/>
          <w:szCs w:val="32"/>
        </w:rPr>
        <w:t>385.48</w:t>
      </w:r>
      <w:r>
        <w:rPr>
          <w:rFonts w:hint="eastAsia" w:ascii="仿宋_GB2312" w:eastAsia="仿宋_GB2312"/>
          <w:sz w:val="32"/>
          <w:szCs w:val="32"/>
        </w:rPr>
        <w:t>万元，完成预算</w:t>
      </w:r>
      <w:r>
        <w:rPr>
          <w:rFonts w:ascii="仿宋_GB2312" w:eastAsia="仿宋_GB2312"/>
          <w:sz w:val="32"/>
          <w:szCs w:val="32"/>
        </w:rPr>
        <w:t>100</w:t>
      </w:r>
      <w:r>
        <w:rPr>
          <w:rFonts w:hint="eastAsia" w:ascii="仿宋_GB2312" w:eastAsia="仿宋_GB2312"/>
          <w:sz w:val="32"/>
          <w:szCs w:val="32"/>
        </w:rPr>
        <w:t>%。公务用车购置及运行维护费支出决算比2022年度增加226.01万元，增长</w:t>
      </w:r>
      <w:r>
        <w:rPr>
          <w:rFonts w:ascii="仿宋_GB2312" w:eastAsia="仿宋_GB2312"/>
          <w:sz w:val="32"/>
          <w:szCs w:val="32"/>
        </w:rPr>
        <w:t>141.73</w:t>
      </w:r>
      <w:r>
        <w:rPr>
          <w:rFonts w:hint="eastAsia" w:ascii="仿宋_GB2312" w:eastAsia="仿宋_GB2312"/>
          <w:sz w:val="32"/>
          <w:szCs w:val="32"/>
        </w:rPr>
        <w:t>%。主要原因是2</w:t>
      </w:r>
      <w:r>
        <w:rPr>
          <w:rFonts w:ascii="仿宋_GB2312" w:eastAsia="仿宋_GB2312"/>
          <w:sz w:val="32"/>
          <w:szCs w:val="32"/>
        </w:rPr>
        <w:t>023</w:t>
      </w:r>
      <w:r>
        <w:rPr>
          <w:rFonts w:hint="eastAsia" w:ascii="仿宋_GB2312" w:eastAsia="仿宋_GB2312"/>
          <w:sz w:val="32"/>
          <w:szCs w:val="32"/>
        </w:rPr>
        <w:t>年</w:t>
      </w:r>
      <w:r>
        <w:rPr>
          <w:rFonts w:ascii="仿宋_GB2312" w:eastAsia="仿宋_GB2312"/>
          <w:sz w:val="32"/>
          <w:szCs w:val="32"/>
        </w:rPr>
        <w:t>新购置公务用车8</w:t>
      </w:r>
      <w:r>
        <w:rPr>
          <w:rFonts w:hint="eastAsia" w:ascii="仿宋_GB2312" w:eastAsia="仿宋_GB2312"/>
          <w:sz w:val="32"/>
          <w:szCs w:val="32"/>
        </w:rPr>
        <w:t>辆</w:t>
      </w:r>
      <w:r>
        <w:rPr>
          <w:rFonts w:ascii="仿宋_GB2312" w:eastAsia="仿宋_GB2312"/>
          <w:sz w:val="32"/>
          <w:szCs w:val="32"/>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其中：公务用车购置支出</w:t>
      </w:r>
      <w:r>
        <w:rPr>
          <w:rFonts w:ascii="仿宋_GB2312" w:eastAsia="仿宋_GB2312"/>
          <w:sz w:val="32"/>
          <w:szCs w:val="32"/>
        </w:rPr>
        <w:t>157.23</w:t>
      </w:r>
      <w:r>
        <w:rPr>
          <w:rFonts w:hint="eastAsia" w:ascii="仿宋_GB2312" w:eastAsia="仿宋_GB2312"/>
          <w:sz w:val="32"/>
          <w:szCs w:val="32"/>
        </w:rPr>
        <w:t>万元。全年按规定更新购置公务用车</w:t>
      </w:r>
      <w:r>
        <w:rPr>
          <w:rFonts w:ascii="仿宋_GB2312" w:eastAsia="仿宋_GB2312"/>
          <w:sz w:val="32"/>
          <w:szCs w:val="32"/>
        </w:rPr>
        <w:t>8</w:t>
      </w:r>
      <w:r>
        <w:rPr>
          <w:rFonts w:hint="eastAsia" w:ascii="仿宋_GB2312" w:eastAsia="仿宋_GB2312"/>
          <w:sz w:val="32"/>
          <w:szCs w:val="32"/>
        </w:rPr>
        <w:t>辆，其中：轿</w:t>
      </w:r>
      <w:r>
        <w:rPr>
          <w:rFonts w:ascii="仿宋_GB2312" w:eastAsia="仿宋_GB2312"/>
          <w:sz w:val="32"/>
          <w:szCs w:val="32"/>
        </w:rPr>
        <w:t>车</w:t>
      </w:r>
      <w:r>
        <w:rPr>
          <w:rFonts w:hint="eastAsia" w:ascii="仿宋_GB2312" w:eastAsia="仿宋_GB2312"/>
          <w:sz w:val="32"/>
          <w:szCs w:val="32"/>
        </w:rPr>
        <w:t>7辆</w:t>
      </w:r>
      <w:r>
        <w:rPr>
          <w:rFonts w:ascii="仿宋_GB2312" w:eastAsia="仿宋_GB2312"/>
          <w:sz w:val="32"/>
          <w:szCs w:val="32"/>
        </w:rPr>
        <w:t>，</w:t>
      </w:r>
      <w:r>
        <w:rPr>
          <w:rFonts w:hint="eastAsia" w:ascii="仿宋_GB2312" w:eastAsia="仿宋_GB2312"/>
          <w:sz w:val="32"/>
          <w:szCs w:val="32"/>
        </w:rPr>
        <w:t>越野车1辆。主要用于城区巡逻检查、处理事故、警卫开道、出差等</w:t>
      </w:r>
      <w:r>
        <w:rPr>
          <w:rFonts w:ascii="仿宋_GB2312" w:eastAsia="仿宋_GB2312"/>
          <w:sz w:val="32"/>
          <w:szCs w:val="32"/>
        </w:rPr>
        <w:t>。</w:t>
      </w:r>
    </w:p>
    <w:p>
      <w:pPr>
        <w:ind w:firstLine="640" w:firstLineChars="200"/>
        <w:rPr>
          <w:rFonts w:ascii="仿宋_GB2312" w:hAnsi="仿宋" w:eastAsia="仿宋_GB2312" w:cs="仿宋_GB2312"/>
          <w:sz w:val="32"/>
          <w:szCs w:val="32"/>
        </w:rPr>
      </w:pPr>
      <w:r>
        <w:rPr>
          <w:rFonts w:hint="eastAsia" w:ascii="仿宋_GB2312" w:eastAsia="仿宋_GB2312"/>
          <w:sz w:val="32"/>
          <w:szCs w:val="32"/>
        </w:rPr>
        <w:t>截至2023年12月31日，单位共有公务用车</w:t>
      </w:r>
      <w:r>
        <w:rPr>
          <w:rFonts w:ascii="仿宋_GB2312" w:eastAsia="仿宋_GB2312"/>
          <w:sz w:val="32"/>
          <w:szCs w:val="32"/>
        </w:rPr>
        <w:t>57</w:t>
      </w:r>
      <w:r>
        <w:rPr>
          <w:rFonts w:hint="eastAsia" w:ascii="仿宋_GB2312" w:eastAsia="仿宋_GB2312"/>
          <w:sz w:val="32"/>
          <w:szCs w:val="32"/>
        </w:rPr>
        <w:t>辆，其中：</w:t>
      </w:r>
      <w:r>
        <w:rPr>
          <w:rFonts w:hint="eastAsia" w:ascii="仿宋_GB2312" w:hAnsi="仿宋" w:eastAsia="仿宋_GB2312" w:cs="仿宋_GB2312"/>
          <w:sz w:val="32"/>
          <w:szCs w:val="32"/>
        </w:rPr>
        <w:t>轿车3</w:t>
      </w:r>
      <w:r>
        <w:rPr>
          <w:rFonts w:ascii="仿宋_GB2312" w:hAnsi="仿宋" w:eastAsia="仿宋_GB2312" w:cs="仿宋_GB2312"/>
          <w:sz w:val="32"/>
          <w:szCs w:val="32"/>
        </w:rPr>
        <w:t>8</w:t>
      </w:r>
      <w:r>
        <w:rPr>
          <w:rFonts w:hint="eastAsia" w:ascii="仿宋_GB2312" w:hAnsi="仿宋" w:eastAsia="仿宋_GB2312" w:cs="仿宋_GB2312"/>
          <w:sz w:val="32"/>
          <w:szCs w:val="32"/>
        </w:rPr>
        <w:t>辆，大中型</w:t>
      </w:r>
      <w:r>
        <w:rPr>
          <w:rFonts w:ascii="仿宋_GB2312" w:hAnsi="仿宋" w:eastAsia="仿宋_GB2312" w:cs="仿宋_GB2312"/>
          <w:sz w:val="32"/>
          <w:szCs w:val="32"/>
        </w:rPr>
        <w:t>载客汽车3</w:t>
      </w:r>
      <w:r>
        <w:rPr>
          <w:rFonts w:hint="eastAsia" w:ascii="仿宋_GB2312" w:hAnsi="仿宋" w:eastAsia="仿宋_GB2312" w:cs="仿宋_GB2312"/>
          <w:sz w:val="32"/>
          <w:szCs w:val="32"/>
        </w:rPr>
        <w:t>辆</w:t>
      </w:r>
      <w:r>
        <w:rPr>
          <w:rFonts w:ascii="仿宋_GB2312" w:hAnsi="仿宋" w:eastAsia="仿宋_GB2312" w:cs="仿宋_GB2312"/>
          <w:sz w:val="32"/>
          <w:szCs w:val="32"/>
        </w:rPr>
        <w:t>，</w:t>
      </w:r>
      <w:r>
        <w:rPr>
          <w:rFonts w:hint="eastAsia" w:ascii="仿宋_GB2312" w:hAnsi="仿宋" w:eastAsia="仿宋_GB2312" w:cs="仿宋_GB2312"/>
          <w:sz w:val="32"/>
          <w:szCs w:val="32"/>
        </w:rPr>
        <w:t>轻型</w:t>
      </w:r>
      <w:r>
        <w:rPr>
          <w:rFonts w:ascii="仿宋_GB2312" w:hAnsi="仿宋" w:eastAsia="仿宋_GB2312" w:cs="仿宋_GB2312"/>
          <w:sz w:val="32"/>
          <w:szCs w:val="32"/>
        </w:rPr>
        <w:t>栏板</w:t>
      </w:r>
      <w:r>
        <w:rPr>
          <w:rFonts w:hint="eastAsia" w:ascii="仿宋_GB2312" w:hAnsi="仿宋" w:eastAsia="仿宋_GB2312" w:cs="仿宋_GB2312"/>
          <w:sz w:val="32"/>
          <w:szCs w:val="32"/>
        </w:rPr>
        <w:t>货车8辆</w:t>
      </w:r>
      <w:r>
        <w:rPr>
          <w:rFonts w:ascii="仿宋_GB2312" w:hAnsi="仿宋" w:eastAsia="仿宋_GB2312" w:cs="仿宋_GB2312"/>
          <w:sz w:val="32"/>
          <w:szCs w:val="32"/>
        </w:rPr>
        <w:t>，小型载客汽车</w:t>
      </w:r>
      <w:r>
        <w:rPr>
          <w:rFonts w:hint="eastAsia" w:ascii="仿宋_GB2312" w:hAnsi="仿宋" w:eastAsia="仿宋_GB2312" w:cs="仿宋_GB2312"/>
          <w:sz w:val="32"/>
          <w:szCs w:val="32"/>
        </w:rPr>
        <w:t>1辆</w:t>
      </w:r>
      <w:r>
        <w:rPr>
          <w:rFonts w:ascii="仿宋_GB2312" w:hAnsi="仿宋" w:eastAsia="仿宋_GB2312" w:cs="仿宋_GB2312"/>
          <w:sz w:val="32"/>
          <w:szCs w:val="32"/>
        </w:rPr>
        <w:t>，</w:t>
      </w:r>
      <w:r>
        <w:rPr>
          <w:rFonts w:hint="eastAsia" w:ascii="仿宋_GB2312" w:hAnsi="仿宋" w:eastAsia="仿宋_GB2312" w:cs="仿宋_GB2312"/>
          <w:sz w:val="32"/>
          <w:szCs w:val="32"/>
        </w:rPr>
        <w:t>越野车7辆。</w:t>
      </w:r>
      <w:r>
        <w:rPr>
          <w:rFonts w:ascii="仿宋_GB2312" w:hAnsi="仿宋" w:eastAsia="仿宋_GB2312" w:cs="仿宋_GB2312"/>
          <w:sz w:val="32"/>
          <w:szCs w:val="32"/>
        </w:rPr>
        <w:t xml:space="preserve"> </w:t>
      </w:r>
    </w:p>
    <w:p>
      <w:pPr>
        <w:ind w:firstLine="640" w:firstLineChars="200"/>
        <w:rPr>
          <w:rFonts w:ascii="仿宋_GB2312" w:eastAsia="仿宋_GB2312"/>
          <w:sz w:val="32"/>
          <w:szCs w:val="32"/>
        </w:rPr>
      </w:pPr>
      <w:r>
        <w:rPr>
          <w:rFonts w:hint="eastAsia" w:ascii="仿宋_GB2312" w:eastAsia="仿宋_GB2312"/>
          <w:sz w:val="32"/>
          <w:szCs w:val="32"/>
        </w:rPr>
        <w:t>公务用车运行维护费支出</w:t>
      </w:r>
      <w:r>
        <w:rPr>
          <w:rFonts w:ascii="仿宋_GB2312" w:eastAsia="仿宋_GB2312"/>
          <w:sz w:val="32"/>
          <w:szCs w:val="32"/>
        </w:rPr>
        <w:t>228.25</w:t>
      </w:r>
      <w:r>
        <w:rPr>
          <w:rFonts w:hint="eastAsia" w:ascii="仿宋_GB2312" w:eastAsia="仿宋_GB2312"/>
          <w:sz w:val="32"/>
          <w:szCs w:val="32"/>
        </w:rPr>
        <w:t>万元。主要用于巡逻检查、处理事故、警卫开道、出差等所需的公务用车燃料费、维修费、过路过桥费、保险费支出。</w:t>
      </w:r>
    </w:p>
    <w:p>
      <w:pPr>
        <w:ind w:firstLine="640" w:firstLineChars="200"/>
        <w:rPr>
          <w:rFonts w:ascii="仿宋_GB2312" w:eastAsia="仿宋_GB2312"/>
          <w:sz w:val="32"/>
          <w:szCs w:val="32"/>
        </w:rPr>
      </w:pPr>
      <w:r>
        <w:rPr>
          <w:rFonts w:hint="eastAsia" w:ascii="仿宋_GB2312" w:eastAsia="仿宋_GB2312"/>
          <w:sz w:val="32"/>
          <w:szCs w:val="32"/>
        </w:rPr>
        <w:t>3.公务接待费支出</w:t>
      </w:r>
      <w:r>
        <w:rPr>
          <w:rFonts w:ascii="仿宋_GB2312" w:eastAsia="仿宋_GB2312"/>
          <w:sz w:val="32"/>
          <w:szCs w:val="32"/>
        </w:rPr>
        <w:t>4</w:t>
      </w:r>
      <w:r>
        <w:rPr>
          <w:rFonts w:hint="eastAsia" w:ascii="仿宋_GB2312" w:eastAsia="仿宋_GB2312"/>
          <w:sz w:val="32"/>
          <w:szCs w:val="32"/>
        </w:rPr>
        <w:t>万元，完成预算</w:t>
      </w:r>
      <w:r>
        <w:rPr>
          <w:rFonts w:ascii="仿宋_GB2312" w:eastAsia="仿宋_GB2312"/>
          <w:sz w:val="32"/>
          <w:szCs w:val="32"/>
        </w:rPr>
        <w:t>100</w:t>
      </w:r>
      <w:r>
        <w:rPr>
          <w:rFonts w:hint="eastAsia" w:ascii="仿宋_GB2312" w:eastAsia="仿宋_GB2312"/>
          <w:sz w:val="32"/>
          <w:szCs w:val="32"/>
        </w:rPr>
        <w:t>%。公务接待费支出决算与2022年持平</w:t>
      </w:r>
      <w:r>
        <w:rPr>
          <w:rFonts w:ascii="仿宋_GB2312" w:eastAsia="仿宋_GB2312"/>
          <w:sz w:val="32"/>
          <w:szCs w:val="32"/>
        </w:rPr>
        <w:t>。</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sz w:val="32"/>
          <w:szCs w:val="32"/>
        </w:rPr>
        <w:t>4</w:t>
      </w:r>
      <w:r>
        <w:rPr>
          <w:rFonts w:hint="eastAsia" w:ascii="仿宋_GB2312" w:eastAsia="仿宋_GB2312"/>
          <w:sz w:val="32"/>
          <w:szCs w:val="32"/>
        </w:rPr>
        <w:t>万元，主要用于执行公务、开展业务活动开支的交通费、住宿费、用餐费等。国内公务接待</w:t>
      </w:r>
      <w:r>
        <w:rPr>
          <w:rFonts w:ascii="仿宋_GB2312" w:eastAsia="仿宋_GB2312"/>
          <w:sz w:val="32"/>
          <w:szCs w:val="32"/>
        </w:rPr>
        <w:t>28</w:t>
      </w:r>
      <w:r>
        <w:rPr>
          <w:rFonts w:hint="eastAsia" w:ascii="仿宋_GB2312" w:eastAsia="仿宋_GB2312"/>
          <w:sz w:val="32"/>
          <w:szCs w:val="32"/>
        </w:rPr>
        <w:t>批次，</w:t>
      </w:r>
      <w:r>
        <w:rPr>
          <w:rFonts w:ascii="仿宋_GB2312" w:eastAsia="仿宋_GB2312"/>
          <w:sz w:val="32"/>
          <w:szCs w:val="32"/>
        </w:rPr>
        <w:t>260</w:t>
      </w:r>
      <w:r>
        <w:rPr>
          <w:rFonts w:hint="eastAsia" w:ascii="仿宋_GB2312" w:eastAsia="仿宋_GB2312"/>
          <w:sz w:val="32"/>
          <w:szCs w:val="32"/>
        </w:rPr>
        <w:t>人次（不包括陪同人员），共计支出</w:t>
      </w:r>
      <w:r>
        <w:rPr>
          <w:rFonts w:ascii="仿宋_GB2312" w:eastAsia="仿宋_GB2312"/>
          <w:sz w:val="32"/>
          <w:szCs w:val="32"/>
        </w:rPr>
        <w:t>4</w:t>
      </w:r>
      <w:r>
        <w:rPr>
          <w:rFonts w:hint="eastAsia" w:ascii="仿宋_GB2312" w:eastAsia="仿宋_GB2312"/>
          <w:sz w:val="32"/>
          <w:szCs w:val="32"/>
        </w:rPr>
        <w:t>万元，具体内容包括：接待上级单位检查工作人员支出</w:t>
      </w:r>
      <w:r>
        <w:rPr>
          <w:rFonts w:ascii="仿宋_GB2312" w:eastAsia="仿宋_GB2312"/>
          <w:sz w:val="32"/>
          <w:szCs w:val="32"/>
        </w:rPr>
        <w:t>1.35</w:t>
      </w:r>
      <w:r>
        <w:rPr>
          <w:rFonts w:hint="eastAsia" w:ascii="仿宋_GB2312" w:eastAsia="仿宋_GB2312"/>
          <w:sz w:val="32"/>
          <w:szCs w:val="32"/>
        </w:rPr>
        <w:t>万元，接待下级交警大队办事民警支出2.</w:t>
      </w:r>
      <w:r>
        <w:rPr>
          <w:rFonts w:ascii="仿宋_GB2312" w:eastAsia="仿宋_GB2312"/>
          <w:sz w:val="32"/>
          <w:szCs w:val="32"/>
        </w:rPr>
        <w:t>65</w:t>
      </w:r>
      <w:r>
        <w:rPr>
          <w:rFonts w:hint="eastAsia" w:ascii="仿宋_GB2312" w:eastAsia="仿宋_GB2312"/>
          <w:sz w:val="32"/>
          <w:szCs w:val="32"/>
        </w:rPr>
        <w:t>万元。</w:t>
      </w:r>
    </w:p>
    <w:p>
      <w:pPr>
        <w:spacing w:line="600" w:lineRule="exact"/>
        <w:ind w:firstLine="64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sz w:val="32"/>
          <w:szCs w:val="32"/>
        </w:rPr>
        <w:t>0</w:t>
      </w:r>
      <w:r>
        <w:rPr>
          <w:rFonts w:hint="eastAsia" w:ascii="仿宋_GB2312" w:eastAsia="仿宋_GB2312"/>
          <w:sz w:val="32"/>
          <w:szCs w:val="32"/>
        </w:rPr>
        <w:t>万元。</w:t>
      </w:r>
    </w:p>
    <w:p>
      <w:pPr>
        <w:ind w:firstLine="640" w:firstLineChars="200"/>
        <w:outlineLvl w:val="1"/>
        <w:rPr>
          <w:rFonts w:ascii="黑体" w:hAnsi="黑体" w:eastAsia="黑体"/>
          <w:sz w:val="32"/>
          <w:szCs w:val="32"/>
        </w:rPr>
      </w:pPr>
      <w:bookmarkStart w:id="13" w:name="_Toc27555"/>
      <w:r>
        <w:rPr>
          <w:rFonts w:hint="eastAsia" w:ascii="黑体" w:hAnsi="黑体" w:eastAsia="黑体"/>
          <w:sz w:val="32"/>
          <w:szCs w:val="32"/>
        </w:rPr>
        <w:t>八、政府性基金预算支出决算情况说明</w:t>
      </w:r>
      <w:bookmarkEnd w:id="13"/>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2023年度政府性基金预算财政拨款支出</w:t>
      </w:r>
      <w:r>
        <w:rPr>
          <w:rFonts w:ascii="仿宋_GB2312" w:eastAsia="仿宋_GB2312"/>
          <w:sz w:val="32"/>
          <w:szCs w:val="32"/>
        </w:rPr>
        <w:t>202.73</w:t>
      </w:r>
      <w:r>
        <w:rPr>
          <w:rFonts w:hint="eastAsia" w:ascii="仿宋_GB2312" w:eastAsia="仿宋_GB2312"/>
          <w:sz w:val="32"/>
          <w:szCs w:val="32"/>
        </w:rPr>
        <w:t>万元。</w:t>
      </w:r>
    </w:p>
    <w:p>
      <w:pPr>
        <w:ind w:firstLine="640" w:firstLineChars="200"/>
        <w:outlineLvl w:val="1"/>
        <w:rPr>
          <w:rFonts w:ascii="黑体" w:hAnsi="黑体" w:eastAsia="黑体"/>
          <w:sz w:val="32"/>
          <w:szCs w:val="32"/>
        </w:rPr>
      </w:pPr>
      <w:bookmarkStart w:id="14" w:name="_Toc8423"/>
      <w:r>
        <w:rPr>
          <w:rFonts w:hint="eastAsia" w:ascii="黑体" w:hAnsi="黑体" w:eastAsia="黑体"/>
          <w:sz w:val="32"/>
          <w:szCs w:val="32"/>
        </w:rPr>
        <w:t>九、国有资本经营预算支出决算情况说明</w:t>
      </w:r>
      <w:bookmarkEnd w:id="14"/>
    </w:p>
    <w:p>
      <w:pPr>
        <w:ind w:firstLine="640" w:firstLineChars="20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_GB2312" w:eastAsia="仿宋_GB2312"/>
          <w:sz w:val="32"/>
          <w:szCs w:val="32"/>
        </w:rPr>
        <w:t>0</w:t>
      </w:r>
      <w:r>
        <w:rPr>
          <w:rFonts w:hint="eastAsia" w:ascii="仿宋_GB2312" w:eastAsia="仿宋_GB2312"/>
          <w:sz w:val="32"/>
          <w:szCs w:val="32"/>
        </w:rPr>
        <w:t>万元。</w:t>
      </w:r>
    </w:p>
    <w:p>
      <w:pPr>
        <w:ind w:firstLine="640" w:firstLineChars="200"/>
        <w:outlineLvl w:val="1"/>
        <w:rPr>
          <w:rFonts w:ascii="黑体" w:hAnsi="黑体" w:eastAsia="黑体"/>
          <w:sz w:val="32"/>
          <w:szCs w:val="32"/>
        </w:rPr>
      </w:pPr>
      <w:bookmarkStart w:id="15" w:name="_Toc23256"/>
      <w:r>
        <w:rPr>
          <w:rFonts w:hint="eastAsia" w:ascii="黑体" w:hAnsi="黑体" w:eastAsia="黑体"/>
          <w:sz w:val="32"/>
          <w:szCs w:val="32"/>
        </w:rPr>
        <w:t>十、其他重要事项的情况说明</w:t>
      </w:r>
      <w:bookmarkEnd w:id="15"/>
    </w:p>
    <w:p>
      <w:pPr>
        <w:ind w:firstLine="642" w:firstLineChars="200"/>
        <w:rPr>
          <w:rFonts w:ascii="仿宋_GB2312" w:eastAsia="仿宋_GB2312"/>
          <w:b/>
          <w:sz w:val="32"/>
          <w:szCs w:val="32"/>
        </w:rPr>
      </w:pPr>
      <w:r>
        <w:rPr>
          <w:rFonts w:hint="eastAsia" w:ascii="仿宋_GB2312" w:eastAsia="仿宋_GB2312"/>
          <w:b/>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2023年度，交警支队机关运行经费支出</w:t>
      </w:r>
      <w:r>
        <w:rPr>
          <w:rFonts w:ascii="仿宋_GB2312" w:eastAsia="仿宋_GB2312"/>
          <w:sz w:val="32"/>
          <w:szCs w:val="32"/>
        </w:rPr>
        <w:t>3049.55</w:t>
      </w:r>
      <w:r>
        <w:rPr>
          <w:rFonts w:hint="eastAsia" w:ascii="仿宋_GB2312" w:eastAsia="仿宋_GB2312"/>
          <w:sz w:val="32"/>
          <w:szCs w:val="32"/>
        </w:rPr>
        <w:t>万元，比2022年度增加400.06万元，增长</w:t>
      </w:r>
      <w:r>
        <w:rPr>
          <w:rFonts w:ascii="仿宋_GB2312" w:eastAsia="仿宋_GB2312"/>
          <w:sz w:val="32"/>
          <w:szCs w:val="32"/>
        </w:rPr>
        <w:t>15.1</w:t>
      </w:r>
      <w:r>
        <w:rPr>
          <w:rFonts w:hint="eastAsia" w:ascii="仿宋_GB2312" w:eastAsia="仿宋_GB2312"/>
          <w:sz w:val="32"/>
          <w:szCs w:val="32"/>
        </w:rPr>
        <w:t>%，主要原因是劳务费</w:t>
      </w:r>
      <w:r>
        <w:rPr>
          <w:rFonts w:ascii="仿宋_GB2312" w:eastAsia="仿宋_GB2312"/>
          <w:sz w:val="32"/>
          <w:szCs w:val="32"/>
        </w:rPr>
        <w:t>支出增加</w:t>
      </w:r>
      <w:r>
        <w:rPr>
          <w:rFonts w:hint="eastAsia" w:ascii="仿宋_GB2312" w:eastAsia="仿宋_GB2312"/>
          <w:sz w:val="32"/>
          <w:szCs w:val="32"/>
        </w:rPr>
        <w:t>。</w:t>
      </w:r>
    </w:p>
    <w:p>
      <w:pPr>
        <w:ind w:firstLine="642" w:firstLineChars="200"/>
        <w:rPr>
          <w:rFonts w:ascii="楷体_GB2312" w:eastAsia="楷体_GB2312"/>
          <w:b/>
          <w:sz w:val="32"/>
          <w:szCs w:val="32"/>
        </w:rPr>
      </w:pPr>
      <w:r>
        <w:rPr>
          <w:rFonts w:hint="eastAsia" w:ascii="楷体_GB2312" w:eastAsia="楷体_GB2312"/>
          <w:b/>
          <w:sz w:val="32"/>
          <w:szCs w:val="32"/>
        </w:rPr>
        <w:t>（二）政府采购支出情况</w:t>
      </w:r>
    </w:p>
    <w:p>
      <w:pPr>
        <w:ind w:firstLine="640" w:firstLineChars="200"/>
        <w:rPr>
          <w:rFonts w:ascii="仿宋_GB2312" w:eastAsia="仿宋_GB2312"/>
          <w:sz w:val="32"/>
          <w:szCs w:val="32"/>
        </w:rPr>
      </w:pPr>
      <w:r>
        <w:rPr>
          <w:rFonts w:hint="eastAsia" w:ascii="仿宋_GB2312" w:eastAsia="仿宋_GB2312"/>
          <w:sz w:val="32"/>
          <w:szCs w:val="32"/>
        </w:rPr>
        <w:t>2023年度，交警支队政府采购支出总额</w:t>
      </w:r>
      <w:r>
        <w:rPr>
          <w:rFonts w:ascii="仿宋_GB2312" w:eastAsia="仿宋_GB2312"/>
          <w:sz w:val="32"/>
          <w:szCs w:val="32"/>
        </w:rPr>
        <w:t>601.59</w:t>
      </w:r>
      <w:r>
        <w:rPr>
          <w:rFonts w:hint="eastAsia" w:ascii="仿宋_GB2312" w:eastAsia="仿宋_GB2312"/>
          <w:sz w:val="32"/>
          <w:szCs w:val="32"/>
        </w:rPr>
        <w:t>万元，其中：政府采购货物支出</w:t>
      </w:r>
      <w:r>
        <w:rPr>
          <w:rFonts w:ascii="仿宋_GB2312" w:eastAsia="仿宋_GB2312"/>
          <w:sz w:val="32"/>
          <w:szCs w:val="32"/>
        </w:rPr>
        <w:t>235.33</w:t>
      </w:r>
      <w:r>
        <w:rPr>
          <w:rFonts w:hint="eastAsia" w:ascii="仿宋_GB2312" w:eastAsia="仿宋_GB2312"/>
          <w:sz w:val="32"/>
          <w:szCs w:val="32"/>
        </w:rPr>
        <w:t>万元、政府采购服务支出</w:t>
      </w:r>
      <w:r>
        <w:rPr>
          <w:rFonts w:ascii="仿宋_GB2312" w:eastAsia="仿宋_GB2312"/>
          <w:sz w:val="32"/>
          <w:szCs w:val="32"/>
        </w:rPr>
        <w:t>366.26</w:t>
      </w:r>
      <w:r>
        <w:rPr>
          <w:rFonts w:hint="eastAsia" w:ascii="仿宋_GB2312" w:eastAsia="仿宋_GB2312"/>
          <w:sz w:val="32"/>
          <w:szCs w:val="32"/>
        </w:rPr>
        <w:t>万元。主要用于机动车号牌制作</w:t>
      </w:r>
      <w:r>
        <w:rPr>
          <w:rFonts w:ascii="仿宋_GB2312" w:eastAsia="仿宋_GB2312"/>
          <w:sz w:val="32"/>
          <w:szCs w:val="32"/>
        </w:rPr>
        <w:t>、物业管理服务</w:t>
      </w:r>
      <w:r>
        <w:rPr>
          <w:rFonts w:hint="eastAsia" w:ascii="仿宋_GB2312" w:eastAsia="仿宋_GB2312"/>
          <w:sz w:val="32"/>
          <w:szCs w:val="32"/>
        </w:rPr>
        <w:t>等。授予中小企业合同金额</w:t>
      </w:r>
      <w:r>
        <w:rPr>
          <w:rFonts w:ascii="仿宋_GB2312" w:eastAsia="仿宋_GB2312"/>
          <w:sz w:val="32"/>
          <w:szCs w:val="32"/>
        </w:rPr>
        <w:t>601.59</w:t>
      </w:r>
      <w:r>
        <w:rPr>
          <w:rFonts w:hint="eastAsia" w:ascii="仿宋_GB2312" w:eastAsia="仿宋_GB2312"/>
          <w:sz w:val="32"/>
          <w:szCs w:val="32"/>
        </w:rPr>
        <w:t>万元，占政府采购支出总额的</w:t>
      </w:r>
      <w:r>
        <w:rPr>
          <w:rFonts w:ascii="仿宋_GB2312" w:eastAsia="仿宋_GB2312"/>
          <w:sz w:val="32"/>
          <w:szCs w:val="32"/>
        </w:rPr>
        <w:t>100</w:t>
      </w:r>
      <w:r>
        <w:rPr>
          <w:rFonts w:hint="eastAsia" w:ascii="仿宋_GB2312" w:eastAsia="仿宋_GB2312"/>
          <w:sz w:val="32"/>
          <w:szCs w:val="32"/>
        </w:rPr>
        <w:t>%，其中：授予小微企业合同金额</w:t>
      </w:r>
      <w:r>
        <w:rPr>
          <w:rFonts w:ascii="仿宋_GB2312" w:eastAsia="仿宋_GB2312"/>
          <w:sz w:val="32"/>
          <w:szCs w:val="32"/>
        </w:rPr>
        <w:t>601.59</w:t>
      </w:r>
      <w:r>
        <w:rPr>
          <w:rFonts w:hint="eastAsia" w:ascii="仿宋_GB2312" w:eastAsia="仿宋_GB2312"/>
          <w:sz w:val="32"/>
          <w:szCs w:val="32"/>
        </w:rPr>
        <w:t>万元，占政府采购支出总额的</w:t>
      </w:r>
      <w:r>
        <w:rPr>
          <w:rFonts w:ascii="仿宋_GB2312" w:eastAsia="仿宋_GB2312"/>
          <w:sz w:val="32"/>
          <w:szCs w:val="32"/>
        </w:rPr>
        <w:t>100</w:t>
      </w:r>
      <w:r>
        <w:rPr>
          <w:rFonts w:hint="eastAsia" w:ascii="仿宋_GB2312" w:eastAsia="仿宋_GB2312"/>
          <w:sz w:val="32"/>
          <w:szCs w:val="32"/>
        </w:rPr>
        <w:t>%。</w:t>
      </w:r>
    </w:p>
    <w:p>
      <w:pPr>
        <w:ind w:firstLine="642" w:firstLineChars="200"/>
        <w:rPr>
          <w:rFonts w:ascii="楷体_GB2312" w:eastAsia="楷体_GB2312"/>
          <w:b/>
          <w:sz w:val="32"/>
          <w:szCs w:val="32"/>
        </w:rPr>
      </w:pPr>
      <w:r>
        <w:rPr>
          <w:rFonts w:hint="eastAsia" w:ascii="楷体_GB2312" w:eastAsia="楷体_GB2312"/>
          <w:b/>
          <w:sz w:val="32"/>
          <w:szCs w:val="32"/>
        </w:rPr>
        <w:t>（三）国有资产占有使用情况</w:t>
      </w:r>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截至2023年12月31日，交警支队共有车辆</w:t>
      </w:r>
      <w:r>
        <w:rPr>
          <w:rFonts w:ascii="仿宋_GB2312" w:eastAsia="仿宋_GB2312"/>
          <w:sz w:val="32"/>
          <w:szCs w:val="32"/>
        </w:rPr>
        <w:t>57</w:t>
      </w:r>
      <w:r>
        <w:rPr>
          <w:rFonts w:hint="eastAsia" w:ascii="仿宋_GB2312" w:eastAsia="仿宋_GB2312"/>
          <w:sz w:val="32"/>
          <w:szCs w:val="32"/>
        </w:rPr>
        <w:t>辆，其中：</w:t>
      </w:r>
      <w:r>
        <w:rPr>
          <w:rFonts w:hint="eastAsia" w:ascii="仿宋_GB2312" w:hAnsi="仿宋" w:eastAsia="仿宋_GB2312" w:cs="仿宋_GB2312"/>
          <w:sz w:val="32"/>
          <w:szCs w:val="32"/>
        </w:rPr>
        <w:t>执勤执法用车4</w:t>
      </w:r>
      <w:r>
        <w:rPr>
          <w:rFonts w:ascii="仿宋_GB2312" w:hAnsi="仿宋" w:eastAsia="仿宋_GB2312" w:cs="仿宋_GB2312"/>
          <w:sz w:val="32"/>
          <w:szCs w:val="32"/>
        </w:rPr>
        <w:t>7</w:t>
      </w:r>
      <w:r>
        <w:rPr>
          <w:rFonts w:hint="eastAsia" w:ascii="仿宋_GB2312" w:hAnsi="仿宋" w:eastAsia="仿宋_GB2312" w:cs="仿宋_GB2312"/>
          <w:sz w:val="32"/>
          <w:szCs w:val="32"/>
        </w:rPr>
        <w:t>辆，特种车辆9辆，其他车辆1辆。其他车辆主要</w:t>
      </w:r>
      <w:r>
        <w:rPr>
          <w:rFonts w:hint="eastAsia" w:ascii="仿宋_GB2312" w:eastAsia="仿宋_GB2312"/>
          <w:sz w:val="32"/>
          <w:szCs w:val="32"/>
        </w:rPr>
        <w:t>用于城区巡逻检查、处理事故、警卫开道、出差等。单价100万元以上专用设备2台（套）。</w:t>
      </w:r>
    </w:p>
    <w:p>
      <w:pPr>
        <w:ind w:firstLine="642" w:firstLineChars="200"/>
        <w:rPr>
          <w:rFonts w:ascii="楷体_GB2312" w:eastAsia="楷体_GB2312"/>
          <w:b/>
          <w:sz w:val="32"/>
          <w:szCs w:val="32"/>
        </w:rPr>
      </w:pPr>
      <w:r>
        <w:rPr>
          <w:rFonts w:hint="eastAsia" w:ascii="楷体_GB2312" w:eastAsia="楷体_GB2312"/>
          <w:b/>
          <w:sz w:val="32"/>
          <w:szCs w:val="32"/>
        </w:rPr>
        <w:t>（四）预算绩效管理情况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根据预算绩效管理要求，本部门在2023年度预算编制阶段，组织对交通</w:t>
      </w:r>
      <w:r>
        <w:rPr>
          <w:rFonts w:ascii="仿宋_GB2312" w:eastAsia="仿宋_GB2312"/>
          <w:sz w:val="32"/>
          <w:szCs w:val="32"/>
        </w:rPr>
        <w:t>安全</w:t>
      </w:r>
      <w:r>
        <w:rPr>
          <w:rFonts w:hint="eastAsia" w:ascii="仿宋_GB2312" w:eastAsia="仿宋_GB2312"/>
          <w:sz w:val="32"/>
          <w:szCs w:val="32"/>
        </w:rPr>
        <w:t>宣传</w:t>
      </w:r>
      <w:r>
        <w:rPr>
          <w:rFonts w:ascii="仿宋_GB2312" w:eastAsia="仿宋_GB2312"/>
          <w:sz w:val="32"/>
          <w:szCs w:val="32"/>
        </w:rPr>
        <w:t>等15</w:t>
      </w:r>
      <w:r>
        <w:rPr>
          <w:rFonts w:hint="eastAsia" w:ascii="仿宋_GB2312" w:eastAsia="仿宋_GB2312"/>
          <w:sz w:val="32"/>
          <w:szCs w:val="32"/>
        </w:rPr>
        <w:t>个项目开展了预算事前绩效评估，对</w:t>
      </w:r>
      <w:r>
        <w:rPr>
          <w:rFonts w:ascii="仿宋_GB2312" w:eastAsia="仿宋_GB2312"/>
          <w:sz w:val="32"/>
          <w:szCs w:val="32"/>
        </w:rPr>
        <w:t>15</w:t>
      </w:r>
      <w:r>
        <w:rPr>
          <w:rFonts w:hint="eastAsia" w:ascii="仿宋_GB2312" w:eastAsia="仿宋_GB2312"/>
          <w:sz w:val="32"/>
          <w:szCs w:val="32"/>
        </w:rPr>
        <w:t>个项目编制了绩效目标，预算执行过程中，选取15个项目开展绩效监控。组织对2023年度一般公共预算、政府性基金预算等全面开展绩效自评，形成整体（含部门预算项目）绩效自评报告、专项预算项目绩效自评报告，其中，部门整体（含部门预算项目）绩效自评得分为</w:t>
      </w:r>
      <w:r>
        <w:rPr>
          <w:rFonts w:ascii="仿宋_GB2312" w:eastAsia="仿宋_GB2312"/>
          <w:sz w:val="32"/>
          <w:szCs w:val="32"/>
        </w:rPr>
        <w:t>96</w:t>
      </w:r>
      <w:r>
        <w:rPr>
          <w:rFonts w:hint="eastAsia" w:ascii="仿宋_GB2312" w:eastAsia="仿宋_GB2312"/>
          <w:sz w:val="32"/>
          <w:szCs w:val="32"/>
        </w:rPr>
        <w:t>分，绩效自评综述：20</w:t>
      </w:r>
      <w:r>
        <w:rPr>
          <w:rFonts w:ascii="仿宋_GB2312" w:eastAsia="仿宋_GB2312"/>
          <w:sz w:val="32"/>
          <w:szCs w:val="32"/>
        </w:rPr>
        <w:t>23</w:t>
      </w:r>
      <w:r>
        <w:rPr>
          <w:rFonts w:hint="eastAsia" w:ascii="仿宋_GB2312" w:eastAsia="仿宋_GB2312"/>
          <w:sz w:val="32"/>
          <w:szCs w:val="32"/>
        </w:rPr>
        <w:t>年，我支队从需求、论证、审批、实施和验收等环节着手，注重强化项目的规划与科学论证，规范绩效支出项目建设，严把项目建设进度和质量关，实现流程管理模式化和标准化；健全了资金的核算与管理制度，做到“量化到人头，落实到部门，具体到项目”，促进了财政资金的使用管理方式，极大的保障了道路交通管理工作。事故车辆检测专项预算项目绩效自评得分为</w:t>
      </w:r>
      <w:r>
        <w:rPr>
          <w:rFonts w:ascii="仿宋_GB2312" w:eastAsia="仿宋_GB2312"/>
          <w:sz w:val="32"/>
          <w:szCs w:val="32"/>
        </w:rPr>
        <w:t>99</w:t>
      </w:r>
      <w:r>
        <w:rPr>
          <w:rFonts w:hint="eastAsia" w:ascii="仿宋_GB2312" w:eastAsia="仿宋_GB2312"/>
          <w:sz w:val="32"/>
          <w:szCs w:val="32"/>
        </w:rPr>
        <w:t>分，协警</w:t>
      </w:r>
      <w:r>
        <w:rPr>
          <w:rFonts w:ascii="仿宋_GB2312" w:eastAsia="仿宋_GB2312"/>
          <w:sz w:val="32"/>
          <w:szCs w:val="32"/>
        </w:rPr>
        <w:t>人员经费专项预算项目绩效自评</w:t>
      </w:r>
      <w:r>
        <w:rPr>
          <w:rFonts w:hint="eastAsia" w:ascii="仿宋_GB2312" w:eastAsia="仿宋_GB2312"/>
          <w:sz w:val="32"/>
          <w:szCs w:val="32"/>
        </w:rPr>
        <w:t>100分</w:t>
      </w:r>
      <w:r>
        <w:rPr>
          <w:rFonts w:ascii="仿宋_GB2312" w:eastAsia="仿宋_GB2312"/>
          <w:sz w:val="32"/>
          <w:szCs w:val="32"/>
        </w:rPr>
        <w:t>，</w:t>
      </w:r>
      <w:r>
        <w:rPr>
          <w:rFonts w:hint="eastAsia" w:ascii="仿宋_GB2312" w:eastAsia="仿宋_GB2312"/>
          <w:sz w:val="32"/>
          <w:szCs w:val="32"/>
        </w:rPr>
        <w:t>道路交通事故救助管理中心工作经费</w:t>
      </w:r>
      <w:r>
        <w:rPr>
          <w:rFonts w:ascii="仿宋_GB2312" w:eastAsia="仿宋_GB2312"/>
          <w:sz w:val="32"/>
          <w:szCs w:val="32"/>
        </w:rPr>
        <w:t>专项预算项目绩效自评</w:t>
      </w:r>
      <w:r>
        <w:rPr>
          <w:rFonts w:hint="eastAsia" w:ascii="仿宋_GB2312" w:eastAsia="仿宋_GB2312"/>
          <w:sz w:val="32"/>
          <w:szCs w:val="32"/>
        </w:rPr>
        <w:t>100分，交通事故处理费</w:t>
      </w:r>
      <w:r>
        <w:rPr>
          <w:rFonts w:ascii="仿宋_GB2312" w:eastAsia="仿宋_GB2312"/>
          <w:sz w:val="32"/>
          <w:szCs w:val="32"/>
        </w:rPr>
        <w:t>专项预算项目绩效自评</w:t>
      </w:r>
      <w:r>
        <w:rPr>
          <w:rFonts w:hint="eastAsia" w:ascii="仿宋_GB2312" w:eastAsia="仿宋_GB2312"/>
          <w:sz w:val="32"/>
          <w:szCs w:val="32"/>
        </w:rPr>
        <w:t>99分，交通安全宣传</w:t>
      </w:r>
      <w:r>
        <w:rPr>
          <w:rFonts w:ascii="仿宋_GB2312" w:eastAsia="仿宋_GB2312"/>
          <w:sz w:val="32"/>
          <w:szCs w:val="32"/>
        </w:rPr>
        <w:t>专项预算项目绩效自评</w:t>
      </w:r>
      <w:r>
        <w:rPr>
          <w:rFonts w:hint="eastAsia" w:ascii="仿宋_GB2312" w:eastAsia="仿宋_GB2312"/>
          <w:sz w:val="32"/>
          <w:szCs w:val="32"/>
        </w:rPr>
        <w:t>100分</w:t>
      </w:r>
      <w:r>
        <w:rPr>
          <w:rFonts w:ascii="仿宋_GB2312" w:eastAsia="仿宋_GB2312"/>
          <w:sz w:val="32"/>
          <w:szCs w:val="32"/>
        </w:rPr>
        <w:t>，</w:t>
      </w:r>
      <w:r>
        <w:rPr>
          <w:rFonts w:hint="eastAsia" w:ascii="仿宋_GB2312" w:eastAsia="仿宋_GB2312"/>
          <w:sz w:val="32"/>
          <w:szCs w:val="32"/>
        </w:rPr>
        <w:t>车辆号牌、违法处置、驾驶证、登记证成本</w:t>
      </w:r>
      <w:r>
        <w:rPr>
          <w:rFonts w:ascii="仿宋_GB2312" w:eastAsia="仿宋_GB2312"/>
          <w:sz w:val="32"/>
          <w:szCs w:val="32"/>
        </w:rPr>
        <w:t>专项预算项目绩效自评</w:t>
      </w:r>
      <w:r>
        <w:rPr>
          <w:rFonts w:hint="eastAsia" w:ascii="仿宋_GB2312" w:eastAsia="仿宋_GB2312"/>
          <w:sz w:val="32"/>
          <w:szCs w:val="32"/>
        </w:rPr>
        <w:t>9</w:t>
      </w:r>
      <w:r>
        <w:rPr>
          <w:rFonts w:ascii="仿宋_GB2312" w:eastAsia="仿宋_GB2312"/>
          <w:sz w:val="32"/>
          <w:szCs w:val="32"/>
        </w:rPr>
        <w:t>8</w:t>
      </w:r>
      <w:r>
        <w:rPr>
          <w:rFonts w:hint="eastAsia" w:ascii="仿宋_GB2312" w:eastAsia="仿宋_GB2312"/>
          <w:sz w:val="32"/>
          <w:szCs w:val="32"/>
        </w:rPr>
        <w:t>分</w:t>
      </w:r>
      <w:r>
        <w:rPr>
          <w:rFonts w:ascii="仿宋_GB2312" w:eastAsia="仿宋_GB2312"/>
          <w:sz w:val="32"/>
          <w:szCs w:val="32"/>
        </w:rPr>
        <w:t>，</w:t>
      </w:r>
      <w:r>
        <w:rPr>
          <w:rFonts w:hint="eastAsia" w:ascii="仿宋_GB2312" w:eastAsia="仿宋_GB2312"/>
          <w:sz w:val="32"/>
          <w:szCs w:val="32"/>
        </w:rPr>
        <w:t>乡村</w:t>
      </w:r>
      <w:r>
        <w:rPr>
          <w:rFonts w:ascii="仿宋_GB2312" w:eastAsia="仿宋_GB2312"/>
          <w:sz w:val="32"/>
          <w:szCs w:val="32"/>
        </w:rPr>
        <w:t>振兴工作经费专项预算项目绩效自评</w:t>
      </w:r>
      <w:r>
        <w:rPr>
          <w:rFonts w:hint="eastAsia" w:ascii="仿宋_GB2312" w:eastAsia="仿宋_GB2312"/>
          <w:sz w:val="32"/>
          <w:szCs w:val="32"/>
        </w:rPr>
        <w:t>100分</w:t>
      </w:r>
      <w:r>
        <w:rPr>
          <w:rFonts w:ascii="仿宋_GB2312" w:eastAsia="仿宋_GB2312"/>
          <w:sz w:val="32"/>
          <w:szCs w:val="32"/>
        </w:rPr>
        <w:t>，</w:t>
      </w:r>
      <w:r>
        <w:rPr>
          <w:rFonts w:hint="eastAsia" w:ascii="仿宋_GB2312" w:eastAsia="仿宋_GB2312"/>
          <w:sz w:val="32"/>
          <w:szCs w:val="32"/>
        </w:rPr>
        <w:t>城区交通管理设施建设与维护</w:t>
      </w:r>
      <w:r>
        <w:rPr>
          <w:rFonts w:ascii="仿宋_GB2312" w:eastAsia="仿宋_GB2312"/>
          <w:sz w:val="32"/>
          <w:szCs w:val="32"/>
        </w:rPr>
        <w:t>专项预算项目绩效自评</w:t>
      </w:r>
      <w:r>
        <w:rPr>
          <w:rFonts w:hint="eastAsia" w:ascii="仿宋_GB2312" w:eastAsia="仿宋_GB2312"/>
          <w:sz w:val="32"/>
          <w:szCs w:val="32"/>
        </w:rPr>
        <w:t>98分</w:t>
      </w:r>
      <w:r>
        <w:rPr>
          <w:rFonts w:ascii="仿宋_GB2312" w:eastAsia="仿宋_GB2312"/>
          <w:sz w:val="32"/>
          <w:szCs w:val="32"/>
        </w:rPr>
        <w:t>，</w:t>
      </w:r>
      <w:r>
        <w:rPr>
          <w:rFonts w:hint="eastAsia" w:ascii="仿宋_GB2312" w:eastAsia="仿宋_GB2312"/>
          <w:sz w:val="32"/>
          <w:szCs w:val="32"/>
        </w:rPr>
        <w:t>执法办案区改造</w:t>
      </w:r>
      <w:r>
        <w:rPr>
          <w:rFonts w:ascii="仿宋_GB2312" w:eastAsia="仿宋_GB2312"/>
          <w:sz w:val="32"/>
          <w:szCs w:val="32"/>
        </w:rPr>
        <w:t>专项预算项目绩效自评</w:t>
      </w:r>
      <w:r>
        <w:rPr>
          <w:rFonts w:hint="eastAsia" w:ascii="仿宋_GB2312" w:eastAsia="仿宋_GB2312"/>
          <w:sz w:val="32"/>
          <w:szCs w:val="32"/>
        </w:rPr>
        <w:t>100分，电梯采购</w:t>
      </w:r>
      <w:r>
        <w:rPr>
          <w:rFonts w:ascii="仿宋_GB2312" w:eastAsia="仿宋_GB2312"/>
          <w:sz w:val="32"/>
          <w:szCs w:val="32"/>
        </w:rPr>
        <w:t>专项预算项目绩效自评</w:t>
      </w:r>
      <w:r>
        <w:rPr>
          <w:rFonts w:hint="eastAsia" w:ascii="仿宋_GB2312" w:eastAsia="仿宋_GB2312"/>
          <w:sz w:val="32"/>
          <w:szCs w:val="32"/>
        </w:rPr>
        <w:t>100分，民警法定工作日之外加班补贴</w:t>
      </w:r>
      <w:r>
        <w:rPr>
          <w:rFonts w:ascii="仿宋_GB2312" w:eastAsia="仿宋_GB2312"/>
          <w:sz w:val="32"/>
          <w:szCs w:val="32"/>
        </w:rPr>
        <w:t>专项预算项目绩效自评</w:t>
      </w:r>
      <w:r>
        <w:rPr>
          <w:rFonts w:hint="eastAsia" w:ascii="仿宋_GB2312" w:eastAsia="仿宋_GB2312"/>
          <w:sz w:val="32"/>
          <w:szCs w:val="32"/>
        </w:rPr>
        <w:t>100分，驾驶人考试考场租赁</w:t>
      </w:r>
      <w:r>
        <w:rPr>
          <w:rFonts w:ascii="仿宋_GB2312" w:eastAsia="仿宋_GB2312"/>
          <w:sz w:val="32"/>
          <w:szCs w:val="32"/>
        </w:rPr>
        <w:t>专项预算项目绩效自评</w:t>
      </w:r>
      <w:r>
        <w:rPr>
          <w:rFonts w:hint="eastAsia" w:ascii="仿宋_GB2312" w:eastAsia="仿宋_GB2312"/>
          <w:sz w:val="32"/>
          <w:szCs w:val="32"/>
        </w:rPr>
        <w:t>100分，特种专业技术用车</w:t>
      </w:r>
      <w:r>
        <w:rPr>
          <w:rFonts w:ascii="仿宋_GB2312" w:eastAsia="仿宋_GB2312"/>
          <w:sz w:val="32"/>
          <w:szCs w:val="32"/>
        </w:rPr>
        <w:t>专项预算项目绩效自评</w:t>
      </w:r>
      <w:r>
        <w:rPr>
          <w:rFonts w:hint="eastAsia" w:ascii="仿宋_GB2312" w:eastAsia="仿宋_GB2312"/>
          <w:sz w:val="32"/>
          <w:szCs w:val="32"/>
        </w:rPr>
        <w:t>100分，疫情防控财政补助资金</w:t>
      </w:r>
      <w:r>
        <w:rPr>
          <w:rFonts w:ascii="仿宋_GB2312" w:eastAsia="仿宋_GB2312"/>
          <w:sz w:val="32"/>
          <w:szCs w:val="32"/>
        </w:rPr>
        <w:t>专项预算项目绩效自评</w:t>
      </w:r>
      <w:r>
        <w:rPr>
          <w:rFonts w:hint="eastAsia" w:ascii="仿宋_GB2312" w:eastAsia="仿宋_GB2312"/>
          <w:sz w:val="32"/>
          <w:szCs w:val="32"/>
        </w:rPr>
        <w:t>100分</w:t>
      </w:r>
      <w:r>
        <w:rPr>
          <w:rFonts w:hint="eastAsia" w:ascii="仿宋_GB2312" w:eastAsia="仿宋_GB2312"/>
          <w:b/>
          <w:sz w:val="32"/>
          <w:szCs w:val="32"/>
        </w:rPr>
        <w:t>，</w:t>
      </w:r>
      <w:r>
        <w:rPr>
          <w:rFonts w:hint="eastAsia" w:ascii="仿宋_GB2312" w:eastAsia="仿宋_GB2312"/>
          <w:sz w:val="32"/>
          <w:szCs w:val="32"/>
        </w:rPr>
        <w:t>中央和省级政法转移支付资金</w:t>
      </w:r>
      <w:r>
        <w:rPr>
          <w:rFonts w:ascii="仿宋_GB2312" w:eastAsia="仿宋_GB2312"/>
          <w:sz w:val="32"/>
          <w:szCs w:val="32"/>
        </w:rPr>
        <w:t>专项预算项目绩效自评99</w:t>
      </w:r>
      <w:r>
        <w:rPr>
          <w:rFonts w:hint="eastAsia" w:ascii="仿宋_GB2312" w:eastAsia="仿宋_GB2312"/>
          <w:sz w:val="32"/>
          <w:szCs w:val="32"/>
        </w:rPr>
        <w:t>分。绩效自评综述：从评价情况来看，所有项目的预算资金管理科学合理，使用规范，完成了项目的既定目标，达到了预期使用效果。</w:t>
      </w:r>
    </w:p>
    <w:p>
      <w:pPr>
        <w:ind w:firstLine="420" w:firstLineChars="200"/>
      </w:pPr>
    </w:p>
    <w:p>
      <w:pPr>
        <w:widowControl/>
        <w:ind w:firstLine="880" w:firstLineChars="200"/>
        <w:jc w:val="center"/>
        <w:rPr>
          <w:rFonts w:ascii="黑体" w:hAnsi="黑体" w:eastAsia="黑体" w:cs="仿宋_GB2312"/>
          <w:sz w:val="44"/>
          <w:szCs w:val="44"/>
        </w:rPr>
      </w:pPr>
    </w:p>
    <w:p>
      <w:pPr>
        <w:widowControl/>
        <w:ind w:firstLine="880" w:firstLineChars="200"/>
        <w:jc w:val="center"/>
        <w:rPr>
          <w:rFonts w:hint="eastAsia" w:ascii="黑体" w:hAnsi="黑体" w:eastAsia="黑体" w:cs="仿宋_GB2312"/>
          <w:sz w:val="44"/>
          <w:szCs w:val="44"/>
        </w:rPr>
      </w:pPr>
    </w:p>
    <w:p>
      <w:pPr>
        <w:widowControl/>
        <w:rPr>
          <w:rFonts w:ascii="黑体" w:hAnsi="黑体" w:eastAsia="黑体" w:cs="仿宋_GB2312"/>
          <w:sz w:val="44"/>
          <w:szCs w:val="44"/>
        </w:rPr>
      </w:pPr>
    </w:p>
    <w:p>
      <w:pPr>
        <w:widowControl/>
        <w:ind w:firstLine="880" w:firstLineChars="200"/>
        <w:jc w:val="center"/>
        <w:outlineLvl w:val="0"/>
        <w:rPr>
          <w:rFonts w:hint="eastAsia" w:ascii="黑体" w:hAnsi="黑体" w:eastAsia="黑体" w:cs="仿宋_GB2312"/>
          <w:sz w:val="44"/>
          <w:szCs w:val="44"/>
        </w:rPr>
      </w:pPr>
      <w:bookmarkStart w:id="16" w:name="_Toc8763"/>
    </w:p>
    <w:p>
      <w:pPr>
        <w:widowControl/>
        <w:ind w:firstLine="880" w:firstLineChars="200"/>
        <w:jc w:val="center"/>
        <w:outlineLvl w:val="0"/>
        <w:rPr>
          <w:rFonts w:hint="eastAsia" w:ascii="黑体" w:hAnsi="黑体" w:eastAsia="黑体" w:cs="仿宋_GB2312"/>
          <w:sz w:val="44"/>
          <w:szCs w:val="44"/>
        </w:rPr>
      </w:pPr>
    </w:p>
    <w:p>
      <w:pPr>
        <w:widowControl/>
        <w:ind w:firstLine="880" w:firstLineChars="200"/>
        <w:jc w:val="center"/>
        <w:outlineLvl w:val="0"/>
        <w:rPr>
          <w:rFonts w:hint="eastAsia" w:ascii="黑体" w:hAnsi="黑体" w:eastAsia="黑体" w:cs="仿宋_GB2312"/>
          <w:sz w:val="44"/>
          <w:szCs w:val="44"/>
        </w:rPr>
      </w:pPr>
    </w:p>
    <w:p>
      <w:pPr>
        <w:widowControl/>
        <w:ind w:firstLine="880" w:firstLineChars="200"/>
        <w:jc w:val="center"/>
        <w:outlineLvl w:val="0"/>
        <w:rPr>
          <w:rStyle w:val="18"/>
          <w:rFonts w:ascii="黑体" w:hAnsi="黑体" w:eastAsia="黑体" w:cs="仿宋_GB2312"/>
          <w:b w:val="0"/>
          <w:bCs w:val="0"/>
          <w:highlight w:val="yellow"/>
        </w:rPr>
      </w:pPr>
      <w:r>
        <w:rPr>
          <w:rFonts w:hint="eastAsia" w:ascii="黑体" w:hAnsi="黑体" w:eastAsia="黑体" w:cs="仿宋_GB2312"/>
          <w:sz w:val="44"/>
          <w:szCs w:val="44"/>
        </w:rPr>
        <w:t xml:space="preserve">第三部分  </w:t>
      </w:r>
      <w:r>
        <w:rPr>
          <w:rFonts w:hint="eastAsia" w:ascii="黑体" w:hAnsi="黑体" w:eastAsia="黑体"/>
          <w:sz w:val="44"/>
          <w:szCs w:val="44"/>
        </w:rPr>
        <w:t>名</w:t>
      </w:r>
      <w:r>
        <w:rPr>
          <w:rFonts w:hint="eastAsia" w:ascii="黑体" w:hAnsi="黑体" w:eastAsia="黑体" w:cs="仿宋_GB2312"/>
          <w:sz w:val="44"/>
          <w:szCs w:val="44"/>
        </w:rPr>
        <w:t>词解释</w:t>
      </w:r>
      <w:bookmarkEnd w:id="16"/>
    </w:p>
    <w:p>
      <w:pPr>
        <w:spacing w:line="600" w:lineRule="exact"/>
        <w:jc w:val="center"/>
        <w:rPr>
          <w:rFonts w:ascii="宋体"/>
          <w:b/>
          <w:sz w:val="44"/>
          <w:szCs w:val="44"/>
        </w:rPr>
      </w:pPr>
    </w:p>
    <w:p>
      <w:pPr>
        <w:pStyle w:val="19"/>
        <w:numPr>
          <w:ilvl w:val="0"/>
          <w:numId w:val="1"/>
        </w:numPr>
        <w:spacing w:line="560" w:lineRule="exact"/>
        <w:outlineLvl w:val="1"/>
        <w:rPr>
          <w:rFonts w:ascii="仿宋_GB2312" w:eastAsia="仿宋_GB2312"/>
          <w:color w:val="auto"/>
          <w:sz w:val="32"/>
          <w:szCs w:val="32"/>
        </w:rPr>
      </w:pPr>
      <w:bookmarkStart w:id="17" w:name="_Toc9503"/>
      <w:bookmarkStart w:id="18" w:name="_Toc22689"/>
      <w:r>
        <w:rPr>
          <w:rFonts w:hint="eastAsia" w:ascii="仿宋_GB2312" w:eastAsia="仿宋_GB2312"/>
          <w:color w:val="auto"/>
          <w:sz w:val="32"/>
          <w:szCs w:val="32"/>
        </w:rPr>
        <w:t>财政拨款收入：指单位从同级财政部门取得的财政预算资金。</w:t>
      </w:r>
      <w:bookmarkEnd w:id="17"/>
      <w:bookmarkEnd w:id="18"/>
    </w:p>
    <w:p>
      <w:pPr>
        <w:pStyle w:val="19"/>
        <w:numPr>
          <w:ilvl w:val="0"/>
          <w:numId w:val="1"/>
        </w:numPr>
        <w:spacing w:line="560" w:lineRule="exact"/>
        <w:rPr>
          <w:rFonts w:ascii="仿宋_GB2312" w:eastAsia="仿宋_GB2312"/>
          <w:color w:val="auto"/>
          <w:sz w:val="32"/>
          <w:szCs w:val="32"/>
        </w:rPr>
      </w:pPr>
      <w:r>
        <w:rPr>
          <w:rFonts w:hint="eastAsia" w:ascii="仿宋_GB2312" w:eastAsia="仿宋_GB2312"/>
          <w:color w:val="auto"/>
          <w:sz w:val="32"/>
          <w:szCs w:val="32"/>
        </w:rPr>
        <w:t>其他收入：指单位取得的除上述收入以外的各项收入。主要是利息、上级部门拨款等。</w:t>
      </w:r>
    </w:p>
    <w:p>
      <w:pPr>
        <w:widowControl/>
        <w:numPr>
          <w:ilvl w:val="0"/>
          <w:numId w:val="1"/>
        </w:numPr>
        <w:spacing w:line="600" w:lineRule="atLeast"/>
        <w:jc w:val="left"/>
        <w:rPr>
          <w:color w:val="000000"/>
          <w:szCs w:val="21"/>
        </w:rPr>
      </w:pPr>
      <w:r>
        <w:rPr>
          <w:rFonts w:ascii="仿宋_GB2312" w:eastAsia="仿宋_GB2312" w:cs="仿宋_GB2312"/>
          <w:color w:val="000000"/>
          <w:kern w:val="0"/>
          <w:sz w:val="32"/>
          <w:szCs w:val="32"/>
          <w:lang w:bidi="ar"/>
        </w:rPr>
        <w:t>年初结转和结余：指以前年度尚未完成、结转到本年按有关规定继续使用的资金。</w:t>
      </w:r>
    </w:p>
    <w:p>
      <w:pPr>
        <w:widowControl/>
        <w:numPr>
          <w:ilvl w:val="0"/>
          <w:numId w:val="1"/>
        </w:numPr>
        <w:spacing w:line="600" w:lineRule="atLeast"/>
        <w:jc w:val="left"/>
        <w:rPr>
          <w:rFonts w:ascii="仿宋_GB2312" w:eastAsia="仿宋_GB2312"/>
          <w:sz w:val="32"/>
          <w:szCs w:val="32"/>
        </w:rPr>
      </w:pPr>
      <w:r>
        <w:rPr>
          <w:rFonts w:ascii="仿宋_GB2312" w:eastAsia="仿宋_GB2312" w:cs="仿宋_GB2312"/>
          <w:color w:val="000000"/>
          <w:kern w:val="0"/>
          <w:sz w:val="32"/>
          <w:szCs w:val="32"/>
          <w:lang w:bidi="ar"/>
        </w:rPr>
        <w:t>年末结转和结余：指单位按有关规定结转到下年或以后年度继续使用的资金。</w:t>
      </w:r>
    </w:p>
    <w:p>
      <w:pPr>
        <w:widowControl/>
        <w:numPr>
          <w:ilvl w:val="0"/>
          <w:numId w:val="1"/>
        </w:numPr>
        <w:pBdr>
          <w:bottom w:val="single" w:color="FFFFFF" w:sz="8" w:space="31"/>
        </w:pBdr>
        <w:spacing w:line="560" w:lineRule="exact"/>
        <w:rPr>
          <w:rFonts w:ascii="仿宋_GB2312" w:eastAsia="仿宋_GB2312"/>
          <w:color w:val="000000"/>
          <w:sz w:val="32"/>
          <w:szCs w:val="32"/>
        </w:rPr>
      </w:pPr>
      <w:r>
        <w:rPr>
          <w:rFonts w:hint="eastAsia" w:ascii="仿宋_GB2312" w:eastAsia="仿宋_GB2312"/>
          <w:color w:val="000000"/>
          <w:sz w:val="32"/>
          <w:szCs w:val="32"/>
        </w:rPr>
        <w:t>公共安全（类）公安（款）行政</w:t>
      </w:r>
      <w:r>
        <w:rPr>
          <w:rFonts w:ascii="仿宋_GB2312" w:eastAsia="仿宋_GB2312"/>
          <w:color w:val="000000"/>
          <w:sz w:val="32"/>
          <w:szCs w:val="32"/>
        </w:rPr>
        <w:t>运行（</w:t>
      </w:r>
      <w:r>
        <w:rPr>
          <w:rFonts w:hint="eastAsia" w:ascii="仿宋_GB2312" w:eastAsia="仿宋_GB2312"/>
          <w:color w:val="000000"/>
          <w:sz w:val="32"/>
          <w:szCs w:val="32"/>
        </w:rPr>
        <w:t>项</w:t>
      </w:r>
      <w:r>
        <w:rPr>
          <w:rFonts w:ascii="仿宋_GB2312" w:eastAsia="仿宋_GB2312"/>
          <w:color w:val="000000"/>
          <w:sz w:val="32"/>
          <w:szCs w:val="32"/>
        </w:rPr>
        <w:t>）</w:t>
      </w:r>
      <w:r>
        <w:rPr>
          <w:rFonts w:hint="eastAsia" w:ascii="仿宋_GB2312" w:eastAsia="仿宋_GB2312"/>
          <w:color w:val="000000"/>
          <w:sz w:val="32"/>
          <w:szCs w:val="32"/>
        </w:rPr>
        <w:t>：</w:t>
      </w:r>
      <w:r>
        <w:rPr>
          <w:rFonts w:ascii="仿宋_GB2312" w:eastAsia="仿宋_GB2312"/>
          <w:color w:val="000000"/>
          <w:sz w:val="32"/>
          <w:szCs w:val="32"/>
        </w:rPr>
        <w:t>指用于保障机构正常运行、开展日常工作的基本支出。</w:t>
      </w:r>
    </w:p>
    <w:p>
      <w:pPr>
        <w:widowControl/>
        <w:numPr>
          <w:ilvl w:val="0"/>
          <w:numId w:val="1"/>
        </w:numPr>
        <w:pBdr>
          <w:bottom w:val="single" w:color="FFFFFF" w:sz="8" w:space="31"/>
        </w:pBdr>
        <w:spacing w:line="560" w:lineRule="exact"/>
        <w:rPr>
          <w:rFonts w:ascii="仿宋_GB2312" w:eastAsia="仿宋_GB2312"/>
          <w:color w:val="000000"/>
          <w:sz w:val="32"/>
          <w:szCs w:val="32"/>
        </w:rPr>
      </w:pPr>
      <w:r>
        <w:rPr>
          <w:rFonts w:hint="eastAsia" w:ascii="仿宋_GB2312" w:eastAsia="仿宋_GB2312"/>
          <w:color w:val="000000"/>
          <w:sz w:val="32"/>
          <w:szCs w:val="32"/>
        </w:rPr>
        <w:t>公共安全（类）公安（款）其他公安支出（项）：指各级公安机关开展各类公安业务管理工作的支出</w:t>
      </w:r>
      <w:r>
        <w:rPr>
          <w:rFonts w:hint="eastAsia" w:ascii="仿宋_GB2312" w:eastAsia="仿宋_GB2312"/>
          <w:sz w:val="32"/>
          <w:szCs w:val="32"/>
        </w:rPr>
        <w:t>。</w:t>
      </w:r>
    </w:p>
    <w:p>
      <w:pPr>
        <w:widowControl/>
        <w:numPr>
          <w:ilvl w:val="0"/>
          <w:numId w:val="1"/>
        </w:numPr>
        <w:pBdr>
          <w:bottom w:val="single" w:color="FFFFFF" w:sz="8" w:space="31"/>
        </w:pBdr>
        <w:spacing w:line="560" w:lineRule="exact"/>
        <w:rPr>
          <w:rFonts w:ascii="仿宋_GB2312" w:eastAsia="仿宋_GB2312" w:cs="仿宋_GB2312"/>
          <w:color w:val="333333"/>
          <w:kern w:val="0"/>
          <w:sz w:val="32"/>
          <w:szCs w:val="32"/>
          <w:shd w:val="clear" w:color="auto" w:fill="FFFFFF"/>
        </w:rPr>
      </w:pPr>
      <w:r>
        <w:rPr>
          <w:rFonts w:hint="eastAsia" w:ascii="仿宋_GB2312" w:eastAsia="仿宋_GB2312" w:cs="仿宋_GB2312"/>
          <w:color w:val="333333"/>
          <w:kern w:val="0"/>
          <w:sz w:val="32"/>
          <w:szCs w:val="32"/>
          <w:shd w:val="clear" w:color="auto" w:fill="FFFFFF"/>
        </w:rPr>
        <w:t>社会保障和就业（类）行政事业单位养老支出（款）机关事业单位基本养老保险缴费支出（项）：指部门实施养老保险制度由单位缴纳的养老保险的支出。</w:t>
      </w:r>
    </w:p>
    <w:p>
      <w:pPr>
        <w:widowControl/>
        <w:numPr>
          <w:ilvl w:val="0"/>
          <w:numId w:val="1"/>
        </w:numPr>
        <w:pBdr>
          <w:bottom w:val="single" w:color="FFFFFF" w:sz="8" w:space="31"/>
        </w:pBdr>
        <w:spacing w:line="560" w:lineRule="exact"/>
        <w:rPr>
          <w:rFonts w:ascii="仿宋_GB2312" w:eastAsia="仿宋_GB2312" w:cs="仿宋_GB2312"/>
          <w:color w:val="333333"/>
          <w:kern w:val="0"/>
          <w:sz w:val="32"/>
          <w:szCs w:val="32"/>
          <w:shd w:val="clear" w:color="auto" w:fill="FFFFFF"/>
        </w:rPr>
      </w:pPr>
      <w:r>
        <w:rPr>
          <w:rFonts w:hint="eastAsia" w:ascii="仿宋_GB2312" w:eastAsia="仿宋_GB2312" w:cs="仿宋_GB2312"/>
          <w:kern w:val="0"/>
          <w:sz w:val="32"/>
          <w:szCs w:val="32"/>
          <w:shd w:val="clear" w:color="auto" w:fill="FFFFFF"/>
        </w:rPr>
        <w:t>社会保障和就业（类）行政事业单位养老支出（款）</w:t>
      </w:r>
      <w:r>
        <w:rPr>
          <w:rStyle w:val="15"/>
          <w:rFonts w:hint="eastAsia" w:ascii="仿宋_GB2312" w:hAnsi="仿宋" w:eastAsia="仿宋_GB2312"/>
          <w:b w:val="0"/>
          <w:sz w:val="32"/>
          <w:szCs w:val="32"/>
        </w:rPr>
        <w:t>机关事业单位职业年金缴费（项）：指部门实施养老保险</w:t>
      </w:r>
      <w:r>
        <w:rPr>
          <w:rFonts w:hint="eastAsia" w:ascii="仿宋_GB2312" w:eastAsia="仿宋_GB2312" w:cs="仿宋_GB2312"/>
          <w:kern w:val="0"/>
          <w:sz w:val="32"/>
          <w:szCs w:val="32"/>
          <w:shd w:val="clear" w:color="auto" w:fill="FFFFFF"/>
        </w:rPr>
        <w:t>由单位缴纳的职业年金的支出。</w:t>
      </w:r>
    </w:p>
    <w:p>
      <w:pPr>
        <w:widowControl/>
        <w:numPr>
          <w:ilvl w:val="0"/>
          <w:numId w:val="1"/>
        </w:numPr>
        <w:pBdr>
          <w:bottom w:val="single" w:color="FFFFFF" w:sz="8" w:space="31"/>
        </w:pBdr>
        <w:spacing w:line="560" w:lineRule="exact"/>
        <w:rPr>
          <w:rFonts w:ascii="仿宋_GB2312" w:eastAsia="仿宋_GB2312" w:cs="仿宋_GB2312"/>
          <w:color w:val="333333"/>
          <w:kern w:val="0"/>
          <w:sz w:val="32"/>
          <w:szCs w:val="32"/>
          <w:shd w:val="clear" w:color="auto" w:fill="FFFFFF"/>
        </w:rPr>
      </w:pPr>
      <w:r>
        <w:rPr>
          <w:rFonts w:hint="eastAsia" w:ascii="仿宋_GB2312" w:eastAsia="仿宋_GB2312" w:cs="仿宋_GB2312"/>
          <w:color w:val="333333"/>
          <w:kern w:val="0"/>
          <w:sz w:val="32"/>
          <w:szCs w:val="32"/>
          <w:shd w:val="clear" w:color="auto" w:fill="FFFFFF"/>
        </w:rPr>
        <w:t>卫生健康（类）行政事业单位医疗（款）行政单位医疗（项）：指机关及参公管理事业单位用于单位应缴纳基本医疗保险支出。</w:t>
      </w:r>
    </w:p>
    <w:p>
      <w:pPr>
        <w:widowControl/>
        <w:numPr>
          <w:ilvl w:val="0"/>
          <w:numId w:val="1"/>
        </w:numPr>
        <w:pBdr>
          <w:bottom w:val="single" w:color="FFFFFF" w:sz="8" w:space="31"/>
        </w:pBdr>
        <w:spacing w:line="560" w:lineRule="exact"/>
        <w:rPr>
          <w:rFonts w:ascii="仿宋_GB2312" w:eastAsia="仿宋_GB2312" w:cs="仿宋_GB2312"/>
          <w:kern w:val="0"/>
          <w:sz w:val="32"/>
          <w:szCs w:val="32"/>
          <w:shd w:val="clear" w:color="auto" w:fill="FFFFFF"/>
        </w:rPr>
      </w:pPr>
      <w:r>
        <w:rPr>
          <w:rFonts w:hint="eastAsia" w:ascii="仿宋_GB2312" w:eastAsia="仿宋_GB2312" w:cs="仿宋_GB2312"/>
          <w:kern w:val="0"/>
          <w:sz w:val="32"/>
          <w:szCs w:val="32"/>
          <w:shd w:val="clear" w:color="auto" w:fill="FFFFFF"/>
        </w:rPr>
        <w:t>城乡社区支出（类）城市基础设施配套费安排的支出（款）城市公共设施（项）：指城区交通管理设施建设与维护费。</w:t>
      </w:r>
    </w:p>
    <w:p>
      <w:pPr>
        <w:widowControl/>
        <w:numPr>
          <w:ilvl w:val="0"/>
          <w:numId w:val="1"/>
        </w:numPr>
        <w:pBdr>
          <w:bottom w:val="single" w:color="FFFFFF" w:sz="8" w:space="31"/>
        </w:pBdr>
        <w:spacing w:line="560" w:lineRule="exact"/>
        <w:jc w:val="left"/>
        <w:rPr>
          <w:rFonts w:ascii="仿宋_GB2312" w:eastAsia="仿宋_GB2312" w:cs="仿宋_GB2312"/>
          <w:color w:val="333333"/>
          <w:kern w:val="0"/>
          <w:sz w:val="32"/>
          <w:szCs w:val="32"/>
          <w:shd w:val="clear" w:color="auto" w:fill="FFFFFF"/>
        </w:rPr>
      </w:pPr>
      <w:r>
        <w:rPr>
          <w:rFonts w:hint="eastAsia" w:ascii="仿宋_GB2312" w:eastAsia="仿宋_GB2312" w:cs="仿宋_GB2312"/>
          <w:color w:val="333333"/>
          <w:kern w:val="0"/>
          <w:sz w:val="32"/>
          <w:szCs w:val="32"/>
          <w:shd w:val="clear" w:color="auto" w:fill="FFFFFF"/>
        </w:rPr>
        <w:t>住房保障（类）住房改革支出（款）住房公积金（项）：指按照《住房公积金管理条例》的规定，由单位及其在职职工缴存的长期住房储金。</w:t>
      </w:r>
    </w:p>
    <w:p>
      <w:pPr>
        <w:widowControl/>
        <w:numPr>
          <w:ilvl w:val="0"/>
          <w:numId w:val="1"/>
        </w:numPr>
        <w:pBdr>
          <w:bottom w:val="single" w:color="FFFFFF" w:sz="8" w:space="31"/>
        </w:pBdr>
        <w:spacing w:line="560" w:lineRule="exact"/>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widowControl/>
        <w:numPr>
          <w:ilvl w:val="0"/>
          <w:numId w:val="1"/>
        </w:numPr>
        <w:pBdr>
          <w:bottom w:val="single" w:color="FFFFFF" w:sz="8" w:space="31"/>
        </w:pBdr>
        <w:spacing w:line="560" w:lineRule="exact"/>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widowControl/>
        <w:numPr>
          <w:ilvl w:val="0"/>
          <w:numId w:val="1"/>
        </w:numPr>
        <w:pBdr>
          <w:bottom w:val="single" w:color="FFFFFF" w:sz="8" w:space="31"/>
        </w:pBdr>
        <w:spacing w:line="560" w:lineRule="exact"/>
        <w:rPr>
          <w:rFonts w:ascii="仿宋_GB2312" w:eastAsia="仿宋_GB2312"/>
          <w:sz w:val="32"/>
          <w:szCs w:val="32"/>
        </w:rPr>
      </w:pP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numPr>
          <w:ilvl w:val="0"/>
          <w:numId w:val="1"/>
        </w:numPr>
        <w:pBdr>
          <w:bottom w:val="single" w:color="FFFFFF" w:sz="8" w:space="31"/>
        </w:pBdr>
        <w:spacing w:line="560" w:lineRule="exact"/>
        <w:rPr>
          <w:rFonts w:ascii="仿宋_GB2312" w:eastAsia="仿宋_GB2312" w:cs="仿宋_GB2312"/>
          <w:color w:val="333333"/>
          <w:kern w:val="0"/>
          <w:sz w:val="32"/>
          <w:szCs w:val="32"/>
          <w:shd w:val="clear" w:color="auto" w:fill="FFFFFF"/>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
    <w:p/>
    <w:p>
      <w:pPr>
        <w:rPr>
          <w:rFonts w:hint="eastAsia"/>
        </w:rPr>
      </w:pPr>
    </w:p>
    <w:p/>
    <w:p/>
    <w:p/>
    <w:p/>
    <w:p/>
    <w:p/>
    <w:p/>
    <w:p/>
    <w:p/>
    <w:p/>
    <w:p/>
    <w:p/>
    <w:p/>
    <w:p/>
    <w:p>
      <w:pPr>
        <w:rPr>
          <w:rFonts w:hint="eastAsia"/>
        </w:rPr>
      </w:pPr>
    </w:p>
    <w:p>
      <w:pPr>
        <w:jc w:val="center"/>
        <w:outlineLvl w:val="0"/>
        <w:rPr>
          <w:rFonts w:ascii="黑体" w:hAnsi="黑体" w:eastAsia="黑体"/>
          <w:sz w:val="52"/>
          <w:szCs w:val="52"/>
        </w:rPr>
      </w:pPr>
      <w:bookmarkStart w:id="19" w:name="_Toc10045"/>
      <w:r>
        <w:rPr>
          <w:rFonts w:hint="eastAsia" w:ascii="黑体" w:hAnsi="黑体" w:eastAsia="黑体"/>
          <w:sz w:val="52"/>
          <w:szCs w:val="52"/>
        </w:rPr>
        <w:t>第四部分 附件</w:t>
      </w:r>
      <w:bookmarkEnd w:id="19"/>
    </w:p>
    <w:p>
      <w:pPr>
        <w:jc w:val="center"/>
        <w:rPr>
          <w:rFonts w:ascii="黑体" w:hAnsi="黑体" w:eastAsia="黑体"/>
          <w:sz w:val="32"/>
          <w:szCs w:val="32"/>
        </w:rPr>
      </w:pPr>
    </w:p>
    <w:p>
      <w:pPr>
        <w:widowControl/>
        <w:spacing w:line="560" w:lineRule="exact"/>
        <w:contextualSpacing/>
        <w:jc w:val="center"/>
        <w:outlineLvl w:val="1"/>
        <w:rPr>
          <w:rFonts w:ascii="方正小标宋简体" w:hAnsi="方正小标宋简体" w:eastAsia="方正小标宋简体" w:cs="方正小标宋简体"/>
          <w:sz w:val="44"/>
          <w:szCs w:val="44"/>
          <w:shd w:val="clear" w:color="auto" w:fill="FFFFFF"/>
        </w:rPr>
      </w:pPr>
      <w:bookmarkStart w:id="20" w:name="_Toc32436"/>
      <w:bookmarkStart w:id="21" w:name="_Toc1188"/>
      <w:r>
        <w:rPr>
          <w:rFonts w:hint="eastAsia" w:ascii="方正小标宋简体" w:hAnsi="方正小标宋简体" w:eastAsia="方正小标宋简体" w:cs="方正小标宋简体"/>
          <w:sz w:val="44"/>
          <w:szCs w:val="44"/>
          <w:shd w:val="clear" w:color="auto" w:fill="FFFFFF"/>
        </w:rPr>
        <w:t>广元市</w:t>
      </w:r>
      <w:r>
        <w:rPr>
          <w:rFonts w:ascii="方正小标宋简体" w:hAnsi="方正小标宋简体" w:eastAsia="方正小标宋简体" w:cs="方正小标宋简体"/>
          <w:sz w:val="44"/>
          <w:szCs w:val="44"/>
          <w:shd w:val="clear" w:color="auto" w:fill="FFFFFF"/>
        </w:rPr>
        <w:t>公安局交通警察支队</w:t>
      </w:r>
      <w:bookmarkEnd w:id="20"/>
      <w:bookmarkEnd w:id="21"/>
    </w:p>
    <w:p>
      <w:pPr>
        <w:widowControl/>
        <w:spacing w:line="560" w:lineRule="exact"/>
        <w:contextualSpacing/>
        <w:jc w:val="center"/>
        <w:rPr>
          <w:rFonts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2023年整体支出绩效自评报告</w:t>
      </w:r>
    </w:p>
    <w:p>
      <w:pPr>
        <w:widowControl/>
        <w:adjustRightInd w:val="0"/>
        <w:snapToGrid w:val="0"/>
        <w:spacing w:line="600" w:lineRule="auto"/>
        <w:contextualSpacing/>
        <w:jc w:val="left"/>
        <w:rPr>
          <w:rFonts w:ascii="黑体" w:hAnsi="宋体" w:eastAsia="黑体" w:cs="宋体"/>
          <w:color w:val="000000"/>
          <w:kern w:val="0"/>
          <w:sz w:val="10"/>
          <w:szCs w:val="10"/>
          <w:shd w:val="clear" w:color="auto" w:fill="FFFFFF"/>
        </w:rPr>
      </w:pPr>
    </w:p>
    <w:p>
      <w:pPr>
        <w:widowControl/>
        <w:adjustRightInd w:val="0"/>
        <w:snapToGrid w:val="0"/>
        <w:spacing w:line="578" w:lineRule="exact"/>
        <w:ind w:firstLine="960" w:firstLineChars="300"/>
        <w:contextualSpacing/>
        <w:jc w:val="left"/>
        <w:outlineLvl w:val="1"/>
        <w:rPr>
          <w:rFonts w:ascii="黑体" w:hAnsi="黑体" w:eastAsia="黑体"/>
          <w:sz w:val="32"/>
          <w:szCs w:val="32"/>
        </w:rPr>
      </w:pPr>
      <w:bookmarkStart w:id="22" w:name="_Toc9289"/>
      <w:bookmarkStart w:id="23" w:name="_Toc29278"/>
      <w:r>
        <w:rPr>
          <w:rFonts w:hint="eastAsia" w:ascii="黑体" w:hAnsi="黑体" w:eastAsia="黑体"/>
          <w:color w:val="000000"/>
          <w:kern w:val="0"/>
          <w:sz w:val="32"/>
          <w:szCs w:val="32"/>
          <w:shd w:val="clear" w:color="auto" w:fill="FFFFFF"/>
          <w:lang w:val="zh-CN"/>
        </w:rPr>
        <w:t>一、部门（单位）基本情况</w:t>
      </w:r>
      <w:bookmarkEnd w:id="22"/>
      <w:bookmarkEnd w:id="23"/>
    </w:p>
    <w:p>
      <w:pPr>
        <w:widowControl/>
        <w:adjustRightInd w:val="0"/>
        <w:snapToGrid w:val="0"/>
        <w:spacing w:line="578" w:lineRule="exact"/>
        <w:ind w:firstLine="642" w:firstLineChars="200"/>
        <w:contextualSpacing/>
        <w:jc w:val="left"/>
        <w:rPr>
          <w:rFonts w:ascii="仿宋_GB2312" w:eastAsia="仿宋_GB2312"/>
          <w:sz w:val="32"/>
          <w:szCs w:val="32"/>
        </w:rPr>
      </w:pPr>
      <w:r>
        <w:rPr>
          <w:rFonts w:hint="eastAsia" w:ascii="仿宋_GB2312" w:eastAsia="仿宋_GB2312"/>
          <w:b/>
          <w:bCs/>
          <w:color w:val="000000"/>
          <w:kern w:val="0"/>
          <w:sz w:val="32"/>
          <w:szCs w:val="32"/>
          <w:shd w:val="clear" w:color="auto" w:fill="FFFFFF"/>
          <w:lang w:val="zh-CN"/>
        </w:rPr>
        <w:t>（一）机构组成。</w:t>
      </w:r>
      <w:r>
        <w:rPr>
          <w:rFonts w:hint="eastAsia" w:ascii="仿宋_GB2312" w:eastAsia="仿宋_GB2312"/>
          <w:sz w:val="32"/>
          <w:szCs w:val="32"/>
        </w:rPr>
        <w:t xml:space="preserve">交警支队下属二级预算单位0个，下设交警一大队、二大队、三大队、四大队、特勤大队和办公室、政工科、事故科、秩序科、宣法科、指挥中心、车管所、道安科等13个正科级单位；业务指导和监督苍溪、剑阁、旺苍、青川、元坝、朝天六个县区交警大队，本年机构情况无变化。 </w:t>
      </w:r>
    </w:p>
    <w:p>
      <w:pPr>
        <w:spacing w:line="560" w:lineRule="exact"/>
        <w:ind w:firstLine="642" w:firstLineChars="200"/>
        <w:rPr>
          <w:rFonts w:ascii="仿宋_GB2312" w:eastAsia="仿宋_GB2312"/>
          <w:b/>
          <w:bCs/>
          <w:color w:val="000000"/>
          <w:kern w:val="0"/>
          <w:sz w:val="32"/>
          <w:szCs w:val="32"/>
          <w:shd w:val="clear" w:color="auto" w:fill="FFFFFF"/>
          <w:lang w:val="zh-CN"/>
        </w:rPr>
      </w:pPr>
      <w:r>
        <w:rPr>
          <w:rFonts w:hint="eastAsia" w:ascii="仿宋_GB2312" w:eastAsia="仿宋_GB2312"/>
          <w:b/>
          <w:bCs/>
          <w:color w:val="000000"/>
          <w:kern w:val="0"/>
          <w:sz w:val="32"/>
          <w:szCs w:val="32"/>
          <w:shd w:val="clear" w:color="auto" w:fill="FFFFFF"/>
          <w:lang w:val="zh-CN"/>
        </w:rPr>
        <w:t>（二）机构职能。</w:t>
      </w:r>
      <w:r>
        <w:rPr>
          <w:rFonts w:hint="eastAsia" w:ascii="仿宋_GB2312" w:eastAsia="仿宋_GB2312"/>
          <w:bCs/>
          <w:color w:val="000000"/>
          <w:kern w:val="0"/>
          <w:sz w:val="32"/>
          <w:szCs w:val="32"/>
          <w:shd w:val="clear" w:color="auto" w:fill="FFFFFF"/>
          <w:lang w:val="zh-CN"/>
        </w:rPr>
        <w:t>交警支队的主要职能</w:t>
      </w:r>
      <w:r>
        <w:rPr>
          <w:rFonts w:hint="eastAsia" w:ascii="仿宋_GB2312" w:eastAsia="仿宋_GB2312"/>
          <w:sz w:val="32"/>
          <w:szCs w:val="32"/>
        </w:rPr>
        <w:t>一是负责全市20031公里道路（其中国道684公里、省道1337公里、县道3017公里、乡道2445公里、村道12155公里、专用道393公里）交通安全管理，纠正交通违章，维护交通秩序，处理突发事件，配合开展警卫工作。二是负责全市机动车及非机动车注册登记、核发牌证、过户、转籍等工作；三是负责全市机动车驾驶人考试及驾驶证的核发、补发等工作；四是负责交通事故责任认定、交通安全宣传以及参与道路交通管理工作规划。</w:t>
      </w:r>
    </w:p>
    <w:p>
      <w:pPr>
        <w:spacing w:line="600" w:lineRule="exact"/>
        <w:ind w:firstLine="642" w:firstLineChars="200"/>
        <w:rPr>
          <w:rFonts w:ascii="仿宋_GB2312" w:eastAsia="仿宋_GB2312"/>
          <w:sz w:val="32"/>
          <w:szCs w:val="32"/>
        </w:rPr>
      </w:pPr>
      <w:r>
        <w:rPr>
          <w:rFonts w:hint="eastAsia" w:ascii="仿宋_GB2312" w:eastAsia="仿宋_GB2312"/>
          <w:b/>
          <w:bCs/>
          <w:color w:val="000000"/>
          <w:kern w:val="0"/>
          <w:sz w:val="32"/>
          <w:szCs w:val="32"/>
          <w:shd w:val="clear" w:color="auto" w:fill="FFFFFF"/>
          <w:lang w:val="zh-CN"/>
        </w:rPr>
        <w:t>（三）人员概况。</w:t>
      </w:r>
      <w:r>
        <w:rPr>
          <w:rFonts w:hint="eastAsia" w:ascii="仿宋_GB2312" w:eastAsia="仿宋_GB2312"/>
          <w:bCs/>
          <w:color w:val="000000"/>
          <w:kern w:val="0"/>
          <w:sz w:val="32"/>
          <w:szCs w:val="32"/>
          <w:shd w:val="clear" w:color="auto" w:fill="FFFFFF"/>
          <w:lang w:val="zh-CN"/>
        </w:rPr>
        <w:t>交警支队</w:t>
      </w:r>
      <w:r>
        <w:rPr>
          <w:rFonts w:hint="eastAsia" w:ascii="仿宋_GB2312" w:eastAsia="仿宋_GB2312"/>
          <w:sz w:val="32"/>
          <w:szCs w:val="32"/>
        </w:rPr>
        <w:t>截至2023年末，现有在职在编人员216人（其中：民警</w:t>
      </w:r>
      <w:r>
        <w:rPr>
          <w:rFonts w:hint="eastAsia" w:ascii="仿宋_GB2312" w:eastAsia="仿宋_GB2312"/>
          <w:color w:val="000000" w:themeColor="text1"/>
          <w:sz w:val="32"/>
          <w:szCs w:val="32"/>
          <w14:textFill>
            <w14:solidFill>
              <w14:schemeClr w14:val="tx1"/>
            </w14:solidFill>
          </w14:textFill>
        </w:rPr>
        <w:t>213</w:t>
      </w:r>
      <w:r>
        <w:rPr>
          <w:rFonts w:hint="eastAsia" w:ascii="仿宋_GB2312" w:eastAsia="仿宋_GB2312"/>
          <w:sz w:val="32"/>
          <w:szCs w:val="32"/>
        </w:rPr>
        <w:t>人，工勤人员3名)，辅警人员350名。</w:t>
      </w:r>
    </w:p>
    <w:p>
      <w:pPr>
        <w:widowControl/>
        <w:adjustRightInd w:val="0"/>
        <w:snapToGrid w:val="0"/>
        <w:spacing w:line="578" w:lineRule="exact"/>
        <w:ind w:firstLine="640" w:firstLineChars="200"/>
        <w:contextualSpacing/>
        <w:jc w:val="left"/>
        <w:outlineLvl w:val="1"/>
        <w:rPr>
          <w:rFonts w:ascii="黑体" w:hAnsi="黑体" w:eastAsia="黑体"/>
          <w:color w:val="000000"/>
          <w:kern w:val="0"/>
          <w:sz w:val="32"/>
          <w:szCs w:val="32"/>
          <w:shd w:val="clear" w:color="auto" w:fill="FFFFFF"/>
        </w:rPr>
      </w:pPr>
      <w:bookmarkStart w:id="24" w:name="_Toc12932"/>
      <w:bookmarkStart w:id="25" w:name="_Toc8017"/>
      <w:r>
        <w:rPr>
          <w:rFonts w:hint="eastAsia" w:ascii="黑体" w:hAnsi="黑体" w:eastAsia="黑体"/>
          <w:color w:val="000000"/>
          <w:kern w:val="0"/>
          <w:sz w:val="32"/>
          <w:szCs w:val="32"/>
          <w:shd w:val="clear" w:color="auto" w:fill="FFFFFF"/>
        </w:rPr>
        <w:t>二、部门资金收支情况</w:t>
      </w:r>
      <w:bookmarkEnd w:id="24"/>
      <w:bookmarkEnd w:id="25"/>
    </w:p>
    <w:p>
      <w:pPr>
        <w:widowControl/>
        <w:adjustRightInd w:val="0"/>
        <w:snapToGrid w:val="0"/>
        <w:spacing w:line="578" w:lineRule="exact"/>
        <w:ind w:firstLine="642" w:firstLineChars="200"/>
        <w:contextualSpacing/>
        <w:jc w:val="left"/>
        <w:rPr>
          <w:rFonts w:ascii="仿宋_GB2312" w:hAnsi="仿宋" w:eastAsia="仿宋_GB2312"/>
          <w:sz w:val="32"/>
          <w:szCs w:val="32"/>
        </w:rPr>
      </w:pPr>
      <w:r>
        <w:rPr>
          <w:rFonts w:hint="eastAsia" w:ascii="仿宋_GB2312" w:eastAsia="仿宋_GB2312"/>
          <w:b/>
          <w:bCs/>
          <w:color w:val="000000"/>
          <w:kern w:val="0"/>
          <w:sz w:val="32"/>
          <w:szCs w:val="32"/>
          <w:shd w:val="clear" w:color="auto" w:fill="FFFFFF"/>
          <w:lang w:val="zh-CN"/>
        </w:rPr>
        <w:t>（一）收入情况。</w:t>
      </w:r>
      <w:r>
        <w:rPr>
          <w:rFonts w:hint="eastAsia" w:ascii="仿宋_GB2312" w:eastAsia="仿宋_GB2312"/>
          <w:sz w:val="32"/>
          <w:szCs w:val="32"/>
        </w:rPr>
        <w:t>交警支队2023年收入年初预算数为7688.22万元，年终决算数为9454.09万元（其中：一般公共预算财政拨款收入9217.24万元，政府性基金预算财政拨款收入202.73万元，其他收入34.12万元）。</w:t>
      </w:r>
    </w:p>
    <w:p>
      <w:pPr>
        <w:widowControl/>
        <w:adjustRightInd w:val="0"/>
        <w:snapToGrid w:val="0"/>
        <w:spacing w:line="578" w:lineRule="exact"/>
        <w:ind w:firstLine="642" w:firstLineChars="200"/>
        <w:contextualSpacing/>
        <w:jc w:val="left"/>
        <w:rPr>
          <w:rFonts w:ascii="仿宋_GB2312" w:hAnsi="仿宋" w:eastAsia="仿宋_GB2312"/>
          <w:sz w:val="32"/>
          <w:szCs w:val="32"/>
        </w:rPr>
      </w:pPr>
      <w:r>
        <w:rPr>
          <w:rFonts w:hint="eastAsia" w:ascii="仿宋_GB2312" w:eastAsia="仿宋_GB2312"/>
          <w:b/>
          <w:bCs/>
          <w:color w:val="000000"/>
          <w:kern w:val="0"/>
          <w:sz w:val="32"/>
          <w:szCs w:val="32"/>
          <w:shd w:val="clear" w:color="auto" w:fill="FFFFFF"/>
          <w:lang w:val="zh-CN"/>
        </w:rPr>
        <w:t>（二）支出情况。</w:t>
      </w:r>
      <w:r>
        <w:rPr>
          <w:rFonts w:hint="eastAsia" w:ascii="仿宋_GB2312" w:eastAsia="仿宋_GB2312"/>
          <w:sz w:val="32"/>
          <w:szCs w:val="32"/>
        </w:rPr>
        <w:t>交警支队2023年支出年初预算数为7688.22万元，年终决算数为9459.98万元（其中：基本支出8155.83万元，项目支出1304.15万元）。</w:t>
      </w:r>
    </w:p>
    <w:p>
      <w:pPr>
        <w:widowControl/>
        <w:adjustRightInd w:val="0"/>
        <w:snapToGrid w:val="0"/>
        <w:spacing w:line="578" w:lineRule="exact"/>
        <w:ind w:firstLine="642" w:firstLineChars="200"/>
        <w:contextualSpacing/>
        <w:jc w:val="left"/>
        <w:rPr>
          <w:rFonts w:ascii="仿宋_GB2312" w:eastAsia="仿宋_GB2312"/>
          <w:color w:val="000000"/>
          <w:kern w:val="0"/>
          <w:sz w:val="32"/>
          <w:szCs w:val="32"/>
          <w:shd w:val="clear" w:color="auto" w:fill="FFFFFF"/>
          <w:lang w:val="zh-CN"/>
        </w:rPr>
      </w:pPr>
      <w:r>
        <w:rPr>
          <w:rFonts w:hint="eastAsia" w:ascii="仿宋_GB2312" w:eastAsia="仿宋_GB2312"/>
          <w:b/>
          <w:bCs/>
          <w:color w:val="000000"/>
          <w:kern w:val="0"/>
          <w:sz w:val="32"/>
          <w:szCs w:val="32"/>
          <w:shd w:val="clear" w:color="auto" w:fill="FFFFFF"/>
          <w:lang w:val="zh-CN"/>
        </w:rPr>
        <w:t>（三）</w:t>
      </w:r>
      <w:r>
        <w:rPr>
          <w:rFonts w:hint="eastAsia" w:ascii="仿宋_GB2312" w:eastAsia="仿宋_GB2312"/>
          <w:b/>
          <w:sz w:val="32"/>
          <w:szCs w:val="32"/>
        </w:rPr>
        <w:t>结转结余情况。</w:t>
      </w:r>
      <w:r>
        <w:rPr>
          <w:rFonts w:hint="eastAsia" w:ascii="仿宋_GB2312" w:eastAsia="仿宋_GB2312"/>
          <w:sz w:val="32"/>
          <w:szCs w:val="32"/>
        </w:rPr>
        <w:t>交警支队2023年决算报表年初</w:t>
      </w:r>
      <w:r>
        <w:rPr>
          <w:rFonts w:hint="eastAsia" w:ascii="仿宋_GB2312" w:eastAsia="仿宋_GB2312"/>
          <w:color w:val="000000"/>
          <w:kern w:val="0"/>
          <w:sz w:val="32"/>
          <w:szCs w:val="32"/>
          <w:shd w:val="clear" w:color="auto" w:fill="FFFFFF"/>
        </w:rPr>
        <w:t>结转结余为231.61万元，年终结转结余为225.72万元。</w:t>
      </w:r>
    </w:p>
    <w:p>
      <w:pPr>
        <w:widowControl/>
        <w:adjustRightInd w:val="0"/>
        <w:snapToGrid w:val="0"/>
        <w:spacing w:line="578" w:lineRule="exact"/>
        <w:ind w:firstLine="640" w:firstLineChars="200"/>
        <w:contextualSpacing/>
        <w:jc w:val="left"/>
        <w:outlineLvl w:val="1"/>
        <w:rPr>
          <w:rFonts w:ascii="黑体" w:hAnsi="黑体" w:eastAsia="黑体"/>
          <w:color w:val="000000" w:themeColor="text1"/>
          <w:kern w:val="0"/>
          <w:sz w:val="32"/>
          <w:szCs w:val="32"/>
          <w:shd w:val="clear" w:color="auto" w:fill="FFFFFF"/>
          <w14:textFill>
            <w14:solidFill>
              <w14:schemeClr w14:val="tx1"/>
            </w14:solidFill>
          </w14:textFill>
        </w:rPr>
      </w:pPr>
      <w:bookmarkStart w:id="26" w:name="_Toc21125"/>
      <w:bookmarkStart w:id="27" w:name="_Toc23505"/>
      <w:r>
        <w:rPr>
          <w:rFonts w:hint="eastAsia" w:ascii="黑体" w:hAnsi="黑体" w:eastAsia="黑体"/>
          <w:color w:val="000000"/>
          <w:kern w:val="0"/>
          <w:sz w:val="32"/>
          <w:szCs w:val="32"/>
          <w:shd w:val="clear" w:color="auto" w:fill="FFFFFF"/>
        </w:rPr>
        <w:t>三、部门预算绩效分析</w:t>
      </w:r>
      <w:bookmarkEnd w:id="26"/>
      <w:bookmarkEnd w:id="27"/>
    </w:p>
    <w:p>
      <w:pPr>
        <w:adjustRightInd w:val="0"/>
        <w:snapToGrid w:val="0"/>
        <w:spacing w:line="578" w:lineRule="exact"/>
        <w:ind w:firstLine="642" w:firstLineChars="200"/>
        <w:contextualSpacing/>
        <w:jc w:val="left"/>
        <w:rPr>
          <w:rFonts w:ascii="仿宋_GB2312" w:eastAsia="仿宋_GB2312"/>
          <w:color w:val="000000"/>
          <w:kern w:val="0"/>
          <w:sz w:val="32"/>
          <w:szCs w:val="32"/>
          <w:shd w:val="clear" w:color="auto" w:fill="FFFFFF"/>
          <w:lang w:val="zh-CN"/>
        </w:rPr>
      </w:pPr>
      <w:r>
        <w:rPr>
          <w:rFonts w:hint="eastAsia" w:ascii="仿宋_GB2312" w:eastAsia="仿宋_GB2312"/>
          <w:b/>
          <w:bCs/>
          <w:color w:val="000000"/>
          <w:kern w:val="0"/>
          <w:sz w:val="32"/>
          <w:szCs w:val="32"/>
          <w:shd w:val="clear" w:color="auto" w:fill="FFFFFF"/>
          <w:lang w:val="zh-CN"/>
        </w:rPr>
        <w:t>（一）部门预算总体绩效分析。</w:t>
      </w:r>
    </w:p>
    <w:p>
      <w:pPr>
        <w:adjustRightInd w:val="0"/>
        <w:snapToGrid w:val="0"/>
        <w:spacing w:line="578" w:lineRule="exact"/>
        <w:ind w:firstLine="640" w:firstLineChars="200"/>
        <w:contextualSpacing/>
        <w:jc w:val="left"/>
        <w:rPr>
          <w:rFonts w:ascii="仿宋_GB2312" w:eastAsia="仿宋_GB2312"/>
          <w:sz w:val="32"/>
          <w:szCs w:val="32"/>
        </w:rPr>
      </w:pPr>
      <w:r>
        <w:rPr>
          <w:rFonts w:hint="eastAsia" w:ascii="楷体_GB2312" w:hAnsi="楷体_GB2312" w:eastAsia="楷体_GB2312" w:cs="楷体_GB2312"/>
          <w:color w:val="000000"/>
          <w:kern w:val="0"/>
          <w:sz w:val="32"/>
          <w:szCs w:val="32"/>
          <w:shd w:val="clear" w:color="auto" w:fill="FFFFFF"/>
        </w:rPr>
        <w:t>1.</w:t>
      </w:r>
      <w:r>
        <w:rPr>
          <w:rFonts w:hint="eastAsia" w:ascii="楷体_GB2312" w:hAnsi="楷体_GB2312" w:eastAsia="楷体_GB2312" w:cs="楷体_GB2312"/>
          <w:color w:val="000000"/>
          <w:kern w:val="0"/>
          <w:sz w:val="32"/>
          <w:szCs w:val="32"/>
          <w:shd w:val="clear" w:color="auto" w:fill="FFFFFF"/>
          <w:lang w:val="zh-CN"/>
        </w:rPr>
        <w:t>履职效能。</w:t>
      </w:r>
      <w:r>
        <w:rPr>
          <w:rFonts w:hint="eastAsia" w:ascii="仿宋_GB2312" w:hAnsi="楷体_GB2312" w:eastAsia="仿宋_GB2312" w:cs="楷体_GB2312"/>
          <w:color w:val="000000"/>
          <w:kern w:val="0"/>
          <w:sz w:val="32"/>
          <w:szCs w:val="32"/>
          <w:shd w:val="clear" w:color="auto" w:fill="FFFFFF"/>
        </w:rPr>
        <w:t>2023年，</w:t>
      </w:r>
      <w:r>
        <w:rPr>
          <w:rFonts w:hint="eastAsia" w:ascii="仿宋_GB2312" w:eastAsia="仿宋_GB2312"/>
          <w:sz w:val="32"/>
          <w:szCs w:val="32"/>
        </w:rPr>
        <w:t>全市共发生一般程序道路交通事故953起、死亡135人、受伤1260人，与2022年相比分别上升2.91%、下降2.88%、上升1.37%（与疫情前的2019年相比，分别下降17.51%、下降28.19%、下降21.42%），连续42个月未发生一起一次死亡3人以上交通事故，连续11年没有发生一起一次死亡5人以上较大交通事故；查处各类交通违法行为65.7万余起（其中饮酒驾驶3621起、醉酒驾驶781起、飙车炸街218起、非法改拼装261起），执行拘留2254人，吊销驾驶证980本，移送起诉826 件，极大震慑了违法行为；还推动实施“文明畅达”行动，全链条破解群众反映强烈的城市道路交通问题，全方位提升城市道路交通精细化治理能力水平，打造更加有序、更加安全的城市交通环境，重点路段停车次数减少21%，通行时间缩短26%，高峰持续时间减少11.8%，拥堵警情下降9.2%，提高了人民群众获得感和安全感。</w:t>
      </w:r>
    </w:p>
    <w:p>
      <w:pPr>
        <w:adjustRightInd w:val="0"/>
        <w:snapToGrid w:val="0"/>
        <w:spacing w:line="578" w:lineRule="exact"/>
        <w:ind w:firstLine="640" w:firstLineChars="200"/>
        <w:contextualSpacing/>
        <w:jc w:val="left"/>
        <w:rPr>
          <w:rFonts w:ascii="仿宋_GB2312" w:hAnsi="楷体_GB2312" w:eastAsia="仿宋_GB2312" w:cs="楷体_GB2312"/>
          <w:kern w:val="0"/>
          <w:sz w:val="32"/>
          <w:szCs w:val="32"/>
          <w:shd w:val="clear" w:color="auto" w:fill="FFFFFF"/>
          <w:lang w:val="zh-CN"/>
        </w:rPr>
      </w:pPr>
      <w:r>
        <w:rPr>
          <w:rFonts w:hint="eastAsia" w:ascii="楷体_GB2312" w:eastAsia="楷体_GB2312"/>
          <w:sz w:val="32"/>
          <w:szCs w:val="32"/>
        </w:rPr>
        <w:t> </w:t>
      </w:r>
      <w:r>
        <w:rPr>
          <w:rFonts w:hint="eastAsia" w:ascii="楷体_GB2312" w:hAnsi="楷体_GB2312" w:eastAsia="楷体_GB2312" w:cs="楷体_GB2312"/>
          <w:color w:val="000000"/>
          <w:kern w:val="0"/>
          <w:sz w:val="32"/>
          <w:szCs w:val="32"/>
          <w:shd w:val="clear" w:color="auto" w:fill="FFFFFF"/>
        </w:rPr>
        <w:t>2.</w:t>
      </w:r>
      <w:r>
        <w:rPr>
          <w:rFonts w:hint="eastAsia" w:ascii="楷体_GB2312" w:hAnsi="楷体_GB2312" w:eastAsia="楷体_GB2312" w:cs="楷体_GB2312"/>
          <w:color w:val="000000"/>
          <w:kern w:val="0"/>
          <w:sz w:val="32"/>
          <w:szCs w:val="32"/>
          <w:shd w:val="clear" w:color="auto" w:fill="FFFFFF"/>
          <w:lang w:val="zh-CN"/>
        </w:rPr>
        <w:t>预算管理。</w:t>
      </w:r>
      <w:r>
        <w:rPr>
          <w:rFonts w:hint="eastAsia" w:ascii="仿宋_GB2312" w:hAnsi="仿宋" w:eastAsia="仿宋_GB2312" w:cs="仿宋"/>
          <w:color w:val="000000"/>
          <w:kern w:val="0"/>
          <w:sz w:val="32"/>
          <w:szCs w:val="32"/>
          <w:shd w:val="clear" w:color="auto" w:fill="FFFFFF"/>
        </w:rPr>
        <w:t>2023年严格按要求，根据上年度资金使用情况科学、合理的编制了年初部门预算，严控“三公”经费、会议、培训、差旅、办节办展、办公设备购置、信息网络及软件购置更新等8项一般性支出，严格控制</w:t>
      </w:r>
      <w:r>
        <w:rPr>
          <w:rFonts w:hint="eastAsia" w:ascii="仿宋_GB2312" w:eastAsia="仿宋_GB2312"/>
          <w:color w:val="000000"/>
          <w:kern w:val="0"/>
          <w:sz w:val="32"/>
          <w:szCs w:val="32"/>
          <w:shd w:val="clear" w:color="auto" w:fill="FFFFFF"/>
          <w:lang w:val="zh-CN"/>
        </w:rPr>
        <w:t>支出执行进度。</w:t>
      </w:r>
      <w:r>
        <w:rPr>
          <w:rFonts w:hint="eastAsia" w:ascii="仿宋_GB2312" w:eastAsia="仿宋_GB2312"/>
          <w:kern w:val="0"/>
          <w:sz w:val="32"/>
          <w:szCs w:val="32"/>
          <w:shd w:val="clear" w:color="auto" w:fill="FFFFFF"/>
          <w:lang w:val="zh-CN"/>
        </w:rPr>
        <w:t>预算年终结转资金全为政府采购资金。</w:t>
      </w:r>
    </w:p>
    <w:p>
      <w:pPr>
        <w:adjustRightInd w:val="0"/>
        <w:snapToGrid w:val="0"/>
        <w:spacing w:line="578" w:lineRule="exact"/>
        <w:ind w:firstLine="640" w:firstLineChars="200"/>
        <w:contextualSpacing/>
        <w:jc w:val="left"/>
        <w:rPr>
          <w:rFonts w:ascii="仿宋_GB2312" w:hAnsi="仿宋" w:eastAsia="仿宋_GB2312" w:cs="仿宋"/>
          <w:kern w:val="0"/>
          <w:sz w:val="32"/>
          <w:szCs w:val="32"/>
          <w:shd w:val="clear" w:color="auto" w:fill="FFFFFF"/>
        </w:rPr>
      </w:pPr>
      <w:r>
        <w:rPr>
          <w:rFonts w:hint="eastAsia" w:ascii="楷体_GB2312" w:hAnsi="楷体_GB2312" w:eastAsia="楷体_GB2312" w:cs="楷体_GB2312"/>
          <w:color w:val="000000"/>
          <w:kern w:val="0"/>
          <w:sz w:val="32"/>
          <w:szCs w:val="32"/>
          <w:shd w:val="clear" w:color="auto" w:fill="FFFFFF"/>
        </w:rPr>
        <w:t>3.</w:t>
      </w:r>
      <w:r>
        <w:rPr>
          <w:rFonts w:hint="eastAsia" w:ascii="楷体_GB2312" w:hAnsi="楷体_GB2312" w:eastAsia="楷体_GB2312" w:cs="楷体_GB2312"/>
          <w:color w:val="000000"/>
          <w:kern w:val="0"/>
          <w:sz w:val="32"/>
          <w:szCs w:val="32"/>
          <w:shd w:val="clear" w:color="auto" w:fill="FFFFFF"/>
          <w:lang w:val="zh-CN"/>
        </w:rPr>
        <w:t>财务管理。</w:t>
      </w:r>
      <w:r>
        <w:rPr>
          <w:rFonts w:hint="eastAsia" w:ascii="仿宋_GB2312" w:hAnsi="仿宋" w:eastAsia="仿宋_GB2312" w:cs="仿宋"/>
          <w:color w:val="000000"/>
          <w:kern w:val="0"/>
          <w:sz w:val="32"/>
          <w:szCs w:val="32"/>
          <w:shd w:val="clear" w:color="auto" w:fill="FFFFFF"/>
        </w:rPr>
        <w:t>为全面实施预算绩效管理，建立科学、合理的项目支出绩效评价管理体系，提高财政资源配置效率和使用效益，我支</w:t>
      </w:r>
      <w:r>
        <w:rPr>
          <w:rFonts w:hint="eastAsia" w:ascii="仿宋_GB2312" w:hAnsi="仿宋" w:eastAsia="仿宋_GB2312" w:cs="仿宋"/>
          <w:kern w:val="0"/>
          <w:sz w:val="32"/>
          <w:szCs w:val="32"/>
          <w:shd w:val="clear" w:color="auto" w:fill="FFFFFF"/>
        </w:rPr>
        <w:t>队制定了《部门预算绩效管理实施办法》，同时，还完善了《支队财务管理规定》暨《内部会计监督制度》，明确职责分工，提高预算绩效管理水平。</w:t>
      </w:r>
    </w:p>
    <w:p>
      <w:pPr>
        <w:spacing w:line="600" w:lineRule="exact"/>
        <w:ind w:firstLine="640" w:firstLineChars="200"/>
        <w:jc w:val="left"/>
        <w:rPr>
          <w:rFonts w:ascii="仿宋_GB2312" w:hAnsi="仿宋" w:eastAsia="仿宋_GB2312" w:cs="仿宋"/>
          <w:sz w:val="32"/>
          <w:szCs w:val="32"/>
        </w:rPr>
      </w:pPr>
      <w:r>
        <w:rPr>
          <w:rFonts w:hint="eastAsia" w:ascii="楷体_GB2312" w:hAnsi="楷体_GB2312" w:eastAsia="楷体_GB2312" w:cs="楷体_GB2312"/>
          <w:color w:val="000000"/>
          <w:kern w:val="0"/>
          <w:sz w:val="32"/>
          <w:szCs w:val="32"/>
          <w:shd w:val="clear" w:color="auto" w:fill="FFFFFF"/>
        </w:rPr>
        <w:t>4.</w:t>
      </w:r>
      <w:r>
        <w:rPr>
          <w:rFonts w:hint="eastAsia" w:ascii="楷体_GB2312" w:hAnsi="楷体_GB2312" w:eastAsia="楷体_GB2312" w:cs="楷体_GB2312"/>
          <w:color w:val="000000"/>
          <w:kern w:val="0"/>
          <w:sz w:val="32"/>
          <w:szCs w:val="32"/>
          <w:shd w:val="clear" w:color="auto" w:fill="FFFFFF"/>
          <w:lang w:val="zh-CN"/>
        </w:rPr>
        <w:t>资产管理。</w:t>
      </w:r>
      <w:r>
        <w:rPr>
          <w:rFonts w:hint="eastAsia" w:ascii="仿宋_GB2312" w:hAnsi="仿宋_GB2312" w:eastAsia="仿宋_GB2312" w:cs="仿宋_GB2312"/>
          <w:sz w:val="32"/>
          <w:szCs w:val="32"/>
        </w:rPr>
        <w:t>我支队完善了固定资产管理制度，配备有兼职固定资产管理员，明确了其相关职责，做到了国有资产统一登记和集中保管。同时，也加强了对资产及设备的定期巡查，对损坏的资产及设备及时的维修保养，对暂不使用的资产设备妥善保管，不断提高设备的利用率及完产好率，充分发挥了</w:t>
      </w:r>
      <w:r>
        <w:rPr>
          <w:rFonts w:hint="eastAsia" w:ascii="仿宋_GB2312" w:hAnsi="仿宋" w:eastAsia="仿宋_GB2312" w:cs="仿宋"/>
          <w:sz w:val="32"/>
          <w:szCs w:val="32"/>
        </w:rPr>
        <w:t xml:space="preserve">国有资产效能。 </w:t>
      </w:r>
    </w:p>
    <w:p>
      <w:pPr>
        <w:adjustRightInd w:val="0"/>
        <w:snapToGrid w:val="0"/>
        <w:spacing w:line="578" w:lineRule="exact"/>
        <w:ind w:firstLine="640" w:firstLineChars="200"/>
        <w:contextualSpacing/>
        <w:jc w:val="left"/>
        <w:rPr>
          <w:rFonts w:ascii="仿宋_GB2312" w:eastAsia="仿宋_GB2312"/>
          <w:sz w:val="32"/>
          <w:szCs w:val="32"/>
        </w:rPr>
      </w:pPr>
      <w:r>
        <w:rPr>
          <w:rFonts w:hint="eastAsia" w:ascii="楷体_GB2312" w:hAnsi="楷体_GB2312" w:eastAsia="楷体_GB2312" w:cs="楷体_GB2312"/>
          <w:color w:val="000000"/>
          <w:kern w:val="0"/>
          <w:sz w:val="32"/>
          <w:szCs w:val="32"/>
          <w:shd w:val="clear" w:color="auto" w:fill="FFFFFF"/>
        </w:rPr>
        <w:t>5.</w:t>
      </w:r>
      <w:r>
        <w:rPr>
          <w:rFonts w:hint="eastAsia" w:ascii="楷体_GB2312" w:hAnsi="楷体_GB2312" w:eastAsia="楷体_GB2312" w:cs="楷体_GB2312"/>
          <w:color w:val="000000"/>
          <w:kern w:val="0"/>
          <w:sz w:val="32"/>
          <w:szCs w:val="32"/>
          <w:shd w:val="clear" w:color="auto" w:fill="FFFFFF"/>
          <w:lang w:val="zh-CN"/>
        </w:rPr>
        <w:t>采购管理。</w:t>
      </w:r>
      <w:r>
        <w:rPr>
          <w:rFonts w:hint="eastAsia" w:ascii="仿宋_GB2312" w:eastAsia="仿宋_GB2312"/>
          <w:sz w:val="32"/>
          <w:szCs w:val="32"/>
        </w:rPr>
        <w:t>为确保支队各类项目规范采购和按期、优质完成，支队成立了由支队长任组长，政委任副组长，办公室主任、法宣科科长、政工科科长、办公室副主任为成员的领导小组。具体负责项目的申报、采购、建设、监管和验收，严格遵照《中华人民共和国招投标法》，凡达到政府采购标准的，全部进行公开招标和采购。2023年，我支队采购订单共计10笔，全部</w:t>
      </w:r>
      <w:r>
        <w:rPr>
          <w:rFonts w:hint="eastAsia" w:ascii="仿宋_GB2312" w:eastAsia="仿宋_GB2312"/>
          <w:color w:val="000000"/>
          <w:kern w:val="0"/>
          <w:sz w:val="32"/>
          <w:szCs w:val="32"/>
          <w:shd w:val="clear" w:color="auto" w:fill="FFFFFF"/>
          <w:lang w:val="zh-CN"/>
        </w:rPr>
        <w:t>围绕支持中小企业发展</w:t>
      </w:r>
      <w:r>
        <w:rPr>
          <w:rFonts w:hint="eastAsia" w:ascii="仿宋_GB2312" w:eastAsia="仿宋_GB2312"/>
          <w:sz w:val="32"/>
          <w:szCs w:val="32"/>
        </w:rPr>
        <w:t>应采尽采。</w:t>
      </w:r>
    </w:p>
    <w:p>
      <w:pPr>
        <w:adjustRightInd w:val="0"/>
        <w:snapToGrid w:val="0"/>
        <w:spacing w:line="578" w:lineRule="exact"/>
        <w:ind w:firstLine="642" w:firstLineChars="200"/>
        <w:contextualSpacing/>
        <w:jc w:val="left"/>
        <w:rPr>
          <w:rFonts w:ascii="仿宋_GB2312" w:hAnsi="楷体_GB2312" w:eastAsia="仿宋_GB2312" w:cs="楷体_GB2312"/>
          <w:color w:val="000000"/>
          <w:kern w:val="0"/>
          <w:sz w:val="32"/>
          <w:szCs w:val="32"/>
          <w:shd w:val="clear" w:color="auto" w:fill="FFFFFF"/>
          <w:lang w:val="zh-CN"/>
        </w:rPr>
      </w:pPr>
      <w:r>
        <w:rPr>
          <w:rFonts w:hint="eastAsia" w:ascii="仿宋_GB2312" w:eastAsia="仿宋_GB2312"/>
          <w:b/>
          <w:bCs/>
          <w:color w:val="000000"/>
          <w:kern w:val="0"/>
          <w:sz w:val="32"/>
          <w:szCs w:val="32"/>
          <w:shd w:val="clear" w:color="auto" w:fill="FFFFFF"/>
          <w:lang w:val="zh-CN"/>
        </w:rPr>
        <w:t>（二）部门预算项目绩效分析。</w:t>
      </w:r>
    </w:p>
    <w:p>
      <w:pPr>
        <w:adjustRightInd w:val="0"/>
        <w:snapToGrid w:val="0"/>
        <w:spacing w:line="578" w:lineRule="exact"/>
        <w:ind w:firstLine="640" w:firstLineChars="200"/>
        <w:contextualSpacing/>
        <w:jc w:val="left"/>
        <w:rPr>
          <w:rFonts w:ascii="仿宋_GB2312" w:eastAsia="仿宋_GB2312"/>
          <w:kern w:val="0"/>
          <w:sz w:val="32"/>
          <w:szCs w:val="32"/>
          <w:shd w:val="clear" w:color="auto" w:fill="FFFFFF"/>
          <w:lang w:val="zh-CN"/>
        </w:rPr>
      </w:pPr>
      <w:r>
        <w:rPr>
          <w:rFonts w:hint="eastAsia" w:ascii="仿宋_GB2312" w:eastAsia="仿宋_GB2312"/>
          <w:kern w:val="0"/>
          <w:sz w:val="32"/>
          <w:szCs w:val="32"/>
          <w:shd w:val="clear" w:color="auto" w:fill="FFFFFF"/>
          <w:lang w:val="zh-CN"/>
        </w:rPr>
        <w:t>项目总数</w:t>
      </w:r>
      <w:r>
        <w:rPr>
          <w:rFonts w:hint="eastAsia" w:ascii="仿宋_GB2312" w:eastAsia="仿宋_GB2312"/>
          <w:kern w:val="0"/>
          <w:sz w:val="32"/>
          <w:szCs w:val="32"/>
          <w:shd w:val="clear" w:color="auto" w:fill="FFFFFF"/>
        </w:rPr>
        <w:t>15</w:t>
      </w:r>
      <w:r>
        <w:rPr>
          <w:rFonts w:hint="eastAsia" w:ascii="仿宋_GB2312" w:eastAsia="仿宋_GB2312"/>
          <w:kern w:val="0"/>
          <w:sz w:val="32"/>
          <w:szCs w:val="32"/>
          <w:shd w:val="clear" w:color="auto" w:fill="FFFFFF"/>
          <w:lang w:val="zh-CN"/>
        </w:rPr>
        <w:t>个，涉及预算总金额</w:t>
      </w:r>
      <w:r>
        <w:rPr>
          <w:rFonts w:hint="eastAsia" w:ascii="仿宋_GB2312" w:eastAsia="仿宋_GB2312"/>
          <w:kern w:val="0"/>
          <w:sz w:val="32"/>
          <w:szCs w:val="32"/>
          <w:shd w:val="clear" w:color="auto" w:fill="FFFFFF"/>
        </w:rPr>
        <w:t>4245.55</w:t>
      </w:r>
      <w:r>
        <w:rPr>
          <w:rFonts w:hint="eastAsia" w:ascii="仿宋_GB2312" w:eastAsia="仿宋_GB2312"/>
          <w:kern w:val="0"/>
          <w:sz w:val="32"/>
          <w:szCs w:val="32"/>
          <w:shd w:val="clear" w:color="auto" w:fill="FFFFFF"/>
          <w:lang w:val="zh-CN"/>
        </w:rPr>
        <w:t>万元，1—1</w:t>
      </w:r>
      <w:r>
        <w:rPr>
          <w:rFonts w:hint="eastAsia" w:ascii="仿宋_GB2312" w:eastAsia="仿宋_GB2312"/>
          <w:kern w:val="0"/>
          <w:sz w:val="32"/>
          <w:szCs w:val="32"/>
          <w:shd w:val="clear" w:color="auto" w:fill="FFFFFF"/>
        </w:rPr>
        <w:t>2</w:t>
      </w:r>
      <w:r>
        <w:rPr>
          <w:rFonts w:hint="eastAsia" w:ascii="仿宋_GB2312" w:eastAsia="仿宋_GB2312"/>
          <w:kern w:val="0"/>
          <w:sz w:val="32"/>
          <w:szCs w:val="32"/>
          <w:shd w:val="clear" w:color="auto" w:fill="FFFFFF"/>
          <w:lang w:val="zh-CN"/>
        </w:rPr>
        <w:t>月预算执行总体进度为</w:t>
      </w:r>
      <w:r>
        <w:rPr>
          <w:rFonts w:hint="eastAsia" w:ascii="仿宋_GB2312" w:eastAsia="仿宋_GB2312"/>
          <w:kern w:val="0"/>
          <w:sz w:val="32"/>
          <w:szCs w:val="32"/>
          <w:shd w:val="clear" w:color="auto" w:fill="FFFFFF"/>
        </w:rPr>
        <w:t>85.14</w:t>
      </w:r>
      <w:r>
        <w:rPr>
          <w:rFonts w:hint="eastAsia" w:ascii="仿宋_GB2312" w:eastAsia="仿宋_GB2312"/>
          <w:kern w:val="0"/>
          <w:sz w:val="32"/>
          <w:szCs w:val="32"/>
          <w:shd w:val="clear" w:color="auto" w:fill="FFFFFF"/>
          <w:lang w:val="zh-CN"/>
        </w:rPr>
        <w:t>%，其中：预算结转率大于</w:t>
      </w:r>
      <w:r>
        <w:rPr>
          <w:rFonts w:hint="eastAsia" w:ascii="仿宋_GB2312" w:eastAsia="仿宋_GB2312"/>
          <w:kern w:val="0"/>
          <w:sz w:val="32"/>
          <w:szCs w:val="32"/>
          <w:shd w:val="clear" w:color="auto" w:fill="FFFFFF"/>
        </w:rPr>
        <w:t>10%</w:t>
      </w:r>
      <w:r>
        <w:rPr>
          <w:rFonts w:hint="eastAsia" w:ascii="仿宋_GB2312" w:eastAsia="仿宋_GB2312"/>
          <w:kern w:val="0"/>
          <w:sz w:val="32"/>
          <w:szCs w:val="32"/>
          <w:shd w:val="clear" w:color="auto" w:fill="FFFFFF"/>
          <w:lang w:val="zh-CN"/>
        </w:rPr>
        <w:t>的项目共计</w:t>
      </w:r>
      <w:r>
        <w:rPr>
          <w:rFonts w:hint="eastAsia" w:ascii="仿宋_GB2312" w:eastAsia="仿宋_GB2312"/>
          <w:kern w:val="0"/>
          <w:sz w:val="32"/>
          <w:szCs w:val="32"/>
          <w:shd w:val="clear" w:color="auto" w:fill="FFFFFF"/>
        </w:rPr>
        <w:t>2</w:t>
      </w:r>
      <w:r>
        <w:rPr>
          <w:rFonts w:hint="eastAsia" w:ascii="仿宋_GB2312" w:eastAsia="仿宋_GB2312"/>
          <w:kern w:val="0"/>
          <w:sz w:val="32"/>
          <w:szCs w:val="32"/>
          <w:shd w:val="clear" w:color="auto" w:fill="FFFFFF"/>
          <w:lang w:val="zh-CN"/>
        </w:rPr>
        <w:t>个，原因是项目资金下达计划较迟，结转资金全部为政府采购资金。</w:t>
      </w:r>
    </w:p>
    <w:p>
      <w:pPr>
        <w:adjustRightInd w:val="0"/>
        <w:snapToGrid w:val="0"/>
        <w:spacing w:line="560" w:lineRule="exact"/>
        <w:ind w:firstLine="720"/>
        <w:rPr>
          <w:rFonts w:ascii="仿宋_GB2312" w:hAnsi="楷体" w:eastAsia="仿宋_GB2312"/>
          <w:sz w:val="32"/>
          <w:szCs w:val="32"/>
          <w:lang w:val="zh-CN"/>
        </w:rPr>
      </w:pPr>
      <w:r>
        <w:rPr>
          <w:rFonts w:hint="eastAsia" w:ascii="楷体_GB2312" w:hAnsi="楷体_GB2312" w:eastAsia="楷体_GB2312" w:cs="楷体_GB2312"/>
          <w:color w:val="000000"/>
          <w:kern w:val="0"/>
          <w:sz w:val="32"/>
          <w:szCs w:val="32"/>
          <w:shd w:val="clear" w:color="auto" w:fill="FFFFFF"/>
        </w:rPr>
        <w:t>1.</w:t>
      </w:r>
      <w:r>
        <w:rPr>
          <w:rFonts w:hint="eastAsia" w:ascii="楷体_GB2312" w:hAnsi="楷体_GB2312" w:eastAsia="楷体_GB2312" w:cs="楷体_GB2312"/>
          <w:color w:val="000000"/>
          <w:kern w:val="0"/>
          <w:sz w:val="32"/>
          <w:szCs w:val="32"/>
          <w:shd w:val="clear" w:color="auto" w:fill="FFFFFF"/>
          <w:lang w:val="zh-CN"/>
        </w:rPr>
        <w:t>项目决策（11分）。</w:t>
      </w:r>
      <w:r>
        <w:rPr>
          <w:rFonts w:hint="eastAsia" w:ascii="仿宋_GB2312" w:hAnsi="楷体" w:eastAsia="仿宋_GB2312"/>
          <w:sz w:val="32"/>
          <w:szCs w:val="32"/>
          <w:lang w:val="zh-CN"/>
        </w:rPr>
        <w:t>由科室就项目具体内容、所需资金、工作目标等形成报告，报告提交交警支队党总支会议审核，审核通过后根据财政批复情况由部门具体进行实施；</w:t>
      </w:r>
      <w:r>
        <w:rPr>
          <w:rFonts w:hint="eastAsia" w:ascii="仿宋_GB2312" w:hAnsi="宋体" w:eastAsia="仿宋_GB2312" w:cs="宋体"/>
          <w:kern w:val="0"/>
          <w:sz w:val="32"/>
          <w:szCs w:val="32"/>
        </w:rPr>
        <w:t>绩效目标设置科学合理、规范完整、量化细化、与预算匹配，同时，在规定时间内对项目进行入库。</w:t>
      </w:r>
    </w:p>
    <w:p>
      <w:pPr>
        <w:spacing w:line="360" w:lineRule="auto"/>
        <w:ind w:firstLine="627" w:firstLineChars="196"/>
        <w:jc w:val="left"/>
        <w:rPr>
          <w:rFonts w:ascii="仿宋_GB2312" w:hAnsi="宋体" w:eastAsia="仿宋_GB2312" w:cs="宋体"/>
          <w:kern w:val="0"/>
          <w:sz w:val="32"/>
          <w:szCs w:val="32"/>
        </w:rPr>
      </w:pPr>
      <w:r>
        <w:rPr>
          <w:rFonts w:hint="eastAsia" w:ascii="楷体_GB2312" w:hAnsi="楷体_GB2312" w:eastAsia="楷体_GB2312" w:cs="楷体_GB2312"/>
          <w:color w:val="000000"/>
          <w:kern w:val="0"/>
          <w:sz w:val="32"/>
          <w:szCs w:val="32"/>
          <w:shd w:val="clear" w:color="auto" w:fill="FFFFFF"/>
        </w:rPr>
        <w:t>2.项目执行</w:t>
      </w:r>
      <w:r>
        <w:rPr>
          <w:rFonts w:hint="eastAsia" w:ascii="楷体_GB2312" w:hAnsi="楷体_GB2312" w:eastAsia="楷体_GB2312" w:cs="楷体_GB2312"/>
          <w:color w:val="000000"/>
          <w:kern w:val="0"/>
          <w:sz w:val="32"/>
          <w:szCs w:val="32"/>
          <w:shd w:val="clear" w:color="auto" w:fill="FFFFFF"/>
          <w:lang w:val="zh-CN"/>
        </w:rPr>
        <w:t>（12分）。</w:t>
      </w:r>
      <w:r>
        <w:rPr>
          <w:rFonts w:hint="eastAsia" w:ascii="仿宋_GB2312" w:hAnsi="宋体" w:eastAsia="仿宋_GB2312" w:cs="宋体"/>
          <w:kern w:val="0"/>
          <w:sz w:val="32"/>
          <w:szCs w:val="32"/>
        </w:rPr>
        <w:t>按照“谁支出、谁负责”的原则，开展预算绩效日常监控，对项目预算执行、绩效目标完成情况进行收集汇总，及时分析研判，及时控制纠偏，形成了有效监督。</w:t>
      </w:r>
    </w:p>
    <w:p>
      <w:pPr>
        <w:spacing w:line="620" w:lineRule="exact"/>
        <w:ind w:firstLine="640" w:firstLineChars="200"/>
        <w:rPr>
          <w:rFonts w:ascii="仿宋_GB2312" w:eastAsia="仿宋_GB2312"/>
          <w:sz w:val="32"/>
          <w:szCs w:val="32"/>
        </w:rPr>
      </w:pPr>
      <w:r>
        <w:rPr>
          <w:rFonts w:hint="eastAsia" w:ascii="楷体_GB2312" w:hAnsi="楷体_GB2312" w:eastAsia="楷体_GB2312" w:cs="楷体_GB2312"/>
          <w:color w:val="000000"/>
          <w:kern w:val="0"/>
          <w:sz w:val="32"/>
          <w:szCs w:val="32"/>
          <w:shd w:val="clear" w:color="auto" w:fill="FFFFFF"/>
        </w:rPr>
        <w:t>3.</w:t>
      </w:r>
      <w:r>
        <w:rPr>
          <w:rFonts w:hint="eastAsia" w:ascii="楷体_GB2312" w:hAnsi="楷体_GB2312" w:eastAsia="楷体_GB2312" w:cs="楷体_GB2312"/>
          <w:color w:val="000000"/>
          <w:kern w:val="0"/>
          <w:sz w:val="32"/>
          <w:szCs w:val="32"/>
          <w:shd w:val="clear" w:color="auto" w:fill="FFFFFF"/>
          <w:lang w:val="zh-CN"/>
        </w:rPr>
        <w:t>目标实现（11分）。</w:t>
      </w:r>
      <w:r>
        <w:rPr>
          <w:rFonts w:hint="eastAsia" w:ascii="仿宋_GB2312" w:eastAsia="仿宋_GB2312"/>
          <w:sz w:val="32"/>
          <w:szCs w:val="32"/>
        </w:rPr>
        <w:t>2023年，全市公安交警部门坚持以习近平新时代中国特色社会主义思想为指导，紧紧围绕市委市政府和市局党委决策部署，全面推进“减量控大”“新篇”“五大行动”专项行动，全力以赴除隐患、防风险、压事故、保安全、促畅通、护发展、强队伍，被省公安厅荣记集体二等功，为建设川陕甘结合部现代化中心城市贡献了公安交警力量。</w:t>
      </w:r>
      <w:r>
        <w:rPr>
          <w:rFonts w:hint="eastAsia" w:ascii="仿宋_GB2312" w:eastAsia="仿宋_GB2312"/>
          <w:color w:val="000000"/>
          <w:sz w:val="32"/>
          <w:szCs w:val="32"/>
        </w:rPr>
        <w:t>推动落实</w:t>
      </w:r>
      <w:r>
        <w:rPr>
          <w:rFonts w:hint="eastAsia" w:ascii="仿宋_GB2312" w:eastAsia="仿宋_GB2312"/>
          <w:sz w:val="32"/>
          <w:szCs w:val="32"/>
        </w:rPr>
        <w:t>“市局主导、县区主体、市县联动、全警参与”安保体系，</w:t>
      </w:r>
      <w:r>
        <w:rPr>
          <w:rFonts w:hint="eastAsia" w:ascii="仿宋_GB2312" w:eastAsia="仿宋_GB2312"/>
          <w:color w:val="000000"/>
          <w:sz w:val="32"/>
          <w:szCs w:val="32"/>
          <w:shd w:val="clear" w:color="auto" w:fill="FFFFFF"/>
        </w:rPr>
        <w:t>依托1个指挥中心、9个分控中心、10个交警服务站以及70余处执勤点</w:t>
      </w:r>
      <w:r>
        <w:rPr>
          <w:rFonts w:hint="eastAsia" w:ascii="仿宋_GB2312" w:eastAsia="仿宋_GB2312"/>
          <w:color w:val="000000"/>
          <w:sz w:val="32"/>
          <w:szCs w:val="32"/>
        </w:rPr>
        <w:t>筑牢圈层防控，</w:t>
      </w:r>
      <w:r>
        <w:rPr>
          <w:rFonts w:hint="eastAsia" w:ascii="仿宋_GB2312" w:eastAsia="仿宋_GB2312"/>
          <w:sz w:val="32"/>
          <w:szCs w:val="32"/>
        </w:rPr>
        <w:t>确保交通安保工作</w:t>
      </w:r>
      <w:r>
        <w:rPr>
          <w:rFonts w:hint="eastAsia" w:ascii="仿宋_GB2312" w:eastAsia="仿宋_GB2312"/>
          <w:color w:val="000000"/>
          <w:sz w:val="32"/>
          <w:szCs w:val="32"/>
        </w:rPr>
        <w:t>各环节无缝衔接、全程跟踪稳控。</w:t>
      </w:r>
      <w:r>
        <w:rPr>
          <w:rFonts w:hint="eastAsia" w:ascii="仿宋_GB2312" w:eastAsia="仿宋_GB2312"/>
          <w:sz w:val="32"/>
          <w:szCs w:val="32"/>
        </w:rPr>
        <w:t>常态开展道路交通安全隐患大排查大整治，实施组织实施“回头看”；排查道路安全隐患600余处，修建防撞护栏275千米，增设警示桩6730余根，施划减速带360余处，治理平交口和路侧开口90余处，隐患整治率达98%。查处各类交通违法行为65.7万余起（其中饮酒驾驶3621起、醉酒驾驶781起、飙车炸街218起、非法改拼装261起），执行拘留2254人，吊销驾驶证980本，移送起诉826 件，极大震慑了违法行为。</w:t>
      </w:r>
      <w:r>
        <w:rPr>
          <w:rFonts w:hint="eastAsia" w:ascii="仿宋_GB2312" w:hAnsi="仿宋_GB2312" w:eastAsia="仿宋_GB2312" w:cs="仿宋_GB2312"/>
          <w:sz w:val="32"/>
          <w:szCs w:val="32"/>
        </w:rPr>
        <w:t>严格落实“站早晚高峰”“网格化”“四级承包”工作机制，各级各部门负责人坚持上一线、带头干，</w:t>
      </w:r>
      <w:r>
        <w:rPr>
          <w:rFonts w:hint="eastAsia" w:ascii="仿宋_GB2312" w:eastAsia="仿宋_GB2312"/>
          <w:sz w:val="32"/>
          <w:szCs w:val="32"/>
        </w:rPr>
        <w:t>与路面警力并肩作战，共同开展违法查处和教育劝导工作；今年来，</w:t>
      </w:r>
      <w:r>
        <w:rPr>
          <w:rFonts w:hint="eastAsia" w:ascii="仿宋_GB2312" w:hAnsi="仿宋_GB2312" w:eastAsia="仿宋_GB2312" w:cs="仿宋_GB2312"/>
          <w:sz w:val="32"/>
          <w:szCs w:val="32"/>
        </w:rPr>
        <w:t>非机动车通行守法率95.2%，行人遵守信号灯率97.3%，机动车礼让行人率98.5%</w:t>
      </w:r>
      <w:r>
        <w:rPr>
          <w:rFonts w:hint="eastAsia" w:ascii="仿宋_GB2312" w:eastAsia="仿宋_GB2312"/>
          <w:sz w:val="32"/>
          <w:szCs w:val="32"/>
        </w:rPr>
        <w:t>。</w:t>
      </w:r>
    </w:p>
    <w:p>
      <w:pPr>
        <w:widowControl/>
        <w:adjustRightInd w:val="0"/>
        <w:snapToGrid w:val="0"/>
        <w:spacing w:line="578" w:lineRule="exact"/>
        <w:ind w:firstLine="642" w:firstLineChars="200"/>
        <w:contextualSpacing/>
        <w:jc w:val="left"/>
        <w:rPr>
          <w:rFonts w:ascii="仿宋_GB2312" w:eastAsia="仿宋_GB2312"/>
          <w:sz w:val="32"/>
          <w:szCs w:val="32"/>
        </w:rPr>
      </w:pPr>
      <w:r>
        <w:rPr>
          <w:rFonts w:hint="eastAsia" w:ascii="仿宋_GB2312" w:eastAsia="仿宋_GB2312"/>
          <w:b/>
          <w:bCs/>
          <w:color w:val="000000"/>
          <w:kern w:val="0"/>
          <w:sz w:val="32"/>
          <w:szCs w:val="32"/>
          <w:shd w:val="clear" w:color="auto" w:fill="FFFFFF"/>
          <w:lang w:val="zh-CN"/>
        </w:rPr>
        <w:t>（三）重点领域绩效分析。</w:t>
      </w:r>
      <w:r>
        <w:rPr>
          <w:rFonts w:hint="eastAsia" w:ascii="仿宋_GB2312" w:eastAsia="仿宋_GB2312"/>
          <w:sz w:val="32"/>
          <w:szCs w:val="32"/>
        </w:rPr>
        <w:t>为确保支队各类项目规范采购和按期、优质完成，支队成立了由支队长任组长，政委任副组长，办公室主任、法宣科科长、政工科科长、办公室副主任为成员的领导小组。具体负责项目的申报、采购、建设、监管和验收，严格遵照《中华人民共和国招投标法》，凡达到政府采购标准的，全部进行公开招标和采购。2023年，我支队政府采购订单共10个，涉及资金601.6万元。</w:t>
      </w:r>
    </w:p>
    <w:p>
      <w:pPr>
        <w:widowControl/>
        <w:adjustRightInd w:val="0"/>
        <w:snapToGrid w:val="0"/>
        <w:spacing w:line="578" w:lineRule="exact"/>
        <w:ind w:firstLine="642" w:firstLineChars="200"/>
        <w:contextualSpacing/>
        <w:jc w:val="left"/>
        <w:rPr>
          <w:rFonts w:ascii="仿宋_GB2312" w:hAnsi="仿宋_GB2312" w:eastAsia="仿宋_GB2312" w:cs="仿宋_GB2312"/>
          <w:kern w:val="0"/>
          <w:sz w:val="32"/>
          <w:szCs w:val="32"/>
          <w:shd w:val="clear" w:color="auto" w:fill="FFFFFF"/>
        </w:rPr>
      </w:pPr>
      <w:r>
        <w:rPr>
          <w:rFonts w:hint="eastAsia" w:ascii="仿宋_GB2312" w:eastAsia="仿宋_GB2312"/>
          <w:b/>
          <w:bCs/>
          <w:sz w:val="32"/>
          <w:szCs w:val="32"/>
          <w:lang w:val="zh-CN"/>
        </w:rPr>
        <w:t>（四）绩效结果应用情况。</w:t>
      </w:r>
      <w:r>
        <w:rPr>
          <w:rFonts w:hint="eastAsia" w:ascii="仿宋_GB2312" w:hAnsi="仿宋_GB2312" w:eastAsia="仿宋_GB2312" w:cs="仿宋_GB2312"/>
          <w:kern w:val="0"/>
          <w:sz w:val="32"/>
          <w:szCs w:val="32"/>
          <w:shd w:val="clear" w:color="auto" w:fill="FFFFFF"/>
        </w:rPr>
        <w:t>我支队下发的《部门预算绩效管理实施办法》中明确将对项目进行绩效监控，将项目申报科室纳入年度绩效考核，从监控结果来看，各项目运行规范良好。此外，在年初编报预算时，通过总支会研究审定项目绩效目标申报工作，能充分考虑项目的差异性，使绩效目标内容完整、细化量化、标准合理，在审核时一次性通过；从绩效运行监控结果来看，部分项目绩效指标指设置不够科学，今后将充分做好前提调研工作，使绩效目标设置更加科学合理。</w:t>
      </w:r>
    </w:p>
    <w:p>
      <w:pPr>
        <w:widowControl/>
        <w:adjustRightInd w:val="0"/>
        <w:snapToGrid w:val="0"/>
        <w:spacing w:line="578" w:lineRule="exact"/>
        <w:ind w:firstLine="640" w:firstLineChars="200"/>
        <w:contextualSpacing/>
        <w:jc w:val="left"/>
        <w:outlineLvl w:val="1"/>
        <w:rPr>
          <w:rFonts w:ascii="黑体" w:hAnsi="黑体" w:eastAsia="黑体"/>
          <w:color w:val="000000"/>
          <w:kern w:val="0"/>
          <w:sz w:val="32"/>
          <w:szCs w:val="32"/>
          <w:shd w:val="clear" w:color="auto" w:fill="FFFFFF"/>
        </w:rPr>
      </w:pPr>
      <w:bookmarkStart w:id="28" w:name="_Toc7128"/>
      <w:bookmarkStart w:id="29" w:name="_Toc2741"/>
      <w:r>
        <w:rPr>
          <w:rFonts w:hint="eastAsia" w:ascii="黑体" w:hAnsi="黑体" w:eastAsia="黑体"/>
          <w:color w:val="000000"/>
          <w:kern w:val="0"/>
          <w:sz w:val="32"/>
          <w:szCs w:val="32"/>
          <w:shd w:val="clear" w:color="auto" w:fill="FFFFFF"/>
        </w:rPr>
        <w:t>四、评价结论及建议</w:t>
      </w:r>
      <w:bookmarkEnd w:id="28"/>
      <w:bookmarkEnd w:id="29"/>
    </w:p>
    <w:p>
      <w:pPr>
        <w:widowControl/>
        <w:adjustRightInd w:val="0"/>
        <w:snapToGrid w:val="0"/>
        <w:spacing w:line="578" w:lineRule="exact"/>
        <w:ind w:firstLine="642" w:firstLineChars="200"/>
        <w:contextualSpacing/>
        <w:jc w:val="left"/>
        <w:rPr>
          <w:rFonts w:ascii="仿宋_GB2312" w:eastAsia="仿宋_GB2312"/>
          <w:b/>
          <w:bCs/>
          <w:color w:val="000000"/>
          <w:kern w:val="0"/>
          <w:sz w:val="32"/>
          <w:szCs w:val="32"/>
          <w:shd w:val="clear" w:color="auto" w:fill="FFFFFF"/>
          <w:lang w:val="zh-CN"/>
        </w:rPr>
      </w:pPr>
      <w:r>
        <w:rPr>
          <w:rFonts w:hint="eastAsia" w:ascii="仿宋_GB2312" w:eastAsia="仿宋_GB2312"/>
          <w:b/>
          <w:bCs/>
          <w:color w:val="000000"/>
          <w:kern w:val="0"/>
          <w:sz w:val="32"/>
          <w:szCs w:val="32"/>
          <w:shd w:val="clear" w:color="auto" w:fill="FFFFFF"/>
          <w:lang w:val="zh-CN"/>
        </w:rPr>
        <w:t>（一）评价结论。</w:t>
      </w:r>
      <w:r>
        <w:rPr>
          <w:rFonts w:hint="eastAsia" w:ascii="仿宋_GB2312" w:hAnsi="宋体" w:eastAsia="仿宋_GB2312" w:cs="宋体"/>
          <w:color w:val="000000"/>
          <w:kern w:val="0"/>
          <w:sz w:val="32"/>
          <w:szCs w:val="32"/>
        </w:rPr>
        <w:t>2023年，我支队从</w:t>
      </w:r>
      <w:r>
        <w:rPr>
          <w:rFonts w:hint="eastAsia" w:ascii="仿宋_GB2312" w:eastAsia="仿宋_GB2312"/>
          <w:color w:val="000000"/>
          <w:sz w:val="32"/>
          <w:szCs w:val="32"/>
        </w:rPr>
        <w:t>需求、论证、审批、实施和验收等环节着手，注重强化</w:t>
      </w:r>
      <w:r>
        <w:rPr>
          <w:rFonts w:hint="eastAsia" w:ascii="仿宋_GB2312" w:hAnsi="宋体" w:eastAsia="仿宋_GB2312" w:cs="宋体"/>
          <w:color w:val="000000"/>
          <w:kern w:val="0"/>
          <w:sz w:val="32"/>
          <w:szCs w:val="32"/>
        </w:rPr>
        <w:t>项目的规划与科学论证，</w:t>
      </w:r>
      <w:r>
        <w:rPr>
          <w:rFonts w:hint="eastAsia" w:ascii="仿宋_GB2312" w:eastAsia="仿宋_GB2312"/>
          <w:color w:val="000000"/>
          <w:sz w:val="32"/>
          <w:szCs w:val="32"/>
        </w:rPr>
        <w:t>规范绩效支出项目建设，严把项目建设进度和质量关，实现流程管理模式化和标准化</w:t>
      </w:r>
      <w:r>
        <w:rPr>
          <w:rFonts w:hint="eastAsia" w:ascii="仿宋_GB2312" w:hAnsi="宋体" w:eastAsia="仿宋_GB2312" w:cs="宋体"/>
          <w:color w:val="000000"/>
          <w:kern w:val="0"/>
          <w:sz w:val="32"/>
          <w:szCs w:val="32"/>
        </w:rPr>
        <w:t>；健全了资金的核算与管理制度，做到“量化到人头，落实到部门，具体到项目”，促进了财政资金的使用管理方式，极大的保障了道路交通管理</w:t>
      </w:r>
      <w:r>
        <w:rPr>
          <w:rFonts w:hint="eastAsia" w:ascii="仿宋_GB2312" w:hAnsi="宋体" w:eastAsia="仿宋_GB2312" w:cs="宋体"/>
          <w:kern w:val="0"/>
          <w:sz w:val="32"/>
          <w:szCs w:val="32"/>
        </w:rPr>
        <w:t>。自评得分96分。</w:t>
      </w:r>
    </w:p>
    <w:p>
      <w:pPr>
        <w:snapToGrid w:val="0"/>
        <w:spacing w:line="600" w:lineRule="exact"/>
        <w:ind w:firstLine="642" w:firstLineChars="200"/>
        <w:rPr>
          <w:rFonts w:ascii="仿宋_GB2312" w:eastAsia="仿宋_GB2312"/>
          <w:sz w:val="32"/>
          <w:szCs w:val="32"/>
        </w:rPr>
      </w:pPr>
      <w:r>
        <w:rPr>
          <w:rFonts w:hint="eastAsia" w:ascii="仿宋_GB2312" w:eastAsia="仿宋_GB2312"/>
          <w:b/>
          <w:bCs/>
          <w:color w:val="000000"/>
          <w:kern w:val="0"/>
          <w:sz w:val="32"/>
          <w:szCs w:val="32"/>
          <w:shd w:val="clear" w:color="auto" w:fill="FFFFFF"/>
          <w:lang w:val="zh-CN"/>
        </w:rPr>
        <w:t>（二）存在问题。</w:t>
      </w:r>
      <w:r>
        <w:rPr>
          <w:rFonts w:hint="eastAsia" w:ascii="仿宋_GB2312" w:eastAsia="仿宋_GB2312"/>
          <w:sz w:val="32"/>
          <w:szCs w:val="32"/>
        </w:rPr>
        <w:t xml:space="preserve">一是预算绩效管理专业性较强，有时对政策、评价指标把握不到位，业务科室与财务室联动性较差。二是政府采购项目需要提前锁定全额资金，实施政府采购后剩余资金财政要收回，在公业务费预算本来就不足的情况下，进一步加大了资金缺口。 </w:t>
      </w:r>
    </w:p>
    <w:p>
      <w:pPr>
        <w:widowControl/>
        <w:spacing w:line="600" w:lineRule="exact"/>
        <w:ind w:firstLine="639" w:firstLineChars="199"/>
        <w:jc w:val="left"/>
        <w:rPr>
          <w:rFonts w:ascii="仿宋_GB2312" w:eastAsia="仿宋_GB2312"/>
          <w:sz w:val="32"/>
          <w:szCs w:val="32"/>
        </w:rPr>
      </w:pPr>
      <w:r>
        <w:rPr>
          <w:rFonts w:hint="eastAsia" w:ascii="仿宋_GB2312" w:eastAsia="仿宋_GB2312"/>
          <w:b/>
          <w:bCs/>
          <w:color w:val="000000"/>
          <w:kern w:val="0"/>
          <w:sz w:val="32"/>
          <w:szCs w:val="32"/>
          <w:shd w:val="clear" w:color="auto" w:fill="FFFFFF"/>
          <w:lang w:val="zh-CN"/>
        </w:rPr>
        <w:t>（三）改进建议。一是</w:t>
      </w:r>
      <w:r>
        <w:rPr>
          <w:rFonts w:hint="eastAsia" w:ascii="仿宋_GB2312" w:eastAsia="仿宋_GB2312"/>
          <w:sz w:val="32"/>
          <w:szCs w:val="32"/>
        </w:rPr>
        <w:t>预算绩效管理工作涉及面广，需要具有综合工作能力，建议多组织相关的业务培训，学习先进单位的经验，同时，在日常工作中加强对各部门预算绩效问题的指导，提高从业人员的理论知识水平及业务能力。</w:t>
      </w:r>
      <w:r>
        <w:rPr>
          <w:rFonts w:hint="eastAsia" w:ascii="仿宋_GB2312" w:eastAsia="仿宋_GB2312"/>
          <w:b/>
          <w:sz w:val="32"/>
          <w:szCs w:val="32"/>
        </w:rPr>
        <w:t>二是</w:t>
      </w:r>
      <w:r>
        <w:rPr>
          <w:rFonts w:hint="eastAsia" w:ascii="仿宋_GB2312" w:eastAsia="仿宋_GB2312"/>
          <w:sz w:val="32"/>
          <w:szCs w:val="32"/>
        </w:rPr>
        <w:t>营造讲绩效、重绩效的浓厚氛围，在管理层扩大宣传，预算绩效工作并不是部门财务一个科室的事情，需要本部门各科室协同合作。</w:t>
      </w:r>
      <w:r>
        <w:rPr>
          <w:rFonts w:hint="eastAsia" w:ascii="仿宋_GB2312" w:eastAsia="仿宋_GB2312"/>
          <w:b/>
          <w:bCs/>
          <w:color w:val="000000"/>
          <w:kern w:val="0"/>
          <w:sz w:val="32"/>
          <w:szCs w:val="32"/>
          <w:shd w:val="clear" w:color="auto" w:fill="FFFFFF"/>
          <w:lang w:val="zh-CN"/>
        </w:rPr>
        <w:t>三是</w:t>
      </w:r>
      <w:r>
        <w:rPr>
          <w:rFonts w:hint="eastAsia" w:ascii="仿宋_GB2312" w:eastAsia="仿宋_GB2312"/>
          <w:sz w:val="32"/>
          <w:szCs w:val="32"/>
        </w:rPr>
        <w:t>建议市财政在资金预算、项目建设等方面予以倾斜保障。</w:t>
      </w:r>
    </w:p>
    <w:p>
      <w:pPr>
        <w:spacing w:line="578" w:lineRule="exact"/>
        <w:contextualSpacing/>
        <w:rPr>
          <w:rFonts w:ascii="仿宋_GB2312" w:eastAsia="仿宋_GB2312"/>
          <w:sz w:val="32"/>
          <w:szCs w:val="32"/>
        </w:rPr>
      </w:pPr>
    </w:p>
    <w:p>
      <w:pPr>
        <w:spacing w:line="578" w:lineRule="exact"/>
        <w:ind w:firstLine="640" w:firstLineChars="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附表：部门预算项目支出绩效自评表（2023年度）</w:t>
      </w:r>
    </w:p>
    <w:p>
      <w:pPr>
        <w:spacing w:line="578" w:lineRule="exact"/>
        <w:rPr>
          <w:rFonts w:ascii="仿宋_GB2312" w:eastAsia="仿宋_GB2312"/>
          <w:color w:val="000000"/>
          <w:kern w:val="0"/>
          <w:sz w:val="32"/>
          <w:szCs w:val="32"/>
          <w:shd w:val="clear" w:color="auto" w:fill="FFFFFF"/>
        </w:rPr>
      </w:pPr>
    </w:p>
    <w:p>
      <w:pPr>
        <w:spacing w:line="578" w:lineRule="exact"/>
        <w:rPr>
          <w:rFonts w:ascii="仿宋_GB2312" w:eastAsia="仿宋_GB2312"/>
          <w:color w:val="000000"/>
          <w:kern w:val="0"/>
          <w:sz w:val="32"/>
          <w:szCs w:val="32"/>
          <w:shd w:val="clear" w:color="auto" w:fill="FFFFFF"/>
        </w:rPr>
      </w:pPr>
    </w:p>
    <w:p>
      <w:pPr>
        <w:widowControl/>
        <w:jc w:val="left"/>
        <w:rPr>
          <w:rFonts w:hint="eastAsia" w:ascii="仿宋_GB2312" w:eastAsia="仿宋_GB2312"/>
          <w:color w:val="000000"/>
          <w:kern w:val="0"/>
          <w:sz w:val="32"/>
          <w:szCs w:val="32"/>
          <w:shd w:val="clear" w:color="auto" w:fill="FFFFFF"/>
        </w:rPr>
        <w:sectPr>
          <w:footerReference r:id="rId4" w:type="first"/>
          <w:footerReference r:id="rId3" w:type="default"/>
          <w:pgSz w:w="11906" w:h="16838"/>
          <w:pgMar w:top="1440" w:right="1800" w:bottom="1440" w:left="1800" w:header="851" w:footer="992" w:gutter="0"/>
          <w:pgNumType w:start="1"/>
          <w:cols w:space="425" w:num="1"/>
          <w:titlePg/>
          <w:docGrid w:type="lines" w:linePitch="312" w:charSpace="0"/>
        </w:sectPr>
      </w:pPr>
    </w:p>
    <w:p>
      <w:pPr>
        <w:spacing w:line="578" w:lineRule="exact"/>
        <w:rPr>
          <w:rFonts w:hint="eastAsia" w:ascii="仿宋_GB2312" w:eastAsia="仿宋_GB2312"/>
          <w:color w:val="000000"/>
          <w:kern w:val="0"/>
          <w:sz w:val="32"/>
          <w:szCs w:val="32"/>
          <w:shd w:val="clear" w:color="auto" w:fill="FFFFFF"/>
        </w:rPr>
      </w:pPr>
    </w:p>
    <w:p>
      <w:pPr>
        <w:spacing w:line="578" w:lineRule="exact"/>
        <w:rPr>
          <w:rFonts w:ascii="黑体" w:hAnsi="黑体" w:eastAsia="黑体" w:cs="黑体"/>
        </w:rPr>
      </w:pPr>
      <w:r>
        <w:rPr>
          <w:rFonts w:hint="eastAsia" w:ascii="黑体" w:hAnsi="黑体" w:eastAsia="黑体" w:cs="黑体"/>
        </w:rPr>
        <w:t>附表</w:t>
      </w:r>
    </w:p>
    <w:p>
      <w:pPr>
        <w:widowControl/>
        <w:jc w:val="center"/>
        <w:rPr>
          <w:rFonts w:ascii="黑体" w:hAnsi="黑体" w:eastAsia="黑体"/>
          <w:sz w:val="48"/>
          <w:szCs w:val="48"/>
        </w:rPr>
      </w:pPr>
      <w:r>
        <w:rPr>
          <w:rFonts w:hint="eastAsia" w:ascii="黑体" w:hAnsi="黑体" w:eastAsia="黑体"/>
          <w:sz w:val="48"/>
          <w:szCs w:val="48"/>
        </w:rPr>
        <w:t>第四</w:t>
      </w:r>
      <w:r>
        <w:rPr>
          <w:rFonts w:ascii="黑体" w:hAnsi="黑体" w:eastAsia="黑体"/>
          <w:sz w:val="48"/>
          <w:szCs w:val="48"/>
        </w:rPr>
        <w:t>部分</w:t>
      </w:r>
      <w:r>
        <w:rPr>
          <w:rFonts w:hint="eastAsia" w:ascii="黑体" w:hAnsi="黑体" w:eastAsia="黑体"/>
          <w:sz w:val="48"/>
          <w:szCs w:val="48"/>
        </w:rPr>
        <w:t xml:space="preserve"> 附件</w:t>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按照工资表严格发放，据实申报。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4,197.68</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4,193.45</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4,193.45</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4,197.68</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4,193.45</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4,193.45</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51000021R000000019952-其他人员支出</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left"/>
      </w:pPr>
    </w:p>
    <w:p>
      <w:pPr>
        <w:widowControl/>
        <w:jc w:val="left"/>
      </w:pPr>
    </w:p>
    <w:p>
      <w:pPr>
        <w:widowControl/>
        <w:jc w:val="center"/>
      </w:pPr>
    </w:p>
    <w:p>
      <w:pPr>
        <w:widowControl/>
        <w:jc w:val="center"/>
      </w:pPr>
    </w:p>
    <w:p>
      <w:pPr>
        <w:widowControl/>
        <w:jc w:val="center"/>
      </w:pPr>
    </w:p>
    <w:p>
      <w:pPr>
        <w:widowControl/>
        <w:jc w:val="center"/>
      </w:pPr>
    </w:p>
    <w:p>
      <w:pPr>
        <w:widowControl/>
        <w:jc w:val="center"/>
      </w:pPr>
    </w:p>
    <w:p>
      <w:pPr>
        <w:widowControl/>
        <w:jc w:val="both"/>
      </w:pPr>
    </w:p>
    <w:p>
      <w:pPr>
        <w:widowControl/>
        <w:jc w:val="both"/>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51000021R000000019956-离退休费支出</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both"/>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51000021R000000019958-其他支出</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both"/>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51000021Y000000011490-日常公用经费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提高预算编制质量，严格执行预算，保障单位日常运转。</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both"/>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206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78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226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52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68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52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10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52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6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256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提高预算编制质量，严格执行预算，保障单位日常运转。</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both"/>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51080022R000006844873-退休“中人”一次性退休补贴</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26.83</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26.83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26.83</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26.83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both"/>
      </w:pPr>
    </w:p>
    <w:p>
      <w:pPr>
        <w:widowControl/>
        <w:jc w:val="both"/>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163.53</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163.53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163.53</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163.53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both"/>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51080021T000000051967-事故车辆检测费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完成对交通事故中需要检测车辆进行检测并出具报告，为交通事故的责任认定提供依据。</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2023年对事故车辆应检尽检，共检验车辆370辆。</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该项目由相关科室就项目具体内容、所需资金、工作目标等形成报告，报告提交交警支队党总支会议审核，审核通过后根据财政批复情况由部门具体进行实施。</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交通事故中需要检测的车辆</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辆</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370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检验结果合格率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减轻交通事故发生者负担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为事故责任认定提供依据</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事故车车主满意度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交通事故车辆检测费</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40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从评价情况来看，项目的预算资金管理科学合理，使用规范，完成了项目的既定目标，达到了预期使用效果，得分是99分。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事故双方车主满意度不能达到100%。</w:t>
            </w:r>
          </w:p>
        </w:tc>
      </w:tr>
      <w:tr>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在日后工作中，尽量做到让事故双方车主满意，并做好业务宣传培训。</w:t>
            </w:r>
          </w:p>
        </w:tc>
      </w:tr>
    </w:tbl>
    <w:p>
      <w:pPr>
        <w:widowControl/>
        <w:jc w:val="center"/>
      </w:pPr>
    </w:p>
    <w:p>
      <w:pPr>
        <w:widowControl/>
        <w:jc w:val="both"/>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51080022T000004911629-协警人员经费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225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协助正式民警完成事故处理、交通秩序管理、车管业务等。</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圆满完成全国“两会”、中亚峰会、“一带一路”高峰论坛、杭州亚运会、成都大运会重大活动及春运、端午、国庆重要节假日的交通安保工作；特别是确保了习近平总书记来川来广视察交通安保工作的完胜全胜；查处各类交通违法行为65.7万余起（其中饮酒驾驶3621起、醉酒驾驶781起、飙车炸街218起、非法改拼装261起），执行拘留2254人，吊销驾驶证980本，移送起诉826 件，极大震慑了违法行为。</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该项目由科室就项目具体内容、所需资金、工作目标等形成报告，报告提交交警支队党总支会议审核，审核通过后根据财政批复情况由部门具体进行实施。</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协警员人数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协警工作考核合格率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向社会提供了部分就业岗位，增加家庭收入</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提升业务办理效率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广大交通参与者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协警员工资、保险及福利等支出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1750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从评价情况来看，项目运转情况良好，预算资金管理科学合理，使用规范，完成了项目的既定目标，达到了预期使用效果，得分是100分。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协警员保障标准比较低，工资和福利待遇与他们工作的辛苦程度不能成正比，不能栓心留人，造成协警员流动性比较大，不利于更好地开展各项交通管理工作。</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希望财政能继续提高协警员保障标准，提高协警人员的待遇，拴住人心保持协警员队伍的相对稳定。</w:t>
            </w:r>
          </w:p>
        </w:tc>
      </w:tr>
    </w:tbl>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51080022T000004911683-交通事故救助基金管理工作经费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1、交通事故中，逃逸和未保险车辆造成的人员伤亡产生的医疗和丧葬费的垫付。                2、救助基金的如何使用的宣传工作。   </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3、基金的追偿和核销工作。    </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2023年，共为交通事故中符合救助条件10人垫付了医疗费用48.8万元。</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该项目由科室就项目具体内容、所需资金、工作目标等形成报告，报告提交交警支队党总支会议审核，审核通过后根据财政批复情况由部门具体进行实施。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救助人数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符合救助人员的救助率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降低伤亡人员经济负担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降低交通事故死亡率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被救助对象满意度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办公、宣传等支出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由于宣传还不到位，许多符合条件的救助者还不知道道路事故救助基金的存在，无法享受到国家给予的福利政策。</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加大宣传力度，让更多符合条件的救助者受益。</w:t>
            </w:r>
          </w:p>
        </w:tc>
      </w:tr>
    </w:tbl>
    <w:p>
      <w:pPr>
        <w:widowControl/>
        <w:jc w:val="center"/>
      </w:pPr>
    </w:p>
    <w:p>
      <w:pPr>
        <w:widowControl/>
        <w:jc w:val="center"/>
      </w:pPr>
    </w:p>
    <w:p>
      <w:pPr>
        <w:widowControl/>
        <w:jc w:val="center"/>
      </w:pPr>
    </w:p>
    <w:p>
      <w:pPr>
        <w:widowControl/>
        <w:jc w:val="both"/>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51080022T000004911693-交通事故处理费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33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1、道路交通事故现场处置。2、交通事故责任认定。3、交通事故调解和逃逸案件的侦破。</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全年全市共发生一般程序道路交通事故953起、死亡135人、受伤1260人，与2022年相比分别上升2.91%、下降2.88%、上升1.37%（与疫情前的2019年相比，分别下降17.51%、下降28.19%、下降21.42%），连续42个月未发生一起一次死亡3人以上交通事故，连续11年没有发生一起一次死亡5人以上较大交通事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该项目由科室就项目具体内容、所需资金、工作目标等形成报告，报告提交交警支队党总支会议审核，审核通过后根据财政批复情况由部门具体进行实施。</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处理一般道路交通事故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起</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交通事故处理完结率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交通事故快速有效处理</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提高办案效率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事故发生者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油料、差旅等支出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从评价情况来看，项目的预算资金管理科学合理，使用规范，完成了项目的既定目标，达到了预期使用效果，得分是99分。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在事故处理过程因多方面的原因,不能让事故双方100%满意。</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一是在事故处理过程中，做到处理程序、法律法规的应用无瑕疵。二是耐心做好解释工作和法律法规的宣讲，争取让人民群众100%满意。</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bl>
    <w:p>
      <w:pPr>
        <w:widowControl/>
        <w:jc w:val="center"/>
      </w:pPr>
    </w:p>
    <w:p>
      <w:pPr>
        <w:widowControl/>
        <w:jc w:val="both"/>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51080022T000004912070-交通安全宣传费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2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通过报纸、电台、电视台、互联网等宣传交通安全知识，实时开展“大曝光”、“大警示”、“大直播”等宣传行动，曝光典型案例，公布终身禁驾人员，举办交通安全宣传，开展执法大直播，极大提升了交通参与者的素质。</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共在中央、省、市级报刊刊发稿件64篇（幅）、在“新媒体”刊发稿件860多篇、发布节假等重点时段“两公布一提示”36期，持续开通“广元交警”微信、微博、抖音以及交通广播“交警直播间”，提升了交通安全宣传效能，推动了公安交通管理工作再上台阶。</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举办宣传活动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运用媒体刊发稿件</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篇</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860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交通安全形势</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提升交通参与者素质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交通参与者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媒体宣传、印刷及展板等费用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虽然交通安全宣传力度逐年加大，但还是有许多交通参与者交通安全意识淡薄，特别是非机车驾驶员和行人。 </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下一步应当继续加大安全宣传力度，提高广大交通参与者的安全意识。</w:t>
            </w:r>
          </w:p>
        </w:tc>
      </w:tr>
    </w:tbl>
    <w:p>
      <w:pPr>
        <w:widowControl/>
        <w:jc w:val="center"/>
      </w:pPr>
    </w:p>
    <w:p>
      <w:pPr>
        <w:widowControl/>
        <w:jc w:val="center"/>
      </w:pPr>
    </w:p>
    <w:p>
      <w:pPr>
        <w:widowControl/>
        <w:jc w:val="both"/>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51080022T000004917090-车辆号牌、违法处置、驾驶证、登记证成本</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7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1、完成全市车辆上户、年检、报废、驾驶员考试和年审。2、维护道路交通秩序、驾驶员和车辆的违法查处。</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2023年，经业务部门统计，查处各类交通违法行为65.7万余起（其中饮酒驾驶3621起、醉酒驾驶781起、飙车炸街218起、非法改拼装261起），执行拘留2254人，吊销驾驶证980本，移送起诉826 件，极大震慑了违法行为。机动车上户5.53万辆，检测14.47万辆，重点驾驶人审验率97.25%，大中型客货车平均检验率96.32%，大型客车报废率100%。</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车管业务办理量</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5.53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机动车检验量</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14.47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查处交通违法量</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65.7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大型客车报废率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大中型客货车平均检验率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96.32%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重点驾驶人审验率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97.25%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驾考改革号牌公开预约率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汽车上牌率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交通违法行为常态打击</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净化道路交通环境</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车管业务办理者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车管业务及交通秩序管理成本</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387.91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从评价情况来看，项目的预算资金管理科学合理，使用规范，完成了项目的既定目标，达到了预期使用效果，得分是98分。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因交通违法量随意性较大，绩效目标设置不够科学</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下一步，将结合近几年的交通违法行为量，联同相关科室，共同研究，科学合理设置绩效目标。</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both"/>
        <w:rPr>
          <w:b/>
        </w:rP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51080022T000004933718-乡村振兴工作经费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2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支队帮扶旺苍县天星乡大山村，帮助其振兴产业、文化、人才和生态建设，推进强村富民，走向共同富裕的道路。</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支队帮扶旺苍县天星乡大山村，帮助其发展养殖业，振兴产业、文化、人才和生态建设，帮扶群众47户，引进种植项目1项，使被帮扶群众生活水平、人均收入大大提高、生活环境大大改善。</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引进种植项目</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帮扶困难群众</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户</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47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巩固脱贫攻坚成果</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帮助困难户增收</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持续推动乡村振兴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帮扶对象满意度指标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被帮扶人员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驻村干部下乡补助等</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5.46</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rPr>
          <w:b/>
        </w:rPr>
      </w:pPr>
    </w:p>
    <w:p>
      <w:pPr>
        <w:widowControl/>
        <w:jc w:val="center"/>
        <w:rPr>
          <w:b/>
        </w:rPr>
      </w:pPr>
    </w:p>
    <w:p>
      <w:pPr>
        <w:widowControl/>
        <w:jc w:val="both"/>
        <w:rPr>
          <w:b/>
        </w:rPr>
      </w:pPr>
    </w:p>
    <w:p>
      <w:pPr>
        <w:widowControl/>
        <w:jc w:val="center"/>
      </w:pPr>
      <w:r>
        <w:fldChar w:fldCharType="begin"/>
      </w:r>
      <w:r>
        <w:instrText xml:space="preserve"> </w:instrText>
      </w:r>
      <w:r>
        <w:rPr>
          <w:rFonts w:hint="eastAsia"/>
        </w:rPr>
        <w:instrText xml:space="preserve">LINK </w:instrText>
      </w:r>
      <w:r>
        <w:instrText xml:space="preserve">Excel.Sheet.12 C:\\Users\\Administrator\\Desktop\\部门预算项目支出绩效自评表(项目).xlsx 自评表!R191C1:R218C11 </w:instrText>
      </w:r>
      <w:r>
        <w:rPr>
          <w:rFonts w:hint="eastAsia"/>
        </w:rPr>
        <w:instrText xml:space="preserve">\a \f 4 \h</w:instrText>
      </w:r>
      <w:r>
        <w:instrText xml:space="preserve">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51080022T000007096548-城区交通管理设施建设与维护项目</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2487"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通过对城区高清卡口、超速抓拍、信号灯、电子警察、LED显示屏、各类安全提示标志牌等的维护，不仅交通监控设施等配套管理交通标志进行了完善，而且对道路标志进行系统规划，不仅满足了交通设施完整规范的需要，也满足了交通需要和交通管理的实际需要。2、通过安装安全设施和监控设备，加大了对车辆违法行为的查处力度，安装的高清卡口系统对公安机关稽查布控起到有力的推进作用，同时安装的警告提示标志牌提高了道路行车安全，保障了行车安全。3、对市城区多条拥堵路段安装中心隔离护栏设置，以及道路指示标志牌等。进一步完善城区道路交通安全设施设备，提高市城区主干道路通行能力，规范拥堵路段路口的行车秩序。4、通过城区交通设置的更新和安装，使城区街道景象焕然一新，提升了城市整体形象。在城区道路进行设施规范后，提高车辆驾驶员文明行车、安全行车的意识。</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共施划交通标线约40000平方米、新增隔离护栏1101米，新增信号灯5套，抓拍系统2套，改造信号灯线路4处，租赁线路176条，一方面，为公安机关稽查布控奠定了基础，也加大了交通违法行为处罚力度；另一方面，通过对信号灯维护、安装护栏及施划标线，提高了市城区主干道路通行能力和城市整体形象。</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299.18</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42.57%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299.18</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42.57%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施划交通标线</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37666</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约40000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维护及新增交通隔离护栏</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675</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米</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1101</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新增信号灯5套，电子警察2套，改建信号灯4套</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套</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线路租赁</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176</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条</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176</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176</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2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对道路隔离护栏、交通标志等设备的维护。</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对车行灯、人行灯灯盘，信号灯主机等配件进行维护。</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84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对市城区及宝轮辖区信号灯、电子警察、违停抓拍等设备电力线路的改造维护。</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nil"/>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nil"/>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3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规范道路交通秩序，提高城区通行能力。</w:t>
            </w:r>
          </w:p>
        </w:tc>
        <w:tc>
          <w:tcPr>
            <w:tcW w:w="52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优良中低差</w:t>
            </w:r>
          </w:p>
        </w:tc>
        <w:tc>
          <w:tcPr>
            <w:tcW w:w="52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6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1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115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6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1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该项目资金为上年结转资金，结转资金全为政府采购资金，该资金根据项目实施进度严格进行支付。</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从评价情况来看，该项目得分98分。项目的预算资金管理科学合理，使用规范，完成了项目的既定目标，达到了预期使用效果。</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该项目未纳入年初部门预算，项目资金计划下达较迟，影响政府采购工作进度。</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建议将城区交通管理设施专项经费纳入部门预算，方便项目的采购、规划和及时实施。</w:t>
            </w:r>
          </w:p>
        </w:tc>
      </w:tr>
    </w:tbl>
    <w:p>
      <w:pPr>
        <w:widowControl/>
        <w:jc w:val="center"/>
        <w:rPr>
          <w:b/>
        </w:rPr>
      </w:pPr>
      <w:r>
        <w:rPr>
          <w:b/>
        </w:rPr>
        <w:fldChar w:fldCharType="end"/>
      </w:r>
    </w:p>
    <w:p>
      <w:pPr>
        <w:widowControl/>
        <w:jc w:val="center"/>
        <w:rPr>
          <w:b/>
        </w:rPr>
      </w:pPr>
    </w:p>
    <w:p>
      <w:pPr>
        <w:widowControl/>
        <w:jc w:val="center"/>
        <w:rPr>
          <w:b/>
        </w:rPr>
      </w:pPr>
    </w:p>
    <w:p>
      <w:pPr>
        <w:widowControl/>
        <w:jc w:val="center"/>
        <w:rPr>
          <w:b/>
        </w:rPr>
      </w:pPr>
    </w:p>
    <w:p>
      <w:pPr>
        <w:widowControl/>
        <w:jc w:val="both"/>
        <w:rPr>
          <w:b/>
        </w:rPr>
      </w:pPr>
    </w:p>
    <w:p>
      <w:pPr>
        <w:widowControl/>
        <w:jc w:val="center"/>
      </w:pPr>
      <w:r>
        <w:fldChar w:fldCharType="begin"/>
      </w:r>
      <w:r>
        <w:instrText xml:space="preserve"> </w:instrText>
      </w:r>
      <w:r>
        <w:rPr>
          <w:rFonts w:hint="eastAsia"/>
        </w:rPr>
        <w:instrText xml:space="preserve">LINK </w:instrText>
      </w:r>
      <w:r>
        <w:instrText xml:space="preserve">Excel.Sheet.12 C:\\Users\\Administrator\\Desktop\\部门预算项目支出绩效自评表(项目).xlsx 自评表!R221C1:R261C11 </w:instrText>
      </w:r>
      <w:r>
        <w:rPr>
          <w:rFonts w:hint="eastAsia"/>
        </w:rPr>
        <w:instrText xml:space="preserve">\a \f 4 \h</w:instrText>
      </w:r>
      <w:r>
        <w:instrText xml:space="preserve">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51080023T000007918390-第二批特定转移支付</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12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路面民警卡口管控、处理交通事故、突发事件的能力，对交通违法行为的常态打击，从严整治“三乱”交通陋习,“三驾两闯”严重违法，最大限度消除安全隐患，保障道路交通执法顺利执行；提升交警执勤执法科技含量，维护道路交通秩序、增强公安机关战斗力、基层实战效能，缩小犯罪份子活动区域，强化警示、震慑作用。</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支队在该项目下达资金计划之前申报了资金使用分配方案，细化量化了绩效目标各项指标，通过项目实施，强化了应急处置，增强公安机关战斗力，维护了民警执法权益，规范了执法流程，有力净化了交通秩序，全市交通安全形势总体平稳。</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协警员服装</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批</w:t>
            </w:r>
          </w:p>
        </w:tc>
        <w:tc>
          <w:tcPr>
            <w:tcW w:w="1100"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复印纸采购</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批</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固封装置</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批</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移动执法终端网络服务</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210</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部</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210</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防寒服</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批</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警用摩托车购置</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7</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辆</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办公网络租赁</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年</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维护执法权益</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规范执法流程</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提供公安系统信息化水平</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保证事故快速高效处理</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强化应急处置</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打击重点违法</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年</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可持续发展指标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社会安全形势</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为车辆管理提供可靠依据</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遏制交通违法行为</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强化执法效能</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便于识别、检查和监督</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提高信息化水平</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维护社会秩序稳定</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使用对象满意度指标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干部职工满意度</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95</w:t>
            </w:r>
          </w:p>
        </w:tc>
        <w:tc>
          <w:tcPr>
            <w:tcW w:w="520" w:type="dxa"/>
            <w:vMerge w:val="restart"/>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100" w:type="dxa"/>
            <w:vMerge w:val="restar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95%</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机动车所有人</w:t>
            </w: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520" w:type="dxa"/>
            <w:vMerge w:val="continue"/>
            <w:tcBorders>
              <w:top w:val="nil"/>
              <w:left w:val="single" w:color="auto" w:sz="4" w:space="0"/>
              <w:bottom w:val="single" w:color="auto" w:sz="4" w:space="0"/>
              <w:right w:val="nil"/>
            </w:tcBorders>
            <w:vAlign w:val="center"/>
          </w:tcPr>
          <w:p>
            <w:pPr>
              <w:widowControl/>
              <w:jc w:val="left"/>
              <w:rPr>
                <w:rFonts w:ascii="等线" w:hAnsi="等线" w:eastAsia="等线" w:cs="宋体"/>
                <w:color w:val="000000"/>
                <w:kern w:val="0"/>
                <w:sz w:val="22"/>
              </w:rPr>
            </w:pPr>
          </w:p>
        </w:tc>
        <w:tc>
          <w:tcPr>
            <w:tcW w:w="1100" w:type="dxa"/>
            <w:vMerge w:val="continue"/>
            <w:tcBorders>
              <w:top w:val="nil"/>
              <w:left w:val="nil"/>
              <w:bottom w:val="single" w:color="auto" w:sz="4" w:space="0"/>
              <w:right w:val="nil"/>
            </w:tcBorders>
            <w:vAlign w:val="center"/>
          </w:tcPr>
          <w:p>
            <w:pPr>
              <w:widowControl/>
              <w:jc w:val="left"/>
              <w:rPr>
                <w:rFonts w:ascii="宋体" w:hAnsi="宋体" w:eastAsia="宋体" w:cs="宋体"/>
                <w:color w:val="000000"/>
                <w:kern w:val="0"/>
                <w:sz w:val="24"/>
                <w:szCs w:val="24"/>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中央及省级政法转移支付资金</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136..01</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136.01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20"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555"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从评价情况来看，该项目得分99分。项目的预算资金管理科学合理，使用规范，完成了项目的既定目标，达到了预期使用效果。</w:t>
            </w:r>
          </w:p>
        </w:tc>
      </w:tr>
      <w:tr>
        <w:tblPrEx>
          <w:tblCellMar>
            <w:top w:w="0" w:type="dxa"/>
            <w:left w:w="108" w:type="dxa"/>
            <w:bottom w:w="0" w:type="dxa"/>
            <w:right w:w="108" w:type="dxa"/>
          </w:tblCellMar>
        </w:tblPrEx>
        <w:trPr>
          <w:trHeight w:val="465"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资金计划下达时间较迟，影响工作进程，导致部分资金采购后未在当年进行支付而结转至下年。</w:t>
            </w:r>
          </w:p>
        </w:tc>
      </w:tr>
      <w:tr>
        <w:tblPrEx>
          <w:tblCellMar>
            <w:top w:w="0" w:type="dxa"/>
            <w:left w:w="108" w:type="dxa"/>
            <w:bottom w:w="0" w:type="dxa"/>
            <w:right w:w="108" w:type="dxa"/>
          </w:tblCellMar>
        </w:tblPrEx>
        <w:trPr>
          <w:trHeight w:val="48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无</w:t>
            </w:r>
          </w:p>
        </w:tc>
      </w:tr>
    </w:tbl>
    <w:p>
      <w:pPr>
        <w:widowControl/>
        <w:jc w:val="center"/>
        <w:rPr>
          <w:b/>
        </w:rPr>
      </w:pPr>
      <w:r>
        <w:rPr>
          <w:b/>
        </w:rPr>
        <w:fldChar w:fldCharType="end"/>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637"/>
        <w:gridCol w:w="4030"/>
        <w:gridCol w:w="1216"/>
        <w:gridCol w:w="1111"/>
        <w:gridCol w:w="998"/>
        <w:gridCol w:w="455"/>
        <w:gridCol w:w="2110"/>
        <w:gridCol w:w="1445"/>
        <w:gridCol w:w="437"/>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30680" w:type="dxa"/>
            <w:gridSpan w:val="11"/>
          </w:tcPr>
          <w:p>
            <w:pPr>
              <w:widowControl/>
              <w:jc w:val="center"/>
              <w:rPr>
                <w:b/>
                <w:bCs/>
              </w:rPr>
            </w:pPr>
            <w:r>
              <w:rPr>
                <w:rFonts w:hint="eastAsia"/>
                <w:b/>
                <w:bCs/>
              </w:rPr>
              <w:t>部门预算项目支出绩效自评表（2023年度）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00" w:type="dxa"/>
            <w:gridSpan w:val="2"/>
          </w:tcPr>
          <w:p>
            <w:pPr>
              <w:widowControl/>
              <w:jc w:val="center"/>
              <w:rPr>
                <w:b/>
              </w:rPr>
            </w:pPr>
            <w:r>
              <w:rPr>
                <w:rFonts w:hint="eastAsia"/>
                <w:b/>
              </w:rPr>
              <w:t>项目名称</w:t>
            </w:r>
          </w:p>
        </w:tc>
        <w:tc>
          <w:tcPr>
            <w:tcW w:w="30080" w:type="dxa"/>
            <w:gridSpan w:val="9"/>
          </w:tcPr>
          <w:p>
            <w:pPr>
              <w:widowControl/>
              <w:jc w:val="center"/>
              <w:rPr>
                <w:b/>
              </w:rPr>
            </w:pPr>
            <w:r>
              <w:rPr>
                <w:rFonts w:hint="eastAsia"/>
                <w:b/>
              </w:rPr>
              <w:t>51080023T000008398008-执法办案区改造项目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00" w:type="dxa"/>
            <w:gridSpan w:val="2"/>
          </w:tcPr>
          <w:p>
            <w:pPr>
              <w:widowControl/>
              <w:jc w:val="center"/>
              <w:rPr>
                <w:b/>
              </w:rPr>
            </w:pPr>
            <w:r>
              <w:rPr>
                <w:rFonts w:hint="eastAsia"/>
                <w:b/>
              </w:rPr>
              <w:t>主管部门</w:t>
            </w:r>
          </w:p>
        </w:tc>
        <w:tc>
          <w:tcPr>
            <w:tcW w:w="18880" w:type="dxa"/>
            <w:gridSpan w:val="5"/>
          </w:tcPr>
          <w:p>
            <w:pPr>
              <w:widowControl/>
              <w:jc w:val="center"/>
              <w:rPr>
                <w:b/>
              </w:rPr>
            </w:pPr>
            <w:r>
              <w:rPr>
                <w:rFonts w:hint="eastAsia"/>
                <w:b/>
              </w:rPr>
              <w:t>广元市公安局交通警察支队部门</w:t>
            </w:r>
          </w:p>
        </w:tc>
        <w:tc>
          <w:tcPr>
            <w:tcW w:w="4640" w:type="dxa"/>
          </w:tcPr>
          <w:p>
            <w:pPr>
              <w:widowControl/>
              <w:jc w:val="center"/>
              <w:rPr>
                <w:b/>
              </w:rPr>
            </w:pPr>
            <w:r>
              <w:rPr>
                <w:b/>
              </w:rPr>
              <w:t>实施单位 （盖章）</w:t>
            </w:r>
          </w:p>
        </w:tc>
        <w:tc>
          <w:tcPr>
            <w:tcW w:w="6560" w:type="dxa"/>
            <w:gridSpan w:val="3"/>
          </w:tcPr>
          <w:p>
            <w:pPr>
              <w:widowControl/>
              <w:jc w:val="center"/>
              <w:rPr>
                <w:b/>
              </w:rPr>
            </w:pPr>
            <w:r>
              <w:rPr>
                <w:rFonts w:hint="eastAsia"/>
                <w:b/>
              </w:rPr>
              <w:t>广元市公安局交通警察支队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00" w:type="dxa"/>
            <w:vMerge w:val="restart"/>
          </w:tcPr>
          <w:p>
            <w:pPr>
              <w:widowControl/>
              <w:jc w:val="center"/>
              <w:rPr>
                <w:b/>
              </w:rPr>
            </w:pPr>
            <w:r>
              <w:rPr>
                <w:rFonts w:hint="eastAsia"/>
                <w:b/>
              </w:rPr>
              <w:t>项目基本情况</w:t>
            </w:r>
          </w:p>
        </w:tc>
        <w:tc>
          <w:tcPr>
            <w:tcW w:w="300" w:type="dxa"/>
            <w:vMerge w:val="restart"/>
          </w:tcPr>
          <w:p>
            <w:pPr>
              <w:widowControl/>
              <w:jc w:val="center"/>
              <w:rPr>
                <w:b/>
              </w:rPr>
            </w:pPr>
            <w:r>
              <w:rPr>
                <w:rFonts w:hint="eastAsia"/>
                <w:b/>
              </w:rPr>
              <w:t>1.项目年度目标完成情况</w:t>
            </w:r>
          </w:p>
        </w:tc>
        <w:tc>
          <w:tcPr>
            <w:tcW w:w="18880" w:type="dxa"/>
            <w:gridSpan w:val="5"/>
          </w:tcPr>
          <w:p>
            <w:pPr>
              <w:widowControl/>
              <w:jc w:val="center"/>
              <w:rPr>
                <w:b/>
              </w:rPr>
            </w:pPr>
            <w:r>
              <w:rPr>
                <w:rFonts w:hint="eastAsia"/>
                <w:b/>
              </w:rPr>
              <w:t>项目年度目标</w:t>
            </w:r>
          </w:p>
        </w:tc>
        <w:tc>
          <w:tcPr>
            <w:tcW w:w="11200" w:type="dxa"/>
            <w:gridSpan w:val="4"/>
          </w:tcPr>
          <w:p>
            <w:pPr>
              <w:widowControl/>
              <w:jc w:val="center"/>
              <w:rPr>
                <w:b/>
              </w:rPr>
            </w:pPr>
            <w:r>
              <w:rPr>
                <w:b/>
              </w:rPr>
              <w:t>年度目标完成情况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00" w:type="dxa"/>
            <w:vMerge w:val="continue"/>
          </w:tcPr>
          <w:p>
            <w:pPr>
              <w:widowControl/>
              <w:jc w:val="center"/>
              <w:rPr>
                <w:b/>
              </w:rPr>
            </w:pPr>
          </w:p>
        </w:tc>
        <w:tc>
          <w:tcPr>
            <w:tcW w:w="300" w:type="dxa"/>
            <w:vMerge w:val="continue"/>
          </w:tcPr>
          <w:p>
            <w:pPr>
              <w:widowControl/>
              <w:jc w:val="center"/>
              <w:rPr>
                <w:b/>
              </w:rPr>
            </w:pPr>
          </w:p>
        </w:tc>
        <w:tc>
          <w:tcPr>
            <w:tcW w:w="18880" w:type="dxa"/>
            <w:gridSpan w:val="5"/>
          </w:tcPr>
          <w:p>
            <w:pPr>
              <w:widowControl/>
              <w:jc w:val="center"/>
              <w:rPr>
                <w:b/>
              </w:rPr>
            </w:pPr>
            <w:r>
              <w:rPr>
                <w:rFonts w:hint="eastAsia"/>
                <w:b/>
              </w:rPr>
              <w:t>完成一、二大队执法办案区的改造，提升执法效能。</w:t>
            </w:r>
          </w:p>
        </w:tc>
        <w:tc>
          <w:tcPr>
            <w:tcW w:w="11200" w:type="dxa"/>
            <w:gridSpan w:val="4"/>
          </w:tcPr>
          <w:p>
            <w:pPr>
              <w:widowControl/>
              <w:jc w:val="center"/>
              <w:rPr>
                <w:b/>
              </w:rPr>
            </w:pPr>
            <w:r>
              <w:rPr>
                <w:b/>
              </w:rPr>
              <w:t>通过对执法办案区改造升级，一方面改善了办公环境，完善了办公设施，提高了办案效率；另一方面，保障了审查工作的安全性，也提升了执法效能。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00" w:type="dxa"/>
            <w:vMerge w:val="continue"/>
          </w:tcPr>
          <w:p>
            <w:pPr>
              <w:widowControl/>
              <w:jc w:val="center"/>
              <w:rPr>
                <w:b/>
              </w:rPr>
            </w:pPr>
          </w:p>
        </w:tc>
        <w:tc>
          <w:tcPr>
            <w:tcW w:w="300" w:type="dxa"/>
          </w:tcPr>
          <w:p>
            <w:pPr>
              <w:widowControl/>
              <w:jc w:val="center"/>
              <w:rPr>
                <w:b/>
              </w:rPr>
            </w:pPr>
            <w:r>
              <w:rPr>
                <w:rFonts w:hint="eastAsia"/>
                <w:b/>
              </w:rPr>
              <w:t>2.项目实施内容及过程概述</w:t>
            </w:r>
          </w:p>
        </w:tc>
        <w:tc>
          <w:tcPr>
            <w:tcW w:w="30080" w:type="dxa"/>
            <w:gridSpan w:val="9"/>
          </w:tcPr>
          <w:p>
            <w:pPr>
              <w:widowControl/>
              <w:jc w:val="center"/>
              <w:rPr>
                <w:b/>
              </w:rPr>
            </w:pPr>
            <w:r>
              <w:rPr>
                <w:rFonts w:hint="eastAsia"/>
                <w: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restart"/>
          </w:tcPr>
          <w:p>
            <w:pPr>
              <w:widowControl/>
              <w:jc w:val="center"/>
              <w:rPr>
                <w:b/>
              </w:rPr>
            </w:pPr>
            <w:r>
              <w:rPr>
                <w:rFonts w:hint="eastAsia"/>
                <w:b/>
              </w:rPr>
              <w:t>预算执行情况（10分）</w:t>
            </w:r>
          </w:p>
        </w:tc>
        <w:tc>
          <w:tcPr>
            <w:tcW w:w="300" w:type="dxa"/>
          </w:tcPr>
          <w:p>
            <w:pPr>
              <w:widowControl/>
              <w:jc w:val="center"/>
              <w:rPr>
                <w:b/>
              </w:rPr>
            </w:pPr>
            <w:r>
              <w:rPr>
                <w:rFonts w:hint="eastAsia"/>
                <w:b/>
              </w:rPr>
              <w:t>年度预算数（万元）</w:t>
            </w:r>
          </w:p>
        </w:tc>
        <w:tc>
          <w:tcPr>
            <w:tcW w:w="11700" w:type="dxa"/>
          </w:tcPr>
          <w:p>
            <w:pPr>
              <w:widowControl/>
              <w:jc w:val="center"/>
              <w:rPr>
                <w:b/>
              </w:rPr>
            </w:pPr>
            <w:r>
              <w:rPr>
                <w:rFonts w:hint="eastAsia"/>
                <w:b/>
              </w:rPr>
              <w:t>年初预算</w:t>
            </w:r>
          </w:p>
        </w:tc>
        <w:tc>
          <w:tcPr>
            <w:tcW w:w="2260" w:type="dxa"/>
          </w:tcPr>
          <w:p>
            <w:pPr>
              <w:widowControl/>
              <w:jc w:val="center"/>
              <w:rPr>
                <w:b/>
              </w:rPr>
            </w:pPr>
            <w:r>
              <w:rPr>
                <w:rFonts w:hint="eastAsia"/>
                <w:b/>
              </w:rPr>
              <w:t>调整后预算数</w:t>
            </w:r>
          </w:p>
        </w:tc>
        <w:tc>
          <w:tcPr>
            <w:tcW w:w="4920" w:type="dxa"/>
            <w:gridSpan w:val="3"/>
          </w:tcPr>
          <w:p>
            <w:pPr>
              <w:widowControl/>
              <w:jc w:val="center"/>
              <w:rPr>
                <w:b/>
              </w:rPr>
            </w:pPr>
            <w:r>
              <w:rPr>
                <w:rFonts w:hint="eastAsia"/>
                <w:b/>
              </w:rPr>
              <w:t>预算执行数</w:t>
            </w:r>
          </w:p>
        </w:tc>
        <w:tc>
          <w:tcPr>
            <w:tcW w:w="4640" w:type="dxa"/>
          </w:tcPr>
          <w:p>
            <w:pPr>
              <w:widowControl/>
              <w:jc w:val="center"/>
              <w:rPr>
                <w:b/>
              </w:rPr>
            </w:pPr>
            <w:r>
              <w:rPr>
                <w:rFonts w:hint="eastAsia"/>
                <w:b/>
              </w:rPr>
              <w:t>预算执行率</w:t>
            </w:r>
          </w:p>
        </w:tc>
        <w:tc>
          <w:tcPr>
            <w:tcW w:w="3540" w:type="dxa"/>
          </w:tcPr>
          <w:p>
            <w:pPr>
              <w:widowControl/>
              <w:jc w:val="center"/>
              <w:rPr>
                <w:b/>
              </w:rPr>
            </w:pPr>
            <w:r>
              <w:rPr>
                <w:rFonts w:hint="eastAsia"/>
                <w:b/>
              </w:rPr>
              <w:t>权重</w:t>
            </w:r>
          </w:p>
        </w:tc>
        <w:tc>
          <w:tcPr>
            <w:tcW w:w="460" w:type="dxa"/>
          </w:tcPr>
          <w:p>
            <w:pPr>
              <w:widowControl/>
              <w:jc w:val="center"/>
              <w:rPr>
                <w:b/>
              </w:rPr>
            </w:pPr>
            <w:r>
              <w:rPr>
                <w:rFonts w:hint="eastAsia"/>
                <w:b/>
              </w:rPr>
              <w:t>得分</w:t>
            </w:r>
          </w:p>
        </w:tc>
        <w:tc>
          <w:tcPr>
            <w:tcW w:w="2560" w:type="dxa"/>
          </w:tcPr>
          <w:p>
            <w:pPr>
              <w:widowControl/>
              <w:jc w:val="center"/>
              <w:rPr>
                <w:b/>
              </w:rPr>
            </w:pPr>
            <w:r>
              <w:rPr>
                <w:rFonts w:hint="eastAsia"/>
                <w:b/>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00" w:type="dxa"/>
            <w:vMerge w:val="continue"/>
          </w:tcPr>
          <w:p>
            <w:pPr>
              <w:widowControl/>
              <w:jc w:val="center"/>
              <w:rPr>
                <w:b/>
              </w:rPr>
            </w:pPr>
          </w:p>
        </w:tc>
        <w:tc>
          <w:tcPr>
            <w:tcW w:w="300" w:type="dxa"/>
          </w:tcPr>
          <w:p>
            <w:pPr>
              <w:widowControl/>
              <w:jc w:val="center"/>
              <w:rPr>
                <w:b/>
              </w:rPr>
            </w:pPr>
            <w:r>
              <w:rPr>
                <w:rFonts w:hint="eastAsia"/>
                <w:b/>
              </w:rPr>
              <w:t>总额</w:t>
            </w:r>
          </w:p>
        </w:tc>
        <w:tc>
          <w:tcPr>
            <w:tcW w:w="11700" w:type="dxa"/>
          </w:tcPr>
          <w:p>
            <w:pPr>
              <w:widowControl/>
              <w:jc w:val="center"/>
              <w:rPr>
                <w:b/>
              </w:rPr>
            </w:pPr>
            <w:r>
              <w:rPr>
                <w:rFonts w:hint="eastAsia"/>
                <w:b/>
              </w:rPr>
              <w:t>95.00</w:t>
            </w:r>
          </w:p>
        </w:tc>
        <w:tc>
          <w:tcPr>
            <w:tcW w:w="2260" w:type="dxa"/>
          </w:tcPr>
          <w:p>
            <w:pPr>
              <w:widowControl/>
              <w:jc w:val="center"/>
              <w:rPr>
                <w:b/>
              </w:rPr>
            </w:pPr>
            <w:r>
              <w:rPr>
                <w:rFonts w:hint="eastAsia"/>
                <w:b/>
              </w:rPr>
              <w:t>95.00</w:t>
            </w:r>
          </w:p>
        </w:tc>
        <w:tc>
          <w:tcPr>
            <w:tcW w:w="4920" w:type="dxa"/>
            <w:gridSpan w:val="3"/>
          </w:tcPr>
          <w:p>
            <w:pPr>
              <w:widowControl/>
              <w:jc w:val="center"/>
              <w:rPr>
                <w:b/>
              </w:rPr>
            </w:pPr>
            <w:r>
              <w:rPr>
                <w:rFonts w:hint="eastAsia"/>
                <w:b/>
              </w:rPr>
              <w:t>95.00</w:t>
            </w:r>
          </w:p>
        </w:tc>
        <w:tc>
          <w:tcPr>
            <w:tcW w:w="4640" w:type="dxa"/>
          </w:tcPr>
          <w:p>
            <w:pPr>
              <w:widowControl/>
              <w:jc w:val="center"/>
              <w:rPr>
                <w:b/>
              </w:rPr>
            </w:pPr>
            <w:r>
              <w:rPr>
                <w:rFonts w:hint="eastAsia"/>
                <w:b/>
              </w:rPr>
              <w:t>100.00%</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vMerge w:val="restart"/>
          </w:tcPr>
          <w:p>
            <w:pPr>
              <w:widowControl/>
              <w:jc w:val="center"/>
              <w:rPr>
                <w:b/>
                <w:i/>
                <w:iCs/>
              </w:rPr>
            </w:pPr>
            <w:r>
              <w:rPr>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00" w:type="dxa"/>
            <w:vMerge w:val="continue"/>
          </w:tcPr>
          <w:p>
            <w:pPr>
              <w:widowControl/>
              <w:jc w:val="center"/>
              <w:rPr>
                <w:b/>
              </w:rPr>
            </w:pPr>
          </w:p>
        </w:tc>
        <w:tc>
          <w:tcPr>
            <w:tcW w:w="300" w:type="dxa"/>
          </w:tcPr>
          <w:p>
            <w:pPr>
              <w:widowControl/>
              <w:jc w:val="center"/>
              <w:rPr>
                <w:b/>
              </w:rPr>
            </w:pPr>
            <w:r>
              <w:rPr>
                <w:rFonts w:hint="eastAsia"/>
                <w:b/>
              </w:rPr>
              <w:t>其中：财政资金</w:t>
            </w:r>
          </w:p>
        </w:tc>
        <w:tc>
          <w:tcPr>
            <w:tcW w:w="11700" w:type="dxa"/>
          </w:tcPr>
          <w:p>
            <w:pPr>
              <w:widowControl/>
              <w:jc w:val="center"/>
              <w:rPr>
                <w:b/>
              </w:rPr>
            </w:pPr>
            <w:r>
              <w:rPr>
                <w:rFonts w:hint="eastAsia"/>
                <w:b/>
              </w:rPr>
              <w:t>95.00</w:t>
            </w:r>
          </w:p>
        </w:tc>
        <w:tc>
          <w:tcPr>
            <w:tcW w:w="2260" w:type="dxa"/>
          </w:tcPr>
          <w:p>
            <w:pPr>
              <w:widowControl/>
              <w:jc w:val="center"/>
              <w:rPr>
                <w:b/>
              </w:rPr>
            </w:pPr>
            <w:r>
              <w:rPr>
                <w:rFonts w:hint="eastAsia"/>
                <w:b/>
              </w:rPr>
              <w:t>95.00</w:t>
            </w:r>
          </w:p>
        </w:tc>
        <w:tc>
          <w:tcPr>
            <w:tcW w:w="4920" w:type="dxa"/>
            <w:gridSpan w:val="3"/>
          </w:tcPr>
          <w:p>
            <w:pPr>
              <w:widowControl/>
              <w:jc w:val="center"/>
              <w:rPr>
                <w:b/>
              </w:rPr>
            </w:pPr>
            <w:r>
              <w:rPr>
                <w:rFonts w:hint="eastAsia"/>
                <w:b/>
              </w:rPr>
              <w:t>95.00</w:t>
            </w:r>
          </w:p>
        </w:tc>
        <w:tc>
          <w:tcPr>
            <w:tcW w:w="4640" w:type="dxa"/>
          </w:tcPr>
          <w:p>
            <w:pPr>
              <w:widowControl/>
              <w:jc w:val="center"/>
              <w:rPr>
                <w:b/>
              </w:rPr>
            </w:pPr>
            <w:r>
              <w:rPr>
                <w:rFonts w:hint="eastAsia"/>
                <w:b/>
              </w:rPr>
              <w:t>100.00%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00" w:type="dxa"/>
            <w:vMerge w:val="continue"/>
          </w:tcPr>
          <w:p>
            <w:pPr>
              <w:widowControl/>
              <w:jc w:val="center"/>
              <w:rPr>
                <w:b/>
              </w:rPr>
            </w:pPr>
          </w:p>
        </w:tc>
        <w:tc>
          <w:tcPr>
            <w:tcW w:w="300" w:type="dxa"/>
          </w:tcPr>
          <w:p>
            <w:pPr>
              <w:widowControl/>
              <w:jc w:val="center"/>
              <w:rPr>
                <w:b/>
              </w:rPr>
            </w:pPr>
            <w:r>
              <w:rPr>
                <w:rFonts w:hint="eastAsia"/>
                <w:b/>
              </w:rPr>
              <w:t>财政专户管理资金</w:t>
            </w:r>
          </w:p>
        </w:tc>
        <w:tc>
          <w:tcPr>
            <w:tcW w:w="11700" w:type="dxa"/>
          </w:tcPr>
          <w:p>
            <w:pPr>
              <w:widowControl/>
              <w:jc w:val="center"/>
              <w:rPr>
                <w:b/>
              </w:rPr>
            </w:pPr>
            <w:r>
              <w:rPr>
                <w:rFonts w:hint="eastAsia"/>
                <w:b/>
              </w:rPr>
              <w:t>0.00</w:t>
            </w:r>
          </w:p>
        </w:tc>
        <w:tc>
          <w:tcPr>
            <w:tcW w:w="2260" w:type="dxa"/>
          </w:tcPr>
          <w:p>
            <w:pPr>
              <w:widowControl/>
              <w:jc w:val="center"/>
              <w:rPr>
                <w:b/>
              </w:rPr>
            </w:pPr>
            <w:r>
              <w:rPr>
                <w:rFonts w:hint="eastAsia"/>
                <w:b/>
              </w:rPr>
              <w:t>0.00</w:t>
            </w:r>
          </w:p>
        </w:tc>
        <w:tc>
          <w:tcPr>
            <w:tcW w:w="4920" w:type="dxa"/>
            <w:gridSpan w:val="3"/>
          </w:tcPr>
          <w:p>
            <w:pPr>
              <w:widowControl/>
              <w:jc w:val="center"/>
              <w:rPr>
                <w:b/>
              </w:rPr>
            </w:pPr>
            <w:r>
              <w:rPr>
                <w:rFonts w:hint="eastAsia"/>
                <w:b/>
              </w:rPr>
              <w:t>0.00</w:t>
            </w:r>
          </w:p>
        </w:tc>
        <w:tc>
          <w:tcPr>
            <w:tcW w:w="4640" w:type="dxa"/>
          </w:tcPr>
          <w:p>
            <w:pPr>
              <w:widowControl/>
              <w:jc w:val="center"/>
              <w:rPr>
                <w:b/>
              </w:rPr>
            </w:pPr>
            <w:r>
              <w:rPr>
                <w:rFonts w:hint="eastAsia"/>
                <w:b/>
              </w:rPr>
              <w:t>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continue"/>
          </w:tcPr>
          <w:p>
            <w:pPr>
              <w:widowControl/>
              <w:jc w:val="center"/>
              <w:rPr>
                <w:b/>
              </w:rPr>
            </w:pPr>
          </w:p>
        </w:tc>
        <w:tc>
          <w:tcPr>
            <w:tcW w:w="300" w:type="dxa"/>
          </w:tcPr>
          <w:p>
            <w:pPr>
              <w:widowControl/>
              <w:jc w:val="center"/>
              <w:rPr>
                <w:b/>
              </w:rPr>
            </w:pPr>
            <w:r>
              <w:rPr>
                <w:rFonts w:hint="eastAsia"/>
                <w:b/>
              </w:rPr>
              <w:t>单位资金</w:t>
            </w:r>
          </w:p>
        </w:tc>
        <w:tc>
          <w:tcPr>
            <w:tcW w:w="11700" w:type="dxa"/>
          </w:tcPr>
          <w:p>
            <w:pPr>
              <w:widowControl/>
              <w:jc w:val="center"/>
              <w:rPr>
                <w:b/>
              </w:rPr>
            </w:pPr>
            <w:r>
              <w:rPr>
                <w:rFonts w:hint="eastAsia"/>
                <w:b/>
              </w:rPr>
              <w:t>0.00</w:t>
            </w:r>
          </w:p>
        </w:tc>
        <w:tc>
          <w:tcPr>
            <w:tcW w:w="2260" w:type="dxa"/>
          </w:tcPr>
          <w:p>
            <w:pPr>
              <w:widowControl/>
              <w:jc w:val="center"/>
              <w:rPr>
                <w:b/>
              </w:rPr>
            </w:pPr>
            <w:r>
              <w:rPr>
                <w:rFonts w:hint="eastAsia"/>
                <w:b/>
              </w:rPr>
              <w:t>0.00</w:t>
            </w:r>
          </w:p>
        </w:tc>
        <w:tc>
          <w:tcPr>
            <w:tcW w:w="4920" w:type="dxa"/>
            <w:gridSpan w:val="3"/>
          </w:tcPr>
          <w:p>
            <w:pPr>
              <w:widowControl/>
              <w:jc w:val="center"/>
              <w:rPr>
                <w:b/>
              </w:rPr>
            </w:pPr>
            <w:r>
              <w:rPr>
                <w:rFonts w:hint="eastAsia"/>
                <w:b/>
              </w:rPr>
              <w:t>0.00</w:t>
            </w:r>
          </w:p>
        </w:tc>
        <w:tc>
          <w:tcPr>
            <w:tcW w:w="4640" w:type="dxa"/>
          </w:tcPr>
          <w:p>
            <w:pPr>
              <w:widowControl/>
              <w:jc w:val="center"/>
              <w:rPr>
                <w:b/>
              </w:rPr>
            </w:pPr>
            <w:r>
              <w:rPr>
                <w:rFonts w:hint="eastAsia"/>
                <w:b/>
              </w:rPr>
              <w:t>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tcPr>
          <w:p>
            <w:pPr>
              <w:widowControl/>
              <w:jc w:val="center"/>
              <w:rPr>
                <w:b/>
              </w:rPr>
            </w:pPr>
            <w:r>
              <w:rPr>
                <w:rFonts w:hint="eastAsia"/>
                <w:b/>
              </w:rPr>
              <w:t>其他资金</w:t>
            </w:r>
          </w:p>
        </w:tc>
        <w:tc>
          <w:tcPr>
            <w:tcW w:w="11700" w:type="dxa"/>
          </w:tcPr>
          <w:p>
            <w:pPr>
              <w:widowControl/>
              <w:jc w:val="center"/>
              <w:rPr>
                <w:b/>
                <w:i/>
                <w:iCs/>
              </w:rPr>
            </w:pPr>
            <w:r>
              <w:rPr>
                <w:rFonts w:hint="eastAsia"/>
                <w:b/>
                <w:i/>
                <w:iCs/>
              </w:rPr>
              <w:t>　</w:t>
            </w:r>
          </w:p>
        </w:tc>
        <w:tc>
          <w:tcPr>
            <w:tcW w:w="2260" w:type="dxa"/>
          </w:tcPr>
          <w:p>
            <w:pPr>
              <w:widowControl/>
              <w:jc w:val="center"/>
              <w:rPr>
                <w:b/>
                <w:i/>
                <w:iCs/>
              </w:rPr>
            </w:pPr>
            <w:r>
              <w:rPr>
                <w:rFonts w:hint="eastAsia"/>
                <w:b/>
                <w:i/>
                <w:iCs/>
              </w:rPr>
              <w:t>　</w:t>
            </w:r>
          </w:p>
        </w:tc>
        <w:tc>
          <w:tcPr>
            <w:tcW w:w="4920" w:type="dxa"/>
            <w:gridSpan w:val="3"/>
          </w:tcPr>
          <w:p>
            <w:pPr>
              <w:widowControl/>
              <w:jc w:val="center"/>
              <w:rPr>
                <w:b/>
                <w:i/>
                <w:iCs/>
              </w:rPr>
            </w:pPr>
            <w:r>
              <w:rPr>
                <w:rFonts w:hint="eastAsia"/>
                <w:b/>
                <w:i/>
                <w:iCs/>
              </w:rPr>
              <w:t>　</w:t>
            </w:r>
          </w:p>
        </w:tc>
        <w:tc>
          <w:tcPr>
            <w:tcW w:w="4640" w:type="dxa"/>
          </w:tcPr>
          <w:p>
            <w:pPr>
              <w:widowControl/>
              <w:jc w:val="center"/>
              <w:rPr>
                <w:b/>
                <w:i/>
                <w:iCs/>
              </w:rPr>
            </w:pPr>
            <w:r>
              <w:rPr>
                <w:rFonts w:hint="eastAsia"/>
                <w:b/>
                <w:i/>
                <w:iCs/>
              </w:rPr>
              <w:t>　</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restart"/>
          </w:tcPr>
          <w:p>
            <w:pPr>
              <w:widowControl/>
              <w:jc w:val="center"/>
              <w:rPr>
                <w:b/>
              </w:rPr>
            </w:pPr>
            <w:r>
              <w:rPr>
                <w:rFonts w:hint="eastAsia"/>
                <w:b/>
              </w:rPr>
              <w:t>绩效指标（90分）</w:t>
            </w:r>
          </w:p>
        </w:tc>
        <w:tc>
          <w:tcPr>
            <w:tcW w:w="300" w:type="dxa"/>
          </w:tcPr>
          <w:p>
            <w:pPr>
              <w:widowControl/>
              <w:jc w:val="center"/>
              <w:rPr>
                <w:b/>
              </w:rPr>
            </w:pPr>
            <w:r>
              <w:rPr>
                <w:rFonts w:hint="eastAsia"/>
                <w:b/>
              </w:rPr>
              <w:t>一级指标</w:t>
            </w:r>
          </w:p>
        </w:tc>
        <w:tc>
          <w:tcPr>
            <w:tcW w:w="11700" w:type="dxa"/>
          </w:tcPr>
          <w:p>
            <w:pPr>
              <w:widowControl/>
              <w:jc w:val="center"/>
              <w:rPr>
                <w:b/>
              </w:rPr>
            </w:pPr>
            <w:r>
              <w:rPr>
                <w:rFonts w:hint="eastAsia"/>
                <w:b/>
              </w:rPr>
              <w:t>二级指标</w:t>
            </w:r>
          </w:p>
        </w:tc>
        <w:tc>
          <w:tcPr>
            <w:tcW w:w="2260" w:type="dxa"/>
          </w:tcPr>
          <w:p>
            <w:pPr>
              <w:widowControl/>
              <w:jc w:val="center"/>
              <w:rPr>
                <w:b/>
              </w:rPr>
            </w:pPr>
            <w:r>
              <w:rPr>
                <w:rFonts w:hint="eastAsia"/>
                <w:b/>
              </w:rPr>
              <w:t>三级指标</w:t>
            </w:r>
          </w:p>
        </w:tc>
        <w:tc>
          <w:tcPr>
            <w:tcW w:w="2720" w:type="dxa"/>
          </w:tcPr>
          <w:p>
            <w:pPr>
              <w:widowControl/>
              <w:jc w:val="center"/>
              <w:rPr>
                <w:b/>
              </w:rPr>
            </w:pPr>
            <w:r>
              <w:rPr>
                <w:rFonts w:hint="eastAsia"/>
                <w:b/>
              </w:rPr>
              <w:t>指标性质</w:t>
            </w:r>
          </w:p>
        </w:tc>
        <w:tc>
          <w:tcPr>
            <w:tcW w:w="1680" w:type="dxa"/>
          </w:tcPr>
          <w:p>
            <w:pPr>
              <w:widowControl/>
              <w:jc w:val="center"/>
              <w:rPr>
                <w:b/>
              </w:rPr>
            </w:pPr>
            <w:r>
              <w:rPr>
                <w:rFonts w:hint="eastAsia"/>
                <w:b/>
              </w:rPr>
              <w:t>指标值</w:t>
            </w:r>
          </w:p>
        </w:tc>
        <w:tc>
          <w:tcPr>
            <w:tcW w:w="520" w:type="dxa"/>
          </w:tcPr>
          <w:p>
            <w:pPr>
              <w:widowControl/>
              <w:jc w:val="center"/>
              <w:rPr>
                <w:b/>
              </w:rPr>
            </w:pPr>
            <w:r>
              <w:rPr>
                <w:rFonts w:hint="eastAsia"/>
                <w:b/>
              </w:rPr>
              <w:t>度量单位</w:t>
            </w:r>
          </w:p>
        </w:tc>
        <w:tc>
          <w:tcPr>
            <w:tcW w:w="4640" w:type="dxa"/>
          </w:tcPr>
          <w:p>
            <w:pPr>
              <w:widowControl/>
              <w:jc w:val="center"/>
              <w:rPr>
                <w:b/>
              </w:rPr>
            </w:pPr>
            <w:r>
              <w:rPr>
                <w:rFonts w:hint="eastAsia"/>
                <w:b/>
              </w:rPr>
              <w:t>完成值</w:t>
            </w:r>
          </w:p>
        </w:tc>
        <w:tc>
          <w:tcPr>
            <w:tcW w:w="3540" w:type="dxa"/>
          </w:tcPr>
          <w:p>
            <w:pPr>
              <w:widowControl/>
              <w:jc w:val="center"/>
              <w:rPr>
                <w:b/>
              </w:rPr>
            </w:pPr>
            <w:r>
              <w:rPr>
                <w:rFonts w:hint="eastAsia"/>
                <w:b/>
              </w:rPr>
              <w:t>权重</w:t>
            </w:r>
          </w:p>
        </w:tc>
        <w:tc>
          <w:tcPr>
            <w:tcW w:w="460" w:type="dxa"/>
          </w:tcPr>
          <w:p>
            <w:pPr>
              <w:widowControl/>
              <w:jc w:val="center"/>
              <w:rPr>
                <w:b/>
              </w:rPr>
            </w:pPr>
            <w:r>
              <w:rPr>
                <w:rFonts w:hint="eastAsia"/>
                <w:b/>
              </w:rPr>
              <w:t>得分</w:t>
            </w:r>
          </w:p>
        </w:tc>
        <w:tc>
          <w:tcPr>
            <w:tcW w:w="2560" w:type="dxa"/>
          </w:tcPr>
          <w:p>
            <w:pPr>
              <w:widowControl/>
              <w:jc w:val="center"/>
              <w:rPr>
                <w:b/>
              </w:rPr>
            </w:pPr>
            <w:r>
              <w:rPr>
                <w:rFonts w:hint="eastAsia"/>
                <w:b/>
              </w:rPr>
              <w:t>未完成原因分析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rPr>
            </w:pPr>
          </w:p>
        </w:tc>
        <w:tc>
          <w:tcPr>
            <w:tcW w:w="300" w:type="dxa"/>
            <w:vMerge w:val="restart"/>
          </w:tcPr>
          <w:p>
            <w:pPr>
              <w:widowControl/>
              <w:jc w:val="center"/>
              <w:rPr>
                <w:b/>
              </w:rPr>
            </w:pPr>
            <w:r>
              <w:rPr>
                <w:rFonts w:hint="eastAsia"/>
                <w:b/>
              </w:rPr>
              <w:t>产出指标</w:t>
            </w:r>
          </w:p>
        </w:tc>
        <w:tc>
          <w:tcPr>
            <w:tcW w:w="11700" w:type="dxa"/>
          </w:tcPr>
          <w:p>
            <w:pPr>
              <w:widowControl/>
              <w:jc w:val="center"/>
              <w:rPr>
                <w:b/>
              </w:rPr>
            </w:pPr>
            <w:r>
              <w:rPr>
                <w:rFonts w:hint="eastAsia"/>
                <w:b/>
              </w:rPr>
              <w:t>数量指标</w:t>
            </w:r>
          </w:p>
        </w:tc>
        <w:tc>
          <w:tcPr>
            <w:tcW w:w="2260" w:type="dxa"/>
          </w:tcPr>
          <w:p>
            <w:pPr>
              <w:widowControl/>
              <w:jc w:val="center"/>
              <w:rPr>
                <w:b/>
              </w:rPr>
            </w:pPr>
            <w:r>
              <w:rPr>
                <w:rFonts w:hint="eastAsia"/>
                <w:b/>
              </w:rPr>
              <w:t>执法办案区改造工程量</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6500</w:t>
            </w:r>
          </w:p>
        </w:tc>
        <w:tc>
          <w:tcPr>
            <w:tcW w:w="520" w:type="dxa"/>
          </w:tcPr>
          <w:p>
            <w:pPr>
              <w:widowControl/>
              <w:jc w:val="center"/>
              <w:rPr>
                <w:b/>
              </w:rPr>
            </w:pPr>
            <w:r>
              <w:rPr>
                <w:rFonts w:hint="eastAsia"/>
                <w:b/>
              </w:rPr>
              <w:t>平方米</w:t>
            </w:r>
          </w:p>
        </w:tc>
        <w:tc>
          <w:tcPr>
            <w:tcW w:w="4640" w:type="dxa"/>
          </w:tcPr>
          <w:p>
            <w:pPr>
              <w:widowControl/>
              <w:jc w:val="center"/>
              <w:rPr>
                <w:b/>
                <w:i/>
                <w:iCs/>
              </w:rPr>
            </w:pPr>
            <w:r>
              <w:rPr>
                <w:rFonts w:hint="eastAsia"/>
                <w:b/>
                <w:i/>
                <w:iCs/>
              </w:rPr>
              <w:t>6500</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vMerge w:val="continue"/>
          </w:tcPr>
          <w:p>
            <w:pPr>
              <w:widowControl/>
              <w:jc w:val="center"/>
              <w:rPr>
                <w:b/>
              </w:rPr>
            </w:pPr>
          </w:p>
        </w:tc>
        <w:tc>
          <w:tcPr>
            <w:tcW w:w="11700" w:type="dxa"/>
          </w:tcPr>
          <w:p>
            <w:pPr>
              <w:widowControl/>
              <w:jc w:val="center"/>
              <w:rPr>
                <w:b/>
              </w:rPr>
            </w:pPr>
            <w:r>
              <w:rPr>
                <w:rFonts w:hint="eastAsia"/>
                <w:b/>
              </w:rPr>
              <w:t>质量指标</w:t>
            </w:r>
          </w:p>
        </w:tc>
        <w:tc>
          <w:tcPr>
            <w:tcW w:w="2260" w:type="dxa"/>
          </w:tcPr>
          <w:p>
            <w:pPr>
              <w:widowControl/>
              <w:jc w:val="center"/>
              <w:rPr>
                <w:b/>
              </w:rPr>
            </w:pPr>
            <w:r>
              <w:rPr>
                <w:rFonts w:hint="eastAsia"/>
                <w:b/>
              </w:rPr>
              <w:t>项目验收合格率</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100</w:t>
            </w:r>
          </w:p>
        </w:tc>
        <w:tc>
          <w:tcPr>
            <w:tcW w:w="520" w:type="dxa"/>
          </w:tcPr>
          <w:p>
            <w:pPr>
              <w:widowControl/>
              <w:jc w:val="center"/>
              <w:rPr>
                <w:b/>
              </w:rPr>
            </w:pPr>
            <w:r>
              <w:rPr>
                <w:rFonts w:hint="eastAsia"/>
                <w:b/>
              </w:rPr>
              <w:t>%</w:t>
            </w:r>
          </w:p>
        </w:tc>
        <w:tc>
          <w:tcPr>
            <w:tcW w:w="4640" w:type="dxa"/>
          </w:tcPr>
          <w:p>
            <w:pPr>
              <w:widowControl/>
              <w:jc w:val="center"/>
              <w:rPr>
                <w:b/>
                <w:i/>
                <w:iCs/>
              </w:rPr>
            </w:pPr>
            <w:r>
              <w:rPr>
                <w:rFonts w:hint="eastAsia"/>
                <w:b/>
                <w:i/>
                <w:iCs/>
              </w:rPr>
              <w:t>100%</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vMerge w:val="continue"/>
          </w:tcPr>
          <w:p>
            <w:pPr>
              <w:widowControl/>
              <w:jc w:val="center"/>
              <w:rPr>
                <w:b/>
              </w:rPr>
            </w:pPr>
          </w:p>
        </w:tc>
        <w:tc>
          <w:tcPr>
            <w:tcW w:w="11700" w:type="dxa"/>
          </w:tcPr>
          <w:p>
            <w:pPr>
              <w:widowControl/>
              <w:jc w:val="center"/>
              <w:rPr>
                <w:b/>
              </w:rPr>
            </w:pPr>
            <w:r>
              <w:rPr>
                <w:rFonts w:hint="eastAsia"/>
                <w:b/>
              </w:rPr>
              <w:t>时效指标</w:t>
            </w:r>
          </w:p>
        </w:tc>
        <w:tc>
          <w:tcPr>
            <w:tcW w:w="2260" w:type="dxa"/>
          </w:tcPr>
          <w:p>
            <w:pPr>
              <w:widowControl/>
              <w:jc w:val="center"/>
              <w:rPr>
                <w:b/>
              </w:rPr>
            </w:pPr>
            <w:r>
              <w:rPr>
                <w:rFonts w:hint="eastAsia"/>
                <w:b/>
              </w:rPr>
              <w:t>完成时间</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1</w:t>
            </w:r>
          </w:p>
        </w:tc>
        <w:tc>
          <w:tcPr>
            <w:tcW w:w="520" w:type="dxa"/>
          </w:tcPr>
          <w:p>
            <w:pPr>
              <w:widowControl/>
              <w:jc w:val="center"/>
              <w:rPr>
                <w:b/>
              </w:rPr>
            </w:pPr>
            <w:r>
              <w:rPr>
                <w:rFonts w:hint="eastAsia"/>
                <w:b/>
              </w:rPr>
              <w:t>年</w:t>
            </w:r>
          </w:p>
        </w:tc>
        <w:tc>
          <w:tcPr>
            <w:tcW w:w="4640" w:type="dxa"/>
          </w:tcPr>
          <w:p>
            <w:pPr>
              <w:widowControl/>
              <w:jc w:val="center"/>
              <w:rPr>
                <w:b/>
                <w:i/>
                <w:iCs/>
              </w:rPr>
            </w:pPr>
            <w:r>
              <w:rPr>
                <w:rFonts w:hint="eastAsia"/>
                <w:b/>
                <w:i/>
                <w:iCs/>
              </w:rPr>
              <w:t>1</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rPr>
            </w:pPr>
          </w:p>
        </w:tc>
        <w:tc>
          <w:tcPr>
            <w:tcW w:w="300" w:type="dxa"/>
            <w:vMerge w:val="restart"/>
          </w:tcPr>
          <w:p>
            <w:pPr>
              <w:widowControl/>
              <w:jc w:val="center"/>
              <w:rPr>
                <w:b/>
              </w:rPr>
            </w:pPr>
            <w:r>
              <w:rPr>
                <w:rFonts w:hint="eastAsia"/>
                <w:b/>
              </w:rPr>
              <w:t>效益指标</w:t>
            </w:r>
          </w:p>
        </w:tc>
        <w:tc>
          <w:tcPr>
            <w:tcW w:w="11700" w:type="dxa"/>
          </w:tcPr>
          <w:p>
            <w:pPr>
              <w:widowControl/>
              <w:jc w:val="center"/>
              <w:rPr>
                <w:b/>
              </w:rPr>
            </w:pPr>
            <w:r>
              <w:rPr>
                <w:rFonts w:hint="eastAsia"/>
                <w:b/>
              </w:rPr>
              <w:t>社会效益指标</w:t>
            </w:r>
          </w:p>
        </w:tc>
        <w:tc>
          <w:tcPr>
            <w:tcW w:w="2260" w:type="dxa"/>
          </w:tcPr>
          <w:p>
            <w:pPr>
              <w:widowControl/>
              <w:jc w:val="center"/>
              <w:rPr>
                <w:b/>
              </w:rPr>
            </w:pPr>
            <w:r>
              <w:rPr>
                <w:rFonts w:hint="eastAsia"/>
                <w:b/>
              </w:rPr>
              <w:t>完善办案设施，提高管理水平。</w:t>
            </w:r>
          </w:p>
        </w:tc>
        <w:tc>
          <w:tcPr>
            <w:tcW w:w="2720" w:type="dxa"/>
          </w:tcPr>
          <w:p>
            <w:pPr>
              <w:widowControl/>
              <w:jc w:val="center"/>
              <w:rPr>
                <w:b/>
              </w:rPr>
            </w:pPr>
            <w:r>
              <w:rPr>
                <w:rFonts w:hint="eastAsia"/>
                <w:b/>
              </w:rPr>
              <w:t>定性</w:t>
            </w:r>
          </w:p>
        </w:tc>
        <w:tc>
          <w:tcPr>
            <w:tcW w:w="1680" w:type="dxa"/>
          </w:tcPr>
          <w:p>
            <w:pPr>
              <w:widowControl/>
              <w:jc w:val="center"/>
              <w:rPr>
                <w:b/>
              </w:rPr>
            </w:pPr>
            <w:r>
              <w:rPr>
                <w:rFonts w:hint="eastAsia"/>
                <w:b/>
              </w:rPr>
              <w:t>优</w:t>
            </w:r>
          </w:p>
        </w:tc>
        <w:tc>
          <w:tcPr>
            <w:tcW w:w="520" w:type="dxa"/>
          </w:tcPr>
          <w:p>
            <w:pPr>
              <w:widowControl/>
              <w:jc w:val="center"/>
              <w:rPr>
                <w:b/>
              </w:rPr>
            </w:pPr>
            <w:r>
              <w:rPr>
                <w:rFonts w:hint="eastAsia"/>
                <w:b/>
              </w:rPr>
              <w:t>　</w:t>
            </w:r>
          </w:p>
        </w:tc>
        <w:tc>
          <w:tcPr>
            <w:tcW w:w="4640" w:type="dxa"/>
          </w:tcPr>
          <w:p>
            <w:pPr>
              <w:widowControl/>
              <w:jc w:val="center"/>
              <w:rPr>
                <w:b/>
                <w:i/>
                <w:iCs/>
              </w:rPr>
            </w:pPr>
            <w:r>
              <w:rPr>
                <w:rFonts w:hint="eastAsia"/>
                <w:b/>
                <w:i/>
                <w:iCs/>
              </w:rPr>
              <w:t>优</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vMerge w:val="continue"/>
          </w:tcPr>
          <w:p>
            <w:pPr>
              <w:widowControl/>
              <w:jc w:val="center"/>
              <w:rPr>
                <w:b/>
              </w:rPr>
            </w:pPr>
          </w:p>
        </w:tc>
        <w:tc>
          <w:tcPr>
            <w:tcW w:w="11700" w:type="dxa"/>
          </w:tcPr>
          <w:p>
            <w:pPr>
              <w:widowControl/>
              <w:jc w:val="center"/>
              <w:rPr>
                <w:b/>
              </w:rPr>
            </w:pPr>
            <w:r>
              <w:rPr>
                <w:rFonts w:hint="eastAsia"/>
                <w:b/>
              </w:rPr>
              <w:t>可持续影响指标</w:t>
            </w:r>
          </w:p>
        </w:tc>
        <w:tc>
          <w:tcPr>
            <w:tcW w:w="2260" w:type="dxa"/>
          </w:tcPr>
          <w:p>
            <w:pPr>
              <w:widowControl/>
              <w:jc w:val="center"/>
              <w:rPr>
                <w:b/>
              </w:rPr>
            </w:pPr>
            <w:r>
              <w:rPr>
                <w:rFonts w:hint="eastAsia"/>
                <w:b/>
              </w:rPr>
              <w:t>保证审查工作安全性。</w:t>
            </w:r>
          </w:p>
        </w:tc>
        <w:tc>
          <w:tcPr>
            <w:tcW w:w="2720" w:type="dxa"/>
          </w:tcPr>
          <w:p>
            <w:pPr>
              <w:widowControl/>
              <w:jc w:val="center"/>
              <w:rPr>
                <w:b/>
              </w:rPr>
            </w:pPr>
            <w:r>
              <w:rPr>
                <w:rFonts w:hint="eastAsia"/>
                <w:b/>
              </w:rPr>
              <w:t>定性</w:t>
            </w:r>
          </w:p>
        </w:tc>
        <w:tc>
          <w:tcPr>
            <w:tcW w:w="1680" w:type="dxa"/>
          </w:tcPr>
          <w:p>
            <w:pPr>
              <w:widowControl/>
              <w:jc w:val="center"/>
              <w:rPr>
                <w:b/>
              </w:rPr>
            </w:pPr>
            <w:r>
              <w:rPr>
                <w:rFonts w:hint="eastAsia"/>
                <w:b/>
              </w:rPr>
              <w:t>优</w:t>
            </w:r>
          </w:p>
        </w:tc>
        <w:tc>
          <w:tcPr>
            <w:tcW w:w="520" w:type="dxa"/>
          </w:tcPr>
          <w:p>
            <w:pPr>
              <w:widowControl/>
              <w:jc w:val="center"/>
              <w:rPr>
                <w:b/>
              </w:rPr>
            </w:pPr>
            <w:r>
              <w:rPr>
                <w:rFonts w:hint="eastAsia"/>
                <w:b/>
              </w:rPr>
              <w:t>　</w:t>
            </w:r>
          </w:p>
        </w:tc>
        <w:tc>
          <w:tcPr>
            <w:tcW w:w="4640" w:type="dxa"/>
          </w:tcPr>
          <w:p>
            <w:pPr>
              <w:widowControl/>
              <w:jc w:val="center"/>
              <w:rPr>
                <w:b/>
                <w:i/>
                <w:iCs/>
              </w:rPr>
            </w:pPr>
            <w:r>
              <w:rPr>
                <w:rFonts w:hint="eastAsia"/>
                <w:b/>
                <w:i/>
                <w:iCs/>
              </w:rPr>
              <w:t>优</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tcPr>
          <w:p>
            <w:pPr>
              <w:widowControl/>
              <w:jc w:val="center"/>
              <w:rPr>
                <w:b/>
              </w:rPr>
            </w:pPr>
            <w:r>
              <w:rPr>
                <w:rFonts w:hint="eastAsia"/>
                <w:b/>
              </w:rPr>
              <w:t>成本指标</w:t>
            </w:r>
          </w:p>
        </w:tc>
        <w:tc>
          <w:tcPr>
            <w:tcW w:w="11700" w:type="dxa"/>
          </w:tcPr>
          <w:p>
            <w:pPr>
              <w:widowControl/>
              <w:jc w:val="center"/>
              <w:rPr>
                <w:b/>
              </w:rPr>
            </w:pPr>
            <w:r>
              <w:rPr>
                <w:rFonts w:hint="eastAsia"/>
                <w:b/>
              </w:rPr>
              <w:t>经济成本指标</w:t>
            </w:r>
          </w:p>
        </w:tc>
        <w:tc>
          <w:tcPr>
            <w:tcW w:w="2260" w:type="dxa"/>
          </w:tcPr>
          <w:p>
            <w:pPr>
              <w:widowControl/>
              <w:jc w:val="center"/>
              <w:rPr>
                <w:b/>
              </w:rPr>
            </w:pPr>
            <w:r>
              <w:rPr>
                <w:rFonts w:hint="eastAsia"/>
                <w:b/>
              </w:rPr>
              <w:t>办案区改造材料等费用</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95</w:t>
            </w:r>
          </w:p>
        </w:tc>
        <w:tc>
          <w:tcPr>
            <w:tcW w:w="520" w:type="dxa"/>
          </w:tcPr>
          <w:p>
            <w:pPr>
              <w:widowControl/>
              <w:jc w:val="center"/>
              <w:rPr>
                <w:b/>
              </w:rPr>
            </w:pPr>
            <w:r>
              <w:rPr>
                <w:rFonts w:hint="eastAsia"/>
                <w:b/>
              </w:rPr>
              <w:t>万元</w:t>
            </w:r>
          </w:p>
        </w:tc>
        <w:tc>
          <w:tcPr>
            <w:tcW w:w="4640" w:type="dxa"/>
          </w:tcPr>
          <w:p>
            <w:pPr>
              <w:widowControl/>
              <w:jc w:val="center"/>
              <w:rPr>
                <w:b/>
                <w:i/>
                <w:iCs/>
              </w:rPr>
            </w:pPr>
            <w:r>
              <w:rPr>
                <w:rFonts w:hint="eastAsia"/>
                <w:b/>
                <w:i/>
                <w:iCs/>
              </w:rPr>
              <w:t>95</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120" w:type="dxa"/>
            <w:gridSpan w:val="8"/>
          </w:tcPr>
          <w:p>
            <w:pPr>
              <w:widowControl/>
              <w:jc w:val="center"/>
              <w:rPr>
                <w:b/>
              </w:rPr>
            </w:pPr>
            <w:r>
              <w:rPr>
                <w:rFonts w:hint="eastAsia"/>
                <w:b/>
              </w:rPr>
              <w:t>合计</w:t>
            </w:r>
          </w:p>
        </w:tc>
        <w:tc>
          <w:tcPr>
            <w:tcW w:w="3540" w:type="dxa"/>
          </w:tcPr>
          <w:p>
            <w:pPr>
              <w:widowControl/>
              <w:jc w:val="center"/>
              <w:rPr>
                <w:b/>
              </w:rPr>
            </w:pPr>
            <w:r>
              <w:rPr>
                <w:rFonts w:hint="eastAsia"/>
                <w:b/>
              </w:rPr>
              <w:t>100</w:t>
            </w:r>
          </w:p>
        </w:tc>
        <w:tc>
          <w:tcPr>
            <w:tcW w:w="460" w:type="dxa"/>
          </w:tcPr>
          <w:p>
            <w:pPr>
              <w:widowControl/>
              <w:jc w:val="center"/>
              <w:rPr>
                <w:b/>
              </w:rPr>
            </w:pPr>
            <w:r>
              <w:rPr>
                <w:rFonts w:hint="eastAsia"/>
                <w:b/>
              </w:rPr>
              <w:t>　</w:t>
            </w:r>
          </w:p>
        </w:tc>
        <w:tc>
          <w:tcPr>
            <w:tcW w:w="2560" w:type="dxa"/>
          </w:tcPr>
          <w:p>
            <w:pPr>
              <w:widowControl/>
              <w:jc w:val="center"/>
              <w:rPr>
                <w:b/>
              </w:rPr>
            </w:pPr>
            <w:r>
              <w:rPr>
                <w:rFonts w:hint="eastAsia"/>
                <w: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00" w:type="dxa"/>
          </w:tcPr>
          <w:p>
            <w:pPr>
              <w:widowControl/>
              <w:jc w:val="center"/>
              <w:rPr>
                <w:b/>
              </w:rPr>
            </w:pPr>
            <w:r>
              <w:rPr>
                <w:rFonts w:hint="eastAsia"/>
                <w:b/>
              </w:rPr>
              <w:t>评价结论</w:t>
            </w:r>
          </w:p>
        </w:tc>
        <w:tc>
          <w:tcPr>
            <w:tcW w:w="30380" w:type="dxa"/>
            <w:gridSpan w:val="10"/>
          </w:tcPr>
          <w:p>
            <w:pPr>
              <w:widowControl/>
              <w:jc w:val="center"/>
              <w:rPr>
                <w:b/>
                <w:i/>
                <w:iCs/>
              </w:rPr>
            </w:pPr>
            <w:r>
              <w:rPr>
                <w:rFonts w:hint="eastAsia"/>
                <w:b/>
                <w:i/>
                <w:iCs/>
              </w:rPr>
              <w:t>从评价情况来看，项目的预算资金管理科学合理，使用规范，完成了项目的既定目标，达到了预期使用效果，得分是100分。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00" w:type="dxa"/>
          </w:tcPr>
          <w:p>
            <w:pPr>
              <w:widowControl/>
              <w:jc w:val="center"/>
              <w:rPr>
                <w:b/>
              </w:rPr>
            </w:pPr>
            <w:r>
              <w:rPr>
                <w:rFonts w:hint="eastAsia"/>
                <w:b/>
              </w:rPr>
              <w:t>存在问题</w:t>
            </w:r>
          </w:p>
        </w:tc>
        <w:tc>
          <w:tcPr>
            <w:tcW w:w="30380" w:type="dxa"/>
            <w:gridSpan w:val="10"/>
          </w:tcPr>
          <w:p>
            <w:pPr>
              <w:widowControl/>
              <w:jc w:val="center"/>
              <w:rPr>
                <w:b/>
                <w:i/>
                <w:iCs/>
              </w:rPr>
            </w:pPr>
            <w:r>
              <w:rPr>
                <w:rFonts w:hint="eastAsia"/>
                <w:b/>
                <w:i/>
                <w:iCs/>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00" w:type="dxa"/>
          </w:tcPr>
          <w:p>
            <w:pPr>
              <w:widowControl/>
              <w:jc w:val="center"/>
              <w:rPr>
                <w:b/>
              </w:rPr>
            </w:pPr>
            <w:r>
              <w:rPr>
                <w:rFonts w:hint="eastAsia"/>
                <w:b/>
              </w:rPr>
              <w:t>改进措施</w:t>
            </w:r>
          </w:p>
        </w:tc>
        <w:tc>
          <w:tcPr>
            <w:tcW w:w="30380" w:type="dxa"/>
            <w:gridSpan w:val="10"/>
          </w:tcPr>
          <w:p>
            <w:pPr>
              <w:widowControl/>
              <w:jc w:val="center"/>
              <w:rPr>
                <w:b/>
                <w:i/>
                <w:iCs/>
              </w:rPr>
            </w:pPr>
            <w:r>
              <w:rPr>
                <w:rFonts w:hint="eastAsia"/>
                <w:b/>
                <w:i/>
                <w:iCs/>
              </w:rPr>
              <w:t>无。</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637"/>
        <w:gridCol w:w="4051"/>
        <w:gridCol w:w="1217"/>
        <w:gridCol w:w="1115"/>
        <w:gridCol w:w="955"/>
        <w:gridCol w:w="455"/>
        <w:gridCol w:w="2117"/>
        <w:gridCol w:w="1451"/>
        <w:gridCol w:w="437"/>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30680" w:type="dxa"/>
            <w:gridSpan w:val="11"/>
          </w:tcPr>
          <w:p>
            <w:pPr>
              <w:widowControl/>
              <w:jc w:val="center"/>
              <w:rPr>
                <w:b/>
                <w:bCs/>
              </w:rPr>
            </w:pPr>
            <w:r>
              <w:rPr>
                <w:rFonts w:hint="eastAsia"/>
                <w:b/>
                <w:bCs/>
              </w:rPr>
              <w:t>部门预算项目支出绩效自评表（2023年度）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00" w:type="dxa"/>
            <w:gridSpan w:val="2"/>
          </w:tcPr>
          <w:p>
            <w:pPr>
              <w:widowControl/>
              <w:jc w:val="center"/>
              <w:rPr>
                <w:b/>
              </w:rPr>
            </w:pPr>
            <w:r>
              <w:rPr>
                <w:rFonts w:hint="eastAsia"/>
                <w:b/>
              </w:rPr>
              <w:t>项目名称</w:t>
            </w:r>
          </w:p>
        </w:tc>
        <w:tc>
          <w:tcPr>
            <w:tcW w:w="30080" w:type="dxa"/>
            <w:gridSpan w:val="9"/>
          </w:tcPr>
          <w:p>
            <w:pPr>
              <w:widowControl/>
              <w:jc w:val="center"/>
              <w:rPr>
                <w:b/>
              </w:rPr>
            </w:pPr>
            <w:r>
              <w:rPr>
                <w:rFonts w:hint="eastAsia"/>
                <w:b/>
              </w:rPr>
              <w:t>51080023T000008398034-电梯采购项目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00" w:type="dxa"/>
            <w:gridSpan w:val="2"/>
          </w:tcPr>
          <w:p>
            <w:pPr>
              <w:widowControl/>
              <w:jc w:val="center"/>
              <w:rPr>
                <w:b/>
              </w:rPr>
            </w:pPr>
            <w:r>
              <w:rPr>
                <w:rFonts w:hint="eastAsia"/>
                <w:b/>
              </w:rPr>
              <w:t>主管部门</w:t>
            </w:r>
          </w:p>
        </w:tc>
        <w:tc>
          <w:tcPr>
            <w:tcW w:w="18880" w:type="dxa"/>
            <w:gridSpan w:val="5"/>
          </w:tcPr>
          <w:p>
            <w:pPr>
              <w:widowControl/>
              <w:jc w:val="center"/>
              <w:rPr>
                <w:b/>
              </w:rPr>
            </w:pPr>
            <w:r>
              <w:rPr>
                <w:rFonts w:hint="eastAsia"/>
                <w:b/>
              </w:rPr>
              <w:t>广元市公安局交通警察支队部门</w:t>
            </w:r>
          </w:p>
        </w:tc>
        <w:tc>
          <w:tcPr>
            <w:tcW w:w="4640" w:type="dxa"/>
          </w:tcPr>
          <w:p>
            <w:pPr>
              <w:widowControl/>
              <w:jc w:val="center"/>
              <w:rPr>
                <w:b/>
              </w:rPr>
            </w:pPr>
            <w:r>
              <w:rPr>
                <w:b/>
              </w:rPr>
              <w:t>实施单位 （盖章）</w:t>
            </w:r>
          </w:p>
        </w:tc>
        <w:tc>
          <w:tcPr>
            <w:tcW w:w="6560" w:type="dxa"/>
            <w:gridSpan w:val="3"/>
          </w:tcPr>
          <w:p>
            <w:pPr>
              <w:widowControl/>
              <w:jc w:val="center"/>
              <w:rPr>
                <w:b/>
              </w:rPr>
            </w:pPr>
            <w:r>
              <w:rPr>
                <w:rFonts w:hint="eastAsia"/>
                <w:b/>
              </w:rPr>
              <w:t>广元市公安局交通警察支队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00" w:type="dxa"/>
            <w:vMerge w:val="restart"/>
          </w:tcPr>
          <w:p>
            <w:pPr>
              <w:widowControl/>
              <w:jc w:val="center"/>
              <w:rPr>
                <w:b/>
              </w:rPr>
            </w:pPr>
            <w:r>
              <w:rPr>
                <w:rFonts w:hint="eastAsia"/>
                <w:b/>
              </w:rPr>
              <w:t>项目基本情况</w:t>
            </w:r>
          </w:p>
        </w:tc>
        <w:tc>
          <w:tcPr>
            <w:tcW w:w="300" w:type="dxa"/>
            <w:vMerge w:val="restart"/>
          </w:tcPr>
          <w:p>
            <w:pPr>
              <w:widowControl/>
              <w:jc w:val="center"/>
              <w:rPr>
                <w:b/>
              </w:rPr>
            </w:pPr>
            <w:r>
              <w:rPr>
                <w:rFonts w:hint="eastAsia"/>
                <w:b/>
              </w:rPr>
              <w:t>1.项目年度目标完成情况</w:t>
            </w:r>
          </w:p>
        </w:tc>
        <w:tc>
          <w:tcPr>
            <w:tcW w:w="18880" w:type="dxa"/>
            <w:gridSpan w:val="5"/>
          </w:tcPr>
          <w:p>
            <w:pPr>
              <w:widowControl/>
              <w:jc w:val="center"/>
              <w:rPr>
                <w:b/>
              </w:rPr>
            </w:pPr>
            <w:r>
              <w:rPr>
                <w:rFonts w:hint="eastAsia"/>
                <w:b/>
              </w:rPr>
              <w:t>项目年度目标</w:t>
            </w:r>
          </w:p>
        </w:tc>
        <w:tc>
          <w:tcPr>
            <w:tcW w:w="11200" w:type="dxa"/>
            <w:gridSpan w:val="4"/>
          </w:tcPr>
          <w:p>
            <w:pPr>
              <w:widowControl/>
              <w:jc w:val="center"/>
              <w:rPr>
                <w:b/>
              </w:rPr>
            </w:pPr>
            <w:r>
              <w:rPr>
                <w:b/>
              </w:rPr>
              <w:t>年度目标完成情况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300" w:type="dxa"/>
            <w:vMerge w:val="continue"/>
          </w:tcPr>
          <w:p>
            <w:pPr>
              <w:widowControl/>
              <w:jc w:val="center"/>
              <w:rPr>
                <w:b/>
              </w:rPr>
            </w:pPr>
          </w:p>
        </w:tc>
        <w:tc>
          <w:tcPr>
            <w:tcW w:w="300" w:type="dxa"/>
            <w:vMerge w:val="continue"/>
          </w:tcPr>
          <w:p>
            <w:pPr>
              <w:widowControl/>
              <w:jc w:val="center"/>
              <w:rPr>
                <w:b/>
              </w:rPr>
            </w:pPr>
          </w:p>
        </w:tc>
        <w:tc>
          <w:tcPr>
            <w:tcW w:w="18880" w:type="dxa"/>
            <w:gridSpan w:val="5"/>
          </w:tcPr>
          <w:p>
            <w:pPr>
              <w:widowControl/>
              <w:jc w:val="center"/>
              <w:rPr>
                <w:b/>
              </w:rPr>
            </w:pPr>
            <w:r>
              <w:rPr>
                <w:rFonts w:hint="eastAsia"/>
                <w:b/>
              </w:rPr>
              <w:t>对一大队及三大队办公用房加装电梯。</w:t>
            </w:r>
          </w:p>
        </w:tc>
        <w:tc>
          <w:tcPr>
            <w:tcW w:w="11200" w:type="dxa"/>
            <w:gridSpan w:val="4"/>
          </w:tcPr>
          <w:p>
            <w:pPr>
              <w:widowControl/>
              <w:jc w:val="center"/>
              <w:rPr>
                <w:b/>
              </w:rPr>
            </w:pPr>
            <w:r>
              <w:rPr>
                <w:b/>
              </w:rPr>
              <w:t>电梯加装项目按时完成，改善了工作环境。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00" w:type="dxa"/>
            <w:vMerge w:val="continue"/>
          </w:tcPr>
          <w:p>
            <w:pPr>
              <w:widowControl/>
              <w:jc w:val="center"/>
              <w:rPr>
                <w:b/>
              </w:rPr>
            </w:pPr>
          </w:p>
        </w:tc>
        <w:tc>
          <w:tcPr>
            <w:tcW w:w="300" w:type="dxa"/>
          </w:tcPr>
          <w:p>
            <w:pPr>
              <w:widowControl/>
              <w:jc w:val="center"/>
              <w:rPr>
                <w:b/>
              </w:rPr>
            </w:pPr>
            <w:r>
              <w:rPr>
                <w:rFonts w:hint="eastAsia"/>
                <w:b/>
              </w:rPr>
              <w:t>2.项目实施内容及过程概述</w:t>
            </w:r>
          </w:p>
        </w:tc>
        <w:tc>
          <w:tcPr>
            <w:tcW w:w="30080" w:type="dxa"/>
            <w:gridSpan w:val="9"/>
          </w:tcPr>
          <w:p>
            <w:pPr>
              <w:widowControl/>
              <w:jc w:val="center"/>
              <w:rPr>
                <w:b/>
              </w:rPr>
            </w:pPr>
            <w:r>
              <w:rPr>
                <w:rFonts w:hint="eastAsia"/>
                <w: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restart"/>
          </w:tcPr>
          <w:p>
            <w:pPr>
              <w:widowControl/>
              <w:jc w:val="center"/>
              <w:rPr>
                <w:b/>
              </w:rPr>
            </w:pPr>
            <w:r>
              <w:rPr>
                <w:rFonts w:hint="eastAsia"/>
                <w:b/>
              </w:rPr>
              <w:t>预算执行情况（10分）</w:t>
            </w:r>
          </w:p>
        </w:tc>
        <w:tc>
          <w:tcPr>
            <w:tcW w:w="300" w:type="dxa"/>
          </w:tcPr>
          <w:p>
            <w:pPr>
              <w:widowControl/>
              <w:jc w:val="center"/>
              <w:rPr>
                <w:b/>
              </w:rPr>
            </w:pPr>
            <w:r>
              <w:rPr>
                <w:rFonts w:hint="eastAsia"/>
                <w:b/>
              </w:rPr>
              <w:t>年度预算数（万元）</w:t>
            </w:r>
          </w:p>
        </w:tc>
        <w:tc>
          <w:tcPr>
            <w:tcW w:w="11700" w:type="dxa"/>
          </w:tcPr>
          <w:p>
            <w:pPr>
              <w:widowControl/>
              <w:jc w:val="center"/>
              <w:rPr>
                <w:b/>
              </w:rPr>
            </w:pPr>
            <w:r>
              <w:rPr>
                <w:rFonts w:hint="eastAsia"/>
                <w:b/>
              </w:rPr>
              <w:t>年初预算</w:t>
            </w:r>
          </w:p>
        </w:tc>
        <w:tc>
          <w:tcPr>
            <w:tcW w:w="2260" w:type="dxa"/>
          </w:tcPr>
          <w:p>
            <w:pPr>
              <w:widowControl/>
              <w:jc w:val="center"/>
              <w:rPr>
                <w:b/>
              </w:rPr>
            </w:pPr>
            <w:r>
              <w:rPr>
                <w:rFonts w:hint="eastAsia"/>
                <w:b/>
              </w:rPr>
              <w:t>调整后预算数</w:t>
            </w:r>
          </w:p>
        </w:tc>
        <w:tc>
          <w:tcPr>
            <w:tcW w:w="4920" w:type="dxa"/>
            <w:gridSpan w:val="3"/>
          </w:tcPr>
          <w:p>
            <w:pPr>
              <w:widowControl/>
              <w:jc w:val="center"/>
              <w:rPr>
                <w:b/>
              </w:rPr>
            </w:pPr>
            <w:r>
              <w:rPr>
                <w:rFonts w:hint="eastAsia"/>
                <w:b/>
              </w:rPr>
              <w:t>预算执行数</w:t>
            </w:r>
          </w:p>
        </w:tc>
        <w:tc>
          <w:tcPr>
            <w:tcW w:w="4640" w:type="dxa"/>
          </w:tcPr>
          <w:p>
            <w:pPr>
              <w:widowControl/>
              <w:jc w:val="center"/>
              <w:rPr>
                <w:b/>
              </w:rPr>
            </w:pPr>
            <w:r>
              <w:rPr>
                <w:rFonts w:hint="eastAsia"/>
                <w:b/>
              </w:rPr>
              <w:t>预算执行率</w:t>
            </w:r>
          </w:p>
        </w:tc>
        <w:tc>
          <w:tcPr>
            <w:tcW w:w="3540" w:type="dxa"/>
          </w:tcPr>
          <w:p>
            <w:pPr>
              <w:widowControl/>
              <w:jc w:val="center"/>
              <w:rPr>
                <w:b/>
              </w:rPr>
            </w:pPr>
            <w:r>
              <w:rPr>
                <w:rFonts w:hint="eastAsia"/>
                <w:b/>
              </w:rPr>
              <w:t>权重</w:t>
            </w:r>
          </w:p>
        </w:tc>
        <w:tc>
          <w:tcPr>
            <w:tcW w:w="460" w:type="dxa"/>
          </w:tcPr>
          <w:p>
            <w:pPr>
              <w:widowControl/>
              <w:jc w:val="center"/>
              <w:rPr>
                <w:b/>
              </w:rPr>
            </w:pPr>
            <w:r>
              <w:rPr>
                <w:rFonts w:hint="eastAsia"/>
                <w:b/>
              </w:rPr>
              <w:t>得分</w:t>
            </w:r>
          </w:p>
        </w:tc>
        <w:tc>
          <w:tcPr>
            <w:tcW w:w="2560" w:type="dxa"/>
          </w:tcPr>
          <w:p>
            <w:pPr>
              <w:widowControl/>
              <w:jc w:val="center"/>
              <w:rPr>
                <w:b/>
              </w:rPr>
            </w:pPr>
            <w:r>
              <w:rPr>
                <w:rFonts w:hint="eastAsia"/>
                <w:b/>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00" w:type="dxa"/>
            <w:vMerge w:val="continue"/>
          </w:tcPr>
          <w:p>
            <w:pPr>
              <w:widowControl/>
              <w:jc w:val="center"/>
              <w:rPr>
                <w:b/>
              </w:rPr>
            </w:pPr>
          </w:p>
        </w:tc>
        <w:tc>
          <w:tcPr>
            <w:tcW w:w="300" w:type="dxa"/>
          </w:tcPr>
          <w:p>
            <w:pPr>
              <w:widowControl/>
              <w:jc w:val="center"/>
              <w:rPr>
                <w:b/>
              </w:rPr>
            </w:pPr>
            <w:r>
              <w:rPr>
                <w:rFonts w:hint="eastAsia"/>
                <w:b/>
              </w:rPr>
              <w:t>总额</w:t>
            </w:r>
          </w:p>
        </w:tc>
        <w:tc>
          <w:tcPr>
            <w:tcW w:w="11700" w:type="dxa"/>
          </w:tcPr>
          <w:p>
            <w:pPr>
              <w:widowControl/>
              <w:jc w:val="center"/>
              <w:rPr>
                <w:b/>
              </w:rPr>
            </w:pPr>
            <w:r>
              <w:rPr>
                <w:rFonts w:hint="eastAsia"/>
                <w:b/>
              </w:rPr>
              <w:t>62.80</w:t>
            </w:r>
          </w:p>
        </w:tc>
        <w:tc>
          <w:tcPr>
            <w:tcW w:w="2260" w:type="dxa"/>
          </w:tcPr>
          <w:p>
            <w:pPr>
              <w:widowControl/>
              <w:jc w:val="center"/>
              <w:rPr>
                <w:b/>
              </w:rPr>
            </w:pPr>
            <w:r>
              <w:rPr>
                <w:rFonts w:hint="eastAsia"/>
                <w:b/>
              </w:rPr>
              <w:t>62.80</w:t>
            </w:r>
          </w:p>
        </w:tc>
        <w:tc>
          <w:tcPr>
            <w:tcW w:w="4920" w:type="dxa"/>
            <w:gridSpan w:val="3"/>
          </w:tcPr>
          <w:p>
            <w:pPr>
              <w:widowControl/>
              <w:jc w:val="center"/>
              <w:rPr>
                <w:b/>
              </w:rPr>
            </w:pPr>
            <w:r>
              <w:rPr>
                <w:rFonts w:hint="eastAsia"/>
                <w:b/>
              </w:rPr>
              <w:t>62.80</w:t>
            </w:r>
          </w:p>
        </w:tc>
        <w:tc>
          <w:tcPr>
            <w:tcW w:w="4640" w:type="dxa"/>
          </w:tcPr>
          <w:p>
            <w:pPr>
              <w:widowControl/>
              <w:jc w:val="center"/>
              <w:rPr>
                <w:b/>
              </w:rPr>
            </w:pPr>
            <w:r>
              <w:rPr>
                <w:rFonts w:hint="eastAsia"/>
                <w:b/>
              </w:rPr>
              <w:t>100.00%</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vMerge w:val="restart"/>
          </w:tcPr>
          <w:p>
            <w:pPr>
              <w:widowControl/>
              <w:jc w:val="center"/>
              <w:rPr>
                <w:b/>
                <w:i/>
                <w:iCs/>
              </w:rPr>
            </w:pPr>
            <w:r>
              <w:rPr>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00" w:type="dxa"/>
            <w:vMerge w:val="continue"/>
          </w:tcPr>
          <w:p>
            <w:pPr>
              <w:widowControl/>
              <w:jc w:val="center"/>
              <w:rPr>
                <w:b/>
              </w:rPr>
            </w:pPr>
          </w:p>
        </w:tc>
        <w:tc>
          <w:tcPr>
            <w:tcW w:w="300" w:type="dxa"/>
          </w:tcPr>
          <w:p>
            <w:pPr>
              <w:widowControl/>
              <w:jc w:val="center"/>
              <w:rPr>
                <w:b/>
              </w:rPr>
            </w:pPr>
            <w:r>
              <w:rPr>
                <w:rFonts w:hint="eastAsia"/>
                <w:b/>
              </w:rPr>
              <w:t>其中：财政资金</w:t>
            </w:r>
          </w:p>
        </w:tc>
        <w:tc>
          <w:tcPr>
            <w:tcW w:w="11700" w:type="dxa"/>
          </w:tcPr>
          <w:p>
            <w:pPr>
              <w:widowControl/>
              <w:jc w:val="center"/>
              <w:rPr>
                <w:b/>
              </w:rPr>
            </w:pPr>
            <w:r>
              <w:rPr>
                <w:rFonts w:hint="eastAsia"/>
                <w:b/>
              </w:rPr>
              <w:t>62.80</w:t>
            </w:r>
          </w:p>
        </w:tc>
        <w:tc>
          <w:tcPr>
            <w:tcW w:w="2260" w:type="dxa"/>
          </w:tcPr>
          <w:p>
            <w:pPr>
              <w:widowControl/>
              <w:jc w:val="center"/>
              <w:rPr>
                <w:b/>
              </w:rPr>
            </w:pPr>
            <w:r>
              <w:rPr>
                <w:rFonts w:hint="eastAsia"/>
                <w:b/>
              </w:rPr>
              <w:t>62.80</w:t>
            </w:r>
          </w:p>
        </w:tc>
        <w:tc>
          <w:tcPr>
            <w:tcW w:w="4920" w:type="dxa"/>
            <w:gridSpan w:val="3"/>
          </w:tcPr>
          <w:p>
            <w:pPr>
              <w:widowControl/>
              <w:jc w:val="center"/>
              <w:rPr>
                <w:b/>
              </w:rPr>
            </w:pPr>
            <w:r>
              <w:rPr>
                <w:rFonts w:hint="eastAsia"/>
                <w:b/>
              </w:rPr>
              <w:t>62.80</w:t>
            </w:r>
          </w:p>
        </w:tc>
        <w:tc>
          <w:tcPr>
            <w:tcW w:w="4640" w:type="dxa"/>
          </w:tcPr>
          <w:p>
            <w:pPr>
              <w:widowControl/>
              <w:jc w:val="center"/>
              <w:rPr>
                <w:b/>
              </w:rPr>
            </w:pPr>
            <w:r>
              <w:rPr>
                <w:rFonts w:hint="eastAsia"/>
                <w:b/>
              </w:rPr>
              <w:t>100.00%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00" w:type="dxa"/>
            <w:vMerge w:val="continue"/>
          </w:tcPr>
          <w:p>
            <w:pPr>
              <w:widowControl/>
              <w:jc w:val="center"/>
              <w:rPr>
                <w:b/>
              </w:rPr>
            </w:pPr>
          </w:p>
        </w:tc>
        <w:tc>
          <w:tcPr>
            <w:tcW w:w="300" w:type="dxa"/>
          </w:tcPr>
          <w:p>
            <w:pPr>
              <w:widowControl/>
              <w:jc w:val="center"/>
              <w:rPr>
                <w:b/>
              </w:rPr>
            </w:pPr>
            <w:r>
              <w:rPr>
                <w:rFonts w:hint="eastAsia"/>
                <w:b/>
              </w:rPr>
              <w:t>财政专户管理资金</w:t>
            </w:r>
          </w:p>
        </w:tc>
        <w:tc>
          <w:tcPr>
            <w:tcW w:w="11700" w:type="dxa"/>
          </w:tcPr>
          <w:p>
            <w:pPr>
              <w:widowControl/>
              <w:jc w:val="center"/>
              <w:rPr>
                <w:b/>
              </w:rPr>
            </w:pPr>
            <w:r>
              <w:rPr>
                <w:rFonts w:hint="eastAsia"/>
                <w:b/>
              </w:rPr>
              <w:t>0.00</w:t>
            </w:r>
          </w:p>
        </w:tc>
        <w:tc>
          <w:tcPr>
            <w:tcW w:w="2260" w:type="dxa"/>
          </w:tcPr>
          <w:p>
            <w:pPr>
              <w:widowControl/>
              <w:jc w:val="center"/>
              <w:rPr>
                <w:b/>
              </w:rPr>
            </w:pPr>
            <w:r>
              <w:rPr>
                <w:rFonts w:hint="eastAsia"/>
                <w:b/>
              </w:rPr>
              <w:t>0.00</w:t>
            </w:r>
          </w:p>
        </w:tc>
        <w:tc>
          <w:tcPr>
            <w:tcW w:w="4920" w:type="dxa"/>
            <w:gridSpan w:val="3"/>
          </w:tcPr>
          <w:p>
            <w:pPr>
              <w:widowControl/>
              <w:jc w:val="center"/>
              <w:rPr>
                <w:b/>
              </w:rPr>
            </w:pPr>
            <w:r>
              <w:rPr>
                <w:rFonts w:hint="eastAsia"/>
                <w:b/>
              </w:rPr>
              <w:t>0.00</w:t>
            </w:r>
          </w:p>
        </w:tc>
        <w:tc>
          <w:tcPr>
            <w:tcW w:w="4640" w:type="dxa"/>
          </w:tcPr>
          <w:p>
            <w:pPr>
              <w:widowControl/>
              <w:jc w:val="center"/>
              <w:rPr>
                <w:b/>
              </w:rPr>
            </w:pPr>
            <w:r>
              <w:rPr>
                <w:rFonts w:hint="eastAsia"/>
                <w:b/>
              </w:rPr>
              <w:t>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continue"/>
          </w:tcPr>
          <w:p>
            <w:pPr>
              <w:widowControl/>
              <w:jc w:val="center"/>
              <w:rPr>
                <w:b/>
              </w:rPr>
            </w:pPr>
          </w:p>
        </w:tc>
        <w:tc>
          <w:tcPr>
            <w:tcW w:w="300" w:type="dxa"/>
          </w:tcPr>
          <w:p>
            <w:pPr>
              <w:widowControl/>
              <w:jc w:val="center"/>
              <w:rPr>
                <w:b/>
              </w:rPr>
            </w:pPr>
            <w:r>
              <w:rPr>
                <w:rFonts w:hint="eastAsia"/>
                <w:b/>
              </w:rPr>
              <w:t>单位资金</w:t>
            </w:r>
          </w:p>
        </w:tc>
        <w:tc>
          <w:tcPr>
            <w:tcW w:w="11700" w:type="dxa"/>
          </w:tcPr>
          <w:p>
            <w:pPr>
              <w:widowControl/>
              <w:jc w:val="center"/>
              <w:rPr>
                <w:b/>
              </w:rPr>
            </w:pPr>
            <w:r>
              <w:rPr>
                <w:rFonts w:hint="eastAsia"/>
                <w:b/>
              </w:rPr>
              <w:t>0.00</w:t>
            </w:r>
          </w:p>
        </w:tc>
        <w:tc>
          <w:tcPr>
            <w:tcW w:w="2260" w:type="dxa"/>
          </w:tcPr>
          <w:p>
            <w:pPr>
              <w:widowControl/>
              <w:jc w:val="center"/>
              <w:rPr>
                <w:b/>
              </w:rPr>
            </w:pPr>
            <w:r>
              <w:rPr>
                <w:rFonts w:hint="eastAsia"/>
                <w:b/>
              </w:rPr>
              <w:t>0.00</w:t>
            </w:r>
          </w:p>
        </w:tc>
        <w:tc>
          <w:tcPr>
            <w:tcW w:w="4920" w:type="dxa"/>
            <w:gridSpan w:val="3"/>
          </w:tcPr>
          <w:p>
            <w:pPr>
              <w:widowControl/>
              <w:jc w:val="center"/>
              <w:rPr>
                <w:b/>
              </w:rPr>
            </w:pPr>
            <w:r>
              <w:rPr>
                <w:rFonts w:hint="eastAsia"/>
                <w:b/>
              </w:rPr>
              <w:t>0.00</w:t>
            </w:r>
          </w:p>
        </w:tc>
        <w:tc>
          <w:tcPr>
            <w:tcW w:w="4640" w:type="dxa"/>
          </w:tcPr>
          <w:p>
            <w:pPr>
              <w:widowControl/>
              <w:jc w:val="center"/>
              <w:rPr>
                <w:b/>
              </w:rPr>
            </w:pPr>
            <w:r>
              <w:rPr>
                <w:rFonts w:hint="eastAsia"/>
                <w:b/>
              </w:rPr>
              <w:t>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tcPr>
          <w:p>
            <w:pPr>
              <w:widowControl/>
              <w:jc w:val="center"/>
              <w:rPr>
                <w:b/>
              </w:rPr>
            </w:pPr>
            <w:r>
              <w:rPr>
                <w:rFonts w:hint="eastAsia"/>
                <w:b/>
              </w:rPr>
              <w:t>其他资金</w:t>
            </w:r>
          </w:p>
        </w:tc>
        <w:tc>
          <w:tcPr>
            <w:tcW w:w="11700" w:type="dxa"/>
          </w:tcPr>
          <w:p>
            <w:pPr>
              <w:widowControl/>
              <w:jc w:val="center"/>
              <w:rPr>
                <w:b/>
                <w:i/>
                <w:iCs/>
              </w:rPr>
            </w:pPr>
            <w:r>
              <w:rPr>
                <w:rFonts w:hint="eastAsia"/>
                <w:b/>
                <w:i/>
                <w:iCs/>
              </w:rPr>
              <w:t>　</w:t>
            </w:r>
          </w:p>
        </w:tc>
        <w:tc>
          <w:tcPr>
            <w:tcW w:w="2260" w:type="dxa"/>
          </w:tcPr>
          <w:p>
            <w:pPr>
              <w:widowControl/>
              <w:jc w:val="center"/>
              <w:rPr>
                <w:b/>
                <w:i/>
                <w:iCs/>
              </w:rPr>
            </w:pPr>
            <w:r>
              <w:rPr>
                <w:rFonts w:hint="eastAsia"/>
                <w:b/>
                <w:i/>
                <w:iCs/>
              </w:rPr>
              <w:t>　</w:t>
            </w:r>
          </w:p>
        </w:tc>
        <w:tc>
          <w:tcPr>
            <w:tcW w:w="4920" w:type="dxa"/>
            <w:gridSpan w:val="3"/>
          </w:tcPr>
          <w:p>
            <w:pPr>
              <w:widowControl/>
              <w:jc w:val="center"/>
              <w:rPr>
                <w:b/>
                <w:i/>
                <w:iCs/>
              </w:rPr>
            </w:pPr>
            <w:r>
              <w:rPr>
                <w:rFonts w:hint="eastAsia"/>
                <w:b/>
                <w:i/>
                <w:iCs/>
              </w:rPr>
              <w:t>　</w:t>
            </w:r>
          </w:p>
        </w:tc>
        <w:tc>
          <w:tcPr>
            <w:tcW w:w="4640" w:type="dxa"/>
          </w:tcPr>
          <w:p>
            <w:pPr>
              <w:widowControl/>
              <w:jc w:val="center"/>
              <w:rPr>
                <w:b/>
                <w:i/>
                <w:iCs/>
              </w:rPr>
            </w:pPr>
            <w:r>
              <w:rPr>
                <w:rFonts w:hint="eastAsia"/>
                <w:b/>
                <w:i/>
                <w:iCs/>
              </w:rPr>
              <w:t>　</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restart"/>
          </w:tcPr>
          <w:p>
            <w:pPr>
              <w:widowControl/>
              <w:jc w:val="center"/>
              <w:rPr>
                <w:b/>
              </w:rPr>
            </w:pPr>
            <w:r>
              <w:rPr>
                <w:rFonts w:hint="eastAsia"/>
                <w:b/>
              </w:rPr>
              <w:t>绩效指标（90分）</w:t>
            </w:r>
          </w:p>
        </w:tc>
        <w:tc>
          <w:tcPr>
            <w:tcW w:w="300" w:type="dxa"/>
          </w:tcPr>
          <w:p>
            <w:pPr>
              <w:widowControl/>
              <w:jc w:val="center"/>
              <w:rPr>
                <w:b/>
              </w:rPr>
            </w:pPr>
            <w:r>
              <w:rPr>
                <w:rFonts w:hint="eastAsia"/>
                <w:b/>
              </w:rPr>
              <w:t>一级指标</w:t>
            </w:r>
          </w:p>
        </w:tc>
        <w:tc>
          <w:tcPr>
            <w:tcW w:w="11700" w:type="dxa"/>
          </w:tcPr>
          <w:p>
            <w:pPr>
              <w:widowControl/>
              <w:jc w:val="center"/>
              <w:rPr>
                <w:b/>
              </w:rPr>
            </w:pPr>
            <w:r>
              <w:rPr>
                <w:rFonts w:hint="eastAsia"/>
                <w:b/>
              </w:rPr>
              <w:t>二级指标</w:t>
            </w:r>
          </w:p>
        </w:tc>
        <w:tc>
          <w:tcPr>
            <w:tcW w:w="2260" w:type="dxa"/>
          </w:tcPr>
          <w:p>
            <w:pPr>
              <w:widowControl/>
              <w:jc w:val="center"/>
              <w:rPr>
                <w:b/>
              </w:rPr>
            </w:pPr>
            <w:r>
              <w:rPr>
                <w:rFonts w:hint="eastAsia"/>
                <w:b/>
              </w:rPr>
              <w:t>三级指标</w:t>
            </w:r>
          </w:p>
        </w:tc>
        <w:tc>
          <w:tcPr>
            <w:tcW w:w="2720" w:type="dxa"/>
          </w:tcPr>
          <w:p>
            <w:pPr>
              <w:widowControl/>
              <w:jc w:val="center"/>
              <w:rPr>
                <w:b/>
              </w:rPr>
            </w:pPr>
            <w:r>
              <w:rPr>
                <w:rFonts w:hint="eastAsia"/>
                <w:b/>
              </w:rPr>
              <w:t>指标性质</w:t>
            </w:r>
          </w:p>
        </w:tc>
        <w:tc>
          <w:tcPr>
            <w:tcW w:w="1680" w:type="dxa"/>
          </w:tcPr>
          <w:p>
            <w:pPr>
              <w:widowControl/>
              <w:jc w:val="center"/>
              <w:rPr>
                <w:b/>
              </w:rPr>
            </w:pPr>
            <w:r>
              <w:rPr>
                <w:rFonts w:hint="eastAsia"/>
                <w:b/>
              </w:rPr>
              <w:t>指标值</w:t>
            </w:r>
          </w:p>
        </w:tc>
        <w:tc>
          <w:tcPr>
            <w:tcW w:w="520" w:type="dxa"/>
          </w:tcPr>
          <w:p>
            <w:pPr>
              <w:widowControl/>
              <w:jc w:val="center"/>
              <w:rPr>
                <w:b/>
              </w:rPr>
            </w:pPr>
            <w:r>
              <w:rPr>
                <w:rFonts w:hint="eastAsia"/>
                <w:b/>
              </w:rPr>
              <w:t>度量单位</w:t>
            </w:r>
          </w:p>
        </w:tc>
        <w:tc>
          <w:tcPr>
            <w:tcW w:w="4640" w:type="dxa"/>
          </w:tcPr>
          <w:p>
            <w:pPr>
              <w:widowControl/>
              <w:jc w:val="center"/>
              <w:rPr>
                <w:b/>
              </w:rPr>
            </w:pPr>
            <w:r>
              <w:rPr>
                <w:rFonts w:hint="eastAsia"/>
                <w:b/>
              </w:rPr>
              <w:t>完成值</w:t>
            </w:r>
          </w:p>
        </w:tc>
        <w:tc>
          <w:tcPr>
            <w:tcW w:w="3540" w:type="dxa"/>
          </w:tcPr>
          <w:p>
            <w:pPr>
              <w:widowControl/>
              <w:jc w:val="center"/>
              <w:rPr>
                <w:b/>
              </w:rPr>
            </w:pPr>
            <w:r>
              <w:rPr>
                <w:rFonts w:hint="eastAsia"/>
                <w:b/>
              </w:rPr>
              <w:t>权重</w:t>
            </w:r>
          </w:p>
        </w:tc>
        <w:tc>
          <w:tcPr>
            <w:tcW w:w="460" w:type="dxa"/>
          </w:tcPr>
          <w:p>
            <w:pPr>
              <w:widowControl/>
              <w:jc w:val="center"/>
              <w:rPr>
                <w:b/>
              </w:rPr>
            </w:pPr>
            <w:r>
              <w:rPr>
                <w:rFonts w:hint="eastAsia"/>
                <w:b/>
              </w:rPr>
              <w:t>得分</w:t>
            </w:r>
          </w:p>
        </w:tc>
        <w:tc>
          <w:tcPr>
            <w:tcW w:w="2560" w:type="dxa"/>
          </w:tcPr>
          <w:p>
            <w:pPr>
              <w:widowControl/>
              <w:jc w:val="center"/>
              <w:rPr>
                <w:b/>
              </w:rPr>
            </w:pPr>
            <w:r>
              <w:rPr>
                <w:rFonts w:hint="eastAsia"/>
                <w:b/>
              </w:rPr>
              <w:t>未完成原因分析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vMerge w:val="restart"/>
          </w:tcPr>
          <w:p>
            <w:pPr>
              <w:widowControl/>
              <w:jc w:val="center"/>
              <w:rPr>
                <w:b/>
              </w:rPr>
            </w:pPr>
            <w:r>
              <w:rPr>
                <w:rFonts w:hint="eastAsia"/>
                <w:b/>
              </w:rPr>
              <w:t>产出指标</w:t>
            </w:r>
          </w:p>
        </w:tc>
        <w:tc>
          <w:tcPr>
            <w:tcW w:w="11700" w:type="dxa"/>
          </w:tcPr>
          <w:p>
            <w:pPr>
              <w:widowControl/>
              <w:jc w:val="center"/>
              <w:rPr>
                <w:b/>
              </w:rPr>
            </w:pPr>
            <w:r>
              <w:rPr>
                <w:rFonts w:hint="eastAsia"/>
                <w:b/>
              </w:rPr>
              <w:t>数量指标</w:t>
            </w:r>
          </w:p>
        </w:tc>
        <w:tc>
          <w:tcPr>
            <w:tcW w:w="2260" w:type="dxa"/>
          </w:tcPr>
          <w:p>
            <w:pPr>
              <w:widowControl/>
              <w:jc w:val="center"/>
              <w:rPr>
                <w:b/>
              </w:rPr>
            </w:pPr>
            <w:r>
              <w:rPr>
                <w:rFonts w:hint="eastAsia"/>
                <w:b/>
              </w:rPr>
              <w:t>采购电梯</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2</w:t>
            </w:r>
          </w:p>
        </w:tc>
        <w:tc>
          <w:tcPr>
            <w:tcW w:w="520" w:type="dxa"/>
          </w:tcPr>
          <w:p>
            <w:pPr>
              <w:widowControl/>
              <w:jc w:val="center"/>
              <w:rPr>
                <w:b/>
              </w:rPr>
            </w:pPr>
            <w:r>
              <w:rPr>
                <w:rFonts w:hint="eastAsia"/>
                <w:b/>
              </w:rPr>
              <w:t>部</w:t>
            </w:r>
          </w:p>
        </w:tc>
        <w:tc>
          <w:tcPr>
            <w:tcW w:w="4640" w:type="dxa"/>
          </w:tcPr>
          <w:p>
            <w:pPr>
              <w:widowControl/>
              <w:jc w:val="center"/>
              <w:rPr>
                <w:b/>
                <w:i/>
                <w:iCs/>
              </w:rPr>
            </w:pPr>
            <w:r>
              <w:rPr>
                <w:rFonts w:hint="eastAsia"/>
                <w:b/>
                <w:i/>
                <w:iCs/>
              </w:rPr>
              <w:t>2</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rPr>
            </w:pPr>
          </w:p>
        </w:tc>
        <w:tc>
          <w:tcPr>
            <w:tcW w:w="300" w:type="dxa"/>
            <w:vMerge w:val="continue"/>
          </w:tcPr>
          <w:p>
            <w:pPr>
              <w:widowControl/>
              <w:jc w:val="center"/>
              <w:rPr>
                <w:b/>
              </w:rPr>
            </w:pPr>
          </w:p>
        </w:tc>
        <w:tc>
          <w:tcPr>
            <w:tcW w:w="11700" w:type="dxa"/>
          </w:tcPr>
          <w:p>
            <w:pPr>
              <w:widowControl/>
              <w:jc w:val="center"/>
              <w:rPr>
                <w:b/>
              </w:rPr>
            </w:pPr>
            <w:r>
              <w:rPr>
                <w:rFonts w:hint="eastAsia"/>
                <w:b/>
              </w:rPr>
              <w:t>质量指标</w:t>
            </w:r>
          </w:p>
        </w:tc>
        <w:tc>
          <w:tcPr>
            <w:tcW w:w="2260" w:type="dxa"/>
          </w:tcPr>
          <w:p>
            <w:pPr>
              <w:widowControl/>
              <w:jc w:val="center"/>
              <w:rPr>
                <w:b/>
              </w:rPr>
            </w:pPr>
            <w:r>
              <w:rPr>
                <w:rFonts w:hint="eastAsia"/>
                <w:b/>
              </w:rPr>
              <w:t>采购电梯相关质量符合标准，验收合格。</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100</w:t>
            </w:r>
          </w:p>
        </w:tc>
        <w:tc>
          <w:tcPr>
            <w:tcW w:w="520" w:type="dxa"/>
          </w:tcPr>
          <w:p>
            <w:pPr>
              <w:widowControl/>
              <w:jc w:val="center"/>
              <w:rPr>
                <w:b/>
              </w:rPr>
            </w:pPr>
            <w:r>
              <w:rPr>
                <w:rFonts w:hint="eastAsia"/>
                <w:b/>
              </w:rPr>
              <w:t>%</w:t>
            </w:r>
          </w:p>
        </w:tc>
        <w:tc>
          <w:tcPr>
            <w:tcW w:w="4640" w:type="dxa"/>
          </w:tcPr>
          <w:p>
            <w:pPr>
              <w:widowControl/>
              <w:jc w:val="center"/>
              <w:rPr>
                <w:b/>
                <w:i/>
                <w:iCs/>
              </w:rPr>
            </w:pPr>
            <w:r>
              <w:rPr>
                <w:rFonts w:hint="eastAsia"/>
                <w:b/>
                <w:i/>
                <w:iCs/>
              </w:rPr>
              <w:t>100%</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vMerge w:val="continue"/>
          </w:tcPr>
          <w:p>
            <w:pPr>
              <w:widowControl/>
              <w:jc w:val="center"/>
              <w:rPr>
                <w:b/>
              </w:rPr>
            </w:pPr>
          </w:p>
        </w:tc>
        <w:tc>
          <w:tcPr>
            <w:tcW w:w="11700" w:type="dxa"/>
          </w:tcPr>
          <w:p>
            <w:pPr>
              <w:widowControl/>
              <w:jc w:val="center"/>
              <w:rPr>
                <w:b/>
              </w:rPr>
            </w:pPr>
            <w:r>
              <w:rPr>
                <w:rFonts w:hint="eastAsia"/>
                <w:b/>
              </w:rPr>
              <w:t>时效指标</w:t>
            </w:r>
          </w:p>
        </w:tc>
        <w:tc>
          <w:tcPr>
            <w:tcW w:w="2260" w:type="dxa"/>
          </w:tcPr>
          <w:p>
            <w:pPr>
              <w:widowControl/>
              <w:jc w:val="center"/>
              <w:rPr>
                <w:b/>
              </w:rPr>
            </w:pPr>
            <w:r>
              <w:rPr>
                <w:rFonts w:hint="eastAsia"/>
                <w:b/>
              </w:rPr>
              <w:t>完成时间</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1</w:t>
            </w:r>
          </w:p>
        </w:tc>
        <w:tc>
          <w:tcPr>
            <w:tcW w:w="520" w:type="dxa"/>
          </w:tcPr>
          <w:p>
            <w:pPr>
              <w:widowControl/>
              <w:jc w:val="center"/>
              <w:rPr>
                <w:b/>
              </w:rPr>
            </w:pPr>
            <w:r>
              <w:rPr>
                <w:rFonts w:hint="eastAsia"/>
                <w:b/>
              </w:rPr>
              <w:t>年</w:t>
            </w:r>
          </w:p>
        </w:tc>
        <w:tc>
          <w:tcPr>
            <w:tcW w:w="4640" w:type="dxa"/>
          </w:tcPr>
          <w:p>
            <w:pPr>
              <w:widowControl/>
              <w:jc w:val="center"/>
              <w:rPr>
                <w:b/>
                <w:i/>
                <w:iCs/>
              </w:rPr>
            </w:pPr>
            <w:r>
              <w:rPr>
                <w:rFonts w:hint="eastAsia"/>
                <w:b/>
                <w:i/>
                <w:iCs/>
              </w:rPr>
              <w:t>1</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rPr>
            </w:pPr>
          </w:p>
        </w:tc>
        <w:tc>
          <w:tcPr>
            <w:tcW w:w="300" w:type="dxa"/>
          </w:tcPr>
          <w:p>
            <w:pPr>
              <w:widowControl/>
              <w:jc w:val="center"/>
              <w:rPr>
                <w:b/>
              </w:rPr>
            </w:pPr>
            <w:r>
              <w:rPr>
                <w:rFonts w:hint="eastAsia"/>
                <w:b/>
              </w:rPr>
              <w:t>效益指标</w:t>
            </w:r>
          </w:p>
        </w:tc>
        <w:tc>
          <w:tcPr>
            <w:tcW w:w="11700" w:type="dxa"/>
          </w:tcPr>
          <w:p>
            <w:pPr>
              <w:widowControl/>
              <w:jc w:val="center"/>
              <w:rPr>
                <w:b/>
              </w:rPr>
            </w:pPr>
            <w:r>
              <w:rPr>
                <w:rFonts w:hint="eastAsia"/>
                <w:b/>
              </w:rPr>
              <w:t>社会效益指标</w:t>
            </w:r>
          </w:p>
        </w:tc>
        <w:tc>
          <w:tcPr>
            <w:tcW w:w="2260" w:type="dxa"/>
          </w:tcPr>
          <w:p>
            <w:pPr>
              <w:widowControl/>
              <w:jc w:val="center"/>
              <w:rPr>
                <w:b/>
              </w:rPr>
            </w:pPr>
            <w:r>
              <w:rPr>
                <w:rFonts w:hint="eastAsia"/>
                <w:b/>
              </w:rPr>
              <w:t>改善办公环境，提升工作效率</w:t>
            </w:r>
          </w:p>
        </w:tc>
        <w:tc>
          <w:tcPr>
            <w:tcW w:w="2720" w:type="dxa"/>
          </w:tcPr>
          <w:p>
            <w:pPr>
              <w:widowControl/>
              <w:jc w:val="center"/>
              <w:rPr>
                <w:b/>
              </w:rPr>
            </w:pPr>
            <w:r>
              <w:rPr>
                <w:rFonts w:hint="eastAsia"/>
                <w:b/>
              </w:rPr>
              <w:t>定性</w:t>
            </w:r>
          </w:p>
        </w:tc>
        <w:tc>
          <w:tcPr>
            <w:tcW w:w="1680" w:type="dxa"/>
          </w:tcPr>
          <w:p>
            <w:pPr>
              <w:widowControl/>
              <w:jc w:val="center"/>
              <w:rPr>
                <w:b/>
              </w:rPr>
            </w:pPr>
            <w:r>
              <w:rPr>
                <w:rFonts w:hint="eastAsia"/>
                <w:b/>
              </w:rPr>
              <w:t>优</w:t>
            </w:r>
          </w:p>
        </w:tc>
        <w:tc>
          <w:tcPr>
            <w:tcW w:w="520" w:type="dxa"/>
          </w:tcPr>
          <w:p>
            <w:pPr>
              <w:widowControl/>
              <w:jc w:val="center"/>
              <w:rPr>
                <w:b/>
              </w:rPr>
            </w:pPr>
            <w:r>
              <w:rPr>
                <w:rFonts w:hint="eastAsia"/>
                <w:b/>
              </w:rPr>
              <w:t>　</w:t>
            </w:r>
          </w:p>
        </w:tc>
        <w:tc>
          <w:tcPr>
            <w:tcW w:w="4640" w:type="dxa"/>
          </w:tcPr>
          <w:p>
            <w:pPr>
              <w:widowControl/>
              <w:jc w:val="center"/>
              <w:rPr>
                <w:b/>
                <w:i/>
                <w:iCs/>
              </w:rPr>
            </w:pPr>
            <w:r>
              <w:rPr>
                <w:rFonts w:hint="eastAsia"/>
                <w:b/>
                <w:i/>
                <w:iCs/>
              </w:rPr>
              <w:t>优</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rPr>
            </w:pPr>
          </w:p>
        </w:tc>
        <w:tc>
          <w:tcPr>
            <w:tcW w:w="300" w:type="dxa"/>
          </w:tcPr>
          <w:p>
            <w:pPr>
              <w:widowControl/>
              <w:jc w:val="center"/>
              <w:rPr>
                <w:b/>
              </w:rPr>
            </w:pPr>
            <w:r>
              <w:rPr>
                <w:rFonts w:hint="eastAsia"/>
                <w:b/>
              </w:rPr>
              <w:t>满意度指标</w:t>
            </w:r>
          </w:p>
        </w:tc>
        <w:tc>
          <w:tcPr>
            <w:tcW w:w="11700" w:type="dxa"/>
          </w:tcPr>
          <w:p>
            <w:pPr>
              <w:widowControl/>
              <w:jc w:val="center"/>
              <w:rPr>
                <w:b/>
              </w:rPr>
            </w:pPr>
            <w:r>
              <w:rPr>
                <w:rFonts w:hint="eastAsia"/>
                <w:b/>
              </w:rPr>
              <w:t>服务对象满意度指标</w:t>
            </w:r>
          </w:p>
        </w:tc>
        <w:tc>
          <w:tcPr>
            <w:tcW w:w="2260" w:type="dxa"/>
          </w:tcPr>
          <w:p>
            <w:pPr>
              <w:widowControl/>
              <w:jc w:val="center"/>
              <w:rPr>
                <w:b/>
              </w:rPr>
            </w:pPr>
            <w:r>
              <w:rPr>
                <w:rFonts w:hint="eastAsia"/>
                <w:b/>
              </w:rPr>
              <w:t>电梯使用者满意度</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95</w:t>
            </w:r>
          </w:p>
        </w:tc>
        <w:tc>
          <w:tcPr>
            <w:tcW w:w="520" w:type="dxa"/>
          </w:tcPr>
          <w:p>
            <w:pPr>
              <w:widowControl/>
              <w:jc w:val="center"/>
              <w:rPr>
                <w:b/>
              </w:rPr>
            </w:pPr>
            <w:r>
              <w:rPr>
                <w:rFonts w:hint="eastAsia"/>
                <w:b/>
              </w:rPr>
              <w:t>%</w:t>
            </w:r>
          </w:p>
        </w:tc>
        <w:tc>
          <w:tcPr>
            <w:tcW w:w="4640" w:type="dxa"/>
          </w:tcPr>
          <w:p>
            <w:pPr>
              <w:widowControl/>
              <w:jc w:val="center"/>
              <w:rPr>
                <w:b/>
                <w:i/>
                <w:iCs/>
              </w:rPr>
            </w:pPr>
            <w:r>
              <w:rPr>
                <w:rFonts w:hint="eastAsia"/>
                <w:b/>
                <w:i/>
                <w:iCs/>
              </w:rPr>
              <w:t>95%</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tcPr>
          <w:p>
            <w:pPr>
              <w:widowControl/>
              <w:jc w:val="center"/>
              <w:rPr>
                <w:b/>
              </w:rPr>
            </w:pPr>
            <w:r>
              <w:rPr>
                <w:rFonts w:hint="eastAsia"/>
                <w:b/>
              </w:rPr>
              <w:t>成本指标</w:t>
            </w:r>
          </w:p>
        </w:tc>
        <w:tc>
          <w:tcPr>
            <w:tcW w:w="11700" w:type="dxa"/>
          </w:tcPr>
          <w:p>
            <w:pPr>
              <w:widowControl/>
              <w:jc w:val="center"/>
              <w:rPr>
                <w:b/>
              </w:rPr>
            </w:pPr>
            <w:r>
              <w:rPr>
                <w:rFonts w:hint="eastAsia"/>
                <w:b/>
              </w:rPr>
              <w:t>经济成本指标</w:t>
            </w:r>
          </w:p>
        </w:tc>
        <w:tc>
          <w:tcPr>
            <w:tcW w:w="2260" w:type="dxa"/>
          </w:tcPr>
          <w:p>
            <w:pPr>
              <w:widowControl/>
              <w:jc w:val="center"/>
              <w:rPr>
                <w:b/>
              </w:rPr>
            </w:pPr>
            <w:r>
              <w:rPr>
                <w:rFonts w:hint="eastAsia"/>
                <w:b/>
              </w:rPr>
              <w:t>电梯采购</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62.8</w:t>
            </w:r>
          </w:p>
        </w:tc>
        <w:tc>
          <w:tcPr>
            <w:tcW w:w="520" w:type="dxa"/>
          </w:tcPr>
          <w:p>
            <w:pPr>
              <w:widowControl/>
              <w:jc w:val="center"/>
              <w:rPr>
                <w:b/>
              </w:rPr>
            </w:pPr>
            <w:r>
              <w:rPr>
                <w:rFonts w:hint="eastAsia"/>
                <w:b/>
              </w:rPr>
              <w:t>万元</w:t>
            </w:r>
          </w:p>
        </w:tc>
        <w:tc>
          <w:tcPr>
            <w:tcW w:w="4640" w:type="dxa"/>
          </w:tcPr>
          <w:p>
            <w:pPr>
              <w:widowControl/>
              <w:jc w:val="center"/>
              <w:rPr>
                <w:b/>
                <w:i/>
                <w:iCs/>
              </w:rPr>
            </w:pPr>
            <w:r>
              <w:rPr>
                <w:rFonts w:hint="eastAsia"/>
                <w:b/>
                <w:i/>
                <w:iCs/>
              </w:rPr>
              <w:t>62.8</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120" w:type="dxa"/>
            <w:gridSpan w:val="8"/>
          </w:tcPr>
          <w:p>
            <w:pPr>
              <w:widowControl/>
              <w:jc w:val="center"/>
              <w:rPr>
                <w:b/>
              </w:rPr>
            </w:pPr>
            <w:r>
              <w:rPr>
                <w:rFonts w:hint="eastAsia"/>
                <w:b/>
              </w:rPr>
              <w:t>合计</w:t>
            </w:r>
          </w:p>
        </w:tc>
        <w:tc>
          <w:tcPr>
            <w:tcW w:w="3540" w:type="dxa"/>
          </w:tcPr>
          <w:p>
            <w:pPr>
              <w:widowControl/>
              <w:jc w:val="center"/>
              <w:rPr>
                <w:b/>
              </w:rPr>
            </w:pPr>
            <w:r>
              <w:rPr>
                <w:rFonts w:hint="eastAsia"/>
                <w:b/>
              </w:rPr>
              <w:t>100</w:t>
            </w:r>
          </w:p>
        </w:tc>
        <w:tc>
          <w:tcPr>
            <w:tcW w:w="460" w:type="dxa"/>
          </w:tcPr>
          <w:p>
            <w:pPr>
              <w:widowControl/>
              <w:jc w:val="center"/>
              <w:rPr>
                <w:b/>
              </w:rPr>
            </w:pPr>
            <w:r>
              <w:rPr>
                <w:rFonts w:hint="eastAsia"/>
                <w:b/>
              </w:rPr>
              <w:t>　</w:t>
            </w:r>
          </w:p>
        </w:tc>
        <w:tc>
          <w:tcPr>
            <w:tcW w:w="2560" w:type="dxa"/>
          </w:tcPr>
          <w:p>
            <w:pPr>
              <w:widowControl/>
              <w:jc w:val="center"/>
              <w:rPr>
                <w:b/>
              </w:rPr>
            </w:pPr>
            <w:r>
              <w:rPr>
                <w:rFonts w:hint="eastAsia"/>
                <w: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00" w:type="dxa"/>
          </w:tcPr>
          <w:p>
            <w:pPr>
              <w:widowControl/>
              <w:jc w:val="center"/>
              <w:rPr>
                <w:b/>
              </w:rPr>
            </w:pPr>
            <w:r>
              <w:rPr>
                <w:rFonts w:hint="eastAsia"/>
                <w:b/>
              </w:rPr>
              <w:t>评价结论</w:t>
            </w:r>
          </w:p>
        </w:tc>
        <w:tc>
          <w:tcPr>
            <w:tcW w:w="30380" w:type="dxa"/>
            <w:gridSpan w:val="10"/>
          </w:tcPr>
          <w:p>
            <w:pPr>
              <w:widowControl/>
              <w:jc w:val="center"/>
              <w:rPr>
                <w:b/>
                <w:i/>
                <w:iCs/>
              </w:rPr>
            </w:pPr>
            <w:r>
              <w:rPr>
                <w:rFonts w:hint="eastAsia"/>
                <w:b/>
                <w:i/>
                <w:iCs/>
              </w:rPr>
              <w:t>从评价情况来看，项目的预算资金使用规范，完成了项目的既定目标，达到了预期使用效果，得分是100分。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00" w:type="dxa"/>
          </w:tcPr>
          <w:p>
            <w:pPr>
              <w:widowControl/>
              <w:jc w:val="center"/>
              <w:rPr>
                <w:b/>
              </w:rPr>
            </w:pPr>
            <w:r>
              <w:rPr>
                <w:rFonts w:hint="eastAsia"/>
                <w:b/>
              </w:rPr>
              <w:t>存在问题</w:t>
            </w:r>
          </w:p>
        </w:tc>
        <w:tc>
          <w:tcPr>
            <w:tcW w:w="30380" w:type="dxa"/>
            <w:gridSpan w:val="10"/>
          </w:tcPr>
          <w:p>
            <w:pPr>
              <w:widowControl/>
              <w:jc w:val="center"/>
              <w:rPr>
                <w:b/>
                <w:i/>
                <w:iCs/>
              </w:rPr>
            </w:pPr>
            <w:r>
              <w:rPr>
                <w:rFonts w:hint="eastAsia"/>
                <w:b/>
                <w:i/>
                <w:iCs/>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00" w:type="dxa"/>
          </w:tcPr>
          <w:p>
            <w:pPr>
              <w:widowControl/>
              <w:jc w:val="center"/>
              <w:rPr>
                <w:b/>
              </w:rPr>
            </w:pPr>
            <w:r>
              <w:rPr>
                <w:rFonts w:hint="eastAsia"/>
                <w:b/>
              </w:rPr>
              <w:t>改进措施</w:t>
            </w:r>
          </w:p>
        </w:tc>
        <w:tc>
          <w:tcPr>
            <w:tcW w:w="30380" w:type="dxa"/>
            <w:gridSpan w:val="10"/>
          </w:tcPr>
          <w:p>
            <w:pPr>
              <w:widowControl/>
              <w:jc w:val="center"/>
              <w:rPr>
                <w:b/>
                <w:i/>
                <w:iCs/>
              </w:rPr>
            </w:pPr>
            <w:r>
              <w:rPr>
                <w:rFonts w:hint="eastAsia"/>
                <w:b/>
                <w:i/>
                <w:iCs/>
              </w:rPr>
              <w:t>无</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637"/>
        <w:gridCol w:w="4029"/>
        <w:gridCol w:w="1268"/>
        <w:gridCol w:w="1098"/>
        <w:gridCol w:w="1009"/>
        <w:gridCol w:w="454"/>
        <w:gridCol w:w="2090"/>
        <w:gridCol w:w="1429"/>
        <w:gridCol w:w="437"/>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30680" w:type="dxa"/>
            <w:gridSpan w:val="11"/>
          </w:tcPr>
          <w:p>
            <w:pPr>
              <w:widowControl/>
              <w:jc w:val="center"/>
              <w:rPr>
                <w:b/>
                <w:bCs/>
              </w:rPr>
            </w:pPr>
            <w:r>
              <w:rPr>
                <w:rFonts w:hint="eastAsia"/>
                <w:b/>
                <w:bCs/>
              </w:rPr>
              <w:t>部门预算项目支出绩效自评表（2023年度）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00" w:type="dxa"/>
            <w:gridSpan w:val="2"/>
          </w:tcPr>
          <w:p>
            <w:pPr>
              <w:widowControl/>
              <w:jc w:val="center"/>
              <w:rPr>
                <w:b/>
              </w:rPr>
            </w:pPr>
            <w:r>
              <w:rPr>
                <w:rFonts w:hint="eastAsia"/>
                <w:b/>
              </w:rPr>
              <w:t>项目名称</w:t>
            </w:r>
          </w:p>
        </w:tc>
        <w:tc>
          <w:tcPr>
            <w:tcW w:w="30080" w:type="dxa"/>
            <w:gridSpan w:val="9"/>
          </w:tcPr>
          <w:p>
            <w:pPr>
              <w:widowControl/>
              <w:jc w:val="center"/>
              <w:rPr>
                <w:b/>
              </w:rPr>
            </w:pPr>
            <w:r>
              <w:rPr>
                <w:rFonts w:hint="eastAsia"/>
                <w:b/>
              </w:rPr>
              <w:t>51080023T000008450451-民警法定工作日之外加班补贴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00" w:type="dxa"/>
            <w:gridSpan w:val="2"/>
          </w:tcPr>
          <w:p>
            <w:pPr>
              <w:widowControl/>
              <w:jc w:val="center"/>
              <w:rPr>
                <w:b/>
              </w:rPr>
            </w:pPr>
            <w:r>
              <w:rPr>
                <w:rFonts w:hint="eastAsia"/>
                <w:b/>
              </w:rPr>
              <w:t>主管部门</w:t>
            </w:r>
          </w:p>
        </w:tc>
        <w:tc>
          <w:tcPr>
            <w:tcW w:w="18880" w:type="dxa"/>
            <w:gridSpan w:val="5"/>
          </w:tcPr>
          <w:p>
            <w:pPr>
              <w:widowControl/>
              <w:jc w:val="center"/>
              <w:rPr>
                <w:b/>
              </w:rPr>
            </w:pPr>
            <w:r>
              <w:rPr>
                <w:rFonts w:hint="eastAsia"/>
                <w:b/>
              </w:rPr>
              <w:t>广元市公安局交通警察支队部门</w:t>
            </w:r>
          </w:p>
        </w:tc>
        <w:tc>
          <w:tcPr>
            <w:tcW w:w="4640" w:type="dxa"/>
          </w:tcPr>
          <w:p>
            <w:pPr>
              <w:widowControl/>
              <w:jc w:val="center"/>
              <w:rPr>
                <w:b/>
              </w:rPr>
            </w:pPr>
            <w:r>
              <w:rPr>
                <w:b/>
              </w:rPr>
              <w:t>实施单位 （盖章）</w:t>
            </w:r>
          </w:p>
        </w:tc>
        <w:tc>
          <w:tcPr>
            <w:tcW w:w="6560" w:type="dxa"/>
            <w:gridSpan w:val="3"/>
          </w:tcPr>
          <w:p>
            <w:pPr>
              <w:widowControl/>
              <w:jc w:val="center"/>
              <w:rPr>
                <w:b/>
              </w:rPr>
            </w:pPr>
            <w:r>
              <w:rPr>
                <w:rFonts w:hint="eastAsia"/>
                <w:b/>
              </w:rPr>
              <w:t>广元市公安局交通警察支队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00" w:type="dxa"/>
            <w:vMerge w:val="restart"/>
          </w:tcPr>
          <w:p>
            <w:pPr>
              <w:widowControl/>
              <w:jc w:val="center"/>
              <w:rPr>
                <w:b/>
              </w:rPr>
            </w:pPr>
            <w:r>
              <w:rPr>
                <w:rFonts w:hint="eastAsia"/>
                <w:b/>
              </w:rPr>
              <w:t>项目基本情况</w:t>
            </w:r>
          </w:p>
        </w:tc>
        <w:tc>
          <w:tcPr>
            <w:tcW w:w="300" w:type="dxa"/>
            <w:vMerge w:val="restart"/>
          </w:tcPr>
          <w:p>
            <w:pPr>
              <w:widowControl/>
              <w:jc w:val="center"/>
              <w:rPr>
                <w:b/>
              </w:rPr>
            </w:pPr>
            <w:r>
              <w:rPr>
                <w:rFonts w:hint="eastAsia"/>
                <w:b/>
              </w:rPr>
              <w:t>1.项目年度目标完成情况</w:t>
            </w:r>
          </w:p>
        </w:tc>
        <w:tc>
          <w:tcPr>
            <w:tcW w:w="18880" w:type="dxa"/>
            <w:gridSpan w:val="5"/>
          </w:tcPr>
          <w:p>
            <w:pPr>
              <w:widowControl/>
              <w:jc w:val="center"/>
              <w:rPr>
                <w:b/>
              </w:rPr>
            </w:pPr>
            <w:r>
              <w:rPr>
                <w:rFonts w:hint="eastAsia"/>
                <w:b/>
              </w:rPr>
              <w:t>项目年度目标</w:t>
            </w:r>
          </w:p>
        </w:tc>
        <w:tc>
          <w:tcPr>
            <w:tcW w:w="11200" w:type="dxa"/>
            <w:gridSpan w:val="4"/>
          </w:tcPr>
          <w:p>
            <w:pPr>
              <w:widowControl/>
              <w:jc w:val="center"/>
              <w:rPr>
                <w:b/>
              </w:rPr>
            </w:pPr>
            <w:r>
              <w:rPr>
                <w:b/>
              </w:rPr>
              <w:t>年度目标完成情况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300" w:type="dxa"/>
            <w:vMerge w:val="continue"/>
          </w:tcPr>
          <w:p>
            <w:pPr>
              <w:widowControl/>
              <w:jc w:val="center"/>
              <w:rPr>
                <w:b/>
              </w:rPr>
            </w:pPr>
          </w:p>
        </w:tc>
        <w:tc>
          <w:tcPr>
            <w:tcW w:w="300" w:type="dxa"/>
            <w:vMerge w:val="continue"/>
          </w:tcPr>
          <w:p>
            <w:pPr>
              <w:widowControl/>
              <w:jc w:val="center"/>
              <w:rPr>
                <w:b/>
              </w:rPr>
            </w:pPr>
          </w:p>
        </w:tc>
        <w:tc>
          <w:tcPr>
            <w:tcW w:w="18880" w:type="dxa"/>
            <w:gridSpan w:val="5"/>
          </w:tcPr>
          <w:p>
            <w:pPr>
              <w:widowControl/>
              <w:jc w:val="center"/>
              <w:rPr>
                <w:b/>
              </w:rPr>
            </w:pPr>
            <w:r>
              <w:rPr>
                <w:rFonts w:hint="eastAsia"/>
                <w:b/>
              </w:rPr>
              <w:t>民警法定节假日加班费</w:t>
            </w:r>
          </w:p>
        </w:tc>
        <w:tc>
          <w:tcPr>
            <w:tcW w:w="11200" w:type="dxa"/>
            <w:gridSpan w:val="4"/>
          </w:tcPr>
          <w:p>
            <w:pPr>
              <w:widowControl/>
              <w:jc w:val="center"/>
              <w:rPr>
                <w:b/>
              </w:rPr>
            </w:pPr>
            <w:r>
              <w:rPr>
                <w:b/>
              </w:rPr>
              <w:t>节假日科学合力部署警力，打击重点违法，强化应急处置，保障了交通管理工作高效、有序运转。全年共查处各类交通违法行为65.7万余起（其中饮酒驾驶3621起、醉酒驾驶781起、飙车炸街218起、非法改拼装261起），执行拘留2254人，吊销驾驶证980本，移送起诉826 件，极大震慑了违法行为。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00" w:type="dxa"/>
            <w:vMerge w:val="continue"/>
          </w:tcPr>
          <w:p>
            <w:pPr>
              <w:widowControl/>
              <w:jc w:val="center"/>
              <w:rPr>
                <w:b/>
              </w:rPr>
            </w:pPr>
          </w:p>
        </w:tc>
        <w:tc>
          <w:tcPr>
            <w:tcW w:w="300" w:type="dxa"/>
          </w:tcPr>
          <w:p>
            <w:pPr>
              <w:widowControl/>
              <w:jc w:val="center"/>
              <w:rPr>
                <w:b/>
              </w:rPr>
            </w:pPr>
            <w:r>
              <w:rPr>
                <w:rFonts w:hint="eastAsia"/>
                <w:b/>
              </w:rPr>
              <w:t>2.项目实施内容及过程概述</w:t>
            </w:r>
          </w:p>
        </w:tc>
        <w:tc>
          <w:tcPr>
            <w:tcW w:w="30080" w:type="dxa"/>
            <w:gridSpan w:val="9"/>
          </w:tcPr>
          <w:p>
            <w:pPr>
              <w:widowControl/>
              <w:jc w:val="center"/>
              <w:rPr>
                <w:b/>
              </w:rPr>
            </w:pPr>
            <w:r>
              <w:rPr>
                <w:rFonts w:hint="eastAsia"/>
                <w: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restart"/>
          </w:tcPr>
          <w:p>
            <w:pPr>
              <w:widowControl/>
              <w:jc w:val="center"/>
              <w:rPr>
                <w:b/>
              </w:rPr>
            </w:pPr>
            <w:r>
              <w:rPr>
                <w:rFonts w:hint="eastAsia"/>
                <w:b/>
              </w:rPr>
              <w:t>预算执行情况（10分）</w:t>
            </w:r>
          </w:p>
        </w:tc>
        <w:tc>
          <w:tcPr>
            <w:tcW w:w="300" w:type="dxa"/>
          </w:tcPr>
          <w:p>
            <w:pPr>
              <w:widowControl/>
              <w:jc w:val="center"/>
              <w:rPr>
                <w:b/>
              </w:rPr>
            </w:pPr>
            <w:r>
              <w:rPr>
                <w:rFonts w:hint="eastAsia"/>
                <w:b/>
              </w:rPr>
              <w:t>年度预算数（万元）</w:t>
            </w:r>
          </w:p>
        </w:tc>
        <w:tc>
          <w:tcPr>
            <w:tcW w:w="11700" w:type="dxa"/>
          </w:tcPr>
          <w:p>
            <w:pPr>
              <w:widowControl/>
              <w:jc w:val="center"/>
              <w:rPr>
                <w:b/>
              </w:rPr>
            </w:pPr>
            <w:r>
              <w:rPr>
                <w:rFonts w:hint="eastAsia"/>
                <w:b/>
              </w:rPr>
              <w:t>年初预算</w:t>
            </w:r>
          </w:p>
        </w:tc>
        <w:tc>
          <w:tcPr>
            <w:tcW w:w="2260" w:type="dxa"/>
          </w:tcPr>
          <w:p>
            <w:pPr>
              <w:widowControl/>
              <w:jc w:val="center"/>
              <w:rPr>
                <w:b/>
              </w:rPr>
            </w:pPr>
            <w:r>
              <w:rPr>
                <w:rFonts w:hint="eastAsia"/>
                <w:b/>
              </w:rPr>
              <w:t>调整后预算数</w:t>
            </w:r>
          </w:p>
        </w:tc>
        <w:tc>
          <w:tcPr>
            <w:tcW w:w="4920" w:type="dxa"/>
            <w:gridSpan w:val="3"/>
          </w:tcPr>
          <w:p>
            <w:pPr>
              <w:widowControl/>
              <w:jc w:val="center"/>
              <w:rPr>
                <w:b/>
              </w:rPr>
            </w:pPr>
            <w:r>
              <w:rPr>
                <w:rFonts w:hint="eastAsia"/>
                <w:b/>
              </w:rPr>
              <w:t>预算执行数</w:t>
            </w:r>
          </w:p>
        </w:tc>
        <w:tc>
          <w:tcPr>
            <w:tcW w:w="4640" w:type="dxa"/>
          </w:tcPr>
          <w:p>
            <w:pPr>
              <w:widowControl/>
              <w:jc w:val="center"/>
              <w:rPr>
                <w:b/>
              </w:rPr>
            </w:pPr>
            <w:r>
              <w:rPr>
                <w:rFonts w:hint="eastAsia"/>
                <w:b/>
              </w:rPr>
              <w:t>预算执行率</w:t>
            </w:r>
          </w:p>
        </w:tc>
        <w:tc>
          <w:tcPr>
            <w:tcW w:w="3540" w:type="dxa"/>
          </w:tcPr>
          <w:p>
            <w:pPr>
              <w:widowControl/>
              <w:jc w:val="center"/>
              <w:rPr>
                <w:b/>
              </w:rPr>
            </w:pPr>
            <w:r>
              <w:rPr>
                <w:rFonts w:hint="eastAsia"/>
                <w:b/>
              </w:rPr>
              <w:t>权重</w:t>
            </w:r>
          </w:p>
        </w:tc>
        <w:tc>
          <w:tcPr>
            <w:tcW w:w="460" w:type="dxa"/>
          </w:tcPr>
          <w:p>
            <w:pPr>
              <w:widowControl/>
              <w:jc w:val="center"/>
              <w:rPr>
                <w:b/>
              </w:rPr>
            </w:pPr>
            <w:r>
              <w:rPr>
                <w:rFonts w:hint="eastAsia"/>
                <w:b/>
              </w:rPr>
              <w:t>得分</w:t>
            </w:r>
          </w:p>
        </w:tc>
        <w:tc>
          <w:tcPr>
            <w:tcW w:w="2560" w:type="dxa"/>
          </w:tcPr>
          <w:p>
            <w:pPr>
              <w:widowControl/>
              <w:jc w:val="center"/>
              <w:rPr>
                <w:b/>
              </w:rPr>
            </w:pPr>
            <w:r>
              <w:rPr>
                <w:rFonts w:hint="eastAsia"/>
                <w:b/>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00" w:type="dxa"/>
            <w:vMerge w:val="continue"/>
          </w:tcPr>
          <w:p>
            <w:pPr>
              <w:widowControl/>
              <w:jc w:val="center"/>
              <w:rPr>
                <w:b/>
              </w:rPr>
            </w:pPr>
          </w:p>
        </w:tc>
        <w:tc>
          <w:tcPr>
            <w:tcW w:w="300" w:type="dxa"/>
          </w:tcPr>
          <w:p>
            <w:pPr>
              <w:widowControl/>
              <w:jc w:val="center"/>
              <w:rPr>
                <w:b/>
              </w:rPr>
            </w:pPr>
            <w:r>
              <w:rPr>
                <w:rFonts w:hint="eastAsia"/>
                <w:b/>
              </w:rPr>
              <w:t>总额</w:t>
            </w:r>
          </w:p>
        </w:tc>
        <w:tc>
          <w:tcPr>
            <w:tcW w:w="11700" w:type="dxa"/>
          </w:tcPr>
          <w:p>
            <w:pPr>
              <w:widowControl/>
              <w:jc w:val="center"/>
              <w:rPr>
                <w:b/>
              </w:rPr>
            </w:pPr>
            <w:r>
              <w:rPr>
                <w:rFonts w:hint="eastAsia"/>
                <w:b/>
              </w:rPr>
              <w:t>187.70</w:t>
            </w:r>
          </w:p>
        </w:tc>
        <w:tc>
          <w:tcPr>
            <w:tcW w:w="2260" w:type="dxa"/>
          </w:tcPr>
          <w:p>
            <w:pPr>
              <w:widowControl/>
              <w:jc w:val="center"/>
              <w:rPr>
                <w:b/>
              </w:rPr>
            </w:pPr>
            <w:r>
              <w:rPr>
                <w:rFonts w:hint="eastAsia"/>
                <w:b/>
              </w:rPr>
              <w:t>187.70</w:t>
            </w:r>
          </w:p>
        </w:tc>
        <w:tc>
          <w:tcPr>
            <w:tcW w:w="4920" w:type="dxa"/>
            <w:gridSpan w:val="3"/>
          </w:tcPr>
          <w:p>
            <w:pPr>
              <w:widowControl/>
              <w:jc w:val="center"/>
              <w:rPr>
                <w:b/>
              </w:rPr>
            </w:pPr>
            <w:r>
              <w:rPr>
                <w:rFonts w:hint="eastAsia"/>
                <w:b/>
              </w:rPr>
              <w:t>187.70</w:t>
            </w:r>
          </w:p>
        </w:tc>
        <w:tc>
          <w:tcPr>
            <w:tcW w:w="4640" w:type="dxa"/>
          </w:tcPr>
          <w:p>
            <w:pPr>
              <w:widowControl/>
              <w:jc w:val="center"/>
              <w:rPr>
                <w:b/>
              </w:rPr>
            </w:pPr>
            <w:r>
              <w:rPr>
                <w:rFonts w:hint="eastAsia"/>
                <w:b/>
              </w:rPr>
              <w:t>100.00%</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vMerge w:val="restart"/>
          </w:tcPr>
          <w:p>
            <w:pPr>
              <w:widowControl/>
              <w:jc w:val="center"/>
              <w:rPr>
                <w:b/>
                <w:i/>
                <w:iCs/>
              </w:rPr>
            </w:pPr>
            <w:r>
              <w:rPr>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00" w:type="dxa"/>
            <w:vMerge w:val="continue"/>
          </w:tcPr>
          <w:p>
            <w:pPr>
              <w:widowControl/>
              <w:jc w:val="center"/>
              <w:rPr>
                <w:b/>
              </w:rPr>
            </w:pPr>
          </w:p>
        </w:tc>
        <w:tc>
          <w:tcPr>
            <w:tcW w:w="300" w:type="dxa"/>
          </w:tcPr>
          <w:p>
            <w:pPr>
              <w:widowControl/>
              <w:jc w:val="center"/>
              <w:rPr>
                <w:b/>
              </w:rPr>
            </w:pPr>
            <w:r>
              <w:rPr>
                <w:rFonts w:hint="eastAsia"/>
                <w:b/>
              </w:rPr>
              <w:t>其中：财政资金</w:t>
            </w:r>
          </w:p>
        </w:tc>
        <w:tc>
          <w:tcPr>
            <w:tcW w:w="11700" w:type="dxa"/>
          </w:tcPr>
          <w:p>
            <w:pPr>
              <w:widowControl/>
              <w:jc w:val="center"/>
              <w:rPr>
                <w:b/>
              </w:rPr>
            </w:pPr>
            <w:r>
              <w:rPr>
                <w:rFonts w:hint="eastAsia"/>
                <w:b/>
              </w:rPr>
              <w:t>187.70</w:t>
            </w:r>
          </w:p>
        </w:tc>
        <w:tc>
          <w:tcPr>
            <w:tcW w:w="2260" w:type="dxa"/>
          </w:tcPr>
          <w:p>
            <w:pPr>
              <w:widowControl/>
              <w:jc w:val="center"/>
              <w:rPr>
                <w:b/>
              </w:rPr>
            </w:pPr>
            <w:r>
              <w:rPr>
                <w:rFonts w:hint="eastAsia"/>
                <w:b/>
              </w:rPr>
              <w:t>187.70</w:t>
            </w:r>
          </w:p>
        </w:tc>
        <w:tc>
          <w:tcPr>
            <w:tcW w:w="4920" w:type="dxa"/>
            <w:gridSpan w:val="3"/>
          </w:tcPr>
          <w:p>
            <w:pPr>
              <w:widowControl/>
              <w:jc w:val="center"/>
              <w:rPr>
                <w:b/>
              </w:rPr>
            </w:pPr>
            <w:r>
              <w:rPr>
                <w:rFonts w:hint="eastAsia"/>
                <w:b/>
              </w:rPr>
              <w:t>187.70</w:t>
            </w:r>
          </w:p>
        </w:tc>
        <w:tc>
          <w:tcPr>
            <w:tcW w:w="4640" w:type="dxa"/>
          </w:tcPr>
          <w:p>
            <w:pPr>
              <w:widowControl/>
              <w:jc w:val="center"/>
              <w:rPr>
                <w:b/>
              </w:rPr>
            </w:pPr>
            <w:r>
              <w:rPr>
                <w:rFonts w:hint="eastAsia"/>
                <w:b/>
              </w:rPr>
              <w:t>100.00%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00" w:type="dxa"/>
            <w:vMerge w:val="continue"/>
          </w:tcPr>
          <w:p>
            <w:pPr>
              <w:widowControl/>
              <w:jc w:val="center"/>
              <w:rPr>
                <w:b/>
              </w:rPr>
            </w:pPr>
          </w:p>
        </w:tc>
        <w:tc>
          <w:tcPr>
            <w:tcW w:w="300" w:type="dxa"/>
          </w:tcPr>
          <w:p>
            <w:pPr>
              <w:widowControl/>
              <w:jc w:val="center"/>
              <w:rPr>
                <w:b/>
              </w:rPr>
            </w:pPr>
            <w:r>
              <w:rPr>
                <w:rFonts w:hint="eastAsia"/>
                <w:b/>
              </w:rPr>
              <w:t>财政专户管理资金</w:t>
            </w:r>
          </w:p>
        </w:tc>
        <w:tc>
          <w:tcPr>
            <w:tcW w:w="11700" w:type="dxa"/>
          </w:tcPr>
          <w:p>
            <w:pPr>
              <w:widowControl/>
              <w:jc w:val="center"/>
              <w:rPr>
                <w:b/>
              </w:rPr>
            </w:pPr>
            <w:r>
              <w:rPr>
                <w:rFonts w:hint="eastAsia"/>
                <w:b/>
              </w:rPr>
              <w:t>0.00</w:t>
            </w:r>
          </w:p>
        </w:tc>
        <w:tc>
          <w:tcPr>
            <w:tcW w:w="2260" w:type="dxa"/>
          </w:tcPr>
          <w:p>
            <w:pPr>
              <w:widowControl/>
              <w:jc w:val="center"/>
              <w:rPr>
                <w:b/>
              </w:rPr>
            </w:pPr>
            <w:r>
              <w:rPr>
                <w:rFonts w:hint="eastAsia"/>
                <w:b/>
              </w:rPr>
              <w:t>0.00</w:t>
            </w:r>
          </w:p>
        </w:tc>
        <w:tc>
          <w:tcPr>
            <w:tcW w:w="4920" w:type="dxa"/>
            <w:gridSpan w:val="3"/>
          </w:tcPr>
          <w:p>
            <w:pPr>
              <w:widowControl/>
              <w:jc w:val="center"/>
              <w:rPr>
                <w:b/>
              </w:rPr>
            </w:pPr>
            <w:r>
              <w:rPr>
                <w:rFonts w:hint="eastAsia"/>
                <w:b/>
              </w:rPr>
              <w:t>0.00</w:t>
            </w:r>
          </w:p>
        </w:tc>
        <w:tc>
          <w:tcPr>
            <w:tcW w:w="4640" w:type="dxa"/>
          </w:tcPr>
          <w:p>
            <w:pPr>
              <w:widowControl/>
              <w:jc w:val="center"/>
              <w:rPr>
                <w:b/>
              </w:rPr>
            </w:pPr>
            <w:r>
              <w:rPr>
                <w:rFonts w:hint="eastAsia"/>
                <w:b/>
              </w:rPr>
              <w:t>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continue"/>
          </w:tcPr>
          <w:p>
            <w:pPr>
              <w:widowControl/>
              <w:jc w:val="center"/>
              <w:rPr>
                <w:b/>
              </w:rPr>
            </w:pPr>
          </w:p>
        </w:tc>
        <w:tc>
          <w:tcPr>
            <w:tcW w:w="300" w:type="dxa"/>
          </w:tcPr>
          <w:p>
            <w:pPr>
              <w:widowControl/>
              <w:jc w:val="center"/>
              <w:rPr>
                <w:b/>
              </w:rPr>
            </w:pPr>
            <w:r>
              <w:rPr>
                <w:rFonts w:hint="eastAsia"/>
                <w:b/>
              </w:rPr>
              <w:t>单位资金</w:t>
            </w:r>
          </w:p>
        </w:tc>
        <w:tc>
          <w:tcPr>
            <w:tcW w:w="11700" w:type="dxa"/>
          </w:tcPr>
          <w:p>
            <w:pPr>
              <w:widowControl/>
              <w:jc w:val="center"/>
              <w:rPr>
                <w:b/>
              </w:rPr>
            </w:pPr>
            <w:r>
              <w:rPr>
                <w:rFonts w:hint="eastAsia"/>
                <w:b/>
              </w:rPr>
              <w:t>0.00</w:t>
            </w:r>
          </w:p>
        </w:tc>
        <w:tc>
          <w:tcPr>
            <w:tcW w:w="2260" w:type="dxa"/>
          </w:tcPr>
          <w:p>
            <w:pPr>
              <w:widowControl/>
              <w:jc w:val="center"/>
              <w:rPr>
                <w:b/>
              </w:rPr>
            </w:pPr>
            <w:r>
              <w:rPr>
                <w:rFonts w:hint="eastAsia"/>
                <w:b/>
              </w:rPr>
              <w:t>0.00</w:t>
            </w:r>
          </w:p>
        </w:tc>
        <w:tc>
          <w:tcPr>
            <w:tcW w:w="4920" w:type="dxa"/>
            <w:gridSpan w:val="3"/>
          </w:tcPr>
          <w:p>
            <w:pPr>
              <w:widowControl/>
              <w:jc w:val="center"/>
              <w:rPr>
                <w:b/>
              </w:rPr>
            </w:pPr>
            <w:r>
              <w:rPr>
                <w:rFonts w:hint="eastAsia"/>
                <w:b/>
              </w:rPr>
              <w:t>0.00</w:t>
            </w:r>
          </w:p>
        </w:tc>
        <w:tc>
          <w:tcPr>
            <w:tcW w:w="4640" w:type="dxa"/>
          </w:tcPr>
          <w:p>
            <w:pPr>
              <w:widowControl/>
              <w:jc w:val="center"/>
              <w:rPr>
                <w:b/>
              </w:rPr>
            </w:pPr>
            <w:r>
              <w:rPr>
                <w:rFonts w:hint="eastAsia"/>
                <w:b/>
              </w:rPr>
              <w:t>0.00%</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tcPr>
          <w:p>
            <w:pPr>
              <w:widowControl/>
              <w:jc w:val="center"/>
              <w:rPr>
                <w:b/>
              </w:rPr>
            </w:pPr>
            <w:r>
              <w:rPr>
                <w:rFonts w:hint="eastAsia"/>
                <w:b/>
              </w:rPr>
              <w:t>其他资金</w:t>
            </w:r>
          </w:p>
        </w:tc>
        <w:tc>
          <w:tcPr>
            <w:tcW w:w="11700" w:type="dxa"/>
          </w:tcPr>
          <w:p>
            <w:pPr>
              <w:widowControl/>
              <w:jc w:val="center"/>
              <w:rPr>
                <w:b/>
                <w:i/>
                <w:iCs/>
              </w:rPr>
            </w:pPr>
            <w:r>
              <w:rPr>
                <w:rFonts w:hint="eastAsia"/>
                <w:b/>
                <w:i/>
                <w:iCs/>
              </w:rPr>
              <w:t>　</w:t>
            </w:r>
          </w:p>
        </w:tc>
        <w:tc>
          <w:tcPr>
            <w:tcW w:w="2260" w:type="dxa"/>
          </w:tcPr>
          <w:p>
            <w:pPr>
              <w:widowControl/>
              <w:jc w:val="center"/>
              <w:rPr>
                <w:b/>
                <w:i/>
                <w:iCs/>
              </w:rPr>
            </w:pPr>
            <w:r>
              <w:rPr>
                <w:rFonts w:hint="eastAsia"/>
                <w:b/>
                <w:i/>
                <w:iCs/>
              </w:rPr>
              <w:t>　</w:t>
            </w:r>
          </w:p>
        </w:tc>
        <w:tc>
          <w:tcPr>
            <w:tcW w:w="4920" w:type="dxa"/>
            <w:gridSpan w:val="3"/>
          </w:tcPr>
          <w:p>
            <w:pPr>
              <w:widowControl/>
              <w:jc w:val="center"/>
              <w:rPr>
                <w:b/>
                <w:i/>
                <w:iCs/>
              </w:rPr>
            </w:pPr>
            <w:r>
              <w:rPr>
                <w:rFonts w:hint="eastAsia"/>
                <w:b/>
                <w:i/>
                <w:iCs/>
              </w:rPr>
              <w:t>　</w:t>
            </w:r>
          </w:p>
        </w:tc>
        <w:tc>
          <w:tcPr>
            <w:tcW w:w="4640" w:type="dxa"/>
          </w:tcPr>
          <w:p>
            <w:pPr>
              <w:widowControl/>
              <w:jc w:val="center"/>
              <w:rPr>
                <w:b/>
                <w:i/>
                <w:iCs/>
              </w:rPr>
            </w:pPr>
            <w:r>
              <w:rPr>
                <w:rFonts w:hint="eastAsia"/>
                <w:b/>
                <w:i/>
                <w:iCs/>
              </w:rPr>
              <w:t>　</w:t>
            </w:r>
          </w:p>
        </w:tc>
        <w:tc>
          <w:tcPr>
            <w:tcW w:w="3540" w:type="dxa"/>
          </w:tcPr>
          <w:p>
            <w:pPr>
              <w:widowControl/>
              <w:jc w:val="center"/>
              <w:rPr>
                <w:b/>
              </w:rPr>
            </w:pPr>
            <w:r>
              <w:rPr>
                <w:rFonts w:hint="eastAsia"/>
                <w:b/>
              </w:rPr>
              <w:t>/</w:t>
            </w:r>
          </w:p>
        </w:tc>
        <w:tc>
          <w:tcPr>
            <w:tcW w:w="460" w:type="dxa"/>
          </w:tcPr>
          <w:p>
            <w:pPr>
              <w:widowControl/>
              <w:jc w:val="center"/>
              <w:rPr>
                <w:b/>
              </w:rPr>
            </w:pPr>
            <w:r>
              <w:rPr>
                <w:rFonts w:hint="eastAsia"/>
                <w:b/>
              </w:rPr>
              <w:t>/</w:t>
            </w:r>
          </w:p>
        </w:tc>
        <w:tc>
          <w:tcPr>
            <w:tcW w:w="2560" w:type="dxa"/>
            <w:vMerge w:val="continue"/>
          </w:tcPr>
          <w:p>
            <w:pPr>
              <w:widowControl/>
              <w:jc w:val="center"/>
              <w:rPr>
                <w:b/>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restart"/>
          </w:tcPr>
          <w:p>
            <w:pPr>
              <w:widowControl/>
              <w:jc w:val="center"/>
              <w:rPr>
                <w:b/>
              </w:rPr>
            </w:pPr>
            <w:r>
              <w:rPr>
                <w:rFonts w:hint="eastAsia"/>
                <w:b/>
              </w:rPr>
              <w:t>绩效指标（90分）</w:t>
            </w:r>
          </w:p>
        </w:tc>
        <w:tc>
          <w:tcPr>
            <w:tcW w:w="300" w:type="dxa"/>
          </w:tcPr>
          <w:p>
            <w:pPr>
              <w:widowControl/>
              <w:jc w:val="center"/>
              <w:rPr>
                <w:b/>
              </w:rPr>
            </w:pPr>
            <w:r>
              <w:rPr>
                <w:rFonts w:hint="eastAsia"/>
                <w:b/>
              </w:rPr>
              <w:t>一级指标</w:t>
            </w:r>
          </w:p>
        </w:tc>
        <w:tc>
          <w:tcPr>
            <w:tcW w:w="11700" w:type="dxa"/>
          </w:tcPr>
          <w:p>
            <w:pPr>
              <w:widowControl/>
              <w:jc w:val="center"/>
              <w:rPr>
                <w:b/>
              </w:rPr>
            </w:pPr>
            <w:r>
              <w:rPr>
                <w:rFonts w:hint="eastAsia"/>
                <w:b/>
              </w:rPr>
              <w:t>二级指标</w:t>
            </w:r>
          </w:p>
        </w:tc>
        <w:tc>
          <w:tcPr>
            <w:tcW w:w="2260" w:type="dxa"/>
          </w:tcPr>
          <w:p>
            <w:pPr>
              <w:widowControl/>
              <w:jc w:val="center"/>
              <w:rPr>
                <w:b/>
              </w:rPr>
            </w:pPr>
            <w:r>
              <w:rPr>
                <w:rFonts w:hint="eastAsia"/>
                <w:b/>
              </w:rPr>
              <w:t>三级指标</w:t>
            </w:r>
          </w:p>
        </w:tc>
        <w:tc>
          <w:tcPr>
            <w:tcW w:w="2720" w:type="dxa"/>
          </w:tcPr>
          <w:p>
            <w:pPr>
              <w:widowControl/>
              <w:jc w:val="center"/>
              <w:rPr>
                <w:b/>
              </w:rPr>
            </w:pPr>
            <w:r>
              <w:rPr>
                <w:rFonts w:hint="eastAsia"/>
                <w:b/>
              </w:rPr>
              <w:t>指标性质</w:t>
            </w:r>
          </w:p>
        </w:tc>
        <w:tc>
          <w:tcPr>
            <w:tcW w:w="1680" w:type="dxa"/>
          </w:tcPr>
          <w:p>
            <w:pPr>
              <w:widowControl/>
              <w:jc w:val="center"/>
              <w:rPr>
                <w:b/>
              </w:rPr>
            </w:pPr>
            <w:r>
              <w:rPr>
                <w:rFonts w:hint="eastAsia"/>
                <w:b/>
              </w:rPr>
              <w:t>指标值</w:t>
            </w:r>
          </w:p>
        </w:tc>
        <w:tc>
          <w:tcPr>
            <w:tcW w:w="520" w:type="dxa"/>
          </w:tcPr>
          <w:p>
            <w:pPr>
              <w:widowControl/>
              <w:jc w:val="center"/>
              <w:rPr>
                <w:b/>
              </w:rPr>
            </w:pPr>
            <w:r>
              <w:rPr>
                <w:rFonts w:hint="eastAsia"/>
                <w:b/>
              </w:rPr>
              <w:t>度量单位</w:t>
            </w:r>
          </w:p>
        </w:tc>
        <w:tc>
          <w:tcPr>
            <w:tcW w:w="4640" w:type="dxa"/>
          </w:tcPr>
          <w:p>
            <w:pPr>
              <w:widowControl/>
              <w:jc w:val="center"/>
              <w:rPr>
                <w:b/>
              </w:rPr>
            </w:pPr>
            <w:r>
              <w:rPr>
                <w:rFonts w:hint="eastAsia"/>
                <w:b/>
              </w:rPr>
              <w:t>完成值</w:t>
            </w:r>
          </w:p>
        </w:tc>
        <w:tc>
          <w:tcPr>
            <w:tcW w:w="3540" w:type="dxa"/>
          </w:tcPr>
          <w:p>
            <w:pPr>
              <w:widowControl/>
              <w:jc w:val="center"/>
              <w:rPr>
                <w:b/>
              </w:rPr>
            </w:pPr>
            <w:r>
              <w:rPr>
                <w:rFonts w:hint="eastAsia"/>
                <w:b/>
              </w:rPr>
              <w:t>权重</w:t>
            </w:r>
          </w:p>
        </w:tc>
        <w:tc>
          <w:tcPr>
            <w:tcW w:w="460" w:type="dxa"/>
          </w:tcPr>
          <w:p>
            <w:pPr>
              <w:widowControl/>
              <w:jc w:val="center"/>
              <w:rPr>
                <w:b/>
              </w:rPr>
            </w:pPr>
            <w:r>
              <w:rPr>
                <w:rFonts w:hint="eastAsia"/>
                <w:b/>
              </w:rPr>
              <w:t>得分</w:t>
            </w:r>
          </w:p>
        </w:tc>
        <w:tc>
          <w:tcPr>
            <w:tcW w:w="2560" w:type="dxa"/>
          </w:tcPr>
          <w:p>
            <w:pPr>
              <w:widowControl/>
              <w:jc w:val="center"/>
              <w:rPr>
                <w:b/>
              </w:rPr>
            </w:pPr>
            <w:r>
              <w:rPr>
                <w:rFonts w:hint="eastAsia"/>
                <w:b/>
              </w:rPr>
              <w:t>未完成原因分析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vMerge w:val="restart"/>
          </w:tcPr>
          <w:p>
            <w:pPr>
              <w:widowControl/>
              <w:jc w:val="center"/>
              <w:rPr>
                <w:b/>
              </w:rPr>
            </w:pPr>
            <w:r>
              <w:rPr>
                <w:rFonts w:hint="eastAsia"/>
                <w:b/>
              </w:rPr>
              <w:t>产出指标</w:t>
            </w:r>
          </w:p>
        </w:tc>
        <w:tc>
          <w:tcPr>
            <w:tcW w:w="11700" w:type="dxa"/>
          </w:tcPr>
          <w:p>
            <w:pPr>
              <w:widowControl/>
              <w:jc w:val="center"/>
              <w:rPr>
                <w:b/>
              </w:rPr>
            </w:pPr>
            <w:r>
              <w:rPr>
                <w:rFonts w:hint="eastAsia"/>
                <w:b/>
              </w:rPr>
              <w:t>数量指标</w:t>
            </w:r>
          </w:p>
        </w:tc>
        <w:tc>
          <w:tcPr>
            <w:tcW w:w="2260" w:type="dxa"/>
          </w:tcPr>
          <w:p>
            <w:pPr>
              <w:widowControl/>
              <w:jc w:val="center"/>
              <w:rPr>
                <w:b/>
              </w:rPr>
            </w:pPr>
            <w:r>
              <w:rPr>
                <w:rFonts w:hint="eastAsia"/>
                <w:b/>
              </w:rPr>
              <w:t>节假日加班人次</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80</w:t>
            </w:r>
          </w:p>
        </w:tc>
        <w:tc>
          <w:tcPr>
            <w:tcW w:w="520" w:type="dxa"/>
          </w:tcPr>
          <w:p>
            <w:pPr>
              <w:widowControl/>
              <w:jc w:val="center"/>
              <w:rPr>
                <w:b/>
              </w:rPr>
            </w:pPr>
            <w:r>
              <w:rPr>
                <w:rFonts w:hint="eastAsia"/>
                <w:b/>
              </w:rPr>
              <w:t>人次</w:t>
            </w:r>
          </w:p>
        </w:tc>
        <w:tc>
          <w:tcPr>
            <w:tcW w:w="4640" w:type="dxa"/>
          </w:tcPr>
          <w:p>
            <w:pPr>
              <w:widowControl/>
              <w:jc w:val="center"/>
              <w:rPr>
                <w:b/>
                <w:i/>
                <w:iCs/>
              </w:rPr>
            </w:pPr>
            <w:r>
              <w:rPr>
                <w:rFonts w:hint="eastAsia"/>
                <w:b/>
                <w:i/>
                <w:iCs/>
              </w:rPr>
              <w:t>200</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vMerge w:val="continue"/>
          </w:tcPr>
          <w:p>
            <w:pPr>
              <w:widowControl/>
              <w:jc w:val="center"/>
              <w:rPr>
                <w:b/>
              </w:rPr>
            </w:pPr>
          </w:p>
        </w:tc>
        <w:tc>
          <w:tcPr>
            <w:tcW w:w="11700" w:type="dxa"/>
          </w:tcPr>
          <w:p>
            <w:pPr>
              <w:widowControl/>
              <w:jc w:val="center"/>
              <w:rPr>
                <w:b/>
              </w:rPr>
            </w:pPr>
            <w:r>
              <w:rPr>
                <w:rFonts w:hint="eastAsia"/>
                <w:b/>
              </w:rPr>
              <w:t>质量指标</w:t>
            </w:r>
          </w:p>
        </w:tc>
        <w:tc>
          <w:tcPr>
            <w:tcW w:w="2260" w:type="dxa"/>
          </w:tcPr>
          <w:p>
            <w:pPr>
              <w:widowControl/>
              <w:jc w:val="center"/>
              <w:rPr>
                <w:b/>
              </w:rPr>
            </w:pPr>
            <w:r>
              <w:rPr>
                <w:rFonts w:hint="eastAsia"/>
                <w:b/>
              </w:rPr>
              <w:t>加班考核合格率</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98</w:t>
            </w:r>
          </w:p>
        </w:tc>
        <w:tc>
          <w:tcPr>
            <w:tcW w:w="520" w:type="dxa"/>
          </w:tcPr>
          <w:p>
            <w:pPr>
              <w:widowControl/>
              <w:jc w:val="center"/>
              <w:rPr>
                <w:b/>
              </w:rPr>
            </w:pPr>
            <w:r>
              <w:rPr>
                <w:rFonts w:hint="eastAsia"/>
                <w:b/>
              </w:rPr>
              <w:t>%</w:t>
            </w:r>
          </w:p>
        </w:tc>
        <w:tc>
          <w:tcPr>
            <w:tcW w:w="4640" w:type="dxa"/>
          </w:tcPr>
          <w:p>
            <w:pPr>
              <w:widowControl/>
              <w:jc w:val="center"/>
              <w:rPr>
                <w:b/>
                <w:i/>
                <w:iCs/>
              </w:rPr>
            </w:pPr>
            <w:r>
              <w:rPr>
                <w:rFonts w:hint="eastAsia"/>
                <w:b/>
                <w:i/>
                <w:iCs/>
              </w:rPr>
              <w:t>98%</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rPr>
            </w:pPr>
          </w:p>
        </w:tc>
        <w:tc>
          <w:tcPr>
            <w:tcW w:w="300" w:type="dxa"/>
            <w:vMerge w:val="continue"/>
          </w:tcPr>
          <w:p>
            <w:pPr>
              <w:widowControl/>
              <w:jc w:val="center"/>
              <w:rPr>
                <w:b/>
              </w:rPr>
            </w:pPr>
          </w:p>
        </w:tc>
        <w:tc>
          <w:tcPr>
            <w:tcW w:w="11700" w:type="dxa"/>
          </w:tcPr>
          <w:p>
            <w:pPr>
              <w:widowControl/>
              <w:jc w:val="center"/>
              <w:rPr>
                <w:b/>
              </w:rPr>
            </w:pPr>
            <w:r>
              <w:rPr>
                <w:rFonts w:hint="eastAsia"/>
                <w:b/>
              </w:rPr>
              <w:t>时效指标</w:t>
            </w:r>
          </w:p>
        </w:tc>
        <w:tc>
          <w:tcPr>
            <w:tcW w:w="2260" w:type="dxa"/>
          </w:tcPr>
          <w:p>
            <w:pPr>
              <w:widowControl/>
              <w:jc w:val="center"/>
              <w:rPr>
                <w:b/>
              </w:rPr>
            </w:pPr>
            <w:r>
              <w:rPr>
                <w:rFonts w:hint="eastAsia"/>
                <w:b/>
              </w:rPr>
              <w:t>完成时间</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1</w:t>
            </w:r>
          </w:p>
        </w:tc>
        <w:tc>
          <w:tcPr>
            <w:tcW w:w="520" w:type="dxa"/>
          </w:tcPr>
          <w:p>
            <w:pPr>
              <w:widowControl/>
              <w:jc w:val="center"/>
              <w:rPr>
                <w:b/>
              </w:rPr>
            </w:pPr>
            <w:r>
              <w:rPr>
                <w:rFonts w:hint="eastAsia"/>
                <w:b/>
              </w:rPr>
              <w:t>年</w:t>
            </w:r>
          </w:p>
        </w:tc>
        <w:tc>
          <w:tcPr>
            <w:tcW w:w="4640" w:type="dxa"/>
          </w:tcPr>
          <w:p>
            <w:pPr>
              <w:widowControl/>
              <w:jc w:val="center"/>
              <w:rPr>
                <w:b/>
                <w:i/>
                <w:iCs/>
              </w:rPr>
            </w:pPr>
            <w:r>
              <w:rPr>
                <w:rFonts w:hint="eastAsia"/>
                <w:b/>
                <w:i/>
                <w:iCs/>
              </w:rPr>
              <w:t>1</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rPr>
            </w:pPr>
          </w:p>
        </w:tc>
        <w:tc>
          <w:tcPr>
            <w:tcW w:w="300" w:type="dxa"/>
          </w:tcPr>
          <w:p>
            <w:pPr>
              <w:widowControl/>
              <w:jc w:val="center"/>
              <w:rPr>
                <w:b/>
              </w:rPr>
            </w:pPr>
            <w:r>
              <w:rPr>
                <w:rFonts w:hint="eastAsia"/>
                <w:b/>
              </w:rPr>
              <w:t>效益指标</w:t>
            </w:r>
          </w:p>
        </w:tc>
        <w:tc>
          <w:tcPr>
            <w:tcW w:w="11700" w:type="dxa"/>
          </w:tcPr>
          <w:p>
            <w:pPr>
              <w:widowControl/>
              <w:jc w:val="center"/>
              <w:rPr>
                <w:b/>
              </w:rPr>
            </w:pPr>
            <w:r>
              <w:rPr>
                <w:rFonts w:hint="eastAsia"/>
                <w:b/>
              </w:rPr>
              <w:t>社会效益指标</w:t>
            </w:r>
          </w:p>
        </w:tc>
        <w:tc>
          <w:tcPr>
            <w:tcW w:w="2260" w:type="dxa"/>
          </w:tcPr>
          <w:p>
            <w:pPr>
              <w:widowControl/>
              <w:jc w:val="center"/>
              <w:rPr>
                <w:b/>
              </w:rPr>
            </w:pPr>
            <w:r>
              <w:rPr>
                <w:rFonts w:hint="eastAsia"/>
                <w:b/>
              </w:rPr>
              <w:t>缓堵保畅，净化道路交通环境</w:t>
            </w:r>
          </w:p>
        </w:tc>
        <w:tc>
          <w:tcPr>
            <w:tcW w:w="2720" w:type="dxa"/>
          </w:tcPr>
          <w:p>
            <w:pPr>
              <w:widowControl/>
              <w:jc w:val="center"/>
              <w:rPr>
                <w:b/>
              </w:rPr>
            </w:pPr>
            <w:r>
              <w:rPr>
                <w:rFonts w:hint="eastAsia"/>
                <w:b/>
              </w:rPr>
              <w:t>定性</w:t>
            </w:r>
          </w:p>
        </w:tc>
        <w:tc>
          <w:tcPr>
            <w:tcW w:w="1680" w:type="dxa"/>
          </w:tcPr>
          <w:p>
            <w:pPr>
              <w:widowControl/>
              <w:jc w:val="center"/>
              <w:rPr>
                <w:b/>
              </w:rPr>
            </w:pPr>
            <w:r>
              <w:rPr>
                <w:rFonts w:hint="eastAsia"/>
                <w:b/>
              </w:rPr>
              <w:t>优</w:t>
            </w:r>
          </w:p>
        </w:tc>
        <w:tc>
          <w:tcPr>
            <w:tcW w:w="520" w:type="dxa"/>
          </w:tcPr>
          <w:p>
            <w:pPr>
              <w:widowControl/>
              <w:jc w:val="center"/>
              <w:rPr>
                <w:b/>
              </w:rPr>
            </w:pPr>
            <w:r>
              <w:rPr>
                <w:rFonts w:hint="eastAsia"/>
                <w:b/>
              </w:rPr>
              <w:t>　</w:t>
            </w:r>
          </w:p>
        </w:tc>
        <w:tc>
          <w:tcPr>
            <w:tcW w:w="4640" w:type="dxa"/>
          </w:tcPr>
          <w:p>
            <w:pPr>
              <w:widowControl/>
              <w:jc w:val="center"/>
              <w:rPr>
                <w:b/>
                <w:i/>
                <w:iCs/>
              </w:rPr>
            </w:pPr>
            <w:r>
              <w:rPr>
                <w:rFonts w:hint="eastAsia"/>
                <w:b/>
                <w:i/>
                <w:iCs/>
              </w:rPr>
              <w:t>优</w:t>
            </w:r>
          </w:p>
        </w:tc>
        <w:tc>
          <w:tcPr>
            <w:tcW w:w="3540" w:type="dxa"/>
          </w:tcPr>
          <w:p>
            <w:pPr>
              <w:widowControl/>
              <w:jc w:val="center"/>
              <w:rPr>
                <w:b/>
              </w:rPr>
            </w:pPr>
            <w:r>
              <w:rPr>
                <w:rFonts w:hint="eastAsia"/>
                <w:b/>
              </w:rPr>
              <w:t>20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rPr>
            </w:pPr>
          </w:p>
        </w:tc>
        <w:tc>
          <w:tcPr>
            <w:tcW w:w="300" w:type="dxa"/>
          </w:tcPr>
          <w:p>
            <w:pPr>
              <w:widowControl/>
              <w:jc w:val="center"/>
              <w:rPr>
                <w:b/>
              </w:rPr>
            </w:pPr>
            <w:r>
              <w:rPr>
                <w:rFonts w:hint="eastAsia"/>
                <w:b/>
              </w:rPr>
              <w:t>满意度指标</w:t>
            </w:r>
          </w:p>
        </w:tc>
        <w:tc>
          <w:tcPr>
            <w:tcW w:w="11700" w:type="dxa"/>
          </w:tcPr>
          <w:p>
            <w:pPr>
              <w:widowControl/>
              <w:jc w:val="center"/>
              <w:rPr>
                <w:b/>
              </w:rPr>
            </w:pPr>
            <w:r>
              <w:rPr>
                <w:rFonts w:hint="eastAsia"/>
                <w:b/>
              </w:rPr>
              <w:t>服务对象满意度指标</w:t>
            </w:r>
          </w:p>
        </w:tc>
        <w:tc>
          <w:tcPr>
            <w:tcW w:w="2260" w:type="dxa"/>
          </w:tcPr>
          <w:p>
            <w:pPr>
              <w:widowControl/>
              <w:jc w:val="center"/>
              <w:rPr>
                <w:b/>
              </w:rPr>
            </w:pPr>
            <w:r>
              <w:rPr>
                <w:rFonts w:hint="eastAsia"/>
                <w:b/>
              </w:rPr>
              <w:t>交通参与者</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95</w:t>
            </w:r>
          </w:p>
        </w:tc>
        <w:tc>
          <w:tcPr>
            <w:tcW w:w="520" w:type="dxa"/>
          </w:tcPr>
          <w:p>
            <w:pPr>
              <w:widowControl/>
              <w:jc w:val="center"/>
              <w:rPr>
                <w:b/>
              </w:rPr>
            </w:pPr>
            <w:r>
              <w:rPr>
                <w:rFonts w:hint="eastAsia"/>
                <w:b/>
              </w:rPr>
              <w:t>%</w:t>
            </w:r>
          </w:p>
        </w:tc>
        <w:tc>
          <w:tcPr>
            <w:tcW w:w="4640" w:type="dxa"/>
          </w:tcPr>
          <w:p>
            <w:pPr>
              <w:widowControl/>
              <w:jc w:val="center"/>
              <w:rPr>
                <w:b/>
                <w:i/>
                <w:iCs/>
              </w:rPr>
            </w:pPr>
            <w:r>
              <w:rPr>
                <w:rFonts w:hint="eastAsia"/>
                <w:b/>
                <w:i/>
                <w:iCs/>
              </w:rPr>
              <w:t>95%</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rPr>
            </w:pPr>
          </w:p>
        </w:tc>
        <w:tc>
          <w:tcPr>
            <w:tcW w:w="300" w:type="dxa"/>
          </w:tcPr>
          <w:p>
            <w:pPr>
              <w:widowControl/>
              <w:jc w:val="center"/>
              <w:rPr>
                <w:b/>
              </w:rPr>
            </w:pPr>
            <w:r>
              <w:rPr>
                <w:rFonts w:hint="eastAsia"/>
                <w:b/>
              </w:rPr>
              <w:t>成本指标</w:t>
            </w:r>
          </w:p>
        </w:tc>
        <w:tc>
          <w:tcPr>
            <w:tcW w:w="11700" w:type="dxa"/>
          </w:tcPr>
          <w:p>
            <w:pPr>
              <w:widowControl/>
              <w:jc w:val="center"/>
              <w:rPr>
                <w:b/>
              </w:rPr>
            </w:pPr>
            <w:r>
              <w:rPr>
                <w:rFonts w:hint="eastAsia"/>
                <w:b/>
              </w:rPr>
              <w:t>经济成本指标</w:t>
            </w:r>
          </w:p>
        </w:tc>
        <w:tc>
          <w:tcPr>
            <w:tcW w:w="2260" w:type="dxa"/>
          </w:tcPr>
          <w:p>
            <w:pPr>
              <w:widowControl/>
              <w:jc w:val="center"/>
              <w:rPr>
                <w:b/>
              </w:rPr>
            </w:pPr>
            <w:r>
              <w:rPr>
                <w:rFonts w:hint="eastAsia"/>
                <w:b/>
              </w:rPr>
              <w:t>人民警察法定节假日加班费</w:t>
            </w:r>
          </w:p>
        </w:tc>
        <w:tc>
          <w:tcPr>
            <w:tcW w:w="2720" w:type="dxa"/>
          </w:tcPr>
          <w:p>
            <w:pPr>
              <w:widowControl/>
              <w:jc w:val="center"/>
              <w:rPr>
                <w:b/>
              </w:rPr>
            </w:pPr>
            <w:r>
              <w:rPr>
                <w:rFonts w:hint="eastAsia"/>
                <w:b/>
              </w:rPr>
              <w:t>＝</w:t>
            </w:r>
          </w:p>
        </w:tc>
        <w:tc>
          <w:tcPr>
            <w:tcW w:w="1680" w:type="dxa"/>
          </w:tcPr>
          <w:p>
            <w:pPr>
              <w:widowControl/>
              <w:jc w:val="center"/>
              <w:rPr>
                <w:b/>
              </w:rPr>
            </w:pPr>
            <w:r>
              <w:rPr>
                <w:rFonts w:hint="eastAsia"/>
                <w:b/>
              </w:rPr>
              <w:t>187.7</w:t>
            </w:r>
          </w:p>
        </w:tc>
        <w:tc>
          <w:tcPr>
            <w:tcW w:w="520" w:type="dxa"/>
          </w:tcPr>
          <w:p>
            <w:pPr>
              <w:widowControl/>
              <w:jc w:val="center"/>
              <w:rPr>
                <w:b/>
              </w:rPr>
            </w:pPr>
            <w:r>
              <w:rPr>
                <w:rFonts w:hint="eastAsia"/>
                <w:b/>
              </w:rPr>
              <w:t>万元</w:t>
            </w:r>
          </w:p>
        </w:tc>
        <w:tc>
          <w:tcPr>
            <w:tcW w:w="4640" w:type="dxa"/>
          </w:tcPr>
          <w:p>
            <w:pPr>
              <w:widowControl/>
              <w:jc w:val="center"/>
              <w:rPr>
                <w:b/>
                <w:i/>
                <w:iCs/>
              </w:rPr>
            </w:pPr>
            <w:r>
              <w:rPr>
                <w:rFonts w:hint="eastAsia"/>
                <w:b/>
                <w:i/>
                <w:iCs/>
              </w:rPr>
              <w:t>187.7</w:t>
            </w:r>
          </w:p>
        </w:tc>
        <w:tc>
          <w:tcPr>
            <w:tcW w:w="3540" w:type="dxa"/>
          </w:tcPr>
          <w:p>
            <w:pPr>
              <w:widowControl/>
              <w:jc w:val="center"/>
              <w:rPr>
                <w:b/>
              </w:rPr>
            </w:pPr>
            <w:r>
              <w:rPr>
                <w:rFonts w:hint="eastAsia"/>
                <w:b/>
              </w:rPr>
              <w:t>10</w:t>
            </w:r>
          </w:p>
        </w:tc>
        <w:tc>
          <w:tcPr>
            <w:tcW w:w="460" w:type="dxa"/>
          </w:tcPr>
          <w:p>
            <w:pPr>
              <w:widowControl/>
              <w:jc w:val="center"/>
              <w:rPr>
                <w:b/>
              </w:rPr>
            </w:pPr>
            <w:r>
              <w:rPr>
                <w:rFonts w:hint="eastAsia"/>
                <w:b/>
              </w:rPr>
              <w:t>　</w:t>
            </w:r>
          </w:p>
        </w:tc>
        <w:tc>
          <w:tcPr>
            <w:tcW w:w="2560" w:type="dxa"/>
          </w:tcPr>
          <w:p>
            <w:pPr>
              <w:widowControl/>
              <w:jc w:val="center"/>
              <w:rPr>
                <w:b/>
                <w:i/>
                <w:iCs/>
              </w:rPr>
            </w:pPr>
            <w:r>
              <w:rPr>
                <w:rFonts w:hint="eastAsia"/>
                <w:b/>
                <w:i/>
                <w:iC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120" w:type="dxa"/>
            <w:gridSpan w:val="8"/>
          </w:tcPr>
          <w:p>
            <w:pPr>
              <w:widowControl/>
              <w:jc w:val="center"/>
              <w:rPr>
                <w:b/>
              </w:rPr>
            </w:pPr>
            <w:r>
              <w:rPr>
                <w:rFonts w:hint="eastAsia"/>
                <w:b/>
              </w:rPr>
              <w:t>合计</w:t>
            </w:r>
          </w:p>
        </w:tc>
        <w:tc>
          <w:tcPr>
            <w:tcW w:w="3540" w:type="dxa"/>
          </w:tcPr>
          <w:p>
            <w:pPr>
              <w:widowControl/>
              <w:jc w:val="center"/>
              <w:rPr>
                <w:b/>
              </w:rPr>
            </w:pPr>
            <w:r>
              <w:rPr>
                <w:rFonts w:hint="eastAsia"/>
                <w:b/>
              </w:rPr>
              <w:t>100</w:t>
            </w:r>
          </w:p>
        </w:tc>
        <w:tc>
          <w:tcPr>
            <w:tcW w:w="460" w:type="dxa"/>
          </w:tcPr>
          <w:p>
            <w:pPr>
              <w:widowControl/>
              <w:jc w:val="center"/>
              <w:rPr>
                <w:b/>
              </w:rPr>
            </w:pPr>
            <w:r>
              <w:rPr>
                <w:rFonts w:hint="eastAsia"/>
                <w:b/>
              </w:rPr>
              <w:t>　</w:t>
            </w:r>
          </w:p>
        </w:tc>
        <w:tc>
          <w:tcPr>
            <w:tcW w:w="2560" w:type="dxa"/>
          </w:tcPr>
          <w:p>
            <w:pPr>
              <w:widowControl/>
              <w:jc w:val="center"/>
              <w:rPr>
                <w:b/>
              </w:rPr>
            </w:pPr>
            <w:r>
              <w:rPr>
                <w:rFonts w:hint="eastAsia"/>
                <w: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00" w:type="dxa"/>
          </w:tcPr>
          <w:p>
            <w:pPr>
              <w:widowControl/>
              <w:jc w:val="center"/>
              <w:rPr>
                <w:b/>
              </w:rPr>
            </w:pPr>
            <w:r>
              <w:rPr>
                <w:rFonts w:hint="eastAsia"/>
                <w:b/>
              </w:rPr>
              <w:t>评价结论</w:t>
            </w:r>
          </w:p>
        </w:tc>
        <w:tc>
          <w:tcPr>
            <w:tcW w:w="30380" w:type="dxa"/>
            <w:gridSpan w:val="10"/>
          </w:tcPr>
          <w:p>
            <w:pPr>
              <w:widowControl/>
              <w:jc w:val="center"/>
              <w:rPr>
                <w:b/>
                <w:i/>
                <w:iCs/>
              </w:rPr>
            </w:pPr>
            <w:r>
              <w:rPr>
                <w:rFonts w:hint="eastAsia"/>
                <w:b/>
                <w:i/>
                <w:iCs/>
              </w:rPr>
              <w:t>从评价情况来看，项目的预算资金管理科学合理，使用规范，完成了项目的既定目标，达到了预期使用效果，得分是100分。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00" w:type="dxa"/>
          </w:tcPr>
          <w:p>
            <w:pPr>
              <w:widowControl/>
              <w:jc w:val="center"/>
              <w:rPr>
                <w:b/>
              </w:rPr>
            </w:pPr>
            <w:r>
              <w:rPr>
                <w:rFonts w:hint="eastAsia"/>
                <w:b/>
              </w:rPr>
              <w:t>存在问题</w:t>
            </w:r>
          </w:p>
        </w:tc>
        <w:tc>
          <w:tcPr>
            <w:tcW w:w="30380" w:type="dxa"/>
            <w:gridSpan w:val="10"/>
          </w:tcPr>
          <w:p>
            <w:pPr>
              <w:widowControl/>
              <w:jc w:val="center"/>
              <w:rPr>
                <w:b/>
                <w:i/>
                <w:iCs/>
              </w:rPr>
            </w:pPr>
            <w:r>
              <w:rPr>
                <w:rFonts w:hint="eastAsia"/>
                <w:b/>
                <w:i/>
                <w:iCs/>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00" w:type="dxa"/>
          </w:tcPr>
          <w:p>
            <w:pPr>
              <w:widowControl/>
              <w:jc w:val="center"/>
              <w:rPr>
                <w:b/>
              </w:rPr>
            </w:pPr>
            <w:r>
              <w:rPr>
                <w:rFonts w:hint="eastAsia"/>
                <w:b/>
              </w:rPr>
              <w:t>改进措施</w:t>
            </w:r>
          </w:p>
        </w:tc>
        <w:tc>
          <w:tcPr>
            <w:tcW w:w="30380" w:type="dxa"/>
            <w:gridSpan w:val="10"/>
          </w:tcPr>
          <w:p>
            <w:pPr>
              <w:widowControl/>
              <w:jc w:val="center"/>
              <w:rPr>
                <w:b/>
                <w:i/>
                <w:iCs/>
              </w:rPr>
            </w:pPr>
            <w:r>
              <w:rPr>
                <w:rFonts w:hint="eastAsia"/>
                <w:b/>
                <w:i/>
                <w:iCs/>
              </w:rPr>
              <w:t>无。</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pPr>
      <w:r>
        <w:fldChar w:fldCharType="begin"/>
      </w:r>
      <w:r>
        <w:instrText xml:space="preserve"> </w:instrText>
      </w:r>
      <w:r>
        <w:rPr>
          <w:rFonts w:hint="eastAsia"/>
        </w:rPr>
        <w:instrText xml:space="preserve">LINK Excel.Sheet.12 "C:\\Users\\Administrator\\Downloads\\部门预算项目支出绩效自评表(2).xlsx" "自评表!R376C1:R398C11" \a \f 4 \h</w:instrText>
      </w:r>
      <w:r>
        <w:instrText xml:space="preserve">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51080023T000008450533-驾驶人考试考场租赁</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驾驶人考试考场租赁</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项目各项任务均按时完成，2023年，共完成全科目考试15.3万人。</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完成全科目考试人次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15.3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为驾考人员提供符合条件的场地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利用社会资源节约资金</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驾考人员满意度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考场租赁费</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rPr>
          <w:b/>
        </w:rPr>
      </w:pPr>
      <w:r>
        <w:rPr>
          <w:b/>
        </w:rPr>
        <w:fldChar w:fldCharType="end"/>
      </w: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pPr>
      <w:r>
        <w:fldChar w:fldCharType="begin"/>
      </w:r>
      <w:r>
        <w:instrText xml:space="preserve"> </w:instrText>
      </w:r>
      <w:r>
        <w:rPr>
          <w:rFonts w:hint="eastAsia"/>
        </w:rPr>
        <w:instrText xml:space="preserve">LINK Excel.Sheet.12 "C:\\Users\\Administrator\\Downloads\\部门预算项目支出绩效自评表(2).xlsx" "自评表!R490C1:R512C11" \a \f 4 \h</w:instrText>
      </w:r>
      <w:r>
        <w:instrText xml:space="preserve">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51080023T000009717670-特种专业技术用车</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通过购置特种专业技术用车，强化执法效能，维护社会稳定。</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该项目按时按质完成，通过购置特种专业技术用车，强化了应急处置，起到了一定的震慑作用。</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45.27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45.27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92.40%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45.27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45.27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92.40%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购置特种专业技术用车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辆</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强化应急处置</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级</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强化执法效能，维护社会稳定</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级</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车辆使用者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购置特种专业技术用车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49</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45.27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rPr>
          <w:b/>
        </w:rPr>
      </w:pPr>
      <w:r>
        <w:rPr>
          <w:b/>
        </w:rPr>
        <w:fldChar w:fldCharType="end"/>
      </w: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pPr>
      <w:r>
        <w:fldChar w:fldCharType="begin"/>
      </w:r>
      <w:r>
        <w:instrText xml:space="preserve"> LINK Excel.Sheet.12 "C:\\Users\\Administrator\\Downloads\\部门预算项目支出绩效自评表(2).xlsx" "自评表!R515C1:R538C11" \a \f 4 \h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51080023T000009750445-疫情防控财政补助资金</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75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面对多轮疫情冲击，我支队履职尽责，主动作为，连续奋战，圆满完成社会面疫情防控和涉疫人员转运工作。</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疫情防控期间，我支队负责市城区43个执勤点的交通管控，共计投入警力2万余人次，车辆6000余台次，转运市内密接人员120余批次1.8万余人次以及西藏、新疆返广人员190余批次2万余人，严格落实了执勤民警“两点一线”、提及防护等要求，履职尽责，主动作为，连续奋战，圆满完成了社会面疫情防控和涉疫人员转运任务。</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设置执勤管控点</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个</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43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投入执勤警力</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按要求完成转运任务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根据疫情管控时间，按时完成任务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保障群众生命安全，提高群众安全感</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级</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广大群众</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转运产生相关住宿、物资等费用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74.41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r>
        <w:fldChar w:fldCharType="end"/>
      </w:r>
    </w:p>
    <w:p>
      <w:pPr>
        <w:widowControl/>
        <w:jc w:val="left"/>
        <w:rPr>
          <w:rFonts w:ascii="仿宋_GB2312" w:eastAsia="仿宋_GB2312"/>
          <w:sz w:val="32"/>
          <w:szCs w:val="32"/>
        </w:rPr>
        <w:sectPr>
          <w:pgSz w:w="16838" w:h="11906" w:orient="landscape"/>
          <w:pgMar w:top="1800" w:right="1440" w:bottom="1800" w:left="1440" w:header="851" w:footer="992" w:gutter="0"/>
          <w:cols w:space="425" w:num="1"/>
          <w:titlePg/>
          <w:docGrid w:type="lines" w:linePitch="312" w:charSpace="0"/>
        </w:sectPr>
      </w:pPr>
    </w:p>
    <w:p>
      <w:pPr>
        <w:pStyle w:val="23"/>
        <w:spacing w:line="576" w:lineRule="exact"/>
        <w:rPr>
          <w:rFonts w:ascii="黑体" w:hAnsi="宋体" w:eastAsia="黑体"/>
          <w:sz w:val="44"/>
          <w:szCs w:val="44"/>
        </w:rPr>
      </w:pPr>
    </w:p>
    <w:p>
      <w:pPr>
        <w:pStyle w:val="23"/>
        <w:spacing w:line="576" w:lineRule="exact"/>
        <w:ind w:left="640"/>
        <w:jc w:val="center"/>
        <w:rPr>
          <w:rFonts w:ascii="黑体" w:hAnsi="宋体" w:eastAsia="黑体"/>
          <w:sz w:val="44"/>
          <w:szCs w:val="44"/>
        </w:rPr>
      </w:pPr>
      <w:r>
        <w:rPr>
          <w:rFonts w:hint="eastAsia" w:ascii="黑体" w:hAnsi="宋体" w:eastAsia="黑体"/>
          <w:sz w:val="44"/>
          <w:szCs w:val="44"/>
        </w:rPr>
        <w:t>广元市公安局交通警察支队</w:t>
      </w:r>
    </w:p>
    <w:p>
      <w:pPr>
        <w:pStyle w:val="23"/>
        <w:spacing w:line="576" w:lineRule="exact"/>
        <w:ind w:left="640"/>
        <w:jc w:val="center"/>
        <w:rPr>
          <w:rFonts w:ascii="黑体" w:hAnsi="宋体" w:eastAsia="黑体"/>
          <w:sz w:val="44"/>
          <w:szCs w:val="44"/>
        </w:rPr>
      </w:pPr>
      <w:r>
        <w:rPr>
          <w:rFonts w:hint="eastAsia" w:ascii="黑体" w:hAnsi="宋体" w:eastAsia="黑体"/>
          <w:sz w:val="44"/>
          <w:szCs w:val="44"/>
        </w:rPr>
        <w:t>关于202</w:t>
      </w:r>
      <w:r>
        <w:rPr>
          <w:rFonts w:ascii="黑体" w:hAnsi="宋体" w:eastAsia="黑体"/>
          <w:sz w:val="44"/>
          <w:szCs w:val="44"/>
        </w:rPr>
        <w:t>3</w:t>
      </w:r>
      <w:r>
        <w:rPr>
          <w:rFonts w:hint="eastAsia" w:ascii="黑体" w:hAnsi="宋体" w:eastAsia="黑体"/>
          <w:sz w:val="44"/>
          <w:szCs w:val="44"/>
        </w:rPr>
        <w:t>年度交通安全宣传费项目</w:t>
      </w:r>
    </w:p>
    <w:p>
      <w:pPr>
        <w:pStyle w:val="23"/>
        <w:spacing w:line="576" w:lineRule="exact"/>
        <w:ind w:left="640"/>
        <w:jc w:val="center"/>
        <w:rPr>
          <w:rFonts w:ascii="黑体" w:hAnsi="宋体" w:eastAsia="黑体"/>
          <w:sz w:val="44"/>
          <w:szCs w:val="44"/>
        </w:rPr>
      </w:pPr>
      <w:r>
        <w:rPr>
          <w:rFonts w:hint="eastAsia" w:ascii="黑体" w:hAnsi="宋体" w:eastAsia="黑体"/>
          <w:sz w:val="44"/>
          <w:szCs w:val="44"/>
        </w:rPr>
        <w:t>绩效自评报告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30" w:name="_Toc18766"/>
      <w:bookmarkStart w:id="31" w:name="_Toc9162"/>
      <w:r>
        <w:rPr>
          <w:rFonts w:hint="eastAsia" w:ascii="黑体" w:hAnsi="黑体" w:eastAsia="黑体"/>
          <w:sz w:val="32"/>
          <w:szCs w:val="32"/>
        </w:rPr>
        <w:t>一、</w:t>
      </w:r>
      <w:r>
        <w:rPr>
          <w:rFonts w:hint="eastAsia" w:ascii="黑体" w:hAnsi="黑体" w:eastAsia="黑体"/>
          <w:sz w:val="32"/>
          <w:szCs w:val="32"/>
          <w:lang w:val="zh-CN"/>
        </w:rPr>
        <w:t>项目概况</w:t>
      </w:r>
      <w:bookmarkEnd w:id="30"/>
      <w:bookmarkEnd w:id="31"/>
    </w:p>
    <w:p>
      <w:pPr>
        <w:adjustRightInd w:val="0"/>
        <w:snapToGrid w:val="0"/>
        <w:spacing w:line="600" w:lineRule="exact"/>
        <w:ind w:firstLine="642" w:firstLineChars="200"/>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公安机关交通管理部门及其交通警察执行职务时，应当加强道路交通安全法律、法规的宣传，并模范遵守道路交通安全法律、法规。根据《中华人民共和国道路交通安全法》第一章第六条二款“公安机关交通管理部门及其交通警察执行职务时，应当加强道路交通安全法律、法规的宣传，并模范遵守道路交通安全法律、法规。”和“四川省《中华人民共和国道路交通安全法》实施办法”第一章第三条五项“组织开展道路交通安全宣传教育，表彰奖励在道路交通安全工作中有突出贡献的单位与个人。”</w:t>
      </w:r>
    </w:p>
    <w:p>
      <w:pPr>
        <w:adjustRightInd w:val="0"/>
        <w:snapToGrid w:val="0"/>
        <w:spacing w:line="578"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sz w:val="32"/>
          <w:szCs w:val="32"/>
        </w:rPr>
        <w:t>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旨在通过媒体、开展宣传活动等方式提高交通参与者素质，减少交通事故发生率，项目资金主要用于媒体宣传及印刷费用。</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仿宋_GB2312" w:eastAsia="仿宋_GB2312" w:cs="仿宋_GB2312"/>
          <w:kern w:val="0"/>
          <w:sz w:val="32"/>
          <w:szCs w:val="32"/>
          <w:shd w:val="clear" w:color="auto" w:fill="FFFFFF"/>
          <w:lang w:val="zh-CN"/>
        </w:rPr>
        <w:t>项目预算安排20万元，</w:t>
      </w:r>
      <w:r>
        <w:rPr>
          <w:rFonts w:hint="eastAsia" w:ascii="仿宋_GB2312" w:hAnsi="宋体" w:eastAsia="仿宋_GB2312"/>
          <w:sz w:val="32"/>
          <w:szCs w:val="32"/>
          <w:lang w:val="zh-CN"/>
        </w:rPr>
        <w:t>资金分配上主要以电视台、电台、报纸、网络等媒体为主要宣传渠道，另外配合发放宣传资料、开展专项行动等方式，多种渠道和方式进行道路交通安全宣传。</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各项目的差异性，使绩效目标内容完整，细化量化，可操作性强，与预算匹配。支队高度重视项目绩效自查自评工作，成立了以支队长任组长的项目自评领导小组，下设办公室具体负责自评工作，采取调阅资料、现场查看等方式开展自评工作。</w:t>
      </w:r>
    </w:p>
    <w:p>
      <w:pPr>
        <w:adjustRightInd w:val="0"/>
        <w:snapToGrid w:val="0"/>
        <w:spacing w:line="578" w:lineRule="exact"/>
        <w:ind w:firstLine="640" w:firstLineChars="200"/>
        <w:outlineLvl w:val="1"/>
        <w:rPr>
          <w:rFonts w:ascii="黑体" w:hAnsi="黑体" w:eastAsia="黑体"/>
          <w:sz w:val="32"/>
          <w:szCs w:val="32"/>
        </w:rPr>
      </w:pPr>
      <w:bookmarkStart w:id="32" w:name="_Toc99"/>
      <w:bookmarkStart w:id="33" w:name="_Toc610"/>
      <w:r>
        <w:rPr>
          <w:rFonts w:hint="eastAsia" w:ascii="黑体" w:hAnsi="黑体" w:eastAsia="黑体"/>
          <w:sz w:val="32"/>
          <w:szCs w:val="32"/>
        </w:rPr>
        <w:t>二、评价实施</w:t>
      </w:r>
      <w:bookmarkEnd w:id="32"/>
      <w:bookmarkEnd w:id="33"/>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adjustRightInd w:val="0"/>
        <w:snapToGrid w:val="0"/>
        <w:spacing w:line="578" w:lineRule="exact"/>
        <w:ind w:firstLine="642" w:firstLineChars="200"/>
        <w:rPr>
          <w:rFonts w:ascii="仿宋_GB2312" w:hAnsi="仿宋" w:eastAsia="仿宋_GB2312" w:cs="仿宋"/>
          <w:color w:val="000000" w:themeColor="text1"/>
          <w:sz w:val="32"/>
          <w:szCs w:val="32"/>
          <w:lang w:val="zh-CN"/>
          <w14:textFill>
            <w14:solidFill>
              <w14:schemeClr w14:val="tx1"/>
            </w14:solidFill>
          </w14:textFill>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项目实施可能会出现</w:t>
      </w:r>
      <w:r>
        <w:rPr>
          <w:rFonts w:hint="eastAsia" w:ascii="仿宋_GB2312" w:hAnsi="仿宋" w:eastAsia="仿宋_GB2312" w:cs="仿宋"/>
          <w:color w:val="000000" w:themeColor="text1"/>
          <w:sz w:val="32"/>
          <w:szCs w:val="32"/>
          <w:lang w:val="zh-CN"/>
          <w14:textFill>
            <w14:solidFill>
              <w14:schemeClr w14:val="tx1"/>
            </w14:solidFill>
          </w14:textFill>
        </w:rPr>
        <w:t>宣传内容针对性不强、方式单一以及宣传覆盖面不足的情况，评价重点在于对宣传效果的评估。</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hAnsi="宋体" w:eastAsia="仿宋_GB2312"/>
          <w:sz w:val="32"/>
          <w:szCs w:val="32"/>
          <w:lang w:val="zh-CN"/>
        </w:rPr>
        <w:t>通过</w:t>
      </w:r>
      <w:r>
        <w:rPr>
          <w:rFonts w:hint="eastAsia" w:ascii="仿宋_GB2312" w:hAnsi="仿宋" w:eastAsia="仿宋_GB2312" w:cs="仿宋"/>
          <w:color w:val="000000" w:themeColor="text1"/>
          <w:sz w:val="32"/>
          <w:szCs w:val="32"/>
          <w:lang w:val="zh-CN"/>
          <w14:textFill>
            <w14:solidFill>
              <w14:schemeClr w14:val="tx1"/>
            </w14:solidFill>
          </w14:textFill>
        </w:rPr>
        <w:t>检查宣传材料的设计是否新颖独特、是否采用了吸引人的表现形式和传播方式，以及是否结合了现代科技手段如社交媒体、短视频等进行宣传。</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（四）评价方法。</w:t>
      </w:r>
      <w:r>
        <w:rPr>
          <w:rFonts w:hint="eastAsia" w:ascii="仿宋_GB2312" w:eastAsia="仿宋_GB2312"/>
          <w:sz w:val="32"/>
          <w:szCs w:val="32"/>
        </w:rPr>
        <w:t>采取调阅资料的等方式开展自评工作。</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adjustRightInd w:val="0"/>
        <w:snapToGrid w:val="0"/>
        <w:spacing w:line="578" w:lineRule="exact"/>
        <w:ind w:firstLine="640" w:firstLineChars="200"/>
        <w:outlineLvl w:val="1"/>
        <w:rPr>
          <w:rFonts w:ascii="黑体" w:hAnsi="黑体" w:eastAsia="黑体"/>
          <w:sz w:val="32"/>
          <w:szCs w:val="32"/>
          <w:lang w:val="zh-CN"/>
        </w:rPr>
      </w:pPr>
      <w:bookmarkStart w:id="34" w:name="_Toc27830"/>
      <w:bookmarkStart w:id="35" w:name="_Toc13436"/>
      <w:r>
        <w:rPr>
          <w:rFonts w:hint="eastAsia" w:ascii="黑体" w:hAnsi="黑体" w:eastAsia="黑体"/>
          <w:sz w:val="32"/>
          <w:szCs w:val="32"/>
        </w:rPr>
        <w:t>三、绩效分析</w:t>
      </w:r>
      <w:bookmarkEnd w:id="34"/>
      <w:bookmarkEnd w:id="35"/>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楷体_GB2312" w:hAnsi="楷体_GB2312" w:eastAsia="楷体_GB2312" w:cs="楷体_GB2312"/>
          <w:sz w:val="32"/>
          <w:szCs w:val="32"/>
        </w:rPr>
        <w:t>1.项目决策（18分）。</w:t>
      </w:r>
      <w:r>
        <w:rPr>
          <w:rFonts w:hint="eastAsia" w:ascii="仿宋_GB2312" w:hAnsi="楷体" w:eastAsia="仿宋_GB2312"/>
          <w:sz w:val="32"/>
          <w:szCs w:val="32"/>
          <w:lang w:val="zh-CN"/>
        </w:rPr>
        <w:t>该项目由相关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pPr>
        <w:spacing w:line="578" w:lineRule="exact"/>
        <w:ind w:firstLine="640"/>
        <w:rPr>
          <w:rFonts w:ascii="仿宋_GB2312" w:hAnsi="宋体" w:eastAsia="仿宋_GB2312" w:cs="宋体"/>
          <w:kern w:val="0"/>
          <w:sz w:val="32"/>
          <w:szCs w:val="32"/>
        </w:rPr>
      </w:pPr>
      <w:r>
        <w:rPr>
          <w:rFonts w:hint="eastAsia" w:ascii="楷体_GB2312" w:hAnsi="楷体_GB2312" w:eastAsia="楷体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主要用于报纸等媒体宣传及印刷费用。</w:t>
      </w:r>
    </w:p>
    <w:p>
      <w:pPr>
        <w:pStyle w:val="9"/>
        <w:ind w:firstLine="640" w:firstLineChars="200"/>
        <w:rPr>
          <w:rFonts w:ascii="仿宋_GB2312"/>
        </w:rPr>
      </w:pPr>
      <w:r>
        <w:rPr>
          <w:rFonts w:hint="eastAsia" w:ascii="楷体_GB2312" w:hAnsi="楷体_GB2312" w:eastAsia="楷体_GB2312" w:cs="楷体_GB2312"/>
        </w:rPr>
        <w:t>3.项目实施（9分）。</w:t>
      </w:r>
      <w:r>
        <w:rPr>
          <w:rFonts w:hint="eastAsia" w:ascii="仿宋_GB2312" w:hAnsi="宋体"/>
          <w:lang w:val="zh-CN"/>
        </w:rPr>
        <w:t>该项目资金执行率为100%，项目严格按照相关要求进行支付，</w:t>
      </w:r>
      <w:r>
        <w:rPr>
          <w:rFonts w:hint="eastAsia" w:ascii="仿宋_GB2312" w:hAnsi="宋体" w:cs="宋体"/>
          <w:kern w:val="0"/>
        </w:rPr>
        <w:t>狠抓经费“</w:t>
      </w:r>
      <w:r>
        <w:rPr>
          <w:rFonts w:hint="eastAsia" w:ascii="仿宋_GB2312"/>
        </w:rPr>
        <w:t>使用审批”、“预算执行”、“管理监督”三个环节，硬化了预算约束。围绕预算</w:t>
      </w:r>
      <w:r>
        <w:rPr>
          <w:rFonts w:hint="eastAsia" w:ascii="仿宋_GB2312"/>
          <w:lang w:val="zh-CN"/>
        </w:rPr>
        <w:t>执行</w:t>
      </w:r>
      <w:r>
        <w:rPr>
          <w:rFonts w:hint="eastAsia" w:ascii="仿宋_GB2312"/>
        </w:rPr>
        <w:t>、资金使用进行绩效分析。</w:t>
      </w:r>
    </w:p>
    <w:p>
      <w:pPr>
        <w:ind w:firstLine="640" w:firstLineChars="200"/>
        <w:rPr>
          <w:rFonts w:ascii="仿宋_GB2312" w:hAnsi="楷体_GB2312" w:eastAsia="仿宋_GB2312" w:cs="楷体_GB2312"/>
          <w:color w:val="000000" w:themeColor="text1"/>
          <w:sz w:val="32"/>
          <w:szCs w:val="32"/>
          <w:lang w:val="zh-CN"/>
          <w14:textFill>
            <w14:solidFill>
              <w14:schemeClr w14:val="tx1"/>
            </w14:solidFill>
          </w14:textFill>
        </w:rPr>
      </w:pPr>
      <w:r>
        <w:rPr>
          <w:rFonts w:hint="eastAsia" w:ascii="楷体_GB2312" w:hAnsi="楷体_GB2312" w:eastAsia="楷体_GB2312" w:cs="楷体_GB2312"/>
          <w:sz w:val="32"/>
          <w:szCs w:val="32"/>
        </w:rPr>
        <w:t>4.项目结果（9分）。</w:t>
      </w:r>
      <w:r>
        <w:rPr>
          <w:rFonts w:hint="eastAsia" w:ascii="仿宋_GB2312" w:hAnsi="楷体_GB2312" w:eastAsia="仿宋_GB2312" w:cs="楷体_GB2312"/>
          <w:sz w:val="32"/>
          <w:szCs w:val="32"/>
        </w:rPr>
        <w:t>2023年</w:t>
      </w:r>
      <w:r>
        <w:rPr>
          <w:rFonts w:hint="eastAsia" w:ascii="仿宋_GB2312" w:hAnsi="仿宋" w:eastAsia="仿宋_GB2312" w:cs="仿宋"/>
          <w:color w:val="000000" w:themeColor="text1"/>
          <w:sz w:val="32"/>
          <w:szCs w:val="32"/>
          <w:lang w:val="zh-CN"/>
          <w14:textFill>
            <w14:solidFill>
              <w14:schemeClr w14:val="tx1"/>
            </w14:solidFill>
          </w14:textFill>
        </w:rPr>
        <w:t>，共在中央、省、市级报刊刊发稿件</w:t>
      </w:r>
      <w:r>
        <w:rPr>
          <w:rFonts w:hint="eastAsia" w:ascii="仿宋_GB2312" w:hAnsi="仿宋" w:eastAsia="仿宋_GB2312" w:cs="仿宋"/>
          <w:color w:val="000000" w:themeColor="text1"/>
          <w:sz w:val="32"/>
          <w:szCs w:val="32"/>
          <w14:textFill>
            <w14:solidFill>
              <w14:schemeClr w14:val="tx1"/>
            </w14:solidFill>
          </w14:textFill>
        </w:rPr>
        <w:t>64</w:t>
      </w:r>
      <w:r>
        <w:rPr>
          <w:rFonts w:hint="eastAsia" w:ascii="仿宋_GB2312" w:hAnsi="仿宋" w:eastAsia="仿宋_GB2312" w:cs="仿宋"/>
          <w:color w:val="000000" w:themeColor="text1"/>
          <w:sz w:val="32"/>
          <w:szCs w:val="32"/>
          <w:lang w:val="zh-CN"/>
          <w14:textFill>
            <w14:solidFill>
              <w14:schemeClr w14:val="tx1"/>
            </w14:solidFill>
          </w14:textFill>
        </w:rPr>
        <w:t>篇（幅）、在“新媒体”刊发稿件</w:t>
      </w:r>
      <w:r>
        <w:rPr>
          <w:rFonts w:hint="eastAsia" w:ascii="仿宋_GB2312" w:hAnsi="仿宋" w:eastAsia="仿宋_GB2312" w:cs="仿宋"/>
          <w:color w:val="000000" w:themeColor="text1"/>
          <w:sz w:val="32"/>
          <w:szCs w:val="32"/>
          <w14:textFill>
            <w14:solidFill>
              <w14:schemeClr w14:val="tx1"/>
            </w14:solidFill>
          </w14:textFill>
        </w:rPr>
        <w:t>860</w:t>
      </w:r>
      <w:r>
        <w:rPr>
          <w:rFonts w:hint="eastAsia" w:ascii="仿宋_GB2312" w:hAnsi="仿宋" w:eastAsia="仿宋_GB2312" w:cs="仿宋"/>
          <w:color w:val="000000" w:themeColor="text1"/>
          <w:sz w:val="32"/>
          <w:szCs w:val="32"/>
          <w:lang w:val="zh-CN"/>
          <w14:textFill>
            <w14:solidFill>
              <w14:schemeClr w14:val="tx1"/>
            </w14:solidFill>
          </w14:textFill>
        </w:rPr>
        <w:t>多篇、发布节假等重点时段“两公布一提示”</w:t>
      </w:r>
      <w:r>
        <w:rPr>
          <w:rFonts w:hint="eastAsia" w:ascii="仿宋_GB2312" w:hAnsi="仿宋" w:eastAsia="仿宋_GB2312" w:cs="仿宋"/>
          <w:color w:val="000000" w:themeColor="text1"/>
          <w:sz w:val="32"/>
          <w:szCs w:val="32"/>
          <w14:textFill>
            <w14:solidFill>
              <w14:schemeClr w14:val="tx1"/>
            </w14:solidFill>
          </w14:textFill>
        </w:rPr>
        <w:t>36</w:t>
      </w:r>
      <w:r>
        <w:rPr>
          <w:rFonts w:hint="eastAsia" w:ascii="仿宋_GB2312" w:hAnsi="仿宋" w:eastAsia="仿宋_GB2312" w:cs="仿宋"/>
          <w:color w:val="000000" w:themeColor="text1"/>
          <w:sz w:val="32"/>
          <w:szCs w:val="32"/>
          <w:lang w:val="zh-CN"/>
          <w14:textFill>
            <w14:solidFill>
              <w14:schemeClr w14:val="tx1"/>
            </w14:solidFill>
          </w14:textFill>
        </w:rPr>
        <w:t>期，持续开通“广元交警”微信、微博、抖音以及交通广播“交警直播间”，提升了交通安全宣传效能，推动了公安交通管理工作再上台阶。</w:t>
      </w:r>
    </w:p>
    <w:p>
      <w:pPr>
        <w:spacing w:line="578" w:lineRule="exact"/>
        <w:ind w:firstLine="642" w:firstLineChars="200"/>
        <w:rPr>
          <w:rFonts w:ascii="仿宋_GB2312" w:hAnsi="楷体_GB2312" w:eastAsia="仿宋_GB2312" w:cs="楷体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行政运转（30分）。</w:t>
      </w:r>
      <w:r>
        <w:rPr>
          <w:rFonts w:hint="eastAsia" w:ascii="仿宋_GB2312" w:hAnsi="仿宋_GB2312" w:eastAsia="仿宋_GB2312" w:cs="仿宋_GB2312"/>
          <w:sz w:val="32"/>
          <w:szCs w:val="32"/>
        </w:rPr>
        <w:t>该项目属行政运转类项目，</w:t>
      </w:r>
      <w:r>
        <w:rPr>
          <w:rFonts w:hint="eastAsia" w:ascii="仿宋_GB2312" w:hAnsi="仿宋" w:eastAsia="仿宋_GB2312" w:cs="仿宋"/>
          <w:color w:val="000000" w:themeColor="text1"/>
          <w:sz w:val="32"/>
          <w:szCs w:val="32"/>
          <w:lang w:val="zh-CN"/>
          <w14:textFill>
            <w14:solidFill>
              <w14:schemeClr w14:val="tx1"/>
            </w14:solidFill>
          </w14:textFill>
        </w:rPr>
        <w:t>通过交通安全宣传，提高公众对交通安全的认识，减少交通事故的发生，保护人民的生命安全，促进社会稳定；</w:t>
      </w:r>
      <w:r>
        <w:rPr>
          <w:rFonts w:hint="eastAsia" w:ascii="仿宋_GB2312" w:hAnsi="仿宋_GB2312" w:eastAsia="仿宋_GB2312" w:cs="仿宋_GB2312"/>
          <w:sz w:val="32"/>
          <w:szCs w:val="32"/>
        </w:rPr>
        <w:t>项目</w:t>
      </w:r>
      <w:r>
        <w:rPr>
          <w:rFonts w:hint="eastAsia" w:ascii="仿宋_GB2312" w:hAnsi="楷体_GB2312" w:eastAsia="仿宋_GB2312" w:cs="楷体_GB2312"/>
          <w:sz w:val="32"/>
          <w:szCs w:val="32"/>
          <w:lang w:val="zh-CN"/>
        </w:rPr>
        <w:t>资金用途合规，程序审批严密合规，不存在违规使用的情况。</w:t>
      </w:r>
    </w:p>
    <w:p>
      <w:pPr>
        <w:adjustRightInd w:val="0"/>
        <w:snapToGrid w:val="0"/>
        <w:spacing w:line="576" w:lineRule="exact"/>
        <w:ind w:firstLine="642" w:firstLineChars="20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hAnsi="宋体" w:eastAsia="仿宋_GB2312"/>
          <w:sz w:val="32"/>
          <w:szCs w:val="32"/>
          <w:lang w:val="zh-CN"/>
        </w:rPr>
        <w:t>2023年交通安全形势明显趋好，</w:t>
      </w:r>
      <w:r>
        <w:rPr>
          <w:rFonts w:hint="eastAsia" w:ascii="仿宋_GB2312" w:hAnsi="仿宋_GB2312" w:eastAsia="仿宋_GB2312" w:cs="仿宋_GB2312"/>
          <w:sz w:val="32"/>
          <w:szCs w:val="32"/>
        </w:rPr>
        <w:t>推进了事故预防“减量控大”等专项工作的深入开展，</w:t>
      </w:r>
      <w:r>
        <w:rPr>
          <w:rFonts w:hint="eastAsia" w:ascii="仿宋_GB2312" w:hAnsi="宋体" w:eastAsia="仿宋_GB2312"/>
          <w:sz w:val="32"/>
          <w:szCs w:val="32"/>
          <w:lang w:val="zh-CN"/>
        </w:rPr>
        <w:t>交通事故成逐年下降趋势，</w:t>
      </w:r>
      <w:r>
        <w:rPr>
          <w:rFonts w:hint="eastAsia" w:ascii="仿宋_GB2312" w:eastAsia="仿宋_GB2312"/>
          <w:sz w:val="32"/>
          <w:szCs w:val="32"/>
        </w:rPr>
        <w:t>连续42个月未发生一起一次死亡3人以上交通事故，连续11年没有发生一起一次死亡5人以上较大交通事故，</w:t>
      </w:r>
      <w:r>
        <w:rPr>
          <w:rFonts w:hint="eastAsia" w:ascii="仿宋_GB2312" w:hAnsi="仿宋_GB2312" w:eastAsia="仿宋_GB2312" w:cs="仿宋_GB2312"/>
          <w:sz w:val="32"/>
          <w:szCs w:val="32"/>
        </w:rPr>
        <w:t>为道路交通管理工作奠定了坚实基础，</w:t>
      </w:r>
      <w:r>
        <w:rPr>
          <w:rFonts w:hint="eastAsia" w:ascii="仿宋_GB2312" w:hAnsi="宋体" w:eastAsia="仿宋_GB2312"/>
          <w:sz w:val="32"/>
          <w:szCs w:val="32"/>
          <w:lang w:val="zh-CN"/>
        </w:rPr>
        <w:t>营造了遵守交通规则良好氛围，大大提高了交通参与者的素质。</w:t>
      </w:r>
    </w:p>
    <w:p>
      <w:pPr>
        <w:pStyle w:val="4"/>
        <w:spacing w:line="600" w:lineRule="exact"/>
        <w:ind w:firstLine="640" w:firstLineChars="200"/>
        <w:outlineLvl w:val="1"/>
        <w:rPr>
          <w:rFonts w:ascii="黑体" w:hAnsi="黑体" w:eastAsia="黑体"/>
          <w:sz w:val="32"/>
          <w:szCs w:val="32"/>
        </w:rPr>
      </w:pPr>
      <w:bookmarkStart w:id="36" w:name="_Toc4703"/>
      <w:bookmarkStart w:id="37" w:name="_Toc17176"/>
      <w:r>
        <w:rPr>
          <w:rFonts w:hint="eastAsia" w:ascii="黑体" w:hAnsi="黑体" w:eastAsia="黑体"/>
          <w:sz w:val="32"/>
          <w:szCs w:val="32"/>
        </w:rPr>
        <w:t>四、评价结论</w:t>
      </w:r>
      <w:bookmarkEnd w:id="36"/>
      <w:bookmarkEnd w:id="37"/>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从评价情况来看，项目的预算资金管理科学合理，使用规范，完成了项目的既定目标，达到了预期使用效果，得分是100分。</w:t>
      </w:r>
    </w:p>
    <w:p>
      <w:pPr>
        <w:pStyle w:val="4"/>
        <w:spacing w:line="520" w:lineRule="exact"/>
        <w:ind w:firstLine="640" w:firstLineChars="200"/>
        <w:outlineLvl w:val="1"/>
        <w:rPr>
          <w:rFonts w:ascii="黑体" w:hAnsi="黑体" w:eastAsia="黑体"/>
          <w:sz w:val="32"/>
          <w:szCs w:val="32"/>
        </w:rPr>
      </w:pPr>
      <w:bookmarkStart w:id="38" w:name="_Toc14229"/>
      <w:bookmarkStart w:id="39" w:name="_Toc18644"/>
      <w:r>
        <w:rPr>
          <w:rFonts w:hint="eastAsia" w:ascii="黑体" w:hAnsi="黑体" w:eastAsia="黑体"/>
          <w:sz w:val="32"/>
          <w:szCs w:val="32"/>
        </w:rPr>
        <w:t>五、存在主要问题</w:t>
      </w:r>
      <w:bookmarkEnd w:id="38"/>
      <w:bookmarkEnd w:id="39"/>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虽然交通安全宣传力度逐年加大，但还是有许多交通参与者交通安全意识淡薄，特别是非机车驾驶员和行人。</w:t>
      </w:r>
      <w:r>
        <w:rPr>
          <w:rFonts w:hint="eastAsia" w:ascii="仿宋_GB2312" w:hAnsi="宋体" w:eastAsia="仿宋_GB2312"/>
          <w:sz w:val="32"/>
          <w:szCs w:val="32"/>
          <w:lang w:val="zh-CN"/>
        </w:rPr>
        <w:tab/>
      </w:r>
    </w:p>
    <w:p>
      <w:pPr>
        <w:pStyle w:val="4"/>
        <w:spacing w:line="520" w:lineRule="exact"/>
        <w:ind w:firstLine="640" w:firstLineChars="200"/>
        <w:outlineLvl w:val="1"/>
        <w:rPr>
          <w:rFonts w:ascii="黑体" w:hAnsi="黑体" w:eastAsia="黑体"/>
          <w:sz w:val="32"/>
          <w:szCs w:val="32"/>
          <w:lang w:val="zh-CN"/>
        </w:rPr>
      </w:pPr>
      <w:bookmarkStart w:id="40" w:name="_Toc30978"/>
      <w:bookmarkStart w:id="41" w:name="_Toc19497"/>
      <w:r>
        <w:rPr>
          <w:rFonts w:hint="eastAsia" w:ascii="黑体" w:hAnsi="黑体" w:eastAsia="黑体"/>
          <w:sz w:val="32"/>
          <w:szCs w:val="32"/>
          <w:lang w:val="zh-CN"/>
        </w:rPr>
        <w:t>六、改进建议</w:t>
      </w:r>
      <w:bookmarkEnd w:id="40"/>
      <w:bookmarkEnd w:id="41"/>
    </w:p>
    <w:p>
      <w:pPr>
        <w:tabs>
          <w:tab w:val="left" w:pos="1911"/>
        </w:tabs>
        <w:spacing w:line="520" w:lineRule="exact"/>
        <w:jc w:val="left"/>
        <w:rPr>
          <w:rFonts w:ascii="仿宋_GB2312" w:eastAsia="仿宋_GB2312"/>
          <w:color w:val="000000"/>
          <w:kern w:val="0"/>
          <w:sz w:val="32"/>
          <w:szCs w:val="32"/>
          <w:shd w:val="clear" w:color="auto" w:fill="FFFFFF"/>
          <w:lang w:val="zh-CN"/>
        </w:rPr>
      </w:pPr>
      <w:r>
        <w:rPr>
          <w:rFonts w:hint="eastAsia" w:ascii="仿宋_GB2312" w:hAnsi="仿宋_GB2312" w:eastAsia="仿宋_GB2312" w:cs="仿宋_GB2312"/>
          <w:kern w:val="0"/>
          <w:sz w:val="32"/>
          <w:szCs w:val="32"/>
          <w:shd w:val="clear" w:color="auto" w:fill="FFFFFF"/>
          <w:lang w:val="zh-CN"/>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下一步应当继续加大安全宣传力度，提高广大交通参与者的安全意识。</w:t>
      </w:r>
    </w:p>
    <w:p>
      <w:pPr>
        <w:rPr>
          <w:rFonts w:ascii="黑体" w:hAnsi="黑体" w:eastAsia="黑体"/>
          <w:sz w:val="36"/>
          <w:szCs w:val="36"/>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广元市公安局</w:t>
      </w:r>
      <w:r>
        <w:rPr>
          <w:rFonts w:ascii="方正小标宋简体" w:hAnsi="方正小标宋简体" w:eastAsia="方正小标宋简体" w:cs="方正小标宋简体"/>
          <w:color w:val="auto"/>
          <w:kern w:val="2"/>
          <w:sz w:val="44"/>
          <w:szCs w:val="44"/>
          <w:lang w:val="en-US"/>
        </w:rPr>
        <w:t>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2023</w:t>
      </w:r>
      <w:r>
        <w:rPr>
          <w:rFonts w:hint="eastAsia" w:ascii="方正小标宋简体" w:hAnsi="方正小标宋简体" w:eastAsia="方正小标宋简体" w:cs="方正小标宋简体"/>
          <w:color w:val="auto"/>
          <w:kern w:val="2"/>
          <w:sz w:val="44"/>
          <w:szCs w:val="44"/>
          <w:lang w:val="en-US"/>
        </w:rPr>
        <w:t>年车辆号牌、违法处置、驾驶证、登记证成本专项预算项目绩效评价报告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42" w:name="_Toc14078"/>
      <w:bookmarkStart w:id="43" w:name="_Toc6265"/>
      <w:r>
        <w:rPr>
          <w:rFonts w:hint="eastAsia" w:ascii="黑体" w:hAnsi="黑体" w:eastAsia="黑体"/>
          <w:sz w:val="32"/>
          <w:szCs w:val="32"/>
        </w:rPr>
        <w:t>一、</w:t>
      </w:r>
      <w:r>
        <w:rPr>
          <w:rFonts w:hint="eastAsia" w:ascii="黑体" w:hAnsi="黑体" w:eastAsia="黑体"/>
          <w:sz w:val="32"/>
          <w:szCs w:val="32"/>
          <w:lang w:val="zh-CN"/>
        </w:rPr>
        <w:t>项目概况</w:t>
      </w:r>
      <w:bookmarkEnd w:id="42"/>
      <w:bookmarkEnd w:id="43"/>
    </w:p>
    <w:p>
      <w:pPr>
        <w:adjustRightInd w:val="0"/>
        <w:snapToGrid w:val="0"/>
        <w:spacing w:line="600" w:lineRule="exact"/>
        <w:ind w:firstLine="481" w:firstLineChars="150"/>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依照《中华人民共和国道路交通安全法》的第五条和第二十四条、《中华人民共和国公安部令》第139号，公安部关于修改《机动车驾驶证申领和使用规定》的决定的第七条、《中华人民共和国公安部令》第124号的第二条之规定，支队下属一、二、三、特勤四个大队，承担着广元市利州区、经开区的道路交通秩序管理工作、驾驶员和车辆的违法查处。在道路交通秩序管理中的职能有：维护道路交通秩序、驾驶员和车辆的违法查处；支队下属车管所，负责完成全市驾驶员考试、年审和机动车驾驶证的核发，完成全市车辆上户、过户、年检和报废。</w:t>
      </w:r>
    </w:p>
    <w:p>
      <w:pPr>
        <w:adjustRightInd w:val="0"/>
        <w:snapToGrid w:val="0"/>
        <w:spacing w:line="600" w:lineRule="exact"/>
        <w:ind w:firstLine="642" w:firstLineChars="200"/>
        <w:rPr>
          <w:rFonts w:ascii="仿宋_GB2312" w:hAnsi="宋体" w:eastAsia="仿宋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w:t>
      </w:r>
      <w:r>
        <w:rPr>
          <w:rFonts w:hint="eastAsia" w:ascii="仿宋_GB2312" w:hAnsi="仿宋_GB2312" w:eastAsia="仿宋_GB2312" w:cs="仿宋_GB2312"/>
          <w:kern w:val="0"/>
          <w:sz w:val="32"/>
          <w:szCs w:val="32"/>
          <w:shd w:val="clear" w:color="auto" w:fill="FFFFFF"/>
          <w:lang w:val="zh-CN"/>
        </w:rPr>
        <w:t>旨在</w:t>
      </w:r>
      <w:r>
        <w:rPr>
          <w:rFonts w:hint="eastAsia" w:ascii="仿宋_GB2312" w:hAnsi="仿宋_GB2312" w:eastAsia="仿宋_GB2312" w:cs="仿宋_GB2312"/>
          <w:sz w:val="32"/>
          <w:szCs w:val="32"/>
        </w:rPr>
        <w:t>深化路面秩序专项整治，常态开展交通违法整治，有力净化交通秩序</w:t>
      </w:r>
      <w:r>
        <w:rPr>
          <w:rFonts w:hint="eastAsia" w:ascii="仿宋_GB2312" w:hAnsi="仿宋_GB2312" w:eastAsia="仿宋_GB2312" w:cs="仿宋_GB2312"/>
          <w:kern w:val="0"/>
          <w:sz w:val="32"/>
          <w:szCs w:val="32"/>
          <w:shd w:val="clear" w:color="auto" w:fill="FFFFFF"/>
          <w:lang w:val="zh-CN"/>
        </w:rPr>
        <w:t>；主要工作任务是</w:t>
      </w:r>
      <w:r>
        <w:rPr>
          <w:rFonts w:hint="eastAsia" w:ascii="仿宋_GB2312" w:hAnsi="宋体" w:eastAsia="仿宋_GB2312"/>
          <w:sz w:val="32"/>
          <w:szCs w:val="32"/>
          <w:lang w:val="zh-CN"/>
        </w:rPr>
        <w:t>成全市车辆上户、年检、报废、驾驶员考试和年审。维护道路交通秩序、驾驶员和车辆的违法查处。</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仿宋_GB2312" w:eastAsia="仿宋_GB2312" w:cs="仿宋_GB2312"/>
          <w:kern w:val="0"/>
          <w:sz w:val="32"/>
          <w:szCs w:val="32"/>
          <w:shd w:val="clear" w:color="auto" w:fill="FFFFFF"/>
          <w:lang w:val="zh-CN"/>
        </w:rPr>
        <w:t>项目资金387.91万元，</w:t>
      </w:r>
      <w:r>
        <w:rPr>
          <w:rFonts w:hint="eastAsia" w:ascii="仿宋_GB2312" w:hAnsi="宋体" w:eastAsia="仿宋_GB2312"/>
          <w:sz w:val="32"/>
          <w:szCs w:val="32"/>
          <w:lang w:val="zh-CN"/>
        </w:rPr>
        <w:t>资金分配首先考虑交通秩序管理工作中必须的车辆使用费、技术检测费、差旅费、办案业务费等，在资金允许的情况下适当考虑软件和设备更新，还包括驾驶证证夹和证芯支出、驾驶员考试所需的考试车辆、系统维护、耗材、资料印刷、登记证书工本费、档案管理等成本费用。</w:t>
      </w:r>
    </w:p>
    <w:p>
      <w:pPr>
        <w:adjustRightInd w:val="0"/>
        <w:snapToGrid w:val="0"/>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各项目的差异性，使绩效目标内容完整，细化量化，可操作性强，与预算匹配。成立了以支队长任组长的项目自评领导小组，下设办公室具体负责自评工作，采取调阅资料、现场查看等方式开展自评工作</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578" w:lineRule="exact"/>
        <w:ind w:firstLine="640" w:firstLineChars="200"/>
        <w:outlineLvl w:val="1"/>
        <w:rPr>
          <w:rFonts w:ascii="黑体" w:hAnsi="黑体" w:eastAsia="黑体"/>
          <w:sz w:val="32"/>
          <w:szCs w:val="32"/>
        </w:rPr>
      </w:pPr>
      <w:bookmarkStart w:id="44" w:name="_Toc16567"/>
      <w:bookmarkStart w:id="45" w:name="_Toc27150"/>
      <w:r>
        <w:rPr>
          <w:rFonts w:hint="eastAsia" w:ascii="黑体" w:hAnsi="黑体" w:eastAsia="黑体"/>
          <w:sz w:val="32"/>
          <w:szCs w:val="32"/>
        </w:rPr>
        <w:t>二、评价实施</w:t>
      </w:r>
      <w:bookmarkEnd w:id="44"/>
      <w:bookmarkEnd w:id="45"/>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spacing w:line="578" w:lineRule="exact"/>
        <w:ind w:firstLine="640"/>
        <w:rPr>
          <w:rFonts w:ascii="仿宋_GB2312" w:eastAsia="仿宋_GB2312"/>
          <w:color w:val="FF0000"/>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无预设问题；评价重点在于项目实施是否达到了预期目标。</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通过2023年全年交通违法查处量、机动车上户、检测量等情况，查看项目资金是否发挥最大效益。</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该项目采取了调阅相关数据资料的方式开展自评工作。</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spacing w:line="578" w:lineRule="exact"/>
        <w:ind w:firstLine="640"/>
        <w:outlineLvl w:val="1"/>
        <w:rPr>
          <w:rFonts w:ascii="黑体" w:hAnsi="黑体" w:eastAsia="黑体"/>
          <w:sz w:val="32"/>
          <w:szCs w:val="32"/>
          <w:lang w:val="zh-CN"/>
        </w:rPr>
      </w:pPr>
      <w:bookmarkStart w:id="46" w:name="_Toc2770"/>
      <w:bookmarkStart w:id="47" w:name="_Toc5076"/>
      <w:r>
        <w:rPr>
          <w:rFonts w:hint="eastAsia" w:ascii="黑体" w:hAnsi="黑体" w:eastAsia="黑体"/>
          <w:sz w:val="32"/>
          <w:szCs w:val="32"/>
        </w:rPr>
        <w:t>三、绩效分析</w:t>
      </w:r>
      <w:bookmarkEnd w:id="46"/>
      <w:bookmarkEnd w:id="47"/>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楷体_GB2312" w:hAnsi="楷体_GB2312" w:eastAsia="楷体_GB2312" w:cs="楷体_GB2312"/>
          <w:sz w:val="32"/>
          <w:szCs w:val="32"/>
        </w:rPr>
        <w:t>1.项目决策（17分）。</w:t>
      </w:r>
      <w:r>
        <w:rPr>
          <w:rFonts w:hint="eastAsia" w:ascii="仿宋_GB2312" w:hAnsi="楷体" w:eastAsia="仿宋_GB2312"/>
          <w:sz w:val="32"/>
          <w:szCs w:val="32"/>
          <w:lang w:val="zh-CN"/>
        </w:rPr>
        <w:t>该项目由相关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楷体_GB2312" w:eastAsia="楷体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同时，</w:t>
      </w:r>
      <w:r>
        <w:rPr>
          <w:rFonts w:hint="eastAsia" w:ascii="仿宋_GB2312" w:hAnsi="宋体" w:eastAsia="仿宋_GB2312"/>
          <w:sz w:val="32"/>
          <w:szCs w:val="32"/>
          <w:lang w:val="zh-CN"/>
        </w:rPr>
        <w:t>支队秩序负责对违法处理中合法性和规范性进行监管，</w:t>
      </w:r>
      <w:r>
        <w:rPr>
          <w:rFonts w:hint="eastAsia" w:ascii="仿宋_GB2312" w:eastAsia="仿宋_GB2312"/>
          <w:sz w:val="32"/>
          <w:szCs w:val="32"/>
        </w:rPr>
        <w:t>具体业务由省交警总队对口业务部门监管，</w:t>
      </w:r>
      <w:r>
        <w:rPr>
          <w:rFonts w:hint="eastAsia" w:ascii="仿宋_GB2312" w:hAnsi="宋体" w:eastAsia="仿宋_GB2312"/>
          <w:sz w:val="32"/>
          <w:szCs w:val="32"/>
          <w:lang w:val="zh-CN"/>
        </w:rPr>
        <w:t>支队政工纪检部门对执法过程中行为规范性进行督查和监管。</w:t>
      </w:r>
    </w:p>
    <w:p>
      <w:pPr>
        <w:ind w:firstLine="640" w:firstLineChars="200"/>
        <w:rPr>
          <w:rFonts w:ascii="仿宋_GB2312" w:eastAsia="仿宋_GB2312"/>
          <w:sz w:val="32"/>
          <w:szCs w:val="32"/>
        </w:rPr>
      </w:pPr>
      <w:r>
        <w:rPr>
          <w:rFonts w:hint="eastAsia" w:ascii="楷体_GB2312" w:hAnsi="楷体_GB2312" w:eastAsia="楷体_GB2312" w:cs="楷体_GB2312"/>
          <w:sz w:val="32"/>
          <w:szCs w:val="32"/>
        </w:rPr>
        <w:t>3.项目实施（9分）。</w:t>
      </w:r>
      <w:r>
        <w:rPr>
          <w:rFonts w:hint="eastAsia" w:ascii="仿宋_GB2312" w:hAnsi="宋体" w:eastAsia="仿宋_GB2312"/>
          <w:sz w:val="32"/>
          <w:szCs w:val="32"/>
          <w:lang w:val="zh-CN"/>
        </w:rPr>
        <w:t>该项目资金执行率为100%，项目严格按照相关要求进行支付，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w:t>
      </w:r>
    </w:p>
    <w:p>
      <w:pPr>
        <w:pStyle w:val="9"/>
        <w:ind w:firstLine="640" w:firstLineChars="200"/>
        <w:rPr>
          <w:rFonts w:ascii="仿宋_GB2312"/>
        </w:rPr>
      </w:pPr>
      <w:r>
        <w:rPr>
          <w:rFonts w:hint="eastAsia" w:ascii="楷体_GB2312" w:hAnsi="楷体_GB2312" w:eastAsia="楷体_GB2312" w:cs="楷体_GB2312"/>
        </w:rPr>
        <w:t>4.项目结果（8分）。</w:t>
      </w:r>
      <w:r>
        <w:rPr>
          <w:rFonts w:hint="eastAsia" w:ascii="仿宋_GB2312" w:hAnsi="楷体_GB2312" w:cs="楷体_GB2312"/>
        </w:rPr>
        <w:t>2023年，经业务部门统计，查处各</w:t>
      </w:r>
      <w:r>
        <w:rPr>
          <w:rFonts w:hint="eastAsia" w:ascii="仿宋_GB2312"/>
        </w:rPr>
        <w:t>类交通违法行为65.7万余起（其中饮酒驾驶3621起、醉酒驾驶781起、飙车炸街218起、非法改拼装261起），执行拘留2254人，吊销驾驶证980本，移送起诉826 件，极大震慑了违法行为。机动车上户5.53万辆，检测14.47万辆，重点驾驶人审验率97.25%，大中型客货车平均检验率96.32%，大型客车报废率100%。</w:t>
      </w:r>
    </w:p>
    <w:p>
      <w:pPr>
        <w:spacing w:line="578" w:lineRule="exact"/>
        <w:ind w:firstLine="642" w:firstLineChars="200"/>
        <w:rPr>
          <w:rFonts w:ascii="仿宋_GB2312" w:hAnsi="楷体_GB2312" w:eastAsia="仿宋_GB2312" w:cs="楷体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行政运转（30分）。</w:t>
      </w:r>
      <w:r>
        <w:rPr>
          <w:rFonts w:hint="eastAsia" w:ascii="仿宋_GB2312" w:hAnsi="仿宋_GB2312" w:eastAsia="仿宋_GB2312" w:cs="仿宋_GB2312"/>
          <w:sz w:val="32"/>
          <w:szCs w:val="32"/>
        </w:rPr>
        <w:t>该项目属行政运转类项目，通过项目实施，深化路面秩序专项整治，常态开展交通违法整治，有力的净化交通秩序。项目</w:t>
      </w:r>
      <w:r>
        <w:rPr>
          <w:rFonts w:hint="eastAsia" w:ascii="仿宋_GB2312" w:hAnsi="楷体_GB2312" w:eastAsia="仿宋_GB2312" w:cs="楷体_GB2312"/>
          <w:sz w:val="32"/>
          <w:szCs w:val="32"/>
          <w:lang w:val="zh-CN"/>
        </w:rPr>
        <w:t>资金用途合规，程序审批严密合规，不存在违规使用的情况。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hAnsi="宋体" w:eastAsia="仿宋_GB2312"/>
          <w:sz w:val="32"/>
          <w:szCs w:val="32"/>
          <w:lang w:val="zh-CN"/>
        </w:rPr>
        <w:t>通过项目的实施，有力净化了交通秩序，大大方便群众办理业务，节约了时间，</w:t>
      </w:r>
      <w:r>
        <w:rPr>
          <w:rFonts w:hint="eastAsia" w:ascii="仿宋_GB2312" w:eastAsia="仿宋_GB2312"/>
          <w:sz w:val="32"/>
          <w:szCs w:val="32"/>
        </w:rPr>
        <w:t>连续42个月未发生一起一次死亡3人以上交通事故，连续11年没有发生一起一次死亡5人以上较大交通事故，</w:t>
      </w:r>
      <w:r>
        <w:rPr>
          <w:rFonts w:hint="eastAsia" w:ascii="仿宋_GB2312" w:hAnsi="宋体" w:eastAsia="仿宋_GB2312"/>
          <w:sz w:val="32"/>
          <w:szCs w:val="32"/>
          <w:lang w:val="zh-CN"/>
        </w:rPr>
        <w:t>全市交通安全形势总体平稳。</w:t>
      </w:r>
    </w:p>
    <w:p>
      <w:pPr>
        <w:pStyle w:val="4"/>
        <w:spacing w:line="600" w:lineRule="exact"/>
        <w:ind w:firstLine="640" w:firstLineChars="200"/>
        <w:outlineLvl w:val="1"/>
        <w:rPr>
          <w:rFonts w:ascii="黑体" w:hAnsi="黑体" w:eastAsia="黑体"/>
          <w:sz w:val="32"/>
          <w:szCs w:val="32"/>
        </w:rPr>
      </w:pPr>
      <w:bookmarkStart w:id="48" w:name="_Toc28578"/>
      <w:bookmarkStart w:id="49" w:name="_Toc25821"/>
      <w:r>
        <w:rPr>
          <w:rFonts w:hint="eastAsia" w:ascii="黑体" w:hAnsi="黑体" w:eastAsia="黑体"/>
          <w:sz w:val="32"/>
          <w:szCs w:val="32"/>
        </w:rPr>
        <w:t>四、评价结论</w:t>
      </w:r>
      <w:bookmarkEnd w:id="48"/>
      <w:bookmarkEnd w:id="49"/>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从评价情况来看，项目的预算资金管理科学合理，使用规范，完成了项目的既定目标，达到了预期使用效果，得分是98分。</w:t>
      </w:r>
    </w:p>
    <w:p>
      <w:pPr>
        <w:pStyle w:val="4"/>
        <w:spacing w:line="600" w:lineRule="exact"/>
        <w:ind w:firstLine="640" w:firstLineChars="200"/>
        <w:outlineLvl w:val="1"/>
        <w:rPr>
          <w:rFonts w:ascii="黑体" w:hAnsi="黑体" w:eastAsia="黑体"/>
          <w:sz w:val="32"/>
          <w:szCs w:val="32"/>
        </w:rPr>
      </w:pPr>
      <w:bookmarkStart w:id="50" w:name="_Toc29385"/>
      <w:bookmarkStart w:id="51" w:name="_Toc8977"/>
      <w:r>
        <w:rPr>
          <w:rFonts w:hint="eastAsia" w:ascii="黑体" w:hAnsi="黑体" w:eastAsia="黑体"/>
          <w:sz w:val="32"/>
          <w:szCs w:val="32"/>
        </w:rPr>
        <w:t>五、存在主要问题</w:t>
      </w:r>
      <w:bookmarkEnd w:id="50"/>
      <w:bookmarkEnd w:id="51"/>
    </w:p>
    <w:p>
      <w:pPr>
        <w:pStyle w:val="4"/>
        <w:spacing w:line="600" w:lineRule="exact"/>
        <w:ind w:firstLine="640" w:firstLineChars="200"/>
        <w:rPr>
          <w:rFonts w:ascii="仿宋_GB2312" w:hAnsi="黑体" w:eastAsia="仿宋_GB2312" w:cs="黑体"/>
          <w:sz w:val="32"/>
          <w:szCs w:val="32"/>
        </w:rPr>
      </w:pPr>
      <w:r>
        <w:rPr>
          <w:rFonts w:hint="eastAsia" w:ascii="仿宋_GB2312" w:hAnsi="仿宋_GB2312" w:eastAsia="仿宋_GB2312" w:cs="仿宋_GB2312"/>
          <w:sz w:val="32"/>
          <w:szCs w:val="32"/>
        </w:rPr>
        <w:t>因交通违法量随意性较大，绩效目标设置不够科学</w:t>
      </w:r>
    </w:p>
    <w:p>
      <w:pPr>
        <w:pStyle w:val="4"/>
        <w:spacing w:line="600" w:lineRule="exact"/>
        <w:ind w:firstLine="640" w:firstLineChars="200"/>
        <w:outlineLvl w:val="1"/>
        <w:rPr>
          <w:rFonts w:ascii="黑体" w:hAnsi="黑体" w:eastAsia="黑体"/>
          <w:sz w:val="32"/>
          <w:szCs w:val="32"/>
          <w:lang w:val="zh-CN"/>
        </w:rPr>
      </w:pPr>
      <w:bookmarkStart w:id="52" w:name="_Toc25385"/>
      <w:bookmarkStart w:id="53" w:name="_Toc32722"/>
      <w:r>
        <w:rPr>
          <w:rFonts w:hint="eastAsia" w:ascii="黑体" w:hAnsi="黑体" w:eastAsia="黑体"/>
          <w:sz w:val="32"/>
          <w:szCs w:val="32"/>
          <w:lang w:val="zh-CN"/>
        </w:rPr>
        <w:t>六、改进建议</w:t>
      </w:r>
      <w:bookmarkEnd w:id="52"/>
      <w:bookmarkEnd w:id="53"/>
    </w:p>
    <w:p>
      <w:pPr>
        <w:tabs>
          <w:tab w:val="left" w:pos="1911"/>
        </w:tabs>
        <w:jc w:val="left"/>
        <w:rPr>
          <w:rFonts w:ascii="仿宋_GB2312" w:hAnsi="仿宋_GB2312" w:eastAsia="仿宋_GB2312" w:cs="仿宋_GB2312"/>
          <w:kern w:val="0"/>
          <w:sz w:val="32"/>
          <w:szCs w:val="32"/>
          <w:lang w:val="en"/>
        </w:rPr>
      </w:pPr>
      <w:r>
        <w:rPr>
          <w:rFonts w:hint="eastAsia" w:ascii="仿宋_GB2312" w:hAnsi="仿宋_GB2312" w:eastAsia="仿宋_GB2312" w:cs="仿宋_GB2312"/>
          <w:kern w:val="0"/>
          <w:sz w:val="32"/>
          <w:szCs w:val="32"/>
          <w:shd w:val="clear" w:color="auto" w:fill="FFFFFF"/>
          <w:lang w:val="zh-CN"/>
        </w:rPr>
        <w:t xml:space="preserve"> </w:t>
      </w:r>
      <w:r>
        <w:rPr>
          <w:rFonts w:hint="eastAsia" w:ascii="仿宋_GB2312" w:hAnsi="仿宋_GB2312" w:eastAsia="仿宋_GB2312" w:cs="仿宋_GB2312"/>
          <w:kern w:val="0"/>
          <w:sz w:val="32"/>
          <w:szCs w:val="32"/>
        </w:rPr>
        <w:t xml:space="preserve">  </w:t>
      </w:r>
      <w:bookmarkStart w:id="54" w:name="_Hlk110546638"/>
      <w:r>
        <w:rPr>
          <w:rFonts w:hint="eastAsia" w:ascii="仿宋_GB2312" w:hAnsi="仿宋_GB2312" w:eastAsia="仿宋_GB2312" w:cs="仿宋_GB2312"/>
          <w:kern w:val="0"/>
          <w:sz w:val="32"/>
          <w:szCs w:val="32"/>
        </w:rPr>
        <w:t>下一步，将结合近几年的交通违法行为量，联同相关科室，共同研究，科学合理设置绩效目标。</w:t>
      </w:r>
    </w:p>
    <w:bookmarkEnd w:id="54"/>
    <w:p>
      <w:pPr>
        <w:snapToGrid w:val="0"/>
        <w:spacing w:line="578" w:lineRule="exact"/>
        <w:ind w:firstLine="640" w:firstLineChars="200"/>
        <w:rPr>
          <w:rFonts w:ascii="仿宋_GB2312" w:eastAsia="仿宋_GB2312"/>
          <w:color w:val="000000"/>
          <w:kern w:val="0"/>
          <w:sz w:val="32"/>
          <w:szCs w:val="32"/>
          <w:shd w:val="clear" w:color="auto" w:fill="FFFFFF"/>
          <w:lang w:val="en"/>
        </w:rPr>
      </w:pPr>
    </w:p>
    <w:p>
      <w:pPr>
        <w:snapToGrid w:val="0"/>
        <w:spacing w:line="578" w:lineRule="exact"/>
        <w:rPr>
          <w:rFonts w:ascii="仿宋_GB2312" w:eastAsia="仿宋_GB2312"/>
          <w:color w:val="000000"/>
          <w:kern w:val="0"/>
          <w:sz w:val="32"/>
          <w:szCs w:val="32"/>
          <w:shd w:val="clear" w:color="auto" w:fill="FFFFFF"/>
          <w:lang w:val="zh-CN"/>
        </w:rPr>
      </w:pPr>
    </w:p>
    <w:p>
      <w:pPr>
        <w:snapToGrid w:val="0"/>
        <w:spacing w:line="578" w:lineRule="exact"/>
        <w:rPr>
          <w:rFonts w:ascii="仿宋_GB2312" w:eastAsia="仿宋_GB2312"/>
          <w:color w:val="000000"/>
          <w:kern w:val="0"/>
          <w:sz w:val="32"/>
          <w:szCs w:val="32"/>
          <w:shd w:val="clear" w:color="auto" w:fill="FFFFFF"/>
          <w:lang w:val="zh-CN"/>
        </w:rPr>
      </w:pPr>
    </w:p>
    <w:p>
      <w:pPr>
        <w:snapToGrid w:val="0"/>
        <w:spacing w:line="578" w:lineRule="exact"/>
        <w:ind w:firstLine="3200" w:firstLineChars="1000"/>
        <w:rPr>
          <w:rFonts w:ascii="仿宋_GB2312" w:eastAsia="仿宋_GB2312"/>
          <w:color w:val="000000"/>
          <w:kern w:val="0"/>
          <w:sz w:val="32"/>
          <w:szCs w:val="32"/>
          <w:shd w:val="clear" w:color="auto" w:fill="FFFFFF"/>
          <w:lang w:val="zh-CN"/>
        </w:rPr>
      </w:pPr>
      <w:r>
        <w:rPr>
          <w:rFonts w:hint="eastAsia" w:ascii="仿宋_GB2312" w:eastAsia="仿宋_GB2312"/>
          <w:color w:val="000000"/>
          <w:kern w:val="0"/>
          <w:sz w:val="32"/>
          <w:szCs w:val="32"/>
          <w:shd w:val="clear" w:color="auto" w:fill="FFFFFF"/>
          <w:lang w:val="zh-CN"/>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lang w:val="zh-CN"/>
        </w:rPr>
      </w:pPr>
      <w:r>
        <w:rPr>
          <w:rFonts w:hint="eastAsia" w:ascii="仿宋_GB2312" w:eastAsia="仿宋_GB2312"/>
          <w:sz w:val="32"/>
          <w:szCs w:val="32"/>
          <w:lang w:val="zh-CN"/>
        </w:rPr>
        <w:t>2024年8月5日</w:t>
      </w: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rPr>
          <w:rFonts w:ascii="黑体" w:hAnsi="黑体" w:eastAsia="黑体"/>
          <w:sz w:val="36"/>
          <w:szCs w:val="36"/>
        </w:rPr>
      </w:pPr>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2023年城区交通管理设施建设与维护</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55" w:name="_Toc18094"/>
      <w:bookmarkStart w:id="56" w:name="_Toc21430"/>
      <w:r>
        <w:rPr>
          <w:rFonts w:hint="eastAsia" w:ascii="黑体" w:hAnsi="黑体" w:eastAsia="黑体"/>
          <w:sz w:val="32"/>
          <w:szCs w:val="32"/>
        </w:rPr>
        <w:t>一、</w:t>
      </w:r>
      <w:r>
        <w:rPr>
          <w:rFonts w:hint="eastAsia" w:ascii="黑体" w:hAnsi="黑体" w:eastAsia="黑体"/>
          <w:sz w:val="32"/>
          <w:szCs w:val="32"/>
          <w:lang w:val="zh-CN"/>
        </w:rPr>
        <w:t>项目概况</w:t>
      </w:r>
      <w:bookmarkEnd w:id="55"/>
      <w:bookmarkEnd w:id="56"/>
    </w:p>
    <w:p>
      <w:pPr>
        <w:adjustRightInd w:val="0"/>
        <w:snapToGrid w:val="0"/>
        <w:spacing w:line="560" w:lineRule="exact"/>
        <w:ind w:firstLine="642" w:firstLineChars="200"/>
        <w:contextualSpacing/>
        <w:rPr>
          <w:rFonts w:ascii="仿宋_GB2312" w:hAnsi="仿宋_GB2312" w:eastAsia="仿宋_GB2312" w:cs="仿宋_GB2312"/>
          <w:kern w:val="0"/>
          <w:sz w:val="32"/>
          <w:szCs w:val="32"/>
          <w:shd w:val="clear" w:color="auto" w:fill="FFFFFF"/>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rPr>
        <w:t>我支队负责市城区交通安全设施建设与维护项目的统筹安排、组织规划、资金落实、日常监管以及整改验收</w:t>
      </w:r>
      <w:r>
        <w:rPr>
          <w:rFonts w:hint="eastAsia" w:ascii="仿宋_GB2312" w:eastAsia="仿宋_GB2312"/>
          <w:sz w:val="32"/>
          <w:szCs w:val="32"/>
        </w:rPr>
        <w:t>。</w:t>
      </w:r>
      <w:r>
        <w:rPr>
          <w:rFonts w:hint="eastAsia" w:ascii="仿宋_GB2312" w:hAnsi="宋体" w:eastAsia="仿宋_GB2312"/>
          <w:sz w:val="32"/>
          <w:szCs w:val="32"/>
          <w:lang w:val="zh-CN"/>
        </w:rPr>
        <w:t>为营造更加畅通有序的交通环境，基于目前智慧城市建设的大背景，亟需开展全市智慧交通管理体系建设，提升全市交通管理的系统性、精准性和实时性；依据《关于规范推进公安视频图像智能应用建设的通知》（公科信</w:t>
      </w:r>
      <w:r>
        <w:rPr>
          <w:rFonts w:hint="eastAsia" w:ascii="微软雅黑" w:hAnsi="微软雅黑" w:eastAsia="微软雅黑" w:cs="微软雅黑"/>
          <w:sz w:val="32"/>
          <w:szCs w:val="32"/>
        </w:rPr>
        <w:t>﹝</w:t>
      </w:r>
      <w:r>
        <w:rPr>
          <w:rFonts w:hint="eastAsia" w:ascii="仿宋_GB2312" w:hAnsi="宋体" w:eastAsia="仿宋_GB2312"/>
          <w:sz w:val="32"/>
          <w:szCs w:val="32"/>
        </w:rPr>
        <w:t>2019</w:t>
      </w:r>
      <w:r>
        <w:rPr>
          <w:rFonts w:hint="eastAsia" w:ascii="微软雅黑" w:hAnsi="微软雅黑" w:eastAsia="微软雅黑" w:cs="微软雅黑"/>
          <w:sz w:val="32"/>
          <w:szCs w:val="32"/>
        </w:rPr>
        <w:t>﹞</w:t>
      </w:r>
      <w:r>
        <w:rPr>
          <w:rFonts w:hint="eastAsia" w:ascii="仿宋_GB2312" w:hAnsi="宋体" w:eastAsia="仿宋_GB2312"/>
          <w:sz w:val="32"/>
          <w:szCs w:val="32"/>
        </w:rPr>
        <w:t>36号</w:t>
      </w:r>
      <w:r>
        <w:rPr>
          <w:rFonts w:hint="eastAsia" w:ascii="仿宋_GB2312" w:hAnsi="宋体" w:eastAsia="仿宋_GB2312"/>
          <w:sz w:val="32"/>
          <w:szCs w:val="32"/>
          <w:lang w:val="zh-CN"/>
        </w:rPr>
        <w:t>）、《广元市加快新型智慧城市建设实施方案》，</w:t>
      </w:r>
      <w:r>
        <w:rPr>
          <w:rFonts w:hint="eastAsia" w:ascii="仿宋_GB2312" w:hAnsi="仿宋_GB2312" w:eastAsia="仿宋_GB2312" w:cs="仿宋_GB2312"/>
          <w:kern w:val="0"/>
          <w:sz w:val="32"/>
          <w:szCs w:val="32"/>
          <w:shd w:val="clear" w:color="auto" w:fill="FFFFFF"/>
          <w:lang w:val="zh-CN"/>
        </w:rPr>
        <w:t>完善和更新城区道路标志标线等交通管理设施设备，对信号灯、信号灯配件及护栏维护，线路租赁与改造，提高市城区主干道路通行能力。</w:t>
      </w:r>
    </w:p>
    <w:p>
      <w:pPr>
        <w:adjustRightInd w:val="0"/>
        <w:snapToGrid w:val="0"/>
        <w:spacing w:line="578"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通过完善标线、新增及改造交通信号灯等设施，旨在提高道路行车安全，增强城区主干道路通行能力，降低道路交通违法行为的发生</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56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仿宋_GB2312" w:eastAsia="仿宋_GB2312" w:cs="仿宋_GB2312"/>
          <w:kern w:val="0"/>
          <w:sz w:val="32"/>
          <w:szCs w:val="32"/>
          <w:shd w:val="clear" w:color="auto" w:fill="FFFFFF"/>
          <w:lang w:val="zh-CN"/>
        </w:rPr>
        <w:t>项目预算500万元，</w:t>
      </w:r>
      <w:r>
        <w:rPr>
          <w:rFonts w:hint="eastAsia" w:ascii="仿宋_GB2312" w:hAnsi="宋体" w:eastAsia="仿宋_GB2312"/>
          <w:sz w:val="32"/>
          <w:szCs w:val="32"/>
          <w:lang w:val="zh-CN"/>
        </w:rPr>
        <w:t>资金分配首先考虑保证所有交通管理设施能够正常运转的维护、维修和线路租金</w:t>
      </w:r>
      <w:r>
        <w:rPr>
          <w:rFonts w:hint="eastAsia" w:ascii="仿宋_GB2312" w:hAnsi="宋体" w:eastAsia="仿宋_GB2312"/>
          <w:sz w:val="32"/>
          <w:szCs w:val="32"/>
        </w:rPr>
        <w:t>等必须费用支出</w:t>
      </w:r>
      <w:r>
        <w:rPr>
          <w:rFonts w:hint="eastAsia" w:ascii="仿宋_GB2312" w:hAnsi="宋体" w:eastAsia="仿宋_GB2312"/>
          <w:sz w:val="32"/>
          <w:szCs w:val="32"/>
          <w:lang w:val="zh-CN"/>
        </w:rPr>
        <w:t>，再考虑一些必建的标线、监控和护栏等设施</w:t>
      </w:r>
      <w:r>
        <w:rPr>
          <w:rFonts w:hint="eastAsia" w:ascii="仿宋_GB2312" w:hAnsi="宋体" w:eastAsia="仿宋_GB2312"/>
          <w:sz w:val="32"/>
          <w:szCs w:val="32"/>
        </w:rPr>
        <w:t>费用</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项目的差异性，使绩效目标内容完整，细化量化，可操作性强，与预算匹配。成立了以支队长任组长的项目自评领导小组，下设办公室具体负责自评工作，采取调阅资料、现场查看等方式开展自评工作。</w:t>
      </w:r>
    </w:p>
    <w:p>
      <w:pPr>
        <w:adjustRightInd w:val="0"/>
        <w:snapToGrid w:val="0"/>
        <w:spacing w:line="578" w:lineRule="exact"/>
        <w:ind w:firstLine="640" w:firstLineChars="200"/>
        <w:outlineLvl w:val="1"/>
        <w:rPr>
          <w:rFonts w:ascii="黑体" w:hAnsi="黑体" w:eastAsia="黑体"/>
          <w:sz w:val="32"/>
          <w:szCs w:val="32"/>
        </w:rPr>
      </w:pPr>
      <w:bookmarkStart w:id="57" w:name="_Toc19647"/>
      <w:bookmarkStart w:id="58" w:name="_Toc21475"/>
      <w:r>
        <w:rPr>
          <w:rFonts w:hint="eastAsia" w:ascii="黑体" w:hAnsi="黑体" w:eastAsia="黑体"/>
          <w:sz w:val="32"/>
          <w:szCs w:val="32"/>
        </w:rPr>
        <w:t>二、评价实施</w:t>
      </w:r>
      <w:bookmarkEnd w:id="57"/>
      <w:bookmarkEnd w:id="58"/>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adjustRightInd w:val="0"/>
        <w:snapToGrid w:val="0"/>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预设问题为采购项目是否严格按照相求要求应采尽采；评价重点在于是否</w:t>
      </w:r>
      <w:r>
        <w:rPr>
          <w:rFonts w:hint="eastAsia" w:ascii="仿宋_GB2312" w:hAnsi="宋体" w:eastAsia="仿宋_GB2312" w:cs="宋体"/>
          <w:kern w:val="0"/>
          <w:sz w:val="32"/>
          <w:szCs w:val="32"/>
        </w:rPr>
        <w:t>提高了道路行车安全，增强城区主干道路通行能力。</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通过选取新增、改造电子警察、交通信号灯以及标线施划点位情况，查看项目效益情况。</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该项目采取了实地勘察的方式开展自评工作。</w:t>
      </w:r>
    </w:p>
    <w:p>
      <w:pPr>
        <w:adjustRightInd w:val="0"/>
        <w:snapToGrid w:val="0"/>
        <w:spacing w:line="600" w:lineRule="exact"/>
        <w:ind w:firstLine="720"/>
        <w:rPr>
          <w:rFonts w:ascii="仿宋_GB2312" w:eastAsia="仿宋_GB2312"/>
          <w:bCs/>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spacing w:line="578" w:lineRule="exact"/>
        <w:ind w:firstLine="640"/>
        <w:outlineLvl w:val="1"/>
        <w:rPr>
          <w:rFonts w:ascii="黑体" w:hAnsi="黑体" w:eastAsia="黑体"/>
          <w:sz w:val="32"/>
          <w:szCs w:val="32"/>
          <w:lang w:val="zh-CN"/>
        </w:rPr>
      </w:pPr>
      <w:bookmarkStart w:id="59" w:name="_Toc10758"/>
      <w:bookmarkStart w:id="60" w:name="_Toc17365"/>
      <w:r>
        <w:rPr>
          <w:rFonts w:hint="eastAsia" w:ascii="黑体" w:hAnsi="黑体" w:eastAsia="黑体"/>
          <w:sz w:val="32"/>
          <w:szCs w:val="32"/>
        </w:rPr>
        <w:t>三、绩效分析</w:t>
      </w:r>
      <w:bookmarkEnd w:id="59"/>
      <w:bookmarkEnd w:id="60"/>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pPr>
        <w:spacing w:line="560" w:lineRule="exact"/>
        <w:ind w:firstLine="640" w:firstLineChars="200"/>
        <w:rPr>
          <w:rFonts w:ascii="仿宋_GB2312" w:eastAsia="仿宋_GB2312"/>
          <w:sz w:val="32"/>
          <w:szCs w:val="32"/>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eastAsia="仿宋_GB2312"/>
          <w:sz w:val="32"/>
          <w:szCs w:val="32"/>
        </w:rPr>
        <w:t>严格遵照《中华人民共和国招投标法》，凡达到政府采购标准的，全部进行公开招标和采购。确保支队项目规范采购，按期优质完成；同时，还安排了具体人员负责技术指导和监督，按照标准和合同，严把质量关、进度关，确保项目按期进行和达到预期目标。</w:t>
      </w:r>
    </w:p>
    <w:p>
      <w:pPr>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3.项目实施（8分）。因</w:t>
      </w:r>
      <w:r>
        <w:rPr>
          <w:rFonts w:hint="eastAsia" w:ascii="仿宋_GB2312" w:hAnsi="宋体" w:eastAsia="仿宋_GB2312"/>
          <w:sz w:val="32"/>
          <w:szCs w:val="32"/>
          <w:lang w:val="zh-CN"/>
        </w:rPr>
        <w:t>该项目资金计划下达较迟，资金结转403.55万元，全部为政府采购资金，项目正在实施中，严格按照进度支付资金，</w:t>
      </w:r>
      <w:r>
        <w:rPr>
          <w:rFonts w:hint="eastAsia" w:ascii="仿宋_GB2312" w:hAnsi="宋体" w:eastAsia="仿宋_GB2312" w:cs="宋体"/>
          <w:kern w:val="0"/>
          <w:sz w:val="32"/>
          <w:szCs w:val="32"/>
        </w:rPr>
        <w:t>狠抓了经费“</w:t>
      </w:r>
      <w:r>
        <w:rPr>
          <w:rFonts w:hint="eastAsia" w:ascii="仿宋_GB2312" w:eastAsia="仿宋_GB2312"/>
          <w:sz w:val="32"/>
          <w:szCs w:val="32"/>
        </w:rPr>
        <w:t>使用审批”、“预算执行”、“管理监督”三个环节，硬化了预算约束。</w:t>
      </w:r>
    </w:p>
    <w:p>
      <w:pPr>
        <w:spacing w:line="560" w:lineRule="exact"/>
        <w:ind w:firstLine="640" w:firstLineChars="200"/>
        <w:jc w:val="left"/>
        <w:rPr>
          <w:rFonts w:ascii="仿宋_GB2312" w:eastAsia="仿宋_GB2312"/>
          <w:sz w:val="32"/>
          <w:szCs w:val="32"/>
        </w:rPr>
      </w:pPr>
      <w:r>
        <w:rPr>
          <w:rFonts w:hint="eastAsia" w:ascii="仿宋_GB2312" w:hAnsi="楷体_GB2312" w:eastAsia="仿宋_GB2312" w:cs="楷体_GB2312"/>
          <w:sz w:val="32"/>
          <w:szCs w:val="32"/>
        </w:rPr>
        <w:t>4.项目结果（8分）。</w:t>
      </w:r>
      <w:r>
        <w:rPr>
          <w:rFonts w:hint="eastAsia" w:ascii="仿宋_GB2312" w:hAnsi="仿宋_GB2312" w:eastAsia="仿宋_GB2312" w:cs="仿宋_GB2312"/>
          <w:kern w:val="0"/>
          <w:sz w:val="32"/>
          <w:szCs w:val="32"/>
          <w:shd w:val="clear" w:color="auto" w:fill="FFFFFF"/>
        </w:rPr>
        <w:t>项目共施划交通标线约40000平方米、新增隔离护栏1101米，新增信号灯5套，抓拍系统2套，改造信号灯线路4处，租赁线路176条，一方面，为公安机关稽查布控奠定了基础，也加大了交通违法行为处罚力度；另一方面，通过对信号灯维护、安装护栏及施划标线，提高了市城区主干道路通行能力和城市整体形象。</w:t>
      </w:r>
    </w:p>
    <w:p>
      <w:pPr>
        <w:spacing w:line="578" w:lineRule="exact"/>
        <w:ind w:firstLine="642" w:firstLineChars="200"/>
        <w:rPr>
          <w:rFonts w:ascii="仿宋_GB2312" w:hAnsi="楷体_GB2312" w:eastAsia="仿宋_GB2312" w:cs="楷体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民生保障</w:t>
      </w:r>
      <w:r>
        <w:rPr>
          <w:rFonts w:hint="eastAsia" w:ascii="仿宋_GB2312" w:eastAsia="仿宋_GB2312"/>
          <w:bCs/>
          <w:color w:val="000000"/>
          <w:kern w:val="0"/>
          <w:sz w:val="32"/>
          <w:szCs w:val="32"/>
          <w:shd w:val="clear" w:color="auto" w:fill="FFFFFF"/>
          <w:lang w:val="zh-CN"/>
        </w:rPr>
        <w:t>（30分）</w:t>
      </w:r>
      <w:r>
        <w:rPr>
          <w:rFonts w:hint="eastAsia" w:ascii="仿宋_GB2312" w:hAnsi="楷体_GB2312" w:eastAsia="仿宋_GB2312" w:cs="楷体_GB2312"/>
          <w:sz w:val="32"/>
          <w:szCs w:val="32"/>
          <w:lang w:val="zh-CN"/>
        </w:rPr>
        <w:t>。该项目属民生保障类项目，</w:t>
      </w:r>
      <w:r>
        <w:rPr>
          <w:rFonts w:hint="eastAsia" w:ascii="仿宋_GB2312" w:eastAsia="仿宋_GB2312"/>
          <w:sz w:val="32"/>
          <w:szCs w:val="32"/>
        </w:rPr>
        <w:t>本次交通管理设施严格按照国家标准进行，产品和安装设置符合质量技术监督等国家、部省相关部门颁布的相关的质量和技术要求标准，确保交通设施符合国家新标准，满足了城区交通管理需要，保障了车辆通行安全，提高了市城区主干道路通行能力，规范了拥堵路段路口的行车秩序，也改善了城市面貌，提高了驾驶员安全意识。</w:t>
      </w:r>
    </w:p>
    <w:p>
      <w:pPr>
        <w:tabs>
          <w:tab w:val="left" w:pos="984"/>
        </w:tabs>
        <w:spacing w:line="560" w:lineRule="exact"/>
        <w:ind w:firstLine="642" w:firstLineChars="200"/>
        <w:rPr>
          <w:rFonts w:ascii="仿宋_GB2312" w:eastAsia="仿宋_GB2312"/>
          <w:sz w:val="32"/>
          <w:szCs w:val="32"/>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eastAsia="仿宋_GB2312"/>
          <w:sz w:val="32"/>
          <w:szCs w:val="32"/>
        </w:rPr>
        <w:t>通过对城区高清卡口、超速抓拍、信号灯、电子警察、LED显示屏、各类安全提示标志牌等的维护，完善交通监控设施等交通管理设施，满足了交通需要和交通管理的实际需要，提高了城区道路交通通行能力，也改善了城市面貌。</w:t>
      </w:r>
    </w:p>
    <w:p>
      <w:pPr>
        <w:pStyle w:val="4"/>
        <w:spacing w:line="600" w:lineRule="exact"/>
        <w:ind w:firstLine="640" w:firstLineChars="200"/>
        <w:outlineLvl w:val="1"/>
        <w:rPr>
          <w:rFonts w:ascii="黑体" w:hAnsi="黑体" w:eastAsia="黑体"/>
          <w:sz w:val="32"/>
          <w:szCs w:val="32"/>
        </w:rPr>
      </w:pPr>
      <w:bookmarkStart w:id="61" w:name="_Toc32699"/>
      <w:bookmarkStart w:id="62" w:name="_Toc13948"/>
      <w:r>
        <w:rPr>
          <w:rFonts w:hint="eastAsia" w:ascii="黑体" w:hAnsi="黑体" w:eastAsia="黑体"/>
          <w:sz w:val="32"/>
          <w:szCs w:val="32"/>
        </w:rPr>
        <w:t>四、评价结论</w:t>
      </w:r>
      <w:bookmarkEnd w:id="61"/>
      <w:bookmarkEnd w:id="62"/>
    </w:p>
    <w:p>
      <w:pPr>
        <w:adjustRightInd w:val="0"/>
        <w:snapToGrid w:val="0"/>
        <w:spacing w:line="560" w:lineRule="exact"/>
        <w:ind w:firstLine="640" w:firstLineChars="200"/>
        <w:rPr>
          <w:rFonts w:ascii="仿宋_GB2312" w:hAnsi="宋体" w:eastAsia="仿宋_GB2312"/>
          <w:sz w:val="32"/>
          <w:szCs w:val="32"/>
          <w:lang w:val="zh-CN"/>
        </w:rPr>
      </w:pPr>
      <w:r>
        <w:rPr>
          <w:rFonts w:hint="eastAsia" w:ascii="仿宋_GB2312" w:hAnsi="仿宋_GB2312" w:eastAsia="仿宋_GB2312" w:cs="仿宋_GB2312"/>
          <w:sz w:val="32"/>
          <w:szCs w:val="32"/>
        </w:rPr>
        <w:t>从评价情况来看，该项目得分98分。项目的预算资金管理科学合理，使用规范，完成了项目的既定目标，达到了预期使用效果。</w:t>
      </w:r>
    </w:p>
    <w:p>
      <w:pPr>
        <w:pStyle w:val="4"/>
        <w:spacing w:line="600" w:lineRule="exact"/>
        <w:ind w:firstLine="640" w:firstLineChars="200"/>
        <w:outlineLvl w:val="1"/>
        <w:rPr>
          <w:rFonts w:ascii="黑体" w:hAnsi="黑体" w:eastAsia="黑体"/>
          <w:sz w:val="32"/>
          <w:szCs w:val="32"/>
        </w:rPr>
      </w:pPr>
      <w:bookmarkStart w:id="63" w:name="_Toc15228"/>
      <w:bookmarkStart w:id="64" w:name="_Toc8685"/>
      <w:r>
        <w:rPr>
          <w:rFonts w:hint="eastAsia" w:ascii="黑体" w:hAnsi="黑体" w:eastAsia="黑体"/>
          <w:sz w:val="32"/>
          <w:szCs w:val="32"/>
        </w:rPr>
        <w:t>五、存在主要问题</w:t>
      </w:r>
      <w:bookmarkEnd w:id="63"/>
      <w:bookmarkEnd w:id="64"/>
    </w:p>
    <w:p>
      <w:pPr>
        <w:pStyle w:val="11"/>
        <w:spacing w:line="560" w:lineRule="exact"/>
        <w:ind w:left="0" w:leftChars="0" w:firstLine="645" w:firstLineChars="0"/>
      </w:pPr>
      <w:r>
        <w:rPr>
          <w:rFonts w:hint="eastAsia" w:hAnsi="宋体" w:cs="宋体"/>
        </w:rPr>
        <w:t>该项目未纳入年初部门预算，</w:t>
      </w:r>
      <w:r>
        <w:rPr>
          <w:rFonts w:hint="eastAsia"/>
        </w:rPr>
        <w:t>项目资金计划下达较迟，影响政府采购工作进度。</w:t>
      </w:r>
    </w:p>
    <w:p>
      <w:pPr>
        <w:pStyle w:val="4"/>
        <w:spacing w:line="600" w:lineRule="exact"/>
        <w:ind w:firstLine="640" w:firstLineChars="200"/>
        <w:outlineLvl w:val="1"/>
        <w:rPr>
          <w:rFonts w:ascii="黑体" w:hAnsi="黑体" w:eastAsia="黑体"/>
          <w:sz w:val="32"/>
          <w:szCs w:val="32"/>
          <w:lang w:val="zh-CN"/>
        </w:rPr>
      </w:pPr>
      <w:bookmarkStart w:id="65" w:name="_Toc26702"/>
      <w:bookmarkStart w:id="66" w:name="_Toc19860"/>
      <w:r>
        <w:rPr>
          <w:rFonts w:hint="eastAsia" w:ascii="黑体" w:hAnsi="黑体" w:eastAsia="黑体"/>
          <w:sz w:val="32"/>
          <w:szCs w:val="32"/>
          <w:lang w:val="zh-CN"/>
        </w:rPr>
        <w:t>六、改进建议</w:t>
      </w:r>
      <w:bookmarkEnd w:id="65"/>
      <w:bookmarkEnd w:id="66"/>
    </w:p>
    <w:p>
      <w:pPr>
        <w:tabs>
          <w:tab w:val="left" w:pos="1911"/>
        </w:tabs>
        <w:ind w:firstLine="510"/>
        <w:jc w:val="left"/>
        <w:rPr>
          <w:rFonts w:ascii="仿宋_GB2312" w:hAnsi="宋体" w:eastAsia="仿宋_GB2312" w:cs="宋体"/>
          <w:sz w:val="32"/>
          <w:szCs w:val="32"/>
        </w:rPr>
      </w:pPr>
      <w:r>
        <w:rPr>
          <w:rFonts w:hint="eastAsia" w:ascii="仿宋_GB2312" w:hAnsi="宋体" w:eastAsia="仿宋_GB2312" w:cs="宋体"/>
          <w:sz w:val="32"/>
          <w:szCs w:val="32"/>
        </w:rPr>
        <w:t>建议将城区交通管理设施专项经费纳入部门预算，方便项目的采购、规划和及时实施。</w:t>
      </w:r>
    </w:p>
    <w:p>
      <w:pPr>
        <w:tabs>
          <w:tab w:val="left" w:pos="1911"/>
        </w:tabs>
        <w:ind w:firstLine="510"/>
        <w:jc w:val="left"/>
        <w:rPr>
          <w:rFonts w:ascii="仿宋_GB2312" w:hAnsi="宋体" w:eastAsia="仿宋_GB2312" w:cs="宋体"/>
          <w:sz w:val="32"/>
          <w:szCs w:val="32"/>
        </w:rPr>
      </w:pPr>
    </w:p>
    <w:p>
      <w:pPr>
        <w:snapToGrid w:val="0"/>
        <w:spacing w:line="578" w:lineRule="exact"/>
        <w:ind w:firstLine="1600" w:firstLineChars="500"/>
        <w:rPr>
          <w:rFonts w:ascii="仿宋_GB2312" w:eastAsia="仿宋_GB2312"/>
          <w:color w:val="000000"/>
          <w:kern w:val="0"/>
          <w:sz w:val="32"/>
          <w:szCs w:val="32"/>
          <w:shd w:val="clear" w:color="auto" w:fill="FFFFFF"/>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snapToGrid w:val="0"/>
        <w:spacing w:line="578" w:lineRule="exact"/>
        <w:ind w:firstLine="3840" w:firstLineChars="1200"/>
        <w:rPr>
          <w:rFonts w:ascii="仿宋_GB2312" w:eastAsia="仿宋_GB2312"/>
          <w:color w:val="000000"/>
          <w:kern w:val="0"/>
          <w:sz w:val="32"/>
          <w:szCs w:val="32"/>
          <w:shd w:val="clear" w:color="auto" w:fill="FFFFFF"/>
        </w:rPr>
      </w:pPr>
    </w:p>
    <w:p>
      <w:pPr>
        <w:rPr>
          <w:rFonts w:ascii="黑体" w:hAnsi="黑体" w:eastAsia="黑体"/>
          <w:sz w:val="36"/>
          <w:szCs w:val="36"/>
        </w:rPr>
      </w:pPr>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2023年道路交通事故救助管理中心工作</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67" w:name="_Toc30294"/>
      <w:bookmarkStart w:id="68" w:name="_Toc24411"/>
      <w:r>
        <w:rPr>
          <w:rFonts w:hint="eastAsia" w:ascii="黑体" w:hAnsi="黑体" w:eastAsia="黑体"/>
          <w:sz w:val="32"/>
          <w:szCs w:val="32"/>
        </w:rPr>
        <w:t>一、</w:t>
      </w:r>
      <w:r>
        <w:rPr>
          <w:rFonts w:hint="eastAsia" w:ascii="黑体" w:hAnsi="黑体" w:eastAsia="黑体"/>
          <w:sz w:val="32"/>
          <w:szCs w:val="32"/>
          <w:lang w:val="zh-CN"/>
        </w:rPr>
        <w:t>项目概况</w:t>
      </w:r>
      <w:bookmarkEnd w:id="67"/>
      <w:bookmarkEnd w:id="68"/>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根据《四川省道路交通事故社会救助基金管理试行办法》第六条、第七条之规定建立救助基金管理机构“救助基金管理中心”，该中心原则上设在各级公安机关交通管理部门，具体负责本级救助基金日常管理工作。职能有：一是受理、审核垫付申请，并依法垫付；二是依法追偿垫付款；三是其他管理救助基金的职责。</w:t>
      </w:r>
    </w:p>
    <w:p>
      <w:pPr>
        <w:adjustRightInd w:val="0"/>
        <w:snapToGrid w:val="0"/>
        <w:spacing w:line="578"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项目支持方向</w:t>
      </w:r>
      <w:r>
        <w:rPr>
          <w:rFonts w:hint="eastAsia" w:ascii="仿宋_GB2312" w:hAnsi="仿宋_GB2312" w:eastAsia="仿宋_GB2312" w:cs="仿宋_GB2312"/>
          <w:sz w:val="32"/>
          <w:szCs w:val="32"/>
        </w:rPr>
        <w:t>是资料印刷、出差及宣传工作等；旨在降低死亡率，减轻受伤者经济压力。</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宋体" w:eastAsia="仿宋_GB2312"/>
          <w:sz w:val="32"/>
          <w:szCs w:val="32"/>
          <w:lang w:val="zh-CN"/>
        </w:rPr>
        <w:t>项目预算10万元，根据“救助基金管理中心”的工作需要，切实保证基金管理机构的基本需求。</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各项目的差异性，使绩效目标内容完整，细化量化，可操作性强，与预算匹配。成立了以支队长任组长的项目自评领导小组，下设办公室具体负责自评工作，采取调阅资料的方式开展自评工作。</w:t>
      </w:r>
    </w:p>
    <w:p>
      <w:pPr>
        <w:adjustRightInd w:val="0"/>
        <w:snapToGrid w:val="0"/>
        <w:spacing w:line="578" w:lineRule="exact"/>
        <w:ind w:firstLine="640" w:firstLineChars="200"/>
        <w:outlineLvl w:val="1"/>
        <w:rPr>
          <w:rFonts w:ascii="黑体" w:hAnsi="黑体" w:eastAsia="黑体"/>
          <w:sz w:val="32"/>
          <w:szCs w:val="32"/>
        </w:rPr>
      </w:pPr>
      <w:bookmarkStart w:id="69" w:name="_Toc18818"/>
      <w:bookmarkStart w:id="70" w:name="_Toc30457"/>
      <w:r>
        <w:rPr>
          <w:rFonts w:hint="eastAsia" w:ascii="黑体" w:hAnsi="黑体" w:eastAsia="黑体"/>
          <w:sz w:val="32"/>
          <w:szCs w:val="32"/>
        </w:rPr>
        <w:t>二、评价实施</w:t>
      </w:r>
      <w:bookmarkEnd w:id="69"/>
      <w:bookmarkEnd w:id="70"/>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adjustRightInd w:val="0"/>
        <w:snapToGrid w:val="0"/>
        <w:spacing w:line="578" w:lineRule="exact"/>
        <w:ind w:firstLine="642" w:firstLineChars="200"/>
        <w:rPr>
          <w:rFonts w:ascii="仿宋_GB2312" w:hAnsi="仿宋" w:eastAsia="仿宋_GB2312" w:cs="仿宋"/>
          <w:color w:val="000000" w:themeColor="text1"/>
          <w:sz w:val="32"/>
          <w:szCs w:val="32"/>
          <w:lang w:val="zh-CN"/>
          <w14:textFill>
            <w14:solidFill>
              <w14:schemeClr w14:val="tx1"/>
            </w14:solidFill>
          </w14:textFill>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项目实施可能会出现</w:t>
      </w:r>
      <w:r>
        <w:rPr>
          <w:rFonts w:hint="eastAsia" w:ascii="仿宋_GB2312" w:hAnsi="仿宋" w:eastAsia="仿宋_GB2312" w:cs="仿宋"/>
          <w:color w:val="000000" w:themeColor="text1"/>
          <w:sz w:val="32"/>
          <w:szCs w:val="32"/>
          <w:lang w:val="zh-CN"/>
          <w14:textFill>
            <w14:solidFill>
              <w14:schemeClr w14:val="tx1"/>
            </w14:solidFill>
          </w14:textFill>
        </w:rPr>
        <w:t>宣传不到位，资金使用率不高的情况，评价重点在于实际救助人数的多少。</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通过调取交通事故资料的方式，查看是否发放给符合救助条件的人员。</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该项目采取了调阅资料和电话访问的方式开展自评工作。</w:t>
      </w:r>
    </w:p>
    <w:p>
      <w:pPr>
        <w:adjustRightInd w:val="0"/>
        <w:snapToGrid w:val="0"/>
        <w:spacing w:line="600" w:lineRule="exact"/>
        <w:ind w:firstLine="720"/>
        <w:rPr>
          <w:rFonts w:ascii="仿宋_GB2312" w:eastAsia="仿宋_GB2312"/>
          <w:bCs/>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adjustRightInd w:val="0"/>
        <w:snapToGrid w:val="0"/>
        <w:spacing w:line="578" w:lineRule="exact"/>
        <w:ind w:firstLine="640" w:firstLineChars="200"/>
        <w:outlineLvl w:val="1"/>
        <w:rPr>
          <w:rFonts w:ascii="黑体" w:hAnsi="黑体" w:eastAsia="黑体"/>
          <w:sz w:val="32"/>
          <w:szCs w:val="32"/>
          <w:lang w:val="zh-CN"/>
        </w:rPr>
      </w:pPr>
      <w:bookmarkStart w:id="71" w:name="_Toc21383"/>
      <w:bookmarkStart w:id="72" w:name="_Toc31821"/>
      <w:r>
        <w:rPr>
          <w:rFonts w:hint="eastAsia" w:ascii="黑体" w:hAnsi="黑体" w:eastAsia="黑体"/>
          <w:sz w:val="32"/>
          <w:szCs w:val="32"/>
        </w:rPr>
        <w:t>三、绩效分析</w:t>
      </w:r>
      <w:bookmarkEnd w:id="71"/>
      <w:bookmarkEnd w:id="72"/>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_GB2312" w:eastAsia="仿宋_GB2312" w:cs="楷体_GB2312"/>
          <w:sz w:val="32"/>
          <w:szCs w:val="32"/>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该项目由科室就项目具体内容、所需资金、工作目标等形成报告，报告提交交警支队党总支会议审核，审核通过后根据财政批复情况由部门具体进行实施。</w:t>
      </w:r>
      <w:r>
        <w:rPr>
          <w:rFonts w:hint="eastAsia" w:ascii="仿宋_GB2312" w:hAnsi="楷体_GB2312" w:eastAsia="仿宋_GB2312" w:cs="楷体_GB2312"/>
          <w:sz w:val="32"/>
          <w:szCs w:val="32"/>
        </w:rPr>
        <w:t xml:space="preserve">  </w:t>
      </w:r>
    </w:p>
    <w:p>
      <w:pPr>
        <w:ind w:firstLine="640" w:firstLineChars="200"/>
        <w:rPr>
          <w:rFonts w:ascii="仿宋_GB2312" w:hAnsi="宋体" w:eastAsia="仿宋_GB2312"/>
          <w:sz w:val="32"/>
          <w:szCs w:val="32"/>
          <w:lang w:val="zh-CN"/>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lang w:val="zh-CN"/>
        </w:rPr>
        <w:t>该项目具体实施部门为事故处理科，事故科负责业务监督和指导，支队财务部门负责费用的审核和支付。</w:t>
      </w:r>
    </w:p>
    <w:p>
      <w:pPr>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3.项目实施（9分）。</w:t>
      </w:r>
      <w:r>
        <w:rPr>
          <w:rFonts w:hint="eastAsia" w:ascii="仿宋_GB2312" w:hAnsi="宋体" w:eastAsia="仿宋_GB2312"/>
          <w:sz w:val="32"/>
          <w:szCs w:val="32"/>
          <w:lang w:val="zh-CN"/>
        </w:rPr>
        <w:t>该项目资金执行率为100%，项目严格按照相关要求进行支付，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使用审批”、“预算执行”、“管理监督”三个环节，硬化预算约束，做到了“专款专用”。</w:t>
      </w:r>
    </w:p>
    <w:p>
      <w:pPr>
        <w:pStyle w:val="23"/>
        <w:ind w:firstLine="640" w:firstLineChars="200"/>
        <w:rPr>
          <w:rFonts w:ascii="仿宋_GB2312" w:hAnsi="宋体" w:eastAsia="仿宋_GB2312"/>
          <w:color w:val="auto"/>
          <w:kern w:val="2"/>
          <w:sz w:val="32"/>
          <w:szCs w:val="32"/>
        </w:rPr>
      </w:pPr>
      <w:r>
        <w:rPr>
          <w:rFonts w:hint="eastAsia" w:ascii="仿宋_GB2312" w:hAnsi="楷体_GB2312" w:eastAsia="仿宋_GB2312" w:cs="楷体_GB2312"/>
          <w:color w:val="auto"/>
          <w:kern w:val="2"/>
          <w:sz w:val="32"/>
          <w:szCs w:val="32"/>
          <w:lang w:val="en-US"/>
        </w:rPr>
        <w:t>4.项目结果</w:t>
      </w:r>
      <w:r>
        <w:rPr>
          <w:rFonts w:hint="eastAsia" w:ascii="仿宋_GB2312" w:hAnsi="楷体_GB2312" w:eastAsia="仿宋_GB2312" w:cs="楷体_GB2312"/>
          <w:sz w:val="32"/>
          <w:szCs w:val="32"/>
        </w:rPr>
        <w:t>（9分）</w:t>
      </w:r>
      <w:r>
        <w:rPr>
          <w:rFonts w:hint="eastAsia" w:ascii="仿宋_GB2312" w:hAnsi="楷体_GB2312" w:eastAsia="仿宋_GB2312" w:cs="楷体_GB2312"/>
          <w:color w:val="auto"/>
          <w:kern w:val="2"/>
          <w:sz w:val="32"/>
          <w:szCs w:val="32"/>
          <w:lang w:val="en-US"/>
        </w:rPr>
        <w:t>。</w:t>
      </w:r>
      <w:r>
        <w:rPr>
          <w:rFonts w:hint="eastAsia" w:ascii="仿宋_GB2312" w:hAnsi="宋体" w:eastAsia="仿宋_GB2312"/>
          <w:color w:val="auto"/>
          <w:kern w:val="2"/>
          <w:sz w:val="32"/>
          <w:szCs w:val="32"/>
        </w:rPr>
        <w:t>2023年，共为交通事故中符合救助条件10人垫付了医疗费用48.8万元，</w:t>
      </w:r>
    </w:p>
    <w:p>
      <w:pPr>
        <w:spacing w:line="578" w:lineRule="exact"/>
        <w:ind w:firstLine="642" w:firstLineChars="200"/>
        <w:rPr>
          <w:rFonts w:ascii="仿宋_GB2312" w:hAnsi="楷体_GB2312" w:eastAsia="仿宋_GB2312" w:cs="楷体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行政运转（30分）。该项目资金属行政运转类项目，该项目资金主要用于资料印刷、交通事故出差等费用，资金用途合规，程序审批严密合规，不存在违规使用的情况。</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hAnsi="仿宋_GB2312" w:eastAsia="仿宋_GB2312" w:cs="仿宋_GB2312"/>
          <w:sz w:val="32"/>
          <w:szCs w:val="32"/>
        </w:rPr>
        <w:t>通过项目实施，让交通事故中符合救助的伤员得到及时治疗，大大降低了事故的死亡率，死亡人员得到及时安葬，</w:t>
      </w:r>
      <w:r>
        <w:rPr>
          <w:rFonts w:hint="eastAsia" w:ascii="仿宋_GB2312" w:hAnsi="宋体" w:eastAsia="仿宋_GB2312" w:cs="宋体"/>
          <w:kern w:val="0"/>
          <w:sz w:val="32"/>
          <w:szCs w:val="32"/>
        </w:rPr>
        <w:t>有效保护道路交通事故中受害人的合法权益，解决医疗机构的后顾之忧，保障事故当事双方得到政府关怀，</w:t>
      </w:r>
      <w:r>
        <w:rPr>
          <w:rFonts w:hint="eastAsia" w:ascii="仿宋_GB2312" w:hAnsi="宋体" w:eastAsia="仿宋_GB2312" w:cs="宋体"/>
          <w:kern w:val="0"/>
          <w:sz w:val="32"/>
          <w:szCs w:val="32"/>
          <w:shd w:val="clear" w:color="auto" w:fill="FFFFFF"/>
          <w:lang w:val="zh-CN"/>
        </w:rPr>
        <w:t>缓解了受害家庭生活陷入困难，</w:t>
      </w:r>
      <w:r>
        <w:rPr>
          <w:rFonts w:hint="eastAsia" w:ascii="仿宋_GB2312" w:hAnsi="宋体" w:eastAsia="仿宋_GB2312" w:cs="宋体"/>
          <w:kern w:val="0"/>
          <w:sz w:val="32"/>
          <w:szCs w:val="32"/>
        </w:rPr>
        <w:t>降低道路交通事故引发的社会问题，</w:t>
      </w:r>
      <w:r>
        <w:rPr>
          <w:rFonts w:hint="eastAsia" w:ascii="仿宋_GB2312" w:hAnsi="宋体" w:eastAsia="仿宋_GB2312" w:cs="宋体"/>
          <w:kern w:val="0"/>
          <w:sz w:val="32"/>
          <w:szCs w:val="32"/>
          <w:shd w:val="clear" w:color="auto" w:fill="FFFFFF"/>
          <w:lang w:val="zh-CN"/>
        </w:rPr>
        <w:t>道路交通事故救助基金逐步成为广大群众看得见、摸得着、想得起、用得上的惠民政策</w:t>
      </w:r>
      <w:r>
        <w:rPr>
          <w:rFonts w:hint="eastAsia" w:ascii="仿宋_GB2312" w:eastAsia="仿宋_GB2312"/>
          <w:sz w:val="32"/>
          <w:szCs w:val="32"/>
          <w:lang w:val="zh-CN"/>
        </w:rPr>
        <w:t>。</w:t>
      </w:r>
    </w:p>
    <w:p>
      <w:pPr>
        <w:pStyle w:val="4"/>
        <w:spacing w:line="600" w:lineRule="exact"/>
        <w:ind w:firstLine="640" w:firstLineChars="200"/>
        <w:outlineLvl w:val="1"/>
        <w:rPr>
          <w:rFonts w:ascii="黑体" w:hAnsi="黑体" w:eastAsia="黑体"/>
          <w:sz w:val="32"/>
          <w:szCs w:val="32"/>
        </w:rPr>
      </w:pPr>
      <w:bookmarkStart w:id="73" w:name="_Toc69"/>
      <w:bookmarkStart w:id="74" w:name="_Toc10046"/>
      <w:r>
        <w:rPr>
          <w:rFonts w:hint="eastAsia" w:ascii="黑体" w:hAnsi="黑体" w:eastAsia="黑体"/>
          <w:sz w:val="32"/>
          <w:szCs w:val="32"/>
        </w:rPr>
        <w:t>四、评价结论</w:t>
      </w:r>
      <w:bookmarkEnd w:id="73"/>
      <w:bookmarkEnd w:id="74"/>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从评价情况来看，项目的预算资金管理科学合理，使用规范，完成了项目的既定目标，达到了预期使用效果，得分是100分。</w:t>
      </w:r>
    </w:p>
    <w:p>
      <w:pPr>
        <w:pStyle w:val="4"/>
        <w:spacing w:line="600" w:lineRule="exact"/>
        <w:ind w:firstLine="640" w:firstLineChars="200"/>
        <w:outlineLvl w:val="1"/>
        <w:rPr>
          <w:rFonts w:ascii="黑体" w:hAnsi="黑体" w:eastAsia="黑体"/>
          <w:sz w:val="32"/>
          <w:szCs w:val="32"/>
        </w:rPr>
      </w:pPr>
      <w:bookmarkStart w:id="75" w:name="_Toc13626"/>
      <w:bookmarkStart w:id="76" w:name="_Toc31602"/>
      <w:r>
        <w:rPr>
          <w:rFonts w:hint="eastAsia" w:ascii="黑体" w:hAnsi="黑体" w:eastAsia="黑体"/>
          <w:sz w:val="32"/>
          <w:szCs w:val="32"/>
        </w:rPr>
        <w:t>五、存在主要问题</w:t>
      </w:r>
      <w:bookmarkEnd w:id="75"/>
      <w:bookmarkEnd w:id="76"/>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仿宋_GB2312" w:eastAsia="仿宋_GB2312" w:cs="仿宋_GB2312"/>
          <w:sz w:val="32"/>
          <w:szCs w:val="32"/>
        </w:rPr>
        <w:t>由于宣传还不到位，许多符合条件的救助者还不知道道路事故救助基金的存在，无法享受到国家给予的福利政策。</w:t>
      </w:r>
    </w:p>
    <w:p>
      <w:pPr>
        <w:pStyle w:val="4"/>
        <w:spacing w:line="600" w:lineRule="exact"/>
        <w:ind w:firstLine="640" w:firstLineChars="200"/>
        <w:outlineLvl w:val="1"/>
        <w:rPr>
          <w:rFonts w:ascii="黑体" w:hAnsi="黑体" w:eastAsia="黑体"/>
          <w:sz w:val="32"/>
          <w:szCs w:val="32"/>
          <w:lang w:val="zh-CN"/>
        </w:rPr>
      </w:pPr>
      <w:bookmarkStart w:id="77" w:name="_Toc27615"/>
      <w:bookmarkStart w:id="78" w:name="_Toc5265"/>
      <w:r>
        <w:rPr>
          <w:rFonts w:hint="eastAsia" w:ascii="黑体" w:hAnsi="黑体" w:eastAsia="黑体"/>
          <w:sz w:val="32"/>
          <w:szCs w:val="32"/>
          <w:lang w:val="zh-CN"/>
        </w:rPr>
        <w:t>六、改进建议</w:t>
      </w:r>
      <w:bookmarkEnd w:id="77"/>
      <w:bookmarkEnd w:id="78"/>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加大宣传力度，让更多符合条件的救助者受益。</w:t>
      </w:r>
    </w:p>
    <w:p>
      <w:pPr>
        <w:tabs>
          <w:tab w:val="left" w:pos="1911"/>
        </w:tabs>
        <w:jc w:val="left"/>
        <w:rPr>
          <w:rFonts w:ascii="仿宋_GB2312" w:hAnsi="仿宋_GB2312" w:eastAsia="仿宋_GB2312" w:cs="仿宋_GB2312"/>
          <w:kern w:val="0"/>
          <w:sz w:val="32"/>
          <w:szCs w:val="32"/>
        </w:rPr>
      </w:pPr>
    </w:p>
    <w:p>
      <w:pPr>
        <w:snapToGrid w:val="0"/>
        <w:spacing w:line="578" w:lineRule="exact"/>
        <w:rPr>
          <w:rFonts w:ascii="仿宋_GB2312" w:eastAsia="仿宋_GB2312"/>
          <w:color w:val="000000"/>
          <w:kern w:val="0"/>
          <w:sz w:val="32"/>
          <w:szCs w:val="32"/>
          <w:shd w:val="clear" w:color="auto" w:fill="FFFFFF"/>
        </w:rPr>
      </w:pPr>
    </w:p>
    <w:p>
      <w:pPr>
        <w:snapToGrid w:val="0"/>
        <w:spacing w:line="578" w:lineRule="exact"/>
        <w:ind w:firstLine="3200" w:firstLineChars="1000"/>
        <w:rPr>
          <w:rFonts w:ascii="仿宋_GB2312" w:eastAsia="仿宋_GB2312"/>
          <w:color w:val="000000"/>
          <w:kern w:val="0"/>
          <w:sz w:val="32"/>
          <w:szCs w:val="32"/>
          <w:shd w:val="clear" w:color="auto" w:fill="FFFFFF"/>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snapToGrid w:val="0"/>
        <w:spacing w:line="578" w:lineRule="exact"/>
        <w:ind w:firstLine="1600" w:firstLineChars="500"/>
        <w:rPr>
          <w:rFonts w:ascii="仿宋_GB2312" w:eastAsia="仿宋_GB2312"/>
          <w:color w:val="000000"/>
          <w:kern w:val="0"/>
          <w:sz w:val="32"/>
          <w:szCs w:val="32"/>
          <w:shd w:val="clear" w:color="auto" w:fill="FFFFFF"/>
        </w:rPr>
      </w:pPr>
    </w:p>
    <w:p>
      <w:pPr>
        <w:snapToGrid w:val="0"/>
        <w:spacing w:line="578" w:lineRule="exact"/>
        <w:rPr>
          <w:color w:val="000000"/>
          <w:kern w:val="0"/>
          <w:shd w:val="clear" w:color="auto" w:fill="FFFFFF"/>
          <w:lang w:val="zh-CN"/>
        </w:rPr>
      </w:pPr>
    </w:p>
    <w:p>
      <w:pPr>
        <w:snapToGrid w:val="0"/>
        <w:spacing w:line="578" w:lineRule="exact"/>
        <w:rPr>
          <w:color w:val="000000"/>
          <w:kern w:val="0"/>
          <w:shd w:val="clear" w:color="auto" w:fill="FFFFFF"/>
          <w:lang w:val="zh-CN"/>
        </w:rPr>
      </w:pPr>
    </w:p>
    <w:p>
      <w:pPr>
        <w:snapToGrid w:val="0"/>
        <w:spacing w:line="578" w:lineRule="exact"/>
        <w:rPr>
          <w:color w:val="000000"/>
          <w:kern w:val="0"/>
          <w:shd w:val="clear" w:color="auto" w:fill="FFFFFF"/>
          <w:lang w:val="zh-CN"/>
        </w:rPr>
      </w:pPr>
    </w:p>
    <w:p>
      <w:pPr>
        <w:snapToGrid w:val="0"/>
        <w:spacing w:line="578" w:lineRule="exact"/>
        <w:rPr>
          <w:color w:val="000000"/>
          <w:kern w:val="0"/>
          <w:shd w:val="clear" w:color="auto" w:fill="FFFFFF"/>
          <w:lang w:val="zh-CN"/>
        </w:rPr>
      </w:pPr>
    </w:p>
    <w:p>
      <w:pPr>
        <w:snapToGrid w:val="0"/>
        <w:spacing w:line="578" w:lineRule="exact"/>
        <w:rPr>
          <w:color w:val="000000"/>
          <w:kern w:val="0"/>
          <w:shd w:val="clear" w:color="auto" w:fill="FFFFFF"/>
          <w:lang w:val="zh-CN"/>
        </w:rPr>
      </w:pPr>
    </w:p>
    <w:p>
      <w:pPr>
        <w:snapToGrid w:val="0"/>
        <w:spacing w:line="578" w:lineRule="exact"/>
        <w:rPr>
          <w:color w:val="000000"/>
          <w:kern w:val="0"/>
          <w:shd w:val="clear" w:color="auto" w:fill="FFFFFF"/>
          <w:lang w:val="zh-CN"/>
        </w:rPr>
      </w:pPr>
    </w:p>
    <w:p>
      <w:pPr>
        <w:snapToGrid w:val="0"/>
        <w:spacing w:line="578" w:lineRule="exact"/>
        <w:rPr>
          <w:color w:val="000000"/>
          <w:kern w:val="0"/>
          <w:shd w:val="clear" w:color="auto" w:fill="FFFFFF"/>
          <w:lang w:val="zh-CN"/>
        </w:rPr>
      </w:pPr>
    </w:p>
    <w:p>
      <w:pPr>
        <w:snapToGrid w:val="0"/>
        <w:spacing w:line="578" w:lineRule="exact"/>
        <w:rPr>
          <w:color w:val="000000"/>
          <w:kern w:val="0"/>
          <w:shd w:val="clear" w:color="auto" w:fill="FFFFFF"/>
          <w:lang w:val="zh-CN"/>
        </w:rPr>
      </w:pPr>
    </w:p>
    <w:p>
      <w:pPr>
        <w:snapToGrid w:val="0"/>
        <w:spacing w:line="578" w:lineRule="exact"/>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 xml:space="preserve"> </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2023</w:t>
      </w:r>
      <w:r>
        <w:rPr>
          <w:rFonts w:hint="eastAsia" w:ascii="方正小标宋简体" w:hAnsi="方正小标宋简体" w:eastAsia="方正小标宋简体" w:cs="方正小标宋简体"/>
          <w:color w:val="auto"/>
          <w:kern w:val="2"/>
          <w:sz w:val="44"/>
          <w:szCs w:val="44"/>
          <w:lang w:val="en-US"/>
        </w:rPr>
        <w:t>年</w:t>
      </w:r>
      <w:r>
        <w:rPr>
          <w:rFonts w:ascii="方正小标宋简体" w:hAnsi="方正小标宋简体" w:eastAsia="方正小标宋简体" w:cs="方正小标宋简体"/>
          <w:color w:val="auto"/>
          <w:kern w:val="2"/>
          <w:sz w:val="44"/>
          <w:szCs w:val="44"/>
          <w:lang w:val="en-US"/>
        </w:rPr>
        <w:t>电梯采购</w:t>
      </w:r>
      <w:r>
        <w:rPr>
          <w:rFonts w:hint="eastAsia" w:ascii="方正小标宋简体" w:hAnsi="方正小标宋简体" w:eastAsia="方正小标宋简体" w:cs="方正小标宋简体"/>
          <w:color w:val="auto"/>
          <w:kern w:val="2"/>
          <w:sz w:val="44"/>
          <w:szCs w:val="44"/>
          <w:lang w:val="en-US"/>
        </w:rPr>
        <w:t>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79" w:name="_Toc20267"/>
      <w:bookmarkStart w:id="80" w:name="_Toc11415"/>
      <w:r>
        <w:rPr>
          <w:rFonts w:hint="eastAsia" w:ascii="黑体" w:hAnsi="黑体" w:eastAsia="黑体"/>
          <w:sz w:val="32"/>
          <w:szCs w:val="32"/>
        </w:rPr>
        <w:t>一、</w:t>
      </w:r>
      <w:r>
        <w:rPr>
          <w:rFonts w:hint="eastAsia" w:ascii="黑体" w:hAnsi="黑体" w:eastAsia="黑体"/>
          <w:sz w:val="32"/>
          <w:szCs w:val="32"/>
          <w:lang w:val="zh-CN"/>
        </w:rPr>
        <w:t>项目概况</w:t>
      </w:r>
      <w:bookmarkEnd w:id="79"/>
      <w:bookmarkEnd w:id="80"/>
    </w:p>
    <w:p>
      <w:pPr>
        <w:snapToGrid w:val="0"/>
        <w:spacing w:line="576" w:lineRule="exact"/>
        <w:ind w:firstLine="629" w:firstLineChars="196"/>
        <w:jc w:val="left"/>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根据日常办公需要，依照广元市政府办《关于同意市公安局交警支队办公用房加装电梯的批复》（广机关事务〔2022〕37号），</w:t>
      </w:r>
      <w:r>
        <w:rPr>
          <w:rFonts w:hint="eastAsia" w:ascii="仿宋_GB2312" w:eastAsia="仿宋_GB2312"/>
          <w:sz w:val="32"/>
          <w:szCs w:val="32"/>
        </w:rPr>
        <w:t>对一大队及三大队办公用房加装电梯。</w:t>
      </w:r>
    </w:p>
    <w:p>
      <w:pPr>
        <w:adjustRightInd w:val="0"/>
        <w:snapToGrid w:val="0"/>
        <w:spacing w:line="578" w:lineRule="exact"/>
        <w:ind w:firstLine="642" w:firstLineChars="200"/>
        <w:rPr>
          <w:rFonts w:ascii="仿宋_GB2312" w:hAnsi="宋体" w:eastAsia="仿宋_GB2312"/>
          <w:b/>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w:t>
      </w:r>
      <w:r>
        <w:rPr>
          <w:rFonts w:hint="eastAsia" w:ascii="仿宋_GB2312" w:eastAsia="仿宋_GB2312"/>
          <w:sz w:val="32"/>
          <w:szCs w:val="32"/>
        </w:rPr>
        <w:t>项目的主要内容是对一大队及三大队办公用房加装电梯，旨在改善办公环境，提高办公效率。</w:t>
      </w:r>
    </w:p>
    <w:p>
      <w:pPr>
        <w:widowControl/>
        <w:adjustRightInd w:val="0"/>
        <w:snapToGrid w:val="0"/>
        <w:spacing w:line="578" w:lineRule="exact"/>
        <w:ind w:firstLine="642" w:firstLineChars="200"/>
        <w:contextualSpacing/>
        <w:jc w:val="left"/>
        <w:rPr>
          <w:rFonts w:ascii="仿宋_GB2312" w:hAnsi="仿宋_GB2312" w:eastAsia="仿宋_GB2312" w:cs="仿宋_GB2312"/>
          <w:kern w:val="0"/>
          <w:sz w:val="32"/>
          <w:szCs w:val="32"/>
          <w:shd w:val="clear" w:color="auto" w:fill="FFFFFF"/>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仿宋_GB2312" w:eastAsia="仿宋_GB2312" w:cs="仿宋_GB2312"/>
          <w:kern w:val="0"/>
          <w:sz w:val="32"/>
          <w:szCs w:val="32"/>
          <w:shd w:val="clear" w:color="auto" w:fill="FFFFFF"/>
          <w:lang w:val="zh-CN"/>
        </w:rPr>
        <w:t>项目资金安排62.8万元，项目资金用于购置电梯及相关费用。</w:t>
      </w:r>
    </w:p>
    <w:p>
      <w:pPr>
        <w:adjustRightInd w:val="0"/>
        <w:snapToGrid w:val="0"/>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项目的差异性，使绩效目标内容完整，细化量化，可操作性强，与预算匹配。成立了以支队长任组长的项目自评领导小组，下设办公室具体负责自评工作，采取调阅资料、现场查看等方式开展自评工作</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578" w:lineRule="exact"/>
        <w:ind w:firstLine="640" w:firstLineChars="200"/>
        <w:outlineLvl w:val="1"/>
        <w:rPr>
          <w:rFonts w:ascii="黑体" w:hAnsi="黑体" w:eastAsia="黑体"/>
          <w:sz w:val="32"/>
          <w:szCs w:val="32"/>
        </w:rPr>
      </w:pPr>
      <w:bookmarkStart w:id="81" w:name="_Toc14393"/>
      <w:bookmarkStart w:id="82" w:name="_Toc3215"/>
      <w:r>
        <w:rPr>
          <w:rFonts w:hint="eastAsia" w:ascii="黑体" w:hAnsi="黑体" w:eastAsia="黑体"/>
          <w:sz w:val="32"/>
          <w:szCs w:val="32"/>
        </w:rPr>
        <w:t>二、评价实施</w:t>
      </w:r>
      <w:bookmarkEnd w:id="81"/>
      <w:bookmarkEnd w:id="82"/>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spacing w:line="578" w:lineRule="exact"/>
        <w:ind w:firstLine="640"/>
        <w:rPr>
          <w:rFonts w:ascii="仿宋_GB2312" w:hAnsi="微软雅黑" w:eastAsia="仿宋_GB2312" w:cs="微软雅黑"/>
          <w:sz w:val="32"/>
          <w:szCs w:val="32"/>
        </w:rPr>
      </w:pPr>
      <w:r>
        <w:rPr>
          <w:rFonts w:hint="eastAsia" w:ascii="仿宋_GB2312" w:hAnsi="宋体" w:eastAsia="仿宋_GB2312"/>
          <w:b/>
          <w:sz w:val="32"/>
          <w:szCs w:val="32"/>
          <w:lang w:val="zh-CN"/>
        </w:rPr>
        <w:t>（二）预设问题及评价重点。</w:t>
      </w:r>
      <w:r>
        <w:rPr>
          <w:rFonts w:hint="eastAsia" w:ascii="仿宋_GB2312" w:eastAsia="仿宋_GB2312"/>
          <w:sz w:val="32"/>
          <w:szCs w:val="32"/>
        </w:rPr>
        <w:t>项目实施过程中可能出现工程进度</w:t>
      </w:r>
      <w:r>
        <w:rPr>
          <w:rFonts w:hint="eastAsia" w:ascii="仿宋_GB2312" w:hAnsi="微软雅黑" w:eastAsia="仿宋_GB2312" w:cs="微软雅黑"/>
          <w:sz w:val="32"/>
          <w:szCs w:val="32"/>
        </w:rPr>
        <w:t>慢，不及时的问题，评价重点在于加装电梯的验收情况，使用情况。</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通过实地勘察的形式，查看电梯安装情况及是否符合相关程序。</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w:t>
      </w:r>
      <w:r>
        <w:rPr>
          <w:rFonts w:hint="eastAsia" w:ascii="仿宋_GB2312" w:eastAsia="仿宋_GB2312"/>
          <w:sz w:val="32"/>
          <w:szCs w:val="32"/>
          <w:lang w:val="zh-CN"/>
        </w:rPr>
        <w:t>现场勘察及调阅资料</w:t>
      </w:r>
      <w:r>
        <w:rPr>
          <w:rFonts w:hint="eastAsia" w:ascii="仿宋_GB2312" w:eastAsia="仿宋_GB2312"/>
          <w:sz w:val="32"/>
          <w:szCs w:val="32"/>
        </w:rPr>
        <w:t>的方式开展自评工作。</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adjustRightInd w:val="0"/>
        <w:snapToGrid w:val="0"/>
        <w:spacing w:line="578" w:lineRule="exact"/>
        <w:ind w:firstLine="640" w:firstLineChars="200"/>
        <w:outlineLvl w:val="1"/>
        <w:rPr>
          <w:rFonts w:ascii="黑体" w:hAnsi="黑体" w:eastAsia="黑体"/>
          <w:sz w:val="32"/>
          <w:szCs w:val="32"/>
          <w:lang w:val="zh-CN"/>
        </w:rPr>
      </w:pPr>
      <w:bookmarkStart w:id="83" w:name="_Toc22010"/>
      <w:bookmarkStart w:id="84" w:name="_Toc29223"/>
      <w:r>
        <w:rPr>
          <w:rFonts w:hint="eastAsia" w:ascii="黑体" w:hAnsi="黑体" w:eastAsia="黑体"/>
          <w:sz w:val="32"/>
          <w:szCs w:val="32"/>
        </w:rPr>
        <w:t>三、绩效分析</w:t>
      </w:r>
      <w:bookmarkEnd w:id="83"/>
      <w:bookmarkEnd w:id="84"/>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相关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pPr>
        <w:spacing w:line="560" w:lineRule="exact"/>
        <w:ind w:firstLine="640" w:firstLineChars="200"/>
        <w:rPr>
          <w:rFonts w:ascii="仿宋_GB2312" w:eastAsia="仿宋_GB2312"/>
          <w:sz w:val="32"/>
          <w:szCs w:val="32"/>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eastAsia="仿宋_GB2312"/>
          <w:sz w:val="32"/>
          <w:szCs w:val="32"/>
        </w:rPr>
        <w:t>严格遵照《中华人民共和国招投标法》进行公开招标和采购，确保了支队项目规范采购，按期优质完成；同时，还安排了具体人员负责技术指导和监督，严格按照标准和合同，严把质量关、进度关，确保项目按期进行和达到预期目标。</w:t>
      </w:r>
    </w:p>
    <w:p>
      <w:pPr>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3.项目实施（9分）。</w:t>
      </w:r>
      <w:r>
        <w:rPr>
          <w:rFonts w:hint="eastAsia" w:ascii="仿宋_GB2312" w:hAnsi="宋体" w:eastAsia="仿宋_GB2312"/>
          <w:sz w:val="32"/>
          <w:szCs w:val="32"/>
          <w:lang w:val="zh-CN"/>
        </w:rPr>
        <w:t>该项目为政府采购项目，中标金额为62.8万元，项目资金执行率为100%，项目严格按照相关要求进行支付，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w:t>
      </w:r>
    </w:p>
    <w:p>
      <w:pPr>
        <w:pStyle w:val="9"/>
        <w:ind w:firstLine="480" w:firstLineChars="150"/>
        <w:rPr>
          <w:rFonts w:ascii="仿宋_GB2312"/>
        </w:rPr>
      </w:pPr>
      <w:r>
        <w:rPr>
          <w:rFonts w:hint="eastAsia" w:ascii="仿宋_GB2312"/>
        </w:rPr>
        <w:t>4.项目结果（9分）。电梯加装项目按时完成，改善了工作环境。</w:t>
      </w:r>
    </w:p>
    <w:p>
      <w:pPr>
        <w:spacing w:line="578" w:lineRule="exact"/>
        <w:ind w:firstLine="642" w:firstLineChars="200"/>
        <w:rPr>
          <w:rFonts w:ascii="仿宋_GB2312" w:hAnsi="楷体_GB2312" w:eastAsia="仿宋_GB2312" w:cs="楷体_GB2312"/>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rPr>
        <w:t>基础设施（30分）。该</w:t>
      </w:r>
      <w:r>
        <w:rPr>
          <w:rFonts w:hint="eastAsia" w:ascii="仿宋_GB2312" w:eastAsia="仿宋_GB2312"/>
          <w:sz w:val="32"/>
          <w:szCs w:val="32"/>
        </w:rPr>
        <w:t>严格遵照《中华人民共和国招投标法》进行公开招标和采购，确保了支队项目规范采购，按期优质完成。</w:t>
      </w:r>
    </w:p>
    <w:p>
      <w:pPr>
        <w:spacing w:line="578" w:lineRule="exact"/>
        <w:ind w:firstLine="640"/>
        <w:rPr>
          <w:rFonts w:ascii="仿宋_GB2312" w:eastAsia="仿宋_GB2312"/>
          <w:b/>
          <w:bCs/>
          <w:color w:val="000000"/>
          <w:kern w:val="0"/>
          <w:sz w:val="32"/>
          <w:szCs w:val="32"/>
          <w:shd w:val="clear" w:color="auto" w:fill="FFFFFF"/>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eastAsia="仿宋_GB2312"/>
          <w:bCs/>
          <w:color w:val="000000"/>
          <w:kern w:val="0"/>
          <w:sz w:val="32"/>
          <w:szCs w:val="32"/>
          <w:shd w:val="clear" w:color="auto" w:fill="FFFFFF"/>
          <w:lang w:val="zh-CN"/>
        </w:rPr>
        <w:t>通过项目实施，改善了办公环境，在一定程度上提高了办公效率。</w:t>
      </w:r>
    </w:p>
    <w:p>
      <w:pPr>
        <w:pStyle w:val="4"/>
        <w:spacing w:line="600" w:lineRule="exact"/>
        <w:ind w:firstLine="640" w:firstLineChars="200"/>
        <w:outlineLvl w:val="1"/>
        <w:rPr>
          <w:rFonts w:ascii="黑体" w:hAnsi="黑体" w:eastAsia="黑体"/>
          <w:sz w:val="32"/>
          <w:szCs w:val="32"/>
        </w:rPr>
      </w:pPr>
      <w:bookmarkStart w:id="85" w:name="_Toc22895"/>
      <w:bookmarkStart w:id="86" w:name="_Toc6982"/>
      <w:r>
        <w:rPr>
          <w:rFonts w:hint="eastAsia" w:ascii="黑体" w:hAnsi="黑体" w:eastAsia="黑体"/>
          <w:sz w:val="32"/>
          <w:szCs w:val="32"/>
        </w:rPr>
        <w:t>四、评价结论</w:t>
      </w:r>
      <w:bookmarkEnd w:id="85"/>
      <w:bookmarkEnd w:id="86"/>
    </w:p>
    <w:p>
      <w:pPr>
        <w:pStyle w:val="4"/>
        <w:spacing w:line="600" w:lineRule="exact"/>
        <w:ind w:firstLine="640" w:firstLineChars="200"/>
        <w:rPr>
          <w:rFonts w:ascii="仿宋_GB2312" w:hAnsi="宋体" w:eastAsia="仿宋_GB2312"/>
          <w:sz w:val="32"/>
          <w:szCs w:val="32"/>
        </w:rPr>
      </w:pPr>
      <w:r>
        <w:rPr>
          <w:rFonts w:hint="eastAsia" w:ascii="仿宋_GB2312" w:hAnsi="仿宋_GB2312" w:eastAsia="仿宋_GB2312" w:cs="仿宋_GB2312"/>
          <w:sz w:val="32"/>
          <w:szCs w:val="32"/>
        </w:rPr>
        <w:t>从评价情况来看，项目的预算资金使用规范，完成了项目的既定目标，达到了预期使用效果，但预算与实际招标金额相差较大，得分是100分。</w:t>
      </w:r>
    </w:p>
    <w:p>
      <w:pPr>
        <w:pStyle w:val="4"/>
        <w:spacing w:line="600" w:lineRule="exact"/>
        <w:ind w:firstLine="640" w:firstLineChars="200"/>
        <w:outlineLvl w:val="1"/>
        <w:rPr>
          <w:rFonts w:ascii="黑体" w:hAnsi="黑体" w:eastAsia="黑体"/>
          <w:sz w:val="32"/>
          <w:szCs w:val="32"/>
        </w:rPr>
      </w:pPr>
      <w:bookmarkStart w:id="87" w:name="_Toc14497"/>
      <w:bookmarkStart w:id="88" w:name="_Toc7389"/>
      <w:r>
        <w:rPr>
          <w:rFonts w:hint="eastAsia" w:ascii="黑体" w:hAnsi="黑体" w:eastAsia="黑体"/>
          <w:sz w:val="32"/>
          <w:szCs w:val="32"/>
        </w:rPr>
        <w:t>五、存在主要问题</w:t>
      </w:r>
      <w:bookmarkEnd w:id="87"/>
      <w:bookmarkEnd w:id="88"/>
    </w:p>
    <w:p>
      <w:pPr>
        <w:pStyle w:val="4"/>
        <w:spacing w:line="600" w:lineRule="exact"/>
        <w:ind w:firstLine="640" w:firstLineChars="200"/>
        <w:rPr>
          <w:rFonts w:ascii="仿宋_GB2312" w:hAnsi="黑体" w:eastAsia="仿宋_GB2312" w:cs="黑体"/>
          <w:sz w:val="32"/>
          <w:szCs w:val="32"/>
        </w:rPr>
      </w:pPr>
      <w:r>
        <w:rPr>
          <w:rFonts w:hint="eastAsia" w:ascii="仿宋_GB2312" w:hAnsi="仿宋_GB2312" w:eastAsia="仿宋_GB2312" w:cs="仿宋_GB2312"/>
          <w:sz w:val="32"/>
          <w:szCs w:val="32"/>
        </w:rPr>
        <w:t>无。</w:t>
      </w:r>
    </w:p>
    <w:p>
      <w:pPr>
        <w:pStyle w:val="4"/>
        <w:spacing w:line="600" w:lineRule="exact"/>
        <w:ind w:firstLine="640" w:firstLineChars="200"/>
        <w:outlineLvl w:val="1"/>
        <w:rPr>
          <w:rFonts w:ascii="黑体" w:hAnsi="黑体" w:eastAsia="黑体"/>
          <w:sz w:val="32"/>
          <w:szCs w:val="32"/>
          <w:lang w:val="zh-CN"/>
        </w:rPr>
      </w:pPr>
      <w:bookmarkStart w:id="89" w:name="_Toc25183"/>
      <w:bookmarkStart w:id="90" w:name="_Toc32286"/>
      <w:r>
        <w:rPr>
          <w:rFonts w:hint="eastAsia" w:ascii="黑体" w:hAnsi="黑体" w:eastAsia="黑体"/>
          <w:sz w:val="32"/>
          <w:szCs w:val="32"/>
          <w:lang w:val="zh-CN"/>
        </w:rPr>
        <w:t>六、改进建议</w:t>
      </w:r>
      <w:bookmarkEnd w:id="89"/>
      <w:bookmarkEnd w:id="90"/>
    </w:p>
    <w:p>
      <w:pPr>
        <w:tabs>
          <w:tab w:val="left" w:pos="1911"/>
        </w:tabs>
        <w:jc w:val="left"/>
        <w:rPr>
          <w:rFonts w:ascii="仿宋_GB2312" w:hAnsi="仿宋_GB2312" w:eastAsia="仿宋_GB2312" w:cs="仿宋_GB2312"/>
          <w:kern w:val="0"/>
          <w:sz w:val="32"/>
          <w:szCs w:val="32"/>
          <w:lang w:val="en"/>
        </w:rPr>
      </w:pPr>
      <w:r>
        <w:rPr>
          <w:rFonts w:hint="eastAsia" w:ascii="仿宋_GB2312" w:hAnsi="仿宋_GB2312" w:eastAsia="仿宋_GB2312" w:cs="仿宋_GB2312"/>
          <w:kern w:val="0"/>
          <w:sz w:val="32"/>
          <w:szCs w:val="32"/>
          <w:shd w:val="clear" w:color="auto" w:fill="FFFFFF"/>
          <w:lang w:val="zh-CN"/>
        </w:rPr>
        <w:t xml:space="preserve"> </w:t>
      </w:r>
      <w:r>
        <w:rPr>
          <w:rFonts w:hint="eastAsia" w:ascii="仿宋_GB2312" w:hAnsi="仿宋_GB2312" w:eastAsia="仿宋_GB2312" w:cs="仿宋_GB2312"/>
          <w:kern w:val="0"/>
          <w:sz w:val="32"/>
          <w:szCs w:val="32"/>
        </w:rPr>
        <w:t xml:space="preserve">  无。</w:t>
      </w:r>
    </w:p>
    <w:p>
      <w:pPr>
        <w:snapToGrid w:val="0"/>
        <w:spacing w:line="578" w:lineRule="exact"/>
        <w:ind w:firstLine="640" w:firstLineChars="200"/>
        <w:rPr>
          <w:rFonts w:ascii="仿宋_GB2312" w:eastAsia="仿宋_GB2312"/>
          <w:color w:val="000000"/>
          <w:kern w:val="0"/>
          <w:sz w:val="32"/>
          <w:szCs w:val="32"/>
          <w:shd w:val="clear" w:color="auto" w:fill="FFFFFF"/>
          <w:lang w:val="zh-CN"/>
        </w:rPr>
      </w:pPr>
    </w:p>
    <w:p>
      <w:pPr>
        <w:snapToGrid w:val="0"/>
        <w:spacing w:line="578" w:lineRule="exact"/>
        <w:rPr>
          <w:rFonts w:ascii="仿宋_GB2312" w:eastAsia="仿宋_GB2312"/>
          <w:color w:val="000000"/>
          <w:kern w:val="0"/>
          <w:sz w:val="32"/>
          <w:szCs w:val="32"/>
          <w:shd w:val="clear" w:color="auto" w:fill="FFFFFF"/>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pStyle w:val="23"/>
        <w:rPr>
          <w:rStyle w:val="16"/>
          <w:rFonts w:hint="eastAsia" w:ascii="仿宋_GB2312" w:eastAsia="仿宋_GB2312"/>
          <w:sz w:val="32"/>
          <w:szCs w:val="32"/>
        </w:rPr>
      </w:pPr>
    </w:p>
    <w:p>
      <w:pPr>
        <w:pStyle w:val="23"/>
        <w:rPr>
          <w:rStyle w:val="16"/>
          <w:rFonts w:hint="eastAsia" w:ascii="仿宋_GB2312" w:eastAsia="仿宋_GB2312"/>
          <w:sz w:val="32"/>
          <w:szCs w:val="32"/>
        </w:rPr>
      </w:pPr>
    </w:p>
    <w:p>
      <w:pPr>
        <w:pStyle w:val="23"/>
        <w:rPr>
          <w:rStyle w:val="16"/>
          <w:rFonts w:hint="eastAsia" w:ascii="仿宋_GB2312" w:eastAsia="仿宋_GB2312"/>
          <w:sz w:val="32"/>
          <w:szCs w:val="32"/>
        </w:rPr>
      </w:pPr>
    </w:p>
    <w:p>
      <w:pPr>
        <w:pStyle w:val="23"/>
        <w:rPr>
          <w:rStyle w:val="16"/>
          <w:rFonts w:hint="eastAsia"/>
        </w:rPr>
      </w:pPr>
    </w:p>
    <w:p>
      <w:pPr>
        <w:pStyle w:val="23"/>
        <w:rPr>
          <w:rStyle w:val="16"/>
          <w:rFonts w:hint="eastAsia"/>
        </w:rPr>
      </w:pPr>
    </w:p>
    <w:p>
      <w:pPr>
        <w:pStyle w:val="23"/>
        <w:rPr>
          <w:rStyle w:val="16"/>
          <w:rFonts w:hint="eastAsia"/>
        </w:rPr>
      </w:pPr>
    </w:p>
    <w:p>
      <w:pPr>
        <w:pStyle w:val="23"/>
        <w:rPr>
          <w:rStyle w:val="16"/>
          <w:rFonts w:hint="eastAsia"/>
        </w:rPr>
      </w:pPr>
    </w:p>
    <w:p>
      <w:pPr>
        <w:pStyle w:val="23"/>
        <w:rPr>
          <w:rStyle w:val="16"/>
          <w:rFonts w:hint="eastAsia"/>
        </w:rPr>
      </w:pPr>
    </w:p>
    <w:p>
      <w:pPr>
        <w:rPr>
          <w:lang w:val="zh-CN"/>
        </w:rPr>
      </w:pPr>
    </w:p>
    <w:p>
      <w:pPr>
        <w:rPr>
          <w:lang w:val="zh-CN"/>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w:t>
      </w:r>
      <w:r>
        <w:rPr>
          <w:rFonts w:hint="eastAsia" w:ascii="方正小标宋简体" w:hAnsi="方正小标宋简体" w:eastAsia="方正小标宋简体" w:cs="方正小标宋简体"/>
          <w:color w:val="auto"/>
          <w:kern w:val="2"/>
          <w:sz w:val="44"/>
          <w:szCs w:val="44"/>
          <w:lang w:val="en-US"/>
        </w:rPr>
        <w:t>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2023年驾驶人考试考场租赁专项预算项目绩效评价报告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91" w:name="_Toc14057"/>
      <w:bookmarkStart w:id="92" w:name="_Toc24045"/>
      <w:r>
        <w:rPr>
          <w:rFonts w:hint="eastAsia" w:ascii="黑体" w:hAnsi="黑体" w:eastAsia="黑体"/>
          <w:sz w:val="32"/>
          <w:szCs w:val="32"/>
        </w:rPr>
        <w:t>一、</w:t>
      </w:r>
      <w:r>
        <w:rPr>
          <w:rFonts w:hint="eastAsia" w:ascii="黑体" w:hAnsi="黑体" w:eastAsia="黑体"/>
          <w:sz w:val="32"/>
          <w:szCs w:val="32"/>
          <w:lang w:val="zh-CN"/>
        </w:rPr>
        <w:t>项目概况</w:t>
      </w:r>
      <w:bookmarkEnd w:id="91"/>
      <w:bookmarkEnd w:id="92"/>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《中华人民共和国公安部令》第139号，公安部关于修改《机动车驾驶证申领和使用规定》的决定的四十八条之规定，支队下属车管所，承担着全市科目一、科目二、科目三、科目四的考试。</w:t>
      </w:r>
    </w:p>
    <w:p>
      <w:pPr>
        <w:adjustRightInd w:val="0"/>
        <w:snapToGrid w:val="0"/>
        <w:spacing w:line="578"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旨在利用社会资源租赁驾驶人考试考场，开展全市科目一至科目四考试，节约资金。</w:t>
      </w:r>
    </w:p>
    <w:p>
      <w:pPr>
        <w:widowControl/>
        <w:adjustRightInd w:val="0"/>
        <w:snapToGrid w:val="0"/>
        <w:spacing w:line="578" w:lineRule="exact"/>
        <w:ind w:firstLine="642" w:firstLineChars="200"/>
        <w:contextualSpacing/>
        <w:jc w:val="left"/>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仿宋_GB2312" w:eastAsia="仿宋_GB2312" w:cs="仿宋_GB2312"/>
          <w:kern w:val="0"/>
          <w:sz w:val="32"/>
          <w:szCs w:val="32"/>
          <w:shd w:val="clear" w:color="auto" w:fill="FFFFFF"/>
          <w:lang w:val="zh-CN"/>
        </w:rPr>
        <w:t>项目资金预算20万元，资金</w:t>
      </w:r>
      <w:r>
        <w:rPr>
          <w:rFonts w:hint="eastAsia" w:ascii="仿宋_GB2312" w:hAnsi="宋体" w:eastAsia="仿宋_GB2312"/>
          <w:sz w:val="32"/>
          <w:szCs w:val="32"/>
          <w:lang w:val="zh-CN"/>
        </w:rPr>
        <w:t>用于考场租赁的租金。</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项目差异性，使绩效目标内容完整，细化量化，可操作性强，与预算匹配。成立了以支队长任组长的项目自评领导小组，下设办公室具体负责自评工作，采取调阅资料、现场查看等方式开展自评工作。</w:t>
      </w:r>
    </w:p>
    <w:p>
      <w:pPr>
        <w:adjustRightInd w:val="0"/>
        <w:snapToGrid w:val="0"/>
        <w:spacing w:line="578" w:lineRule="exact"/>
        <w:ind w:firstLine="640" w:firstLineChars="200"/>
        <w:outlineLvl w:val="1"/>
        <w:rPr>
          <w:rFonts w:ascii="黑体" w:hAnsi="黑体" w:eastAsia="黑体"/>
          <w:sz w:val="32"/>
          <w:szCs w:val="32"/>
        </w:rPr>
      </w:pPr>
      <w:bookmarkStart w:id="93" w:name="_Toc3273"/>
      <w:bookmarkStart w:id="94" w:name="_Toc21209"/>
      <w:r>
        <w:rPr>
          <w:rFonts w:hint="eastAsia" w:ascii="黑体" w:hAnsi="黑体" w:eastAsia="黑体"/>
          <w:sz w:val="32"/>
          <w:szCs w:val="32"/>
        </w:rPr>
        <w:t>二、评价实施</w:t>
      </w:r>
      <w:bookmarkEnd w:id="93"/>
      <w:bookmarkEnd w:id="94"/>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预设问题为</w:t>
      </w:r>
      <w:r>
        <w:rPr>
          <w:rFonts w:hint="eastAsia" w:ascii="仿宋_GB2312" w:eastAsia="仿宋_GB2312"/>
          <w:sz w:val="32"/>
          <w:szCs w:val="32"/>
        </w:rPr>
        <w:t>该项目租赁的驾考场地是否能满足驾驶人考试需求；评价重点在于驾考场地是否符合要求，驾考人次数量。</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通过实地勘察考场情况及驾考人数来看，资金效益发挥情况。</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该项目采取了实地勘察的方式开展自评工作。</w:t>
      </w:r>
    </w:p>
    <w:p>
      <w:pPr>
        <w:adjustRightInd w:val="0"/>
        <w:snapToGrid w:val="0"/>
        <w:spacing w:line="600" w:lineRule="exact"/>
        <w:ind w:firstLine="720"/>
        <w:rPr>
          <w:rFonts w:ascii="仿宋_GB2312" w:eastAsia="仿宋_GB2312"/>
          <w:bCs/>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spacing w:line="578" w:lineRule="exact"/>
        <w:ind w:firstLine="640"/>
        <w:outlineLvl w:val="1"/>
        <w:rPr>
          <w:rFonts w:ascii="黑体" w:hAnsi="黑体" w:eastAsia="黑体"/>
          <w:sz w:val="32"/>
          <w:szCs w:val="32"/>
          <w:lang w:val="zh-CN"/>
        </w:rPr>
      </w:pPr>
      <w:bookmarkStart w:id="95" w:name="_Toc2210"/>
      <w:bookmarkStart w:id="96" w:name="_Toc1914"/>
      <w:r>
        <w:rPr>
          <w:rFonts w:hint="eastAsia" w:ascii="黑体" w:hAnsi="黑体" w:eastAsia="黑体"/>
          <w:sz w:val="32"/>
          <w:szCs w:val="32"/>
        </w:rPr>
        <w:t>三、绩效分析</w:t>
      </w:r>
      <w:bookmarkEnd w:id="95"/>
      <w:bookmarkEnd w:id="96"/>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 xml:space="preserve">该项目由科室就项目具体内容、所需资金、工作目标等形成报告，报告提交交警支队党总支会议审核，审核通过后根据财政批复情况由部门具体进行实施。  </w:t>
      </w:r>
    </w:p>
    <w:p>
      <w:pPr>
        <w:adjustRightInd w:val="0"/>
        <w:snapToGrid w:val="0"/>
        <w:spacing w:line="540" w:lineRule="exact"/>
        <w:ind w:firstLine="720"/>
        <w:rPr>
          <w:rFonts w:ascii="仿宋_GB2312" w:hAnsi="宋体" w:eastAsia="仿宋_GB2312"/>
          <w:sz w:val="32"/>
          <w:szCs w:val="32"/>
          <w:lang w:val="zh-CN"/>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w:t>
      </w:r>
      <w:r>
        <w:rPr>
          <w:rFonts w:hint="eastAsia" w:ascii="仿宋_GB2312" w:hAnsi="宋体" w:eastAsia="仿宋_GB2312"/>
          <w:sz w:val="32"/>
          <w:szCs w:val="32"/>
          <w:lang w:val="zh-CN"/>
        </w:rPr>
        <w:t>按照公平竞争、择优选定的原则，通过询价谈判的方式最终确定租用凤凰驾校和广运集团驾校的考试场地，驾校负责考场的日常维护和管理；车管所定期开展考试场地、考试车辆、考试设备和考场管理情况的监督检查；完成了年初既定目标。</w:t>
      </w:r>
    </w:p>
    <w:p>
      <w:pPr>
        <w:ind w:firstLine="640" w:firstLineChars="200"/>
        <w:rPr>
          <w:rFonts w:ascii="仿宋_GB2312" w:hAnsi="楷体_GB2312" w:eastAsia="仿宋_GB2312" w:cs="楷体_GB2312"/>
          <w:sz w:val="32"/>
          <w:szCs w:val="32"/>
        </w:rPr>
      </w:pPr>
      <w:r>
        <w:rPr>
          <w:rFonts w:hint="eastAsia" w:ascii="仿宋_GB2312" w:hAnsi="楷体_GB2312" w:eastAsia="仿宋_GB2312" w:cs="楷体_GB2312"/>
          <w:sz w:val="32"/>
          <w:szCs w:val="32"/>
        </w:rPr>
        <w:t>3.项目实施（9分）。</w:t>
      </w:r>
      <w:r>
        <w:rPr>
          <w:rFonts w:hint="eastAsia" w:ascii="仿宋_GB2312" w:hAnsi="宋体" w:eastAsia="仿宋_GB2312"/>
          <w:sz w:val="32"/>
          <w:szCs w:val="32"/>
          <w:lang w:val="zh-CN"/>
        </w:rPr>
        <w:t>该项目资金执行率为100%，项目严格按照相关要求进行支付，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w:t>
      </w:r>
      <w:r>
        <w:rPr>
          <w:rFonts w:hint="eastAsia" w:ascii="仿宋_GB2312" w:eastAsia="仿宋_GB2312"/>
          <w:sz w:val="32"/>
          <w:szCs w:val="32"/>
        </w:rPr>
        <w:br w:type="textWrapping"/>
      </w:r>
      <w:r>
        <w:rPr>
          <w:rFonts w:hint="eastAsia" w:ascii="仿宋_GB2312" w:hAnsi="楷体_GB2312" w:eastAsia="仿宋_GB2312" w:cs="楷体_GB2312"/>
          <w:sz w:val="32"/>
          <w:szCs w:val="32"/>
        </w:rPr>
        <w:t xml:space="preserve">    4.项目结果（9分）。项目各项任务均按时完成，2023年，共完成全科目考试15.3万人。</w:t>
      </w:r>
    </w:p>
    <w:p>
      <w:pPr>
        <w:ind w:firstLine="642" w:firstLineChars="200"/>
        <w:rPr>
          <w:rFonts w:ascii="仿宋_GB2312" w:hAnsi="楷体_GB2312" w:eastAsia="仿宋_GB2312" w:cs="楷体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民生保障（30分）。该项目属民生保障类项目，资金分配均衡合理，</w:t>
      </w:r>
      <w:r>
        <w:rPr>
          <w:rFonts w:hint="eastAsia" w:ascii="仿宋_GB2312" w:eastAsia="仿宋_GB2312"/>
          <w:sz w:val="32"/>
          <w:szCs w:val="32"/>
        </w:rPr>
        <w:t>受益对象精准，考试场地规模能够满足驾考需求，提升了群众满意度。</w:t>
      </w:r>
    </w:p>
    <w:p>
      <w:pPr>
        <w:adjustRightInd w:val="0"/>
        <w:snapToGrid w:val="0"/>
        <w:spacing w:line="540" w:lineRule="exact"/>
        <w:ind w:firstLine="642" w:firstLineChars="200"/>
        <w:rPr>
          <w:rFonts w:ascii="仿宋_GB2312" w:hAnsi="仿宋_GB2312" w:eastAsia="仿宋_GB2312" w:cs="仿宋_GB2312"/>
          <w:sz w:val="32"/>
          <w:szCs w:val="32"/>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hAnsi="仿宋_GB2312" w:eastAsia="仿宋_GB2312" w:cs="仿宋_GB2312"/>
          <w:sz w:val="32"/>
          <w:szCs w:val="32"/>
        </w:rPr>
        <w:t>通过项目实施，充分利用社会资源，大大节约了经费支出。</w:t>
      </w:r>
    </w:p>
    <w:p>
      <w:pPr>
        <w:pStyle w:val="4"/>
        <w:spacing w:line="600" w:lineRule="exact"/>
        <w:ind w:firstLine="640" w:firstLineChars="200"/>
        <w:outlineLvl w:val="1"/>
        <w:rPr>
          <w:rFonts w:ascii="黑体" w:hAnsi="黑体" w:eastAsia="黑体"/>
          <w:sz w:val="32"/>
          <w:szCs w:val="32"/>
        </w:rPr>
      </w:pPr>
      <w:bookmarkStart w:id="97" w:name="_Toc32284"/>
      <w:bookmarkStart w:id="98" w:name="_Toc29916"/>
      <w:r>
        <w:rPr>
          <w:rFonts w:hint="eastAsia" w:ascii="黑体" w:hAnsi="黑体" w:eastAsia="黑体"/>
          <w:sz w:val="32"/>
          <w:szCs w:val="32"/>
        </w:rPr>
        <w:t>四、评价结论</w:t>
      </w:r>
      <w:bookmarkEnd w:id="97"/>
      <w:bookmarkEnd w:id="98"/>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从评价情况来看，项目的预算资金管理科学合理，使用规范，完成了项目的既定目标，达到了预期使用效果，得分是100分。</w:t>
      </w:r>
    </w:p>
    <w:p>
      <w:pPr>
        <w:pStyle w:val="4"/>
        <w:spacing w:line="600" w:lineRule="exact"/>
        <w:ind w:firstLine="640" w:firstLineChars="200"/>
        <w:outlineLvl w:val="1"/>
        <w:rPr>
          <w:rFonts w:ascii="黑体" w:hAnsi="黑体" w:eastAsia="黑体"/>
          <w:sz w:val="32"/>
          <w:szCs w:val="32"/>
        </w:rPr>
      </w:pPr>
      <w:bookmarkStart w:id="99" w:name="_Toc18505"/>
      <w:bookmarkStart w:id="100" w:name="_Toc12439"/>
      <w:r>
        <w:rPr>
          <w:rFonts w:hint="eastAsia" w:ascii="黑体" w:hAnsi="黑体" w:eastAsia="黑体"/>
          <w:sz w:val="32"/>
          <w:szCs w:val="32"/>
        </w:rPr>
        <w:t>五、存在主要问题</w:t>
      </w:r>
      <w:bookmarkEnd w:id="99"/>
      <w:bookmarkEnd w:id="100"/>
    </w:p>
    <w:p>
      <w:pPr>
        <w:pStyle w:val="4"/>
        <w:spacing w:line="600" w:lineRule="exact"/>
        <w:ind w:firstLine="640" w:firstLineChars="200"/>
        <w:rPr>
          <w:rFonts w:ascii="仿宋_GB2312" w:hAnsi="黑体" w:eastAsia="仿宋_GB2312" w:cs="黑体"/>
          <w:sz w:val="32"/>
          <w:szCs w:val="32"/>
        </w:rPr>
      </w:pPr>
      <w:r>
        <w:rPr>
          <w:rFonts w:hint="eastAsia" w:ascii="仿宋_GB2312" w:hAnsi="仿宋_GB2312" w:eastAsia="仿宋_GB2312" w:cs="仿宋_GB2312"/>
          <w:sz w:val="32"/>
          <w:szCs w:val="32"/>
        </w:rPr>
        <w:t>无。</w:t>
      </w:r>
    </w:p>
    <w:p>
      <w:pPr>
        <w:pStyle w:val="4"/>
        <w:spacing w:line="600" w:lineRule="exact"/>
        <w:ind w:firstLine="640" w:firstLineChars="200"/>
        <w:outlineLvl w:val="1"/>
        <w:rPr>
          <w:rFonts w:ascii="黑体" w:hAnsi="黑体" w:eastAsia="黑体"/>
          <w:sz w:val="32"/>
          <w:szCs w:val="32"/>
          <w:lang w:val="zh-CN"/>
        </w:rPr>
      </w:pPr>
      <w:bookmarkStart w:id="101" w:name="_Toc8035"/>
      <w:bookmarkStart w:id="102" w:name="_Toc6701"/>
      <w:r>
        <w:rPr>
          <w:rFonts w:hint="eastAsia" w:ascii="黑体" w:hAnsi="黑体" w:eastAsia="黑体"/>
          <w:sz w:val="32"/>
          <w:szCs w:val="32"/>
          <w:lang w:val="zh-CN"/>
        </w:rPr>
        <w:t>六、改进建议</w:t>
      </w:r>
      <w:bookmarkEnd w:id="101"/>
      <w:bookmarkEnd w:id="102"/>
    </w:p>
    <w:p>
      <w:pPr>
        <w:tabs>
          <w:tab w:val="left" w:pos="1911"/>
        </w:tabs>
        <w:jc w:val="left"/>
        <w:rPr>
          <w:rFonts w:ascii="仿宋_GB2312" w:hAnsi="仿宋_GB2312" w:eastAsia="仿宋_GB2312" w:cs="仿宋_GB2312"/>
          <w:kern w:val="0"/>
          <w:sz w:val="32"/>
          <w:szCs w:val="32"/>
          <w:lang w:val="en"/>
        </w:rPr>
      </w:pPr>
      <w:r>
        <w:rPr>
          <w:rFonts w:hint="eastAsia" w:ascii="仿宋_GB2312" w:hAnsi="仿宋_GB2312" w:eastAsia="仿宋_GB2312" w:cs="仿宋_GB2312"/>
          <w:kern w:val="0"/>
          <w:sz w:val="32"/>
          <w:szCs w:val="32"/>
          <w:shd w:val="clear" w:color="auto" w:fill="FFFFFF"/>
          <w:lang w:val="zh-CN"/>
        </w:rPr>
        <w:t xml:space="preserve"> </w:t>
      </w:r>
      <w:r>
        <w:rPr>
          <w:rFonts w:hint="eastAsia" w:ascii="仿宋_GB2312" w:hAnsi="仿宋_GB2312" w:eastAsia="仿宋_GB2312" w:cs="仿宋_GB2312"/>
          <w:kern w:val="0"/>
          <w:sz w:val="32"/>
          <w:szCs w:val="32"/>
        </w:rPr>
        <w:t xml:space="preserve">   无。</w:t>
      </w:r>
    </w:p>
    <w:p>
      <w:pPr>
        <w:snapToGrid w:val="0"/>
        <w:spacing w:line="578" w:lineRule="exact"/>
        <w:rPr>
          <w:rFonts w:ascii="仿宋_GB2312" w:eastAsia="仿宋_GB2312"/>
          <w:color w:val="000000"/>
          <w:kern w:val="0"/>
          <w:sz w:val="32"/>
          <w:szCs w:val="32"/>
          <w:shd w:val="clear" w:color="auto" w:fill="FFFFFF"/>
        </w:rPr>
      </w:pPr>
    </w:p>
    <w:p>
      <w:pPr>
        <w:snapToGrid w:val="0"/>
        <w:spacing w:line="578" w:lineRule="exact"/>
        <w:ind w:firstLine="3200" w:firstLineChars="1000"/>
        <w:rPr>
          <w:rFonts w:ascii="仿宋_GB2312" w:eastAsia="仿宋_GB2312"/>
          <w:color w:val="000000"/>
          <w:kern w:val="0"/>
          <w:sz w:val="32"/>
          <w:szCs w:val="32"/>
          <w:shd w:val="clear" w:color="auto" w:fill="FFFFFF"/>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snapToGrid w:val="0"/>
        <w:spacing w:line="578" w:lineRule="exact"/>
        <w:ind w:firstLine="1600" w:firstLineChars="500"/>
        <w:rPr>
          <w:rFonts w:ascii="仿宋_GB2312" w:eastAsia="仿宋_GB2312"/>
          <w:color w:val="000000"/>
          <w:kern w:val="0"/>
          <w:sz w:val="32"/>
          <w:szCs w:val="32"/>
          <w:shd w:val="clear" w:color="auto" w:fill="FFFFFF"/>
        </w:rPr>
      </w:pPr>
    </w:p>
    <w:p>
      <w:pPr>
        <w:snapToGrid w:val="0"/>
        <w:spacing w:line="578" w:lineRule="exact"/>
        <w:ind w:firstLine="640" w:firstLineChars="200"/>
        <w:rPr>
          <w:rFonts w:ascii="仿宋_GB2312" w:eastAsia="仿宋_GB2312"/>
          <w:color w:val="000000"/>
          <w:kern w:val="0"/>
          <w:sz w:val="32"/>
          <w:szCs w:val="32"/>
          <w:shd w:val="clear" w:color="auto" w:fill="FFFFFF"/>
          <w:lang w:val="zh-CN"/>
        </w:rPr>
      </w:pPr>
      <w:r>
        <w:rPr>
          <w:rFonts w:hint="eastAsia" w:ascii="仿宋_GB2312" w:eastAsia="仿宋_GB2312"/>
          <w:color w:val="000000"/>
          <w:kern w:val="0"/>
          <w:sz w:val="32"/>
          <w:szCs w:val="32"/>
          <w:shd w:val="clear" w:color="auto" w:fill="FFFFFF"/>
          <w:lang w:val="zh-CN"/>
        </w:rPr>
        <w:br w:type="page"/>
      </w: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2023</w:t>
      </w:r>
      <w:r>
        <w:rPr>
          <w:rFonts w:hint="eastAsia" w:ascii="方正小标宋简体" w:hAnsi="方正小标宋简体" w:eastAsia="方正小标宋简体" w:cs="方正小标宋简体"/>
          <w:color w:val="auto"/>
          <w:kern w:val="2"/>
          <w:sz w:val="44"/>
          <w:szCs w:val="44"/>
          <w:lang w:val="en-US"/>
        </w:rPr>
        <w:t>年交通事故处理费项目绩效评价报告</w:t>
      </w:r>
    </w:p>
    <w:p>
      <w:pPr>
        <w:pStyle w:val="23"/>
        <w:spacing w:line="578" w:lineRule="exact"/>
        <w:ind w:firstLine="640"/>
        <w:jc w:val="left"/>
        <w:rPr>
          <w:rFonts w:ascii="仿宋_GB2312" w:hAnsi="宋体" w:eastAsia="仿宋_GB2312"/>
          <w:color w:val="auto"/>
          <w:kern w:val="2"/>
          <w:sz w:val="32"/>
          <w:szCs w:val="32"/>
        </w:rPr>
      </w:pPr>
    </w:p>
    <w:p>
      <w:pPr>
        <w:adjustRightInd w:val="0"/>
        <w:snapToGrid w:val="0"/>
        <w:spacing w:line="578" w:lineRule="exact"/>
        <w:ind w:firstLine="640" w:firstLineChars="200"/>
        <w:jc w:val="left"/>
        <w:outlineLvl w:val="1"/>
        <w:rPr>
          <w:rFonts w:ascii="黑体" w:hAnsi="黑体" w:eastAsia="黑体"/>
          <w:sz w:val="32"/>
          <w:szCs w:val="32"/>
          <w:lang w:val="zh-CN"/>
        </w:rPr>
      </w:pPr>
      <w:bookmarkStart w:id="103" w:name="_Toc19914"/>
      <w:bookmarkStart w:id="104" w:name="_Toc6372"/>
      <w:r>
        <w:rPr>
          <w:rFonts w:hint="eastAsia" w:ascii="黑体" w:hAnsi="黑体" w:eastAsia="黑体"/>
          <w:sz w:val="32"/>
          <w:szCs w:val="32"/>
        </w:rPr>
        <w:t>一、</w:t>
      </w:r>
      <w:r>
        <w:rPr>
          <w:rFonts w:hint="eastAsia" w:ascii="黑体" w:hAnsi="黑体" w:eastAsia="黑体"/>
          <w:sz w:val="32"/>
          <w:szCs w:val="32"/>
          <w:lang w:val="zh-CN"/>
        </w:rPr>
        <w:t>项目概况</w:t>
      </w:r>
      <w:bookmarkEnd w:id="103"/>
      <w:bookmarkEnd w:id="104"/>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根据《道路交通事故处理程序规定》第四条”道路交通事故调查处理应当由公安机关交通管理部门负责。支队下属一、二、三、特勤四个大队，承担着广元市利州区、经开区的道路交通事故处理工作。在道路交通事故调查处理中的职能有：现场勘查、检查、询（讯）问当事人、证人、检测、收集证据、制作道路交通事故认定书、损害赔偿调解等。</w:t>
      </w:r>
    </w:p>
    <w:p>
      <w:pPr>
        <w:adjustRightInd w:val="0"/>
        <w:snapToGrid w:val="0"/>
        <w:spacing w:line="578"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该项目实施主要是为缓解办案经费不足的情况，保障案件能够有序顺利进行；</w:t>
      </w:r>
      <w:r>
        <w:rPr>
          <w:rFonts w:hint="eastAsia" w:ascii="仿宋_GB2312" w:hAnsi="宋体" w:eastAsia="仿宋_GB2312"/>
          <w:sz w:val="32"/>
          <w:szCs w:val="32"/>
          <w:lang w:val="zh-CN"/>
        </w:rPr>
        <w:t>资金分配首先考虑交通事故处理必须的车辆使用费、差旅费。</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宋体" w:eastAsia="仿宋_GB2312"/>
          <w:sz w:val="32"/>
          <w:szCs w:val="32"/>
          <w:lang w:val="zh-CN"/>
        </w:rPr>
        <w:t>该项目资金30万元，资金分配首先考虑交通事故处理必须的车辆使用费差旅费、办案业务费等，在资金允许的情况下适当考虑软件和设备更新。</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项目的差异性，使绩效目标内容完整，细化量化，可操作性强，与预算匹配。成立了以支队长任组长的项目自评领导小组，下设办公室具体负责自评工作，采取调阅资料、现场查看等方式开展自评工作。</w:t>
      </w:r>
    </w:p>
    <w:p>
      <w:pPr>
        <w:adjustRightInd w:val="0"/>
        <w:snapToGrid w:val="0"/>
        <w:spacing w:line="578" w:lineRule="exact"/>
        <w:ind w:firstLine="640" w:firstLineChars="200"/>
        <w:outlineLvl w:val="1"/>
        <w:rPr>
          <w:rFonts w:ascii="黑体" w:hAnsi="黑体" w:eastAsia="黑体"/>
          <w:sz w:val="32"/>
          <w:szCs w:val="32"/>
        </w:rPr>
      </w:pPr>
      <w:bookmarkStart w:id="105" w:name="_Toc18312"/>
      <w:bookmarkStart w:id="106" w:name="_Toc5922"/>
      <w:r>
        <w:rPr>
          <w:rFonts w:hint="eastAsia" w:ascii="黑体" w:hAnsi="黑体" w:eastAsia="黑体"/>
          <w:sz w:val="32"/>
          <w:szCs w:val="32"/>
        </w:rPr>
        <w:t>二、评价实施</w:t>
      </w:r>
      <w:bookmarkEnd w:id="105"/>
      <w:bookmarkEnd w:id="106"/>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adjustRightInd w:val="0"/>
        <w:snapToGrid w:val="0"/>
        <w:spacing w:line="578" w:lineRule="exact"/>
        <w:ind w:firstLine="642" w:firstLineChars="200"/>
        <w:rPr>
          <w:rFonts w:ascii="仿宋_GB2312" w:eastAsia="仿宋_GB2312"/>
          <w:color w:val="FF0000"/>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无预设问题；评价重点在于项目是否达到预期目标。</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hAnsi="宋体" w:eastAsia="仿宋_GB2312"/>
          <w:sz w:val="32"/>
          <w:szCs w:val="32"/>
          <w:lang w:val="zh-CN"/>
        </w:rPr>
        <w:t>通过查看公务用车使用台账及差旅报销单，评价该项目资金使用情况。</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该项目采取了调阅资料的方式开展自评工作。</w:t>
      </w:r>
    </w:p>
    <w:p>
      <w:pPr>
        <w:adjustRightInd w:val="0"/>
        <w:snapToGrid w:val="0"/>
        <w:spacing w:line="600" w:lineRule="exact"/>
        <w:ind w:firstLine="720"/>
        <w:rPr>
          <w:rFonts w:ascii="仿宋_GB2312" w:eastAsia="仿宋_GB2312"/>
          <w:bCs/>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adjustRightInd w:val="0"/>
        <w:snapToGrid w:val="0"/>
        <w:spacing w:line="578" w:lineRule="exact"/>
        <w:ind w:firstLine="640" w:firstLineChars="200"/>
        <w:outlineLvl w:val="1"/>
        <w:rPr>
          <w:rFonts w:ascii="黑体" w:hAnsi="黑体" w:eastAsia="黑体"/>
          <w:sz w:val="32"/>
          <w:szCs w:val="32"/>
          <w:lang w:val="zh-CN"/>
        </w:rPr>
      </w:pPr>
      <w:bookmarkStart w:id="107" w:name="_Toc26264"/>
      <w:bookmarkStart w:id="108" w:name="_Toc11131"/>
      <w:r>
        <w:rPr>
          <w:rFonts w:hint="eastAsia" w:ascii="黑体" w:hAnsi="黑体" w:eastAsia="黑体"/>
          <w:sz w:val="32"/>
          <w:szCs w:val="32"/>
        </w:rPr>
        <w:t>三、绩效分析</w:t>
      </w:r>
      <w:bookmarkEnd w:id="107"/>
      <w:bookmarkEnd w:id="108"/>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该项目由科室就项目具体内容、所需资金、工作目标等形成报告，报告提交交警支队党总支会议审核，审核通过后根据财政批复情况由部门具体进行实施。</w:t>
      </w:r>
    </w:p>
    <w:p>
      <w:pPr>
        <w:ind w:firstLine="640" w:firstLineChars="200"/>
        <w:rPr>
          <w:rFonts w:ascii="仿宋_GB2312" w:hAnsi="宋体" w:eastAsia="仿宋_GB2312"/>
          <w:sz w:val="32"/>
          <w:szCs w:val="32"/>
          <w:lang w:val="zh-CN"/>
        </w:rPr>
      </w:pPr>
      <w:r>
        <w:rPr>
          <w:rFonts w:hint="eastAsia" w:ascii="仿宋_GB2312" w:hAnsi="楷体_GB2312" w:eastAsia="仿宋_GB2312" w:cs="楷体_GB2312"/>
          <w:sz w:val="32"/>
          <w:szCs w:val="32"/>
        </w:rPr>
        <w:t>2.项目管理（18分）。该项目</w:t>
      </w:r>
      <w:r>
        <w:rPr>
          <w:rFonts w:hint="eastAsia" w:ascii="仿宋_GB2312" w:eastAsia="仿宋_GB2312"/>
          <w:sz w:val="32"/>
          <w:szCs w:val="32"/>
        </w:rPr>
        <w:t>由负责事故处理的部门及大队使用，</w:t>
      </w:r>
      <w:r>
        <w:rPr>
          <w:rFonts w:hint="eastAsia" w:ascii="仿宋_GB2312" w:hAnsi="宋体" w:eastAsia="仿宋_GB2312"/>
          <w:sz w:val="32"/>
          <w:szCs w:val="32"/>
          <w:lang w:val="zh-CN"/>
        </w:rPr>
        <w:t>支队财务部门负责费用的审核和支付。</w:t>
      </w:r>
    </w:p>
    <w:p>
      <w:pPr>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3.项目实施（9分）。</w:t>
      </w:r>
      <w:r>
        <w:rPr>
          <w:rFonts w:hint="eastAsia" w:ascii="仿宋_GB2312" w:hAnsi="宋体" w:eastAsia="仿宋_GB2312"/>
          <w:sz w:val="32"/>
          <w:szCs w:val="32"/>
          <w:lang w:val="zh-CN"/>
        </w:rPr>
        <w:t>该项目资金执行率为100%，项目严格按照相关要求进行支付，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使用审批”、“预算执行”、“管理监督”三个环节，硬化了预算约束，做到了“专款专用”。</w:t>
      </w:r>
    </w:p>
    <w:p>
      <w:pPr>
        <w:pStyle w:val="9"/>
        <w:ind w:firstLine="640" w:firstLineChars="200"/>
        <w:rPr>
          <w:rFonts w:ascii="仿宋_GB2312"/>
        </w:rPr>
      </w:pPr>
      <w:r>
        <w:rPr>
          <w:rFonts w:hint="eastAsia" w:ascii="仿宋_GB2312" w:hAnsi="楷体_GB2312" w:cs="楷体_GB2312"/>
        </w:rPr>
        <w:t>4.项目结果（9分）</w:t>
      </w:r>
      <w:r>
        <w:rPr>
          <w:rFonts w:hint="eastAsia" w:ascii="仿宋_GB2312"/>
        </w:rPr>
        <w:t>。全年全市共发生一般程序道路交通事故953起、死亡135人、受伤1260人，与2022年相比分别上升2.91%、下降2.88%、上升1.37%（与疫情前的2019年相比，分别下降17.51%、下降28.19%、下降21.42%），连续42个月未发生一起一次死亡3人以上交通事故，连续11年没有发生一起一次死亡5人以上较大交通事故。</w:t>
      </w:r>
    </w:p>
    <w:p>
      <w:pPr>
        <w:spacing w:line="578" w:lineRule="exact"/>
        <w:ind w:firstLine="642" w:firstLineChars="200"/>
        <w:rPr>
          <w:rFonts w:ascii="仿宋_GB2312" w:hAnsi="楷体_GB2312" w:eastAsia="仿宋_GB2312" w:cs="楷体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行政运转（30分）。该项目资金属行政运转类项目，该项目资金主要弥补办案经费不足的情况，项目资金用途合规，程序审批严密合规，不存在违规使用的情况。</w:t>
      </w:r>
    </w:p>
    <w:p>
      <w:pPr>
        <w:adjustRightInd w:val="0"/>
        <w:snapToGrid w:val="0"/>
        <w:spacing w:line="600" w:lineRule="exact"/>
        <w:ind w:firstLine="720"/>
        <w:rPr>
          <w:rFonts w:ascii="仿宋_GB2312" w:hAnsi="仿宋_GB2312" w:eastAsia="仿宋_GB2312" w:cs="仿宋_GB2312"/>
          <w:sz w:val="32"/>
          <w:szCs w:val="32"/>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绩效分析（15分）。</w:t>
      </w:r>
      <w:r>
        <w:rPr>
          <w:rFonts w:hint="eastAsia" w:ascii="仿宋_GB2312" w:hAnsi="仿宋_GB2312" w:eastAsia="仿宋_GB2312" w:cs="仿宋_GB2312"/>
          <w:sz w:val="32"/>
          <w:szCs w:val="32"/>
        </w:rPr>
        <w:t xml:space="preserve">通过项目实施，交通事故得到快速有效的处理，逃逸案得到及时侦破，有效地提高了办案效率和人民群众满意度。 </w:t>
      </w:r>
    </w:p>
    <w:p>
      <w:pPr>
        <w:pStyle w:val="4"/>
        <w:spacing w:line="600" w:lineRule="exact"/>
        <w:ind w:firstLine="640" w:firstLineChars="200"/>
        <w:outlineLvl w:val="1"/>
        <w:rPr>
          <w:rFonts w:ascii="黑体" w:hAnsi="黑体" w:eastAsia="黑体"/>
          <w:sz w:val="32"/>
          <w:szCs w:val="32"/>
        </w:rPr>
      </w:pPr>
      <w:bookmarkStart w:id="109" w:name="_Toc27443"/>
      <w:bookmarkStart w:id="110" w:name="_Toc14932"/>
      <w:r>
        <w:rPr>
          <w:rFonts w:hint="eastAsia" w:ascii="黑体" w:hAnsi="黑体" w:eastAsia="黑体"/>
          <w:sz w:val="32"/>
          <w:szCs w:val="32"/>
        </w:rPr>
        <w:t>四、评价结论</w:t>
      </w:r>
      <w:bookmarkEnd w:id="109"/>
      <w:bookmarkEnd w:id="110"/>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从评价情况来看，项目的预算资金管理科学合理，使用规范，完成了项目的既定目标，达到了预期使用效果，得分是99分。</w:t>
      </w:r>
    </w:p>
    <w:p>
      <w:pPr>
        <w:pStyle w:val="4"/>
        <w:spacing w:line="600" w:lineRule="exact"/>
        <w:ind w:firstLine="640" w:firstLineChars="200"/>
        <w:outlineLvl w:val="1"/>
        <w:rPr>
          <w:rFonts w:ascii="黑体" w:hAnsi="黑体" w:eastAsia="黑体"/>
          <w:sz w:val="32"/>
          <w:szCs w:val="32"/>
        </w:rPr>
      </w:pPr>
      <w:bookmarkStart w:id="111" w:name="_Toc15890"/>
      <w:bookmarkStart w:id="112" w:name="_Toc22195"/>
      <w:r>
        <w:rPr>
          <w:rFonts w:hint="eastAsia" w:ascii="黑体" w:hAnsi="黑体" w:eastAsia="黑体"/>
          <w:sz w:val="32"/>
          <w:szCs w:val="32"/>
        </w:rPr>
        <w:t>五、存在主要问题</w:t>
      </w:r>
      <w:bookmarkEnd w:id="111"/>
      <w:bookmarkEnd w:id="112"/>
    </w:p>
    <w:p>
      <w:pPr>
        <w:adjustRightInd w:val="0"/>
        <w:snapToGrid w:val="0"/>
        <w:spacing w:line="600" w:lineRule="exact"/>
        <w:ind w:firstLine="720"/>
        <w:rPr>
          <w:rFonts w:ascii="仿宋_GB2312" w:hAnsi="仿宋_GB2312" w:eastAsia="仿宋_GB2312" w:cs="仿宋_GB2312"/>
          <w:sz w:val="32"/>
          <w:szCs w:val="32"/>
        </w:rPr>
      </w:pPr>
      <w:r>
        <w:rPr>
          <w:rFonts w:hint="eastAsia" w:ascii="仿宋_GB2312" w:hAnsi="仿宋_GB2312" w:eastAsia="仿宋_GB2312" w:cs="仿宋_GB2312"/>
          <w:sz w:val="32"/>
          <w:szCs w:val="32"/>
        </w:rPr>
        <w:t>在事故处理过程因多方面的原因，不能让事故双方100%满意。</w:t>
      </w:r>
    </w:p>
    <w:p>
      <w:pPr>
        <w:pStyle w:val="4"/>
        <w:spacing w:line="600" w:lineRule="exact"/>
        <w:ind w:firstLine="640" w:firstLineChars="200"/>
        <w:outlineLvl w:val="1"/>
        <w:rPr>
          <w:rFonts w:ascii="黑体" w:hAnsi="黑体" w:eastAsia="黑体"/>
          <w:sz w:val="32"/>
          <w:szCs w:val="32"/>
          <w:lang w:val="zh-CN"/>
        </w:rPr>
      </w:pPr>
      <w:bookmarkStart w:id="113" w:name="_Toc24844"/>
      <w:bookmarkStart w:id="114" w:name="_Toc23506"/>
      <w:r>
        <w:rPr>
          <w:rFonts w:hint="eastAsia" w:ascii="黑体" w:hAnsi="黑体" w:eastAsia="黑体"/>
          <w:sz w:val="32"/>
          <w:szCs w:val="32"/>
          <w:lang w:val="zh-CN"/>
        </w:rPr>
        <w:t>六、改进建议</w:t>
      </w:r>
      <w:bookmarkEnd w:id="113"/>
      <w:bookmarkEnd w:id="114"/>
    </w:p>
    <w:p>
      <w:pPr>
        <w:pStyle w:val="4"/>
        <w:spacing w:line="600" w:lineRule="exact"/>
        <w:ind w:firstLine="640" w:firstLineChars="200"/>
        <w:rPr>
          <w:rFonts w:ascii="仿宋_GB2312" w:hAnsi="宋体" w:eastAsia="仿宋_GB2312"/>
          <w:sz w:val="32"/>
          <w:szCs w:val="32"/>
          <w:lang w:val="zh-CN"/>
        </w:rPr>
      </w:pPr>
      <w:r>
        <w:rPr>
          <w:rFonts w:hint="eastAsia" w:ascii="仿宋_GB2312" w:hAnsi="仿宋_GB2312" w:eastAsia="仿宋_GB2312" w:cs="仿宋_GB2312"/>
          <w:sz w:val="32"/>
          <w:szCs w:val="32"/>
        </w:rPr>
        <w:t>一是在事故处理过程中，做到处理程序、法律法规的应用无瑕疵。二是耐心做好解释工作和法律法规的宣讲，争取让人民群众100%满意。</w:t>
      </w:r>
    </w:p>
    <w:p>
      <w:pPr>
        <w:snapToGrid w:val="0"/>
        <w:spacing w:line="578" w:lineRule="exact"/>
        <w:rPr>
          <w:rFonts w:ascii="仿宋_GB2312" w:eastAsia="仿宋_GB2312"/>
          <w:color w:val="000000"/>
          <w:kern w:val="0"/>
          <w:sz w:val="32"/>
          <w:szCs w:val="32"/>
          <w:shd w:val="clear" w:color="auto" w:fill="FFFFFF"/>
          <w:lang w:val="zh-CN"/>
        </w:rPr>
      </w:pPr>
    </w:p>
    <w:p>
      <w:pPr>
        <w:snapToGrid w:val="0"/>
        <w:spacing w:line="578" w:lineRule="exact"/>
        <w:rPr>
          <w:rFonts w:ascii="仿宋_GB2312" w:eastAsia="仿宋_GB2312"/>
          <w:color w:val="000000"/>
          <w:kern w:val="0"/>
          <w:sz w:val="32"/>
          <w:szCs w:val="32"/>
          <w:shd w:val="clear" w:color="auto" w:fill="FFFFFF"/>
          <w:lang w:val="zh-CN"/>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snapToGrid w:val="0"/>
        <w:spacing w:line="578" w:lineRule="exact"/>
        <w:ind w:firstLine="420" w:firstLineChars="200"/>
        <w:rPr>
          <w:color w:val="000000"/>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2023</w:t>
      </w:r>
      <w:r>
        <w:rPr>
          <w:rFonts w:hint="eastAsia" w:ascii="方正小标宋简体" w:hAnsi="方正小标宋简体" w:eastAsia="方正小标宋简体" w:cs="方正小标宋简体"/>
          <w:color w:val="auto"/>
          <w:kern w:val="2"/>
          <w:sz w:val="44"/>
          <w:szCs w:val="44"/>
          <w:lang w:val="en-US"/>
        </w:rPr>
        <w:t>年民警法定工作日之外加班补贴项目绩效评价报告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60" w:lineRule="exact"/>
        <w:ind w:firstLine="640" w:firstLineChars="200"/>
        <w:outlineLvl w:val="1"/>
        <w:rPr>
          <w:rFonts w:ascii="黑体" w:hAnsi="黑体" w:eastAsia="黑体"/>
          <w:sz w:val="32"/>
          <w:szCs w:val="32"/>
          <w:lang w:val="zh-CN"/>
        </w:rPr>
      </w:pPr>
      <w:bookmarkStart w:id="115" w:name="_Toc28949"/>
      <w:bookmarkStart w:id="116" w:name="_Toc20902"/>
      <w:r>
        <w:rPr>
          <w:rFonts w:hint="eastAsia" w:ascii="黑体" w:hAnsi="黑体" w:eastAsia="黑体"/>
          <w:sz w:val="32"/>
          <w:szCs w:val="32"/>
        </w:rPr>
        <w:t>一、</w:t>
      </w:r>
      <w:r>
        <w:rPr>
          <w:rFonts w:hint="eastAsia" w:ascii="黑体" w:hAnsi="黑体" w:eastAsia="黑体"/>
          <w:sz w:val="32"/>
          <w:szCs w:val="32"/>
          <w:lang w:val="zh-CN"/>
        </w:rPr>
        <w:t>项目概况</w:t>
      </w:r>
      <w:bookmarkEnd w:id="115"/>
      <w:bookmarkEnd w:id="116"/>
    </w:p>
    <w:p>
      <w:pPr>
        <w:spacing w:line="560" w:lineRule="exact"/>
        <w:ind w:firstLine="642" w:firstLineChars="200"/>
        <w:rPr>
          <w:rFonts w:ascii="仿宋_GB2312" w:eastAsia="仿宋_GB2312"/>
          <w:sz w:val="32"/>
          <w:szCs w:val="32"/>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依据财政部、人社部《关于人民警察法定节假日之外加班发放补贴的通知》（人社部发</w:t>
      </w:r>
      <w:r>
        <w:rPr>
          <w:rFonts w:hint="eastAsia" w:ascii="微软雅黑" w:hAnsi="微软雅黑" w:eastAsia="微软雅黑" w:cs="微软雅黑"/>
          <w:sz w:val="32"/>
          <w:szCs w:val="32"/>
          <w:lang w:val="zh-CN"/>
        </w:rPr>
        <w:t>﹝</w:t>
      </w:r>
      <w:r>
        <w:rPr>
          <w:rFonts w:hint="eastAsia" w:ascii="仿宋_GB2312" w:hAnsi="宋体" w:eastAsia="仿宋_GB2312"/>
          <w:sz w:val="32"/>
          <w:szCs w:val="32"/>
          <w:lang w:val="zh-CN"/>
        </w:rPr>
        <w:t>2009</w:t>
      </w:r>
      <w:r>
        <w:rPr>
          <w:rFonts w:hint="eastAsia" w:ascii="微软雅黑" w:hAnsi="微软雅黑" w:eastAsia="微软雅黑" w:cs="微软雅黑"/>
          <w:sz w:val="32"/>
          <w:szCs w:val="32"/>
          <w:lang w:val="zh-CN"/>
        </w:rPr>
        <w:t>﹞</w:t>
      </w:r>
      <w:r>
        <w:rPr>
          <w:rFonts w:hint="eastAsia" w:ascii="仿宋_GB2312" w:hAnsi="宋体" w:eastAsia="仿宋_GB2312"/>
          <w:sz w:val="32"/>
          <w:szCs w:val="32"/>
          <w:lang w:val="zh-CN"/>
        </w:rPr>
        <w:t>184号）。主管职能</w:t>
      </w:r>
      <w:r>
        <w:rPr>
          <w:rFonts w:hint="eastAsia" w:ascii="仿宋_GB2312" w:eastAsia="仿宋_GB2312"/>
          <w:sz w:val="32"/>
          <w:szCs w:val="32"/>
        </w:rPr>
        <w:t>一是负责全市20031公里道路（其中国道684公里、省道1337公里、县道3017公里、乡道2445公里、村道12155公里、专用道393公里）交通安全管理，纠正交通违章，维护交通秩序，处理突发事件，配合开展警卫工作。二是负责全市机动车及非机动车注册登记、核发牌证、过户、转籍等工作；三是负责全市机动车驾驶人考试及驾驶证的核发、补发等工作；四是负责交通事故责任认定、交通安全宣传以及参与道路交通管理工作规划。</w:t>
      </w:r>
    </w:p>
    <w:p>
      <w:pPr>
        <w:adjustRightInd w:val="0"/>
        <w:snapToGrid w:val="0"/>
        <w:spacing w:line="560" w:lineRule="exact"/>
        <w:ind w:firstLine="642" w:firstLineChars="200"/>
        <w:rPr>
          <w:rFonts w:ascii="仿宋_GB2312" w:hAnsi="宋体" w:eastAsia="仿宋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w:t>
      </w:r>
      <w:r>
        <w:rPr>
          <w:rFonts w:hint="eastAsia" w:ascii="仿宋_GB2312" w:hAnsi="仿宋_GB2312" w:eastAsia="仿宋_GB2312" w:cs="仿宋_GB2312"/>
          <w:kern w:val="0"/>
          <w:sz w:val="32"/>
          <w:szCs w:val="32"/>
          <w:shd w:val="clear" w:color="auto" w:fill="FFFFFF"/>
          <w:lang w:val="zh-CN"/>
        </w:rPr>
        <w:t>主要工作任务是</w:t>
      </w:r>
      <w:r>
        <w:rPr>
          <w:rFonts w:hint="eastAsia" w:ascii="仿宋_GB2312" w:hAnsi="宋体" w:eastAsia="仿宋_GB2312"/>
          <w:sz w:val="32"/>
          <w:szCs w:val="32"/>
          <w:lang w:val="zh-CN"/>
        </w:rPr>
        <w:t>在法定节假日保证城区和各高速路口平安畅通、维持旅游景点周边道路交通秩序，全天24小时交通事故现场的及时处理，重点路段和时段查处酒驾、大货车超载等重点违章的处理，以及一些特殊的重大的警卫开道和道路交通安全保障工作。</w:t>
      </w:r>
    </w:p>
    <w:p>
      <w:pPr>
        <w:adjustRightInd w:val="0"/>
        <w:snapToGrid w:val="0"/>
        <w:spacing w:line="560" w:lineRule="exact"/>
        <w:ind w:firstLine="642" w:firstLineChars="20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宋体" w:eastAsia="仿宋_GB2312"/>
          <w:sz w:val="32"/>
          <w:szCs w:val="32"/>
          <w:lang w:val="zh-CN"/>
        </w:rPr>
        <w:t>该</w:t>
      </w:r>
      <w:r>
        <w:rPr>
          <w:rFonts w:hint="eastAsia" w:ascii="仿宋_GB2312" w:hAnsi="仿宋_GB2312" w:eastAsia="仿宋_GB2312" w:cs="仿宋_GB2312"/>
          <w:kern w:val="0"/>
          <w:sz w:val="32"/>
          <w:szCs w:val="32"/>
          <w:shd w:val="clear" w:color="auto" w:fill="FFFFFF"/>
          <w:lang w:val="zh-CN"/>
        </w:rPr>
        <w:t>项目资金预算187.7万元，</w:t>
      </w:r>
      <w:r>
        <w:rPr>
          <w:rFonts w:hint="eastAsia" w:ascii="仿宋_GB2312" w:hAnsi="宋体" w:eastAsia="仿宋_GB2312"/>
          <w:sz w:val="32"/>
          <w:szCs w:val="32"/>
          <w:lang w:val="zh-CN"/>
        </w:rPr>
        <w:t>依据政工科考核的民警节假日加班天数分配。</w:t>
      </w:r>
    </w:p>
    <w:p>
      <w:pPr>
        <w:adjustRightInd w:val="0"/>
        <w:snapToGrid w:val="0"/>
        <w:spacing w:line="560" w:lineRule="exact"/>
        <w:ind w:firstLine="642" w:firstLineChars="20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各项目的差异性，使绩效目标内容完整，细化量化，可操作性强，与预算匹配。成立了以支队长任组长的项目自评领导小组，下设办公室具体负责自评工作，采取调阅资料、现场查看等方式开展自评工作</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560" w:lineRule="exact"/>
        <w:ind w:firstLine="640" w:firstLineChars="200"/>
        <w:outlineLvl w:val="1"/>
        <w:rPr>
          <w:rFonts w:ascii="黑体" w:hAnsi="黑体" w:eastAsia="黑体"/>
          <w:sz w:val="32"/>
          <w:szCs w:val="32"/>
        </w:rPr>
      </w:pPr>
      <w:bookmarkStart w:id="117" w:name="_Toc3169"/>
      <w:bookmarkStart w:id="118" w:name="_Toc2931"/>
      <w:r>
        <w:rPr>
          <w:rFonts w:hint="eastAsia" w:ascii="黑体" w:hAnsi="黑体" w:eastAsia="黑体"/>
          <w:sz w:val="32"/>
          <w:szCs w:val="32"/>
        </w:rPr>
        <w:t>二、评价实施</w:t>
      </w:r>
      <w:bookmarkEnd w:id="117"/>
      <w:bookmarkEnd w:id="118"/>
    </w:p>
    <w:p>
      <w:pPr>
        <w:spacing w:line="560"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spacing w:line="560" w:lineRule="exact"/>
        <w:ind w:firstLine="640"/>
        <w:rPr>
          <w:rFonts w:ascii="仿宋_GB2312" w:eastAsia="仿宋_GB2312"/>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 xml:space="preserve"> 预设问题为资金使用是否规范；评价重点在于</w:t>
      </w:r>
      <w:r>
        <w:rPr>
          <w:rFonts w:hint="eastAsia" w:ascii="仿宋_GB2312" w:hAnsi="宋体" w:eastAsia="仿宋_GB2312"/>
          <w:sz w:val="32"/>
          <w:szCs w:val="32"/>
        </w:rPr>
        <w:t>节假日科学合力部署警力情况，交通秩序是否良好。</w:t>
      </w:r>
    </w:p>
    <w:p>
      <w:pPr>
        <w:adjustRightInd w:val="0"/>
        <w:snapToGrid w:val="0"/>
        <w:spacing w:line="560"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通过抽取民警加班表的方式查看发放的加班费与加班天数是否对应。</w:t>
      </w:r>
    </w:p>
    <w:p>
      <w:pPr>
        <w:adjustRightInd w:val="0"/>
        <w:snapToGrid w:val="0"/>
        <w:spacing w:line="56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该项目采取了调阅资料和电话访问的方式开展自评工作。</w:t>
      </w:r>
    </w:p>
    <w:p>
      <w:pPr>
        <w:adjustRightInd w:val="0"/>
        <w:snapToGrid w:val="0"/>
        <w:spacing w:line="560" w:lineRule="exact"/>
        <w:ind w:firstLine="720"/>
        <w:rPr>
          <w:rFonts w:ascii="仿宋_GB2312" w:eastAsia="仿宋_GB2312"/>
          <w:bCs/>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adjustRightInd w:val="0"/>
        <w:snapToGrid w:val="0"/>
        <w:spacing w:line="560" w:lineRule="exact"/>
        <w:ind w:firstLine="640" w:firstLineChars="200"/>
        <w:outlineLvl w:val="1"/>
        <w:rPr>
          <w:rFonts w:ascii="黑体" w:hAnsi="黑体" w:eastAsia="黑体"/>
          <w:sz w:val="32"/>
          <w:szCs w:val="32"/>
          <w:lang w:val="zh-CN"/>
        </w:rPr>
      </w:pPr>
      <w:bookmarkStart w:id="119" w:name="_Toc5595"/>
      <w:bookmarkStart w:id="120" w:name="_Toc11072"/>
      <w:r>
        <w:rPr>
          <w:rFonts w:hint="eastAsia" w:ascii="黑体" w:hAnsi="黑体" w:eastAsia="黑体"/>
          <w:sz w:val="32"/>
          <w:szCs w:val="32"/>
        </w:rPr>
        <w:t>三、绩效分析</w:t>
      </w:r>
      <w:bookmarkEnd w:id="119"/>
      <w:bookmarkEnd w:id="120"/>
      <w:r>
        <w:rPr>
          <w:rFonts w:hint="eastAsia" w:ascii="黑体" w:hAnsi="黑体" w:eastAsia="黑体"/>
          <w:sz w:val="32"/>
          <w:szCs w:val="32"/>
          <w:lang w:val="zh-CN"/>
        </w:rPr>
        <w:tab/>
      </w:r>
    </w:p>
    <w:p>
      <w:pPr>
        <w:spacing w:line="560"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60"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该项目由科室就项目具体内容、所需资金、工作目标等形成报告，报告提交交警支队党总支会议审核，审核通过后根据财政批复情况由部门具体进行实施。</w:t>
      </w:r>
    </w:p>
    <w:p>
      <w:pPr>
        <w:adjustRightInd w:val="0"/>
        <w:snapToGrid w:val="0"/>
        <w:spacing w:line="560" w:lineRule="exact"/>
        <w:ind w:firstLine="720"/>
        <w:rPr>
          <w:rFonts w:ascii="仿宋_GB2312" w:hAnsi="宋体" w:eastAsia="仿宋_GB2312"/>
          <w:sz w:val="32"/>
          <w:szCs w:val="32"/>
          <w:lang w:val="zh-CN"/>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严格财务规范运转，先后制定完善了财务管理各项规章制度，如《财务管理规定》、《内部会计监督制度》、《工程和大宗物品采购管理规定》、《“三重一大”事项集体决策制度》等。同时，</w:t>
      </w:r>
      <w:r>
        <w:rPr>
          <w:rFonts w:hint="eastAsia" w:ascii="仿宋_GB2312" w:hAnsi="宋体" w:eastAsia="仿宋_GB2312"/>
          <w:sz w:val="32"/>
          <w:szCs w:val="32"/>
          <w:lang w:val="zh-CN"/>
        </w:rPr>
        <w:t>支队政工部门对民警加班情况予以统计公示，纪检部门进行督查和监管，全面完成了年初设定了绩效目标。</w:t>
      </w:r>
    </w:p>
    <w:p>
      <w:pPr>
        <w:spacing w:line="560" w:lineRule="exact"/>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3.项目实施（9分）。</w:t>
      </w:r>
      <w:r>
        <w:rPr>
          <w:rFonts w:hint="eastAsia" w:ascii="仿宋_GB2312" w:hAnsi="宋体" w:eastAsia="仿宋_GB2312"/>
          <w:sz w:val="32"/>
          <w:szCs w:val="32"/>
          <w:lang w:val="zh-CN"/>
        </w:rPr>
        <w:t>该项目资金执行率为100%，项目严格按照相关要求进行支付，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使用审批”、“预算执行”、“管理监督”三个环节，硬化预算约束，做到了“专款专用”。</w:t>
      </w:r>
    </w:p>
    <w:p>
      <w:pPr>
        <w:pStyle w:val="9"/>
        <w:spacing w:line="560" w:lineRule="exact"/>
        <w:ind w:firstLine="640" w:firstLineChars="200"/>
        <w:rPr>
          <w:rFonts w:ascii="仿宋_GB2312"/>
        </w:rPr>
      </w:pPr>
      <w:r>
        <w:rPr>
          <w:rFonts w:hint="eastAsia" w:ascii="仿宋_GB2312" w:hAnsi="楷体_GB2312" w:cs="楷体_GB2312"/>
        </w:rPr>
        <w:t>4.项目结果（9分）。</w:t>
      </w:r>
      <w:r>
        <w:rPr>
          <w:rFonts w:hint="eastAsia" w:ascii="仿宋_GB2312" w:hAnsi="宋体"/>
        </w:rPr>
        <w:t>节假日科学合力部署警力，打击重点违法，强化应急处置，保障了交通管理工作高效、有序运转。全年共</w:t>
      </w:r>
      <w:r>
        <w:rPr>
          <w:rFonts w:hint="eastAsia" w:ascii="仿宋_GB2312"/>
        </w:rPr>
        <w:t>查处各类交通违法行为65.7万余起（其中饮酒驾驶3621起、醉酒驾驶781起、飙车炸街218起、非法改拼装261起），执行拘留2254人，吊销驾驶证980本，移送起诉826 件，极大震慑了违法行为。</w:t>
      </w:r>
    </w:p>
    <w:p>
      <w:pPr>
        <w:pStyle w:val="9"/>
        <w:spacing w:line="560" w:lineRule="exact"/>
        <w:ind w:firstLine="481" w:firstLineChars="150"/>
        <w:rPr>
          <w:rFonts w:ascii="仿宋_GB2312" w:hAnsi="楷体_GB2312" w:cs="楷体_GB2312"/>
        </w:rPr>
      </w:pPr>
      <w:r>
        <w:rPr>
          <w:rFonts w:hint="eastAsia" w:ascii="仿宋_GB2312" w:hAnsi="宋体"/>
          <w:b/>
          <w:lang w:val="zh-CN"/>
        </w:rPr>
        <w:t>（二）</w:t>
      </w:r>
      <w:r>
        <w:rPr>
          <w:rFonts w:hint="eastAsia" w:ascii="仿宋_GB2312" w:hAnsi="宋体"/>
          <w:b/>
        </w:rPr>
        <w:t>专用指标</w:t>
      </w:r>
      <w:r>
        <w:rPr>
          <w:rFonts w:hint="eastAsia" w:ascii="仿宋_GB2312"/>
          <w:b/>
          <w:bCs/>
          <w:color w:val="000000"/>
          <w:kern w:val="0"/>
          <w:shd w:val="clear" w:color="auto" w:fill="FFFFFF"/>
          <w:lang w:val="zh-CN"/>
        </w:rPr>
        <w:t>绩效分析</w:t>
      </w:r>
      <w:r>
        <w:rPr>
          <w:rFonts w:hint="eastAsia" w:ascii="仿宋_GB2312" w:hAnsi="楷体_GB2312" w:cs="楷体_GB2312"/>
        </w:rPr>
        <w:t>。</w:t>
      </w:r>
      <w:r>
        <w:rPr>
          <w:rFonts w:hint="eastAsia" w:ascii="仿宋_GB2312" w:hAnsi="楷体_GB2312" w:cs="楷体_GB2312"/>
          <w:lang w:val="zh-CN"/>
        </w:rPr>
        <w:t>行政运转（30分）。</w:t>
      </w:r>
      <w:r>
        <w:rPr>
          <w:rFonts w:hint="eastAsia" w:ascii="仿宋_GB2312" w:hAnsi="仿宋_GB2312" w:cs="仿宋_GB2312"/>
        </w:rPr>
        <w:t>该项目属行政运转类项目，通过项目实施，深化路面秩序专项整治，常态开展交通违法整治，有力净化交通秩序。</w:t>
      </w:r>
      <w:r>
        <w:rPr>
          <w:rFonts w:hint="eastAsia" w:ascii="仿宋_GB2312"/>
        </w:rPr>
        <w:t>连续42个月未发生一起一次死亡3人以上交通事故，连续11年没有发生一起一次死亡5人以上较大交通事故。</w:t>
      </w:r>
      <w:r>
        <w:rPr>
          <w:rFonts w:hint="eastAsia" w:ascii="仿宋_GB2312" w:hAnsi="仿宋_GB2312" w:cs="仿宋_GB2312"/>
        </w:rPr>
        <w:t>全市交通安全形势总体平稳。项目</w:t>
      </w:r>
      <w:r>
        <w:rPr>
          <w:rFonts w:hint="eastAsia" w:ascii="仿宋_GB2312" w:hAnsi="楷体_GB2312" w:cs="楷体_GB2312"/>
          <w:lang w:val="zh-CN"/>
        </w:rPr>
        <w:t>资金用途合规，程序审批严密合规，不存在违规使用的情况。</w:t>
      </w:r>
    </w:p>
    <w:p>
      <w:pPr>
        <w:spacing w:line="560" w:lineRule="exact"/>
        <w:ind w:firstLine="640"/>
        <w:rPr>
          <w:rFonts w:ascii="仿宋_GB2312" w:eastAsia="仿宋_GB2312"/>
          <w:sz w:val="32"/>
          <w:szCs w:val="32"/>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eastAsia="仿宋_GB2312"/>
          <w:sz w:val="32"/>
          <w:szCs w:val="32"/>
        </w:rPr>
        <w:t>通过项目实施，连续42个月未发生一起一次死亡3人以上交通事故，连续11年没有发生一起一次死亡5人以上较大交通事故，</w:t>
      </w:r>
      <w:r>
        <w:rPr>
          <w:rFonts w:hint="eastAsia" w:ascii="仿宋_GB2312" w:hAnsi="仿宋_GB2312" w:eastAsia="仿宋_GB2312" w:cs="仿宋_GB2312"/>
          <w:sz w:val="32"/>
          <w:szCs w:val="32"/>
        </w:rPr>
        <w:t>全市交通安全形势总体平稳，增强了群众安全感。</w:t>
      </w:r>
    </w:p>
    <w:p>
      <w:pPr>
        <w:pStyle w:val="4"/>
        <w:spacing w:line="560" w:lineRule="exact"/>
        <w:ind w:firstLine="640" w:firstLineChars="200"/>
        <w:outlineLvl w:val="1"/>
        <w:rPr>
          <w:rFonts w:ascii="黑体" w:hAnsi="黑体" w:eastAsia="黑体"/>
          <w:sz w:val="32"/>
          <w:szCs w:val="32"/>
        </w:rPr>
      </w:pPr>
      <w:bookmarkStart w:id="121" w:name="_Toc32585"/>
      <w:bookmarkStart w:id="122" w:name="_Toc13922"/>
      <w:r>
        <w:rPr>
          <w:rFonts w:hint="eastAsia" w:ascii="黑体" w:hAnsi="黑体" w:eastAsia="黑体"/>
          <w:sz w:val="32"/>
          <w:szCs w:val="32"/>
        </w:rPr>
        <w:t>四、评价结论</w:t>
      </w:r>
      <w:bookmarkEnd w:id="121"/>
      <w:bookmarkEnd w:id="122"/>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从评价情况来看，项目的预算资金管理科学合理，使用规范，完成了项目的既定目标，达到了预期使用效果，得分是100分。</w:t>
      </w:r>
    </w:p>
    <w:p>
      <w:pPr>
        <w:pStyle w:val="4"/>
        <w:spacing w:line="560" w:lineRule="exact"/>
        <w:ind w:firstLine="640" w:firstLineChars="200"/>
        <w:outlineLvl w:val="1"/>
        <w:rPr>
          <w:rFonts w:ascii="黑体" w:hAnsi="黑体" w:eastAsia="黑体"/>
          <w:sz w:val="32"/>
          <w:szCs w:val="32"/>
        </w:rPr>
      </w:pPr>
      <w:bookmarkStart w:id="123" w:name="_Toc10623"/>
      <w:bookmarkStart w:id="124" w:name="_Toc7920"/>
      <w:r>
        <w:rPr>
          <w:rFonts w:hint="eastAsia" w:ascii="黑体" w:hAnsi="黑体" w:eastAsia="黑体"/>
          <w:sz w:val="32"/>
          <w:szCs w:val="32"/>
        </w:rPr>
        <w:t>五、存在主要问题</w:t>
      </w:r>
      <w:bookmarkEnd w:id="123"/>
      <w:bookmarkEnd w:id="124"/>
    </w:p>
    <w:p>
      <w:pPr>
        <w:pStyle w:val="4"/>
        <w:spacing w:line="560" w:lineRule="exact"/>
        <w:ind w:firstLine="640" w:firstLineChars="200"/>
        <w:rPr>
          <w:rFonts w:ascii="仿宋_GB2312" w:hAnsi="黑体" w:eastAsia="仿宋_GB2312" w:cs="黑体"/>
          <w:sz w:val="32"/>
          <w:szCs w:val="32"/>
        </w:rPr>
      </w:pPr>
      <w:r>
        <w:rPr>
          <w:rFonts w:hint="eastAsia" w:ascii="仿宋_GB2312" w:hAnsi="仿宋_GB2312" w:eastAsia="仿宋_GB2312" w:cs="仿宋_GB2312"/>
          <w:sz w:val="32"/>
          <w:szCs w:val="32"/>
        </w:rPr>
        <w:t>无。</w:t>
      </w:r>
    </w:p>
    <w:p>
      <w:pPr>
        <w:pStyle w:val="4"/>
        <w:spacing w:line="560" w:lineRule="exact"/>
        <w:ind w:firstLine="640" w:firstLineChars="200"/>
        <w:outlineLvl w:val="1"/>
        <w:rPr>
          <w:rFonts w:ascii="黑体" w:hAnsi="黑体" w:eastAsia="黑体"/>
          <w:sz w:val="32"/>
          <w:szCs w:val="32"/>
          <w:lang w:val="zh-CN"/>
        </w:rPr>
      </w:pPr>
      <w:bookmarkStart w:id="125" w:name="_Toc13837"/>
      <w:bookmarkStart w:id="126" w:name="_Toc17367"/>
      <w:r>
        <w:rPr>
          <w:rFonts w:hint="eastAsia" w:ascii="黑体" w:hAnsi="黑体" w:eastAsia="黑体"/>
          <w:sz w:val="32"/>
          <w:szCs w:val="32"/>
          <w:lang w:val="zh-CN"/>
        </w:rPr>
        <w:t>六、改进建议</w:t>
      </w:r>
      <w:bookmarkEnd w:id="125"/>
      <w:bookmarkEnd w:id="126"/>
    </w:p>
    <w:p>
      <w:pPr>
        <w:pStyle w:val="4"/>
        <w:spacing w:line="560" w:lineRule="exact"/>
        <w:ind w:firstLine="640" w:firstLineChars="200"/>
        <w:rPr>
          <w:rFonts w:ascii="仿宋_GB2312" w:hAnsi="黑体" w:eastAsia="仿宋_GB2312" w:cs="黑体"/>
          <w:sz w:val="32"/>
          <w:szCs w:val="32"/>
        </w:rPr>
      </w:pPr>
      <w:r>
        <w:rPr>
          <w:rFonts w:hint="eastAsia" w:ascii="仿宋_GB2312" w:hAnsi="仿宋_GB2312" w:eastAsia="仿宋_GB2312" w:cs="仿宋_GB2312"/>
          <w:sz w:val="32"/>
          <w:szCs w:val="32"/>
        </w:rPr>
        <w:t>无。</w:t>
      </w:r>
    </w:p>
    <w:p>
      <w:pPr>
        <w:tabs>
          <w:tab w:val="left" w:pos="1911"/>
        </w:tabs>
        <w:spacing w:line="560" w:lineRule="exact"/>
        <w:jc w:val="left"/>
        <w:rPr>
          <w:rFonts w:ascii="仿宋_GB2312" w:eastAsia="仿宋_GB2312"/>
          <w:color w:val="000000"/>
          <w:kern w:val="0"/>
          <w:sz w:val="32"/>
          <w:szCs w:val="32"/>
          <w:shd w:val="clear" w:color="auto" w:fill="FFFFFF"/>
          <w:lang w:val="zh-CN"/>
        </w:rPr>
      </w:pPr>
    </w:p>
    <w:p>
      <w:pPr>
        <w:snapToGrid w:val="0"/>
        <w:spacing w:line="578" w:lineRule="exact"/>
        <w:rPr>
          <w:color w:val="000000"/>
          <w:kern w:val="0"/>
          <w:shd w:val="clear" w:color="auto" w:fill="FFFFFF"/>
          <w:lang w:val="zh-CN"/>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snapToGrid w:val="0"/>
        <w:spacing w:line="578" w:lineRule="exact"/>
        <w:ind w:firstLine="420" w:firstLineChars="200"/>
        <w:rPr>
          <w:color w:val="000000"/>
          <w:kern w:val="0"/>
          <w:shd w:val="clear" w:color="auto" w:fill="FFFFFF"/>
          <w:lang w:val="zh-CN"/>
        </w:rPr>
      </w:pPr>
    </w:p>
    <w:p>
      <w:pPr>
        <w:pStyle w:val="23"/>
        <w:spacing w:line="640" w:lineRule="exact"/>
        <w:jc w:val="center"/>
        <w:rPr>
          <w:rFonts w:ascii="黑体" w:hAnsi="宋体" w:eastAsia="黑体"/>
          <w:color w:val="auto"/>
          <w:sz w:val="44"/>
          <w:szCs w:val="44"/>
        </w:rPr>
      </w:pPr>
    </w:p>
    <w:p>
      <w:pPr>
        <w:pStyle w:val="23"/>
        <w:spacing w:line="640" w:lineRule="exact"/>
        <w:jc w:val="center"/>
        <w:rPr>
          <w:rFonts w:ascii="黑体" w:hAnsi="宋体" w:eastAsia="黑体"/>
          <w:color w:val="auto"/>
          <w:sz w:val="44"/>
          <w:szCs w:val="44"/>
        </w:rPr>
      </w:pPr>
    </w:p>
    <w:p>
      <w:pPr>
        <w:pStyle w:val="23"/>
        <w:spacing w:line="640" w:lineRule="exact"/>
        <w:jc w:val="center"/>
        <w:rPr>
          <w:rFonts w:ascii="黑体" w:hAnsi="宋体" w:eastAsia="黑体"/>
          <w:color w:val="auto"/>
          <w:sz w:val="44"/>
          <w:szCs w:val="44"/>
        </w:rPr>
      </w:pPr>
      <w:r>
        <w:rPr>
          <w:rFonts w:hint="eastAsia" w:ascii="黑体" w:hAnsi="宋体" w:eastAsia="黑体"/>
          <w:color w:val="auto"/>
          <w:sz w:val="44"/>
          <w:szCs w:val="44"/>
        </w:rPr>
        <w:t>广元市公安局交通警察支队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w:t>
      </w:r>
      <w:r>
        <w:rPr>
          <w:rFonts w:ascii="方正小标宋简体" w:hAnsi="方正小标宋简体" w:eastAsia="方正小标宋简体" w:cs="方正小标宋简体"/>
          <w:color w:val="auto"/>
          <w:kern w:val="2"/>
          <w:sz w:val="44"/>
          <w:szCs w:val="44"/>
          <w:lang w:val="en-US"/>
        </w:rPr>
        <w:t>023</w:t>
      </w:r>
      <w:r>
        <w:rPr>
          <w:rFonts w:hint="eastAsia" w:ascii="方正小标宋简体" w:hAnsi="方正小标宋简体" w:eastAsia="方正小标宋简体" w:cs="方正小标宋简体"/>
          <w:color w:val="auto"/>
          <w:kern w:val="2"/>
          <w:sz w:val="44"/>
          <w:szCs w:val="44"/>
          <w:lang w:val="en-US"/>
        </w:rPr>
        <w:t>年事故车辆检测项目绩效评价报告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60" w:lineRule="exact"/>
        <w:ind w:firstLine="640" w:firstLineChars="200"/>
        <w:outlineLvl w:val="1"/>
        <w:rPr>
          <w:rFonts w:ascii="黑体" w:hAnsi="黑体" w:eastAsia="黑体"/>
          <w:sz w:val="32"/>
          <w:szCs w:val="32"/>
          <w:lang w:val="zh-CN"/>
        </w:rPr>
      </w:pPr>
      <w:bookmarkStart w:id="127" w:name="_Toc29379"/>
      <w:bookmarkStart w:id="128" w:name="_Toc1051"/>
      <w:r>
        <w:rPr>
          <w:rFonts w:hint="eastAsia" w:ascii="黑体" w:hAnsi="黑体" w:eastAsia="黑体"/>
          <w:sz w:val="32"/>
          <w:szCs w:val="32"/>
        </w:rPr>
        <w:t>一、</w:t>
      </w:r>
      <w:r>
        <w:rPr>
          <w:rFonts w:hint="eastAsia" w:ascii="黑体" w:hAnsi="黑体" w:eastAsia="黑体"/>
          <w:sz w:val="32"/>
          <w:szCs w:val="32"/>
          <w:lang w:val="zh-CN"/>
        </w:rPr>
        <w:t>项目概况</w:t>
      </w:r>
      <w:bookmarkEnd w:id="127"/>
      <w:bookmarkEnd w:id="128"/>
    </w:p>
    <w:p>
      <w:pPr>
        <w:widowControl/>
        <w:adjustRightInd w:val="0"/>
        <w:snapToGrid w:val="0"/>
        <w:spacing w:line="560" w:lineRule="exact"/>
        <w:ind w:firstLine="642" w:firstLineChars="200"/>
        <w:contextualSpacing/>
        <w:jc w:val="left"/>
        <w:rPr>
          <w:rFonts w:ascii="仿宋_GB2312" w:hAnsi="宋体" w:eastAsia="仿宋_GB2312"/>
          <w:b/>
          <w:sz w:val="32"/>
          <w:szCs w:val="32"/>
          <w:lang w:val="zh-CN"/>
        </w:rPr>
      </w:pPr>
      <w:r>
        <w:rPr>
          <w:rFonts w:hint="eastAsia" w:ascii="仿宋_GB2312" w:hAnsi="宋体" w:eastAsia="仿宋_GB2312"/>
          <w:b/>
          <w:sz w:val="32"/>
          <w:szCs w:val="32"/>
          <w:lang w:val="zh-CN"/>
        </w:rPr>
        <w:t>（一）设立背景及基本情况。</w:t>
      </w:r>
      <w:r>
        <w:rPr>
          <w:rFonts w:hint="eastAsia" w:ascii="仿宋_GB2312" w:hAnsi="楷体_GB2312" w:eastAsia="仿宋_GB2312" w:cs="楷体_GB2312"/>
          <w:sz w:val="32"/>
          <w:szCs w:val="32"/>
          <w:lang w:val="zh-CN"/>
        </w:rPr>
        <w:t>根据《道路交通事故处理程序规定》第四十九条第一款“需要进行检验鉴定、鉴定的，公安机关交通管理部门应当按照有关规定，自事故现场调查结束之后三日内委托具备资质的鉴定机构进行检验、鉴定。”和第五十条“检验、鉴定费用由公安机关交通管理部门承担。”之规定，我支队承担着广元市利州区、经开区的道路交通事故处理工作，为公正处理交通事故提供有力证据，掌握事故发生的全面情况，按照相关规定必要时需要对事故车辆进行检验鉴定的，应当委托具备资质的鉴定机构进行检验、鉴定。</w:t>
      </w:r>
    </w:p>
    <w:p>
      <w:pPr>
        <w:numPr>
          <w:ilvl w:val="0"/>
          <w:numId w:val="2"/>
        </w:numPr>
        <w:adjustRightInd w:val="0"/>
        <w:snapToGrid w:val="0"/>
        <w:spacing w:line="560" w:lineRule="exact"/>
        <w:ind w:firstLine="642" w:firstLineChars="200"/>
        <w:rPr>
          <w:rFonts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宋体" w:eastAsia="仿宋_GB2312"/>
          <w:b/>
          <w:color w:val="000000" w:themeColor="text1"/>
          <w:sz w:val="32"/>
          <w:szCs w:val="32"/>
          <w14:textFill>
            <w14:solidFill>
              <w14:schemeClr w14:val="tx1"/>
            </w14:solidFill>
          </w14:textFill>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w:t>
      </w:r>
      <w:r>
        <w:rPr>
          <w:rFonts w:hint="eastAsia" w:ascii="仿宋_GB2312" w:hAnsi="楷体_GB2312" w:eastAsia="仿宋_GB2312" w:cs="楷体_GB2312"/>
          <w:sz w:val="32"/>
          <w:szCs w:val="32"/>
        </w:rPr>
        <w:t>主要任务是</w:t>
      </w:r>
      <w:r>
        <w:rPr>
          <w:rFonts w:hint="eastAsia" w:ascii="仿宋_GB2312" w:hAnsi="楷体_GB2312" w:eastAsia="仿宋_GB2312" w:cs="楷体_GB2312"/>
          <w:sz w:val="32"/>
          <w:szCs w:val="32"/>
          <w:lang w:val="zh-CN"/>
        </w:rPr>
        <w:t>对需要进行事故车辆检验鉴定的车辆进行检验鉴定，旨在</w:t>
      </w:r>
      <w:r>
        <w:rPr>
          <w:rFonts w:hint="eastAsia" w:ascii="仿宋_GB2312" w:hAnsi="楷体_GB2312" w:eastAsia="仿宋_GB2312" w:cs="楷体_GB2312"/>
          <w:sz w:val="32"/>
          <w:szCs w:val="32"/>
        </w:rPr>
        <w:t>为交通事故的责任认定提供依据。</w:t>
      </w:r>
    </w:p>
    <w:p>
      <w:pPr>
        <w:widowControl/>
        <w:numPr>
          <w:ilvl w:val="0"/>
          <w:numId w:val="2"/>
        </w:numPr>
        <w:adjustRightInd w:val="0"/>
        <w:snapToGrid w:val="0"/>
        <w:spacing w:line="560" w:lineRule="exact"/>
        <w:ind w:firstLine="642" w:firstLineChars="200"/>
        <w:contextualSpacing/>
        <w:jc w:val="left"/>
        <w:rPr>
          <w:rFonts w:ascii="仿宋_GB2312" w:hAnsi="宋体" w:eastAsia="仿宋_GB2312"/>
          <w:b/>
          <w:sz w:val="32"/>
          <w:szCs w:val="32"/>
          <w:lang w:val="zh-CN"/>
        </w:rPr>
      </w:pP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仿宋_GB2312" w:eastAsia="仿宋_GB2312" w:cs="仿宋_GB2312"/>
          <w:kern w:val="0"/>
          <w:sz w:val="32"/>
          <w:szCs w:val="32"/>
          <w:shd w:val="clear" w:color="auto" w:fill="FFFFFF"/>
          <w:lang w:val="zh-CN"/>
        </w:rPr>
        <w:t>项目资金40万元，</w:t>
      </w:r>
      <w:r>
        <w:rPr>
          <w:rFonts w:hint="eastAsia" w:ascii="仿宋_GB2312" w:hAnsi="宋体" w:eastAsia="仿宋_GB2312"/>
          <w:sz w:val="32"/>
          <w:szCs w:val="32"/>
          <w:lang w:val="zh-CN"/>
        </w:rPr>
        <w:t>资金分配用于事故车辆的检验鉴定。</w:t>
      </w:r>
    </w:p>
    <w:p>
      <w:pPr>
        <w:numPr>
          <w:ilvl w:val="0"/>
          <w:numId w:val="2"/>
        </w:numPr>
        <w:adjustRightInd w:val="0"/>
        <w:snapToGrid w:val="0"/>
        <w:spacing w:line="560" w:lineRule="exact"/>
        <w:ind w:firstLine="642" w:firstLineChars="200"/>
        <w:rPr>
          <w:rFonts w:ascii="仿宋_GB2312" w:hAnsi="宋体" w:eastAsia="仿宋_GB2312"/>
          <w:b/>
          <w:sz w:val="32"/>
          <w:szCs w:val="32"/>
          <w:lang w:val="zh-CN"/>
        </w:rPr>
      </w:pPr>
      <w:r>
        <w:rPr>
          <w:rFonts w:hint="eastAsia" w:ascii="仿宋_GB2312" w:hAnsi="宋体" w:eastAsia="仿宋_GB2312"/>
          <w:b/>
          <w:sz w:val="32"/>
          <w:szCs w:val="32"/>
          <w:lang w:val="zh-CN"/>
        </w:rPr>
        <w:t>项目绩效目标设置。</w:t>
      </w:r>
      <w:r>
        <w:rPr>
          <w:rFonts w:hint="eastAsia" w:ascii="仿宋_GB2312" w:eastAsia="仿宋_GB2312"/>
          <w:sz w:val="32"/>
          <w:szCs w:val="32"/>
        </w:rPr>
        <w:t>根据预算绩效管理要求，在年初预算编制阶段，能够科学、合理的设置绩效目标，使绩效目标内容完整，细化量化，可操作性强，与预算匹配。成立了以支队长任组长的项目自评领导小组，下设办公室具体负责自评工作，采取调阅资料、现场查看等方式开展自评工作</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560" w:lineRule="exact"/>
        <w:ind w:firstLine="640" w:firstLineChars="200"/>
        <w:outlineLvl w:val="1"/>
        <w:rPr>
          <w:rFonts w:ascii="黑体" w:hAnsi="黑体" w:eastAsia="黑体"/>
          <w:sz w:val="32"/>
          <w:szCs w:val="32"/>
        </w:rPr>
      </w:pPr>
      <w:bookmarkStart w:id="129" w:name="_Toc5722"/>
      <w:bookmarkStart w:id="130" w:name="_Toc18866"/>
      <w:r>
        <w:rPr>
          <w:rFonts w:hint="eastAsia" w:ascii="黑体" w:hAnsi="黑体" w:eastAsia="黑体"/>
          <w:sz w:val="32"/>
          <w:szCs w:val="32"/>
        </w:rPr>
        <w:t>二、评价实施</w:t>
      </w:r>
      <w:bookmarkEnd w:id="129"/>
      <w:bookmarkEnd w:id="130"/>
    </w:p>
    <w:p>
      <w:pPr>
        <w:spacing w:line="560" w:lineRule="exact"/>
        <w:ind w:firstLine="640"/>
        <w:rPr>
          <w:rFonts w:ascii="仿宋_GB2312" w:eastAsia="仿宋_GB2312"/>
          <w:sz w:val="32"/>
          <w:szCs w:val="32"/>
        </w:rPr>
      </w:pPr>
      <w:r>
        <w:rPr>
          <w:rFonts w:hint="eastAsia" w:ascii="仿宋_GB2312" w:hAnsi="宋体" w:eastAsia="仿宋_GB2312"/>
          <w:b/>
          <w:sz w:val="32"/>
          <w:szCs w:val="32"/>
          <w:lang w:val="zh-CN"/>
        </w:rPr>
        <w:t>（一</w:t>
      </w:r>
      <w:r>
        <w:rPr>
          <w:rFonts w:hint="eastAsia" w:ascii="仿宋_GB2312" w:hAnsi="宋体" w:eastAsia="仿宋_GB2312"/>
          <w:b/>
          <w:color w:val="000000" w:themeColor="text1"/>
          <w:sz w:val="32"/>
          <w:szCs w:val="32"/>
          <w:lang w:val="zh-CN"/>
          <w14:textFill>
            <w14:solidFill>
              <w14:schemeClr w14:val="tx1"/>
            </w14:solidFill>
          </w14:textFill>
        </w:rPr>
        <w:t>）评价目的。</w:t>
      </w:r>
      <w:r>
        <w:rPr>
          <w:rFonts w:hint="eastAsia" w:ascii="仿宋_GB2312" w:eastAsia="仿宋_GB2312"/>
          <w:sz w:val="32"/>
          <w:szCs w:val="32"/>
        </w:rPr>
        <w:t>通过项目绩效自评，主要结合资金使用情况，查看项目资金发挥的效益情况，是否实现年初绩效目标。</w:t>
      </w:r>
    </w:p>
    <w:p>
      <w:pPr>
        <w:pStyle w:val="11"/>
        <w:spacing w:line="560" w:lineRule="exact"/>
        <w:ind w:left="0" w:leftChars="0" w:firstLine="643"/>
        <w:rPr>
          <w:rFonts w:hAnsi="宋体"/>
          <w:b/>
          <w:lang w:val="zh-CN"/>
        </w:rPr>
      </w:pPr>
      <w:r>
        <w:rPr>
          <w:rFonts w:hint="eastAsia" w:hAnsi="宋体"/>
          <w:b/>
          <w:lang w:val="zh-CN"/>
        </w:rPr>
        <w:t>（二）预设问题及评价重点。</w:t>
      </w:r>
      <w:r>
        <w:rPr>
          <w:rFonts w:hint="eastAsia"/>
        </w:rPr>
        <w:t>项目实施过程中，是否做到对应当进行检验鉴定的车辆应检尽检，评价重点在于事故车辆检验合格率是否达到100%。</w:t>
      </w:r>
    </w:p>
    <w:p>
      <w:pPr>
        <w:adjustRightInd w:val="0"/>
        <w:snapToGrid w:val="0"/>
        <w:spacing w:line="560"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通过抽查部分车辆检测鉴定情况，来看资金使用情况。</w:t>
      </w:r>
    </w:p>
    <w:p>
      <w:pPr>
        <w:adjustRightInd w:val="0"/>
        <w:snapToGrid w:val="0"/>
        <w:spacing w:line="56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该项目采取了调阅相关数据资料的方式开展自评工作。</w:t>
      </w:r>
    </w:p>
    <w:p>
      <w:pPr>
        <w:adjustRightInd w:val="0"/>
        <w:snapToGrid w:val="0"/>
        <w:spacing w:line="560" w:lineRule="exact"/>
        <w:ind w:firstLine="720"/>
        <w:rPr>
          <w:rFonts w:ascii="仿宋_GB2312" w:eastAsia="仿宋_GB2312"/>
          <w:bCs/>
          <w:sz w:val="32"/>
          <w:szCs w:val="32"/>
        </w:rPr>
      </w:pPr>
      <w:r>
        <w:rPr>
          <w:rFonts w:hint="eastAsia" w:ascii="仿宋_GB2312" w:hAnsi="宋体" w:eastAsia="仿宋_GB2312"/>
          <w:b/>
          <w:sz w:val="32"/>
          <w:szCs w:val="32"/>
          <w:lang w:val="zh-CN"/>
        </w:rPr>
        <w:t>（五）评价组织。</w:t>
      </w:r>
      <w:r>
        <w:rPr>
          <w:rFonts w:hint="eastAsia" w:ascii="仿宋_GB2312" w:hAnsi="宋体" w:eastAsia="仿宋_GB2312"/>
          <w:bCs/>
          <w:sz w:val="32"/>
          <w:szCs w:val="32"/>
          <w:lang w:val="zh-CN"/>
        </w:rPr>
        <w:t>支队高度重视项目绩效自查自评工作，成立了以支队长任组长的项目自评领导小组，下设办公室具体负责自评工作。</w:t>
      </w:r>
    </w:p>
    <w:p>
      <w:pPr>
        <w:adjustRightInd w:val="0"/>
        <w:snapToGrid w:val="0"/>
        <w:spacing w:line="560" w:lineRule="exact"/>
        <w:ind w:firstLine="640" w:firstLineChars="200"/>
        <w:outlineLvl w:val="1"/>
        <w:rPr>
          <w:rFonts w:ascii="黑体" w:hAnsi="黑体" w:eastAsia="黑体"/>
          <w:sz w:val="32"/>
          <w:szCs w:val="32"/>
          <w:lang w:val="zh-CN"/>
        </w:rPr>
      </w:pPr>
      <w:bookmarkStart w:id="131" w:name="_Toc16672"/>
      <w:bookmarkStart w:id="132" w:name="_Toc1710"/>
      <w:r>
        <w:rPr>
          <w:rFonts w:hint="eastAsia" w:ascii="黑体" w:hAnsi="黑体" w:eastAsia="黑体"/>
          <w:sz w:val="32"/>
          <w:szCs w:val="32"/>
        </w:rPr>
        <w:t>三、绩效分析</w:t>
      </w:r>
      <w:bookmarkEnd w:id="131"/>
      <w:bookmarkEnd w:id="132"/>
      <w:r>
        <w:rPr>
          <w:rFonts w:hint="eastAsia" w:ascii="黑体" w:hAnsi="黑体" w:eastAsia="黑体"/>
          <w:sz w:val="32"/>
          <w:szCs w:val="32"/>
          <w:lang w:val="zh-CN"/>
        </w:rPr>
        <w:tab/>
      </w:r>
    </w:p>
    <w:p>
      <w:pPr>
        <w:spacing w:line="560"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60"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相关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pPr>
        <w:adjustRightInd w:val="0"/>
        <w:snapToGrid w:val="0"/>
        <w:spacing w:line="560" w:lineRule="exact"/>
        <w:ind w:firstLine="720"/>
        <w:rPr>
          <w:rFonts w:ascii="仿宋_GB2312" w:eastAsia="仿宋_GB2312"/>
          <w:sz w:val="32"/>
          <w:szCs w:val="32"/>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该项目属政府采购项目，</w:t>
      </w:r>
      <w:r>
        <w:rPr>
          <w:rFonts w:hint="eastAsia" w:ascii="仿宋_GB2312" w:eastAsia="仿宋_GB2312"/>
          <w:sz w:val="32"/>
          <w:szCs w:val="32"/>
        </w:rPr>
        <w:t>严格遵照《中华人民共和国招投标法》，进行公开招标和采，达到了预期目标。</w:t>
      </w:r>
    </w:p>
    <w:p>
      <w:pPr>
        <w:spacing w:line="560" w:lineRule="exact"/>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3.项目实施（9分）。</w:t>
      </w:r>
      <w:r>
        <w:rPr>
          <w:rFonts w:hint="eastAsia" w:ascii="仿宋_GB2312" w:hAnsi="宋体" w:eastAsia="仿宋_GB2312"/>
          <w:sz w:val="32"/>
          <w:szCs w:val="32"/>
          <w:lang w:val="zh-CN"/>
        </w:rPr>
        <w:t>该项目资金执行率为100%，项目严格按照相关要求进行支付，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w:t>
      </w:r>
    </w:p>
    <w:p>
      <w:pPr>
        <w:adjustRightInd w:val="0"/>
        <w:snapToGrid w:val="0"/>
        <w:spacing w:line="560" w:lineRule="exact"/>
        <w:ind w:firstLine="720"/>
        <w:rPr>
          <w:rFonts w:ascii="仿宋_GB2312" w:hAnsi="楷体_GB2312" w:eastAsia="仿宋_GB2312" w:cs="楷体_GB2312"/>
          <w:sz w:val="32"/>
          <w:szCs w:val="32"/>
        </w:rPr>
      </w:pPr>
      <w:r>
        <w:rPr>
          <w:rFonts w:hint="eastAsia" w:ascii="仿宋_GB2312" w:hAnsi="楷体_GB2312" w:eastAsia="仿宋_GB2312" w:cs="楷体_GB2312"/>
          <w:sz w:val="32"/>
          <w:szCs w:val="32"/>
        </w:rPr>
        <w:t>4.项目结果（8分）。事故车辆检测项目根据指标值按时完成预期目标，实施结果与绩效目标相匹配，检验合格率100%，目标实现程度为100%，但项目数量指标预估不够科学合理。不存在超范围、超标准、超进度使用专项资金，不存在资金损失浪费、长期沉淀、截留、挤占、挪用、虚列支出等情况。</w:t>
      </w:r>
    </w:p>
    <w:p>
      <w:pPr>
        <w:spacing w:line="560" w:lineRule="exact"/>
        <w:ind w:firstLine="642" w:firstLineChars="200"/>
        <w:rPr>
          <w:rFonts w:ascii="仿宋_GB2312" w:hAnsi="楷体_GB2312" w:eastAsia="仿宋_GB2312" w:cs="楷体_GB2312"/>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p>
    <w:p>
      <w:pPr>
        <w:spacing w:line="560" w:lineRule="exact"/>
        <w:ind w:firstLine="640" w:firstLineChars="200"/>
        <w:rPr>
          <w:rFonts w:ascii="仿宋_GB2312" w:hAnsi="楷体_GB2312" w:eastAsia="仿宋_GB2312" w:cs="楷体_GB2312"/>
          <w:sz w:val="32"/>
          <w:szCs w:val="32"/>
        </w:rPr>
      </w:pPr>
      <w:r>
        <w:rPr>
          <w:rFonts w:hint="eastAsia" w:ascii="仿宋_GB2312" w:hAnsi="楷体_GB2312" w:eastAsia="仿宋_GB2312" w:cs="楷体_GB2312"/>
          <w:sz w:val="32"/>
          <w:szCs w:val="32"/>
        </w:rPr>
        <w:t>2.</w:t>
      </w:r>
      <w:r>
        <w:rPr>
          <w:rFonts w:hint="eastAsia" w:ascii="仿宋_GB2312" w:hAnsi="楷体_GB2312" w:eastAsia="仿宋_GB2312" w:cs="楷体_GB2312"/>
          <w:sz w:val="32"/>
          <w:szCs w:val="32"/>
          <w:lang w:val="zh-CN"/>
        </w:rPr>
        <w:t>民生保障（30分）。该项目属民生保障类项目，资金分配科学合理，受益对象精准，检测合格率100%，不仅为事故认定提供了依据，也减轻交通事故发生者负担还为为事故责任认定提供依据</w:t>
      </w:r>
      <w:r>
        <w:rPr>
          <w:rFonts w:hint="eastAsia" w:ascii="仿宋_GB2312" w:hAnsi="楷体_GB2312" w:eastAsia="仿宋_GB2312" w:cs="楷体_GB2312"/>
          <w:sz w:val="32"/>
          <w:szCs w:val="32"/>
        </w:rPr>
        <w:t>。</w:t>
      </w:r>
    </w:p>
    <w:p>
      <w:pPr>
        <w:spacing w:line="560" w:lineRule="exact"/>
        <w:ind w:firstLine="640"/>
        <w:rPr>
          <w:rFonts w:ascii="仿宋_GB2312" w:hAnsi="楷体_GB2312" w:eastAsia="仿宋_GB2312" w:cs="楷体_GB2312"/>
          <w:color w:val="000000" w:themeColor="text1"/>
          <w:sz w:val="32"/>
          <w:szCs w:val="32"/>
          <w:lang w:val="zh-CN"/>
          <w14:textFill>
            <w14:solidFill>
              <w14:schemeClr w14:val="tx1"/>
            </w14:solidFill>
          </w14:textFill>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kern w:val="0"/>
          <w:sz w:val="32"/>
          <w:szCs w:val="32"/>
          <w:shd w:val="clear" w:color="auto" w:fill="FFFFFF"/>
          <w:lang w:val="zh-CN"/>
        </w:rPr>
        <w:t>绩效分析（16分）。</w:t>
      </w:r>
      <w:r>
        <w:rPr>
          <w:rFonts w:hint="eastAsia" w:ascii="仿宋_GB2312" w:hAnsi="楷体_GB2312" w:eastAsia="仿宋_GB2312" w:cs="楷体_GB2312"/>
          <w:sz w:val="32"/>
          <w:szCs w:val="32"/>
          <w:lang w:val="zh-CN"/>
        </w:rPr>
        <w:t>2</w:t>
      </w:r>
      <w:r>
        <w:rPr>
          <w:rFonts w:hint="eastAsia" w:ascii="仿宋_GB2312" w:hAnsi="楷体_GB2312" w:eastAsia="仿宋_GB2312" w:cs="楷体_GB2312"/>
          <w:color w:val="000000" w:themeColor="text1"/>
          <w:sz w:val="32"/>
          <w:szCs w:val="32"/>
          <w:lang w:val="zh-CN"/>
          <w14:textFill>
            <w14:solidFill>
              <w14:schemeClr w14:val="tx1"/>
            </w14:solidFill>
          </w14:textFill>
        </w:rPr>
        <w:t>02</w:t>
      </w:r>
      <w:r>
        <w:rPr>
          <w:rFonts w:hint="eastAsia" w:ascii="仿宋_GB2312" w:hAnsi="楷体_GB2312" w:eastAsia="仿宋_GB2312" w:cs="楷体_GB2312"/>
          <w:color w:val="000000" w:themeColor="text1"/>
          <w:sz w:val="32"/>
          <w:szCs w:val="32"/>
          <w14:textFill>
            <w14:solidFill>
              <w14:schemeClr w14:val="tx1"/>
            </w14:solidFill>
          </w14:textFill>
        </w:rPr>
        <w:t>3</w:t>
      </w:r>
      <w:r>
        <w:rPr>
          <w:rFonts w:hint="eastAsia" w:ascii="仿宋_GB2312" w:hAnsi="楷体_GB2312" w:eastAsia="仿宋_GB2312" w:cs="楷体_GB2312"/>
          <w:color w:val="000000" w:themeColor="text1"/>
          <w:sz w:val="32"/>
          <w:szCs w:val="32"/>
          <w:lang w:val="zh-CN"/>
          <w14:textFill>
            <w14:solidFill>
              <w14:schemeClr w14:val="tx1"/>
            </w14:solidFill>
          </w14:textFill>
        </w:rPr>
        <w:t>年全年共鉴定事故车辆</w:t>
      </w:r>
      <w:r>
        <w:rPr>
          <w:rFonts w:hint="eastAsia" w:ascii="仿宋_GB2312" w:hAnsi="楷体_GB2312" w:eastAsia="仿宋_GB2312" w:cs="楷体_GB2312"/>
          <w:color w:val="000000" w:themeColor="text1"/>
          <w:sz w:val="32"/>
          <w:szCs w:val="32"/>
          <w14:textFill>
            <w14:solidFill>
              <w14:schemeClr w14:val="tx1"/>
            </w14:solidFill>
          </w14:textFill>
        </w:rPr>
        <w:t>370</w:t>
      </w:r>
      <w:r>
        <w:rPr>
          <w:rFonts w:hint="eastAsia" w:ascii="仿宋_GB2312" w:hAnsi="楷体_GB2312" w:eastAsia="仿宋_GB2312" w:cs="楷体_GB2312"/>
          <w:color w:val="000000" w:themeColor="text1"/>
          <w:sz w:val="32"/>
          <w:szCs w:val="32"/>
          <w:lang w:val="zh-CN"/>
          <w14:textFill>
            <w14:solidFill>
              <w14:schemeClr w14:val="tx1"/>
            </w14:solidFill>
          </w14:textFill>
        </w:rPr>
        <w:t>辆，为事故处理提供了的科学合理的证据链，为公正处理事故提供了有力的证据，大大提高了交通事故责任认定的准确率，项目的预算资金管理科学合理，使用规范，完成了项目的既定目标，达到了预期使用效果。</w:t>
      </w:r>
    </w:p>
    <w:p>
      <w:pPr>
        <w:pStyle w:val="4"/>
        <w:spacing w:line="560" w:lineRule="exact"/>
        <w:ind w:firstLine="640" w:firstLineChars="200"/>
        <w:outlineLvl w:val="1"/>
        <w:rPr>
          <w:rFonts w:ascii="黑体" w:hAnsi="黑体" w:eastAsia="黑体"/>
          <w:sz w:val="32"/>
          <w:szCs w:val="32"/>
        </w:rPr>
      </w:pPr>
      <w:bookmarkStart w:id="133" w:name="_Toc8174"/>
      <w:bookmarkStart w:id="134" w:name="_Toc15321"/>
      <w:r>
        <w:rPr>
          <w:rFonts w:hint="eastAsia" w:ascii="黑体" w:hAnsi="黑体" w:eastAsia="黑体"/>
          <w:sz w:val="32"/>
          <w:szCs w:val="32"/>
        </w:rPr>
        <w:t>四、评价结论</w:t>
      </w:r>
      <w:bookmarkEnd w:id="133"/>
      <w:bookmarkEnd w:id="134"/>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从评价情况来看，项目的预算资金管理科学合理，使用规范，完成了项目的既定目标，达到了预期使用效果，得分是99分。</w:t>
      </w:r>
    </w:p>
    <w:p>
      <w:pPr>
        <w:pStyle w:val="4"/>
        <w:spacing w:line="560" w:lineRule="exact"/>
        <w:ind w:firstLine="640" w:firstLineChars="200"/>
        <w:outlineLvl w:val="1"/>
        <w:rPr>
          <w:rFonts w:ascii="黑体" w:hAnsi="黑体" w:eastAsia="黑体"/>
          <w:sz w:val="32"/>
          <w:szCs w:val="32"/>
        </w:rPr>
      </w:pPr>
      <w:bookmarkStart w:id="135" w:name="_Toc14120"/>
      <w:bookmarkStart w:id="136" w:name="_Toc26517"/>
      <w:r>
        <w:rPr>
          <w:rFonts w:hint="eastAsia" w:ascii="黑体" w:hAnsi="黑体" w:eastAsia="黑体"/>
          <w:sz w:val="32"/>
          <w:szCs w:val="32"/>
        </w:rPr>
        <w:t>五、存在主要问题</w:t>
      </w:r>
      <w:bookmarkEnd w:id="135"/>
      <w:bookmarkEnd w:id="136"/>
    </w:p>
    <w:p>
      <w:pPr>
        <w:spacing w:line="560" w:lineRule="exact"/>
        <w:ind w:firstLine="640" w:firstLineChars="200"/>
        <w:rPr>
          <w:rFonts w:ascii="仿宋_GB2312" w:hAnsi="楷体_GB2312" w:eastAsia="仿宋_GB2312" w:cs="楷体_GB2312"/>
          <w:color w:val="000000" w:themeColor="text1"/>
          <w:sz w:val="32"/>
          <w:szCs w:val="32"/>
          <w14:textFill>
            <w14:solidFill>
              <w14:schemeClr w14:val="tx1"/>
            </w14:solidFill>
          </w14:textFill>
        </w:rPr>
      </w:pPr>
      <w:r>
        <w:rPr>
          <w:rFonts w:hint="eastAsia" w:ascii="仿宋_GB2312" w:hAnsi="楷体_GB2312" w:eastAsia="仿宋_GB2312" w:cs="楷体_GB2312"/>
          <w:color w:val="000000" w:themeColor="text1"/>
          <w:sz w:val="32"/>
          <w:szCs w:val="32"/>
          <w14:textFill>
            <w14:solidFill>
              <w14:schemeClr w14:val="tx1"/>
            </w14:solidFill>
          </w14:textFill>
        </w:rPr>
        <w:t>事故双方车主满意度不能达到100%。</w:t>
      </w:r>
    </w:p>
    <w:p>
      <w:pPr>
        <w:pStyle w:val="4"/>
        <w:spacing w:line="560" w:lineRule="exact"/>
        <w:ind w:firstLine="640" w:firstLineChars="200"/>
        <w:outlineLvl w:val="1"/>
        <w:rPr>
          <w:rFonts w:ascii="黑体" w:hAnsi="黑体" w:eastAsia="黑体"/>
          <w:sz w:val="32"/>
          <w:szCs w:val="32"/>
          <w:lang w:val="zh-CN"/>
        </w:rPr>
      </w:pPr>
      <w:bookmarkStart w:id="137" w:name="_Toc9085"/>
      <w:bookmarkStart w:id="138" w:name="_Toc5082"/>
      <w:r>
        <w:rPr>
          <w:rFonts w:hint="eastAsia" w:ascii="黑体" w:hAnsi="黑体" w:eastAsia="黑体"/>
          <w:sz w:val="32"/>
          <w:szCs w:val="32"/>
          <w:lang w:val="zh-CN"/>
        </w:rPr>
        <w:t>六、改进建议</w:t>
      </w:r>
      <w:bookmarkEnd w:id="137"/>
      <w:bookmarkEnd w:id="138"/>
    </w:p>
    <w:p>
      <w:pPr>
        <w:tabs>
          <w:tab w:val="left" w:pos="1911"/>
        </w:tabs>
        <w:spacing w:line="560" w:lineRule="exact"/>
        <w:jc w:val="left"/>
        <w:rPr>
          <w:rFonts w:ascii="仿宋_GB2312" w:hAnsi="楷体_GB2312" w:eastAsia="仿宋_GB2312" w:cs="楷体_GB2312"/>
          <w:color w:val="000000" w:themeColor="text1"/>
          <w:sz w:val="32"/>
          <w:szCs w:val="32"/>
          <w:lang w:val="en"/>
          <w14:textFill>
            <w14:solidFill>
              <w14:schemeClr w14:val="tx1"/>
            </w14:solidFill>
          </w14:textFill>
        </w:rPr>
      </w:pPr>
      <w:r>
        <w:rPr>
          <w:rFonts w:hint="eastAsia" w:ascii="仿宋_GB2312" w:hAnsi="仿宋_GB2312" w:eastAsia="仿宋_GB2312" w:cs="仿宋_GB2312"/>
          <w:kern w:val="0"/>
          <w:sz w:val="32"/>
          <w:szCs w:val="32"/>
          <w:shd w:val="clear" w:color="auto" w:fill="FFFFFF"/>
          <w:lang w:val="zh-CN"/>
        </w:rPr>
        <w:t xml:space="preserve"> </w:t>
      </w:r>
      <w:r>
        <w:rPr>
          <w:rFonts w:hint="eastAsia" w:ascii="仿宋_GB2312" w:hAnsi="仿宋_GB2312" w:eastAsia="仿宋_GB2312" w:cs="仿宋_GB2312"/>
          <w:kern w:val="0"/>
          <w:sz w:val="32"/>
          <w:szCs w:val="32"/>
        </w:rPr>
        <w:t xml:space="preserve">  </w:t>
      </w:r>
      <w:r>
        <w:rPr>
          <w:rFonts w:hint="eastAsia" w:ascii="仿宋_GB2312" w:hAnsi="楷体_GB2312" w:eastAsia="仿宋_GB2312" w:cs="楷体_GB2312"/>
          <w:color w:val="000000" w:themeColor="text1"/>
          <w:sz w:val="32"/>
          <w:szCs w:val="32"/>
          <w14:textFill>
            <w14:solidFill>
              <w14:schemeClr w14:val="tx1"/>
            </w14:solidFill>
          </w14:textFill>
        </w:rPr>
        <w:t xml:space="preserve"> 在日后工作中，尽量做到公平公正让事故双方车主满意，并做好业务宣传培训。</w:t>
      </w:r>
    </w:p>
    <w:p>
      <w:pPr>
        <w:snapToGrid w:val="0"/>
        <w:spacing w:line="560" w:lineRule="exact"/>
        <w:ind w:firstLine="640" w:firstLineChars="200"/>
        <w:rPr>
          <w:rFonts w:ascii="仿宋_GB2312" w:eastAsia="仿宋_GB2312"/>
          <w:color w:val="000000"/>
          <w:kern w:val="0"/>
          <w:sz w:val="32"/>
          <w:szCs w:val="32"/>
          <w:shd w:val="clear" w:color="auto" w:fill="FFFFFF"/>
          <w:lang w:val="zh-CN"/>
        </w:rPr>
      </w:pPr>
    </w:p>
    <w:p>
      <w:pPr>
        <w:snapToGrid w:val="0"/>
        <w:spacing w:line="560" w:lineRule="exact"/>
        <w:rPr>
          <w:rFonts w:ascii="仿宋_GB2312" w:eastAsia="仿宋_GB2312"/>
          <w:color w:val="000000"/>
          <w:kern w:val="0"/>
          <w:sz w:val="32"/>
          <w:szCs w:val="32"/>
          <w:shd w:val="clear" w:color="auto" w:fill="FFFFFF"/>
        </w:rPr>
      </w:pPr>
    </w:p>
    <w:p>
      <w:pPr>
        <w:snapToGrid w:val="0"/>
        <w:spacing w:line="560" w:lineRule="exact"/>
        <w:rPr>
          <w:rFonts w:ascii="仿宋_GB2312" w:eastAsia="仿宋_GB2312"/>
          <w:color w:val="000000"/>
          <w:kern w:val="0"/>
          <w:sz w:val="32"/>
          <w:szCs w:val="32"/>
          <w:shd w:val="clear" w:color="auto" w:fill="FFFFFF"/>
        </w:rPr>
      </w:pPr>
    </w:p>
    <w:p>
      <w:pPr>
        <w:snapToGrid w:val="0"/>
        <w:spacing w:line="560" w:lineRule="exact"/>
        <w:ind w:firstLine="3040" w:firstLineChars="95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60"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snapToGrid w:val="0"/>
        <w:spacing w:line="578" w:lineRule="exact"/>
        <w:ind w:firstLine="420" w:firstLineChars="200"/>
        <w:rPr>
          <w:color w:val="000000"/>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2023年特种专业技术用车项目</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139" w:name="_Toc30631"/>
      <w:bookmarkStart w:id="140" w:name="_Toc14090"/>
      <w:r>
        <w:rPr>
          <w:rFonts w:hint="eastAsia" w:ascii="黑体" w:hAnsi="黑体" w:eastAsia="黑体"/>
          <w:sz w:val="32"/>
          <w:szCs w:val="32"/>
        </w:rPr>
        <w:t>一、</w:t>
      </w:r>
      <w:r>
        <w:rPr>
          <w:rFonts w:hint="eastAsia" w:ascii="黑体" w:hAnsi="黑体" w:eastAsia="黑体"/>
          <w:sz w:val="32"/>
          <w:szCs w:val="32"/>
          <w:lang w:val="zh-CN"/>
        </w:rPr>
        <w:t>项目概况</w:t>
      </w:r>
      <w:bookmarkEnd w:id="139"/>
      <w:bookmarkEnd w:id="140"/>
    </w:p>
    <w:p>
      <w:pPr>
        <w:widowControl/>
        <w:adjustRightInd w:val="0"/>
        <w:snapToGrid w:val="0"/>
        <w:spacing w:line="578" w:lineRule="exact"/>
        <w:ind w:firstLine="642" w:firstLineChars="200"/>
        <w:contextualSpacing/>
        <w:jc w:val="left"/>
        <w:rPr>
          <w:rFonts w:ascii="仿宋_GB2312" w:hAnsi="宋体" w:eastAsia="仿宋_GB2312"/>
          <w:b/>
          <w:sz w:val="32"/>
          <w:szCs w:val="32"/>
          <w:lang w:val="zh-CN"/>
        </w:rPr>
      </w:pPr>
      <w:r>
        <w:rPr>
          <w:rFonts w:hint="eastAsia" w:ascii="仿宋_GB2312" w:hAnsi="宋体" w:eastAsia="仿宋_GB2312"/>
          <w:b/>
          <w:sz w:val="32"/>
          <w:szCs w:val="32"/>
          <w:lang w:val="zh-CN"/>
        </w:rPr>
        <w:t>（一）设立背景及基本情况。</w:t>
      </w:r>
      <w:r>
        <w:rPr>
          <w:rFonts w:hint="eastAsia" w:ascii="仿宋_GB2312" w:eastAsia="仿宋_GB2312"/>
          <w:sz w:val="32"/>
          <w:szCs w:val="32"/>
        </w:rPr>
        <w:t>交警支队负责全市20031公里道路（其中国道684公里、省道1337公里、县道3017公里、乡道2445公里、村道12155公里、专用道393公里）交通安全管理，纠正交通违章，维护交通秩序，处理突发事件，配合开展警卫工作。根据贵局《关于下达成都大运会安保警用装备紧急采购专项资金的通知》（广财行〔2023〕28号）文件，需购置特种专业技术用车一辆，确保成都大运会安保及警卫工作绝对安全。</w:t>
      </w:r>
    </w:p>
    <w:p>
      <w:pPr>
        <w:tabs>
          <w:tab w:val="left" w:pos="0"/>
        </w:tabs>
        <w:adjustRightInd w:val="0"/>
        <w:snapToGrid w:val="0"/>
        <w:spacing w:line="520" w:lineRule="exact"/>
        <w:ind w:firstLine="642" w:firstLineChars="200"/>
        <w:rPr>
          <w:rFonts w:ascii="仿宋_GB2312" w:hAnsi="宋体" w:eastAsia="仿宋_GB2312"/>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通过购置特种专业技术用车，旨在</w:t>
      </w:r>
      <w:r>
        <w:rPr>
          <w:rFonts w:hint="eastAsia" w:ascii="仿宋_GB2312" w:hAnsi="宋体" w:eastAsia="仿宋_GB2312"/>
          <w:sz w:val="32"/>
          <w:szCs w:val="32"/>
        </w:rPr>
        <w:t>增强公安机关战斗力、基层实战效能，强化警示、震慑作用</w:t>
      </w:r>
      <w:r>
        <w:rPr>
          <w:rFonts w:hint="eastAsia" w:ascii="仿宋_GB2312" w:hAnsi="仿宋_GB2312" w:eastAsia="仿宋_GB2312" w:cs="仿宋_GB2312"/>
          <w:kern w:val="0"/>
          <w:sz w:val="32"/>
          <w:szCs w:val="32"/>
          <w:shd w:val="clear" w:color="auto" w:fill="FFFFFF"/>
          <w:lang w:val="zh-CN"/>
        </w:rPr>
        <w:t>。</w:t>
      </w:r>
    </w:p>
    <w:p>
      <w:pPr>
        <w:widowControl/>
        <w:adjustRightInd w:val="0"/>
        <w:snapToGrid w:val="0"/>
        <w:spacing w:line="578" w:lineRule="exact"/>
        <w:ind w:firstLine="642" w:firstLineChars="200"/>
        <w:contextualSpacing/>
        <w:jc w:val="left"/>
        <w:rPr>
          <w:rFonts w:ascii="仿宋_GB2312" w:hAnsi="仿宋_GB2312" w:eastAsia="仿宋_GB2312" w:cs="仿宋_GB2312"/>
          <w:kern w:val="0"/>
          <w:sz w:val="32"/>
          <w:szCs w:val="32"/>
          <w:shd w:val="clear" w:color="auto" w:fill="FFFFFF"/>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仿宋_GB2312" w:eastAsia="仿宋_GB2312" w:cs="仿宋_GB2312"/>
          <w:kern w:val="0"/>
          <w:sz w:val="32"/>
          <w:szCs w:val="32"/>
          <w:shd w:val="clear" w:color="auto" w:fill="FFFFFF"/>
          <w:lang w:val="zh-CN"/>
        </w:rPr>
        <w:t>项目资金安排45.27万元，为政府采购资金，资金用于购置特种专业技术用车及相关配套产品。</w:t>
      </w:r>
    </w:p>
    <w:p>
      <w:pPr>
        <w:adjustRightInd w:val="0"/>
        <w:snapToGrid w:val="0"/>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根据预算绩效管理要求，能够科学、合理的设置绩效目标，充分考虑项目的差异性，使绩效目标内容完整，细化量化，可操作性强，与预算匹配。成立了以支队长任组长的项目自评领导小组，下设办公室具体负责自评工作，采取调阅资料、现场查看等方式开展自评工作</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578" w:lineRule="exact"/>
        <w:ind w:firstLine="640" w:firstLineChars="200"/>
        <w:outlineLvl w:val="1"/>
        <w:rPr>
          <w:rFonts w:ascii="黑体" w:hAnsi="黑体" w:eastAsia="黑体"/>
          <w:sz w:val="32"/>
          <w:szCs w:val="32"/>
        </w:rPr>
      </w:pPr>
      <w:bookmarkStart w:id="141" w:name="_Toc29229"/>
      <w:bookmarkStart w:id="142" w:name="_Toc25114"/>
      <w:r>
        <w:rPr>
          <w:rFonts w:hint="eastAsia" w:ascii="黑体" w:hAnsi="黑体" w:eastAsia="黑体"/>
          <w:sz w:val="32"/>
          <w:szCs w:val="32"/>
        </w:rPr>
        <w:t>二、评价实施</w:t>
      </w:r>
      <w:bookmarkEnd w:id="141"/>
      <w:bookmarkEnd w:id="142"/>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adjustRightInd w:val="0"/>
        <w:snapToGrid w:val="0"/>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（二）预设问题及评价重点。</w:t>
      </w:r>
      <w:r>
        <w:rPr>
          <w:rFonts w:hint="eastAsia" w:ascii="仿宋_GB2312" w:hAnsi="黑体" w:eastAsia="仿宋_GB2312"/>
          <w:sz w:val="32"/>
          <w:szCs w:val="32"/>
          <w:lang w:val="zh-CN"/>
        </w:rPr>
        <w:t>该项目为政府采购项目，可能出现实际采购金额与预算不匹配的情况，预算不够精准；</w:t>
      </w:r>
      <w:r>
        <w:rPr>
          <w:rFonts w:hint="eastAsia" w:ascii="仿宋_GB2312" w:hAnsi="宋体" w:eastAsia="仿宋_GB2312"/>
          <w:sz w:val="32"/>
          <w:szCs w:val="32"/>
          <w:lang w:val="zh-CN"/>
        </w:rPr>
        <w:t>评价重点在于购置特种专业技术用车是否按照要求进行政府采购程序</w:t>
      </w:r>
      <w:r>
        <w:rPr>
          <w:rFonts w:hint="eastAsia" w:ascii="仿宋_GB2312" w:eastAsia="仿宋_GB2312"/>
          <w:sz w:val="32"/>
          <w:szCs w:val="32"/>
        </w:rPr>
        <w:t>。</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通过查看车辆购置及账务情况来看资金是否做到专款专用。</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该项目采取了实地勘察及调阅资料的方式开展自评工作。</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adjustRightInd w:val="0"/>
        <w:snapToGrid w:val="0"/>
        <w:spacing w:line="578" w:lineRule="exact"/>
        <w:ind w:firstLine="640" w:firstLineChars="200"/>
        <w:outlineLvl w:val="1"/>
        <w:rPr>
          <w:rFonts w:ascii="黑体" w:hAnsi="黑体" w:eastAsia="黑体"/>
          <w:sz w:val="32"/>
          <w:szCs w:val="32"/>
          <w:lang w:val="zh-CN"/>
        </w:rPr>
      </w:pPr>
      <w:bookmarkStart w:id="143" w:name="_Toc5785"/>
      <w:bookmarkStart w:id="144" w:name="_Toc15519"/>
      <w:r>
        <w:rPr>
          <w:rFonts w:hint="eastAsia" w:ascii="黑体" w:hAnsi="黑体" w:eastAsia="黑体"/>
          <w:sz w:val="32"/>
          <w:szCs w:val="32"/>
        </w:rPr>
        <w:t>三、绩效分析</w:t>
      </w:r>
      <w:bookmarkEnd w:id="143"/>
      <w:bookmarkEnd w:id="144"/>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相关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pPr>
        <w:spacing w:line="578" w:lineRule="exact"/>
        <w:ind w:firstLine="640"/>
        <w:rPr>
          <w:rFonts w:ascii="仿宋_GB2312" w:eastAsia="仿宋_GB2312"/>
          <w:sz w:val="32"/>
          <w:szCs w:val="32"/>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该项目资金属政府采购资金，资金充分考虑相关实际需求分配，</w:t>
      </w:r>
      <w:r>
        <w:rPr>
          <w:rFonts w:hint="eastAsia" w:ascii="仿宋_GB2312" w:eastAsia="仿宋_GB2312"/>
          <w:sz w:val="32"/>
          <w:szCs w:val="32"/>
        </w:rPr>
        <w:t>严格遵照《中华人民共和国招投标法》，凡达到政府采购标准的，全部进行公开招标和采购。确保支队项目规范采购，按期优质完成；同时，还安排了具体人员负责技术指导和监督，严格按照标准和合同，严把质量关、进度关，确保项目按期进行和达到预期目标。</w:t>
      </w:r>
    </w:p>
    <w:p>
      <w:pPr>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3.项目实施（9分）。因该项目资金属政府采购资金，</w:t>
      </w:r>
      <w:r>
        <w:rPr>
          <w:rFonts w:hint="eastAsia" w:ascii="仿宋_GB2312" w:hAnsi="宋体" w:eastAsia="仿宋_GB2312"/>
          <w:sz w:val="32"/>
          <w:szCs w:val="32"/>
          <w:lang w:val="zh-CN"/>
        </w:rPr>
        <w:t>项目严格按照</w:t>
      </w:r>
      <w:r>
        <w:rPr>
          <w:rFonts w:hint="eastAsia" w:ascii="仿宋_GB2312" w:hAnsi="楷体_GB2312" w:eastAsia="仿宋_GB2312" w:cs="楷体_GB2312"/>
          <w:sz w:val="32"/>
          <w:szCs w:val="32"/>
        </w:rPr>
        <w:t>中标金额100%支付</w:t>
      </w:r>
      <w:r>
        <w:rPr>
          <w:rFonts w:hint="eastAsia" w:ascii="仿宋_GB2312" w:hAnsi="宋体" w:eastAsia="仿宋_GB2312"/>
          <w:sz w:val="32"/>
          <w:szCs w:val="32"/>
          <w:lang w:val="zh-CN"/>
        </w:rPr>
        <w:t>进行支付，</w:t>
      </w:r>
      <w:r>
        <w:rPr>
          <w:rFonts w:hint="eastAsia" w:ascii="仿宋_GB2312" w:hAnsi="楷体_GB2312" w:eastAsia="仿宋_GB2312" w:cs="楷体_GB2312"/>
          <w:sz w:val="32"/>
          <w:szCs w:val="32"/>
        </w:rPr>
        <w:t>剩余资金年底财政已收回。该项目</w:t>
      </w:r>
      <w:r>
        <w:rPr>
          <w:rFonts w:hint="eastAsia" w:ascii="仿宋_GB2312" w:hAnsi="宋体" w:eastAsia="仿宋_GB2312" w:cs="宋体"/>
          <w:kern w:val="0"/>
          <w:sz w:val="32"/>
          <w:szCs w:val="32"/>
        </w:rPr>
        <w:t>狠抓了经费“</w:t>
      </w:r>
      <w:r>
        <w:rPr>
          <w:rFonts w:hint="eastAsia" w:ascii="仿宋_GB2312" w:eastAsia="仿宋_GB2312"/>
          <w:sz w:val="32"/>
          <w:szCs w:val="32"/>
        </w:rPr>
        <w:t>使用审批”、“预算执行”、“管理监督”三个环节，硬化了预算约束，做到了“专款专用”。</w:t>
      </w:r>
    </w:p>
    <w:p>
      <w:pPr>
        <w:pStyle w:val="9"/>
        <w:ind w:firstLine="640" w:firstLineChars="200"/>
        <w:rPr>
          <w:rFonts w:ascii="仿宋_GB2312"/>
        </w:rPr>
      </w:pPr>
      <w:r>
        <w:rPr>
          <w:rFonts w:hint="eastAsia" w:ascii="仿宋_GB2312" w:hAnsi="楷体_GB2312" w:cs="楷体_GB2312"/>
        </w:rPr>
        <w:t>4.项目结果（9分）。</w:t>
      </w:r>
      <w:r>
        <w:rPr>
          <w:rFonts w:hint="eastAsia" w:ascii="仿宋_GB2312"/>
        </w:rPr>
        <w:t>该项目按时按质完成，通过购置特种专业技术用车，强化了应急处置，起到了一定的震慑作用。</w:t>
      </w:r>
    </w:p>
    <w:p>
      <w:pPr>
        <w:spacing w:line="578" w:lineRule="exact"/>
        <w:ind w:firstLine="642" w:firstLineChars="200"/>
        <w:rPr>
          <w:rFonts w:ascii="仿宋_GB2312" w:hAnsi="楷体_GB2312" w:eastAsia="仿宋_GB2312" w:cs="楷体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firstLineChars="200"/>
        <w:rPr>
          <w:rFonts w:ascii="仿宋_GB2312" w:hAnsi="楷体_GB2312" w:eastAsia="仿宋_GB2312" w:cs="楷体_GB2312"/>
          <w:sz w:val="32"/>
          <w:szCs w:val="32"/>
          <w:lang w:val="zh-CN"/>
        </w:rPr>
      </w:pPr>
      <w:r>
        <w:rPr>
          <w:rFonts w:hint="eastAsia" w:ascii="仿宋_GB2312" w:hAnsi="楷体_GB2312" w:eastAsia="仿宋_GB2312" w:cs="楷体_GB2312"/>
          <w:sz w:val="32"/>
          <w:szCs w:val="32"/>
        </w:rPr>
        <w:t>4.</w:t>
      </w:r>
      <w:r>
        <w:rPr>
          <w:rFonts w:hint="eastAsia" w:ascii="仿宋_GB2312" w:hAnsi="楷体_GB2312" w:eastAsia="仿宋_GB2312" w:cs="楷体_GB2312"/>
          <w:sz w:val="32"/>
          <w:szCs w:val="32"/>
          <w:lang w:val="zh-CN"/>
        </w:rPr>
        <w:t>行政运转（30分）。该项目属行政运转类项目，</w:t>
      </w:r>
      <w:r>
        <w:rPr>
          <w:rFonts w:hint="eastAsia" w:ascii="仿宋_GB2312" w:hAnsi="宋体" w:eastAsia="仿宋_GB2312"/>
          <w:bCs/>
          <w:sz w:val="32"/>
          <w:szCs w:val="32"/>
        </w:rPr>
        <w:t>通过市场调研后对购置特种专业技术用车费用进行测算，资金分配均衡，</w:t>
      </w:r>
      <w:r>
        <w:rPr>
          <w:rFonts w:hint="eastAsia" w:ascii="仿宋_GB2312" w:hAnsi="楷体_GB2312" w:eastAsia="仿宋_GB2312" w:cs="楷体_GB2312"/>
          <w:sz w:val="32"/>
          <w:szCs w:val="32"/>
          <w:lang w:val="zh-CN"/>
        </w:rPr>
        <w:t>用途合规，程序审批严密合规，不存在违规使用的情况。</w:t>
      </w:r>
    </w:p>
    <w:p>
      <w:pPr>
        <w:tabs>
          <w:tab w:val="left" w:pos="0"/>
        </w:tabs>
        <w:adjustRightInd w:val="0"/>
        <w:snapToGrid w:val="0"/>
        <w:spacing w:line="520" w:lineRule="exact"/>
        <w:ind w:firstLine="642" w:firstLineChars="200"/>
        <w:rPr>
          <w:rFonts w:ascii="仿宋_GB2312" w:hAnsi="宋体" w:eastAsia="仿宋_GB2312"/>
          <w:sz w:val="32"/>
          <w:szCs w:val="32"/>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eastAsia="仿宋_GB2312"/>
          <w:sz w:val="32"/>
          <w:szCs w:val="32"/>
        </w:rPr>
        <w:t>通过购买特种专业技术用车，强化执法效能，维护社会稳定。</w:t>
      </w:r>
    </w:p>
    <w:p>
      <w:pPr>
        <w:pStyle w:val="4"/>
        <w:spacing w:line="600" w:lineRule="exact"/>
        <w:ind w:firstLine="640" w:firstLineChars="200"/>
        <w:outlineLvl w:val="1"/>
        <w:rPr>
          <w:rFonts w:ascii="黑体" w:hAnsi="黑体" w:eastAsia="黑体"/>
          <w:sz w:val="32"/>
          <w:szCs w:val="32"/>
        </w:rPr>
      </w:pPr>
      <w:bookmarkStart w:id="145" w:name="_Toc27623"/>
      <w:bookmarkStart w:id="146" w:name="_Toc25474"/>
      <w:r>
        <w:rPr>
          <w:rFonts w:hint="eastAsia" w:ascii="黑体" w:hAnsi="黑体" w:eastAsia="黑体"/>
          <w:sz w:val="32"/>
          <w:szCs w:val="32"/>
        </w:rPr>
        <w:t>四、评价结论</w:t>
      </w:r>
      <w:bookmarkEnd w:id="145"/>
      <w:bookmarkEnd w:id="146"/>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从评价情况来看，项目的预算资金管理科学合理，使用规范，完成了项目的既定目标，达到了预期使用效果，得分是100分。</w:t>
      </w:r>
    </w:p>
    <w:p>
      <w:pPr>
        <w:pStyle w:val="4"/>
        <w:spacing w:line="600" w:lineRule="exact"/>
        <w:ind w:firstLine="640" w:firstLineChars="200"/>
        <w:outlineLvl w:val="1"/>
        <w:rPr>
          <w:rFonts w:ascii="黑体" w:hAnsi="黑体" w:eastAsia="黑体"/>
          <w:sz w:val="32"/>
          <w:szCs w:val="32"/>
        </w:rPr>
      </w:pPr>
      <w:bookmarkStart w:id="147" w:name="_Toc27553"/>
      <w:bookmarkStart w:id="148" w:name="_Toc11206"/>
      <w:r>
        <w:rPr>
          <w:rFonts w:hint="eastAsia" w:ascii="黑体" w:hAnsi="黑体" w:eastAsia="黑体"/>
          <w:sz w:val="32"/>
          <w:szCs w:val="32"/>
        </w:rPr>
        <w:t>五、存在主要问题</w:t>
      </w:r>
      <w:bookmarkEnd w:id="147"/>
      <w:bookmarkEnd w:id="148"/>
    </w:p>
    <w:p>
      <w:pPr>
        <w:pStyle w:val="4"/>
        <w:spacing w:line="600" w:lineRule="exact"/>
        <w:ind w:firstLine="640" w:firstLineChars="200"/>
        <w:rPr>
          <w:rFonts w:ascii="仿宋_GB2312" w:hAnsi="黑体" w:eastAsia="仿宋_GB2312" w:cs="黑体"/>
          <w:sz w:val="32"/>
          <w:szCs w:val="32"/>
        </w:rPr>
      </w:pPr>
      <w:r>
        <w:rPr>
          <w:rFonts w:hint="eastAsia" w:ascii="仿宋_GB2312" w:hAnsi="仿宋_GB2312" w:eastAsia="仿宋_GB2312" w:cs="仿宋_GB2312"/>
          <w:sz w:val="32"/>
          <w:szCs w:val="32"/>
        </w:rPr>
        <w:t>无。</w:t>
      </w:r>
    </w:p>
    <w:p>
      <w:pPr>
        <w:pStyle w:val="4"/>
        <w:spacing w:line="600" w:lineRule="exact"/>
        <w:ind w:firstLine="640" w:firstLineChars="200"/>
        <w:outlineLvl w:val="1"/>
        <w:rPr>
          <w:rFonts w:ascii="黑体" w:hAnsi="黑体" w:eastAsia="黑体"/>
          <w:sz w:val="32"/>
          <w:szCs w:val="32"/>
          <w:lang w:val="zh-CN"/>
        </w:rPr>
      </w:pPr>
      <w:bookmarkStart w:id="149" w:name="_Toc22385"/>
      <w:bookmarkStart w:id="150" w:name="_Toc15216"/>
      <w:r>
        <w:rPr>
          <w:rFonts w:hint="eastAsia" w:ascii="黑体" w:hAnsi="黑体" w:eastAsia="黑体"/>
          <w:sz w:val="32"/>
          <w:szCs w:val="32"/>
          <w:lang w:val="zh-CN"/>
        </w:rPr>
        <w:t>六、改进建议</w:t>
      </w:r>
      <w:bookmarkEnd w:id="149"/>
      <w:bookmarkEnd w:id="150"/>
    </w:p>
    <w:p>
      <w:pPr>
        <w:tabs>
          <w:tab w:val="left" w:pos="1911"/>
        </w:tabs>
        <w:jc w:val="left"/>
        <w:rPr>
          <w:rFonts w:ascii="仿宋_GB2312" w:hAnsi="仿宋_GB2312" w:eastAsia="仿宋_GB2312" w:cs="仿宋_GB2312"/>
          <w:kern w:val="0"/>
          <w:sz w:val="32"/>
          <w:szCs w:val="32"/>
          <w:lang w:val="en"/>
        </w:rPr>
      </w:pPr>
      <w:r>
        <w:rPr>
          <w:rFonts w:hint="eastAsia" w:ascii="仿宋_GB2312" w:hAnsi="仿宋_GB2312" w:eastAsia="仿宋_GB2312" w:cs="仿宋_GB2312"/>
          <w:kern w:val="0"/>
          <w:sz w:val="32"/>
          <w:szCs w:val="32"/>
          <w:shd w:val="clear" w:color="auto" w:fill="FFFFFF"/>
          <w:lang w:val="zh-CN"/>
        </w:rPr>
        <w:t xml:space="preserve"> </w:t>
      </w:r>
      <w:r>
        <w:rPr>
          <w:rFonts w:hint="eastAsia" w:ascii="仿宋_GB2312" w:hAnsi="仿宋_GB2312" w:eastAsia="仿宋_GB2312" w:cs="仿宋_GB2312"/>
          <w:kern w:val="0"/>
          <w:sz w:val="32"/>
          <w:szCs w:val="32"/>
        </w:rPr>
        <w:t xml:space="preserve">   无。</w:t>
      </w:r>
    </w:p>
    <w:p>
      <w:pPr>
        <w:snapToGrid w:val="0"/>
        <w:spacing w:line="578" w:lineRule="exact"/>
        <w:ind w:firstLine="640" w:firstLineChars="200"/>
        <w:rPr>
          <w:rFonts w:ascii="仿宋_GB2312" w:eastAsia="仿宋_GB2312"/>
          <w:color w:val="000000"/>
          <w:kern w:val="0"/>
          <w:sz w:val="32"/>
          <w:szCs w:val="32"/>
          <w:shd w:val="clear" w:color="auto" w:fill="FFFFFF"/>
          <w:lang w:val="zh-CN"/>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snapToGrid w:val="0"/>
        <w:spacing w:line="578" w:lineRule="exact"/>
        <w:ind w:firstLine="420" w:firstLineChars="200"/>
        <w:rPr>
          <w:color w:val="000000"/>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rPr>
          <w:rFonts w:ascii="黑体" w:hAnsi="黑体" w:eastAsia="黑体"/>
          <w:sz w:val="36"/>
          <w:szCs w:val="36"/>
        </w:rPr>
      </w:pPr>
    </w:p>
    <w:p>
      <w:pPr>
        <w:rPr>
          <w:rFonts w:ascii="黑体" w:hAnsi="黑体" w:eastAsia="黑体"/>
          <w:sz w:val="36"/>
          <w:szCs w:val="36"/>
        </w:rPr>
      </w:pPr>
    </w:p>
    <w:p>
      <w:pPr>
        <w:rPr>
          <w:rFonts w:ascii="黑体" w:hAnsi="黑体" w:eastAsia="黑体"/>
          <w:sz w:val="36"/>
          <w:szCs w:val="36"/>
        </w:rPr>
      </w:pPr>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2023年乡村振兴工作经费专项预算项目</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0"/>
          <w:lang w:val="zh-CN"/>
        </w:rPr>
      </w:pPr>
      <w:bookmarkStart w:id="151" w:name="_Toc12997"/>
      <w:bookmarkStart w:id="152" w:name="_Toc22522"/>
      <w:r>
        <w:rPr>
          <w:rFonts w:hint="eastAsia" w:ascii="黑体" w:hAnsi="黑体" w:eastAsia="黑体"/>
          <w:sz w:val="32"/>
          <w:szCs w:val="30"/>
        </w:rPr>
        <w:t>一、</w:t>
      </w:r>
      <w:r>
        <w:rPr>
          <w:rFonts w:hint="eastAsia" w:ascii="黑体" w:hAnsi="黑体" w:eastAsia="黑体"/>
          <w:sz w:val="32"/>
          <w:szCs w:val="30"/>
          <w:lang w:val="zh-CN"/>
        </w:rPr>
        <w:t>项目概况</w:t>
      </w:r>
      <w:bookmarkEnd w:id="151"/>
      <w:bookmarkEnd w:id="152"/>
    </w:p>
    <w:p>
      <w:pPr>
        <w:adjustRightInd w:val="0"/>
        <w:snapToGrid w:val="0"/>
        <w:spacing w:line="600" w:lineRule="exact"/>
        <w:ind w:firstLine="720"/>
        <w:rPr>
          <w:rFonts w:ascii="仿宋_GB2312" w:hAnsi="宋体" w:eastAsia="仿宋_GB2312"/>
          <w:sz w:val="32"/>
          <w:szCs w:val="30"/>
          <w:lang w:val="zh-CN"/>
        </w:rPr>
      </w:pPr>
      <w:r>
        <w:rPr>
          <w:rFonts w:hint="eastAsia" w:ascii="仿宋_GB2312" w:hAnsi="宋体" w:eastAsia="仿宋_GB2312"/>
          <w:b/>
          <w:sz w:val="32"/>
          <w:szCs w:val="30"/>
          <w:lang w:val="zh-CN"/>
        </w:rPr>
        <w:t>（一）设立背景及基本情况。</w:t>
      </w:r>
      <w:r>
        <w:rPr>
          <w:rFonts w:hint="eastAsia" w:ascii="仿宋_GB2312" w:hAnsi="宋体" w:eastAsia="仿宋_GB2312"/>
          <w:sz w:val="32"/>
          <w:szCs w:val="30"/>
          <w:lang w:val="zh-CN"/>
        </w:rPr>
        <w:t>中共广元市委组织部《广元市驻村帮扶工作队管理暂行办法》第十八条规定，工作队到村开展工作期间，产生相关费用按照有关规定一律回所在单位报销。我支队帮扶旺苍县天星乡大山、木瓜、云峰三个村脱贫致富。</w:t>
      </w:r>
    </w:p>
    <w:p>
      <w:pPr>
        <w:adjustRightInd w:val="0"/>
        <w:snapToGrid w:val="0"/>
        <w:spacing w:line="600" w:lineRule="exact"/>
        <w:ind w:firstLine="720"/>
        <w:rPr>
          <w:rFonts w:ascii="仿宋_GB2312" w:hAnsi="宋体" w:eastAsia="仿宋_GB2312" w:cs="宋体"/>
          <w:kern w:val="0"/>
          <w:sz w:val="32"/>
          <w:szCs w:val="30"/>
        </w:rPr>
      </w:pPr>
      <w:r>
        <w:rPr>
          <w:rFonts w:hint="eastAsia" w:ascii="仿宋_GB2312" w:hAnsi="宋体" w:eastAsia="仿宋_GB2312"/>
          <w:b/>
          <w:sz w:val="32"/>
          <w:szCs w:val="30"/>
          <w:lang w:val="zh-CN"/>
        </w:rPr>
        <w:t>（二）</w:t>
      </w:r>
      <w:r>
        <w:rPr>
          <w:rFonts w:hint="eastAsia" w:ascii="仿宋_GB2312" w:hAnsi="宋体" w:eastAsia="仿宋_GB2312"/>
          <w:b/>
          <w:sz w:val="32"/>
          <w:szCs w:val="30"/>
        </w:rPr>
        <w:t>实施目的及支持方向。</w:t>
      </w:r>
      <w:r>
        <w:rPr>
          <w:rFonts w:hint="eastAsia" w:ascii="仿宋_GB2312" w:hAnsi="宋体" w:eastAsia="仿宋_GB2312" w:cs="宋体"/>
          <w:kern w:val="0"/>
          <w:sz w:val="32"/>
          <w:szCs w:val="30"/>
        </w:rPr>
        <w:t>支队先后制定了《财务管理规定》、《内部会计监督制度》、《工程和大宗物品采购管理规定》、《“三重一大”事项集体决策制度》等各项规章制度。本项目严格按照财务管理规定、财政预算情况和项目的必要性进行资金分配和提供支持。该项目实施旨在巩固被帮扶村脱贫攻坚成果。</w:t>
      </w:r>
    </w:p>
    <w:p>
      <w:pPr>
        <w:widowControl/>
        <w:adjustRightInd w:val="0"/>
        <w:snapToGrid w:val="0"/>
        <w:spacing w:line="578" w:lineRule="exact"/>
        <w:ind w:firstLine="642" w:firstLineChars="200"/>
        <w:contextualSpacing/>
        <w:jc w:val="left"/>
        <w:rPr>
          <w:rFonts w:ascii="仿宋_GB2312" w:hAnsi="仿宋_GB2312" w:eastAsia="仿宋_GB2312" w:cs="仿宋_GB2312"/>
          <w:kern w:val="0"/>
          <w:sz w:val="32"/>
          <w:szCs w:val="30"/>
          <w:shd w:val="clear" w:color="auto" w:fill="FFFFFF"/>
          <w:lang w:val="zh-CN"/>
        </w:rPr>
      </w:pPr>
      <w:r>
        <w:rPr>
          <w:rFonts w:hint="eastAsia" w:ascii="仿宋_GB2312" w:hAnsi="宋体" w:eastAsia="仿宋_GB2312"/>
          <w:b/>
          <w:sz w:val="32"/>
          <w:szCs w:val="30"/>
          <w:lang w:val="zh-CN"/>
        </w:rPr>
        <w:t>（三）</w:t>
      </w:r>
      <w:r>
        <w:rPr>
          <w:rFonts w:hint="eastAsia" w:ascii="仿宋_GB2312" w:hAnsi="宋体" w:eastAsia="仿宋_GB2312"/>
          <w:b/>
          <w:sz w:val="32"/>
          <w:szCs w:val="30"/>
        </w:rPr>
        <w:t>预算安排及分配管理</w:t>
      </w:r>
      <w:r>
        <w:rPr>
          <w:rFonts w:hint="eastAsia" w:ascii="仿宋_GB2312" w:hAnsi="宋体" w:eastAsia="仿宋_GB2312"/>
          <w:b/>
          <w:sz w:val="32"/>
          <w:szCs w:val="30"/>
          <w:lang w:val="zh-CN"/>
        </w:rPr>
        <w:t>。</w:t>
      </w:r>
      <w:r>
        <w:rPr>
          <w:rFonts w:hint="eastAsia" w:ascii="仿宋_GB2312" w:hAnsi="宋体" w:eastAsia="仿宋_GB2312"/>
          <w:sz w:val="32"/>
          <w:szCs w:val="30"/>
          <w:lang w:val="zh-CN"/>
        </w:rPr>
        <w:t>该</w:t>
      </w:r>
      <w:r>
        <w:rPr>
          <w:rFonts w:hint="eastAsia" w:ascii="仿宋_GB2312" w:hAnsi="仿宋_GB2312" w:eastAsia="仿宋_GB2312" w:cs="仿宋_GB2312"/>
          <w:kern w:val="0"/>
          <w:sz w:val="32"/>
          <w:szCs w:val="30"/>
          <w:shd w:val="clear" w:color="auto" w:fill="FFFFFF"/>
          <w:lang w:val="zh-CN"/>
        </w:rPr>
        <w:t>项目预算资金5.46万元，</w:t>
      </w:r>
      <w:r>
        <w:rPr>
          <w:rFonts w:hint="eastAsia" w:ascii="仿宋_GB2312" w:hAnsi="宋体" w:eastAsia="仿宋_GB2312"/>
          <w:sz w:val="32"/>
          <w:szCs w:val="30"/>
          <w:lang w:val="zh-CN"/>
        </w:rPr>
        <w:t>资金主要用于驻村干部办公、差旅等。</w:t>
      </w:r>
    </w:p>
    <w:p>
      <w:pPr>
        <w:adjustRightInd w:val="0"/>
        <w:snapToGrid w:val="0"/>
        <w:spacing w:line="600" w:lineRule="exact"/>
        <w:ind w:firstLine="720"/>
        <w:rPr>
          <w:rFonts w:ascii="仿宋_GB2312" w:eastAsia="仿宋_GB2312"/>
          <w:sz w:val="32"/>
          <w:szCs w:val="30"/>
        </w:rPr>
      </w:pPr>
      <w:r>
        <w:rPr>
          <w:rFonts w:hint="eastAsia" w:ascii="仿宋_GB2312" w:hAnsi="宋体" w:eastAsia="仿宋_GB2312"/>
          <w:b/>
          <w:sz w:val="32"/>
          <w:szCs w:val="30"/>
          <w:lang w:val="zh-CN"/>
        </w:rPr>
        <w:t>（四）项目绩效目标设置。</w:t>
      </w:r>
      <w:r>
        <w:rPr>
          <w:rFonts w:hint="eastAsia" w:ascii="仿宋_GB2312" w:eastAsia="仿宋_GB2312"/>
          <w:sz w:val="32"/>
          <w:szCs w:val="30"/>
        </w:rPr>
        <w:t>2023年，根据预算绩效管理要求，在年初预算编制阶段，能够科学、合理的设置绩效目标，，使绩效目标内容完整，细化量化，可操作性强，与预算匹配。成立了以支队长任组长的项目自评领导小组，下设办公室具体负责自评工作，采取调阅资料、现场查看等方式开展自评工作。</w:t>
      </w:r>
    </w:p>
    <w:p>
      <w:pPr>
        <w:adjustRightInd w:val="0"/>
        <w:snapToGrid w:val="0"/>
        <w:spacing w:line="578" w:lineRule="exact"/>
        <w:ind w:firstLine="640" w:firstLineChars="200"/>
        <w:outlineLvl w:val="1"/>
        <w:rPr>
          <w:rFonts w:ascii="黑体" w:hAnsi="黑体" w:eastAsia="黑体"/>
          <w:sz w:val="32"/>
          <w:szCs w:val="30"/>
        </w:rPr>
      </w:pPr>
      <w:bookmarkStart w:id="153" w:name="_Toc15265"/>
      <w:bookmarkStart w:id="154" w:name="_Toc31419"/>
      <w:r>
        <w:rPr>
          <w:rFonts w:hint="eastAsia" w:ascii="黑体" w:hAnsi="黑体" w:eastAsia="黑体"/>
          <w:sz w:val="32"/>
          <w:szCs w:val="30"/>
        </w:rPr>
        <w:t>二、评价实施</w:t>
      </w:r>
      <w:bookmarkEnd w:id="153"/>
      <w:bookmarkEnd w:id="154"/>
    </w:p>
    <w:p>
      <w:pPr>
        <w:spacing w:line="578" w:lineRule="exact"/>
        <w:ind w:firstLine="640"/>
        <w:rPr>
          <w:rFonts w:ascii="仿宋_GB2312" w:eastAsia="仿宋_GB2312"/>
          <w:sz w:val="32"/>
          <w:szCs w:val="30"/>
        </w:rPr>
      </w:pPr>
      <w:r>
        <w:rPr>
          <w:rFonts w:hint="eastAsia" w:ascii="仿宋_GB2312" w:hAnsi="宋体" w:eastAsia="仿宋_GB2312"/>
          <w:b/>
          <w:sz w:val="32"/>
          <w:szCs w:val="30"/>
          <w:lang w:val="zh-CN"/>
        </w:rPr>
        <w:t>（一）评价目的。</w:t>
      </w:r>
      <w:r>
        <w:rPr>
          <w:rFonts w:hint="eastAsia" w:ascii="仿宋_GB2312" w:eastAsia="仿宋_GB2312"/>
          <w:sz w:val="32"/>
          <w:szCs w:val="30"/>
        </w:rPr>
        <w:t>通过项目绩效自评，主要结合资金使用情况，查看项目资金发挥的效益情况，是否实现年初绩效目标。</w:t>
      </w:r>
    </w:p>
    <w:p>
      <w:pPr>
        <w:adjustRightInd w:val="0"/>
        <w:snapToGrid w:val="0"/>
        <w:spacing w:line="578" w:lineRule="exact"/>
        <w:ind w:firstLine="642" w:firstLineChars="200"/>
        <w:rPr>
          <w:rFonts w:ascii="仿宋_GB2312" w:eastAsia="仿宋_GB2312"/>
          <w:sz w:val="32"/>
          <w:szCs w:val="30"/>
        </w:rPr>
      </w:pPr>
      <w:r>
        <w:rPr>
          <w:rFonts w:hint="eastAsia" w:ascii="仿宋_GB2312" w:hAnsi="宋体" w:eastAsia="仿宋_GB2312"/>
          <w:b/>
          <w:sz w:val="32"/>
          <w:szCs w:val="30"/>
          <w:lang w:val="zh-CN"/>
        </w:rPr>
        <w:t>（二）预设问题及评价重点。</w:t>
      </w:r>
      <w:r>
        <w:rPr>
          <w:rFonts w:hint="eastAsia" w:ascii="仿宋_GB2312" w:hAnsi="宋体" w:eastAsia="仿宋_GB2312"/>
          <w:sz w:val="32"/>
          <w:szCs w:val="30"/>
          <w:lang w:val="zh-CN"/>
        </w:rPr>
        <w:t>无预设问题；评价重点在于</w:t>
      </w:r>
      <w:r>
        <w:rPr>
          <w:rFonts w:hint="eastAsia" w:ascii="仿宋_GB2312" w:eastAsia="仿宋_GB2312"/>
          <w:sz w:val="32"/>
          <w:szCs w:val="30"/>
        </w:rPr>
        <w:t>巩固脱贫攻坚成果的巩固情况，被帮扶村的人均收入情况。</w:t>
      </w:r>
    </w:p>
    <w:p>
      <w:pPr>
        <w:adjustRightInd w:val="0"/>
        <w:snapToGrid w:val="0"/>
        <w:spacing w:line="600" w:lineRule="exact"/>
        <w:ind w:firstLine="720"/>
        <w:rPr>
          <w:rFonts w:ascii="仿宋_GB2312" w:eastAsia="仿宋_GB2312"/>
          <w:sz w:val="32"/>
          <w:szCs w:val="30"/>
        </w:rPr>
      </w:pPr>
      <w:r>
        <w:rPr>
          <w:rFonts w:hint="eastAsia" w:ascii="仿宋_GB2312" w:hAnsi="宋体" w:eastAsia="仿宋_GB2312"/>
          <w:b/>
          <w:sz w:val="32"/>
          <w:szCs w:val="30"/>
          <w:lang w:val="zh-CN"/>
        </w:rPr>
        <w:t>（三）评价选点。</w:t>
      </w:r>
      <w:r>
        <w:rPr>
          <w:rFonts w:hint="eastAsia" w:ascii="仿宋_GB2312" w:eastAsia="仿宋_GB2312"/>
          <w:sz w:val="32"/>
          <w:szCs w:val="30"/>
        </w:rPr>
        <w:t>通过翻阅驻村工作队报销经费及电话访问被帮扶村来看，驻村工作队员出勤率与其差旅报销天数相符。</w:t>
      </w:r>
    </w:p>
    <w:p>
      <w:pPr>
        <w:adjustRightInd w:val="0"/>
        <w:snapToGrid w:val="0"/>
        <w:spacing w:line="600" w:lineRule="exact"/>
        <w:ind w:firstLine="720"/>
        <w:rPr>
          <w:rFonts w:ascii="仿宋_GB2312" w:eastAsia="仿宋_GB2312"/>
          <w:sz w:val="32"/>
          <w:szCs w:val="30"/>
        </w:rPr>
      </w:pPr>
      <w:r>
        <w:rPr>
          <w:rFonts w:hint="eastAsia" w:ascii="仿宋_GB2312" w:hAnsi="宋体" w:eastAsia="仿宋_GB2312"/>
          <w:b/>
          <w:sz w:val="32"/>
          <w:szCs w:val="30"/>
          <w:lang w:val="zh-CN"/>
        </w:rPr>
        <w:t>（四）评价方法。</w:t>
      </w:r>
      <w:r>
        <w:rPr>
          <w:rFonts w:hint="eastAsia" w:ascii="仿宋_GB2312" w:eastAsia="仿宋_GB2312"/>
          <w:sz w:val="32"/>
          <w:szCs w:val="30"/>
        </w:rPr>
        <w:t>该项目采取了调阅资料和电话访问的方式开展自评工作。</w:t>
      </w:r>
    </w:p>
    <w:p>
      <w:pPr>
        <w:adjustRightInd w:val="0"/>
        <w:snapToGrid w:val="0"/>
        <w:spacing w:line="600" w:lineRule="exact"/>
        <w:ind w:firstLine="720"/>
        <w:rPr>
          <w:rFonts w:ascii="仿宋_GB2312" w:eastAsia="仿宋_GB2312"/>
          <w:bCs/>
          <w:sz w:val="32"/>
          <w:szCs w:val="30"/>
        </w:rPr>
      </w:pPr>
      <w:r>
        <w:rPr>
          <w:rFonts w:hint="eastAsia" w:ascii="仿宋_GB2312" w:hAnsi="宋体" w:eastAsia="仿宋_GB2312"/>
          <w:b/>
          <w:sz w:val="32"/>
          <w:szCs w:val="30"/>
          <w:lang w:val="zh-CN"/>
        </w:rPr>
        <w:t>（五）评价组织。</w:t>
      </w:r>
      <w:r>
        <w:rPr>
          <w:rFonts w:hint="eastAsia" w:ascii="仿宋_GB2312" w:eastAsia="仿宋_GB2312"/>
          <w:sz w:val="32"/>
          <w:szCs w:val="30"/>
        </w:rPr>
        <w:t>支队高度重视项目绩效自查自评工作，成立了以支队长任组长的项目自评领导小组，下设办公室具体负责自评工作。</w:t>
      </w:r>
    </w:p>
    <w:p>
      <w:pPr>
        <w:adjustRightInd w:val="0"/>
        <w:snapToGrid w:val="0"/>
        <w:spacing w:line="578" w:lineRule="exact"/>
        <w:ind w:firstLine="640" w:firstLineChars="200"/>
        <w:outlineLvl w:val="1"/>
        <w:rPr>
          <w:rFonts w:ascii="黑体" w:hAnsi="黑体" w:eastAsia="黑体"/>
          <w:sz w:val="32"/>
          <w:szCs w:val="30"/>
          <w:lang w:val="zh-CN"/>
        </w:rPr>
      </w:pPr>
      <w:bookmarkStart w:id="155" w:name="_Toc3417"/>
      <w:bookmarkStart w:id="156" w:name="_Toc30247"/>
      <w:r>
        <w:rPr>
          <w:rFonts w:hint="eastAsia" w:ascii="黑体" w:hAnsi="黑体" w:eastAsia="黑体"/>
          <w:sz w:val="32"/>
          <w:szCs w:val="30"/>
        </w:rPr>
        <w:t>三、绩效分析</w:t>
      </w:r>
      <w:bookmarkEnd w:id="155"/>
      <w:bookmarkEnd w:id="156"/>
      <w:r>
        <w:rPr>
          <w:rFonts w:hint="eastAsia" w:ascii="黑体" w:hAnsi="黑体" w:eastAsia="黑体"/>
          <w:sz w:val="32"/>
          <w:szCs w:val="30"/>
          <w:lang w:val="zh-CN"/>
        </w:rPr>
        <w:tab/>
      </w:r>
    </w:p>
    <w:p>
      <w:pPr>
        <w:spacing w:line="578" w:lineRule="exact"/>
        <w:ind w:firstLine="640"/>
        <w:rPr>
          <w:rFonts w:ascii="仿宋_GB2312" w:hAnsi="宋体" w:eastAsia="仿宋_GB2312"/>
          <w:b/>
          <w:sz w:val="32"/>
          <w:szCs w:val="30"/>
        </w:rPr>
      </w:pPr>
      <w:r>
        <w:rPr>
          <w:rFonts w:hint="eastAsia" w:ascii="仿宋_GB2312" w:hAnsi="宋体" w:eastAsia="仿宋_GB2312"/>
          <w:b/>
          <w:sz w:val="32"/>
          <w:szCs w:val="30"/>
          <w:lang w:val="zh-CN"/>
        </w:rPr>
        <w:t>（一）</w:t>
      </w:r>
      <w:r>
        <w:rPr>
          <w:rFonts w:hint="eastAsia" w:ascii="仿宋_GB2312" w:hAnsi="宋体" w:eastAsia="仿宋_GB2312"/>
          <w:b/>
          <w:sz w:val="32"/>
          <w:szCs w:val="30"/>
        </w:rPr>
        <w:t>通用指标</w:t>
      </w:r>
      <w:r>
        <w:rPr>
          <w:rFonts w:hint="eastAsia" w:ascii="仿宋_GB2312" w:eastAsia="仿宋_GB2312"/>
          <w:b/>
          <w:bCs/>
          <w:color w:val="000000"/>
          <w:kern w:val="0"/>
          <w:sz w:val="32"/>
          <w:szCs w:val="30"/>
          <w:shd w:val="clear" w:color="auto" w:fill="FFFFFF"/>
          <w:lang w:val="zh-CN"/>
        </w:rPr>
        <w:t>绩效分析。</w:t>
      </w:r>
    </w:p>
    <w:p>
      <w:pPr>
        <w:spacing w:line="578" w:lineRule="exact"/>
        <w:ind w:firstLine="640"/>
        <w:rPr>
          <w:rFonts w:ascii="仿宋_GB2312" w:hAnsi="楷体" w:eastAsia="仿宋_GB2312"/>
          <w:sz w:val="32"/>
          <w:szCs w:val="30"/>
          <w:lang w:val="zh-CN"/>
        </w:rPr>
      </w:pPr>
      <w:r>
        <w:rPr>
          <w:rFonts w:hint="eastAsia" w:ascii="仿宋_GB2312" w:hAnsi="楷体_GB2312" w:eastAsia="仿宋_GB2312" w:cs="楷体_GB2312"/>
          <w:sz w:val="32"/>
          <w:szCs w:val="30"/>
        </w:rPr>
        <w:t>1.项目决策（18分）。</w:t>
      </w:r>
      <w:r>
        <w:rPr>
          <w:rFonts w:hint="eastAsia" w:ascii="仿宋_GB2312" w:hAnsi="楷体" w:eastAsia="仿宋_GB2312"/>
          <w:sz w:val="32"/>
          <w:szCs w:val="30"/>
          <w:lang w:val="zh-CN"/>
        </w:rPr>
        <w:t>该项目由驻村工作队就项目具体内容、所需资金、工作目标等形成报告，报告提交交警支队党总支会议审核，审核通过后根据财政批复情况由部门具体进行实施。</w:t>
      </w:r>
    </w:p>
    <w:p>
      <w:pPr>
        <w:adjustRightInd w:val="0"/>
        <w:snapToGrid w:val="0"/>
        <w:spacing w:line="520" w:lineRule="exact"/>
        <w:ind w:firstLine="470" w:firstLineChars="147"/>
        <w:rPr>
          <w:rFonts w:ascii="仿宋_GB2312" w:hAnsi="楷体" w:eastAsia="仿宋_GB2312"/>
          <w:b/>
          <w:sz w:val="32"/>
          <w:szCs w:val="30"/>
          <w:lang w:val="zh-CN"/>
        </w:rPr>
      </w:pPr>
      <w:r>
        <w:rPr>
          <w:rFonts w:hint="eastAsia" w:ascii="仿宋_GB2312" w:hAnsi="楷体_GB2312" w:eastAsia="仿宋_GB2312" w:cs="楷体_GB2312"/>
          <w:sz w:val="32"/>
          <w:szCs w:val="30"/>
        </w:rPr>
        <w:t>2.项目管理（18分）。我支队制定了</w:t>
      </w:r>
      <w:r>
        <w:rPr>
          <w:rFonts w:hint="eastAsia" w:ascii="仿宋_GB2312" w:hAnsi="宋体" w:eastAsia="仿宋_GB2312" w:cs="宋体"/>
          <w:kern w:val="0"/>
          <w:sz w:val="32"/>
          <w:szCs w:val="30"/>
        </w:rPr>
        <w:t>《财务管理规定》</w:t>
      </w:r>
      <w:r>
        <w:rPr>
          <w:rFonts w:hint="eastAsia" w:ascii="仿宋_GB2312" w:hAnsi="宋体" w:eastAsia="仿宋_GB2312" w:cs="宋体"/>
          <w:sz w:val="32"/>
          <w:szCs w:val="30"/>
        </w:rPr>
        <w:t>，该</w:t>
      </w:r>
      <w:r>
        <w:rPr>
          <w:rFonts w:hint="eastAsia" w:ascii="仿宋_GB2312" w:hAnsi="楷体_GB2312" w:eastAsia="仿宋_GB2312" w:cs="楷体_GB2312"/>
          <w:sz w:val="32"/>
          <w:szCs w:val="30"/>
        </w:rPr>
        <w:t>项</w:t>
      </w:r>
      <w:r>
        <w:rPr>
          <w:rFonts w:hint="eastAsia" w:ascii="仿宋_GB2312" w:eastAsia="仿宋_GB2312"/>
          <w:sz w:val="32"/>
          <w:szCs w:val="30"/>
        </w:rPr>
        <w:t>目资金为专项资金，项目的实施和管理由支队扶贫工作队负责，</w:t>
      </w:r>
      <w:r>
        <w:rPr>
          <w:rFonts w:hint="eastAsia" w:ascii="仿宋_GB2312" w:hAnsi="宋体" w:eastAsia="仿宋_GB2312"/>
          <w:sz w:val="32"/>
          <w:szCs w:val="30"/>
          <w:lang w:val="zh-CN"/>
        </w:rPr>
        <w:t>支队专门指定一名副支队长负责对扶贫工作进行监督和指导。</w:t>
      </w:r>
    </w:p>
    <w:p>
      <w:pPr>
        <w:ind w:firstLine="640" w:firstLineChars="200"/>
        <w:rPr>
          <w:rFonts w:ascii="仿宋_GB2312" w:eastAsia="仿宋_GB2312"/>
          <w:sz w:val="32"/>
          <w:szCs w:val="30"/>
        </w:rPr>
      </w:pPr>
      <w:r>
        <w:rPr>
          <w:rFonts w:hint="eastAsia" w:ascii="仿宋_GB2312" w:hAnsi="楷体_GB2312" w:eastAsia="仿宋_GB2312" w:cs="楷体_GB2312"/>
          <w:sz w:val="32"/>
          <w:szCs w:val="30"/>
        </w:rPr>
        <w:t>3.项目实施（9分）。</w:t>
      </w:r>
      <w:r>
        <w:rPr>
          <w:rFonts w:hint="eastAsia" w:ascii="仿宋_GB2312" w:hAnsi="宋体" w:eastAsia="仿宋_GB2312"/>
          <w:sz w:val="32"/>
          <w:szCs w:val="30"/>
          <w:lang w:val="zh-CN"/>
        </w:rPr>
        <w:t>该项目资金执行率为100%，项目严格按照相关要求进行支付，</w:t>
      </w:r>
      <w:r>
        <w:rPr>
          <w:rFonts w:hint="eastAsia" w:ascii="仿宋_GB2312" w:hAnsi="宋体" w:eastAsia="仿宋_GB2312" w:cs="宋体"/>
          <w:kern w:val="0"/>
          <w:sz w:val="32"/>
          <w:szCs w:val="30"/>
        </w:rPr>
        <w:t>狠抓经费“</w:t>
      </w:r>
      <w:r>
        <w:rPr>
          <w:rFonts w:hint="eastAsia" w:ascii="仿宋_GB2312" w:eastAsia="仿宋_GB2312"/>
          <w:sz w:val="32"/>
          <w:szCs w:val="30"/>
        </w:rPr>
        <w:t>使用审批”、“预算执行”、“管理监督”三个环节，硬化预算约束，做到了“专款专用”。</w:t>
      </w:r>
    </w:p>
    <w:p>
      <w:pPr>
        <w:pStyle w:val="9"/>
        <w:ind w:firstLine="640" w:firstLineChars="200"/>
        <w:rPr>
          <w:rFonts w:ascii="仿宋_GB2312" w:hAnsi="宋体"/>
          <w:szCs w:val="30"/>
        </w:rPr>
      </w:pPr>
      <w:r>
        <w:rPr>
          <w:rFonts w:hint="eastAsia" w:ascii="仿宋_GB2312" w:hAnsi="楷体_GB2312" w:cs="楷体_GB2312"/>
          <w:szCs w:val="30"/>
        </w:rPr>
        <w:t>4.项目结果（9分）。</w:t>
      </w:r>
      <w:r>
        <w:rPr>
          <w:rFonts w:hint="eastAsia" w:ascii="仿宋_GB2312" w:hAnsi="宋体"/>
          <w:szCs w:val="30"/>
        </w:rPr>
        <w:t>支队帮扶旺苍县天星乡大山村，帮助其发展养殖业，振兴产业、文化、人才和生态建设，帮扶群众47户，引进种植项目1项，使被帮扶群众生活水平、人均收入大大提高、生活环境大大改善。</w:t>
      </w:r>
    </w:p>
    <w:p>
      <w:pPr>
        <w:pStyle w:val="9"/>
        <w:ind w:firstLine="642" w:firstLineChars="200"/>
        <w:rPr>
          <w:rFonts w:ascii="仿宋_GB2312" w:hAnsi="楷体_GB2312" w:cs="楷体_GB2312"/>
          <w:szCs w:val="30"/>
          <w:lang w:val="zh-CN"/>
        </w:rPr>
      </w:pPr>
      <w:r>
        <w:rPr>
          <w:rFonts w:hint="eastAsia" w:ascii="仿宋_GB2312"/>
          <w:b/>
          <w:szCs w:val="30"/>
          <w:lang w:val="zh-CN"/>
        </w:rPr>
        <w:t>（二）</w:t>
      </w:r>
      <w:r>
        <w:rPr>
          <w:rFonts w:hint="eastAsia" w:ascii="仿宋_GB2312"/>
          <w:b/>
          <w:szCs w:val="30"/>
        </w:rPr>
        <w:t>专用指标</w:t>
      </w:r>
      <w:r>
        <w:rPr>
          <w:rFonts w:hint="eastAsia" w:ascii="仿宋_GB2312"/>
          <w:b/>
          <w:bCs/>
          <w:color w:val="000000"/>
          <w:kern w:val="0"/>
          <w:szCs w:val="30"/>
          <w:shd w:val="clear" w:color="auto" w:fill="FFFFFF"/>
          <w:lang w:val="zh-CN"/>
        </w:rPr>
        <w:t>绩效分析。</w:t>
      </w:r>
      <w:r>
        <w:rPr>
          <w:rFonts w:hint="eastAsia" w:ascii="仿宋_GB2312" w:hAnsi="楷体_GB2312" w:cs="楷体_GB2312"/>
          <w:szCs w:val="30"/>
          <w:lang w:val="zh-CN"/>
        </w:rPr>
        <w:t>行政运转（30分）。该项目资金属行政运转类项目，该项目资金用于驻村工作队员的办公、差旅等，项目资金用途合规，程序审批严密合规，不存在违规使用的情况。</w:t>
      </w:r>
    </w:p>
    <w:p>
      <w:pPr>
        <w:adjustRightInd w:val="0"/>
        <w:snapToGrid w:val="0"/>
        <w:spacing w:line="520" w:lineRule="exact"/>
        <w:ind w:firstLine="720"/>
        <w:rPr>
          <w:rFonts w:ascii="仿宋_GB2312" w:hAnsi="仿宋_GB2312" w:eastAsia="仿宋_GB2312" w:cs="仿宋_GB2312"/>
          <w:sz w:val="32"/>
          <w:szCs w:val="30"/>
        </w:rPr>
      </w:pPr>
      <w:r>
        <w:rPr>
          <w:rFonts w:hint="eastAsia" w:ascii="仿宋_GB2312" w:hAnsi="宋体" w:eastAsia="仿宋_GB2312"/>
          <w:b/>
          <w:sz w:val="32"/>
          <w:szCs w:val="30"/>
          <w:lang w:val="zh-CN"/>
        </w:rPr>
        <w:t>（三）</w:t>
      </w:r>
      <w:r>
        <w:rPr>
          <w:rFonts w:hint="eastAsia" w:ascii="仿宋_GB2312" w:hAnsi="宋体" w:eastAsia="仿宋_GB2312"/>
          <w:b/>
          <w:sz w:val="32"/>
          <w:szCs w:val="30"/>
        </w:rPr>
        <w:t>个性指标</w:t>
      </w:r>
      <w:r>
        <w:rPr>
          <w:rFonts w:hint="eastAsia" w:ascii="仿宋_GB2312" w:eastAsia="仿宋_GB2312"/>
          <w:b/>
          <w:bCs/>
          <w:color w:val="000000"/>
          <w:kern w:val="0"/>
          <w:sz w:val="32"/>
          <w:szCs w:val="30"/>
          <w:shd w:val="clear" w:color="auto" w:fill="FFFFFF"/>
          <w:lang w:val="zh-CN"/>
        </w:rPr>
        <w:t>绩效分析（16分）。</w:t>
      </w:r>
      <w:r>
        <w:rPr>
          <w:rFonts w:hint="eastAsia" w:ascii="仿宋_GB2312" w:hAnsi="仿宋_GB2312" w:eastAsia="仿宋_GB2312" w:cs="仿宋_GB2312"/>
          <w:sz w:val="32"/>
          <w:szCs w:val="30"/>
        </w:rPr>
        <w:t>被帮扶群众生活水平、生活环境大大改善，脱贫攻坚成果得到巩固，村民的年平均收入也有所提高。</w:t>
      </w:r>
    </w:p>
    <w:p>
      <w:pPr>
        <w:pStyle w:val="4"/>
        <w:spacing w:line="600" w:lineRule="exact"/>
        <w:ind w:firstLine="640" w:firstLineChars="200"/>
        <w:outlineLvl w:val="1"/>
        <w:rPr>
          <w:rFonts w:ascii="黑体" w:hAnsi="黑体" w:eastAsia="黑体"/>
          <w:sz w:val="32"/>
          <w:szCs w:val="30"/>
        </w:rPr>
      </w:pPr>
      <w:bookmarkStart w:id="157" w:name="_Toc23765"/>
      <w:bookmarkStart w:id="158" w:name="_Toc12901"/>
      <w:r>
        <w:rPr>
          <w:rFonts w:hint="eastAsia" w:ascii="黑体" w:hAnsi="黑体" w:eastAsia="黑体"/>
          <w:sz w:val="32"/>
          <w:szCs w:val="30"/>
        </w:rPr>
        <w:t>四、评价结论</w:t>
      </w:r>
      <w:bookmarkEnd w:id="157"/>
      <w:bookmarkEnd w:id="158"/>
    </w:p>
    <w:p>
      <w:pPr>
        <w:spacing w:line="520" w:lineRule="exact"/>
        <w:ind w:firstLine="640" w:firstLineChars="200"/>
        <w:rPr>
          <w:rFonts w:ascii="仿宋_GB2312" w:hAnsi="仿宋_GB2312" w:eastAsia="仿宋_GB2312" w:cs="仿宋_GB2312"/>
          <w:sz w:val="32"/>
          <w:szCs w:val="30"/>
        </w:rPr>
      </w:pPr>
      <w:r>
        <w:rPr>
          <w:rFonts w:hint="eastAsia" w:ascii="仿宋_GB2312" w:hAnsi="仿宋_GB2312" w:eastAsia="仿宋_GB2312" w:cs="仿宋_GB2312"/>
          <w:sz w:val="32"/>
          <w:szCs w:val="30"/>
        </w:rPr>
        <w:t>从评价情况来看，项目的预算资金管理科学合理，使用规范，完成了项目的既定目标，达到了预期使用效果，得分是100分。</w:t>
      </w:r>
    </w:p>
    <w:p>
      <w:pPr>
        <w:pStyle w:val="4"/>
        <w:spacing w:line="600" w:lineRule="exact"/>
        <w:ind w:firstLine="640" w:firstLineChars="200"/>
        <w:outlineLvl w:val="1"/>
        <w:rPr>
          <w:rFonts w:ascii="黑体" w:hAnsi="黑体" w:eastAsia="黑体"/>
          <w:sz w:val="32"/>
          <w:szCs w:val="30"/>
        </w:rPr>
      </w:pPr>
      <w:bookmarkStart w:id="159" w:name="_Toc14550"/>
      <w:bookmarkStart w:id="160" w:name="_Toc12393"/>
      <w:r>
        <w:rPr>
          <w:rFonts w:hint="eastAsia" w:ascii="黑体" w:hAnsi="黑体" w:eastAsia="黑体"/>
          <w:sz w:val="32"/>
          <w:szCs w:val="30"/>
        </w:rPr>
        <w:t>五、存在主要问题</w:t>
      </w:r>
      <w:bookmarkEnd w:id="159"/>
      <w:bookmarkEnd w:id="160"/>
    </w:p>
    <w:p>
      <w:pPr>
        <w:pStyle w:val="4"/>
        <w:spacing w:line="600" w:lineRule="exact"/>
        <w:ind w:firstLine="640" w:firstLineChars="200"/>
        <w:rPr>
          <w:rFonts w:ascii="仿宋_GB2312" w:hAnsi="黑体" w:eastAsia="仿宋_GB2312" w:cs="黑体"/>
          <w:sz w:val="32"/>
          <w:szCs w:val="30"/>
        </w:rPr>
      </w:pPr>
      <w:r>
        <w:rPr>
          <w:rFonts w:hint="eastAsia" w:ascii="仿宋_GB2312" w:hAnsi="仿宋_GB2312" w:eastAsia="仿宋_GB2312" w:cs="仿宋_GB2312"/>
          <w:sz w:val="32"/>
          <w:szCs w:val="30"/>
        </w:rPr>
        <w:t>无。</w:t>
      </w:r>
    </w:p>
    <w:p>
      <w:pPr>
        <w:pStyle w:val="4"/>
        <w:spacing w:line="600" w:lineRule="exact"/>
        <w:ind w:firstLine="640" w:firstLineChars="200"/>
        <w:outlineLvl w:val="1"/>
        <w:rPr>
          <w:rFonts w:ascii="黑体" w:hAnsi="黑体" w:eastAsia="黑体"/>
          <w:sz w:val="32"/>
          <w:szCs w:val="30"/>
          <w:lang w:val="zh-CN"/>
        </w:rPr>
      </w:pPr>
      <w:bookmarkStart w:id="161" w:name="_Toc24566"/>
      <w:bookmarkStart w:id="162" w:name="_Toc32713"/>
      <w:r>
        <w:rPr>
          <w:rFonts w:hint="eastAsia" w:ascii="黑体" w:hAnsi="黑体" w:eastAsia="黑体"/>
          <w:sz w:val="32"/>
          <w:szCs w:val="30"/>
          <w:lang w:val="zh-CN"/>
        </w:rPr>
        <w:t>六、改进建议</w:t>
      </w:r>
      <w:bookmarkEnd w:id="161"/>
      <w:bookmarkEnd w:id="162"/>
    </w:p>
    <w:p>
      <w:pPr>
        <w:pStyle w:val="4"/>
        <w:spacing w:line="600" w:lineRule="exact"/>
        <w:ind w:firstLine="640" w:firstLineChars="200"/>
        <w:rPr>
          <w:rFonts w:ascii="仿宋_GB2312" w:hAnsi="黑体" w:eastAsia="仿宋_GB2312" w:cs="黑体"/>
          <w:sz w:val="32"/>
          <w:szCs w:val="30"/>
        </w:rPr>
      </w:pPr>
      <w:r>
        <w:rPr>
          <w:rFonts w:hint="eastAsia" w:ascii="仿宋_GB2312" w:hAnsi="仿宋_GB2312" w:eastAsia="仿宋_GB2312" w:cs="仿宋_GB2312"/>
          <w:sz w:val="32"/>
          <w:szCs w:val="30"/>
        </w:rPr>
        <w:t>无。</w:t>
      </w:r>
    </w:p>
    <w:p>
      <w:pPr>
        <w:snapToGrid w:val="0"/>
        <w:spacing w:line="578" w:lineRule="exact"/>
        <w:rPr>
          <w:rFonts w:ascii="仿宋_GB2312" w:eastAsia="仿宋_GB2312"/>
          <w:color w:val="000000"/>
          <w:kern w:val="0"/>
          <w:sz w:val="32"/>
          <w:szCs w:val="30"/>
          <w:shd w:val="clear" w:color="auto" w:fill="FFFFFF"/>
          <w:lang w:val="zh-CN"/>
        </w:rPr>
      </w:pPr>
    </w:p>
    <w:p>
      <w:pPr>
        <w:snapToGrid w:val="0"/>
        <w:spacing w:line="578" w:lineRule="exact"/>
        <w:ind w:firstLine="3200" w:firstLineChars="1000"/>
        <w:rPr>
          <w:rFonts w:ascii="仿宋_GB2312" w:eastAsia="仿宋_GB2312"/>
          <w:color w:val="000000"/>
          <w:kern w:val="0"/>
          <w:sz w:val="32"/>
          <w:szCs w:val="30"/>
          <w:shd w:val="clear" w:color="auto" w:fill="FFFFFF"/>
        </w:rPr>
      </w:pPr>
      <w:r>
        <w:rPr>
          <w:rFonts w:hint="eastAsia" w:ascii="仿宋_GB2312" w:eastAsia="仿宋_GB2312"/>
          <w:color w:val="000000"/>
          <w:kern w:val="0"/>
          <w:sz w:val="32"/>
          <w:szCs w:val="30"/>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0"/>
          <w:shd w:val="clear" w:color="auto" w:fill="FFFFFF"/>
        </w:rPr>
      </w:pPr>
      <w:r>
        <w:rPr>
          <w:rFonts w:hint="eastAsia" w:ascii="仿宋_GB2312" w:eastAsia="仿宋_GB2312"/>
          <w:color w:val="000000"/>
          <w:kern w:val="0"/>
          <w:sz w:val="32"/>
          <w:szCs w:val="30"/>
          <w:shd w:val="clear" w:color="auto" w:fill="FFFFFF"/>
        </w:rPr>
        <w:t>2024年8月5日</w:t>
      </w: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2023年中央和省级政法转移支付资金</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640" w:lineRule="exact"/>
        <w:ind w:firstLine="640" w:firstLineChars="200"/>
        <w:outlineLvl w:val="1"/>
        <w:rPr>
          <w:rFonts w:ascii="黑体" w:hAnsi="黑体" w:eastAsia="黑体"/>
          <w:sz w:val="32"/>
          <w:szCs w:val="32"/>
          <w:lang w:val="zh-CN"/>
        </w:rPr>
      </w:pPr>
      <w:bookmarkStart w:id="163" w:name="_Toc17089"/>
      <w:bookmarkStart w:id="164" w:name="_Toc14194"/>
      <w:r>
        <w:rPr>
          <w:rFonts w:hint="eastAsia" w:ascii="黑体" w:hAnsi="黑体" w:eastAsia="黑体"/>
          <w:sz w:val="32"/>
          <w:szCs w:val="32"/>
        </w:rPr>
        <w:t>一、</w:t>
      </w:r>
      <w:r>
        <w:rPr>
          <w:rFonts w:hint="eastAsia" w:ascii="黑体" w:hAnsi="黑体" w:eastAsia="黑体"/>
          <w:sz w:val="32"/>
          <w:szCs w:val="32"/>
          <w:lang w:val="zh-CN"/>
        </w:rPr>
        <w:t>项目概况</w:t>
      </w:r>
      <w:bookmarkEnd w:id="163"/>
      <w:bookmarkEnd w:id="164"/>
    </w:p>
    <w:p>
      <w:pPr>
        <w:pStyle w:val="11"/>
        <w:spacing w:after="0" w:line="640" w:lineRule="exact"/>
        <w:ind w:left="0" w:leftChars="0" w:firstLine="643"/>
        <w:rPr>
          <w:lang w:val="zh-CN"/>
        </w:rPr>
      </w:pPr>
      <w:r>
        <w:rPr>
          <w:rFonts w:hint="eastAsia" w:hAnsi="宋体"/>
          <w:b/>
          <w:lang w:val="zh-CN"/>
        </w:rPr>
        <w:t>（一）设立背景及基本情况。</w:t>
      </w:r>
      <w:r>
        <w:rPr>
          <w:rFonts w:hint="eastAsia" w:hAnsi="宋体"/>
          <w:lang w:val="zh-CN"/>
        </w:rPr>
        <w:t>我支队</w:t>
      </w:r>
      <w:r>
        <w:rPr>
          <w:rFonts w:hint="eastAsia"/>
        </w:rPr>
        <w:t>一是负责全市</w:t>
      </w:r>
      <w:r>
        <w:rPr>
          <w:rFonts w:hint="eastAsia" w:hAnsi="仿宋" w:cs="仿宋"/>
          <w:shd w:val="clear" w:color="auto" w:fill="FFFFFF"/>
        </w:rPr>
        <w:t>23287公里道路（其中高速公路395公里、国道682公里、省道2355公里、县乡公路8949公里、村道公路10906公里</w:t>
      </w:r>
      <w:r>
        <w:rPr>
          <w:rFonts w:hint="eastAsia"/>
        </w:rPr>
        <w:t>）交通安全管理，纠正交通违章，维护交通秩序，处理突发事件，配合开展警卫工作。二是负责全市62.8万余辆机动车及14.8万辆非机动车注册登记、核发牌证、过户、转籍等工作；三是负责全市机动车驾驶人考试及驾驶证的核发、补发等工作；四是负责交通事故责任认定、交通安全宣传以及参与道路交通管理工作规划;</w:t>
      </w:r>
      <w:r>
        <w:rPr>
          <w:rFonts w:hint="eastAsia" w:hAnsi="仿宋_GB2312" w:cs="仿宋_GB2312"/>
          <w:kern w:val="0"/>
          <w:shd w:val="clear" w:color="auto" w:fill="FFFFFF"/>
          <w:lang w:val="zh-CN"/>
        </w:rPr>
        <w:t>每年车管规费收入的30%上缴省财政，省财政厅根据我支队规费上缴情况和工作绩效下达资金计划。</w:t>
      </w:r>
    </w:p>
    <w:p>
      <w:pPr>
        <w:adjustRightInd w:val="0"/>
        <w:snapToGrid w:val="0"/>
        <w:spacing w:line="640"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w:t>
      </w:r>
      <w:r>
        <w:rPr>
          <w:rFonts w:hint="eastAsia" w:ascii="仿宋_GB2312" w:hAnsi="仿宋_GB2312" w:eastAsia="仿宋_GB2312" w:cs="仿宋_GB2312"/>
          <w:kern w:val="0"/>
          <w:sz w:val="32"/>
          <w:szCs w:val="32"/>
          <w:shd w:val="clear" w:color="auto" w:fill="FFFFFF"/>
          <w:lang w:val="zh-CN"/>
        </w:rPr>
        <w:t>旨在</w:t>
      </w:r>
      <w:r>
        <w:rPr>
          <w:rFonts w:hint="eastAsia" w:ascii="仿宋_GB2312" w:hAnsi="仿宋_GB2312" w:eastAsia="仿宋_GB2312" w:cs="仿宋_GB2312"/>
          <w:sz w:val="32"/>
          <w:szCs w:val="32"/>
        </w:rPr>
        <w:t>深化路面秩序专项整治，常态开展交通违法整治，有力净化交通秩序；主要任务是提高路面民警卡口管控、处理交通事故、突发事件的能力，提升群众安全感。</w:t>
      </w:r>
    </w:p>
    <w:p>
      <w:pPr>
        <w:pStyle w:val="11"/>
        <w:spacing w:after="0" w:line="640" w:lineRule="exact"/>
        <w:ind w:left="0" w:leftChars="0" w:firstLine="643"/>
        <w:rPr>
          <w:lang w:val="zh-CN"/>
        </w:rPr>
      </w:pPr>
      <w:r>
        <w:rPr>
          <w:rFonts w:hint="eastAsia" w:hAnsi="宋体"/>
          <w:b/>
          <w:lang w:val="zh-CN"/>
        </w:rPr>
        <w:t>（三）</w:t>
      </w:r>
      <w:r>
        <w:rPr>
          <w:rFonts w:hint="eastAsia" w:hAnsi="宋体"/>
          <w:b/>
        </w:rPr>
        <w:t>预算安排及分配管理</w:t>
      </w:r>
      <w:r>
        <w:rPr>
          <w:rFonts w:hint="eastAsia" w:hAnsi="宋体"/>
          <w:b/>
          <w:lang w:val="zh-CN"/>
        </w:rPr>
        <w:t>。</w:t>
      </w:r>
      <w:r>
        <w:rPr>
          <w:rFonts w:hint="eastAsia" w:hAnsi="仿宋_GB2312" w:cs="仿宋_GB2312"/>
          <w:kern w:val="0"/>
          <w:shd w:val="clear" w:color="auto" w:fill="FFFFFF"/>
          <w:lang w:val="zh-CN"/>
        </w:rPr>
        <w:t>项目预算资金1017万元，资金主要</w:t>
      </w:r>
      <w:r>
        <w:rPr>
          <w:rFonts w:hint="eastAsia"/>
          <w:lang w:val="zh-CN"/>
        </w:rPr>
        <w:t>考虑装备购置、车管成本、办案业务经费及协警员经费为主</w:t>
      </w:r>
      <w:r>
        <w:rPr>
          <w:rFonts w:hint="eastAsia" w:hAnsi="仿宋_GB2312" w:cs="仿宋_GB2312"/>
          <w:kern w:val="0"/>
          <w:shd w:val="clear" w:color="auto" w:fill="FFFFFF"/>
          <w:lang w:val="zh-CN"/>
        </w:rPr>
        <w:t>。</w:t>
      </w:r>
    </w:p>
    <w:p>
      <w:pPr>
        <w:adjustRightInd w:val="0"/>
        <w:snapToGrid w:val="0"/>
        <w:spacing w:line="640" w:lineRule="exact"/>
        <w:ind w:firstLine="642" w:firstLineChars="20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根据预算绩效管理要求，在年初预算编制阶段，能够科学、合理的设置绩效目标，使绩效目标内容完整，细化量化，可操作性强，与预算匹配。成立了以支队长任组长的项目自评领导小组，下设办公室具体负责自评工作，采取调阅资料、现场查看等方式开展自评工作</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640" w:lineRule="exact"/>
        <w:ind w:firstLine="640" w:firstLineChars="200"/>
        <w:outlineLvl w:val="1"/>
        <w:rPr>
          <w:rFonts w:ascii="黑体" w:hAnsi="黑体" w:eastAsia="黑体"/>
          <w:sz w:val="32"/>
          <w:szCs w:val="32"/>
        </w:rPr>
      </w:pPr>
      <w:bookmarkStart w:id="165" w:name="_Toc5593"/>
      <w:bookmarkStart w:id="166" w:name="_Toc30783"/>
      <w:r>
        <w:rPr>
          <w:rFonts w:hint="eastAsia" w:ascii="黑体" w:hAnsi="黑体" w:eastAsia="黑体"/>
          <w:sz w:val="32"/>
          <w:szCs w:val="32"/>
        </w:rPr>
        <w:t>二、评价实施</w:t>
      </w:r>
      <w:bookmarkEnd w:id="165"/>
      <w:bookmarkEnd w:id="166"/>
    </w:p>
    <w:p>
      <w:pPr>
        <w:spacing w:line="640"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adjustRightInd w:val="0"/>
        <w:snapToGrid w:val="0"/>
        <w:spacing w:line="640" w:lineRule="exact"/>
        <w:ind w:firstLine="642" w:firstLineChars="200"/>
        <w:rPr>
          <w:rFonts w:ascii="仿宋_GB2312" w:eastAsia="仿宋_GB2312"/>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预设问题为采购项目是否按照相关要求应采尽采，评价重点在于项目是否达到预期目标。</w:t>
      </w:r>
    </w:p>
    <w:p>
      <w:pPr>
        <w:adjustRightInd w:val="0"/>
        <w:snapToGrid w:val="0"/>
        <w:spacing w:line="640"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hAnsi="宋体" w:eastAsia="仿宋_GB2312"/>
          <w:sz w:val="32"/>
          <w:szCs w:val="32"/>
          <w:lang w:val="zh-CN"/>
        </w:rPr>
        <w:t>通过抽取政府采购项目具体情况，查看资金使用情况。</w:t>
      </w:r>
    </w:p>
    <w:p>
      <w:pPr>
        <w:adjustRightInd w:val="0"/>
        <w:snapToGrid w:val="0"/>
        <w:spacing w:line="64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该项目采取了调阅相关数据资料的方式开展自评工作。</w:t>
      </w:r>
    </w:p>
    <w:p>
      <w:pPr>
        <w:spacing w:line="640" w:lineRule="exact"/>
        <w:ind w:firstLine="640"/>
        <w:rPr>
          <w:rFonts w:ascii="仿宋_GB2312" w:eastAsia="仿宋_GB2312"/>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spacing w:line="640" w:lineRule="exact"/>
        <w:ind w:firstLine="640"/>
        <w:outlineLvl w:val="1"/>
        <w:rPr>
          <w:rFonts w:ascii="黑体" w:hAnsi="黑体" w:eastAsia="黑体"/>
          <w:sz w:val="32"/>
          <w:szCs w:val="32"/>
          <w:lang w:val="zh-CN"/>
        </w:rPr>
      </w:pPr>
      <w:bookmarkStart w:id="167" w:name="_Toc26499"/>
      <w:bookmarkStart w:id="168" w:name="_Toc10689"/>
      <w:r>
        <w:rPr>
          <w:rFonts w:hint="eastAsia" w:ascii="黑体" w:hAnsi="黑体" w:eastAsia="黑体"/>
          <w:sz w:val="32"/>
          <w:szCs w:val="32"/>
        </w:rPr>
        <w:t>三、绩效分析</w:t>
      </w:r>
      <w:bookmarkEnd w:id="167"/>
      <w:bookmarkEnd w:id="168"/>
      <w:r>
        <w:rPr>
          <w:rFonts w:hint="eastAsia" w:ascii="黑体" w:hAnsi="黑体" w:eastAsia="黑体"/>
          <w:sz w:val="32"/>
          <w:szCs w:val="32"/>
          <w:lang w:val="zh-CN"/>
        </w:rPr>
        <w:tab/>
      </w:r>
    </w:p>
    <w:p>
      <w:pPr>
        <w:spacing w:line="640"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adjustRightInd w:val="0"/>
        <w:snapToGrid w:val="0"/>
        <w:spacing w:line="640" w:lineRule="exact"/>
        <w:ind w:firstLine="720"/>
        <w:rPr>
          <w:rFonts w:ascii="仿宋_GB2312" w:hAnsi="宋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宋体" w:eastAsia="仿宋_GB2312"/>
          <w:sz w:val="32"/>
          <w:szCs w:val="32"/>
          <w:lang w:val="zh-CN"/>
        </w:rPr>
        <w:t>该项目具体由各科室（大队）根据实际情况进行资金使用申报，由办公室就项目具体内容、所需资金等汇总形成报告，报告提交交警支队党总支会议审核，审核通过后根据财政批复情况具体进行实施。</w:t>
      </w:r>
    </w:p>
    <w:p>
      <w:pPr>
        <w:spacing w:line="640" w:lineRule="exact"/>
        <w:ind w:firstLine="640" w:firstLineChars="200"/>
        <w:rPr>
          <w:rFonts w:ascii="仿宋_GB2312" w:eastAsia="仿宋_GB2312"/>
          <w:sz w:val="32"/>
          <w:szCs w:val="32"/>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eastAsia="仿宋_GB2312"/>
          <w:sz w:val="32"/>
          <w:szCs w:val="32"/>
        </w:rPr>
        <w:t>严格遵照《中华人民共和国招投标法》，凡达到政府采购标准的，全部进行公开招标和采购。确保支队项目规范采购，按期优质完成；同时，还安排了具体人员负责技术指导和监督，按照标准和合同，严把质量关、进度关，确保项目按期进行和达到预期目标。</w:t>
      </w:r>
    </w:p>
    <w:p>
      <w:pPr>
        <w:spacing w:line="640" w:lineRule="exact"/>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3.项目实施（8分）。因</w:t>
      </w:r>
      <w:r>
        <w:rPr>
          <w:rFonts w:hint="eastAsia" w:ascii="仿宋_GB2312" w:hAnsi="宋体" w:eastAsia="仿宋_GB2312"/>
          <w:sz w:val="32"/>
          <w:szCs w:val="32"/>
          <w:lang w:val="zh-CN"/>
        </w:rPr>
        <w:t>该项目资金计划下达较迟，资金结转227.44万元，全部为政府采购资金，项目严格按照相关要求进行支付，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w:t>
      </w:r>
    </w:p>
    <w:p>
      <w:pPr>
        <w:pStyle w:val="23"/>
        <w:spacing w:line="640" w:lineRule="exact"/>
        <w:ind w:firstLine="640" w:firstLineChars="200"/>
        <w:rPr>
          <w:rFonts w:hint="eastAsia" w:ascii="仿宋_GB2312" w:eastAsia="仿宋_GB2312"/>
          <w:sz w:val="32"/>
          <w:szCs w:val="32"/>
        </w:rPr>
      </w:pPr>
      <w:r>
        <w:rPr>
          <w:rFonts w:hint="eastAsia" w:ascii="仿宋_GB2312" w:hAnsi="楷体_GB2312" w:eastAsia="仿宋_GB2312" w:cs="楷体_GB2312"/>
          <w:color w:val="auto"/>
          <w:kern w:val="2"/>
          <w:sz w:val="32"/>
          <w:szCs w:val="32"/>
          <w:lang w:val="en-US"/>
        </w:rPr>
        <w:t>4.项目结果（9分）。</w:t>
      </w:r>
      <w:r>
        <w:rPr>
          <w:rFonts w:hint="eastAsia" w:ascii="仿宋_GB2312" w:eastAsia="仿宋_GB2312"/>
          <w:sz w:val="32"/>
          <w:szCs w:val="32"/>
        </w:rPr>
        <w:t>我支队在该项目下达资金计划之前申报了资金使用分配方案，细化量化了绩效目标各项指标，通过项目实施，强化了应急处置，增强公安机关战斗力，维护了民警执法权益，规范了执法流程，有力净化了交通秩序，全市交通安全形势总体平稳。</w:t>
      </w:r>
    </w:p>
    <w:p>
      <w:pPr>
        <w:spacing w:line="640" w:lineRule="exact"/>
        <w:ind w:firstLine="642" w:firstLineChars="200"/>
        <w:rPr>
          <w:rFonts w:ascii="仿宋_GB2312" w:hAnsi="楷体_GB2312" w:eastAsia="仿宋_GB2312" w:cs="楷体_GB2312"/>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行政运转（30分）。</w:t>
      </w:r>
      <w:r>
        <w:rPr>
          <w:rFonts w:hint="eastAsia" w:ascii="仿宋_GB2312" w:hAnsi="仿宋_GB2312" w:eastAsia="仿宋_GB2312" w:cs="仿宋_GB2312"/>
          <w:sz w:val="32"/>
          <w:szCs w:val="32"/>
        </w:rPr>
        <w:t>该项目属行政运转类项目，通过项目实施，深化路面秩序专项整治，常态开展交通违法整治，有力的净化了交通秩序；项目</w:t>
      </w:r>
      <w:r>
        <w:rPr>
          <w:rFonts w:hint="eastAsia" w:ascii="仿宋_GB2312" w:hAnsi="楷体_GB2312" w:eastAsia="仿宋_GB2312" w:cs="楷体_GB2312"/>
          <w:sz w:val="32"/>
          <w:szCs w:val="32"/>
          <w:lang w:val="zh-CN"/>
        </w:rPr>
        <w:t>资金用途合规，程序审批严密合规，不存在违规使用的情况。</w:t>
      </w:r>
    </w:p>
    <w:p>
      <w:pPr>
        <w:adjustRightInd w:val="0"/>
        <w:snapToGrid w:val="0"/>
        <w:spacing w:line="640"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kern w:val="0"/>
          <w:sz w:val="32"/>
          <w:szCs w:val="32"/>
          <w:shd w:val="clear" w:color="auto" w:fill="FFFFFF"/>
          <w:lang w:val="zh-CN"/>
        </w:rPr>
        <w:t>绩效分析（16分）。</w:t>
      </w:r>
      <w:r>
        <w:rPr>
          <w:rFonts w:hint="eastAsia" w:ascii="仿宋_GB2312" w:hAnsi="仿宋_GB2312" w:eastAsia="仿宋_GB2312" w:cs="仿宋_GB2312"/>
          <w:kern w:val="0"/>
          <w:sz w:val="32"/>
          <w:szCs w:val="32"/>
          <w:shd w:val="clear" w:color="auto" w:fill="FFFFFF"/>
          <w:lang w:val="zh-CN"/>
        </w:rPr>
        <w:t>通过项目实施，持续</w:t>
      </w:r>
      <w:r>
        <w:rPr>
          <w:rFonts w:hint="eastAsia" w:ascii="仿宋_GB2312" w:hAnsi="仿宋_GB2312" w:eastAsia="仿宋_GB2312" w:cs="仿宋_GB2312"/>
          <w:sz w:val="32"/>
          <w:szCs w:val="32"/>
        </w:rPr>
        <w:t>深化路面秩序专项整治，常态开展交通违法整治，净化了交通秩序，提高了路面民警卡口管控、处理交通事故、突发事件的能力，增强了群众安全感。</w:t>
      </w:r>
    </w:p>
    <w:p>
      <w:pPr>
        <w:pStyle w:val="4"/>
        <w:spacing w:line="640" w:lineRule="exact"/>
        <w:ind w:firstLine="640" w:firstLineChars="200"/>
        <w:outlineLvl w:val="1"/>
        <w:rPr>
          <w:rFonts w:ascii="黑体" w:hAnsi="黑体" w:eastAsia="黑体"/>
          <w:sz w:val="32"/>
          <w:szCs w:val="32"/>
        </w:rPr>
      </w:pPr>
      <w:bookmarkStart w:id="169" w:name="_Toc2476"/>
      <w:bookmarkStart w:id="170" w:name="_Toc1953"/>
      <w:r>
        <w:rPr>
          <w:rFonts w:hint="eastAsia" w:ascii="黑体" w:hAnsi="黑体" w:eastAsia="黑体"/>
          <w:sz w:val="32"/>
          <w:szCs w:val="32"/>
        </w:rPr>
        <w:t>四、评价结论</w:t>
      </w:r>
      <w:bookmarkEnd w:id="169"/>
      <w:bookmarkEnd w:id="170"/>
    </w:p>
    <w:p>
      <w:pPr>
        <w:adjustRightInd w:val="0"/>
        <w:snapToGrid w:val="0"/>
        <w:spacing w:line="640" w:lineRule="exact"/>
        <w:ind w:left="142"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从评价情况来看，该项目得分99分。项目的预算资金管理科学合理，使用规范，完成了项目的既定目标，达到了预期使用效果。</w:t>
      </w:r>
    </w:p>
    <w:p>
      <w:pPr>
        <w:pStyle w:val="4"/>
        <w:spacing w:line="640" w:lineRule="exact"/>
        <w:ind w:firstLine="640" w:firstLineChars="200"/>
        <w:outlineLvl w:val="1"/>
        <w:rPr>
          <w:rFonts w:ascii="黑体" w:hAnsi="黑体" w:eastAsia="黑体"/>
          <w:sz w:val="32"/>
          <w:szCs w:val="32"/>
        </w:rPr>
      </w:pPr>
      <w:bookmarkStart w:id="171" w:name="_Toc27752"/>
      <w:bookmarkStart w:id="172" w:name="_Toc13761"/>
      <w:r>
        <w:rPr>
          <w:rFonts w:hint="eastAsia" w:ascii="黑体" w:hAnsi="黑体" w:eastAsia="黑体"/>
          <w:sz w:val="32"/>
          <w:szCs w:val="32"/>
        </w:rPr>
        <w:t>五、存在主要问题</w:t>
      </w:r>
      <w:bookmarkEnd w:id="171"/>
      <w:bookmarkEnd w:id="172"/>
    </w:p>
    <w:p>
      <w:pPr>
        <w:adjustRightInd w:val="0"/>
        <w:snapToGrid w:val="0"/>
        <w:spacing w:line="640" w:lineRule="exact"/>
        <w:ind w:firstLine="640" w:firstLineChars="200"/>
        <w:contextualSpacing/>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lang w:val="zh-CN"/>
        </w:rPr>
        <w:t>资金计划下达时间较迟，影响工作进程，导致部分资金采购后未在当年进行支付而结转至下年。</w:t>
      </w:r>
    </w:p>
    <w:p>
      <w:pPr>
        <w:pStyle w:val="4"/>
        <w:spacing w:line="640" w:lineRule="exact"/>
        <w:ind w:firstLine="640" w:firstLineChars="200"/>
        <w:outlineLvl w:val="1"/>
        <w:rPr>
          <w:rFonts w:ascii="黑体" w:hAnsi="黑体" w:eastAsia="黑体"/>
          <w:sz w:val="32"/>
          <w:szCs w:val="32"/>
          <w:lang w:val="zh-CN"/>
        </w:rPr>
      </w:pPr>
      <w:bookmarkStart w:id="173" w:name="_Toc8532"/>
      <w:bookmarkStart w:id="174" w:name="_Toc4743"/>
      <w:r>
        <w:rPr>
          <w:rFonts w:hint="eastAsia" w:ascii="黑体" w:hAnsi="黑体" w:eastAsia="黑体"/>
          <w:sz w:val="32"/>
          <w:szCs w:val="32"/>
          <w:lang w:val="zh-CN"/>
        </w:rPr>
        <w:t>六、改进建议</w:t>
      </w:r>
      <w:bookmarkEnd w:id="173"/>
      <w:bookmarkEnd w:id="174"/>
    </w:p>
    <w:p>
      <w:pPr>
        <w:tabs>
          <w:tab w:val="left" w:pos="1911"/>
        </w:tabs>
        <w:spacing w:line="640" w:lineRule="exact"/>
        <w:jc w:val="left"/>
        <w:rPr>
          <w:rFonts w:ascii="仿宋_GB2312" w:hAnsi="仿宋_GB2312" w:eastAsia="仿宋_GB2312" w:cs="仿宋_GB2312"/>
          <w:kern w:val="0"/>
          <w:sz w:val="32"/>
          <w:szCs w:val="32"/>
          <w:lang w:val="en"/>
        </w:rPr>
      </w:pPr>
      <w:r>
        <w:rPr>
          <w:rFonts w:hint="eastAsia" w:ascii="仿宋_GB2312" w:hAnsi="仿宋_GB2312" w:eastAsia="仿宋_GB2312" w:cs="仿宋_GB2312"/>
          <w:kern w:val="0"/>
          <w:sz w:val="32"/>
          <w:szCs w:val="32"/>
          <w:shd w:val="clear" w:color="auto" w:fill="FFFFFF"/>
          <w:lang w:val="zh-CN"/>
        </w:rPr>
        <w:t xml:space="preserve"> </w:t>
      </w:r>
      <w:r>
        <w:rPr>
          <w:rFonts w:hint="eastAsia" w:ascii="仿宋_GB2312" w:hAnsi="仿宋_GB2312" w:eastAsia="仿宋_GB2312" w:cs="仿宋_GB2312"/>
          <w:kern w:val="0"/>
          <w:sz w:val="32"/>
          <w:szCs w:val="32"/>
        </w:rPr>
        <w:t xml:space="preserve">   无。</w:t>
      </w:r>
    </w:p>
    <w:p>
      <w:pPr>
        <w:snapToGrid w:val="0"/>
        <w:spacing w:line="640" w:lineRule="exact"/>
        <w:ind w:firstLine="640" w:firstLineChars="200"/>
        <w:rPr>
          <w:rFonts w:ascii="仿宋_GB2312" w:eastAsia="仿宋_GB2312"/>
          <w:color w:val="000000"/>
          <w:kern w:val="0"/>
          <w:sz w:val="32"/>
          <w:szCs w:val="32"/>
          <w:shd w:val="clear" w:color="auto" w:fill="FFFFFF"/>
          <w:lang w:val="zh-CN"/>
        </w:rPr>
      </w:pPr>
    </w:p>
    <w:p>
      <w:pPr>
        <w:ind w:firstLine="3200" w:firstLineChars="1000"/>
        <w:rPr>
          <w:rFonts w:ascii="仿宋_GB2312" w:eastAsia="仿宋_GB2312"/>
          <w:sz w:val="32"/>
          <w:szCs w:val="32"/>
        </w:rPr>
      </w:pPr>
    </w:p>
    <w:p>
      <w:pPr>
        <w:ind w:firstLine="3200" w:firstLineChars="1000"/>
        <w:rPr>
          <w:rFonts w:ascii="仿宋_GB2312" w:eastAsia="仿宋_GB2312"/>
          <w:sz w:val="32"/>
          <w:szCs w:val="32"/>
        </w:rPr>
      </w:pPr>
    </w:p>
    <w:p>
      <w:pPr>
        <w:ind w:firstLine="3200" w:firstLineChars="1000"/>
        <w:rPr>
          <w:rFonts w:ascii="仿宋_GB2312" w:eastAsia="仿宋_GB2312"/>
          <w:sz w:val="32"/>
          <w:szCs w:val="32"/>
        </w:rPr>
      </w:pPr>
      <w:r>
        <w:rPr>
          <w:rFonts w:hint="eastAsia" w:ascii="仿宋_GB2312" w:eastAsia="仿宋_GB2312"/>
          <w:sz w:val="32"/>
          <w:szCs w:val="32"/>
        </w:rPr>
        <w:t>广元市公安局交通警察支队</w:t>
      </w:r>
    </w:p>
    <w:p>
      <w:pPr>
        <w:ind w:firstLine="3840" w:firstLineChars="1200"/>
        <w:rPr>
          <w:rFonts w:ascii="仿宋_GB2312" w:eastAsia="仿宋_GB2312"/>
          <w:sz w:val="32"/>
          <w:szCs w:val="32"/>
        </w:rPr>
      </w:pPr>
      <w:r>
        <w:rPr>
          <w:rFonts w:hint="eastAsia" w:ascii="仿宋_GB2312" w:eastAsia="仿宋_GB2312"/>
          <w:sz w:val="32"/>
          <w:szCs w:val="32"/>
        </w:rPr>
        <w:t>2024年8月5日</w:t>
      </w:r>
    </w:p>
    <w:p>
      <w:pPr>
        <w:widowControl/>
        <w:adjustRightInd w:val="0"/>
        <w:snapToGrid w:val="0"/>
        <w:spacing w:line="578" w:lineRule="exact"/>
        <w:contextualSpacing/>
        <w:jc w:val="left"/>
        <w:rPr>
          <w:rFonts w:ascii="仿宋_GB2312" w:hAnsi="黑体" w:eastAsia="仿宋_GB2312" w:cs="黑体"/>
          <w:kern w:val="0"/>
          <w:sz w:val="32"/>
          <w:szCs w:val="32"/>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pStyle w:val="11"/>
        <w:spacing w:after="0" w:line="578" w:lineRule="exact"/>
        <w:ind w:left="0" w:leftChars="0" w:firstLine="480"/>
        <w:rPr>
          <w:rFonts w:ascii="黑体" w:hAnsi="黑体" w:eastAsia="黑体" w:cs="黑体"/>
          <w:sz w:val="24"/>
          <w:szCs w:val="24"/>
        </w:rPr>
      </w:pPr>
    </w:p>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p>
    <w:p>
      <w:pPr>
        <w:pStyle w:val="23"/>
        <w:spacing w:line="578" w:lineRule="exact"/>
        <w:ind w:left="640" w:firstLine="880"/>
        <w:jc w:val="left"/>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2023年协警</w:t>
      </w:r>
      <w:r>
        <w:rPr>
          <w:rFonts w:ascii="方正小标宋简体" w:hAnsi="方正小标宋简体" w:eastAsia="方正小标宋简体" w:cs="方正小标宋简体"/>
          <w:color w:val="auto"/>
          <w:kern w:val="2"/>
          <w:sz w:val="44"/>
          <w:szCs w:val="44"/>
          <w:lang w:val="en-US"/>
        </w:rPr>
        <w:t>人员经费</w:t>
      </w:r>
      <w:r>
        <w:rPr>
          <w:rFonts w:hint="eastAsia" w:ascii="方正小标宋简体" w:hAnsi="方正小标宋简体" w:eastAsia="方正小标宋简体" w:cs="方正小标宋简体"/>
          <w:color w:val="auto"/>
          <w:kern w:val="2"/>
          <w:sz w:val="44"/>
          <w:szCs w:val="44"/>
          <w:lang w:val="en-US"/>
        </w:rPr>
        <w:t>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175" w:name="_Toc32124"/>
      <w:bookmarkStart w:id="176" w:name="_Toc20245"/>
      <w:r>
        <w:rPr>
          <w:rFonts w:hint="eastAsia" w:ascii="黑体" w:hAnsi="黑体" w:eastAsia="黑体"/>
          <w:sz w:val="32"/>
          <w:szCs w:val="32"/>
        </w:rPr>
        <w:t>一、</w:t>
      </w:r>
      <w:r>
        <w:rPr>
          <w:rFonts w:hint="eastAsia" w:ascii="黑体" w:hAnsi="黑体" w:eastAsia="黑体"/>
          <w:sz w:val="32"/>
          <w:szCs w:val="32"/>
          <w:lang w:val="zh-CN"/>
        </w:rPr>
        <w:t>项目概况</w:t>
      </w:r>
      <w:bookmarkEnd w:id="175"/>
      <w:bookmarkEnd w:id="176"/>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根据四川省人民政府令第345号《四川省公安机关警务辅助人员管理办法》以及社会治安形势和公安工作需要，面向社会公开招聘，为公安机关日常运转和警务活动提供辅助支持。</w:t>
      </w:r>
    </w:p>
    <w:p>
      <w:pPr>
        <w:adjustRightInd w:val="0"/>
        <w:snapToGrid w:val="0"/>
        <w:spacing w:line="600" w:lineRule="exact"/>
        <w:ind w:firstLine="72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旨在</w:t>
      </w:r>
      <w:r>
        <w:rPr>
          <w:rFonts w:hint="eastAsia" w:ascii="仿宋_GB2312" w:eastAsia="仿宋_GB2312"/>
          <w:sz w:val="32"/>
          <w:szCs w:val="32"/>
        </w:rPr>
        <w:t>缓解警力不足，为各项公安交管工作顺利进行起到了积极作用</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宋体" w:eastAsia="仿宋_GB2312"/>
          <w:sz w:val="32"/>
          <w:szCs w:val="32"/>
          <w:lang w:val="zh-CN"/>
        </w:rPr>
        <w:t>该项目资金1750万元，资金分配首先考虑的是协警员工资和“五险”，在资金允许的情况下适当考虑增加协警员的福利。</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2023年，根据预算绩效管理要求，在年初预算编制阶段，能够科学、合理的设置绩效目标，充分考虑各项目的差异性，使绩效目标内容完整，细化量化，可操作性强，与预算匹配。</w:t>
      </w:r>
      <w:r>
        <w:rPr>
          <w:rFonts w:hint="eastAsia" w:ascii="仿宋_GB2312" w:hAnsi="仿宋_GB2312" w:eastAsia="仿宋_GB2312" w:cs="仿宋_GB2312"/>
          <w:sz w:val="32"/>
          <w:szCs w:val="32"/>
        </w:rPr>
        <w:t>通过项目实施，协助正式民警完成事故处理、交通秩序管理、办理车管业务等工作。此外，</w:t>
      </w:r>
      <w:r>
        <w:rPr>
          <w:rFonts w:hint="eastAsia" w:ascii="仿宋_GB2312" w:eastAsia="仿宋_GB2312"/>
          <w:sz w:val="32"/>
          <w:szCs w:val="32"/>
        </w:rPr>
        <w:t>成立了以支队长任组长的项目自评领导小组，下设办公室具体负责自评工作，采取调阅资料、现场查看等方式开展自评工作。</w:t>
      </w:r>
    </w:p>
    <w:p>
      <w:pPr>
        <w:adjustRightInd w:val="0"/>
        <w:snapToGrid w:val="0"/>
        <w:spacing w:line="578" w:lineRule="exact"/>
        <w:ind w:firstLine="640" w:firstLineChars="200"/>
        <w:outlineLvl w:val="1"/>
        <w:rPr>
          <w:rFonts w:ascii="黑体" w:hAnsi="黑体" w:eastAsia="黑体"/>
          <w:sz w:val="32"/>
          <w:szCs w:val="32"/>
        </w:rPr>
      </w:pPr>
      <w:bookmarkStart w:id="177" w:name="_Toc32504"/>
      <w:bookmarkStart w:id="178" w:name="_Toc18993"/>
      <w:r>
        <w:rPr>
          <w:rFonts w:hint="eastAsia" w:ascii="黑体" w:hAnsi="黑体" w:eastAsia="黑体"/>
          <w:sz w:val="32"/>
          <w:szCs w:val="32"/>
        </w:rPr>
        <w:t>二、评价实施</w:t>
      </w:r>
      <w:bookmarkEnd w:id="177"/>
      <w:bookmarkEnd w:id="178"/>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预设问题为资金使用是否规范；评价重点在于</w:t>
      </w:r>
      <w:r>
        <w:rPr>
          <w:rFonts w:hint="eastAsia" w:ascii="仿宋_GB2312" w:hAnsi="宋体" w:eastAsia="仿宋_GB2312"/>
          <w:sz w:val="32"/>
          <w:szCs w:val="32"/>
        </w:rPr>
        <w:t>是否缓解了警力不足的情况，各项公安工作是否能顺利进行。</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eastAsia="仿宋_GB2312"/>
          <w:sz w:val="32"/>
          <w:szCs w:val="32"/>
          <w:lang w:val="zh-CN"/>
        </w:rPr>
        <w:t>通过抽取协警工资表及电话访问来看，协警工资及各项福利均按照相关要求发放到位，资金使用发挥了最大效益。</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该项目采取了调阅资料和电话访问的方式开展自评工作。</w:t>
      </w:r>
    </w:p>
    <w:p>
      <w:pPr>
        <w:adjustRightInd w:val="0"/>
        <w:snapToGrid w:val="0"/>
        <w:spacing w:line="600" w:lineRule="exact"/>
        <w:ind w:firstLine="720"/>
        <w:rPr>
          <w:rFonts w:ascii="仿宋_GB2312" w:eastAsia="仿宋_GB2312"/>
          <w:bCs/>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adjustRightInd w:val="0"/>
        <w:snapToGrid w:val="0"/>
        <w:spacing w:line="578" w:lineRule="exact"/>
        <w:ind w:firstLine="640" w:firstLineChars="200"/>
        <w:outlineLvl w:val="1"/>
        <w:rPr>
          <w:rFonts w:ascii="黑体" w:hAnsi="黑体" w:eastAsia="黑体"/>
          <w:sz w:val="32"/>
          <w:szCs w:val="32"/>
          <w:lang w:val="zh-CN"/>
        </w:rPr>
      </w:pPr>
      <w:bookmarkStart w:id="179" w:name="_Toc2747"/>
      <w:bookmarkStart w:id="180" w:name="_Toc25631"/>
      <w:r>
        <w:rPr>
          <w:rFonts w:hint="eastAsia" w:ascii="黑体" w:hAnsi="黑体" w:eastAsia="黑体"/>
          <w:sz w:val="32"/>
          <w:szCs w:val="32"/>
        </w:rPr>
        <w:t>三、绩效分析</w:t>
      </w:r>
      <w:bookmarkEnd w:id="179"/>
      <w:bookmarkEnd w:id="180"/>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该项目由科室就项目具体内容、所需资金、工作目标等形成报告，报告提交交警支队党总支会议审核，审核通过后根据财政批复情况由部门具体进行实施。</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lang w:val="zh-CN"/>
        </w:rPr>
        <w:t>该项目具体实施部门为政工科，政工科根据市编委下达的协警员编制数350人，依照《辅警管理办法》，具体负责协警员的招考、培训以及合同签订，然后根据工作需要分配到一、二、三、特勤大队、车管所和机关各科室。</w:t>
      </w:r>
    </w:p>
    <w:p>
      <w:pPr>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3.项目实施（9分）。</w:t>
      </w:r>
      <w:r>
        <w:rPr>
          <w:rFonts w:hint="eastAsia" w:ascii="仿宋_GB2312" w:hAnsi="宋体" w:eastAsia="仿宋_GB2312"/>
          <w:sz w:val="32"/>
          <w:szCs w:val="32"/>
          <w:lang w:val="zh-CN"/>
        </w:rPr>
        <w:t>该项目资金执行率为100%，项目严格按照相关要求进行支付，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使用审批”、“预算执行”、“管理监督”三个环节，硬化预算约束，做到了“专款专用”。</w:t>
      </w:r>
    </w:p>
    <w:p>
      <w:pPr>
        <w:pStyle w:val="23"/>
        <w:ind w:firstLine="640" w:firstLineChars="200"/>
        <w:rPr>
          <w:rFonts w:ascii="仿宋_GB2312" w:hAnsi="宋体" w:eastAsia="仿宋_GB2312"/>
          <w:color w:val="auto"/>
          <w:kern w:val="2"/>
          <w:sz w:val="32"/>
          <w:szCs w:val="32"/>
        </w:rPr>
      </w:pPr>
      <w:r>
        <w:rPr>
          <w:rFonts w:hint="eastAsia" w:ascii="仿宋_GB2312" w:hAnsi="楷体_GB2312" w:eastAsia="仿宋_GB2312" w:cs="楷体_GB2312"/>
          <w:color w:val="auto"/>
          <w:kern w:val="2"/>
          <w:sz w:val="32"/>
          <w:szCs w:val="32"/>
          <w:lang w:val="en-US"/>
        </w:rPr>
        <w:t>4.项目结果</w:t>
      </w:r>
      <w:r>
        <w:rPr>
          <w:rFonts w:hint="eastAsia" w:ascii="仿宋_GB2312" w:hAnsi="楷体_GB2312" w:eastAsia="仿宋_GB2312" w:cs="楷体_GB2312"/>
          <w:sz w:val="32"/>
          <w:szCs w:val="32"/>
        </w:rPr>
        <w:t>（9分）</w:t>
      </w:r>
      <w:r>
        <w:rPr>
          <w:rFonts w:hint="eastAsia" w:ascii="仿宋_GB2312" w:hAnsi="楷体_GB2312" w:eastAsia="仿宋_GB2312" w:cs="楷体_GB2312"/>
          <w:color w:val="auto"/>
          <w:kern w:val="2"/>
          <w:sz w:val="32"/>
          <w:szCs w:val="32"/>
          <w:lang w:val="en-US"/>
        </w:rPr>
        <w:t>。</w:t>
      </w:r>
      <w:r>
        <w:rPr>
          <w:rFonts w:hint="eastAsia" w:ascii="仿宋_GB2312" w:hAnsi="宋体" w:eastAsia="仿宋_GB2312"/>
          <w:color w:val="auto"/>
          <w:kern w:val="2"/>
          <w:sz w:val="32"/>
          <w:szCs w:val="32"/>
        </w:rPr>
        <w:t>2023年圆满完成全国“两会”、中亚峰会、“一带一路”高峰论坛、杭州亚运会、成都大运会重大活动及春运、端午、国庆重要节假日的交通安保工作；特别是确保了习近平总书记来川来广视察交通安保工作的完胜全胜；</w:t>
      </w:r>
      <w:r>
        <w:rPr>
          <w:rFonts w:hint="eastAsia" w:ascii="仿宋_GB2312" w:hAnsi="Times New Roman" w:eastAsia="仿宋_GB2312"/>
          <w:sz w:val="32"/>
          <w:szCs w:val="32"/>
        </w:rPr>
        <w:t>查处各类交通违法行为65.7万余起（其中饮酒驾驶3621起、醉酒驾驶781起、飙车炸街218起、非法改拼装261起），执行拘留2254人，吊销驾驶证980本，移送起诉826 件，极大震慑了违法行为。</w:t>
      </w:r>
    </w:p>
    <w:p>
      <w:pPr>
        <w:spacing w:line="578" w:lineRule="exact"/>
        <w:ind w:left="420" w:leftChars="200"/>
        <w:rPr>
          <w:rFonts w:ascii="仿宋_GB2312" w:hAnsi="楷体_GB2312" w:eastAsia="仿宋_GB2312" w:cs="楷体_GB2312"/>
          <w:sz w:val="32"/>
          <w:szCs w:val="32"/>
          <w:lang w:val="zh-CN"/>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p>
    <w:p>
      <w:pPr>
        <w:adjustRightInd w:val="0"/>
        <w:snapToGrid w:val="0"/>
        <w:spacing w:line="600" w:lineRule="exact"/>
        <w:ind w:firstLine="720"/>
        <w:rPr>
          <w:rFonts w:ascii="仿宋_GB2312" w:hAnsi="仿宋_GB2312" w:eastAsia="仿宋_GB2312" w:cs="仿宋_GB2312"/>
          <w:sz w:val="32"/>
          <w:szCs w:val="32"/>
        </w:rPr>
      </w:pPr>
      <w:r>
        <w:rPr>
          <w:rFonts w:hint="eastAsia" w:ascii="仿宋_GB2312" w:hAnsi="楷体_GB2312" w:eastAsia="仿宋_GB2312" w:cs="楷体_GB2312"/>
          <w:sz w:val="32"/>
          <w:szCs w:val="32"/>
          <w:lang w:val="zh-CN"/>
        </w:rPr>
        <w:t>行政运转（30分）。</w:t>
      </w:r>
      <w:r>
        <w:rPr>
          <w:rFonts w:hint="eastAsia" w:ascii="仿宋_GB2312" w:hAnsi="宋体" w:eastAsia="仿宋_GB2312"/>
          <w:sz w:val="32"/>
          <w:szCs w:val="32"/>
          <w:lang w:val="zh-CN"/>
        </w:rPr>
        <w:t>该项目属于行政运转类项目，一方面，为公安机关日常运转和警务活动提供辅助支持，</w:t>
      </w:r>
      <w:r>
        <w:rPr>
          <w:rFonts w:hint="eastAsia" w:ascii="仿宋_GB2312" w:hAnsi="仿宋_GB2312" w:eastAsia="仿宋_GB2312" w:cs="仿宋_GB2312"/>
          <w:sz w:val="32"/>
          <w:szCs w:val="32"/>
        </w:rPr>
        <w:t>协助正式民警完成事故处理、交通秩序管理、办理车管业务等工作，使支队顺利高效完成各项交通管理工作，提高群众满意度；</w:t>
      </w:r>
      <w:r>
        <w:rPr>
          <w:rFonts w:hint="eastAsia" w:ascii="仿宋_GB2312" w:hAnsi="宋体" w:eastAsia="仿宋_GB2312"/>
          <w:sz w:val="32"/>
          <w:szCs w:val="32"/>
          <w:lang w:val="zh-CN"/>
        </w:rPr>
        <w:t>另一方面，能够增加就业岗位，提升家庭收入，按照不同岗位设定不同工资标准，保障协警合法权益，提高协警满意度。</w:t>
      </w:r>
      <w:r>
        <w:rPr>
          <w:rFonts w:hint="eastAsia" w:ascii="仿宋_GB2312" w:hAnsi="仿宋_GB2312" w:eastAsia="仿宋_GB2312" w:cs="仿宋_GB2312"/>
          <w:sz w:val="32"/>
          <w:szCs w:val="32"/>
        </w:rPr>
        <w:t>项目</w:t>
      </w:r>
      <w:r>
        <w:rPr>
          <w:rFonts w:hint="eastAsia" w:ascii="仿宋_GB2312" w:hAnsi="楷体_GB2312" w:eastAsia="仿宋_GB2312" w:cs="楷体_GB2312"/>
          <w:sz w:val="32"/>
          <w:szCs w:val="32"/>
          <w:lang w:val="zh-CN"/>
        </w:rPr>
        <w:t>资金用途合规，程序审批严密合规，不存在违规使用的情况。</w:t>
      </w:r>
    </w:p>
    <w:p>
      <w:pPr>
        <w:spacing w:line="578" w:lineRule="exact"/>
        <w:ind w:left="105" w:leftChars="50" w:firstLine="481" w:firstLineChars="150"/>
        <w:rPr>
          <w:rFonts w:ascii="仿宋_GB2312"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eastAsia="仿宋_GB2312"/>
          <w:sz w:val="32"/>
          <w:szCs w:val="32"/>
          <w:lang w:val="zh-CN"/>
        </w:rPr>
        <w:t>通过该项目的实施，提高了各项交通管理工作效率，</w:t>
      </w:r>
      <w:r>
        <w:rPr>
          <w:rFonts w:hint="eastAsia" w:ascii="仿宋_GB2312" w:eastAsia="仿宋_GB2312"/>
          <w:sz w:val="32"/>
          <w:szCs w:val="32"/>
        </w:rPr>
        <w:t>圆满完成全国“两会”、中亚峰会、“一带一路”高峰论坛、杭州亚运会、成都大运会重大活动及春运、端午、国庆重要节假日的交通安保工作；特别是确保了习近平总书记来川来广视察交通安保工作的完胜全胜；全方位提升城市道路交通精细化治理能力水平，重点路段停车次数减少21%，通行时间缩短26%，高峰持续时间减少11.8%，拥堵警情下降9.2%，提高了人民群众获得感和安全感。</w:t>
      </w:r>
    </w:p>
    <w:p>
      <w:pPr>
        <w:pStyle w:val="4"/>
        <w:spacing w:line="600" w:lineRule="exact"/>
        <w:ind w:firstLine="640" w:firstLineChars="200"/>
        <w:outlineLvl w:val="1"/>
        <w:rPr>
          <w:rFonts w:ascii="黑体" w:hAnsi="黑体" w:eastAsia="黑体"/>
          <w:sz w:val="32"/>
          <w:szCs w:val="32"/>
        </w:rPr>
      </w:pPr>
      <w:bookmarkStart w:id="181" w:name="_Toc13967"/>
      <w:bookmarkStart w:id="182" w:name="_Toc9703"/>
      <w:r>
        <w:rPr>
          <w:rFonts w:hint="eastAsia" w:ascii="黑体" w:hAnsi="黑体" w:eastAsia="黑体"/>
          <w:sz w:val="32"/>
          <w:szCs w:val="32"/>
        </w:rPr>
        <w:t>四、评价结论</w:t>
      </w:r>
      <w:bookmarkEnd w:id="181"/>
      <w:bookmarkEnd w:id="182"/>
    </w:p>
    <w:p>
      <w:pPr>
        <w:spacing w:line="56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从评价情况来看，项目运转情况良好，预算资金管理科学合理，使用规范，完成了项目的既定目标，达到了预期使用效果，得分是100分。</w:t>
      </w:r>
    </w:p>
    <w:p>
      <w:pPr>
        <w:pStyle w:val="4"/>
        <w:spacing w:line="600" w:lineRule="exact"/>
        <w:ind w:firstLine="640" w:firstLineChars="200"/>
        <w:outlineLvl w:val="1"/>
        <w:rPr>
          <w:rFonts w:ascii="黑体" w:hAnsi="黑体" w:eastAsia="黑体"/>
          <w:sz w:val="32"/>
          <w:szCs w:val="32"/>
        </w:rPr>
      </w:pPr>
      <w:bookmarkStart w:id="183" w:name="_Toc24002"/>
      <w:bookmarkStart w:id="184" w:name="_Toc1643"/>
      <w:r>
        <w:rPr>
          <w:rFonts w:hint="eastAsia" w:ascii="黑体" w:hAnsi="黑体" w:eastAsia="黑体"/>
          <w:sz w:val="32"/>
          <w:szCs w:val="32"/>
        </w:rPr>
        <w:t>五、存在主要问题</w:t>
      </w:r>
      <w:bookmarkEnd w:id="183"/>
      <w:bookmarkEnd w:id="184"/>
    </w:p>
    <w:p>
      <w:pPr>
        <w:adjustRightInd w:val="0"/>
        <w:snapToGrid w:val="0"/>
        <w:spacing w:line="600" w:lineRule="exact"/>
        <w:ind w:firstLine="720"/>
        <w:rPr>
          <w:rFonts w:ascii="仿宋_GB2312" w:hAnsi="仿宋_GB2312" w:eastAsia="仿宋_GB2312" w:cs="仿宋_GB2312"/>
          <w:sz w:val="32"/>
          <w:szCs w:val="32"/>
        </w:rPr>
      </w:pPr>
      <w:r>
        <w:rPr>
          <w:rFonts w:hint="eastAsia" w:ascii="仿宋_GB2312" w:hAnsi="仿宋_GB2312" w:eastAsia="仿宋_GB2312" w:cs="仿宋_GB2312"/>
          <w:sz w:val="32"/>
          <w:szCs w:val="32"/>
        </w:rPr>
        <w:t>协警员保障标准比较低，工资和福利待遇与他们工作的辛苦程度不能成正比，不能栓心留人，造成协警员流动性比较大，不利于更好地开展各项交通管理工作。</w:t>
      </w:r>
    </w:p>
    <w:p>
      <w:pPr>
        <w:pStyle w:val="4"/>
        <w:spacing w:line="600" w:lineRule="exact"/>
        <w:ind w:firstLine="640" w:firstLineChars="200"/>
        <w:outlineLvl w:val="1"/>
        <w:rPr>
          <w:rFonts w:ascii="黑体" w:hAnsi="黑体" w:eastAsia="黑体"/>
          <w:sz w:val="32"/>
          <w:szCs w:val="32"/>
          <w:lang w:val="zh-CN"/>
        </w:rPr>
      </w:pPr>
      <w:bookmarkStart w:id="185" w:name="_Toc3021"/>
      <w:bookmarkStart w:id="186" w:name="_Toc2500"/>
      <w:r>
        <w:rPr>
          <w:rFonts w:hint="eastAsia" w:ascii="黑体" w:hAnsi="黑体" w:eastAsia="黑体"/>
          <w:sz w:val="32"/>
          <w:szCs w:val="32"/>
          <w:lang w:val="zh-CN"/>
        </w:rPr>
        <w:t>六、改进建议</w:t>
      </w:r>
      <w:bookmarkEnd w:id="185"/>
      <w:bookmarkEnd w:id="186"/>
    </w:p>
    <w:p>
      <w:pPr>
        <w:pStyle w:val="4"/>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希望财政能继续提高协警员保障标准，提高协警人员的待遇，拴住人心保持协警员队伍的相对稳定。</w:t>
      </w:r>
    </w:p>
    <w:p>
      <w:pPr>
        <w:tabs>
          <w:tab w:val="left" w:pos="1911"/>
        </w:tabs>
        <w:jc w:val="left"/>
        <w:rPr>
          <w:rFonts w:ascii="仿宋_GB2312" w:eastAsia="仿宋_GB2312"/>
          <w:color w:val="000000"/>
          <w:kern w:val="0"/>
          <w:sz w:val="32"/>
          <w:szCs w:val="32"/>
          <w:shd w:val="clear" w:color="auto" w:fill="FFFFFF"/>
          <w:lang w:val="zh-CN"/>
        </w:rPr>
      </w:pPr>
    </w:p>
    <w:p>
      <w:pPr>
        <w:snapToGrid w:val="0"/>
        <w:spacing w:line="578" w:lineRule="exact"/>
        <w:ind w:firstLine="3200" w:firstLineChars="1000"/>
        <w:rPr>
          <w:rFonts w:ascii="仿宋_GB2312" w:eastAsia="仿宋_GB2312"/>
          <w:color w:val="000000"/>
          <w:kern w:val="0"/>
          <w:sz w:val="32"/>
          <w:szCs w:val="32"/>
          <w:shd w:val="clear" w:color="auto" w:fill="FFFFFF"/>
          <w:lang w:val="zh-CN"/>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w:t>
      </w:r>
      <w:r>
        <w:rPr>
          <w:rFonts w:ascii="方正小标宋简体" w:hAnsi="方正小标宋简体" w:eastAsia="方正小标宋简体" w:cs="方正小标宋简体"/>
          <w:color w:val="auto"/>
          <w:kern w:val="2"/>
          <w:sz w:val="44"/>
          <w:szCs w:val="44"/>
          <w:lang w:val="en-US"/>
        </w:rPr>
        <w:t>公安局交通警察支队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2023</w:t>
      </w:r>
      <w:r>
        <w:rPr>
          <w:rFonts w:hint="eastAsia" w:ascii="方正小标宋简体" w:hAnsi="方正小标宋简体" w:eastAsia="方正小标宋简体" w:cs="方正小标宋简体"/>
          <w:color w:val="auto"/>
          <w:kern w:val="2"/>
          <w:sz w:val="44"/>
          <w:szCs w:val="44"/>
          <w:lang w:val="en-US"/>
        </w:rPr>
        <w:t>年</w:t>
      </w:r>
      <w:r>
        <w:rPr>
          <w:rFonts w:ascii="方正小标宋简体" w:hAnsi="方正小标宋简体" w:eastAsia="方正小标宋简体" w:cs="方正小标宋简体"/>
          <w:color w:val="auto"/>
          <w:kern w:val="2"/>
          <w:sz w:val="44"/>
          <w:szCs w:val="44"/>
          <w:lang w:val="en-US"/>
        </w:rPr>
        <w:t>疫情防控</w:t>
      </w:r>
      <w:r>
        <w:rPr>
          <w:rFonts w:hint="eastAsia" w:ascii="方正小标宋简体" w:hAnsi="方正小标宋简体" w:eastAsia="方正小标宋简体" w:cs="方正小标宋简体"/>
          <w:color w:val="auto"/>
          <w:kern w:val="2"/>
          <w:sz w:val="44"/>
          <w:szCs w:val="44"/>
          <w:lang w:val="en-US"/>
        </w:rPr>
        <w:t>财政补助资金项目绩效</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187" w:name="_Toc22856"/>
      <w:bookmarkStart w:id="188" w:name="_Toc8227"/>
      <w:r>
        <w:rPr>
          <w:rFonts w:hint="eastAsia" w:ascii="黑体" w:hAnsi="黑体" w:eastAsia="黑体"/>
          <w:sz w:val="32"/>
          <w:szCs w:val="32"/>
        </w:rPr>
        <w:t>一、</w:t>
      </w:r>
      <w:r>
        <w:rPr>
          <w:rFonts w:hint="eastAsia" w:ascii="黑体" w:hAnsi="黑体" w:eastAsia="黑体"/>
          <w:sz w:val="32"/>
          <w:szCs w:val="32"/>
          <w:lang w:val="zh-CN"/>
        </w:rPr>
        <w:t>项目概况</w:t>
      </w:r>
      <w:bookmarkEnd w:id="187"/>
      <w:bookmarkEnd w:id="188"/>
    </w:p>
    <w:p>
      <w:pPr>
        <w:widowControl/>
        <w:adjustRightInd w:val="0"/>
        <w:snapToGrid w:val="0"/>
        <w:spacing w:line="578" w:lineRule="exact"/>
        <w:ind w:firstLine="642" w:firstLineChars="200"/>
        <w:contextualSpacing/>
        <w:jc w:val="left"/>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2022年，按照市委市政府统一部署及市应对新型冠状病毒感染疫情应急指挥部工作安排，我支队在疫情防控期间启动了一级勤务，履职尽责，主动作为，连续奋战，圆满完成了社会面疫情防控和涉疫人员转运任务。因工作需要，产生了防护装备、防疫消杀等物资购置及民辅警住宿费用，根据《关于解决市交警支队疫情防控相关费用的请示》（广疫指交〔2023〕11号）文件，为我支队解决了74.41万元用于疫情防控相关支出。</w:t>
      </w:r>
    </w:p>
    <w:p>
      <w:pPr>
        <w:adjustRightInd w:val="0"/>
        <w:snapToGrid w:val="0"/>
        <w:spacing w:line="578"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为全力做好疫情防控阻击战，保障群众的生命财产安全，本项目严格按照财务管理规定、财政预算情况和项目的必要性进行资金分配和提供支持。</w:t>
      </w:r>
    </w:p>
    <w:p>
      <w:pPr>
        <w:widowControl/>
        <w:adjustRightInd w:val="0"/>
        <w:snapToGrid w:val="0"/>
        <w:spacing w:line="578" w:lineRule="exact"/>
        <w:ind w:firstLine="642" w:firstLineChars="200"/>
        <w:contextualSpacing/>
        <w:jc w:val="left"/>
        <w:rPr>
          <w:rFonts w:ascii="仿宋_GB2312" w:hAnsi="仿宋_GB2312" w:eastAsia="仿宋_GB2312" w:cs="仿宋_GB2312"/>
          <w:kern w:val="0"/>
          <w:sz w:val="32"/>
          <w:szCs w:val="32"/>
          <w:shd w:val="clear" w:color="auto" w:fill="FFFFFF"/>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仿宋_GB2312" w:eastAsia="仿宋_GB2312" w:cs="仿宋_GB2312"/>
          <w:kern w:val="0"/>
          <w:sz w:val="32"/>
          <w:szCs w:val="32"/>
          <w:shd w:val="clear" w:color="auto" w:fill="FFFFFF"/>
          <w:lang w:val="zh-CN"/>
        </w:rPr>
        <w:t>项目预算资金74.41万元，资金用于防护装备、防疫消杀等物资购置及民辅警住宿费用。</w:t>
      </w:r>
    </w:p>
    <w:p>
      <w:pPr>
        <w:adjustRightInd w:val="0"/>
        <w:snapToGrid w:val="0"/>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根据预算绩效管理要求，在年初预算编制阶段，能够科学、合理的设置绩效目标，使绩效目标内容完整，细化量化，可操作性强，与预算匹配。成立了以支队长任组长的项目自评领导小组，下设办公室具体负责自评工作，采取调阅资料、现场查看等方式开展自评工作</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578" w:lineRule="exact"/>
        <w:ind w:firstLine="640" w:firstLineChars="200"/>
        <w:outlineLvl w:val="1"/>
        <w:rPr>
          <w:rFonts w:ascii="黑体" w:hAnsi="黑体" w:eastAsia="黑体"/>
          <w:sz w:val="32"/>
          <w:szCs w:val="32"/>
        </w:rPr>
      </w:pPr>
      <w:bookmarkStart w:id="189" w:name="_Toc8365"/>
      <w:bookmarkStart w:id="190" w:name="_Toc20534"/>
      <w:r>
        <w:rPr>
          <w:rFonts w:hint="eastAsia" w:ascii="黑体" w:hAnsi="黑体" w:eastAsia="黑体"/>
          <w:sz w:val="32"/>
          <w:szCs w:val="32"/>
        </w:rPr>
        <w:t>二、评价实施</w:t>
      </w:r>
      <w:bookmarkEnd w:id="189"/>
      <w:bookmarkEnd w:id="190"/>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adjustRightInd w:val="0"/>
        <w:snapToGrid w:val="0"/>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无预设问题，评价重点在于</w:t>
      </w:r>
      <w:r>
        <w:rPr>
          <w:rFonts w:hint="eastAsia" w:ascii="仿宋_GB2312" w:eastAsia="仿宋_GB2312"/>
          <w:sz w:val="32"/>
          <w:szCs w:val="32"/>
        </w:rPr>
        <w:t xml:space="preserve">项目预算绩效目标是否达到。 </w:t>
      </w:r>
    </w:p>
    <w:p>
      <w:pPr>
        <w:adjustRightInd w:val="0"/>
        <w:snapToGrid w:val="0"/>
        <w:spacing w:line="578" w:lineRule="exact"/>
        <w:ind w:firstLine="642" w:firstLineChars="200"/>
        <w:rPr>
          <w:rFonts w:ascii="仿宋_GB2312" w:hAnsi="宋体" w:eastAsia="仿宋_GB2312"/>
          <w:b/>
          <w:sz w:val="32"/>
          <w:szCs w:val="32"/>
          <w:lang w:val="zh-CN"/>
        </w:rPr>
      </w:pPr>
      <w:r>
        <w:rPr>
          <w:rFonts w:hint="eastAsia" w:ascii="仿宋_GB2312" w:hAnsi="宋体" w:eastAsia="仿宋_GB2312"/>
          <w:b/>
          <w:sz w:val="32"/>
          <w:szCs w:val="32"/>
          <w:lang w:val="zh-CN"/>
        </w:rPr>
        <w:t>（三）评价选点。</w:t>
      </w:r>
      <w:r>
        <w:rPr>
          <w:rFonts w:hint="eastAsia" w:ascii="仿宋_GB2312" w:hAnsi="宋体" w:eastAsia="仿宋_GB2312"/>
          <w:sz w:val="32"/>
          <w:szCs w:val="32"/>
          <w:lang w:val="zh-CN"/>
        </w:rPr>
        <w:t>通过对账单及相关资料查看资金是否按要求支付，是否完成了既定目标。</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该项目采取了调阅资料的方式开展自评工作。</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spacing w:line="578" w:lineRule="exact"/>
        <w:ind w:firstLine="640"/>
        <w:outlineLvl w:val="1"/>
        <w:rPr>
          <w:rFonts w:ascii="黑体" w:hAnsi="黑体" w:eastAsia="黑体"/>
          <w:sz w:val="32"/>
          <w:szCs w:val="32"/>
          <w:lang w:val="zh-CN"/>
        </w:rPr>
      </w:pPr>
      <w:bookmarkStart w:id="191" w:name="_Toc22252"/>
      <w:bookmarkStart w:id="192" w:name="_Toc10523"/>
      <w:r>
        <w:rPr>
          <w:rFonts w:hint="eastAsia" w:ascii="黑体" w:hAnsi="黑体" w:eastAsia="黑体"/>
          <w:sz w:val="32"/>
          <w:szCs w:val="32"/>
        </w:rPr>
        <w:t>三、绩效分析</w:t>
      </w:r>
      <w:bookmarkEnd w:id="191"/>
      <w:bookmarkEnd w:id="192"/>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相关科室就项目具体内容、所需资金、工作目标等形成报告，报告提交交警支队党总支会议审核，审核通过后根据财政批复情况由部门具体进行实施。该项目规划论证符合中省市要求，项目绩效目标设置较为科学合理，与总体规划、相关行业事业发展相匹配。</w:t>
      </w:r>
    </w:p>
    <w:p>
      <w:pPr>
        <w:spacing w:line="578" w:lineRule="exact"/>
        <w:ind w:firstLine="640" w:firstLineChars="200"/>
        <w:rPr>
          <w:rFonts w:ascii="仿宋_GB2312" w:hAnsi="楷体_GB2312" w:eastAsia="仿宋_GB2312" w:cs="楷体_GB2312"/>
          <w:sz w:val="32"/>
          <w:szCs w:val="32"/>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资金充分考虑相关实际需求分配</w:t>
      </w:r>
      <w:r>
        <w:rPr>
          <w:rFonts w:hint="eastAsia" w:ascii="仿宋_GB2312" w:hAnsi="楷体_GB2312" w:eastAsia="仿宋_GB2312" w:cs="楷体_GB2312"/>
          <w:sz w:val="32"/>
          <w:szCs w:val="32"/>
        </w:rPr>
        <w:t>，由支队办公室对资金使用情况进行审核支付。</w:t>
      </w:r>
    </w:p>
    <w:p>
      <w:pPr>
        <w:pStyle w:val="9"/>
        <w:ind w:firstLine="640" w:firstLineChars="200"/>
        <w:rPr>
          <w:rFonts w:ascii="仿宋_GB2312"/>
        </w:rPr>
      </w:pPr>
      <w:r>
        <w:rPr>
          <w:rFonts w:hint="eastAsia" w:ascii="仿宋_GB2312" w:hAnsi="楷体_GB2312" w:cs="楷体_GB2312"/>
        </w:rPr>
        <w:t>3.项目实施（9分）。</w:t>
      </w:r>
      <w:r>
        <w:rPr>
          <w:rFonts w:hint="eastAsia" w:ascii="仿宋_GB2312"/>
          <w:lang w:val="zh-CN"/>
        </w:rPr>
        <w:t>该项目资金执行率为100%，项目严格按照相关要求进行支付，</w:t>
      </w:r>
      <w:r>
        <w:rPr>
          <w:rFonts w:hint="eastAsia" w:ascii="仿宋_GB2312" w:cs="宋体"/>
          <w:kern w:val="0"/>
        </w:rPr>
        <w:t>狠抓经费“</w:t>
      </w:r>
      <w:r>
        <w:rPr>
          <w:rFonts w:hint="eastAsia" w:ascii="仿宋_GB2312"/>
        </w:rPr>
        <w:t>使用审批”、“预算执行”、“管理监督”三个环节，硬化了预算约束。</w:t>
      </w:r>
    </w:p>
    <w:p>
      <w:pPr>
        <w:pStyle w:val="9"/>
        <w:ind w:firstLine="640" w:firstLineChars="200"/>
        <w:rPr>
          <w:rFonts w:ascii="仿宋_GB2312"/>
        </w:rPr>
      </w:pPr>
      <w:r>
        <w:rPr>
          <w:rFonts w:hint="eastAsia" w:ascii="仿宋_GB2312" w:hAnsi="楷体_GB2312" w:cs="楷体_GB2312"/>
        </w:rPr>
        <w:t>4.项目结果（9分）。疫情防控期间，我支队负责市城区43个执勤点的交通管控，共计投入警力2万余人次，车辆6000余台次，转运市内密接人员120余批次1.8万余人次以及西藏、新疆返广人员190余批次2万余人，严格落实了执勤民警“两点一线”、提及防护等要求，履职尽责，主动作为，连续奋战，圆满完成了社会面疫情防控和涉疫人员转运任务。</w:t>
      </w:r>
    </w:p>
    <w:p>
      <w:pPr>
        <w:spacing w:line="578" w:lineRule="exact"/>
        <w:ind w:firstLine="642" w:firstLineChars="200"/>
        <w:rPr>
          <w:rFonts w:ascii="仿宋_GB2312" w:hAnsi="楷体_GB2312" w:eastAsia="仿宋_GB2312" w:cs="楷体_GB2312"/>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行政运转（30分）。</w:t>
      </w:r>
      <w:r>
        <w:rPr>
          <w:rFonts w:hint="eastAsia" w:ascii="仿宋_GB2312" w:hAnsi="仿宋_GB2312" w:eastAsia="仿宋_GB2312" w:cs="仿宋_GB2312"/>
          <w:sz w:val="32"/>
          <w:szCs w:val="32"/>
        </w:rPr>
        <w:t>该项目属行政运转类项目，通过项目实施，圆满</w:t>
      </w:r>
      <w:r>
        <w:rPr>
          <w:rFonts w:hint="eastAsia" w:ascii="仿宋_GB2312" w:hAnsi="楷体_GB2312" w:eastAsia="仿宋_GB2312" w:cs="楷体_GB2312"/>
          <w:sz w:val="32"/>
          <w:szCs w:val="32"/>
        </w:rPr>
        <w:t>完成了社会面疫情防控和涉疫人员转运任务</w:t>
      </w:r>
      <w:r>
        <w:rPr>
          <w:rFonts w:hint="eastAsia" w:ascii="仿宋_GB2312" w:hAnsi="仿宋_GB2312" w:eastAsia="仿宋_GB2312" w:cs="仿宋_GB2312"/>
          <w:sz w:val="32"/>
          <w:szCs w:val="32"/>
        </w:rPr>
        <w:t>。且项目</w:t>
      </w:r>
      <w:r>
        <w:rPr>
          <w:rFonts w:hint="eastAsia" w:ascii="仿宋_GB2312" w:hAnsi="楷体_GB2312" w:eastAsia="仿宋_GB2312" w:cs="楷体_GB2312"/>
          <w:sz w:val="32"/>
          <w:szCs w:val="32"/>
          <w:lang w:val="zh-CN"/>
        </w:rPr>
        <w:t>资金用途合规，程序审批严密合规，不存在违规使用的情况。</w:t>
      </w:r>
    </w:p>
    <w:p>
      <w:pPr>
        <w:spacing w:line="578" w:lineRule="exact"/>
        <w:ind w:firstLine="640"/>
        <w:rPr>
          <w:rFonts w:ascii="仿宋_GB2312" w:eastAsia="仿宋_GB2312"/>
          <w:sz w:val="32"/>
          <w:szCs w:val="32"/>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eastAsia="仿宋_GB2312"/>
          <w:bCs/>
          <w:color w:val="000000"/>
          <w:kern w:val="0"/>
          <w:sz w:val="32"/>
          <w:szCs w:val="32"/>
          <w:shd w:val="clear" w:color="auto" w:fill="FFFFFF"/>
          <w:lang w:val="zh-CN"/>
        </w:rPr>
        <w:t>通过项目实施，我支队主动作为，保障了人民群众的生命财产安全，高质量完成了社会面疫情防控及涉疫人员转运任务。</w:t>
      </w:r>
    </w:p>
    <w:p>
      <w:pPr>
        <w:pStyle w:val="4"/>
        <w:spacing w:line="600" w:lineRule="exact"/>
        <w:ind w:firstLine="640" w:firstLineChars="200"/>
        <w:outlineLvl w:val="1"/>
        <w:rPr>
          <w:rFonts w:ascii="黑体" w:hAnsi="黑体" w:eastAsia="黑体"/>
          <w:sz w:val="32"/>
          <w:szCs w:val="32"/>
        </w:rPr>
      </w:pPr>
      <w:bookmarkStart w:id="193" w:name="_Toc23300"/>
      <w:bookmarkStart w:id="194" w:name="_Toc31511"/>
      <w:r>
        <w:rPr>
          <w:rFonts w:hint="eastAsia" w:ascii="黑体" w:hAnsi="黑体" w:eastAsia="黑体"/>
          <w:sz w:val="32"/>
          <w:szCs w:val="32"/>
        </w:rPr>
        <w:t>四、评价结论</w:t>
      </w:r>
      <w:bookmarkEnd w:id="193"/>
      <w:bookmarkEnd w:id="194"/>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从评价情况来看，项目的预算资金管理科学合理，使用规范，完成了项目的既定目标，达到了预期使用效果，得分是100分。</w:t>
      </w:r>
    </w:p>
    <w:p>
      <w:pPr>
        <w:pStyle w:val="4"/>
        <w:spacing w:line="600" w:lineRule="exact"/>
        <w:ind w:firstLine="640" w:firstLineChars="200"/>
        <w:outlineLvl w:val="1"/>
        <w:rPr>
          <w:rFonts w:ascii="黑体" w:hAnsi="黑体" w:eastAsia="黑体"/>
          <w:sz w:val="32"/>
          <w:szCs w:val="32"/>
        </w:rPr>
      </w:pPr>
      <w:bookmarkStart w:id="195" w:name="_Toc13646"/>
      <w:bookmarkStart w:id="196" w:name="_Toc26542"/>
      <w:r>
        <w:rPr>
          <w:rFonts w:hint="eastAsia" w:ascii="黑体" w:hAnsi="黑体" w:eastAsia="黑体"/>
          <w:sz w:val="32"/>
          <w:szCs w:val="32"/>
        </w:rPr>
        <w:t>五、存在主要问题</w:t>
      </w:r>
      <w:bookmarkEnd w:id="195"/>
      <w:bookmarkEnd w:id="196"/>
    </w:p>
    <w:p>
      <w:pPr>
        <w:pStyle w:val="4"/>
        <w:spacing w:line="600" w:lineRule="exact"/>
        <w:ind w:firstLine="640" w:firstLineChars="200"/>
        <w:rPr>
          <w:rFonts w:ascii="仿宋_GB2312" w:hAnsi="黑体" w:eastAsia="仿宋_GB2312" w:cs="黑体"/>
          <w:sz w:val="32"/>
          <w:szCs w:val="32"/>
        </w:rPr>
      </w:pPr>
      <w:r>
        <w:rPr>
          <w:rFonts w:hint="eastAsia" w:ascii="仿宋_GB2312" w:hAnsi="仿宋_GB2312" w:eastAsia="仿宋_GB2312" w:cs="仿宋_GB2312"/>
          <w:sz w:val="32"/>
          <w:szCs w:val="32"/>
        </w:rPr>
        <w:t>无。</w:t>
      </w:r>
    </w:p>
    <w:p>
      <w:pPr>
        <w:pStyle w:val="4"/>
        <w:spacing w:line="600" w:lineRule="exact"/>
        <w:ind w:firstLine="640" w:firstLineChars="200"/>
        <w:outlineLvl w:val="1"/>
        <w:rPr>
          <w:rFonts w:ascii="黑体" w:hAnsi="黑体" w:eastAsia="黑体"/>
          <w:sz w:val="32"/>
          <w:szCs w:val="32"/>
          <w:lang w:val="zh-CN"/>
        </w:rPr>
      </w:pPr>
      <w:bookmarkStart w:id="197" w:name="_Toc24627"/>
      <w:bookmarkStart w:id="198" w:name="_Toc4588"/>
      <w:r>
        <w:rPr>
          <w:rFonts w:hint="eastAsia" w:ascii="黑体" w:hAnsi="黑体" w:eastAsia="黑体"/>
          <w:sz w:val="32"/>
          <w:szCs w:val="32"/>
          <w:lang w:val="zh-CN"/>
        </w:rPr>
        <w:t>六、改进建议</w:t>
      </w:r>
      <w:bookmarkEnd w:id="197"/>
      <w:bookmarkEnd w:id="198"/>
    </w:p>
    <w:p>
      <w:pPr>
        <w:tabs>
          <w:tab w:val="left" w:pos="1911"/>
        </w:tabs>
        <w:jc w:val="left"/>
        <w:rPr>
          <w:rFonts w:ascii="仿宋_GB2312" w:hAnsi="仿宋_GB2312" w:eastAsia="仿宋_GB2312" w:cs="仿宋_GB2312"/>
          <w:kern w:val="0"/>
          <w:sz w:val="32"/>
          <w:szCs w:val="32"/>
          <w:lang w:val="en"/>
        </w:rPr>
      </w:pPr>
      <w:r>
        <w:rPr>
          <w:rFonts w:hint="eastAsia" w:ascii="仿宋_GB2312" w:hAnsi="仿宋_GB2312" w:eastAsia="仿宋_GB2312" w:cs="仿宋_GB2312"/>
          <w:kern w:val="0"/>
          <w:sz w:val="32"/>
          <w:szCs w:val="32"/>
          <w:shd w:val="clear" w:color="auto" w:fill="FFFFFF"/>
          <w:lang w:val="zh-CN"/>
        </w:rPr>
        <w:t xml:space="preserve"> </w:t>
      </w:r>
      <w:r>
        <w:rPr>
          <w:rFonts w:hint="eastAsia" w:ascii="仿宋_GB2312" w:hAnsi="仿宋_GB2312" w:eastAsia="仿宋_GB2312" w:cs="仿宋_GB2312"/>
          <w:kern w:val="0"/>
          <w:sz w:val="32"/>
          <w:szCs w:val="32"/>
        </w:rPr>
        <w:t xml:space="preserve">   无。</w:t>
      </w:r>
    </w:p>
    <w:p>
      <w:pPr>
        <w:snapToGrid w:val="0"/>
        <w:spacing w:line="578" w:lineRule="exact"/>
        <w:ind w:firstLine="640" w:firstLineChars="200"/>
        <w:rPr>
          <w:rFonts w:ascii="仿宋_GB2312" w:eastAsia="仿宋_GB2312"/>
          <w:color w:val="000000"/>
          <w:kern w:val="0"/>
          <w:sz w:val="32"/>
          <w:szCs w:val="32"/>
          <w:shd w:val="clear" w:color="auto" w:fill="FFFFFF"/>
          <w:lang w:val="zh-CN"/>
        </w:rPr>
      </w:pPr>
    </w:p>
    <w:p>
      <w:pPr>
        <w:snapToGrid w:val="0"/>
        <w:spacing w:line="578" w:lineRule="exact"/>
        <w:rPr>
          <w:rFonts w:ascii="仿宋_GB2312" w:eastAsia="仿宋_GB2312"/>
          <w:color w:val="000000"/>
          <w:kern w:val="0"/>
          <w:sz w:val="32"/>
          <w:szCs w:val="32"/>
          <w:shd w:val="clear" w:color="auto" w:fill="FFFFFF"/>
          <w:lang w:val="zh-CN"/>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snapToGrid w:val="0"/>
        <w:spacing w:line="578" w:lineRule="exact"/>
        <w:ind w:firstLine="640" w:firstLineChars="200"/>
        <w:rPr>
          <w:rFonts w:ascii="仿宋_GB2312" w:eastAsia="仿宋_GB2312"/>
          <w:color w:val="000000"/>
          <w:kern w:val="0"/>
          <w:sz w:val="32"/>
          <w:szCs w:val="32"/>
          <w:shd w:val="clear" w:color="auto" w:fill="FFFFFF"/>
          <w:lang w:val="zh-CN"/>
        </w:rPr>
      </w:pPr>
    </w:p>
    <w:p>
      <w:pPr>
        <w:widowControl/>
        <w:adjustRightInd w:val="0"/>
        <w:snapToGrid w:val="0"/>
        <w:spacing w:line="578" w:lineRule="exact"/>
        <w:contextualSpacing/>
        <w:jc w:val="left"/>
        <w:rPr>
          <w:rFonts w:ascii="仿宋_GB2312" w:hAnsi="黑体" w:eastAsia="仿宋_GB2312" w:cs="黑体"/>
          <w:kern w:val="0"/>
          <w:sz w:val="32"/>
          <w:szCs w:val="32"/>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widowControl/>
        <w:adjustRightInd w:val="0"/>
        <w:snapToGrid w:val="0"/>
        <w:spacing w:line="578" w:lineRule="exact"/>
        <w:contextualSpacing/>
        <w:jc w:val="left"/>
        <w:rPr>
          <w:rFonts w:ascii="黑体" w:hAnsi="黑体" w:eastAsia="黑体" w:cs="黑体"/>
          <w:kern w:val="0"/>
          <w:shd w:val="clear" w:color="auto" w:fill="FFFFFF"/>
          <w:lang w:val="zh-CN"/>
        </w:rPr>
      </w:pPr>
    </w:p>
    <w:p>
      <w:pPr>
        <w:rPr>
          <w:rFonts w:ascii="黑体" w:hAnsi="黑体" w:eastAsia="黑体"/>
          <w:sz w:val="36"/>
          <w:szCs w:val="36"/>
        </w:rPr>
      </w:pPr>
    </w:p>
    <w:p>
      <w:pPr>
        <w:rPr>
          <w:rFonts w:ascii="黑体" w:hAnsi="黑体" w:eastAsia="黑体"/>
          <w:sz w:val="36"/>
          <w:szCs w:val="36"/>
        </w:rPr>
      </w:pP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广元市公安局</w:t>
      </w:r>
      <w:r>
        <w:rPr>
          <w:rFonts w:ascii="方正小标宋简体" w:hAnsi="方正小标宋简体" w:eastAsia="方正小标宋简体" w:cs="方正小标宋简体"/>
          <w:color w:val="auto"/>
          <w:kern w:val="2"/>
          <w:sz w:val="44"/>
          <w:szCs w:val="44"/>
          <w:lang w:val="en-US"/>
        </w:rPr>
        <w:t>交通警察支队</w:t>
      </w:r>
    </w:p>
    <w:p>
      <w:pPr>
        <w:pStyle w:val="23"/>
        <w:spacing w:line="578" w:lineRule="exact"/>
        <w:jc w:val="center"/>
        <w:rPr>
          <w:rFonts w:ascii="方正小标宋简体" w:hAnsi="方正小标宋简体" w:eastAsia="方正小标宋简体" w:cs="方正小标宋简体"/>
          <w:color w:val="auto"/>
          <w:kern w:val="2"/>
          <w:sz w:val="44"/>
          <w:szCs w:val="44"/>
          <w:lang w:val="en-US"/>
        </w:rPr>
      </w:pPr>
      <w:r>
        <w:rPr>
          <w:rFonts w:ascii="方正小标宋简体" w:hAnsi="方正小标宋简体" w:eastAsia="方正小标宋简体" w:cs="方正小标宋简体"/>
          <w:color w:val="auto"/>
          <w:kern w:val="2"/>
          <w:sz w:val="44"/>
          <w:szCs w:val="44"/>
          <w:lang w:val="en-US"/>
        </w:rPr>
        <w:t>2023</w:t>
      </w:r>
      <w:r>
        <w:rPr>
          <w:rFonts w:hint="eastAsia" w:ascii="方正小标宋简体" w:hAnsi="方正小标宋简体" w:eastAsia="方正小标宋简体" w:cs="方正小标宋简体"/>
          <w:color w:val="auto"/>
          <w:kern w:val="2"/>
          <w:sz w:val="44"/>
          <w:szCs w:val="44"/>
          <w:lang w:val="en-US"/>
        </w:rPr>
        <w:t>年执法办案区改造项目绩效评价报告</w:t>
      </w:r>
    </w:p>
    <w:p>
      <w:pPr>
        <w:pStyle w:val="23"/>
        <w:spacing w:line="578" w:lineRule="exact"/>
        <w:ind w:firstLine="640"/>
        <w:jc w:val="center"/>
        <w:rPr>
          <w:rFonts w:ascii="宋体" w:hAnsi="宋体"/>
          <w:color w:val="auto"/>
          <w:kern w:val="2"/>
          <w:sz w:val="32"/>
          <w:szCs w:val="32"/>
        </w:rPr>
      </w:pPr>
    </w:p>
    <w:p>
      <w:pPr>
        <w:adjustRightInd w:val="0"/>
        <w:snapToGrid w:val="0"/>
        <w:spacing w:line="578" w:lineRule="exact"/>
        <w:ind w:firstLine="640" w:firstLineChars="200"/>
        <w:outlineLvl w:val="1"/>
        <w:rPr>
          <w:rFonts w:ascii="黑体" w:hAnsi="黑体" w:eastAsia="黑体"/>
          <w:sz w:val="32"/>
          <w:szCs w:val="32"/>
          <w:lang w:val="zh-CN"/>
        </w:rPr>
      </w:pPr>
      <w:bookmarkStart w:id="199" w:name="_Toc15410"/>
      <w:bookmarkStart w:id="200" w:name="_Toc10712"/>
      <w:r>
        <w:rPr>
          <w:rFonts w:hint="eastAsia" w:ascii="黑体" w:hAnsi="黑体" w:eastAsia="黑体"/>
          <w:sz w:val="32"/>
          <w:szCs w:val="32"/>
        </w:rPr>
        <w:t>一、</w:t>
      </w:r>
      <w:r>
        <w:rPr>
          <w:rFonts w:hint="eastAsia" w:ascii="黑体" w:hAnsi="黑体" w:eastAsia="黑体"/>
          <w:sz w:val="32"/>
          <w:szCs w:val="32"/>
          <w:lang w:val="zh-CN"/>
        </w:rPr>
        <w:t>项目概况</w:t>
      </w:r>
      <w:bookmarkEnd w:id="199"/>
      <w:bookmarkEnd w:id="200"/>
    </w:p>
    <w:p>
      <w:pPr>
        <w:snapToGrid w:val="0"/>
        <w:spacing w:line="576" w:lineRule="exact"/>
        <w:ind w:firstLine="629" w:firstLineChars="196"/>
        <w:jc w:val="left"/>
        <w:rPr>
          <w:rFonts w:ascii="仿宋_GB2312" w:hAnsi="宋体" w:eastAsia="仿宋_GB2312"/>
          <w:sz w:val="32"/>
          <w:szCs w:val="32"/>
          <w:lang w:val="zh-CN"/>
        </w:rPr>
      </w:pPr>
      <w:r>
        <w:rPr>
          <w:rFonts w:hint="eastAsia" w:ascii="仿宋_GB2312" w:hAnsi="宋体" w:eastAsia="仿宋_GB2312"/>
          <w:b/>
          <w:sz w:val="32"/>
          <w:szCs w:val="32"/>
          <w:lang w:val="zh-CN"/>
        </w:rPr>
        <w:t>（一）设立背景及基本情况。</w:t>
      </w:r>
      <w:r>
        <w:rPr>
          <w:rFonts w:hint="eastAsia" w:ascii="仿宋_GB2312" w:hAnsi="宋体" w:eastAsia="仿宋_GB2312"/>
          <w:sz w:val="32"/>
          <w:szCs w:val="32"/>
          <w:lang w:val="zh-CN"/>
        </w:rPr>
        <w:t>我支队</w:t>
      </w:r>
      <w:r>
        <w:rPr>
          <w:rFonts w:hint="eastAsia" w:ascii="仿宋_GB2312" w:eastAsia="仿宋_GB2312"/>
          <w:sz w:val="32"/>
          <w:szCs w:val="32"/>
        </w:rPr>
        <w:t>负责全市20031公里道路（其中国道684公里、省道1337公里、县道3017公里、乡道2445公里、村道12155公里、专用道393公里）交通安全管理，纠正交通违章，维护交通秩序，处理突发事件，配合开展警卫工作。而一、二大队执法办案区设施老旧，为提升执法效能，根据</w:t>
      </w:r>
      <w:r>
        <w:rPr>
          <w:rFonts w:hint="eastAsia" w:ascii="仿宋_GB2312" w:hAnsi="宋体" w:eastAsia="仿宋_GB2312"/>
          <w:sz w:val="32"/>
          <w:szCs w:val="32"/>
          <w:lang w:val="zh-CN"/>
        </w:rPr>
        <w:t>《关于升级改造交警执法办案区的请示》（广财办理〔2022〕148号）文件，对执法办案区</w:t>
      </w:r>
      <w:r>
        <w:rPr>
          <w:rFonts w:hint="eastAsia" w:ascii="仿宋_GB2312" w:eastAsia="仿宋_GB2312"/>
          <w:sz w:val="32"/>
          <w:szCs w:val="32"/>
        </w:rPr>
        <w:t>进行改造。</w:t>
      </w:r>
    </w:p>
    <w:p>
      <w:pPr>
        <w:adjustRightInd w:val="0"/>
        <w:snapToGrid w:val="0"/>
        <w:spacing w:line="578" w:lineRule="exact"/>
        <w:ind w:firstLine="642" w:firstLineChars="200"/>
        <w:rPr>
          <w:rFonts w:ascii="仿宋_GB2312" w:hAnsi="宋体" w:eastAsia="仿宋_GB2312" w:cs="宋体"/>
          <w:kern w:val="0"/>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实施目的及支持方向。</w:t>
      </w:r>
      <w:r>
        <w:rPr>
          <w:rFonts w:hint="eastAsia" w:ascii="仿宋_GB2312" w:hAnsi="宋体" w:eastAsia="仿宋_GB2312" w:cs="宋体"/>
          <w:kern w:val="0"/>
          <w:sz w:val="32"/>
          <w:szCs w:val="32"/>
        </w:rPr>
        <w:t>支队先后制定了《财务管理规定》、《内部会计监督制度》、《工程和大宗物品采购管理规定》、《“三重一大”事项集体决策制度》等各项规章制度。本项目严格按照财务管理规定、财政预算情况和项目的必要性进行资金分配和提供支持。主要任务为对一、二大队执法办案区进行改造，旨在提高执法效能，保障审查工作的安全性。</w:t>
      </w:r>
    </w:p>
    <w:p>
      <w:pPr>
        <w:widowControl/>
        <w:adjustRightInd w:val="0"/>
        <w:snapToGrid w:val="0"/>
        <w:spacing w:line="578" w:lineRule="exact"/>
        <w:ind w:firstLine="642" w:firstLineChars="200"/>
        <w:contextualSpacing/>
        <w:jc w:val="left"/>
        <w:rPr>
          <w:rFonts w:ascii="仿宋_GB2312" w:hAnsi="仿宋_GB2312" w:eastAsia="仿宋_GB2312" w:cs="仿宋_GB2312"/>
          <w:kern w:val="0"/>
          <w:sz w:val="32"/>
          <w:szCs w:val="32"/>
          <w:shd w:val="clear" w:color="auto" w:fill="FFFFFF"/>
          <w:lang w:val="zh-CN"/>
        </w:rPr>
      </w:pPr>
      <w:r>
        <w:rPr>
          <w:rFonts w:hint="eastAsia" w:ascii="仿宋_GB2312" w:hAnsi="宋体" w:eastAsia="仿宋_GB2312"/>
          <w:b/>
          <w:sz w:val="32"/>
          <w:szCs w:val="32"/>
          <w:lang w:val="zh-CN"/>
        </w:rPr>
        <w:t>（三）</w:t>
      </w:r>
      <w:r>
        <w:rPr>
          <w:rFonts w:hint="eastAsia" w:ascii="仿宋_GB2312" w:hAnsi="宋体" w:eastAsia="仿宋_GB2312"/>
          <w:b/>
          <w:sz w:val="32"/>
          <w:szCs w:val="32"/>
        </w:rPr>
        <w:t>预算安排及分配管理</w:t>
      </w:r>
      <w:r>
        <w:rPr>
          <w:rFonts w:hint="eastAsia" w:ascii="仿宋_GB2312" w:hAnsi="宋体" w:eastAsia="仿宋_GB2312"/>
          <w:b/>
          <w:sz w:val="32"/>
          <w:szCs w:val="32"/>
          <w:lang w:val="zh-CN"/>
        </w:rPr>
        <w:t>。</w:t>
      </w:r>
      <w:r>
        <w:rPr>
          <w:rFonts w:hint="eastAsia" w:ascii="仿宋_GB2312" w:hAnsi="宋体" w:eastAsia="仿宋_GB2312"/>
          <w:sz w:val="32"/>
          <w:szCs w:val="32"/>
          <w:lang w:val="zh-CN"/>
        </w:rPr>
        <w:t>项目资金95万元，全部用于执法办案区改造。</w:t>
      </w:r>
    </w:p>
    <w:p>
      <w:pPr>
        <w:adjustRightInd w:val="0"/>
        <w:snapToGrid w:val="0"/>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（四）项目绩效目标设置。</w:t>
      </w:r>
      <w:r>
        <w:rPr>
          <w:rFonts w:hint="eastAsia" w:ascii="仿宋_GB2312" w:eastAsia="仿宋_GB2312"/>
          <w:sz w:val="32"/>
          <w:szCs w:val="32"/>
        </w:rPr>
        <w:t>2023年，根据预算绩效管理要求，在年初预算编制阶段，能够科学、合理的设置绩效目标，充分考虑各项目的差异性，使绩效目标内容完整，细化量化，可操作性强，与预算匹配。成立了以支队长任组长的项目自评领导小组，下设办公室具体负责自评工作，采取调阅资料、现场查看等方式开展自评工作</w:t>
      </w:r>
      <w:r>
        <w:rPr>
          <w:rFonts w:hint="eastAsia" w:ascii="仿宋_GB2312" w:hAnsi="仿宋_GB2312" w:eastAsia="仿宋_GB2312" w:cs="仿宋_GB2312"/>
          <w:kern w:val="0"/>
          <w:sz w:val="32"/>
          <w:szCs w:val="32"/>
          <w:shd w:val="clear" w:color="auto" w:fill="FFFFFF"/>
          <w:lang w:val="zh-CN"/>
        </w:rPr>
        <w:t>。</w:t>
      </w:r>
    </w:p>
    <w:p>
      <w:pPr>
        <w:adjustRightInd w:val="0"/>
        <w:snapToGrid w:val="0"/>
        <w:spacing w:line="578" w:lineRule="exact"/>
        <w:ind w:firstLine="640" w:firstLineChars="200"/>
        <w:outlineLvl w:val="1"/>
        <w:rPr>
          <w:rFonts w:ascii="黑体" w:hAnsi="黑体" w:eastAsia="黑体"/>
          <w:sz w:val="32"/>
          <w:szCs w:val="32"/>
        </w:rPr>
      </w:pPr>
      <w:bookmarkStart w:id="201" w:name="_Toc13647"/>
      <w:bookmarkStart w:id="202" w:name="_Toc10524"/>
      <w:r>
        <w:rPr>
          <w:rFonts w:hint="eastAsia" w:ascii="黑体" w:hAnsi="黑体" w:eastAsia="黑体"/>
          <w:sz w:val="32"/>
          <w:szCs w:val="32"/>
        </w:rPr>
        <w:t>二、评价实施</w:t>
      </w:r>
      <w:bookmarkEnd w:id="201"/>
      <w:bookmarkEnd w:id="202"/>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（一）评价目的。</w:t>
      </w:r>
      <w:r>
        <w:rPr>
          <w:rFonts w:hint="eastAsia" w:ascii="仿宋_GB2312" w:eastAsia="仿宋_GB2312"/>
          <w:sz w:val="32"/>
          <w:szCs w:val="32"/>
        </w:rPr>
        <w:t>通过项目绩效自评，主要结合资金使用情况，查看项目资金发挥的效益情况，是否实现年初绩效目标。</w:t>
      </w:r>
    </w:p>
    <w:p>
      <w:pPr>
        <w:spacing w:line="578" w:lineRule="exact"/>
        <w:ind w:firstLine="640"/>
        <w:rPr>
          <w:rFonts w:ascii="仿宋_GB2312" w:eastAsia="仿宋_GB2312"/>
          <w:sz w:val="32"/>
          <w:szCs w:val="32"/>
        </w:rPr>
      </w:pPr>
      <w:r>
        <w:rPr>
          <w:rFonts w:hint="eastAsia" w:ascii="仿宋_GB2312" w:hAnsi="宋体" w:eastAsia="仿宋_GB2312"/>
          <w:b/>
          <w:sz w:val="32"/>
          <w:szCs w:val="32"/>
          <w:lang w:val="zh-CN"/>
        </w:rPr>
        <w:t>（二）预设问题及评价重点。</w:t>
      </w:r>
      <w:r>
        <w:rPr>
          <w:rFonts w:hint="eastAsia" w:ascii="仿宋_GB2312" w:hAnsi="宋体" w:eastAsia="仿宋_GB2312"/>
          <w:sz w:val="32"/>
          <w:szCs w:val="32"/>
          <w:lang w:val="zh-CN"/>
        </w:rPr>
        <w:t>预设问题为项目是否严格按照规定进行招投标程序;评价重点在于项目通过改造是否满足办案需求。</w:t>
      </w:r>
      <w:r>
        <w:rPr>
          <w:rFonts w:hint="eastAsia" w:ascii="仿宋_GB2312" w:eastAsia="仿宋_GB2312"/>
          <w:sz w:val="32"/>
          <w:szCs w:val="32"/>
        </w:rPr>
        <w:t xml:space="preserve"> </w:t>
      </w:r>
    </w:p>
    <w:p>
      <w:pPr>
        <w:adjustRightInd w:val="0"/>
        <w:snapToGrid w:val="0"/>
        <w:spacing w:line="578" w:lineRule="exact"/>
        <w:ind w:firstLine="642" w:firstLineChars="200"/>
        <w:rPr>
          <w:rFonts w:ascii="仿宋_GB2312" w:eastAsia="仿宋_GB2312"/>
          <w:sz w:val="32"/>
          <w:szCs w:val="32"/>
          <w:lang w:val="zh-CN"/>
        </w:rPr>
      </w:pPr>
      <w:r>
        <w:rPr>
          <w:rFonts w:hint="eastAsia" w:ascii="仿宋_GB2312" w:hAnsi="宋体" w:eastAsia="仿宋_GB2312"/>
          <w:b/>
          <w:sz w:val="32"/>
          <w:szCs w:val="32"/>
          <w:lang w:val="zh-CN"/>
        </w:rPr>
        <w:t>（三）评价选点。</w:t>
      </w:r>
      <w:r>
        <w:rPr>
          <w:rFonts w:hint="eastAsia" w:ascii="仿宋_GB2312" w:hAnsi="宋体" w:eastAsia="仿宋_GB2312"/>
          <w:sz w:val="32"/>
          <w:szCs w:val="32"/>
          <w:lang w:val="zh-CN"/>
        </w:rPr>
        <w:t>通过实地勘察一、二大队执法办案区，查看项目资金使用情况。</w:t>
      </w:r>
    </w:p>
    <w:p>
      <w:pPr>
        <w:adjustRightInd w:val="0"/>
        <w:snapToGrid w:val="0"/>
        <w:spacing w:line="600" w:lineRule="exact"/>
        <w:ind w:firstLine="720"/>
        <w:rPr>
          <w:rFonts w:ascii="仿宋_GB2312" w:eastAsia="仿宋_GB2312"/>
          <w:sz w:val="32"/>
          <w:szCs w:val="32"/>
        </w:rPr>
      </w:pPr>
      <w:r>
        <w:rPr>
          <w:rFonts w:hint="eastAsia" w:ascii="仿宋_GB2312" w:hAnsi="宋体" w:eastAsia="仿宋_GB2312"/>
          <w:b/>
          <w:sz w:val="32"/>
          <w:szCs w:val="32"/>
          <w:lang w:val="zh-CN"/>
        </w:rPr>
        <w:t>（四）评价方法。</w:t>
      </w:r>
      <w:r>
        <w:rPr>
          <w:rFonts w:hint="eastAsia" w:ascii="仿宋_GB2312" w:eastAsia="仿宋_GB2312"/>
          <w:sz w:val="32"/>
          <w:szCs w:val="32"/>
        </w:rPr>
        <w:t>该项目采取了实地勘察的方式开展自评工作。</w:t>
      </w:r>
    </w:p>
    <w:p>
      <w:pPr>
        <w:adjustRightInd w:val="0"/>
        <w:snapToGrid w:val="0"/>
        <w:spacing w:line="600" w:lineRule="exact"/>
        <w:ind w:firstLine="720"/>
        <w:rPr>
          <w:rFonts w:ascii="仿宋_GB2312" w:eastAsia="仿宋_GB2312"/>
          <w:bCs/>
          <w:sz w:val="32"/>
          <w:szCs w:val="32"/>
        </w:rPr>
      </w:pPr>
      <w:r>
        <w:rPr>
          <w:rFonts w:hint="eastAsia" w:ascii="仿宋_GB2312" w:hAnsi="宋体" w:eastAsia="仿宋_GB2312"/>
          <w:b/>
          <w:sz w:val="32"/>
          <w:szCs w:val="32"/>
          <w:lang w:val="zh-CN"/>
        </w:rPr>
        <w:t>（五）评价组织。</w:t>
      </w:r>
      <w:r>
        <w:rPr>
          <w:rFonts w:hint="eastAsia" w:ascii="仿宋_GB2312" w:eastAsia="仿宋_GB2312"/>
          <w:sz w:val="32"/>
          <w:szCs w:val="32"/>
        </w:rPr>
        <w:t>支队高度重视项目绩效自查自评工作，成立了以支队长任组长的项目自评领导小组，下设办公室具体负责自评工作。</w:t>
      </w:r>
    </w:p>
    <w:p>
      <w:pPr>
        <w:adjustRightInd w:val="0"/>
        <w:snapToGrid w:val="0"/>
        <w:spacing w:line="578" w:lineRule="exact"/>
        <w:ind w:firstLine="640" w:firstLineChars="200"/>
        <w:outlineLvl w:val="1"/>
        <w:rPr>
          <w:rFonts w:ascii="黑体" w:hAnsi="黑体" w:eastAsia="黑体"/>
          <w:sz w:val="32"/>
          <w:szCs w:val="32"/>
          <w:lang w:val="zh-CN"/>
        </w:rPr>
      </w:pPr>
      <w:bookmarkStart w:id="203" w:name="_Toc18776"/>
      <w:bookmarkStart w:id="204" w:name="_Toc9517"/>
      <w:r>
        <w:rPr>
          <w:rFonts w:hint="eastAsia" w:ascii="黑体" w:hAnsi="黑体" w:eastAsia="黑体"/>
          <w:sz w:val="32"/>
          <w:szCs w:val="32"/>
        </w:rPr>
        <w:t>三、绩效分析</w:t>
      </w:r>
      <w:bookmarkEnd w:id="203"/>
      <w:bookmarkEnd w:id="204"/>
      <w:r>
        <w:rPr>
          <w:rFonts w:hint="eastAsia" w:ascii="黑体" w:hAnsi="黑体" w:eastAsia="黑体"/>
          <w:sz w:val="32"/>
          <w:szCs w:val="32"/>
          <w:lang w:val="zh-CN"/>
        </w:rPr>
        <w:tab/>
      </w:r>
    </w:p>
    <w:p>
      <w:pPr>
        <w:spacing w:line="578" w:lineRule="exact"/>
        <w:ind w:firstLine="640"/>
        <w:rPr>
          <w:rFonts w:ascii="仿宋_GB2312" w:hAnsi="宋体" w:eastAsia="仿宋_GB2312"/>
          <w:b/>
          <w:sz w:val="32"/>
          <w:szCs w:val="32"/>
        </w:rPr>
      </w:pPr>
      <w:r>
        <w:rPr>
          <w:rFonts w:hint="eastAsia" w:ascii="仿宋_GB2312" w:hAnsi="宋体" w:eastAsia="仿宋_GB2312"/>
          <w:b/>
          <w:sz w:val="32"/>
          <w:szCs w:val="32"/>
          <w:lang w:val="zh-CN"/>
        </w:rPr>
        <w:t>（一）</w:t>
      </w:r>
      <w:r>
        <w:rPr>
          <w:rFonts w:hint="eastAsia" w:ascii="仿宋_GB2312" w:hAnsi="宋体" w:eastAsia="仿宋_GB2312"/>
          <w:b/>
          <w:sz w:val="32"/>
          <w:szCs w:val="32"/>
        </w:rPr>
        <w:t>通用指标</w:t>
      </w:r>
      <w:r>
        <w:rPr>
          <w:rFonts w:hint="eastAsia" w:ascii="仿宋_GB2312" w:eastAsia="仿宋_GB2312"/>
          <w:b/>
          <w:bCs/>
          <w:color w:val="000000"/>
          <w:kern w:val="0"/>
          <w:sz w:val="32"/>
          <w:szCs w:val="32"/>
          <w:shd w:val="clear" w:color="auto" w:fill="FFFFFF"/>
          <w:lang w:val="zh-CN"/>
        </w:rPr>
        <w:t>绩效分析。</w:t>
      </w:r>
    </w:p>
    <w:p>
      <w:pPr>
        <w:spacing w:line="578" w:lineRule="exact"/>
        <w:ind w:firstLine="640"/>
        <w:rPr>
          <w:rFonts w:ascii="仿宋_GB2312" w:hAnsi="楷体" w:eastAsia="仿宋_GB2312"/>
          <w:sz w:val="32"/>
          <w:szCs w:val="32"/>
          <w:lang w:val="zh-CN"/>
        </w:rPr>
      </w:pPr>
      <w:r>
        <w:rPr>
          <w:rFonts w:hint="eastAsia" w:ascii="仿宋_GB2312" w:hAnsi="楷体_GB2312" w:eastAsia="仿宋_GB2312" w:cs="楷体_GB2312"/>
          <w:sz w:val="32"/>
          <w:szCs w:val="32"/>
        </w:rPr>
        <w:t>1.项目决策（18分）。</w:t>
      </w:r>
      <w:r>
        <w:rPr>
          <w:rFonts w:hint="eastAsia" w:ascii="仿宋_GB2312" w:hAnsi="楷体" w:eastAsia="仿宋_GB2312"/>
          <w:sz w:val="32"/>
          <w:szCs w:val="32"/>
          <w:lang w:val="zh-CN"/>
        </w:rPr>
        <w:t>该项目由大队就项目具体内容、所需资金、工作目标等形成报告，报告提交交警支队党总支会议审核，审核通过后根据财政批复情况由部门具体进行实施。</w:t>
      </w:r>
    </w:p>
    <w:p>
      <w:pPr>
        <w:spacing w:line="560" w:lineRule="exact"/>
        <w:ind w:firstLine="640" w:firstLineChars="200"/>
        <w:rPr>
          <w:rFonts w:ascii="仿宋_GB2312" w:eastAsia="仿宋_GB2312"/>
          <w:sz w:val="32"/>
          <w:szCs w:val="32"/>
        </w:rPr>
      </w:pPr>
      <w:r>
        <w:rPr>
          <w:rFonts w:hint="eastAsia" w:ascii="仿宋_GB2312" w:hAnsi="楷体_GB2312" w:eastAsia="仿宋_GB2312" w:cs="楷体_GB2312"/>
          <w:sz w:val="32"/>
          <w:szCs w:val="32"/>
        </w:rPr>
        <w:t>2.项目管理（18分）。</w:t>
      </w:r>
      <w:r>
        <w:rPr>
          <w:rFonts w:hint="eastAsia" w:ascii="仿宋_GB2312" w:hAnsi="宋体" w:eastAsia="仿宋_GB2312"/>
          <w:sz w:val="32"/>
          <w:szCs w:val="32"/>
        </w:rPr>
        <w:t>我支队</w:t>
      </w:r>
      <w:r>
        <w:rPr>
          <w:rFonts w:hint="eastAsia" w:ascii="仿宋_GB2312" w:hAnsi="宋体" w:eastAsia="仿宋_GB2312" w:cs="宋体"/>
          <w:kern w:val="0"/>
          <w:sz w:val="32"/>
          <w:szCs w:val="32"/>
        </w:rPr>
        <w:t>建立健全了相关制度，</w:t>
      </w:r>
      <w:r>
        <w:rPr>
          <w:rFonts w:hint="eastAsia" w:ascii="仿宋_GB2312" w:hAnsi="宋体" w:eastAsia="仿宋_GB2312"/>
          <w:sz w:val="32"/>
          <w:szCs w:val="32"/>
        </w:rPr>
        <w:t>明确会计、出纳和审计岗位的职责，</w:t>
      </w:r>
      <w:r>
        <w:rPr>
          <w:rFonts w:hint="eastAsia" w:ascii="仿宋_GB2312" w:hAnsi="宋体" w:eastAsia="仿宋_GB2312" w:cs="宋体"/>
          <w:kern w:val="0"/>
          <w:sz w:val="32"/>
          <w:szCs w:val="32"/>
        </w:rPr>
        <w:t>严格财务规范运转，先后制定完善了财务管理各项规章制度，如《财务管理规定》、《内部会计监督制度》、《工程和大宗物品采购管理规定》、《“三重一大”事项集体决策制度》等。</w:t>
      </w:r>
      <w:r>
        <w:rPr>
          <w:rFonts w:hint="eastAsia" w:ascii="仿宋_GB2312" w:eastAsia="仿宋_GB2312"/>
          <w:sz w:val="32"/>
          <w:szCs w:val="32"/>
        </w:rPr>
        <w:t>严格遵照《中华人民共和国招投标法》，进行招标，确保按期优质完成；同时，还安排了具体人员负责技术指导和监督，严格按照标准和合同，严把质量关、进度关，确保项目按期进行和达到预期目标。</w:t>
      </w:r>
    </w:p>
    <w:p>
      <w:pPr>
        <w:ind w:firstLine="640" w:firstLineChars="200"/>
        <w:rPr>
          <w:rFonts w:ascii="仿宋_GB2312" w:eastAsia="仿宋_GB2312"/>
          <w:sz w:val="32"/>
          <w:szCs w:val="32"/>
        </w:rPr>
      </w:pPr>
      <w:r>
        <w:rPr>
          <w:rFonts w:hint="eastAsia" w:ascii="仿宋_GB2312" w:hAnsi="楷体_GB2312" w:eastAsia="仿宋_GB2312" w:cs="楷体_GB2312"/>
          <w:sz w:val="32"/>
          <w:szCs w:val="32"/>
        </w:rPr>
        <w:t>3.项目实施（9分）。</w:t>
      </w:r>
      <w:r>
        <w:rPr>
          <w:rFonts w:hint="eastAsia" w:ascii="仿宋_GB2312" w:hAnsi="宋体" w:eastAsia="仿宋_GB2312"/>
          <w:sz w:val="32"/>
          <w:szCs w:val="32"/>
          <w:lang w:val="zh-CN"/>
        </w:rPr>
        <w:t>该项目资金执行率为100%，项目严格按照相关要求进行支付，</w:t>
      </w:r>
      <w:r>
        <w:rPr>
          <w:rFonts w:hint="eastAsia" w:ascii="仿宋_GB2312" w:hAnsi="宋体" w:eastAsia="仿宋_GB2312" w:cs="宋体"/>
          <w:kern w:val="0"/>
          <w:sz w:val="32"/>
          <w:szCs w:val="32"/>
        </w:rPr>
        <w:t>狠抓经费“</w:t>
      </w:r>
      <w:r>
        <w:rPr>
          <w:rFonts w:hint="eastAsia" w:ascii="仿宋_GB2312" w:eastAsia="仿宋_GB2312"/>
          <w:sz w:val="32"/>
          <w:szCs w:val="32"/>
        </w:rPr>
        <w:t>使用审批”、“预算执行”、“管理监督”三个环节，硬化了预算约束。</w:t>
      </w:r>
    </w:p>
    <w:p>
      <w:pPr>
        <w:spacing w:line="578" w:lineRule="exact"/>
        <w:ind w:firstLine="640"/>
        <w:rPr>
          <w:rFonts w:ascii="仿宋_GB2312" w:eastAsia="仿宋_GB2312"/>
          <w:sz w:val="32"/>
          <w:szCs w:val="32"/>
        </w:rPr>
      </w:pPr>
      <w:r>
        <w:rPr>
          <w:rFonts w:hint="eastAsia" w:ascii="仿宋_GB2312" w:hAnsi="楷体_GB2312" w:eastAsia="仿宋_GB2312" w:cs="楷体_GB2312"/>
          <w:sz w:val="32"/>
          <w:szCs w:val="32"/>
        </w:rPr>
        <w:t>4.项目结果（9分）。通过对执法办案区改造升级，一方面改善了办公环境，完善了办公设施，提高了办案效率；另一方面，保障了审查工作的安全性，也提升了执法效能。</w:t>
      </w:r>
    </w:p>
    <w:p>
      <w:pPr>
        <w:spacing w:line="578" w:lineRule="exact"/>
        <w:ind w:firstLine="642" w:firstLineChars="200"/>
        <w:rPr>
          <w:rFonts w:ascii="仿宋_GB2312" w:hAnsi="楷体_GB2312" w:eastAsia="仿宋_GB2312" w:cs="楷体_GB2312"/>
          <w:sz w:val="32"/>
          <w:szCs w:val="32"/>
        </w:rPr>
      </w:pPr>
      <w:r>
        <w:rPr>
          <w:rFonts w:hint="eastAsia" w:ascii="仿宋_GB2312" w:hAnsi="宋体" w:eastAsia="仿宋_GB2312"/>
          <w:b/>
          <w:sz w:val="32"/>
          <w:szCs w:val="32"/>
          <w:lang w:val="zh-CN"/>
        </w:rPr>
        <w:t>（二）</w:t>
      </w:r>
      <w:r>
        <w:rPr>
          <w:rFonts w:hint="eastAsia" w:ascii="仿宋_GB2312" w:hAnsi="宋体" w:eastAsia="仿宋_GB2312"/>
          <w:b/>
          <w:sz w:val="32"/>
          <w:szCs w:val="32"/>
        </w:rPr>
        <w:t>专用指标</w:t>
      </w:r>
      <w:r>
        <w:rPr>
          <w:rFonts w:hint="eastAsia" w:ascii="仿宋_GB2312" w:eastAsia="仿宋_GB2312"/>
          <w:b/>
          <w:bCs/>
          <w:color w:val="000000"/>
          <w:kern w:val="0"/>
          <w:sz w:val="32"/>
          <w:szCs w:val="32"/>
          <w:shd w:val="clear" w:color="auto" w:fill="FFFFFF"/>
          <w:lang w:val="zh-CN"/>
        </w:rPr>
        <w:t>绩效分析。</w:t>
      </w:r>
      <w:r>
        <w:rPr>
          <w:rFonts w:hint="eastAsia" w:ascii="仿宋_GB2312" w:hAnsi="楷体_GB2312" w:eastAsia="仿宋_GB2312" w:cs="楷体_GB2312"/>
          <w:sz w:val="32"/>
          <w:szCs w:val="32"/>
          <w:lang w:val="zh-CN"/>
        </w:rPr>
        <w:t>行政运转（30分）。</w:t>
      </w:r>
      <w:r>
        <w:rPr>
          <w:rFonts w:hint="eastAsia" w:ascii="仿宋_GB2312" w:hAnsi="仿宋_GB2312" w:eastAsia="仿宋_GB2312" w:cs="仿宋_GB2312"/>
          <w:sz w:val="32"/>
          <w:szCs w:val="32"/>
        </w:rPr>
        <w:t>该项目属行政运转类项目，资金用于一、二大队执法办案区的维修，</w:t>
      </w:r>
      <w:r>
        <w:rPr>
          <w:rFonts w:hint="eastAsia" w:ascii="仿宋_GB2312" w:hAnsi="楷体_GB2312" w:eastAsia="仿宋_GB2312" w:cs="楷体_GB2312"/>
          <w:sz w:val="32"/>
          <w:szCs w:val="32"/>
          <w:lang w:val="zh-CN"/>
        </w:rPr>
        <w:t>资金用途合规，程序审批严密合规，不存在违规使用的情况。</w:t>
      </w:r>
    </w:p>
    <w:p>
      <w:pPr>
        <w:spacing w:line="578" w:lineRule="exact"/>
        <w:ind w:firstLine="642" w:firstLineChars="200"/>
        <w:rPr>
          <w:rFonts w:ascii="仿宋_GB2312" w:eastAsia="仿宋_GB2312"/>
          <w:sz w:val="32"/>
          <w:szCs w:val="32"/>
        </w:rPr>
      </w:pPr>
      <w:r>
        <w:rPr>
          <w:rFonts w:hint="eastAsia" w:ascii="仿宋_GB2312" w:hAnsi="宋体" w:eastAsia="仿宋_GB2312"/>
          <w:b/>
          <w:sz w:val="32"/>
          <w:szCs w:val="32"/>
          <w:lang w:val="zh-CN"/>
        </w:rPr>
        <w:t>（三）</w:t>
      </w:r>
      <w:r>
        <w:rPr>
          <w:rFonts w:hint="eastAsia" w:ascii="仿宋_GB2312" w:hAnsi="宋体" w:eastAsia="仿宋_GB2312"/>
          <w:b/>
          <w:sz w:val="32"/>
          <w:szCs w:val="32"/>
        </w:rPr>
        <w:t>个性指标</w:t>
      </w:r>
      <w:r>
        <w:rPr>
          <w:rFonts w:hint="eastAsia" w:ascii="仿宋_GB2312" w:eastAsia="仿宋_GB2312"/>
          <w:b/>
          <w:bCs/>
          <w:color w:val="000000"/>
          <w:kern w:val="0"/>
          <w:sz w:val="32"/>
          <w:szCs w:val="32"/>
          <w:shd w:val="clear" w:color="auto" w:fill="FFFFFF"/>
          <w:lang w:val="zh-CN"/>
        </w:rPr>
        <w:t>绩效分析（16分）。</w:t>
      </w:r>
      <w:r>
        <w:rPr>
          <w:rFonts w:hint="eastAsia" w:ascii="仿宋_GB2312" w:eastAsia="仿宋_GB2312"/>
          <w:bCs/>
          <w:color w:val="000000"/>
          <w:kern w:val="0"/>
          <w:sz w:val="32"/>
          <w:szCs w:val="32"/>
          <w:shd w:val="clear" w:color="auto" w:fill="FFFFFF"/>
          <w:lang w:val="zh-CN"/>
        </w:rPr>
        <w:t>通过</w:t>
      </w:r>
      <w:r>
        <w:rPr>
          <w:rFonts w:hint="eastAsia" w:ascii="仿宋_GB2312" w:eastAsia="仿宋_GB2312"/>
          <w:sz w:val="32"/>
          <w:szCs w:val="32"/>
          <w:lang w:val="zh-CN"/>
        </w:rPr>
        <w:t>该项目的实施，保障了公安审查工作的安全性、严密性，也改善办公环境。</w:t>
      </w:r>
    </w:p>
    <w:p>
      <w:pPr>
        <w:pStyle w:val="4"/>
        <w:spacing w:line="600" w:lineRule="exact"/>
        <w:ind w:firstLine="640" w:firstLineChars="200"/>
        <w:outlineLvl w:val="1"/>
        <w:rPr>
          <w:rFonts w:ascii="黑体" w:hAnsi="黑体" w:eastAsia="黑体"/>
          <w:sz w:val="32"/>
          <w:szCs w:val="32"/>
        </w:rPr>
      </w:pPr>
      <w:bookmarkStart w:id="205" w:name="_Toc22545"/>
      <w:bookmarkStart w:id="206" w:name="_Toc6544"/>
      <w:r>
        <w:rPr>
          <w:rFonts w:hint="eastAsia" w:ascii="黑体" w:hAnsi="黑体" w:eastAsia="黑体"/>
          <w:sz w:val="32"/>
          <w:szCs w:val="32"/>
        </w:rPr>
        <w:t>四、评价结论</w:t>
      </w:r>
      <w:bookmarkEnd w:id="205"/>
      <w:bookmarkEnd w:id="206"/>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从评价情况来看，项目的预算资金管理科学合理，使用规范，完成了项目的既定目标，达到了预期使用效果，得分是100分。</w:t>
      </w:r>
    </w:p>
    <w:p>
      <w:pPr>
        <w:pStyle w:val="4"/>
        <w:spacing w:line="600" w:lineRule="exact"/>
        <w:ind w:firstLine="640" w:firstLineChars="200"/>
        <w:outlineLvl w:val="1"/>
        <w:rPr>
          <w:rFonts w:ascii="黑体" w:hAnsi="黑体" w:eastAsia="黑体"/>
          <w:sz w:val="32"/>
          <w:szCs w:val="32"/>
        </w:rPr>
      </w:pPr>
      <w:bookmarkStart w:id="207" w:name="_Toc19468"/>
      <w:bookmarkStart w:id="208" w:name="_Toc9382"/>
      <w:r>
        <w:rPr>
          <w:rFonts w:hint="eastAsia" w:ascii="黑体" w:hAnsi="黑体" w:eastAsia="黑体"/>
          <w:sz w:val="32"/>
          <w:szCs w:val="32"/>
        </w:rPr>
        <w:t>五、存在主要问题</w:t>
      </w:r>
      <w:bookmarkEnd w:id="207"/>
      <w:bookmarkEnd w:id="208"/>
    </w:p>
    <w:p>
      <w:pPr>
        <w:pStyle w:val="4"/>
        <w:spacing w:line="600" w:lineRule="exact"/>
        <w:ind w:firstLine="640" w:firstLineChars="200"/>
        <w:rPr>
          <w:rFonts w:ascii="仿宋_GB2312" w:hAnsi="黑体" w:eastAsia="仿宋_GB2312" w:cs="黑体"/>
          <w:sz w:val="32"/>
          <w:szCs w:val="32"/>
        </w:rPr>
      </w:pPr>
      <w:r>
        <w:rPr>
          <w:rFonts w:hint="eastAsia" w:ascii="仿宋_GB2312" w:hAnsi="仿宋_GB2312" w:eastAsia="仿宋_GB2312" w:cs="仿宋_GB2312"/>
          <w:sz w:val="32"/>
          <w:szCs w:val="32"/>
        </w:rPr>
        <w:t>无。</w:t>
      </w:r>
    </w:p>
    <w:p>
      <w:pPr>
        <w:pStyle w:val="4"/>
        <w:spacing w:line="600" w:lineRule="exact"/>
        <w:ind w:firstLine="640" w:firstLineChars="200"/>
        <w:outlineLvl w:val="1"/>
        <w:rPr>
          <w:rFonts w:ascii="黑体" w:hAnsi="黑体" w:eastAsia="黑体"/>
          <w:sz w:val="32"/>
          <w:szCs w:val="32"/>
          <w:lang w:val="zh-CN"/>
        </w:rPr>
      </w:pPr>
      <w:bookmarkStart w:id="209" w:name="_Toc1105"/>
      <w:bookmarkStart w:id="210" w:name="_Toc28182"/>
      <w:r>
        <w:rPr>
          <w:rFonts w:hint="eastAsia" w:ascii="黑体" w:hAnsi="黑体" w:eastAsia="黑体"/>
          <w:sz w:val="32"/>
          <w:szCs w:val="32"/>
          <w:lang w:val="zh-CN"/>
        </w:rPr>
        <w:t>六、改进建议</w:t>
      </w:r>
      <w:bookmarkEnd w:id="209"/>
      <w:bookmarkEnd w:id="210"/>
    </w:p>
    <w:p>
      <w:pPr>
        <w:pStyle w:val="4"/>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无。</w:t>
      </w:r>
    </w:p>
    <w:p>
      <w:pPr>
        <w:snapToGrid w:val="0"/>
        <w:spacing w:line="578" w:lineRule="exact"/>
        <w:ind w:firstLine="640" w:firstLineChars="200"/>
        <w:rPr>
          <w:rFonts w:ascii="仿宋_GB2312" w:eastAsia="仿宋_GB2312"/>
          <w:color w:val="000000"/>
          <w:kern w:val="0"/>
          <w:sz w:val="32"/>
          <w:szCs w:val="32"/>
          <w:shd w:val="clear" w:color="auto" w:fill="FFFFFF"/>
          <w:lang w:val="zh-CN"/>
        </w:rPr>
      </w:pPr>
    </w:p>
    <w:p>
      <w:pPr>
        <w:snapToGrid w:val="0"/>
        <w:spacing w:line="578" w:lineRule="exact"/>
        <w:rPr>
          <w:rFonts w:ascii="仿宋_GB2312" w:eastAsia="仿宋_GB2312"/>
          <w:color w:val="000000"/>
          <w:kern w:val="0"/>
          <w:sz w:val="32"/>
          <w:szCs w:val="32"/>
          <w:shd w:val="clear" w:color="auto" w:fill="FFFFFF"/>
          <w:lang w:val="zh-CN"/>
        </w:rPr>
      </w:pPr>
    </w:p>
    <w:p>
      <w:pPr>
        <w:snapToGrid w:val="0"/>
        <w:spacing w:line="578" w:lineRule="exact"/>
        <w:rPr>
          <w:rFonts w:ascii="仿宋_GB2312" w:eastAsia="仿宋_GB2312"/>
          <w:color w:val="000000"/>
          <w:kern w:val="0"/>
          <w:sz w:val="32"/>
          <w:szCs w:val="32"/>
          <w:shd w:val="clear" w:color="auto" w:fill="FFFFFF"/>
          <w:lang w:val="zh-CN"/>
        </w:rPr>
      </w:pPr>
    </w:p>
    <w:p>
      <w:pPr>
        <w:snapToGrid w:val="0"/>
        <w:spacing w:line="578" w:lineRule="exact"/>
        <w:ind w:firstLine="3200" w:firstLineChars="10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广元市公安局交通警察支队</w:t>
      </w:r>
    </w:p>
    <w:p>
      <w:pPr>
        <w:snapToGrid w:val="0"/>
        <w:spacing w:line="578" w:lineRule="exact"/>
        <w:ind w:firstLine="3840" w:firstLineChars="1200"/>
        <w:rPr>
          <w:rFonts w:ascii="仿宋_GB2312" w:eastAsia="仿宋_GB2312"/>
          <w:color w:val="000000"/>
          <w:kern w:val="0"/>
          <w:sz w:val="32"/>
          <w:szCs w:val="32"/>
          <w:shd w:val="clear" w:color="auto" w:fill="FFFFFF"/>
        </w:rPr>
      </w:pPr>
      <w:r>
        <w:rPr>
          <w:rFonts w:hint="eastAsia" w:ascii="仿宋_GB2312" w:eastAsia="仿宋_GB2312"/>
          <w:color w:val="000000"/>
          <w:kern w:val="0"/>
          <w:sz w:val="32"/>
          <w:szCs w:val="32"/>
          <w:shd w:val="clear" w:color="auto" w:fill="FFFFFF"/>
        </w:rPr>
        <w:t>2024年8月5日</w:t>
      </w:r>
    </w:p>
    <w:p>
      <w:pPr>
        <w:rPr>
          <w:rFonts w:ascii="仿宋_GB2312" w:eastAsia="仿宋_GB2312"/>
          <w:color w:val="000000"/>
          <w:kern w:val="0"/>
          <w:sz w:val="32"/>
          <w:szCs w:val="32"/>
          <w:shd w:val="clear" w:color="auto" w:fill="FFFFFF"/>
          <w:lang w:val="zh-CN"/>
        </w:rPr>
      </w:pPr>
      <w:r>
        <w:rPr>
          <w:rFonts w:hint="eastAsia" w:ascii="仿宋_GB2312" w:eastAsia="仿宋_GB2312"/>
          <w:color w:val="000000"/>
          <w:kern w:val="0"/>
          <w:sz w:val="32"/>
          <w:szCs w:val="32"/>
          <w:shd w:val="clear" w:color="auto" w:fill="FFFFFF"/>
        </w:rPr>
        <w:br w:type="page"/>
      </w:r>
    </w:p>
    <w:p>
      <w:pPr>
        <w:jc w:val="center"/>
        <w:rPr>
          <w:rFonts w:ascii="黑体" w:hAnsi="黑体" w:eastAsia="黑体"/>
          <w:sz w:val="36"/>
          <w:szCs w:val="36"/>
        </w:rPr>
      </w:pPr>
    </w:p>
    <w:p>
      <w:pPr>
        <w:jc w:val="center"/>
        <w:outlineLvl w:val="0"/>
        <w:rPr>
          <w:rFonts w:ascii="黑体" w:hAnsi="黑体" w:eastAsia="黑体"/>
          <w:sz w:val="36"/>
          <w:szCs w:val="36"/>
        </w:rPr>
      </w:pPr>
      <w:bookmarkStart w:id="211" w:name="_Toc30683"/>
      <w:r>
        <w:rPr>
          <w:rFonts w:hint="eastAsia" w:ascii="黑体" w:hAnsi="黑体" w:eastAsia="黑体"/>
          <w:sz w:val="36"/>
          <w:szCs w:val="36"/>
        </w:rPr>
        <w:t>第五部分</w:t>
      </w:r>
      <w:r>
        <w:rPr>
          <w:rFonts w:ascii="黑体" w:hAnsi="黑体" w:eastAsia="黑体"/>
          <w:sz w:val="36"/>
          <w:szCs w:val="36"/>
        </w:rPr>
        <w:t xml:space="preserve"> 附表</w:t>
      </w:r>
      <w:bookmarkEnd w:id="211"/>
    </w:p>
    <w:p>
      <w:pPr>
        <w:rPr>
          <w:rFonts w:ascii="仿宋_GB2312" w:hAnsi="黑体" w:eastAsia="仿宋_GB2312"/>
          <w:sz w:val="32"/>
          <w:szCs w:val="32"/>
        </w:rPr>
      </w:pPr>
    </w:p>
    <w:p>
      <w:pPr>
        <w:pStyle w:val="3"/>
      </w:pPr>
      <w:bookmarkStart w:id="212" w:name="_Toc30142"/>
      <w:r>
        <w:rPr>
          <w:rFonts w:hint="eastAsia"/>
        </w:rPr>
        <w:t>一、收入支出决算总表</w:t>
      </w:r>
      <w:bookmarkEnd w:id="212"/>
    </w:p>
    <w:p>
      <w:pPr>
        <w:pStyle w:val="3"/>
      </w:pPr>
      <w:bookmarkStart w:id="213" w:name="_Toc558"/>
      <w:r>
        <w:rPr>
          <w:rFonts w:hint="eastAsia"/>
        </w:rPr>
        <w:t>二、收入决算表</w:t>
      </w:r>
      <w:bookmarkEnd w:id="213"/>
    </w:p>
    <w:p>
      <w:pPr>
        <w:pStyle w:val="3"/>
      </w:pPr>
      <w:bookmarkStart w:id="214" w:name="_Toc899"/>
      <w:r>
        <w:rPr>
          <w:rFonts w:hint="eastAsia"/>
        </w:rPr>
        <w:t>三、支出决算表</w:t>
      </w:r>
      <w:bookmarkEnd w:id="214"/>
    </w:p>
    <w:p>
      <w:pPr>
        <w:pStyle w:val="3"/>
      </w:pPr>
      <w:bookmarkStart w:id="215" w:name="_Toc8392"/>
      <w:r>
        <w:rPr>
          <w:rFonts w:hint="eastAsia"/>
        </w:rPr>
        <w:t>四、财政拨款收入支出决算总表</w:t>
      </w:r>
      <w:bookmarkEnd w:id="215"/>
    </w:p>
    <w:p>
      <w:pPr>
        <w:pStyle w:val="3"/>
      </w:pPr>
      <w:bookmarkStart w:id="216" w:name="_Toc26009"/>
      <w:r>
        <w:rPr>
          <w:rFonts w:hint="eastAsia"/>
        </w:rPr>
        <w:t>五、财政拨款支出决算明细表</w:t>
      </w:r>
      <w:bookmarkEnd w:id="216"/>
    </w:p>
    <w:p>
      <w:pPr>
        <w:pStyle w:val="3"/>
      </w:pPr>
      <w:bookmarkStart w:id="217" w:name="_Toc32758"/>
      <w:r>
        <w:rPr>
          <w:rFonts w:hint="eastAsia"/>
        </w:rPr>
        <w:t>六、一般公共预算财政拨款支出决算表</w:t>
      </w:r>
      <w:bookmarkEnd w:id="217"/>
    </w:p>
    <w:p>
      <w:pPr>
        <w:pStyle w:val="3"/>
      </w:pPr>
      <w:bookmarkStart w:id="218" w:name="_Toc31327"/>
      <w:r>
        <w:rPr>
          <w:rFonts w:hint="eastAsia"/>
        </w:rPr>
        <w:t>七、一般公共预算财政拨款支出决算明细表</w:t>
      </w:r>
      <w:bookmarkEnd w:id="218"/>
    </w:p>
    <w:p>
      <w:pPr>
        <w:pStyle w:val="3"/>
      </w:pPr>
      <w:bookmarkStart w:id="219" w:name="_Toc25303"/>
      <w:r>
        <w:rPr>
          <w:rFonts w:hint="eastAsia"/>
        </w:rPr>
        <w:t>八、一般公共预算财政拨款基本支出决算表</w:t>
      </w:r>
      <w:bookmarkEnd w:id="219"/>
    </w:p>
    <w:p>
      <w:pPr>
        <w:pStyle w:val="3"/>
      </w:pPr>
      <w:bookmarkStart w:id="220" w:name="_Toc17864"/>
      <w:r>
        <w:rPr>
          <w:rFonts w:hint="eastAsia"/>
        </w:rPr>
        <w:t>九、一般公共预算财政拨款项目支出决算表</w:t>
      </w:r>
      <w:bookmarkEnd w:id="220"/>
    </w:p>
    <w:p>
      <w:pPr>
        <w:pStyle w:val="3"/>
      </w:pPr>
      <w:bookmarkStart w:id="221" w:name="_Toc7575"/>
      <w:r>
        <w:rPr>
          <w:rFonts w:hint="eastAsia"/>
        </w:rPr>
        <w:t>十、政府性基金预算财政拨款收入支出决算表</w:t>
      </w:r>
      <w:bookmarkEnd w:id="221"/>
    </w:p>
    <w:p>
      <w:pPr>
        <w:pStyle w:val="3"/>
      </w:pPr>
      <w:bookmarkStart w:id="222" w:name="_Toc21298"/>
      <w:r>
        <w:rPr>
          <w:rFonts w:hint="eastAsia"/>
        </w:rPr>
        <w:t>十一、国有资本经营预算财政拨款收入支出决算表</w:t>
      </w:r>
      <w:bookmarkEnd w:id="222"/>
    </w:p>
    <w:p>
      <w:pPr>
        <w:pStyle w:val="3"/>
      </w:pPr>
      <w:bookmarkStart w:id="223" w:name="_Toc32379"/>
      <w:r>
        <w:rPr>
          <w:rFonts w:hint="eastAsia"/>
        </w:rPr>
        <w:t>十二、国有资本经营预算财政拨款支出决算表</w:t>
      </w:r>
      <w:bookmarkEnd w:id="223"/>
    </w:p>
    <w:p>
      <w:pPr>
        <w:pStyle w:val="3"/>
        <w:rPr>
          <w:rFonts w:ascii="仿宋_GB2312" w:hAnsi="黑体" w:eastAsia="仿宋_GB2312"/>
        </w:rPr>
      </w:pPr>
      <w:bookmarkStart w:id="224" w:name="_Toc20159"/>
      <w:r>
        <w:rPr>
          <w:rFonts w:hint="eastAsia"/>
        </w:rPr>
        <w:t>十三、财政拨款“三公”经费支出决算表</w:t>
      </w:r>
      <w:bookmarkEnd w:id="224"/>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仿宋_GB2312"/>
    <w:panose1 w:val="00000000000000000000"/>
    <w:charset w:val="86"/>
    <w:family w:val="auto"/>
    <w:pitch w:val="default"/>
    <w:sig w:usb0="00000000" w:usb1="00000000" w:usb2="00000000" w:usb3="00000000" w:csb0="00000000" w:csb1="00000000"/>
  </w:font>
  <w:font w:name="等线">
    <w:altName w:val="Mangal"/>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roman"/>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微软雅黑">
    <w:altName w:val="黑体"/>
    <w:panose1 w:val="020B0503020204020204"/>
    <w:charset w:val="86"/>
    <w:family w:val="swiss"/>
    <w:pitch w:val="default"/>
    <w:sig w:usb0="00000000" w:usb1="00000000" w:usb2="00000016" w:usb3="00000000" w:csb0="0004001F" w:csb1="00000000"/>
  </w:font>
  <w:font w:name="Mangal">
    <w:panose1 w:val="00000400000000000000"/>
    <w:charset w:val="00"/>
    <w:family w:val="auto"/>
    <w:pitch w:val="default"/>
    <w:sig w:usb0="00008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方正宋体S-超大字符集">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Noto Sans Syriac Eastern">
    <w:panose1 w:val="02040503050306020203"/>
    <w:charset w:val="86"/>
    <w:family w:val="auto"/>
    <w:pitch w:val="default"/>
    <w:sig w:usb0="00000000" w:usb1="00000000" w:usb2="00000080" w:usb3="00000000" w:csb0="203E0161" w:csb1="D7FF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76DC8"/>
    <w:multiLevelType w:val="singleLevel"/>
    <w:tmpl w:val="8C276DC8"/>
    <w:lvl w:ilvl="0" w:tentative="0">
      <w:start w:val="1"/>
      <w:numFmt w:val="decimal"/>
      <w:suff w:val="nothing"/>
      <w:lvlText w:val="%1．"/>
      <w:lvlJc w:val="left"/>
      <w:pPr>
        <w:ind w:left="0" w:firstLine="400"/>
      </w:pPr>
      <w:rPr>
        <w:rFonts w:hint="default"/>
      </w:rPr>
    </w:lvl>
  </w:abstractNum>
  <w:abstractNum w:abstractNumId="1">
    <w:nsid w:val="022D9975"/>
    <w:multiLevelType w:val="singleLevel"/>
    <w:tmpl w:val="022D9975"/>
    <w:lvl w:ilvl="0" w:tentative="0">
      <w:start w:val="2"/>
      <w:numFmt w:val="chineseCounting"/>
      <w:suff w:val="nothing"/>
      <w:lvlText w:val="（%1）"/>
      <w:lvlJc w:val="left"/>
      <w:rPr>
        <w:rFonts w:hint="eastAsia" w:ascii="楷体_GB2312" w:eastAsia="楷体_GB231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9A66DE"/>
    <w:rsid w:val="0001155E"/>
    <w:rsid w:val="000339E2"/>
    <w:rsid w:val="00044D55"/>
    <w:rsid w:val="00090F12"/>
    <w:rsid w:val="000D5C6D"/>
    <w:rsid w:val="000F746F"/>
    <w:rsid w:val="00115D91"/>
    <w:rsid w:val="00135203"/>
    <w:rsid w:val="001667ED"/>
    <w:rsid w:val="00170926"/>
    <w:rsid w:val="00172C52"/>
    <w:rsid w:val="00183517"/>
    <w:rsid w:val="0019471D"/>
    <w:rsid w:val="001A6A47"/>
    <w:rsid w:val="00226EA9"/>
    <w:rsid w:val="00230E7E"/>
    <w:rsid w:val="0024018B"/>
    <w:rsid w:val="00241A00"/>
    <w:rsid w:val="0025195F"/>
    <w:rsid w:val="00276706"/>
    <w:rsid w:val="002C28F8"/>
    <w:rsid w:val="00305EDC"/>
    <w:rsid w:val="00342F63"/>
    <w:rsid w:val="003945EC"/>
    <w:rsid w:val="003D43FD"/>
    <w:rsid w:val="00432FDC"/>
    <w:rsid w:val="004565CE"/>
    <w:rsid w:val="00493D84"/>
    <w:rsid w:val="005312B9"/>
    <w:rsid w:val="00595FEA"/>
    <w:rsid w:val="005D0533"/>
    <w:rsid w:val="005E00F8"/>
    <w:rsid w:val="005F5297"/>
    <w:rsid w:val="0062510E"/>
    <w:rsid w:val="00654A28"/>
    <w:rsid w:val="00674F6D"/>
    <w:rsid w:val="006B1C51"/>
    <w:rsid w:val="006C11AE"/>
    <w:rsid w:val="006E2A78"/>
    <w:rsid w:val="006E79D2"/>
    <w:rsid w:val="006F097C"/>
    <w:rsid w:val="00710A7B"/>
    <w:rsid w:val="00777294"/>
    <w:rsid w:val="00795075"/>
    <w:rsid w:val="007A2116"/>
    <w:rsid w:val="007B13A8"/>
    <w:rsid w:val="008053EE"/>
    <w:rsid w:val="00807923"/>
    <w:rsid w:val="0081728A"/>
    <w:rsid w:val="008623F6"/>
    <w:rsid w:val="0087638A"/>
    <w:rsid w:val="00891B98"/>
    <w:rsid w:val="008C7B16"/>
    <w:rsid w:val="008F5696"/>
    <w:rsid w:val="00901705"/>
    <w:rsid w:val="0092238F"/>
    <w:rsid w:val="0097505C"/>
    <w:rsid w:val="00996F38"/>
    <w:rsid w:val="00997950"/>
    <w:rsid w:val="009A2385"/>
    <w:rsid w:val="009A66DE"/>
    <w:rsid w:val="009B5DBD"/>
    <w:rsid w:val="009B6216"/>
    <w:rsid w:val="009C0D5B"/>
    <w:rsid w:val="009D3D7E"/>
    <w:rsid w:val="00A02462"/>
    <w:rsid w:val="00A062E2"/>
    <w:rsid w:val="00A26195"/>
    <w:rsid w:val="00A31E8A"/>
    <w:rsid w:val="00A31F4B"/>
    <w:rsid w:val="00A340CD"/>
    <w:rsid w:val="00A548F8"/>
    <w:rsid w:val="00B3270F"/>
    <w:rsid w:val="00B37CBC"/>
    <w:rsid w:val="00B63D41"/>
    <w:rsid w:val="00BC1491"/>
    <w:rsid w:val="00C2049B"/>
    <w:rsid w:val="00C2472F"/>
    <w:rsid w:val="00C2729A"/>
    <w:rsid w:val="00C34740"/>
    <w:rsid w:val="00C55484"/>
    <w:rsid w:val="00C85602"/>
    <w:rsid w:val="00CA44B4"/>
    <w:rsid w:val="00D714CA"/>
    <w:rsid w:val="00D94577"/>
    <w:rsid w:val="00DC4D4F"/>
    <w:rsid w:val="00DD5901"/>
    <w:rsid w:val="00E023C8"/>
    <w:rsid w:val="00E12AF4"/>
    <w:rsid w:val="00E57454"/>
    <w:rsid w:val="00ED006F"/>
    <w:rsid w:val="00F43089"/>
    <w:rsid w:val="00F54A07"/>
    <w:rsid w:val="00F631A9"/>
    <w:rsid w:val="00F824DA"/>
    <w:rsid w:val="00F8675E"/>
    <w:rsid w:val="00FA0D5B"/>
    <w:rsid w:val="00FC5FA9"/>
    <w:rsid w:val="00FD42E9"/>
    <w:rsid w:val="10BD2204"/>
    <w:rsid w:val="11D5BA97"/>
    <w:rsid w:val="3F5EF166"/>
    <w:rsid w:val="3FDE5383"/>
    <w:rsid w:val="5EFB7835"/>
    <w:rsid w:val="67D70F71"/>
    <w:rsid w:val="7C6F245B"/>
    <w:rsid w:val="FFBB8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7"/>
    <w:qFormat/>
    <w:uiPriority w:val="9"/>
    <w:pPr>
      <w:suppressAutoHyphens/>
      <w:spacing w:before="260" w:after="260" w:line="416" w:lineRule="auto"/>
      <w:outlineLvl w:val="1"/>
    </w:pPr>
    <w:rPr>
      <w:rFonts w:ascii="Cambria" w:hAnsi="Cambria" w:eastAsia="宋体" w:cs="Times New Roman"/>
      <w:b/>
      <w:bCs/>
      <w:sz w:val="32"/>
      <w:szCs w:val="32"/>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unhideWhenUsed/>
    <w:qFormat/>
    <w:uiPriority w:val="99"/>
    <w:pPr>
      <w:suppressAutoHyphens/>
      <w:spacing w:after="120"/>
    </w:pPr>
    <w:rPr>
      <w:rFonts w:ascii="Calibri" w:hAnsi="Calibri" w:eastAsia="宋体" w:cs="Times New Roman"/>
      <w:szCs w:val="24"/>
    </w:rPr>
  </w:style>
  <w:style w:type="paragraph" w:styleId="5">
    <w:name w:val="Body Text Indent"/>
    <w:basedOn w:val="1"/>
    <w:link w:val="20"/>
    <w:semiHidden/>
    <w:unhideWhenUsed/>
    <w:qFormat/>
    <w:uiPriority w:val="99"/>
    <w:pPr>
      <w:spacing w:after="120"/>
      <w:ind w:left="420" w:leftChars="200"/>
    </w:pPr>
  </w:style>
  <w:style w:type="paragraph" w:styleId="6">
    <w:name w:val="Date"/>
    <w:basedOn w:val="1"/>
    <w:next w:val="1"/>
    <w:link w:val="26"/>
    <w:semiHidden/>
    <w:unhideWhenUsed/>
    <w:qFormat/>
    <w:uiPriority w:val="99"/>
    <w:pPr>
      <w:ind w:left="100" w:leftChars="2500"/>
    </w:pPr>
  </w:style>
  <w:style w:type="paragraph" w:styleId="7">
    <w:name w:val="footer"/>
    <w:basedOn w:val="1"/>
    <w:link w:val="25"/>
    <w:unhideWhenUsed/>
    <w:qFormat/>
    <w:uiPriority w:val="99"/>
    <w:pPr>
      <w:tabs>
        <w:tab w:val="center" w:pos="4153"/>
        <w:tab w:val="right" w:pos="8306"/>
      </w:tabs>
      <w:snapToGrid w:val="0"/>
      <w:jc w:val="left"/>
    </w:pPr>
    <w:rPr>
      <w:sz w:val="18"/>
      <w:szCs w:val="18"/>
    </w:rPr>
  </w:style>
  <w:style w:type="paragraph" w:styleId="8">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rPr>
      <w:rFonts w:ascii="Times New Roman" w:hAnsi="Times New Roman" w:eastAsia="仿宋_GB2312" w:cs="Times New Roman"/>
      <w:sz w:val="32"/>
      <w:szCs w:val="32"/>
    </w:rPr>
  </w:style>
  <w:style w:type="paragraph" w:styleId="10">
    <w:name w:val="toc 2"/>
    <w:basedOn w:val="1"/>
    <w:next w:val="1"/>
    <w:semiHidden/>
    <w:unhideWhenUsed/>
    <w:qFormat/>
    <w:uiPriority w:val="39"/>
    <w:pPr>
      <w:ind w:left="420" w:leftChars="200"/>
    </w:pPr>
  </w:style>
  <w:style w:type="paragraph" w:styleId="11">
    <w:name w:val="Body Text First Indent 2"/>
    <w:basedOn w:val="5"/>
    <w:next w:val="1"/>
    <w:link w:val="21"/>
    <w:unhideWhenUsed/>
    <w:qFormat/>
    <w:uiPriority w:val="99"/>
    <w:pPr>
      <w:ind w:left="200" w:firstLine="420" w:firstLineChars="200"/>
    </w:pPr>
    <w:rPr>
      <w:rFonts w:ascii="仿宋_GB2312" w:hAnsi="Times New Roman" w:eastAsia="仿宋_GB2312" w:cs="Times New Roman"/>
      <w:sz w:val="32"/>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99"/>
    <w:rPr>
      <w:b/>
    </w:rPr>
  </w:style>
  <w:style w:type="character" w:styleId="16">
    <w:name w:val="Emphasis"/>
    <w:basedOn w:val="14"/>
    <w:qFormat/>
    <w:uiPriority w:val="0"/>
    <w:rPr>
      <w:i/>
      <w:iCs/>
    </w:rPr>
  </w:style>
  <w:style w:type="character" w:customStyle="1" w:styleId="17">
    <w:name w:val="标题 2 字符"/>
    <w:basedOn w:val="14"/>
    <w:link w:val="3"/>
    <w:qFormat/>
    <w:uiPriority w:val="9"/>
    <w:rPr>
      <w:rFonts w:ascii="Cambria" w:hAnsi="Cambria" w:eastAsia="宋体" w:cs="Times New Roman"/>
      <w:b/>
      <w:bCs/>
      <w:sz w:val="32"/>
      <w:szCs w:val="32"/>
    </w:rPr>
  </w:style>
  <w:style w:type="character" w:customStyle="1" w:styleId="18">
    <w:name w:val="标题 1 字符"/>
    <w:basedOn w:val="14"/>
    <w:link w:val="2"/>
    <w:qFormat/>
    <w:uiPriority w:val="9"/>
    <w:rPr>
      <w:rFonts w:ascii="Times New Roman" w:hAnsi="Times New Roman" w:eastAsia="宋体" w:cs="Times New Roman"/>
      <w:b/>
      <w:bCs/>
      <w:kern w:val="44"/>
      <w:sz w:val="44"/>
      <w:szCs w:val="44"/>
    </w:r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0">
    <w:name w:val="正文文本缩进 字符"/>
    <w:basedOn w:val="14"/>
    <w:link w:val="5"/>
    <w:semiHidden/>
    <w:qFormat/>
    <w:uiPriority w:val="99"/>
  </w:style>
  <w:style w:type="character" w:customStyle="1" w:styleId="21">
    <w:name w:val="正文首行缩进 2 字符"/>
    <w:basedOn w:val="20"/>
    <w:link w:val="11"/>
    <w:qFormat/>
    <w:uiPriority w:val="99"/>
    <w:rPr>
      <w:rFonts w:ascii="仿宋_GB2312" w:hAnsi="Times New Roman" w:eastAsia="仿宋_GB2312" w:cs="Times New Roman"/>
      <w:sz w:val="32"/>
      <w:szCs w:val="32"/>
    </w:rPr>
  </w:style>
  <w:style w:type="character" w:customStyle="1" w:styleId="22">
    <w:name w:val="正文文本 字符"/>
    <w:basedOn w:val="14"/>
    <w:link w:val="4"/>
    <w:qFormat/>
    <w:uiPriority w:val="99"/>
    <w:rPr>
      <w:rFonts w:ascii="Calibri" w:hAnsi="Calibri" w:eastAsia="宋体" w:cs="Times New Roman"/>
      <w:szCs w:val="24"/>
    </w:rPr>
  </w:style>
  <w:style w:type="paragraph" w:customStyle="1" w:styleId="23">
    <w:name w:val="四号正文"/>
    <w:basedOn w:val="1"/>
    <w:qFormat/>
    <w:uiPriority w:val="0"/>
    <w:pPr>
      <w:spacing w:line="360" w:lineRule="auto"/>
    </w:pPr>
    <w:rPr>
      <w:rFonts w:ascii="??" w:hAnsi="??" w:eastAsia="宋体" w:cs="Times New Roman"/>
      <w:color w:val="000000"/>
      <w:kern w:val="0"/>
      <w:sz w:val="28"/>
      <w:szCs w:val="21"/>
      <w:lang w:val="zh-CN"/>
    </w:rPr>
  </w:style>
  <w:style w:type="character" w:customStyle="1" w:styleId="24">
    <w:name w:val="页眉 字符"/>
    <w:basedOn w:val="14"/>
    <w:link w:val="8"/>
    <w:qFormat/>
    <w:uiPriority w:val="99"/>
    <w:rPr>
      <w:sz w:val="18"/>
      <w:szCs w:val="18"/>
    </w:rPr>
  </w:style>
  <w:style w:type="character" w:customStyle="1" w:styleId="25">
    <w:name w:val="页脚 字符"/>
    <w:basedOn w:val="14"/>
    <w:link w:val="7"/>
    <w:qFormat/>
    <w:uiPriority w:val="99"/>
    <w:rPr>
      <w:sz w:val="18"/>
      <w:szCs w:val="18"/>
    </w:rPr>
  </w:style>
  <w:style w:type="character" w:customStyle="1" w:styleId="26">
    <w:name w:val="日期 字符"/>
    <w:basedOn w:val="14"/>
    <w:link w:val="6"/>
    <w:semiHidden/>
    <w:qFormat/>
    <w:uiPriority w:val="99"/>
  </w:style>
  <w:style w:type="paragraph" w:customStyle="1" w:styleId="27">
    <w:name w:val="WPSOffice手动目录 1"/>
    <w:qFormat/>
    <w:uiPriority w:val="0"/>
    <w:rPr>
      <w:rFonts w:asciiTheme="minorHAnsi" w:hAnsiTheme="minorHAnsi" w:eastAsiaTheme="minorEastAsia" w:cstheme="minorBidi"/>
      <w:lang w:val="en-US" w:eastAsia="zh-CN" w:bidi="ar-SA"/>
    </w:rPr>
  </w:style>
  <w:style w:type="paragraph" w:customStyle="1" w:styleId="28">
    <w:name w:val="WPSOffice手动目录 2"/>
    <w:qFormat/>
    <w:uiPriority w:val="0"/>
    <w:pPr>
      <w:ind w:left="200" w:leftChars="2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单位：万元</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9528.08</c:v>
                </c:pt>
                <c:pt idx="1">
                  <c:v>9685.7</c:v>
                </c:pt>
              </c:numCache>
            </c:numRef>
          </c:val>
        </c:ser>
        <c:dLbls>
          <c:showLegendKey val="false"/>
          <c:showVal val="false"/>
          <c:showCatName val="false"/>
          <c:showSerName val="false"/>
          <c:showPercent val="false"/>
          <c:showBubbleSize val="false"/>
        </c:dLbls>
        <c:gapWidth val="150"/>
        <c:axId val="413797008"/>
        <c:axId val="413796352"/>
      </c:barChart>
      <c:catAx>
        <c:axId val="41379700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13796352"/>
        <c:crosses val="autoZero"/>
        <c:auto val="true"/>
        <c:lblAlgn val="ctr"/>
        <c:lblOffset val="100"/>
        <c:noMultiLvlLbl val="false"/>
      </c:catAx>
      <c:valAx>
        <c:axId val="413796352"/>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13797008"/>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2023年收入决算情况</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1"/>
              <c:layout>
                <c:manualLayout>
                  <c:x val="-0.0453540842309231"/>
                  <c:y val="0.011498175731129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576495314078998"/>
                  <c:y val="0.013787409700722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政府性基金预算财政拨款收入</c:v>
                </c:pt>
                <c:pt idx="2">
                  <c:v>其他收入</c:v>
                </c:pt>
              </c:strCache>
            </c:strRef>
          </c:cat>
          <c:val>
            <c:numRef>
              <c:f>Sheet1!$B$2:$B$4</c:f>
              <c:numCache>
                <c:formatCode>General</c:formatCode>
                <c:ptCount val="3"/>
                <c:pt idx="0">
                  <c:v>9217.24</c:v>
                </c:pt>
                <c:pt idx="1">
                  <c:v>202.73</c:v>
                </c:pt>
                <c:pt idx="2">
                  <c:v>34.12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2023年支出决算情况</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8155.83</c:v>
                </c:pt>
                <c:pt idx="1">
                  <c:v>1304.15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财政拨款收支变动情况</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9517.21</c:v>
                </c:pt>
                <c:pt idx="1">
                  <c:v>9651.58</c:v>
                </c:pt>
              </c:numCache>
            </c:numRef>
          </c:val>
        </c:ser>
        <c:dLbls>
          <c:showLegendKey val="false"/>
          <c:showVal val="false"/>
          <c:showCatName val="false"/>
          <c:showSerName val="false"/>
          <c:showPercent val="false"/>
          <c:showBubbleSize val="false"/>
        </c:dLbls>
        <c:gapWidth val="219"/>
        <c:overlap val="-27"/>
        <c:axId val="746534472"/>
        <c:axId val="746530536"/>
      </c:barChart>
      <c:catAx>
        <c:axId val="746534472"/>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530536"/>
        <c:crosses val="autoZero"/>
        <c:auto val="true"/>
        <c:lblAlgn val="ctr"/>
        <c:lblOffset val="100"/>
        <c:noMultiLvlLbl val="false"/>
      </c:catAx>
      <c:valAx>
        <c:axId val="74653053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534472"/>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一般公共预算财政拨款支出决算变动情况</c:v>
                </c:pt>
              </c:strCache>
            </c:strRef>
          </c:tx>
          <c:spPr>
            <a:solidFill>
              <a:schemeClr val="accent1"/>
            </a:solidFill>
            <a:ln>
              <a:noFill/>
            </a:ln>
            <a:effectLst/>
          </c:spPr>
          <c:invertIfNegative val="false"/>
          <c:dLbls>
            <c:delete val="true"/>
          </c:dLbls>
          <c:cat>
            <c:strRef>
              <c:f>Sheet1!$A$2:$A$3</c:f>
              <c:strCache>
                <c:ptCount val="2"/>
                <c:pt idx="0">
                  <c:v>2022年</c:v>
                </c:pt>
                <c:pt idx="1">
                  <c:v>2023年</c:v>
                </c:pt>
              </c:strCache>
            </c:strRef>
          </c:cat>
          <c:val>
            <c:numRef>
              <c:f>Sheet1!$B$2:$B$3</c:f>
              <c:numCache>
                <c:formatCode>General</c:formatCode>
                <c:ptCount val="2"/>
                <c:pt idx="0">
                  <c:v>8988.33</c:v>
                </c:pt>
                <c:pt idx="1">
                  <c:v>9223.12</c:v>
                </c:pt>
              </c:numCache>
            </c:numRef>
          </c:val>
        </c:ser>
        <c:dLbls>
          <c:showLegendKey val="false"/>
          <c:showVal val="false"/>
          <c:showCatName val="false"/>
          <c:showSerName val="false"/>
          <c:showPercent val="false"/>
          <c:showBubbleSize val="false"/>
        </c:dLbls>
        <c:gapWidth val="219"/>
        <c:overlap val="-27"/>
        <c:axId val="746881312"/>
        <c:axId val="746881640"/>
      </c:barChart>
      <c:catAx>
        <c:axId val="746881312"/>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881640"/>
        <c:crosses val="autoZero"/>
        <c:auto val="true"/>
        <c:lblAlgn val="ctr"/>
        <c:lblOffset val="100"/>
        <c:noMultiLvlLbl val="false"/>
      </c:catAx>
      <c:valAx>
        <c:axId val="74688164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881312"/>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delete val="true"/>
          </c:dLbls>
          <c:cat>
            <c:strRef>
              <c:f>Sheet1!$A$2:$A$5</c:f>
              <c:strCache>
                <c:ptCount val="4"/>
                <c:pt idx="0">
                  <c:v>公共安全支出</c:v>
                </c:pt>
                <c:pt idx="1">
                  <c:v>社会保障和就业支出</c:v>
                </c:pt>
                <c:pt idx="2">
                  <c:v>卫生健康支出</c:v>
                </c:pt>
                <c:pt idx="3">
                  <c:v>住房保障支出</c:v>
                </c:pt>
              </c:strCache>
            </c:strRef>
          </c:cat>
          <c:val>
            <c:numRef>
              <c:f>Sheet1!$B$2:$B$5</c:f>
              <c:numCache>
                <c:formatCode>General</c:formatCode>
                <c:ptCount val="4"/>
                <c:pt idx="0">
                  <c:v>8067.58</c:v>
                </c:pt>
                <c:pt idx="1">
                  <c:v>561.41</c:v>
                </c:pt>
                <c:pt idx="2">
                  <c:v>192.29</c:v>
                </c:pt>
                <c:pt idx="3">
                  <c:v>401.84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2023年三公经费支出结构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layout>
                <c:manualLayout>
                  <c:x val="0.0278267999264903"/>
                  <c:y val="0.019417108177462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307150699519831"/>
                  <c:y val="0.0093543697372400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因公出国（境）经费</c:v>
                </c:pt>
                <c:pt idx="1">
                  <c:v>公务用车购置及运行维护费支出</c:v>
                </c:pt>
                <c:pt idx="2">
                  <c:v>‘公务接待费支出</c:v>
                </c:pt>
              </c:strCache>
            </c:strRef>
          </c:cat>
          <c:val>
            <c:numRef>
              <c:f>Sheet1!$B$2:$B$4</c:f>
              <c:numCache>
                <c:formatCode>General</c:formatCode>
                <c:ptCount val="3"/>
                <c:pt idx="0">
                  <c:v>0</c:v>
                </c:pt>
                <c:pt idx="1">
                  <c:v>385.48</c:v>
                </c:pt>
                <c:pt idx="2">
                  <c:v>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139</Pages>
  <Words>8965</Words>
  <Characters>51106</Characters>
  <Lines>425</Lines>
  <Paragraphs>119</Paragraphs>
  <TotalTime>43</TotalTime>
  <ScaleCrop>false</ScaleCrop>
  <LinksUpToDate>false</LinksUpToDate>
  <CharactersWithSpaces>59952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2024-09-03T17:35:00Z</dcterms:created>
  <dc:creator>Administrator</dc:creator>
  <cp:lastModifiedBy> </cp:lastModifiedBy>
  <dcterms:modified xsi:type="dcterms:W3CDTF">2024-09-29T17:19:50Z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0A20321769CF4489B2C97BF227AFFBFD_12</vt:lpwstr>
  </property>
</Properties>
</file>