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宋体" w:eastAsia="方正小标宋简体"/>
          <w:sz w:val="72"/>
          <w:szCs w:val="72"/>
        </w:rPr>
      </w:pPr>
      <w:bookmarkStart w:id="0" w:name="_Toc15306267"/>
      <w:bookmarkStart w:id="1" w:name="_Toc15396475"/>
      <w:bookmarkStart w:id="2" w:name="_Toc15377425"/>
      <w:bookmarkStart w:id="3" w:name="_Toc15378441"/>
      <w:bookmarkStart w:id="4" w:name="_Toc15377193"/>
      <w:bookmarkStart w:id="5" w:name="_Toc15396597"/>
    </w:p>
    <w:p>
      <w:pPr>
        <w:spacing w:line="600" w:lineRule="exact"/>
        <w:jc w:val="center"/>
        <w:rPr>
          <w:rFonts w:ascii="方正小标宋简体" w:hAnsi="宋体" w:eastAsia="方正小标宋简体"/>
          <w:sz w:val="72"/>
          <w:szCs w:val="72"/>
        </w:rPr>
      </w:pPr>
    </w:p>
    <w:p>
      <w:pPr>
        <w:spacing w:line="600" w:lineRule="exact"/>
        <w:jc w:val="center"/>
        <w:rPr>
          <w:rFonts w:ascii="方正小标宋简体" w:hAnsi="宋体" w:eastAsia="方正小标宋简体"/>
          <w:sz w:val="72"/>
          <w:szCs w:val="72"/>
        </w:rPr>
      </w:pPr>
    </w:p>
    <w:bookmarkEnd w:id="0"/>
    <w:bookmarkEnd w:id="1"/>
    <w:bookmarkEnd w:id="2"/>
    <w:bookmarkEnd w:id="3"/>
    <w:bookmarkEnd w:id="4"/>
    <w:bookmarkEnd w:id="5"/>
    <w:p>
      <w:pPr>
        <w:spacing w:line="600" w:lineRule="exact"/>
        <w:jc w:val="center"/>
        <w:rPr>
          <w:rFonts w:ascii="方正小标宋简体" w:hAnsi="宋体" w:eastAsia="方正小标宋简体"/>
          <w:sz w:val="72"/>
          <w:szCs w:val="72"/>
        </w:rPr>
      </w:pPr>
    </w:p>
    <w:p>
      <w:pPr>
        <w:adjustRightInd w:val="0"/>
        <w:snapToGrid w:val="0"/>
        <w:spacing w:line="360" w:lineRule="auto"/>
        <w:jc w:val="center"/>
        <w:rPr>
          <w:rFonts w:ascii="方正小标宋简体" w:hAnsi="方正小标宋简体" w:eastAsia="方正小标宋简体" w:cs="方正小标宋简体"/>
          <w:sz w:val="72"/>
          <w:szCs w:val="72"/>
          <w:lang w:eastAsia="zh-CN"/>
        </w:rPr>
      </w:pPr>
      <w:bookmarkStart w:id="6" w:name="_Toc26214"/>
      <w:r>
        <w:rPr>
          <w:rFonts w:ascii="方正小标宋简体" w:hAnsi="方正小标宋简体" w:eastAsia="方正小标宋简体" w:cs="方正小标宋简体"/>
          <w:sz w:val="72"/>
          <w:szCs w:val="72"/>
          <w:lang w:eastAsia="zh-CN"/>
        </w:rPr>
        <w:t>2023</w:t>
      </w:r>
      <w:r>
        <w:rPr>
          <w:rFonts w:hint="eastAsia" w:ascii="方正小标宋简体" w:hAnsi="方正小标宋简体" w:eastAsia="方正小标宋简体" w:cs="方正小标宋简体"/>
          <w:sz w:val="72"/>
          <w:szCs w:val="72"/>
          <w:lang w:eastAsia="zh-CN"/>
        </w:rPr>
        <w:t>年度</w:t>
      </w:r>
      <w:bookmarkEnd w:id="6"/>
    </w:p>
    <w:p>
      <w:pPr>
        <w:adjustRightInd w:val="0"/>
        <w:snapToGrid w:val="0"/>
        <w:spacing w:line="360" w:lineRule="auto"/>
        <w:jc w:val="center"/>
        <w:rPr>
          <w:rFonts w:ascii="方正小标宋简体" w:hAnsi="方正小标宋简体" w:eastAsia="方正小标宋简体" w:cs="方正小标宋简体"/>
          <w:sz w:val="72"/>
          <w:szCs w:val="72"/>
          <w:lang w:eastAsia="zh-CN"/>
        </w:rPr>
      </w:pPr>
      <w:bookmarkStart w:id="7" w:name="_Toc23786"/>
      <w:bookmarkStart w:id="8" w:name="_Toc15378442"/>
      <w:bookmarkStart w:id="9" w:name="_Toc15306268"/>
      <w:bookmarkStart w:id="10" w:name="_Toc15377426"/>
      <w:bookmarkStart w:id="11" w:name="_Toc15377194"/>
      <w:bookmarkStart w:id="12" w:name="_Toc15396476"/>
      <w:bookmarkStart w:id="13" w:name="_Toc15396598"/>
      <w:r>
        <w:rPr>
          <w:rFonts w:hint="eastAsia" w:ascii="方正小标宋简体" w:hAnsi="方正小标宋简体" w:eastAsia="方正小标宋简体" w:cs="方正小标宋简体"/>
          <w:sz w:val="72"/>
          <w:szCs w:val="72"/>
          <w:lang w:eastAsia="zh-CN"/>
        </w:rPr>
        <w:t>广元市朝天区人民法院</w:t>
      </w:r>
      <w:bookmarkEnd w:id="7"/>
    </w:p>
    <w:p>
      <w:pPr>
        <w:adjustRightInd w:val="0"/>
        <w:snapToGrid w:val="0"/>
        <w:spacing w:line="360" w:lineRule="auto"/>
        <w:jc w:val="center"/>
        <w:rPr>
          <w:rFonts w:ascii="方正小标宋简体" w:hAnsi="方正小标宋简体" w:eastAsia="方正小标宋简体" w:cs="方正小标宋简体"/>
          <w:sz w:val="72"/>
          <w:szCs w:val="72"/>
          <w:lang w:eastAsia="zh-CN"/>
        </w:rPr>
      </w:pPr>
      <w:bookmarkStart w:id="14" w:name="_Toc4976"/>
      <w:r>
        <w:rPr>
          <w:rFonts w:hint="eastAsia" w:ascii="方正小标宋简体" w:hAnsi="方正小标宋简体" w:eastAsia="方正小标宋简体" w:cs="方正小标宋简体"/>
          <w:sz w:val="72"/>
          <w:szCs w:val="72"/>
          <w:lang w:eastAsia="zh-CN"/>
        </w:rPr>
        <w:t>部门决算</w:t>
      </w:r>
      <w:bookmarkEnd w:id="8"/>
      <w:bookmarkEnd w:id="9"/>
      <w:bookmarkEnd w:id="10"/>
      <w:bookmarkEnd w:id="11"/>
      <w:bookmarkEnd w:id="12"/>
      <w:bookmarkEnd w:id="13"/>
      <w:bookmarkEnd w:id="14"/>
    </w:p>
    <w:p>
      <w:pPr>
        <w:jc w:val="center"/>
        <w:rPr>
          <w:rFonts w:ascii="黑体" w:hAnsi="黑体" w:eastAsia="黑体"/>
          <w:sz w:val="48"/>
          <w:szCs w:val="48"/>
          <w:lang w:eastAsia="zh-CN"/>
        </w:rPr>
      </w:pPr>
      <w:r>
        <w:rPr>
          <w:rFonts w:ascii="方正小标宋简体" w:hAnsi="宋体" w:eastAsia="方正小标宋简体"/>
          <w:sz w:val="36"/>
          <w:szCs w:val="36"/>
          <w:lang w:eastAsia="zh-CN"/>
        </w:rPr>
        <w:br w:type="page"/>
      </w:r>
      <w:r>
        <w:rPr>
          <w:rFonts w:hint="eastAsia" w:ascii="黑体" w:hAnsi="黑体" w:eastAsia="黑体"/>
          <w:sz w:val="48"/>
          <w:szCs w:val="48"/>
          <w:lang w:eastAsia="zh-CN"/>
        </w:rPr>
        <w:t>目录</w:t>
      </w:r>
    </w:p>
    <w:p>
      <w:pPr>
        <w:jc w:val="center"/>
        <w:rPr>
          <w:rFonts w:ascii="黑体" w:hAnsi="黑体" w:eastAsia="黑体" w:cstheme="minorBidi"/>
          <w:sz w:val="28"/>
          <w:szCs w:val="28"/>
          <w:lang w:eastAsia="zh-CN"/>
        </w:rPr>
      </w:pPr>
    </w:p>
    <w:p>
      <w:pPr>
        <w:pStyle w:val="21"/>
        <w:rPr>
          <w:lang w:eastAsia="zh-CN"/>
        </w:rPr>
      </w:pPr>
      <w:r>
        <w:rPr>
          <w:rFonts w:hint="eastAsia"/>
          <w:lang w:eastAsia="zh-CN"/>
        </w:rPr>
        <w:t>公开时间：2024年10月2日</w:t>
      </w:r>
    </w:p>
    <w:p>
      <w:pPr>
        <w:rPr>
          <w:rFonts w:ascii="仿宋" w:hAnsi="仿宋" w:eastAsia="仿宋"/>
          <w:sz w:val="24"/>
          <w:szCs w:val="28"/>
          <w:lang w:eastAsia="zh-CN"/>
        </w:rPr>
      </w:pPr>
      <w:bookmarkStart w:id="15" w:name="_Toc15377196"/>
      <w:bookmarkStart w:id="16" w:name="_Toc15396599"/>
    </w:p>
    <w:sdt>
      <w:sdtPr>
        <w:rPr>
          <w:smallCaps w:val="0"/>
          <w:spacing w:val="0"/>
          <w:sz w:val="22"/>
          <w:szCs w:val="22"/>
          <w:lang w:val="zh-CN"/>
        </w:rPr>
        <w:id w:val="24921963"/>
        <w:docPartObj>
          <w:docPartGallery w:val="Table of Contents"/>
          <w:docPartUnique/>
        </w:docPartObj>
      </w:sdtPr>
      <w:sdtEndPr>
        <w:rPr>
          <w:smallCaps w:val="0"/>
          <w:spacing w:val="0"/>
          <w:sz w:val="22"/>
          <w:szCs w:val="22"/>
          <w:lang w:val="en-US" w:eastAsia="zh-CN"/>
        </w:rPr>
      </w:sdtEndPr>
      <w:sdtContent>
        <w:p>
          <w:pPr>
            <w:pStyle w:val="99"/>
            <w:rPr>
              <w:lang w:eastAsia="zh-CN"/>
            </w:rPr>
          </w:pPr>
        </w:p>
        <w:p>
          <w:pPr>
            <w:pStyle w:val="21"/>
            <w:spacing w:before="130"/>
            <w:rPr>
              <w:rFonts w:asciiTheme="minorHAnsi" w:hAnsiTheme="minorHAnsi" w:eastAsiaTheme="minorEastAsia" w:cstheme="minorBidi"/>
              <w:kern w:val="2"/>
              <w:sz w:val="21"/>
              <w:szCs w:val="22"/>
              <w:lang w:eastAsia="zh-CN" w:bidi="ar-SA"/>
            </w:rPr>
          </w:pPr>
          <w:r>
            <w:rPr>
              <w:lang w:eastAsia="zh-CN"/>
            </w:rPr>
            <w:fldChar w:fldCharType="begin"/>
          </w:r>
          <w:r>
            <w:rPr>
              <w:lang w:eastAsia="zh-CN"/>
            </w:rPr>
            <w:instrText xml:space="preserve"> TOC \o "1-3" \h \z \u </w:instrText>
          </w:r>
          <w:r>
            <w:rPr>
              <w:lang w:eastAsia="zh-CN"/>
            </w:rPr>
            <w:fldChar w:fldCharType="separate"/>
          </w:r>
          <w:r>
            <w:fldChar w:fldCharType="begin"/>
          </w:r>
          <w:r>
            <w:instrText xml:space="preserve"> HYPERLINK \l "_Toc177054918" </w:instrText>
          </w:r>
          <w:r>
            <w:fldChar w:fldCharType="separate"/>
          </w:r>
          <w:r>
            <w:rPr>
              <w:rStyle w:val="34"/>
              <w:rFonts w:hint="eastAsia" w:ascii="黑体" w:hAnsi="黑体" w:eastAsia="黑体"/>
            </w:rPr>
            <w:t>第一部分</w:t>
          </w:r>
          <w:r>
            <w:rPr>
              <w:rStyle w:val="34"/>
              <w:rFonts w:ascii="黑体" w:hAnsi="黑体" w:eastAsia="黑体"/>
            </w:rPr>
            <w:t xml:space="preserve"> </w:t>
          </w:r>
          <w:r>
            <w:rPr>
              <w:rStyle w:val="34"/>
              <w:rFonts w:hint="eastAsia" w:ascii="黑体" w:hAnsi="黑体" w:eastAsia="黑体"/>
            </w:rPr>
            <w:t>部门概况</w:t>
          </w:r>
          <w:r>
            <w:tab/>
          </w:r>
          <w:r>
            <w:fldChar w:fldCharType="begin"/>
          </w:r>
          <w:r>
            <w:instrText xml:space="preserve"> PAGEREF _Toc177054918 \h </w:instrText>
          </w:r>
          <w:r>
            <w:fldChar w:fldCharType="separate"/>
          </w:r>
          <w:r>
            <w:t>4</w:t>
          </w:r>
          <w:r>
            <w:fldChar w:fldCharType="end"/>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"_Toc177054919" </w:instrText>
          </w:r>
          <w:r>
            <w:fldChar w:fldCharType="separate"/>
          </w:r>
          <w:r>
            <w:rPr>
              <w:rStyle w:val="34"/>
              <w:rFonts w:hint="eastAsia" w:ascii="黑体" w:hAnsi="黑体" w:eastAsia="黑体"/>
            </w:rPr>
            <w:t>一、部门职责</w:t>
          </w:r>
          <w:r>
            <w:tab/>
          </w:r>
          <w:r>
            <w:fldChar w:fldCharType="begin"/>
          </w:r>
          <w:r>
            <w:instrText xml:space="preserve"> PAGEREF _Toc177054919 \h </w:instrText>
          </w:r>
          <w:r>
            <w:fldChar w:fldCharType="separate"/>
          </w:r>
          <w:r>
            <w:t>4</w:t>
          </w:r>
          <w:r>
            <w:fldChar w:fldCharType="end"/>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"_Toc177054922" </w:instrText>
          </w:r>
          <w:r>
            <w:fldChar w:fldCharType="separate"/>
          </w:r>
          <w:r>
            <w:rPr>
              <w:rStyle w:val="34"/>
              <w:rFonts w:hint="eastAsia" w:ascii="黑体" w:hAnsi="黑体" w:eastAsia="黑体"/>
            </w:rPr>
            <w:t>二、机构设置</w:t>
          </w:r>
          <w:r>
            <w:tab/>
          </w:r>
          <w:r>
            <w:rPr>
              <w:rFonts w:hint="eastAsia"/>
              <w:lang w:val="en-US" w:eastAsia="zh-CN"/>
            </w:rPr>
            <w:t>5</w:t>
          </w:r>
          <w:r>
            <w:fldChar w:fldCharType="end"/>
          </w:r>
        </w:p>
        <w:p>
          <w:pPr>
            <w:pStyle w:val="21"/>
            <w:rPr>
              <w:rFonts w:asciiTheme="minorHAnsi" w:hAnsiTheme="minorHAnsi" w:eastAsiaTheme="minorEastAsia" w:cstheme="minorBidi"/>
              <w:kern w:val="2"/>
              <w:sz w:val="21"/>
              <w:szCs w:val="22"/>
              <w:lang w:eastAsia="zh-CN" w:bidi="ar-SA"/>
            </w:rPr>
          </w:pPr>
          <w:r>
            <w:fldChar w:fldCharType="begin"/>
          </w:r>
          <w:r>
            <w:instrText xml:space="preserve"> HYPERLINK \l "_Toc177054924" </w:instrText>
          </w:r>
          <w:r>
            <w:fldChar w:fldCharType="separate"/>
          </w:r>
          <w:r>
            <w:rPr>
              <w:rStyle w:val="34"/>
              <w:rFonts w:hint="eastAsia" w:ascii="黑体" w:hAnsi="黑体" w:eastAsia="黑体"/>
            </w:rPr>
            <w:t>第二部分</w:t>
          </w:r>
          <w:r>
            <w:rPr>
              <w:rStyle w:val="34"/>
              <w:rFonts w:ascii="黑体" w:hAnsi="黑体" w:eastAsia="黑体"/>
            </w:rPr>
            <w:t xml:space="preserve"> 2023</w:t>
          </w:r>
          <w:r>
            <w:rPr>
              <w:rStyle w:val="34"/>
              <w:rFonts w:hint="eastAsia" w:ascii="黑体" w:hAnsi="黑体" w:eastAsia="黑体"/>
            </w:rPr>
            <w:t>年度部门决算情况说明</w:t>
          </w:r>
          <w:r>
            <w:tab/>
          </w:r>
          <w:r>
            <w:rPr>
              <w:rFonts w:hint="eastAsia"/>
              <w:lang w:val="en-US" w:eastAsia="zh-CN"/>
            </w:rPr>
            <w:t>6</w:t>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"_Toc177054925" </w:instrText>
          </w:r>
          <w:r>
            <w:fldChar w:fldCharType="separate"/>
          </w:r>
          <w:r>
            <w:rPr>
              <w:rStyle w:val="34"/>
              <w:rFonts w:hint="eastAsia"/>
              <w:lang w:eastAsia="zh-CN"/>
            </w:rPr>
            <w:t>一、收入支出决算总体情况说明</w:t>
          </w:r>
          <w:r>
            <w:tab/>
          </w:r>
          <w:r>
            <w:fldChar w:fldCharType="begin"/>
          </w:r>
          <w:r>
            <w:instrText xml:space="preserve"> PAGEREF _Toc177054925 \h </w:instrText>
          </w:r>
          <w:r>
            <w:fldChar w:fldCharType="separate"/>
          </w:r>
          <w:r>
            <w:t>6</w:t>
          </w:r>
          <w:r>
            <w:fldChar w:fldCharType="end"/>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"_Toc177054926" </w:instrText>
          </w:r>
          <w:r>
            <w:fldChar w:fldCharType="separate"/>
          </w:r>
          <w:r>
            <w:rPr>
              <w:rStyle w:val="34"/>
              <w:rFonts w:hint="eastAsia"/>
              <w:lang w:eastAsia="zh-CN"/>
            </w:rPr>
            <w:t>三、收入决算情况说明</w:t>
          </w:r>
          <w:r>
            <w:tab/>
          </w:r>
          <w:r>
            <w:fldChar w:fldCharType="begin"/>
          </w:r>
          <w:r>
            <w:instrText xml:space="preserve"> PAGEREF _Toc177054926 \h </w:instrText>
          </w:r>
          <w:r>
            <w:fldChar w:fldCharType="separate"/>
          </w:r>
          <w:r>
            <w:t>6</w:t>
          </w:r>
          <w:r>
            <w:fldChar w:fldCharType="end"/>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"_Toc177054927" </w:instrText>
          </w:r>
          <w:r>
            <w:fldChar w:fldCharType="separate"/>
          </w:r>
          <w:r>
            <w:rPr>
              <w:rStyle w:val="34"/>
              <w:rFonts w:hint="eastAsia"/>
              <w:lang w:eastAsia="zh-CN"/>
            </w:rPr>
            <w:t>二、支出决算情况说明</w:t>
          </w:r>
          <w:r>
            <w:tab/>
          </w:r>
          <w:r>
            <w:fldChar w:fldCharType="begin"/>
          </w:r>
          <w:r>
            <w:instrText xml:space="preserve"> PAGEREF _Toc177054927 \h </w:instrText>
          </w:r>
          <w:r>
            <w:fldChar w:fldCharType="separate"/>
          </w:r>
          <w:r>
            <w:t>7</w:t>
          </w:r>
          <w:r>
            <w:fldChar w:fldCharType="end"/>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"_Toc177054928" </w:instrText>
          </w:r>
          <w:r>
            <w:fldChar w:fldCharType="separate"/>
          </w:r>
          <w:r>
            <w:rPr>
              <w:rStyle w:val="34"/>
              <w:rFonts w:hint="eastAsia"/>
            </w:rPr>
            <w:t>四、财政拨款收入支出决算总体情况说明</w:t>
          </w:r>
          <w:r>
            <w:tab/>
          </w:r>
          <w:r>
            <w:fldChar w:fldCharType="begin"/>
          </w:r>
          <w:r>
            <w:instrText xml:space="preserve"> PAGEREF _Toc177054928 \h </w:instrText>
          </w:r>
          <w:r>
            <w:fldChar w:fldCharType="separate"/>
          </w:r>
          <w:r>
            <w:t>8</w:t>
          </w:r>
          <w:r>
            <w:fldChar w:fldCharType="end"/>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"_Toc177054929" </w:instrText>
          </w:r>
          <w:r>
            <w:fldChar w:fldCharType="separate"/>
          </w:r>
          <w:r>
            <w:rPr>
              <w:rStyle w:val="34"/>
              <w:rFonts w:hint="eastAsia"/>
            </w:rPr>
            <w:t>五、</w:t>
          </w:r>
          <w:r>
            <w:rPr>
              <w:rStyle w:val="34"/>
              <w:rFonts w:hint="eastAsia"/>
              <w:b/>
            </w:rPr>
            <w:t>一</w:t>
          </w:r>
          <w:r>
            <w:rPr>
              <w:rStyle w:val="34"/>
              <w:rFonts w:hint="eastAsia"/>
            </w:rPr>
            <w:t>般公共预算财政拨款支出决算情况说明</w:t>
          </w:r>
          <w:r>
            <w:tab/>
          </w:r>
          <w:r>
            <w:fldChar w:fldCharType="begin"/>
          </w:r>
          <w:r>
            <w:instrText xml:space="preserve"> PAGEREF _Toc177054929 \h </w:instrText>
          </w:r>
          <w:r>
            <w:fldChar w:fldCharType="separate"/>
          </w:r>
          <w:r>
            <w:t>9</w:t>
          </w:r>
          <w:r>
            <w:fldChar w:fldCharType="end"/>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"_Toc177054933" </w:instrText>
          </w:r>
          <w:r>
            <w:fldChar w:fldCharType="separate"/>
          </w:r>
          <w:r>
            <w:rPr>
              <w:rStyle w:val="34"/>
              <w:rFonts w:hint="eastAsia" w:ascii="黑体" w:eastAsia="黑体"/>
            </w:rPr>
            <w:t>六</w:t>
          </w:r>
          <w:r>
            <w:rPr>
              <w:rStyle w:val="34"/>
              <w:rFonts w:hint="eastAsia" w:ascii="黑体" w:eastAsia="黑体"/>
              <w:b/>
            </w:rPr>
            <w:t>、</w:t>
          </w:r>
          <w:r>
            <w:rPr>
              <w:rStyle w:val="34"/>
              <w:rFonts w:hint="eastAsia" w:ascii="黑体" w:hAnsi="黑体" w:eastAsia="黑体"/>
              <w:b/>
            </w:rPr>
            <w:t>一</w:t>
          </w:r>
          <w:r>
            <w:rPr>
              <w:rStyle w:val="34"/>
              <w:rFonts w:hint="eastAsia" w:ascii="黑体" w:hAnsi="黑体" w:eastAsia="黑体"/>
              <w:smallCaps/>
            </w:rPr>
            <w:t>般公共预算财政拨款基本支出决算情况说明</w:t>
          </w:r>
          <w:r>
            <w:tab/>
          </w:r>
          <w:r>
            <w:fldChar w:fldCharType="begin"/>
          </w:r>
          <w:r>
            <w:instrText xml:space="preserve"> PAGEREF _Toc177054933 \h </w:instrText>
          </w:r>
          <w:r>
            <w:fldChar w:fldCharType="separate"/>
          </w:r>
          <w:r>
            <w:t>12</w:t>
          </w:r>
          <w:r>
            <w:fldChar w:fldCharType="end"/>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"_Toc177054934" </w:instrText>
          </w:r>
          <w:r>
            <w:fldChar w:fldCharType="separate"/>
          </w:r>
          <w:r>
            <w:rPr>
              <w:rStyle w:val="34"/>
              <w:rFonts w:hint="eastAsia"/>
            </w:rPr>
            <w:t>七、财政拨款“三公”经费支出决算情况说明</w:t>
          </w:r>
          <w:r>
            <w:tab/>
          </w:r>
          <w:r>
            <w:fldChar w:fldCharType="begin"/>
          </w:r>
          <w:r>
            <w:instrText xml:space="preserve"> PAGEREF _Toc177054934 \h </w:instrText>
          </w:r>
          <w:r>
            <w:fldChar w:fldCharType="separate"/>
          </w:r>
          <w:r>
            <w:t>13</w:t>
          </w:r>
          <w:r>
            <w:fldChar w:fldCharType="end"/>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"_Toc177054937" </w:instrText>
          </w:r>
          <w:r>
            <w:fldChar w:fldCharType="separate"/>
          </w:r>
          <w:r>
            <w:rPr>
              <w:rStyle w:val="34"/>
              <w:rFonts w:hint="eastAsia"/>
            </w:rPr>
            <w:t>八、政府性基金预算支出决算情况说明</w:t>
          </w:r>
          <w:r>
            <w:tab/>
          </w:r>
          <w:r>
            <w:fldChar w:fldCharType="begin"/>
          </w:r>
          <w:r>
            <w:instrText xml:space="preserve"> PAGEREF _Toc177054937 \h </w:instrText>
          </w:r>
          <w:r>
            <w:fldChar w:fldCharType="separate"/>
          </w:r>
          <w:r>
            <w:t>15</w:t>
          </w:r>
          <w:r>
            <w:fldChar w:fldCharType="end"/>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"_Toc177054938" </w:instrText>
          </w:r>
          <w:r>
            <w:fldChar w:fldCharType="separate"/>
          </w:r>
          <w:r>
            <w:rPr>
              <w:rStyle w:val="34"/>
              <w:rFonts w:hint="eastAsia"/>
              <w:lang w:eastAsia="zh-CN"/>
            </w:rPr>
            <w:t>九、国有资本经营预算支出决算情况说明</w:t>
          </w:r>
          <w:r>
            <w:tab/>
          </w:r>
          <w:r>
            <w:fldChar w:fldCharType="begin"/>
          </w:r>
          <w:r>
            <w:instrText xml:space="preserve"> PAGEREF _Toc177054938 \h </w:instrText>
          </w:r>
          <w:r>
            <w:fldChar w:fldCharType="separate"/>
          </w:r>
          <w:r>
            <w:t>15</w:t>
          </w:r>
          <w:r>
            <w:fldChar w:fldCharType="end"/>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"_Toc177054939" </w:instrText>
          </w:r>
          <w:r>
            <w:fldChar w:fldCharType="separate"/>
          </w:r>
          <w:r>
            <w:rPr>
              <w:rStyle w:val="34"/>
              <w:rFonts w:hint="eastAsia"/>
              <w:lang w:eastAsia="zh-CN"/>
            </w:rPr>
            <w:t>十、其他重要事项的情况说明</w:t>
          </w:r>
          <w:r>
            <w:tab/>
          </w:r>
          <w:r>
            <w:fldChar w:fldCharType="begin"/>
          </w:r>
          <w:r>
            <w:instrText xml:space="preserve"> PAGEREF _Toc177054939 \h </w:instrText>
          </w:r>
          <w:r>
            <w:fldChar w:fldCharType="separate"/>
          </w:r>
          <w:r>
            <w:t>15</w:t>
          </w:r>
          <w:r>
            <w:fldChar w:fldCharType="end"/>
          </w:r>
          <w:r>
            <w:fldChar w:fldCharType="end"/>
          </w:r>
        </w:p>
        <w:p>
          <w:pPr>
            <w:pStyle w:val="21"/>
            <w:rPr>
              <w:rFonts w:asciiTheme="minorHAnsi" w:hAnsiTheme="minorHAnsi" w:eastAsiaTheme="minorEastAsia" w:cstheme="minorBidi"/>
              <w:kern w:val="2"/>
              <w:sz w:val="21"/>
              <w:szCs w:val="22"/>
              <w:lang w:eastAsia="zh-CN" w:bidi="ar-SA"/>
            </w:rPr>
          </w:pPr>
          <w:r>
            <w:fldChar w:fldCharType="begin"/>
          </w:r>
          <w:r>
            <w:instrText xml:space="preserve"> HYPERLINK \l "_Toc177054944" </w:instrText>
          </w:r>
          <w:r>
            <w:fldChar w:fldCharType="separate"/>
          </w:r>
          <w:r>
            <w:rPr>
              <w:rStyle w:val="34"/>
              <w:rFonts w:hint="eastAsia" w:ascii="黑体" w:hAnsi="黑体" w:eastAsia="黑体"/>
            </w:rPr>
            <w:t>第三部分</w:t>
          </w:r>
          <w:r>
            <w:rPr>
              <w:rStyle w:val="34"/>
              <w:rFonts w:ascii="黑体" w:hAnsi="黑体" w:eastAsia="黑体"/>
            </w:rPr>
            <w:t xml:space="preserve"> </w:t>
          </w:r>
          <w:r>
            <w:rPr>
              <w:rStyle w:val="34"/>
              <w:rFonts w:hint="eastAsia" w:ascii="黑体" w:hAnsi="黑体" w:eastAsia="黑体"/>
            </w:rPr>
            <w:t>名词解释</w:t>
          </w:r>
          <w:r>
            <w:tab/>
          </w:r>
          <w:r>
            <w:fldChar w:fldCharType="begin"/>
          </w:r>
          <w:r>
            <w:instrText xml:space="preserve"> PAGEREF _Toc177054944 \h </w:instrText>
          </w:r>
          <w:r>
            <w:fldChar w:fldCharType="separate"/>
          </w:r>
          <w:r>
            <w:t>18</w:t>
          </w:r>
          <w:r>
            <w:fldChar w:fldCharType="end"/>
          </w:r>
          <w:r>
            <w:fldChar w:fldCharType="end"/>
          </w:r>
        </w:p>
        <w:p>
          <w:pPr>
            <w:pStyle w:val="21"/>
            <w:rPr>
              <w:rFonts w:asciiTheme="minorHAnsi" w:hAnsiTheme="minorHAnsi" w:eastAsiaTheme="minorEastAsia" w:cstheme="minorBidi"/>
              <w:kern w:val="2"/>
              <w:sz w:val="21"/>
              <w:szCs w:val="22"/>
              <w:lang w:eastAsia="zh-CN" w:bidi="ar-SA"/>
            </w:rPr>
          </w:pPr>
          <w:r>
            <w:fldChar w:fldCharType="begin"/>
          </w:r>
          <w:r>
            <w:instrText xml:space="preserve"> HYPERLINK \l "_Toc177054945" </w:instrText>
          </w:r>
          <w:r>
            <w:fldChar w:fldCharType="separate"/>
          </w:r>
          <w:r>
            <w:rPr>
              <w:rStyle w:val="34"/>
              <w:rFonts w:hint="eastAsia" w:ascii="黑体" w:hAnsi="黑体" w:eastAsia="黑体"/>
            </w:rPr>
            <w:t>第四部分</w:t>
          </w:r>
          <w:r>
            <w:rPr>
              <w:rStyle w:val="34"/>
              <w:rFonts w:ascii="黑体" w:hAnsi="黑体" w:eastAsia="黑体"/>
            </w:rPr>
            <w:t xml:space="preserve"> </w:t>
          </w:r>
          <w:r>
            <w:rPr>
              <w:rStyle w:val="34"/>
              <w:rFonts w:hint="eastAsia" w:ascii="黑体" w:hAnsi="黑体" w:eastAsia="黑体"/>
            </w:rPr>
            <w:t>附件</w:t>
          </w:r>
          <w:r>
            <w:tab/>
          </w:r>
          <w:r>
            <w:fldChar w:fldCharType="begin"/>
          </w:r>
          <w:r>
            <w:instrText xml:space="preserve"> PAGEREF _Toc177054945 \h </w:instrText>
          </w:r>
          <w:r>
            <w:fldChar w:fldCharType="separate"/>
          </w:r>
          <w:r>
            <w:t>21</w:t>
          </w:r>
          <w:r>
            <w:fldChar w:fldCharType="end"/>
          </w:r>
          <w:r>
            <w:fldChar w:fldCharType="end"/>
          </w:r>
        </w:p>
        <w:p>
          <w:pPr>
            <w:pStyle w:val="21"/>
            <w:rPr>
              <w:rFonts w:asciiTheme="minorHAnsi" w:hAnsiTheme="minorHAnsi" w:eastAsiaTheme="minorEastAsia" w:cstheme="minorBidi"/>
              <w:kern w:val="2"/>
              <w:sz w:val="21"/>
              <w:szCs w:val="22"/>
              <w:lang w:eastAsia="zh-CN" w:bidi="ar-SA"/>
            </w:rPr>
          </w:pPr>
          <w:r>
            <w:fldChar w:fldCharType="begin"/>
          </w:r>
          <w:r>
            <w:instrText xml:space="preserve"> HYPERLINK \l "_Toc177054946" </w:instrText>
          </w:r>
          <w:r>
            <w:fldChar w:fldCharType="separate"/>
          </w:r>
          <w:r>
            <w:rPr>
              <w:rStyle w:val="34"/>
              <w:rFonts w:hint="eastAsia" w:ascii="黑体" w:hAnsi="黑体" w:eastAsia="黑体"/>
            </w:rPr>
            <w:t>第五部分</w:t>
          </w:r>
          <w:r>
            <w:rPr>
              <w:rStyle w:val="34"/>
              <w:rFonts w:ascii="黑体" w:hAnsi="黑体" w:eastAsia="黑体"/>
            </w:rPr>
            <w:t xml:space="preserve"> </w:t>
          </w:r>
          <w:r>
            <w:rPr>
              <w:rStyle w:val="34"/>
              <w:rFonts w:hint="eastAsia" w:ascii="黑体" w:hAnsi="黑体" w:eastAsia="黑体"/>
            </w:rPr>
            <w:t>附表</w:t>
          </w:r>
          <w:r>
            <w:tab/>
          </w:r>
          <w:r>
            <w:fldChar w:fldCharType="begin"/>
          </w:r>
          <w:r>
            <w:instrText xml:space="preserve"> PAGEREF _Toc177054946 \h </w:instrText>
          </w:r>
          <w:r>
            <w:fldChar w:fldCharType="separate"/>
          </w:r>
          <w:r>
            <w:t>75</w:t>
          </w:r>
          <w:r>
            <w:fldChar w:fldCharType="end"/>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"_Toc177054947" </w:instrText>
          </w:r>
          <w:r>
            <w:fldChar w:fldCharType="separate"/>
          </w:r>
          <w:r>
            <w:rPr>
              <w:rStyle w:val="34"/>
              <w:rFonts w:hint="eastAsia"/>
            </w:rPr>
            <w:t>一、收入支出决算总表</w:t>
          </w:r>
          <w:r>
            <w:tab/>
          </w:r>
          <w:r>
            <w:fldChar w:fldCharType="begin"/>
          </w:r>
          <w:r>
            <w:instrText xml:space="preserve"> PAGEREF _Toc177054947 \h </w:instrText>
          </w:r>
          <w:r>
            <w:fldChar w:fldCharType="separate"/>
          </w:r>
          <w:r>
            <w:t>75</w:t>
          </w:r>
          <w:r>
            <w:fldChar w:fldCharType="end"/>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"_Toc177054948" </w:instrText>
          </w:r>
          <w:r>
            <w:fldChar w:fldCharType="separate"/>
          </w:r>
          <w:r>
            <w:rPr>
              <w:rStyle w:val="34"/>
              <w:rFonts w:hint="eastAsia"/>
            </w:rPr>
            <w:t>二、收入决算表</w:t>
          </w:r>
          <w:r>
            <w:tab/>
          </w:r>
          <w:r>
            <w:fldChar w:fldCharType="begin"/>
          </w:r>
          <w:r>
            <w:instrText xml:space="preserve"> PAGEREF _Toc177054948 \h </w:instrText>
          </w:r>
          <w:r>
            <w:fldChar w:fldCharType="separate"/>
          </w:r>
          <w:r>
            <w:t>75</w:t>
          </w:r>
          <w:r>
            <w:fldChar w:fldCharType="end"/>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"_Toc177054949" </w:instrText>
          </w:r>
          <w:r>
            <w:fldChar w:fldCharType="separate"/>
          </w:r>
          <w:r>
            <w:rPr>
              <w:rStyle w:val="34"/>
              <w:rFonts w:hint="eastAsia" w:ascii="仿宋" w:hAnsi="仿宋" w:eastAsia="仿宋"/>
            </w:rPr>
            <w:t>三、支出决算表</w:t>
          </w:r>
          <w:r>
            <w:tab/>
          </w:r>
          <w:r>
            <w:fldChar w:fldCharType="begin"/>
          </w:r>
          <w:r>
            <w:instrText xml:space="preserve"> PAGEREF _Toc177054949 \h </w:instrText>
          </w:r>
          <w:r>
            <w:fldChar w:fldCharType="separate"/>
          </w:r>
          <w:r>
            <w:t>75</w:t>
          </w:r>
          <w:r>
            <w:fldChar w:fldCharType="end"/>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"_Toc177054950" </w:instrText>
          </w:r>
          <w:r>
            <w:fldChar w:fldCharType="separate"/>
          </w:r>
          <w:r>
            <w:rPr>
              <w:rStyle w:val="34"/>
              <w:rFonts w:hint="eastAsia" w:ascii="仿宋" w:hAnsi="仿宋" w:eastAsia="仿宋"/>
            </w:rPr>
            <w:t>四、财政拨款收入支出决算总表</w:t>
          </w:r>
          <w:r>
            <w:tab/>
          </w:r>
          <w:r>
            <w:fldChar w:fldCharType="begin"/>
          </w:r>
          <w:r>
            <w:instrText xml:space="preserve"> PAGEREF _Toc177054950 \h </w:instrText>
          </w:r>
          <w:r>
            <w:fldChar w:fldCharType="separate"/>
          </w:r>
          <w:r>
            <w:t>75</w:t>
          </w:r>
          <w:r>
            <w:fldChar w:fldCharType="end"/>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"_Toc177054951" </w:instrText>
          </w:r>
          <w:r>
            <w:fldChar w:fldCharType="separate"/>
          </w:r>
          <w:r>
            <w:rPr>
              <w:rStyle w:val="34"/>
              <w:rFonts w:hint="eastAsia" w:ascii="仿宋" w:hAnsi="仿宋" w:eastAsia="仿宋"/>
            </w:rPr>
            <w:t>五、财政拨款支出决算明细表</w:t>
          </w:r>
          <w:r>
            <w:tab/>
          </w:r>
          <w:r>
            <w:fldChar w:fldCharType="begin"/>
          </w:r>
          <w:r>
            <w:instrText xml:space="preserve"> PAGEREF _Toc177054951 \h </w:instrText>
          </w:r>
          <w:r>
            <w:fldChar w:fldCharType="separate"/>
          </w:r>
          <w:r>
            <w:t>75</w:t>
          </w:r>
          <w:r>
            <w:fldChar w:fldCharType="end"/>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"_Toc177054952" </w:instrText>
          </w:r>
          <w:r>
            <w:fldChar w:fldCharType="separate"/>
          </w:r>
          <w:r>
            <w:rPr>
              <w:rStyle w:val="34"/>
              <w:rFonts w:hint="eastAsia" w:ascii="仿宋" w:hAnsi="仿宋" w:eastAsia="仿宋"/>
            </w:rPr>
            <w:t>六、一般公共预算财政拨款支出决算表</w:t>
          </w:r>
          <w:r>
            <w:tab/>
          </w:r>
          <w:r>
            <w:fldChar w:fldCharType="begin"/>
          </w:r>
          <w:r>
            <w:instrText xml:space="preserve"> PAGEREF _Toc177054952 \h </w:instrText>
          </w:r>
          <w:r>
            <w:fldChar w:fldCharType="separate"/>
          </w:r>
          <w:r>
            <w:t>75</w:t>
          </w:r>
          <w:r>
            <w:fldChar w:fldCharType="end"/>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"_Toc177054953" </w:instrText>
          </w:r>
          <w:r>
            <w:fldChar w:fldCharType="separate"/>
          </w:r>
          <w:r>
            <w:rPr>
              <w:rStyle w:val="34"/>
              <w:rFonts w:hint="eastAsia" w:ascii="仿宋" w:hAnsi="仿宋" w:eastAsia="仿宋"/>
            </w:rPr>
            <w:t>七、一般公共预算财政拨款支出决算明细表</w:t>
          </w:r>
          <w:r>
            <w:tab/>
          </w:r>
          <w:r>
            <w:fldChar w:fldCharType="begin"/>
          </w:r>
          <w:r>
            <w:instrText xml:space="preserve"> PAGEREF _Toc177054953 \h </w:instrText>
          </w:r>
          <w:r>
            <w:fldChar w:fldCharType="separate"/>
          </w:r>
          <w:r>
            <w:t>75</w:t>
          </w:r>
          <w:r>
            <w:fldChar w:fldCharType="end"/>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"_Toc177054954" </w:instrText>
          </w:r>
          <w:r>
            <w:fldChar w:fldCharType="separate"/>
          </w:r>
          <w:r>
            <w:rPr>
              <w:rStyle w:val="34"/>
              <w:rFonts w:hint="eastAsia" w:ascii="仿宋" w:hAnsi="仿宋" w:eastAsia="仿宋"/>
            </w:rPr>
            <w:t>八、一般公共预算财政拨款基本支出决算表</w:t>
          </w:r>
          <w:r>
            <w:tab/>
          </w:r>
          <w:r>
            <w:fldChar w:fldCharType="begin"/>
          </w:r>
          <w:r>
            <w:instrText xml:space="preserve"> PAGEREF _Toc177054954 \h </w:instrText>
          </w:r>
          <w:r>
            <w:fldChar w:fldCharType="separate"/>
          </w:r>
          <w:r>
            <w:t>75</w:t>
          </w:r>
          <w:r>
            <w:fldChar w:fldCharType="end"/>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"_Toc177054955" </w:instrText>
          </w:r>
          <w:r>
            <w:fldChar w:fldCharType="separate"/>
          </w:r>
          <w:r>
            <w:rPr>
              <w:rStyle w:val="34"/>
              <w:rFonts w:hint="eastAsia" w:ascii="仿宋" w:hAnsi="仿宋" w:eastAsia="仿宋"/>
            </w:rPr>
            <w:t>九、一般公共预算财政拨款项目支出决算表</w:t>
          </w:r>
          <w:r>
            <w:tab/>
          </w:r>
          <w:r>
            <w:fldChar w:fldCharType="begin"/>
          </w:r>
          <w:r>
            <w:instrText xml:space="preserve"> PAGEREF _Toc177054955 \h </w:instrText>
          </w:r>
          <w:r>
            <w:fldChar w:fldCharType="separate"/>
          </w:r>
          <w:r>
            <w:t>75</w:t>
          </w:r>
          <w:r>
            <w:fldChar w:fldCharType="end"/>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"_Toc177054956" </w:instrText>
          </w:r>
          <w:r>
            <w:fldChar w:fldCharType="separate"/>
          </w:r>
          <w:r>
            <w:rPr>
              <w:rStyle w:val="34"/>
              <w:rFonts w:hint="eastAsia" w:ascii="仿宋" w:hAnsi="仿宋" w:eastAsia="仿宋"/>
            </w:rPr>
            <w:t>十、政府性基金预算财政拨款收入支出决算表</w:t>
          </w:r>
          <w:r>
            <w:tab/>
          </w:r>
          <w:r>
            <w:fldChar w:fldCharType="begin"/>
          </w:r>
          <w:r>
            <w:instrText xml:space="preserve"> PAGEREF _Toc177054956 \h </w:instrText>
          </w:r>
          <w:r>
            <w:fldChar w:fldCharType="separate"/>
          </w:r>
          <w:r>
            <w:t>75</w:t>
          </w:r>
          <w:r>
            <w:fldChar w:fldCharType="end"/>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"_Toc177054957" </w:instrText>
          </w:r>
          <w:r>
            <w:fldChar w:fldCharType="separate"/>
          </w:r>
          <w:r>
            <w:rPr>
              <w:rStyle w:val="34"/>
              <w:rFonts w:hint="eastAsia" w:ascii="仿宋" w:hAnsi="仿宋" w:eastAsia="仿宋"/>
            </w:rPr>
            <w:t>十一、国有资本经营预算财政拨款收入支出决算表</w:t>
          </w:r>
          <w:r>
            <w:tab/>
          </w:r>
          <w:r>
            <w:fldChar w:fldCharType="begin"/>
          </w:r>
          <w:r>
            <w:instrText xml:space="preserve"> PAGEREF _Toc177054957 \h </w:instrText>
          </w:r>
          <w:r>
            <w:fldChar w:fldCharType="separate"/>
          </w:r>
          <w:r>
            <w:t>75</w:t>
          </w:r>
          <w:r>
            <w:fldChar w:fldCharType="end"/>
          </w:r>
          <w:r>
            <w:fldChar w:fldCharType="end"/>
          </w:r>
        </w:p>
        <w:p>
          <w:pPr>
            <w:pStyle w:val="23"/>
            <w:ind w:left="440"/>
            <w:rPr>
              <w:rFonts w:asciiTheme="minorHAnsi" w:hAnsiTheme="minorHAnsi" w:eastAsiaTheme="minorEastAsia" w:cstheme="minorBidi"/>
              <w:kern w:val="2"/>
              <w:sz w:val="21"/>
              <w:lang w:eastAsia="zh-CN" w:bidi="ar-SA"/>
            </w:rPr>
          </w:pPr>
          <w:r>
            <w:fldChar w:fldCharType="begin"/>
          </w:r>
          <w:r>
            <w:instrText xml:space="preserve"> HYPERLINK \l "_Toc177054958" </w:instrText>
          </w:r>
          <w:r>
            <w:fldChar w:fldCharType="separate"/>
          </w:r>
          <w:r>
            <w:rPr>
              <w:rStyle w:val="34"/>
              <w:rFonts w:hint="eastAsia" w:ascii="仿宋" w:hAnsi="仿宋" w:eastAsia="仿宋"/>
            </w:rPr>
            <w:t>十二、国有资本经营预算财政拨款支出决算表</w:t>
          </w:r>
          <w:r>
            <w:tab/>
          </w:r>
          <w:r>
            <w:fldChar w:fldCharType="begin"/>
          </w:r>
          <w:r>
            <w:instrText xml:space="preserve"> PAGEREF _Toc177054958 \h </w:instrText>
          </w:r>
          <w:r>
            <w:fldChar w:fldCharType="separate"/>
          </w:r>
          <w:r>
            <w:t>76</w:t>
          </w:r>
          <w:r>
            <w:fldChar w:fldCharType="end"/>
          </w:r>
          <w:r>
            <w:fldChar w:fldCharType="end"/>
          </w:r>
        </w:p>
        <w:p>
          <w:pPr>
            <w:pStyle w:val="23"/>
            <w:spacing w:before="217"/>
            <w:ind w:left="440"/>
            <w:rPr>
              <w:rFonts w:asciiTheme="minorHAnsi" w:hAnsiTheme="minorHAnsi" w:eastAsiaTheme="minorEastAsia" w:cstheme="minorBidi"/>
              <w:kern w:val="2"/>
              <w:sz w:val="21"/>
              <w:lang w:eastAsia="zh-CN" w:bidi="ar-SA"/>
            </w:rPr>
          </w:pPr>
          <w:r>
            <w:fldChar w:fldCharType="begin"/>
          </w:r>
          <w:r>
            <w:instrText xml:space="preserve"> HYPERLINK \l "_Toc177054959" </w:instrText>
          </w:r>
          <w:r>
            <w:fldChar w:fldCharType="separate"/>
          </w:r>
          <w:r>
            <w:rPr>
              <w:rStyle w:val="34"/>
              <w:rFonts w:hint="eastAsia" w:ascii="仿宋" w:hAnsi="仿宋" w:eastAsia="仿宋"/>
            </w:rPr>
            <w:t>十三、财政拨款“三公”经费支出决算表</w:t>
          </w:r>
          <w:r>
            <w:tab/>
          </w:r>
          <w:r>
            <w:fldChar w:fldCharType="begin"/>
          </w:r>
          <w:r>
            <w:instrText xml:space="preserve"> PAGEREF _Toc177054959 \h </w:instrText>
          </w:r>
          <w:r>
            <w:fldChar w:fldCharType="separate"/>
          </w:r>
          <w:r>
            <w:t>76</w:t>
          </w:r>
          <w:r>
            <w:fldChar w:fldCharType="end"/>
          </w:r>
          <w:r>
            <w:fldChar w:fldCharType="end"/>
          </w:r>
        </w:p>
        <w:p>
          <w:pPr>
            <w:rPr>
              <w:lang w:eastAsia="zh-CN"/>
            </w:rPr>
          </w:pPr>
          <w:r>
            <w:rPr>
              <w:lang w:eastAsia="zh-CN"/>
            </w:rPr>
            <w:fldChar w:fldCharType="end"/>
          </w:r>
        </w:p>
      </w:sdtContent>
    </w:sdt>
    <w:p>
      <w:pPr>
        <w:spacing w:line="440" w:lineRule="exact"/>
        <w:jc w:val="center"/>
        <w:rPr>
          <w:rFonts w:ascii="仿宋" w:hAnsi="仿宋" w:eastAsia="仿宋"/>
          <w:sz w:val="24"/>
          <w:szCs w:val="28"/>
          <w:lang w:eastAsia="zh-CN"/>
        </w:rPr>
      </w:pPr>
      <w:bookmarkStart w:id="17" w:name="_Toc20573"/>
      <w:bookmarkStart w:id="18" w:name="_Toc177054918"/>
      <w:r>
        <w:rPr>
          <w:rFonts w:hint="eastAsia" w:ascii="黑体" w:hAnsi="黑体" w:eastAsia="黑体"/>
          <w:sz w:val="44"/>
          <w:szCs w:val="44"/>
          <w:lang w:eastAsia="zh-CN"/>
        </w:rPr>
        <w:t>第一部分 部门概况</w:t>
      </w:r>
      <w:bookmarkEnd w:id="15"/>
      <w:bookmarkEnd w:id="16"/>
      <w:bookmarkEnd w:id="17"/>
      <w:bookmarkEnd w:id="18"/>
    </w:p>
    <w:p>
      <w:pPr>
        <w:pStyle w:val="3"/>
        <w:rPr>
          <w:rStyle w:val="51"/>
          <w:rFonts w:ascii="黑体" w:hAnsi="黑体" w:eastAsia="黑体" w:cstheme="majorBidi"/>
          <w:b w:val="0"/>
          <w:bCs w:val="0"/>
          <w:kern w:val="0"/>
          <w:lang w:eastAsia="zh-CN"/>
        </w:rPr>
      </w:pPr>
      <w:bookmarkStart w:id="19" w:name="_Toc15377197"/>
      <w:bookmarkStart w:id="20" w:name="_Toc15396600"/>
      <w:bookmarkStart w:id="21" w:name="_Toc177054919"/>
      <w:bookmarkStart w:id="22" w:name="_Toc29493"/>
      <w:r>
        <w:rPr>
          <w:rFonts w:hint="eastAsia" w:ascii="黑体" w:hAnsi="黑体" w:eastAsia="黑体"/>
          <w:sz w:val="32"/>
          <w:szCs w:val="32"/>
          <w:lang w:eastAsia="zh-CN"/>
        </w:rPr>
        <w:t>一、</w:t>
      </w:r>
      <w:bookmarkEnd w:id="19"/>
      <w:bookmarkEnd w:id="20"/>
      <w:r>
        <w:rPr>
          <w:rFonts w:hint="eastAsia" w:ascii="黑体" w:hAnsi="黑体" w:eastAsia="黑体"/>
          <w:sz w:val="32"/>
          <w:szCs w:val="32"/>
          <w:lang w:eastAsia="zh-CN"/>
        </w:rPr>
        <w:t>部门职责</w:t>
      </w:r>
      <w:bookmarkEnd w:id="21"/>
      <w:bookmarkEnd w:id="22"/>
    </w:p>
    <w:p>
      <w:pPr>
        <w:pStyle w:val="14"/>
        <w:adjustRightInd w:val="0"/>
        <w:snapToGrid w:val="0"/>
        <w:spacing w:before="130" w:line="576" w:lineRule="exact"/>
        <w:ind w:firstLine="640" w:firstLineChars="200"/>
        <w:outlineLvl w:val="2"/>
        <w:rPr>
          <w:rFonts w:hAnsi="仿宋"/>
          <w:bCs/>
          <w:sz w:val="32"/>
          <w:szCs w:val="32"/>
          <w:lang w:eastAsia="zh-CN"/>
        </w:rPr>
      </w:pPr>
      <w:bookmarkStart w:id="23" w:name="_Toc177054920"/>
      <w:bookmarkStart w:id="24" w:name="_Toc15378445"/>
      <w:bookmarkStart w:id="25" w:name="_Toc15377198"/>
      <w:r>
        <w:rPr>
          <w:rFonts w:hint="eastAsia" w:hAnsi="仿宋"/>
          <w:bCs/>
          <w:sz w:val="32"/>
          <w:szCs w:val="32"/>
          <w:lang w:eastAsia="zh-CN"/>
        </w:rPr>
        <w:t>（一）主要职能。</w:t>
      </w:r>
      <w:bookmarkEnd w:id="23"/>
      <w:bookmarkEnd w:id="24"/>
      <w:bookmarkEnd w:id="25"/>
    </w:p>
    <w:p>
      <w:pPr>
        <w:spacing w:line="576" w:lineRule="exact"/>
        <w:ind w:firstLine="640" w:firstLineChars="200"/>
        <w:rPr>
          <w:rFonts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1）广元市朝天区人民法院是国家审判机关，依法独立行使审判权，对朝天区人民代表大会及其常委会负责并报告工作，接受区人民代表大会及其常务委员会的法律监督、政协朝天区委员会的民主监督和广元市中级人民法院的指导。</w:t>
      </w:r>
    </w:p>
    <w:p>
      <w:pPr>
        <w:spacing w:line="576" w:lineRule="exact"/>
        <w:ind w:firstLine="640" w:firstLineChars="200"/>
        <w:rPr>
          <w:rFonts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（2）依法审判法律规定由本院管辖和指定管辖的刑事、民事、行政等案件。</w:t>
      </w:r>
    </w:p>
    <w:p>
      <w:pPr>
        <w:spacing w:line="576" w:lineRule="exact"/>
        <w:ind w:firstLine="640" w:firstLineChars="200"/>
        <w:rPr>
          <w:rFonts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（3）受理不服本院生效裁判的各类申诉和再审申请，对其中可能有错误的进行再审；审判市中级法院指定审理和再审的案件。</w:t>
      </w:r>
    </w:p>
    <w:p>
      <w:pPr>
        <w:spacing w:line="576" w:lineRule="exact"/>
        <w:ind w:firstLine="640" w:firstLineChars="200"/>
        <w:rPr>
          <w:rFonts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（4）依法行使司法执行权和司法决定权。</w:t>
      </w:r>
    </w:p>
    <w:p>
      <w:pPr>
        <w:spacing w:line="576" w:lineRule="exact"/>
        <w:ind w:firstLine="640" w:firstLineChars="200"/>
        <w:rPr>
          <w:rFonts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（5）对本院的法官、司法警察和其他工作人员进行教育、管理和培训工作。</w:t>
      </w:r>
    </w:p>
    <w:p>
      <w:pPr>
        <w:spacing w:line="576" w:lineRule="exact"/>
        <w:ind w:firstLine="640" w:firstLineChars="200"/>
        <w:rPr>
          <w:rFonts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（6）对本院的法官、司法警察和其他工作人员实施廉政建设教育和纪检监察工作，报处和查处本院干警违纪案件。</w:t>
      </w:r>
    </w:p>
    <w:p>
      <w:pPr>
        <w:spacing w:line="576" w:lineRule="exact"/>
        <w:ind w:firstLine="640" w:firstLineChars="200"/>
        <w:rPr>
          <w:rFonts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（7）在审判工作中宣传法制、教育公民遵守宪法、法律。</w:t>
      </w:r>
    </w:p>
    <w:p>
      <w:pPr>
        <w:spacing w:line="576" w:lineRule="exact"/>
        <w:ind w:firstLine="640" w:firstLineChars="200"/>
        <w:rPr>
          <w:rFonts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（8）规划、管理本院财务、装备工作。</w:t>
      </w:r>
    </w:p>
    <w:p>
      <w:pPr>
        <w:spacing w:line="576" w:lineRule="exact"/>
        <w:ind w:firstLine="640" w:firstLineChars="200"/>
        <w:rPr>
          <w:rFonts w:ascii="仿宋_GB2312" w:hAnsi="仿宋" w:eastAsia="仿宋_GB2312"/>
          <w:bCs/>
          <w:sz w:val="32"/>
          <w:szCs w:val="32"/>
          <w:lang w:eastAsia="zh-CN"/>
        </w:rPr>
      </w:pPr>
      <w:r>
        <w:rPr>
          <w:rFonts w:hint="eastAsia" w:ascii="仿宋_GB2312" w:hAnsi="仿宋_GB2312" w:eastAsia="仿宋_GB2312" w:cs="仿宋_GB2312"/>
          <w:color w:val="000000"/>
          <w:sz w:val="32"/>
          <w:szCs w:val="32"/>
          <w:lang w:eastAsia="zh-CN"/>
        </w:rPr>
        <w:t>（9）承办其他应由本院负责的工作。</w:t>
      </w:r>
    </w:p>
    <w:p>
      <w:pPr>
        <w:pStyle w:val="3"/>
        <w:rPr>
          <w:rFonts w:ascii="黑体" w:hAnsi="黑体" w:eastAsia="黑体"/>
          <w:sz w:val="32"/>
          <w:szCs w:val="32"/>
          <w:lang w:eastAsia="zh-CN"/>
        </w:rPr>
      </w:pPr>
      <w:bookmarkStart w:id="26" w:name="_Toc15396601"/>
      <w:bookmarkStart w:id="27" w:name="_Toc177054922"/>
      <w:bookmarkStart w:id="28" w:name="_Toc8449"/>
      <w:bookmarkStart w:id="29" w:name="_Toc15377200"/>
      <w:r>
        <w:rPr>
          <w:rFonts w:hint="eastAsia" w:ascii="黑体" w:hAnsi="黑体" w:eastAsia="黑体"/>
          <w:sz w:val="32"/>
          <w:szCs w:val="32"/>
          <w:lang w:eastAsia="zh-CN"/>
        </w:rPr>
        <w:t>二、机构设置</w:t>
      </w:r>
      <w:bookmarkEnd w:id="26"/>
      <w:bookmarkEnd w:id="27"/>
      <w:bookmarkEnd w:id="28"/>
      <w:bookmarkEnd w:id="29"/>
    </w:p>
    <w:p>
      <w:pPr>
        <w:pBdr>
          <w:bottom w:val="single" w:color="FFFFFF" w:sz="8" w:space="31"/>
        </w:pBdr>
        <w:shd w:val="clear" w:color="auto"/>
        <w:spacing w:line="560" w:lineRule="exact"/>
        <w:ind w:firstLine="640" w:firstLineChars="200"/>
        <w:rPr>
          <w:rFonts w:hint="eastAsia" w:ascii="仿宋_GB2312" w:hAnsi="仿宋_GB2312" w:eastAsia="仿宋_GB2312" w:cs="仿宋_GB2312"/>
          <w:sz w:val="32"/>
          <w:szCs w:val="32"/>
          <w:lang w:eastAsia="zh-CN"/>
        </w:rPr>
      </w:pPr>
      <w:bookmarkStart w:id="30" w:name="_Toc15377204"/>
      <w:bookmarkStart w:id="31" w:name="_Toc15396602"/>
      <w:r>
        <w:rPr>
          <w:rFonts w:hint="eastAsia" w:ascii="仿宋_GB2312" w:hAnsi="仿宋_GB2312" w:eastAsia="仿宋_GB2312" w:cs="仿宋_GB2312"/>
          <w:sz w:val="32"/>
          <w:szCs w:val="32"/>
          <w:lang w:eastAsia="zh-CN"/>
        </w:rPr>
        <w:t>广元市朝天区人民法院部门为一级预算单位，</w:t>
      </w:r>
      <w:r>
        <w:rPr>
          <w:rFonts w:hint="eastAsia" w:ascii="仿宋_GB2312" w:eastAsia="仿宋_GB2312"/>
          <w:sz w:val="32"/>
          <w:szCs w:val="32"/>
          <w:lang w:eastAsia="zh-CN"/>
        </w:rPr>
        <w:t>下属二级预算单位</w:t>
      </w:r>
      <w:r>
        <w:rPr>
          <w:rFonts w:hint="eastAsia" w:ascii="仿宋_GB2312" w:eastAsia="仿宋_GB2312"/>
          <w:sz w:val="32"/>
          <w:szCs w:val="32"/>
          <w:lang w:val="en-US" w:eastAsia="zh-CN"/>
        </w:rPr>
        <w:t>1个为广元市朝天区人民法院</w:t>
      </w:r>
      <w:r>
        <w:rPr>
          <w:rFonts w:hint="eastAsia" w:ascii="仿宋_GB2312" w:eastAsia="仿宋_GB2312"/>
          <w:sz w:val="32"/>
          <w:szCs w:val="32"/>
          <w:lang w:eastAsia="zh-CN"/>
        </w:rPr>
        <w:t>。全院</w:t>
      </w:r>
      <w:r>
        <w:rPr>
          <w:rFonts w:hint="eastAsia" w:ascii="仿宋_GB2312" w:hAnsi="仿宋_GB2312" w:eastAsia="仿宋_GB2312" w:cs="仿宋_GB2312"/>
          <w:sz w:val="32"/>
          <w:szCs w:val="32"/>
          <w:lang w:eastAsia="zh-CN"/>
        </w:rPr>
        <w:t>总编制46名，其中政法专项编制42名，事业编制4名。实有人数48人，其中政法专项编制人员38名，事业人员4人，工勤人员6人。</w:t>
      </w:r>
    </w:p>
    <w:p>
      <w:pPr>
        <w:pStyle w:val="2"/>
        <w:ind w:right="440"/>
        <w:jc w:val="center"/>
        <w:rPr>
          <w:rFonts w:ascii="黑体" w:hAnsi="黑体" w:eastAsia="黑体"/>
          <w:b/>
          <w:lang w:eastAsia="zh-CN"/>
        </w:rPr>
      </w:pPr>
    </w:p>
    <w:p>
      <w:pPr>
        <w:pStyle w:val="2"/>
        <w:ind w:right="440"/>
        <w:jc w:val="center"/>
        <w:rPr>
          <w:rFonts w:ascii="黑体" w:hAnsi="黑体" w:eastAsia="黑体"/>
          <w:b/>
          <w:lang w:eastAsia="zh-CN"/>
        </w:rPr>
      </w:pPr>
    </w:p>
    <w:p>
      <w:pPr>
        <w:pStyle w:val="2"/>
        <w:ind w:right="440"/>
        <w:jc w:val="center"/>
        <w:rPr>
          <w:rFonts w:ascii="黑体" w:hAnsi="黑体" w:eastAsia="黑体"/>
          <w:b/>
          <w:lang w:eastAsia="zh-CN"/>
        </w:rPr>
      </w:pPr>
    </w:p>
    <w:p>
      <w:pPr>
        <w:pStyle w:val="2"/>
        <w:ind w:right="440"/>
        <w:jc w:val="center"/>
        <w:rPr>
          <w:rFonts w:ascii="黑体" w:hAnsi="黑体" w:eastAsia="黑体"/>
          <w:b/>
          <w:lang w:eastAsia="zh-CN"/>
        </w:rPr>
      </w:pPr>
    </w:p>
    <w:p>
      <w:pPr>
        <w:pStyle w:val="2"/>
        <w:ind w:right="440"/>
        <w:jc w:val="center"/>
        <w:rPr>
          <w:rFonts w:ascii="黑体" w:hAnsi="黑体" w:eastAsia="黑体"/>
          <w:b/>
          <w:lang w:eastAsia="zh-CN"/>
        </w:rPr>
      </w:pPr>
    </w:p>
    <w:p>
      <w:pPr>
        <w:pStyle w:val="2"/>
        <w:ind w:right="440"/>
        <w:jc w:val="center"/>
        <w:rPr>
          <w:rFonts w:ascii="黑体" w:hAnsi="黑体" w:eastAsia="黑体"/>
          <w:b/>
          <w:lang w:eastAsia="zh-CN"/>
        </w:rPr>
      </w:pPr>
    </w:p>
    <w:p>
      <w:pPr>
        <w:rPr>
          <w:lang w:eastAsia="zh-CN"/>
        </w:rPr>
      </w:pPr>
    </w:p>
    <w:p>
      <w:pPr>
        <w:rPr>
          <w:lang w:eastAsia="zh-CN"/>
        </w:rPr>
      </w:pPr>
    </w:p>
    <w:p>
      <w:pPr>
        <w:rPr>
          <w:lang w:eastAsia="zh-CN"/>
        </w:rPr>
      </w:pPr>
    </w:p>
    <w:p>
      <w:pPr>
        <w:pStyle w:val="2"/>
        <w:jc w:val="center"/>
        <w:rPr>
          <w:rFonts w:ascii="黑体" w:hAnsi="黑体" w:eastAsia="黑体"/>
          <w:sz w:val="44"/>
          <w:szCs w:val="44"/>
          <w:lang w:eastAsia="zh-CN"/>
        </w:rPr>
      </w:pPr>
      <w:bookmarkStart w:id="32" w:name="_Toc177054924"/>
      <w:bookmarkStart w:id="33" w:name="_Toc7376"/>
      <w:r>
        <w:rPr>
          <w:rFonts w:hint="eastAsia" w:ascii="黑体" w:hAnsi="黑体" w:eastAsia="黑体"/>
          <w:sz w:val="44"/>
          <w:szCs w:val="44"/>
          <w:lang w:eastAsia="zh-CN"/>
        </w:rPr>
        <w:t>第二部分 2023年度部门决算情况说明</w:t>
      </w:r>
      <w:bookmarkEnd w:id="30"/>
      <w:bookmarkEnd w:id="31"/>
      <w:bookmarkEnd w:id="32"/>
      <w:bookmarkEnd w:id="33"/>
    </w:p>
    <w:p>
      <w:pPr>
        <w:pStyle w:val="3"/>
        <w:rPr>
          <w:rFonts w:ascii="黑体" w:hAnsi="黑体" w:eastAsia="黑体"/>
          <w:b/>
          <w:sz w:val="32"/>
          <w:szCs w:val="32"/>
          <w:lang w:eastAsia="zh-CN"/>
        </w:rPr>
      </w:pPr>
      <w:bookmarkStart w:id="34" w:name="_Toc15377205"/>
      <w:bookmarkStart w:id="35" w:name="_Toc177054925"/>
      <w:bookmarkStart w:id="36" w:name="_Toc314"/>
      <w:bookmarkStart w:id="37" w:name="_Toc15396603"/>
      <w:r>
        <w:rPr>
          <w:rFonts w:hint="eastAsia" w:ascii="黑体" w:hAnsi="黑体" w:eastAsia="黑体"/>
          <w:sz w:val="32"/>
          <w:szCs w:val="32"/>
          <w:lang w:eastAsia="zh-CN"/>
        </w:rPr>
        <w:t>一、收入支出决算总体情况说明</w:t>
      </w:r>
      <w:bookmarkEnd w:id="34"/>
      <w:bookmarkEnd w:id="35"/>
      <w:bookmarkEnd w:id="36"/>
      <w:bookmarkEnd w:id="37"/>
    </w:p>
    <w:p>
      <w:pPr>
        <w:spacing w:line="600" w:lineRule="exact"/>
        <w:ind w:firstLine="640" w:firstLineChars="200"/>
        <w:rPr>
          <w:rFonts w:ascii="仿宋_GB2312" w:hAnsi="仿宋" w:eastAsia="仿宋_GB2312"/>
          <w:sz w:val="32"/>
          <w:szCs w:val="32"/>
          <w:lang w:eastAsia="zh-CN"/>
        </w:rPr>
      </w:pPr>
      <w:r>
        <w:rPr>
          <w:rFonts w:hint="eastAsia" w:ascii="仿宋_GB2312" w:hAnsi="仿宋" w:eastAsia="仿宋_GB2312"/>
          <w:sz w:val="32"/>
          <w:szCs w:val="32"/>
          <w:lang w:eastAsia="zh-CN"/>
        </w:rPr>
        <w:t>2023年度收、支总计2085.81万元。与2022年相比，收、支总计各增加874.64万元，增长72.2%。主要变动原因是2023年财政拨付的审判法庭与金堆新区停车场及配套设施合建项目款项增加；2、人员增加。</w:t>
      </w:r>
    </w:p>
    <w:p>
      <w:pPr>
        <w:pStyle w:val="19"/>
        <w:rPr>
          <w:lang w:eastAsia="zh-CN"/>
        </w:rPr>
      </w:pPr>
    </w:p>
    <w:p>
      <w:pPr>
        <w:pStyle w:val="19"/>
        <w:rPr>
          <w:rFonts w:ascii="仿宋" w:hAnsi="仿宋" w:eastAsia="仿宋"/>
          <w:sz w:val="32"/>
          <w:szCs w:val="32"/>
        </w:rPr>
      </w:pPr>
      <w:r>
        <w:rPr>
          <w:rFonts w:ascii="仿宋" w:hAnsi="仿宋" w:eastAsia="仿宋"/>
          <w:sz w:val="32"/>
          <w:szCs w:val="32"/>
          <w:lang w:eastAsia="zh-CN" w:bidi="ar-SA"/>
        </w:rPr>
        <w:drawing>
          <wp:inline distT="0" distB="0" distL="0" distR="0">
            <wp:extent cx="5486400" cy="3200400"/>
            <wp:effectExtent l="19050" t="0" r="19050" b="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jc w:val="center"/>
        <w:rPr>
          <w:rFonts w:ascii="仿宋" w:hAnsi="仿宋" w:eastAsia="仿宋"/>
          <w:sz w:val="32"/>
          <w:szCs w:val="32"/>
          <w:lang w:eastAsia="zh-CN"/>
        </w:rPr>
      </w:pPr>
      <w:r>
        <w:rPr>
          <w:rFonts w:hint="eastAsia" w:ascii="仿宋" w:hAnsi="仿宋" w:eastAsia="仿宋"/>
          <w:sz w:val="32"/>
          <w:szCs w:val="32"/>
          <w:lang w:eastAsia="zh-CN"/>
        </w:rPr>
        <w:t>（图</w:t>
      </w:r>
      <w:r>
        <w:rPr>
          <w:rFonts w:ascii="仿宋" w:hAnsi="仿宋" w:eastAsia="仿宋"/>
          <w:sz w:val="32"/>
          <w:szCs w:val="32"/>
          <w:lang w:eastAsia="zh-CN"/>
        </w:rPr>
        <w:t>1</w:t>
      </w:r>
      <w:r>
        <w:rPr>
          <w:rFonts w:hint="eastAsia" w:ascii="仿宋" w:hAnsi="仿宋" w:eastAsia="仿宋"/>
          <w:sz w:val="32"/>
          <w:szCs w:val="32"/>
          <w:lang w:eastAsia="zh-CN"/>
        </w:rPr>
        <w:t>：收、支决算总计变动情况图）</w:t>
      </w:r>
    </w:p>
    <w:p>
      <w:pPr>
        <w:pStyle w:val="3"/>
        <w:rPr>
          <w:rFonts w:ascii="黑体" w:hAnsi="黑体" w:eastAsia="黑体"/>
          <w:b/>
          <w:sz w:val="32"/>
          <w:szCs w:val="32"/>
          <w:lang w:eastAsia="zh-CN"/>
        </w:rPr>
      </w:pPr>
      <w:bookmarkStart w:id="38" w:name="_Toc15396604"/>
      <w:bookmarkStart w:id="39" w:name="_Toc15377206"/>
      <w:bookmarkStart w:id="40" w:name="_Toc22056"/>
      <w:bookmarkStart w:id="41" w:name="_Toc177054926"/>
      <w:r>
        <w:rPr>
          <w:rFonts w:hint="eastAsia" w:ascii="黑体" w:hAnsi="黑体" w:eastAsia="黑体"/>
          <w:sz w:val="32"/>
          <w:szCs w:val="32"/>
          <w:lang w:eastAsia="zh-CN"/>
        </w:rPr>
        <w:t>二、收入决算情况说明</w:t>
      </w:r>
      <w:bookmarkEnd w:id="38"/>
      <w:bookmarkEnd w:id="39"/>
      <w:bookmarkEnd w:id="40"/>
      <w:bookmarkEnd w:id="41"/>
    </w:p>
    <w:p>
      <w:pPr>
        <w:spacing w:line="600" w:lineRule="exact"/>
        <w:ind w:firstLine="640" w:firstLineChars="200"/>
        <w:rPr>
          <w:rFonts w:ascii="仿宋_GB2312" w:hAnsi="仿宋" w:eastAsia="仿宋_GB2312"/>
          <w:sz w:val="32"/>
          <w:szCs w:val="32"/>
          <w:lang w:eastAsia="zh-CN"/>
        </w:rPr>
      </w:pPr>
      <w:r>
        <w:rPr>
          <w:rFonts w:hint="eastAsia" w:ascii="仿宋_GB2312" w:hAnsi="仿宋" w:eastAsia="仿宋_GB2312"/>
          <w:sz w:val="32"/>
          <w:szCs w:val="32"/>
          <w:lang w:eastAsia="zh-CN"/>
        </w:rPr>
        <w:t>2023年度本年收入合计2085.81万元，其中：一般公共预算财政拨款收入1249.35万元，占60%；其他收入836.45，占40%。</w:t>
      </w:r>
    </w:p>
    <w:p>
      <w:r>
        <w:rPr>
          <w:rFonts w:hint="eastAsia"/>
          <w:lang w:eastAsia="zh-CN" w:bidi="ar-SA"/>
        </w:rPr>
        <w:drawing>
          <wp:inline distT="0" distB="0" distL="0" distR="0">
            <wp:extent cx="5486400" cy="3200400"/>
            <wp:effectExtent l="19050" t="0" r="1905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jc w:val="center"/>
        <w:rPr>
          <w:rFonts w:ascii="仿宋" w:hAnsi="仿宋" w:eastAsia="仿宋"/>
          <w:sz w:val="32"/>
          <w:szCs w:val="32"/>
          <w:lang w:eastAsia="zh-CN"/>
        </w:rPr>
      </w:pPr>
      <w:r>
        <w:rPr>
          <w:rFonts w:hint="eastAsia" w:ascii="仿宋" w:hAnsi="仿宋" w:eastAsia="仿宋"/>
          <w:sz w:val="32"/>
          <w:szCs w:val="32"/>
          <w:lang w:eastAsia="zh-CN"/>
        </w:rPr>
        <w:t>（图2：收入决算结构图）</w:t>
      </w:r>
    </w:p>
    <w:p>
      <w:pPr>
        <w:pStyle w:val="3"/>
        <w:rPr>
          <w:rFonts w:ascii="黑体" w:hAnsi="黑体" w:eastAsia="黑体"/>
          <w:b/>
          <w:sz w:val="32"/>
          <w:szCs w:val="32"/>
          <w:lang w:eastAsia="zh-CN"/>
        </w:rPr>
      </w:pPr>
      <w:bookmarkStart w:id="42" w:name="_Toc177054927"/>
      <w:bookmarkStart w:id="43" w:name="_Toc15396605"/>
      <w:bookmarkStart w:id="44" w:name="_Toc15377207"/>
      <w:bookmarkStart w:id="45" w:name="_Toc29644"/>
      <w:r>
        <w:rPr>
          <w:rFonts w:hint="eastAsia" w:ascii="黑体" w:hAnsi="黑体" w:eastAsia="黑体"/>
          <w:sz w:val="32"/>
          <w:szCs w:val="32"/>
          <w:lang w:eastAsia="zh-CN"/>
        </w:rPr>
        <w:t>三、支出决算情况说明</w:t>
      </w:r>
      <w:bookmarkEnd w:id="42"/>
      <w:bookmarkEnd w:id="43"/>
      <w:bookmarkEnd w:id="44"/>
      <w:bookmarkEnd w:id="45"/>
    </w:p>
    <w:p>
      <w:pPr>
        <w:spacing w:line="600" w:lineRule="exact"/>
        <w:ind w:firstLine="640" w:firstLineChars="200"/>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2023年本年支出合计2085.81元，其中：基本支出1102.96</w:t>
      </w:r>
    </w:p>
    <w:p>
      <w:pPr>
        <w:spacing w:line="60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万元，占52.88%；项目支出982.85万元，占47.12%。</w:t>
      </w:r>
    </w:p>
    <w:p>
      <w:pPr>
        <w:pStyle w:val="19"/>
      </w:pPr>
      <w:r>
        <w:rPr>
          <w:lang w:eastAsia="zh-CN" w:bidi="ar-SA"/>
        </w:rPr>
        <w:drawing>
          <wp:inline distT="0" distB="0" distL="0" distR="0">
            <wp:extent cx="5543550" cy="3200400"/>
            <wp:effectExtent l="19050" t="0" r="19050" b="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jc w:val="center"/>
        <w:rPr>
          <w:rFonts w:ascii="仿宋" w:hAnsi="仿宋" w:eastAsia="仿宋"/>
          <w:sz w:val="32"/>
          <w:szCs w:val="32"/>
          <w:lang w:eastAsia="zh-CN"/>
        </w:rPr>
      </w:pPr>
      <w:r>
        <w:rPr>
          <w:rFonts w:hint="eastAsia" w:ascii="仿宋" w:hAnsi="仿宋" w:eastAsia="仿宋"/>
          <w:sz w:val="32"/>
          <w:szCs w:val="32"/>
          <w:lang w:eastAsia="zh-CN"/>
        </w:rPr>
        <w:t>（图3：支出决算结构图）</w:t>
      </w:r>
    </w:p>
    <w:p>
      <w:pPr>
        <w:pStyle w:val="3"/>
        <w:rPr>
          <w:rFonts w:ascii="黑体" w:hAnsi="黑体" w:eastAsia="黑体"/>
          <w:b/>
          <w:sz w:val="32"/>
          <w:szCs w:val="32"/>
          <w:lang w:eastAsia="zh-CN"/>
        </w:rPr>
      </w:pPr>
      <w:bookmarkStart w:id="46" w:name="_Toc15377208"/>
      <w:bookmarkStart w:id="47" w:name="_Toc7371"/>
      <w:bookmarkStart w:id="48" w:name="_Toc15396606"/>
      <w:bookmarkStart w:id="49" w:name="_Toc177054928"/>
      <w:r>
        <w:rPr>
          <w:rFonts w:hint="eastAsia" w:ascii="黑体" w:hAnsi="黑体" w:eastAsia="黑体"/>
          <w:sz w:val="32"/>
          <w:szCs w:val="32"/>
          <w:lang w:eastAsia="zh-CN"/>
        </w:rPr>
        <w:t>四、财政拨款收入支出决算总体情况说明</w:t>
      </w:r>
      <w:bookmarkEnd w:id="46"/>
      <w:bookmarkEnd w:id="47"/>
      <w:bookmarkEnd w:id="48"/>
      <w:bookmarkEnd w:id="49"/>
    </w:p>
    <w:p>
      <w:pPr>
        <w:spacing w:line="600" w:lineRule="exact"/>
        <w:ind w:firstLine="640" w:firstLineChars="200"/>
        <w:rPr>
          <w:rFonts w:ascii="仿宋" w:hAnsi="仿宋" w:eastAsia="仿宋"/>
          <w:sz w:val="32"/>
          <w:szCs w:val="32"/>
          <w:lang w:eastAsia="zh-CN"/>
        </w:rPr>
      </w:pPr>
      <w:r>
        <w:rPr>
          <w:rFonts w:hint="eastAsia" w:ascii="仿宋_GB2312" w:hAnsi="仿宋_GB2312" w:eastAsia="仿宋_GB2312" w:cs="仿宋_GB2312"/>
          <w:sz w:val="32"/>
          <w:szCs w:val="32"/>
          <w:lang w:eastAsia="zh-CN"/>
        </w:rPr>
        <w:t>2023年财政拨款收、支总计1249.35万元。与2022年相比，财政拨款收、支总计各增加38.18万元，增长72.2%。主要变动原因是1、2023年财</w:t>
      </w:r>
      <w:r>
        <w:rPr>
          <w:rFonts w:hint="eastAsia" w:ascii="仿宋_GB2312" w:hAnsi="仿宋" w:eastAsia="仿宋_GB2312"/>
          <w:sz w:val="32"/>
          <w:szCs w:val="32"/>
          <w:lang w:eastAsia="zh-CN"/>
        </w:rPr>
        <w:t>政拨付的审判法庭与金堆新区停车场及配套设施合建项目款项增加；2、人员增加</w:t>
      </w:r>
      <w:r>
        <w:rPr>
          <w:rFonts w:hint="eastAsia" w:ascii="仿宋" w:hAnsi="仿宋" w:eastAsia="仿宋"/>
          <w:sz w:val="32"/>
          <w:szCs w:val="32"/>
          <w:lang w:eastAsia="zh-CN"/>
        </w:rPr>
        <w:t>。</w:t>
      </w:r>
    </w:p>
    <w:p>
      <w:pPr>
        <w:pStyle w:val="14"/>
        <w:spacing w:before="130"/>
      </w:pPr>
      <w:r>
        <w:rPr>
          <w:rFonts w:hint="eastAsia"/>
          <w:lang w:eastAsia="zh-CN" w:bidi="ar-SA"/>
        </w:rPr>
        <w:drawing>
          <wp:inline distT="0" distB="0" distL="0" distR="0">
            <wp:extent cx="5486400" cy="3200400"/>
            <wp:effectExtent l="19050" t="0" r="1905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jc w:val="center"/>
        <w:rPr>
          <w:rFonts w:ascii="仿宋" w:hAnsi="仿宋" w:eastAsia="仿宋"/>
          <w:sz w:val="32"/>
          <w:szCs w:val="32"/>
          <w:lang w:eastAsia="zh-CN"/>
        </w:rPr>
      </w:pPr>
      <w:r>
        <w:rPr>
          <w:rFonts w:hint="eastAsia" w:ascii="仿宋" w:hAnsi="仿宋" w:eastAsia="仿宋"/>
          <w:sz w:val="32"/>
          <w:szCs w:val="32"/>
          <w:lang w:eastAsia="zh-CN"/>
        </w:rPr>
        <w:t>（图4：财政拨款收、支决算总计变动情况）</w:t>
      </w:r>
    </w:p>
    <w:p>
      <w:pPr>
        <w:pStyle w:val="3"/>
        <w:rPr>
          <w:rFonts w:ascii="黑体" w:hAnsi="黑体" w:eastAsia="黑体"/>
          <w:b/>
          <w:sz w:val="32"/>
          <w:szCs w:val="32"/>
          <w:lang w:eastAsia="zh-CN"/>
        </w:rPr>
      </w:pPr>
      <w:bookmarkStart w:id="50" w:name="_Toc15396607"/>
      <w:bookmarkStart w:id="51" w:name="_Toc177054929"/>
      <w:bookmarkStart w:id="52" w:name="_Toc22139"/>
      <w:bookmarkStart w:id="53" w:name="_Toc15377209"/>
      <w:r>
        <w:rPr>
          <w:rFonts w:hint="eastAsia" w:ascii="黑体" w:hAnsi="黑体" w:eastAsia="黑体"/>
          <w:sz w:val="32"/>
          <w:szCs w:val="32"/>
          <w:lang w:eastAsia="zh-CN"/>
        </w:rPr>
        <w:t>五、</w:t>
      </w:r>
      <w:r>
        <w:rPr>
          <w:rFonts w:hint="eastAsia" w:ascii="黑体" w:hAnsi="黑体" w:eastAsia="黑体"/>
          <w:b/>
          <w:sz w:val="32"/>
          <w:szCs w:val="32"/>
          <w:lang w:eastAsia="zh-CN"/>
        </w:rPr>
        <w:t>一</w:t>
      </w:r>
      <w:r>
        <w:rPr>
          <w:rFonts w:hint="eastAsia" w:ascii="黑体" w:hAnsi="黑体" w:eastAsia="黑体"/>
          <w:sz w:val="32"/>
          <w:szCs w:val="32"/>
          <w:lang w:eastAsia="zh-CN"/>
        </w:rPr>
        <w:t>般公共预算财政拨款支出决算情况说明</w:t>
      </w:r>
      <w:bookmarkEnd w:id="50"/>
      <w:bookmarkEnd w:id="51"/>
      <w:bookmarkEnd w:id="52"/>
      <w:bookmarkEnd w:id="53"/>
    </w:p>
    <w:p>
      <w:pPr>
        <w:spacing w:line="600" w:lineRule="exact"/>
        <w:ind w:firstLine="472" w:firstLineChars="147"/>
        <w:outlineLvl w:val="2"/>
        <w:rPr>
          <w:rFonts w:hint="eastAsia" w:ascii="仿宋_GB2312" w:hAnsi="仿宋_GB2312" w:eastAsia="仿宋_GB2312" w:cs="仿宋_GB2312"/>
          <w:b/>
          <w:sz w:val="32"/>
          <w:szCs w:val="32"/>
          <w:lang w:eastAsia="zh-CN"/>
        </w:rPr>
      </w:pPr>
      <w:bookmarkStart w:id="54" w:name="_Toc177054930"/>
      <w:bookmarkStart w:id="55" w:name="_Toc15377210"/>
      <w:r>
        <w:rPr>
          <w:rFonts w:hint="eastAsia" w:ascii="仿宋_GB2312" w:hAnsi="仿宋_GB2312" w:eastAsia="仿宋_GB2312" w:cs="仿宋_GB2312"/>
          <w:b/>
          <w:sz w:val="32"/>
          <w:szCs w:val="32"/>
          <w:lang w:eastAsia="zh-CN"/>
        </w:rPr>
        <w:t>（一）一般公共预算财政拨款支出决算总体情况</w:t>
      </w:r>
      <w:bookmarkEnd w:id="54"/>
      <w:bookmarkEnd w:id="55"/>
    </w:p>
    <w:p>
      <w:pPr>
        <w:spacing w:line="576" w:lineRule="exact"/>
        <w:ind w:firstLine="640" w:firstLineChars="200"/>
        <w:rPr>
          <w:rFonts w:ascii="仿宋" w:hAnsi="仿宋" w:eastAsia="仿宋"/>
          <w:sz w:val="32"/>
          <w:szCs w:val="32"/>
          <w:lang w:eastAsia="zh-CN"/>
        </w:rPr>
      </w:pPr>
      <w:r>
        <w:rPr>
          <w:rFonts w:hint="eastAsia" w:ascii="仿宋_GB2312" w:hAnsi="仿宋_GB2312" w:eastAsia="仿宋_GB2312" w:cs="仿宋_GB2312"/>
          <w:sz w:val="32"/>
          <w:szCs w:val="32"/>
          <w:lang w:eastAsia="zh-CN"/>
        </w:rPr>
        <w:t>2023年一般公共预算财政拨款支出2085.81万元，占本年支出合计的100%。与2022年相比，一般公共预算财政拨款支出增加874.64万元，增长72.2%。主要变动原因是2023年财政拨付的审判法庭与金堆</w:t>
      </w:r>
      <w:r>
        <w:rPr>
          <w:rFonts w:hint="eastAsia" w:ascii="仿宋_GB2312" w:hAnsi="仿宋" w:eastAsia="仿宋_GB2312"/>
          <w:sz w:val="32"/>
          <w:szCs w:val="32"/>
          <w:lang w:eastAsia="zh-CN"/>
        </w:rPr>
        <w:t>新区停车场及配套设施合建项目款项增加；2、人员增加</w:t>
      </w:r>
      <w:r>
        <w:rPr>
          <w:rFonts w:hint="eastAsia" w:ascii="仿宋" w:hAnsi="仿宋" w:eastAsia="仿宋"/>
          <w:sz w:val="32"/>
          <w:szCs w:val="32"/>
          <w:lang w:eastAsia="zh-CN"/>
        </w:rPr>
        <w:t>。</w:t>
      </w:r>
    </w:p>
    <w:p>
      <w:pPr>
        <w:pStyle w:val="19"/>
        <w:rPr>
          <w:lang w:eastAsia="zh-CN"/>
        </w:rPr>
      </w:pPr>
    </w:p>
    <w:p>
      <w:pPr>
        <w:pStyle w:val="19"/>
      </w:pPr>
      <w:r>
        <w:rPr>
          <w:lang w:eastAsia="zh-CN" w:bidi="ar-SA"/>
        </w:rPr>
        <w:drawing>
          <wp:inline distT="0" distB="0" distL="0" distR="0">
            <wp:extent cx="5486400" cy="3200400"/>
            <wp:effectExtent l="19050" t="0" r="19050" b="0"/>
            <wp:docPr id="17"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576" w:lineRule="exact"/>
        <w:ind w:firstLine="640" w:firstLineChars="200"/>
        <w:rPr>
          <w:rFonts w:ascii="仿宋" w:hAnsi="仿宋" w:eastAsia="仿宋"/>
          <w:sz w:val="32"/>
          <w:szCs w:val="32"/>
          <w:lang w:eastAsia="zh-CN"/>
        </w:rPr>
      </w:pPr>
      <w:r>
        <w:rPr>
          <w:rFonts w:hint="eastAsia" w:ascii="仿宋" w:hAnsi="仿宋" w:eastAsia="仿宋"/>
          <w:sz w:val="32"/>
          <w:szCs w:val="32"/>
          <w:lang w:eastAsia="zh-CN"/>
        </w:rPr>
        <w:t>（图5：一般公共预算财政拨款支出决算变动情况）</w:t>
      </w:r>
    </w:p>
    <w:p>
      <w:pPr>
        <w:spacing w:line="600" w:lineRule="exact"/>
        <w:ind w:firstLine="642" w:firstLineChars="200"/>
        <w:outlineLvl w:val="2"/>
        <w:rPr>
          <w:rFonts w:ascii="仿宋" w:hAnsi="仿宋" w:eastAsia="仿宋"/>
          <w:b/>
          <w:sz w:val="32"/>
          <w:szCs w:val="32"/>
          <w:lang w:eastAsia="zh-CN"/>
        </w:rPr>
      </w:pPr>
      <w:bookmarkStart w:id="56" w:name="_Toc15377211"/>
      <w:bookmarkStart w:id="57" w:name="_Toc177054931"/>
      <w:r>
        <w:rPr>
          <w:rFonts w:hint="eastAsia" w:ascii="仿宋" w:hAnsi="仿宋" w:eastAsia="仿宋"/>
          <w:b/>
          <w:sz w:val="32"/>
          <w:szCs w:val="32"/>
          <w:lang w:eastAsia="zh-CN"/>
        </w:rPr>
        <w:t>（二）一般公共预算财政拨款支出决算结构</w:t>
      </w:r>
      <w:bookmarkEnd w:id="56"/>
      <w:r>
        <w:rPr>
          <w:rFonts w:hint="eastAsia" w:ascii="仿宋_GB2312" w:hAnsi="仿宋_GB2312" w:eastAsia="仿宋_GB2312" w:cs="仿宋_GB2312"/>
          <w:b/>
          <w:sz w:val="32"/>
          <w:szCs w:val="32"/>
          <w:lang w:eastAsia="zh-CN"/>
        </w:rPr>
        <w:t>情况</w:t>
      </w:r>
      <w:bookmarkEnd w:id="57"/>
    </w:p>
    <w:p>
      <w:pPr>
        <w:rPr>
          <w:rFonts w:ascii="仿宋" w:hAnsi="仿宋" w:eastAsia="仿宋"/>
          <w:sz w:val="32"/>
          <w:szCs w:val="32"/>
          <w:lang w:eastAsia="zh-CN"/>
        </w:rPr>
      </w:pPr>
    </w:p>
    <w:p>
      <w:pPr>
        <w:rPr>
          <w:rFonts w:ascii="仿宋" w:hAnsi="仿宋" w:eastAsia="仿宋"/>
          <w:sz w:val="32"/>
          <w:szCs w:val="32"/>
          <w:lang w:eastAsia="zh-CN"/>
        </w:rPr>
      </w:pPr>
    </w:p>
    <w:p>
      <w:pPr>
        <w:keepNext/>
        <w:keepLines/>
        <w:spacing w:line="576" w:lineRule="exact"/>
        <w:ind w:firstLine="641"/>
        <w:rPr>
          <w:rFonts w:ascii="仿宋_GB2312" w:hAnsi="仿宋_GB2312" w:eastAsia="仿宋_GB2312"/>
          <w:color w:val="000000"/>
          <w:sz w:val="32"/>
          <w:lang w:val="zh-CN" w:eastAsia="zh-CN"/>
        </w:rPr>
      </w:pPr>
      <w:r>
        <w:rPr>
          <w:rFonts w:hint="eastAsia" w:ascii="仿宋_GB2312" w:hAnsi="仿宋_GB2312" w:eastAsia="仿宋_GB2312" w:cs="仿宋_GB2312"/>
          <w:sz w:val="32"/>
          <w:szCs w:val="32"/>
          <w:lang w:eastAsia="zh-CN"/>
        </w:rPr>
        <w:t>2023年一般公共预算财政拨款支出1249.35万元，主要用于以下方面：</w:t>
      </w:r>
      <w:r>
        <w:rPr>
          <w:rFonts w:hint="eastAsia" w:ascii="仿宋_GB2312" w:hAnsi="仿宋_GB2312" w:eastAsia="仿宋_GB2312" w:cs="仿宋_GB2312"/>
          <w:color w:val="000000"/>
          <w:sz w:val="32"/>
          <w:lang w:val="zh-CN" w:eastAsia="zh-CN"/>
        </w:rPr>
        <w:t>公共安全支出</w:t>
      </w:r>
      <w:r>
        <w:rPr>
          <w:rFonts w:hint="eastAsia" w:ascii="仿宋_GB2312" w:hAnsi="仿宋_GB2312" w:eastAsia="仿宋_GB2312" w:cs="仿宋_GB2312"/>
          <w:color w:val="000000"/>
          <w:sz w:val="32"/>
          <w:lang w:eastAsia="zh-CN"/>
        </w:rPr>
        <w:t>1103.32</w:t>
      </w:r>
      <w:r>
        <w:rPr>
          <w:rFonts w:hint="eastAsia" w:ascii="仿宋_GB2312" w:hAnsi="仿宋_GB2312" w:eastAsia="仿宋_GB2312" w:cs="仿宋_GB2312"/>
          <w:color w:val="000000"/>
          <w:sz w:val="32"/>
          <w:lang w:val="zh-CN" w:eastAsia="zh-CN"/>
        </w:rPr>
        <w:t>万元，占</w:t>
      </w:r>
      <w:r>
        <w:rPr>
          <w:rFonts w:hint="eastAsia" w:ascii="仿宋_GB2312" w:hAnsi="仿宋_GB2312" w:eastAsia="仿宋_GB2312" w:cs="仿宋_GB2312"/>
          <w:color w:val="000000"/>
          <w:sz w:val="32"/>
          <w:lang w:eastAsia="zh-CN"/>
        </w:rPr>
        <w:t>88.31</w:t>
      </w:r>
      <w:r>
        <w:rPr>
          <w:rFonts w:hint="eastAsia" w:ascii="仿宋_GB2312" w:hAnsi="仿宋_GB2312" w:eastAsia="仿宋_GB2312" w:cs="仿宋_GB2312"/>
          <w:color w:val="000000"/>
          <w:sz w:val="32"/>
          <w:lang w:val="zh-CN" w:eastAsia="zh-CN"/>
        </w:rPr>
        <w:t>%；社会保障和就业支</w:t>
      </w:r>
      <w:r>
        <w:rPr>
          <w:rFonts w:hint="eastAsia" w:ascii="仿宋_GB2312" w:hAnsi="仿宋_GB2312" w:eastAsia="仿宋_GB2312"/>
          <w:color w:val="000000"/>
          <w:sz w:val="32"/>
          <w:lang w:val="zh-CN" w:eastAsia="zh-CN"/>
        </w:rPr>
        <w:t>出</w:t>
      </w:r>
      <w:r>
        <w:rPr>
          <w:rFonts w:hint="eastAsia" w:ascii="仿宋_GB2312" w:hAnsi="仿宋_GB2312" w:eastAsia="仿宋_GB2312"/>
          <w:color w:val="000000"/>
          <w:sz w:val="32"/>
          <w:lang w:eastAsia="zh-CN"/>
        </w:rPr>
        <w:t>67.17</w:t>
      </w:r>
      <w:r>
        <w:rPr>
          <w:rFonts w:hint="eastAsia" w:ascii="仿宋_GB2312" w:hAnsi="仿宋_GB2312" w:eastAsia="仿宋_GB2312"/>
          <w:color w:val="000000"/>
          <w:sz w:val="32"/>
          <w:lang w:val="zh-CN" w:eastAsia="zh-CN"/>
        </w:rPr>
        <w:t>万元，占</w:t>
      </w:r>
      <w:r>
        <w:rPr>
          <w:rFonts w:hint="eastAsia" w:ascii="仿宋_GB2312" w:hAnsi="仿宋_GB2312" w:eastAsia="仿宋_GB2312"/>
          <w:color w:val="000000"/>
          <w:sz w:val="32"/>
          <w:lang w:eastAsia="zh-CN"/>
        </w:rPr>
        <w:t>5.37</w:t>
      </w:r>
      <w:r>
        <w:rPr>
          <w:rFonts w:hint="eastAsia" w:ascii="仿宋_GB2312" w:hAnsi="仿宋_GB2312" w:eastAsia="仿宋_GB2312"/>
          <w:color w:val="000000"/>
          <w:sz w:val="32"/>
          <w:lang w:val="zh-CN" w:eastAsia="zh-CN"/>
        </w:rPr>
        <w:t>%；卫生健康支出29.94万元，占</w:t>
      </w:r>
      <w:r>
        <w:rPr>
          <w:rFonts w:hint="eastAsia" w:ascii="仿宋_GB2312" w:hAnsi="仿宋_GB2312" w:eastAsia="仿宋_GB2312"/>
          <w:color w:val="000000"/>
          <w:sz w:val="32"/>
          <w:lang w:eastAsia="zh-CN"/>
        </w:rPr>
        <w:t>2.41</w:t>
      </w:r>
      <w:r>
        <w:rPr>
          <w:rFonts w:hint="eastAsia" w:ascii="仿宋_GB2312" w:hAnsi="仿宋_GB2312" w:eastAsia="仿宋_GB2312"/>
          <w:color w:val="000000"/>
          <w:sz w:val="32"/>
          <w:lang w:val="zh-CN" w:eastAsia="zh-CN"/>
        </w:rPr>
        <w:t>%；住房保障支出</w:t>
      </w:r>
      <w:r>
        <w:rPr>
          <w:rFonts w:hint="eastAsia" w:ascii="仿宋_GB2312" w:hAnsi="仿宋_GB2312" w:eastAsia="仿宋_GB2312"/>
          <w:color w:val="000000"/>
          <w:sz w:val="32"/>
          <w:lang w:eastAsia="zh-CN"/>
        </w:rPr>
        <w:t>48.91</w:t>
      </w:r>
      <w:r>
        <w:rPr>
          <w:rFonts w:hint="eastAsia" w:ascii="仿宋_GB2312" w:hAnsi="仿宋_GB2312" w:eastAsia="仿宋_GB2312"/>
          <w:color w:val="000000"/>
          <w:sz w:val="32"/>
          <w:lang w:val="zh-CN" w:eastAsia="zh-CN"/>
        </w:rPr>
        <w:t>万元，占3.</w:t>
      </w:r>
      <w:r>
        <w:rPr>
          <w:rFonts w:hint="eastAsia" w:ascii="仿宋_GB2312" w:hAnsi="仿宋_GB2312" w:eastAsia="仿宋_GB2312"/>
          <w:color w:val="000000"/>
          <w:sz w:val="32"/>
          <w:lang w:eastAsia="zh-CN"/>
        </w:rPr>
        <w:t>91</w:t>
      </w:r>
      <w:r>
        <w:rPr>
          <w:rFonts w:hint="eastAsia" w:ascii="仿宋_GB2312" w:hAnsi="仿宋_GB2312" w:eastAsia="仿宋_GB2312"/>
          <w:color w:val="000000"/>
          <w:sz w:val="32"/>
          <w:lang w:val="zh-CN" w:eastAsia="zh-CN"/>
        </w:rPr>
        <w:t>%。</w:t>
      </w:r>
    </w:p>
    <w:p>
      <w:pPr>
        <w:pStyle w:val="14"/>
        <w:spacing w:before="130"/>
        <w:rPr>
          <w:highlight w:val="yellow"/>
          <w:lang w:val="zh-CN"/>
        </w:rPr>
      </w:pPr>
      <w:r>
        <w:rPr>
          <w:rFonts w:hint="eastAsia"/>
          <w:lang w:eastAsia="zh-CN" w:bidi="ar-SA"/>
        </w:rPr>
        <w:drawing>
          <wp:inline distT="0" distB="0" distL="0" distR="0">
            <wp:extent cx="5486400" cy="3200400"/>
            <wp:effectExtent l="19050" t="0" r="1905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576" w:lineRule="exact"/>
        <w:ind w:firstLine="641"/>
        <w:jc w:val="center"/>
        <w:rPr>
          <w:rFonts w:ascii="仿宋" w:hAnsi="仿宋" w:eastAsia="仿宋"/>
          <w:sz w:val="32"/>
          <w:szCs w:val="32"/>
          <w:lang w:eastAsia="zh-CN"/>
        </w:rPr>
      </w:pPr>
      <w:bookmarkStart w:id="58" w:name="_Toc15377212"/>
      <w:r>
        <w:rPr>
          <w:rFonts w:hint="eastAsia" w:ascii="仿宋" w:hAnsi="仿宋" w:eastAsia="仿宋"/>
          <w:sz w:val="32"/>
          <w:szCs w:val="32"/>
          <w:lang w:eastAsia="zh-CN"/>
        </w:rPr>
        <w:t>（图6：一般公共预算财政拨款支出决算结构）</w:t>
      </w:r>
    </w:p>
    <w:p>
      <w:pPr>
        <w:spacing w:line="600" w:lineRule="exact"/>
        <w:ind w:firstLine="642" w:firstLineChars="200"/>
        <w:outlineLvl w:val="2"/>
        <w:rPr>
          <w:rFonts w:ascii="仿宋" w:hAnsi="仿宋" w:eastAsia="仿宋"/>
          <w:b/>
          <w:sz w:val="32"/>
          <w:szCs w:val="32"/>
          <w:lang w:eastAsia="zh-CN"/>
        </w:rPr>
      </w:pPr>
      <w:bookmarkStart w:id="59" w:name="_Toc177054932"/>
      <w:r>
        <w:rPr>
          <w:rFonts w:hint="eastAsia" w:ascii="仿宋" w:hAnsi="仿宋" w:eastAsia="仿宋"/>
          <w:b/>
          <w:sz w:val="32"/>
          <w:szCs w:val="32"/>
          <w:lang w:eastAsia="zh-CN"/>
        </w:rPr>
        <w:t>（三）一般公共预算财政拨款支出决算具体情况</w:t>
      </w:r>
      <w:bookmarkEnd w:id="58"/>
      <w:bookmarkEnd w:id="59"/>
    </w:p>
    <w:p>
      <w:pPr>
        <w:spacing w:line="600" w:lineRule="exact"/>
        <w:ind w:firstLine="640" w:firstLineChars="200"/>
        <w:rPr>
          <w:rFonts w:ascii="仿宋" w:hAnsi="仿宋" w:eastAsia="仿宋"/>
          <w:bCs/>
          <w:sz w:val="32"/>
          <w:szCs w:val="32"/>
          <w:lang w:eastAsia="zh-CN"/>
        </w:rPr>
      </w:pPr>
      <w:bookmarkStart w:id="60" w:name="_Toc15377213"/>
      <w:bookmarkStart w:id="61" w:name="_Toc15378460"/>
      <w:bookmarkStart w:id="62" w:name="_Toc15377444"/>
      <w:r>
        <w:rPr>
          <w:rFonts w:hint="eastAsia" w:ascii="仿宋" w:hAnsi="仿宋" w:eastAsia="仿宋"/>
          <w:bCs/>
          <w:sz w:val="32"/>
          <w:szCs w:val="32"/>
          <w:lang w:eastAsia="zh-CN"/>
        </w:rPr>
        <w:t>2023年一般公共预算支出决算数为1249.35万元，</w:t>
      </w:r>
      <w:r>
        <w:rPr>
          <w:rStyle w:val="30"/>
          <w:rFonts w:hint="eastAsia" w:ascii="仿宋" w:hAnsi="仿宋" w:eastAsia="仿宋"/>
          <w:b w:val="0"/>
          <w:sz w:val="32"/>
          <w:szCs w:val="32"/>
          <w:lang w:eastAsia="zh-CN"/>
        </w:rPr>
        <w:t>完成预算100</w:t>
      </w:r>
      <w:r>
        <w:rPr>
          <w:rStyle w:val="30"/>
          <w:rFonts w:ascii="仿宋" w:hAnsi="仿宋" w:eastAsia="仿宋"/>
          <w:b w:val="0"/>
          <w:sz w:val="32"/>
          <w:szCs w:val="32"/>
          <w:lang w:eastAsia="zh-CN"/>
        </w:rPr>
        <w:t>%</w:t>
      </w:r>
      <w:r>
        <w:rPr>
          <w:rStyle w:val="30"/>
          <w:rFonts w:hint="eastAsia" w:ascii="仿宋" w:hAnsi="仿宋" w:eastAsia="仿宋"/>
          <w:b w:val="0"/>
          <w:sz w:val="32"/>
          <w:szCs w:val="32"/>
          <w:lang w:eastAsia="zh-CN"/>
        </w:rPr>
        <w:t>。其中：</w:t>
      </w:r>
      <w:bookmarkEnd w:id="60"/>
      <w:bookmarkEnd w:id="61"/>
      <w:bookmarkEnd w:id="62"/>
    </w:p>
    <w:p>
      <w:pPr>
        <w:spacing w:line="600" w:lineRule="exact"/>
        <w:ind w:firstLine="642" w:firstLineChars="200"/>
        <w:rPr>
          <w:rStyle w:val="30"/>
          <w:rFonts w:ascii="仿宋" w:hAnsi="仿宋" w:eastAsia="仿宋"/>
          <w:b w:val="0"/>
          <w:bCs w:val="0"/>
          <w:sz w:val="32"/>
          <w:szCs w:val="32"/>
          <w:lang w:eastAsia="zh-CN"/>
        </w:rPr>
      </w:pPr>
      <w:r>
        <w:rPr>
          <w:rStyle w:val="30"/>
          <w:rFonts w:ascii="仿宋" w:hAnsi="仿宋" w:eastAsia="仿宋"/>
          <w:sz w:val="32"/>
          <w:szCs w:val="32"/>
          <w:lang w:eastAsia="zh-CN"/>
        </w:rPr>
        <w:t>1.</w:t>
      </w:r>
      <w:r>
        <w:rPr>
          <w:rStyle w:val="30"/>
          <w:rFonts w:hint="eastAsia" w:ascii="仿宋" w:hAnsi="仿宋" w:eastAsia="仿宋"/>
          <w:sz w:val="32"/>
          <w:szCs w:val="32"/>
          <w:lang w:eastAsia="zh-CN"/>
        </w:rPr>
        <w:t>公共安全支出（类）法院（款）行政运行（项）：</w:t>
      </w:r>
      <w:r>
        <w:rPr>
          <w:rStyle w:val="30"/>
          <w:rFonts w:hint="eastAsia" w:ascii="仿宋" w:hAnsi="仿宋" w:eastAsia="仿宋"/>
          <w:b w:val="0"/>
          <w:sz w:val="32"/>
          <w:szCs w:val="32"/>
          <w:lang w:eastAsia="zh-CN"/>
        </w:rPr>
        <w:t>支出决算为721.5万元，完成预算100</w:t>
      </w:r>
      <w:r>
        <w:rPr>
          <w:rStyle w:val="30"/>
          <w:rFonts w:ascii="仿宋" w:hAnsi="仿宋" w:eastAsia="仿宋"/>
          <w:b w:val="0"/>
          <w:sz w:val="32"/>
          <w:szCs w:val="32"/>
          <w:lang w:eastAsia="zh-CN"/>
        </w:rPr>
        <w:t>%</w:t>
      </w:r>
      <w:r>
        <w:rPr>
          <w:rStyle w:val="30"/>
          <w:rFonts w:hint="eastAsia" w:ascii="仿宋" w:hAnsi="仿宋" w:eastAsia="仿宋"/>
          <w:b w:val="0"/>
          <w:sz w:val="32"/>
          <w:szCs w:val="32"/>
          <w:lang w:eastAsia="zh-CN"/>
        </w:rPr>
        <w:t>。</w:t>
      </w:r>
    </w:p>
    <w:p>
      <w:pPr>
        <w:spacing w:line="600" w:lineRule="exact"/>
        <w:ind w:firstLine="642" w:firstLineChars="200"/>
        <w:rPr>
          <w:rFonts w:ascii="仿宋" w:hAnsi="仿宋" w:eastAsia="仿宋"/>
          <w:b/>
          <w:sz w:val="32"/>
          <w:szCs w:val="32"/>
          <w:lang w:eastAsia="zh-CN"/>
        </w:rPr>
      </w:pPr>
      <w:r>
        <w:rPr>
          <w:rStyle w:val="30"/>
          <w:rFonts w:hint="eastAsia" w:ascii="仿宋" w:hAnsi="仿宋" w:eastAsia="仿宋"/>
          <w:sz w:val="32"/>
          <w:szCs w:val="32"/>
          <w:lang w:eastAsia="zh-CN"/>
        </w:rPr>
        <w:t>2</w:t>
      </w:r>
      <w:r>
        <w:rPr>
          <w:rStyle w:val="30"/>
          <w:rFonts w:ascii="仿宋" w:hAnsi="仿宋" w:eastAsia="仿宋"/>
          <w:sz w:val="32"/>
          <w:szCs w:val="32"/>
          <w:lang w:eastAsia="zh-CN"/>
        </w:rPr>
        <w:t>.</w:t>
      </w:r>
      <w:r>
        <w:rPr>
          <w:rStyle w:val="30"/>
          <w:rFonts w:hint="eastAsia" w:ascii="仿宋" w:hAnsi="仿宋" w:eastAsia="仿宋"/>
          <w:sz w:val="32"/>
          <w:szCs w:val="32"/>
          <w:lang w:eastAsia="zh-CN"/>
        </w:rPr>
        <w:t>公共安全支出（类）法院（款）一般行政管理事务（项）：</w:t>
      </w:r>
      <w:r>
        <w:rPr>
          <w:rStyle w:val="30"/>
          <w:rFonts w:hint="eastAsia" w:ascii="仿宋" w:hAnsi="仿宋" w:eastAsia="仿宋"/>
          <w:b w:val="0"/>
          <w:sz w:val="32"/>
          <w:szCs w:val="32"/>
          <w:lang w:eastAsia="zh-CN"/>
        </w:rPr>
        <w:t>支出决算为90.68万元，完成预算100</w:t>
      </w:r>
      <w:r>
        <w:rPr>
          <w:rStyle w:val="30"/>
          <w:rFonts w:ascii="仿宋" w:hAnsi="仿宋" w:eastAsia="仿宋"/>
          <w:b w:val="0"/>
          <w:sz w:val="32"/>
          <w:szCs w:val="32"/>
          <w:lang w:eastAsia="zh-CN"/>
        </w:rPr>
        <w:t>%</w:t>
      </w:r>
      <w:r>
        <w:rPr>
          <w:rStyle w:val="30"/>
          <w:rFonts w:hint="eastAsia" w:ascii="仿宋" w:hAnsi="仿宋" w:eastAsia="仿宋"/>
          <w:b w:val="0"/>
          <w:sz w:val="32"/>
          <w:szCs w:val="32"/>
          <w:lang w:eastAsia="zh-CN"/>
        </w:rPr>
        <w:t>。</w:t>
      </w:r>
    </w:p>
    <w:p>
      <w:pPr>
        <w:spacing w:line="600" w:lineRule="exact"/>
        <w:ind w:firstLine="642" w:firstLineChars="200"/>
        <w:rPr>
          <w:rStyle w:val="30"/>
          <w:rFonts w:ascii="仿宋" w:hAnsi="仿宋" w:eastAsia="仿宋"/>
          <w:b w:val="0"/>
          <w:bCs w:val="0"/>
          <w:sz w:val="32"/>
          <w:szCs w:val="32"/>
          <w:lang w:eastAsia="zh-CN"/>
        </w:rPr>
      </w:pPr>
      <w:r>
        <w:rPr>
          <w:rStyle w:val="30"/>
          <w:rFonts w:hint="eastAsia" w:ascii="仿宋" w:hAnsi="仿宋" w:eastAsia="仿宋"/>
          <w:sz w:val="32"/>
          <w:szCs w:val="32"/>
          <w:lang w:eastAsia="zh-CN"/>
        </w:rPr>
        <w:t>3. 公共安全支出（类）法院（款）案件审判（项）：</w:t>
      </w:r>
      <w:r>
        <w:rPr>
          <w:rStyle w:val="30"/>
          <w:rFonts w:hint="eastAsia" w:ascii="仿宋" w:hAnsi="仿宋" w:eastAsia="仿宋"/>
          <w:b w:val="0"/>
          <w:sz w:val="32"/>
          <w:szCs w:val="32"/>
          <w:lang w:eastAsia="zh-CN"/>
        </w:rPr>
        <w:t>支出决算为30.19万元，完成预算100</w:t>
      </w:r>
      <w:r>
        <w:rPr>
          <w:rStyle w:val="30"/>
          <w:rFonts w:ascii="仿宋" w:hAnsi="仿宋" w:eastAsia="仿宋"/>
          <w:b w:val="0"/>
          <w:sz w:val="32"/>
          <w:szCs w:val="32"/>
          <w:lang w:eastAsia="zh-CN"/>
        </w:rPr>
        <w:t>%</w:t>
      </w:r>
      <w:r>
        <w:rPr>
          <w:rStyle w:val="30"/>
          <w:rFonts w:hint="eastAsia" w:ascii="仿宋" w:hAnsi="仿宋" w:eastAsia="仿宋"/>
          <w:b w:val="0"/>
          <w:sz w:val="32"/>
          <w:szCs w:val="32"/>
          <w:lang w:eastAsia="zh-CN"/>
        </w:rPr>
        <w:t>。</w:t>
      </w:r>
    </w:p>
    <w:p>
      <w:pPr>
        <w:spacing w:line="600" w:lineRule="exact"/>
        <w:ind w:firstLine="642" w:firstLineChars="200"/>
        <w:rPr>
          <w:rFonts w:ascii="仿宋" w:hAnsi="仿宋" w:eastAsia="仿宋"/>
          <w:b/>
          <w:sz w:val="32"/>
          <w:szCs w:val="32"/>
          <w:lang w:eastAsia="zh-CN"/>
        </w:rPr>
      </w:pPr>
      <w:r>
        <w:rPr>
          <w:rStyle w:val="30"/>
          <w:rFonts w:hint="eastAsia" w:ascii="仿宋" w:hAnsi="仿宋" w:eastAsia="仿宋"/>
          <w:sz w:val="32"/>
          <w:szCs w:val="32"/>
          <w:lang w:eastAsia="zh-CN"/>
        </w:rPr>
        <w:t>4.公共安全支出（类）法院（款）其他法院支出（项）：</w:t>
      </w:r>
      <w:r>
        <w:rPr>
          <w:rStyle w:val="30"/>
          <w:rFonts w:hint="eastAsia" w:ascii="仿宋" w:hAnsi="仿宋" w:eastAsia="仿宋"/>
          <w:b w:val="0"/>
          <w:sz w:val="32"/>
          <w:szCs w:val="32"/>
          <w:lang w:eastAsia="zh-CN"/>
        </w:rPr>
        <w:t>支出决算为260.96万元，完成预算100</w:t>
      </w:r>
      <w:r>
        <w:rPr>
          <w:rStyle w:val="30"/>
          <w:rFonts w:ascii="仿宋" w:hAnsi="仿宋" w:eastAsia="仿宋"/>
          <w:b w:val="0"/>
          <w:sz w:val="32"/>
          <w:szCs w:val="32"/>
          <w:lang w:eastAsia="zh-CN"/>
        </w:rPr>
        <w:t>%</w:t>
      </w:r>
      <w:r>
        <w:rPr>
          <w:rStyle w:val="30"/>
          <w:rFonts w:hint="eastAsia" w:ascii="仿宋" w:hAnsi="仿宋" w:eastAsia="仿宋"/>
          <w:b w:val="0"/>
          <w:sz w:val="32"/>
          <w:szCs w:val="32"/>
          <w:lang w:eastAsia="zh-CN"/>
        </w:rPr>
        <w:t>。</w:t>
      </w:r>
    </w:p>
    <w:p>
      <w:pPr>
        <w:spacing w:line="600" w:lineRule="exact"/>
        <w:ind w:firstLine="642" w:firstLineChars="200"/>
        <w:rPr>
          <w:rStyle w:val="30"/>
          <w:rFonts w:ascii="仿宋" w:hAnsi="仿宋" w:eastAsia="仿宋"/>
          <w:b w:val="0"/>
          <w:bCs w:val="0"/>
          <w:sz w:val="32"/>
          <w:szCs w:val="32"/>
          <w:lang w:eastAsia="zh-CN"/>
        </w:rPr>
      </w:pPr>
      <w:r>
        <w:rPr>
          <w:rStyle w:val="30"/>
          <w:rFonts w:hint="eastAsia" w:ascii="仿宋" w:hAnsi="仿宋" w:eastAsia="仿宋"/>
          <w:sz w:val="32"/>
          <w:szCs w:val="32"/>
          <w:lang w:eastAsia="zh-CN"/>
        </w:rPr>
        <w:t>5</w:t>
      </w:r>
      <w:r>
        <w:rPr>
          <w:rStyle w:val="30"/>
          <w:rFonts w:ascii="仿宋" w:hAnsi="仿宋" w:eastAsia="仿宋"/>
          <w:sz w:val="32"/>
          <w:szCs w:val="32"/>
          <w:lang w:eastAsia="zh-CN"/>
        </w:rPr>
        <w:t>.</w:t>
      </w:r>
      <w:r>
        <w:rPr>
          <w:rStyle w:val="30"/>
          <w:rFonts w:hint="eastAsia" w:ascii="仿宋" w:hAnsi="仿宋" w:eastAsia="仿宋"/>
          <w:sz w:val="32"/>
          <w:szCs w:val="32"/>
          <w:lang w:eastAsia="zh-CN"/>
        </w:rPr>
        <w:t>社会保障和就业支出（类）行政事业单位养老支出（款）机关事业单位基本养老保险缴费支出（项）：</w:t>
      </w:r>
      <w:r>
        <w:rPr>
          <w:rStyle w:val="30"/>
          <w:rFonts w:hint="eastAsia" w:ascii="仿宋" w:hAnsi="仿宋" w:eastAsia="仿宋"/>
          <w:b w:val="0"/>
          <w:sz w:val="32"/>
          <w:szCs w:val="32"/>
          <w:lang w:eastAsia="zh-CN"/>
        </w:rPr>
        <w:t>支出决算为60.88万元，完成预算100</w:t>
      </w:r>
      <w:r>
        <w:rPr>
          <w:rStyle w:val="30"/>
          <w:rFonts w:ascii="仿宋" w:hAnsi="仿宋" w:eastAsia="仿宋"/>
          <w:b w:val="0"/>
          <w:sz w:val="32"/>
          <w:szCs w:val="32"/>
          <w:lang w:eastAsia="zh-CN"/>
        </w:rPr>
        <w:t>%</w:t>
      </w:r>
      <w:r>
        <w:rPr>
          <w:rStyle w:val="30"/>
          <w:rFonts w:hint="eastAsia" w:ascii="仿宋" w:hAnsi="仿宋" w:eastAsia="仿宋"/>
          <w:b w:val="0"/>
          <w:sz w:val="32"/>
          <w:szCs w:val="32"/>
          <w:lang w:eastAsia="zh-CN"/>
        </w:rPr>
        <w:t>。</w:t>
      </w:r>
    </w:p>
    <w:p>
      <w:pPr>
        <w:spacing w:line="600" w:lineRule="exact"/>
        <w:ind w:firstLine="642" w:firstLineChars="200"/>
        <w:rPr>
          <w:rFonts w:ascii="仿宋" w:hAnsi="仿宋" w:eastAsia="仿宋"/>
          <w:bCs/>
          <w:sz w:val="32"/>
          <w:szCs w:val="32"/>
          <w:lang w:eastAsia="zh-CN"/>
        </w:rPr>
      </w:pPr>
      <w:r>
        <w:rPr>
          <w:rStyle w:val="30"/>
          <w:rFonts w:hint="eastAsia" w:ascii="仿宋" w:hAnsi="仿宋" w:eastAsia="仿宋"/>
          <w:sz w:val="32"/>
          <w:szCs w:val="32"/>
          <w:lang w:eastAsia="zh-CN"/>
        </w:rPr>
        <w:t>6</w:t>
      </w:r>
      <w:r>
        <w:rPr>
          <w:rStyle w:val="30"/>
          <w:rFonts w:ascii="仿宋" w:hAnsi="仿宋" w:eastAsia="仿宋"/>
          <w:sz w:val="32"/>
          <w:szCs w:val="32"/>
          <w:lang w:eastAsia="zh-CN"/>
        </w:rPr>
        <w:t>.</w:t>
      </w:r>
      <w:r>
        <w:rPr>
          <w:rStyle w:val="30"/>
          <w:rFonts w:hint="eastAsia" w:ascii="仿宋" w:hAnsi="仿宋" w:eastAsia="仿宋"/>
          <w:sz w:val="32"/>
          <w:szCs w:val="32"/>
          <w:lang w:eastAsia="zh-CN"/>
        </w:rPr>
        <w:t>社会保障和就业支出（类）行政事业单位养老支出（款）机关事业单位职业年金缴费支出（项）：</w:t>
      </w:r>
      <w:r>
        <w:rPr>
          <w:rStyle w:val="30"/>
          <w:rFonts w:hint="eastAsia" w:ascii="仿宋" w:hAnsi="仿宋" w:eastAsia="仿宋"/>
          <w:b w:val="0"/>
          <w:sz w:val="32"/>
          <w:szCs w:val="32"/>
          <w:lang w:eastAsia="zh-CN"/>
        </w:rPr>
        <w:t>支出决算为6.28万元，完成预算100</w:t>
      </w:r>
      <w:r>
        <w:rPr>
          <w:rStyle w:val="30"/>
          <w:rFonts w:ascii="仿宋" w:hAnsi="仿宋" w:eastAsia="仿宋"/>
          <w:b w:val="0"/>
          <w:sz w:val="32"/>
          <w:szCs w:val="32"/>
          <w:lang w:eastAsia="zh-CN"/>
        </w:rPr>
        <w:t>%</w:t>
      </w:r>
      <w:r>
        <w:rPr>
          <w:rStyle w:val="30"/>
          <w:rFonts w:hint="eastAsia" w:ascii="仿宋" w:hAnsi="仿宋" w:eastAsia="仿宋"/>
          <w:b w:val="0"/>
          <w:sz w:val="32"/>
          <w:szCs w:val="32"/>
          <w:lang w:eastAsia="zh-CN"/>
        </w:rPr>
        <w:t>。</w:t>
      </w:r>
    </w:p>
    <w:p>
      <w:pPr>
        <w:spacing w:line="600" w:lineRule="exact"/>
        <w:ind w:firstLine="642" w:firstLineChars="200"/>
        <w:rPr>
          <w:rStyle w:val="30"/>
          <w:rFonts w:ascii="仿宋" w:hAnsi="仿宋" w:eastAsia="仿宋"/>
          <w:b w:val="0"/>
          <w:bCs w:val="0"/>
          <w:sz w:val="32"/>
          <w:szCs w:val="32"/>
          <w:lang w:eastAsia="zh-CN"/>
        </w:rPr>
      </w:pPr>
      <w:r>
        <w:rPr>
          <w:rStyle w:val="30"/>
          <w:rFonts w:hint="eastAsia" w:ascii="仿宋" w:hAnsi="仿宋" w:eastAsia="仿宋"/>
          <w:sz w:val="32"/>
          <w:szCs w:val="32"/>
          <w:lang w:eastAsia="zh-CN"/>
        </w:rPr>
        <w:t>7</w:t>
      </w:r>
      <w:r>
        <w:rPr>
          <w:rStyle w:val="30"/>
          <w:rFonts w:ascii="仿宋" w:hAnsi="仿宋" w:eastAsia="仿宋"/>
          <w:sz w:val="32"/>
          <w:szCs w:val="32"/>
          <w:lang w:eastAsia="zh-CN"/>
        </w:rPr>
        <w:t>.</w:t>
      </w:r>
      <w:r>
        <w:rPr>
          <w:rFonts w:hint="eastAsia" w:ascii="仿宋" w:hAnsi="仿宋" w:eastAsia="仿宋"/>
          <w:b/>
          <w:bCs/>
          <w:sz w:val="32"/>
          <w:szCs w:val="32"/>
          <w:lang w:eastAsia="zh-CN"/>
        </w:rPr>
        <w:t>卫生健康</w:t>
      </w:r>
      <w:r>
        <w:rPr>
          <w:rStyle w:val="30"/>
          <w:rFonts w:hint="eastAsia" w:ascii="仿宋" w:hAnsi="仿宋" w:eastAsia="仿宋"/>
          <w:sz w:val="32"/>
          <w:szCs w:val="32"/>
          <w:lang w:eastAsia="zh-CN"/>
        </w:rPr>
        <w:t>（类）行政事业单位医疗（款）行政单位医疗（项）：</w:t>
      </w:r>
      <w:r>
        <w:rPr>
          <w:rStyle w:val="30"/>
          <w:rFonts w:hint="eastAsia" w:ascii="仿宋" w:hAnsi="仿宋" w:eastAsia="仿宋"/>
          <w:b w:val="0"/>
          <w:sz w:val="32"/>
          <w:szCs w:val="32"/>
          <w:lang w:eastAsia="zh-CN"/>
        </w:rPr>
        <w:t>支出决算为29.94万元，完成预算100</w:t>
      </w:r>
      <w:r>
        <w:rPr>
          <w:rStyle w:val="30"/>
          <w:rFonts w:ascii="仿宋" w:hAnsi="仿宋" w:eastAsia="仿宋"/>
          <w:b w:val="0"/>
          <w:sz w:val="32"/>
          <w:szCs w:val="32"/>
          <w:lang w:eastAsia="zh-CN"/>
        </w:rPr>
        <w:t>%</w:t>
      </w:r>
      <w:r>
        <w:rPr>
          <w:rStyle w:val="30"/>
          <w:rFonts w:hint="eastAsia" w:ascii="仿宋" w:hAnsi="仿宋" w:eastAsia="仿宋"/>
          <w:b w:val="0"/>
          <w:sz w:val="32"/>
          <w:szCs w:val="32"/>
          <w:lang w:eastAsia="zh-CN"/>
        </w:rPr>
        <w:t>。</w:t>
      </w:r>
    </w:p>
    <w:p>
      <w:pPr>
        <w:spacing w:line="600" w:lineRule="exact"/>
        <w:ind w:firstLine="642" w:firstLineChars="200"/>
        <w:rPr>
          <w:rFonts w:ascii="仿宋" w:hAnsi="仿宋" w:eastAsia="仿宋"/>
          <w:b/>
          <w:sz w:val="32"/>
          <w:szCs w:val="32"/>
          <w:lang w:eastAsia="zh-CN"/>
        </w:rPr>
      </w:pPr>
      <w:r>
        <w:rPr>
          <w:rStyle w:val="30"/>
          <w:rFonts w:hint="eastAsia" w:ascii="仿宋" w:hAnsi="仿宋" w:eastAsia="仿宋"/>
          <w:sz w:val="32"/>
          <w:szCs w:val="32"/>
          <w:lang w:eastAsia="zh-CN"/>
        </w:rPr>
        <w:t>8</w:t>
      </w:r>
      <w:r>
        <w:rPr>
          <w:rStyle w:val="30"/>
          <w:rFonts w:ascii="仿宋" w:hAnsi="仿宋" w:eastAsia="仿宋"/>
          <w:sz w:val="32"/>
          <w:szCs w:val="32"/>
          <w:lang w:eastAsia="zh-CN"/>
        </w:rPr>
        <w:t>.</w:t>
      </w:r>
      <w:r>
        <w:rPr>
          <w:rFonts w:hint="eastAsia" w:ascii="仿宋" w:hAnsi="仿宋" w:eastAsia="仿宋"/>
          <w:b/>
          <w:bCs/>
          <w:sz w:val="32"/>
          <w:szCs w:val="32"/>
          <w:lang w:eastAsia="zh-CN"/>
        </w:rPr>
        <w:t>住房保障支出</w:t>
      </w:r>
      <w:r>
        <w:rPr>
          <w:rStyle w:val="30"/>
          <w:rFonts w:hint="eastAsia" w:ascii="仿宋" w:hAnsi="仿宋" w:eastAsia="仿宋"/>
          <w:sz w:val="32"/>
          <w:szCs w:val="32"/>
          <w:lang w:eastAsia="zh-CN"/>
        </w:rPr>
        <w:t>（类）住房改革支出（款）住房公积金（项）：</w:t>
      </w:r>
      <w:r>
        <w:rPr>
          <w:rStyle w:val="30"/>
          <w:rFonts w:hint="eastAsia" w:ascii="仿宋" w:hAnsi="仿宋" w:eastAsia="仿宋"/>
          <w:b w:val="0"/>
          <w:sz w:val="32"/>
          <w:szCs w:val="32"/>
          <w:lang w:eastAsia="zh-CN"/>
        </w:rPr>
        <w:t>支出决算为48.91万元，完成预算100</w:t>
      </w:r>
      <w:r>
        <w:rPr>
          <w:rStyle w:val="30"/>
          <w:rFonts w:ascii="仿宋" w:hAnsi="仿宋" w:eastAsia="仿宋"/>
          <w:b w:val="0"/>
          <w:sz w:val="32"/>
          <w:szCs w:val="32"/>
          <w:lang w:eastAsia="zh-CN"/>
        </w:rPr>
        <w:t>%</w:t>
      </w:r>
      <w:r>
        <w:rPr>
          <w:rStyle w:val="30"/>
          <w:rFonts w:hint="eastAsia" w:ascii="仿宋" w:hAnsi="仿宋" w:eastAsia="仿宋"/>
          <w:b w:val="0"/>
          <w:sz w:val="32"/>
          <w:szCs w:val="32"/>
          <w:lang w:eastAsia="zh-CN"/>
        </w:rPr>
        <w:t>。</w:t>
      </w:r>
    </w:p>
    <w:p>
      <w:pPr>
        <w:tabs>
          <w:tab w:val="right" w:pos="8306"/>
        </w:tabs>
        <w:spacing w:line="600" w:lineRule="exact"/>
        <w:ind w:firstLine="640"/>
        <w:outlineLvl w:val="1"/>
        <w:rPr>
          <w:rStyle w:val="36"/>
          <w:rFonts w:ascii="黑体" w:hAnsi="黑体" w:eastAsia="黑体"/>
          <w:sz w:val="32"/>
          <w:szCs w:val="32"/>
          <w:lang w:eastAsia="zh-CN"/>
        </w:rPr>
      </w:pPr>
      <w:bookmarkStart w:id="63" w:name="_Toc15396608"/>
      <w:bookmarkStart w:id="64" w:name="_Toc7188"/>
      <w:bookmarkStart w:id="65" w:name="_Toc15377214"/>
      <w:bookmarkStart w:id="66" w:name="_Toc177054933"/>
      <w:r>
        <w:rPr>
          <w:rFonts w:hint="eastAsia" w:ascii="黑体" w:hAnsi="黑体" w:eastAsia="黑体"/>
          <w:sz w:val="32"/>
          <w:szCs w:val="32"/>
          <w:lang w:eastAsia="zh-CN"/>
        </w:rPr>
        <w:t>六</w:t>
      </w:r>
      <w:r>
        <w:rPr>
          <w:rFonts w:hint="eastAsia" w:ascii="黑体" w:hAnsi="黑体" w:eastAsia="黑体"/>
          <w:b/>
          <w:sz w:val="32"/>
          <w:szCs w:val="32"/>
          <w:lang w:eastAsia="zh-CN"/>
        </w:rPr>
        <w:t>、一</w:t>
      </w:r>
      <w:r>
        <w:rPr>
          <w:rStyle w:val="36"/>
          <w:rFonts w:hint="eastAsia" w:ascii="黑体" w:hAnsi="黑体" w:eastAsia="黑体"/>
          <w:sz w:val="32"/>
          <w:szCs w:val="32"/>
          <w:lang w:eastAsia="zh-CN"/>
        </w:rPr>
        <w:t>般公共预算财政拨款基本支出决算情况说明</w:t>
      </w:r>
      <w:bookmarkEnd w:id="63"/>
      <w:bookmarkEnd w:id="64"/>
      <w:bookmarkEnd w:id="65"/>
      <w:bookmarkEnd w:id="66"/>
      <w:r>
        <w:rPr>
          <w:rStyle w:val="36"/>
          <w:rFonts w:ascii="黑体" w:hAnsi="黑体" w:eastAsia="黑体"/>
          <w:sz w:val="32"/>
          <w:szCs w:val="32"/>
          <w:lang w:eastAsia="zh-CN"/>
        </w:rPr>
        <w:tab/>
      </w:r>
    </w:p>
    <w:p>
      <w:pPr>
        <w:spacing w:line="600" w:lineRule="exact"/>
        <w:ind w:firstLine="645"/>
        <w:rPr>
          <w:rFonts w:ascii="仿宋" w:hAnsi="仿宋" w:eastAsia="仿宋"/>
          <w:sz w:val="32"/>
          <w:szCs w:val="32"/>
          <w:lang w:eastAsia="zh-CN"/>
        </w:rPr>
      </w:pPr>
      <w:r>
        <w:rPr>
          <w:rFonts w:ascii="仿宋" w:hAnsi="仿宋" w:eastAsia="仿宋"/>
          <w:sz w:val="32"/>
          <w:szCs w:val="32"/>
          <w:lang w:eastAsia="zh-CN"/>
        </w:rPr>
        <w:t>2023</w:t>
      </w:r>
      <w:r>
        <w:rPr>
          <w:rFonts w:hint="eastAsia" w:ascii="仿宋" w:hAnsi="仿宋" w:eastAsia="仿宋"/>
          <w:sz w:val="32"/>
          <w:szCs w:val="32"/>
          <w:lang w:eastAsia="zh-CN"/>
        </w:rPr>
        <w:t>年一般公共预</w:t>
      </w:r>
      <w:r>
        <w:rPr>
          <w:rFonts w:hint="eastAsia" w:ascii="仿宋" w:hAnsi="仿宋" w:eastAsia="仿宋"/>
          <w:color w:val="auto"/>
          <w:sz w:val="32"/>
          <w:szCs w:val="32"/>
          <w:lang w:eastAsia="zh-CN"/>
        </w:rPr>
        <w:t>算财政拨款基本支出867.53万元，其</w:t>
      </w:r>
      <w:r>
        <w:rPr>
          <w:rFonts w:hint="eastAsia" w:ascii="仿宋" w:hAnsi="仿宋" w:eastAsia="仿宋"/>
          <w:sz w:val="32"/>
          <w:szCs w:val="32"/>
          <w:lang w:eastAsia="zh-CN"/>
        </w:rPr>
        <w:t>中：</w:t>
      </w:r>
    </w:p>
    <w:p>
      <w:pPr>
        <w:spacing w:line="600" w:lineRule="exact"/>
        <w:ind w:firstLine="645"/>
        <w:rPr>
          <w:rFonts w:ascii="仿宋_GB2312" w:hAnsi="仿宋_GB2312" w:eastAsia="仿宋_GB2312" w:cs="仿宋_GB2312"/>
          <w:sz w:val="32"/>
          <w:szCs w:val="32"/>
          <w:lang w:eastAsia="zh-CN"/>
        </w:rPr>
      </w:pPr>
      <w:r>
        <w:rPr>
          <w:rFonts w:hint="eastAsia" w:ascii="仿宋" w:hAnsi="仿宋" w:eastAsia="仿宋"/>
          <w:sz w:val="32"/>
          <w:szCs w:val="32"/>
          <w:lang w:eastAsia="zh-CN"/>
        </w:rPr>
        <w:t>人员经费710.8万元，主要包括：</w:t>
      </w:r>
      <w:r>
        <w:rPr>
          <w:rFonts w:hint="eastAsia" w:ascii="仿宋_GB2312" w:hAnsi="仿宋_GB2312" w:eastAsia="仿宋_GB2312" w:cs="仿宋_GB2312"/>
          <w:sz w:val="32"/>
          <w:szCs w:val="32"/>
          <w:lang w:eastAsia="zh-CN"/>
        </w:rPr>
        <w:t>基本工资、津贴补贴、奖金、机关事业单位基本养老保险缴费、职业年金缴费、职工基本医疗保险缴费、其他社会保障缴费、住房公积金、生活补助。</w:t>
      </w:r>
    </w:p>
    <w:p>
      <w:pPr>
        <w:spacing w:line="600" w:lineRule="exact"/>
        <w:ind w:firstLine="640" w:firstLineChars="200"/>
        <w:rPr>
          <w:rFonts w:ascii="仿宋_GB2312" w:hAnsi="仿宋_GB2312" w:eastAsia="仿宋_GB2312" w:cs="仿宋_GB2312"/>
          <w:sz w:val="32"/>
          <w:szCs w:val="32"/>
          <w:lang w:eastAsia="zh-CN"/>
        </w:rPr>
      </w:pPr>
      <w:r>
        <w:rPr>
          <w:rFonts w:hint="eastAsia" w:ascii="仿宋" w:hAnsi="仿宋" w:eastAsia="仿宋"/>
          <w:sz w:val="32"/>
          <w:szCs w:val="32"/>
          <w:lang w:eastAsia="zh-CN"/>
        </w:rPr>
        <w:t>公用经费156.73万元，主要包括：</w:t>
      </w:r>
      <w:r>
        <w:rPr>
          <w:rFonts w:hint="eastAsia" w:ascii="仿宋_GB2312" w:hAnsi="仿宋_GB2312" w:eastAsia="仿宋_GB2312" w:cs="仿宋_GB2312"/>
          <w:sz w:val="32"/>
          <w:szCs w:val="32"/>
          <w:lang w:eastAsia="zh-CN"/>
        </w:rPr>
        <w:t>办公费、水费、电费、邮电费、物业管理费、维修（护）费、会议费、公务接待费、劳务费、工会经费、福利费、公务用车运行维护费、其他交通费</w:t>
      </w:r>
      <w:r>
        <w:rPr>
          <w:rFonts w:hint="eastAsia" w:ascii="仿宋_GB2312" w:hAnsi="仿宋_GB2312" w:eastAsia="仿宋_GB2312" w:cs="仿宋_GB2312"/>
          <w:sz w:val="32"/>
          <w:szCs w:val="32"/>
          <w:lang w:val="en-US" w:eastAsia="zh-CN"/>
        </w:rPr>
        <w:t>用</w:t>
      </w:r>
      <w:r>
        <w:rPr>
          <w:rFonts w:hint="eastAsia" w:ascii="仿宋_GB2312" w:hAnsi="仿宋_GB2312" w:eastAsia="仿宋_GB2312" w:cs="仿宋_GB2312"/>
          <w:sz w:val="32"/>
          <w:szCs w:val="32"/>
          <w:lang w:eastAsia="zh-CN"/>
        </w:rPr>
        <w:t>、其他商品和服务支出。</w:t>
      </w:r>
    </w:p>
    <w:p>
      <w:pPr>
        <w:pStyle w:val="3"/>
        <w:rPr>
          <w:rFonts w:ascii="黑体" w:hAnsi="黑体" w:eastAsia="黑体"/>
          <w:b/>
          <w:sz w:val="32"/>
          <w:szCs w:val="32"/>
          <w:lang w:eastAsia="zh-CN"/>
        </w:rPr>
      </w:pPr>
      <w:bookmarkStart w:id="67" w:name="_Toc15377215"/>
      <w:bookmarkStart w:id="68" w:name="_Toc177054934"/>
      <w:bookmarkStart w:id="69" w:name="_Toc15396609"/>
      <w:bookmarkStart w:id="70" w:name="_Toc315"/>
      <w:r>
        <w:rPr>
          <w:rFonts w:hint="eastAsia" w:ascii="黑体" w:hAnsi="黑体" w:eastAsia="黑体"/>
          <w:sz w:val="32"/>
          <w:szCs w:val="32"/>
          <w:lang w:eastAsia="zh-CN"/>
        </w:rPr>
        <w:t>七、财政拨款“三公”经费支出决算情况说明</w:t>
      </w:r>
      <w:bookmarkEnd w:id="67"/>
      <w:bookmarkEnd w:id="68"/>
      <w:bookmarkEnd w:id="69"/>
      <w:bookmarkEnd w:id="70"/>
    </w:p>
    <w:p>
      <w:pPr>
        <w:spacing w:line="600" w:lineRule="exact"/>
        <w:ind w:firstLine="640"/>
        <w:outlineLvl w:val="2"/>
        <w:rPr>
          <w:rFonts w:ascii="仿宋" w:hAnsi="仿宋" w:eastAsia="仿宋"/>
          <w:b/>
          <w:sz w:val="32"/>
          <w:szCs w:val="32"/>
          <w:lang w:eastAsia="zh-CN"/>
        </w:rPr>
      </w:pPr>
      <w:bookmarkStart w:id="71" w:name="_Toc15377216"/>
      <w:bookmarkStart w:id="72" w:name="_Toc177054935"/>
      <w:r>
        <w:rPr>
          <w:rFonts w:hint="eastAsia" w:ascii="仿宋" w:hAnsi="仿宋" w:eastAsia="仿宋"/>
          <w:b/>
          <w:sz w:val="32"/>
          <w:szCs w:val="32"/>
          <w:lang w:eastAsia="zh-CN"/>
        </w:rPr>
        <w:t>（一）“三公”经费财政拨款支出决算总体情况说明</w:t>
      </w:r>
      <w:bookmarkEnd w:id="71"/>
      <w:bookmarkEnd w:id="72"/>
    </w:p>
    <w:p>
      <w:pPr>
        <w:spacing w:line="600" w:lineRule="exact"/>
        <w:ind w:firstLine="640"/>
        <w:rPr>
          <w:rFonts w:hint="default" w:ascii="仿宋" w:hAnsi="仿宋" w:eastAsia="仿宋"/>
          <w:sz w:val="32"/>
          <w:szCs w:val="32"/>
          <w:lang w:val="en-US" w:eastAsia="zh-CN"/>
        </w:rPr>
      </w:pPr>
      <w:r>
        <w:rPr>
          <w:rFonts w:ascii="仿宋" w:hAnsi="仿宋" w:eastAsia="仿宋"/>
          <w:sz w:val="32"/>
          <w:szCs w:val="32"/>
          <w:lang w:eastAsia="zh-CN"/>
        </w:rPr>
        <w:t>2023</w:t>
      </w:r>
      <w:r>
        <w:rPr>
          <w:rFonts w:hint="eastAsia" w:ascii="仿宋" w:hAnsi="仿宋" w:eastAsia="仿宋"/>
          <w:sz w:val="32"/>
          <w:szCs w:val="32"/>
          <w:lang w:eastAsia="zh-CN"/>
        </w:rPr>
        <w:t>年“三公”经费财政拨款支出决算为11.</w:t>
      </w:r>
      <w:r>
        <w:rPr>
          <w:rFonts w:hint="eastAsia" w:ascii="仿宋" w:hAnsi="仿宋" w:eastAsia="仿宋"/>
          <w:sz w:val="32"/>
          <w:szCs w:val="32"/>
          <w:lang w:val="en-US" w:eastAsia="zh-CN"/>
        </w:rPr>
        <w:t>59</w:t>
      </w:r>
      <w:r>
        <w:rPr>
          <w:rFonts w:hint="eastAsia" w:ascii="仿宋" w:hAnsi="仿宋" w:eastAsia="仿宋"/>
          <w:sz w:val="32"/>
          <w:szCs w:val="32"/>
          <w:lang w:eastAsia="zh-CN"/>
        </w:rPr>
        <w:t>万元，完成预算100</w:t>
      </w:r>
      <w:r>
        <w:rPr>
          <w:rFonts w:ascii="仿宋" w:hAnsi="仿宋" w:eastAsia="仿宋"/>
          <w:sz w:val="32"/>
          <w:szCs w:val="32"/>
          <w:lang w:eastAsia="zh-CN"/>
        </w:rPr>
        <w:t>%</w:t>
      </w:r>
      <w:r>
        <w:rPr>
          <w:rFonts w:hint="eastAsia" w:ascii="仿宋" w:hAnsi="仿宋" w:eastAsia="仿宋"/>
          <w:sz w:val="32"/>
          <w:szCs w:val="32"/>
          <w:lang w:eastAsia="zh-CN"/>
        </w:rPr>
        <w:t>，较上年减少5万元，下降30%。</w:t>
      </w:r>
      <w:r>
        <w:rPr>
          <w:rFonts w:hint="eastAsia" w:ascii="仿宋" w:hAnsi="仿宋" w:eastAsia="仿宋"/>
          <w:sz w:val="32"/>
          <w:szCs w:val="32"/>
          <w:lang w:val="en-US" w:eastAsia="zh-CN"/>
        </w:rPr>
        <w:t>预算数与决算数持平。</w:t>
      </w:r>
    </w:p>
    <w:p>
      <w:pPr>
        <w:spacing w:line="600" w:lineRule="exact"/>
        <w:ind w:firstLine="640"/>
        <w:outlineLvl w:val="2"/>
        <w:rPr>
          <w:rFonts w:ascii="仿宋" w:hAnsi="仿宋" w:eastAsia="仿宋"/>
          <w:b/>
          <w:sz w:val="32"/>
          <w:szCs w:val="32"/>
          <w:lang w:eastAsia="zh-CN"/>
        </w:rPr>
      </w:pPr>
      <w:bookmarkStart w:id="73" w:name="_Toc177054936"/>
      <w:bookmarkStart w:id="74" w:name="_Toc15377217"/>
      <w:r>
        <w:rPr>
          <w:rFonts w:hint="eastAsia" w:ascii="仿宋" w:hAnsi="仿宋" w:eastAsia="仿宋"/>
          <w:b/>
          <w:sz w:val="32"/>
          <w:szCs w:val="32"/>
          <w:lang w:eastAsia="zh-CN"/>
        </w:rPr>
        <w:t>（二）“三公”经费财政拨款支出决算具体情况说明</w:t>
      </w:r>
      <w:bookmarkEnd w:id="73"/>
      <w:bookmarkEnd w:id="74"/>
    </w:p>
    <w:p>
      <w:pPr>
        <w:spacing w:line="600" w:lineRule="exact"/>
        <w:ind w:firstLine="640"/>
        <w:rPr>
          <w:rFonts w:ascii="仿宋" w:hAnsi="仿宋" w:eastAsia="仿宋"/>
          <w:sz w:val="32"/>
          <w:szCs w:val="32"/>
        </w:rPr>
      </w:pPr>
      <w:r>
        <w:rPr>
          <w:rFonts w:ascii="仿宋" w:hAnsi="仿宋" w:eastAsia="仿宋"/>
          <w:sz w:val="32"/>
          <w:szCs w:val="32"/>
          <w:lang w:eastAsia="zh-CN"/>
        </w:rPr>
        <w:t>2023</w:t>
      </w:r>
      <w:r>
        <w:rPr>
          <w:rFonts w:hint="eastAsia" w:ascii="仿宋" w:hAnsi="仿宋" w:eastAsia="仿宋"/>
          <w:sz w:val="32"/>
          <w:szCs w:val="32"/>
          <w:lang w:eastAsia="zh-CN"/>
        </w:rPr>
        <w:t>年“三公”经费财政拨款支出决算中，因公出国（境）费支出决算0万元，占0</w:t>
      </w:r>
      <w:r>
        <w:rPr>
          <w:rFonts w:ascii="仿宋" w:hAnsi="仿宋" w:eastAsia="仿宋"/>
          <w:sz w:val="32"/>
          <w:szCs w:val="32"/>
          <w:lang w:eastAsia="zh-CN"/>
        </w:rPr>
        <w:t>%</w:t>
      </w:r>
      <w:r>
        <w:rPr>
          <w:rFonts w:hint="eastAsia" w:ascii="仿宋" w:hAnsi="仿宋" w:eastAsia="仿宋"/>
          <w:sz w:val="32"/>
          <w:szCs w:val="32"/>
          <w:lang w:eastAsia="zh-CN"/>
        </w:rPr>
        <w:t>；公务用车购置及运行维护费支出决算</w:t>
      </w:r>
      <w:r>
        <w:rPr>
          <w:rFonts w:hint="eastAsia" w:ascii="仿宋" w:hAnsi="仿宋" w:eastAsia="仿宋"/>
          <w:sz w:val="32"/>
          <w:szCs w:val="32"/>
          <w:lang w:val="en-US" w:eastAsia="zh-CN"/>
        </w:rPr>
        <w:t>9.99</w:t>
      </w:r>
      <w:r>
        <w:rPr>
          <w:rFonts w:hint="eastAsia" w:ascii="仿宋" w:hAnsi="仿宋" w:eastAsia="仿宋"/>
          <w:sz w:val="32"/>
          <w:szCs w:val="32"/>
          <w:lang w:eastAsia="zh-CN"/>
        </w:rPr>
        <w:t>万元，占86.21</w:t>
      </w:r>
      <w:r>
        <w:rPr>
          <w:rFonts w:ascii="仿宋" w:hAnsi="仿宋" w:eastAsia="仿宋"/>
          <w:sz w:val="32"/>
          <w:szCs w:val="32"/>
          <w:lang w:eastAsia="zh-CN"/>
        </w:rPr>
        <w:t>%</w:t>
      </w:r>
      <w:r>
        <w:rPr>
          <w:rFonts w:hint="eastAsia" w:ascii="仿宋" w:hAnsi="仿宋" w:eastAsia="仿宋"/>
          <w:sz w:val="32"/>
          <w:szCs w:val="32"/>
          <w:lang w:eastAsia="zh-CN"/>
        </w:rPr>
        <w:t>；公务接待费支出决算1.6万元，占13.79</w:t>
      </w:r>
      <w:r>
        <w:rPr>
          <w:rFonts w:ascii="仿宋" w:hAnsi="仿宋" w:eastAsia="仿宋"/>
          <w:sz w:val="32"/>
          <w:szCs w:val="32"/>
          <w:lang w:eastAsia="zh-CN"/>
        </w:rPr>
        <w:t>%</w:t>
      </w:r>
      <w:r>
        <w:rPr>
          <w:rFonts w:hint="eastAsia" w:ascii="仿宋" w:hAnsi="仿宋" w:eastAsia="仿宋"/>
          <w:sz w:val="32"/>
          <w:szCs w:val="32"/>
          <w:lang w:eastAsia="zh-CN"/>
        </w:rPr>
        <w:t>。</w:t>
      </w:r>
      <w:r>
        <w:rPr>
          <w:rFonts w:hint="eastAsia" w:ascii="仿宋" w:hAnsi="仿宋" w:eastAsia="仿宋"/>
          <w:sz w:val="32"/>
          <w:szCs w:val="32"/>
        </w:rPr>
        <w:t>具体情况如下：</w:t>
      </w:r>
    </w:p>
    <w:p>
      <w:pPr>
        <w:pStyle w:val="19"/>
      </w:pPr>
      <w:r>
        <w:rPr>
          <w:rFonts w:hint="eastAsia"/>
          <w:lang w:eastAsia="zh-CN" w:bidi="ar-SA"/>
        </w:rPr>
        <w:drawing>
          <wp:inline distT="0" distB="0" distL="0" distR="0">
            <wp:extent cx="5486400" cy="3200400"/>
            <wp:effectExtent l="19050" t="0" r="19050" b="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spacing w:line="600" w:lineRule="exact"/>
        <w:jc w:val="center"/>
        <w:rPr>
          <w:rFonts w:ascii="仿宋" w:hAnsi="仿宋" w:eastAsia="仿宋"/>
          <w:sz w:val="32"/>
          <w:szCs w:val="32"/>
          <w:lang w:eastAsia="zh-CN"/>
        </w:rPr>
      </w:pPr>
      <w:r>
        <w:rPr>
          <w:rFonts w:hint="eastAsia" w:ascii="仿宋" w:hAnsi="仿宋" w:eastAsia="仿宋"/>
          <w:sz w:val="32"/>
          <w:szCs w:val="32"/>
          <w:lang w:eastAsia="zh-CN"/>
        </w:rPr>
        <w:t>（图7：“三公”经费财政拨款支出结构）</w:t>
      </w:r>
    </w:p>
    <w:p>
      <w:pPr>
        <w:spacing w:line="600" w:lineRule="exact"/>
        <w:ind w:firstLine="645"/>
        <w:rPr>
          <w:rFonts w:eastAsia="仿宋_GB2312"/>
          <w:lang w:eastAsia="zh-CN"/>
        </w:rPr>
      </w:pPr>
      <w:r>
        <w:rPr>
          <w:rFonts w:ascii="仿宋_GB2312" w:eastAsia="仿宋_GB2312"/>
          <w:b/>
          <w:sz w:val="32"/>
          <w:szCs w:val="32"/>
          <w:lang w:eastAsia="zh-CN"/>
        </w:rPr>
        <w:t>1.</w:t>
      </w:r>
      <w:r>
        <w:rPr>
          <w:rFonts w:hint="eastAsia" w:ascii="仿宋_GB2312" w:eastAsia="仿宋_GB2312"/>
          <w:b/>
          <w:sz w:val="32"/>
          <w:szCs w:val="32"/>
          <w:lang w:eastAsia="zh-CN"/>
        </w:rPr>
        <w:t>因公出国（境）经费支出</w:t>
      </w:r>
      <w:r>
        <w:rPr>
          <w:rFonts w:hint="eastAsia" w:ascii="仿宋_GB2312" w:eastAsia="仿宋_GB2312"/>
          <w:sz w:val="32"/>
          <w:szCs w:val="32"/>
          <w:lang w:eastAsia="zh-CN"/>
        </w:rPr>
        <w:t>0万元，年初未安排预算</w:t>
      </w:r>
      <w:r>
        <w:rPr>
          <w:rStyle w:val="30"/>
          <w:rFonts w:hint="eastAsia" w:ascii="仿宋" w:hAnsi="仿宋" w:eastAsia="仿宋"/>
          <w:b w:val="0"/>
          <w:sz w:val="32"/>
          <w:szCs w:val="32"/>
          <w:lang w:eastAsia="zh-CN"/>
        </w:rPr>
        <w:t>。</w:t>
      </w:r>
      <w:r>
        <w:rPr>
          <w:rFonts w:hint="eastAsia" w:ascii="仿宋_GB2312" w:eastAsia="仿宋_GB2312"/>
          <w:sz w:val="32"/>
          <w:szCs w:val="32"/>
          <w:lang w:eastAsia="zh-CN"/>
        </w:rPr>
        <w:t>因公出国（境）支出决算较2022年无变化。</w:t>
      </w:r>
    </w:p>
    <w:p>
      <w:pPr>
        <w:spacing w:line="600" w:lineRule="exact"/>
        <w:ind w:firstLine="640"/>
        <w:rPr>
          <w:rFonts w:ascii="仿宋_GB2312" w:eastAsia="仿宋_GB2312"/>
          <w:b/>
          <w:sz w:val="32"/>
          <w:szCs w:val="32"/>
          <w:lang w:eastAsia="zh-CN"/>
        </w:rPr>
      </w:pPr>
      <w:r>
        <w:rPr>
          <w:rFonts w:ascii="仿宋_GB2312" w:eastAsia="仿宋_GB2312"/>
          <w:b/>
          <w:sz w:val="32"/>
          <w:szCs w:val="32"/>
          <w:lang w:eastAsia="zh-CN"/>
        </w:rPr>
        <w:t>2.</w:t>
      </w:r>
      <w:r>
        <w:rPr>
          <w:rFonts w:hint="eastAsia" w:ascii="仿宋_GB2312" w:eastAsia="仿宋_GB2312"/>
          <w:b/>
          <w:sz w:val="32"/>
          <w:szCs w:val="32"/>
          <w:lang w:eastAsia="zh-CN"/>
        </w:rPr>
        <w:t>公务用车购置及运行维护费支出</w:t>
      </w:r>
      <w:r>
        <w:rPr>
          <w:rFonts w:hint="eastAsia" w:ascii="仿宋_GB2312" w:eastAsia="仿宋_GB2312"/>
          <w:b/>
          <w:sz w:val="32"/>
          <w:szCs w:val="32"/>
          <w:lang w:val="en-US" w:eastAsia="zh-CN"/>
        </w:rPr>
        <w:t>9.99</w:t>
      </w:r>
      <w:r>
        <w:rPr>
          <w:rFonts w:hint="eastAsia" w:ascii="仿宋_GB2312" w:eastAsia="仿宋_GB2312"/>
          <w:sz w:val="32"/>
          <w:szCs w:val="32"/>
          <w:lang w:eastAsia="zh-CN"/>
        </w:rPr>
        <w:t>万元，</w:t>
      </w:r>
      <w:r>
        <w:rPr>
          <w:rStyle w:val="30"/>
          <w:rFonts w:hint="eastAsia" w:ascii="仿宋" w:hAnsi="仿宋" w:eastAsia="仿宋"/>
          <w:b w:val="0"/>
          <w:sz w:val="32"/>
          <w:szCs w:val="32"/>
          <w:lang w:eastAsia="zh-CN"/>
        </w:rPr>
        <w:t>完成预算100</w:t>
      </w:r>
      <w:r>
        <w:rPr>
          <w:rStyle w:val="30"/>
          <w:rFonts w:ascii="仿宋" w:hAnsi="仿宋" w:eastAsia="仿宋"/>
          <w:b w:val="0"/>
          <w:sz w:val="32"/>
          <w:szCs w:val="32"/>
          <w:lang w:eastAsia="zh-CN"/>
        </w:rPr>
        <w:t>%</w:t>
      </w:r>
      <w:r>
        <w:rPr>
          <w:rStyle w:val="30"/>
          <w:rFonts w:hint="eastAsia" w:ascii="仿宋" w:hAnsi="仿宋" w:eastAsia="仿宋"/>
          <w:b w:val="0"/>
          <w:sz w:val="32"/>
          <w:szCs w:val="32"/>
          <w:lang w:eastAsia="zh-CN"/>
        </w:rPr>
        <w:t>。</w:t>
      </w:r>
      <w:r>
        <w:rPr>
          <w:rFonts w:hint="eastAsia" w:ascii="仿宋_GB2312" w:eastAsia="仿宋_GB2312"/>
          <w:sz w:val="32"/>
          <w:szCs w:val="32"/>
          <w:lang w:eastAsia="zh-CN"/>
        </w:rPr>
        <w:t>公务用车购置及运行维护费支出决算比</w:t>
      </w:r>
      <w:r>
        <w:rPr>
          <w:rFonts w:ascii="仿宋_GB2312" w:eastAsia="仿宋_GB2312"/>
          <w:sz w:val="32"/>
          <w:szCs w:val="32"/>
          <w:lang w:eastAsia="zh-CN"/>
        </w:rPr>
        <w:t>20</w:t>
      </w:r>
      <w:r>
        <w:rPr>
          <w:rFonts w:hint="eastAsia" w:ascii="仿宋_GB2312" w:eastAsia="仿宋_GB2312"/>
          <w:sz w:val="32"/>
          <w:szCs w:val="32"/>
          <w:lang w:eastAsia="zh-CN"/>
        </w:rPr>
        <w:t>22年减少5万元，下降33</w:t>
      </w:r>
      <w:r>
        <w:rPr>
          <w:rFonts w:ascii="仿宋_GB2312" w:eastAsia="仿宋_GB2312"/>
          <w:sz w:val="32"/>
          <w:szCs w:val="32"/>
          <w:lang w:eastAsia="zh-CN"/>
        </w:rPr>
        <w:t>%</w:t>
      </w:r>
      <w:r>
        <w:rPr>
          <w:rFonts w:hint="eastAsia" w:ascii="仿宋_GB2312" w:eastAsia="仿宋_GB2312"/>
          <w:sz w:val="32"/>
          <w:szCs w:val="32"/>
          <w:lang w:eastAsia="zh-CN"/>
        </w:rPr>
        <w:t>。主要原因是本年度厉行节俭，降低公务用车费用。</w:t>
      </w:r>
    </w:p>
    <w:p>
      <w:pPr>
        <w:spacing w:line="600" w:lineRule="exact"/>
        <w:ind w:firstLine="640" w:firstLineChars="200"/>
        <w:rPr>
          <w:rFonts w:ascii="仿宋_GB2312" w:eastAsia="仿宋_GB2312"/>
          <w:b/>
          <w:sz w:val="32"/>
          <w:szCs w:val="32"/>
          <w:lang w:eastAsia="zh-CN"/>
        </w:rPr>
      </w:pPr>
      <w:r>
        <w:rPr>
          <w:rFonts w:hint="eastAsia" w:ascii="仿宋_GB2312" w:eastAsia="仿宋_GB2312"/>
          <w:sz w:val="32"/>
          <w:szCs w:val="32"/>
          <w:lang w:eastAsia="zh-CN"/>
        </w:rPr>
        <w:t>其中：</w:t>
      </w:r>
      <w:r>
        <w:rPr>
          <w:rFonts w:hint="eastAsia" w:ascii="仿宋_GB2312" w:eastAsia="仿宋_GB2312"/>
          <w:b/>
          <w:sz w:val="32"/>
          <w:szCs w:val="32"/>
          <w:lang w:eastAsia="zh-CN"/>
        </w:rPr>
        <w:t>公务用车购置支出</w:t>
      </w:r>
      <w:r>
        <w:rPr>
          <w:rFonts w:hint="eastAsia" w:ascii="仿宋_GB2312" w:eastAsia="仿宋_GB2312"/>
          <w:sz w:val="32"/>
          <w:szCs w:val="32"/>
          <w:lang w:eastAsia="zh-CN"/>
        </w:rPr>
        <w:t>0万元。全年按规定更新购置公务用车0辆。截至</w:t>
      </w:r>
      <w:r>
        <w:rPr>
          <w:rFonts w:ascii="仿宋_GB2312" w:eastAsia="仿宋_GB2312"/>
          <w:sz w:val="32"/>
          <w:szCs w:val="32"/>
          <w:lang w:eastAsia="zh-CN"/>
        </w:rPr>
        <w:t>2023</w:t>
      </w:r>
      <w:r>
        <w:rPr>
          <w:rFonts w:hint="eastAsia" w:ascii="仿宋_GB2312" w:eastAsia="仿宋_GB2312"/>
          <w:sz w:val="32"/>
          <w:szCs w:val="32"/>
          <w:lang w:eastAsia="zh-CN"/>
        </w:rPr>
        <w:t>年</w:t>
      </w:r>
      <w:r>
        <w:rPr>
          <w:rFonts w:ascii="仿宋_GB2312" w:eastAsia="仿宋_GB2312"/>
          <w:sz w:val="32"/>
          <w:szCs w:val="32"/>
          <w:lang w:eastAsia="zh-CN"/>
        </w:rPr>
        <w:t>12</w:t>
      </w:r>
      <w:r>
        <w:rPr>
          <w:rFonts w:hint="eastAsia" w:ascii="仿宋_GB2312" w:eastAsia="仿宋_GB2312"/>
          <w:sz w:val="32"/>
          <w:szCs w:val="32"/>
          <w:lang w:eastAsia="zh-CN"/>
        </w:rPr>
        <w:t>月底，单位共有公务用车11辆，其中：轿车3辆、越野车5辆、其他车型3辆。</w:t>
      </w:r>
    </w:p>
    <w:p>
      <w:pPr>
        <w:spacing w:line="600" w:lineRule="exact"/>
        <w:ind w:firstLine="640"/>
        <w:rPr>
          <w:rFonts w:ascii="仿宋_GB2312" w:eastAsia="仿宋_GB2312"/>
          <w:sz w:val="32"/>
          <w:szCs w:val="32"/>
          <w:lang w:eastAsia="zh-CN"/>
        </w:rPr>
      </w:pPr>
      <w:r>
        <w:rPr>
          <w:rFonts w:hint="eastAsia" w:ascii="仿宋_GB2312" w:eastAsia="仿宋_GB2312"/>
          <w:b/>
          <w:sz w:val="32"/>
          <w:szCs w:val="32"/>
          <w:lang w:eastAsia="zh-CN"/>
        </w:rPr>
        <w:t>公务用车运行维护费支出</w:t>
      </w:r>
      <w:r>
        <w:rPr>
          <w:rFonts w:hint="eastAsia" w:ascii="仿宋_GB2312" w:eastAsia="仿宋_GB2312"/>
          <w:b/>
          <w:sz w:val="32"/>
          <w:szCs w:val="32"/>
          <w:lang w:val="en-US" w:eastAsia="zh-CN"/>
        </w:rPr>
        <w:t>9.99</w:t>
      </w:r>
      <w:r>
        <w:rPr>
          <w:rFonts w:hint="eastAsia" w:ascii="仿宋_GB2312" w:eastAsia="仿宋_GB2312"/>
          <w:sz w:val="32"/>
          <w:szCs w:val="32"/>
          <w:lang w:eastAsia="zh-CN"/>
        </w:rPr>
        <w:t>万元。主要用于审判执行外出办案等所需的公务用车燃料费、维修费、过路过桥费、保险费等支出。</w:t>
      </w:r>
    </w:p>
    <w:p>
      <w:pPr>
        <w:spacing w:line="600" w:lineRule="exact"/>
        <w:ind w:firstLine="640"/>
        <w:rPr>
          <w:rFonts w:ascii="仿宋_GB2312" w:eastAsia="仿宋_GB2312"/>
          <w:sz w:val="32"/>
          <w:szCs w:val="32"/>
          <w:lang w:eastAsia="zh-CN"/>
        </w:rPr>
      </w:pPr>
      <w:r>
        <w:rPr>
          <w:rFonts w:ascii="仿宋_GB2312" w:eastAsia="仿宋_GB2312"/>
          <w:b/>
          <w:sz w:val="32"/>
          <w:szCs w:val="32"/>
          <w:lang w:eastAsia="zh-CN"/>
        </w:rPr>
        <w:t>3.</w:t>
      </w:r>
      <w:r>
        <w:rPr>
          <w:rFonts w:hint="eastAsia" w:ascii="仿宋_GB2312" w:eastAsia="仿宋_GB2312"/>
          <w:b/>
          <w:sz w:val="32"/>
          <w:szCs w:val="32"/>
          <w:lang w:eastAsia="zh-CN"/>
        </w:rPr>
        <w:t>公务接待费支出</w:t>
      </w:r>
      <w:r>
        <w:rPr>
          <w:rFonts w:hint="eastAsia" w:ascii="仿宋_GB2312" w:eastAsia="仿宋_GB2312"/>
          <w:sz w:val="32"/>
          <w:szCs w:val="32"/>
          <w:lang w:eastAsia="zh-CN"/>
        </w:rPr>
        <w:t>1.6万元，</w:t>
      </w:r>
      <w:r>
        <w:rPr>
          <w:rStyle w:val="30"/>
          <w:rFonts w:hint="eastAsia" w:ascii="仿宋" w:hAnsi="仿宋" w:eastAsia="仿宋"/>
          <w:b w:val="0"/>
          <w:sz w:val="32"/>
          <w:szCs w:val="32"/>
          <w:lang w:eastAsia="zh-CN"/>
        </w:rPr>
        <w:t>完成预算100</w:t>
      </w:r>
      <w:r>
        <w:rPr>
          <w:rStyle w:val="30"/>
          <w:rFonts w:ascii="仿宋" w:hAnsi="仿宋" w:eastAsia="仿宋"/>
          <w:b w:val="0"/>
          <w:sz w:val="32"/>
          <w:szCs w:val="32"/>
          <w:lang w:eastAsia="zh-CN"/>
        </w:rPr>
        <w:t>%</w:t>
      </w:r>
      <w:r>
        <w:rPr>
          <w:rStyle w:val="30"/>
          <w:rFonts w:hint="eastAsia" w:ascii="仿宋" w:hAnsi="仿宋" w:eastAsia="仿宋"/>
          <w:b w:val="0"/>
          <w:sz w:val="32"/>
          <w:szCs w:val="32"/>
          <w:lang w:eastAsia="zh-CN"/>
        </w:rPr>
        <w:t>。</w:t>
      </w:r>
      <w:r>
        <w:rPr>
          <w:rFonts w:hint="eastAsia" w:ascii="仿宋_GB2312" w:eastAsia="仿宋_GB2312"/>
          <w:sz w:val="32"/>
          <w:szCs w:val="32"/>
          <w:lang w:eastAsia="zh-CN"/>
        </w:rPr>
        <w:t>公务接待费支出决算与</w:t>
      </w:r>
      <w:r>
        <w:rPr>
          <w:rFonts w:ascii="仿宋_GB2312" w:eastAsia="仿宋_GB2312"/>
          <w:sz w:val="32"/>
          <w:szCs w:val="32"/>
          <w:lang w:eastAsia="zh-CN"/>
        </w:rPr>
        <w:t>20</w:t>
      </w:r>
      <w:r>
        <w:rPr>
          <w:rFonts w:hint="eastAsia" w:ascii="仿宋_GB2312" w:eastAsia="仿宋_GB2312"/>
          <w:sz w:val="32"/>
          <w:szCs w:val="32"/>
          <w:lang w:eastAsia="zh-CN"/>
        </w:rPr>
        <w:t>22年持平。其中：</w:t>
      </w:r>
    </w:p>
    <w:p>
      <w:pPr>
        <w:spacing w:line="600" w:lineRule="exact"/>
        <w:ind w:firstLine="640"/>
        <w:rPr>
          <w:rFonts w:hint="eastAsia" w:ascii="仿宋_GB2312" w:eastAsia="仿宋_GB2312"/>
          <w:sz w:val="32"/>
          <w:szCs w:val="32"/>
          <w:lang w:eastAsia="zh-CN"/>
        </w:rPr>
      </w:pPr>
      <w:r>
        <w:rPr>
          <w:rFonts w:hint="eastAsia" w:ascii="仿宋" w:hAnsi="仿宋" w:eastAsia="仿宋"/>
          <w:b/>
          <w:sz w:val="32"/>
          <w:szCs w:val="32"/>
          <w:lang w:eastAsia="zh-CN"/>
        </w:rPr>
        <w:t>国内公务接待支出</w:t>
      </w:r>
      <w:r>
        <w:rPr>
          <w:rFonts w:hint="eastAsia" w:ascii="仿宋" w:hAnsi="仿宋" w:eastAsia="仿宋"/>
          <w:sz w:val="32"/>
          <w:szCs w:val="32"/>
          <w:lang w:eastAsia="zh-CN"/>
        </w:rPr>
        <w:t>1.6</w:t>
      </w:r>
      <w:r>
        <w:rPr>
          <w:rFonts w:hint="eastAsia" w:ascii="仿宋_GB2312" w:eastAsia="仿宋_GB2312"/>
          <w:sz w:val="32"/>
          <w:szCs w:val="32"/>
          <w:lang w:eastAsia="zh-CN"/>
        </w:rPr>
        <w:t>万元，主要用于用餐费等。国内公务接待12批次，90人次（不包括陪同人员），共计支出1.6万元，具体内容包括：其他法院来我院进行参观学习交流、相关考察活动等。</w:t>
      </w:r>
    </w:p>
    <w:p>
      <w:pPr>
        <w:spacing w:line="600" w:lineRule="exact"/>
        <w:ind w:firstLine="640"/>
        <w:rPr>
          <w:rFonts w:ascii="仿宋_GB2312" w:eastAsia="仿宋_GB2312"/>
          <w:sz w:val="32"/>
          <w:szCs w:val="32"/>
          <w:lang w:eastAsia="zh-CN"/>
        </w:rPr>
      </w:pPr>
      <w:r>
        <w:rPr>
          <w:rFonts w:hint="eastAsia" w:ascii="仿宋" w:hAnsi="仿宋" w:eastAsia="仿宋"/>
          <w:b/>
          <w:sz w:val="32"/>
          <w:szCs w:val="32"/>
          <w:lang w:eastAsia="zh-CN"/>
        </w:rPr>
        <w:t>外事接待支出</w:t>
      </w:r>
      <w:r>
        <w:rPr>
          <w:rFonts w:hint="eastAsia" w:ascii="仿宋" w:hAnsi="仿宋" w:eastAsia="仿宋"/>
          <w:sz w:val="32"/>
          <w:szCs w:val="32"/>
          <w:lang w:eastAsia="zh-CN"/>
        </w:rPr>
        <w:t>0</w:t>
      </w:r>
      <w:r>
        <w:rPr>
          <w:rFonts w:hint="eastAsia" w:ascii="仿宋_GB2312" w:eastAsia="仿宋_GB2312"/>
          <w:sz w:val="32"/>
          <w:szCs w:val="32"/>
          <w:lang w:eastAsia="zh-CN"/>
        </w:rPr>
        <w:t>万元。</w:t>
      </w:r>
    </w:p>
    <w:p>
      <w:pPr>
        <w:pStyle w:val="3"/>
        <w:rPr>
          <w:rFonts w:hint="eastAsia" w:ascii="黑体" w:hAnsi="黑体" w:eastAsia="黑体"/>
          <w:sz w:val="32"/>
          <w:szCs w:val="32"/>
          <w:lang w:eastAsia="zh-CN"/>
        </w:rPr>
      </w:pPr>
      <w:bookmarkStart w:id="75" w:name="_Toc17958"/>
      <w:bookmarkStart w:id="76" w:name="_Toc15396610"/>
      <w:bookmarkStart w:id="77" w:name="_Toc177054937"/>
      <w:bookmarkStart w:id="78" w:name="_Toc15377218"/>
      <w:r>
        <w:rPr>
          <w:rFonts w:hint="eastAsia" w:ascii="黑体" w:hAnsi="黑体" w:eastAsia="黑体"/>
          <w:sz w:val="32"/>
          <w:szCs w:val="32"/>
          <w:lang w:eastAsia="zh-CN"/>
        </w:rPr>
        <w:t xml:space="preserve">    八、政府性基金预算支出决算情况说明</w:t>
      </w:r>
      <w:bookmarkEnd w:id="75"/>
      <w:bookmarkEnd w:id="76"/>
      <w:bookmarkEnd w:id="77"/>
      <w:bookmarkEnd w:id="78"/>
    </w:p>
    <w:p>
      <w:pPr>
        <w:pStyle w:val="3"/>
        <w:rPr>
          <w:rFonts w:ascii="黑体" w:hAnsi="黑体" w:eastAsia="黑体"/>
          <w:sz w:val="32"/>
          <w:szCs w:val="32"/>
          <w:lang w:eastAsia="zh-CN"/>
        </w:rPr>
      </w:pPr>
      <w:r>
        <w:rPr>
          <w:rFonts w:hint="eastAsia" w:ascii="黑体" w:hAnsi="黑体" w:eastAsia="黑体"/>
          <w:sz w:val="32"/>
          <w:szCs w:val="32"/>
          <w:lang w:eastAsia="zh-CN"/>
        </w:rPr>
        <w:t xml:space="preserve">    </w:t>
      </w:r>
      <w:r>
        <w:rPr>
          <w:rFonts w:ascii="仿宋_GB2312" w:eastAsia="仿宋_GB2312"/>
          <w:sz w:val="32"/>
          <w:szCs w:val="32"/>
          <w:lang w:eastAsia="zh-CN"/>
        </w:rPr>
        <w:t>2023</w:t>
      </w:r>
      <w:r>
        <w:rPr>
          <w:rFonts w:hint="eastAsia" w:ascii="仿宋_GB2312" w:eastAsia="仿宋_GB2312"/>
          <w:sz w:val="32"/>
          <w:szCs w:val="32"/>
          <w:lang w:eastAsia="zh-CN"/>
        </w:rPr>
        <w:t>年政府性基金预算财政拨款支出0万元。</w:t>
      </w:r>
    </w:p>
    <w:p>
      <w:pPr>
        <w:pStyle w:val="3"/>
        <w:rPr>
          <w:rFonts w:ascii="黑体" w:hAnsi="黑体" w:eastAsia="黑体"/>
          <w:b/>
          <w:sz w:val="32"/>
          <w:szCs w:val="32"/>
          <w:lang w:eastAsia="zh-CN"/>
        </w:rPr>
      </w:pPr>
      <w:bookmarkStart w:id="79" w:name="_Toc15377219"/>
      <w:bookmarkStart w:id="80" w:name="_Toc6066"/>
      <w:bookmarkStart w:id="81" w:name="_Toc177054938"/>
      <w:bookmarkStart w:id="82" w:name="_Toc15396611"/>
      <w:r>
        <w:rPr>
          <w:rFonts w:hint="eastAsia" w:ascii="黑体" w:hAnsi="黑体" w:eastAsia="黑体"/>
          <w:sz w:val="32"/>
          <w:szCs w:val="32"/>
          <w:lang w:eastAsia="zh-CN"/>
        </w:rPr>
        <w:t xml:space="preserve">    九、国有资本经营预算支出决算情况说明</w:t>
      </w:r>
      <w:bookmarkEnd w:id="79"/>
      <w:bookmarkEnd w:id="80"/>
      <w:bookmarkEnd w:id="81"/>
      <w:bookmarkEnd w:id="82"/>
    </w:p>
    <w:p>
      <w:pPr>
        <w:spacing w:line="600" w:lineRule="exact"/>
        <w:ind w:firstLine="640"/>
        <w:rPr>
          <w:rFonts w:ascii="方正小标宋简体" w:hAnsi="方正小标宋简体" w:eastAsia="方正小标宋简体" w:cs="方正小标宋简体"/>
          <w:sz w:val="44"/>
          <w:szCs w:val="44"/>
          <w:lang w:eastAsia="zh-CN"/>
        </w:rPr>
      </w:pPr>
      <w:r>
        <w:rPr>
          <w:rFonts w:ascii="仿宋_GB2312" w:eastAsia="仿宋_GB2312"/>
          <w:sz w:val="32"/>
          <w:szCs w:val="32"/>
          <w:lang w:eastAsia="zh-CN"/>
        </w:rPr>
        <w:t>2023</w:t>
      </w:r>
      <w:r>
        <w:rPr>
          <w:rFonts w:hint="eastAsia" w:ascii="仿宋_GB2312" w:eastAsia="仿宋_GB2312"/>
          <w:sz w:val="32"/>
          <w:szCs w:val="32"/>
          <w:lang w:eastAsia="zh-CN"/>
        </w:rPr>
        <w:t>年国有资本经营预算财政拨款支出</w:t>
      </w:r>
      <w:r>
        <w:rPr>
          <w:rFonts w:ascii="仿宋_GB2312" w:eastAsia="仿宋_GB2312"/>
          <w:sz w:val="32"/>
          <w:szCs w:val="32"/>
          <w:lang w:eastAsia="zh-CN"/>
        </w:rPr>
        <w:t>0</w:t>
      </w:r>
      <w:r>
        <w:rPr>
          <w:rFonts w:hint="eastAsia" w:ascii="仿宋_GB2312" w:eastAsia="仿宋_GB2312"/>
          <w:sz w:val="32"/>
          <w:szCs w:val="32"/>
          <w:lang w:eastAsia="zh-CN"/>
        </w:rPr>
        <w:t>万元。</w:t>
      </w:r>
    </w:p>
    <w:p>
      <w:pPr>
        <w:pStyle w:val="3"/>
        <w:rPr>
          <w:rFonts w:hint="eastAsia" w:ascii="黑体" w:hAnsi="黑体" w:eastAsia="黑体"/>
          <w:sz w:val="32"/>
          <w:lang w:eastAsia="zh-CN"/>
        </w:rPr>
      </w:pPr>
      <w:bookmarkStart w:id="83" w:name="_Toc15396612"/>
      <w:bookmarkStart w:id="84" w:name="_Toc15377221"/>
      <w:bookmarkStart w:id="85" w:name="_Toc177054939"/>
      <w:bookmarkStart w:id="86" w:name="_Toc2516"/>
      <w:r>
        <w:rPr>
          <w:rFonts w:hint="eastAsia" w:ascii="黑体" w:hAnsi="黑体" w:eastAsia="黑体"/>
          <w:sz w:val="32"/>
          <w:lang w:eastAsia="zh-CN"/>
        </w:rPr>
        <w:t xml:space="preserve">    十、其他重要事项的情况说明</w:t>
      </w:r>
      <w:bookmarkEnd w:id="83"/>
      <w:bookmarkEnd w:id="84"/>
      <w:bookmarkEnd w:id="85"/>
      <w:bookmarkEnd w:id="86"/>
      <w:bookmarkStart w:id="87" w:name="_Toc177054940"/>
      <w:bookmarkStart w:id="88" w:name="_Toc15377222"/>
    </w:p>
    <w:p>
      <w:pPr>
        <w:pStyle w:val="3"/>
        <w:rPr>
          <w:rFonts w:ascii="黑体" w:hAnsi="黑体" w:eastAsia="黑体"/>
          <w:sz w:val="32"/>
          <w:lang w:eastAsia="zh-CN"/>
        </w:rPr>
      </w:pPr>
      <w:r>
        <w:rPr>
          <w:rFonts w:hint="eastAsia" w:ascii="黑体" w:hAnsi="黑体" w:eastAsia="黑体"/>
          <w:sz w:val="32"/>
          <w:lang w:eastAsia="zh-CN"/>
        </w:rPr>
        <w:t xml:space="preserve">    </w:t>
      </w:r>
      <w:r>
        <w:rPr>
          <w:rFonts w:hint="eastAsia" w:ascii="仿宋" w:hAnsi="仿宋" w:eastAsia="仿宋"/>
          <w:b/>
          <w:sz w:val="32"/>
          <w:szCs w:val="32"/>
          <w:lang w:eastAsia="zh-CN"/>
        </w:rPr>
        <w:t>（一）机关运行经费支出情况</w:t>
      </w:r>
      <w:bookmarkEnd w:id="87"/>
      <w:bookmarkEnd w:id="88"/>
    </w:p>
    <w:p>
      <w:pPr>
        <w:spacing w:line="600" w:lineRule="exact"/>
        <w:ind w:firstLine="640" w:firstLineChars="200"/>
        <w:rPr>
          <w:rFonts w:ascii="仿宋_GB2312" w:eastAsia="仿宋_GB2312"/>
          <w:sz w:val="32"/>
          <w:szCs w:val="32"/>
          <w:lang w:eastAsia="zh-CN"/>
        </w:rPr>
      </w:pPr>
      <w:r>
        <w:rPr>
          <w:rFonts w:ascii="仿宋_GB2312" w:eastAsia="仿宋_GB2312"/>
          <w:sz w:val="32"/>
          <w:szCs w:val="32"/>
          <w:lang w:eastAsia="zh-CN"/>
        </w:rPr>
        <w:t>2023</w:t>
      </w:r>
      <w:r>
        <w:rPr>
          <w:rFonts w:hint="eastAsia" w:ascii="仿宋_GB2312" w:eastAsia="仿宋_GB2312"/>
          <w:sz w:val="32"/>
          <w:szCs w:val="32"/>
          <w:lang w:eastAsia="zh-CN"/>
        </w:rPr>
        <w:t>年，区法院机关运行经费支出156.73万元，比</w:t>
      </w:r>
      <w:r>
        <w:rPr>
          <w:rFonts w:ascii="仿宋_GB2312" w:eastAsia="仿宋_GB2312"/>
          <w:sz w:val="32"/>
          <w:szCs w:val="32"/>
          <w:lang w:eastAsia="zh-CN"/>
        </w:rPr>
        <w:t>20</w:t>
      </w:r>
      <w:r>
        <w:rPr>
          <w:rFonts w:hint="eastAsia" w:ascii="仿宋_GB2312" w:eastAsia="仿宋_GB2312"/>
          <w:sz w:val="32"/>
          <w:szCs w:val="32"/>
          <w:lang w:eastAsia="zh-CN"/>
        </w:rPr>
        <w:t>22年减少19.54万元，下降11</w:t>
      </w:r>
      <w:r>
        <w:rPr>
          <w:rFonts w:ascii="仿宋_GB2312" w:eastAsia="仿宋_GB2312"/>
          <w:sz w:val="32"/>
          <w:szCs w:val="32"/>
          <w:lang w:eastAsia="zh-CN"/>
        </w:rPr>
        <w:t>%</w:t>
      </w:r>
      <w:r>
        <w:rPr>
          <w:rFonts w:hint="eastAsia" w:ascii="仿宋_GB2312" w:eastAsia="仿宋_GB2312"/>
          <w:sz w:val="32"/>
          <w:szCs w:val="32"/>
          <w:lang w:eastAsia="zh-CN"/>
        </w:rPr>
        <w:t>。主要原因是厉行节俭。</w:t>
      </w:r>
    </w:p>
    <w:p>
      <w:pPr>
        <w:autoSpaceDE w:val="0"/>
        <w:autoSpaceDN w:val="0"/>
        <w:adjustRightInd w:val="0"/>
        <w:spacing w:line="600" w:lineRule="exact"/>
        <w:ind w:firstLine="642" w:firstLineChars="200"/>
        <w:outlineLvl w:val="2"/>
        <w:rPr>
          <w:rFonts w:ascii="仿宋" w:hAnsi="仿宋" w:eastAsia="仿宋"/>
          <w:b/>
          <w:sz w:val="32"/>
          <w:szCs w:val="32"/>
          <w:lang w:eastAsia="zh-CN"/>
        </w:rPr>
      </w:pPr>
      <w:bookmarkStart w:id="89" w:name="_Toc177054941"/>
      <w:bookmarkStart w:id="90" w:name="_Toc15377223"/>
      <w:r>
        <w:rPr>
          <w:rFonts w:hint="eastAsia" w:ascii="仿宋" w:hAnsi="仿宋" w:eastAsia="仿宋"/>
          <w:b/>
          <w:sz w:val="32"/>
          <w:szCs w:val="32"/>
          <w:lang w:eastAsia="zh-CN"/>
        </w:rPr>
        <w:t>（二）政府采购支出情况</w:t>
      </w:r>
      <w:bookmarkEnd w:id="89"/>
      <w:bookmarkEnd w:id="90"/>
    </w:p>
    <w:p>
      <w:pPr>
        <w:spacing w:line="600" w:lineRule="exact"/>
        <w:ind w:firstLine="640" w:firstLineChars="200"/>
        <w:rPr>
          <w:rFonts w:ascii="仿宋_GB2312" w:eastAsia="仿宋_GB2312"/>
          <w:sz w:val="32"/>
          <w:szCs w:val="32"/>
          <w:lang w:eastAsia="zh-CN"/>
        </w:rPr>
      </w:pPr>
      <w:r>
        <w:rPr>
          <w:rFonts w:ascii="仿宋_GB2312" w:eastAsia="仿宋_GB2312"/>
          <w:sz w:val="32"/>
          <w:szCs w:val="32"/>
          <w:lang w:eastAsia="zh-CN"/>
        </w:rPr>
        <w:t>2023</w:t>
      </w:r>
      <w:r>
        <w:rPr>
          <w:rFonts w:hint="eastAsia" w:ascii="仿宋_GB2312" w:eastAsia="仿宋_GB2312"/>
          <w:sz w:val="32"/>
          <w:szCs w:val="32"/>
          <w:lang w:eastAsia="zh-CN"/>
        </w:rPr>
        <w:t>年，区法院政府采购支出总额0万元</w:t>
      </w:r>
      <w:r>
        <w:rPr>
          <w:rFonts w:hint="eastAsia" w:ascii="仿宋_GB2312" w:eastAsia="仿宋_GB2312"/>
          <w:color w:val="0070C0"/>
          <w:sz w:val="32"/>
          <w:szCs w:val="32"/>
          <w:lang w:eastAsia="zh-CN"/>
        </w:rPr>
        <w:t>。</w:t>
      </w:r>
      <w:r>
        <w:rPr>
          <w:rFonts w:ascii="仿宋_GB2312" w:eastAsia="仿宋_GB2312"/>
          <w:sz w:val="32"/>
          <w:szCs w:val="32"/>
          <w:lang w:eastAsia="zh-CN"/>
        </w:rPr>
        <w:t xml:space="preserve"> </w:t>
      </w:r>
    </w:p>
    <w:p>
      <w:pPr>
        <w:autoSpaceDE w:val="0"/>
        <w:autoSpaceDN w:val="0"/>
        <w:adjustRightInd w:val="0"/>
        <w:spacing w:line="600" w:lineRule="exact"/>
        <w:ind w:firstLine="642" w:firstLineChars="200"/>
        <w:outlineLvl w:val="2"/>
        <w:rPr>
          <w:rFonts w:ascii="仿宋" w:hAnsi="仿宋" w:eastAsia="仿宋"/>
          <w:b/>
          <w:sz w:val="32"/>
          <w:szCs w:val="32"/>
          <w:lang w:eastAsia="zh-CN"/>
        </w:rPr>
      </w:pPr>
      <w:bookmarkStart w:id="91" w:name="_Toc15377224"/>
      <w:bookmarkStart w:id="92" w:name="_Toc177054942"/>
      <w:r>
        <w:rPr>
          <w:rFonts w:hint="eastAsia" w:ascii="仿宋" w:hAnsi="仿宋" w:eastAsia="仿宋"/>
          <w:b/>
          <w:sz w:val="32"/>
          <w:szCs w:val="32"/>
          <w:lang w:eastAsia="zh-CN"/>
        </w:rPr>
        <w:t>（三）国有资产占有使用情况</w:t>
      </w:r>
      <w:bookmarkEnd w:id="91"/>
      <w:bookmarkEnd w:id="92"/>
    </w:p>
    <w:p>
      <w:pPr>
        <w:autoSpaceDE w:val="0"/>
        <w:autoSpaceDN w:val="0"/>
        <w:adjustRightInd w:val="0"/>
        <w:spacing w:line="600" w:lineRule="exact"/>
        <w:ind w:firstLine="640" w:firstLineChars="200"/>
        <w:rPr>
          <w:rFonts w:ascii="仿宋_GB2312" w:eastAsia="仿宋_GB2312"/>
          <w:sz w:val="32"/>
          <w:szCs w:val="32"/>
          <w:lang w:eastAsia="zh-CN"/>
        </w:rPr>
      </w:pPr>
      <w:r>
        <w:rPr>
          <w:rFonts w:hint="eastAsia" w:ascii="仿宋_GB2312" w:eastAsia="仿宋_GB2312"/>
          <w:sz w:val="32"/>
          <w:szCs w:val="32"/>
          <w:lang w:eastAsia="zh-CN"/>
        </w:rPr>
        <w:t>截至</w:t>
      </w:r>
      <w:r>
        <w:rPr>
          <w:rFonts w:ascii="仿宋_GB2312" w:eastAsia="仿宋_GB2312"/>
          <w:sz w:val="32"/>
          <w:szCs w:val="32"/>
          <w:lang w:eastAsia="zh-CN"/>
        </w:rPr>
        <w:t>2023</w:t>
      </w:r>
      <w:r>
        <w:rPr>
          <w:rFonts w:hint="eastAsia" w:ascii="仿宋_GB2312" w:eastAsia="仿宋_GB2312"/>
          <w:sz w:val="32"/>
          <w:szCs w:val="32"/>
          <w:lang w:eastAsia="zh-CN"/>
        </w:rPr>
        <w:t>年</w:t>
      </w:r>
      <w:r>
        <w:rPr>
          <w:rFonts w:ascii="仿宋_GB2312" w:eastAsia="仿宋_GB2312"/>
          <w:sz w:val="32"/>
          <w:szCs w:val="32"/>
          <w:lang w:eastAsia="zh-CN"/>
        </w:rPr>
        <w:t>12</w:t>
      </w:r>
      <w:r>
        <w:rPr>
          <w:rFonts w:hint="eastAsia" w:ascii="仿宋_GB2312" w:eastAsia="仿宋_GB2312"/>
          <w:sz w:val="32"/>
          <w:szCs w:val="32"/>
          <w:lang w:eastAsia="zh-CN"/>
        </w:rPr>
        <w:t>月</w:t>
      </w:r>
      <w:r>
        <w:rPr>
          <w:rFonts w:ascii="仿宋_GB2312" w:eastAsia="仿宋_GB2312"/>
          <w:sz w:val="32"/>
          <w:szCs w:val="32"/>
          <w:lang w:eastAsia="zh-CN"/>
        </w:rPr>
        <w:t>31</w:t>
      </w:r>
      <w:r>
        <w:rPr>
          <w:rFonts w:hint="eastAsia" w:ascii="仿宋_GB2312" w:eastAsia="仿宋_GB2312"/>
          <w:sz w:val="32"/>
          <w:szCs w:val="32"/>
          <w:lang w:eastAsia="zh-CN"/>
        </w:rPr>
        <w:t>日，区法院共有车辆11辆，其中：主要领导干部用车0辆、机要通信用车0辆、应急保障用车0辆、</w:t>
      </w:r>
      <w:r>
        <w:rPr>
          <w:rFonts w:hint="eastAsia" w:ascii="仿宋_GB2312" w:hAnsi="仿宋_GB2312" w:eastAsia="仿宋_GB2312"/>
          <w:color w:val="000000"/>
          <w:sz w:val="32"/>
          <w:lang w:val="zh-CN" w:eastAsia="zh-CN"/>
        </w:rPr>
        <w:t>执法执勤用车6辆、特种专业技术用车5辆。</w:t>
      </w:r>
      <w:r>
        <w:rPr>
          <w:rFonts w:hint="eastAsia" w:ascii="仿宋_GB2312" w:eastAsia="仿宋_GB2312"/>
          <w:sz w:val="32"/>
          <w:szCs w:val="32"/>
          <w:lang w:eastAsia="zh-CN"/>
        </w:rPr>
        <w:t>单价</w:t>
      </w:r>
      <w:r>
        <w:rPr>
          <w:rFonts w:ascii="仿宋_GB2312" w:eastAsia="仿宋_GB2312"/>
          <w:sz w:val="32"/>
          <w:szCs w:val="32"/>
          <w:lang w:eastAsia="zh-CN"/>
        </w:rPr>
        <w:t>100</w:t>
      </w:r>
      <w:r>
        <w:rPr>
          <w:rFonts w:hint="eastAsia" w:ascii="仿宋_GB2312" w:eastAsia="仿宋_GB2312"/>
          <w:sz w:val="32"/>
          <w:szCs w:val="32"/>
          <w:lang w:eastAsia="zh-CN"/>
        </w:rPr>
        <w:t>万元以上专用设备0台（套）。</w:t>
      </w:r>
    </w:p>
    <w:p>
      <w:pPr>
        <w:autoSpaceDE w:val="0"/>
        <w:autoSpaceDN w:val="0"/>
        <w:adjustRightInd w:val="0"/>
        <w:spacing w:line="600" w:lineRule="exact"/>
        <w:ind w:firstLine="642" w:firstLineChars="200"/>
        <w:outlineLvl w:val="2"/>
        <w:rPr>
          <w:rFonts w:ascii="仿宋" w:hAnsi="仿宋" w:eastAsia="仿宋"/>
          <w:b/>
          <w:sz w:val="32"/>
          <w:szCs w:val="32"/>
          <w:lang w:eastAsia="zh-CN"/>
        </w:rPr>
      </w:pPr>
      <w:bookmarkStart w:id="93" w:name="_Toc177054943"/>
      <w:r>
        <w:rPr>
          <w:rFonts w:hint="eastAsia" w:ascii="仿宋" w:hAnsi="仿宋" w:eastAsia="仿宋"/>
          <w:b/>
          <w:sz w:val="32"/>
          <w:szCs w:val="32"/>
          <w:lang w:eastAsia="zh-CN"/>
        </w:rPr>
        <w:t>（四）预算绩效管理情况</w:t>
      </w:r>
      <w:bookmarkEnd w:id="93"/>
    </w:p>
    <w:p>
      <w:pPr>
        <w:spacing w:line="600" w:lineRule="exact"/>
        <w:ind w:firstLine="640" w:firstLineChars="200"/>
        <w:rPr>
          <w:rFonts w:ascii="仿宋_GB2312" w:eastAsia="仿宋_GB2312"/>
          <w:sz w:val="32"/>
          <w:szCs w:val="32"/>
          <w:lang w:eastAsia="zh-CN"/>
        </w:rPr>
      </w:pPr>
      <w:r>
        <w:rPr>
          <w:rFonts w:hint="eastAsia" w:ascii="仿宋_GB2312" w:eastAsia="仿宋_GB2312"/>
          <w:sz w:val="32"/>
          <w:szCs w:val="32"/>
          <w:lang w:eastAsia="zh-CN"/>
        </w:rPr>
        <w:t>根据预算绩效管理要求，本部门在2023年度预算编制阶段，组织对办案业务经费、聘用制书记员经费、公务员加班补助、司法警察加班补助、政法转移资金等5个项目开展了预算事前绩效评估，对5个项目编制了绩效目标，预算执行过程中，对5个项目开展绩效监控。</w:t>
      </w:r>
    </w:p>
    <w:p>
      <w:pPr>
        <w:adjustRightInd w:val="0"/>
        <w:snapToGrid w:val="0"/>
        <w:spacing w:line="600" w:lineRule="exact"/>
        <w:ind w:firstLine="640" w:firstLineChars="200"/>
        <w:contextualSpacing/>
        <w:rPr>
          <w:rFonts w:ascii="仿宋_GB2312" w:hAnsi="仿宋_GB2312" w:eastAsia="仿宋_GB2312" w:cs="仿宋_GB2312"/>
          <w:sz w:val="32"/>
          <w:szCs w:val="32"/>
          <w:lang w:eastAsia="zh-CN"/>
        </w:rPr>
      </w:pPr>
      <w:r>
        <w:rPr>
          <w:rFonts w:hint="eastAsia" w:ascii="仿宋_GB2312" w:eastAsia="仿宋_GB2312"/>
          <w:sz w:val="32"/>
          <w:szCs w:val="32"/>
          <w:lang w:eastAsia="zh-CN"/>
        </w:rPr>
        <w:t>组织对2023年度一般公共预算全面开展绩效自评，形成广元市朝天区人民法院《关于2023年市级部门整体支出绩效自评的报告》、办案业务经费等预算项目绩效自评报告，其中，部门整体绩效自评得分为97分，绩效自评综述：按照绩效评价相关</w:t>
      </w:r>
      <w:r>
        <w:rPr>
          <w:rFonts w:hint="eastAsia" w:ascii="仿宋_GB2312" w:hAnsi="仿宋_GB2312" w:eastAsia="仿宋_GB2312" w:cs="仿宋_GB2312"/>
          <w:sz w:val="32"/>
          <w:szCs w:val="32"/>
          <w:lang w:eastAsia="zh-CN"/>
        </w:rPr>
        <w:t>文件要求，我院积极开展预算绩效评价工作，对部门整体支出和相关项目展开了绩效自评，逐条研究对照，实事求是打分。2023年度我院立足法院职能职责和实际，科学编制年初预算，合理设置绩效目标，年度严格按照年初预算进行执行，加强预算绩效管理和监控，逐条开展绩效自评工作，积极纠正预算绩效工作存在的不足，持续将绩效工作推进深入，达到预期效果。</w:t>
      </w:r>
    </w:p>
    <w:p>
      <w:pPr>
        <w:pStyle w:val="2"/>
        <w:jc w:val="center"/>
        <w:rPr>
          <w:rFonts w:ascii="黑体" w:hAnsi="黑体" w:eastAsia="黑体"/>
          <w:b/>
          <w:sz w:val="44"/>
          <w:szCs w:val="44"/>
          <w:lang w:eastAsia="zh-CN"/>
        </w:rPr>
      </w:pPr>
      <w:r>
        <w:rPr>
          <w:rFonts w:ascii="仿宋_GB2312" w:eastAsia="仿宋_GB2312"/>
          <w:b/>
          <w:sz w:val="32"/>
          <w:szCs w:val="32"/>
          <w:lang w:eastAsia="zh-CN"/>
        </w:rPr>
        <w:br w:type="page"/>
      </w:r>
      <w:bookmarkStart w:id="94" w:name="_Toc177054944"/>
      <w:bookmarkStart w:id="95" w:name="_Toc26636"/>
      <w:bookmarkStart w:id="96" w:name="_Toc15377225"/>
      <w:bookmarkStart w:id="97" w:name="_Toc15396613"/>
      <w:r>
        <w:rPr>
          <w:rFonts w:hint="eastAsia" w:ascii="黑体" w:hAnsi="黑体" w:eastAsia="黑体"/>
          <w:sz w:val="44"/>
          <w:szCs w:val="44"/>
          <w:lang w:eastAsia="zh-CN"/>
        </w:rPr>
        <w:t>第三部分 名词解释</w:t>
      </w:r>
      <w:bookmarkEnd w:id="94"/>
      <w:bookmarkEnd w:id="95"/>
      <w:bookmarkEnd w:id="96"/>
      <w:bookmarkEnd w:id="97"/>
    </w:p>
    <w:p>
      <w:pPr>
        <w:pStyle w:val="45"/>
        <w:numPr>
          <w:ilvl w:val="0"/>
          <w:numId w:val="1"/>
        </w:numPr>
        <w:spacing w:line="560" w:lineRule="exact"/>
        <w:ind w:left="0" w:leftChars="0" w:firstLine="400" w:firstLineChars="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财政拨款收入：指单位从同级财政部门取得的财政预算资金。</w:t>
      </w:r>
    </w:p>
    <w:p>
      <w:pPr>
        <w:pStyle w:val="45"/>
        <w:numPr>
          <w:ilvl w:val="0"/>
          <w:numId w:val="1"/>
        </w:numPr>
        <w:spacing w:line="560" w:lineRule="exact"/>
        <w:ind w:left="0" w:leftChars="0" w:firstLine="400" w:firstLineChars="0"/>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其他收入：指除上述“财政拨款收入”等以外的收入。</w:t>
      </w:r>
    </w:p>
    <w:p>
      <w:pPr>
        <w:numPr>
          <w:ilvl w:val="0"/>
          <w:numId w:val="1"/>
        </w:numPr>
        <w:spacing w:line="600" w:lineRule="exact"/>
        <w:ind w:left="0" w:leftChars="0" w:firstLine="400" w:firstLineChars="0"/>
        <w:rPr>
          <w:rFonts w:ascii="仿宋_GB2312" w:hAnsi="Calibri" w:eastAsia="仿宋_GB2312" w:cs="仿宋"/>
          <w:color w:val="auto"/>
          <w:sz w:val="32"/>
          <w:szCs w:val="32"/>
          <w:lang w:eastAsia="zh-CN"/>
        </w:rPr>
      </w:pPr>
      <w:r>
        <w:rPr>
          <w:rFonts w:hint="eastAsia" w:ascii="仿宋_GB2312" w:hAnsi="Calibri" w:eastAsia="仿宋_GB2312" w:cs="仿宋"/>
          <w:color w:val="auto"/>
          <w:sz w:val="32"/>
          <w:szCs w:val="32"/>
          <w:lang w:eastAsia="zh-CN"/>
        </w:rPr>
        <w:t>公共安全支出（类）法院（款）行政运行（项）： 只反映行政单位（包括实行公务员管理的事业单位）的基本支出。</w:t>
      </w:r>
    </w:p>
    <w:p>
      <w:pPr>
        <w:numPr>
          <w:ilvl w:val="0"/>
          <w:numId w:val="1"/>
        </w:numPr>
        <w:spacing w:line="576" w:lineRule="exact"/>
        <w:ind w:left="0" w:leftChars="0" w:firstLine="400" w:firstLineChars="0"/>
        <w:rPr>
          <w:rFonts w:ascii="仿宋_GB2312" w:hAnsi="Cambria" w:eastAsia="仿宋_GB2312" w:cs="仿宋_GB2312"/>
          <w:color w:val="auto"/>
          <w:sz w:val="32"/>
          <w:szCs w:val="32"/>
          <w:lang w:eastAsia="zh-CN"/>
        </w:rPr>
      </w:pPr>
      <w:r>
        <w:rPr>
          <w:rFonts w:hint="eastAsia" w:ascii="仿宋_GB2312" w:hAnsi="Calibri" w:eastAsia="仿宋_GB2312" w:cs="仿宋"/>
          <w:color w:val="auto"/>
          <w:sz w:val="32"/>
          <w:szCs w:val="32"/>
          <w:lang w:eastAsia="zh-CN"/>
        </w:rPr>
        <w:t xml:space="preserve">公共安全支出（类）法院（款）一般行政管理事务（项）： </w:t>
      </w:r>
      <w:r>
        <w:rPr>
          <w:rFonts w:hint="eastAsia" w:ascii="仿宋_GB2312" w:hAnsi="Cambria" w:eastAsia="仿宋_GB2312" w:cs="仿宋_GB2312"/>
          <w:color w:val="auto"/>
          <w:sz w:val="32"/>
          <w:szCs w:val="32"/>
          <w:lang w:eastAsia="zh-CN"/>
        </w:rPr>
        <w:t>指行政单位（包括实行公务员管理的事业单位）未单独设置顶级科目的其他项目支出。</w:t>
      </w:r>
    </w:p>
    <w:p>
      <w:pPr>
        <w:numPr>
          <w:ilvl w:val="0"/>
          <w:numId w:val="1"/>
        </w:numPr>
        <w:spacing w:line="600" w:lineRule="exact"/>
        <w:ind w:left="0" w:leftChars="0" w:firstLine="400" w:firstLineChars="0"/>
        <w:rPr>
          <w:rFonts w:ascii="仿宋_GB2312" w:hAnsi="Calibri" w:eastAsia="仿宋_GB2312" w:cs="仿宋"/>
          <w:color w:val="auto"/>
          <w:sz w:val="32"/>
          <w:szCs w:val="32"/>
          <w:lang w:eastAsia="zh-CN"/>
        </w:rPr>
      </w:pPr>
      <w:r>
        <w:rPr>
          <w:rFonts w:hint="eastAsia" w:ascii="仿宋_GB2312" w:hAnsi="Calibri" w:eastAsia="仿宋_GB2312" w:cs="仿宋"/>
          <w:color w:val="auto"/>
          <w:sz w:val="32"/>
          <w:szCs w:val="32"/>
          <w:lang w:eastAsia="zh-CN"/>
        </w:rPr>
        <w:t>公共安全支出（类）法院（款）案件审判（项）： 指反映人民法院对刑事、民事、行政、涉外等案件审判活动的支出。4.公共安全支出（类）法院（款）机关服务（项）： 是指为机关运转提供日常服务事业单位支出。</w:t>
      </w:r>
    </w:p>
    <w:p>
      <w:pPr>
        <w:numPr>
          <w:ilvl w:val="0"/>
          <w:numId w:val="1"/>
        </w:numPr>
        <w:spacing w:line="600" w:lineRule="exact"/>
        <w:ind w:left="0" w:leftChars="0" w:firstLine="400" w:firstLineChars="0"/>
        <w:rPr>
          <w:rFonts w:hint="eastAsia" w:ascii="仿宋_GB2312" w:hAnsi="Calibri" w:eastAsia="仿宋_GB2312" w:cs="仿宋"/>
          <w:color w:val="auto"/>
          <w:sz w:val="32"/>
          <w:szCs w:val="32"/>
          <w:lang w:eastAsia="zh-CN"/>
        </w:rPr>
      </w:pPr>
      <w:r>
        <w:rPr>
          <w:rFonts w:hint="eastAsia" w:ascii="仿宋_GB2312" w:hAnsi="Calibri" w:eastAsia="仿宋_GB2312" w:cs="仿宋"/>
          <w:color w:val="auto"/>
          <w:sz w:val="32"/>
          <w:szCs w:val="32"/>
          <w:lang w:eastAsia="zh-CN"/>
        </w:rPr>
        <w:t>公共安全支出（类）法院（款）“两庭”建设（项）：指法院的审判庭（法庭）和人民法院的建设。</w:t>
      </w:r>
    </w:p>
    <w:p>
      <w:pPr>
        <w:numPr>
          <w:ilvl w:val="0"/>
          <w:numId w:val="1"/>
        </w:numPr>
        <w:spacing w:line="600" w:lineRule="exact"/>
        <w:ind w:left="0" w:leftChars="0" w:firstLine="400" w:firstLineChars="0"/>
        <w:rPr>
          <w:rFonts w:ascii="仿宋_GB2312" w:hAnsi="Calibri" w:eastAsia="仿宋_GB2312" w:cs="仿宋"/>
          <w:sz w:val="32"/>
          <w:szCs w:val="32"/>
          <w:lang w:eastAsia="zh-CN"/>
        </w:rPr>
      </w:pPr>
      <w:r>
        <w:rPr>
          <w:rFonts w:hint="eastAsia" w:ascii="仿宋_GB2312" w:hAnsi="Calibri" w:eastAsia="仿宋_GB2312" w:cs="仿宋"/>
          <w:sz w:val="32"/>
          <w:szCs w:val="32"/>
          <w:lang w:eastAsia="zh-CN"/>
        </w:rPr>
        <w:t>公共安全支出（类）法院（款）其他法院支出（项）： 反映除上述项目以外其他用于法院方面的支出。</w:t>
      </w:r>
    </w:p>
    <w:p>
      <w:pPr>
        <w:numPr>
          <w:ilvl w:val="0"/>
          <w:numId w:val="1"/>
        </w:numPr>
        <w:spacing w:line="600" w:lineRule="exact"/>
        <w:ind w:left="0" w:leftChars="0" w:firstLine="400" w:firstLineChars="0"/>
        <w:rPr>
          <w:rFonts w:ascii="仿宋_GB2312" w:hAnsi="Calibri" w:eastAsia="仿宋_GB2312" w:cs="仿宋"/>
          <w:sz w:val="32"/>
          <w:szCs w:val="32"/>
          <w:lang w:eastAsia="zh-CN"/>
        </w:rPr>
      </w:pPr>
      <w:r>
        <w:rPr>
          <w:rFonts w:hint="eastAsia" w:ascii="仿宋_GB2312" w:hAnsi="Calibri" w:eastAsia="仿宋_GB2312" w:cs="仿宋"/>
          <w:sz w:val="32"/>
          <w:szCs w:val="32"/>
          <w:lang w:eastAsia="zh-CN"/>
        </w:rPr>
        <w:t>社会保障和就业支出（类）行政事业单位养老支出（款）机关事业单位基本养老保险缴费支出（项）： 指反映机关事业单位实施养老保险制度由单位缴纳的基本养老保险支出。</w:t>
      </w:r>
    </w:p>
    <w:p>
      <w:pPr>
        <w:numPr>
          <w:ilvl w:val="0"/>
          <w:numId w:val="1"/>
        </w:numPr>
        <w:spacing w:line="600" w:lineRule="exact"/>
        <w:ind w:left="0" w:leftChars="0" w:firstLine="400" w:firstLineChars="0"/>
        <w:rPr>
          <w:rFonts w:ascii="仿宋_GB2312" w:hAnsi="Calibri" w:eastAsia="仿宋_GB2312" w:cs="仿宋"/>
          <w:sz w:val="32"/>
          <w:szCs w:val="32"/>
          <w:lang w:eastAsia="zh-CN"/>
        </w:rPr>
      </w:pPr>
      <w:r>
        <w:rPr>
          <w:rFonts w:hint="eastAsia" w:ascii="仿宋_GB2312" w:hAnsi="Calibri" w:eastAsia="仿宋_GB2312" w:cs="仿宋"/>
          <w:sz w:val="32"/>
          <w:szCs w:val="32"/>
          <w:lang w:eastAsia="zh-CN"/>
        </w:rPr>
        <w:t>社会保障和就业支出（类）行政事业单位养老支出（款）机关事业单位职业年金缴费支出（项）：指反映单位为职工实际缴纳的职业年金（含职业年金补记支出）。由单位代扣的工作人员职业年金缴费不在此科目反映。</w:t>
      </w:r>
    </w:p>
    <w:p>
      <w:pPr>
        <w:numPr>
          <w:ilvl w:val="0"/>
          <w:numId w:val="1"/>
        </w:numPr>
        <w:spacing w:line="600" w:lineRule="exact"/>
        <w:ind w:left="0" w:leftChars="0" w:firstLine="400" w:firstLineChars="0"/>
        <w:rPr>
          <w:rFonts w:ascii="仿宋_GB2312" w:hAnsi="Calibri" w:eastAsia="仿宋_GB2312" w:cs="仿宋"/>
          <w:sz w:val="32"/>
          <w:szCs w:val="32"/>
          <w:lang w:eastAsia="zh-CN"/>
        </w:rPr>
      </w:pPr>
      <w:r>
        <w:rPr>
          <w:rFonts w:hint="eastAsia" w:ascii="仿宋_GB2312" w:hAnsi="Calibri" w:eastAsia="仿宋_GB2312" w:cs="仿宋"/>
          <w:sz w:val="32"/>
          <w:szCs w:val="32"/>
          <w:lang w:eastAsia="zh-CN"/>
        </w:rPr>
        <w:t>卫生健康（类）行政事业单位医疗（款）行政单位医疗（项）：指用于单位应缴纳基本医疗保险支出。</w:t>
      </w:r>
    </w:p>
    <w:p>
      <w:pPr>
        <w:numPr>
          <w:ilvl w:val="0"/>
          <w:numId w:val="1"/>
        </w:numPr>
        <w:spacing w:line="576" w:lineRule="exact"/>
        <w:ind w:left="0" w:leftChars="0" w:firstLine="400" w:firstLineChars="0"/>
        <w:rPr>
          <w:rFonts w:ascii="仿宋_GB2312" w:hAnsi="Calibri" w:eastAsia="仿宋_GB2312" w:cs="仿宋"/>
          <w:sz w:val="32"/>
          <w:szCs w:val="32"/>
          <w:lang w:eastAsia="zh-CN"/>
        </w:rPr>
      </w:pPr>
      <w:r>
        <w:rPr>
          <w:rFonts w:hint="eastAsia" w:ascii="仿宋_GB2312" w:hAnsi="Calibri" w:eastAsia="仿宋_GB2312" w:cs="仿宋"/>
          <w:sz w:val="32"/>
          <w:szCs w:val="32"/>
          <w:lang w:eastAsia="zh-CN"/>
        </w:rPr>
        <w:t>住房保障支出（类）住房改革支出（款）住房公积金（项）：</w:t>
      </w:r>
      <w:r>
        <w:rPr>
          <w:rFonts w:hint="eastAsia" w:ascii="仿宋_GB2312" w:hAnsi="Cambria" w:eastAsia="仿宋_GB2312" w:cs="仿宋_GB2312"/>
          <w:color w:val="000000"/>
          <w:sz w:val="32"/>
          <w:szCs w:val="32"/>
          <w:lang w:eastAsia="zh-CN"/>
        </w:rPr>
        <w:t>指按照《住房公积金管理条例》的规定，由单位及其在职职工缴存的长期住房储金</w:t>
      </w:r>
      <w:r>
        <w:rPr>
          <w:rFonts w:hint="eastAsia" w:ascii="仿宋_GB2312" w:hAnsi="Calibri" w:eastAsia="仿宋_GB2312" w:cs="仿宋"/>
          <w:sz w:val="32"/>
          <w:szCs w:val="32"/>
          <w:lang w:eastAsia="zh-CN"/>
        </w:rPr>
        <w:t>。</w:t>
      </w:r>
    </w:p>
    <w:p>
      <w:pPr>
        <w:numPr>
          <w:ilvl w:val="0"/>
          <w:numId w:val="1"/>
        </w:numPr>
        <w:ind w:left="0" w:leftChars="0" w:firstLine="400" w:firstLineChars="0"/>
        <w:rPr>
          <w:rFonts w:ascii="仿宋_GB2312" w:eastAsia="仿宋_GB2312"/>
          <w:sz w:val="32"/>
          <w:szCs w:val="32"/>
          <w:lang w:eastAsia="zh-CN"/>
        </w:rPr>
      </w:pPr>
      <w:r>
        <w:rPr>
          <w:rFonts w:hint="eastAsia" w:ascii="仿宋_GB2312" w:eastAsia="仿宋_GB2312"/>
          <w:sz w:val="32"/>
          <w:szCs w:val="32"/>
          <w:lang w:eastAsia="zh-CN"/>
        </w:rPr>
        <w:t>基本支出：指为保障机构正常运转、完成日常工作任务而发生的人员支出和公用支出。</w:t>
      </w:r>
    </w:p>
    <w:p>
      <w:pPr>
        <w:numPr>
          <w:ilvl w:val="0"/>
          <w:numId w:val="1"/>
        </w:numPr>
        <w:ind w:left="0" w:leftChars="0" w:firstLine="400" w:firstLineChars="0"/>
        <w:rPr>
          <w:rFonts w:ascii="仿宋_GB2312" w:eastAsia="仿宋_GB2312"/>
          <w:sz w:val="32"/>
          <w:szCs w:val="32"/>
          <w:lang w:eastAsia="zh-CN"/>
        </w:rPr>
      </w:pPr>
      <w:r>
        <w:rPr>
          <w:rFonts w:hint="eastAsia" w:ascii="仿宋_GB2312" w:eastAsia="仿宋_GB2312"/>
          <w:sz w:val="32"/>
          <w:szCs w:val="32"/>
          <w:lang w:eastAsia="zh-CN"/>
        </w:rPr>
        <w:t>项目支出：指在基本支出之外为完成特定行政任务和事业发展目标所发生的支出。</w:t>
      </w:r>
    </w:p>
    <w:p>
      <w:pPr>
        <w:pStyle w:val="45"/>
        <w:numPr>
          <w:ilvl w:val="0"/>
          <w:numId w:val="1"/>
        </w:numPr>
        <w:spacing w:line="560" w:lineRule="exact"/>
        <w:ind w:left="0" w:leftChars="0" w:firstLine="400" w:firstLineChars="0"/>
        <w:rPr>
          <w:rFonts w:ascii="仿宋_GB2312" w:eastAsia="仿宋_GB2312"/>
          <w:color w:val="auto"/>
          <w:sz w:val="32"/>
          <w:szCs w:val="32"/>
          <w:lang w:eastAsia="zh-CN"/>
        </w:rPr>
      </w:pPr>
      <w:r>
        <w:rPr>
          <w:rFonts w:hint="eastAsia" w:ascii="仿宋_GB2312" w:eastAsia="仿宋_GB2312"/>
          <w:color w:val="auto"/>
          <w:sz w:val="32"/>
          <w:szCs w:val="32"/>
          <w:lang w:eastAsia="zh-CN"/>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45"/>
        <w:numPr>
          <w:ilvl w:val="0"/>
          <w:numId w:val="1"/>
        </w:numPr>
        <w:spacing w:line="560" w:lineRule="exact"/>
        <w:ind w:left="0" w:leftChars="0" w:firstLine="400" w:firstLineChars="0"/>
        <w:rPr>
          <w:rFonts w:ascii="仿宋_GB2312" w:eastAsia="仿宋_GB2312"/>
          <w:color w:val="auto"/>
          <w:sz w:val="32"/>
          <w:szCs w:val="32"/>
          <w:lang w:eastAsia="zh-CN"/>
        </w:rPr>
      </w:pPr>
      <w:r>
        <w:rPr>
          <w:rFonts w:hint="eastAsia" w:ascii="仿宋_GB2312" w:eastAsia="仿宋_GB2312"/>
          <w:color w:val="auto"/>
          <w:sz w:val="32"/>
          <w:szCs w:val="32"/>
          <w:lang w:eastAsia="zh-CN"/>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
        <w:jc w:val="center"/>
        <w:rPr>
          <w:rFonts w:ascii="黑体" w:hAnsi="黑体" w:eastAsia="黑体"/>
          <w:b/>
          <w:sz w:val="44"/>
          <w:szCs w:val="44"/>
          <w:lang w:eastAsia="zh-CN"/>
        </w:rPr>
      </w:pPr>
      <w:bookmarkStart w:id="98" w:name="_Toc15377226"/>
      <w:r>
        <w:rPr>
          <w:rFonts w:ascii="宋体"/>
          <w:b/>
          <w:sz w:val="44"/>
          <w:szCs w:val="44"/>
          <w:lang w:eastAsia="zh-CN"/>
        </w:rPr>
        <w:br w:type="page"/>
      </w:r>
      <w:bookmarkStart w:id="99" w:name="_Toc177054945"/>
      <w:bookmarkStart w:id="100" w:name="_Toc13495"/>
      <w:bookmarkStart w:id="101" w:name="_Toc15396614"/>
      <w:r>
        <w:rPr>
          <w:rFonts w:hint="eastAsia" w:ascii="黑体" w:hAnsi="黑体" w:eastAsia="黑体"/>
          <w:sz w:val="44"/>
          <w:szCs w:val="44"/>
          <w:lang w:eastAsia="zh-CN"/>
        </w:rPr>
        <w:t>第四部分 附件</w:t>
      </w:r>
      <w:bookmarkEnd w:id="99"/>
      <w:bookmarkEnd w:id="100"/>
      <w:bookmarkEnd w:id="101"/>
    </w:p>
    <w:p>
      <w:pPr>
        <w:spacing w:line="572" w:lineRule="exact"/>
        <w:rPr>
          <w:rFonts w:ascii="方正小标宋简体" w:hAnsi="方正小标宋简体" w:eastAsia="方正小标宋简体" w:cs="方正小标宋简体"/>
          <w:sz w:val="44"/>
          <w:szCs w:val="44"/>
          <w:lang w:eastAsia="zh-CN"/>
        </w:rPr>
      </w:pPr>
      <w:r>
        <w:rPr>
          <w:rFonts w:hint="eastAsia" w:ascii="黑体" w:hAnsi="黑体" w:eastAsia="黑体" w:cs="黑体"/>
          <w:sz w:val="32"/>
          <w:szCs w:val="32"/>
          <w:lang w:eastAsia="zh-CN"/>
        </w:rPr>
        <w:t>附件1</w:t>
      </w:r>
    </w:p>
    <w:p>
      <w:pPr>
        <w:spacing w:line="576" w:lineRule="exact"/>
        <w:contextualSpacing/>
        <w:jc w:val="center"/>
        <w:rPr>
          <w:b/>
          <w:sz w:val="44"/>
          <w:szCs w:val="44"/>
          <w:shd w:val="clear" w:color="auto" w:fill="FFFFFF"/>
          <w:lang w:eastAsia="zh-CN"/>
        </w:rPr>
      </w:pPr>
      <w:bookmarkStart w:id="102" w:name="_Toc20781"/>
      <w:r>
        <w:rPr>
          <w:rFonts w:hint="eastAsia" w:ascii="方正小标宋简体" w:hAnsi="方正小标宋简体" w:eastAsia="方正小标宋简体" w:cs="方正小标宋简体"/>
          <w:sz w:val="44"/>
          <w:szCs w:val="44"/>
          <w:lang w:eastAsia="zh-CN"/>
        </w:rPr>
        <w:t>广元市朝天区人民法院关于2023年</w:t>
      </w:r>
    </w:p>
    <w:p>
      <w:pPr>
        <w:spacing w:line="576" w:lineRule="exact"/>
        <w:contextualSpacing/>
        <w:jc w:val="center"/>
        <w:rPr>
          <w:rFonts w:eastAsia="方正小标宋简体"/>
          <w:bCs/>
          <w:sz w:val="44"/>
          <w:szCs w:val="44"/>
          <w:shd w:val="clear" w:color="auto" w:fill="FFFFFF"/>
          <w:lang w:eastAsia="zh-CN"/>
        </w:rPr>
      </w:pPr>
      <w:r>
        <w:rPr>
          <w:rFonts w:eastAsia="方正小标宋简体"/>
          <w:bCs/>
          <w:sz w:val="44"/>
          <w:szCs w:val="44"/>
          <w:shd w:val="clear" w:color="auto" w:fill="FFFFFF"/>
          <w:lang w:eastAsia="zh-CN"/>
        </w:rPr>
        <w:t>部门预算绩效</w:t>
      </w:r>
      <w:r>
        <w:rPr>
          <w:rFonts w:hint="eastAsia" w:eastAsia="方正小标宋简体"/>
          <w:bCs/>
          <w:sz w:val="44"/>
          <w:szCs w:val="44"/>
          <w:shd w:val="clear" w:color="auto" w:fill="FFFFFF"/>
          <w:lang w:eastAsia="zh-CN"/>
        </w:rPr>
        <w:t>评价</w:t>
      </w:r>
      <w:r>
        <w:rPr>
          <w:rFonts w:eastAsia="方正小标宋简体"/>
          <w:bCs/>
          <w:sz w:val="44"/>
          <w:szCs w:val="44"/>
          <w:shd w:val="clear" w:color="auto" w:fill="FFFFFF"/>
          <w:lang w:eastAsia="zh-CN"/>
        </w:rPr>
        <w:t>报告</w:t>
      </w:r>
    </w:p>
    <w:p>
      <w:pPr>
        <w:pStyle w:val="14"/>
        <w:spacing w:before="130"/>
        <w:rPr>
          <w:lang w:eastAsia="zh-CN"/>
        </w:rPr>
      </w:pPr>
    </w:p>
    <w:p>
      <w:pPr>
        <w:adjustRightInd w:val="0"/>
        <w:snapToGrid w:val="0"/>
        <w:spacing w:line="578" w:lineRule="exact"/>
        <w:ind w:firstLine="640" w:firstLineChars="200"/>
        <w:contextualSpacing/>
        <w:rPr>
          <w:sz w:val="32"/>
          <w:szCs w:val="32"/>
          <w:lang w:eastAsia="zh-CN"/>
        </w:rPr>
      </w:pPr>
      <w:r>
        <w:rPr>
          <w:rFonts w:hint="eastAsia" w:eastAsia="黑体"/>
          <w:color w:val="000000"/>
          <w:sz w:val="32"/>
          <w:szCs w:val="32"/>
          <w:shd w:val="clear" w:color="auto" w:fill="FFFFFF"/>
          <w:lang w:val="zh-CN" w:eastAsia="zh-CN"/>
        </w:rPr>
        <w:t>一、</w:t>
      </w:r>
      <w:r>
        <w:rPr>
          <w:rFonts w:eastAsia="黑体"/>
          <w:color w:val="000000"/>
          <w:sz w:val="32"/>
          <w:szCs w:val="32"/>
          <w:shd w:val="clear" w:color="auto" w:fill="FFFFFF"/>
          <w:lang w:val="zh-CN" w:eastAsia="zh-CN"/>
        </w:rPr>
        <w:t>部门（单位）基本情况</w:t>
      </w:r>
    </w:p>
    <w:p>
      <w:pPr>
        <w:adjustRightInd w:val="0"/>
        <w:snapToGrid w:val="0"/>
        <w:spacing w:line="576" w:lineRule="exact"/>
        <w:ind w:firstLine="642" w:firstLineChars="200"/>
        <w:contextualSpacing/>
        <w:rPr>
          <w:rFonts w:eastAsia="楷体_GB2312"/>
          <w:b/>
          <w:bCs/>
          <w:color w:val="000000"/>
          <w:sz w:val="32"/>
          <w:szCs w:val="32"/>
          <w:shd w:val="clear" w:color="auto" w:fill="FFFFFF"/>
          <w:lang w:val="zh-CN" w:eastAsia="zh-CN"/>
        </w:rPr>
      </w:pPr>
      <w:r>
        <w:rPr>
          <w:rFonts w:hint="eastAsia" w:eastAsia="楷体_GB2312"/>
          <w:b/>
          <w:bCs/>
          <w:color w:val="000000"/>
          <w:sz w:val="32"/>
          <w:szCs w:val="32"/>
          <w:shd w:val="clear" w:color="auto" w:fill="FFFFFF"/>
          <w:lang w:val="zh-CN" w:eastAsia="zh-CN"/>
        </w:rPr>
        <w:t>（一）</w:t>
      </w:r>
      <w:r>
        <w:rPr>
          <w:rFonts w:eastAsia="楷体_GB2312"/>
          <w:b/>
          <w:bCs/>
          <w:color w:val="000000"/>
          <w:sz w:val="32"/>
          <w:szCs w:val="32"/>
          <w:shd w:val="clear" w:color="auto" w:fill="FFFFFF"/>
          <w:lang w:val="zh-CN" w:eastAsia="zh-CN"/>
        </w:rPr>
        <w:t>机构组成</w:t>
      </w:r>
    </w:p>
    <w:p>
      <w:pPr>
        <w:adjustRightInd w:val="0"/>
        <w:snapToGrid w:val="0"/>
        <w:spacing w:line="576" w:lineRule="exact"/>
        <w:ind w:firstLine="640" w:firstLineChars="200"/>
        <w:contextualSpacing/>
        <w:rPr>
          <w:rFonts w:ascii="仿宋_GB2312" w:eastAsia="仿宋_GB2312"/>
          <w:sz w:val="32"/>
          <w:szCs w:val="32"/>
          <w:lang w:val="zh-CN" w:eastAsia="zh-CN"/>
        </w:rPr>
      </w:pPr>
      <w:r>
        <w:rPr>
          <w:rFonts w:hint="eastAsia" w:ascii="仿宋_GB2312" w:hAnsi="仿宋_GB2312" w:eastAsia="仿宋_GB2312" w:cs="仿宋_GB2312"/>
          <w:bCs/>
          <w:color w:val="000000"/>
          <w:sz w:val="32"/>
          <w:szCs w:val="32"/>
          <w:lang w:eastAsia="zh-CN"/>
        </w:rPr>
        <w:t>广元市朝天区人民法院属于一级预算单位，没有下属二级单位。</w:t>
      </w:r>
    </w:p>
    <w:p>
      <w:pPr>
        <w:pStyle w:val="14"/>
        <w:adjustRightInd w:val="0"/>
        <w:snapToGrid w:val="0"/>
        <w:spacing w:before="130" w:line="576" w:lineRule="exact"/>
        <w:ind w:firstLine="642" w:firstLineChars="200"/>
        <w:rPr>
          <w:rFonts w:eastAsia="楷体_GB2312"/>
          <w:b/>
          <w:bCs/>
          <w:color w:val="000000"/>
          <w:sz w:val="32"/>
          <w:szCs w:val="32"/>
          <w:shd w:val="clear" w:color="auto" w:fill="FFFFFF"/>
          <w:lang w:val="zh-CN" w:eastAsia="zh-CN"/>
        </w:rPr>
      </w:pPr>
      <w:r>
        <w:rPr>
          <w:rFonts w:eastAsia="楷体_GB2312"/>
          <w:b/>
          <w:bCs/>
          <w:color w:val="000000"/>
          <w:sz w:val="32"/>
          <w:szCs w:val="32"/>
          <w:shd w:val="clear" w:color="auto" w:fill="FFFFFF"/>
          <w:lang w:val="zh-CN" w:eastAsia="zh-CN"/>
        </w:rPr>
        <w:t>（二）机构职能</w:t>
      </w:r>
    </w:p>
    <w:p>
      <w:pPr>
        <w:pStyle w:val="14"/>
        <w:adjustRightInd w:val="0"/>
        <w:snapToGrid w:val="0"/>
        <w:spacing w:before="130" w:line="576" w:lineRule="exact"/>
        <w:ind w:firstLine="640" w:firstLineChars="200"/>
        <w:rPr>
          <w:rFonts w:hAnsi="仿宋_GB2312" w:cs="仿宋_GB2312"/>
          <w:bCs/>
          <w:color w:val="000000"/>
          <w:sz w:val="32"/>
          <w:szCs w:val="32"/>
          <w:lang w:eastAsia="zh-CN"/>
        </w:rPr>
      </w:pPr>
      <w:r>
        <w:rPr>
          <w:rFonts w:hint="eastAsia" w:hAnsi="仿宋_GB2312" w:cs="仿宋_GB2312"/>
          <w:bCs/>
          <w:color w:val="000000"/>
          <w:sz w:val="32"/>
          <w:szCs w:val="32"/>
          <w:lang w:eastAsia="zh-CN"/>
        </w:rPr>
        <w:t>（1）广元市朝天区人民法院是国家审判机关，依法独立行使审判权，对朝天区人民代表大会及其常委会负责并报告工作，接受区人民代表大会及其常务委员会的法律监督、政协朝天区委员会的民主监督和广元市中级人民法院的指导。</w:t>
      </w:r>
    </w:p>
    <w:p>
      <w:pPr>
        <w:pStyle w:val="14"/>
        <w:adjustRightInd w:val="0"/>
        <w:snapToGrid w:val="0"/>
        <w:spacing w:before="130" w:line="576" w:lineRule="exact"/>
        <w:ind w:firstLine="640" w:firstLineChars="200"/>
        <w:rPr>
          <w:rFonts w:hAnsi="仿宋_GB2312" w:cs="仿宋_GB2312"/>
          <w:bCs/>
          <w:color w:val="000000"/>
          <w:sz w:val="32"/>
          <w:szCs w:val="32"/>
          <w:lang w:eastAsia="zh-CN"/>
        </w:rPr>
      </w:pPr>
      <w:r>
        <w:rPr>
          <w:rFonts w:hint="eastAsia" w:hAnsi="仿宋_GB2312" w:cs="仿宋_GB2312"/>
          <w:bCs/>
          <w:color w:val="000000"/>
          <w:sz w:val="32"/>
          <w:szCs w:val="32"/>
          <w:lang w:eastAsia="zh-CN"/>
        </w:rPr>
        <w:t>（2）依法审判法律规定由本院管辖和指定管辖的刑事、民事、行政等案件。</w:t>
      </w:r>
    </w:p>
    <w:p>
      <w:pPr>
        <w:pStyle w:val="14"/>
        <w:adjustRightInd w:val="0"/>
        <w:snapToGrid w:val="0"/>
        <w:spacing w:before="130" w:line="576" w:lineRule="exact"/>
        <w:ind w:firstLine="640" w:firstLineChars="200"/>
        <w:rPr>
          <w:rFonts w:hAnsi="仿宋_GB2312" w:cs="仿宋_GB2312"/>
          <w:bCs/>
          <w:color w:val="000000"/>
          <w:sz w:val="32"/>
          <w:szCs w:val="32"/>
          <w:lang w:eastAsia="zh-CN"/>
        </w:rPr>
      </w:pPr>
      <w:r>
        <w:rPr>
          <w:rFonts w:hint="eastAsia" w:hAnsi="仿宋_GB2312" w:cs="仿宋_GB2312"/>
          <w:bCs/>
          <w:color w:val="000000"/>
          <w:sz w:val="32"/>
          <w:szCs w:val="32"/>
          <w:lang w:eastAsia="zh-CN"/>
        </w:rPr>
        <w:t>（3）受理不服本院生效裁判的各类申诉和再审申请，对其中可能有错误的进行再审；审判市中级法院指定审理和再审的案件。</w:t>
      </w:r>
    </w:p>
    <w:p>
      <w:pPr>
        <w:pStyle w:val="14"/>
        <w:adjustRightInd w:val="0"/>
        <w:snapToGrid w:val="0"/>
        <w:spacing w:before="130" w:line="576" w:lineRule="exact"/>
        <w:ind w:firstLine="640" w:firstLineChars="200"/>
        <w:rPr>
          <w:rFonts w:hAnsi="仿宋_GB2312" w:cs="仿宋_GB2312"/>
          <w:bCs/>
          <w:color w:val="000000"/>
          <w:sz w:val="32"/>
          <w:szCs w:val="32"/>
          <w:lang w:eastAsia="zh-CN"/>
        </w:rPr>
      </w:pPr>
      <w:r>
        <w:rPr>
          <w:rFonts w:hint="eastAsia" w:hAnsi="仿宋_GB2312" w:cs="仿宋_GB2312"/>
          <w:bCs/>
          <w:color w:val="000000"/>
          <w:sz w:val="32"/>
          <w:szCs w:val="32"/>
          <w:lang w:eastAsia="zh-CN"/>
        </w:rPr>
        <w:t>（4）依法行使司法执行权和司法决定权。</w:t>
      </w:r>
    </w:p>
    <w:p>
      <w:pPr>
        <w:pStyle w:val="14"/>
        <w:adjustRightInd w:val="0"/>
        <w:snapToGrid w:val="0"/>
        <w:spacing w:before="130" w:line="576" w:lineRule="exact"/>
        <w:ind w:firstLine="640" w:firstLineChars="200"/>
        <w:rPr>
          <w:rFonts w:hAnsi="仿宋_GB2312" w:cs="仿宋_GB2312"/>
          <w:bCs/>
          <w:color w:val="000000"/>
          <w:sz w:val="32"/>
          <w:szCs w:val="32"/>
          <w:lang w:eastAsia="zh-CN"/>
        </w:rPr>
      </w:pPr>
      <w:r>
        <w:rPr>
          <w:rFonts w:hint="eastAsia" w:hAnsi="仿宋_GB2312" w:cs="仿宋_GB2312"/>
          <w:bCs/>
          <w:color w:val="000000"/>
          <w:sz w:val="32"/>
          <w:szCs w:val="32"/>
          <w:lang w:eastAsia="zh-CN"/>
        </w:rPr>
        <w:t>（5）对本院的法官、司法警察和其他工作人员进行教育、管理和培训工作。</w:t>
      </w:r>
    </w:p>
    <w:p>
      <w:pPr>
        <w:pStyle w:val="14"/>
        <w:adjustRightInd w:val="0"/>
        <w:snapToGrid w:val="0"/>
        <w:spacing w:before="130" w:line="576" w:lineRule="exact"/>
        <w:ind w:firstLine="640" w:firstLineChars="200"/>
        <w:rPr>
          <w:rFonts w:hAnsi="仿宋_GB2312" w:cs="仿宋_GB2312"/>
          <w:bCs/>
          <w:color w:val="000000"/>
          <w:sz w:val="32"/>
          <w:szCs w:val="32"/>
          <w:lang w:eastAsia="zh-CN"/>
        </w:rPr>
      </w:pPr>
      <w:r>
        <w:rPr>
          <w:rFonts w:hint="eastAsia" w:hAnsi="仿宋_GB2312" w:cs="仿宋_GB2312"/>
          <w:bCs/>
          <w:color w:val="000000"/>
          <w:sz w:val="32"/>
          <w:szCs w:val="32"/>
          <w:lang w:eastAsia="zh-CN"/>
        </w:rPr>
        <w:t>（6）对本院的法官、司法警察和其他工作人员实施廉政建设教育和纪检监察工作，报处和查处本院干警违纪案件。</w:t>
      </w:r>
    </w:p>
    <w:p>
      <w:pPr>
        <w:pStyle w:val="14"/>
        <w:adjustRightInd w:val="0"/>
        <w:snapToGrid w:val="0"/>
        <w:spacing w:before="130" w:line="576" w:lineRule="exact"/>
        <w:ind w:firstLine="640" w:firstLineChars="200"/>
        <w:rPr>
          <w:rFonts w:hAnsi="仿宋_GB2312" w:cs="仿宋_GB2312"/>
          <w:bCs/>
          <w:color w:val="000000"/>
          <w:sz w:val="32"/>
          <w:szCs w:val="32"/>
          <w:lang w:eastAsia="zh-CN"/>
        </w:rPr>
      </w:pPr>
      <w:r>
        <w:rPr>
          <w:rFonts w:hint="eastAsia" w:hAnsi="仿宋_GB2312" w:cs="仿宋_GB2312"/>
          <w:bCs/>
          <w:color w:val="000000"/>
          <w:sz w:val="32"/>
          <w:szCs w:val="32"/>
          <w:lang w:eastAsia="zh-CN"/>
        </w:rPr>
        <w:t>（7）在审判工作中宣传法制、教育公民遵守宪法、法律。</w:t>
      </w:r>
    </w:p>
    <w:p>
      <w:pPr>
        <w:pStyle w:val="14"/>
        <w:adjustRightInd w:val="0"/>
        <w:snapToGrid w:val="0"/>
        <w:spacing w:before="130" w:line="576" w:lineRule="exact"/>
        <w:ind w:firstLine="640" w:firstLineChars="200"/>
        <w:rPr>
          <w:rFonts w:hAnsi="仿宋_GB2312" w:cs="仿宋_GB2312"/>
          <w:bCs/>
          <w:color w:val="000000"/>
          <w:sz w:val="32"/>
          <w:szCs w:val="32"/>
          <w:lang w:eastAsia="zh-CN"/>
        </w:rPr>
      </w:pPr>
      <w:r>
        <w:rPr>
          <w:rFonts w:hint="eastAsia" w:hAnsi="仿宋_GB2312" w:cs="仿宋_GB2312"/>
          <w:bCs/>
          <w:color w:val="000000"/>
          <w:sz w:val="32"/>
          <w:szCs w:val="32"/>
          <w:lang w:eastAsia="zh-CN"/>
        </w:rPr>
        <w:t>（8）规划、管理本院财务、装备工作。</w:t>
      </w:r>
    </w:p>
    <w:p>
      <w:pPr>
        <w:pStyle w:val="14"/>
        <w:adjustRightInd w:val="0"/>
        <w:snapToGrid w:val="0"/>
        <w:spacing w:before="130" w:line="576" w:lineRule="exact"/>
        <w:ind w:firstLine="640" w:firstLineChars="200"/>
        <w:rPr>
          <w:rFonts w:hAnsi="仿宋_GB2312" w:cs="仿宋_GB2312"/>
          <w:bCs/>
          <w:color w:val="000000"/>
          <w:sz w:val="32"/>
          <w:szCs w:val="32"/>
          <w:lang w:eastAsia="zh-CN"/>
        </w:rPr>
      </w:pPr>
      <w:r>
        <w:rPr>
          <w:rFonts w:hint="eastAsia" w:hAnsi="仿宋_GB2312" w:cs="仿宋_GB2312"/>
          <w:bCs/>
          <w:color w:val="000000"/>
          <w:sz w:val="32"/>
          <w:szCs w:val="32"/>
          <w:lang w:eastAsia="zh-CN"/>
        </w:rPr>
        <w:t>（9）承办其他应由本院负责的工作。</w:t>
      </w:r>
    </w:p>
    <w:p>
      <w:pPr>
        <w:pStyle w:val="26"/>
        <w:spacing w:after="0" w:line="576" w:lineRule="exact"/>
        <w:ind w:leftChars="0" w:firstLine="643"/>
        <w:rPr>
          <w:rFonts w:eastAsia="楷体_GB2312"/>
          <w:b/>
          <w:bCs/>
          <w:color w:val="000000"/>
          <w:sz w:val="32"/>
          <w:shd w:val="clear" w:color="auto" w:fill="FFFFFF"/>
          <w:lang w:val="zh-CN" w:eastAsia="zh-CN"/>
        </w:rPr>
      </w:pPr>
      <w:r>
        <w:rPr>
          <w:rFonts w:ascii="Times New Roman" w:eastAsia="楷体_GB2312"/>
          <w:b/>
          <w:bCs/>
          <w:color w:val="000000"/>
          <w:sz w:val="32"/>
          <w:shd w:val="clear" w:color="auto" w:fill="FFFFFF"/>
          <w:lang w:val="zh-CN" w:eastAsia="zh-CN"/>
        </w:rPr>
        <w:t>（</w:t>
      </w:r>
      <w:r>
        <w:rPr>
          <w:rFonts w:hint="eastAsia" w:eastAsia="楷体_GB2312"/>
          <w:b/>
          <w:bCs/>
          <w:color w:val="000000"/>
          <w:sz w:val="32"/>
          <w:shd w:val="clear" w:color="auto" w:fill="FFFFFF"/>
          <w:lang w:val="zh-CN" w:eastAsia="zh-CN"/>
        </w:rPr>
        <w:t>三</w:t>
      </w:r>
      <w:r>
        <w:rPr>
          <w:rFonts w:ascii="Times New Roman" w:eastAsia="楷体_GB2312"/>
          <w:b/>
          <w:bCs/>
          <w:color w:val="000000"/>
          <w:sz w:val="32"/>
          <w:shd w:val="clear" w:color="auto" w:fill="FFFFFF"/>
          <w:lang w:val="zh-CN" w:eastAsia="zh-CN"/>
        </w:rPr>
        <w:t>）人员概况</w:t>
      </w:r>
    </w:p>
    <w:p>
      <w:pPr>
        <w:pStyle w:val="26"/>
        <w:spacing w:after="0" w:line="576" w:lineRule="exact"/>
        <w:ind w:leftChars="0" w:firstLine="640"/>
        <w:rPr>
          <w:rFonts w:eastAsia="仿宋_GB2312"/>
          <w:sz w:val="32"/>
          <w:lang w:eastAsia="zh-CN"/>
        </w:rPr>
      </w:pPr>
      <w:r>
        <w:rPr>
          <w:rFonts w:hint="eastAsia" w:eastAsia="仿宋_GB2312"/>
          <w:sz w:val="32"/>
          <w:lang w:eastAsia="zh-CN"/>
        </w:rPr>
        <w:t>截至2023年末，</w:t>
      </w:r>
      <w:r>
        <w:rPr>
          <w:rFonts w:hint="eastAsia" w:hAnsi="仿宋_GB2312" w:eastAsia="仿宋_GB2312" w:cs="仿宋_GB2312"/>
          <w:color w:val="000000"/>
          <w:sz w:val="32"/>
          <w:shd w:val="clear" w:color="auto" w:fill="FFFFFF"/>
          <w:lang w:eastAsia="zh-CN"/>
        </w:rPr>
        <w:t>我院实有在编人员48人，政法专编38人，事业编制4人，工勤人员6人。</w:t>
      </w:r>
    </w:p>
    <w:p>
      <w:pPr>
        <w:adjustRightInd w:val="0"/>
        <w:snapToGrid w:val="0"/>
        <w:spacing w:line="578" w:lineRule="exact"/>
        <w:ind w:firstLine="640" w:firstLineChars="200"/>
        <w:contextualSpacing/>
        <w:rPr>
          <w:rFonts w:eastAsia="黑体"/>
          <w:color w:val="000000"/>
          <w:sz w:val="32"/>
          <w:szCs w:val="32"/>
          <w:shd w:val="clear" w:color="auto" w:fill="FFFFFF"/>
          <w:lang w:eastAsia="zh-CN"/>
        </w:rPr>
      </w:pPr>
      <w:r>
        <w:rPr>
          <w:rFonts w:eastAsia="黑体"/>
          <w:color w:val="000000"/>
          <w:sz w:val="32"/>
          <w:szCs w:val="32"/>
          <w:shd w:val="clear" w:color="auto" w:fill="FFFFFF"/>
          <w:lang w:eastAsia="zh-CN"/>
        </w:rPr>
        <w:t>二、部门资金收支情况</w:t>
      </w:r>
    </w:p>
    <w:p>
      <w:pPr>
        <w:adjustRightInd w:val="0"/>
        <w:snapToGrid w:val="0"/>
        <w:spacing w:line="576" w:lineRule="exact"/>
        <w:ind w:firstLine="640" w:firstLineChars="200"/>
        <w:contextualSpacing/>
        <w:rPr>
          <w:rFonts w:ascii="仿宋_GB2312" w:hAnsi="仿宋" w:eastAsia="仿宋_GB2312"/>
          <w:sz w:val="32"/>
          <w:szCs w:val="32"/>
          <w:lang w:eastAsia="zh-CN"/>
        </w:rPr>
      </w:pPr>
      <w:r>
        <w:rPr>
          <w:rFonts w:eastAsia="楷体_GB2312"/>
          <w:bCs/>
          <w:color w:val="000000"/>
          <w:sz w:val="32"/>
          <w:szCs w:val="32"/>
          <w:shd w:val="clear" w:color="auto" w:fill="FFFFFF"/>
          <w:lang w:val="zh-CN" w:eastAsia="zh-CN"/>
        </w:rPr>
        <w:t>（一）</w:t>
      </w:r>
      <w:r>
        <w:rPr>
          <w:rFonts w:hint="eastAsia" w:eastAsia="楷体_GB2312"/>
          <w:bCs/>
          <w:color w:val="000000"/>
          <w:sz w:val="32"/>
          <w:szCs w:val="32"/>
          <w:shd w:val="clear" w:color="auto" w:fill="FFFFFF"/>
          <w:lang w:val="zh-CN" w:eastAsia="zh-CN"/>
        </w:rPr>
        <w:t>收入情况</w:t>
      </w:r>
      <w:r>
        <w:rPr>
          <w:rFonts w:eastAsia="楷体_GB2312"/>
          <w:bCs/>
          <w:color w:val="000000"/>
          <w:sz w:val="32"/>
          <w:szCs w:val="32"/>
          <w:shd w:val="clear" w:color="auto" w:fill="FFFFFF"/>
          <w:lang w:val="zh-CN" w:eastAsia="zh-CN"/>
        </w:rPr>
        <w:t>。</w:t>
      </w:r>
      <w:r>
        <w:rPr>
          <w:rFonts w:hint="eastAsia" w:ascii="仿宋_GB2312" w:hAnsi="仿宋" w:eastAsia="仿宋_GB2312"/>
          <w:sz w:val="32"/>
          <w:szCs w:val="32"/>
          <w:lang w:eastAsia="zh-CN"/>
        </w:rPr>
        <w:t>广元市朝天区人民法院2023年年初预算收入956.63万元，包括公共安全支出811.2万元，社会保障和就业支出61.1万元，卫生健康支出32.8万元，住房保障支出51.5万元，其中人员经费715.2万元，公用经费125.1万元，项目支出116.3万元。决算报表收入2085.8万元，其中人员经费938.49万元，公用经费164.47万元，项目支出982.85万元。</w:t>
      </w:r>
    </w:p>
    <w:p>
      <w:pPr>
        <w:adjustRightInd w:val="0"/>
        <w:snapToGrid w:val="0"/>
        <w:spacing w:line="576" w:lineRule="exact"/>
        <w:ind w:firstLine="640" w:firstLineChars="200"/>
        <w:contextualSpacing/>
        <w:rPr>
          <w:rFonts w:ascii="仿宋_GB2312" w:hAnsi="仿宋" w:eastAsia="仿宋_GB2312"/>
          <w:sz w:val="32"/>
          <w:szCs w:val="32"/>
          <w:lang w:eastAsia="zh-CN"/>
        </w:rPr>
      </w:pPr>
      <w:r>
        <w:rPr>
          <w:rFonts w:hint="eastAsia" w:ascii="仿宋_GB2312" w:hAnsi="仿宋" w:eastAsia="仿宋_GB2312"/>
          <w:sz w:val="32"/>
          <w:szCs w:val="32"/>
          <w:lang w:eastAsia="zh-CN"/>
        </w:rPr>
        <w:t>同级财政拨款收入1249.35万元、非同级财政拨款收入836.45万元。</w:t>
      </w:r>
    </w:p>
    <w:p>
      <w:pPr>
        <w:adjustRightInd w:val="0"/>
        <w:snapToGrid w:val="0"/>
        <w:spacing w:line="576" w:lineRule="exact"/>
        <w:ind w:firstLine="640" w:firstLineChars="200"/>
        <w:contextualSpacing/>
        <w:rPr>
          <w:rFonts w:ascii="仿宋_GB2312" w:eastAsia="仿宋_GB2312"/>
          <w:sz w:val="32"/>
          <w:szCs w:val="32"/>
          <w:lang w:eastAsia="zh-CN"/>
        </w:rPr>
      </w:pPr>
      <w:r>
        <w:rPr>
          <w:rFonts w:eastAsia="楷体_GB2312"/>
          <w:bCs/>
          <w:color w:val="000000"/>
          <w:sz w:val="32"/>
          <w:szCs w:val="32"/>
          <w:shd w:val="clear" w:color="auto" w:fill="FFFFFF"/>
          <w:lang w:val="zh-CN" w:eastAsia="zh-CN"/>
        </w:rPr>
        <w:t>（</w:t>
      </w:r>
      <w:r>
        <w:rPr>
          <w:rFonts w:hint="eastAsia" w:eastAsia="楷体_GB2312"/>
          <w:bCs/>
          <w:color w:val="000000"/>
          <w:sz w:val="32"/>
          <w:szCs w:val="32"/>
          <w:shd w:val="clear" w:color="auto" w:fill="FFFFFF"/>
          <w:lang w:val="zh-CN" w:eastAsia="zh-CN"/>
        </w:rPr>
        <w:t>二</w:t>
      </w:r>
      <w:r>
        <w:rPr>
          <w:rFonts w:eastAsia="楷体_GB2312"/>
          <w:bCs/>
          <w:color w:val="000000"/>
          <w:sz w:val="32"/>
          <w:szCs w:val="32"/>
          <w:shd w:val="clear" w:color="auto" w:fill="FFFFFF"/>
          <w:lang w:val="zh-CN" w:eastAsia="zh-CN"/>
        </w:rPr>
        <w:t>）</w:t>
      </w:r>
      <w:r>
        <w:rPr>
          <w:rFonts w:hint="eastAsia" w:eastAsia="楷体_GB2312"/>
          <w:bCs/>
          <w:color w:val="000000"/>
          <w:sz w:val="32"/>
          <w:szCs w:val="32"/>
          <w:shd w:val="clear" w:color="auto" w:fill="FFFFFF"/>
          <w:lang w:val="zh-CN" w:eastAsia="zh-CN"/>
        </w:rPr>
        <w:t>支出情况</w:t>
      </w:r>
      <w:r>
        <w:rPr>
          <w:rFonts w:eastAsia="楷体_GB2312"/>
          <w:bCs/>
          <w:color w:val="000000"/>
          <w:sz w:val="32"/>
          <w:szCs w:val="32"/>
          <w:shd w:val="clear" w:color="auto" w:fill="FFFFFF"/>
          <w:lang w:val="zh-CN" w:eastAsia="zh-CN"/>
        </w:rPr>
        <w:t>。</w:t>
      </w:r>
      <w:r>
        <w:rPr>
          <w:rFonts w:hint="eastAsia" w:ascii="仿宋_GB2312" w:hAnsi="仿宋" w:eastAsia="仿宋_GB2312"/>
          <w:sz w:val="32"/>
          <w:szCs w:val="32"/>
          <w:lang w:eastAsia="zh-CN"/>
        </w:rPr>
        <w:t>广元市朝天区人民法院2023年年初预算支出956.63万元、决算报表支出2085.8万元。支出主要分为基本支出和项目支出。基本支出1102.96万元，其中：人员经费支出938.49万元；商品和服务支出164.47万元。项目支出982.85万元，其中：办案业务费支出138.49万元；聘任制书记员经费80万元；法警法定工作日之外加班费3.4万元；两庭建设500万元；政法转移资金260.96万元。</w:t>
      </w:r>
    </w:p>
    <w:p>
      <w:pPr>
        <w:adjustRightInd w:val="0"/>
        <w:snapToGrid w:val="0"/>
        <w:spacing w:line="576" w:lineRule="exact"/>
        <w:ind w:firstLine="640" w:firstLineChars="200"/>
        <w:contextualSpacing/>
        <w:rPr>
          <w:rFonts w:ascii="仿宋_GB2312" w:hAnsi="仿宋" w:eastAsia="仿宋_GB2312"/>
          <w:sz w:val="32"/>
          <w:szCs w:val="32"/>
          <w:lang w:eastAsia="zh-CN"/>
        </w:rPr>
      </w:pPr>
      <w:r>
        <w:rPr>
          <w:rFonts w:eastAsia="楷体_GB2312"/>
          <w:bCs/>
          <w:color w:val="000000"/>
          <w:sz w:val="32"/>
          <w:szCs w:val="32"/>
          <w:shd w:val="clear" w:color="auto" w:fill="FFFFFF"/>
          <w:lang w:val="zh-CN" w:eastAsia="zh-CN"/>
        </w:rPr>
        <w:t>（</w:t>
      </w:r>
      <w:r>
        <w:rPr>
          <w:rFonts w:hint="eastAsia" w:eastAsia="楷体_GB2312"/>
          <w:bCs/>
          <w:color w:val="000000"/>
          <w:sz w:val="32"/>
          <w:szCs w:val="32"/>
          <w:shd w:val="clear" w:color="auto" w:fill="FFFFFF"/>
          <w:lang w:val="zh-CN" w:eastAsia="zh-CN"/>
        </w:rPr>
        <w:t>三</w:t>
      </w:r>
      <w:r>
        <w:rPr>
          <w:rFonts w:eastAsia="楷体_GB2312"/>
          <w:bCs/>
          <w:color w:val="000000"/>
          <w:sz w:val="32"/>
          <w:szCs w:val="32"/>
          <w:shd w:val="clear" w:color="auto" w:fill="FFFFFF"/>
          <w:lang w:val="zh-CN" w:eastAsia="zh-CN"/>
        </w:rPr>
        <w:t>）</w:t>
      </w:r>
      <w:r>
        <w:rPr>
          <w:rFonts w:hint="eastAsia" w:eastAsia="楷体_GB2312"/>
          <w:bCs/>
          <w:color w:val="000000"/>
          <w:sz w:val="32"/>
          <w:szCs w:val="32"/>
          <w:shd w:val="clear" w:color="auto" w:fill="FFFFFF"/>
          <w:lang w:val="zh-CN" w:eastAsia="zh-CN"/>
        </w:rPr>
        <w:t>结余分配和</w:t>
      </w:r>
      <w:r>
        <w:rPr>
          <w:rFonts w:eastAsia="楷体_GB2312"/>
          <w:sz w:val="32"/>
          <w:szCs w:val="32"/>
          <w:lang w:eastAsia="zh-CN"/>
        </w:rPr>
        <w:t>结转结余情况</w:t>
      </w:r>
      <w:r>
        <w:rPr>
          <w:rFonts w:hint="eastAsia" w:eastAsia="楷体_GB2312"/>
          <w:sz w:val="32"/>
          <w:szCs w:val="32"/>
          <w:lang w:eastAsia="zh-CN"/>
        </w:rPr>
        <w:t>。</w:t>
      </w:r>
      <w:r>
        <w:rPr>
          <w:rFonts w:hint="eastAsia" w:ascii="仿宋_GB2312" w:hAnsi="仿宋" w:eastAsia="仿宋_GB2312"/>
          <w:sz w:val="32"/>
          <w:szCs w:val="32"/>
          <w:lang w:eastAsia="zh-CN"/>
        </w:rPr>
        <w:t>广元市朝天区人民法院2023年决算报表无结转结余。</w:t>
      </w:r>
    </w:p>
    <w:p>
      <w:pPr>
        <w:adjustRightInd w:val="0"/>
        <w:snapToGrid w:val="0"/>
        <w:spacing w:line="578" w:lineRule="exact"/>
        <w:ind w:firstLine="640" w:firstLineChars="200"/>
        <w:contextualSpacing/>
        <w:rPr>
          <w:rFonts w:eastAsia="黑体"/>
          <w:color w:val="000000"/>
          <w:sz w:val="32"/>
          <w:szCs w:val="32"/>
          <w:shd w:val="clear" w:color="auto" w:fill="FFFFFF"/>
          <w:lang w:eastAsia="zh-CN"/>
        </w:rPr>
      </w:pPr>
      <w:r>
        <w:rPr>
          <w:rFonts w:eastAsia="黑体"/>
          <w:color w:val="000000"/>
          <w:sz w:val="32"/>
          <w:szCs w:val="32"/>
          <w:shd w:val="clear" w:color="auto" w:fill="FFFFFF"/>
          <w:lang w:eastAsia="zh-CN"/>
        </w:rPr>
        <w:t>三、部门预算绩效分析</w:t>
      </w:r>
    </w:p>
    <w:p>
      <w:pPr>
        <w:adjustRightInd w:val="0"/>
        <w:snapToGrid w:val="0"/>
        <w:spacing w:line="578" w:lineRule="exact"/>
        <w:ind w:firstLine="642" w:firstLineChars="200"/>
        <w:contextualSpacing/>
        <w:rPr>
          <w:color w:val="000000"/>
          <w:sz w:val="32"/>
          <w:szCs w:val="32"/>
          <w:shd w:val="clear" w:color="auto" w:fill="FFFFFF"/>
          <w:lang w:val="zh-CN" w:eastAsia="zh-CN"/>
        </w:rPr>
      </w:pPr>
      <w:r>
        <w:rPr>
          <w:rFonts w:eastAsia="楷体_GB2312"/>
          <w:b/>
          <w:bCs/>
          <w:color w:val="000000"/>
          <w:sz w:val="32"/>
          <w:szCs w:val="32"/>
          <w:shd w:val="clear" w:color="auto" w:fill="FFFFFF"/>
          <w:lang w:val="zh-CN" w:eastAsia="zh-CN"/>
        </w:rPr>
        <w:t>（一）</w:t>
      </w:r>
      <w:r>
        <w:rPr>
          <w:rFonts w:hint="eastAsia" w:eastAsia="楷体_GB2312"/>
          <w:b/>
          <w:bCs/>
          <w:color w:val="000000"/>
          <w:sz w:val="32"/>
          <w:szCs w:val="32"/>
          <w:shd w:val="clear" w:color="auto" w:fill="FFFFFF"/>
          <w:lang w:val="zh-CN" w:eastAsia="zh-CN"/>
        </w:rPr>
        <w:t>部门预算</w:t>
      </w:r>
      <w:r>
        <w:rPr>
          <w:rFonts w:eastAsia="楷体_GB2312"/>
          <w:b/>
          <w:bCs/>
          <w:color w:val="000000"/>
          <w:sz w:val="32"/>
          <w:szCs w:val="32"/>
          <w:shd w:val="clear" w:color="auto" w:fill="FFFFFF"/>
          <w:lang w:val="zh-CN" w:eastAsia="zh-CN"/>
        </w:rPr>
        <w:t>总体绩效分析。</w:t>
      </w:r>
    </w:p>
    <w:p>
      <w:pPr>
        <w:spacing w:line="576" w:lineRule="exact"/>
        <w:ind w:firstLine="640" w:firstLineChars="200"/>
        <w:rPr>
          <w:rFonts w:ascii="楷体_GB2312" w:hAnsi="楷体_GB2312" w:eastAsia="楷体_GB2312" w:cs="楷体_GB2312"/>
          <w:color w:val="000000"/>
          <w:sz w:val="32"/>
          <w:szCs w:val="32"/>
          <w:shd w:val="clear" w:color="auto" w:fill="FFFFFF"/>
          <w:lang w:val="zh-CN" w:eastAsia="zh-CN"/>
        </w:rPr>
      </w:pPr>
      <w:r>
        <w:rPr>
          <w:rFonts w:hint="eastAsia" w:ascii="楷体_GB2312" w:hAnsi="楷体_GB2312" w:eastAsia="楷体_GB2312" w:cs="楷体_GB2312"/>
          <w:color w:val="000000"/>
          <w:sz w:val="32"/>
          <w:szCs w:val="32"/>
          <w:shd w:val="clear" w:color="auto" w:fill="FFFFFF"/>
          <w:lang w:eastAsia="zh-CN"/>
        </w:rPr>
        <w:t>1.</w:t>
      </w:r>
      <w:r>
        <w:rPr>
          <w:rFonts w:hint="eastAsia" w:ascii="楷体_GB2312" w:hAnsi="楷体_GB2312" w:eastAsia="楷体_GB2312" w:cs="楷体_GB2312"/>
          <w:color w:val="000000"/>
          <w:sz w:val="32"/>
          <w:szCs w:val="32"/>
          <w:shd w:val="clear" w:color="auto" w:fill="FFFFFF"/>
          <w:lang w:val="zh-CN" w:eastAsia="zh-CN"/>
        </w:rPr>
        <w:t>履职效能。</w:t>
      </w:r>
    </w:p>
    <w:p>
      <w:pPr>
        <w:spacing w:line="576" w:lineRule="exact"/>
        <w:ind w:firstLine="640" w:firstLineChars="200"/>
        <w:rPr>
          <w:rFonts w:ascii="仿宋_GB2312" w:hAnsi="仿宋_GB2312" w:eastAsia="仿宋_GB2312" w:cs="仿宋_GB2312"/>
          <w:sz w:val="32"/>
          <w:szCs w:val="32"/>
          <w:lang w:eastAsia="zh-CN"/>
        </w:rPr>
      </w:pPr>
      <w:r>
        <w:rPr>
          <w:rFonts w:hint="eastAsia" w:ascii="仿宋_GB2312" w:eastAsia="仿宋_GB2312"/>
          <w:sz w:val="32"/>
          <w:szCs w:val="32"/>
          <w:lang w:eastAsia="zh-CN"/>
        </w:rPr>
        <w:t>2023年，朝天区人民法院在区委的坚强领导下，在区人大、市中院的监督指导和区政府、政协及社会各界的关心支持下，深入学习贯彻习近平新时代中国特色社会主义思想和党的二十大精神以及省、市、区全会精神，始终紧紧围绕“公正与效率”工作主题，按照“实质化运行、优质化提升”思路，聚焦“六个优质化”，加快推进审判工作现代化，</w:t>
      </w:r>
      <w:r>
        <w:rPr>
          <w:rFonts w:hint="eastAsia" w:ascii="仿宋_GB2312" w:hAnsi="仿宋_GB2312" w:eastAsia="仿宋_GB2312" w:cs="仿宋_GB2312"/>
          <w:sz w:val="32"/>
          <w:szCs w:val="32"/>
          <w:lang w:eastAsia="zh-CN"/>
        </w:rPr>
        <w:t>各项工作取得了新进展、新成效。始终坚持以习近平新时代中国特色社会主义思想为指导，深入学习贯彻党的二十大及二十届历次全会精神，以实际行动拥护“两个确立”，做到“两个维护”。严格落实“第一议题”制度，第一时间传达学习习近平总书记最新重要讲话精神，开展学习贯彻二十大精神等政治轮训6次，党组理论学习中心组8次，自主开展思想政治培训2次、业务培训5次。自觉强化政治担当，扎实开展学习贯彻</w:t>
      </w:r>
      <w:bookmarkStart w:id="145" w:name="_GoBack"/>
      <w:r>
        <w:rPr>
          <w:rFonts w:hint="eastAsia" w:ascii="仿宋_GB2312" w:hAnsi="仿宋_GB2312" w:eastAsia="仿宋_GB2312" w:cs="仿宋_GB2312"/>
          <w:sz w:val="32"/>
          <w:szCs w:val="32"/>
          <w:lang w:eastAsia="zh-CN"/>
        </w:rPr>
        <w:t>习近平新时代</w:t>
      </w:r>
      <w:bookmarkEnd w:id="145"/>
      <w:r>
        <w:rPr>
          <w:rFonts w:hint="eastAsia" w:ascii="仿宋_GB2312" w:hAnsi="仿宋_GB2312" w:eastAsia="仿宋_GB2312" w:cs="仿宋_GB2312"/>
          <w:sz w:val="32"/>
          <w:szCs w:val="32"/>
          <w:lang w:eastAsia="zh-CN"/>
        </w:rPr>
        <w:t>中国特色社会主义思想主题教育，自觉扛起政治责任，从严对标、从实谋划，确保高质量完成主题教育各项任务，以“主题党日＋”为载体，开展专题党课、主题党日、学习研讨、理论学习、英模学习等活动16次。严格落实意识形态工作责任制，党组专题研究意识形态工作4次，坚决抵制错误观念在司法领域的渗透，确保法院工作正确政治方向。</w:t>
      </w:r>
      <w:r>
        <w:rPr>
          <w:rFonts w:hint="eastAsia" w:ascii="仿宋_GB2312" w:eastAsia="仿宋_GB2312"/>
          <w:sz w:val="32"/>
          <w:szCs w:val="32"/>
          <w:lang w:eastAsia="zh-CN"/>
        </w:rPr>
        <w:t>始终把狠抓执法办案放在首位，截至目前，共受理各类案件2902件，审执结2895件，服判息诉率、上诉案件改发率等核心指标居全市法院前列。</w:t>
      </w:r>
    </w:p>
    <w:p>
      <w:pPr>
        <w:spacing w:line="576" w:lineRule="exact"/>
        <w:ind w:firstLine="640" w:firstLineChars="200"/>
        <w:rPr>
          <w:rFonts w:ascii="仿宋_GB2312" w:hAnsi="黑体" w:eastAsia="仿宋_GB2312"/>
          <w:sz w:val="32"/>
          <w:szCs w:val="32"/>
          <w:lang w:eastAsia="zh-CN"/>
        </w:rPr>
      </w:pPr>
      <w:r>
        <w:rPr>
          <w:rFonts w:hint="eastAsia" w:ascii="仿宋_GB2312" w:hAnsi="仿宋_GB2312" w:eastAsia="仿宋_GB2312" w:cs="仿宋_GB2312"/>
          <w:color w:val="000000"/>
          <w:sz w:val="32"/>
          <w:szCs w:val="32"/>
          <w:lang w:eastAsia="zh-CN"/>
        </w:rPr>
        <w:t>刑事审判履职效果：坚决维护安全稳定，审结刑事案件96件，判处被告人138人。</w:t>
      </w:r>
      <w:r>
        <w:rPr>
          <w:rFonts w:hint="eastAsia" w:ascii="仿宋_GB2312" w:hAnsi="黑体" w:eastAsia="仿宋_GB2312"/>
          <w:sz w:val="32"/>
          <w:szCs w:val="32"/>
          <w:lang w:eastAsia="zh-CN"/>
        </w:rPr>
        <w:t>严厉打击涉毒、盗窃、抢劫、强奸、寻衅滋事等侵害公民人身权利犯罪案件14件，维护了辖区社会稳定；坚决惩治非法吸收公众存款、电信诈骗、养老诈骗以及下游的帮信、掩隐等犯罪审结此类</w:t>
      </w:r>
      <w:r>
        <w:rPr>
          <w:rFonts w:hint="eastAsia" w:ascii="仿宋_GB2312" w:hAnsi="仿宋_GB2312" w:eastAsia="仿宋_GB2312" w:cs="仿宋_GB2312"/>
          <w:color w:val="000000"/>
          <w:sz w:val="32"/>
          <w:szCs w:val="32"/>
          <w:lang w:eastAsia="zh-CN"/>
        </w:rPr>
        <w:t>案件39件，涉案金额13826.02万元，判处被告人71人，宣告缓刑48人，罚金106余万元</w:t>
      </w:r>
      <w:r>
        <w:rPr>
          <w:rFonts w:hint="eastAsia" w:ascii="仿宋_GB2312" w:hAnsi="黑体" w:eastAsia="仿宋_GB2312"/>
          <w:sz w:val="32"/>
          <w:szCs w:val="32"/>
          <w:lang w:eastAsia="zh-CN"/>
        </w:rPr>
        <w:t>，有效保护人民群众的钱袋子和养老钱；依法惩处职务犯罪，维护行政机关廉洁性，</w:t>
      </w:r>
      <w:r>
        <w:rPr>
          <w:rFonts w:hint="eastAsia" w:ascii="仿宋_GB2312" w:hAnsi="仿宋_GB2312" w:eastAsia="仿宋_GB2312" w:cs="仿宋_GB2312"/>
          <w:color w:val="000000"/>
          <w:sz w:val="32"/>
          <w:szCs w:val="32"/>
          <w:lang w:eastAsia="zh-CN"/>
        </w:rPr>
        <w:t>审结朝天区农业农村局原党组成员、副局长马某某受贿、洗钱罪案等职务犯罪案件3件；</w:t>
      </w:r>
      <w:r>
        <w:rPr>
          <w:rFonts w:hint="eastAsia" w:ascii="仿宋_GB2312" w:hAnsi="黑体" w:eastAsia="仿宋_GB2312"/>
          <w:sz w:val="32"/>
          <w:szCs w:val="32"/>
          <w:lang w:eastAsia="zh-CN"/>
        </w:rPr>
        <w:t>强化人权司法保障，推动律师辩护全覆盖；准确适用认罪认罚从宽制度，推动量刑均衡化、规范化。本项得4分。</w:t>
      </w:r>
    </w:p>
    <w:p>
      <w:pPr>
        <w:spacing w:line="576" w:lineRule="exact"/>
        <w:ind w:firstLine="640" w:firstLineChars="200"/>
        <w:rPr>
          <w:rFonts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行政审判履职效果：加大行政争议实质性化解力度，积极推动法治政府建设，审结一审行政案件11件，审查行政非诉执行案件85件，行政机关负责人出庭应诉率100%。</w:t>
      </w:r>
      <w:r>
        <w:rPr>
          <w:rFonts w:hint="eastAsia" w:ascii="仿宋_GB2312" w:hAnsi="黑体" w:eastAsia="仿宋_GB2312"/>
          <w:sz w:val="32"/>
          <w:szCs w:val="32"/>
          <w:lang w:eastAsia="zh-CN"/>
        </w:rPr>
        <w:t>本项得3分。</w:t>
      </w:r>
    </w:p>
    <w:p>
      <w:pPr>
        <w:spacing w:line="576" w:lineRule="exact"/>
        <w:ind w:firstLine="640" w:firstLineChars="200"/>
        <w:rPr>
          <w:rFonts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民事审判履职效果：妥善化解民商事纠纷，审结教育、就业、医疗、养老、住房等民事案件1326件。</w:t>
      </w:r>
      <w:r>
        <w:rPr>
          <w:rFonts w:hint="eastAsia" w:ascii="仿宋_GB2312" w:hAnsi="黑体" w:eastAsia="仿宋_GB2312"/>
          <w:sz w:val="32"/>
          <w:szCs w:val="32"/>
          <w:lang w:eastAsia="zh-CN"/>
        </w:rPr>
        <w:t>本项得4分。</w:t>
      </w:r>
    </w:p>
    <w:p>
      <w:pPr>
        <w:spacing w:line="576" w:lineRule="exact"/>
        <w:ind w:firstLine="640" w:firstLineChars="200"/>
        <w:rPr>
          <w:rFonts w:ascii="仿宋_GB2312" w:hAnsi="黑体" w:eastAsia="仿宋_GB2312"/>
          <w:sz w:val="32"/>
          <w:szCs w:val="32"/>
          <w:lang w:eastAsia="zh-CN"/>
        </w:rPr>
      </w:pPr>
      <w:r>
        <w:rPr>
          <w:rFonts w:hint="eastAsia" w:ascii="仿宋_GB2312" w:hAnsi="仿宋_GB2312" w:eastAsia="仿宋_GB2312" w:cs="仿宋_GB2312"/>
          <w:color w:val="000000"/>
          <w:sz w:val="32"/>
          <w:szCs w:val="32"/>
          <w:lang w:eastAsia="zh-CN"/>
        </w:rPr>
        <w:t>执行履职效果：全力兑现胜诉权益，针对10万元以下标的额案件，采取“一次有效执行”措施，2023年来，执结案件1050件，执行到位案款3.2亿元，首执案件实际到位率76.15%，依法将228名被执行人纳入失信名单库，限制高消费334人，司法拘留21案21人，罚款7案7人，王国琼、程兵、程波申请司法救助案被四川执行工作指导发布。</w:t>
      </w:r>
      <w:r>
        <w:rPr>
          <w:rFonts w:hint="eastAsia" w:ascii="仿宋_GB2312" w:hAnsi="黑体" w:eastAsia="仿宋_GB2312"/>
          <w:sz w:val="32"/>
          <w:szCs w:val="32"/>
          <w:lang w:eastAsia="zh-CN"/>
        </w:rPr>
        <w:t>本项得4分。</w:t>
      </w:r>
    </w:p>
    <w:p>
      <w:pPr>
        <w:adjustRightInd w:val="0"/>
        <w:snapToGrid w:val="0"/>
        <w:spacing w:line="576" w:lineRule="exact"/>
        <w:ind w:firstLine="640" w:firstLineChars="200"/>
        <w:contextualSpacing/>
        <w:rPr>
          <w:rFonts w:ascii="仿宋_GB2312" w:hAnsi="仿宋" w:eastAsia="仿宋_GB2312"/>
          <w:sz w:val="32"/>
          <w:szCs w:val="32"/>
          <w:lang w:eastAsia="zh-CN"/>
        </w:rPr>
      </w:pPr>
      <w:r>
        <w:rPr>
          <w:rFonts w:hint="eastAsia" w:ascii="仿宋_GB2312" w:hAnsi="仿宋" w:eastAsia="仿宋_GB2312"/>
          <w:sz w:val="32"/>
          <w:szCs w:val="32"/>
          <w:lang w:eastAsia="zh-CN"/>
        </w:rPr>
        <w:t>本项自评得分15分。</w:t>
      </w:r>
    </w:p>
    <w:p>
      <w:pPr>
        <w:spacing w:line="576" w:lineRule="exact"/>
        <w:ind w:firstLine="640" w:firstLineChars="200"/>
        <w:rPr>
          <w:color w:val="000000"/>
          <w:sz w:val="32"/>
          <w:szCs w:val="32"/>
          <w:shd w:val="clear" w:color="auto" w:fill="FFFFFF"/>
          <w:lang w:val="zh-CN" w:eastAsia="zh-CN"/>
        </w:rPr>
      </w:pPr>
      <w:r>
        <w:rPr>
          <w:rFonts w:hint="eastAsia" w:ascii="楷体_GB2312" w:hAnsi="楷体_GB2312" w:eastAsia="楷体_GB2312" w:cs="楷体_GB2312"/>
          <w:color w:val="000000"/>
          <w:sz w:val="32"/>
          <w:szCs w:val="32"/>
          <w:shd w:val="clear" w:color="auto" w:fill="FFFFFF"/>
          <w:lang w:eastAsia="zh-CN"/>
        </w:rPr>
        <w:t>2.</w:t>
      </w:r>
      <w:r>
        <w:rPr>
          <w:rFonts w:ascii="楷体_GB2312" w:hAnsi="楷体_GB2312" w:eastAsia="楷体_GB2312" w:cs="楷体_GB2312"/>
          <w:color w:val="000000"/>
          <w:sz w:val="32"/>
          <w:szCs w:val="32"/>
          <w:shd w:val="clear" w:color="auto" w:fill="FFFFFF"/>
          <w:lang w:val="zh-CN" w:eastAsia="zh-CN"/>
        </w:rPr>
        <w:t>预算管理</w:t>
      </w:r>
      <w:r>
        <w:rPr>
          <w:rFonts w:hint="eastAsia" w:ascii="楷体_GB2312" w:hAnsi="楷体_GB2312" w:eastAsia="楷体_GB2312" w:cs="楷体_GB2312"/>
          <w:color w:val="000000"/>
          <w:sz w:val="32"/>
          <w:szCs w:val="32"/>
          <w:shd w:val="clear" w:color="auto" w:fill="FFFFFF"/>
          <w:lang w:val="zh-CN" w:eastAsia="zh-CN"/>
        </w:rPr>
        <w:t>。</w:t>
      </w:r>
    </w:p>
    <w:p>
      <w:pPr>
        <w:adjustRightInd w:val="0"/>
        <w:snapToGrid w:val="0"/>
        <w:spacing w:line="578" w:lineRule="exact"/>
        <w:ind w:firstLine="640" w:firstLineChars="200"/>
        <w:contextualSpacing/>
        <w:rPr>
          <w:rFonts w:ascii="仿宋_GB2312" w:eastAsia="仿宋_GB2312"/>
          <w:color w:val="000000"/>
          <w:sz w:val="32"/>
          <w:szCs w:val="32"/>
          <w:shd w:val="clear" w:color="auto" w:fill="FFFFFF"/>
          <w:lang w:val="zh-CN" w:eastAsia="zh-CN"/>
        </w:rPr>
      </w:pPr>
      <w:r>
        <w:rPr>
          <w:rFonts w:hint="eastAsia" w:ascii="仿宋_GB2312" w:eastAsia="仿宋_GB2312"/>
          <w:color w:val="000000"/>
          <w:sz w:val="32"/>
          <w:szCs w:val="32"/>
          <w:shd w:val="clear" w:color="auto" w:fill="FFFFFF"/>
          <w:lang w:val="zh-CN" w:eastAsia="zh-CN"/>
        </w:rPr>
        <w:t>2023年，朝天区人民法院坚持“综合预算、量入为出、收支平衡、略有结余”的总原则，依据单位发展规划、工作需要以及历史财务数据进行预算编制，量力而行，量财办事，确保预算的合理性和可行性，拒绝“拍脑袋”做预算。</w:t>
      </w:r>
    </w:p>
    <w:p>
      <w:pPr>
        <w:adjustRightInd w:val="0"/>
        <w:snapToGrid w:val="0"/>
        <w:spacing w:line="578" w:lineRule="exact"/>
        <w:ind w:firstLine="640" w:firstLineChars="200"/>
        <w:contextualSpacing/>
        <w:rPr>
          <w:rFonts w:ascii="仿宋_GB2312" w:eastAsia="仿宋_GB2312"/>
          <w:color w:val="000000"/>
          <w:sz w:val="32"/>
          <w:szCs w:val="32"/>
          <w:shd w:val="clear" w:color="auto" w:fill="FFFFFF"/>
          <w:lang w:val="zh-CN" w:eastAsia="zh-CN"/>
        </w:rPr>
      </w:pPr>
      <w:r>
        <w:rPr>
          <w:rFonts w:hint="eastAsia" w:ascii="仿宋_GB2312" w:eastAsia="仿宋_GB2312"/>
          <w:color w:val="000000"/>
          <w:sz w:val="32"/>
          <w:szCs w:val="32"/>
          <w:shd w:val="clear" w:color="auto" w:fill="FFFFFF"/>
          <w:lang w:val="zh-CN" w:eastAsia="zh-CN"/>
        </w:rPr>
        <w:t>预算编制质量：在预算编制过程中严格按照程序进行，确保预算的准确性和公正性，根据各部门实际需求和工作计划进行合理分配，确保各部门能够顺利开展工作。</w:t>
      </w:r>
      <w:r>
        <w:rPr>
          <w:rFonts w:hint="eastAsia" w:ascii="仿宋_GB2312" w:hAnsi="黑体" w:eastAsia="仿宋_GB2312"/>
          <w:sz w:val="32"/>
          <w:szCs w:val="32"/>
          <w:lang w:eastAsia="zh-CN"/>
        </w:rPr>
        <w:t>本项得8分。</w:t>
      </w:r>
    </w:p>
    <w:p>
      <w:pPr>
        <w:adjustRightInd w:val="0"/>
        <w:snapToGrid w:val="0"/>
        <w:spacing w:line="578" w:lineRule="exact"/>
        <w:ind w:firstLine="640" w:firstLineChars="200"/>
        <w:contextualSpacing/>
        <w:rPr>
          <w:rFonts w:ascii="仿宋_GB2312" w:hAnsi="仿宋" w:eastAsia="仿宋_GB2312"/>
          <w:sz w:val="32"/>
          <w:szCs w:val="32"/>
          <w:lang w:eastAsia="zh-CN"/>
        </w:rPr>
      </w:pPr>
      <w:r>
        <w:rPr>
          <w:rFonts w:hint="eastAsia" w:ascii="仿宋_GB2312" w:eastAsia="仿宋_GB2312"/>
          <w:color w:val="000000"/>
          <w:sz w:val="32"/>
          <w:szCs w:val="32"/>
          <w:shd w:val="clear" w:color="auto" w:fill="FFFFFF"/>
          <w:lang w:val="zh-CN" w:eastAsia="zh-CN"/>
        </w:rPr>
        <w:t>单位收入统筹：年初</w:t>
      </w:r>
      <w:r>
        <w:rPr>
          <w:rFonts w:hint="eastAsia" w:ascii="仿宋_GB2312" w:hAnsi="仿宋" w:eastAsia="仿宋_GB2312"/>
          <w:sz w:val="32"/>
          <w:szCs w:val="32"/>
          <w:lang w:eastAsia="zh-CN"/>
        </w:rPr>
        <w:t>共编制3个预算项目，办案业务费年初预算32.87万元</w:t>
      </w:r>
      <w:r>
        <w:rPr>
          <w:rFonts w:hint="eastAsia" w:ascii="仿宋_GB2312" w:eastAsia="仿宋_GB2312"/>
          <w:color w:val="000000"/>
          <w:sz w:val="32"/>
          <w:szCs w:val="32"/>
          <w:shd w:val="clear" w:color="auto" w:fill="FFFFFF"/>
          <w:lang w:val="zh-CN" w:eastAsia="zh-CN"/>
        </w:rPr>
        <w:t>，年终追加8万元，共计40.87万元，司法警察加班补助年初预算3</w:t>
      </w:r>
      <w:r>
        <w:rPr>
          <w:rFonts w:hint="eastAsia" w:ascii="仿宋_GB2312" w:hAnsi="仿宋" w:eastAsia="仿宋_GB2312"/>
          <w:sz w:val="32"/>
          <w:szCs w:val="32"/>
          <w:lang w:eastAsia="zh-CN"/>
        </w:rPr>
        <w:t>.4万元、聘任制书记员80万元。</w:t>
      </w:r>
      <w:r>
        <w:rPr>
          <w:rFonts w:hint="eastAsia" w:ascii="仿宋_GB2312" w:hAnsi="黑体" w:eastAsia="仿宋_GB2312"/>
          <w:sz w:val="32"/>
          <w:szCs w:val="32"/>
          <w:lang w:eastAsia="zh-CN"/>
        </w:rPr>
        <w:t>本项得4分。</w:t>
      </w:r>
    </w:p>
    <w:p>
      <w:pPr>
        <w:adjustRightInd w:val="0"/>
        <w:snapToGrid w:val="0"/>
        <w:spacing w:line="578" w:lineRule="exact"/>
        <w:ind w:firstLine="640" w:firstLineChars="200"/>
        <w:contextualSpacing/>
        <w:rPr>
          <w:rFonts w:ascii="仿宋_GB2312" w:hAnsi="仿宋" w:eastAsia="仿宋_GB2312"/>
          <w:sz w:val="32"/>
          <w:szCs w:val="32"/>
          <w:lang w:eastAsia="zh-CN"/>
        </w:rPr>
      </w:pPr>
      <w:r>
        <w:rPr>
          <w:rFonts w:hint="eastAsia" w:ascii="仿宋_GB2312" w:hAnsi="仿宋" w:eastAsia="仿宋_GB2312"/>
          <w:sz w:val="32"/>
          <w:szCs w:val="32"/>
          <w:lang w:eastAsia="zh-CN"/>
        </w:rPr>
        <w:t>支出执行进度：办案业务经费全年共花费司法警察加班补助经费每人每月发放710元，我单位四名司法警察，每月执行2840元，全年共支出3.4万元。在预算编报初期，对政法中央转移支付资金进行相应编报，次年，资金分批进行追加预算。 根据“先有预算、后有支出”原则，我院加强对预算支出管理的监督管理，按照预算均衡进行费用的列支。办案经费印发各类宣传活动资料2100余份，全年办理案件大于2200件，案件审结率达到99%，全年办理执行案件890件，召开执行工作联席会议2次，法官人均结案数150余件，案件结案率为95%以上，案件发改率低于1.6%，案件审判时效为38天，挽回国家损失近100余万元，全面追缴罚没收入1056.65万元。人民群众满意度99%，办案人员满意度99%。为执法办案、打击违法犯罪提供有力保障。聘任制书记员经费用于每月书记员工资发放，各类保险费用、出差补助。为协助好员额法官开展案件办理及日常出差事务，提高办案效率提供了有力保障。</w:t>
      </w:r>
      <w:r>
        <w:rPr>
          <w:rFonts w:hint="eastAsia" w:ascii="仿宋_GB2312" w:hAnsi="黑体" w:eastAsia="仿宋_GB2312"/>
          <w:sz w:val="32"/>
          <w:szCs w:val="32"/>
          <w:lang w:eastAsia="zh-CN"/>
        </w:rPr>
        <w:t>本项得5分。</w:t>
      </w:r>
    </w:p>
    <w:p>
      <w:pPr>
        <w:adjustRightInd w:val="0"/>
        <w:snapToGrid w:val="0"/>
        <w:spacing w:line="578" w:lineRule="exact"/>
        <w:ind w:firstLine="640" w:firstLineChars="200"/>
        <w:contextualSpacing/>
        <w:rPr>
          <w:rFonts w:ascii="仿宋_GB2312" w:hAnsi="仿宋" w:eastAsia="仿宋_GB2312"/>
          <w:sz w:val="32"/>
          <w:szCs w:val="32"/>
          <w:lang w:eastAsia="zh-CN"/>
        </w:rPr>
      </w:pPr>
      <w:r>
        <w:rPr>
          <w:rFonts w:hint="eastAsia" w:ascii="仿宋_GB2312" w:eastAsia="仿宋_GB2312"/>
          <w:sz w:val="32"/>
          <w:szCs w:val="32"/>
          <w:lang w:eastAsia="zh-CN"/>
        </w:rPr>
        <w:t>预算年终结余：本院整体年终预算无结余。</w:t>
      </w:r>
      <w:r>
        <w:rPr>
          <w:rFonts w:hint="eastAsia" w:ascii="仿宋_GB2312" w:hAnsi="黑体" w:eastAsia="仿宋_GB2312"/>
          <w:sz w:val="32"/>
          <w:szCs w:val="32"/>
          <w:lang w:eastAsia="zh-CN"/>
        </w:rPr>
        <w:t>本项得2分。</w:t>
      </w:r>
    </w:p>
    <w:p>
      <w:pPr>
        <w:adjustRightInd w:val="0"/>
        <w:snapToGrid w:val="0"/>
        <w:spacing w:line="576" w:lineRule="exact"/>
        <w:ind w:firstLine="640" w:firstLineChars="200"/>
        <w:contextualSpacing/>
        <w:rPr>
          <w:rFonts w:ascii="仿宋_GB2312" w:hAnsi="仿宋" w:eastAsia="仿宋_GB2312"/>
          <w:sz w:val="32"/>
          <w:szCs w:val="32"/>
          <w:lang w:eastAsia="zh-CN"/>
        </w:rPr>
      </w:pPr>
      <w:r>
        <w:rPr>
          <w:rFonts w:hint="eastAsia" w:ascii="仿宋_GB2312" w:hAnsi="仿宋" w:eastAsia="仿宋_GB2312"/>
          <w:sz w:val="32"/>
          <w:szCs w:val="32"/>
          <w:lang w:eastAsia="zh-CN"/>
        </w:rPr>
        <w:t>严控一般性支出：本院严格控制“三公”经费支出，主要包括会议、培训、差旅费，本院不涉及办节办展、办公设备购置、信息网络及软件购置更新、课题经费等项目，并持续厉行节俭，缩减三公经费开支。</w:t>
      </w:r>
      <w:r>
        <w:rPr>
          <w:rFonts w:hint="eastAsia" w:ascii="仿宋_GB2312" w:hAnsi="黑体" w:eastAsia="仿宋_GB2312"/>
          <w:sz w:val="32"/>
          <w:szCs w:val="32"/>
          <w:lang w:eastAsia="zh-CN"/>
        </w:rPr>
        <w:t>本项得5分。</w:t>
      </w:r>
    </w:p>
    <w:p>
      <w:pPr>
        <w:adjustRightInd w:val="0"/>
        <w:snapToGrid w:val="0"/>
        <w:spacing w:line="576" w:lineRule="exact"/>
        <w:ind w:firstLine="640" w:firstLineChars="200"/>
        <w:contextualSpacing/>
        <w:rPr>
          <w:rFonts w:ascii="仿宋_GB2312" w:hAnsi="仿宋" w:eastAsia="仿宋_GB2312"/>
          <w:sz w:val="32"/>
          <w:szCs w:val="32"/>
          <w:lang w:eastAsia="zh-CN"/>
        </w:rPr>
      </w:pPr>
      <w:r>
        <w:rPr>
          <w:rFonts w:hint="eastAsia" w:ascii="仿宋_GB2312" w:hAnsi="仿宋" w:eastAsia="仿宋_GB2312"/>
          <w:sz w:val="32"/>
          <w:szCs w:val="32"/>
          <w:lang w:eastAsia="zh-CN"/>
        </w:rPr>
        <w:t>本项自评得分24分。</w:t>
      </w:r>
    </w:p>
    <w:p>
      <w:pPr>
        <w:adjustRightInd w:val="0"/>
        <w:snapToGrid w:val="0"/>
        <w:spacing w:line="576" w:lineRule="exact"/>
        <w:ind w:firstLine="640" w:firstLineChars="200"/>
        <w:contextualSpacing/>
        <w:rPr>
          <w:rFonts w:ascii="楷体_GB2312" w:hAnsi="楷体_GB2312" w:eastAsia="楷体_GB2312" w:cs="楷体_GB2312"/>
          <w:color w:val="000000"/>
          <w:sz w:val="32"/>
          <w:szCs w:val="32"/>
          <w:shd w:val="clear" w:color="auto" w:fill="FFFFFF"/>
          <w:lang w:val="zh-CN" w:eastAsia="zh-CN"/>
        </w:rPr>
      </w:pPr>
      <w:r>
        <w:rPr>
          <w:rFonts w:hint="eastAsia" w:ascii="楷体_GB2312" w:hAnsi="楷体_GB2312" w:eastAsia="楷体_GB2312" w:cs="楷体_GB2312"/>
          <w:color w:val="000000"/>
          <w:sz w:val="32"/>
          <w:szCs w:val="32"/>
          <w:shd w:val="clear" w:color="auto" w:fill="FFFFFF"/>
          <w:lang w:eastAsia="zh-CN"/>
        </w:rPr>
        <w:t>3.</w:t>
      </w:r>
      <w:r>
        <w:rPr>
          <w:rFonts w:ascii="楷体_GB2312" w:hAnsi="楷体_GB2312" w:eastAsia="楷体_GB2312" w:cs="楷体_GB2312"/>
          <w:color w:val="000000"/>
          <w:sz w:val="32"/>
          <w:szCs w:val="32"/>
          <w:shd w:val="clear" w:color="auto" w:fill="FFFFFF"/>
          <w:lang w:val="zh-CN" w:eastAsia="zh-CN"/>
        </w:rPr>
        <w:t>财务管理</w:t>
      </w:r>
      <w:r>
        <w:rPr>
          <w:rFonts w:hint="eastAsia" w:ascii="楷体_GB2312" w:hAnsi="楷体_GB2312" w:eastAsia="楷体_GB2312" w:cs="楷体_GB2312"/>
          <w:color w:val="000000"/>
          <w:sz w:val="32"/>
          <w:szCs w:val="32"/>
          <w:shd w:val="clear" w:color="auto" w:fill="FFFFFF"/>
          <w:lang w:val="zh-CN" w:eastAsia="zh-CN"/>
        </w:rPr>
        <w:t>。</w:t>
      </w:r>
    </w:p>
    <w:p>
      <w:pPr>
        <w:adjustRightInd w:val="0"/>
        <w:snapToGrid w:val="0"/>
        <w:spacing w:line="576" w:lineRule="exact"/>
        <w:ind w:firstLine="640" w:firstLineChars="200"/>
        <w:contextualSpacing/>
        <w:rPr>
          <w:rFonts w:ascii="仿宋_GB2312" w:hAnsi="仿宋" w:eastAsia="仿宋_GB2312"/>
          <w:sz w:val="32"/>
          <w:szCs w:val="32"/>
          <w:lang w:eastAsia="zh-CN"/>
        </w:rPr>
      </w:pPr>
      <w:r>
        <w:rPr>
          <w:rFonts w:hint="eastAsia" w:ascii="仿宋_GB2312" w:hAnsi="仿宋" w:eastAsia="仿宋_GB2312"/>
          <w:sz w:val="32"/>
          <w:szCs w:val="32"/>
          <w:lang w:eastAsia="zh-CN"/>
        </w:rPr>
        <w:t>建立健全财务管理制度、内部管理制度并严格执行，明确会计和出纳工作岗位及人员，职责分工清晰合规，人员任用规范。严格财务审核，规范单位财务行为。严格执行各项经费开支标准，按规定审批、报销“三公经费”、差旅费等费用。在费用报账支付时，按照预算规定的费用项目和用途进行资金使用审核、列报支付、财务核算，杜绝超支现象的发生。财务管理工作对于行政事业单位至关重要，为进一步加强财务人员职业道德和业务水平，合理安排财务人员参加培训学习，不断增强其政治素养和业务技能水平。</w:t>
      </w:r>
    </w:p>
    <w:p>
      <w:pPr>
        <w:adjustRightInd w:val="0"/>
        <w:snapToGrid w:val="0"/>
        <w:spacing w:line="576" w:lineRule="exact"/>
        <w:ind w:firstLine="640" w:firstLineChars="200"/>
        <w:contextualSpacing/>
        <w:rPr>
          <w:rFonts w:ascii="仿宋_GB2312" w:hAnsi="仿宋" w:eastAsia="仿宋_GB2312"/>
          <w:sz w:val="32"/>
          <w:szCs w:val="32"/>
          <w:lang w:eastAsia="zh-CN"/>
        </w:rPr>
      </w:pPr>
      <w:r>
        <w:rPr>
          <w:rFonts w:hint="eastAsia" w:ascii="仿宋_GB2312" w:hAnsi="仿宋" w:eastAsia="仿宋_GB2312"/>
          <w:sz w:val="32"/>
          <w:szCs w:val="32"/>
          <w:lang w:eastAsia="zh-CN"/>
        </w:rPr>
        <w:t>本项自评得分10分。</w:t>
      </w:r>
    </w:p>
    <w:p>
      <w:pPr>
        <w:adjustRightInd w:val="0"/>
        <w:snapToGrid w:val="0"/>
        <w:spacing w:line="576" w:lineRule="exact"/>
        <w:ind w:firstLine="640" w:firstLineChars="200"/>
        <w:contextualSpacing/>
        <w:rPr>
          <w:rFonts w:ascii="楷体_GB2312" w:hAnsi="楷体_GB2312" w:eastAsia="楷体_GB2312" w:cs="楷体_GB2312"/>
          <w:color w:val="000000"/>
          <w:sz w:val="32"/>
          <w:szCs w:val="32"/>
          <w:shd w:val="clear" w:color="auto" w:fill="FFFFFF"/>
          <w:lang w:val="zh-CN" w:eastAsia="zh-CN"/>
        </w:rPr>
      </w:pPr>
      <w:r>
        <w:rPr>
          <w:rFonts w:hint="eastAsia" w:ascii="楷体_GB2312" w:hAnsi="楷体_GB2312" w:eastAsia="楷体_GB2312" w:cs="楷体_GB2312"/>
          <w:color w:val="000000"/>
          <w:sz w:val="32"/>
          <w:szCs w:val="32"/>
          <w:shd w:val="clear" w:color="auto" w:fill="FFFFFF"/>
          <w:lang w:eastAsia="zh-CN"/>
        </w:rPr>
        <w:t>4.</w:t>
      </w:r>
      <w:r>
        <w:rPr>
          <w:rFonts w:ascii="楷体_GB2312" w:hAnsi="楷体_GB2312" w:eastAsia="楷体_GB2312" w:cs="楷体_GB2312"/>
          <w:color w:val="000000"/>
          <w:sz w:val="32"/>
          <w:szCs w:val="32"/>
          <w:shd w:val="clear" w:color="auto" w:fill="FFFFFF"/>
          <w:lang w:val="zh-CN" w:eastAsia="zh-CN"/>
        </w:rPr>
        <w:t>资产管理</w:t>
      </w:r>
      <w:r>
        <w:rPr>
          <w:rFonts w:hint="eastAsia" w:ascii="楷体_GB2312" w:hAnsi="楷体_GB2312" w:eastAsia="楷体_GB2312" w:cs="楷体_GB2312"/>
          <w:color w:val="000000"/>
          <w:sz w:val="32"/>
          <w:szCs w:val="32"/>
          <w:shd w:val="clear" w:color="auto" w:fill="FFFFFF"/>
          <w:lang w:val="zh-CN" w:eastAsia="zh-CN"/>
        </w:rPr>
        <w:t>。</w:t>
      </w:r>
    </w:p>
    <w:p>
      <w:pPr>
        <w:adjustRightInd w:val="0"/>
        <w:snapToGrid w:val="0"/>
        <w:spacing w:line="576" w:lineRule="exact"/>
        <w:ind w:firstLine="640" w:firstLineChars="200"/>
        <w:contextualSpacing/>
        <w:rPr>
          <w:rFonts w:ascii="仿宋_GB2312" w:hAnsi="仿宋" w:eastAsia="仿宋_GB2312"/>
          <w:sz w:val="32"/>
          <w:szCs w:val="32"/>
          <w:lang w:eastAsia="zh-CN"/>
        </w:rPr>
      </w:pPr>
      <w:r>
        <w:rPr>
          <w:rFonts w:hint="eastAsia" w:ascii="仿宋_GB2312" w:hAnsi="仿宋" w:eastAsia="仿宋_GB2312"/>
          <w:sz w:val="32"/>
          <w:szCs w:val="32"/>
          <w:lang w:eastAsia="zh-CN"/>
        </w:rPr>
        <w:t>从制度入手，建立健全资产管理制度，使固定资产无论是采购、使用，还是处置都有据可循。朝天区人民法院严格落实执行《行政单位国有资产管理暂行办法》(财政部令35号)规定，明确岗位责任，落实资产管理责任，合理配备并节约、有效使用资产，提高资产使用效率。确定专人负责资产的日常管理工作，包括资产的登记、统计、维护、保管等，做到每项资产都入库，并到人登记。对不能使用的资产依法依规清理，对能够继续使用的资产按照“分类处理、合理使用”的原则，采取切实有效的措施进行重新调配和整合，积极实现固定资产的优化配置，提高闲置资产利用率，最终物尽其用。</w:t>
      </w:r>
    </w:p>
    <w:p>
      <w:pPr>
        <w:adjustRightInd w:val="0"/>
        <w:snapToGrid w:val="0"/>
        <w:spacing w:line="576" w:lineRule="exact"/>
        <w:ind w:firstLine="640" w:firstLineChars="200"/>
        <w:contextualSpacing/>
        <w:rPr>
          <w:rFonts w:ascii="仿宋_GB2312" w:hAnsi="仿宋" w:eastAsia="仿宋_GB2312"/>
          <w:sz w:val="32"/>
          <w:szCs w:val="32"/>
          <w:lang w:eastAsia="zh-CN"/>
        </w:rPr>
      </w:pPr>
      <w:r>
        <w:rPr>
          <w:rFonts w:hint="eastAsia" w:ascii="仿宋_GB2312" w:hAnsi="仿宋" w:eastAsia="仿宋_GB2312"/>
          <w:sz w:val="32"/>
          <w:szCs w:val="32"/>
          <w:lang w:eastAsia="zh-CN"/>
        </w:rPr>
        <w:t>本项自评得分9分。</w:t>
      </w:r>
    </w:p>
    <w:p>
      <w:pPr>
        <w:adjustRightInd w:val="0"/>
        <w:snapToGrid w:val="0"/>
        <w:spacing w:line="576" w:lineRule="exact"/>
        <w:ind w:firstLine="640" w:firstLineChars="200"/>
        <w:contextualSpacing/>
        <w:rPr>
          <w:color w:val="000000"/>
          <w:sz w:val="32"/>
          <w:szCs w:val="32"/>
          <w:shd w:val="clear" w:color="auto" w:fill="FFFFFF"/>
          <w:lang w:val="zh-CN" w:eastAsia="zh-CN"/>
        </w:rPr>
      </w:pPr>
      <w:r>
        <w:rPr>
          <w:rFonts w:hint="eastAsia" w:ascii="楷体_GB2312" w:hAnsi="楷体_GB2312" w:eastAsia="楷体_GB2312" w:cs="楷体_GB2312"/>
          <w:color w:val="000000"/>
          <w:sz w:val="32"/>
          <w:szCs w:val="32"/>
          <w:shd w:val="clear" w:color="auto" w:fill="FFFFFF"/>
          <w:lang w:eastAsia="zh-CN"/>
        </w:rPr>
        <w:t>5.</w:t>
      </w:r>
      <w:r>
        <w:rPr>
          <w:rFonts w:ascii="楷体_GB2312" w:hAnsi="楷体_GB2312" w:eastAsia="楷体_GB2312" w:cs="楷体_GB2312"/>
          <w:color w:val="000000"/>
          <w:sz w:val="32"/>
          <w:szCs w:val="32"/>
          <w:shd w:val="clear" w:color="auto" w:fill="FFFFFF"/>
          <w:lang w:val="zh-CN" w:eastAsia="zh-CN"/>
        </w:rPr>
        <w:t>采购管理</w:t>
      </w:r>
      <w:r>
        <w:rPr>
          <w:rFonts w:hint="eastAsia" w:ascii="楷体_GB2312" w:hAnsi="楷体_GB2312" w:eastAsia="楷体_GB2312" w:cs="楷体_GB2312"/>
          <w:color w:val="000000"/>
          <w:sz w:val="32"/>
          <w:szCs w:val="32"/>
          <w:shd w:val="clear" w:color="auto" w:fill="FFFFFF"/>
          <w:lang w:val="zh-CN" w:eastAsia="zh-CN"/>
        </w:rPr>
        <w:t>。</w:t>
      </w:r>
    </w:p>
    <w:p>
      <w:pPr>
        <w:adjustRightInd w:val="0"/>
        <w:snapToGrid w:val="0"/>
        <w:spacing w:line="576" w:lineRule="exact"/>
        <w:ind w:firstLine="640" w:firstLineChars="200"/>
        <w:contextualSpacing/>
        <w:rPr>
          <w:rFonts w:ascii="仿宋_GB2312" w:hAnsi="仿宋" w:eastAsia="仿宋_GB2312"/>
          <w:sz w:val="32"/>
          <w:szCs w:val="32"/>
          <w:lang w:eastAsia="zh-CN"/>
        </w:rPr>
      </w:pPr>
      <w:r>
        <w:rPr>
          <w:rFonts w:hint="eastAsia" w:ascii="仿宋_GB2312" w:hAnsi="仿宋" w:eastAsia="仿宋_GB2312"/>
          <w:sz w:val="32"/>
          <w:szCs w:val="32"/>
          <w:lang w:eastAsia="zh-CN"/>
        </w:rPr>
        <w:t>2023年我院未实施采购项目。</w:t>
      </w:r>
    </w:p>
    <w:p>
      <w:pPr>
        <w:adjustRightInd w:val="0"/>
        <w:snapToGrid w:val="0"/>
        <w:spacing w:line="576" w:lineRule="exact"/>
        <w:ind w:firstLine="640" w:firstLineChars="200"/>
        <w:contextualSpacing/>
        <w:rPr>
          <w:rFonts w:ascii="仿宋_GB2312" w:hAnsi="仿宋" w:eastAsia="仿宋_GB2312"/>
          <w:sz w:val="32"/>
          <w:szCs w:val="32"/>
          <w:lang w:eastAsia="zh-CN"/>
        </w:rPr>
      </w:pPr>
      <w:r>
        <w:rPr>
          <w:rFonts w:hint="eastAsia" w:ascii="仿宋_GB2312" w:hAnsi="仿宋" w:eastAsia="仿宋_GB2312"/>
          <w:sz w:val="32"/>
          <w:szCs w:val="32"/>
          <w:lang w:eastAsia="zh-CN"/>
        </w:rPr>
        <w:t>本项自评得分6分。</w:t>
      </w:r>
    </w:p>
    <w:p>
      <w:pPr>
        <w:adjustRightInd w:val="0"/>
        <w:snapToGrid w:val="0"/>
        <w:spacing w:line="578" w:lineRule="exact"/>
        <w:ind w:firstLine="642" w:firstLineChars="200"/>
        <w:contextualSpacing/>
        <w:rPr>
          <w:color w:val="000000"/>
          <w:sz w:val="32"/>
          <w:szCs w:val="32"/>
          <w:shd w:val="clear" w:color="auto" w:fill="FFFFFF"/>
          <w:lang w:eastAsia="zh-CN"/>
        </w:rPr>
      </w:pPr>
      <w:r>
        <w:rPr>
          <w:rFonts w:eastAsia="楷体_GB2312"/>
          <w:b/>
          <w:bCs/>
          <w:color w:val="000000"/>
          <w:sz w:val="32"/>
          <w:szCs w:val="32"/>
          <w:shd w:val="clear" w:color="auto" w:fill="FFFFFF"/>
          <w:lang w:val="zh-CN" w:eastAsia="zh-CN"/>
        </w:rPr>
        <w:t>（二）部门预算项目绩效分析。</w:t>
      </w:r>
    </w:p>
    <w:p>
      <w:pPr>
        <w:adjustRightInd w:val="0"/>
        <w:snapToGrid w:val="0"/>
        <w:spacing w:line="578" w:lineRule="exact"/>
        <w:ind w:firstLine="640" w:firstLineChars="200"/>
        <w:contextualSpacing/>
        <w:rPr>
          <w:rFonts w:ascii="仿宋_GB2312" w:eastAsia="仿宋_GB2312"/>
          <w:color w:val="000000"/>
          <w:sz w:val="32"/>
          <w:szCs w:val="32"/>
          <w:shd w:val="clear" w:color="auto" w:fill="FFFFFF"/>
          <w:lang w:val="zh-CN" w:eastAsia="zh-CN"/>
        </w:rPr>
      </w:pPr>
      <w:r>
        <w:rPr>
          <w:rFonts w:hint="eastAsia" w:ascii="仿宋_GB2312" w:eastAsia="仿宋_GB2312"/>
          <w:color w:val="000000"/>
          <w:sz w:val="32"/>
          <w:szCs w:val="32"/>
          <w:shd w:val="clear" w:color="auto" w:fill="FFFFFF"/>
          <w:lang w:val="zh-CN" w:eastAsia="zh-CN"/>
        </w:rPr>
        <w:t>项目总数3个，涉及预算总金额124.55万元，1—1</w:t>
      </w:r>
      <w:r>
        <w:rPr>
          <w:rFonts w:hint="eastAsia" w:ascii="仿宋_GB2312" w:eastAsia="仿宋_GB2312"/>
          <w:color w:val="000000"/>
          <w:sz w:val="32"/>
          <w:szCs w:val="32"/>
          <w:shd w:val="clear" w:color="auto" w:fill="FFFFFF"/>
          <w:lang w:eastAsia="zh-CN"/>
        </w:rPr>
        <w:t>2</w:t>
      </w:r>
      <w:r>
        <w:rPr>
          <w:rFonts w:hint="eastAsia" w:ascii="仿宋_GB2312" w:eastAsia="仿宋_GB2312"/>
          <w:color w:val="000000"/>
          <w:sz w:val="32"/>
          <w:szCs w:val="32"/>
          <w:shd w:val="clear" w:color="auto" w:fill="FFFFFF"/>
          <w:lang w:val="zh-CN" w:eastAsia="zh-CN"/>
        </w:rPr>
        <w:t>月预算执行总体进度为98.52%，其中：预算结余率大于</w:t>
      </w:r>
      <w:r>
        <w:rPr>
          <w:rFonts w:hint="eastAsia" w:ascii="仿宋_GB2312" w:eastAsia="仿宋_GB2312"/>
          <w:color w:val="000000"/>
          <w:sz w:val="32"/>
          <w:szCs w:val="32"/>
          <w:shd w:val="clear" w:color="auto" w:fill="FFFFFF"/>
          <w:lang w:eastAsia="zh-CN"/>
        </w:rPr>
        <w:t>10%</w:t>
      </w:r>
      <w:r>
        <w:rPr>
          <w:rFonts w:hint="eastAsia" w:ascii="仿宋_GB2312" w:eastAsia="仿宋_GB2312"/>
          <w:color w:val="000000"/>
          <w:sz w:val="32"/>
          <w:szCs w:val="32"/>
          <w:shd w:val="clear" w:color="auto" w:fill="FFFFFF"/>
          <w:lang w:val="zh-CN" w:eastAsia="zh-CN"/>
        </w:rPr>
        <w:t>的项目共计0个。</w:t>
      </w:r>
    </w:p>
    <w:p>
      <w:pPr>
        <w:adjustRightInd w:val="0"/>
        <w:snapToGrid w:val="0"/>
        <w:spacing w:line="576" w:lineRule="exact"/>
        <w:ind w:firstLine="640" w:firstLineChars="200"/>
        <w:contextualSpacing/>
        <w:rPr>
          <w:rFonts w:ascii="楷体_GB2312" w:hAnsi="楷体_GB2312" w:eastAsia="楷体_GB2312" w:cs="楷体_GB2312"/>
          <w:color w:val="000000"/>
          <w:sz w:val="32"/>
          <w:szCs w:val="32"/>
          <w:shd w:val="clear" w:color="auto" w:fill="FFFFFF"/>
          <w:lang w:val="zh-CN" w:eastAsia="zh-CN"/>
        </w:rPr>
      </w:pPr>
      <w:r>
        <w:rPr>
          <w:rFonts w:hint="eastAsia" w:ascii="楷体_GB2312" w:hAnsi="楷体_GB2312" w:eastAsia="楷体_GB2312" w:cs="楷体_GB2312"/>
          <w:color w:val="000000"/>
          <w:sz w:val="32"/>
          <w:szCs w:val="32"/>
          <w:shd w:val="clear" w:color="auto" w:fill="FFFFFF"/>
          <w:lang w:eastAsia="zh-CN"/>
        </w:rPr>
        <w:t>1.</w:t>
      </w:r>
      <w:r>
        <w:rPr>
          <w:rFonts w:hint="eastAsia" w:ascii="楷体_GB2312" w:hAnsi="楷体_GB2312" w:eastAsia="楷体_GB2312" w:cs="楷体_GB2312"/>
          <w:color w:val="000000"/>
          <w:sz w:val="32"/>
          <w:szCs w:val="32"/>
          <w:shd w:val="clear" w:color="auto" w:fill="FFFFFF"/>
          <w:lang w:val="zh-CN" w:eastAsia="zh-CN"/>
        </w:rPr>
        <w:t>项目决策。</w:t>
      </w:r>
    </w:p>
    <w:p>
      <w:pPr>
        <w:adjustRightInd w:val="0"/>
        <w:snapToGrid w:val="0"/>
        <w:spacing w:line="576" w:lineRule="exact"/>
        <w:ind w:firstLine="640" w:firstLineChars="200"/>
        <w:contextualSpacing/>
        <w:rPr>
          <w:rFonts w:ascii="仿宋_GB2312" w:hAnsi="仿宋" w:eastAsia="仿宋_GB2312"/>
          <w:sz w:val="32"/>
          <w:szCs w:val="32"/>
          <w:lang w:eastAsia="zh-CN"/>
        </w:rPr>
      </w:pPr>
      <w:r>
        <w:rPr>
          <w:rFonts w:hint="eastAsia" w:ascii="仿宋_GB2312" w:eastAsia="仿宋_GB2312"/>
          <w:color w:val="000000"/>
          <w:sz w:val="32"/>
          <w:szCs w:val="32"/>
          <w:shd w:val="clear" w:color="auto" w:fill="FFFFFF"/>
          <w:lang w:val="zh-CN" w:eastAsia="zh-CN"/>
        </w:rPr>
        <w:t>围绕决策程序、目标设置、项目入库进行绩效分析。</w:t>
      </w:r>
      <w:r>
        <w:rPr>
          <w:rFonts w:hint="eastAsia" w:ascii="仿宋_GB2312" w:hAnsi="仿宋" w:eastAsia="仿宋_GB2312"/>
          <w:sz w:val="32"/>
          <w:szCs w:val="32"/>
          <w:lang w:eastAsia="zh-CN"/>
        </w:rPr>
        <w:t>我院高度重视，迅速安排部署，经研究成立预算绩效监控领导小组，明确评价对象、内容、方法、工作步骤。通过召开专题会议对2023年度预算绩效运行进行整体分析。根据项目立项情况，细化目标、合理规划，按“三重一大”制度由单位领导班子集体研究决定，严格程序管控，项目执行部门详细记录决策过程、各方面意见，在决策中，无任何个人单独决策或擅自改变集体决策意见情况，达到了项目预期的绩效目标。</w:t>
      </w:r>
    </w:p>
    <w:p>
      <w:pPr>
        <w:adjustRightInd w:val="0"/>
        <w:snapToGrid w:val="0"/>
        <w:spacing w:line="576" w:lineRule="exact"/>
        <w:ind w:firstLine="640" w:firstLineChars="200"/>
        <w:contextualSpacing/>
        <w:rPr>
          <w:rFonts w:ascii="仿宋_GB2312" w:hAnsi="仿宋" w:eastAsia="仿宋_GB2312"/>
          <w:sz w:val="32"/>
          <w:szCs w:val="32"/>
          <w:lang w:eastAsia="zh-CN"/>
        </w:rPr>
      </w:pPr>
      <w:r>
        <w:rPr>
          <w:rFonts w:hint="eastAsia" w:ascii="仿宋_GB2312" w:hAnsi="仿宋" w:eastAsia="仿宋_GB2312"/>
          <w:sz w:val="32"/>
          <w:szCs w:val="32"/>
          <w:lang w:eastAsia="zh-CN"/>
        </w:rPr>
        <w:t>本项自评得分12分。</w:t>
      </w:r>
    </w:p>
    <w:p>
      <w:pPr>
        <w:adjustRightInd w:val="0"/>
        <w:snapToGrid w:val="0"/>
        <w:spacing w:line="576" w:lineRule="exact"/>
        <w:ind w:firstLine="640" w:firstLineChars="200"/>
        <w:contextualSpacing/>
        <w:rPr>
          <w:rFonts w:ascii="楷体_GB2312" w:hAnsi="楷体_GB2312" w:eastAsia="楷体_GB2312" w:cs="楷体_GB2312"/>
          <w:color w:val="000000"/>
          <w:sz w:val="32"/>
          <w:szCs w:val="32"/>
          <w:shd w:val="clear" w:color="auto" w:fill="FFFFFF"/>
          <w:lang w:val="zh-CN" w:eastAsia="zh-CN"/>
        </w:rPr>
      </w:pPr>
      <w:r>
        <w:rPr>
          <w:rFonts w:hint="eastAsia" w:ascii="楷体_GB2312" w:hAnsi="楷体_GB2312" w:eastAsia="楷体_GB2312" w:cs="楷体_GB2312"/>
          <w:color w:val="000000"/>
          <w:sz w:val="32"/>
          <w:szCs w:val="32"/>
          <w:shd w:val="clear" w:color="auto" w:fill="FFFFFF"/>
          <w:lang w:eastAsia="zh-CN"/>
        </w:rPr>
        <w:t>2.项目执行</w:t>
      </w:r>
      <w:r>
        <w:rPr>
          <w:rFonts w:hint="eastAsia" w:ascii="楷体_GB2312" w:hAnsi="楷体_GB2312" w:eastAsia="楷体_GB2312" w:cs="楷体_GB2312"/>
          <w:color w:val="000000"/>
          <w:sz w:val="32"/>
          <w:szCs w:val="32"/>
          <w:shd w:val="clear" w:color="auto" w:fill="FFFFFF"/>
          <w:lang w:val="zh-CN" w:eastAsia="zh-CN"/>
        </w:rPr>
        <w:t>。</w:t>
      </w:r>
    </w:p>
    <w:p>
      <w:pPr>
        <w:adjustRightInd w:val="0"/>
        <w:snapToGrid w:val="0"/>
        <w:spacing w:line="576" w:lineRule="exact"/>
        <w:ind w:firstLine="640" w:firstLineChars="200"/>
        <w:contextualSpacing/>
        <w:rPr>
          <w:rFonts w:ascii="仿宋_GB2312" w:hAnsi="仿宋" w:eastAsia="仿宋_GB2312"/>
          <w:sz w:val="32"/>
          <w:szCs w:val="32"/>
          <w:lang w:eastAsia="zh-CN"/>
        </w:rPr>
      </w:pPr>
      <w:r>
        <w:rPr>
          <w:rFonts w:hint="eastAsia" w:ascii="仿宋_GB2312" w:eastAsia="仿宋_GB2312"/>
          <w:color w:val="000000"/>
          <w:sz w:val="32"/>
          <w:szCs w:val="32"/>
          <w:shd w:val="clear" w:color="auto" w:fill="FFFFFF"/>
          <w:lang w:val="zh-CN" w:eastAsia="zh-CN"/>
        </w:rPr>
        <w:t>围绕资金执行同向、项目调整、执行结果进行绩效分析。</w:t>
      </w:r>
      <w:r>
        <w:rPr>
          <w:rFonts w:hint="eastAsia" w:ascii="仿宋_GB2312" w:hAnsi="仿宋" w:eastAsia="仿宋_GB2312"/>
          <w:sz w:val="32"/>
          <w:szCs w:val="32"/>
          <w:lang w:eastAsia="zh-CN"/>
        </w:rPr>
        <w:t>项目实施过程中涉及政府采购等严格按照相关法法规以及单位内部相关管理制度执行，加强项目事前、事中、事后的检查监督。项目资金的使用严格按经济分类、进度执行预算，注重预算绩效时效管控，执行过程中未调整预算项目。</w:t>
      </w:r>
    </w:p>
    <w:p>
      <w:pPr>
        <w:adjustRightInd w:val="0"/>
        <w:snapToGrid w:val="0"/>
        <w:spacing w:line="576" w:lineRule="exact"/>
        <w:ind w:firstLine="640" w:firstLineChars="200"/>
        <w:contextualSpacing/>
        <w:rPr>
          <w:rFonts w:ascii="仿宋_GB2312" w:hAnsi="仿宋" w:eastAsia="仿宋_GB2312"/>
          <w:sz w:val="32"/>
          <w:szCs w:val="32"/>
          <w:lang w:eastAsia="zh-CN"/>
        </w:rPr>
      </w:pPr>
      <w:r>
        <w:rPr>
          <w:rFonts w:hint="eastAsia" w:ascii="仿宋_GB2312" w:hAnsi="仿宋" w:eastAsia="仿宋_GB2312"/>
          <w:sz w:val="32"/>
          <w:szCs w:val="32"/>
          <w:lang w:eastAsia="zh-CN"/>
        </w:rPr>
        <w:t>本项自评得分11分。</w:t>
      </w:r>
    </w:p>
    <w:p>
      <w:pPr>
        <w:adjustRightInd w:val="0"/>
        <w:snapToGrid w:val="0"/>
        <w:spacing w:line="576" w:lineRule="exact"/>
        <w:ind w:firstLine="640" w:firstLineChars="200"/>
        <w:contextualSpacing/>
        <w:rPr>
          <w:rFonts w:ascii="楷体_GB2312" w:hAnsi="楷体_GB2312" w:eastAsia="楷体_GB2312" w:cs="楷体_GB2312"/>
          <w:color w:val="000000"/>
          <w:sz w:val="32"/>
          <w:szCs w:val="32"/>
          <w:shd w:val="clear" w:color="auto" w:fill="FFFFFF"/>
          <w:lang w:val="zh-CN" w:eastAsia="zh-CN"/>
        </w:rPr>
      </w:pPr>
      <w:r>
        <w:rPr>
          <w:rFonts w:hint="eastAsia" w:ascii="楷体_GB2312" w:hAnsi="楷体_GB2312" w:eastAsia="楷体_GB2312" w:cs="楷体_GB2312"/>
          <w:color w:val="000000"/>
          <w:sz w:val="32"/>
          <w:szCs w:val="32"/>
          <w:shd w:val="clear" w:color="auto" w:fill="FFFFFF"/>
          <w:lang w:eastAsia="zh-CN"/>
        </w:rPr>
        <w:t>3.</w:t>
      </w:r>
      <w:r>
        <w:rPr>
          <w:rFonts w:hint="eastAsia" w:ascii="楷体_GB2312" w:hAnsi="楷体_GB2312" w:eastAsia="楷体_GB2312" w:cs="楷体_GB2312"/>
          <w:color w:val="000000"/>
          <w:sz w:val="32"/>
          <w:szCs w:val="32"/>
          <w:shd w:val="clear" w:color="auto" w:fill="FFFFFF"/>
          <w:lang w:val="zh-CN" w:eastAsia="zh-CN"/>
        </w:rPr>
        <w:t>目标实现。</w:t>
      </w:r>
    </w:p>
    <w:p>
      <w:pPr>
        <w:adjustRightInd w:val="0"/>
        <w:snapToGrid w:val="0"/>
        <w:spacing w:line="576" w:lineRule="exact"/>
        <w:ind w:firstLine="640" w:firstLineChars="200"/>
        <w:contextualSpacing/>
        <w:rPr>
          <w:rFonts w:ascii="仿宋_GB2312" w:hAnsi="仿宋" w:eastAsia="仿宋_GB2312" w:cs="仿宋_GB2312"/>
          <w:sz w:val="32"/>
          <w:szCs w:val="32"/>
          <w:lang w:eastAsia="zh-CN"/>
        </w:rPr>
      </w:pPr>
      <w:r>
        <w:rPr>
          <w:rFonts w:hint="eastAsia" w:ascii="仿宋_GB2312" w:eastAsia="仿宋_GB2312"/>
          <w:color w:val="000000"/>
          <w:sz w:val="32"/>
          <w:szCs w:val="32"/>
          <w:shd w:val="clear" w:color="auto" w:fill="FFFFFF"/>
          <w:lang w:val="zh-CN" w:eastAsia="zh-CN"/>
        </w:rPr>
        <w:t>围绕目标完成、目标偏离、实现效果进行绩效分析。</w:t>
      </w:r>
      <w:r>
        <w:rPr>
          <w:rFonts w:hint="eastAsia" w:ascii="仿宋_GB2312" w:hAnsi="仿宋" w:eastAsia="仿宋_GB2312" w:cs="仿宋_GB2312"/>
          <w:sz w:val="32"/>
          <w:szCs w:val="32"/>
          <w:lang w:eastAsia="zh-CN"/>
        </w:rPr>
        <w:t>各项目按照计划实施进行，绩效目标全部完成，均达到预期效果，无偏离情况，符合相关要求，在项目管理上、资金管理上无任何违规违纪情况。</w:t>
      </w:r>
    </w:p>
    <w:p>
      <w:pPr>
        <w:adjustRightInd w:val="0"/>
        <w:snapToGrid w:val="0"/>
        <w:spacing w:line="576" w:lineRule="exact"/>
        <w:ind w:firstLine="640" w:firstLineChars="200"/>
        <w:contextualSpacing/>
        <w:rPr>
          <w:rFonts w:ascii="仿宋_GB2312" w:hAnsi="仿宋" w:eastAsia="仿宋_GB2312" w:cs="仿宋_GB2312"/>
          <w:sz w:val="32"/>
          <w:szCs w:val="32"/>
          <w:lang w:eastAsia="zh-CN"/>
        </w:rPr>
      </w:pPr>
      <w:r>
        <w:rPr>
          <w:rFonts w:hint="eastAsia" w:ascii="仿宋_GB2312" w:hAnsi="仿宋" w:eastAsia="仿宋_GB2312" w:cs="仿宋_GB2312"/>
          <w:sz w:val="32"/>
          <w:szCs w:val="32"/>
          <w:lang w:eastAsia="zh-CN"/>
        </w:rPr>
        <w:t>本项自评得分10分。</w:t>
      </w:r>
    </w:p>
    <w:p>
      <w:pPr>
        <w:adjustRightInd w:val="0"/>
        <w:snapToGrid w:val="0"/>
        <w:spacing w:line="576" w:lineRule="exact"/>
        <w:ind w:firstLine="803" w:firstLineChars="250"/>
        <w:contextualSpacing/>
        <w:rPr>
          <w:rFonts w:eastAsia="楷体_GB2312"/>
          <w:b/>
          <w:bCs/>
          <w:color w:val="000000"/>
          <w:sz w:val="32"/>
          <w:szCs w:val="32"/>
          <w:shd w:val="clear" w:color="auto" w:fill="FFFFFF"/>
          <w:lang w:val="zh-CN" w:eastAsia="zh-CN"/>
        </w:rPr>
      </w:pPr>
      <w:r>
        <w:rPr>
          <w:rFonts w:eastAsia="楷体_GB2312"/>
          <w:b/>
          <w:bCs/>
          <w:color w:val="000000"/>
          <w:sz w:val="32"/>
          <w:szCs w:val="32"/>
          <w:shd w:val="clear" w:color="auto" w:fill="FFFFFF"/>
          <w:lang w:val="zh-CN" w:eastAsia="zh-CN"/>
        </w:rPr>
        <w:t>（</w:t>
      </w:r>
      <w:r>
        <w:rPr>
          <w:rFonts w:hint="eastAsia" w:eastAsia="楷体_GB2312"/>
          <w:b/>
          <w:bCs/>
          <w:color w:val="000000"/>
          <w:sz w:val="32"/>
          <w:szCs w:val="32"/>
          <w:shd w:val="clear" w:color="auto" w:fill="FFFFFF"/>
          <w:lang w:val="zh-CN" w:eastAsia="zh-CN"/>
        </w:rPr>
        <w:t>三</w:t>
      </w:r>
      <w:r>
        <w:rPr>
          <w:rFonts w:eastAsia="楷体_GB2312"/>
          <w:b/>
          <w:bCs/>
          <w:color w:val="000000"/>
          <w:sz w:val="32"/>
          <w:szCs w:val="32"/>
          <w:shd w:val="clear" w:color="auto" w:fill="FFFFFF"/>
          <w:lang w:val="zh-CN" w:eastAsia="zh-CN"/>
        </w:rPr>
        <w:t>）重点领域绩效分析。</w:t>
      </w:r>
    </w:p>
    <w:p>
      <w:pPr>
        <w:adjustRightInd w:val="0"/>
        <w:snapToGrid w:val="0"/>
        <w:spacing w:line="576" w:lineRule="exact"/>
        <w:ind w:firstLine="800" w:firstLineChars="250"/>
        <w:contextualSpacing/>
        <w:rPr>
          <w:rFonts w:ascii="仿宋_GB2312" w:eastAsia="仿宋_GB2312"/>
          <w:sz w:val="32"/>
          <w:szCs w:val="32"/>
          <w:lang w:eastAsia="zh-CN"/>
        </w:rPr>
      </w:pPr>
      <w:r>
        <w:rPr>
          <w:rFonts w:hint="eastAsia" w:ascii="仿宋_GB2312" w:eastAsia="仿宋_GB2312"/>
          <w:sz w:val="32"/>
          <w:szCs w:val="32"/>
          <w:lang w:eastAsia="zh-CN"/>
        </w:rPr>
        <w:t>2023年我院不涉及该项。</w:t>
      </w:r>
    </w:p>
    <w:p>
      <w:pPr>
        <w:adjustRightInd w:val="0"/>
        <w:snapToGrid w:val="0"/>
        <w:spacing w:line="576" w:lineRule="exact"/>
        <w:ind w:firstLine="642" w:firstLineChars="200"/>
        <w:contextualSpacing/>
        <w:rPr>
          <w:color w:val="000000"/>
          <w:sz w:val="32"/>
          <w:szCs w:val="32"/>
          <w:shd w:val="clear" w:color="auto" w:fill="FFFFFF"/>
          <w:lang w:val="zh-CN" w:eastAsia="zh-CN"/>
        </w:rPr>
      </w:pPr>
      <w:r>
        <w:rPr>
          <w:rFonts w:eastAsia="楷体_GB2312"/>
          <w:b/>
          <w:bCs/>
          <w:sz w:val="32"/>
          <w:szCs w:val="32"/>
          <w:lang w:val="zh-CN" w:eastAsia="zh-CN"/>
        </w:rPr>
        <w:t>（四）绩效结果应用情况</w:t>
      </w:r>
      <w:r>
        <w:rPr>
          <w:rFonts w:hint="eastAsia" w:eastAsia="楷体_GB2312"/>
          <w:b/>
          <w:bCs/>
          <w:sz w:val="32"/>
          <w:szCs w:val="32"/>
          <w:lang w:val="zh-CN" w:eastAsia="zh-CN"/>
        </w:rPr>
        <w:t>。</w:t>
      </w:r>
    </w:p>
    <w:p>
      <w:pPr>
        <w:adjustRightInd w:val="0"/>
        <w:snapToGrid w:val="0"/>
        <w:spacing w:line="576" w:lineRule="exact"/>
        <w:ind w:firstLine="640" w:firstLineChars="200"/>
        <w:contextualSpacing/>
        <w:rPr>
          <w:rFonts w:ascii="仿宋_GB2312" w:eastAsia="仿宋_GB2312"/>
          <w:sz w:val="32"/>
          <w:szCs w:val="32"/>
          <w:lang w:eastAsia="zh-CN"/>
        </w:rPr>
      </w:pPr>
      <w:r>
        <w:rPr>
          <w:rFonts w:hint="eastAsia" w:ascii="仿宋_GB2312" w:eastAsia="仿宋_GB2312"/>
          <w:sz w:val="32"/>
          <w:szCs w:val="32"/>
          <w:lang w:eastAsia="zh-CN"/>
        </w:rPr>
        <w:t>本部门自评按要求完成绩效目标公开和自评公开，无整改情况。绩效整体评价结果良好，评价结果整改和应用结果反馈科学。</w:t>
      </w:r>
    </w:p>
    <w:p>
      <w:pPr>
        <w:adjustRightInd w:val="0"/>
        <w:snapToGrid w:val="0"/>
        <w:spacing w:line="578" w:lineRule="exact"/>
        <w:ind w:firstLine="640" w:firstLineChars="200"/>
        <w:contextualSpacing/>
        <w:rPr>
          <w:rFonts w:eastAsia="黑体"/>
          <w:color w:val="000000"/>
          <w:sz w:val="32"/>
          <w:szCs w:val="32"/>
          <w:shd w:val="clear" w:color="auto" w:fill="FFFFFF"/>
          <w:lang w:eastAsia="zh-CN"/>
        </w:rPr>
      </w:pPr>
      <w:r>
        <w:rPr>
          <w:rFonts w:eastAsia="黑体"/>
          <w:color w:val="000000"/>
          <w:sz w:val="32"/>
          <w:szCs w:val="32"/>
          <w:shd w:val="clear" w:color="auto" w:fill="FFFFFF"/>
          <w:lang w:eastAsia="zh-CN"/>
        </w:rPr>
        <w:t>四、评价结论及建议</w:t>
      </w:r>
    </w:p>
    <w:p>
      <w:pPr>
        <w:spacing w:line="576" w:lineRule="exact"/>
        <w:ind w:firstLine="706" w:firstLineChars="220"/>
        <w:rPr>
          <w:rFonts w:ascii="仿宋_GB2312" w:eastAsia="仿宋_GB2312"/>
          <w:b/>
          <w:bCs/>
          <w:color w:val="000000"/>
          <w:sz w:val="32"/>
          <w:szCs w:val="32"/>
          <w:shd w:val="clear" w:color="auto" w:fill="FFFFFF"/>
          <w:lang w:eastAsia="zh-CN"/>
        </w:rPr>
      </w:pPr>
      <w:r>
        <w:rPr>
          <w:rFonts w:eastAsia="楷体_GB2312"/>
          <w:b/>
          <w:bCs/>
          <w:color w:val="000000"/>
          <w:sz w:val="32"/>
          <w:szCs w:val="32"/>
          <w:shd w:val="clear" w:color="auto" w:fill="FFFFFF"/>
          <w:lang w:val="zh-CN" w:eastAsia="zh-CN"/>
        </w:rPr>
        <w:t>（一）评价结论。</w:t>
      </w:r>
      <w:r>
        <w:rPr>
          <w:rFonts w:hint="eastAsia" w:ascii="仿宋_GB2312" w:eastAsia="仿宋_GB2312"/>
          <w:sz w:val="32"/>
          <w:szCs w:val="32"/>
          <w:shd w:val="clear" w:color="auto" w:fill="FFFFFF"/>
          <w:lang w:eastAsia="zh-CN"/>
        </w:rPr>
        <w:t>按照绩效评价相关文件要求，我院积极开展预算绩效评价工作，对部门整体支出和相关项目展开了绩效自评，逐条研究对照，实事求是打分。</w:t>
      </w:r>
      <w:r>
        <w:rPr>
          <w:rFonts w:hint="eastAsia" w:ascii="仿宋_GB2312" w:eastAsia="仿宋_GB2312"/>
          <w:sz w:val="32"/>
          <w:szCs w:val="32"/>
          <w:shd w:val="clear" w:color="auto" w:fill="FFFFFF"/>
          <w:lang w:val="zh-CN" w:eastAsia="zh-CN"/>
        </w:rPr>
        <w:t>通过本次整体支出绩效自</w:t>
      </w:r>
      <w:r>
        <w:rPr>
          <w:rFonts w:hint="eastAsia" w:ascii="仿宋_GB2312" w:eastAsia="仿宋_GB2312"/>
          <w:color w:val="000000"/>
          <w:sz w:val="32"/>
          <w:szCs w:val="32"/>
          <w:shd w:val="clear" w:color="auto" w:fill="FFFFFF"/>
          <w:lang w:val="zh-CN" w:eastAsia="zh-CN"/>
        </w:rPr>
        <w:t>评，评价得分</w:t>
      </w:r>
      <w:r>
        <w:rPr>
          <w:rFonts w:hint="eastAsia" w:ascii="仿宋_GB2312" w:eastAsia="仿宋_GB2312"/>
          <w:color w:val="000000"/>
          <w:sz w:val="32"/>
          <w:szCs w:val="32"/>
          <w:lang w:val="zh-CN" w:eastAsia="zh-CN"/>
        </w:rPr>
        <w:t>为97分</w:t>
      </w:r>
      <w:r>
        <w:rPr>
          <w:rFonts w:hint="eastAsia" w:ascii="仿宋_GB2312" w:eastAsia="仿宋_GB2312"/>
          <w:color w:val="000000"/>
          <w:sz w:val="32"/>
          <w:szCs w:val="32"/>
          <w:lang w:eastAsia="zh-CN"/>
        </w:rPr>
        <w:t>。</w:t>
      </w:r>
    </w:p>
    <w:p>
      <w:pPr>
        <w:spacing w:line="576" w:lineRule="exact"/>
        <w:ind w:firstLine="642" w:firstLineChars="200"/>
        <w:rPr>
          <w:rFonts w:ascii="仿宋" w:hAnsi="仿宋" w:eastAsia="仿宋" w:cs="楷体_GB2312"/>
          <w:color w:val="000000"/>
          <w:sz w:val="32"/>
          <w:szCs w:val="32"/>
          <w:shd w:val="clear" w:color="auto" w:fill="FFFFFF"/>
          <w:lang w:val="zh-CN" w:eastAsia="zh-CN"/>
        </w:rPr>
      </w:pPr>
      <w:r>
        <w:rPr>
          <w:rFonts w:eastAsia="楷体_GB2312"/>
          <w:b/>
          <w:bCs/>
          <w:color w:val="000000"/>
          <w:sz w:val="32"/>
          <w:szCs w:val="32"/>
          <w:shd w:val="clear" w:color="auto" w:fill="FFFFFF"/>
          <w:lang w:val="zh-CN" w:eastAsia="zh-CN"/>
        </w:rPr>
        <w:t>（二）存在问题。</w:t>
      </w:r>
      <w:r>
        <w:rPr>
          <w:rFonts w:ascii="仿宋" w:hAnsi="仿宋" w:eastAsia="仿宋"/>
          <w:sz w:val="32"/>
          <w:szCs w:val="32"/>
          <w:shd w:val="clear" w:color="auto" w:fill="FFFFFF"/>
          <w:lang w:val="zh-CN" w:eastAsia="zh-CN"/>
        </w:rPr>
        <w:t>算编制不够精准</w:t>
      </w:r>
      <w:r>
        <w:rPr>
          <w:rFonts w:hint="eastAsia" w:ascii="仿宋" w:hAnsi="仿宋" w:eastAsia="仿宋"/>
          <w:sz w:val="32"/>
          <w:szCs w:val="32"/>
          <w:shd w:val="clear" w:color="auto" w:fill="FFFFFF"/>
          <w:lang w:val="zh-CN" w:eastAsia="zh-CN"/>
        </w:rPr>
        <w:t>、绩效目标设置粗放</w:t>
      </w:r>
      <w:r>
        <w:rPr>
          <w:rFonts w:ascii="仿宋" w:hAnsi="仿宋" w:eastAsia="仿宋"/>
          <w:sz w:val="32"/>
          <w:szCs w:val="32"/>
          <w:shd w:val="clear" w:color="auto" w:fill="FFFFFF"/>
          <w:lang w:val="zh-CN" w:eastAsia="zh-CN"/>
        </w:rPr>
        <w:t>。我单位在部门预算编制时，缺乏科学性和前瞻性研判，</w:t>
      </w:r>
      <w:r>
        <w:rPr>
          <w:rFonts w:hint="eastAsia" w:ascii="仿宋" w:hAnsi="仿宋" w:eastAsia="仿宋"/>
          <w:sz w:val="32"/>
          <w:szCs w:val="32"/>
          <w:shd w:val="clear" w:color="auto" w:fill="FFFFFF"/>
          <w:lang w:val="zh-CN" w:eastAsia="zh-CN"/>
        </w:rPr>
        <w:t>绩效目标设置不切合工作实际，导致指标运用价值不高。</w:t>
      </w:r>
    </w:p>
    <w:p>
      <w:pPr>
        <w:pStyle w:val="52"/>
        <w:spacing w:line="576" w:lineRule="exact"/>
        <w:ind w:firstLine="706" w:firstLineChars="220"/>
        <w:rPr>
          <w:rFonts w:ascii="Times New Roman" w:hAnsi="Times New Roman" w:eastAsia="仿宋_GB2312"/>
          <w:sz w:val="32"/>
          <w:szCs w:val="32"/>
          <w:lang w:eastAsia="zh-CN"/>
        </w:rPr>
      </w:pPr>
      <w:r>
        <w:rPr>
          <w:rFonts w:ascii="Times New Roman" w:hAnsi="Times New Roman" w:eastAsia="楷体_GB2312"/>
          <w:b/>
          <w:bCs/>
          <w:color w:val="000000"/>
          <w:sz w:val="32"/>
          <w:szCs w:val="32"/>
          <w:shd w:val="clear" w:color="auto" w:fill="FFFFFF"/>
          <w:lang w:val="zh-CN" w:eastAsia="zh-CN"/>
        </w:rPr>
        <w:t>（三）改进建议。</w:t>
      </w:r>
      <w:r>
        <w:rPr>
          <w:rFonts w:ascii="Times New Roman" w:hAnsi="Times New Roman" w:eastAsia="仿宋_GB2312"/>
          <w:sz w:val="32"/>
          <w:szCs w:val="32"/>
          <w:lang w:eastAsia="zh-CN"/>
        </w:rPr>
        <w:t>强</w:t>
      </w:r>
      <w:r>
        <w:rPr>
          <w:rFonts w:hint="eastAsia" w:ascii="Times New Roman" w:hAnsi="Times New Roman" w:eastAsia="仿宋_GB2312"/>
          <w:sz w:val="32"/>
          <w:szCs w:val="32"/>
          <w:lang w:eastAsia="zh-CN"/>
        </w:rPr>
        <w:t>化</w:t>
      </w:r>
      <w:r>
        <w:rPr>
          <w:rFonts w:ascii="Times New Roman" w:hAnsi="Times New Roman" w:eastAsia="仿宋_GB2312"/>
          <w:sz w:val="32"/>
          <w:szCs w:val="32"/>
          <w:lang w:eastAsia="zh-CN"/>
        </w:rPr>
        <w:t>部门预算管理意识，严格遵守预算编制的相关制度和要求，认真做好编制前的准备工作，根据</w:t>
      </w:r>
      <w:r>
        <w:rPr>
          <w:rFonts w:hint="eastAsia" w:ascii="Times New Roman" w:hAnsi="Times New Roman" w:eastAsia="仿宋_GB2312"/>
          <w:sz w:val="32"/>
          <w:szCs w:val="32"/>
          <w:lang w:eastAsia="zh-CN"/>
        </w:rPr>
        <w:t>法院职能职责和本院实际</w:t>
      </w:r>
      <w:r>
        <w:rPr>
          <w:rFonts w:ascii="Times New Roman" w:hAnsi="Times New Roman" w:eastAsia="仿宋_GB2312"/>
          <w:sz w:val="32"/>
          <w:szCs w:val="32"/>
          <w:lang w:eastAsia="zh-CN"/>
        </w:rPr>
        <w:t>，本着“厉行节约、保障运转”的原则编制单位预算</w:t>
      </w:r>
      <w:r>
        <w:rPr>
          <w:rFonts w:hint="eastAsia" w:ascii="Times New Roman" w:hAnsi="Times New Roman" w:eastAsia="仿宋_GB2312"/>
          <w:sz w:val="32"/>
          <w:szCs w:val="32"/>
          <w:lang w:eastAsia="zh-CN"/>
        </w:rPr>
        <w:t>、设置绩效目标</w:t>
      </w:r>
      <w:r>
        <w:rPr>
          <w:rFonts w:ascii="Times New Roman" w:hAnsi="Times New Roman" w:eastAsia="仿宋_GB2312"/>
          <w:sz w:val="32"/>
          <w:szCs w:val="32"/>
          <w:lang w:eastAsia="zh-CN"/>
        </w:rPr>
        <w:t>，提高预算编制的科学性、有限性、严谨性和可控性。加强财务管理，</w:t>
      </w:r>
      <w:r>
        <w:rPr>
          <w:rFonts w:hint="eastAsia" w:ascii="Times New Roman" w:hAnsi="Times New Roman" w:eastAsia="仿宋_GB2312"/>
          <w:sz w:val="32"/>
          <w:szCs w:val="32"/>
          <w:lang w:eastAsia="zh-CN"/>
        </w:rPr>
        <w:t>健全财务制度</w:t>
      </w:r>
      <w:r>
        <w:rPr>
          <w:rFonts w:ascii="Times New Roman" w:hAnsi="Times New Roman" w:eastAsia="仿宋_GB2312"/>
          <w:sz w:val="32"/>
          <w:szCs w:val="32"/>
          <w:lang w:eastAsia="zh-CN"/>
        </w:rPr>
        <w:t>。健全财务管理制度体系，</w:t>
      </w:r>
      <w:r>
        <w:rPr>
          <w:rFonts w:hint="eastAsia" w:ascii="Times New Roman" w:hAnsi="Times New Roman" w:eastAsia="仿宋_GB2312"/>
          <w:sz w:val="32"/>
          <w:szCs w:val="32"/>
          <w:lang w:eastAsia="zh-CN"/>
        </w:rPr>
        <w:t>积极推动制度执行，一切经济活动都要在制度的框架中实施</w:t>
      </w:r>
      <w:r>
        <w:rPr>
          <w:rFonts w:ascii="Times New Roman" w:hAnsi="Times New Roman" w:eastAsia="仿宋_GB2312"/>
          <w:sz w:val="32"/>
          <w:szCs w:val="32"/>
          <w:lang w:eastAsia="zh-CN"/>
        </w:rPr>
        <w:t>。</w:t>
      </w:r>
    </w:p>
    <w:p>
      <w:pPr>
        <w:pStyle w:val="52"/>
        <w:spacing w:line="576" w:lineRule="exact"/>
        <w:ind w:firstLine="704" w:firstLineChars="220"/>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特此报告</w:t>
      </w:r>
    </w:p>
    <w:p>
      <w:pPr>
        <w:rPr>
          <w:sz w:val="32"/>
          <w:szCs w:val="32"/>
          <w:lang w:eastAsia="zh-CN"/>
        </w:rPr>
      </w:pPr>
    </w:p>
    <w:p>
      <w:pPr>
        <w:spacing w:line="576" w:lineRule="exact"/>
        <w:ind w:firstLine="640" w:firstLineChars="200"/>
        <w:rPr>
          <w:rFonts w:ascii="仿宋" w:hAnsi="仿宋" w:eastAsia="仿宋"/>
          <w:color w:val="000000"/>
          <w:sz w:val="32"/>
          <w:szCs w:val="32"/>
          <w:shd w:val="clear" w:color="auto" w:fill="FFFFFF"/>
          <w:lang w:eastAsia="zh-CN"/>
        </w:rPr>
      </w:pPr>
      <w:r>
        <w:rPr>
          <w:rFonts w:hint="eastAsia" w:ascii="仿宋" w:hAnsi="仿宋" w:eastAsia="仿宋"/>
          <w:color w:val="000000"/>
          <w:sz w:val="32"/>
          <w:szCs w:val="32"/>
          <w:shd w:val="clear" w:color="auto" w:fill="FFFFFF"/>
          <w:lang w:eastAsia="zh-CN"/>
        </w:rPr>
        <w:t>附表：</w:t>
      </w:r>
      <w:r>
        <w:rPr>
          <w:rFonts w:ascii="仿宋" w:hAnsi="仿宋" w:eastAsia="仿宋"/>
          <w:color w:val="000000"/>
          <w:sz w:val="32"/>
          <w:szCs w:val="32"/>
          <w:shd w:val="clear" w:color="auto" w:fill="FFFFFF"/>
          <w:lang w:eastAsia="zh-CN"/>
        </w:rPr>
        <w:t xml:space="preserve"> </w:t>
      </w:r>
      <w:r>
        <w:rPr>
          <w:rFonts w:hint="eastAsia" w:ascii="仿宋" w:hAnsi="仿宋" w:eastAsia="仿宋"/>
          <w:color w:val="000000"/>
          <w:sz w:val="32"/>
          <w:szCs w:val="32"/>
          <w:shd w:val="clear" w:color="auto" w:fill="FFFFFF"/>
          <w:lang w:eastAsia="zh-CN"/>
        </w:rPr>
        <w:t>部门预算项目支出绩效自评表</w:t>
      </w:r>
    </w:p>
    <w:p>
      <w:pPr>
        <w:spacing w:line="576" w:lineRule="exact"/>
        <w:ind w:firstLine="1600" w:firstLineChars="500"/>
        <w:rPr>
          <w:rFonts w:ascii="仿宋" w:hAnsi="仿宋" w:eastAsia="仿宋"/>
          <w:color w:val="000000"/>
          <w:sz w:val="32"/>
          <w:szCs w:val="32"/>
          <w:shd w:val="clear" w:color="auto" w:fill="FFFFFF"/>
          <w:lang w:eastAsia="zh-CN"/>
        </w:rPr>
      </w:pPr>
    </w:p>
    <w:p>
      <w:pPr>
        <w:spacing w:line="576" w:lineRule="exact"/>
        <w:ind w:firstLine="1600" w:firstLineChars="500"/>
        <w:rPr>
          <w:rFonts w:ascii="仿宋" w:hAnsi="仿宋" w:eastAsia="仿宋"/>
          <w:color w:val="000000"/>
          <w:sz w:val="32"/>
          <w:szCs w:val="32"/>
          <w:shd w:val="clear" w:color="auto" w:fill="FFFFFF"/>
          <w:lang w:eastAsia="zh-CN"/>
        </w:rPr>
      </w:pPr>
    </w:p>
    <w:p>
      <w:pPr>
        <w:spacing w:line="576" w:lineRule="exact"/>
        <w:ind w:firstLine="5120" w:firstLineChars="1600"/>
        <w:rPr>
          <w:rFonts w:ascii="仿宋" w:hAnsi="仿宋" w:eastAsia="仿宋"/>
          <w:color w:val="000000"/>
          <w:sz w:val="32"/>
          <w:szCs w:val="32"/>
          <w:shd w:val="clear" w:color="auto" w:fill="FFFFFF"/>
          <w:lang w:eastAsia="zh-CN"/>
        </w:rPr>
      </w:pPr>
      <w:r>
        <w:rPr>
          <w:rFonts w:hint="eastAsia" w:ascii="仿宋" w:hAnsi="仿宋" w:eastAsia="仿宋"/>
          <w:color w:val="000000"/>
          <w:sz w:val="32"/>
          <w:szCs w:val="32"/>
          <w:shd w:val="clear" w:color="auto" w:fill="FFFFFF"/>
          <w:lang w:eastAsia="zh-CN"/>
        </w:rPr>
        <w:t>广元市朝天区人民法院</w:t>
      </w:r>
    </w:p>
    <w:p>
      <w:pPr>
        <w:spacing w:line="576" w:lineRule="exact"/>
        <w:ind w:firstLine="5760" w:firstLineChars="1800"/>
        <w:rPr>
          <w:rFonts w:ascii="仿宋" w:hAnsi="仿宋" w:eastAsia="仿宋"/>
          <w:color w:val="000000"/>
          <w:sz w:val="32"/>
          <w:szCs w:val="32"/>
          <w:shd w:val="clear" w:color="auto" w:fill="FFFFFF"/>
          <w:lang w:eastAsia="zh-CN"/>
        </w:rPr>
        <w:sectPr>
          <w:headerReference r:id="rId5" w:type="default"/>
          <w:footerReference r:id="rId6" w:type="default"/>
          <w:pgSz w:w="11906" w:h="16838"/>
          <w:pgMar w:top="2098" w:right="1474" w:bottom="1984" w:left="1587" w:header="851" w:footer="1559" w:gutter="0"/>
          <w:cols w:space="720" w:num="1"/>
          <w:docGrid w:type="lines" w:linePitch="435" w:charSpace="0"/>
        </w:sectPr>
      </w:pPr>
      <w:r>
        <w:rPr>
          <w:rFonts w:hint="eastAsia" w:ascii="仿宋" w:hAnsi="仿宋" w:eastAsia="仿宋"/>
          <w:color w:val="000000"/>
          <w:sz w:val="32"/>
          <w:szCs w:val="32"/>
          <w:shd w:val="clear" w:color="auto" w:fill="FFFFFF"/>
          <w:lang w:eastAsia="zh-CN"/>
        </w:rPr>
        <w:t>2024年9月12日</w:t>
      </w:r>
      <w:r>
        <w:rPr>
          <w:rFonts w:ascii="仿宋" w:hAnsi="仿宋" w:eastAsia="仿宋"/>
          <w:color w:val="000000"/>
          <w:sz w:val="32"/>
          <w:szCs w:val="32"/>
          <w:shd w:val="clear" w:color="auto" w:fill="FFFFFF"/>
          <w:lang w:eastAsia="zh-CN"/>
        </w:rPr>
        <w:t xml:space="preserve"> </w:t>
      </w:r>
    </w:p>
    <w:p>
      <w:pPr>
        <w:pStyle w:val="13"/>
        <w:rPr>
          <w:rFonts w:eastAsia="黑体"/>
          <w:sz w:val="24"/>
          <w:lang w:eastAsia="zh-CN"/>
        </w:rPr>
      </w:pPr>
    </w:p>
    <w:p>
      <w:pPr>
        <w:pStyle w:val="26"/>
        <w:ind w:leftChars="0" w:firstLine="0" w:firstLineChars="0"/>
        <w:rPr>
          <w:rFonts w:ascii="黑体" w:hAnsi="黑体" w:eastAsia="黑体" w:cs="黑体"/>
          <w:szCs w:val="24"/>
        </w:rPr>
      </w:pPr>
      <w:r>
        <w:rPr>
          <w:rFonts w:hint="eastAsia" w:ascii="黑体" w:hAnsi="黑体" w:eastAsia="黑体" w:cs="黑体"/>
          <w:szCs w:val="24"/>
        </w:rPr>
        <w:t>附件</w:t>
      </w:r>
    </w:p>
    <w:tbl>
      <w:tblPr>
        <w:tblStyle w:val="27"/>
        <w:tblW w:w="14160" w:type="dxa"/>
        <w:tblInd w:w="91" w:type="dxa"/>
        <w:tblLayout w:type="fixed"/>
        <w:tblCellMar>
          <w:top w:w="0" w:type="dxa"/>
          <w:left w:w="108" w:type="dxa"/>
          <w:bottom w:w="0" w:type="dxa"/>
          <w:right w:w="108" w:type="dxa"/>
        </w:tblCellMar>
      </w:tblPr>
      <w:tblGrid>
        <w:gridCol w:w="700"/>
        <w:gridCol w:w="2060"/>
        <w:gridCol w:w="1780"/>
        <w:gridCol w:w="2260"/>
        <w:gridCol w:w="520"/>
        <w:gridCol w:w="1680"/>
        <w:gridCol w:w="520"/>
        <w:gridCol w:w="1100"/>
        <w:gridCol w:w="520"/>
        <w:gridCol w:w="460"/>
        <w:gridCol w:w="2560"/>
      </w:tblGrid>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黑体" w:hAnsi="黑体" w:eastAsia="黑体" w:cs="宋体"/>
                <w:b/>
                <w:bCs/>
                <w:color w:val="000000"/>
                <w:sz w:val="30"/>
                <w:szCs w:val="30"/>
                <w:lang w:eastAsia="zh-CN"/>
              </w:rPr>
            </w:pPr>
            <w:r>
              <w:rPr>
                <w:rFonts w:hint="eastAsia" w:ascii="黑体" w:hAnsi="黑体" w:eastAsia="黑体" w:cs="宋体"/>
                <w:b/>
                <w:bCs/>
                <w:color w:val="000000"/>
                <w:sz w:val="30"/>
                <w:szCs w:val="30"/>
                <w:lang w:eastAsia="zh-CN"/>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51080022T000005057897-公务员加班补助</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广元市朝天区人民法院部门</w:t>
            </w:r>
          </w:p>
        </w:tc>
        <w:tc>
          <w:tcPr>
            <w:tcW w:w="1100" w:type="dxa"/>
            <w:tcBorders>
              <w:top w:val="nil"/>
              <w:left w:val="nil"/>
              <w:bottom w:val="nil"/>
              <w:right w:val="nil"/>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广元市朝天区人民法院</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jc w:val="center"/>
              <w:rPr>
                <w:rFonts w:ascii="Courier New" w:hAnsi="Courier New" w:cs="Courier New"/>
                <w:color w:val="000000"/>
                <w:sz w:val="18"/>
                <w:szCs w:val="18"/>
              </w:rPr>
            </w:pPr>
            <w:r>
              <w:rPr>
                <w:rFonts w:ascii="Courier New" w:hAnsi="Courier New" w:cs="Courier New"/>
                <w:color w:val="00000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全员政法干警工作日之外加班补助，在政策之内予以保障。</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rPr>
                <w:rFonts w:ascii="Courier New" w:hAnsi="Courier New" w:cs="Courier New"/>
                <w:color w:val="000000"/>
                <w:sz w:val="18"/>
                <w:szCs w:val="18"/>
                <w:lang w:eastAsia="zh-CN"/>
              </w:rPr>
            </w:pPr>
            <w:r>
              <w:rPr>
                <w:rFonts w:ascii="Courier New" w:hAnsi="Courier New" w:cs="Courier New"/>
                <w:color w:val="000000"/>
                <w:sz w:val="18"/>
                <w:szCs w:val="18"/>
                <w:lang w:eastAsia="zh-CN"/>
              </w:rPr>
              <w:t>项目预算执行数为0.00%</w:t>
            </w:r>
            <w:r>
              <w:rPr>
                <w:rFonts w:hint="eastAsia" w:ascii="Courier New" w:hAnsi="Courier New" w:cs="Courier New"/>
                <w:color w:val="000000"/>
                <w:sz w:val="18"/>
                <w:szCs w:val="18"/>
                <w:lang w:eastAsia="zh-CN"/>
              </w:rPr>
              <w:t>。上年结转结余0.16万元，实际预算执行数0.00万元。</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lang w:eastAsia="zh-CN"/>
              </w:rPr>
            </w:pPr>
          </w:p>
        </w:tc>
        <w:tc>
          <w:tcPr>
            <w:tcW w:w="20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按照政策相关规定取消公务员加班补助后，无此项资金实施。</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0.16</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0.16</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Courier New" w:hAnsi="Courier New" w:cs="Courier New"/>
                <w:i/>
                <w:iCs/>
                <w:color w:val="000000"/>
                <w:sz w:val="18"/>
                <w:szCs w:val="18"/>
                <w:lang w:eastAsia="zh-CN"/>
              </w:rPr>
            </w:pPr>
            <w:r>
              <w:rPr>
                <w:rFonts w:hint="eastAsia" w:ascii="Courier New" w:hAnsi="Courier New" w:cs="Courier New"/>
                <w:color w:val="000000"/>
                <w:sz w:val="18"/>
                <w:szCs w:val="18"/>
                <w:lang w:eastAsia="zh-CN"/>
              </w:rPr>
              <w:t>年初预算数0.16万元实际为上年结转数，由于2023年取消公务员加班补助，且项目实行专项核算、专款专用，故此项资金未使用，预算执行率为0.00%。</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lang w:eastAsia="zh-CN"/>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0.16</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0.16</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产出指标</w:t>
            </w: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保障人员数</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34</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人</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34</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项目执行时间</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122400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元</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122400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加班数据准确性</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100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项目执行时间</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强化法院工作人员工作投入</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优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可持续影响指标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逐步促进法院工作推进</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高</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高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帮扶对象满意度指标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提高社会大众对法院工作的认可度</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好</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好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lang w:eastAsia="zh-CN"/>
              </w:rPr>
            </w:pPr>
            <w:r>
              <w:rPr>
                <w:rFonts w:hint="eastAsia" w:ascii="微软雅黑" w:hAnsi="微软雅黑" w:eastAsia="微软雅黑" w:cs="宋体"/>
                <w:i/>
                <w:iCs/>
                <w:color w:val="000000"/>
                <w:sz w:val="16"/>
                <w:szCs w:val="16"/>
                <w:lang w:eastAsia="zh-CN"/>
              </w:rPr>
              <w:t>公务员加班补助项目立项符合相关政策，与法院审判执行职责具有关联性。通过项目的实施，充分保障了法定工作日之外加班补助，促进了我院干警工作积极性，进而提高案件审执进度和工作效率。</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lang w:eastAsia="zh-CN"/>
              </w:rPr>
            </w:pPr>
            <w:r>
              <w:rPr>
                <w:rFonts w:hint="eastAsia" w:ascii="微软雅黑" w:hAnsi="微软雅黑" w:eastAsia="微软雅黑" w:cs="宋体"/>
                <w:i/>
                <w:iCs/>
                <w:color w:val="000000"/>
                <w:sz w:val="16"/>
                <w:szCs w:val="16"/>
                <w:lang w:eastAsia="zh-CN"/>
              </w:rPr>
              <w:t>项目评价体系不够完善，项目评价指标的确定不够细化，量化。</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lang w:eastAsia="zh-CN"/>
              </w:rPr>
            </w:pPr>
            <w:r>
              <w:rPr>
                <w:rFonts w:hint="eastAsia" w:ascii="微软雅黑" w:hAnsi="微软雅黑" w:eastAsia="微软雅黑" w:cs="宋体"/>
                <w:i/>
                <w:iCs/>
                <w:color w:val="000000"/>
                <w:sz w:val="16"/>
                <w:szCs w:val="16"/>
                <w:lang w:eastAsia="zh-CN"/>
              </w:rPr>
              <w:t>强化项目指标设置，完善绩效数据的完整性、可操控性。</w:t>
            </w:r>
          </w:p>
        </w:tc>
      </w:tr>
      <w:tr>
        <w:tblPrEx>
          <w:tblCellMar>
            <w:top w:w="0" w:type="dxa"/>
            <w:left w:w="108" w:type="dxa"/>
            <w:bottom w:w="0" w:type="dxa"/>
            <w:right w:w="108" w:type="dxa"/>
          </w:tblCellMar>
        </w:tblPrEx>
        <w:trPr>
          <w:trHeight w:val="285" w:hRule="atLeast"/>
        </w:trPr>
        <w:tc>
          <w:tcPr>
            <w:tcW w:w="7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项目负责人：</w:t>
            </w:r>
          </w:p>
        </w:tc>
        <w:tc>
          <w:tcPr>
            <w:tcW w:w="6840" w:type="dxa"/>
            <w:gridSpan w:val="6"/>
            <w:tcBorders>
              <w:top w:val="single" w:color="000000" w:sz="4" w:space="0"/>
              <w:left w:val="nil"/>
              <w:bottom w:val="single" w:color="000000" w:sz="4" w:space="0"/>
              <w:right w:val="single" w:color="000000" w:sz="4" w:space="0"/>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财务负责人：</w:t>
            </w:r>
          </w:p>
        </w:tc>
      </w:tr>
      <w:tr>
        <w:tblPrEx>
          <w:tblCellMar>
            <w:top w:w="0" w:type="dxa"/>
            <w:left w:w="108" w:type="dxa"/>
            <w:bottom w:w="0" w:type="dxa"/>
            <w:right w:w="108" w:type="dxa"/>
          </w:tblCellMar>
        </w:tblPrEx>
        <w:trPr>
          <w:trHeight w:val="285" w:hRule="atLeast"/>
        </w:trPr>
        <w:tc>
          <w:tcPr>
            <w:tcW w:w="700" w:type="dxa"/>
            <w:tcBorders>
              <w:top w:val="nil"/>
              <w:left w:val="nil"/>
              <w:bottom w:val="nil"/>
              <w:right w:val="nil"/>
            </w:tcBorders>
            <w:shd w:val="clear" w:color="auto" w:fill="auto"/>
            <w:vAlign w:val="center"/>
          </w:tcPr>
          <w:p>
            <w:pPr>
              <w:rPr>
                <w:rFonts w:ascii="宋体" w:hAnsi="宋体" w:cs="宋体"/>
                <w:sz w:val="18"/>
                <w:szCs w:val="18"/>
              </w:rPr>
            </w:pPr>
          </w:p>
        </w:tc>
        <w:tc>
          <w:tcPr>
            <w:tcW w:w="2060" w:type="dxa"/>
            <w:tcBorders>
              <w:top w:val="nil"/>
              <w:left w:val="nil"/>
              <w:bottom w:val="nil"/>
              <w:right w:val="nil"/>
            </w:tcBorders>
            <w:shd w:val="clear" w:color="auto" w:fill="auto"/>
            <w:vAlign w:val="center"/>
          </w:tcPr>
          <w:p>
            <w:pPr>
              <w:rPr>
                <w:rFonts w:ascii="宋体" w:hAnsi="宋体" w:cs="宋体"/>
                <w:sz w:val="18"/>
                <w:szCs w:val="18"/>
              </w:rPr>
            </w:pPr>
          </w:p>
        </w:tc>
        <w:tc>
          <w:tcPr>
            <w:tcW w:w="1780" w:type="dxa"/>
            <w:tcBorders>
              <w:top w:val="nil"/>
              <w:left w:val="nil"/>
              <w:bottom w:val="nil"/>
              <w:right w:val="nil"/>
            </w:tcBorders>
            <w:shd w:val="clear" w:color="auto" w:fill="auto"/>
            <w:vAlign w:val="center"/>
          </w:tcPr>
          <w:p>
            <w:pPr>
              <w:rPr>
                <w:rFonts w:ascii="宋体" w:hAnsi="宋体" w:cs="宋体"/>
                <w:sz w:val="18"/>
                <w:szCs w:val="18"/>
              </w:rPr>
            </w:pPr>
          </w:p>
        </w:tc>
        <w:tc>
          <w:tcPr>
            <w:tcW w:w="226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168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110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460" w:type="dxa"/>
            <w:tcBorders>
              <w:top w:val="nil"/>
              <w:left w:val="nil"/>
              <w:bottom w:val="nil"/>
              <w:right w:val="nil"/>
            </w:tcBorders>
            <w:shd w:val="clear" w:color="auto" w:fill="auto"/>
            <w:vAlign w:val="center"/>
          </w:tcPr>
          <w:p>
            <w:pPr>
              <w:rPr>
                <w:rFonts w:ascii="宋体" w:hAnsi="宋体" w:cs="宋体"/>
                <w:sz w:val="18"/>
                <w:szCs w:val="18"/>
              </w:rPr>
            </w:pPr>
          </w:p>
        </w:tc>
        <w:tc>
          <w:tcPr>
            <w:tcW w:w="2560" w:type="dxa"/>
            <w:tcBorders>
              <w:top w:val="nil"/>
              <w:left w:val="nil"/>
              <w:bottom w:val="nil"/>
              <w:right w:val="nil"/>
            </w:tcBorders>
            <w:shd w:val="clear" w:color="auto" w:fill="auto"/>
            <w:vAlign w:val="center"/>
          </w:tcPr>
          <w:p>
            <w:pPr>
              <w:rPr>
                <w:rFonts w:ascii="宋体" w:hAnsi="宋体" w:cs="宋体"/>
                <w:sz w:val="18"/>
                <w:szCs w:val="18"/>
              </w:rPr>
            </w:pPr>
          </w:p>
        </w:tc>
      </w:tr>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黑体" w:hAnsi="黑体" w:eastAsia="黑体" w:cs="宋体"/>
                <w:b/>
                <w:bCs/>
                <w:color w:val="000000"/>
                <w:sz w:val="30"/>
                <w:szCs w:val="30"/>
                <w:lang w:eastAsia="zh-CN"/>
              </w:rPr>
            </w:pPr>
            <w:r>
              <w:rPr>
                <w:rFonts w:hint="eastAsia" w:ascii="黑体" w:hAnsi="黑体" w:eastAsia="黑体" w:cs="宋体"/>
                <w:b/>
                <w:bCs/>
                <w:color w:val="000000"/>
                <w:sz w:val="30"/>
                <w:szCs w:val="30"/>
                <w:lang w:eastAsia="zh-CN"/>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51080022T000005057906-司法警察加班补助</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广元市朝天区人民法院部门</w:t>
            </w:r>
          </w:p>
        </w:tc>
        <w:tc>
          <w:tcPr>
            <w:tcW w:w="1100" w:type="dxa"/>
            <w:tcBorders>
              <w:top w:val="nil"/>
              <w:left w:val="nil"/>
              <w:bottom w:val="nil"/>
              <w:right w:val="nil"/>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广元市朝天区人民法院</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jc w:val="center"/>
              <w:rPr>
                <w:rFonts w:ascii="Courier New" w:hAnsi="Courier New" w:cs="Courier New"/>
                <w:color w:val="000000"/>
                <w:sz w:val="18"/>
                <w:szCs w:val="18"/>
              </w:rPr>
            </w:pPr>
            <w:r>
              <w:rPr>
                <w:rFonts w:ascii="Courier New" w:hAnsi="Courier New" w:cs="Courier New"/>
                <w:color w:val="00000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保证司法警察合理权益，促进工作高质量推进。</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rPr>
                <w:rFonts w:ascii="Courier New" w:hAnsi="Courier New" w:cs="Courier New"/>
                <w:color w:val="000000"/>
                <w:sz w:val="18"/>
                <w:szCs w:val="18"/>
                <w:lang w:eastAsia="zh-CN"/>
              </w:rPr>
            </w:pPr>
            <w:r>
              <w:rPr>
                <w:rFonts w:ascii="Courier New" w:hAnsi="Courier New" w:cs="Courier New"/>
                <w:color w:val="000000"/>
                <w:sz w:val="18"/>
                <w:szCs w:val="18"/>
                <w:lang w:eastAsia="zh-CN"/>
              </w:rPr>
              <w:t>项目预算执行数为100%。项目实行专项核算，资金支付合规、合法，无超预算和范围支付情况，无截留、挤占、挪用专项资金现象，无虚列项目成本、无进行大额现金支付现象，项目资金使用均按规定标准执行。</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lang w:eastAsia="zh-CN"/>
              </w:rPr>
            </w:pPr>
          </w:p>
        </w:tc>
        <w:tc>
          <w:tcPr>
            <w:tcW w:w="20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司法警察工作任务重、工作量大、工作时间长，设立司法警察加班补助项目十分必要，提高司法警察工作积极性和工作质量。根据加班时间、人数、标准，申报的绩效目标充分结合司法警察加班补助工作要求，充分结合公司法警察加班补助执行情况。</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0.27</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0.27</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0.27</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Courier New" w:hAnsi="Courier New" w:cs="Courier New"/>
                <w:i/>
                <w:iCs/>
                <w:color w:val="000000"/>
                <w:sz w:val="18"/>
                <w:szCs w:val="18"/>
                <w:lang w:eastAsia="zh-CN"/>
              </w:rPr>
            </w:pPr>
            <w:r>
              <w:rPr>
                <w:rFonts w:ascii="Courier New" w:hAnsi="Courier New" w:cs="Courier New"/>
                <w:i/>
                <w:iCs/>
                <w:color w:val="000000"/>
                <w:sz w:val="18"/>
                <w:szCs w:val="18"/>
                <w:lang w:eastAsia="zh-CN"/>
              </w:rPr>
              <w:t>1.预算执行率=预算执行数/调整后预算数，预算执行率未达到90%的需说明原因（100字以内）;2.年中发生预算调整的（追加或调减）</w:t>
            </w:r>
            <w:r>
              <w:rPr>
                <w:rFonts w:hint="eastAsia" w:ascii="Courier New" w:hAnsi="Courier New" w:cs="Courier New"/>
                <w:i/>
                <w:iCs/>
                <w:color w:val="000000"/>
                <w:sz w:val="18"/>
                <w:szCs w:val="18"/>
                <w:lang w:eastAsia="zh-CN"/>
              </w:rPr>
              <w:t>，</w:t>
            </w:r>
            <w:r>
              <w:rPr>
                <w:rFonts w:ascii="Courier New" w:hAnsi="Courier New" w:cs="Courier New"/>
                <w:i/>
                <w:iCs/>
                <w:color w:val="000000"/>
                <w:sz w:val="18"/>
                <w:szCs w:val="18"/>
                <w:lang w:eastAsia="zh-CN"/>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lang w:eastAsia="zh-CN"/>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0.27</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0.27</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0.27</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保障人员数</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4</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人</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4</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执行准确率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100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保障司法警察工作质量及效率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优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保障时间</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年</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可持续影响指标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逐步提升工作人员积极性</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高</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高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社会大众对司法警察工作的认可</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好</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好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单人保障标准</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710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元/人年</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710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lang w:eastAsia="zh-CN"/>
              </w:rPr>
            </w:pPr>
            <w:r>
              <w:rPr>
                <w:rFonts w:hint="eastAsia" w:ascii="微软雅黑" w:hAnsi="微软雅黑" w:eastAsia="微软雅黑" w:cs="宋体"/>
                <w:i/>
                <w:iCs/>
                <w:color w:val="000000"/>
                <w:sz w:val="16"/>
                <w:szCs w:val="16"/>
                <w:lang w:eastAsia="zh-CN"/>
              </w:rPr>
              <w:t>司法警察加班补助项目立项符合相关政策，与法院审判执行职责具有关联性。通过项目的实施，充分保障了司法警察法定工作日之外加班补助，促进了我院干警工作积极性，进而提高案件审执进度和工作效率。</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lang w:eastAsia="zh-CN"/>
              </w:rPr>
            </w:pPr>
            <w:r>
              <w:rPr>
                <w:rFonts w:hint="eastAsia" w:ascii="微软雅黑" w:hAnsi="微软雅黑" w:eastAsia="微软雅黑" w:cs="宋体"/>
                <w:i/>
                <w:iCs/>
                <w:color w:val="000000"/>
                <w:sz w:val="16"/>
                <w:szCs w:val="16"/>
                <w:lang w:eastAsia="zh-CN"/>
              </w:rPr>
              <w:t>项目评价体系不够完善，项目评价指标的确定不够细化，量化。</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lang w:eastAsia="zh-CN"/>
              </w:rPr>
            </w:pPr>
            <w:r>
              <w:rPr>
                <w:rFonts w:hint="eastAsia" w:ascii="微软雅黑" w:hAnsi="微软雅黑" w:eastAsia="微软雅黑" w:cs="宋体"/>
                <w:i/>
                <w:iCs/>
                <w:color w:val="000000"/>
                <w:sz w:val="16"/>
                <w:szCs w:val="16"/>
                <w:lang w:eastAsia="zh-CN"/>
              </w:rPr>
              <w:t>强化项目指标设置，完善绩效数据的完整性、可操控性。</w:t>
            </w:r>
          </w:p>
        </w:tc>
      </w:tr>
      <w:tr>
        <w:tblPrEx>
          <w:tblCellMar>
            <w:top w:w="0" w:type="dxa"/>
            <w:left w:w="108" w:type="dxa"/>
            <w:bottom w:w="0" w:type="dxa"/>
            <w:right w:w="108" w:type="dxa"/>
          </w:tblCellMar>
        </w:tblPrEx>
        <w:trPr>
          <w:trHeight w:val="285" w:hRule="atLeast"/>
        </w:trPr>
        <w:tc>
          <w:tcPr>
            <w:tcW w:w="7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项目负责人：</w:t>
            </w:r>
          </w:p>
        </w:tc>
        <w:tc>
          <w:tcPr>
            <w:tcW w:w="6840" w:type="dxa"/>
            <w:gridSpan w:val="6"/>
            <w:tcBorders>
              <w:top w:val="single" w:color="000000" w:sz="4" w:space="0"/>
              <w:left w:val="nil"/>
              <w:bottom w:val="single" w:color="000000" w:sz="4" w:space="0"/>
              <w:right w:val="single" w:color="000000" w:sz="4" w:space="0"/>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财务负责人：</w:t>
            </w:r>
          </w:p>
        </w:tc>
      </w:tr>
      <w:tr>
        <w:tblPrEx>
          <w:tblCellMar>
            <w:top w:w="0" w:type="dxa"/>
            <w:left w:w="108" w:type="dxa"/>
            <w:bottom w:w="0" w:type="dxa"/>
            <w:right w:w="108" w:type="dxa"/>
          </w:tblCellMar>
        </w:tblPrEx>
        <w:trPr>
          <w:trHeight w:val="285" w:hRule="atLeast"/>
        </w:trPr>
        <w:tc>
          <w:tcPr>
            <w:tcW w:w="700" w:type="dxa"/>
            <w:tcBorders>
              <w:top w:val="nil"/>
              <w:left w:val="nil"/>
              <w:bottom w:val="nil"/>
              <w:right w:val="nil"/>
            </w:tcBorders>
            <w:shd w:val="clear" w:color="auto" w:fill="auto"/>
            <w:vAlign w:val="center"/>
          </w:tcPr>
          <w:p>
            <w:pPr>
              <w:rPr>
                <w:rFonts w:ascii="宋体" w:hAnsi="宋体" w:cs="宋体"/>
                <w:sz w:val="18"/>
                <w:szCs w:val="18"/>
              </w:rPr>
            </w:pPr>
          </w:p>
        </w:tc>
        <w:tc>
          <w:tcPr>
            <w:tcW w:w="2060" w:type="dxa"/>
            <w:tcBorders>
              <w:top w:val="nil"/>
              <w:left w:val="nil"/>
              <w:bottom w:val="nil"/>
              <w:right w:val="nil"/>
            </w:tcBorders>
            <w:shd w:val="clear" w:color="auto" w:fill="auto"/>
            <w:vAlign w:val="center"/>
          </w:tcPr>
          <w:p>
            <w:pPr>
              <w:rPr>
                <w:rFonts w:ascii="宋体" w:hAnsi="宋体" w:cs="宋体"/>
                <w:sz w:val="18"/>
                <w:szCs w:val="18"/>
              </w:rPr>
            </w:pPr>
          </w:p>
        </w:tc>
        <w:tc>
          <w:tcPr>
            <w:tcW w:w="1780" w:type="dxa"/>
            <w:tcBorders>
              <w:top w:val="nil"/>
              <w:left w:val="nil"/>
              <w:bottom w:val="nil"/>
              <w:right w:val="nil"/>
            </w:tcBorders>
            <w:shd w:val="clear" w:color="auto" w:fill="auto"/>
            <w:vAlign w:val="center"/>
          </w:tcPr>
          <w:p>
            <w:pPr>
              <w:rPr>
                <w:rFonts w:ascii="宋体" w:hAnsi="宋体" w:cs="宋体"/>
                <w:sz w:val="18"/>
                <w:szCs w:val="18"/>
              </w:rPr>
            </w:pPr>
          </w:p>
        </w:tc>
        <w:tc>
          <w:tcPr>
            <w:tcW w:w="226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168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110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460" w:type="dxa"/>
            <w:tcBorders>
              <w:top w:val="nil"/>
              <w:left w:val="nil"/>
              <w:bottom w:val="nil"/>
              <w:right w:val="nil"/>
            </w:tcBorders>
            <w:shd w:val="clear" w:color="auto" w:fill="auto"/>
            <w:vAlign w:val="center"/>
          </w:tcPr>
          <w:p>
            <w:pPr>
              <w:rPr>
                <w:rFonts w:ascii="宋体" w:hAnsi="宋体" w:cs="宋体"/>
                <w:sz w:val="18"/>
                <w:szCs w:val="18"/>
              </w:rPr>
            </w:pPr>
          </w:p>
        </w:tc>
        <w:tc>
          <w:tcPr>
            <w:tcW w:w="2560" w:type="dxa"/>
            <w:tcBorders>
              <w:top w:val="nil"/>
              <w:left w:val="nil"/>
              <w:bottom w:val="nil"/>
              <w:right w:val="nil"/>
            </w:tcBorders>
            <w:shd w:val="clear" w:color="auto" w:fill="auto"/>
            <w:vAlign w:val="center"/>
          </w:tcPr>
          <w:p>
            <w:pPr>
              <w:rPr>
                <w:rFonts w:ascii="宋体" w:hAnsi="宋体" w:cs="宋体"/>
                <w:sz w:val="18"/>
                <w:szCs w:val="18"/>
              </w:rPr>
            </w:pPr>
          </w:p>
        </w:tc>
      </w:tr>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黑体" w:hAnsi="黑体" w:eastAsia="黑体" w:cs="宋体"/>
                <w:b/>
                <w:bCs/>
                <w:color w:val="000000"/>
                <w:sz w:val="30"/>
                <w:szCs w:val="30"/>
                <w:lang w:eastAsia="zh-CN"/>
              </w:rPr>
            </w:pPr>
            <w:r>
              <w:rPr>
                <w:rFonts w:hint="eastAsia" w:ascii="黑体" w:hAnsi="黑体" w:eastAsia="黑体" w:cs="宋体"/>
                <w:b/>
                <w:bCs/>
                <w:color w:val="000000"/>
                <w:sz w:val="30"/>
                <w:szCs w:val="30"/>
                <w:lang w:eastAsia="zh-CN"/>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51080022T000005057919-聘用制书记员经费</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广元市朝天区人民法院部门</w:t>
            </w:r>
          </w:p>
        </w:tc>
        <w:tc>
          <w:tcPr>
            <w:tcW w:w="1100" w:type="dxa"/>
            <w:tcBorders>
              <w:top w:val="nil"/>
              <w:left w:val="nil"/>
              <w:bottom w:val="nil"/>
              <w:right w:val="nil"/>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广元市朝天区人民法院</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jc w:val="center"/>
              <w:rPr>
                <w:rFonts w:ascii="Courier New" w:hAnsi="Courier New" w:cs="Courier New"/>
                <w:color w:val="000000"/>
                <w:sz w:val="18"/>
                <w:szCs w:val="18"/>
              </w:rPr>
            </w:pPr>
            <w:r>
              <w:rPr>
                <w:rFonts w:ascii="Courier New" w:hAnsi="Courier New" w:cs="Courier New"/>
                <w:color w:val="00000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保障全员聘用制书记工作正常开展。</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rPr>
                <w:rFonts w:ascii="Courier New" w:hAnsi="Courier New" w:cs="Courier New"/>
                <w:color w:val="000000"/>
                <w:sz w:val="18"/>
                <w:szCs w:val="18"/>
                <w:lang w:eastAsia="zh-CN"/>
              </w:rPr>
            </w:pPr>
            <w:r>
              <w:rPr>
                <w:rFonts w:ascii="Courier New" w:hAnsi="Courier New" w:cs="Courier New"/>
                <w:color w:val="000000"/>
                <w:sz w:val="18"/>
                <w:szCs w:val="18"/>
                <w:lang w:eastAsia="zh-CN"/>
              </w:rPr>
              <w:t>该项目2023年顺利运转，全年保障16名聘用人员经费开支；聘用制书记员出勤率达100%。保障了全院审判执行工作的有序开展，聘用人员工作得到认可，年度考核情况较好，增强了法院公正司法、阳光法治的良好司法形象。</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lang w:eastAsia="zh-CN"/>
              </w:rPr>
            </w:pPr>
          </w:p>
        </w:tc>
        <w:tc>
          <w:tcPr>
            <w:tcW w:w="20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2023年聘用制书记员项目主要是保障聘用人员法院工作所产生的劳务费等，包括聘用制书记员工资以及保险等费用，以确保法院日常办案的记录工作、庭前准备以及开庭时准备的事务性工作、送达法律文书、扫描装卷、其他事务性等工作的开展。2023年该项目投入80万元，年初预算数和实际执行数均为80万元，预算执行率达到100%。项目绩效自评充分结合年末人事部门对聘用人员的考核情况，严格对照自评标准，逐项核对打分。</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80.00</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80.00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80.00</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Courier New" w:hAnsi="Courier New" w:cs="Courier New"/>
                <w:i/>
                <w:iCs/>
                <w:color w:val="000000"/>
                <w:sz w:val="18"/>
                <w:szCs w:val="18"/>
                <w:lang w:eastAsia="zh-CN"/>
              </w:rPr>
            </w:pPr>
            <w:r>
              <w:rPr>
                <w:rFonts w:ascii="Courier New" w:hAnsi="Courier New" w:cs="Courier New"/>
                <w:i/>
                <w:iCs/>
                <w:color w:val="000000"/>
                <w:sz w:val="18"/>
                <w:szCs w:val="18"/>
                <w:lang w:eastAsia="zh-CN"/>
              </w:rPr>
              <w:t>1.预算执行率=预算执行数/调整后预算数，预算执行率未达到90%的需说明原因（100字以内）;2.年中发生预算调整的（追加或调减）</w:t>
            </w:r>
            <w:r>
              <w:rPr>
                <w:rFonts w:hint="eastAsia" w:ascii="Courier New" w:hAnsi="Courier New" w:cs="Courier New"/>
                <w:i/>
                <w:iCs/>
                <w:color w:val="000000"/>
                <w:sz w:val="18"/>
                <w:szCs w:val="18"/>
                <w:lang w:eastAsia="zh-CN"/>
              </w:rPr>
              <w:t>，</w:t>
            </w:r>
            <w:r>
              <w:rPr>
                <w:rFonts w:ascii="Courier New" w:hAnsi="Courier New" w:cs="Courier New"/>
                <w:i/>
                <w:iCs/>
                <w:color w:val="000000"/>
                <w:sz w:val="18"/>
                <w:szCs w:val="18"/>
                <w:lang w:eastAsia="zh-CN"/>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lang w:eastAsia="zh-CN"/>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80.00</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80.00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80.00</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聘用制书记员人员数</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16</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人</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16</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聘用制书记员出勤率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100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项目完成时间</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365</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天</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365</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保障司法队伍建设，对区域经济社会发展影响程度</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优</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可持续发展指标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保障聘用书记员队伍建设的可持续影响程度</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优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对聘用制书记员满意度</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90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聘用制书记员人均保障标准</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50000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元/年</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5000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lang w:eastAsia="zh-CN"/>
              </w:rPr>
            </w:pPr>
            <w:r>
              <w:rPr>
                <w:rFonts w:hint="eastAsia" w:ascii="微软雅黑" w:hAnsi="微软雅黑" w:eastAsia="微软雅黑" w:cs="宋体"/>
                <w:i/>
                <w:iCs/>
                <w:color w:val="000000"/>
                <w:sz w:val="16"/>
                <w:szCs w:val="16"/>
                <w:lang w:eastAsia="zh-CN"/>
              </w:rPr>
              <w:t>聘用制书记员工作量大，主要包括日常办案记录、庭前准备等工作，为提高其工作积极性，保障日常工作，特设立此项项目。聘用制书记员经费项目立项符合相关政策，与法院审判执行职责具有关联性，同时朝天法院对项目需求真实存在，该项目具有长期开展和投入的必要性。通过项目的实施，充分保障了日常办案的记录工作、庭前准备以及开庭时准备的事务性工作、送达法律文书、扫描装卷、其他事务性等工作开展，促进了我院案件审执进度和工作效率。</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lang w:eastAsia="zh-CN"/>
              </w:rPr>
            </w:pPr>
            <w:r>
              <w:rPr>
                <w:rFonts w:hint="eastAsia" w:ascii="微软雅黑" w:hAnsi="微软雅黑" w:eastAsia="微软雅黑" w:cs="宋体"/>
                <w:i/>
                <w:iCs/>
                <w:color w:val="000000"/>
                <w:sz w:val="16"/>
                <w:szCs w:val="16"/>
                <w:lang w:eastAsia="zh-CN"/>
              </w:rPr>
              <w:t>项目评价体系不够完善，项目评价指标的确定不够细化，量化。部分项目指标没有充分结合聘用人员工作岗位进行设置，没有完全反映出聘用人员的工作量和工作成效。</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lang w:eastAsia="zh-CN"/>
              </w:rPr>
            </w:pPr>
            <w:r>
              <w:rPr>
                <w:rFonts w:hint="eastAsia" w:ascii="微软雅黑" w:hAnsi="微软雅黑" w:eastAsia="微软雅黑" w:cs="宋体"/>
                <w:i/>
                <w:iCs/>
                <w:color w:val="000000"/>
                <w:sz w:val="16"/>
                <w:szCs w:val="16"/>
                <w:lang w:eastAsia="zh-CN"/>
              </w:rPr>
              <w:t>不断增加对聘用人员的投入力度。我院案多人少情况突出，政法编制不到45人，审判执行工作量大，需要聘用人员来缓解人手不够的压力。根据川高法【2018】2号文件第二十八条“聘用制书记员薪酬、装备、服装、培训、奖励、社保等相关经费，列入所在用人单位年度预算。需要加大对聘用人员保障标准、结构、规模的探索。</w:t>
            </w:r>
          </w:p>
        </w:tc>
      </w:tr>
      <w:tr>
        <w:tblPrEx>
          <w:tblCellMar>
            <w:top w:w="0" w:type="dxa"/>
            <w:left w:w="108" w:type="dxa"/>
            <w:bottom w:w="0" w:type="dxa"/>
            <w:right w:w="108" w:type="dxa"/>
          </w:tblCellMar>
        </w:tblPrEx>
        <w:trPr>
          <w:trHeight w:val="285" w:hRule="atLeast"/>
        </w:trPr>
        <w:tc>
          <w:tcPr>
            <w:tcW w:w="7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项目负责人：</w:t>
            </w:r>
          </w:p>
        </w:tc>
        <w:tc>
          <w:tcPr>
            <w:tcW w:w="6840" w:type="dxa"/>
            <w:gridSpan w:val="6"/>
            <w:tcBorders>
              <w:top w:val="single" w:color="000000" w:sz="4" w:space="0"/>
              <w:left w:val="nil"/>
              <w:bottom w:val="single" w:color="000000" w:sz="4" w:space="0"/>
              <w:right w:val="single" w:color="000000" w:sz="4" w:space="0"/>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财务负责人：</w:t>
            </w:r>
          </w:p>
        </w:tc>
      </w:tr>
      <w:tr>
        <w:tblPrEx>
          <w:tblCellMar>
            <w:top w:w="0" w:type="dxa"/>
            <w:left w:w="108" w:type="dxa"/>
            <w:bottom w:w="0" w:type="dxa"/>
            <w:right w:w="108" w:type="dxa"/>
          </w:tblCellMar>
        </w:tblPrEx>
        <w:trPr>
          <w:trHeight w:val="285" w:hRule="atLeast"/>
        </w:trPr>
        <w:tc>
          <w:tcPr>
            <w:tcW w:w="700" w:type="dxa"/>
            <w:tcBorders>
              <w:top w:val="nil"/>
              <w:left w:val="nil"/>
              <w:bottom w:val="nil"/>
              <w:right w:val="nil"/>
            </w:tcBorders>
            <w:shd w:val="clear" w:color="auto" w:fill="auto"/>
            <w:vAlign w:val="center"/>
          </w:tcPr>
          <w:p>
            <w:pPr>
              <w:rPr>
                <w:rFonts w:ascii="宋体" w:hAnsi="宋体" w:cs="宋体"/>
                <w:sz w:val="18"/>
                <w:szCs w:val="18"/>
              </w:rPr>
            </w:pPr>
          </w:p>
        </w:tc>
        <w:tc>
          <w:tcPr>
            <w:tcW w:w="2060" w:type="dxa"/>
            <w:tcBorders>
              <w:top w:val="nil"/>
              <w:left w:val="nil"/>
              <w:bottom w:val="nil"/>
              <w:right w:val="nil"/>
            </w:tcBorders>
            <w:shd w:val="clear" w:color="auto" w:fill="auto"/>
            <w:vAlign w:val="center"/>
          </w:tcPr>
          <w:p>
            <w:pPr>
              <w:rPr>
                <w:rFonts w:ascii="宋体" w:hAnsi="宋体" w:cs="宋体"/>
                <w:sz w:val="18"/>
                <w:szCs w:val="18"/>
              </w:rPr>
            </w:pPr>
          </w:p>
        </w:tc>
        <w:tc>
          <w:tcPr>
            <w:tcW w:w="1780" w:type="dxa"/>
            <w:tcBorders>
              <w:top w:val="nil"/>
              <w:left w:val="nil"/>
              <w:bottom w:val="nil"/>
              <w:right w:val="nil"/>
            </w:tcBorders>
            <w:shd w:val="clear" w:color="auto" w:fill="auto"/>
            <w:vAlign w:val="center"/>
          </w:tcPr>
          <w:p>
            <w:pPr>
              <w:rPr>
                <w:rFonts w:ascii="宋体" w:hAnsi="宋体" w:cs="宋体"/>
                <w:sz w:val="18"/>
                <w:szCs w:val="18"/>
              </w:rPr>
            </w:pPr>
          </w:p>
        </w:tc>
        <w:tc>
          <w:tcPr>
            <w:tcW w:w="226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168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110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460" w:type="dxa"/>
            <w:tcBorders>
              <w:top w:val="nil"/>
              <w:left w:val="nil"/>
              <w:bottom w:val="nil"/>
              <w:right w:val="nil"/>
            </w:tcBorders>
            <w:shd w:val="clear" w:color="auto" w:fill="auto"/>
            <w:vAlign w:val="center"/>
          </w:tcPr>
          <w:p>
            <w:pPr>
              <w:rPr>
                <w:rFonts w:ascii="宋体" w:hAnsi="宋体" w:cs="宋体"/>
                <w:sz w:val="18"/>
                <w:szCs w:val="18"/>
              </w:rPr>
            </w:pPr>
          </w:p>
        </w:tc>
        <w:tc>
          <w:tcPr>
            <w:tcW w:w="2560" w:type="dxa"/>
            <w:tcBorders>
              <w:top w:val="nil"/>
              <w:left w:val="nil"/>
              <w:bottom w:val="nil"/>
              <w:right w:val="nil"/>
            </w:tcBorders>
            <w:shd w:val="clear" w:color="auto" w:fill="auto"/>
            <w:vAlign w:val="center"/>
          </w:tcPr>
          <w:p>
            <w:pPr>
              <w:rPr>
                <w:rFonts w:ascii="宋体" w:hAnsi="宋体" w:cs="宋体"/>
                <w:sz w:val="18"/>
                <w:szCs w:val="18"/>
              </w:rPr>
            </w:pPr>
          </w:p>
        </w:tc>
      </w:tr>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黑体" w:hAnsi="黑体" w:eastAsia="黑体" w:cs="宋体"/>
                <w:b/>
                <w:bCs/>
                <w:color w:val="000000"/>
                <w:sz w:val="30"/>
                <w:szCs w:val="30"/>
                <w:lang w:eastAsia="zh-CN"/>
              </w:rPr>
            </w:pPr>
            <w:r>
              <w:rPr>
                <w:rFonts w:hint="eastAsia" w:ascii="黑体" w:hAnsi="黑体" w:eastAsia="黑体" w:cs="宋体"/>
                <w:b/>
                <w:bCs/>
                <w:color w:val="000000"/>
                <w:sz w:val="30"/>
                <w:szCs w:val="30"/>
                <w:lang w:eastAsia="zh-CN"/>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51080022T000005137454-办案业务经费</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广元市朝天区人民法院部门</w:t>
            </w:r>
          </w:p>
        </w:tc>
        <w:tc>
          <w:tcPr>
            <w:tcW w:w="1100" w:type="dxa"/>
            <w:tcBorders>
              <w:top w:val="nil"/>
              <w:left w:val="nil"/>
              <w:bottom w:val="nil"/>
              <w:right w:val="nil"/>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广元市朝天区人民法院</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jc w:val="center"/>
              <w:rPr>
                <w:rFonts w:ascii="Courier New" w:hAnsi="Courier New" w:cs="Courier New"/>
                <w:color w:val="000000"/>
                <w:sz w:val="18"/>
                <w:szCs w:val="18"/>
              </w:rPr>
            </w:pPr>
            <w:r>
              <w:rPr>
                <w:rFonts w:ascii="Courier New" w:hAnsi="Courier New" w:cs="Courier New"/>
                <w:color w:val="00000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做好执行审判工作，为全区提供优质的法治环境持续发力，保障我院巡回审判、化解群体事件及各类纠纷案件等工作高效有序开展。</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rPr>
                <w:rFonts w:ascii="Courier New" w:hAnsi="Courier New" w:cs="Courier New"/>
                <w:color w:val="000000"/>
                <w:sz w:val="18"/>
                <w:szCs w:val="18"/>
                <w:lang w:eastAsia="zh-CN"/>
              </w:rPr>
            </w:pPr>
            <w:r>
              <w:rPr>
                <w:rFonts w:ascii="Courier New" w:hAnsi="Courier New" w:cs="Courier New"/>
                <w:color w:val="000000"/>
                <w:sz w:val="18"/>
                <w:szCs w:val="18"/>
                <w:lang w:eastAsia="zh-CN"/>
              </w:rPr>
              <w:t>本项目预算资金下达40.78万元，年度实际执行数40.78万元，完成预算数的99.99%。年度案件办结率达95%；案件审判时效为38.98天；案件发改率1.6%.</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lang w:eastAsia="zh-CN"/>
              </w:rPr>
            </w:pPr>
          </w:p>
        </w:tc>
        <w:tc>
          <w:tcPr>
            <w:tcW w:w="20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按照我院财务管理的相关规定，实行专款专用，保障我院巡回审判、化解群体事件及各类纠纷案件等工作高效有序开展。项目的所有经费开支均进行严格的审批程序，并及时进行支付、会计核算。</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32.87</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40.87</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40.87</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99.99%</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Courier New" w:hAnsi="Courier New" w:cs="Courier New"/>
                <w:i/>
                <w:iCs/>
                <w:color w:val="000000"/>
                <w:sz w:val="18"/>
                <w:szCs w:val="18"/>
                <w:lang w:eastAsia="zh-CN"/>
              </w:rPr>
            </w:pPr>
            <w:r>
              <w:rPr>
                <w:rFonts w:ascii="Courier New" w:hAnsi="Courier New" w:cs="Courier New"/>
                <w:i/>
                <w:iCs/>
                <w:color w:val="000000"/>
                <w:sz w:val="18"/>
                <w:szCs w:val="18"/>
                <w:lang w:eastAsia="zh-CN"/>
              </w:rPr>
              <w:t>1.预算执行率=预算执行数/调整后预算数，预算执行率未达到90%的需说明原因（100字以内）;2.年中发生预算调整的（追加或调减）</w:t>
            </w:r>
            <w:r>
              <w:rPr>
                <w:rFonts w:hint="eastAsia" w:ascii="Courier New" w:hAnsi="Courier New" w:cs="Courier New"/>
                <w:i/>
                <w:iCs/>
                <w:color w:val="000000"/>
                <w:sz w:val="18"/>
                <w:szCs w:val="18"/>
                <w:lang w:eastAsia="zh-CN"/>
              </w:rPr>
              <w:t>，</w:t>
            </w:r>
            <w:r>
              <w:rPr>
                <w:rFonts w:ascii="Courier New" w:hAnsi="Courier New" w:cs="Courier New"/>
                <w:i/>
                <w:iCs/>
                <w:color w:val="000000"/>
                <w:sz w:val="18"/>
                <w:szCs w:val="18"/>
                <w:lang w:eastAsia="zh-CN"/>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lang w:eastAsia="zh-CN"/>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32.87</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40.87</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40.87</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99.99%</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0.00　</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0.00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0.00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审结涉金融案件</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310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件</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310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案件办结率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95</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95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案件发改率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1.6</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1.6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案件审判时效</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38.98</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天</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38.98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对推动区域发展的影响效果</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良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可持续影响指标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对促进法制化社会建设的影响效果</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良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服判息诉率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85</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85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巡回审理信息宣传投入</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50000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元</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4800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lang w:eastAsia="zh-CN"/>
              </w:rPr>
            </w:pPr>
            <w:r>
              <w:rPr>
                <w:rFonts w:hint="eastAsia" w:ascii="微软雅黑" w:hAnsi="微软雅黑" w:eastAsia="微软雅黑" w:cs="宋体"/>
                <w:i/>
                <w:iCs/>
                <w:color w:val="000000"/>
                <w:sz w:val="16"/>
                <w:szCs w:val="16"/>
                <w:lang w:eastAsia="zh-CN"/>
              </w:rPr>
              <w:t>项目的设置、年中的执行、指标的完成情况，符合法院的职能职责，对应了法院工作开展。项目预算执行进度推进有力，项目监督管控及时有效，项目资金支付合理合规。</w:t>
            </w:r>
            <w:r>
              <w:rPr>
                <w:rFonts w:hint="eastAsia" w:ascii="微软雅黑" w:hAnsi="微软雅黑" w:eastAsia="微软雅黑" w:cs="宋体"/>
                <w:i/>
                <w:iCs/>
                <w:color w:val="000000"/>
                <w:sz w:val="16"/>
                <w:szCs w:val="16"/>
                <w:lang w:eastAsia="zh-CN"/>
              </w:rPr>
              <w:br w:type="textWrapping"/>
            </w:r>
            <w:r>
              <w:rPr>
                <w:rFonts w:hint="eastAsia" w:ascii="微软雅黑" w:hAnsi="微软雅黑" w:eastAsia="微软雅黑" w:cs="宋体"/>
                <w:i/>
                <w:iCs/>
                <w:color w:val="000000"/>
                <w:sz w:val="16"/>
                <w:szCs w:val="16"/>
                <w:lang w:eastAsia="zh-CN"/>
              </w:rPr>
              <w:t>通过项目的实施，充分保障了我院司法办案所产生的经费支出，促进了我院案件审执进度和工作效率，及时妥善化解群众纠纷，有效解决了当事人的合理诉求，维护了其合法权益，营造了法治化的营商环境，忠实履行宪法法律赋予的职责，切实为区域经济社会高质量发展提供坚强有力的司法保障。</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lang w:eastAsia="zh-CN"/>
              </w:rPr>
            </w:pPr>
            <w:r>
              <w:rPr>
                <w:rFonts w:hint="eastAsia" w:ascii="微软雅黑" w:hAnsi="微软雅黑" w:eastAsia="微软雅黑" w:cs="宋体"/>
                <w:i/>
                <w:iCs/>
                <w:color w:val="000000"/>
                <w:sz w:val="16"/>
                <w:szCs w:val="16"/>
                <w:lang w:eastAsia="zh-CN"/>
              </w:rPr>
              <w:t>项目评价体系不够完善，项目评价指标的确定不够细化，量化。尤其是没有充分结合法院的中心工作任务，没有及时调整相关指标设置，导致指标完成与预计有差距。</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lang w:eastAsia="zh-CN"/>
              </w:rPr>
            </w:pPr>
            <w:r>
              <w:rPr>
                <w:rFonts w:hint="eastAsia" w:ascii="微软雅黑" w:hAnsi="微软雅黑" w:eastAsia="微软雅黑" w:cs="宋体"/>
                <w:i/>
                <w:iCs/>
                <w:color w:val="000000"/>
                <w:sz w:val="16"/>
                <w:szCs w:val="16"/>
                <w:lang w:eastAsia="zh-CN"/>
              </w:rPr>
              <w:t>1、提高认识。进一步推动预算绩效知识普及，形成财务工作围绕绩效工作开展，用钱必问效等局面。</w:t>
            </w:r>
            <w:r>
              <w:rPr>
                <w:rFonts w:hint="eastAsia" w:ascii="微软雅黑" w:hAnsi="微软雅黑" w:eastAsia="微软雅黑" w:cs="宋体"/>
                <w:i/>
                <w:iCs/>
                <w:color w:val="000000"/>
                <w:sz w:val="16"/>
                <w:szCs w:val="16"/>
                <w:lang w:eastAsia="zh-CN"/>
              </w:rPr>
              <w:br w:type="textWrapping"/>
            </w:r>
            <w:r>
              <w:rPr>
                <w:rFonts w:hint="eastAsia" w:ascii="微软雅黑" w:hAnsi="微软雅黑" w:eastAsia="微软雅黑" w:cs="宋体"/>
                <w:i/>
                <w:iCs/>
                <w:color w:val="000000"/>
                <w:sz w:val="16"/>
                <w:szCs w:val="16"/>
                <w:lang w:eastAsia="zh-CN"/>
              </w:rPr>
              <w:t>2、业务学习。加强绩效知识培训，不单是业务人员，有计划有步骤，逐步完善绩效工作开展。</w:t>
            </w:r>
          </w:p>
        </w:tc>
      </w:tr>
      <w:tr>
        <w:tblPrEx>
          <w:tblCellMar>
            <w:top w:w="0" w:type="dxa"/>
            <w:left w:w="108" w:type="dxa"/>
            <w:bottom w:w="0" w:type="dxa"/>
            <w:right w:w="108" w:type="dxa"/>
          </w:tblCellMar>
        </w:tblPrEx>
        <w:trPr>
          <w:trHeight w:val="285" w:hRule="atLeast"/>
        </w:trPr>
        <w:tc>
          <w:tcPr>
            <w:tcW w:w="7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项目负责人：</w:t>
            </w:r>
          </w:p>
        </w:tc>
        <w:tc>
          <w:tcPr>
            <w:tcW w:w="6840" w:type="dxa"/>
            <w:gridSpan w:val="6"/>
            <w:tcBorders>
              <w:top w:val="single" w:color="000000" w:sz="4" w:space="0"/>
              <w:left w:val="nil"/>
              <w:bottom w:val="single" w:color="000000" w:sz="4" w:space="0"/>
              <w:right w:val="single" w:color="000000" w:sz="4" w:space="0"/>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财务负责人：</w:t>
            </w:r>
          </w:p>
        </w:tc>
      </w:tr>
      <w:tr>
        <w:tblPrEx>
          <w:tblCellMar>
            <w:top w:w="0" w:type="dxa"/>
            <w:left w:w="108" w:type="dxa"/>
            <w:bottom w:w="0" w:type="dxa"/>
            <w:right w:w="108" w:type="dxa"/>
          </w:tblCellMar>
        </w:tblPrEx>
        <w:trPr>
          <w:trHeight w:val="285" w:hRule="atLeast"/>
        </w:trPr>
        <w:tc>
          <w:tcPr>
            <w:tcW w:w="700" w:type="dxa"/>
            <w:tcBorders>
              <w:top w:val="nil"/>
              <w:left w:val="nil"/>
              <w:bottom w:val="nil"/>
              <w:right w:val="nil"/>
            </w:tcBorders>
            <w:shd w:val="clear" w:color="auto" w:fill="auto"/>
            <w:vAlign w:val="center"/>
          </w:tcPr>
          <w:p>
            <w:pPr>
              <w:rPr>
                <w:rFonts w:ascii="宋体" w:hAnsi="宋体" w:cs="宋体"/>
                <w:sz w:val="18"/>
                <w:szCs w:val="18"/>
              </w:rPr>
            </w:pPr>
          </w:p>
        </w:tc>
        <w:tc>
          <w:tcPr>
            <w:tcW w:w="2060" w:type="dxa"/>
            <w:tcBorders>
              <w:top w:val="nil"/>
              <w:left w:val="nil"/>
              <w:bottom w:val="nil"/>
              <w:right w:val="nil"/>
            </w:tcBorders>
            <w:shd w:val="clear" w:color="auto" w:fill="auto"/>
            <w:vAlign w:val="center"/>
          </w:tcPr>
          <w:p>
            <w:pPr>
              <w:rPr>
                <w:rFonts w:ascii="宋体" w:hAnsi="宋体" w:cs="宋体"/>
                <w:sz w:val="18"/>
                <w:szCs w:val="18"/>
              </w:rPr>
            </w:pPr>
          </w:p>
        </w:tc>
        <w:tc>
          <w:tcPr>
            <w:tcW w:w="1780" w:type="dxa"/>
            <w:tcBorders>
              <w:top w:val="nil"/>
              <w:left w:val="nil"/>
              <w:bottom w:val="nil"/>
              <w:right w:val="nil"/>
            </w:tcBorders>
            <w:shd w:val="clear" w:color="auto" w:fill="auto"/>
            <w:vAlign w:val="center"/>
          </w:tcPr>
          <w:p>
            <w:pPr>
              <w:rPr>
                <w:rFonts w:ascii="宋体" w:hAnsi="宋体" w:cs="宋体"/>
                <w:sz w:val="18"/>
                <w:szCs w:val="18"/>
              </w:rPr>
            </w:pPr>
          </w:p>
        </w:tc>
        <w:tc>
          <w:tcPr>
            <w:tcW w:w="226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168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110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460" w:type="dxa"/>
            <w:tcBorders>
              <w:top w:val="nil"/>
              <w:left w:val="nil"/>
              <w:bottom w:val="nil"/>
              <w:right w:val="nil"/>
            </w:tcBorders>
            <w:shd w:val="clear" w:color="auto" w:fill="auto"/>
            <w:vAlign w:val="center"/>
          </w:tcPr>
          <w:p>
            <w:pPr>
              <w:rPr>
                <w:rFonts w:ascii="宋体" w:hAnsi="宋体" w:cs="宋体"/>
                <w:sz w:val="18"/>
                <w:szCs w:val="18"/>
              </w:rPr>
            </w:pPr>
          </w:p>
        </w:tc>
        <w:tc>
          <w:tcPr>
            <w:tcW w:w="2560" w:type="dxa"/>
            <w:tcBorders>
              <w:top w:val="nil"/>
              <w:left w:val="nil"/>
              <w:bottom w:val="nil"/>
              <w:right w:val="nil"/>
            </w:tcBorders>
            <w:shd w:val="clear" w:color="auto" w:fill="auto"/>
            <w:vAlign w:val="center"/>
          </w:tcPr>
          <w:p>
            <w:pPr>
              <w:rPr>
                <w:rFonts w:ascii="宋体" w:hAnsi="宋体" w:cs="宋体"/>
                <w:sz w:val="18"/>
                <w:szCs w:val="18"/>
              </w:rPr>
            </w:pPr>
          </w:p>
        </w:tc>
      </w:tr>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黑体" w:hAnsi="黑体" w:eastAsia="黑体" w:cs="宋体"/>
                <w:b/>
                <w:bCs/>
                <w:color w:val="000000"/>
                <w:sz w:val="30"/>
                <w:szCs w:val="30"/>
                <w:lang w:eastAsia="zh-CN"/>
              </w:rPr>
            </w:pPr>
            <w:r>
              <w:rPr>
                <w:rFonts w:hint="eastAsia" w:ascii="黑体" w:hAnsi="黑体" w:eastAsia="黑体" w:cs="宋体"/>
                <w:b/>
                <w:bCs/>
                <w:color w:val="000000"/>
                <w:sz w:val="30"/>
                <w:szCs w:val="30"/>
                <w:lang w:eastAsia="zh-CN"/>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51080022T000006963750-特定转移支付</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广元市朝天区人民法院部门</w:t>
            </w:r>
          </w:p>
        </w:tc>
        <w:tc>
          <w:tcPr>
            <w:tcW w:w="1100" w:type="dxa"/>
            <w:tcBorders>
              <w:top w:val="nil"/>
              <w:left w:val="nil"/>
              <w:bottom w:val="nil"/>
              <w:right w:val="nil"/>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广元市朝天区人民法院</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jc w:val="center"/>
              <w:rPr>
                <w:rFonts w:ascii="Courier New" w:hAnsi="Courier New" w:cs="Courier New"/>
                <w:color w:val="000000"/>
                <w:sz w:val="18"/>
                <w:szCs w:val="18"/>
              </w:rPr>
            </w:pPr>
            <w:r>
              <w:rPr>
                <w:rFonts w:ascii="Courier New" w:hAnsi="Courier New" w:cs="Courier New"/>
                <w:color w:val="00000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保障2022年审判执行工作高效开展。</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rPr>
                <w:rFonts w:ascii="Courier New" w:hAnsi="Courier New" w:cs="Courier New"/>
                <w:color w:val="000000"/>
                <w:sz w:val="18"/>
                <w:szCs w:val="18"/>
                <w:lang w:eastAsia="zh-CN"/>
              </w:rPr>
            </w:pPr>
            <w:r>
              <w:rPr>
                <w:rFonts w:hint="eastAsia" w:ascii="Courier New" w:hAnsi="Courier New" w:cs="Courier New"/>
                <w:color w:val="000000"/>
                <w:sz w:val="18"/>
                <w:szCs w:val="18"/>
                <w:lang w:eastAsia="zh-CN"/>
              </w:rPr>
              <w:t>特定转移支付资金共18.87万元，预算执行8.19万元，预算执行率诶43.39%。</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lang w:eastAsia="zh-CN"/>
              </w:rPr>
            </w:pPr>
          </w:p>
        </w:tc>
        <w:tc>
          <w:tcPr>
            <w:tcW w:w="20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　</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18.87</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18.87</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8.19</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43.39%</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Courier New" w:hAnsi="Courier New" w:cs="Courier New"/>
                <w:i/>
                <w:iCs/>
                <w:color w:val="000000"/>
                <w:sz w:val="18"/>
                <w:szCs w:val="18"/>
                <w:lang w:eastAsia="zh-CN"/>
              </w:rPr>
            </w:pPr>
            <w:r>
              <w:rPr>
                <w:rFonts w:ascii="Courier New" w:hAnsi="Courier New" w:cs="Courier New"/>
                <w:i/>
                <w:iCs/>
                <w:color w:val="000000"/>
                <w:sz w:val="18"/>
                <w:szCs w:val="18"/>
                <w:lang w:eastAsia="zh-CN"/>
              </w:rPr>
              <w:t>1.预算执行率=预算执行数/调整后预算数，预算执行率未达到90%的需说明原因（100字以内）;2.年中发生预算调整的（追加或调减）</w:t>
            </w:r>
            <w:r>
              <w:rPr>
                <w:rFonts w:hint="eastAsia" w:ascii="Courier New" w:hAnsi="Courier New" w:cs="Courier New"/>
                <w:i/>
                <w:iCs/>
                <w:color w:val="000000"/>
                <w:sz w:val="18"/>
                <w:szCs w:val="18"/>
                <w:lang w:eastAsia="zh-CN"/>
              </w:rPr>
              <w:t>，</w:t>
            </w:r>
            <w:r>
              <w:rPr>
                <w:rFonts w:ascii="Courier New" w:hAnsi="Courier New" w:cs="Courier New"/>
                <w:i/>
                <w:iCs/>
                <w:color w:val="000000"/>
                <w:sz w:val="18"/>
                <w:szCs w:val="18"/>
                <w:lang w:eastAsia="zh-CN"/>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lang w:eastAsia="zh-CN"/>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18.87</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18.87</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8.19</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43.39%</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产出指标</w:t>
            </w: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正式干警数</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48</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人</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48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3</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年度结案数</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2700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案件数</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2700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年度执行案件受理数</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1100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案件数</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1100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召开执行工作联席会</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次</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2</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年度新收案件数</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2700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案件数</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2700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装备购置一批</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批次</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法官人均结案数</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150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案件数</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150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案件办结率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95</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95</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数量指标完成时限</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38.98</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天</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38.98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经济效益指标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数量指标完成时限</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365</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天</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365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满意度指标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服判息诉率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85</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85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案件发改率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175</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175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lang w:eastAsia="zh-CN"/>
              </w:rPr>
            </w:pPr>
            <w:r>
              <w:rPr>
                <w:rFonts w:hint="eastAsia" w:ascii="微软雅黑" w:hAnsi="微软雅黑" w:eastAsia="微软雅黑" w:cs="宋体"/>
                <w:i/>
                <w:iCs/>
                <w:color w:val="000000"/>
                <w:sz w:val="16"/>
                <w:szCs w:val="16"/>
                <w:lang w:eastAsia="zh-CN"/>
              </w:rPr>
              <w:t>特定转移支付项目资金为法院办案提供保障，案件办结率高达95%，审理案件实现提高至38.98天，满意度指标提高，法院公信力得到提高。</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lang w:eastAsia="zh-CN"/>
              </w:rPr>
            </w:pPr>
            <w:r>
              <w:rPr>
                <w:rFonts w:hint="eastAsia" w:ascii="微软雅黑" w:hAnsi="微软雅黑" w:eastAsia="微软雅黑" w:cs="宋体"/>
                <w:i/>
                <w:iCs/>
                <w:color w:val="000000"/>
                <w:sz w:val="16"/>
                <w:szCs w:val="16"/>
                <w:lang w:eastAsia="zh-CN"/>
              </w:rPr>
              <w:t>项目资金未合理利用，未紧密结合实际做预算，预算执行率较低。</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lang w:eastAsia="zh-CN"/>
              </w:rPr>
            </w:pPr>
            <w:r>
              <w:rPr>
                <w:rFonts w:hint="eastAsia" w:ascii="微软雅黑" w:hAnsi="微软雅黑" w:eastAsia="微软雅黑" w:cs="宋体"/>
                <w:i/>
                <w:iCs/>
                <w:color w:val="000000"/>
                <w:sz w:val="16"/>
                <w:szCs w:val="16"/>
                <w:lang w:eastAsia="zh-CN"/>
              </w:rPr>
              <w:t>针对资金结余浪费，下年预算时应紧密结合实际，减少计划资金浪费，提高资源利用率。</w:t>
            </w:r>
          </w:p>
        </w:tc>
      </w:tr>
      <w:tr>
        <w:tblPrEx>
          <w:tblCellMar>
            <w:top w:w="0" w:type="dxa"/>
            <w:left w:w="108" w:type="dxa"/>
            <w:bottom w:w="0" w:type="dxa"/>
            <w:right w:w="108" w:type="dxa"/>
          </w:tblCellMar>
        </w:tblPrEx>
        <w:trPr>
          <w:trHeight w:val="285" w:hRule="atLeast"/>
        </w:trPr>
        <w:tc>
          <w:tcPr>
            <w:tcW w:w="7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项目负责人：</w:t>
            </w:r>
          </w:p>
        </w:tc>
        <w:tc>
          <w:tcPr>
            <w:tcW w:w="6840" w:type="dxa"/>
            <w:gridSpan w:val="6"/>
            <w:tcBorders>
              <w:top w:val="single" w:color="000000" w:sz="4" w:space="0"/>
              <w:left w:val="nil"/>
              <w:bottom w:val="single" w:color="000000" w:sz="4" w:space="0"/>
              <w:right w:val="single" w:color="000000" w:sz="4" w:space="0"/>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财务负责人：</w:t>
            </w:r>
          </w:p>
        </w:tc>
      </w:tr>
      <w:tr>
        <w:tblPrEx>
          <w:tblCellMar>
            <w:top w:w="0" w:type="dxa"/>
            <w:left w:w="108" w:type="dxa"/>
            <w:bottom w:w="0" w:type="dxa"/>
            <w:right w:w="108" w:type="dxa"/>
          </w:tblCellMar>
        </w:tblPrEx>
        <w:trPr>
          <w:trHeight w:val="285" w:hRule="atLeast"/>
        </w:trPr>
        <w:tc>
          <w:tcPr>
            <w:tcW w:w="700" w:type="dxa"/>
            <w:tcBorders>
              <w:top w:val="nil"/>
              <w:left w:val="nil"/>
              <w:bottom w:val="nil"/>
              <w:right w:val="nil"/>
            </w:tcBorders>
            <w:shd w:val="clear" w:color="auto" w:fill="auto"/>
            <w:vAlign w:val="center"/>
          </w:tcPr>
          <w:p>
            <w:pPr>
              <w:rPr>
                <w:rFonts w:ascii="宋体" w:hAnsi="宋体" w:cs="宋体"/>
                <w:sz w:val="18"/>
                <w:szCs w:val="18"/>
              </w:rPr>
            </w:pPr>
          </w:p>
        </w:tc>
        <w:tc>
          <w:tcPr>
            <w:tcW w:w="2060" w:type="dxa"/>
            <w:tcBorders>
              <w:top w:val="nil"/>
              <w:left w:val="nil"/>
              <w:bottom w:val="nil"/>
              <w:right w:val="nil"/>
            </w:tcBorders>
            <w:shd w:val="clear" w:color="auto" w:fill="auto"/>
            <w:vAlign w:val="center"/>
          </w:tcPr>
          <w:p>
            <w:pPr>
              <w:rPr>
                <w:rFonts w:ascii="宋体" w:hAnsi="宋体" w:cs="宋体"/>
                <w:sz w:val="18"/>
                <w:szCs w:val="18"/>
              </w:rPr>
            </w:pPr>
          </w:p>
        </w:tc>
        <w:tc>
          <w:tcPr>
            <w:tcW w:w="1780" w:type="dxa"/>
            <w:tcBorders>
              <w:top w:val="nil"/>
              <w:left w:val="nil"/>
              <w:bottom w:val="nil"/>
              <w:right w:val="nil"/>
            </w:tcBorders>
            <w:shd w:val="clear" w:color="auto" w:fill="auto"/>
            <w:vAlign w:val="center"/>
          </w:tcPr>
          <w:p>
            <w:pPr>
              <w:rPr>
                <w:rFonts w:ascii="宋体" w:hAnsi="宋体" w:cs="宋体"/>
                <w:sz w:val="18"/>
                <w:szCs w:val="18"/>
              </w:rPr>
            </w:pPr>
          </w:p>
        </w:tc>
        <w:tc>
          <w:tcPr>
            <w:tcW w:w="226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168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110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460" w:type="dxa"/>
            <w:tcBorders>
              <w:top w:val="nil"/>
              <w:left w:val="nil"/>
              <w:bottom w:val="nil"/>
              <w:right w:val="nil"/>
            </w:tcBorders>
            <w:shd w:val="clear" w:color="auto" w:fill="auto"/>
            <w:vAlign w:val="center"/>
          </w:tcPr>
          <w:p>
            <w:pPr>
              <w:rPr>
                <w:rFonts w:ascii="宋体" w:hAnsi="宋体" w:cs="宋体"/>
                <w:sz w:val="18"/>
                <w:szCs w:val="18"/>
              </w:rPr>
            </w:pPr>
          </w:p>
        </w:tc>
        <w:tc>
          <w:tcPr>
            <w:tcW w:w="2560" w:type="dxa"/>
            <w:tcBorders>
              <w:top w:val="nil"/>
              <w:left w:val="nil"/>
              <w:bottom w:val="nil"/>
              <w:right w:val="nil"/>
            </w:tcBorders>
            <w:shd w:val="clear" w:color="auto" w:fill="auto"/>
            <w:vAlign w:val="center"/>
          </w:tcPr>
          <w:p>
            <w:pPr>
              <w:rPr>
                <w:rFonts w:ascii="宋体" w:hAnsi="宋体" w:cs="宋体"/>
                <w:sz w:val="18"/>
                <w:szCs w:val="18"/>
              </w:rPr>
            </w:pPr>
          </w:p>
        </w:tc>
      </w:tr>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黑体" w:hAnsi="黑体" w:eastAsia="黑体" w:cs="宋体"/>
                <w:b/>
                <w:bCs/>
                <w:color w:val="000000"/>
                <w:sz w:val="30"/>
                <w:szCs w:val="30"/>
                <w:lang w:eastAsia="zh-CN"/>
              </w:rPr>
            </w:pPr>
            <w:r>
              <w:rPr>
                <w:rFonts w:hint="eastAsia" w:ascii="黑体" w:hAnsi="黑体" w:eastAsia="黑体" w:cs="宋体"/>
                <w:b/>
                <w:bCs/>
                <w:color w:val="000000"/>
                <w:sz w:val="30"/>
                <w:szCs w:val="30"/>
                <w:lang w:eastAsia="zh-CN"/>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51080023T000008425507-法警法定工作日之外加班补贴</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广元市朝天区人民法院部门</w:t>
            </w:r>
          </w:p>
        </w:tc>
        <w:tc>
          <w:tcPr>
            <w:tcW w:w="1100" w:type="dxa"/>
            <w:tcBorders>
              <w:top w:val="nil"/>
              <w:left w:val="nil"/>
              <w:bottom w:val="nil"/>
              <w:right w:val="nil"/>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广元市朝天区人民法院</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jc w:val="center"/>
              <w:rPr>
                <w:rFonts w:ascii="Courier New" w:hAnsi="Courier New" w:cs="Courier New"/>
                <w:color w:val="000000"/>
                <w:sz w:val="18"/>
                <w:szCs w:val="18"/>
              </w:rPr>
            </w:pPr>
            <w:r>
              <w:rPr>
                <w:rFonts w:ascii="Courier New" w:hAnsi="Courier New" w:cs="Courier New"/>
                <w:color w:val="00000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保证司法警察合理权益，促进工作高质量推进。</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rPr>
                <w:rFonts w:ascii="Courier New" w:hAnsi="Courier New" w:cs="Courier New"/>
                <w:color w:val="000000"/>
                <w:sz w:val="18"/>
                <w:szCs w:val="18"/>
                <w:lang w:eastAsia="zh-CN"/>
              </w:rPr>
            </w:pPr>
            <w:r>
              <w:rPr>
                <w:rFonts w:ascii="Courier New" w:hAnsi="Courier New" w:cs="Courier New"/>
                <w:color w:val="000000"/>
                <w:sz w:val="18"/>
                <w:szCs w:val="18"/>
                <w:lang w:eastAsia="zh-CN"/>
              </w:rPr>
              <w:t>本项目预算资金下达3.41万元，实际执行3.11，预算执行率达91.39%。</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lang w:eastAsia="zh-CN"/>
              </w:rPr>
            </w:pPr>
          </w:p>
        </w:tc>
        <w:tc>
          <w:tcPr>
            <w:tcW w:w="20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　</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3.41</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3.41</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3.11</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91.39%</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Courier New" w:hAnsi="Courier New" w:cs="Courier New"/>
                <w:i/>
                <w:iCs/>
                <w:color w:val="000000"/>
                <w:sz w:val="18"/>
                <w:szCs w:val="18"/>
                <w:lang w:eastAsia="zh-CN"/>
              </w:rPr>
            </w:pPr>
            <w:r>
              <w:rPr>
                <w:rFonts w:ascii="Courier New" w:hAnsi="Courier New" w:cs="Courier New"/>
                <w:i/>
                <w:iCs/>
                <w:color w:val="000000"/>
                <w:sz w:val="18"/>
                <w:szCs w:val="18"/>
                <w:lang w:eastAsia="zh-CN"/>
              </w:rPr>
              <w:t>1.预算执行率=预算执行数/调整后预算数，预算执行率未达到90%的需说明原因（100字以内）;2.年中发生预算调整的（追加或调减）</w:t>
            </w:r>
            <w:r>
              <w:rPr>
                <w:rFonts w:hint="eastAsia" w:ascii="Courier New" w:hAnsi="Courier New" w:cs="Courier New"/>
                <w:i/>
                <w:iCs/>
                <w:color w:val="000000"/>
                <w:sz w:val="18"/>
                <w:szCs w:val="18"/>
                <w:lang w:eastAsia="zh-CN"/>
              </w:rPr>
              <w:t>，</w:t>
            </w:r>
            <w:r>
              <w:rPr>
                <w:rFonts w:ascii="Courier New" w:hAnsi="Courier New" w:cs="Courier New"/>
                <w:i/>
                <w:iCs/>
                <w:color w:val="000000"/>
                <w:sz w:val="18"/>
                <w:szCs w:val="18"/>
                <w:lang w:eastAsia="zh-CN"/>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lang w:eastAsia="zh-CN"/>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3.41</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3.41</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3.11</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91.39%</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产出指标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法警工作日之外加班人数</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4</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人</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4</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加班事项完成效果</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优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20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及时发放率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100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法院审判执行办案公信力明显提升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提升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提升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可持续影响指标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审执工作顺利长期开展影响效果</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优</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优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对法院司法警察满意度</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90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90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人均月补贴标准</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710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元/月</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710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lang w:eastAsia="zh-CN"/>
              </w:rPr>
              <w:t>结合自评情况，说明项目自评总分，说明项目实施取得的成效或成果。</w:t>
            </w:r>
            <w:r>
              <w:rPr>
                <w:rFonts w:hint="eastAsia" w:ascii="微软雅黑" w:hAnsi="微软雅黑" w:eastAsia="微软雅黑" w:cs="宋体"/>
                <w:i/>
                <w:iCs/>
                <w:color w:val="000000"/>
                <w:sz w:val="16"/>
                <w:szCs w:val="16"/>
              </w:rPr>
              <w:t>（200字以内）</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lang w:eastAsia="zh-CN"/>
              </w:rPr>
              <w:t>结合自评情况，分析存在的问题及原因。</w:t>
            </w:r>
            <w:r>
              <w:rPr>
                <w:rFonts w:hint="eastAsia" w:ascii="微软雅黑" w:hAnsi="微软雅黑" w:eastAsia="微软雅黑" w:cs="宋体"/>
                <w:i/>
                <w:iCs/>
                <w:color w:val="000000"/>
                <w:sz w:val="16"/>
                <w:szCs w:val="16"/>
              </w:rPr>
              <w:t>（200字以内）</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lang w:eastAsia="zh-CN"/>
              </w:rPr>
              <w:t>针对项目自评中发现的问题，提出下一步改进完善的意见及有关政策性建议。</w:t>
            </w:r>
            <w:r>
              <w:rPr>
                <w:rFonts w:hint="eastAsia" w:ascii="微软雅黑" w:hAnsi="微软雅黑" w:eastAsia="微软雅黑" w:cs="宋体"/>
                <w:i/>
                <w:iCs/>
                <w:color w:val="000000"/>
                <w:sz w:val="16"/>
                <w:szCs w:val="16"/>
              </w:rPr>
              <w:t>（200字以内）</w:t>
            </w:r>
          </w:p>
        </w:tc>
      </w:tr>
      <w:tr>
        <w:tblPrEx>
          <w:tblCellMar>
            <w:top w:w="0" w:type="dxa"/>
            <w:left w:w="108" w:type="dxa"/>
            <w:bottom w:w="0" w:type="dxa"/>
            <w:right w:w="108" w:type="dxa"/>
          </w:tblCellMar>
        </w:tblPrEx>
        <w:trPr>
          <w:trHeight w:val="285" w:hRule="atLeast"/>
        </w:trPr>
        <w:tc>
          <w:tcPr>
            <w:tcW w:w="7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项目负责人：</w:t>
            </w:r>
          </w:p>
        </w:tc>
        <w:tc>
          <w:tcPr>
            <w:tcW w:w="6840" w:type="dxa"/>
            <w:gridSpan w:val="6"/>
            <w:tcBorders>
              <w:top w:val="single" w:color="000000" w:sz="4" w:space="0"/>
              <w:left w:val="nil"/>
              <w:bottom w:val="single" w:color="000000" w:sz="4" w:space="0"/>
              <w:right w:val="single" w:color="000000" w:sz="4" w:space="0"/>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财务负责人：</w:t>
            </w:r>
          </w:p>
        </w:tc>
      </w:tr>
      <w:tr>
        <w:tblPrEx>
          <w:tblCellMar>
            <w:top w:w="0" w:type="dxa"/>
            <w:left w:w="108" w:type="dxa"/>
            <w:bottom w:w="0" w:type="dxa"/>
            <w:right w:w="108" w:type="dxa"/>
          </w:tblCellMar>
        </w:tblPrEx>
        <w:trPr>
          <w:trHeight w:val="285" w:hRule="atLeast"/>
        </w:trPr>
        <w:tc>
          <w:tcPr>
            <w:tcW w:w="700" w:type="dxa"/>
            <w:tcBorders>
              <w:top w:val="nil"/>
              <w:left w:val="nil"/>
              <w:bottom w:val="nil"/>
              <w:right w:val="nil"/>
            </w:tcBorders>
            <w:shd w:val="clear" w:color="auto" w:fill="auto"/>
            <w:vAlign w:val="center"/>
          </w:tcPr>
          <w:p>
            <w:pPr>
              <w:rPr>
                <w:rFonts w:ascii="宋体" w:hAnsi="宋体" w:cs="宋体"/>
                <w:sz w:val="18"/>
                <w:szCs w:val="18"/>
              </w:rPr>
            </w:pPr>
          </w:p>
        </w:tc>
        <w:tc>
          <w:tcPr>
            <w:tcW w:w="2060" w:type="dxa"/>
            <w:tcBorders>
              <w:top w:val="nil"/>
              <w:left w:val="nil"/>
              <w:bottom w:val="nil"/>
              <w:right w:val="nil"/>
            </w:tcBorders>
            <w:shd w:val="clear" w:color="auto" w:fill="auto"/>
            <w:vAlign w:val="center"/>
          </w:tcPr>
          <w:p>
            <w:pPr>
              <w:rPr>
                <w:rFonts w:ascii="宋体" w:hAnsi="宋体" w:cs="宋体"/>
                <w:sz w:val="18"/>
                <w:szCs w:val="18"/>
              </w:rPr>
            </w:pPr>
          </w:p>
        </w:tc>
        <w:tc>
          <w:tcPr>
            <w:tcW w:w="1780" w:type="dxa"/>
            <w:tcBorders>
              <w:top w:val="nil"/>
              <w:left w:val="nil"/>
              <w:bottom w:val="nil"/>
              <w:right w:val="nil"/>
            </w:tcBorders>
            <w:shd w:val="clear" w:color="auto" w:fill="auto"/>
            <w:vAlign w:val="center"/>
          </w:tcPr>
          <w:p>
            <w:pPr>
              <w:rPr>
                <w:rFonts w:ascii="宋体" w:hAnsi="宋体" w:cs="宋体"/>
                <w:sz w:val="18"/>
                <w:szCs w:val="18"/>
              </w:rPr>
            </w:pPr>
          </w:p>
        </w:tc>
        <w:tc>
          <w:tcPr>
            <w:tcW w:w="226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168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110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460" w:type="dxa"/>
            <w:tcBorders>
              <w:top w:val="nil"/>
              <w:left w:val="nil"/>
              <w:bottom w:val="nil"/>
              <w:right w:val="nil"/>
            </w:tcBorders>
            <w:shd w:val="clear" w:color="auto" w:fill="auto"/>
            <w:vAlign w:val="center"/>
          </w:tcPr>
          <w:p>
            <w:pPr>
              <w:rPr>
                <w:rFonts w:ascii="宋体" w:hAnsi="宋体" w:cs="宋体"/>
                <w:sz w:val="18"/>
                <w:szCs w:val="18"/>
              </w:rPr>
            </w:pPr>
          </w:p>
        </w:tc>
        <w:tc>
          <w:tcPr>
            <w:tcW w:w="2560" w:type="dxa"/>
            <w:tcBorders>
              <w:top w:val="nil"/>
              <w:left w:val="nil"/>
              <w:bottom w:val="nil"/>
              <w:right w:val="nil"/>
            </w:tcBorders>
            <w:shd w:val="clear" w:color="auto" w:fill="auto"/>
            <w:vAlign w:val="center"/>
          </w:tcPr>
          <w:p>
            <w:pPr>
              <w:rPr>
                <w:rFonts w:ascii="宋体" w:hAnsi="宋体" w:cs="宋体"/>
                <w:sz w:val="18"/>
                <w:szCs w:val="18"/>
              </w:rPr>
            </w:pPr>
          </w:p>
        </w:tc>
      </w:tr>
      <w:tr>
        <w:tblPrEx>
          <w:tblCellMar>
            <w:top w:w="0" w:type="dxa"/>
            <w:left w:w="108" w:type="dxa"/>
            <w:bottom w:w="0" w:type="dxa"/>
            <w:right w:w="108" w:type="dxa"/>
          </w:tblCellMar>
        </w:tblPrEx>
        <w:trPr>
          <w:trHeight w:val="90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黑体" w:hAnsi="黑体" w:eastAsia="黑体" w:cs="宋体"/>
                <w:b/>
                <w:bCs/>
                <w:color w:val="000000"/>
                <w:sz w:val="30"/>
                <w:szCs w:val="30"/>
                <w:lang w:eastAsia="zh-CN"/>
              </w:rPr>
            </w:pPr>
            <w:r>
              <w:rPr>
                <w:rFonts w:hint="eastAsia" w:ascii="黑体" w:hAnsi="黑体" w:eastAsia="黑体" w:cs="宋体"/>
                <w:b/>
                <w:bCs/>
                <w:color w:val="000000"/>
                <w:sz w:val="30"/>
                <w:szCs w:val="30"/>
                <w:lang w:eastAsia="zh-CN"/>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51080023T000009452039-2023年特定转移支付</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广元市朝天区人民法院部门</w:t>
            </w:r>
          </w:p>
        </w:tc>
        <w:tc>
          <w:tcPr>
            <w:tcW w:w="1100" w:type="dxa"/>
            <w:tcBorders>
              <w:top w:val="nil"/>
              <w:left w:val="nil"/>
              <w:bottom w:val="nil"/>
              <w:right w:val="nil"/>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广元市朝天区人民法院</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jc w:val="center"/>
              <w:rPr>
                <w:rFonts w:ascii="Courier New" w:hAnsi="Courier New" w:cs="Courier New"/>
                <w:color w:val="000000"/>
                <w:sz w:val="18"/>
                <w:szCs w:val="18"/>
              </w:rPr>
            </w:pPr>
            <w:r>
              <w:rPr>
                <w:rFonts w:ascii="Courier New" w:hAnsi="Courier New" w:cs="Courier New"/>
                <w:color w:val="00000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保障2023年上半年审判执行工作高效开展，为区域经济社会发展贡献法治力量。</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rPr>
                <w:rFonts w:ascii="Courier New" w:hAnsi="Courier New" w:cs="Courier New"/>
                <w:color w:val="000000"/>
                <w:sz w:val="18"/>
                <w:szCs w:val="18"/>
                <w:lang w:eastAsia="zh-CN"/>
              </w:rPr>
            </w:pPr>
            <w:r>
              <w:rPr>
                <w:rFonts w:hint="eastAsia" w:ascii="Courier New" w:hAnsi="Courier New" w:cs="Courier New"/>
                <w:color w:val="000000"/>
                <w:sz w:val="18"/>
                <w:szCs w:val="18"/>
                <w:lang w:eastAsia="zh-CN"/>
              </w:rPr>
              <w:t>项目资金年初预算数175万元，实际预算执行数174.81万元，预算执行率达到99.98%，保障了2022年上半年审判执行工作。</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lang w:eastAsia="zh-CN"/>
              </w:rPr>
            </w:pPr>
          </w:p>
        </w:tc>
        <w:tc>
          <w:tcPr>
            <w:tcW w:w="20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　</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175.00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174.81</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99.89%</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Courier New" w:hAnsi="Courier New" w:cs="Courier New"/>
                <w:i/>
                <w:iCs/>
                <w:color w:val="000000"/>
                <w:sz w:val="18"/>
                <w:szCs w:val="18"/>
                <w:lang w:eastAsia="zh-CN"/>
              </w:rPr>
            </w:pPr>
            <w:r>
              <w:rPr>
                <w:rFonts w:ascii="Courier New" w:hAnsi="Courier New" w:cs="Courier New"/>
                <w:i/>
                <w:iCs/>
                <w:color w:val="000000"/>
                <w:sz w:val="18"/>
                <w:szCs w:val="18"/>
                <w:lang w:eastAsia="zh-CN"/>
              </w:rPr>
              <w:t>1.预算执行率=预算执行数/调整后预算数，预算执行率未达到90%的需说明原因（100字以内）;2.年中发生预算调整的（追加或调减）</w:t>
            </w:r>
            <w:r>
              <w:rPr>
                <w:rFonts w:hint="eastAsia" w:ascii="Courier New" w:hAnsi="Courier New" w:cs="Courier New"/>
                <w:i/>
                <w:iCs/>
                <w:color w:val="000000"/>
                <w:sz w:val="18"/>
                <w:szCs w:val="18"/>
                <w:lang w:eastAsia="zh-CN"/>
              </w:rPr>
              <w:t>，</w:t>
            </w:r>
            <w:r>
              <w:rPr>
                <w:rFonts w:ascii="Courier New" w:hAnsi="Courier New" w:cs="Courier New"/>
                <w:i/>
                <w:iCs/>
                <w:color w:val="000000"/>
                <w:sz w:val="18"/>
                <w:szCs w:val="18"/>
                <w:lang w:eastAsia="zh-CN"/>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lang w:eastAsia="zh-CN"/>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175.00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174.81</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99.89%</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　</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0.00</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产出指标</w:t>
            </w: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数量指标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半年度新收案件数（件）</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1500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件</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1500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保障派出法庭（个）</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4</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个</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4</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购置业务装备（台套）</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套</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1</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保障执行办案车辆（辆）</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11</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辆</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11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法官人均案件结案数（件）</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150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件</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150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质量指标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一审判决案件改发率（%）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1.7</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1.7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长期未结案化解率（%）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100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案件法定期限内结案率（%）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100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均衡结案度（%）</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75</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75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案件审判时效</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60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天</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60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法院公信力得到提升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明显提升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明显提升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可持续发展指标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保障执行审判办案高效运行，推进区域法制化建设</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效果显著</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效果显著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服判息诉率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96</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96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项目总成本</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175</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173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lang w:eastAsia="zh-CN"/>
              </w:rPr>
              <w:t>结合自评情况，说明项目自评总分，说明项目实施取得的成效或成果。</w:t>
            </w:r>
            <w:r>
              <w:rPr>
                <w:rFonts w:hint="eastAsia" w:ascii="微软雅黑" w:hAnsi="微软雅黑" w:eastAsia="微软雅黑" w:cs="宋体"/>
                <w:i/>
                <w:iCs/>
                <w:color w:val="000000"/>
                <w:sz w:val="16"/>
                <w:szCs w:val="16"/>
              </w:rPr>
              <w:t>（200字以内）</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lang w:eastAsia="zh-CN"/>
              </w:rPr>
              <w:t>结合自评情况，分析存在的问题及原因。</w:t>
            </w:r>
            <w:r>
              <w:rPr>
                <w:rFonts w:hint="eastAsia" w:ascii="微软雅黑" w:hAnsi="微软雅黑" w:eastAsia="微软雅黑" w:cs="宋体"/>
                <w:i/>
                <w:iCs/>
                <w:color w:val="000000"/>
                <w:sz w:val="16"/>
                <w:szCs w:val="16"/>
              </w:rPr>
              <w:t>（200字以内）</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lang w:eastAsia="zh-CN"/>
              </w:rPr>
              <w:t>针对项目自评中发现的问题，提出下一步改进完善的意见及有关政策性建议。</w:t>
            </w:r>
            <w:r>
              <w:rPr>
                <w:rFonts w:hint="eastAsia" w:ascii="微软雅黑" w:hAnsi="微软雅黑" w:eastAsia="微软雅黑" w:cs="宋体"/>
                <w:i/>
                <w:iCs/>
                <w:color w:val="000000"/>
                <w:sz w:val="16"/>
                <w:szCs w:val="16"/>
              </w:rPr>
              <w:t>（200字以内）</w:t>
            </w:r>
          </w:p>
        </w:tc>
      </w:tr>
      <w:tr>
        <w:tblPrEx>
          <w:tblCellMar>
            <w:top w:w="0" w:type="dxa"/>
            <w:left w:w="108" w:type="dxa"/>
            <w:bottom w:w="0" w:type="dxa"/>
            <w:right w:w="108" w:type="dxa"/>
          </w:tblCellMar>
        </w:tblPrEx>
        <w:trPr>
          <w:trHeight w:val="285" w:hRule="atLeast"/>
        </w:trPr>
        <w:tc>
          <w:tcPr>
            <w:tcW w:w="7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项目负责人：</w:t>
            </w:r>
          </w:p>
        </w:tc>
        <w:tc>
          <w:tcPr>
            <w:tcW w:w="6840" w:type="dxa"/>
            <w:gridSpan w:val="6"/>
            <w:tcBorders>
              <w:top w:val="single" w:color="000000" w:sz="4" w:space="0"/>
              <w:left w:val="nil"/>
              <w:bottom w:val="single" w:color="000000" w:sz="4" w:space="0"/>
              <w:right w:val="single" w:color="000000" w:sz="4" w:space="0"/>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财务负责人：</w:t>
            </w:r>
          </w:p>
        </w:tc>
      </w:tr>
      <w:tr>
        <w:tblPrEx>
          <w:tblCellMar>
            <w:top w:w="0" w:type="dxa"/>
            <w:left w:w="108" w:type="dxa"/>
            <w:bottom w:w="0" w:type="dxa"/>
            <w:right w:w="108" w:type="dxa"/>
          </w:tblCellMar>
        </w:tblPrEx>
        <w:trPr>
          <w:trHeight w:val="285" w:hRule="atLeast"/>
        </w:trPr>
        <w:tc>
          <w:tcPr>
            <w:tcW w:w="700" w:type="dxa"/>
            <w:tcBorders>
              <w:top w:val="nil"/>
              <w:left w:val="nil"/>
              <w:bottom w:val="nil"/>
              <w:right w:val="nil"/>
            </w:tcBorders>
            <w:shd w:val="clear" w:color="auto" w:fill="auto"/>
            <w:vAlign w:val="center"/>
          </w:tcPr>
          <w:p>
            <w:pPr>
              <w:rPr>
                <w:rFonts w:ascii="宋体" w:hAnsi="宋体" w:cs="宋体"/>
                <w:sz w:val="18"/>
                <w:szCs w:val="18"/>
              </w:rPr>
            </w:pPr>
          </w:p>
        </w:tc>
        <w:tc>
          <w:tcPr>
            <w:tcW w:w="2060" w:type="dxa"/>
            <w:tcBorders>
              <w:top w:val="nil"/>
              <w:left w:val="nil"/>
              <w:bottom w:val="nil"/>
              <w:right w:val="nil"/>
            </w:tcBorders>
            <w:shd w:val="clear" w:color="auto" w:fill="auto"/>
            <w:vAlign w:val="center"/>
          </w:tcPr>
          <w:p>
            <w:pPr>
              <w:rPr>
                <w:rFonts w:ascii="宋体" w:hAnsi="宋体" w:cs="宋体"/>
                <w:sz w:val="18"/>
                <w:szCs w:val="18"/>
              </w:rPr>
            </w:pPr>
          </w:p>
        </w:tc>
        <w:tc>
          <w:tcPr>
            <w:tcW w:w="1780" w:type="dxa"/>
            <w:tcBorders>
              <w:top w:val="nil"/>
              <w:left w:val="nil"/>
              <w:bottom w:val="nil"/>
              <w:right w:val="nil"/>
            </w:tcBorders>
            <w:shd w:val="clear" w:color="auto" w:fill="auto"/>
            <w:vAlign w:val="center"/>
          </w:tcPr>
          <w:p>
            <w:pPr>
              <w:rPr>
                <w:rFonts w:ascii="宋体" w:hAnsi="宋体" w:cs="宋体"/>
                <w:sz w:val="18"/>
                <w:szCs w:val="18"/>
              </w:rPr>
            </w:pPr>
          </w:p>
        </w:tc>
        <w:tc>
          <w:tcPr>
            <w:tcW w:w="226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168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110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460" w:type="dxa"/>
            <w:tcBorders>
              <w:top w:val="nil"/>
              <w:left w:val="nil"/>
              <w:bottom w:val="nil"/>
              <w:right w:val="nil"/>
            </w:tcBorders>
            <w:shd w:val="clear" w:color="auto" w:fill="auto"/>
            <w:vAlign w:val="center"/>
          </w:tcPr>
          <w:p>
            <w:pPr>
              <w:rPr>
                <w:rFonts w:ascii="宋体" w:hAnsi="宋体" w:cs="宋体"/>
                <w:sz w:val="18"/>
                <w:szCs w:val="18"/>
              </w:rPr>
            </w:pPr>
          </w:p>
        </w:tc>
        <w:tc>
          <w:tcPr>
            <w:tcW w:w="2560" w:type="dxa"/>
            <w:tcBorders>
              <w:top w:val="nil"/>
              <w:left w:val="nil"/>
              <w:bottom w:val="nil"/>
              <w:right w:val="nil"/>
            </w:tcBorders>
            <w:shd w:val="clear" w:color="auto" w:fill="auto"/>
            <w:vAlign w:val="center"/>
          </w:tcPr>
          <w:p>
            <w:pPr>
              <w:rPr>
                <w:rFonts w:ascii="宋体" w:hAnsi="宋体" w:cs="宋体"/>
                <w:sz w:val="18"/>
                <w:szCs w:val="18"/>
              </w:rPr>
            </w:pPr>
          </w:p>
        </w:tc>
      </w:tr>
      <w:tr>
        <w:tblPrEx>
          <w:tblCellMar>
            <w:top w:w="0" w:type="dxa"/>
            <w:left w:w="108" w:type="dxa"/>
            <w:bottom w:w="0" w:type="dxa"/>
            <w:right w:w="108" w:type="dxa"/>
          </w:tblCellMar>
        </w:tblPrEx>
        <w:trPr>
          <w:cantSplit/>
          <w:trHeight w:val="1134" w:hRule="atLeast"/>
        </w:trPr>
        <w:tc>
          <w:tcPr>
            <w:tcW w:w="141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黑体" w:hAnsi="黑体" w:eastAsia="黑体" w:cs="宋体"/>
                <w:b/>
                <w:bCs/>
                <w:color w:val="000000"/>
                <w:sz w:val="30"/>
                <w:szCs w:val="30"/>
                <w:lang w:eastAsia="zh-CN"/>
              </w:rPr>
            </w:pPr>
            <w:r>
              <w:rPr>
                <w:rFonts w:hint="eastAsia" w:ascii="黑体" w:hAnsi="黑体" w:eastAsia="黑体" w:cs="宋体"/>
                <w:b/>
                <w:bCs/>
                <w:color w:val="000000"/>
                <w:sz w:val="30"/>
                <w:szCs w:val="30"/>
                <w:lang w:eastAsia="zh-CN"/>
              </w:rPr>
              <w:t>部门预算项目支出绩效自评表（2023年度）</w:t>
            </w:r>
          </w:p>
        </w:tc>
      </w:tr>
      <w:tr>
        <w:tblPrEx>
          <w:tblCellMar>
            <w:top w:w="0" w:type="dxa"/>
            <w:left w:w="108" w:type="dxa"/>
            <w:bottom w:w="0" w:type="dxa"/>
            <w:right w:w="108" w:type="dxa"/>
          </w:tblCellMar>
        </w:tblPrEx>
        <w:trPr>
          <w:trHeight w:val="285"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项目名称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51080024T000010197516-2023年第二批特定转移支付</w:t>
            </w:r>
          </w:p>
        </w:tc>
      </w:tr>
      <w:tr>
        <w:tblPrEx>
          <w:tblCellMar>
            <w:top w:w="0" w:type="dxa"/>
            <w:left w:w="108" w:type="dxa"/>
            <w:bottom w:w="0" w:type="dxa"/>
            <w:right w:w="108" w:type="dxa"/>
          </w:tblCellMar>
        </w:tblPrEx>
        <w:trPr>
          <w:trHeight w:val="514" w:hRule="atLeast"/>
        </w:trPr>
        <w:tc>
          <w:tcPr>
            <w:tcW w:w="2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主管部门</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广元市朝天区人民法院部门</w:t>
            </w:r>
          </w:p>
        </w:tc>
        <w:tc>
          <w:tcPr>
            <w:tcW w:w="1100" w:type="dxa"/>
            <w:tcBorders>
              <w:top w:val="nil"/>
              <w:left w:val="nil"/>
              <w:bottom w:val="nil"/>
              <w:right w:val="nil"/>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实施单位 （盖章）</w:t>
            </w:r>
          </w:p>
        </w:tc>
        <w:tc>
          <w:tcPr>
            <w:tcW w:w="35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广元市朝天区人民法院</w:t>
            </w:r>
          </w:p>
        </w:tc>
      </w:tr>
      <w:tr>
        <w:tblPrEx>
          <w:tblCellMar>
            <w:top w:w="0" w:type="dxa"/>
            <w:left w:w="108" w:type="dxa"/>
            <w:bottom w:w="0" w:type="dxa"/>
            <w:right w:w="108" w:type="dxa"/>
          </w:tblCellMar>
        </w:tblPrEx>
        <w:trPr>
          <w:trHeight w:val="285"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项目基本情况</w:t>
            </w: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1.项目年度目标完成情况</w:t>
            </w: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项目年度目标</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jc w:val="center"/>
              <w:rPr>
                <w:rFonts w:ascii="Courier New" w:hAnsi="Courier New" w:cs="Courier New"/>
                <w:color w:val="000000"/>
                <w:sz w:val="18"/>
                <w:szCs w:val="18"/>
              </w:rPr>
            </w:pPr>
            <w:r>
              <w:rPr>
                <w:rFonts w:ascii="Courier New" w:hAnsi="Courier New" w:cs="Courier New"/>
                <w:color w:val="000000"/>
                <w:sz w:val="18"/>
                <w:szCs w:val="18"/>
              </w:rPr>
              <w:t>年度目标完成情况</w:t>
            </w:r>
          </w:p>
        </w:tc>
      </w:tr>
      <w:tr>
        <w:tblPrEx>
          <w:tblCellMar>
            <w:top w:w="0" w:type="dxa"/>
            <w:left w:w="108" w:type="dxa"/>
            <w:bottom w:w="0" w:type="dxa"/>
            <w:right w:w="108" w:type="dxa"/>
          </w:tblCellMar>
        </w:tblPrEx>
        <w:trPr>
          <w:trHeight w:val="709"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6760" w:type="dxa"/>
            <w:gridSpan w:val="5"/>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保障2023年下半年审判执行工作高效开展，为区域经济社会发展贡献法治力量</w:t>
            </w:r>
          </w:p>
        </w:tc>
        <w:tc>
          <w:tcPr>
            <w:tcW w:w="4640" w:type="dxa"/>
            <w:gridSpan w:val="4"/>
            <w:tcBorders>
              <w:top w:val="single" w:color="000000" w:sz="4" w:space="0"/>
              <w:left w:val="nil"/>
              <w:bottom w:val="single" w:color="000000" w:sz="4" w:space="0"/>
              <w:right w:val="single" w:color="000000" w:sz="4" w:space="0"/>
            </w:tcBorders>
            <w:shd w:val="clear" w:color="auto" w:fill="auto"/>
            <w:vAlign w:val="center"/>
          </w:tcPr>
          <w:p>
            <w:pPr>
              <w:rPr>
                <w:rFonts w:ascii="Courier New" w:hAnsi="Courier New" w:cs="Courier New"/>
                <w:color w:val="000000"/>
                <w:sz w:val="18"/>
                <w:szCs w:val="18"/>
                <w:lang w:eastAsia="zh-CN"/>
              </w:rPr>
            </w:pPr>
            <w:r>
              <w:rPr>
                <w:rFonts w:hint="eastAsia" w:ascii="Courier New" w:hAnsi="Courier New" w:cs="Courier New"/>
                <w:color w:val="000000"/>
                <w:sz w:val="18"/>
                <w:szCs w:val="18"/>
                <w:lang w:eastAsia="zh-CN"/>
              </w:rPr>
              <w:t>预算执行率达99.94%，项目资金得到充分利用，目标指标值全部完成，保障了2023年下半年审判执行工作。</w:t>
            </w:r>
          </w:p>
        </w:tc>
      </w:tr>
      <w:tr>
        <w:tblPrEx>
          <w:tblCellMar>
            <w:top w:w="0" w:type="dxa"/>
            <w:left w:w="108" w:type="dxa"/>
            <w:bottom w:w="0" w:type="dxa"/>
            <w:right w:w="108" w:type="dxa"/>
          </w:tblCellMar>
        </w:tblPrEx>
        <w:trPr>
          <w:trHeight w:val="69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lang w:eastAsia="zh-CN"/>
              </w:rPr>
            </w:pPr>
          </w:p>
        </w:tc>
        <w:tc>
          <w:tcPr>
            <w:tcW w:w="20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2.项目实施内容及过程概述</w:t>
            </w:r>
          </w:p>
        </w:tc>
        <w:tc>
          <w:tcPr>
            <w:tcW w:w="11400" w:type="dxa"/>
            <w:gridSpan w:val="9"/>
            <w:tcBorders>
              <w:top w:val="single" w:color="000000" w:sz="4" w:space="0"/>
              <w:left w:val="nil"/>
              <w:bottom w:val="single" w:color="000000" w:sz="4" w:space="0"/>
              <w:right w:val="single" w:color="000000" w:sz="4" w:space="0"/>
            </w:tcBorders>
            <w:shd w:val="clear" w:color="auto" w:fill="auto"/>
            <w:vAlign w:val="center"/>
          </w:tcPr>
          <w:p>
            <w:pPr>
              <w:rPr>
                <w:rFonts w:ascii="宋体" w:hAnsi="宋体" w:cs="宋体"/>
                <w:color w:val="000000"/>
                <w:sz w:val="18"/>
                <w:szCs w:val="18"/>
                <w:lang w:eastAsia="zh-CN"/>
              </w:rPr>
            </w:pPr>
            <w:r>
              <w:rPr>
                <w:rFonts w:hint="eastAsia" w:ascii="宋体" w:hAnsi="宋体" w:cs="宋体"/>
                <w:color w:val="000000"/>
                <w:sz w:val="18"/>
                <w:szCs w:val="18"/>
                <w:lang w:eastAsia="zh-CN"/>
              </w:rPr>
              <w:t>　</w:t>
            </w:r>
          </w:p>
        </w:tc>
      </w:tr>
      <w:tr>
        <w:tblPrEx>
          <w:tblCellMar>
            <w:top w:w="0" w:type="dxa"/>
            <w:left w:w="108" w:type="dxa"/>
            <w:bottom w:w="0" w:type="dxa"/>
            <w:right w:w="108" w:type="dxa"/>
          </w:tblCellMar>
        </w:tblPrEx>
        <w:trPr>
          <w:trHeight w:val="360"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预算执行情况（10分）</w:t>
            </w: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年度预算数（万元）</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年初预算</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调整后预算数</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预算执行数</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预算执行率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原因</w:t>
            </w:r>
          </w:p>
        </w:tc>
      </w:tr>
      <w:tr>
        <w:tblPrEx>
          <w:tblCellMar>
            <w:top w:w="0" w:type="dxa"/>
            <w:left w:w="108" w:type="dxa"/>
            <w:bottom w:w="0" w:type="dxa"/>
            <w:right w:w="108" w:type="dxa"/>
          </w:tblCellMar>
        </w:tblPrEx>
        <w:trPr>
          <w:trHeight w:val="345"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总额</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78.00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77.95</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99.94%</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Courier New" w:hAnsi="Courier New" w:cs="Courier New"/>
                <w:i/>
                <w:iCs/>
                <w:color w:val="000000"/>
                <w:sz w:val="18"/>
                <w:szCs w:val="18"/>
                <w:lang w:eastAsia="zh-CN"/>
              </w:rPr>
            </w:pPr>
            <w:r>
              <w:rPr>
                <w:rFonts w:ascii="Courier New" w:hAnsi="Courier New" w:cs="Courier New"/>
                <w:i/>
                <w:iCs/>
                <w:color w:val="000000"/>
                <w:sz w:val="18"/>
                <w:szCs w:val="18"/>
                <w:lang w:eastAsia="zh-CN"/>
              </w:rPr>
              <w:t>1.预算执行率=预算执行数/调整后预算数，预算执行率未达到90%的需说明原因（100字以内）;2.年中发生预算调整的（追加或调减）</w:t>
            </w:r>
            <w:r>
              <w:rPr>
                <w:rFonts w:hint="eastAsia" w:ascii="Courier New" w:hAnsi="Courier New" w:cs="Courier New"/>
                <w:i/>
                <w:iCs/>
                <w:color w:val="000000"/>
                <w:sz w:val="18"/>
                <w:szCs w:val="18"/>
                <w:lang w:eastAsia="zh-CN"/>
              </w:rPr>
              <w:t>，</w:t>
            </w:r>
            <w:r>
              <w:rPr>
                <w:rFonts w:ascii="Courier New" w:hAnsi="Courier New" w:cs="Courier New"/>
                <w:i/>
                <w:iCs/>
                <w:color w:val="000000"/>
                <w:sz w:val="18"/>
                <w:szCs w:val="18"/>
                <w:lang w:eastAsia="zh-CN"/>
              </w:rPr>
              <w:t>应单独说明理由；3.其他资金包括：社会投入资金、银行贷款.</w:t>
            </w:r>
          </w:p>
        </w:tc>
      </w:tr>
      <w:tr>
        <w:tblPrEx>
          <w:tblCellMar>
            <w:top w:w="0" w:type="dxa"/>
            <w:left w:w="108" w:type="dxa"/>
            <w:bottom w:w="0" w:type="dxa"/>
            <w:right w:w="108" w:type="dxa"/>
          </w:tblCellMar>
        </w:tblPrEx>
        <w:trPr>
          <w:trHeight w:val="390"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lang w:eastAsia="zh-CN"/>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其中：财政资金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78.00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77.95</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99.94%</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409"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财政专户管理资金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360"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单位资金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其他资金</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宋体" w:hAnsi="宋体" w:cs="宋体"/>
                <w:color w:val="000000"/>
                <w:sz w:val="18"/>
                <w:szCs w:val="18"/>
              </w:rPr>
              <w:t>　0.00</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　</w:t>
            </w:r>
          </w:p>
        </w:tc>
        <w:tc>
          <w:tcPr>
            <w:tcW w:w="2720"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宋体" w:hAnsi="宋体" w:cs="宋体"/>
                <w:color w:val="000000"/>
                <w:sz w:val="18"/>
                <w:szCs w:val="18"/>
              </w:rPr>
              <w:t>0.00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0.00%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2560" w:type="dxa"/>
            <w:vMerge w:val="continue"/>
            <w:tcBorders>
              <w:top w:val="nil"/>
              <w:left w:val="single" w:color="000000" w:sz="4" w:space="0"/>
              <w:bottom w:val="single" w:color="000000" w:sz="4" w:space="0"/>
              <w:right w:val="single" w:color="000000" w:sz="4" w:space="0"/>
            </w:tcBorders>
            <w:vAlign w:val="center"/>
          </w:tcPr>
          <w:p>
            <w:pPr>
              <w:rPr>
                <w:rFonts w:ascii="Courier New" w:hAnsi="Courier New" w:cs="Courier New"/>
                <w:i/>
                <w:iCs/>
                <w:color w:val="000000"/>
                <w:sz w:val="18"/>
                <w:szCs w:val="18"/>
              </w:rPr>
            </w:pPr>
          </w:p>
        </w:tc>
      </w:tr>
      <w:tr>
        <w:tblPrEx>
          <w:tblCellMar>
            <w:top w:w="0" w:type="dxa"/>
            <w:left w:w="108" w:type="dxa"/>
            <w:bottom w:w="0" w:type="dxa"/>
            <w:right w:w="108" w:type="dxa"/>
          </w:tblCellMar>
        </w:tblPrEx>
        <w:trPr>
          <w:trHeight w:val="454" w:hRule="atLeast"/>
        </w:trPr>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绩效指标（90分）</w:t>
            </w: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一级指标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二级指标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三级指标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指标性质</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指标值</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度量单位</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完成值</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权重</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得分</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未完成原因分析</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产出指标</w:t>
            </w: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数量指标</w:t>
            </w:r>
          </w:p>
        </w:tc>
        <w:tc>
          <w:tcPr>
            <w:tcW w:w="226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保障执行办案车辆（辆）</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160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件</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160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2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52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4</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个</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4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2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52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11</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辆</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11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半年度新收案件数（件）</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件</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1050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质量指标</w:t>
            </w:r>
          </w:p>
        </w:tc>
        <w:tc>
          <w:tcPr>
            <w:tcW w:w="226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长期未结案化解率（%）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100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2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82</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82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案件法定期限内结案率（%）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94</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94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一审判决案件改发率（%）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306</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305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时效指标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案件审判时效</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60</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天</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57</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效益指标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社会效益指标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法院公信力得到提升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明显提升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明显提升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90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可持续发展指标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lang w:eastAsia="zh-CN"/>
              </w:rPr>
            </w:pPr>
            <w:r>
              <w:rPr>
                <w:rFonts w:hint="eastAsia" w:ascii="宋体" w:hAnsi="宋体" w:cs="宋体"/>
                <w:color w:val="000000"/>
                <w:sz w:val="18"/>
                <w:szCs w:val="18"/>
                <w:lang w:eastAsia="zh-CN"/>
              </w:rPr>
              <w:t>一审判决案件改发率（%）保障执行审判办案高效运行，推进区域法制化建设</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定性</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效果显著</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效果显著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454"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满意度指标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服务对象满意度指标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服判息诉率</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91.83</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92　</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338" w:hRule="atLeast"/>
        </w:trPr>
        <w:tc>
          <w:tcPr>
            <w:tcW w:w="700"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18"/>
                <w:szCs w:val="18"/>
              </w:rPr>
            </w:pPr>
          </w:p>
        </w:tc>
        <w:tc>
          <w:tcPr>
            <w:tcW w:w="20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成本指标</w:t>
            </w:r>
          </w:p>
        </w:tc>
        <w:tc>
          <w:tcPr>
            <w:tcW w:w="17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经济成本指标</w:t>
            </w:r>
          </w:p>
        </w:tc>
        <w:tc>
          <w:tcPr>
            <w:tcW w:w="22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项目总成本</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w:t>
            </w:r>
          </w:p>
        </w:tc>
        <w:tc>
          <w:tcPr>
            <w:tcW w:w="168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78</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万元</w:t>
            </w:r>
          </w:p>
        </w:tc>
        <w:tc>
          <w:tcPr>
            <w:tcW w:w="110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77</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5</w:t>
            </w:r>
          </w:p>
        </w:tc>
        <w:tc>
          <w:tcPr>
            <w:tcW w:w="46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jc w:val="cente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　</w:t>
            </w:r>
          </w:p>
        </w:tc>
      </w:tr>
      <w:tr>
        <w:tblPrEx>
          <w:tblCellMar>
            <w:top w:w="0" w:type="dxa"/>
            <w:left w:w="108" w:type="dxa"/>
            <w:bottom w:w="0" w:type="dxa"/>
            <w:right w:w="108" w:type="dxa"/>
          </w:tblCellMar>
        </w:tblPrEx>
        <w:trPr>
          <w:trHeight w:val="285" w:hRule="atLeast"/>
        </w:trPr>
        <w:tc>
          <w:tcPr>
            <w:tcW w:w="106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合计</w:t>
            </w:r>
          </w:p>
        </w:tc>
        <w:tc>
          <w:tcPr>
            <w:tcW w:w="520" w:type="dxa"/>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100</w:t>
            </w:r>
          </w:p>
        </w:tc>
        <w:tc>
          <w:tcPr>
            <w:tcW w:w="4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w:t>
            </w:r>
          </w:p>
        </w:tc>
        <w:tc>
          <w:tcPr>
            <w:tcW w:w="2560" w:type="dxa"/>
            <w:tcBorders>
              <w:top w:val="nil"/>
              <w:left w:val="nil"/>
              <w:bottom w:val="single" w:color="000000" w:sz="4" w:space="0"/>
              <w:right w:val="single" w:color="000000" w:sz="4" w:space="0"/>
            </w:tcBorders>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w:t>
            </w:r>
          </w:p>
        </w:tc>
      </w:tr>
      <w:tr>
        <w:tblPrEx>
          <w:tblCellMar>
            <w:top w:w="0" w:type="dxa"/>
            <w:left w:w="108" w:type="dxa"/>
            <w:bottom w:w="0" w:type="dxa"/>
            <w:right w:w="108" w:type="dxa"/>
          </w:tblCellMar>
        </w:tblPrEx>
        <w:trPr>
          <w:trHeight w:val="60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评价结论</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lang w:eastAsia="zh-CN"/>
              </w:rPr>
            </w:pPr>
            <w:r>
              <w:rPr>
                <w:rFonts w:hint="eastAsia" w:ascii="微软雅黑" w:hAnsi="微软雅黑" w:eastAsia="微软雅黑" w:cs="宋体"/>
                <w:i/>
                <w:iCs/>
                <w:color w:val="000000"/>
                <w:sz w:val="16"/>
                <w:szCs w:val="16"/>
                <w:lang w:eastAsia="zh-CN"/>
              </w:rPr>
              <w:t>第二批转移支付资金78万元，预算执行77.95万元，预算执行率高达99.94%，我院充分合理利用资金，保障执行办案车辆日常运行，为案件办理做好保障，提升了我院公信力。</w:t>
            </w:r>
          </w:p>
        </w:tc>
      </w:tr>
      <w:tr>
        <w:tblPrEx>
          <w:tblCellMar>
            <w:top w:w="0" w:type="dxa"/>
            <w:left w:w="108" w:type="dxa"/>
            <w:bottom w:w="0" w:type="dxa"/>
            <w:right w:w="108" w:type="dxa"/>
          </w:tblCellMar>
        </w:tblPrEx>
        <w:trPr>
          <w:trHeight w:val="57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存在问题</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无。</w:t>
            </w:r>
          </w:p>
        </w:tc>
      </w:tr>
      <w:tr>
        <w:tblPrEx>
          <w:tblCellMar>
            <w:top w:w="0" w:type="dxa"/>
            <w:left w:w="108" w:type="dxa"/>
            <w:bottom w:w="0" w:type="dxa"/>
            <w:right w:w="108" w:type="dxa"/>
          </w:tblCellMar>
        </w:tblPrEx>
        <w:trPr>
          <w:trHeight w:val="634" w:hRule="atLeast"/>
        </w:trPr>
        <w:tc>
          <w:tcPr>
            <w:tcW w:w="700"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cs="宋体"/>
                <w:color w:val="000000"/>
                <w:sz w:val="18"/>
                <w:szCs w:val="18"/>
              </w:rPr>
              <w:t>改进措施</w:t>
            </w:r>
          </w:p>
        </w:tc>
        <w:tc>
          <w:tcPr>
            <w:tcW w:w="13460" w:type="dxa"/>
            <w:gridSpan w:val="10"/>
            <w:tcBorders>
              <w:top w:val="single" w:color="000000" w:sz="4" w:space="0"/>
              <w:left w:val="nil"/>
              <w:bottom w:val="single" w:color="000000" w:sz="4" w:space="0"/>
              <w:right w:val="single" w:color="000000" w:sz="4" w:space="0"/>
            </w:tcBorders>
            <w:shd w:val="clear" w:color="auto" w:fill="auto"/>
            <w:vAlign w:val="center"/>
          </w:tcPr>
          <w:p>
            <w:pPr>
              <w:rPr>
                <w:rFonts w:ascii="微软雅黑" w:hAnsi="微软雅黑" w:eastAsia="微软雅黑" w:cs="宋体"/>
                <w:i/>
                <w:iCs/>
                <w:color w:val="000000"/>
                <w:sz w:val="16"/>
                <w:szCs w:val="16"/>
              </w:rPr>
            </w:pPr>
            <w:r>
              <w:rPr>
                <w:rFonts w:hint="eastAsia" w:ascii="微软雅黑" w:hAnsi="微软雅黑" w:eastAsia="微软雅黑" w:cs="宋体"/>
                <w:i/>
                <w:iCs/>
                <w:color w:val="000000"/>
                <w:sz w:val="16"/>
                <w:szCs w:val="16"/>
              </w:rPr>
              <w:t>无。</w:t>
            </w:r>
          </w:p>
        </w:tc>
      </w:tr>
      <w:tr>
        <w:tblPrEx>
          <w:tblCellMar>
            <w:top w:w="0" w:type="dxa"/>
            <w:left w:w="108" w:type="dxa"/>
            <w:bottom w:w="0" w:type="dxa"/>
            <w:right w:w="108" w:type="dxa"/>
          </w:tblCellMar>
        </w:tblPrEx>
        <w:trPr>
          <w:trHeight w:val="285" w:hRule="atLeast"/>
        </w:trPr>
        <w:tc>
          <w:tcPr>
            <w:tcW w:w="7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项目负责人：</w:t>
            </w:r>
          </w:p>
        </w:tc>
        <w:tc>
          <w:tcPr>
            <w:tcW w:w="6840" w:type="dxa"/>
            <w:gridSpan w:val="6"/>
            <w:tcBorders>
              <w:top w:val="single" w:color="000000" w:sz="4" w:space="0"/>
              <w:left w:val="nil"/>
              <w:bottom w:val="single" w:color="000000" w:sz="4" w:space="0"/>
              <w:right w:val="single" w:color="000000" w:sz="4" w:space="0"/>
            </w:tcBorders>
            <w:shd w:val="clear" w:color="auto" w:fill="auto"/>
            <w:vAlign w:val="center"/>
          </w:tcPr>
          <w:p>
            <w:pPr>
              <w:rPr>
                <w:rFonts w:ascii="Courier New" w:hAnsi="Courier New" w:cs="Courier New"/>
                <w:color w:val="000000"/>
                <w:sz w:val="18"/>
                <w:szCs w:val="18"/>
              </w:rPr>
            </w:pPr>
            <w:r>
              <w:rPr>
                <w:rFonts w:ascii="Courier New" w:hAnsi="Courier New" w:cs="Courier New"/>
                <w:color w:val="000000"/>
                <w:sz w:val="18"/>
                <w:szCs w:val="18"/>
              </w:rPr>
              <w:t>财务负责人：</w:t>
            </w:r>
          </w:p>
        </w:tc>
      </w:tr>
      <w:tr>
        <w:tblPrEx>
          <w:tblCellMar>
            <w:top w:w="0" w:type="dxa"/>
            <w:left w:w="108" w:type="dxa"/>
            <w:bottom w:w="0" w:type="dxa"/>
            <w:right w:w="108" w:type="dxa"/>
          </w:tblCellMar>
        </w:tblPrEx>
        <w:trPr>
          <w:trHeight w:val="285" w:hRule="atLeast"/>
        </w:trPr>
        <w:tc>
          <w:tcPr>
            <w:tcW w:w="700" w:type="dxa"/>
            <w:tcBorders>
              <w:top w:val="nil"/>
              <w:left w:val="nil"/>
              <w:bottom w:val="nil"/>
              <w:right w:val="nil"/>
            </w:tcBorders>
            <w:shd w:val="clear" w:color="auto" w:fill="auto"/>
            <w:vAlign w:val="center"/>
          </w:tcPr>
          <w:p>
            <w:pPr>
              <w:rPr>
                <w:rFonts w:ascii="宋体" w:hAnsi="宋体" w:cs="宋体"/>
                <w:sz w:val="18"/>
                <w:szCs w:val="18"/>
              </w:rPr>
            </w:pPr>
          </w:p>
        </w:tc>
        <w:tc>
          <w:tcPr>
            <w:tcW w:w="2060" w:type="dxa"/>
            <w:tcBorders>
              <w:top w:val="nil"/>
              <w:left w:val="nil"/>
              <w:bottom w:val="nil"/>
              <w:right w:val="nil"/>
            </w:tcBorders>
            <w:shd w:val="clear" w:color="auto" w:fill="auto"/>
            <w:vAlign w:val="center"/>
          </w:tcPr>
          <w:p>
            <w:pPr>
              <w:rPr>
                <w:rFonts w:ascii="宋体" w:hAnsi="宋体" w:cs="宋体"/>
                <w:sz w:val="18"/>
                <w:szCs w:val="18"/>
              </w:rPr>
            </w:pPr>
          </w:p>
        </w:tc>
        <w:tc>
          <w:tcPr>
            <w:tcW w:w="1780" w:type="dxa"/>
            <w:tcBorders>
              <w:top w:val="nil"/>
              <w:left w:val="nil"/>
              <w:bottom w:val="nil"/>
              <w:right w:val="nil"/>
            </w:tcBorders>
            <w:shd w:val="clear" w:color="auto" w:fill="auto"/>
            <w:vAlign w:val="center"/>
          </w:tcPr>
          <w:p>
            <w:pPr>
              <w:rPr>
                <w:rFonts w:ascii="宋体" w:hAnsi="宋体" w:cs="宋体"/>
                <w:sz w:val="18"/>
                <w:szCs w:val="18"/>
              </w:rPr>
            </w:pPr>
          </w:p>
        </w:tc>
        <w:tc>
          <w:tcPr>
            <w:tcW w:w="226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168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1100" w:type="dxa"/>
            <w:tcBorders>
              <w:top w:val="nil"/>
              <w:left w:val="nil"/>
              <w:bottom w:val="nil"/>
              <w:right w:val="nil"/>
            </w:tcBorders>
            <w:shd w:val="clear" w:color="auto" w:fill="auto"/>
            <w:vAlign w:val="center"/>
          </w:tcPr>
          <w:p>
            <w:pPr>
              <w:rPr>
                <w:rFonts w:ascii="宋体" w:hAnsi="宋体" w:cs="宋体"/>
                <w:sz w:val="18"/>
                <w:szCs w:val="18"/>
              </w:rPr>
            </w:pPr>
          </w:p>
        </w:tc>
        <w:tc>
          <w:tcPr>
            <w:tcW w:w="520" w:type="dxa"/>
            <w:tcBorders>
              <w:top w:val="nil"/>
              <w:left w:val="nil"/>
              <w:bottom w:val="nil"/>
              <w:right w:val="nil"/>
            </w:tcBorders>
            <w:shd w:val="clear" w:color="auto" w:fill="auto"/>
            <w:vAlign w:val="center"/>
          </w:tcPr>
          <w:p>
            <w:pPr>
              <w:rPr>
                <w:rFonts w:ascii="宋体" w:hAnsi="宋体" w:cs="宋体"/>
                <w:sz w:val="18"/>
                <w:szCs w:val="18"/>
              </w:rPr>
            </w:pPr>
          </w:p>
        </w:tc>
        <w:tc>
          <w:tcPr>
            <w:tcW w:w="460" w:type="dxa"/>
            <w:tcBorders>
              <w:top w:val="nil"/>
              <w:left w:val="nil"/>
              <w:bottom w:val="nil"/>
              <w:right w:val="nil"/>
            </w:tcBorders>
            <w:shd w:val="clear" w:color="auto" w:fill="auto"/>
            <w:vAlign w:val="center"/>
          </w:tcPr>
          <w:p>
            <w:pPr>
              <w:rPr>
                <w:rFonts w:ascii="宋体" w:hAnsi="宋体" w:cs="宋体"/>
                <w:sz w:val="18"/>
                <w:szCs w:val="18"/>
              </w:rPr>
            </w:pPr>
          </w:p>
        </w:tc>
        <w:tc>
          <w:tcPr>
            <w:tcW w:w="2560" w:type="dxa"/>
            <w:tcBorders>
              <w:top w:val="nil"/>
              <w:left w:val="nil"/>
              <w:bottom w:val="nil"/>
              <w:right w:val="nil"/>
            </w:tcBorders>
            <w:shd w:val="clear" w:color="auto" w:fill="auto"/>
            <w:vAlign w:val="center"/>
          </w:tcPr>
          <w:p>
            <w:pPr>
              <w:rPr>
                <w:rFonts w:ascii="宋体" w:hAnsi="宋体" w:cs="宋体"/>
                <w:sz w:val="18"/>
                <w:szCs w:val="18"/>
              </w:rPr>
            </w:pPr>
          </w:p>
        </w:tc>
      </w:tr>
      <w:tr>
        <w:tblPrEx>
          <w:tblCellMar>
            <w:top w:w="0" w:type="dxa"/>
            <w:left w:w="108" w:type="dxa"/>
            <w:bottom w:w="0" w:type="dxa"/>
            <w:right w:w="108" w:type="dxa"/>
          </w:tblCellMar>
        </w:tblPrEx>
        <w:trPr>
          <w:trHeight w:val="285" w:hRule="atLeast"/>
        </w:trPr>
        <w:tc>
          <w:tcPr>
            <w:tcW w:w="14160" w:type="dxa"/>
            <w:gridSpan w:val="11"/>
            <w:tcBorders>
              <w:top w:val="nil"/>
              <w:left w:val="nil"/>
              <w:bottom w:val="nil"/>
              <w:right w:val="nil"/>
            </w:tcBorders>
            <w:shd w:val="clear" w:color="auto" w:fill="auto"/>
            <w:vAlign w:val="center"/>
          </w:tcPr>
          <w:p>
            <w:pPr>
              <w:rPr>
                <w:rFonts w:ascii="宋体" w:hAnsi="宋体" w:cs="宋体"/>
                <w:sz w:val="18"/>
                <w:szCs w:val="18"/>
                <w:lang w:eastAsia="zh-CN"/>
              </w:rPr>
            </w:pPr>
            <w:r>
              <w:rPr>
                <w:rFonts w:hint="eastAsia" w:ascii="宋体" w:hAnsi="宋体" w:cs="宋体"/>
                <w:sz w:val="18"/>
                <w:szCs w:val="18"/>
                <w:lang w:eastAsia="zh-CN"/>
              </w:rPr>
              <w:t>1、报表说明：该报表查询项目信息、绩效目标信息、预算及执行情况，用于预算单位查询导出开展项目自评。</w:t>
            </w:r>
          </w:p>
        </w:tc>
      </w:tr>
      <w:tr>
        <w:tblPrEx>
          <w:tblCellMar>
            <w:top w:w="0" w:type="dxa"/>
            <w:left w:w="108" w:type="dxa"/>
            <w:bottom w:w="0" w:type="dxa"/>
            <w:right w:w="108" w:type="dxa"/>
          </w:tblCellMar>
        </w:tblPrEx>
        <w:trPr>
          <w:trHeight w:val="285" w:hRule="atLeast"/>
        </w:trPr>
        <w:tc>
          <w:tcPr>
            <w:tcW w:w="14160" w:type="dxa"/>
            <w:gridSpan w:val="11"/>
            <w:tcBorders>
              <w:top w:val="nil"/>
              <w:left w:val="nil"/>
              <w:bottom w:val="nil"/>
              <w:right w:val="nil"/>
            </w:tcBorders>
            <w:shd w:val="clear" w:color="auto" w:fill="auto"/>
            <w:vAlign w:val="center"/>
          </w:tcPr>
          <w:p>
            <w:pPr>
              <w:rPr>
                <w:rFonts w:ascii="宋体" w:hAnsi="宋体" w:cs="宋体"/>
                <w:sz w:val="18"/>
                <w:szCs w:val="18"/>
                <w:lang w:eastAsia="zh-CN"/>
              </w:rPr>
            </w:pPr>
            <w:r>
              <w:rPr>
                <w:rFonts w:hint="eastAsia" w:ascii="宋体" w:hAnsi="宋体" w:cs="宋体"/>
                <w:sz w:val="18"/>
                <w:szCs w:val="18"/>
                <w:lang w:eastAsia="zh-CN"/>
              </w:rPr>
              <w:t>2、取数口径：部门项目绩效目标表信息，包括年初预算、追加预算、结转预算和调整预算的绩效目标（以项目的最终绩效目标为准）。</w:t>
            </w:r>
          </w:p>
        </w:tc>
      </w:tr>
      <w:tr>
        <w:tblPrEx>
          <w:tblCellMar>
            <w:top w:w="0" w:type="dxa"/>
            <w:left w:w="108" w:type="dxa"/>
            <w:bottom w:w="0" w:type="dxa"/>
            <w:right w:w="108" w:type="dxa"/>
          </w:tblCellMar>
        </w:tblPrEx>
        <w:trPr>
          <w:trHeight w:val="285" w:hRule="atLeast"/>
        </w:trPr>
        <w:tc>
          <w:tcPr>
            <w:tcW w:w="14160" w:type="dxa"/>
            <w:gridSpan w:val="11"/>
            <w:tcBorders>
              <w:top w:val="nil"/>
              <w:left w:val="nil"/>
              <w:bottom w:val="nil"/>
              <w:right w:val="nil"/>
            </w:tcBorders>
            <w:shd w:val="clear" w:color="auto" w:fill="auto"/>
            <w:vAlign w:val="center"/>
          </w:tcPr>
          <w:p>
            <w:pPr>
              <w:rPr>
                <w:rFonts w:ascii="宋体" w:hAnsi="宋体" w:cs="宋体"/>
                <w:sz w:val="18"/>
                <w:szCs w:val="18"/>
              </w:rPr>
            </w:pPr>
            <w:r>
              <w:rPr>
                <w:rFonts w:hint="eastAsia" w:ascii="宋体" w:hAnsi="宋体" w:cs="宋体"/>
                <w:sz w:val="18"/>
                <w:szCs w:val="18"/>
              </w:rPr>
              <w:t>适用地区：全省范围</w:t>
            </w:r>
          </w:p>
        </w:tc>
      </w:tr>
      <w:tr>
        <w:tblPrEx>
          <w:tblCellMar>
            <w:top w:w="0" w:type="dxa"/>
            <w:left w:w="108" w:type="dxa"/>
            <w:bottom w:w="0" w:type="dxa"/>
            <w:right w:w="108" w:type="dxa"/>
          </w:tblCellMar>
        </w:tblPrEx>
        <w:trPr>
          <w:trHeight w:val="285" w:hRule="atLeast"/>
        </w:trPr>
        <w:tc>
          <w:tcPr>
            <w:tcW w:w="14160" w:type="dxa"/>
            <w:gridSpan w:val="11"/>
            <w:tcBorders>
              <w:top w:val="nil"/>
              <w:left w:val="nil"/>
              <w:bottom w:val="nil"/>
              <w:right w:val="nil"/>
            </w:tcBorders>
            <w:shd w:val="clear" w:color="auto" w:fill="auto"/>
            <w:vAlign w:val="center"/>
          </w:tcPr>
          <w:p>
            <w:pPr>
              <w:rPr>
                <w:rFonts w:ascii="宋体" w:hAnsi="宋体" w:cs="宋体"/>
                <w:sz w:val="18"/>
                <w:szCs w:val="18"/>
                <w:lang w:eastAsia="zh-CN"/>
              </w:rPr>
            </w:pPr>
            <w:r>
              <w:rPr>
                <w:rFonts w:hint="eastAsia" w:ascii="宋体" w:hAnsi="宋体" w:cs="宋体"/>
                <w:sz w:val="18"/>
                <w:szCs w:val="18"/>
                <w:lang w:eastAsia="zh-CN"/>
              </w:rPr>
              <w:t>适用用户：部门用户、单位用户</w:t>
            </w:r>
          </w:p>
        </w:tc>
      </w:tr>
    </w:tbl>
    <w:p>
      <w:pPr>
        <w:pBdr>
          <w:top w:val="single" w:color="auto" w:sz="6" w:space="0"/>
          <w:bottom w:val="single" w:color="auto" w:sz="6" w:space="1"/>
        </w:pBdr>
        <w:spacing w:line="576" w:lineRule="exact"/>
        <w:rPr>
          <w:rFonts w:ascii="仿宋_GB2312" w:hAnsi="Calibri"/>
          <w:szCs w:val="32"/>
          <w:lang w:eastAsia="zh-CN"/>
        </w:rPr>
      </w:pPr>
      <w:r>
        <w:rPr>
          <w:rFonts w:hint="eastAsia" w:ascii="仿宋_GB2312"/>
          <w:szCs w:val="32"/>
          <w:lang w:eastAsia="zh-CN"/>
        </w:rPr>
        <w:t xml:space="preserve">广元市朝天区人民法院办公室      2024年8月5日印 </w:t>
      </w:r>
    </w:p>
    <w:p>
      <w:pPr>
        <w:pStyle w:val="14"/>
        <w:spacing w:before="93"/>
        <w:rPr>
          <w:rFonts w:hAnsi="宋体" w:cs="宋体"/>
          <w:sz w:val="32"/>
          <w:szCs w:val="32"/>
          <w:shd w:val="clear" w:color="auto" w:fill="FFFFFF"/>
          <w:lang w:val="zh-CN" w:eastAsia="zh-CN"/>
        </w:rPr>
        <w:sectPr>
          <w:footerReference r:id="rId8" w:type="first"/>
          <w:footerReference r:id="rId7" w:type="default"/>
          <w:pgSz w:w="16838" w:h="11906" w:orient="landscape"/>
          <w:pgMar w:top="1800" w:right="1440" w:bottom="1800" w:left="1440" w:header="851" w:footer="992" w:gutter="0"/>
          <w:cols w:space="425" w:num="1"/>
          <w:titlePg/>
          <w:docGrid w:type="lines" w:linePitch="312" w:charSpace="0"/>
        </w:sectPr>
      </w:pPr>
    </w:p>
    <w:p>
      <w:pPr>
        <w:pStyle w:val="14"/>
        <w:spacing w:before="93"/>
        <w:rPr>
          <w:rFonts w:hAnsi="宋体" w:cs="宋体"/>
          <w:sz w:val="32"/>
          <w:szCs w:val="32"/>
          <w:shd w:val="clear" w:color="auto" w:fill="FFFFFF"/>
          <w:lang w:eastAsia="zh-CN"/>
        </w:rPr>
      </w:pPr>
      <w:r>
        <w:rPr>
          <w:rFonts w:hint="eastAsia" w:hAnsi="宋体" w:cs="宋体"/>
          <w:sz w:val="32"/>
          <w:szCs w:val="32"/>
          <w:shd w:val="clear" w:color="auto" w:fill="FFFFFF"/>
          <w:lang w:val="zh-CN" w:eastAsia="zh-CN"/>
        </w:rPr>
        <w:t>附件</w:t>
      </w:r>
      <w:r>
        <w:rPr>
          <w:rFonts w:hint="eastAsia" w:hAnsi="宋体" w:cs="宋体"/>
          <w:sz w:val="32"/>
          <w:szCs w:val="32"/>
          <w:shd w:val="clear" w:color="auto" w:fill="FFFFFF"/>
          <w:lang w:eastAsia="zh-CN"/>
        </w:rPr>
        <w:t>2</w:t>
      </w:r>
      <w:bookmarkEnd w:id="102"/>
    </w:p>
    <w:p>
      <w:pPr>
        <w:rPr>
          <w:highlight w:val="yellow"/>
          <w:lang w:eastAsia="zh-CN"/>
        </w:rPr>
      </w:pPr>
    </w:p>
    <w:p>
      <w:pPr>
        <w:jc w:val="center"/>
        <w:rPr>
          <w:rFonts w:ascii="黑体" w:hAnsi="黑体" w:eastAsia="黑体"/>
          <w:sz w:val="44"/>
          <w:szCs w:val="44"/>
          <w:lang w:eastAsia="zh-CN"/>
        </w:rPr>
      </w:pPr>
      <w:r>
        <w:rPr>
          <w:rFonts w:hint="eastAsia" w:ascii="黑体" w:hAnsi="黑体" w:eastAsia="黑体"/>
          <w:sz w:val="44"/>
          <w:szCs w:val="44"/>
          <w:lang w:eastAsia="zh-CN"/>
        </w:rPr>
        <w:t>广元市朝天区人民法院</w:t>
      </w:r>
    </w:p>
    <w:p>
      <w:pPr>
        <w:jc w:val="center"/>
        <w:rPr>
          <w:rFonts w:ascii="黑体" w:hAnsi="黑体" w:eastAsia="黑体"/>
          <w:sz w:val="44"/>
          <w:szCs w:val="44"/>
          <w:lang w:eastAsia="zh-CN"/>
        </w:rPr>
      </w:pPr>
      <w:r>
        <w:rPr>
          <w:rFonts w:hint="eastAsia" w:ascii="黑体" w:hAnsi="黑体" w:eastAsia="黑体"/>
          <w:sz w:val="44"/>
          <w:szCs w:val="44"/>
          <w:lang w:eastAsia="zh-CN"/>
        </w:rPr>
        <w:t>2023年聘用制书记员经费项目支出绩效</w:t>
      </w:r>
    </w:p>
    <w:p>
      <w:pPr>
        <w:jc w:val="center"/>
        <w:rPr>
          <w:rFonts w:ascii="黑体" w:hAnsi="黑体" w:eastAsia="黑体"/>
          <w:sz w:val="44"/>
          <w:szCs w:val="44"/>
          <w:lang w:eastAsia="zh-CN"/>
        </w:rPr>
      </w:pPr>
      <w:r>
        <w:rPr>
          <w:rFonts w:hint="eastAsia" w:ascii="黑体" w:hAnsi="黑体" w:eastAsia="黑体"/>
          <w:sz w:val="44"/>
          <w:szCs w:val="44"/>
          <w:lang w:eastAsia="zh-CN"/>
        </w:rPr>
        <w:t>自评报告</w:t>
      </w:r>
    </w:p>
    <w:p>
      <w:pPr>
        <w:rPr>
          <w:rFonts w:ascii="仿宋_GB2312" w:eastAsia="仿宋_GB2312"/>
          <w:sz w:val="32"/>
          <w:szCs w:val="32"/>
          <w:lang w:eastAsia="zh-CN"/>
        </w:rPr>
      </w:pPr>
    </w:p>
    <w:p>
      <w:pPr>
        <w:rPr>
          <w:rFonts w:ascii="仿宋_GB2312" w:eastAsia="仿宋_GB2312"/>
          <w:sz w:val="32"/>
          <w:szCs w:val="32"/>
          <w:lang w:eastAsia="zh-CN"/>
        </w:rPr>
      </w:pPr>
      <w:r>
        <w:rPr>
          <w:rFonts w:hint="eastAsia" w:ascii="仿宋_GB2312" w:eastAsia="仿宋_GB2312"/>
          <w:sz w:val="32"/>
          <w:szCs w:val="32"/>
          <w:lang w:eastAsia="zh-CN"/>
        </w:rPr>
        <w:t>广元市财政局：</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现将2023年度聘用制书记员经费项目支出绩效自评工作作如下报告：</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一、项目概况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（一）项目基本情况。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广元市朝天区人民法院是独立核算的一级预算部门，负责聘用制书记员项目的年初预算的编制和绩效目标的设置，确保项目预算开展的可行性。项目完成后的决算编审、绩效目标考核和项目自评，以及其他与项目相关工作。</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朝天区人民法院是国家审判机关，依法独立行使审判权。为做好执行审判工作，提供优质的法治环境持续发力，结合朝天法院逐年增加的案件体量和不断复杂的案件审执，需要投入的人力、物力相当大，故申请预算16名聘用制书记员经费，项目资金规模80万元。</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聘用制书记员资金来源系财政全额拨款的一般公共预算资金，按照我院财务管理的相关规定，实行专款专用，保障聘用制书记员经费开支，能有效缓解法院聘用制人员流动性较大的矛盾，能更加高效的保障法院审判执行工作开展，为朝天区经济社会发展提供更加优质服务。项目的所有经费开支均进行严格的审批程序，并及时进行支付、会计核算。</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在资金预算申报时充分规划我院聘用制书记员数量、结构，保障资金使用符合相关财经制度。</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（二）项目绩效目标。</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1．项目主要内容。2023年聘用制书记员项目主要是保障聘用人员法院工作所产生的劳务费等，以确保法院日常办案的记录工作、庭前准备以及开庭时准备的事务性工作、送达法律文书、扫描装卷、其他事务性等工作的开展。</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2．聘用制书记员绩效目标主要围绕出勤率、聘用制书记员人数等设置。2023年指标设置合理，完成情况较好。</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3．该项目根据法院职能职责、实际业务的开展进行编制，申报的绩效目标充分结合聘用制书记员工作要求。</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（三）项目自评步骤及方法。</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项目绩效严格按照财政部门要求，年中开展绩效监控、年末开展绩效评价，项目绩效自评充分结合年末人事部门对聘用人员的考核情况，严格对照自评标准，逐项核对打分。</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二、项目资金申报及使用情况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（一）项目资金申报及批复情况。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我院聘用制书记员经费项目申报资金80万元，根据财政部门的统一安排部署做好项目入库、绩效目标设置、科目分类等，向财政报送相关纸质资料，后经财政批复，最终确定项目执行，项目资金无预算调整。</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（二）资金计划、到位及使用情况。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1．资金计划。该项目资金计划为一般公共预算财政拨款收入安排，2023年市财政局通过预算对我院下达此专项资金80万元。</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2．资金到位。2023年聘用书记员经费项目资金到位80万元，与项目资金计划数80万元相符，资金及时到位，资金到位率100%，到位及时率100%。</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3．资金使用。该项目资金截止到2023年12月31日实际支出80万元，项目预算执行数为100%。项目实行专项核算，资金支付合规、合法，无超预算和范围支付情况，无截留、挤占、挪用专项资金现象，无虚列项目成本、无大额现金支付现象，项目资金使用均按规定标准执行。</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（三）项目财务管理情况。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我院根据财政局批复预算，按照项目年初设置的目标任务，严格遵照预算执行。项目做到了财政资金专款专用，资金支付有相关审批程序和合规手续，账务处理及时，会计核算规范。</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三、项目实施及管理情况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一）项目组织架构及实施流程。项目以业务分管院长牵头，各业务庭室及部门负责人协同配合的组织构架，负责对项目执行情况负责，由院督查室监督验收项目发生的合理合规性，院办公室对项目资金的支付严格把关。</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（二）项目管理情况。项目推行全面质量管理，充分发挥监督管理职能，财务报账严格执行财务审批程序。</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三）项目监管情况。聘用制书记员经费项目严格按照年初预算安排的资金执行，积极落实项目专项资金，严格按照财政专项资金管理办法进行资金管理，并主动接受院督查室的监督，做到了专款专用，没有滞留截流挤占挪用的现象。项目采用一事一报的方式执行。</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四、项目绩效情况</w:t>
      </w:r>
      <w:r>
        <w:rPr>
          <w:rFonts w:hint="eastAsia" w:ascii="仿宋_GB2312" w:eastAsia="仿宋_GB2312"/>
          <w:sz w:val="32"/>
          <w:szCs w:val="32"/>
          <w:lang w:eastAsia="zh-CN"/>
        </w:rPr>
        <w:tab/>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（一）项目完成情况。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本项目预算资金下达80万元，年度实际执行数80万元，完成预算数的100%。该项目2023年顺利运转，全年保障16名聘用人员经费开支；聘用制书记员出勤率达100%。</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（二）项目效益情况。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通过项目实施，保障了全院审判执行工作的有序开展，聘用人员工作得到认可，年度考核情况较好，增强了法院公正司法、阳光法治的良好司法形象。</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五、评价结论及建议</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（一）评价结论。</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聘用制书记员经费项目立项符合相关政策，与法院审判执行职责具有关联性，同时朝天法院对项目需求真实存在，该项目具有长期开展和投入的必要性。</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通过项目的实施，充分保障了日常办案的记录工作、庭前准备以及开庭时准备的事务性工作、送达法律文书、扫描装卷、其他事务性等工作开展，促进了我院案件审执进度和工作效率。</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（二）存在的问题。</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项目评价体系不够完善，项目评价指标的确定不够细化、量化。部分项目指标没有充分结合聘用人员工作岗位进行设置，没有完全反映出聘用人员的工作量和工作成效。</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（三）相关建议。</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不断增加对聘用人员的投入力度。我院案多人少情况突出，政法编制不到45人，审判执行工作量大，需要聘用人员来缓解人手不够的压力。根据川高法【2018】2号文件第二十八条“聘用制书记员薪酬、装备、服装、培训、奖励、社保等相关经费，列入所在用人单位年度预算。需要加大对聘用人员保障标准、结构、规模的探索。</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特此报告</w:t>
      </w:r>
    </w:p>
    <w:p>
      <w:pPr>
        <w:ind w:firstLine="640" w:firstLineChars="200"/>
        <w:rPr>
          <w:rFonts w:ascii="仿宋_GB2312" w:eastAsia="仿宋_GB2312"/>
          <w:sz w:val="32"/>
          <w:szCs w:val="32"/>
          <w:lang w:eastAsia="zh-CN"/>
        </w:rPr>
      </w:pPr>
    </w:p>
    <w:p>
      <w:pPr>
        <w:ind w:firstLine="640" w:firstLineChars="200"/>
        <w:rPr>
          <w:rFonts w:ascii="仿宋_GB2312" w:eastAsia="仿宋_GB2312"/>
          <w:sz w:val="32"/>
          <w:szCs w:val="32"/>
          <w:lang w:eastAsia="zh-CN"/>
        </w:rPr>
      </w:pP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 xml:space="preserve">                          广元市朝天区人民法院</w:t>
      </w:r>
    </w:p>
    <w:p>
      <w:pPr>
        <w:ind w:firstLine="640" w:firstLineChars="200"/>
        <w:rPr>
          <w:rFonts w:hint="eastAsia"/>
          <w:highlight w:val="yellow"/>
          <w:lang w:eastAsia="zh-CN"/>
        </w:rPr>
      </w:pPr>
      <w:r>
        <w:rPr>
          <w:rFonts w:hint="eastAsia" w:ascii="仿宋_GB2312" w:eastAsia="仿宋_GB2312"/>
          <w:sz w:val="32"/>
          <w:szCs w:val="32"/>
          <w:lang w:eastAsia="zh-CN"/>
        </w:rPr>
        <w:t xml:space="preserve">                               2023年2月20日</w:t>
      </w:r>
    </w:p>
    <w:p>
      <w:pPr>
        <w:pStyle w:val="19"/>
        <w:rPr>
          <w:highlight w:val="yellow"/>
          <w:lang w:eastAsia="zh-CN"/>
        </w:rPr>
      </w:pPr>
    </w:p>
    <w:p>
      <w:pPr>
        <w:pStyle w:val="19"/>
        <w:rPr>
          <w:highlight w:val="yellow"/>
          <w:lang w:eastAsia="zh-CN"/>
        </w:rPr>
      </w:pPr>
    </w:p>
    <w:p>
      <w:pPr>
        <w:jc w:val="center"/>
        <w:rPr>
          <w:rFonts w:ascii="黑体" w:hAnsi="黑体" w:eastAsia="黑体"/>
          <w:sz w:val="44"/>
          <w:szCs w:val="44"/>
          <w:lang w:eastAsia="zh-CN"/>
        </w:rPr>
      </w:pPr>
      <w:r>
        <w:rPr>
          <w:rFonts w:hint="eastAsia" w:ascii="黑体" w:hAnsi="黑体" w:eastAsia="黑体"/>
          <w:sz w:val="44"/>
          <w:szCs w:val="44"/>
          <w:lang w:eastAsia="zh-CN"/>
        </w:rPr>
        <w:t>广元市朝天区人民法院</w:t>
      </w:r>
    </w:p>
    <w:p>
      <w:pPr>
        <w:jc w:val="center"/>
        <w:rPr>
          <w:rFonts w:ascii="黑体" w:hAnsi="黑体" w:eastAsia="黑体"/>
          <w:sz w:val="44"/>
          <w:szCs w:val="44"/>
          <w:lang w:eastAsia="zh-CN"/>
        </w:rPr>
      </w:pPr>
      <w:r>
        <w:rPr>
          <w:rFonts w:hint="eastAsia" w:ascii="黑体" w:hAnsi="黑体" w:eastAsia="黑体"/>
          <w:sz w:val="44"/>
          <w:szCs w:val="44"/>
          <w:lang w:eastAsia="zh-CN"/>
        </w:rPr>
        <w:t>2023年法警法定工作日之外加班补贴项目支出绩效自评报告</w:t>
      </w:r>
    </w:p>
    <w:p>
      <w:pPr>
        <w:ind w:firstLine="640" w:firstLineChars="200"/>
        <w:rPr>
          <w:rFonts w:ascii="仿宋_GB2312" w:eastAsia="仿宋_GB2312"/>
          <w:sz w:val="32"/>
          <w:szCs w:val="32"/>
          <w:lang w:eastAsia="zh-CN"/>
        </w:rPr>
      </w:pPr>
    </w:p>
    <w:p>
      <w:pPr>
        <w:rPr>
          <w:rFonts w:ascii="仿宋_GB2312" w:eastAsia="仿宋_GB2312"/>
          <w:sz w:val="32"/>
          <w:szCs w:val="32"/>
          <w:lang w:eastAsia="zh-CN"/>
        </w:rPr>
      </w:pPr>
      <w:r>
        <w:rPr>
          <w:rFonts w:hint="eastAsia" w:ascii="仿宋_GB2312" w:eastAsia="仿宋_GB2312"/>
          <w:sz w:val="32"/>
          <w:szCs w:val="32"/>
          <w:lang w:eastAsia="zh-CN"/>
        </w:rPr>
        <w:t>广元市财政局：</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现将2023年度法警法定工作日之外加班补贴项目支出绩效自评工作作如下报告：</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一、项目概况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（一）项目基本情况。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广元市朝天区人民法院是独立核算的一级预算部门，负责法警法定工作日之外加班补贴项目的年初预算的编制和绩效目标的设置，确保项目预算开展的可行性。项目完成后的决算编审、绩效目标考核和项目自评，以及其他与项目相关工作。</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根据人社部规【2017】9号关于执行人民警察法定工作日之外加班补贴有关问题的通知，结合我院司法警察人员4人，特此申报法警法定工作日之外加班补贴3.4万元。</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法警法定工作日之外加班补贴资金来源系财政全额拨款的一般公共预算资金，按照我院财务管理的相关规定，实行专款专用，保障公法警法定工作日之外加班补贴按月发放，能有效保障司法警察法定工作之外的合理补贴。项目的所有经费开支均进行严格的审批程序，并及时进行支付、会计核算。</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在资金预算申报时充分规划我院公务员数量、加班时间，保障资金使用符合相关财经制度。</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（二）项目绩效目标。</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1．项目主要内容。2023年法警法定工作日之外加班补贴项目主要是保障司法警察法定工作日之外加班补助，按月足额进行发放。</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2．法警法定工作日之外加班补贴绩效目标主要围绕保障人数、数据准确性、项目执行时间等设置。2023年指标设置合理，完成情况较好。</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3．我院对于该项目根据司法警察加班时间、人数、标准，申报的绩效目标充分结合法警法定工作日之外加班补贴工作要求。</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（三）项目自评步骤及方法。</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项目绩效严格按照财政部门要求，年中开展绩效监控、年末开展绩效评价，项目绩效自评充分结合公务员加班补助执行情况，严格对照自评标准，逐项核对打分。</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二、项目资金申报及使用情况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（一）项目资金申报及批复情况。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我院法警法定工作日之外加班补贴项目申报资金3.4万元，我院根据财政部门的统一安排部署做好项目入库、绩效目标设置、科目分类等，向财政报送相关纸质资料，后经财政批复，最终确定项目执行，项目资金无预算调整。</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（二）资金计划、到位及使用情况。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1．资金计划。该项目资金计划为一般公共预算财政拨款收入安排，2023年市财政局通过预算对我院下达此专项资金3.4万元。</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2．资金到位。2023年法警法定工作日之外加班补贴项目资金到位3.4万元，与项目资金计划数3.4万元相符，资金及时到位，资金到位率100%，到位及时率100%。</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3．资金使用。该项目资金截止到2023年12月31日实际支出3.11万元，项目预算执行数为91.39%。项目实行专项核算，资金支付合规、合法，无超预算和范围支付情况，无截留、挤占、挪用专项资金现象，无虚列项目成本、无进行大额现金支付现象，项目资金使用均按规定标准执行。</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（三）项目财务管理情况。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我院根据财政局批复预算，按照项目年初设置的目标任务，严格遵照预算执行。项目做到了财政资金专款专用，资金支付有相关审批程序和合规手续，账务处理及时，会计核算规范。</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三、项目实施及管理情况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一）项目组织架构及实施流程。项目以业务分管院长牵头，各业务庭室及部门负责人协同配合的组织构架，负责对项目执行情况负责，由院督查室监督验收项目发生的合理合规性，院办公室对项目资金的支付严格把关。</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（二）项目管理情况。项目推行全面质量管理，充分发挥监督管理职能，财务报账严格执行财务审批程序。</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三）项目监管情况。法警法定工作日之外加班补贴项目严格按照年初预算安排的资金执行，积极落实项目专项资金，严格按照财政专项资金管理办法进行资金管理，并主动接受院督查室的监督，做到了专款专用，没有滞留截流挤占挪用的现象。项目采用一事一报的方式执行。</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四、项目绩效情况</w:t>
      </w:r>
      <w:r>
        <w:rPr>
          <w:rFonts w:hint="eastAsia" w:ascii="仿宋_GB2312" w:eastAsia="仿宋_GB2312"/>
          <w:sz w:val="32"/>
          <w:szCs w:val="32"/>
          <w:lang w:eastAsia="zh-CN"/>
        </w:rPr>
        <w:tab/>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（一）项目完成情况。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本项目预算资金下达3.4元，年度实际执行数3.11万元，项目预算执行数为91.39%。该项目2023年顺利运转，全年保障4名法警法定工作日之外加班补贴发放；数据准确率达100%。</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（二）项目效益情况。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通过项目实施，保障了全院审判执行工作的有序开展，法警法定工作日之外加班补贴及时按月发放，提高了司法警察工作的积极性，逐步推动法院工作的开展。</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五、评价结论及建议</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（一）评价结论。</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法警法定工作日之外加班补贴项目立项符合相关政策，与法院审判执行职责具有关联性。通过项目的实施，充分保障了司法警察法定工作日之外加班补助，促进了我院干警工作积极性，进而提高案件审执进度和工作效率。</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（二）存在的问题。</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项目评价体系不够完善，项目评价指标的确定不够细化，量化。</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（三）相关建议。</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强化项目指标设置，完善绩效数据的完整性、可操控性。特此报告</w:t>
      </w:r>
    </w:p>
    <w:p>
      <w:pPr>
        <w:ind w:firstLine="640" w:firstLineChars="200"/>
        <w:rPr>
          <w:rFonts w:ascii="仿宋_GB2312" w:eastAsia="仿宋_GB2312"/>
          <w:sz w:val="32"/>
          <w:szCs w:val="32"/>
          <w:lang w:eastAsia="zh-CN"/>
        </w:rPr>
      </w:pP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 xml:space="preserve">                           广元市朝天区人民法院</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 xml:space="preserve">                               2024年2月20日</w:t>
      </w:r>
    </w:p>
    <w:p>
      <w:pPr>
        <w:jc w:val="center"/>
        <w:rPr>
          <w:rFonts w:ascii="黑体" w:hAnsi="黑体" w:eastAsia="黑体"/>
          <w:sz w:val="44"/>
          <w:szCs w:val="44"/>
          <w:lang w:eastAsia="zh-CN"/>
        </w:rPr>
      </w:pPr>
    </w:p>
    <w:p>
      <w:pPr>
        <w:jc w:val="center"/>
        <w:rPr>
          <w:rFonts w:ascii="黑体" w:hAnsi="黑体" w:eastAsia="黑体"/>
          <w:sz w:val="44"/>
          <w:szCs w:val="44"/>
          <w:lang w:eastAsia="zh-CN"/>
        </w:rPr>
      </w:pPr>
    </w:p>
    <w:p>
      <w:pPr>
        <w:jc w:val="center"/>
        <w:rPr>
          <w:rFonts w:ascii="黑体" w:hAnsi="黑体" w:eastAsia="黑体"/>
          <w:sz w:val="44"/>
          <w:szCs w:val="44"/>
          <w:lang w:eastAsia="zh-CN"/>
        </w:rPr>
      </w:pPr>
    </w:p>
    <w:p>
      <w:pPr>
        <w:jc w:val="center"/>
        <w:rPr>
          <w:rFonts w:ascii="黑体" w:hAnsi="黑体" w:eastAsia="黑体"/>
          <w:sz w:val="44"/>
          <w:szCs w:val="44"/>
          <w:lang w:eastAsia="zh-CN"/>
        </w:rPr>
      </w:pPr>
    </w:p>
    <w:p>
      <w:pPr>
        <w:jc w:val="center"/>
        <w:rPr>
          <w:rFonts w:ascii="黑体" w:hAnsi="黑体" w:eastAsia="黑体"/>
          <w:sz w:val="44"/>
          <w:szCs w:val="44"/>
          <w:lang w:eastAsia="zh-CN"/>
        </w:rPr>
      </w:pPr>
    </w:p>
    <w:p>
      <w:pPr>
        <w:jc w:val="center"/>
        <w:rPr>
          <w:rFonts w:ascii="黑体" w:hAnsi="黑体" w:eastAsia="黑体"/>
          <w:sz w:val="44"/>
          <w:szCs w:val="44"/>
          <w:lang w:eastAsia="zh-CN"/>
        </w:rPr>
      </w:pPr>
    </w:p>
    <w:p>
      <w:pPr>
        <w:jc w:val="center"/>
        <w:rPr>
          <w:rFonts w:ascii="黑体" w:hAnsi="黑体" w:eastAsia="黑体"/>
          <w:sz w:val="44"/>
          <w:szCs w:val="44"/>
          <w:lang w:eastAsia="zh-CN"/>
        </w:rPr>
      </w:pPr>
    </w:p>
    <w:p>
      <w:pPr>
        <w:jc w:val="center"/>
        <w:rPr>
          <w:rFonts w:ascii="黑体" w:hAnsi="黑体" w:eastAsia="黑体"/>
          <w:sz w:val="44"/>
          <w:szCs w:val="44"/>
          <w:lang w:eastAsia="zh-CN"/>
        </w:rPr>
      </w:pPr>
    </w:p>
    <w:p>
      <w:pPr>
        <w:jc w:val="both"/>
        <w:rPr>
          <w:rFonts w:ascii="黑体" w:hAnsi="黑体" w:eastAsia="黑体"/>
          <w:sz w:val="44"/>
          <w:szCs w:val="44"/>
          <w:lang w:eastAsia="zh-CN"/>
        </w:rPr>
      </w:pPr>
    </w:p>
    <w:p>
      <w:pPr>
        <w:jc w:val="center"/>
        <w:rPr>
          <w:rFonts w:ascii="黑体" w:hAnsi="黑体" w:eastAsia="黑体"/>
          <w:sz w:val="44"/>
          <w:szCs w:val="44"/>
          <w:lang w:eastAsia="zh-CN"/>
        </w:rPr>
      </w:pPr>
      <w:r>
        <w:rPr>
          <w:rFonts w:hint="eastAsia" w:ascii="黑体" w:hAnsi="黑体" w:eastAsia="黑体"/>
          <w:sz w:val="44"/>
          <w:szCs w:val="44"/>
          <w:lang w:eastAsia="zh-CN"/>
        </w:rPr>
        <w:t>广元市朝天区人民法院</w:t>
      </w:r>
    </w:p>
    <w:p>
      <w:pPr>
        <w:jc w:val="center"/>
        <w:rPr>
          <w:rFonts w:ascii="黑体" w:hAnsi="黑体" w:eastAsia="黑体"/>
          <w:sz w:val="44"/>
          <w:szCs w:val="44"/>
          <w:lang w:eastAsia="zh-CN"/>
        </w:rPr>
      </w:pPr>
      <w:r>
        <w:rPr>
          <w:rFonts w:hint="eastAsia" w:ascii="黑体" w:hAnsi="黑体" w:eastAsia="黑体"/>
          <w:sz w:val="44"/>
          <w:szCs w:val="44"/>
          <w:lang w:eastAsia="zh-CN"/>
        </w:rPr>
        <w:t>关于2023年办案业务经费项目支出绩效</w:t>
      </w:r>
    </w:p>
    <w:p>
      <w:pPr>
        <w:jc w:val="center"/>
        <w:rPr>
          <w:rFonts w:ascii="黑体" w:hAnsi="黑体" w:eastAsia="黑体"/>
          <w:sz w:val="44"/>
          <w:szCs w:val="44"/>
          <w:lang w:eastAsia="zh-CN"/>
        </w:rPr>
      </w:pPr>
      <w:r>
        <w:rPr>
          <w:rFonts w:hint="eastAsia" w:ascii="黑体" w:hAnsi="黑体" w:eastAsia="黑体"/>
          <w:sz w:val="44"/>
          <w:szCs w:val="44"/>
          <w:lang w:eastAsia="zh-CN"/>
        </w:rPr>
        <w:t>自评报告</w:t>
      </w:r>
    </w:p>
    <w:p>
      <w:pPr>
        <w:ind w:firstLine="640" w:firstLineChars="200"/>
        <w:rPr>
          <w:rFonts w:ascii="仿宋_GB2312" w:eastAsia="仿宋_GB2312"/>
          <w:sz w:val="32"/>
          <w:szCs w:val="32"/>
          <w:lang w:eastAsia="zh-CN"/>
        </w:rPr>
      </w:pPr>
    </w:p>
    <w:p>
      <w:pPr>
        <w:rPr>
          <w:rFonts w:ascii="仿宋_GB2312" w:eastAsia="仿宋_GB2312"/>
          <w:sz w:val="32"/>
          <w:szCs w:val="32"/>
          <w:lang w:eastAsia="zh-CN"/>
        </w:rPr>
      </w:pPr>
      <w:r>
        <w:rPr>
          <w:rFonts w:hint="eastAsia" w:ascii="仿宋_GB2312" w:eastAsia="仿宋_GB2312"/>
          <w:sz w:val="32"/>
          <w:szCs w:val="32"/>
          <w:lang w:eastAsia="zh-CN"/>
        </w:rPr>
        <w:t>广元市财政局：</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现将2023年度办案业务经费项目支出绩效自评工作作如下报告：</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一、项目概况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（一）项目基本情况。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广元市朝天区人民法院是独立核算的一级预算部门，负责办案业务经费项目的年初预算编制和绩效目标设置，确保项目预算开展的可行性。项目完成后的决算编审、绩效目标考核和项目自评，以及其他与项目相关工作。</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我院是国家审判机关，依法独立行使审判权，依法审判法律规定由本院管辖和指定管辖的刑事、民事、行政等案件;受理不服本院生效裁判的各类申诉和再审申请，对其中可能有错误的进行再审；审判市中级法院指定审理和再审的案件;依法行使司法执行权和司法决定权;对本院的法官、司法警察和其他工作人员进行教育、管理和培训工作;在审判工作中宣传法制、教育公民遵守宪法、法律。为做好执行审判工作，为全区提供优质的法治环境持续发力，我院结合法院职能职责，申报办案业务经费预算资金32.87万元。</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办案业务费资金来源系财政全额拨款的一般公共预算资金，按照我院财务管理的相关规定，实行专款专用，保障我院巡回审判、化解群体事件及各类纠纷案件等工作高效有序开展。项目的所有经费开支均进行严格的审批程序，并及时进行支付、会计核算。</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在资金预算申报时充分规划我院年度审判执行和协调政法转移支付项目开展，保障资金使用符合相关财经制度。</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（二）项目绩效目标。</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1．项目主要内容。2023年办案业务经费项目主要是保障全院干警审判执行办案其中产生的差旅费、交通费、劳务费用等，以确保年度审判质效达到年初指标，促进我院案件审执进度和案件审判质效。</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2．办案业务经费绩效目标主要围绕案件办结率、案件审判时效、案件发改率、案件受理数等设置。2023年指标设置合理，完成情况较好。</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3．该项目根据法院职能职责、实际业务的开展进行编制，申报的绩效目标充分结合法院审判质效考核任务。</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（三）项目自评步骤及方法。</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项目绩效严格按照财政部门要求，年中开展绩效监控、年末开展绩效评价，项目绩效自评充分结合年末全院工作任务完成情况，并围绕法院审判质效年度考核，严格对照自评标准，逐项核对打分。</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二、项目资金申报及使用情况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（一）项目资金申报及批复情况。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我院办案业务经费项目申报资金32.87万元，我院根据财政部门的统一安排部署做好项目入库、绩效目标设置、科目分类等，向财政报送相关纸质资料，后经财政批复，最终确定项目执行，项目资金无预算调整。</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（二）资金计划、到位及使用情况。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1．资金计划。该项目资金计划为一般公共预算财政拨款收入安排，2023年市财政局通过预算对我院下达此专项资金32.87万元。</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2．资金到位。2023年办案业务经费项目资金到位32.87万元，与项目资金计划数32.87万元相符，资金及时到位，资金到位率100%，到位及时率100%。</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3．资金使用。该项目资金截止到2023年12月31日实际支出32.87万元，项目预算执行数为100%。项目实行专项核算，资金支付合规、合法，无超预算和超范围支付情况，无截留、挤占、挪用专项资金现象，无虚列项目成本、无大额现金支付现象，项目资金使用均按规定标准执行。</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（三）项目财务管理情况。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我院根据财政局批复预算，按照项目年初设置的目标任务，严格遵照预算执行。项目做到了财政资金专款专用，资金支付有相关审批程序和合规手续，账务处理及时，会计核算规范。</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三、项目实施及管理情况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一）项目组织架构及实施流程。项目以业务分管院长牵头，各业务庭室及部门负责人协同配合的组织构架，负责对项目执行情况负责，由院督查室监督验收项目发生的合理合规性，院办公室对项目资金的支付严格把关。</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（二）项目管理情况。项目推行全面质量管理，充分发挥监督管理职能，财务报账严格执行财务审批程序。</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三）项目监管情况。办案业务费项目严格按照年初预算安排的资金执行，积极落实项目专项资金，严格按照财政专项资金管理办法进行资金管理，并主动接受院督查室的监督，做到了专款专用，没有滞留截流挤占挪用的现象。项目采用一事一报的方式执行。</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四、项目绩效情况</w:t>
      </w:r>
      <w:r>
        <w:rPr>
          <w:rFonts w:hint="eastAsia" w:ascii="仿宋_GB2312" w:eastAsia="仿宋_GB2312"/>
          <w:sz w:val="32"/>
          <w:szCs w:val="32"/>
          <w:lang w:eastAsia="zh-CN"/>
        </w:rPr>
        <w:tab/>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（一）项目完成情况。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本项目预算资金下达32.87万元，年度实际执行数32.87万元，完成预算数的100%。办案业务经费已在2023年度作为审判执行办案保障进行执行，结合年初设置目标，年度案件办结率达99.53%(包含旧存案件14件)，完成年初预计指标；案件审判时效为42.08天，对比年初指标多4.08天，结合审判质效考核要求，任务指标完成情况是符合相关考核要求；案件发改率0.22%，达到年初预计指标；年度新收案件数2560件，比年初指标多360件。</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（二）项目效益情况。</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通过项目实施，保障了全院审判执行工作的有序开展，保护了案件当事人切身利益，法院工作得到社会大众的广泛好评，增强了法院公正司法、阳光法治的良好司法形象。</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五、评价结论及建议</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（一）评价结论。</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项目的设置、年中的执行、指标的完成情况，符合法院的职能职责，对应了法院工作开展。项目预算执行进度推进有力，项目监督管控及时有效，项目资金支付合理合规。</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通过项目的实施，充分保障了我院司法办案所产生的经费支出，促进了我院案件审执进度和工作效率，及时妥善化解群众纠纷，有效解决了当事人的合理诉求，维护了其合法权益，营造了法治化的营商环境，忠实履行宪法法律赋予的职责，切实为区域经济社会高质量发展提供坚强有力的司法保障。</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（二）存在的问题。</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项目评价体系不够完善，项目评价指标的确定不够细化、量化。尤其是没有充分结合法院的中心工作任务，没有及时调整相关指标设置，导致指标完成与预计有差距。</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（三）相关建议。</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1、提高认识。进一步推动预算绩效知识普及，形成财务工作围绕绩效工作开展，用钱必问效等局面。</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2、业务学习。加强绩效知识培训，不单是业务人员，要涵盖全单位每一名干部，有计划有步骤，逐步完善绩效工作开展。</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特此报告</w:t>
      </w:r>
    </w:p>
    <w:p>
      <w:pPr>
        <w:ind w:firstLine="640" w:firstLineChars="200"/>
        <w:rPr>
          <w:rFonts w:ascii="仿宋_GB2312" w:eastAsia="仿宋_GB2312"/>
          <w:sz w:val="32"/>
          <w:szCs w:val="32"/>
          <w:lang w:eastAsia="zh-CN"/>
        </w:rPr>
      </w:pPr>
    </w:p>
    <w:p>
      <w:pPr>
        <w:ind w:firstLine="640" w:firstLineChars="200"/>
        <w:rPr>
          <w:rFonts w:ascii="仿宋_GB2312" w:eastAsia="仿宋_GB2312"/>
          <w:sz w:val="32"/>
          <w:szCs w:val="32"/>
          <w:lang w:eastAsia="zh-CN"/>
        </w:rPr>
      </w:pP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 xml:space="preserve">                         广元市朝天区人民法院</w:t>
      </w:r>
    </w:p>
    <w:p>
      <w:pPr>
        <w:ind w:firstLine="640" w:firstLineChars="200"/>
        <w:rPr>
          <w:rFonts w:ascii="仿宋_GB2312" w:eastAsia="仿宋_GB2312"/>
          <w:sz w:val="32"/>
          <w:szCs w:val="32"/>
          <w:lang w:eastAsia="zh-CN"/>
        </w:rPr>
      </w:pPr>
      <w:r>
        <w:rPr>
          <w:rFonts w:hint="eastAsia" w:ascii="仿宋_GB2312" w:eastAsia="仿宋_GB2312"/>
          <w:sz w:val="32"/>
          <w:szCs w:val="32"/>
          <w:lang w:eastAsia="zh-CN"/>
        </w:rPr>
        <w:t xml:space="preserve">                               2023年2月20日</w:t>
      </w:r>
    </w:p>
    <w:p>
      <w:pPr>
        <w:spacing w:line="600" w:lineRule="exact"/>
        <w:jc w:val="center"/>
        <w:outlineLvl w:val="0"/>
        <w:rPr>
          <w:rFonts w:ascii="黑体" w:hAnsi="黑体" w:eastAsia="黑体"/>
          <w:sz w:val="44"/>
          <w:szCs w:val="44"/>
          <w:lang w:eastAsia="zh-CN"/>
        </w:rPr>
      </w:pPr>
      <w:bookmarkStart w:id="103" w:name="_Toc15396618"/>
      <w:bookmarkStart w:id="104" w:name="_Toc18739"/>
    </w:p>
    <w:p>
      <w:pPr>
        <w:spacing w:line="600" w:lineRule="exact"/>
        <w:jc w:val="center"/>
        <w:outlineLvl w:val="0"/>
        <w:rPr>
          <w:rFonts w:ascii="黑体" w:hAnsi="黑体" w:eastAsia="黑体"/>
          <w:sz w:val="44"/>
          <w:szCs w:val="44"/>
          <w:lang w:eastAsia="zh-CN"/>
        </w:rPr>
      </w:pPr>
    </w:p>
    <w:p>
      <w:pPr>
        <w:spacing w:line="600" w:lineRule="exact"/>
        <w:jc w:val="center"/>
        <w:outlineLvl w:val="0"/>
        <w:rPr>
          <w:rFonts w:ascii="黑体" w:hAnsi="黑体" w:eastAsia="黑体"/>
          <w:sz w:val="44"/>
          <w:szCs w:val="44"/>
          <w:lang w:eastAsia="zh-CN"/>
        </w:rPr>
      </w:pPr>
    </w:p>
    <w:p>
      <w:pPr>
        <w:pStyle w:val="2"/>
        <w:jc w:val="center"/>
        <w:rPr>
          <w:rFonts w:hint="eastAsia" w:ascii="黑体" w:hAnsi="黑体" w:eastAsia="黑体"/>
          <w:sz w:val="44"/>
          <w:szCs w:val="44"/>
          <w:lang w:eastAsia="zh-CN"/>
        </w:rPr>
      </w:pPr>
      <w:bookmarkStart w:id="105" w:name="_Toc177054946"/>
    </w:p>
    <w:p>
      <w:pPr>
        <w:pStyle w:val="2"/>
        <w:jc w:val="center"/>
        <w:rPr>
          <w:rFonts w:hint="eastAsia" w:ascii="黑体" w:hAnsi="黑体" w:eastAsia="黑体"/>
          <w:sz w:val="44"/>
          <w:szCs w:val="44"/>
          <w:lang w:eastAsia="zh-CN"/>
        </w:rPr>
      </w:pPr>
    </w:p>
    <w:p>
      <w:pPr>
        <w:pStyle w:val="2"/>
        <w:jc w:val="center"/>
        <w:rPr>
          <w:rFonts w:hint="eastAsia" w:ascii="黑体" w:hAnsi="黑体" w:eastAsia="黑体"/>
          <w:sz w:val="44"/>
          <w:szCs w:val="44"/>
          <w:lang w:eastAsia="zh-CN"/>
        </w:rPr>
      </w:pPr>
    </w:p>
    <w:p>
      <w:pPr>
        <w:pStyle w:val="2"/>
        <w:jc w:val="center"/>
        <w:rPr>
          <w:rFonts w:hint="eastAsia" w:ascii="黑体" w:hAnsi="黑体" w:eastAsia="黑体"/>
          <w:sz w:val="44"/>
          <w:szCs w:val="44"/>
          <w:lang w:eastAsia="zh-CN"/>
        </w:rPr>
      </w:pPr>
    </w:p>
    <w:p>
      <w:pPr>
        <w:pStyle w:val="2"/>
        <w:jc w:val="center"/>
        <w:rPr>
          <w:rFonts w:hint="eastAsia" w:ascii="黑体" w:hAnsi="黑体" w:eastAsia="黑体"/>
          <w:sz w:val="44"/>
          <w:szCs w:val="44"/>
          <w:lang w:eastAsia="zh-CN"/>
        </w:rPr>
      </w:pPr>
    </w:p>
    <w:p>
      <w:pPr>
        <w:pStyle w:val="2"/>
        <w:jc w:val="center"/>
        <w:rPr>
          <w:rFonts w:ascii="黑体" w:hAnsi="黑体" w:eastAsia="黑体"/>
          <w:sz w:val="44"/>
          <w:szCs w:val="44"/>
          <w:lang w:eastAsia="zh-CN"/>
        </w:rPr>
      </w:pPr>
      <w:r>
        <w:rPr>
          <w:rFonts w:hint="eastAsia" w:ascii="黑体" w:hAnsi="黑体" w:eastAsia="黑体"/>
          <w:sz w:val="44"/>
          <w:szCs w:val="44"/>
          <w:lang w:eastAsia="zh-CN"/>
        </w:rPr>
        <w:t>第五部分 附表</w:t>
      </w:r>
      <w:bookmarkEnd w:id="98"/>
      <w:bookmarkEnd w:id="103"/>
      <w:bookmarkEnd w:id="104"/>
      <w:bookmarkEnd w:id="105"/>
      <w:bookmarkStart w:id="106" w:name="_Toc15396619"/>
    </w:p>
    <w:p>
      <w:pPr>
        <w:pStyle w:val="3"/>
        <w:rPr>
          <w:lang w:eastAsia="zh-CN"/>
        </w:rPr>
      </w:pPr>
      <w:bookmarkStart w:id="107" w:name="_Toc177054947"/>
      <w:bookmarkStart w:id="108" w:name="_Toc19195"/>
      <w:r>
        <w:rPr>
          <w:rFonts w:hint="eastAsia"/>
          <w:lang w:eastAsia="zh-CN"/>
        </w:rPr>
        <w:t>一、收入支出决算总表</w:t>
      </w:r>
      <w:bookmarkEnd w:id="106"/>
      <w:bookmarkEnd w:id="107"/>
      <w:bookmarkEnd w:id="108"/>
    </w:p>
    <w:p>
      <w:pPr>
        <w:pStyle w:val="3"/>
        <w:rPr>
          <w:lang w:eastAsia="zh-CN"/>
        </w:rPr>
      </w:pPr>
      <w:bookmarkStart w:id="109" w:name="_Toc15396620"/>
      <w:bookmarkStart w:id="110" w:name="_Toc15324"/>
      <w:bookmarkStart w:id="111" w:name="_Toc177054948"/>
      <w:r>
        <w:rPr>
          <w:rFonts w:hint="eastAsia"/>
          <w:lang w:eastAsia="zh-CN"/>
        </w:rPr>
        <w:t>二、收入决算表</w:t>
      </w:r>
      <w:bookmarkEnd w:id="109"/>
      <w:bookmarkEnd w:id="110"/>
      <w:bookmarkEnd w:id="111"/>
    </w:p>
    <w:p>
      <w:pPr>
        <w:pStyle w:val="3"/>
        <w:rPr>
          <w:rFonts w:ascii="仿宋" w:hAnsi="仿宋" w:eastAsia="仿宋"/>
          <w:lang w:eastAsia="zh-CN"/>
        </w:rPr>
      </w:pPr>
      <w:bookmarkStart w:id="112" w:name="_Toc10936"/>
      <w:bookmarkStart w:id="113" w:name="_Toc177054949"/>
      <w:bookmarkStart w:id="114" w:name="_Toc15396621"/>
      <w:r>
        <w:rPr>
          <w:rStyle w:val="36"/>
          <w:rFonts w:hint="eastAsia" w:ascii="仿宋" w:hAnsi="仿宋" w:eastAsia="仿宋"/>
          <w:smallCaps w:val="0"/>
          <w:lang w:eastAsia="zh-CN"/>
        </w:rPr>
        <w:t>三、</w:t>
      </w:r>
      <w:r>
        <w:rPr>
          <w:rFonts w:hint="eastAsia" w:ascii="仿宋" w:hAnsi="仿宋" w:eastAsia="仿宋"/>
          <w:lang w:eastAsia="zh-CN"/>
        </w:rPr>
        <w:t>支</w:t>
      </w:r>
      <w:r>
        <w:rPr>
          <w:rStyle w:val="36"/>
          <w:rFonts w:hint="eastAsia" w:ascii="仿宋" w:hAnsi="仿宋" w:eastAsia="仿宋"/>
          <w:smallCaps w:val="0"/>
          <w:lang w:eastAsia="zh-CN"/>
        </w:rPr>
        <w:t>出决算表</w:t>
      </w:r>
      <w:bookmarkEnd w:id="112"/>
      <w:bookmarkEnd w:id="113"/>
      <w:bookmarkEnd w:id="114"/>
    </w:p>
    <w:p>
      <w:pPr>
        <w:pStyle w:val="3"/>
        <w:rPr>
          <w:rFonts w:ascii="仿宋" w:hAnsi="仿宋" w:eastAsia="仿宋"/>
          <w:b/>
          <w:lang w:eastAsia="zh-CN"/>
        </w:rPr>
      </w:pPr>
      <w:bookmarkStart w:id="115" w:name="_Toc177054950"/>
      <w:bookmarkStart w:id="116" w:name="_Toc15396622"/>
      <w:bookmarkStart w:id="117" w:name="_Toc27930"/>
      <w:r>
        <w:rPr>
          <w:rStyle w:val="36"/>
          <w:rFonts w:hint="eastAsia" w:ascii="仿宋" w:hAnsi="仿宋" w:eastAsia="仿宋"/>
          <w:smallCaps w:val="0"/>
          <w:lang w:eastAsia="zh-CN"/>
        </w:rPr>
        <w:t>四、</w:t>
      </w:r>
      <w:r>
        <w:rPr>
          <w:rFonts w:hint="eastAsia" w:ascii="仿宋" w:hAnsi="仿宋" w:eastAsia="仿宋"/>
          <w:lang w:eastAsia="zh-CN"/>
        </w:rPr>
        <w:t>财</w:t>
      </w:r>
      <w:r>
        <w:rPr>
          <w:rStyle w:val="36"/>
          <w:rFonts w:hint="eastAsia" w:ascii="仿宋" w:hAnsi="仿宋" w:eastAsia="仿宋"/>
          <w:smallCaps w:val="0"/>
          <w:lang w:eastAsia="zh-CN"/>
        </w:rPr>
        <w:t>政拨款收入支出决算总表</w:t>
      </w:r>
      <w:bookmarkEnd w:id="115"/>
      <w:bookmarkEnd w:id="116"/>
      <w:bookmarkEnd w:id="117"/>
    </w:p>
    <w:p>
      <w:pPr>
        <w:pStyle w:val="3"/>
        <w:rPr>
          <w:rStyle w:val="36"/>
          <w:rFonts w:ascii="仿宋" w:hAnsi="仿宋" w:eastAsia="仿宋"/>
          <w:smallCaps w:val="0"/>
          <w:lang w:eastAsia="zh-CN"/>
        </w:rPr>
      </w:pPr>
      <w:bookmarkStart w:id="118" w:name="_Toc15396623"/>
      <w:bookmarkStart w:id="119" w:name="_Toc177054951"/>
      <w:bookmarkStart w:id="120" w:name="_Toc16068"/>
      <w:r>
        <w:rPr>
          <w:rStyle w:val="36"/>
          <w:rFonts w:hint="eastAsia" w:ascii="仿宋" w:hAnsi="仿宋" w:eastAsia="仿宋"/>
          <w:smallCaps w:val="0"/>
          <w:lang w:eastAsia="zh-CN"/>
        </w:rPr>
        <w:t>五、</w:t>
      </w:r>
      <w:r>
        <w:rPr>
          <w:rFonts w:hint="eastAsia" w:ascii="仿宋" w:hAnsi="仿宋" w:eastAsia="仿宋"/>
          <w:lang w:eastAsia="zh-CN"/>
        </w:rPr>
        <w:t>财</w:t>
      </w:r>
      <w:r>
        <w:rPr>
          <w:rStyle w:val="36"/>
          <w:rFonts w:hint="eastAsia" w:ascii="仿宋" w:hAnsi="仿宋" w:eastAsia="仿宋"/>
          <w:smallCaps w:val="0"/>
          <w:lang w:eastAsia="zh-CN"/>
        </w:rPr>
        <w:t>政拨款支出决算明细表</w:t>
      </w:r>
      <w:bookmarkEnd w:id="118"/>
      <w:bookmarkEnd w:id="119"/>
      <w:bookmarkEnd w:id="120"/>
      <w:bookmarkStart w:id="121" w:name="_Toc15396624"/>
    </w:p>
    <w:p>
      <w:pPr>
        <w:pStyle w:val="3"/>
        <w:rPr>
          <w:rFonts w:ascii="仿宋" w:hAnsi="仿宋" w:eastAsia="仿宋"/>
          <w:lang w:eastAsia="zh-CN"/>
        </w:rPr>
      </w:pPr>
      <w:bookmarkStart w:id="122" w:name="_Toc177054952"/>
      <w:bookmarkStart w:id="123" w:name="_Toc28232"/>
      <w:r>
        <w:rPr>
          <w:rStyle w:val="36"/>
          <w:rFonts w:hint="eastAsia" w:ascii="仿宋" w:hAnsi="仿宋" w:eastAsia="仿宋"/>
          <w:smallCaps w:val="0"/>
          <w:lang w:eastAsia="zh-CN"/>
        </w:rPr>
        <w:t>六、</w:t>
      </w:r>
      <w:r>
        <w:rPr>
          <w:rFonts w:hint="eastAsia" w:ascii="仿宋" w:hAnsi="仿宋" w:eastAsia="仿宋"/>
          <w:lang w:eastAsia="zh-CN"/>
        </w:rPr>
        <w:t>一</w:t>
      </w:r>
      <w:r>
        <w:rPr>
          <w:rStyle w:val="36"/>
          <w:rFonts w:hint="eastAsia" w:ascii="仿宋" w:hAnsi="仿宋" w:eastAsia="仿宋"/>
          <w:smallCaps w:val="0"/>
          <w:lang w:eastAsia="zh-CN"/>
        </w:rPr>
        <w:t>般公共预算财政拨款支出决算表</w:t>
      </w:r>
      <w:bookmarkEnd w:id="121"/>
      <w:bookmarkEnd w:id="122"/>
      <w:bookmarkEnd w:id="123"/>
    </w:p>
    <w:p>
      <w:pPr>
        <w:pStyle w:val="3"/>
        <w:rPr>
          <w:rFonts w:ascii="仿宋" w:hAnsi="仿宋" w:eastAsia="仿宋"/>
          <w:lang w:eastAsia="zh-CN"/>
        </w:rPr>
      </w:pPr>
      <w:bookmarkStart w:id="124" w:name="_Toc15396625"/>
      <w:bookmarkStart w:id="125" w:name="_Toc177054953"/>
      <w:bookmarkStart w:id="126" w:name="_Toc25955"/>
      <w:r>
        <w:rPr>
          <w:rStyle w:val="36"/>
          <w:rFonts w:hint="eastAsia" w:ascii="仿宋" w:hAnsi="仿宋" w:eastAsia="仿宋"/>
          <w:smallCaps w:val="0"/>
          <w:lang w:eastAsia="zh-CN"/>
        </w:rPr>
        <w:t>七、</w:t>
      </w:r>
      <w:r>
        <w:rPr>
          <w:rFonts w:hint="eastAsia" w:ascii="仿宋" w:hAnsi="仿宋" w:eastAsia="仿宋"/>
          <w:lang w:eastAsia="zh-CN"/>
        </w:rPr>
        <w:t>一</w:t>
      </w:r>
      <w:r>
        <w:rPr>
          <w:rStyle w:val="36"/>
          <w:rFonts w:hint="eastAsia" w:ascii="仿宋" w:hAnsi="仿宋" w:eastAsia="仿宋"/>
          <w:smallCaps w:val="0"/>
          <w:lang w:eastAsia="zh-CN"/>
        </w:rPr>
        <w:t>般公共预算财政拨款支出决算明细表</w:t>
      </w:r>
      <w:bookmarkEnd w:id="124"/>
      <w:bookmarkEnd w:id="125"/>
      <w:bookmarkEnd w:id="126"/>
    </w:p>
    <w:p>
      <w:pPr>
        <w:pStyle w:val="3"/>
        <w:rPr>
          <w:rFonts w:ascii="仿宋" w:hAnsi="仿宋" w:eastAsia="仿宋"/>
          <w:lang w:eastAsia="zh-CN"/>
        </w:rPr>
      </w:pPr>
      <w:bookmarkStart w:id="127" w:name="_Toc21903"/>
      <w:bookmarkStart w:id="128" w:name="_Toc177054954"/>
      <w:bookmarkStart w:id="129" w:name="_Toc15396626"/>
      <w:r>
        <w:rPr>
          <w:rStyle w:val="36"/>
          <w:rFonts w:hint="eastAsia" w:ascii="仿宋" w:hAnsi="仿宋" w:eastAsia="仿宋"/>
          <w:smallCaps w:val="0"/>
          <w:lang w:eastAsia="zh-CN"/>
        </w:rPr>
        <w:t>八、</w:t>
      </w:r>
      <w:r>
        <w:rPr>
          <w:rFonts w:hint="eastAsia" w:ascii="仿宋" w:hAnsi="仿宋" w:eastAsia="仿宋"/>
          <w:lang w:eastAsia="zh-CN"/>
        </w:rPr>
        <w:t>一</w:t>
      </w:r>
      <w:r>
        <w:rPr>
          <w:rStyle w:val="36"/>
          <w:rFonts w:hint="eastAsia" w:ascii="仿宋" w:hAnsi="仿宋" w:eastAsia="仿宋"/>
          <w:smallCaps w:val="0"/>
          <w:lang w:eastAsia="zh-CN"/>
        </w:rPr>
        <w:t>般公共预算财政拨款基本支出决算表</w:t>
      </w:r>
      <w:bookmarkEnd w:id="127"/>
      <w:bookmarkEnd w:id="128"/>
      <w:bookmarkEnd w:id="129"/>
    </w:p>
    <w:p>
      <w:pPr>
        <w:pStyle w:val="3"/>
        <w:rPr>
          <w:rFonts w:ascii="仿宋" w:hAnsi="仿宋" w:eastAsia="仿宋"/>
          <w:lang w:eastAsia="zh-CN"/>
        </w:rPr>
      </w:pPr>
      <w:bookmarkStart w:id="130" w:name="_Toc4424"/>
      <w:bookmarkStart w:id="131" w:name="_Toc177054955"/>
      <w:bookmarkStart w:id="132" w:name="_Toc15396627"/>
      <w:r>
        <w:rPr>
          <w:rStyle w:val="36"/>
          <w:rFonts w:hint="eastAsia" w:ascii="仿宋" w:hAnsi="仿宋" w:eastAsia="仿宋"/>
          <w:smallCaps w:val="0"/>
          <w:lang w:eastAsia="zh-CN"/>
        </w:rPr>
        <w:t>九、</w:t>
      </w:r>
      <w:r>
        <w:rPr>
          <w:rFonts w:hint="eastAsia" w:ascii="仿宋" w:hAnsi="仿宋" w:eastAsia="仿宋"/>
          <w:lang w:eastAsia="zh-CN"/>
        </w:rPr>
        <w:t>一</w:t>
      </w:r>
      <w:r>
        <w:rPr>
          <w:rStyle w:val="36"/>
          <w:rFonts w:hint="eastAsia" w:ascii="仿宋" w:hAnsi="仿宋" w:eastAsia="仿宋"/>
          <w:smallCaps w:val="0"/>
          <w:lang w:eastAsia="zh-CN"/>
        </w:rPr>
        <w:t>般公共预算财政拨款项目支出决算表</w:t>
      </w:r>
      <w:bookmarkEnd w:id="130"/>
      <w:bookmarkEnd w:id="131"/>
      <w:bookmarkEnd w:id="132"/>
    </w:p>
    <w:p>
      <w:pPr>
        <w:pStyle w:val="3"/>
        <w:rPr>
          <w:rFonts w:ascii="仿宋" w:hAnsi="仿宋" w:eastAsia="仿宋"/>
          <w:lang w:eastAsia="zh-CN"/>
        </w:rPr>
      </w:pPr>
      <w:bookmarkStart w:id="133" w:name="_Toc15396628"/>
      <w:bookmarkStart w:id="134" w:name="_Toc21331"/>
      <w:bookmarkStart w:id="135" w:name="_Toc177054956"/>
      <w:r>
        <w:rPr>
          <w:rStyle w:val="36"/>
          <w:rFonts w:hint="eastAsia" w:ascii="仿宋" w:hAnsi="仿宋" w:eastAsia="仿宋"/>
          <w:smallCaps w:val="0"/>
          <w:lang w:eastAsia="zh-CN"/>
        </w:rPr>
        <w:t>十、</w:t>
      </w:r>
      <w:bookmarkEnd w:id="133"/>
      <w:r>
        <w:rPr>
          <w:rFonts w:hint="eastAsia" w:ascii="仿宋" w:hAnsi="仿宋" w:eastAsia="仿宋"/>
          <w:lang w:eastAsia="zh-CN"/>
        </w:rPr>
        <w:t>政</w:t>
      </w:r>
      <w:r>
        <w:rPr>
          <w:rStyle w:val="36"/>
          <w:rFonts w:hint="eastAsia" w:ascii="仿宋" w:hAnsi="仿宋" w:eastAsia="仿宋"/>
          <w:smallCaps w:val="0"/>
          <w:lang w:eastAsia="zh-CN"/>
        </w:rPr>
        <w:t>府性基金预算财政拨款收入支出决算表</w:t>
      </w:r>
      <w:bookmarkEnd w:id="134"/>
      <w:bookmarkEnd w:id="135"/>
    </w:p>
    <w:p>
      <w:pPr>
        <w:pStyle w:val="3"/>
        <w:rPr>
          <w:rFonts w:ascii="仿宋" w:hAnsi="仿宋" w:eastAsia="仿宋"/>
          <w:lang w:eastAsia="zh-CN"/>
        </w:rPr>
      </w:pPr>
      <w:bookmarkStart w:id="136" w:name="_Toc15396629"/>
      <w:bookmarkStart w:id="137" w:name="_Toc177054957"/>
      <w:bookmarkStart w:id="138" w:name="_Toc8127"/>
      <w:r>
        <w:rPr>
          <w:rStyle w:val="36"/>
          <w:rFonts w:hint="eastAsia" w:ascii="仿宋" w:hAnsi="仿宋" w:eastAsia="仿宋"/>
          <w:smallCaps w:val="0"/>
          <w:lang w:eastAsia="zh-CN"/>
        </w:rPr>
        <w:t>十一、</w:t>
      </w:r>
      <w:bookmarkEnd w:id="136"/>
      <w:r>
        <w:rPr>
          <w:rFonts w:hint="eastAsia" w:ascii="仿宋" w:hAnsi="仿宋" w:eastAsia="仿宋"/>
          <w:lang w:eastAsia="zh-CN"/>
        </w:rPr>
        <w:t>国</w:t>
      </w:r>
      <w:r>
        <w:rPr>
          <w:rStyle w:val="36"/>
          <w:rFonts w:hint="eastAsia" w:ascii="仿宋" w:hAnsi="仿宋" w:eastAsia="仿宋"/>
          <w:smallCaps w:val="0"/>
          <w:lang w:eastAsia="zh-CN"/>
        </w:rPr>
        <w:t>有资本经营预算财政拨款收入支出决算表</w:t>
      </w:r>
      <w:bookmarkEnd w:id="137"/>
      <w:bookmarkEnd w:id="138"/>
    </w:p>
    <w:p>
      <w:pPr>
        <w:pStyle w:val="3"/>
        <w:rPr>
          <w:rFonts w:ascii="仿宋" w:hAnsi="仿宋" w:eastAsia="仿宋"/>
          <w:lang w:eastAsia="zh-CN"/>
        </w:rPr>
      </w:pPr>
      <w:bookmarkStart w:id="139" w:name="_Toc15396630"/>
      <w:bookmarkStart w:id="140" w:name="_Toc27720"/>
      <w:bookmarkStart w:id="141" w:name="_Toc177054958"/>
      <w:r>
        <w:rPr>
          <w:rStyle w:val="36"/>
          <w:rFonts w:hint="eastAsia" w:ascii="仿宋" w:hAnsi="仿宋" w:eastAsia="仿宋"/>
          <w:smallCaps w:val="0"/>
          <w:lang w:eastAsia="zh-CN"/>
        </w:rPr>
        <w:t>十二、</w:t>
      </w:r>
      <w:bookmarkEnd w:id="139"/>
      <w:r>
        <w:rPr>
          <w:rStyle w:val="36"/>
          <w:rFonts w:hint="eastAsia" w:ascii="仿宋" w:hAnsi="仿宋" w:eastAsia="仿宋"/>
          <w:smallCaps w:val="0"/>
          <w:lang w:eastAsia="zh-CN"/>
        </w:rPr>
        <w:t>国有资本经营预算财政拨款支出决算表</w:t>
      </w:r>
      <w:bookmarkEnd w:id="140"/>
      <w:bookmarkEnd w:id="141"/>
    </w:p>
    <w:p>
      <w:pPr>
        <w:pStyle w:val="3"/>
        <w:rPr>
          <w:rFonts w:eastAsia="仿宋"/>
          <w:lang w:eastAsia="zh-CN"/>
        </w:rPr>
      </w:pPr>
      <w:bookmarkStart w:id="142" w:name="_Toc15396631"/>
      <w:bookmarkStart w:id="143" w:name="_Toc177054959"/>
      <w:bookmarkStart w:id="144" w:name="_Toc29940"/>
      <w:r>
        <w:rPr>
          <w:rStyle w:val="36"/>
          <w:rFonts w:hint="eastAsia" w:ascii="仿宋" w:hAnsi="仿宋" w:eastAsia="仿宋"/>
          <w:smallCaps w:val="0"/>
          <w:lang w:eastAsia="zh-CN"/>
        </w:rPr>
        <w:t>十三、</w:t>
      </w:r>
      <w:bookmarkEnd w:id="142"/>
      <w:r>
        <w:rPr>
          <w:rStyle w:val="36"/>
          <w:rFonts w:hint="eastAsia" w:ascii="仿宋" w:hAnsi="仿宋" w:eastAsia="仿宋"/>
          <w:smallCaps w:val="0"/>
          <w:lang w:eastAsia="zh-CN"/>
        </w:rPr>
        <w:t>财政拨款“三公”经费支出决算表</w:t>
      </w:r>
      <w:bookmarkEnd w:id="143"/>
      <w:bookmarkEnd w:id="144"/>
    </w:p>
    <w:sectPr>
      <w:pgSz w:w="11906" w:h="16838"/>
      <w:pgMar w:top="1440" w:right="1800" w:bottom="1440" w:left="1800" w:header="851" w:footer="992" w:gutter="0"/>
      <w:cols w:space="425"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
    <w:altName w:val="宋体"/>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
    <w:altName w:val="华文中宋"/>
    <w:panose1 w:val="00000000000000000000"/>
    <w:charset w:val="00"/>
    <w:family w:val="roman"/>
    <w:pitch w:val="default"/>
    <w:sig w:usb0="00000000" w:usb1="00000000" w:usb2="00000000" w:usb3="00000000" w:csb0="00040001" w:csb1="00000000"/>
  </w:font>
  <w:font w:name="Wingdings 2">
    <w:panose1 w:val="05020102010507070707"/>
    <w:charset w:val="02"/>
    <w:family w:val="roman"/>
    <w:pitch w:val="default"/>
    <w:sig w:usb0="00000000" w:usb1="00000000" w:usb2="00000000" w:usb3="00000000" w:csb0="80000000" w:csb1="00000000"/>
  </w:font>
  <w:font w:name="微软雅黑">
    <w:altName w:val="黑体"/>
    <w:panose1 w:val="020B0503020204020204"/>
    <w:charset w:val="86"/>
    <w:family w:val="swiss"/>
    <w:pitch w:val="default"/>
    <w:sig w:usb0="00000000" w:usb1="0000000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Noto Sans Syriac Eastern">
    <w:panose1 w:val="02040503050306020203"/>
    <w:charset w:val="86"/>
    <w:family w:val="auto"/>
    <w:pitch w:val="default"/>
    <w:sig w:usb0="00000000" w:usb1="00000000" w:usb2="00000080" w:usb3="00000000" w:csb0="203E0161" w:csb1="D7FF0000"/>
  </w:font>
  <w:font w:name="Comic Sans MS">
    <w:panose1 w:val="030F0702030302020204"/>
    <w:charset w:val="00"/>
    <w:family w:val="auto"/>
    <w:pitch w:val="default"/>
    <w:sig w:usb0="00000287" w:usb1="00000000" w:usb2="00000000" w:usb3="00000000" w:csb0="2000009F"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pict>
        <v:shape id="_x0000_s4097" o:spid="_x0000_s4097"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path/>
          <v:fill on="f" focussize="0,0"/>
          <v:stroke on="f" weight="0.5pt" joinstyle="miter"/>
          <v:imagedata o:title=""/>
          <o:lock v:ext="edit"/>
          <v:textbox inset="0mm,0mm,0mm,0mm" style="mso-fit-shape-to-text:t;">
            <w:txbxContent>
              <w:p>
                <w:pPr>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14</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path/>
          <v:fill on="f" focussize="0,0"/>
          <v:stroke on="f" weight="0.5pt" joinstyle="miter"/>
          <v:imagedata o:title=""/>
          <o:lock v:ext="edit"/>
          <v:textbox inset="0mm,0mm,0mm,0mm" style="mso-fit-shape-to-text:t;">
            <w:txbxContent>
              <w:sdt>
                <w:sdtPr>
                  <w:id w:val="532759372"/>
                </w:sdtPr>
                <w:sdtContent>
                  <w:p>
                    <w:pPr>
                      <w:pStyle w:val="19"/>
                      <w:jc w:val="center"/>
                    </w:pPr>
                    <w:r>
                      <w:fldChar w:fldCharType="begin"/>
                    </w:r>
                    <w:r>
                      <w:instrText xml:space="preserve">PAGE   \* MERGEFORMAT</w:instrText>
                    </w:r>
                    <w:r>
                      <w:fldChar w:fldCharType="separate"/>
                    </w:r>
                    <w:r>
                      <w:rPr>
                        <w:lang w:val="zh-CN"/>
                      </w:rPr>
                      <w:t>83</w:t>
                    </w:r>
                    <w:r>
                      <w:rPr>
                        <w:lang w:val="zh-CN"/>
                      </w:rPr>
                      <w:fldChar w:fldCharType="end"/>
                    </w:r>
                  </w:p>
                </w:sdtContent>
              </w:sdt>
              <w:p>
                <w:pPr>
                  <w:pStyle w:val="14"/>
                  <w:spacing w:before="72"/>
                </w:pPr>
              </w:p>
            </w:txbxContent>
          </v:textbox>
        </v:shape>
      </w:pict>
    </w:r>
  </w:p>
  <w:p>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path/>
          <v:fill on="f" focussize="0,0"/>
          <v:stroke on="f" weight="0.5pt" joinstyle="miter"/>
          <v:imagedata o:title=""/>
          <o:lock v:ext="edit"/>
          <v:textbox inset="0mm,0mm,0mm,0mm" style="mso-fit-shape-to-text:t;">
            <w:txbxContent>
              <w:p>
                <w:pPr>
                  <w:pStyle w:val="19"/>
                </w:pPr>
                <w:r>
                  <w:fldChar w:fldCharType="begin"/>
                </w:r>
                <w:r>
                  <w:instrText xml:space="preserve"> PAGE  \* MERGEFORMAT </w:instrText>
                </w:r>
                <w:r>
                  <w:fldChar w:fldCharType="separate"/>
                </w:r>
                <w:r>
                  <w:t>63</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58F38E"/>
    <w:multiLevelType w:val="singleLevel"/>
    <w:tmpl w:val="C758F38E"/>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HorizontalSpacing w:val="105"/>
  <w:drawingGridVerticalSpacing w:val="156"/>
  <w:displayHorizontalDrawingGridEvery w:val="2"/>
  <w:displayVerticalDrawingGridEvery w:val="2"/>
  <w:noPunctuationKerning w:val="true"/>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Tc2ZGZiNzZiNDVlOGViOWVmM2JhOTY0NGJkNjUyYzgifQ=="/>
  </w:docVars>
  <w:rsids>
    <w:rsidRoot w:val="00F1361C"/>
    <w:rsid w:val="0000082E"/>
    <w:rsid w:val="00012E17"/>
    <w:rsid w:val="00014FB9"/>
    <w:rsid w:val="000222C6"/>
    <w:rsid w:val="0002549F"/>
    <w:rsid w:val="000351D1"/>
    <w:rsid w:val="000468DB"/>
    <w:rsid w:val="00050D8C"/>
    <w:rsid w:val="0006487A"/>
    <w:rsid w:val="00065F8F"/>
    <w:rsid w:val="00070A43"/>
    <w:rsid w:val="000768F2"/>
    <w:rsid w:val="00082830"/>
    <w:rsid w:val="00091290"/>
    <w:rsid w:val="0009184B"/>
    <w:rsid w:val="00094236"/>
    <w:rsid w:val="0009593C"/>
    <w:rsid w:val="00097322"/>
    <w:rsid w:val="000A6A92"/>
    <w:rsid w:val="000B047F"/>
    <w:rsid w:val="000B5923"/>
    <w:rsid w:val="000B5A48"/>
    <w:rsid w:val="000B6FF3"/>
    <w:rsid w:val="000C3467"/>
    <w:rsid w:val="000C3CA6"/>
    <w:rsid w:val="000C5E86"/>
    <w:rsid w:val="000D1267"/>
    <w:rsid w:val="000D1D50"/>
    <w:rsid w:val="000D5782"/>
    <w:rsid w:val="000E6613"/>
    <w:rsid w:val="000E7119"/>
    <w:rsid w:val="00114E9B"/>
    <w:rsid w:val="001308BD"/>
    <w:rsid w:val="0013763E"/>
    <w:rsid w:val="001410AA"/>
    <w:rsid w:val="00142216"/>
    <w:rsid w:val="00144D6A"/>
    <w:rsid w:val="0014729F"/>
    <w:rsid w:val="00157BAB"/>
    <w:rsid w:val="0016425A"/>
    <w:rsid w:val="001654D1"/>
    <w:rsid w:val="00173630"/>
    <w:rsid w:val="00174518"/>
    <w:rsid w:val="00176CFC"/>
    <w:rsid w:val="0018106D"/>
    <w:rsid w:val="001877A7"/>
    <w:rsid w:val="00191536"/>
    <w:rsid w:val="00196687"/>
    <w:rsid w:val="001A4958"/>
    <w:rsid w:val="001C0962"/>
    <w:rsid w:val="001D7375"/>
    <w:rsid w:val="001D7531"/>
    <w:rsid w:val="001E737D"/>
    <w:rsid w:val="001F0592"/>
    <w:rsid w:val="001F7506"/>
    <w:rsid w:val="002006CD"/>
    <w:rsid w:val="00202B36"/>
    <w:rsid w:val="00204B7A"/>
    <w:rsid w:val="00204CDE"/>
    <w:rsid w:val="0021101A"/>
    <w:rsid w:val="00220536"/>
    <w:rsid w:val="0022104E"/>
    <w:rsid w:val="00225BAA"/>
    <w:rsid w:val="00235629"/>
    <w:rsid w:val="00247B9F"/>
    <w:rsid w:val="00260C38"/>
    <w:rsid w:val="002616C0"/>
    <w:rsid w:val="00265372"/>
    <w:rsid w:val="002662AA"/>
    <w:rsid w:val="0027207A"/>
    <w:rsid w:val="00280496"/>
    <w:rsid w:val="00294DC9"/>
    <w:rsid w:val="00295495"/>
    <w:rsid w:val="002A31DE"/>
    <w:rsid w:val="002A71BE"/>
    <w:rsid w:val="002B2613"/>
    <w:rsid w:val="002D6D05"/>
    <w:rsid w:val="002E1F18"/>
    <w:rsid w:val="002F1818"/>
    <w:rsid w:val="002F567B"/>
    <w:rsid w:val="003216A9"/>
    <w:rsid w:val="00335A74"/>
    <w:rsid w:val="00357034"/>
    <w:rsid w:val="0036561B"/>
    <w:rsid w:val="0037013F"/>
    <w:rsid w:val="00380C92"/>
    <w:rsid w:val="00384D5F"/>
    <w:rsid w:val="003A484F"/>
    <w:rsid w:val="003A4883"/>
    <w:rsid w:val="003A52A8"/>
    <w:rsid w:val="003B0538"/>
    <w:rsid w:val="003B0BE0"/>
    <w:rsid w:val="003B0C1B"/>
    <w:rsid w:val="003B688C"/>
    <w:rsid w:val="003C0291"/>
    <w:rsid w:val="003C39AE"/>
    <w:rsid w:val="003C7B60"/>
    <w:rsid w:val="003D0C0F"/>
    <w:rsid w:val="003D1FB2"/>
    <w:rsid w:val="003D66DA"/>
    <w:rsid w:val="003E1310"/>
    <w:rsid w:val="003E6F55"/>
    <w:rsid w:val="00406254"/>
    <w:rsid w:val="004207E9"/>
    <w:rsid w:val="004223DE"/>
    <w:rsid w:val="00434489"/>
    <w:rsid w:val="00437085"/>
    <w:rsid w:val="004435C6"/>
    <w:rsid w:val="00443880"/>
    <w:rsid w:val="004464F4"/>
    <w:rsid w:val="00447789"/>
    <w:rsid w:val="0045790C"/>
    <w:rsid w:val="00471401"/>
    <w:rsid w:val="00473F31"/>
    <w:rsid w:val="0048263A"/>
    <w:rsid w:val="00487E5D"/>
    <w:rsid w:val="004A447A"/>
    <w:rsid w:val="004A48BA"/>
    <w:rsid w:val="004A711F"/>
    <w:rsid w:val="004A799B"/>
    <w:rsid w:val="004B199D"/>
    <w:rsid w:val="004B4690"/>
    <w:rsid w:val="004D07A3"/>
    <w:rsid w:val="004E0A2D"/>
    <w:rsid w:val="004E206B"/>
    <w:rsid w:val="004E6DF7"/>
    <w:rsid w:val="004F0FBD"/>
    <w:rsid w:val="00505A47"/>
    <w:rsid w:val="005077A9"/>
    <w:rsid w:val="00512FDA"/>
    <w:rsid w:val="00520DA0"/>
    <w:rsid w:val="005664BB"/>
    <w:rsid w:val="00566FFA"/>
    <w:rsid w:val="00573DC1"/>
    <w:rsid w:val="0057481D"/>
    <w:rsid w:val="005834A9"/>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25B03"/>
    <w:rsid w:val="00630AEF"/>
    <w:rsid w:val="006325F8"/>
    <w:rsid w:val="00633463"/>
    <w:rsid w:val="00634C9A"/>
    <w:rsid w:val="006440E4"/>
    <w:rsid w:val="0066343B"/>
    <w:rsid w:val="00664777"/>
    <w:rsid w:val="00670CE8"/>
    <w:rsid w:val="006748A4"/>
    <w:rsid w:val="00681A31"/>
    <w:rsid w:val="00683E73"/>
    <w:rsid w:val="006A3141"/>
    <w:rsid w:val="006A5E34"/>
    <w:rsid w:val="006B123A"/>
    <w:rsid w:val="006B2422"/>
    <w:rsid w:val="006B2B9A"/>
    <w:rsid w:val="006B5DFC"/>
    <w:rsid w:val="006C1937"/>
    <w:rsid w:val="006D2EF7"/>
    <w:rsid w:val="006E5E4B"/>
    <w:rsid w:val="006F020C"/>
    <w:rsid w:val="00710AC0"/>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16A82"/>
    <w:rsid w:val="008253BB"/>
    <w:rsid w:val="0083706E"/>
    <w:rsid w:val="008408F6"/>
    <w:rsid w:val="008423A5"/>
    <w:rsid w:val="00850625"/>
    <w:rsid w:val="00853718"/>
    <w:rsid w:val="00855221"/>
    <w:rsid w:val="00860645"/>
    <w:rsid w:val="00871F71"/>
    <w:rsid w:val="00872FD8"/>
    <w:rsid w:val="00885AF4"/>
    <w:rsid w:val="008939CD"/>
    <w:rsid w:val="008A488B"/>
    <w:rsid w:val="008B6C81"/>
    <w:rsid w:val="008B768C"/>
    <w:rsid w:val="008C4DB1"/>
    <w:rsid w:val="008C4EAF"/>
    <w:rsid w:val="008C5176"/>
    <w:rsid w:val="008C7FD0"/>
    <w:rsid w:val="008E1DE7"/>
    <w:rsid w:val="008E707C"/>
    <w:rsid w:val="00900B08"/>
    <w:rsid w:val="00902155"/>
    <w:rsid w:val="00902FA3"/>
    <w:rsid w:val="009104B8"/>
    <w:rsid w:val="00915C99"/>
    <w:rsid w:val="00923564"/>
    <w:rsid w:val="0092392E"/>
    <w:rsid w:val="009315F9"/>
    <w:rsid w:val="00933499"/>
    <w:rsid w:val="00935C98"/>
    <w:rsid w:val="00946945"/>
    <w:rsid w:val="00951248"/>
    <w:rsid w:val="009513BD"/>
    <w:rsid w:val="0095152F"/>
    <w:rsid w:val="00954C49"/>
    <w:rsid w:val="00955E37"/>
    <w:rsid w:val="0096746B"/>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5BAC"/>
    <w:rsid w:val="009F7527"/>
    <w:rsid w:val="00A0374A"/>
    <w:rsid w:val="00A04EB0"/>
    <w:rsid w:val="00A13CC1"/>
    <w:rsid w:val="00A16847"/>
    <w:rsid w:val="00A237D8"/>
    <w:rsid w:val="00A268C4"/>
    <w:rsid w:val="00A307CD"/>
    <w:rsid w:val="00A331C8"/>
    <w:rsid w:val="00A40A00"/>
    <w:rsid w:val="00A4142F"/>
    <w:rsid w:val="00A422EB"/>
    <w:rsid w:val="00A45BB7"/>
    <w:rsid w:val="00A56DF2"/>
    <w:rsid w:val="00A56E6E"/>
    <w:rsid w:val="00A67023"/>
    <w:rsid w:val="00A67AB5"/>
    <w:rsid w:val="00A733B2"/>
    <w:rsid w:val="00A741C2"/>
    <w:rsid w:val="00A74BAD"/>
    <w:rsid w:val="00A914A6"/>
    <w:rsid w:val="00A91760"/>
    <w:rsid w:val="00A92591"/>
    <w:rsid w:val="00A93B00"/>
    <w:rsid w:val="00A93C21"/>
    <w:rsid w:val="00AB64C9"/>
    <w:rsid w:val="00AC3C6A"/>
    <w:rsid w:val="00AD5620"/>
    <w:rsid w:val="00AD656B"/>
    <w:rsid w:val="00AD7C1B"/>
    <w:rsid w:val="00AE16BA"/>
    <w:rsid w:val="00AE1EBE"/>
    <w:rsid w:val="00B03C9D"/>
    <w:rsid w:val="00B060AE"/>
    <w:rsid w:val="00B10517"/>
    <w:rsid w:val="00B10EC3"/>
    <w:rsid w:val="00B14E76"/>
    <w:rsid w:val="00B161B8"/>
    <w:rsid w:val="00B1751A"/>
    <w:rsid w:val="00B2048C"/>
    <w:rsid w:val="00B310B9"/>
    <w:rsid w:val="00B35F3F"/>
    <w:rsid w:val="00B36CBB"/>
    <w:rsid w:val="00B425E0"/>
    <w:rsid w:val="00B440AA"/>
    <w:rsid w:val="00B44B70"/>
    <w:rsid w:val="00B53040"/>
    <w:rsid w:val="00B53C56"/>
    <w:rsid w:val="00B54370"/>
    <w:rsid w:val="00B57DAF"/>
    <w:rsid w:val="00B65389"/>
    <w:rsid w:val="00B77EA6"/>
    <w:rsid w:val="00B81598"/>
    <w:rsid w:val="00B841F1"/>
    <w:rsid w:val="00B944D6"/>
    <w:rsid w:val="00BA32FB"/>
    <w:rsid w:val="00BB4DF0"/>
    <w:rsid w:val="00BC289F"/>
    <w:rsid w:val="00BC2D50"/>
    <w:rsid w:val="00BC2D70"/>
    <w:rsid w:val="00BC5361"/>
    <w:rsid w:val="00BC5460"/>
    <w:rsid w:val="00BC6B50"/>
    <w:rsid w:val="00BD0E25"/>
    <w:rsid w:val="00BE3153"/>
    <w:rsid w:val="00BF5BD6"/>
    <w:rsid w:val="00C03E31"/>
    <w:rsid w:val="00C26FC1"/>
    <w:rsid w:val="00C33E72"/>
    <w:rsid w:val="00C354B2"/>
    <w:rsid w:val="00C35554"/>
    <w:rsid w:val="00C42709"/>
    <w:rsid w:val="00C533CC"/>
    <w:rsid w:val="00C5751C"/>
    <w:rsid w:val="00C61BFC"/>
    <w:rsid w:val="00C62B85"/>
    <w:rsid w:val="00C65438"/>
    <w:rsid w:val="00C66344"/>
    <w:rsid w:val="00C87FD8"/>
    <w:rsid w:val="00C91381"/>
    <w:rsid w:val="00C91CBB"/>
    <w:rsid w:val="00C92969"/>
    <w:rsid w:val="00CB4E70"/>
    <w:rsid w:val="00CC09B6"/>
    <w:rsid w:val="00CC666F"/>
    <w:rsid w:val="00CD1E3F"/>
    <w:rsid w:val="00CD4A91"/>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0E0"/>
    <w:rsid w:val="00DC68CA"/>
    <w:rsid w:val="00DC7CBA"/>
    <w:rsid w:val="00DD1061"/>
    <w:rsid w:val="00DD73B7"/>
    <w:rsid w:val="00DF28BC"/>
    <w:rsid w:val="00DF34B9"/>
    <w:rsid w:val="00E01053"/>
    <w:rsid w:val="00E07ACF"/>
    <w:rsid w:val="00E20B9C"/>
    <w:rsid w:val="00E331A1"/>
    <w:rsid w:val="00E33202"/>
    <w:rsid w:val="00E336A9"/>
    <w:rsid w:val="00E472B1"/>
    <w:rsid w:val="00E50624"/>
    <w:rsid w:val="00E568DF"/>
    <w:rsid w:val="00E64269"/>
    <w:rsid w:val="00E67A5F"/>
    <w:rsid w:val="00E82267"/>
    <w:rsid w:val="00E82CF3"/>
    <w:rsid w:val="00E853CE"/>
    <w:rsid w:val="00E867B6"/>
    <w:rsid w:val="00EA010F"/>
    <w:rsid w:val="00EA1BB5"/>
    <w:rsid w:val="00EC75E8"/>
    <w:rsid w:val="00ED1B63"/>
    <w:rsid w:val="00ED3C1F"/>
    <w:rsid w:val="00ED4085"/>
    <w:rsid w:val="00ED420E"/>
    <w:rsid w:val="00ED5CA6"/>
    <w:rsid w:val="00ED6FBE"/>
    <w:rsid w:val="00EE2F57"/>
    <w:rsid w:val="00EF4C34"/>
    <w:rsid w:val="00EF77C6"/>
    <w:rsid w:val="00F05438"/>
    <w:rsid w:val="00F07851"/>
    <w:rsid w:val="00F1361C"/>
    <w:rsid w:val="00F156F0"/>
    <w:rsid w:val="00F160C7"/>
    <w:rsid w:val="00F2408F"/>
    <w:rsid w:val="00F240E9"/>
    <w:rsid w:val="00F36D8F"/>
    <w:rsid w:val="00F417B1"/>
    <w:rsid w:val="00F45822"/>
    <w:rsid w:val="00F45853"/>
    <w:rsid w:val="00F468ED"/>
    <w:rsid w:val="00F519D7"/>
    <w:rsid w:val="00F602DF"/>
    <w:rsid w:val="00F74E94"/>
    <w:rsid w:val="00F754A1"/>
    <w:rsid w:val="00F81FD9"/>
    <w:rsid w:val="00F841AA"/>
    <w:rsid w:val="00F84A94"/>
    <w:rsid w:val="00F87E96"/>
    <w:rsid w:val="00FA23E8"/>
    <w:rsid w:val="00FC2731"/>
    <w:rsid w:val="00FD3CC1"/>
    <w:rsid w:val="00FF1E02"/>
    <w:rsid w:val="00FF30B4"/>
    <w:rsid w:val="015975B8"/>
    <w:rsid w:val="02143E91"/>
    <w:rsid w:val="034960C7"/>
    <w:rsid w:val="03525018"/>
    <w:rsid w:val="03636A8F"/>
    <w:rsid w:val="041F10EB"/>
    <w:rsid w:val="04971F21"/>
    <w:rsid w:val="066E0107"/>
    <w:rsid w:val="07996F6E"/>
    <w:rsid w:val="09FD77B7"/>
    <w:rsid w:val="0A2032A3"/>
    <w:rsid w:val="0F98263C"/>
    <w:rsid w:val="101860EC"/>
    <w:rsid w:val="108F5D13"/>
    <w:rsid w:val="10C055FF"/>
    <w:rsid w:val="118107EC"/>
    <w:rsid w:val="13D50BC4"/>
    <w:rsid w:val="14B83929"/>
    <w:rsid w:val="16277F27"/>
    <w:rsid w:val="16BB723D"/>
    <w:rsid w:val="1BA10A52"/>
    <w:rsid w:val="1BE8440E"/>
    <w:rsid w:val="1D155CEE"/>
    <w:rsid w:val="1FF35744"/>
    <w:rsid w:val="23860B96"/>
    <w:rsid w:val="240371BF"/>
    <w:rsid w:val="241737B2"/>
    <w:rsid w:val="2545685B"/>
    <w:rsid w:val="26C26CF7"/>
    <w:rsid w:val="29FD04D3"/>
    <w:rsid w:val="2C8A61B5"/>
    <w:rsid w:val="2D5503F3"/>
    <w:rsid w:val="2DF04E50"/>
    <w:rsid w:val="2F040D46"/>
    <w:rsid w:val="306D4B10"/>
    <w:rsid w:val="319F7F4E"/>
    <w:rsid w:val="32A9493D"/>
    <w:rsid w:val="3304709D"/>
    <w:rsid w:val="35A328F5"/>
    <w:rsid w:val="366656C9"/>
    <w:rsid w:val="36AA5135"/>
    <w:rsid w:val="36FB71FF"/>
    <w:rsid w:val="376D39B2"/>
    <w:rsid w:val="378D3E9F"/>
    <w:rsid w:val="37E16F03"/>
    <w:rsid w:val="3867183D"/>
    <w:rsid w:val="38D469F0"/>
    <w:rsid w:val="3D98207C"/>
    <w:rsid w:val="3E78745D"/>
    <w:rsid w:val="44E268DA"/>
    <w:rsid w:val="45CF84CF"/>
    <w:rsid w:val="47FB2095"/>
    <w:rsid w:val="49D26176"/>
    <w:rsid w:val="49E75393"/>
    <w:rsid w:val="4A627F82"/>
    <w:rsid w:val="4AAB5B1D"/>
    <w:rsid w:val="4B0E749A"/>
    <w:rsid w:val="4B4F25DA"/>
    <w:rsid w:val="4BE068DB"/>
    <w:rsid w:val="4BF07591"/>
    <w:rsid w:val="4D577224"/>
    <w:rsid w:val="4EAB630A"/>
    <w:rsid w:val="4ECE2238"/>
    <w:rsid w:val="503F172F"/>
    <w:rsid w:val="5260677A"/>
    <w:rsid w:val="537E6D0A"/>
    <w:rsid w:val="543652D6"/>
    <w:rsid w:val="5A3E7CB9"/>
    <w:rsid w:val="5AF92295"/>
    <w:rsid w:val="5BFF5505"/>
    <w:rsid w:val="5CD71FC4"/>
    <w:rsid w:val="5DF272AD"/>
    <w:rsid w:val="5E6F2DA0"/>
    <w:rsid w:val="5FC1697C"/>
    <w:rsid w:val="65A2736F"/>
    <w:rsid w:val="670535DB"/>
    <w:rsid w:val="67C25F42"/>
    <w:rsid w:val="67F92EA5"/>
    <w:rsid w:val="6C4A05C8"/>
    <w:rsid w:val="6E7E3605"/>
    <w:rsid w:val="6EBA10FC"/>
    <w:rsid w:val="6FF5CC65"/>
    <w:rsid w:val="6FF73CCC"/>
    <w:rsid w:val="71444FD4"/>
    <w:rsid w:val="715C0E4B"/>
    <w:rsid w:val="72734D90"/>
    <w:rsid w:val="72C232B3"/>
    <w:rsid w:val="73AD73D5"/>
    <w:rsid w:val="73B6EB34"/>
    <w:rsid w:val="744731E5"/>
    <w:rsid w:val="76E3355F"/>
    <w:rsid w:val="773CB75E"/>
    <w:rsid w:val="778769C8"/>
    <w:rsid w:val="77E2122B"/>
    <w:rsid w:val="78B20A86"/>
    <w:rsid w:val="78FE654E"/>
    <w:rsid w:val="79AB2CDA"/>
    <w:rsid w:val="79EE5BA4"/>
    <w:rsid w:val="7A894339"/>
    <w:rsid w:val="7EEF11D3"/>
    <w:rsid w:val="7FA30C79"/>
    <w:rsid w:val="7FA9B159"/>
    <w:rsid w:val="7FB7269E"/>
    <w:rsid w:val="7FC96657"/>
    <w:rsid w:val="7FFF5B58"/>
    <w:rsid w:val="CCC63BD2"/>
    <w:rsid w:val="D8D6DB89"/>
    <w:rsid w:val="DB6F4CAB"/>
    <w:rsid w:val="DD7E06F8"/>
    <w:rsid w:val="DF6F9789"/>
    <w:rsid w:val="EAE34DA4"/>
    <w:rsid w:val="EFFF62E8"/>
    <w:rsid w:val="F3CB10EE"/>
    <w:rsid w:val="F9DDB3A7"/>
    <w:rsid w:val="FB3FB26C"/>
    <w:rsid w:val="FBBF7EE2"/>
    <w:rsid w:val="FEEFF25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ajorHAnsi" w:hAnsiTheme="majorHAnsi" w:eastAsiaTheme="majorEastAsia" w:cstheme="maj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ajorHAnsi" w:hAnsiTheme="majorHAnsi" w:eastAsiaTheme="majorEastAsia" w:cstheme="majorBidi"/>
      <w:sz w:val="22"/>
      <w:szCs w:val="22"/>
      <w:lang w:val="en-US" w:eastAsia="en-US" w:bidi="en-US"/>
    </w:rPr>
  </w:style>
  <w:style w:type="paragraph" w:styleId="2">
    <w:name w:val="heading 1"/>
    <w:basedOn w:val="1"/>
    <w:next w:val="1"/>
    <w:link w:val="35"/>
    <w:qFormat/>
    <w:uiPriority w:val="9"/>
    <w:pPr>
      <w:spacing w:before="480" w:after="0"/>
      <w:contextualSpacing/>
      <w:outlineLvl w:val="0"/>
    </w:pPr>
    <w:rPr>
      <w:smallCaps/>
      <w:spacing w:val="5"/>
      <w:sz w:val="36"/>
      <w:szCs w:val="36"/>
    </w:rPr>
  </w:style>
  <w:style w:type="paragraph" w:styleId="3">
    <w:name w:val="heading 2"/>
    <w:basedOn w:val="1"/>
    <w:next w:val="1"/>
    <w:link w:val="51"/>
    <w:unhideWhenUsed/>
    <w:qFormat/>
    <w:uiPriority w:val="9"/>
    <w:pPr>
      <w:spacing w:before="200" w:after="0" w:line="271" w:lineRule="auto"/>
      <w:outlineLvl w:val="1"/>
    </w:pPr>
    <w:rPr>
      <w:smallCaps/>
      <w:sz w:val="28"/>
      <w:szCs w:val="28"/>
    </w:rPr>
  </w:style>
  <w:style w:type="paragraph" w:styleId="4">
    <w:name w:val="heading 3"/>
    <w:basedOn w:val="1"/>
    <w:next w:val="1"/>
    <w:link w:val="37"/>
    <w:unhideWhenUsed/>
    <w:qFormat/>
    <w:uiPriority w:val="9"/>
    <w:pPr>
      <w:spacing w:before="200" w:after="0" w:line="271" w:lineRule="auto"/>
      <w:outlineLvl w:val="2"/>
    </w:pPr>
    <w:rPr>
      <w:i/>
      <w:iCs/>
      <w:smallCaps/>
      <w:spacing w:val="5"/>
      <w:sz w:val="26"/>
      <w:szCs w:val="26"/>
    </w:rPr>
  </w:style>
  <w:style w:type="paragraph" w:styleId="5">
    <w:name w:val="heading 4"/>
    <w:basedOn w:val="1"/>
    <w:next w:val="1"/>
    <w:link w:val="80"/>
    <w:semiHidden/>
    <w:unhideWhenUsed/>
    <w:qFormat/>
    <w:uiPriority w:val="9"/>
    <w:pPr>
      <w:spacing w:after="0" w:line="271" w:lineRule="auto"/>
      <w:outlineLvl w:val="3"/>
    </w:pPr>
    <w:rPr>
      <w:b/>
      <w:bCs/>
      <w:spacing w:val="5"/>
      <w:sz w:val="24"/>
      <w:szCs w:val="24"/>
    </w:rPr>
  </w:style>
  <w:style w:type="paragraph" w:styleId="6">
    <w:name w:val="heading 5"/>
    <w:basedOn w:val="1"/>
    <w:next w:val="1"/>
    <w:link w:val="81"/>
    <w:semiHidden/>
    <w:unhideWhenUsed/>
    <w:qFormat/>
    <w:uiPriority w:val="9"/>
    <w:pPr>
      <w:spacing w:after="0" w:line="271" w:lineRule="auto"/>
      <w:outlineLvl w:val="4"/>
    </w:pPr>
    <w:rPr>
      <w:i/>
      <w:iCs/>
      <w:sz w:val="24"/>
      <w:szCs w:val="24"/>
    </w:rPr>
  </w:style>
  <w:style w:type="paragraph" w:styleId="7">
    <w:name w:val="heading 6"/>
    <w:basedOn w:val="1"/>
    <w:next w:val="1"/>
    <w:link w:val="82"/>
    <w:semiHidden/>
    <w:unhideWhenUsed/>
    <w:qFormat/>
    <w:uiPriority w:val="9"/>
    <w:pPr>
      <w:shd w:val="clear" w:color="auto" w:fill="FFFFFF" w:themeFill="background1"/>
      <w:spacing w:after="0" w:line="271" w:lineRule="auto"/>
      <w:outlineLvl w:val="5"/>
    </w:pPr>
    <w:rPr>
      <w:b/>
      <w:bCs/>
      <w:color w:val="585858" w:themeColor="text1" w:themeTint="A6"/>
      <w:spacing w:val="5"/>
    </w:rPr>
  </w:style>
  <w:style w:type="paragraph" w:styleId="8">
    <w:name w:val="heading 7"/>
    <w:basedOn w:val="1"/>
    <w:next w:val="1"/>
    <w:link w:val="83"/>
    <w:semiHidden/>
    <w:unhideWhenUsed/>
    <w:qFormat/>
    <w:uiPriority w:val="9"/>
    <w:pPr>
      <w:spacing w:after="0"/>
      <w:outlineLvl w:val="6"/>
    </w:pPr>
    <w:rPr>
      <w:b/>
      <w:bCs/>
      <w:i/>
      <w:iCs/>
      <w:color w:val="595959" w:themeColor="text1" w:themeTint="A5"/>
      <w:sz w:val="20"/>
      <w:szCs w:val="20"/>
    </w:rPr>
  </w:style>
  <w:style w:type="paragraph" w:styleId="9">
    <w:name w:val="heading 8"/>
    <w:basedOn w:val="1"/>
    <w:next w:val="1"/>
    <w:link w:val="84"/>
    <w:semiHidden/>
    <w:unhideWhenUsed/>
    <w:qFormat/>
    <w:uiPriority w:val="9"/>
    <w:pPr>
      <w:spacing w:after="0"/>
      <w:outlineLvl w:val="7"/>
    </w:pPr>
    <w:rPr>
      <w:b/>
      <w:bCs/>
      <w:color w:val="7E7E7E" w:themeColor="text1" w:themeTint="80"/>
      <w:sz w:val="20"/>
      <w:szCs w:val="20"/>
    </w:rPr>
  </w:style>
  <w:style w:type="paragraph" w:styleId="10">
    <w:name w:val="heading 9"/>
    <w:basedOn w:val="1"/>
    <w:next w:val="1"/>
    <w:link w:val="85"/>
    <w:semiHidden/>
    <w:unhideWhenUsed/>
    <w:qFormat/>
    <w:uiPriority w:val="9"/>
    <w:pPr>
      <w:spacing w:after="0" w:line="271" w:lineRule="auto"/>
      <w:outlineLvl w:val="8"/>
    </w:pPr>
    <w:rPr>
      <w:b/>
      <w:bCs/>
      <w:i/>
      <w:iCs/>
      <w:color w:val="7E7E7E" w:themeColor="text1" w:themeTint="80"/>
      <w:sz w:val="18"/>
      <w:szCs w:val="1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next w:val="1"/>
    <w:qFormat/>
    <w:uiPriority w:val="0"/>
    <w:pPr>
      <w:spacing w:beforeLines="50" w:line="360" w:lineRule="auto"/>
      <w:ind w:firstLine="480" w:firstLineChars="200"/>
    </w:pPr>
    <w:rPr>
      <w:rFonts w:eastAsia="仿宋"/>
      <w:sz w:val="24"/>
      <w:szCs w:val="23"/>
      <w:lang w:eastAsia="ar-SA"/>
    </w:rPr>
  </w:style>
  <w:style w:type="paragraph" w:styleId="12">
    <w:name w:val="Document Map"/>
    <w:basedOn w:val="1"/>
    <w:link w:val="59"/>
    <w:qFormat/>
    <w:uiPriority w:val="0"/>
    <w:rPr>
      <w:rFonts w:ascii="宋体"/>
      <w:sz w:val="18"/>
      <w:szCs w:val="18"/>
    </w:rPr>
  </w:style>
  <w:style w:type="paragraph" w:styleId="13">
    <w:name w:val="Salutation"/>
    <w:basedOn w:val="1"/>
    <w:next w:val="1"/>
    <w:link w:val="60"/>
    <w:unhideWhenUsed/>
    <w:qFormat/>
    <w:uiPriority w:val="99"/>
    <w:rPr>
      <w:rFonts w:eastAsia="仿宋_GB2312"/>
      <w:sz w:val="32"/>
    </w:rPr>
  </w:style>
  <w:style w:type="paragraph" w:styleId="14">
    <w:name w:val="Body Text"/>
    <w:basedOn w:val="1"/>
    <w:next w:val="1"/>
    <w:link w:val="44"/>
    <w:qFormat/>
    <w:uiPriority w:val="0"/>
    <w:pPr>
      <w:spacing w:beforeLines="30"/>
    </w:pPr>
    <w:rPr>
      <w:rFonts w:ascii="仿宋_GB2312" w:eastAsia="仿宋_GB2312"/>
      <w:sz w:val="30"/>
    </w:rPr>
  </w:style>
  <w:style w:type="paragraph" w:styleId="15">
    <w:name w:val="Body Text Indent"/>
    <w:basedOn w:val="1"/>
    <w:link w:val="57"/>
    <w:qFormat/>
    <w:uiPriority w:val="99"/>
    <w:pPr>
      <w:spacing w:after="120"/>
      <w:ind w:left="200" w:leftChars="200"/>
    </w:pPr>
    <w:rPr>
      <w:rFonts w:ascii="仿宋_GB2312"/>
      <w:szCs w:val="32"/>
    </w:rPr>
  </w:style>
  <w:style w:type="paragraph" w:styleId="16">
    <w:name w:val="toc 3"/>
    <w:basedOn w:val="1"/>
    <w:next w:val="1"/>
    <w:unhideWhenUsed/>
    <w:qFormat/>
    <w:uiPriority w:val="39"/>
    <w:pPr>
      <w:tabs>
        <w:tab w:val="right" w:leader="dot" w:pos="8296"/>
      </w:tabs>
      <w:ind w:left="840" w:leftChars="400"/>
    </w:pPr>
  </w:style>
  <w:style w:type="paragraph" w:styleId="17">
    <w:name w:val="Body Text Indent 2"/>
    <w:basedOn w:val="1"/>
    <w:link w:val="61"/>
    <w:qFormat/>
    <w:uiPriority w:val="0"/>
    <w:pPr>
      <w:spacing w:line="480" w:lineRule="auto"/>
      <w:ind w:left="420" w:leftChars="200"/>
    </w:pPr>
    <w:rPr>
      <w:rFonts w:eastAsia="仿宋_GB2312"/>
      <w:sz w:val="32"/>
    </w:rPr>
  </w:style>
  <w:style w:type="paragraph" w:styleId="18">
    <w:name w:val="Balloon Text"/>
    <w:basedOn w:val="1"/>
    <w:link w:val="48"/>
    <w:unhideWhenUsed/>
    <w:qFormat/>
    <w:uiPriority w:val="0"/>
    <w:rPr>
      <w:sz w:val="18"/>
      <w:szCs w:val="18"/>
    </w:rPr>
  </w:style>
  <w:style w:type="paragraph" w:styleId="19">
    <w:name w:val="footer"/>
    <w:basedOn w:val="1"/>
    <w:link w:val="42"/>
    <w:qFormat/>
    <w:uiPriority w:val="99"/>
    <w:pPr>
      <w:tabs>
        <w:tab w:val="center" w:pos="4153"/>
        <w:tab w:val="right" w:pos="8306"/>
      </w:tabs>
      <w:snapToGrid w:val="0"/>
    </w:pPr>
    <w:rPr>
      <w:rFonts w:ascii="Calibri" w:hAnsi="Calibri"/>
      <w:sz w:val="18"/>
      <w:szCs w:val="18"/>
    </w:rPr>
  </w:style>
  <w:style w:type="paragraph" w:styleId="20">
    <w:name w:val="header"/>
    <w:basedOn w:val="1"/>
    <w:link w:val="40"/>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2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22">
    <w:name w:val="Subtitle"/>
    <w:basedOn w:val="1"/>
    <w:next w:val="1"/>
    <w:link w:val="87"/>
    <w:qFormat/>
    <w:uiPriority w:val="11"/>
    <w:rPr>
      <w:i/>
      <w:iCs/>
      <w:smallCaps/>
      <w:spacing w:val="10"/>
      <w:sz w:val="28"/>
      <w:szCs w:val="28"/>
    </w:rPr>
  </w:style>
  <w:style w:type="paragraph" w:styleId="23">
    <w:name w:val="toc 2"/>
    <w:basedOn w:val="1"/>
    <w:next w:val="1"/>
    <w:unhideWhenUsed/>
    <w:qFormat/>
    <w:uiPriority w:val="39"/>
    <w:pPr>
      <w:tabs>
        <w:tab w:val="right" w:leader="dot" w:pos="8296"/>
      </w:tabs>
      <w:ind w:left="420" w:leftChars="200"/>
    </w:pPr>
  </w:style>
  <w:style w:type="paragraph" w:styleId="24">
    <w:name w:val="Normal (Web)"/>
    <w:basedOn w:val="1"/>
    <w:unhideWhenUsed/>
    <w:qFormat/>
    <w:uiPriority w:val="99"/>
    <w:pPr>
      <w:spacing w:before="100" w:beforeAutospacing="1" w:after="100" w:afterAutospacing="1"/>
    </w:pPr>
    <w:rPr>
      <w:rFonts w:ascii="宋体" w:hAnsi="宋体" w:cs="宋体"/>
      <w:sz w:val="24"/>
    </w:rPr>
  </w:style>
  <w:style w:type="paragraph" w:styleId="25">
    <w:name w:val="Title"/>
    <w:basedOn w:val="1"/>
    <w:next w:val="1"/>
    <w:link w:val="86"/>
    <w:qFormat/>
    <w:uiPriority w:val="10"/>
    <w:pPr>
      <w:spacing w:after="300" w:line="240" w:lineRule="auto"/>
      <w:contextualSpacing/>
    </w:pPr>
    <w:rPr>
      <w:smallCaps/>
      <w:sz w:val="52"/>
      <w:szCs w:val="52"/>
    </w:rPr>
  </w:style>
  <w:style w:type="paragraph" w:styleId="26">
    <w:name w:val="Body Text First Indent 2"/>
    <w:basedOn w:val="15"/>
    <w:link w:val="58"/>
    <w:unhideWhenUsed/>
    <w:qFormat/>
    <w:uiPriority w:val="99"/>
    <w:pPr>
      <w:ind w:firstLine="420" w:firstLineChars="200"/>
    </w:p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unhideWhenUsed/>
    <w:qFormat/>
    <w:uiPriority w:val="99"/>
    <w:rPr>
      <w:color w:val="800080"/>
      <w:u w:val="single"/>
    </w:rPr>
  </w:style>
  <w:style w:type="character" w:styleId="33">
    <w:name w:val="Emphasis"/>
    <w:qFormat/>
    <w:uiPriority w:val="20"/>
    <w:rPr>
      <w:b/>
      <w:bCs/>
      <w:i/>
      <w:iCs/>
      <w:spacing w:val="10"/>
    </w:rPr>
  </w:style>
  <w:style w:type="character" w:styleId="34">
    <w:name w:val="Hyperlink"/>
    <w:basedOn w:val="29"/>
    <w:unhideWhenUsed/>
    <w:qFormat/>
    <w:uiPriority w:val="99"/>
    <w:rPr>
      <w:color w:val="0000FF" w:themeColor="hyperlink"/>
      <w:u w:val="single"/>
    </w:rPr>
  </w:style>
  <w:style w:type="character" w:customStyle="1" w:styleId="35">
    <w:name w:val="标题 1 Char"/>
    <w:basedOn w:val="29"/>
    <w:link w:val="2"/>
    <w:qFormat/>
    <w:uiPriority w:val="9"/>
    <w:rPr>
      <w:smallCaps/>
      <w:spacing w:val="5"/>
      <w:sz w:val="36"/>
      <w:szCs w:val="36"/>
    </w:rPr>
  </w:style>
  <w:style w:type="character" w:customStyle="1" w:styleId="36">
    <w:name w:val="标题 2 Char"/>
    <w:basedOn w:val="29"/>
    <w:link w:val="3"/>
    <w:qFormat/>
    <w:uiPriority w:val="9"/>
    <w:rPr>
      <w:smallCaps/>
      <w:sz w:val="28"/>
      <w:szCs w:val="28"/>
    </w:rPr>
  </w:style>
  <w:style w:type="character" w:customStyle="1" w:styleId="37">
    <w:name w:val="标题 3 Char"/>
    <w:basedOn w:val="29"/>
    <w:link w:val="4"/>
    <w:qFormat/>
    <w:uiPriority w:val="9"/>
    <w:rPr>
      <w:i/>
      <w:iCs/>
      <w:smallCaps/>
      <w:spacing w:val="5"/>
      <w:sz w:val="26"/>
      <w:szCs w:val="26"/>
    </w:rPr>
  </w:style>
  <w:style w:type="paragraph" w:customStyle="1" w:styleId="38">
    <w:name w:val="标题 5（有编号）（绿盟科技）"/>
    <w:next w:val="1"/>
    <w:qFormat/>
    <w:uiPriority w:val="99"/>
    <w:pPr>
      <w:keepNext/>
      <w:keepLines/>
      <w:widowControl w:val="0"/>
      <w:spacing w:before="280" w:after="156" w:line="377" w:lineRule="auto"/>
      <w:outlineLvl w:val="4"/>
    </w:pPr>
    <w:rPr>
      <w:rFonts w:ascii="Arial" w:hAnsi="Arial" w:eastAsia="黑体" w:cstheme="majorBidi"/>
      <w:b/>
      <w:kern w:val="2"/>
      <w:sz w:val="24"/>
      <w:szCs w:val="28"/>
      <w:lang w:val="en-US" w:eastAsia="en-US" w:bidi="en-US"/>
    </w:rPr>
  </w:style>
  <w:style w:type="character" w:customStyle="1" w:styleId="39">
    <w:name w:val="Header Char"/>
    <w:basedOn w:val="29"/>
    <w:semiHidden/>
    <w:qFormat/>
    <w:uiPriority w:val="99"/>
    <w:rPr>
      <w:rFonts w:ascii="Times New Roman" w:hAnsi="Times New Roman"/>
      <w:sz w:val="18"/>
      <w:szCs w:val="18"/>
    </w:rPr>
  </w:style>
  <w:style w:type="character" w:customStyle="1" w:styleId="40">
    <w:name w:val="页眉 Char"/>
    <w:link w:val="20"/>
    <w:semiHidden/>
    <w:qFormat/>
    <w:locked/>
    <w:uiPriority w:val="99"/>
    <w:rPr>
      <w:sz w:val="18"/>
    </w:rPr>
  </w:style>
  <w:style w:type="character" w:customStyle="1" w:styleId="41">
    <w:name w:val="Footer Char"/>
    <w:basedOn w:val="29"/>
    <w:semiHidden/>
    <w:qFormat/>
    <w:uiPriority w:val="99"/>
    <w:rPr>
      <w:rFonts w:ascii="Times New Roman" w:hAnsi="Times New Roman"/>
      <w:sz w:val="18"/>
      <w:szCs w:val="18"/>
    </w:rPr>
  </w:style>
  <w:style w:type="character" w:customStyle="1" w:styleId="42">
    <w:name w:val="页脚 Char"/>
    <w:link w:val="19"/>
    <w:qFormat/>
    <w:locked/>
    <w:uiPriority w:val="99"/>
    <w:rPr>
      <w:sz w:val="18"/>
    </w:rPr>
  </w:style>
  <w:style w:type="character" w:customStyle="1" w:styleId="43">
    <w:name w:val="Body Text Char"/>
    <w:basedOn w:val="29"/>
    <w:semiHidden/>
    <w:qFormat/>
    <w:uiPriority w:val="99"/>
    <w:rPr>
      <w:rFonts w:ascii="Times New Roman" w:hAnsi="Times New Roman"/>
      <w:szCs w:val="24"/>
    </w:rPr>
  </w:style>
  <w:style w:type="character" w:customStyle="1" w:styleId="44">
    <w:name w:val="正文文本 Char"/>
    <w:link w:val="14"/>
    <w:qFormat/>
    <w:locked/>
    <w:uiPriority w:val="99"/>
    <w:rPr>
      <w:rFonts w:ascii="仿宋_GB2312" w:hAnsi="Times New Roman" w:eastAsia="仿宋_GB2312"/>
      <w:sz w:val="24"/>
    </w:rPr>
  </w:style>
  <w:style w:type="paragraph" w:customStyle="1" w:styleId="45">
    <w:name w:val="Default"/>
    <w:qFormat/>
    <w:uiPriority w:val="99"/>
    <w:pPr>
      <w:widowControl w:val="0"/>
      <w:autoSpaceDE w:val="0"/>
      <w:autoSpaceDN w:val="0"/>
      <w:adjustRightInd w:val="0"/>
      <w:spacing w:after="200" w:line="276" w:lineRule="auto"/>
    </w:pPr>
    <w:rPr>
      <w:rFonts w:ascii="仿宋" w:hAnsi="Calibri" w:eastAsia="仿宋" w:cs="仿宋"/>
      <w:color w:val="000000"/>
      <w:sz w:val="24"/>
      <w:szCs w:val="24"/>
      <w:lang w:val="en-US" w:eastAsia="en-US" w:bidi="en-US"/>
    </w:rPr>
  </w:style>
  <w:style w:type="paragraph" w:customStyle="1" w:styleId="46">
    <w:name w:val="列出段落1"/>
    <w:basedOn w:val="1"/>
    <w:qFormat/>
    <w:uiPriority w:val="34"/>
    <w:pPr>
      <w:ind w:firstLine="420" w:firstLineChars="200"/>
    </w:pPr>
  </w:style>
  <w:style w:type="paragraph" w:customStyle="1" w:styleId="47">
    <w:name w:val="TOC 标题1"/>
    <w:basedOn w:val="2"/>
    <w:next w:val="1"/>
    <w:unhideWhenUsed/>
    <w:qFormat/>
    <w:uiPriority w:val="39"/>
    <w:pPr>
      <w:outlineLvl w:val="9"/>
    </w:pPr>
    <w:rPr>
      <w:color w:val="366091" w:themeColor="accent1" w:themeShade="BF"/>
      <w:sz w:val="28"/>
      <w:szCs w:val="28"/>
    </w:rPr>
  </w:style>
  <w:style w:type="character" w:customStyle="1" w:styleId="48">
    <w:name w:val="批注框文本 Char"/>
    <w:basedOn w:val="29"/>
    <w:link w:val="18"/>
    <w:semiHidden/>
    <w:qFormat/>
    <w:uiPriority w:val="99"/>
    <w:rPr>
      <w:rFonts w:ascii="Times New Roman" w:hAnsi="Times New Roman"/>
      <w:kern w:val="2"/>
      <w:sz w:val="18"/>
      <w:szCs w:val="18"/>
    </w:rPr>
  </w:style>
  <w:style w:type="paragraph" w:customStyle="1" w:styleId="49">
    <w:name w:val="TOC 标题2"/>
    <w:basedOn w:val="2"/>
    <w:next w:val="1"/>
    <w:unhideWhenUsed/>
    <w:qFormat/>
    <w:uiPriority w:val="39"/>
    <w:pPr>
      <w:outlineLvl w:val="9"/>
    </w:pPr>
    <w:rPr>
      <w:color w:val="366091" w:themeColor="accent1" w:themeShade="BF"/>
      <w:sz w:val="28"/>
      <w:szCs w:val="28"/>
    </w:rPr>
  </w:style>
  <w:style w:type="paragraph" w:customStyle="1" w:styleId="50">
    <w:name w:val="四号正文"/>
    <w:basedOn w:val="1"/>
    <w:link w:val="62"/>
    <w:qFormat/>
    <w:uiPriority w:val="0"/>
    <w:pPr>
      <w:spacing w:line="360" w:lineRule="auto"/>
    </w:pPr>
    <w:rPr>
      <w:rFonts w:ascii="??" w:hAnsi="??"/>
      <w:color w:val="000000"/>
      <w:sz w:val="28"/>
      <w:szCs w:val="21"/>
      <w:lang w:val="zh-CN"/>
    </w:rPr>
  </w:style>
  <w:style w:type="character" w:customStyle="1" w:styleId="51">
    <w:name w:val="标题 2 Char1"/>
    <w:basedOn w:val="29"/>
    <w:link w:val="3"/>
    <w:qFormat/>
    <w:locked/>
    <w:uiPriority w:val="99"/>
    <w:rPr>
      <w:rFonts w:ascii="Cambria" w:hAnsi="Cambria" w:eastAsia="宋体" w:cs="Times New Roman"/>
      <w:b/>
      <w:bCs/>
      <w:kern w:val="2"/>
      <w:sz w:val="32"/>
      <w:szCs w:val="32"/>
    </w:rPr>
  </w:style>
  <w:style w:type="paragraph" w:customStyle="1" w:styleId="52">
    <w:name w:val="无间隔1"/>
    <w:qFormat/>
    <w:uiPriority w:val="1"/>
    <w:pPr>
      <w:widowControl w:val="0"/>
      <w:spacing w:after="200" w:line="276" w:lineRule="auto"/>
      <w:jc w:val="both"/>
    </w:pPr>
    <w:rPr>
      <w:rFonts w:ascii="Calibri" w:hAnsi="Calibri" w:cs="Calibri" w:eastAsiaTheme="majorEastAsia"/>
      <w:kern w:val="2"/>
      <w:sz w:val="21"/>
      <w:szCs w:val="21"/>
      <w:lang w:val="en-US" w:eastAsia="en-US" w:bidi="en-US"/>
    </w:rPr>
  </w:style>
  <w:style w:type="paragraph" w:customStyle="1" w:styleId="53">
    <w:name w:val="WPSOffice手动目录 1"/>
    <w:qFormat/>
    <w:uiPriority w:val="0"/>
    <w:pPr>
      <w:spacing w:after="200" w:line="276" w:lineRule="auto"/>
    </w:pPr>
    <w:rPr>
      <w:rFonts w:asciiTheme="majorHAnsi" w:hAnsiTheme="majorHAnsi" w:eastAsiaTheme="majorEastAsia" w:cstheme="majorBidi"/>
      <w:sz w:val="22"/>
      <w:szCs w:val="22"/>
      <w:lang w:val="en-US" w:eastAsia="en-US" w:bidi="en-US"/>
    </w:rPr>
  </w:style>
  <w:style w:type="paragraph" w:customStyle="1" w:styleId="54">
    <w:name w:val="WPSOffice手动目录 2"/>
    <w:qFormat/>
    <w:uiPriority w:val="0"/>
    <w:pPr>
      <w:spacing w:after="200" w:line="276" w:lineRule="auto"/>
      <w:ind w:left="200" w:leftChars="200"/>
    </w:pPr>
    <w:rPr>
      <w:rFonts w:asciiTheme="majorHAnsi" w:hAnsiTheme="majorHAnsi" w:eastAsiaTheme="majorEastAsia" w:cstheme="majorBidi"/>
      <w:sz w:val="22"/>
      <w:szCs w:val="22"/>
      <w:lang w:val="en-US" w:eastAsia="en-US" w:bidi="en-US"/>
    </w:rPr>
  </w:style>
  <w:style w:type="paragraph" w:customStyle="1" w:styleId="55">
    <w:name w:val="章标题"/>
    <w:next w:val="56"/>
    <w:qFormat/>
    <w:uiPriority w:val="99"/>
    <w:pPr>
      <w:spacing w:before="158" w:after="153" w:line="323" w:lineRule="atLeast"/>
      <w:ind w:right="-120"/>
      <w:jc w:val="center"/>
      <w:textAlignment w:val="baseline"/>
    </w:pPr>
    <w:rPr>
      <w:rFonts w:asciiTheme="majorHAnsi" w:hAnsiTheme="majorHAnsi" w:eastAsiaTheme="majorEastAsia" w:cstheme="majorBidi"/>
      <w:color w:val="FF0000"/>
      <w:kern w:val="2"/>
      <w:sz w:val="18"/>
      <w:szCs w:val="24"/>
      <w:lang w:val="en-US" w:eastAsia="en-US" w:bidi="en-US"/>
    </w:rPr>
  </w:style>
  <w:style w:type="paragraph" w:customStyle="1" w:styleId="56">
    <w:name w:val="节标题"/>
    <w:next w:val="1"/>
    <w:qFormat/>
    <w:uiPriority w:val="99"/>
    <w:pPr>
      <w:spacing w:after="200" w:line="289" w:lineRule="atLeast"/>
      <w:jc w:val="center"/>
      <w:textAlignment w:val="baseline"/>
    </w:pPr>
    <w:rPr>
      <w:rFonts w:asciiTheme="majorHAnsi" w:hAnsiTheme="majorHAnsi" w:eastAsiaTheme="majorEastAsia" w:cstheme="majorBidi"/>
      <w:color w:val="000000"/>
      <w:kern w:val="2"/>
      <w:sz w:val="28"/>
      <w:szCs w:val="24"/>
      <w:lang w:val="en-US" w:eastAsia="en-US" w:bidi="en-US"/>
    </w:rPr>
  </w:style>
  <w:style w:type="character" w:customStyle="1" w:styleId="57">
    <w:name w:val="正文文本缩进 Char"/>
    <w:basedOn w:val="29"/>
    <w:link w:val="15"/>
    <w:qFormat/>
    <w:uiPriority w:val="99"/>
    <w:rPr>
      <w:rFonts w:ascii="仿宋_GB2312"/>
      <w:kern w:val="2"/>
      <w:sz w:val="21"/>
      <w:szCs w:val="32"/>
    </w:rPr>
  </w:style>
  <w:style w:type="character" w:customStyle="1" w:styleId="58">
    <w:name w:val="正文首行缩进 2 Char"/>
    <w:basedOn w:val="57"/>
    <w:link w:val="26"/>
    <w:qFormat/>
    <w:uiPriority w:val="99"/>
  </w:style>
  <w:style w:type="character" w:customStyle="1" w:styleId="59">
    <w:name w:val="文档结构图 Char"/>
    <w:basedOn w:val="29"/>
    <w:link w:val="12"/>
    <w:qFormat/>
    <w:uiPriority w:val="0"/>
    <w:rPr>
      <w:rFonts w:ascii="宋体"/>
      <w:kern w:val="2"/>
      <w:sz w:val="18"/>
      <w:szCs w:val="18"/>
    </w:rPr>
  </w:style>
  <w:style w:type="character" w:customStyle="1" w:styleId="60">
    <w:name w:val="称呼 Char"/>
    <w:basedOn w:val="29"/>
    <w:link w:val="13"/>
    <w:qFormat/>
    <w:uiPriority w:val="99"/>
    <w:rPr>
      <w:rFonts w:eastAsia="仿宋_GB2312"/>
      <w:kern w:val="2"/>
      <w:sz w:val="32"/>
      <w:szCs w:val="24"/>
    </w:rPr>
  </w:style>
  <w:style w:type="character" w:customStyle="1" w:styleId="61">
    <w:name w:val="正文文本缩进 2 Char"/>
    <w:basedOn w:val="29"/>
    <w:link w:val="17"/>
    <w:qFormat/>
    <w:uiPriority w:val="0"/>
    <w:rPr>
      <w:rFonts w:eastAsia="仿宋_GB2312"/>
      <w:kern w:val="2"/>
      <w:sz w:val="32"/>
      <w:szCs w:val="24"/>
    </w:rPr>
  </w:style>
  <w:style w:type="character" w:customStyle="1" w:styleId="62">
    <w:name w:val="四号正文 Char"/>
    <w:basedOn w:val="29"/>
    <w:link w:val="50"/>
    <w:qFormat/>
    <w:uiPriority w:val="0"/>
    <w:rPr>
      <w:rFonts w:ascii="??" w:hAnsi="??"/>
      <w:color w:val="000000"/>
      <w:sz w:val="28"/>
      <w:szCs w:val="21"/>
      <w:lang w:val="zh-CN"/>
    </w:rPr>
  </w:style>
  <w:style w:type="paragraph" w:customStyle="1" w:styleId="63">
    <w:name w:val="a"/>
    <w:basedOn w:val="1"/>
    <w:qFormat/>
    <w:uiPriority w:val="0"/>
    <w:pPr>
      <w:spacing w:before="100" w:beforeAutospacing="1" w:after="100" w:afterAutospacing="1"/>
    </w:pPr>
    <w:rPr>
      <w:rFonts w:ascii="宋体" w:hAnsi="宋体" w:cs="宋体"/>
      <w:sz w:val="24"/>
    </w:rPr>
  </w:style>
  <w:style w:type="character" w:customStyle="1" w:styleId="64">
    <w:name w:val="font31"/>
    <w:basedOn w:val="29"/>
    <w:qFormat/>
    <w:uiPriority w:val="0"/>
    <w:rPr>
      <w:rFonts w:hint="eastAsia" w:ascii="宋体" w:hAnsi="宋体" w:eastAsia="宋体" w:cs="宋体"/>
      <w:color w:val="000000"/>
      <w:sz w:val="24"/>
      <w:szCs w:val="24"/>
      <w:u w:val="none"/>
    </w:rPr>
  </w:style>
  <w:style w:type="character" w:customStyle="1" w:styleId="65">
    <w:name w:val="font51"/>
    <w:basedOn w:val="29"/>
    <w:qFormat/>
    <w:uiPriority w:val="0"/>
    <w:rPr>
      <w:rFonts w:hint="default" w:ascii="Wingdings 2" w:hAnsi="Wingdings 2" w:eastAsia="Wingdings 2" w:cs="Wingdings 2"/>
      <w:color w:val="000000"/>
      <w:sz w:val="18"/>
      <w:szCs w:val="18"/>
      <w:u w:val="none"/>
    </w:rPr>
  </w:style>
  <w:style w:type="character" w:customStyle="1" w:styleId="66">
    <w:name w:val="font01"/>
    <w:basedOn w:val="29"/>
    <w:qFormat/>
    <w:uiPriority w:val="0"/>
    <w:rPr>
      <w:rFonts w:ascii="宋体" w:hAnsi="宋体" w:eastAsia="宋体" w:cs="宋体"/>
      <w:color w:val="000000"/>
      <w:sz w:val="18"/>
      <w:szCs w:val="18"/>
      <w:u w:val="none"/>
    </w:rPr>
  </w:style>
  <w:style w:type="character" w:customStyle="1" w:styleId="67">
    <w:name w:val="font41"/>
    <w:basedOn w:val="29"/>
    <w:qFormat/>
    <w:uiPriority w:val="0"/>
    <w:rPr>
      <w:rFonts w:ascii="宋体" w:hAnsi="宋体" w:eastAsia="宋体" w:cs="宋体"/>
      <w:color w:val="000000"/>
      <w:sz w:val="18"/>
      <w:szCs w:val="18"/>
      <w:u w:val="none"/>
    </w:rPr>
  </w:style>
  <w:style w:type="paragraph" w:customStyle="1" w:styleId="68">
    <w:name w:val="xl65"/>
    <w:basedOn w:val="1"/>
    <w:qFormat/>
    <w:uiPriority w:val="0"/>
    <w:pPr>
      <w:spacing w:before="100" w:beforeAutospacing="1" w:after="100" w:afterAutospacing="1"/>
    </w:pPr>
    <w:rPr>
      <w:rFonts w:ascii="Courier New" w:hAnsi="Courier New" w:cs="Courier New"/>
      <w:color w:val="000000"/>
      <w:sz w:val="18"/>
      <w:szCs w:val="18"/>
    </w:rPr>
  </w:style>
  <w:style w:type="paragraph" w:customStyle="1" w:styleId="69">
    <w:name w:val="xl6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宋体" w:hAnsi="宋体" w:cs="宋体"/>
      <w:color w:val="000000"/>
      <w:sz w:val="18"/>
      <w:szCs w:val="18"/>
    </w:rPr>
  </w:style>
  <w:style w:type="paragraph" w:customStyle="1" w:styleId="70">
    <w:name w:val="xl6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sz w:val="18"/>
      <w:szCs w:val="18"/>
    </w:rPr>
  </w:style>
  <w:style w:type="paragraph" w:customStyle="1" w:styleId="71">
    <w:name w:val="xl6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sz w:val="18"/>
      <w:szCs w:val="18"/>
    </w:rPr>
  </w:style>
  <w:style w:type="paragraph" w:customStyle="1" w:styleId="72">
    <w:name w:val="xl69"/>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sz w:val="18"/>
      <w:szCs w:val="18"/>
    </w:rPr>
  </w:style>
  <w:style w:type="paragraph" w:customStyle="1" w:styleId="73">
    <w:name w:val="xl7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微软雅黑" w:hAnsi="微软雅黑" w:eastAsia="微软雅黑" w:cs="宋体"/>
      <w:i/>
      <w:iCs/>
      <w:color w:val="000000"/>
      <w:sz w:val="16"/>
      <w:szCs w:val="16"/>
    </w:rPr>
  </w:style>
  <w:style w:type="paragraph" w:customStyle="1" w:styleId="74">
    <w:name w:val="xl71"/>
    <w:basedOn w:val="1"/>
    <w:qFormat/>
    <w:uiPriority w:val="0"/>
    <w:pPr>
      <w:spacing w:before="100" w:beforeAutospacing="1" w:after="100" w:afterAutospacing="1"/>
    </w:pPr>
    <w:rPr>
      <w:rFonts w:ascii="宋体" w:hAnsi="宋体" w:cs="宋体"/>
      <w:sz w:val="18"/>
      <w:szCs w:val="18"/>
    </w:rPr>
  </w:style>
  <w:style w:type="paragraph" w:customStyle="1" w:styleId="75">
    <w:name w:val="xl7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黑体" w:hAnsi="黑体" w:eastAsia="黑体" w:cs="宋体"/>
      <w:b/>
      <w:bCs/>
      <w:color w:val="000000"/>
      <w:sz w:val="30"/>
      <w:szCs w:val="30"/>
    </w:rPr>
  </w:style>
  <w:style w:type="paragraph" w:customStyle="1" w:styleId="76">
    <w:name w:val="xl7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Courier New" w:hAnsi="Courier New" w:cs="Courier New"/>
      <w:color w:val="000000"/>
      <w:sz w:val="18"/>
      <w:szCs w:val="18"/>
    </w:rPr>
  </w:style>
  <w:style w:type="paragraph" w:customStyle="1" w:styleId="77">
    <w:name w:val="xl74"/>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Courier New" w:hAnsi="Courier New" w:cs="Courier New"/>
      <w:color w:val="000000"/>
      <w:sz w:val="18"/>
      <w:szCs w:val="18"/>
    </w:rPr>
  </w:style>
  <w:style w:type="paragraph" w:customStyle="1" w:styleId="78">
    <w:name w:val="xl7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微软雅黑" w:hAnsi="微软雅黑" w:eastAsia="微软雅黑" w:cs="宋体"/>
      <w:i/>
      <w:iCs/>
      <w:color w:val="000000"/>
      <w:sz w:val="16"/>
      <w:szCs w:val="16"/>
    </w:rPr>
  </w:style>
  <w:style w:type="paragraph" w:customStyle="1" w:styleId="79">
    <w:name w:val="xl7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Courier New" w:hAnsi="Courier New" w:cs="Courier New"/>
      <w:i/>
      <w:iCs/>
      <w:color w:val="000000"/>
      <w:sz w:val="18"/>
      <w:szCs w:val="18"/>
    </w:rPr>
  </w:style>
  <w:style w:type="character" w:customStyle="1" w:styleId="80">
    <w:name w:val="标题 4 Char"/>
    <w:basedOn w:val="29"/>
    <w:link w:val="5"/>
    <w:semiHidden/>
    <w:qFormat/>
    <w:uiPriority w:val="9"/>
    <w:rPr>
      <w:b/>
      <w:bCs/>
      <w:spacing w:val="5"/>
      <w:sz w:val="24"/>
      <w:szCs w:val="24"/>
    </w:rPr>
  </w:style>
  <w:style w:type="character" w:customStyle="1" w:styleId="81">
    <w:name w:val="标题 5 Char"/>
    <w:basedOn w:val="29"/>
    <w:link w:val="6"/>
    <w:semiHidden/>
    <w:qFormat/>
    <w:uiPriority w:val="9"/>
    <w:rPr>
      <w:i/>
      <w:iCs/>
      <w:sz w:val="24"/>
      <w:szCs w:val="24"/>
    </w:rPr>
  </w:style>
  <w:style w:type="character" w:customStyle="1" w:styleId="82">
    <w:name w:val="标题 6 Char"/>
    <w:basedOn w:val="29"/>
    <w:link w:val="7"/>
    <w:semiHidden/>
    <w:qFormat/>
    <w:uiPriority w:val="9"/>
    <w:rPr>
      <w:b/>
      <w:bCs/>
      <w:color w:val="585858" w:themeColor="text1" w:themeTint="A6"/>
      <w:spacing w:val="5"/>
      <w:shd w:val="clear" w:color="auto" w:fill="FFFFFF" w:themeFill="background1"/>
    </w:rPr>
  </w:style>
  <w:style w:type="character" w:customStyle="1" w:styleId="83">
    <w:name w:val="标题 7 Char"/>
    <w:basedOn w:val="29"/>
    <w:link w:val="8"/>
    <w:semiHidden/>
    <w:qFormat/>
    <w:uiPriority w:val="9"/>
    <w:rPr>
      <w:b/>
      <w:bCs/>
      <w:i/>
      <w:iCs/>
      <w:color w:val="595959" w:themeColor="text1" w:themeTint="A5"/>
      <w:sz w:val="20"/>
      <w:szCs w:val="20"/>
    </w:rPr>
  </w:style>
  <w:style w:type="character" w:customStyle="1" w:styleId="84">
    <w:name w:val="标题 8 Char"/>
    <w:basedOn w:val="29"/>
    <w:link w:val="9"/>
    <w:semiHidden/>
    <w:qFormat/>
    <w:uiPriority w:val="9"/>
    <w:rPr>
      <w:b/>
      <w:bCs/>
      <w:color w:val="7E7E7E" w:themeColor="text1" w:themeTint="80"/>
      <w:sz w:val="20"/>
      <w:szCs w:val="20"/>
    </w:rPr>
  </w:style>
  <w:style w:type="character" w:customStyle="1" w:styleId="85">
    <w:name w:val="标题 9 Char"/>
    <w:basedOn w:val="29"/>
    <w:link w:val="10"/>
    <w:semiHidden/>
    <w:qFormat/>
    <w:uiPriority w:val="9"/>
    <w:rPr>
      <w:b/>
      <w:bCs/>
      <w:i/>
      <w:iCs/>
      <w:color w:val="7E7E7E" w:themeColor="text1" w:themeTint="80"/>
      <w:sz w:val="18"/>
      <w:szCs w:val="18"/>
    </w:rPr>
  </w:style>
  <w:style w:type="character" w:customStyle="1" w:styleId="86">
    <w:name w:val="标题 Char"/>
    <w:basedOn w:val="29"/>
    <w:link w:val="25"/>
    <w:qFormat/>
    <w:uiPriority w:val="10"/>
    <w:rPr>
      <w:smallCaps/>
      <w:sz w:val="52"/>
      <w:szCs w:val="52"/>
    </w:rPr>
  </w:style>
  <w:style w:type="character" w:customStyle="1" w:styleId="87">
    <w:name w:val="副标题 Char"/>
    <w:basedOn w:val="29"/>
    <w:link w:val="22"/>
    <w:qFormat/>
    <w:uiPriority w:val="11"/>
    <w:rPr>
      <w:i/>
      <w:iCs/>
      <w:smallCaps/>
      <w:spacing w:val="10"/>
      <w:sz w:val="28"/>
      <w:szCs w:val="28"/>
    </w:rPr>
  </w:style>
  <w:style w:type="paragraph" w:styleId="88">
    <w:name w:val="No Spacing"/>
    <w:basedOn w:val="1"/>
    <w:qFormat/>
    <w:uiPriority w:val="1"/>
    <w:pPr>
      <w:spacing w:after="0" w:line="240" w:lineRule="auto"/>
    </w:pPr>
  </w:style>
  <w:style w:type="paragraph" w:styleId="89">
    <w:name w:val="List Paragraph"/>
    <w:basedOn w:val="1"/>
    <w:qFormat/>
    <w:uiPriority w:val="34"/>
    <w:pPr>
      <w:ind w:left="720"/>
      <w:contextualSpacing/>
    </w:pPr>
  </w:style>
  <w:style w:type="paragraph" w:styleId="90">
    <w:name w:val="Quote"/>
    <w:basedOn w:val="1"/>
    <w:next w:val="1"/>
    <w:link w:val="91"/>
    <w:qFormat/>
    <w:uiPriority w:val="29"/>
    <w:rPr>
      <w:i/>
      <w:iCs/>
    </w:rPr>
  </w:style>
  <w:style w:type="character" w:customStyle="1" w:styleId="91">
    <w:name w:val="引用 Char"/>
    <w:basedOn w:val="29"/>
    <w:link w:val="90"/>
    <w:qFormat/>
    <w:uiPriority w:val="29"/>
    <w:rPr>
      <w:i/>
      <w:iCs/>
    </w:rPr>
  </w:style>
  <w:style w:type="paragraph" w:styleId="92">
    <w:name w:val="Intense Quote"/>
    <w:basedOn w:val="1"/>
    <w:next w:val="1"/>
    <w:link w:val="93"/>
    <w:qFormat/>
    <w:uiPriority w:val="30"/>
    <w:pPr>
      <w:pBdr>
        <w:top w:val="single" w:color="auto" w:sz="4" w:space="10"/>
        <w:bottom w:val="single" w:color="auto" w:sz="4" w:space="10"/>
      </w:pBdr>
      <w:spacing w:before="240" w:after="240" w:line="300" w:lineRule="auto"/>
      <w:ind w:left="1152" w:right="1152"/>
      <w:jc w:val="both"/>
    </w:pPr>
    <w:rPr>
      <w:i/>
      <w:iCs/>
    </w:rPr>
  </w:style>
  <w:style w:type="character" w:customStyle="1" w:styleId="93">
    <w:name w:val="明显引用 Char"/>
    <w:basedOn w:val="29"/>
    <w:link w:val="92"/>
    <w:qFormat/>
    <w:uiPriority w:val="30"/>
    <w:rPr>
      <w:i/>
      <w:iCs/>
    </w:rPr>
  </w:style>
  <w:style w:type="character" w:customStyle="1" w:styleId="94">
    <w:name w:val="Subtle Emphasis"/>
    <w:qFormat/>
    <w:uiPriority w:val="19"/>
    <w:rPr>
      <w:i/>
      <w:iCs/>
    </w:rPr>
  </w:style>
  <w:style w:type="character" w:customStyle="1" w:styleId="95">
    <w:name w:val="Intense Emphasis"/>
    <w:qFormat/>
    <w:uiPriority w:val="21"/>
    <w:rPr>
      <w:b/>
      <w:bCs/>
      <w:i/>
      <w:iCs/>
    </w:rPr>
  </w:style>
  <w:style w:type="character" w:customStyle="1" w:styleId="96">
    <w:name w:val="Subtle Reference"/>
    <w:basedOn w:val="29"/>
    <w:qFormat/>
    <w:uiPriority w:val="31"/>
    <w:rPr>
      <w:smallCaps/>
    </w:rPr>
  </w:style>
  <w:style w:type="character" w:customStyle="1" w:styleId="97">
    <w:name w:val="Intense Reference"/>
    <w:qFormat/>
    <w:uiPriority w:val="32"/>
    <w:rPr>
      <w:b/>
      <w:bCs/>
      <w:smallCaps/>
    </w:rPr>
  </w:style>
  <w:style w:type="character" w:customStyle="1" w:styleId="98">
    <w:name w:val="Book Title"/>
    <w:basedOn w:val="29"/>
    <w:qFormat/>
    <w:uiPriority w:val="33"/>
    <w:rPr>
      <w:i/>
      <w:iCs/>
      <w:smallCaps/>
      <w:spacing w:val="5"/>
    </w:rPr>
  </w:style>
  <w:style w:type="paragraph" w:customStyle="1" w:styleId="99">
    <w:name w:val="TOC Heading"/>
    <w:basedOn w:val="2"/>
    <w:next w:val="1"/>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chart" Target="charts/chart7.xml"/><Relationship Id="rId15" Type="http://schemas.openxmlformats.org/officeDocument/2006/relationships/chart" Target="charts/chart6.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stacked"/>
        <c:varyColors val="false"/>
        <c:ser>
          <c:idx val="0"/>
          <c:order val="0"/>
          <c:tx>
            <c:strRef>
              <c:f>Sheet1!$B$1</c:f>
              <c:strCache>
                <c:ptCount val="1"/>
                <c:pt idx="0">
                  <c:v>收、支决算总计变动表</c:v>
                </c:pt>
              </c:strCache>
            </c:strRef>
          </c:tx>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ct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Sheet1!$A$2:$A$3</c:f>
              <c:strCache>
                <c:ptCount val="2"/>
                <c:pt idx="0">
                  <c:v>2022年</c:v>
                </c:pt>
                <c:pt idx="1">
                  <c:v>2023年</c:v>
                </c:pt>
              </c:strCache>
            </c:strRef>
          </c:cat>
          <c:val>
            <c:numRef>
              <c:f>Sheet1!$B$2:$B$3</c:f>
              <c:numCache>
                <c:formatCode>General</c:formatCode>
                <c:ptCount val="2"/>
                <c:pt idx="0">
                  <c:v>1211.17</c:v>
                </c:pt>
                <c:pt idx="1">
                  <c:v>2085.81</c:v>
                </c:pt>
              </c:numCache>
            </c:numRef>
          </c:val>
        </c:ser>
        <c:dLbls>
          <c:showLegendKey val="false"/>
          <c:showVal val="true"/>
          <c:showCatName val="false"/>
          <c:showSerName val="false"/>
          <c:showPercent val="false"/>
          <c:showBubbleSize val="false"/>
        </c:dLbls>
        <c:gapWidth val="75"/>
        <c:overlap val="100"/>
        <c:axId val="141318016"/>
        <c:axId val="141319552"/>
      </c:barChart>
      <c:catAx>
        <c:axId val="141318016"/>
        <c:scaling>
          <c:orientation val="minMax"/>
        </c:scaling>
        <c:delete val="false"/>
        <c:axPos val="b"/>
        <c:majorTickMark val="none"/>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41319552"/>
        <c:crosses val="autoZero"/>
        <c:auto val="true"/>
        <c:lblAlgn val="ctr"/>
        <c:lblOffset val="100"/>
        <c:noMultiLvlLbl val="false"/>
      </c:catAx>
      <c:valAx>
        <c:axId val="141319552"/>
        <c:scaling>
          <c:orientation val="minMax"/>
        </c:scaling>
        <c:delete val="false"/>
        <c:axPos val="l"/>
        <c:numFmt formatCode="General" sourceLinked="true"/>
        <c:majorTickMark val="none"/>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41318016"/>
        <c:crosses val="autoZero"/>
        <c:crossBetween val="between"/>
      </c:valAx>
    </c:plotArea>
    <c:legend>
      <c:legendPos val="b"/>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p>
      </c:txPr>
    </c:title>
    <c:autoTitleDeleted val="false"/>
    <c:plotArea>
      <c:layout/>
      <c:pieChart>
        <c:varyColors val="true"/>
        <c:ser>
          <c:idx val="0"/>
          <c:order val="0"/>
          <c:tx>
            <c:strRef>
              <c:f>Sheet1!$B$1</c:f>
              <c:strCache>
                <c:ptCount val="1"/>
                <c:pt idx="0">
                  <c:v>收入决算结构图</c:v>
                </c:pt>
              </c:strCache>
            </c:strRef>
          </c:tx>
          <c:explosion val="0"/>
          <c:dPt>
            <c:idx val="0"/>
            <c:bubble3D val="false"/>
          </c:dPt>
          <c:dPt>
            <c:idx val="1"/>
            <c:bubble3D val="false"/>
          </c:dPt>
          <c:dLbls>
            <c:delete val="true"/>
          </c:dLbls>
          <c:cat>
            <c:strRef>
              <c:f>Sheet1!$A$2:$A$3</c:f>
              <c:strCache>
                <c:ptCount val="2"/>
                <c:pt idx="0">
                  <c:v>一般公共预算财政拨款收入（1249.35万元，占比60%）</c:v>
                </c:pt>
                <c:pt idx="1">
                  <c:v>其他收入（836.45万元，占比40%）</c:v>
                </c:pt>
              </c:strCache>
            </c:strRef>
          </c:cat>
          <c:val>
            <c:numRef>
              <c:f>Sheet1!$B$2:$B$3</c:f>
              <c:numCache>
                <c:formatCode>General</c:formatCode>
                <c:ptCount val="2"/>
                <c:pt idx="0">
                  <c:v>1249.35</c:v>
                </c:pt>
                <c:pt idx="1">
                  <c:v>836.449999999999</c:v>
                </c:pt>
              </c:numCache>
            </c:numRef>
          </c:val>
        </c:ser>
        <c:dLbls>
          <c:showLegendKey val="false"/>
          <c:showVal val="fals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p>
      </c:txPr>
    </c:title>
    <c:autoTitleDeleted val="false"/>
    <c:plotArea>
      <c:layout/>
      <c:pieChart>
        <c:varyColors val="true"/>
        <c:ser>
          <c:idx val="0"/>
          <c:order val="0"/>
          <c:tx>
            <c:strRef>
              <c:f>Sheet1!$B$1</c:f>
              <c:strCache>
                <c:ptCount val="1"/>
                <c:pt idx="0">
                  <c:v>2023年度支出结构图</c:v>
                </c:pt>
              </c:strCache>
            </c:strRef>
          </c:tx>
          <c:explosion val="0"/>
          <c:dPt>
            <c:idx val="0"/>
            <c:bubble3D val="false"/>
          </c:dPt>
          <c:dPt>
            <c:idx val="1"/>
            <c:bubble3D val="false"/>
          </c:dPt>
          <c:dLbls>
            <c:delete val="true"/>
          </c:dLbls>
          <c:cat>
            <c:strRef>
              <c:f>Sheet1!$A$2:$A$3</c:f>
              <c:strCache>
                <c:ptCount val="2"/>
                <c:pt idx="0">
                  <c:v>基本支出（1102.96万元，占比52.88%）</c:v>
                </c:pt>
                <c:pt idx="1">
                  <c:v>项目支出（982.85万元，占比47.12%）</c:v>
                </c:pt>
              </c:strCache>
            </c:strRef>
          </c:cat>
          <c:val>
            <c:numRef>
              <c:f>Sheet1!$B$2:$B$3</c:f>
              <c:numCache>
                <c:formatCode>General</c:formatCode>
                <c:ptCount val="2"/>
                <c:pt idx="0">
                  <c:v>1102.96</c:v>
                </c:pt>
                <c:pt idx="1">
                  <c:v>982.849999999999</c:v>
                </c:pt>
              </c:numCache>
            </c:numRef>
          </c:val>
        </c:ser>
        <c:dLbls>
          <c:showLegendKey val="false"/>
          <c:showVal val="false"/>
          <c:showCatName val="false"/>
          <c:showSerName val="false"/>
          <c:showPercent val="false"/>
          <c:showBubbleSize val="false"/>
          <c:showLeaderLines val="true"/>
        </c:dLbls>
        <c:firstSliceAng val="15"/>
      </c:pieChart>
      <c:spPr>
        <a:noFill/>
        <a:ln>
          <a:noFill/>
        </a:ln>
        <a:effectLst/>
      </c:spPr>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p>
      </c:txPr>
    </c:title>
    <c:autoTitleDeleted val="false"/>
    <c:plotArea>
      <c:layout/>
      <c:barChart>
        <c:barDir val="col"/>
        <c:grouping val="clustered"/>
        <c:varyColors val="false"/>
        <c:ser>
          <c:idx val="0"/>
          <c:order val="0"/>
          <c:tx>
            <c:strRef>
              <c:f>Sheet1!$B$1</c:f>
              <c:strCache>
                <c:ptCount val="1"/>
                <c:pt idx="0">
                  <c:v>财政拨款收、支决算总计变动表</c:v>
                </c:pt>
              </c:strCache>
            </c:strRef>
          </c:tx>
          <c:invertIfNegative val="false"/>
          <c:dLbls>
            <c:delete val="true"/>
          </c:dLbls>
          <c:cat>
            <c:strRef>
              <c:f>Sheet1!$A$2:$A$3</c:f>
              <c:strCache>
                <c:ptCount val="2"/>
                <c:pt idx="0">
                  <c:v>2022年度支出</c:v>
                </c:pt>
                <c:pt idx="1">
                  <c:v>2023年度支出</c:v>
                </c:pt>
              </c:strCache>
            </c:strRef>
          </c:cat>
          <c:val>
            <c:numRef>
              <c:f>Sheet1!$B$2:$B$3</c:f>
              <c:numCache>
                <c:formatCode>General</c:formatCode>
                <c:ptCount val="2"/>
                <c:pt idx="0">
                  <c:v>1211.17</c:v>
                </c:pt>
                <c:pt idx="1">
                  <c:v>1249.35</c:v>
                </c:pt>
              </c:numCache>
            </c:numRef>
          </c:val>
        </c:ser>
        <c:dLbls>
          <c:showLegendKey val="false"/>
          <c:showVal val="false"/>
          <c:showCatName val="false"/>
          <c:showSerName val="false"/>
          <c:showPercent val="false"/>
          <c:showBubbleSize val="false"/>
        </c:dLbls>
        <c:gapWidth val="150"/>
        <c:axId val="209468032"/>
        <c:axId val="209473920"/>
      </c:barChart>
      <c:catAx>
        <c:axId val="209468032"/>
        <c:scaling>
          <c:orientation val="minMax"/>
        </c:scaling>
        <c:delete val="false"/>
        <c:axPos val="b"/>
        <c:majorTickMark val="none"/>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209473920"/>
        <c:crosses val="autoZero"/>
        <c:auto val="true"/>
        <c:lblAlgn val="ctr"/>
        <c:lblOffset val="100"/>
        <c:noMultiLvlLbl val="false"/>
      </c:catAx>
      <c:valAx>
        <c:axId val="209473920"/>
        <c:scaling>
          <c:orientation val="minMax"/>
        </c:scaling>
        <c:delete val="false"/>
        <c:axPos val="l"/>
        <c:majorGridlines/>
        <c:title>
          <c:layout/>
          <c:overlay val="false"/>
          <c:txPr>
            <a:bodyPr rot="-5400000" spcFirstLastPara="0" vertOverflow="ellipsis" vert="horz" wrap="square" anchor="ctr" anchorCtr="true"/>
            <a:lstStyle/>
            <a:p>
              <a:pPr>
                <a:defRPr lang="zh-CN" sz="1000" b="1" i="0" u="none" strike="noStrike" kern="1200" baseline="0">
                  <a:solidFill>
                    <a:schemeClr val="tx1"/>
                  </a:solidFill>
                  <a:latin typeface="+mn-lt"/>
                  <a:ea typeface="+mn-ea"/>
                  <a:cs typeface="+mn-cs"/>
                </a:defRPr>
              </a:pPr>
            </a:p>
          </c:txPr>
        </c:title>
        <c:numFmt formatCode="General" sourceLinked="true"/>
        <c:majorTickMark val="none"/>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209468032"/>
        <c:crosses val="autoZero"/>
        <c:crossBetween val="between"/>
      </c:valAx>
      <c:dTable>
        <c:showHorzBorder val="true"/>
        <c:showVertBorder val="true"/>
        <c:showOutline val="true"/>
        <c:showKeys val="tru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dTable>
    </c:plotArea>
    <c:plotVisOnly val="true"/>
    <c:dispBlanksAs val="gap"/>
    <c:showDLblsOverMax val="false"/>
  </c:chart>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stacked"/>
        <c:varyColors val="false"/>
        <c:ser>
          <c:idx val="0"/>
          <c:order val="0"/>
          <c:tx>
            <c:strRef>
              <c:f>Sheet1!$B$1</c:f>
              <c:strCache>
                <c:ptCount val="1"/>
                <c:pt idx="0">
                  <c:v>一般公共预算财政拨款支出决算变动表</c:v>
                </c:pt>
              </c:strCache>
            </c:strRef>
          </c:tx>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ct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Sheet1!$A$2:$A$3</c:f>
              <c:strCache>
                <c:ptCount val="2"/>
                <c:pt idx="0">
                  <c:v>2022年年度支出</c:v>
                </c:pt>
                <c:pt idx="1">
                  <c:v>2023年度支出</c:v>
                </c:pt>
              </c:strCache>
            </c:strRef>
          </c:cat>
          <c:val>
            <c:numRef>
              <c:f>Sheet1!$B$2:$B$3</c:f>
              <c:numCache>
                <c:formatCode>General</c:formatCode>
                <c:ptCount val="2"/>
                <c:pt idx="0">
                  <c:v>1211.17</c:v>
                </c:pt>
                <c:pt idx="1">
                  <c:v>2085.81</c:v>
                </c:pt>
              </c:numCache>
            </c:numRef>
          </c:val>
        </c:ser>
        <c:dLbls>
          <c:showLegendKey val="false"/>
          <c:showVal val="true"/>
          <c:showCatName val="false"/>
          <c:showSerName val="false"/>
          <c:showPercent val="false"/>
          <c:showBubbleSize val="false"/>
        </c:dLbls>
        <c:gapWidth val="75"/>
        <c:overlap val="100"/>
        <c:axId val="209512320"/>
        <c:axId val="209513856"/>
      </c:barChart>
      <c:catAx>
        <c:axId val="209512320"/>
        <c:scaling>
          <c:orientation val="minMax"/>
        </c:scaling>
        <c:delete val="false"/>
        <c:axPos val="b"/>
        <c:majorTickMark val="none"/>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209513856"/>
        <c:crosses val="autoZero"/>
        <c:auto val="true"/>
        <c:lblAlgn val="ctr"/>
        <c:lblOffset val="100"/>
        <c:noMultiLvlLbl val="false"/>
      </c:catAx>
      <c:valAx>
        <c:axId val="209513856"/>
        <c:scaling>
          <c:orientation val="minMax"/>
        </c:scaling>
        <c:delete val="false"/>
        <c:axPos val="l"/>
        <c:numFmt formatCode="General" sourceLinked="true"/>
        <c:majorTickMark val="none"/>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209512320"/>
        <c:crosses val="autoZero"/>
        <c:crossBetween val="between"/>
      </c:valAx>
    </c:plotArea>
    <c:legend>
      <c:legendPos val="b"/>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p>
      </c:txPr>
    </c:title>
    <c:autoTitleDeleted val="false"/>
    <c:plotArea>
      <c:layout/>
      <c:pieChart>
        <c:varyColors val="true"/>
        <c:ser>
          <c:idx val="0"/>
          <c:order val="0"/>
          <c:tx>
            <c:strRef>
              <c:f>Sheet1!$B$1</c:f>
              <c:strCache>
                <c:ptCount val="1"/>
                <c:pt idx="0">
                  <c:v>2023一般公共预算财政拨款支出</c:v>
                </c:pt>
              </c:strCache>
            </c:strRef>
          </c:tx>
          <c:explosion val="0"/>
          <c:dPt>
            <c:idx val="0"/>
            <c:bubble3D val="false"/>
          </c:dPt>
          <c:dPt>
            <c:idx val="1"/>
            <c:bubble3D val="false"/>
          </c:dPt>
          <c:dPt>
            <c:idx val="2"/>
            <c:bubble3D val="false"/>
          </c:dPt>
          <c:dPt>
            <c:idx val="3"/>
            <c:bubble3D val="false"/>
          </c:dPt>
          <c:dLbls>
            <c:delete val="true"/>
          </c:dLbls>
          <c:cat>
            <c:strRef>
              <c:f>Sheet1!$A$2:$A$5</c:f>
              <c:strCache>
                <c:ptCount val="4"/>
                <c:pt idx="0">
                  <c:v>公共安全支出（1103.30万元，占比88.31%）</c:v>
                </c:pt>
                <c:pt idx="1">
                  <c:v>社会保障和就业支出（67.17万元，占比5.37%）</c:v>
                </c:pt>
                <c:pt idx="2">
                  <c:v>卫生健康支出（29.94万元，占比2.41%）</c:v>
                </c:pt>
                <c:pt idx="3">
                  <c:v>住房保障支出（48.91万元，占比3.91%）</c:v>
                </c:pt>
              </c:strCache>
            </c:strRef>
          </c:cat>
          <c:val>
            <c:numRef>
              <c:f>Sheet1!$B$2:$B$5</c:f>
              <c:numCache>
                <c:formatCode>General</c:formatCode>
                <c:ptCount val="4"/>
                <c:pt idx="0">
                  <c:v>1103.32</c:v>
                </c:pt>
                <c:pt idx="1">
                  <c:v>67.17</c:v>
                </c:pt>
                <c:pt idx="2">
                  <c:v>29.94</c:v>
                </c:pt>
                <c:pt idx="3">
                  <c:v>48.91</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p>
      </c:txPr>
    </c:title>
    <c:autoTitleDeleted val="false"/>
    <c:plotArea>
      <c:layout/>
      <c:pieChart>
        <c:varyColors val="true"/>
        <c:ser>
          <c:idx val="0"/>
          <c:order val="0"/>
          <c:tx>
            <c:strRef>
              <c:f>Sheet1!$B$1</c:f>
              <c:strCache>
                <c:ptCount val="1"/>
                <c:pt idx="0">
                  <c:v>“三公”经费财政拨款支出</c:v>
                </c:pt>
              </c:strCache>
            </c:strRef>
          </c:tx>
          <c:explosion val="0"/>
          <c:dPt>
            <c:idx val="0"/>
            <c:bubble3D val="false"/>
          </c:dPt>
          <c:dPt>
            <c:idx val="1"/>
            <c:bubble3D val="false"/>
          </c:dPt>
          <c:dPt>
            <c:idx val="2"/>
            <c:bubble3D val="false"/>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Sheet1!$A$2:$A$4</c:f>
              <c:strCache>
                <c:ptCount val="3"/>
                <c:pt idx="0">
                  <c:v>因公出国（境）经费（0万元，占比0%)</c:v>
                </c:pt>
                <c:pt idx="1">
                  <c:v>公务用车购置及运行维护费（10万元，占比86.21%）</c:v>
                </c:pt>
                <c:pt idx="2">
                  <c:v>公务接待费（1.6万元，占比13.79%）</c:v>
                </c:pt>
              </c:strCache>
            </c:strRef>
          </c:cat>
          <c:val>
            <c:numRef>
              <c:f>Sheet1!$B$2:$B$4</c:f>
              <c:numCache>
                <c:formatCode>General</c:formatCode>
                <c:ptCount val="3"/>
                <c:pt idx="0">
                  <c:v>0</c:v>
                </c:pt>
                <c:pt idx="1">
                  <c:v>10</c:v>
                </c:pt>
                <c:pt idx="2">
                  <c:v>1.6</c:v>
                </c:pt>
              </c:numCache>
            </c:numRef>
          </c:val>
        </c:ser>
        <c:dLbls>
          <c:showLegendKey val="false"/>
          <c:showVal val="false"/>
          <c:showCatName val="false"/>
          <c:showSerName val="false"/>
          <c:showPercent val="true"/>
          <c:showBubbleSize val="false"/>
          <c:showLeaderLines val="true"/>
        </c:dLbls>
        <c:firstSliceAng val="15"/>
      </c:pieChart>
      <c:spPr>
        <a:noFill/>
        <a:ln>
          <a:noFill/>
        </a:ln>
        <a:effectLst/>
      </c:spPr>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9"/>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83</Pages>
  <Words>26018</Words>
  <Characters>28257</Characters>
  <Lines>234</Lines>
  <Paragraphs>66</Paragraphs>
  <TotalTime>32</TotalTime>
  <ScaleCrop>false</ScaleCrop>
  <LinksUpToDate>false</LinksUpToDate>
  <CharactersWithSpaces>28883</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2024-09-06T09:32:00Z</dcterms:created>
  <dc:creator>曹颖</dc:creator>
  <cp:lastModifiedBy> </cp:lastModifiedBy>
  <cp:lastPrinted>2023-08-01T18:35:00Z</cp:lastPrinted>
  <dcterms:modified xsi:type="dcterms:W3CDTF">2024-10-08T17:07:13Z</dcterms:modified>
  <dc:title>四川省***</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1BF328E4FCBC46E183310AF8D9815CC9</vt:lpwstr>
  </property>
</Properties>
</file>