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方正小标宋简体" w:hAnsi="宋体" w:eastAsia="方正小标宋简体"/>
          <w:szCs w:val="21"/>
        </w:rPr>
      </w:pPr>
      <w:bookmarkStart w:id="0" w:name="_Toc15306267"/>
    </w:p>
    <w:p>
      <w:pPr>
        <w:pStyle w:val="2"/>
        <w:spacing w:before="93"/>
      </w:pPr>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3192"/>
      <w:bookmarkStart w:id="2" w:name="_Toc15377193"/>
      <w:bookmarkStart w:id="3" w:name="_Toc17777"/>
      <w:bookmarkStart w:id="4" w:name="_Toc15396597"/>
      <w:bookmarkStart w:id="5" w:name="_Toc174107194"/>
      <w:bookmarkStart w:id="6" w:name="_Toc15377425"/>
      <w:bookmarkStart w:id="7" w:name="_Toc15396475"/>
      <w:bookmarkStart w:id="8" w:name="_Toc15378441"/>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bookmarkEnd w:id="7"/>
      <w:bookmarkEnd w:id="8"/>
    </w:p>
    <w:bookmarkEnd w:id="0"/>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9" w:name="_Toc25103"/>
      <w:bookmarkStart w:id="10" w:name="_Toc174107195"/>
      <w:bookmarkStart w:id="11" w:name="_Toc9587"/>
      <w:bookmarkStart w:id="12" w:name="_Toc2826"/>
      <w:r>
        <w:rPr>
          <w:rFonts w:hint="eastAsia" w:ascii="方正小标宋简体" w:hAnsi="方正小标宋简体" w:eastAsia="方正小标宋简体" w:cs="方正小标宋简体"/>
          <w:sz w:val="72"/>
          <w:szCs w:val="72"/>
        </w:rPr>
        <w:t>四川省广元市职业高级中学校决算</w:t>
      </w:r>
      <w:bookmarkEnd w:id="9"/>
      <w:bookmarkEnd w:id="10"/>
      <w:bookmarkEnd w:id="11"/>
      <w:bookmarkEnd w:id="12"/>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1"/>
      </w:pPr>
      <w:r>
        <w:rPr>
          <w:rFonts w:hint="eastAsia"/>
        </w:rPr>
        <w:t>公开时间：202</w:t>
      </w:r>
      <w:r>
        <w:rPr>
          <w:rFonts w:hint="eastAsia"/>
          <w:lang w:val="en-US" w:eastAsia="zh-CN"/>
        </w:rPr>
        <w:t>4</w:t>
      </w:r>
      <w:r>
        <w:rPr>
          <w:rFonts w:hint="eastAsia"/>
        </w:rPr>
        <w:t>年</w:t>
      </w:r>
      <w:r>
        <w:rPr>
          <w:rFonts w:hint="eastAsia"/>
          <w:lang w:val="en-US" w:eastAsia="zh-CN"/>
        </w:rPr>
        <w:t>10</w:t>
      </w:r>
      <w:r>
        <w:rPr>
          <w:rFonts w:hint="eastAsia"/>
        </w:rPr>
        <w:t>月</w:t>
      </w:r>
      <w:r>
        <w:rPr>
          <w:rFonts w:hint="eastAsia"/>
          <w:lang w:val="en-US" w:eastAsia="zh-CN"/>
        </w:rPr>
        <w:t>14</w:t>
      </w:r>
      <w:r>
        <w:rPr>
          <w:rFonts w:hint="eastAsia"/>
        </w:rPr>
        <w:t>日</w:t>
      </w:r>
    </w:p>
    <w:sdt>
      <w:sdtPr>
        <w:rPr>
          <w:rFonts w:ascii="宋体" w:hAnsi="宋体"/>
        </w:rPr>
        <w:id w:val="147469736"/>
        <w:docPartObj>
          <w:docPartGallery w:val="Table of Contents"/>
          <w:docPartUnique/>
        </w:docPartObj>
      </w:sdtPr>
      <w:sdtEndPr>
        <w:rPr>
          <w:rFonts w:hint="eastAsia" w:ascii="Times New Roman" w:hAnsi="Times New Roman"/>
          <w:b/>
        </w:rPr>
      </w:sdtEndPr>
      <w:sdtContent>
        <w:p>
          <w:pPr>
            <w:jc w:val="center"/>
          </w:pPr>
          <w:r>
            <w:rPr>
              <w:rFonts w:hint="eastAsia"/>
            </w:rPr>
            <w:fldChar w:fldCharType="begin"/>
          </w:r>
          <w:r>
            <w:rPr>
              <w:rFonts w:hint="eastAsia"/>
            </w:rPr>
            <w:instrText xml:space="preserve">TOC \o "1-2" \h \u </w:instrText>
          </w:r>
          <w:r>
            <w:rPr>
              <w:rFonts w:hint="eastAsia"/>
            </w:rPr>
            <w:fldChar w:fldCharType="separate"/>
          </w:r>
        </w:p>
        <w:p>
          <w:pPr>
            <w:pStyle w:val="11"/>
            <w:tabs>
              <w:tab w:val="right" w:leader="dot" w:pos="8306"/>
              <w:tab w:val="clear" w:pos="8296"/>
            </w:tabs>
            <w:rPr>
              <w:rFonts w:ascii="Times New Roman" w:hAnsi="Times New Roman" w:eastAsia="宋体"/>
              <w:b/>
              <w:szCs w:val="32"/>
            </w:rPr>
          </w:pPr>
          <w:r>
            <w:rPr>
              <w:rFonts w:hint="eastAsia" w:ascii="Times New Roman" w:hAnsi="Times New Roman" w:eastAsia="宋体"/>
              <w:b/>
              <w:szCs w:val="32"/>
            </w:rPr>
            <w:t>第一部分 单位概况</w:t>
          </w:r>
          <w:r>
            <w:fldChar w:fldCharType="begin"/>
          </w:r>
          <w:r>
            <w:instrText xml:space="preserve"> HYPERLINK \l "_Toc32387" </w:instrText>
          </w:r>
          <w:r>
            <w:fldChar w:fldCharType="separate"/>
          </w:r>
          <w:r>
            <w:rPr>
              <w:rFonts w:hint="eastAsia" w:ascii="Times New Roman" w:hAnsi="Times New Roman" w:eastAsia="宋体"/>
              <w:b/>
              <w:szCs w:val="32"/>
            </w:rPr>
            <w:tab/>
          </w:r>
          <w:r>
            <w:rPr>
              <w:rFonts w:hint="eastAsia" w:ascii="Times New Roman" w:hAnsi="Times New Roman" w:eastAsia="宋体"/>
              <w:b/>
              <w:szCs w:val="32"/>
            </w:rPr>
            <w:fldChar w:fldCharType="begin"/>
          </w:r>
          <w:r>
            <w:rPr>
              <w:rFonts w:hint="eastAsia" w:ascii="Times New Roman" w:hAnsi="Times New Roman" w:eastAsia="宋体"/>
              <w:b/>
              <w:szCs w:val="32"/>
            </w:rPr>
            <w:instrText xml:space="preserve"> PAGEREF _Toc32387 \h </w:instrText>
          </w:r>
          <w:r>
            <w:rPr>
              <w:rFonts w:hint="eastAsia" w:ascii="Times New Roman" w:hAnsi="Times New Roman" w:eastAsia="宋体"/>
              <w:b/>
              <w:szCs w:val="32"/>
            </w:rPr>
            <w:fldChar w:fldCharType="separate"/>
          </w:r>
          <w:r>
            <w:rPr>
              <w:rFonts w:hint="eastAsia" w:ascii="Times New Roman" w:hAnsi="Times New Roman" w:eastAsia="宋体"/>
              <w:b/>
              <w:szCs w:val="32"/>
            </w:rPr>
            <w:t>4</w:t>
          </w:r>
          <w:r>
            <w:rPr>
              <w:rFonts w:hint="eastAsia" w:ascii="Times New Roman" w:hAnsi="Times New Roman" w:eastAsia="宋体"/>
              <w:b/>
              <w:szCs w:val="32"/>
            </w:rPr>
            <w:fldChar w:fldCharType="end"/>
          </w:r>
          <w:r>
            <w:rPr>
              <w:rFonts w:hint="eastAsia" w:ascii="Times New Roman" w:hAnsi="Times New Roman" w:eastAsia="宋体"/>
              <w:b/>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"_Toc19766" </w:instrText>
          </w:r>
          <w:r>
            <w:fldChar w:fldCharType="separate"/>
          </w:r>
          <w:r>
            <w:rPr>
              <w:rFonts w:hint="eastAsia" w:eastAsia="仿宋"/>
              <w:sz w:val="28"/>
              <w:szCs w:val="32"/>
            </w:rPr>
            <w:t>一、 主要职责</w:t>
          </w:r>
          <w:r>
            <w:rPr>
              <w:rFonts w:eastAsia="仿宋"/>
              <w:sz w:val="28"/>
              <w:szCs w:val="32"/>
            </w:rPr>
            <w:tab/>
          </w:r>
          <w:r>
            <w:rPr>
              <w:rFonts w:eastAsia="仿宋"/>
              <w:sz w:val="28"/>
              <w:szCs w:val="32"/>
            </w:rPr>
            <w:fldChar w:fldCharType="begin"/>
          </w:r>
          <w:r>
            <w:rPr>
              <w:rFonts w:eastAsia="仿宋"/>
              <w:sz w:val="28"/>
              <w:szCs w:val="32"/>
            </w:rPr>
            <w:instrText xml:space="preserve"> PAGEREF _Toc19766 \h </w:instrText>
          </w:r>
          <w:r>
            <w:rPr>
              <w:rFonts w:eastAsia="仿宋"/>
              <w:sz w:val="28"/>
              <w:szCs w:val="32"/>
            </w:rPr>
            <w:fldChar w:fldCharType="separate"/>
          </w:r>
          <w:r>
            <w:rPr>
              <w:rFonts w:eastAsia="仿宋"/>
              <w:sz w:val="28"/>
              <w:szCs w:val="32"/>
            </w:rPr>
            <w:t>4</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pPr>
          <w:r>
            <w:fldChar w:fldCharType="begin"/>
          </w:r>
          <w:r>
            <w:instrText xml:space="preserve"> HYPERLINK \l "_Toc8811" </w:instrText>
          </w:r>
          <w:r>
            <w:fldChar w:fldCharType="separate"/>
          </w:r>
          <w:r>
            <w:rPr>
              <w:rFonts w:hint="eastAsia" w:eastAsia="仿宋"/>
              <w:sz w:val="28"/>
              <w:szCs w:val="32"/>
            </w:rPr>
            <w:t>二、机构设置</w:t>
          </w:r>
          <w:r>
            <w:rPr>
              <w:rFonts w:eastAsia="仿宋"/>
              <w:sz w:val="28"/>
              <w:szCs w:val="32"/>
            </w:rPr>
            <w:tab/>
          </w:r>
          <w:r>
            <w:rPr>
              <w:rFonts w:eastAsia="仿宋"/>
              <w:sz w:val="28"/>
              <w:szCs w:val="32"/>
            </w:rPr>
            <w:fldChar w:fldCharType="begin"/>
          </w:r>
          <w:r>
            <w:rPr>
              <w:rFonts w:eastAsia="仿宋"/>
              <w:sz w:val="28"/>
              <w:szCs w:val="32"/>
            </w:rPr>
            <w:instrText xml:space="preserve"> PAGEREF _Toc8811 \h </w:instrText>
          </w:r>
          <w:r>
            <w:rPr>
              <w:rFonts w:eastAsia="仿宋"/>
              <w:sz w:val="28"/>
              <w:szCs w:val="32"/>
            </w:rPr>
            <w:fldChar w:fldCharType="separate"/>
          </w:r>
          <w:r>
            <w:rPr>
              <w:rFonts w:eastAsia="仿宋"/>
              <w:sz w:val="28"/>
              <w:szCs w:val="32"/>
            </w:rPr>
            <w:t>4</w:t>
          </w:r>
          <w:r>
            <w:rPr>
              <w:rFonts w:eastAsia="仿宋"/>
              <w:sz w:val="28"/>
              <w:szCs w:val="32"/>
            </w:rPr>
            <w:fldChar w:fldCharType="end"/>
          </w:r>
          <w:r>
            <w:rPr>
              <w:rFonts w:eastAsia="仿宋"/>
              <w:sz w:val="28"/>
              <w:szCs w:val="32"/>
            </w:rPr>
            <w:fldChar w:fldCharType="end"/>
          </w:r>
        </w:p>
        <w:p>
          <w:pPr>
            <w:pStyle w:val="11"/>
            <w:tabs>
              <w:tab w:val="right" w:leader="dot" w:pos="8306"/>
              <w:tab w:val="clear" w:pos="8296"/>
            </w:tabs>
            <w:rPr>
              <w:rFonts w:ascii="Times New Roman" w:hAnsi="Times New Roman" w:eastAsia="宋体"/>
              <w:b/>
              <w:szCs w:val="32"/>
            </w:rPr>
          </w:pPr>
          <w:r>
            <w:fldChar w:fldCharType="begin"/>
          </w:r>
          <w:r>
            <w:instrText xml:space="preserve"> HYPERLINK \l "_Toc11082" </w:instrText>
          </w:r>
          <w:r>
            <w:fldChar w:fldCharType="separate"/>
          </w:r>
          <w:r>
            <w:rPr>
              <w:rFonts w:hint="eastAsia" w:ascii="Times New Roman" w:hAnsi="Times New Roman" w:eastAsia="宋体"/>
              <w:b/>
              <w:szCs w:val="32"/>
            </w:rPr>
            <w:t>第二部分 2023年度单位决算情况说明</w:t>
          </w:r>
          <w:r>
            <w:rPr>
              <w:rFonts w:ascii="Times New Roman" w:hAnsi="Times New Roman" w:eastAsia="宋体"/>
              <w:b/>
              <w:szCs w:val="32"/>
            </w:rPr>
            <w:tab/>
          </w:r>
          <w:r>
            <w:rPr>
              <w:rFonts w:ascii="Times New Roman" w:hAnsi="Times New Roman" w:eastAsia="宋体"/>
              <w:b/>
              <w:szCs w:val="32"/>
            </w:rPr>
            <w:fldChar w:fldCharType="begin"/>
          </w:r>
          <w:r>
            <w:rPr>
              <w:rFonts w:ascii="Times New Roman" w:hAnsi="Times New Roman" w:eastAsia="宋体"/>
              <w:b/>
              <w:szCs w:val="32"/>
            </w:rPr>
            <w:instrText xml:space="preserve"> PAGEREF _Toc11082 \h </w:instrText>
          </w:r>
          <w:r>
            <w:rPr>
              <w:rFonts w:ascii="Times New Roman" w:hAnsi="Times New Roman" w:eastAsia="宋体"/>
              <w:b/>
              <w:szCs w:val="32"/>
            </w:rPr>
            <w:fldChar w:fldCharType="separate"/>
          </w:r>
          <w:r>
            <w:rPr>
              <w:rFonts w:ascii="Times New Roman" w:hAnsi="Times New Roman" w:eastAsia="宋体"/>
              <w:b/>
              <w:szCs w:val="32"/>
            </w:rPr>
            <w:t>5</w:t>
          </w:r>
          <w:r>
            <w:rPr>
              <w:rFonts w:ascii="Times New Roman" w:hAnsi="Times New Roman" w:eastAsia="宋体"/>
              <w:b/>
              <w:szCs w:val="32"/>
            </w:rPr>
            <w:fldChar w:fldCharType="end"/>
          </w:r>
          <w:r>
            <w:rPr>
              <w:rFonts w:ascii="Times New Roman" w:hAnsi="Times New Roman" w:eastAsia="宋体"/>
              <w:b/>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"_Toc5399" </w:instrText>
          </w:r>
          <w:r>
            <w:fldChar w:fldCharType="separate"/>
          </w:r>
          <w:r>
            <w:rPr>
              <w:rFonts w:eastAsia="仿宋"/>
              <w:sz w:val="28"/>
              <w:szCs w:val="32"/>
            </w:rPr>
            <w:t xml:space="preserve">一、 </w:t>
          </w:r>
          <w:r>
            <w:rPr>
              <w:rFonts w:hint="eastAsia" w:eastAsia="仿宋"/>
              <w:sz w:val="28"/>
              <w:szCs w:val="32"/>
            </w:rPr>
            <w:t>收入支出决算总体情况说明</w:t>
          </w:r>
          <w:r>
            <w:rPr>
              <w:rFonts w:eastAsia="仿宋"/>
              <w:sz w:val="28"/>
              <w:szCs w:val="32"/>
            </w:rPr>
            <w:tab/>
          </w:r>
          <w:r>
            <w:rPr>
              <w:rFonts w:eastAsia="仿宋"/>
              <w:sz w:val="28"/>
              <w:szCs w:val="32"/>
            </w:rPr>
            <w:fldChar w:fldCharType="begin"/>
          </w:r>
          <w:r>
            <w:rPr>
              <w:rFonts w:eastAsia="仿宋"/>
              <w:sz w:val="28"/>
              <w:szCs w:val="32"/>
            </w:rPr>
            <w:instrText xml:space="preserve"> PAGEREF _Toc5399 \h </w:instrText>
          </w:r>
          <w:r>
            <w:rPr>
              <w:rFonts w:eastAsia="仿宋"/>
              <w:sz w:val="28"/>
              <w:szCs w:val="32"/>
            </w:rPr>
            <w:fldChar w:fldCharType="separate"/>
          </w:r>
          <w:r>
            <w:rPr>
              <w:rFonts w:eastAsia="仿宋"/>
              <w:sz w:val="28"/>
              <w:szCs w:val="32"/>
            </w:rPr>
            <w:t>5</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"_Toc13923" </w:instrText>
          </w:r>
          <w:r>
            <w:fldChar w:fldCharType="separate"/>
          </w:r>
          <w:r>
            <w:rPr>
              <w:rFonts w:eastAsia="仿宋"/>
              <w:sz w:val="28"/>
              <w:szCs w:val="32"/>
            </w:rPr>
            <w:t xml:space="preserve">二、 </w:t>
          </w:r>
          <w:r>
            <w:rPr>
              <w:rFonts w:hint="eastAsia" w:eastAsia="仿宋"/>
              <w:sz w:val="28"/>
              <w:szCs w:val="32"/>
            </w:rPr>
            <w:t>收入决算情况说明</w:t>
          </w:r>
          <w:r>
            <w:rPr>
              <w:rFonts w:eastAsia="仿宋"/>
              <w:sz w:val="28"/>
              <w:szCs w:val="32"/>
            </w:rPr>
            <w:tab/>
          </w:r>
          <w:r>
            <w:rPr>
              <w:rFonts w:eastAsia="仿宋"/>
              <w:sz w:val="28"/>
              <w:szCs w:val="32"/>
            </w:rPr>
            <w:fldChar w:fldCharType="begin"/>
          </w:r>
          <w:r>
            <w:rPr>
              <w:rFonts w:eastAsia="仿宋"/>
              <w:sz w:val="28"/>
              <w:szCs w:val="32"/>
            </w:rPr>
            <w:instrText xml:space="preserve"> PAGEREF _Toc13923 \h </w:instrText>
          </w:r>
          <w:r>
            <w:rPr>
              <w:rFonts w:eastAsia="仿宋"/>
              <w:sz w:val="28"/>
              <w:szCs w:val="32"/>
            </w:rPr>
            <w:fldChar w:fldCharType="separate"/>
          </w:r>
          <w:r>
            <w:rPr>
              <w:rFonts w:eastAsia="仿宋"/>
              <w:sz w:val="28"/>
              <w:szCs w:val="32"/>
            </w:rPr>
            <w:t>5</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"_Toc26892" </w:instrText>
          </w:r>
          <w:r>
            <w:fldChar w:fldCharType="separate"/>
          </w:r>
          <w:r>
            <w:rPr>
              <w:rFonts w:eastAsia="仿宋"/>
              <w:sz w:val="28"/>
              <w:szCs w:val="32"/>
            </w:rPr>
            <w:t xml:space="preserve">三、 </w:t>
          </w:r>
          <w:r>
            <w:rPr>
              <w:rFonts w:hint="eastAsia" w:eastAsia="仿宋"/>
              <w:sz w:val="28"/>
              <w:szCs w:val="32"/>
            </w:rPr>
            <w:t>支出决算情况说明</w:t>
          </w:r>
          <w:r>
            <w:rPr>
              <w:rFonts w:eastAsia="仿宋"/>
              <w:sz w:val="28"/>
              <w:szCs w:val="32"/>
            </w:rPr>
            <w:tab/>
          </w:r>
          <w:r>
            <w:rPr>
              <w:rFonts w:eastAsia="仿宋"/>
              <w:sz w:val="28"/>
              <w:szCs w:val="32"/>
            </w:rPr>
            <w:fldChar w:fldCharType="begin"/>
          </w:r>
          <w:r>
            <w:rPr>
              <w:rFonts w:eastAsia="仿宋"/>
              <w:sz w:val="28"/>
              <w:szCs w:val="32"/>
            </w:rPr>
            <w:instrText xml:space="preserve"> PAGEREF _Toc26892 \h </w:instrText>
          </w:r>
          <w:r>
            <w:rPr>
              <w:rFonts w:eastAsia="仿宋"/>
              <w:sz w:val="28"/>
              <w:szCs w:val="32"/>
            </w:rPr>
            <w:fldChar w:fldCharType="separate"/>
          </w:r>
          <w:r>
            <w:rPr>
              <w:rFonts w:eastAsia="仿宋"/>
              <w:sz w:val="28"/>
              <w:szCs w:val="32"/>
            </w:rPr>
            <w:t>6</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"_Toc27203" </w:instrText>
          </w:r>
          <w:r>
            <w:fldChar w:fldCharType="separate"/>
          </w:r>
          <w:r>
            <w:rPr>
              <w:rFonts w:hint="eastAsia" w:eastAsia="仿宋"/>
              <w:sz w:val="28"/>
              <w:szCs w:val="32"/>
            </w:rPr>
            <w:t>四、财政拨款收入支出决算总体情况说明</w:t>
          </w:r>
          <w:r>
            <w:rPr>
              <w:rFonts w:eastAsia="仿宋"/>
              <w:sz w:val="28"/>
              <w:szCs w:val="32"/>
            </w:rPr>
            <w:tab/>
          </w:r>
          <w:r>
            <w:rPr>
              <w:rFonts w:eastAsia="仿宋"/>
              <w:sz w:val="28"/>
              <w:szCs w:val="32"/>
            </w:rPr>
            <w:fldChar w:fldCharType="begin"/>
          </w:r>
          <w:r>
            <w:rPr>
              <w:rFonts w:eastAsia="仿宋"/>
              <w:sz w:val="28"/>
              <w:szCs w:val="32"/>
            </w:rPr>
            <w:instrText xml:space="preserve"> PAGEREF _Toc27203 \h </w:instrText>
          </w:r>
          <w:r>
            <w:rPr>
              <w:rFonts w:eastAsia="仿宋"/>
              <w:sz w:val="28"/>
              <w:szCs w:val="32"/>
            </w:rPr>
            <w:fldChar w:fldCharType="separate"/>
          </w:r>
          <w:r>
            <w:rPr>
              <w:rFonts w:eastAsia="仿宋"/>
              <w:sz w:val="28"/>
              <w:szCs w:val="32"/>
            </w:rPr>
            <w:t>6</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"_Toc25458" </w:instrText>
          </w:r>
          <w:r>
            <w:fldChar w:fldCharType="separate"/>
          </w:r>
          <w:r>
            <w:rPr>
              <w:rFonts w:hint="eastAsia" w:eastAsia="仿宋"/>
              <w:sz w:val="28"/>
              <w:szCs w:val="32"/>
            </w:rPr>
            <w:t>五、一般公共预算财政拨款支出决算情况说明</w:t>
          </w:r>
          <w:r>
            <w:rPr>
              <w:rFonts w:eastAsia="仿宋"/>
              <w:sz w:val="28"/>
              <w:szCs w:val="32"/>
            </w:rPr>
            <w:tab/>
          </w:r>
          <w:r>
            <w:rPr>
              <w:rFonts w:eastAsia="仿宋"/>
              <w:sz w:val="28"/>
              <w:szCs w:val="32"/>
            </w:rPr>
            <w:fldChar w:fldCharType="begin"/>
          </w:r>
          <w:r>
            <w:rPr>
              <w:rFonts w:eastAsia="仿宋"/>
              <w:sz w:val="28"/>
              <w:szCs w:val="32"/>
            </w:rPr>
            <w:instrText xml:space="preserve"> PAGEREF _Toc25458 \h </w:instrText>
          </w:r>
          <w:r>
            <w:rPr>
              <w:rFonts w:eastAsia="仿宋"/>
              <w:sz w:val="28"/>
              <w:szCs w:val="32"/>
            </w:rPr>
            <w:fldChar w:fldCharType="separate"/>
          </w:r>
          <w:r>
            <w:rPr>
              <w:rFonts w:eastAsia="仿宋"/>
              <w:sz w:val="28"/>
              <w:szCs w:val="32"/>
            </w:rPr>
            <w:t>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"_Toc4003" </w:instrText>
          </w:r>
          <w:r>
            <w:fldChar w:fldCharType="separate"/>
          </w:r>
          <w:r>
            <w:rPr>
              <w:rFonts w:hint="eastAsia" w:eastAsia="仿宋"/>
              <w:sz w:val="28"/>
              <w:szCs w:val="32"/>
            </w:rPr>
            <w:t>六、一般公共预算财政拨款基本支出决算情况说明</w:t>
          </w:r>
          <w:r>
            <w:rPr>
              <w:rFonts w:eastAsia="仿宋"/>
              <w:sz w:val="28"/>
              <w:szCs w:val="32"/>
            </w:rPr>
            <w:tab/>
          </w:r>
          <w:r>
            <w:rPr>
              <w:rFonts w:eastAsia="仿宋"/>
              <w:sz w:val="28"/>
              <w:szCs w:val="32"/>
            </w:rPr>
            <w:fldChar w:fldCharType="begin"/>
          </w:r>
          <w:r>
            <w:rPr>
              <w:rFonts w:eastAsia="仿宋"/>
              <w:sz w:val="28"/>
              <w:szCs w:val="32"/>
            </w:rPr>
            <w:instrText xml:space="preserve"> PAGEREF _Toc4003 \h </w:instrText>
          </w:r>
          <w:r>
            <w:rPr>
              <w:rFonts w:eastAsia="仿宋"/>
              <w:sz w:val="28"/>
              <w:szCs w:val="32"/>
            </w:rPr>
            <w:fldChar w:fldCharType="separate"/>
          </w:r>
          <w:r>
            <w:rPr>
              <w:rFonts w:eastAsia="仿宋"/>
              <w:sz w:val="28"/>
              <w:szCs w:val="32"/>
            </w:rPr>
            <w:t>10</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"_Toc11988" </w:instrText>
          </w:r>
          <w:r>
            <w:fldChar w:fldCharType="separate"/>
          </w:r>
          <w:r>
            <w:rPr>
              <w:rFonts w:hint="eastAsia" w:eastAsia="仿宋"/>
              <w:sz w:val="28"/>
              <w:szCs w:val="32"/>
            </w:rPr>
            <w:t>七、财政拨款“三公”经费支出决算情况说明</w:t>
          </w:r>
          <w:r>
            <w:rPr>
              <w:rFonts w:eastAsia="仿宋"/>
              <w:sz w:val="28"/>
              <w:szCs w:val="32"/>
            </w:rPr>
            <w:tab/>
          </w:r>
          <w:r>
            <w:rPr>
              <w:rFonts w:eastAsia="仿宋"/>
              <w:sz w:val="28"/>
              <w:szCs w:val="32"/>
            </w:rPr>
            <w:fldChar w:fldCharType="begin"/>
          </w:r>
          <w:r>
            <w:rPr>
              <w:rFonts w:eastAsia="仿宋"/>
              <w:sz w:val="28"/>
              <w:szCs w:val="32"/>
            </w:rPr>
            <w:instrText xml:space="preserve"> PAGEREF _Toc11988 \h </w:instrText>
          </w:r>
          <w:r>
            <w:rPr>
              <w:rFonts w:eastAsia="仿宋"/>
              <w:sz w:val="28"/>
              <w:szCs w:val="32"/>
            </w:rPr>
            <w:fldChar w:fldCharType="separate"/>
          </w:r>
          <w:r>
            <w:rPr>
              <w:rFonts w:eastAsia="仿宋"/>
              <w:sz w:val="28"/>
              <w:szCs w:val="32"/>
            </w:rPr>
            <w:t>10</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"_Toc11508" </w:instrText>
          </w:r>
          <w:r>
            <w:fldChar w:fldCharType="separate"/>
          </w:r>
          <w:r>
            <w:rPr>
              <w:rFonts w:hint="eastAsia" w:eastAsia="仿宋"/>
              <w:sz w:val="28"/>
              <w:szCs w:val="32"/>
            </w:rPr>
            <w:t>八、政府性基金预算支出决算情况说明</w:t>
          </w:r>
          <w:r>
            <w:rPr>
              <w:rFonts w:eastAsia="仿宋"/>
              <w:sz w:val="28"/>
              <w:szCs w:val="32"/>
            </w:rPr>
            <w:tab/>
          </w:r>
          <w:r>
            <w:rPr>
              <w:rFonts w:eastAsia="仿宋"/>
              <w:sz w:val="28"/>
              <w:szCs w:val="32"/>
            </w:rPr>
            <w:fldChar w:fldCharType="begin"/>
          </w:r>
          <w:r>
            <w:rPr>
              <w:rFonts w:eastAsia="仿宋"/>
              <w:sz w:val="28"/>
              <w:szCs w:val="32"/>
            </w:rPr>
            <w:instrText xml:space="preserve"> PAGEREF _Toc11508 \h </w:instrText>
          </w:r>
          <w:r>
            <w:rPr>
              <w:rFonts w:eastAsia="仿宋"/>
              <w:sz w:val="28"/>
              <w:szCs w:val="32"/>
            </w:rPr>
            <w:fldChar w:fldCharType="separate"/>
          </w:r>
          <w:r>
            <w:rPr>
              <w:rFonts w:eastAsia="仿宋"/>
              <w:sz w:val="28"/>
              <w:szCs w:val="32"/>
            </w:rPr>
            <w:t>11</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"_Toc15147" </w:instrText>
          </w:r>
          <w:r>
            <w:fldChar w:fldCharType="separate"/>
          </w:r>
          <w:r>
            <w:rPr>
              <w:rFonts w:hint="eastAsia" w:eastAsia="仿宋"/>
              <w:sz w:val="28"/>
              <w:szCs w:val="32"/>
            </w:rPr>
            <w:t>九、 国有资本经营预算支出决算情况说明</w:t>
          </w:r>
          <w:r>
            <w:rPr>
              <w:rFonts w:eastAsia="仿宋"/>
              <w:sz w:val="28"/>
              <w:szCs w:val="32"/>
            </w:rPr>
            <w:tab/>
          </w:r>
          <w:r>
            <w:rPr>
              <w:rFonts w:eastAsia="仿宋"/>
              <w:sz w:val="28"/>
              <w:szCs w:val="32"/>
            </w:rPr>
            <w:fldChar w:fldCharType="begin"/>
          </w:r>
          <w:r>
            <w:rPr>
              <w:rFonts w:eastAsia="仿宋"/>
              <w:sz w:val="28"/>
              <w:szCs w:val="32"/>
            </w:rPr>
            <w:instrText xml:space="preserve"> PAGEREF _Toc15147 \h </w:instrText>
          </w:r>
          <w:r>
            <w:rPr>
              <w:rFonts w:eastAsia="仿宋"/>
              <w:sz w:val="28"/>
              <w:szCs w:val="32"/>
            </w:rPr>
            <w:fldChar w:fldCharType="separate"/>
          </w:r>
          <w:r>
            <w:rPr>
              <w:rFonts w:eastAsia="仿宋"/>
              <w:sz w:val="28"/>
              <w:szCs w:val="32"/>
            </w:rPr>
            <w:t>11</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pPr>
          <w:r>
            <w:fldChar w:fldCharType="begin"/>
          </w:r>
          <w:r>
            <w:instrText xml:space="preserve"> HYPERLINK \l "_Toc25523" </w:instrText>
          </w:r>
          <w:r>
            <w:fldChar w:fldCharType="separate"/>
          </w:r>
          <w:r>
            <w:rPr>
              <w:rFonts w:hint="eastAsia" w:eastAsia="仿宋"/>
              <w:sz w:val="28"/>
              <w:szCs w:val="32"/>
            </w:rPr>
            <w:t>十、 其他重要事项的情况说明</w:t>
          </w:r>
          <w:r>
            <w:rPr>
              <w:rFonts w:eastAsia="仿宋"/>
              <w:sz w:val="28"/>
              <w:szCs w:val="32"/>
            </w:rPr>
            <w:tab/>
          </w:r>
          <w:r>
            <w:rPr>
              <w:rFonts w:eastAsia="仿宋"/>
              <w:sz w:val="28"/>
              <w:szCs w:val="32"/>
            </w:rPr>
            <w:fldChar w:fldCharType="begin"/>
          </w:r>
          <w:r>
            <w:rPr>
              <w:rFonts w:eastAsia="仿宋"/>
              <w:sz w:val="28"/>
              <w:szCs w:val="32"/>
            </w:rPr>
            <w:instrText xml:space="preserve"> PAGEREF _Toc25523 \h </w:instrText>
          </w:r>
          <w:r>
            <w:rPr>
              <w:rFonts w:eastAsia="仿宋"/>
              <w:sz w:val="28"/>
              <w:szCs w:val="32"/>
            </w:rPr>
            <w:fldChar w:fldCharType="separate"/>
          </w:r>
          <w:r>
            <w:rPr>
              <w:rFonts w:eastAsia="仿宋"/>
              <w:sz w:val="28"/>
              <w:szCs w:val="32"/>
            </w:rPr>
            <w:t>11</w:t>
          </w:r>
          <w:r>
            <w:rPr>
              <w:rFonts w:eastAsia="仿宋"/>
              <w:sz w:val="28"/>
              <w:szCs w:val="32"/>
            </w:rPr>
            <w:fldChar w:fldCharType="end"/>
          </w:r>
          <w:r>
            <w:rPr>
              <w:rFonts w:eastAsia="仿宋"/>
              <w:sz w:val="28"/>
              <w:szCs w:val="32"/>
            </w:rPr>
            <w:fldChar w:fldCharType="end"/>
          </w:r>
        </w:p>
        <w:p>
          <w:pPr>
            <w:pStyle w:val="11"/>
            <w:tabs>
              <w:tab w:val="right" w:leader="dot" w:pos="8306"/>
              <w:tab w:val="clear" w:pos="8296"/>
            </w:tabs>
          </w:pPr>
          <w:r>
            <w:fldChar w:fldCharType="begin"/>
          </w:r>
          <w:r>
            <w:instrText xml:space="preserve"> HYPERLINK \l "_Toc27078" </w:instrText>
          </w:r>
          <w:r>
            <w:fldChar w:fldCharType="separate"/>
          </w:r>
          <w:r>
            <w:rPr>
              <w:rFonts w:hint="eastAsia" w:ascii="Times New Roman" w:hAnsi="Times New Roman" w:eastAsia="宋体"/>
              <w:b/>
              <w:szCs w:val="32"/>
            </w:rPr>
            <w:t>第三部分 名词解释</w:t>
          </w:r>
          <w:r>
            <w:rPr>
              <w:rFonts w:ascii="Times New Roman" w:hAnsi="Times New Roman" w:eastAsia="宋体"/>
              <w:b/>
              <w:szCs w:val="32"/>
            </w:rPr>
            <w:tab/>
          </w:r>
          <w:r>
            <w:rPr>
              <w:rFonts w:ascii="Times New Roman" w:hAnsi="Times New Roman" w:eastAsia="宋体"/>
              <w:b/>
              <w:szCs w:val="32"/>
            </w:rPr>
            <w:fldChar w:fldCharType="begin"/>
          </w:r>
          <w:r>
            <w:rPr>
              <w:rFonts w:ascii="Times New Roman" w:hAnsi="Times New Roman" w:eastAsia="宋体"/>
              <w:b/>
              <w:szCs w:val="32"/>
            </w:rPr>
            <w:instrText xml:space="preserve"> PAGEREF _Toc27078 \h </w:instrText>
          </w:r>
          <w:r>
            <w:rPr>
              <w:rFonts w:ascii="Times New Roman" w:hAnsi="Times New Roman" w:eastAsia="宋体"/>
              <w:b/>
              <w:szCs w:val="32"/>
            </w:rPr>
            <w:fldChar w:fldCharType="separate"/>
          </w:r>
          <w:r>
            <w:rPr>
              <w:rFonts w:ascii="Times New Roman" w:hAnsi="Times New Roman" w:eastAsia="宋体"/>
              <w:b/>
              <w:szCs w:val="32"/>
            </w:rPr>
            <w:t>13</w:t>
          </w:r>
          <w:r>
            <w:rPr>
              <w:rFonts w:ascii="Times New Roman" w:hAnsi="Times New Roman" w:eastAsia="宋体"/>
              <w:b/>
              <w:szCs w:val="32"/>
            </w:rPr>
            <w:fldChar w:fldCharType="end"/>
          </w:r>
          <w:r>
            <w:rPr>
              <w:rFonts w:ascii="Times New Roman" w:hAnsi="Times New Roman" w:eastAsia="宋体"/>
              <w:b/>
              <w:szCs w:val="32"/>
            </w:rPr>
            <w:fldChar w:fldCharType="end"/>
          </w:r>
        </w:p>
        <w:p>
          <w:pPr>
            <w:pStyle w:val="11"/>
            <w:tabs>
              <w:tab w:val="right" w:leader="dot" w:pos="8306"/>
              <w:tab w:val="clear" w:pos="8296"/>
            </w:tabs>
          </w:pPr>
          <w:r>
            <w:fldChar w:fldCharType="begin"/>
          </w:r>
          <w:r>
            <w:instrText xml:space="preserve"> HYPERLINK \l "_Toc27078" </w:instrText>
          </w:r>
          <w:r>
            <w:fldChar w:fldCharType="separate"/>
          </w:r>
          <w:r>
            <w:rPr>
              <w:rFonts w:hint="eastAsia" w:ascii="Times New Roman" w:hAnsi="Times New Roman" w:eastAsia="宋体"/>
              <w:b/>
              <w:szCs w:val="32"/>
            </w:rPr>
            <w:t>第四部分 附件</w:t>
          </w:r>
          <w:r>
            <w:rPr>
              <w:rFonts w:ascii="Times New Roman" w:hAnsi="Times New Roman" w:eastAsia="宋体"/>
              <w:b/>
              <w:szCs w:val="32"/>
            </w:rPr>
            <w:tab/>
          </w:r>
          <w:r>
            <w:rPr>
              <w:rFonts w:ascii="Times New Roman" w:hAnsi="Times New Roman" w:eastAsia="宋体"/>
              <w:b/>
              <w:szCs w:val="32"/>
            </w:rPr>
            <w:fldChar w:fldCharType="begin"/>
          </w:r>
          <w:r>
            <w:rPr>
              <w:rFonts w:ascii="Times New Roman" w:hAnsi="Times New Roman" w:eastAsia="宋体"/>
              <w:b/>
              <w:szCs w:val="32"/>
            </w:rPr>
            <w:instrText xml:space="preserve"> PAGEREF _Toc27078 \h </w:instrText>
          </w:r>
          <w:r>
            <w:rPr>
              <w:rFonts w:ascii="Times New Roman" w:hAnsi="Times New Roman" w:eastAsia="宋体"/>
              <w:b/>
              <w:szCs w:val="32"/>
            </w:rPr>
            <w:fldChar w:fldCharType="separate"/>
          </w:r>
          <w:r>
            <w:rPr>
              <w:rFonts w:ascii="Times New Roman" w:hAnsi="Times New Roman" w:eastAsia="宋体"/>
              <w:b/>
              <w:szCs w:val="32"/>
            </w:rPr>
            <w:t>13</w:t>
          </w:r>
          <w:r>
            <w:rPr>
              <w:rFonts w:ascii="Times New Roman" w:hAnsi="Times New Roman" w:eastAsia="宋体"/>
              <w:b/>
              <w:szCs w:val="32"/>
            </w:rPr>
            <w:fldChar w:fldCharType="end"/>
          </w:r>
          <w:r>
            <w:rPr>
              <w:rFonts w:ascii="Times New Roman" w:hAnsi="Times New Roman" w:eastAsia="宋体"/>
              <w:b/>
              <w:szCs w:val="32"/>
            </w:rPr>
            <w:fldChar w:fldCharType="end"/>
          </w:r>
        </w:p>
        <w:p>
          <w:pPr>
            <w:pStyle w:val="11"/>
            <w:tabs>
              <w:tab w:val="right" w:leader="dot" w:pos="8306"/>
              <w:tab w:val="clear" w:pos="8296"/>
            </w:tabs>
          </w:pPr>
          <w:r>
            <w:fldChar w:fldCharType="begin"/>
          </w:r>
          <w:r>
            <w:instrText xml:space="preserve"> HYPERLINK \l "_Toc27756" </w:instrText>
          </w:r>
          <w:r>
            <w:fldChar w:fldCharType="separate"/>
          </w:r>
          <w:r>
            <w:rPr>
              <w:rFonts w:hint="eastAsia" w:ascii="Times New Roman" w:hAnsi="Times New Roman" w:eastAsia="宋体"/>
              <w:b/>
              <w:szCs w:val="32"/>
            </w:rPr>
            <w:t>第五部分 附表</w:t>
          </w:r>
          <w:r>
            <w:rPr>
              <w:rFonts w:ascii="Times New Roman" w:hAnsi="Times New Roman" w:eastAsia="宋体"/>
              <w:b/>
              <w:szCs w:val="32"/>
            </w:rPr>
            <w:tab/>
          </w:r>
          <w:r>
            <w:rPr>
              <w:rFonts w:ascii="Times New Roman" w:hAnsi="Times New Roman" w:eastAsia="宋体"/>
              <w:b/>
              <w:szCs w:val="32"/>
            </w:rPr>
            <w:fldChar w:fldCharType="begin"/>
          </w:r>
          <w:r>
            <w:rPr>
              <w:rFonts w:ascii="Times New Roman" w:hAnsi="Times New Roman" w:eastAsia="宋体"/>
              <w:b/>
              <w:szCs w:val="32"/>
            </w:rPr>
            <w:instrText xml:space="preserve"> PAGEREF _Toc27756 \h </w:instrText>
          </w:r>
          <w:r>
            <w:rPr>
              <w:rFonts w:ascii="Times New Roman" w:hAnsi="Times New Roman" w:eastAsia="宋体"/>
              <w:b/>
              <w:szCs w:val="32"/>
            </w:rPr>
            <w:fldChar w:fldCharType="separate"/>
          </w:r>
          <w:r>
            <w:rPr>
              <w:rFonts w:ascii="Times New Roman" w:hAnsi="Times New Roman" w:eastAsia="宋体"/>
              <w:b/>
              <w:szCs w:val="32"/>
            </w:rPr>
            <w:t>17</w:t>
          </w:r>
          <w:r>
            <w:rPr>
              <w:rFonts w:ascii="Times New Roman" w:hAnsi="Times New Roman" w:eastAsia="宋体"/>
              <w:b/>
              <w:szCs w:val="32"/>
            </w:rPr>
            <w:fldChar w:fldCharType="end"/>
          </w:r>
          <w:r>
            <w:rPr>
              <w:rFonts w:ascii="Times New Roman" w:hAnsi="Times New Roman" w:eastAsia="宋体"/>
              <w:b/>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"_Toc24038" </w:instrText>
          </w:r>
          <w:r>
            <w:fldChar w:fldCharType="separate"/>
          </w:r>
          <w:r>
            <w:rPr>
              <w:rFonts w:hint="eastAsia" w:eastAsia="仿宋"/>
              <w:sz w:val="28"/>
              <w:szCs w:val="32"/>
            </w:rPr>
            <w:t>一、收入支出决算总表</w:t>
          </w:r>
          <w:r>
            <w:rPr>
              <w:rFonts w:eastAsia="仿宋"/>
              <w:sz w:val="28"/>
              <w:szCs w:val="32"/>
            </w:rPr>
            <w:tab/>
          </w:r>
          <w:r>
            <w:rPr>
              <w:rFonts w:eastAsia="仿宋"/>
              <w:sz w:val="28"/>
              <w:szCs w:val="32"/>
            </w:rPr>
            <w:fldChar w:fldCharType="begin"/>
          </w:r>
          <w:r>
            <w:rPr>
              <w:rFonts w:eastAsia="仿宋"/>
              <w:sz w:val="28"/>
              <w:szCs w:val="32"/>
            </w:rPr>
            <w:instrText xml:space="preserve"> PAGEREF _Toc24038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"_Toc28659" </w:instrText>
          </w:r>
          <w:r>
            <w:fldChar w:fldCharType="separate"/>
          </w:r>
          <w:r>
            <w:rPr>
              <w:rFonts w:hint="eastAsia" w:eastAsia="仿宋"/>
              <w:sz w:val="28"/>
              <w:szCs w:val="32"/>
            </w:rPr>
            <w:t>二、收入决算表</w:t>
          </w:r>
          <w:r>
            <w:rPr>
              <w:rFonts w:eastAsia="仿宋"/>
              <w:sz w:val="28"/>
              <w:szCs w:val="32"/>
            </w:rPr>
            <w:tab/>
          </w:r>
          <w:r>
            <w:rPr>
              <w:rFonts w:eastAsia="仿宋"/>
              <w:sz w:val="28"/>
              <w:szCs w:val="32"/>
            </w:rPr>
            <w:fldChar w:fldCharType="begin"/>
          </w:r>
          <w:r>
            <w:rPr>
              <w:rFonts w:eastAsia="仿宋"/>
              <w:sz w:val="28"/>
              <w:szCs w:val="32"/>
            </w:rPr>
            <w:instrText xml:space="preserve"> PAGEREF _Toc28659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"_Toc8206" </w:instrText>
          </w:r>
          <w:r>
            <w:fldChar w:fldCharType="separate"/>
          </w:r>
          <w:r>
            <w:rPr>
              <w:rFonts w:hint="eastAsia" w:eastAsia="仿宋"/>
              <w:sz w:val="28"/>
              <w:szCs w:val="32"/>
            </w:rPr>
            <w:t>三、支出决算表</w:t>
          </w:r>
          <w:r>
            <w:rPr>
              <w:rFonts w:eastAsia="仿宋"/>
              <w:sz w:val="28"/>
              <w:szCs w:val="32"/>
            </w:rPr>
            <w:tab/>
          </w:r>
          <w:r>
            <w:rPr>
              <w:rFonts w:eastAsia="仿宋"/>
              <w:sz w:val="28"/>
              <w:szCs w:val="32"/>
            </w:rPr>
            <w:fldChar w:fldCharType="begin"/>
          </w:r>
          <w:r>
            <w:rPr>
              <w:rFonts w:eastAsia="仿宋"/>
              <w:sz w:val="28"/>
              <w:szCs w:val="32"/>
            </w:rPr>
            <w:instrText xml:space="preserve"> PAGEREF _Toc8206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"_Toc20460" </w:instrText>
          </w:r>
          <w:r>
            <w:fldChar w:fldCharType="separate"/>
          </w:r>
          <w:r>
            <w:rPr>
              <w:rFonts w:hint="eastAsia" w:eastAsia="仿宋"/>
              <w:sz w:val="28"/>
              <w:szCs w:val="32"/>
            </w:rPr>
            <w:t>四、财政拨款收入支出决算总表</w:t>
          </w:r>
          <w:r>
            <w:rPr>
              <w:rFonts w:eastAsia="仿宋"/>
              <w:sz w:val="28"/>
              <w:szCs w:val="32"/>
            </w:rPr>
            <w:tab/>
          </w:r>
          <w:r>
            <w:rPr>
              <w:rFonts w:eastAsia="仿宋"/>
              <w:sz w:val="28"/>
              <w:szCs w:val="32"/>
            </w:rPr>
            <w:fldChar w:fldCharType="begin"/>
          </w:r>
          <w:r>
            <w:rPr>
              <w:rFonts w:eastAsia="仿宋"/>
              <w:sz w:val="28"/>
              <w:szCs w:val="32"/>
            </w:rPr>
            <w:instrText xml:space="preserve"> PAGEREF _Toc20460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"_Toc26354" </w:instrText>
          </w:r>
          <w:r>
            <w:fldChar w:fldCharType="separate"/>
          </w:r>
          <w:r>
            <w:rPr>
              <w:rFonts w:hint="eastAsia" w:eastAsia="仿宋"/>
              <w:sz w:val="28"/>
              <w:szCs w:val="32"/>
            </w:rPr>
            <w:t>五、财政拨款支出决算明细表</w:t>
          </w:r>
          <w:r>
            <w:rPr>
              <w:rFonts w:eastAsia="仿宋"/>
              <w:sz w:val="28"/>
              <w:szCs w:val="32"/>
            </w:rPr>
            <w:tab/>
          </w:r>
          <w:r>
            <w:rPr>
              <w:rFonts w:eastAsia="仿宋"/>
              <w:sz w:val="28"/>
              <w:szCs w:val="32"/>
            </w:rPr>
            <w:fldChar w:fldCharType="begin"/>
          </w:r>
          <w:r>
            <w:rPr>
              <w:rFonts w:eastAsia="仿宋"/>
              <w:sz w:val="28"/>
              <w:szCs w:val="32"/>
            </w:rPr>
            <w:instrText xml:space="preserve"> PAGEREF _Toc26354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"_Toc14449" </w:instrText>
          </w:r>
          <w:r>
            <w:fldChar w:fldCharType="separate"/>
          </w:r>
          <w:r>
            <w:rPr>
              <w:rFonts w:hint="eastAsia" w:eastAsia="仿宋"/>
              <w:sz w:val="28"/>
              <w:szCs w:val="32"/>
            </w:rPr>
            <w:t>六、一般公共预算财政拨款支出决算表</w:t>
          </w:r>
          <w:r>
            <w:rPr>
              <w:rFonts w:eastAsia="仿宋"/>
              <w:sz w:val="28"/>
              <w:szCs w:val="32"/>
            </w:rPr>
            <w:tab/>
          </w:r>
          <w:r>
            <w:rPr>
              <w:rFonts w:eastAsia="仿宋"/>
              <w:sz w:val="28"/>
              <w:szCs w:val="32"/>
            </w:rPr>
            <w:fldChar w:fldCharType="begin"/>
          </w:r>
          <w:r>
            <w:rPr>
              <w:rFonts w:eastAsia="仿宋"/>
              <w:sz w:val="28"/>
              <w:szCs w:val="32"/>
            </w:rPr>
            <w:instrText xml:space="preserve"> PAGEREF _Toc14449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"_Toc8434" </w:instrText>
          </w:r>
          <w:r>
            <w:fldChar w:fldCharType="separate"/>
          </w:r>
          <w:r>
            <w:rPr>
              <w:rFonts w:hint="eastAsia" w:eastAsia="仿宋"/>
              <w:sz w:val="28"/>
              <w:szCs w:val="32"/>
            </w:rPr>
            <w:t>七、一般公共预算财政拨款支出决算明细表</w:t>
          </w:r>
          <w:r>
            <w:rPr>
              <w:rFonts w:eastAsia="仿宋"/>
              <w:sz w:val="28"/>
              <w:szCs w:val="32"/>
            </w:rPr>
            <w:tab/>
          </w:r>
          <w:r>
            <w:rPr>
              <w:rFonts w:eastAsia="仿宋"/>
              <w:sz w:val="28"/>
              <w:szCs w:val="32"/>
            </w:rPr>
            <w:fldChar w:fldCharType="begin"/>
          </w:r>
          <w:r>
            <w:rPr>
              <w:rFonts w:eastAsia="仿宋"/>
              <w:sz w:val="28"/>
              <w:szCs w:val="32"/>
            </w:rPr>
            <w:instrText xml:space="preserve"> PAGEREF _Toc8434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"_Toc11875" </w:instrText>
          </w:r>
          <w:r>
            <w:fldChar w:fldCharType="separate"/>
          </w:r>
          <w:r>
            <w:rPr>
              <w:rFonts w:hint="eastAsia" w:eastAsia="仿宋"/>
              <w:sz w:val="28"/>
              <w:szCs w:val="32"/>
            </w:rPr>
            <w:t>八、一般公共预算财政拨款基本支出决算表</w:t>
          </w:r>
          <w:r>
            <w:rPr>
              <w:rFonts w:eastAsia="仿宋"/>
              <w:sz w:val="28"/>
              <w:szCs w:val="32"/>
            </w:rPr>
            <w:tab/>
          </w:r>
          <w:r>
            <w:rPr>
              <w:rFonts w:eastAsia="仿宋"/>
              <w:sz w:val="28"/>
              <w:szCs w:val="32"/>
            </w:rPr>
            <w:fldChar w:fldCharType="begin"/>
          </w:r>
          <w:r>
            <w:rPr>
              <w:rFonts w:eastAsia="仿宋"/>
              <w:sz w:val="28"/>
              <w:szCs w:val="32"/>
            </w:rPr>
            <w:instrText xml:space="preserve"> PAGEREF _Toc11875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"_Toc22371" </w:instrText>
          </w:r>
          <w:r>
            <w:fldChar w:fldCharType="separate"/>
          </w:r>
          <w:r>
            <w:rPr>
              <w:rFonts w:hint="eastAsia" w:eastAsia="仿宋"/>
              <w:sz w:val="28"/>
              <w:szCs w:val="32"/>
            </w:rPr>
            <w:t>九、一般公共预算财政拨款项目支出决算表</w:t>
          </w:r>
          <w:r>
            <w:rPr>
              <w:rFonts w:eastAsia="仿宋"/>
              <w:sz w:val="28"/>
              <w:szCs w:val="32"/>
            </w:rPr>
            <w:tab/>
          </w:r>
          <w:r>
            <w:rPr>
              <w:rFonts w:eastAsia="仿宋"/>
              <w:sz w:val="28"/>
              <w:szCs w:val="32"/>
            </w:rPr>
            <w:fldChar w:fldCharType="begin"/>
          </w:r>
          <w:r>
            <w:rPr>
              <w:rFonts w:eastAsia="仿宋"/>
              <w:sz w:val="28"/>
              <w:szCs w:val="32"/>
            </w:rPr>
            <w:instrText xml:space="preserve"> PAGEREF _Toc22371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"_Toc13783" </w:instrText>
          </w:r>
          <w:r>
            <w:fldChar w:fldCharType="separate"/>
          </w:r>
          <w:r>
            <w:rPr>
              <w:rFonts w:hint="eastAsia" w:eastAsia="仿宋"/>
              <w:sz w:val="28"/>
              <w:szCs w:val="32"/>
            </w:rPr>
            <w:t>十、政府性基金预算财政拨款收入支出决算表</w:t>
          </w:r>
          <w:r>
            <w:rPr>
              <w:rFonts w:eastAsia="仿宋"/>
              <w:sz w:val="28"/>
              <w:szCs w:val="32"/>
            </w:rPr>
            <w:tab/>
          </w:r>
          <w:r>
            <w:rPr>
              <w:rFonts w:eastAsia="仿宋"/>
              <w:sz w:val="28"/>
              <w:szCs w:val="32"/>
            </w:rPr>
            <w:fldChar w:fldCharType="begin"/>
          </w:r>
          <w:r>
            <w:rPr>
              <w:rFonts w:eastAsia="仿宋"/>
              <w:sz w:val="28"/>
              <w:szCs w:val="32"/>
            </w:rPr>
            <w:instrText xml:space="preserve"> PAGEREF _Toc13783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"_Toc26069" </w:instrText>
          </w:r>
          <w:r>
            <w:fldChar w:fldCharType="separate"/>
          </w:r>
          <w:r>
            <w:rPr>
              <w:rFonts w:hint="eastAsia" w:eastAsia="仿宋"/>
              <w:sz w:val="28"/>
              <w:szCs w:val="32"/>
            </w:rPr>
            <w:t>十一、国有资本经营预算财政拨款收入支出决算表</w:t>
          </w:r>
          <w:r>
            <w:rPr>
              <w:rFonts w:eastAsia="仿宋"/>
              <w:sz w:val="28"/>
              <w:szCs w:val="32"/>
            </w:rPr>
            <w:tab/>
          </w:r>
          <w:r>
            <w:rPr>
              <w:rFonts w:eastAsia="仿宋"/>
              <w:sz w:val="28"/>
              <w:szCs w:val="32"/>
            </w:rPr>
            <w:fldChar w:fldCharType="begin"/>
          </w:r>
          <w:r>
            <w:rPr>
              <w:rFonts w:eastAsia="仿宋"/>
              <w:sz w:val="28"/>
              <w:szCs w:val="32"/>
            </w:rPr>
            <w:instrText xml:space="preserve"> PAGEREF _Toc26069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rPr>
              <w:rFonts w:eastAsia="仿宋"/>
              <w:sz w:val="28"/>
              <w:szCs w:val="32"/>
            </w:rPr>
          </w:pPr>
          <w:r>
            <w:fldChar w:fldCharType="begin"/>
          </w:r>
          <w:r>
            <w:instrText xml:space="preserve"> HYPERLINK \l "_Toc11453" </w:instrText>
          </w:r>
          <w:r>
            <w:fldChar w:fldCharType="separate"/>
          </w:r>
          <w:r>
            <w:rPr>
              <w:rFonts w:hint="eastAsia" w:eastAsia="仿宋"/>
              <w:sz w:val="28"/>
              <w:szCs w:val="32"/>
            </w:rPr>
            <w:t>十二、国有资本经营预算财政拨款支出决算表</w:t>
          </w:r>
          <w:r>
            <w:rPr>
              <w:rFonts w:eastAsia="仿宋"/>
              <w:sz w:val="28"/>
              <w:szCs w:val="32"/>
            </w:rPr>
            <w:tab/>
          </w:r>
          <w:r>
            <w:rPr>
              <w:rFonts w:eastAsia="仿宋"/>
              <w:sz w:val="28"/>
              <w:szCs w:val="32"/>
            </w:rPr>
            <w:fldChar w:fldCharType="begin"/>
          </w:r>
          <w:r>
            <w:rPr>
              <w:rFonts w:eastAsia="仿宋"/>
              <w:sz w:val="28"/>
              <w:szCs w:val="32"/>
            </w:rPr>
            <w:instrText xml:space="preserve"> PAGEREF _Toc11453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pStyle w:val="12"/>
            <w:tabs>
              <w:tab w:val="right" w:leader="dot" w:pos="8306"/>
              <w:tab w:val="clear" w:pos="8296"/>
            </w:tabs>
          </w:pPr>
          <w:r>
            <w:fldChar w:fldCharType="begin"/>
          </w:r>
          <w:r>
            <w:instrText xml:space="preserve"> HYPERLINK \l "_Toc26762" </w:instrText>
          </w:r>
          <w:r>
            <w:fldChar w:fldCharType="separate"/>
          </w:r>
          <w:r>
            <w:rPr>
              <w:rFonts w:hint="eastAsia" w:eastAsia="仿宋"/>
              <w:sz w:val="28"/>
              <w:szCs w:val="32"/>
            </w:rPr>
            <w:t>十三、财政拨款“三公”经费支出决算表</w:t>
          </w:r>
          <w:r>
            <w:rPr>
              <w:rFonts w:eastAsia="仿宋"/>
              <w:sz w:val="28"/>
              <w:szCs w:val="32"/>
            </w:rPr>
            <w:tab/>
          </w:r>
          <w:r>
            <w:rPr>
              <w:rFonts w:eastAsia="仿宋"/>
              <w:sz w:val="28"/>
              <w:szCs w:val="32"/>
            </w:rPr>
            <w:fldChar w:fldCharType="begin"/>
          </w:r>
          <w:r>
            <w:rPr>
              <w:rFonts w:eastAsia="仿宋"/>
              <w:sz w:val="28"/>
              <w:szCs w:val="32"/>
            </w:rPr>
            <w:instrText xml:space="preserve"> PAGEREF _Toc26762 \h </w:instrText>
          </w:r>
          <w:r>
            <w:rPr>
              <w:rFonts w:eastAsia="仿宋"/>
              <w:sz w:val="28"/>
              <w:szCs w:val="32"/>
            </w:rPr>
            <w:fldChar w:fldCharType="separate"/>
          </w:r>
          <w:r>
            <w:rPr>
              <w:rFonts w:eastAsia="仿宋"/>
              <w:sz w:val="28"/>
              <w:szCs w:val="32"/>
            </w:rPr>
            <w:t>17</w:t>
          </w:r>
          <w:r>
            <w:rPr>
              <w:rFonts w:eastAsia="仿宋"/>
              <w:sz w:val="28"/>
              <w:szCs w:val="32"/>
            </w:rPr>
            <w:fldChar w:fldCharType="end"/>
          </w:r>
          <w:r>
            <w:rPr>
              <w:rFonts w:eastAsia="仿宋"/>
              <w:sz w:val="28"/>
              <w:szCs w:val="32"/>
            </w:rPr>
            <w:fldChar w:fldCharType="end"/>
          </w:r>
        </w:p>
        <w:p>
          <w:pPr>
            <w:jc w:val="center"/>
            <w:rPr>
              <w:b/>
            </w:rPr>
          </w:pPr>
          <w:r>
            <w:rPr>
              <w:rFonts w:hint="eastAsia"/>
              <w:b/>
            </w:rPr>
            <w:fldChar w:fldCharType="end"/>
          </w:r>
        </w:p>
      </w:sdtContent>
    </w:sdt>
    <w:p>
      <w:pPr>
        <w:pStyle w:val="21"/>
      </w:pPr>
    </w:p>
    <w:p>
      <w:pPr>
        <w:pStyle w:val="3"/>
        <w:jc w:val="center"/>
        <w:rPr>
          <w:rFonts w:ascii="黑体" w:hAnsi="黑体" w:eastAsia="黑体"/>
          <w:b w:val="0"/>
        </w:rPr>
      </w:pPr>
      <w:bookmarkStart w:id="13" w:name="_Toc32387"/>
      <w:bookmarkStart w:id="14" w:name="_Toc15377196"/>
      <w:bookmarkStart w:id="15" w:name="_Toc15396599"/>
      <w:bookmarkStart w:id="16" w:name="_Toc174107196"/>
    </w:p>
    <w:p>
      <w:pPr>
        <w:pStyle w:val="3"/>
        <w:jc w:val="center"/>
        <w:rPr>
          <w:rFonts w:ascii="黑体" w:hAnsi="黑体" w:eastAsia="黑体"/>
          <w:b w:val="0"/>
        </w:rPr>
      </w:pPr>
    </w:p>
    <w:p>
      <w:pPr>
        <w:pStyle w:val="3"/>
        <w:rPr>
          <w:rFonts w:ascii="黑体" w:hAnsi="黑体" w:eastAsia="黑体"/>
          <w:b w:val="0"/>
        </w:rPr>
      </w:pPr>
    </w:p>
    <w:p/>
    <w:p>
      <w:pPr>
        <w:pStyle w:val="3"/>
        <w:jc w:val="center"/>
        <w:rPr>
          <w:rFonts w:ascii="黑体" w:hAnsi="黑体" w:eastAsia="黑体"/>
          <w:b w:val="0"/>
          <w:bCs w:val="0"/>
        </w:rPr>
      </w:pPr>
      <w:r>
        <w:rPr>
          <w:rFonts w:hint="eastAsia" w:ascii="黑体" w:hAnsi="黑体" w:eastAsia="黑体"/>
          <w:b w:val="0"/>
        </w:rPr>
        <w:t>第一部分 单位</w:t>
      </w:r>
      <w:r>
        <w:rPr>
          <w:rStyle w:val="18"/>
          <w:rFonts w:hint="eastAsia" w:ascii="黑体" w:hAnsi="黑体" w:eastAsia="黑体"/>
          <w:b w:val="0"/>
          <w:bCs w:val="0"/>
        </w:rPr>
        <w:t>概况</w:t>
      </w:r>
      <w:bookmarkEnd w:id="13"/>
      <w:bookmarkEnd w:id="14"/>
      <w:bookmarkEnd w:id="15"/>
      <w:bookmarkEnd w:id="16"/>
    </w:p>
    <w:p>
      <w:pPr>
        <w:pStyle w:val="4"/>
        <w:numPr>
          <w:ilvl w:val="0"/>
          <w:numId w:val="1"/>
        </w:numPr>
        <w:spacing w:before="0" w:after="0"/>
        <w:rPr>
          <w:rStyle w:val="19"/>
          <w:rFonts w:ascii="黑体" w:hAnsi="黑体" w:eastAsia="黑体"/>
          <w:b w:val="0"/>
          <w:bCs w:val="0"/>
        </w:rPr>
      </w:pPr>
      <w:bookmarkStart w:id="17" w:name="_Toc19766"/>
      <w:bookmarkStart w:id="18" w:name="_Toc174107197"/>
      <w:bookmarkStart w:id="19" w:name="_Toc15377197"/>
      <w:bookmarkStart w:id="20" w:name="_Toc15396600"/>
      <w:r>
        <w:rPr>
          <w:rStyle w:val="19"/>
          <w:rFonts w:hint="eastAsia" w:ascii="黑体" w:hAnsi="黑体" w:eastAsia="黑体"/>
          <w:b w:val="0"/>
          <w:bCs w:val="0"/>
        </w:rPr>
        <w:t>主要职责</w:t>
      </w:r>
      <w:bookmarkEnd w:id="17"/>
      <w:bookmarkEnd w:id="18"/>
    </w:p>
    <w:p>
      <w:pPr>
        <w:spacing w:line="520" w:lineRule="exact"/>
        <w:ind w:firstLine="640" w:firstLineChars="200"/>
        <w:jc w:val="left"/>
        <w:rPr>
          <w:rStyle w:val="19"/>
          <w:rFonts w:ascii="仿宋" w:hAnsi="仿宋" w:eastAsia="仿宋" w:cs="仿宋"/>
          <w:b w:val="0"/>
        </w:rPr>
      </w:pPr>
      <w:bookmarkStart w:id="21" w:name="_Toc31431"/>
      <w:bookmarkStart w:id="22" w:name="_Toc174107198"/>
      <w:bookmarkStart w:id="23" w:name="_Toc5687"/>
      <w:bookmarkStart w:id="24" w:name="_Toc31671"/>
      <w:r>
        <w:rPr>
          <w:rStyle w:val="19"/>
          <w:rFonts w:hint="eastAsia" w:ascii="仿宋" w:hAnsi="仿宋" w:eastAsia="仿宋" w:cs="仿宋"/>
          <w:b w:val="0"/>
        </w:rPr>
        <w:t>1.全面贯彻国家职业教育方针，坚持为社会主义现代化建设服务，就业与升学并重，努力培养和造就适应市场需要</w:t>
      </w:r>
      <w:bookmarkEnd w:id="21"/>
      <w:r>
        <w:rPr>
          <w:rStyle w:val="19"/>
          <w:rFonts w:hint="eastAsia" w:ascii="仿宋" w:hAnsi="仿宋" w:eastAsia="仿宋" w:cs="仿宋"/>
          <w:b w:val="0"/>
        </w:rPr>
        <w:t>的有一技之长的专业人才。</w:t>
      </w:r>
      <w:bookmarkEnd w:id="22"/>
    </w:p>
    <w:bookmarkEnd w:id="23"/>
    <w:bookmarkEnd w:id="24"/>
    <w:p>
      <w:pPr>
        <w:spacing w:line="520" w:lineRule="exact"/>
        <w:ind w:firstLine="640" w:firstLineChars="200"/>
        <w:jc w:val="left"/>
        <w:rPr>
          <w:rStyle w:val="19"/>
          <w:rFonts w:ascii="仿宋" w:hAnsi="仿宋" w:eastAsia="仿宋" w:cs="仿宋"/>
          <w:b w:val="0"/>
        </w:rPr>
      </w:pPr>
      <w:bookmarkStart w:id="25" w:name="_Toc174107199"/>
      <w:bookmarkStart w:id="26" w:name="_Toc29585"/>
      <w:bookmarkStart w:id="27" w:name="_Toc32070"/>
      <w:bookmarkStart w:id="28" w:name="_Toc25050"/>
      <w:r>
        <w:rPr>
          <w:rStyle w:val="19"/>
          <w:rFonts w:hint="eastAsia" w:ascii="仿宋" w:hAnsi="仿宋" w:eastAsia="仿宋" w:cs="仿宋"/>
          <w:b w:val="0"/>
        </w:rPr>
        <w:t>2.以立德树人为根本任务，加强学生思想道德和职业道德教育，加强新技术教育和技能训练，为学生全面成才、持续发展奠定扎实基础。</w:t>
      </w:r>
      <w:bookmarkEnd w:id="25"/>
    </w:p>
    <w:bookmarkEnd w:id="26"/>
    <w:bookmarkEnd w:id="27"/>
    <w:bookmarkEnd w:id="28"/>
    <w:p>
      <w:pPr>
        <w:spacing w:line="520" w:lineRule="exact"/>
        <w:ind w:firstLine="640" w:firstLineChars="200"/>
        <w:jc w:val="left"/>
        <w:rPr>
          <w:rStyle w:val="19"/>
          <w:rFonts w:ascii="仿宋" w:hAnsi="仿宋" w:eastAsia="仿宋" w:cs="仿宋"/>
          <w:b w:val="0"/>
        </w:rPr>
      </w:pPr>
      <w:bookmarkStart w:id="29" w:name="_Toc174107200"/>
      <w:bookmarkStart w:id="30" w:name="_Toc17712"/>
      <w:bookmarkStart w:id="31" w:name="_Toc31024"/>
      <w:bookmarkStart w:id="32" w:name="_Toc22160"/>
      <w:r>
        <w:rPr>
          <w:rStyle w:val="19"/>
          <w:rFonts w:hint="eastAsia" w:ascii="仿宋" w:hAnsi="仿宋" w:eastAsia="仿宋" w:cs="仿宋"/>
          <w:b w:val="0"/>
        </w:rPr>
        <w:t>3.深化教育教学改革，坚持教学和生产相结合、教学和科学技术的推广服务相结合，重视基础知识和专业知识的理实一体化教学模式建设。</w:t>
      </w:r>
      <w:bookmarkEnd w:id="29"/>
    </w:p>
    <w:bookmarkEnd w:id="30"/>
    <w:bookmarkEnd w:id="31"/>
    <w:bookmarkEnd w:id="32"/>
    <w:p>
      <w:pPr>
        <w:spacing w:line="520" w:lineRule="exact"/>
        <w:ind w:firstLine="640" w:firstLineChars="200"/>
        <w:jc w:val="left"/>
        <w:rPr>
          <w:rStyle w:val="19"/>
          <w:rFonts w:ascii="仿宋" w:hAnsi="仿宋" w:eastAsia="仿宋" w:cs="仿宋"/>
          <w:b w:val="0"/>
        </w:rPr>
      </w:pPr>
      <w:bookmarkStart w:id="33" w:name="_Toc174107201"/>
      <w:bookmarkStart w:id="34" w:name="_Toc5195"/>
      <w:bookmarkStart w:id="35" w:name="_Toc14818"/>
      <w:bookmarkStart w:id="36" w:name="_Toc6272"/>
      <w:r>
        <w:rPr>
          <w:rStyle w:val="19"/>
          <w:rFonts w:hint="eastAsia" w:ascii="仿宋" w:hAnsi="仿宋" w:eastAsia="仿宋" w:cs="仿宋"/>
          <w:b w:val="0"/>
        </w:rPr>
        <w:t>4.培育特色专业和重点专业，及时调整专业设置，形成适应区域经济发展的专业特色和优势。</w:t>
      </w:r>
      <w:bookmarkEnd w:id="33"/>
    </w:p>
    <w:bookmarkEnd w:id="34"/>
    <w:bookmarkEnd w:id="35"/>
    <w:bookmarkEnd w:id="36"/>
    <w:p>
      <w:pPr>
        <w:spacing w:line="520" w:lineRule="exact"/>
        <w:ind w:firstLine="640" w:firstLineChars="200"/>
        <w:jc w:val="left"/>
        <w:rPr>
          <w:rStyle w:val="19"/>
          <w:rFonts w:ascii="仿宋" w:hAnsi="仿宋" w:eastAsia="仿宋" w:cs="仿宋"/>
          <w:b w:val="0"/>
        </w:rPr>
      </w:pPr>
      <w:bookmarkStart w:id="37" w:name="_Toc174107202"/>
      <w:bookmarkStart w:id="38" w:name="_Toc13122"/>
      <w:bookmarkStart w:id="39" w:name="_Toc17246"/>
      <w:bookmarkStart w:id="40" w:name="_Toc29239"/>
      <w:r>
        <w:rPr>
          <w:rStyle w:val="19"/>
          <w:rFonts w:hint="eastAsia" w:ascii="仿宋" w:hAnsi="仿宋" w:eastAsia="仿宋" w:cs="仿宋"/>
          <w:b w:val="0"/>
        </w:rPr>
        <w:t>5.加强校企合作，发挥校企联合办学的整体优势。主动适应企业用人需求，努力提高人才培养质量，使毕业生素质与企业的需求相适应。鼓励教师到企业实践锻炼，聘任优秀技术人才到学校兼课，不断提高“双师型”教师队伍建设。</w:t>
      </w:r>
      <w:bookmarkEnd w:id="37"/>
    </w:p>
    <w:bookmarkEnd w:id="38"/>
    <w:bookmarkEnd w:id="39"/>
    <w:bookmarkEnd w:id="40"/>
    <w:p>
      <w:pPr>
        <w:spacing w:line="520" w:lineRule="exact"/>
        <w:ind w:firstLine="640" w:firstLineChars="200"/>
        <w:jc w:val="left"/>
        <w:rPr>
          <w:rStyle w:val="19"/>
          <w:rFonts w:ascii="仿宋" w:hAnsi="仿宋" w:eastAsia="仿宋" w:cs="仿宋"/>
          <w:b w:val="0"/>
        </w:rPr>
      </w:pPr>
      <w:bookmarkStart w:id="41" w:name="_Toc174107203"/>
      <w:bookmarkStart w:id="42" w:name="_Toc25887"/>
      <w:bookmarkStart w:id="43" w:name="_Toc11180"/>
      <w:r>
        <w:rPr>
          <w:rStyle w:val="19"/>
          <w:rFonts w:hint="eastAsia" w:ascii="仿宋" w:hAnsi="仿宋" w:eastAsia="仿宋" w:cs="仿宋"/>
          <w:b w:val="0"/>
        </w:rPr>
        <w:t>6.充分利用职业教育资源，坚持学历教育与职业培训并重，实行灵活的办学模式。多层次、多形式地开展文化、科技、公民道德和职业技术等方面的教育培训，努力为创建学习型社会发挥积极作用。</w:t>
      </w:r>
      <w:bookmarkEnd w:id="41"/>
    </w:p>
    <w:bookmarkEnd w:id="42"/>
    <w:bookmarkEnd w:id="43"/>
    <w:p>
      <w:pPr>
        <w:pStyle w:val="4"/>
        <w:spacing w:before="0" w:after="0"/>
        <w:rPr>
          <w:rFonts w:ascii="黑体" w:hAnsi="黑体" w:eastAsia="黑体"/>
          <w:b w:val="0"/>
        </w:rPr>
      </w:pPr>
      <w:bookmarkStart w:id="44" w:name="_Toc174107204"/>
      <w:bookmarkStart w:id="45" w:name="_Toc8811"/>
      <w:r>
        <w:rPr>
          <w:rFonts w:hint="eastAsia" w:ascii="黑体" w:hAnsi="黑体" w:eastAsia="黑体"/>
          <w:b w:val="0"/>
        </w:rPr>
        <w:t>二、机构设置</w:t>
      </w:r>
      <w:bookmarkEnd w:id="44"/>
      <w:bookmarkEnd w:id="45"/>
    </w:p>
    <w:p>
      <w:pPr>
        <w:spacing w:line="520" w:lineRule="exact"/>
        <w:ind w:firstLine="640" w:firstLineChars="200"/>
        <w:rPr>
          <w:rFonts w:ascii="仿宋" w:hAnsi="仿宋" w:eastAsia="仿宋"/>
          <w:sz w:val="32"/>
          <w:szCs w:val="32"/>
        </w:rPr>
      </w:pPr>
      <w:r>
        <w:rPr>
          <w:rFonts w:hint="eastAsia" w:ascii="仿宋" w:hAnsi="仿宋" w:eastAsia="仿宋"/>
          <w:sz w:val="32"/>
          <w:szCs w:val="32"/>
        </w:rPr>
        <w:t>四川省广元市职业高级中学校直属广元市教育局，为二级预算单位。</w:t>
      </w:r>
    </w:p>
    <w:bookmarkEnd w:id="19"/>
    <w:bookmarkEnd w:id="20"/>
    <w:p>
      <w:pPr>
        <w:widowControl/>
        <w:jc w:val="left"/>
        <w:rPr>
          <w:rFonts w:ascii="仿宋" w:hAnsi="仿宋" w:eastAsia="仿宋"/>
          <w:kern w:val="0"/>
          <w:sz w:val="32"/>
          <w:szCs w:val="32"/>
        </w:rPr>
      </w:pPr>
    </w:p>
    <w:p>
      <w:pPr>
        <w:pStyle w:val="3"/>
        <w:ind w:right="440"/>
        <w:jc w:val="center"/>
        <w:rPr>
          <w:rStyle w:val="18"/>
          <w:rFonts w:ascii="黑体" w:hAnsi="黑体" w:eastAsia="黑体"/>
          <w:b w:val="0"/>
          <w:bCs/>
        </w:rPr>
      </w:pPr>
      <w:bookmarkStart w:id="46" w:name="_Toc174107205"/>
      <w:bookmarkStart w:id="47" w:name="_Toc15377204"/>
      <w:bookmarkStart w:id="48" w:name="_Toc15396602"/>
      <w:bookmarkStart w:id="49" w:name="_Toc11082"/>
      <w:r>
        <w:rPr>
          <w:rFonts w:hint="eastAsia" w:ascii="黑体" w:hAnsi="黑体" w:eastAsia="黑体"/>
          <w:b w:val="0"/>
        </w:rPr>
        <w:t>第二部分 2023年度</w:t>
      </w:r>
      <w:r>
        <w:rPr>
          <w:rStyle w:val="18"/>
          <w:rFonts w:hint="eastAsia" w:ascii="黑体" w:hAnsi="黑体" w:eastAsia="黑体"/>
          <w:b w:val="0"/>
          <w:bCs/>
        </w:rPr>
        <w:t>单位决算情况说明</w:t>
      </w:r>
      <w:bookmarkEnd w:id="46"/>
      <w:bookmarkEnd w:id="47"/>
      <w:bookmarkEnd w:id="48"/>
      <w:bookmarkEnd w:id="49"/>
    </w:p>
    <w:p/>
    <w:p>
      <w:pPr>
        <w:pStyle w:val="29"/>
        <w:numPr>
          <w:ilvl w:val="0"/>
          <w:numId w:val="2"/>
        </w:numPr>
        <w:spacing w:line="600" w:lineRule="exact"/>
        <w:ind w:firstLineChars="0"/>
        <w:outlineLvl w:val="1"/>
        <w:rPr>
          <w:rStyle w:val="19"/>
          <w:rFonts w:ascii="黑体" w:hAnsi="黑体" w:eastAsia="黑体"/>
          <w:b w:val="0"/>
        </w:rPr>
      </w:pPr>
      <w:bookmarkStart w:id="50" w:name="_Toc15396603"/>
      <w:bookmarkStart w:id="51" w:name="_Toc5399"/>
      <w:bookmarkStart w:id="52" w:name="_Toc15377205"/>
      <w:bookmarkStart w:id="53" w:name="_Toc174107206"/>
      <w:r>
        <w:rPr>
          <w:rFonts w:hint="eastAsia" w:ascii="黑体" w:hAnsi="黑体" w:eastAsia="黑体"/>
          <w:sz w:val="32"/>
          <w:szCs w:val="32"/>
        </w:rPr>
        <w:t>收</w:t>
      </w:r>
      <w:r>
        <w:rPr>
          <w:rStyle w:val="19"/>
          <w:rFonts w:hint="eastAsia" w:ascii="黑体" w:hAnsi="黑体" w:eastAsia="黑体"/>
          <w:b w:val="0"/>
        </w:rPr>
        <w:t>入支出决算总体情况说明</w:t>
      </w:r>
      <w:bookmarkEnd w:id="50"/>
      <w:bookmarkEnd w:id="51"/>
      <w:bookmarkEnd w:id="52"/>
      <w:bookmarkEnd w:id="53"/>
    </w:p>
    <w:p>
      <w:pPr>
        <w:spacing w:line="600" w:lineRule="exact"/>
        <w:ind w:firstLine="640" w:firstLineChars="200"/>
        <w:rPr>
          <w:rFonts w:ascii="仿宋" w:hAnsi="仿宋" w:eastAsia="仿宋"/>
          <w:sz w:val="32"/>
          <w:szCs w:val="32"/>
        </w:rPr>
      </w:pPr>
      <w:r>
        <w:rPr>
          <w:rFonts w:hint="eastAsia" w:ascii="仿宋" w:hAnsi="仿宋" w:eastAsia="仿宋"/>
          <w:sz w:val="32"/>
          <w:szCs w:val="32"/>
        </w:rPr>
        <w:t>2023年度收、支总计均为7019.34万元。与2022年度相比，收、支总计各增加464.88万元，增长7.</w:t>
      </w:r>
      <w:r>
        <w:rPr>
          <w:rFonts w:hint="eastAsia" w:ascii="仿宋" w:hAnsi="仿宋" w:eastAsia="仿宋"/>
          <w:sz w:val="32"/>
          <w:szCs w:val="32"/>
          <w:lang w:val="en-US" w:eastAsia="zh-CN"/>
        </w:rPr>
        <w:t>1</w:t>
      </w:r>
      <w:r>
        <w:rPr>
          <w:rFonts w:ascii="仿宋" w:hAnsi="仿宋" w:eastAsia="仿宋"/>
          <w:sz w:val="32"/>
          <w:szCs w:val="32"/>
        </w:rPr>
        <w:t>%</w:t>
      </w:r>
      <w:r>
        <w:rPr>
          <w:rFonts w:hint="eastAsia" w:ascii="仿宋" w:hAnsi="仿宋" w:eastAsia="仿宋"/>
          <w:sz w:val="32"/>
          <w:szCs w:val="32"/>
        </w:rPr>
        <w:t>。主要变动原因是项目支出增加。</w:t>
      </w:r>
    </w:p>
    <w:p>
      <w:pPr>
        <w:pStyle w:val="21"/>
        <w:jc w:val="center"/>
        <w:outlineLvl w:val="9"/>
      </w:pPr>
      <w:r>
        <w:rPr>
          <w:rFonts w:hint="eastAsia"/>
        </w:rPr>
        <w:drawing>
          <wp:inline distT="0" distB="0" distL="114300" distR="114300">
            <wp:extent cx="4220210" cy="2319020"/>
            <wp:effectExtent l="19050" t="0" r="2794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pPr>
        <w:pStyle w:val="2"/>
        <w:spacing w:before="93"/>
      </w:pPr>
    </w:p>
    <w:p>
      <w:pPr>
        <w:pStyle w:val="29"/>
        <w:numPr>
          <w:ilvl w:val="0"/>
          <w:numId w:val="2"/>
        </w:numPr>
        <w:spacing w:line="600" w:lineRule="exact"/>
        <w:ind w:firstLineChars="0"/>
        <w:outlineLvl w:val="1"/>
        <w:rPr>
          <w:rStyle w:val="19"/>
          <w:rFonts w:ascii="黑体" w:hAnsi="黑体" w:eastAsia="黑体"/>
          <w:b w:val="0"/>
        </w:rPr>
      </w:pPr>
      <w:bookmarkStart w:id="54" w:name="_Toc15377206"/>
      <w:bookmarkStart w:id="55" w:name="_Toc15396604"/>
      <w:bookmarkStart w:id="56" w:name="_Toc174107207"/>
      <w:bookmarkStart w:id="57" w:name="_Toc13923"/>
      <w:r>
        <w:rPr>
          <w:rFonts w:hint="eastAsia" w:ascii="黑体" w:hAnsi="黑体" w:eastAsia="黑体"/>
          <w:sz w:val="32"/>
          <w:szCs w:val="32"/>
        </w:rPr>
        <w:t>收</w:t>
      </w:r>
      <w:r>
        <w:rPr>
          <w:rStyle w:val="19"/>
          <w:rFonts w:hint="eastAsia" w:ascii="黑体" w:hAnsi="黑体" w:eastAsia="黑体"/>
          <w:b w:val="0"/>
        </w:rPr>
        <w:t>入决算情况说明</w:t>
      </w:r>
      <w:bookmarkEnd w:id="54"/>
      <w:bookmarkEnd w:id="55"/>
      <w:bookmarkEnd w:id="56"/>
      <w:bookmarkEnd w:id="57"/>
    </w:p>
    <w:p>
      <w:pPr>
        <w:spacing w:line="600" w:lineRule="exact"/>
        <w:ind w:firstLine="640" w:firstLineChars="200"/>
        <w:outlineLvl w:val="1"/>
        <w:rPr>
          <w:rFonts w:ascii="仿宋" w:hAnsi="仿宋" w:eastAsia="仿宋"/>
          <w:sz w:val="32"/>
          <w:szCs w:val="32"/>
        </w:rPr>
      </w:pPr>
      <w:bookmarkStart w:id="58" w:name="_Toc174107208"/>
      <w:bookmarkStart w:id="59" w:name="_Toc20277"/>
      <w:bookmarkStart w:id="60" w:name="_Toc12955"/>
      <w:r>
        <w:rPr>
          <w:rFonts w:hint="eastAsia" w:ascii="仿宋" w:hAnsi="仿宋" w:eastAsia="仿宋"/>
          <w:sz w:val="32"/>
          <w:szCs w:val="32"/>
        </w:rPr>
        <w:t>2023年度本年收入合计</w:t>
      </w:r>
      <w:r>
        <w:rPr>
          <w:rFonts w:ascii="仿宋" w:hAnsi="仿宋" w:eastAsia="仿宋"/>
          <w:sz w:val="32"/>
          <w:szCs w:val="32"/>
        </w:rPr>
        <w:t>6528.46</w:t>
      </w:r>
      <w:r>
        <w:rPr>
          <w:rFonts w:hint="eastAsia" w:ascii="仿宋" w:hAnsi="仿宋" w:eastAsia="仿宋"/>
          <w:sz w:val="32"/>
          <w:szCs w:val="32"/>
        </w:rPr>
        <w:t>万元，其中：一般公共预算财政拨款收入</w:t>
      </w:r>
      <w:r>
        <w:rPr>
          <w:rFonts w:ascii="仿宋" w:hAnsi="仿宋" w:eastAsia="仿宋"/>
          <w:sz w:val="32"/>
          <w:szCs w:val="32"/>
        </w:rPr>
        <w:t>5211.44</w:t>
      </w:r>
      <w:r>
        <w:rPr>
          <w:rFonts w:hint="eastAsia" w:ascii="仿宋" w:hAnsi="仿宋" w:eastAsia="仿宋"/>
          <w:sz w:val="32"/>
          <w:szCs w:val="32"/>
        </w:rPr>
        <w:t>万元，占</w:t>
      </w:r>
      <w:r>
        <w:rPr>
          <w:rFonts w:ascii="仿宋" w:hAnsi="仿宋" w:eastAsia="仿宋"/>
          <w:sz w:val="32"/>
          <w:szCs w:val="32"/>
        </w:rPr>
        <w:t>79.8%</w:t>
      </w:r>
      <w:r>
        <w:rPr>
          <w:rFonts w:hint="eastAsia" w:ascii="仿宋" w:hAnsi="仿宋" w:eastAsia="仿宋"/>
          <w:sz w:val="32"/>
          <w:szCs w:val="32"/>
        </w:rPr>
        <w:t>；政府性基金预算财政拨款收入</w:t>
      </w:r>
      <w:r>
        <w:rPr>
          <w:rFonts w:ascii="仿宋" w:hAnsi="仿宋" w:eastAsia="仿宋"/>
          <w:sz w:val="32"/>
          <w:szCs w:val="32"/>
        </w:rPr>
        <w:t>700</w:t>
      </w:r>
      <w:r>
        <w:rPr>
          <w:rFonts w:hint="eastAsia" w:ascii="仿宋" w:hAnsi="仿宋" w:eastAsia="仿宋"/>
          <w:sz w:val="32"/>
          <w:szCs w:val="32"/>
        </w:rPr>
        <w:t>万元，占</w:t>
      </w:r>
      <w:r>
        <w:rPr>
          <w:rFonts w:ascii="仿宋" w:hAnsi="仿宋" w:eastAsia="仿宋"/>
          <w:sz w:val="32"/>
          <w:szCs w:val="32"/>
        </w:rPr>
        <w:t>10.7%</w:t>
      </w:r>
      <w:r>
        <w:rPr>
          <w:rFonts w:hint="eastAsia" w:ascii="仿宋" w:hAnsi="仿宋" w:eastAsia="仿宋"/>
          <w:sz w:val="32"/>
          <w:szCs w:val="32"/>
        </w:rPr>
        <w:t>；事业收入</w:t>
      </w:r>
      <w:r>
        <w:rPr>
          <w:rFonts w:ascii="仿宋" w:hAnsi="仿宋" w:eastAsia="仿宋"/>
          <w:sz w:val="32"/>
          <w:szCs w:val="32"/>
        </w:rPr>
        <w:t>617.02</w:t>
      </w:r>
      <w:r>
        <w:rPr>
          <w:rFonts w:hint="eastAsia" w:ascii="仿宋" w:hAnsi="仿宋" w:eastAsia="仿宋"/>
          <w:sz w:val="32"/>
          <w:szCs w:val="32"/>
        </w:rPr>
        <w:t>万元，占</w:t>
      </w:r>
      <w:r>
        <w:rPr>
          <w:rFonts w:ascii="仿宋" w:hAnsi="仿宋" w:eastAsia="仿宋"/>
          <w:sz w:val="32"/>
          <w:szCs w:val="32"/>
        </w:rPr>
        <w:t>9.</w:t>
      </w:r>
      <w:r>
        <w:rPr>
          <w:rFonts w:hint="eastAsia" w:ascii="仿宋" w:hAnsi="仿宋" w:eastAsia="仿宋"/>
          <w:sz w:val="32"/>
          <w:szCs w:val="32"/>
          <w:lang w:val="en-US" w:eastAsia="zh-CN"/>
        </w:rPr>
        <w:t>5</w:t>
      </w:r>
      <w:r>
        <w:rPr>
          <w:rFonts w:ascii="仿宋" w:hAnsi="仿宋" w:eastAsia="仿宋"/>
          <w:sz w:val="32"/>
          <w:szCs w:val="32"/>
        </w:rPr>
        <w:t>%</w:t>
      </w:r>
      <w:bookmarkEnd w:id="58"/>
      <w:bookmarkStart w:id="61" w:name="_Toc174107209"/>
      <w:r>
        <w:rPr>
          <w:rFonts w:hint="eastAsia" w:ascii="仿宋" w:hAnsi="仿宋" w:eastAsia="仿宋"/>
          <w:sz w:val="32"/>
          <w:szCs w:val="32"/>
        </w:rPr>
        <w:t>。</w:t>
      </w:r>
      <w:bookmarkEnd w:id="59"/>
      <w:bookmarkEnd w:id="60"/>
      <w:bookmarkEnd w:id="61"/>
    </w:p>
    <w:p>
      <w:pPr>
        <w:spacing w:line="600" w:lineRule="exact"/>
        <w:ind w:firstLine="640" w:firstLineChars="200"/>
        <w:rPr>
          <w:rFonts w:ascii="仿宋" w:hAnsi="仿宋" w:eastAsia="仿宋"/>
          <w:sz w:val="32"/>
          <w:szCs w:val="32"/>
        </w:rPr>
      </w:pPr>
    </w:p>
    <w:p>
      <w:pPr>
        <w:pStyle w:val="21"/>
        <w:jc w:val="center"/>
        <w:outlineLvl w:val="9"/>
      </w:pPr>
      <w:r>
        <w:rPr>
          <w:rFonts w:hint="eastAsia" w:ascii="仿宋" w:hAnsi="仿宋" w:eastAsia="仿宋"/>
          <w:sz w:val="32"/>
          <w:szCs w:val="32"/>
        </w:rPr>
        <w:drawing>
          <wp:inline distT="0" distB="0" distL="114300" distR="114300">
            <wp:extent cx="3982720" cy="2372995"/>
            <wp:effectExtent l="19050" t="0" r="17588" b="7812"/>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1600" w:firstLineChars="500"/>
        <w:rPr>
          <w:rFonts w:ascii="仿宋" w:hAnsi="仿宋" w:eastAsia="仿宋"/>
          <w:sz w:val="32"/>
          <w:szCs w:val="32"/>
        </w:rPr>
      </w:pPr>
      <w:r>
        <w:rPr>
          <w:rFonts w:hint="eastAsia" w:ascii="仿宋" w:hAnsi="仿宋" w:eastAsia="仿宋"/>
          <w:sz w:val="32"/>
          <w:szCs w:val="32"/>
        </w:rPr>
        <w:t>（图2：收入决算结构图）（饼状图）</w:t>
      </w:r>
    </w:p>
    <w:p>
      <w:pPr>
        <w:pStyle w:val="2"/>
        <w:spacing w:before="93"/>
      </w:pPr>
    </w:p>
    <w:p>
      <w:pPr>
        <w:pStyle w:val="29"/>
        <w:numPr>
          <w:ilvl w:val="0"/>
          <w:numId w:val="2"/>
        </w:numPr>
        <w:spacing w:line="600" w:lineRule="exact"/>
        <w:ind w:firstLineChars="0"/>
        <w:outlineLvl w:val="1"/>
        <w:rPr>
          <w:rStyle w:val="19"/>
          <w:rFonts w:ascii="黑体" w:hAnsi="黑体" w:eastAsia="黑体"/>
          <w:b w:val="0"/>
        </w:rPr>
      </w:pPr>
      <w:bookmarkStart w:id="62" w:name="_Toc15396605"/>
      <w:bookmarkStart w:id="63" w:name="_Toc15377207"/>
      <w:bookmarkStart w:id="64" w:name="_Toc174107210"/>
      <w:bookmarkStart w:id="65" w:name="_Toc26892"/>
      <w:r>
        <w:rPr>
          <w:rFonts w:hint="eastAsia" w:ascii="黑体" w:hAnsi="黑体" w:eastAsia="黑体"/>
          <w:sz w:val="32"/>
          <w:szCs w:val="32"/>
        </w:rPr>
        <w:t>支</w:t>
      </w:r>
      <w:r>
        <w:rPr>
          <w:rStyle w:val="19"/>
          <w:rFonts w:hint="eastAsia" w:ascii="黑体" w:hAnsi="黑体" w:eastAsia="黑体"/>
          <w:b w:val="0"/>
        </w:rPr>
        <w:t>出决算情况说明</w:t>
      </w:r>
      <w:bookmarkEnd w:id="62"/>
      <w:bookmarkEnd w:id="63"/>
      <w:bookmarkEnd w:id="64"/>
      <w:bookmarkEnd w:id="65"/>
    </w:p>
    <w:p>
      <w:pPr>
        <w:spacing w:line="600" w:lineRule="exact"/>
        <w:ind w:firstLine="640" w:firstLineChars="200"/>
        <w:outlineLvl w:val="1"/>
        <w:rPr>
          <w:rFonts w:ascii="仿宋" w:hAnsi="仿宋" w:eastAsia="仿宋"/>
          <w:sz w:val="32"/>
          <w:szCs w:val="32"/>
        </w:rPr>
      </w:pPr>
      <w:bookmarkStart w:id="66" w:name="_Toc174107211"/>
      <w:bookmarkStart w:id="67" w:name="_Toc27420"/>
      <w:bookmarkStart w:id="68" w:name="_Toc8726"/>
      <w:r>
        <w:rPr>
          <w:rFonts w:hint="eastAsia" w:ascii="仿宋" w:hAnsi="仿宋" w:eastAsia="仿宋"/>
          <w:sz w:val="32"/>
          <w:szCs w:val="32"/>
        </w:rPr>
        <w:t>2023年度本年支出合计</w:t>
      </w:r>
      <w:r>
        <w:rPr>
          <w:rFonts w:ascii="仿宋" w:hAnsi="仿宋" w:eastAsia="仿宋"/>
          <w:sz w:val="32"/>
          <w:szCs w:val="32"/>
        </w:rPr>
        <w:t>6557.62</w:t>
      </w:r>
      <w:r>
        <w:rPr>
          <w:rFonts w:hint="eastAsia" w:ascii="仿宋" w:hAnsi="仿宋" w:eastAsia="仿宋"/>
          <w:sz w:val="32"/>
          <w:szCs w:val="32"/>
        </w:rPr>
        <w:t>万元，其中：基本支出</w:t>
      </w:r>
      <w:r>
        <w:rPr>
          <w:rFonts w:ascii="仿宋" w:hAnsi="仿宋" w:eastAsia="仿宋"/>
          <w:sz w:val="32"/>
          <w:szCs w:val="32"/>
        </w:rPr>
        <w:t>2981.53</w:t>
      </w:r>
      <w:r>
        <w:rPr>
          <w:rFonts w:hint="eastAsia" w:ascii="仿宋" w:hAnsi="仿宋" w:eastAsia="仿宋"/>
          <w:sz w:val="32"/>
          <w:szCs w:val="32"/>
        </w:rPr>
        <w:t>万元，占</w:t>
      </w:r>
      <w:r>
        <w:rPr>
          <w:rFonts w:ascii="仿宋" w:hAnsi="仿宋" w:eastAsia="仿宋"/>
          <w:sz w:val="32"/>
          <w:szCs w:val="32"/>
        </w:rPr>
        <w:t>45.</w:t>
      </w:r>
      <w:r>
        <w:rPr>
          <w:rFonts w:hint="eastAsia" w:ascii="仿宋" w:hAnsi="仿宋" w:eastAsia="仿宋"/>
          <w:sz w:val="32"/>
          <w:szCs w:val="32"/>
          <w:lang w:val="en-US" w:eastAsia="zh-CN"/>
        </w:rPr>
        <w:t>5</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sz w:val="32"/>
          <w:szCs w:val="32"/>
        </w:rPr>
        <w:t>3576.09</w:t>
      </w:r>
      <w:r>
        <w:rPr>
          <w:rFonts w:hint="eastAsia" w:ascii="仿宋" w:hAnsi="仿宋" w:eastAsia="仿宋"/>
          <w:sz w:val="32"/>
          <w:szCs w:val="32"/>
        </w:rPr>
        <w:t>万元，占</w:t>
      </w:r>
      <w:r>
        <w:rPr>
          <w:rFonts w:ascii="仿宋" w:hAnsi="仿宋" w:eastAsia="仿宋"/>
          <w:sz w:val="32"/>
          <w:szCs w:val="32"/>
        </w:rPr>
        <w:t>54.5%</w:t>
      </w:r>
      <w:r>
        <w:rPr>
          <w:rFonts w:hint="eastAsia" w:ascii="仿宋" w:hAnsi="仿宋" w:eastAsia="仿宋"/>
          <w:sz w:val="32"/>
          <w:szCs w:val="32"/>
        </w:rPr>
        <w:t>。</w:t>
      </w:r>
      <w:bookmarkEnd w:id="66"/>
      <w:bookmarkEnd w:id="67"/>
      <w:bookmarkEnd w:id="68"/>
    </w:p>
    <w:p>
      <w:pPr>
        <w:spacing w:line="600" w:lineRule="exact"/>
        <w:ind w:firstLine="640" w:firstLineChars="200"/>
        <w:outlineLvl w:val="1"/>
        <w:rPr>
          <w:rFonts w:ascii="仿宋" w:hAnsi="仿宋" w:eastAsia="仿宋"/>
          <w:sz w:val="32"/>
          <w:szCs w:val="32"/>
        </w:rPr>
      </w:pPr>
    </w:p>
    <w:p>
      <w:pPr>
        <w:jc w:val="center"/>
      </w:pPr>
      <w:bookmarkStart w:id="171" w:name="_GoBack"/>
      <w:r>
        <w:rPr>
          <w:rFonts w:hint="eastAsia" w:ascii="仿宋" w:hAnsi="仿宋" w:eastAsia="仿宋"/>
          <w:sz w:val="32"/>
          <w:szCs w:val="32"/>
        </w:rPr>
        <w:drawing>
          <wp:inline distT="0" distB="0" distL="114300" distR="114300">
            <wp:extent cx="4241165" cy="2985770"/>
            <wp:effectExtent l="4445" t="5080" r="21590" b="1905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bookmarkEnd w:id="171"/>
    </w:p>
    <w:p>
      <w:pPr>
        <w:spacing w:line="600" w:lineRule="exact"/>
        <w:ind w:firstLine="1280" w:firstLineChars="400"/>
        <w:rPr>
          <w:rFonts w:ascii="仿宋" w:hAnsi="仿宋" w:eastAsia="仿宋"/>
          <w:sz w:val="32"/>
          <w:szCs w:val="32"/>
        </w:rPr>
      </w:pPr>
      <w:r>
        <w:rPr>
          <w:rFonts w:hint="eastAsia" w:ascii="仿宋" w:hAnsi="仿宋" w:eastAsia="仿宋"/>
          <w:sz w:val="32"/>
          <w:szCs w:val="32"/>
        </w:rPr>
        <w:t>（图3：支出决算结构图）（饼状图）</w:t>
      </w:r>
    </w:p>
    <w:p>
      <w:pPr>
        <w:pStyle w:val="2"/>
        <w:spacing w:before="93"/>
      </w:pPr>
    </w:p>
    <w:p>
      <w:pPr>
        <w:spacing w:line="600" w:lineRule="exact"/>
        <w:ind w:firstLine="640" w:firstLineChars="200"/>
        <w:outlineLvl w:val="1"/>
        <w:rPr>
          <w:rStyle w:val="19"/>
          <w:rFonts w:ascii="黑体" w:hAnsi="黑体" w:eastAsia="黑体"/>
          <w:b w:val="0"/>
        </w:rPr>
      </w:pPr>
      <w:bookmarkStart w:id="69" w:name="_Toc174107213"/>
      <w:bookmarkStart w:id="70" w:name="_Toc27203"/>
      <w:bookmarkStart w:id="71" w:name="_Toc15396606"/>
      <w:bookmarkStart w:id="72" w:name="_Toc15377208"/>
      <w:r>
        <w:rPr>
          <w:rFonts w:hint="eastAsia" w:ascii="黑体" w:hAnsi="黑体" w:eastAsia="黑体"/>
          <w:sz w:val="32"/>
          <w:szCs w:val="32"/>
        </w:rPr>
        <w:t>四、财</w:t>
      </w:r>
      <w:r>
        <w:rPr>
          <w:rStyle w:val="19"/>
          <w:rFonts w:hint="eastAsia" w:ascii="黑体" w:hAnsi="黑体" w:eastAsia="黑体"/>
          <w:b w:val="0"/>
        </w:rPr>
        <w:t>政拨款收入支出决算总体情况说明</w:t>
      </w:r>
      <w:bookmarkEnd w:id="69"/>
      <w:bookmarkEnd w:id="70"/>
      <w:bookmarkEnd w:id="71"/>
      <w:bookmarkEnd w:id="72"/>
    </w:p>
    <w:p>
      <w:pPr>
        <w:spacing w:line="600" w:lineRule="exact"/>
        <w:ind w:firstLine="640"/>
        <w:rPr>
          <w:rFonts w:ascii="仿宋" w:hAnsi="仿宋" w:eastAsia="仿宋"/>
          <w:sz w:val="32"/>
          <w:szCs w:val="32"/>
        </w:rPr>
      </w:pPr>
      <w:r>
        <w:rPr>
          <w:rFonts w:hint="eastAsia" w:ascii="仿宋" w:hAnsi="仿宋" w:eastAsia="仿宋"/>
          <w:sz w:val="32"/>
          <w:szCs w:val="32"/>
        </w:rPr>
        <w:t>2023年度财政拨款收、支总计均为</w:t>
      </w:r>
      <w:r>
        <w:rPr>
          <w:rFonts w:ascii="仿宋" w:hAnsi="仿宋" w:eastAsia="仿宋"/>
          <w:sz w:val="32"/>
          <w:szCs w:val="32"/>
        </w:rPr>
        <w:t>6402.31</w:t>
      </w:r>
      <w:r>
        <w:rPr>
          <w:rFonts w:hint="eastAsia" w:ascii="仿宋" w:hAnsi="仿宋" w:eastAsia="仿宋"/>
          <w:sz w:val="32"/>
          <w:szCs w:val="32"/>
        </w:rPr>
        <w:t>万元。与2022年度相比，财政拨款收、支总计各增加565.61万元，增长9.</w:t>
      </w:r>
      <w:r>
        <w:rPr>
          <w:rFonts w:hint="eastAsia" w:ascii="仿宋" w:hAnsi="仿宋" w:eastAsia="仿宋"/>
          <w:sz w:val="32"/>
          <w:szCs w:val="32"/>
          <w:lang w:val="en-US" w:eastAsia="zh-CN"/>
        </w:rPr>
        <w:t>7</w:t>
      </w:r>
      <w:r>
        <w:rPr>
          <w:rFonts w:ascii="仿宋" w:hAnsi="仿宋" w:eastAsia="仿宋"/>
          <w:sz w:val="32"/>
          <w:szCs w:val="32"/>
        </w:rPr>
        <w:t>%</w:t>
      </w:r>
      <w:r>
        <w:rPr>
          <w:rFonts w:hint="eastAsia" w:ascii="仿宋" w:hAnsi="仿宋" w:eastAsia="仿宋"/>
          <w:sz w:val="32"/>
          <w:szCs w:val="32"/>
        </w:rPr>
        <w:t>。主要变动原因是项目支出增加。</w:t>
      </w:r>
    </w:p>
    <w:p>
      <w:pPr>
        <w:jc w:val="center"/>
      </w:pPr>
      <w:r>
        <w:rPr>
          <w:rFonts w:hint="eastAsia" w:ascii="仿宋" w:hAnsi="仿宋" w:eastAsia="仿宋"/>
          <w:sz w:val="32"/>
          <w:szCs w:val="32"/>
        </w:rPr>
        <w:drawing>
          <wp:inline distT="0" distB="0" distL="114300" distR="114300">
            <wp:extent cx="4375785" cy="2555875"/>
            <wp:effectExtent l="19050" t="0" r="24396"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（图4：财政拨款收、支决算总计变动情况）（柱状图）</w:t>
      </w:r>
    </w:p>
    <w:p>
      <w:pPr>
        <w:pStyle w:val="2"/>
        <w:spacing w:before="93"/>
      </w:pPr>
    </w:p>
    <w:p>
      <w:pPr>
        <w:spacing w:line="600" w:lineRule="exact"/>
        <w:ind w:firstLine="640" w:firstLineChars="200"/>
        <w:outlineLvl w:val="1"/>
        <w:rPr>
          <w:rStyle w:val="19"/>
          <w:rFonts w:ascii="黑体" w:hAnsi="黑体" w:eastAsia="黑体"/>
          <w:b w:val="0"/>
        </w:rPr>
      </w:pPr>
      <w:bookmarkStart w:id="73" w:name="_Toc25458"/>
      <w:bookmarkStart w:id="74" w:name="_Toc15377209"/>
      <w:bookmarkStart w:id="75" w:name="_Toc174107214"/>
      <w:bookmarkStart w:id="76" w:name="_Toc15396607"/>
      <w:r>
        <w:rPr>
          <w:rFonts w:hint="eastAsia" w:ascii="黑体" w:hAnsi="黑体" w:eastAsia="黑体"/>
          <w:sz w:val="32"/>
          <w:szCs w:val="32"/>
        </w:rPr>
        <w:t>五、一</w:t>
      </w:r>
      <w:r>
        <w:rPr>
          <w:rStyle w:val="19"/>
          <w:rFonts w:hint="eastAsia" w:ascii="黑体" w:hAnsi="黑体" w:eastAsia="黑体"/>
          <w:b w:val="0"/>
        </w:rPr>
        <w:t>般公共预算财政拨款支出决算情况说明</w:t>
      </w:r>
      <w:bookmarkEnd w:id="73"/>
      <w:bookmarkEnd w:id="74"/>
      <w:bookmarkEnd w:id="75"/>
      <w:bookmarkEnd w:id="76"/>
    </w:p>
    <w:p>
      <w:pPr>
        <w:spacing w:line="600" w:lineRule="exact"/>
        <w:ind w:firstLine="640" w:firstLineChars="200"/>
        <w:outlineLvl w:val="2"/>
        <w:rPr>
          <w:rFonts w:ascii="仿宋" w:hAnsi="仿宋" w:eastAsia="仿宋"/>
          <w:sz w:val="32"/>
          <w:szCs w:val="32"/>
        </w:rPr>
      </w:pPr>
      <w:bookmarkStart w:id="77" w:name="_Toc15377210"/>
      <w:bookmarkStart w:id="78" w:name="_Toc174107215"/>
      <w:r>
        <w:rPr>
          <w:rFonts w:hint="eastAsia" w:ascii="仿宋" w:hAnsi="仿宋" w:eastAsia="仿宋"/>
          <w:sz w:val="32"/>
          <w:szCs w:val="32"/>
        </w:rPr>
        <w:t>（一）一般公共预算财政拨款支出决算总体情况</w:t>
      </w:r>
      <w:bookmarkEnd w:id="77"/>
      <w:bookmarkEnd w:id="78"/>
    </w:p>
    <w:p>
      <w:pPr>
        <w:spacing w:line="600" w:lineRule="exact"/>
        <w:ind w:firstLine="640" w:firstLineChars="200"/>
        <w:rPr>
          <w:rFonts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sz w:val="32"/>
          <w:szCs w:val="32"/>
        </w:rPr>
        <w:t>5240.6</w:t>
      </w:r>
      <w:r>
        <w:rPr>
          <w:rFonts w:hint="eastAsia" w:ascii="仿宋" w:hAnsi="仿宋" w:eastAsia="仿宋"/>
          <w:sz w:val="32"/>
          <w:szCs w:val="32"/>
        </w:rPr>
        <w:t>万元，占本年支出合计的</w:t>
      </w:r>
      <w:r>
        <w:rPr>
          <w:rFonts w:ascii="仿宋" w:hAnsi="仿宋" w:eastAsia="仿宋"/>
          <w:sz w:val="32"/>
          <w:szCs w:val="32"/>
        </w:rPr>
        <w:t>79.9%</w:t>
      </w:r>
      <w:r>
        <w:rPr>
          <w:rFonts w:hint="eastAsia" w:ascii="仿宋" w:hAnsi="仿宋" w:eastAsia="仿宋"/>
          <w:sz w:val="32"/>
          <w:szCs w:val="32"/>
        </w:rPr>
        <w:t>。与2022年度相比，一般公共预算财政拨款支出减少105.23万元，下降</w:t>
      </w:r>
      <w:r>
        <w:rPr>
          <w:rFonts w:hint="eastAsia" w:ascii="仿宋" w:hAnsi="仿宋" w:eastAsia="仿宋"/>
          <w:sz w:val="32"/>
          <w:szCs w:val="32"/>
          <w:lang w:val="en-US" w:eastAsia="zh-CN"/>
        </w:rPr>
        <w:t>2</w:t>
      </w:r>
      <w:r>
        <w:rPr>
          <w:rFonts w:ascii="仿宋" w:hAnsi="仿宋" w:eastAsia="仿宋"/>
          <w:sz w:val="32"/>
          <w:szCs w:val="32"/>
        </w:rPr>
        <w:t>%</w:t>
      </w:r>
      <w:r>
        <w:rPr>
          <w:rFonts w:hint="eastAsia" w:ascii="仿宋" w:hAnsi="仿宋" w:eastAsia="仿宋"/>
          <w:sz w:val="32"/>
          <w:szCs w:val="32"/>
        </w:rPr>
        <w:t>。主要变动原因是人员经费减少。</w:t>
      </w:r>
    </w:p>
    <w:p>
      <w:pPr>
        <w:spacing w:line="600" w:lineRule="exact"/>
        <w:rPr>
          <w:rFonts w:ascii="仿宋" w:hAnsi="仿宋" w:eastAsia="仿宋"/>
          <w:sz w:val="32"/>
          <w:szCs w:val="32"/>
        </w:rPr>
      </w:pPr>
    </w:p>
    <w:p>
      <w:pPr>
        <w:spacing w:line="600" w:lineRule="exact"/>
        <w:rPr>
          <w:rFonts w:ascii="仿宋" w:hAnsi="仿宋" w:eastAsia="仿宋"/>
          <w:sz w:val="32"/>
          <w:szCs w:val="32"/>
        </w:rPr>
      </w:pPr>
      <w:r>
        <w:rPr>
          <w:rFonts w:hint="eastAsia" w:ascii="仿宋" w:hAnsi="仿宋" w:eastAsia="仿宋"/>
          <w:sz w:val="32"/>
          <w:szCs w:val="32"/>
        </w:rPr>
        <w:drawing>
          <wp:anchor distT="0" distB="0" distL="114300" distR="114300" simplePos="0" relativeHeight="251659264" behindDoc="1" locked="0" layoutInCell="1" allowOverlap="1">
            <wp:simplePos x="0" y="0"/>
            <wp:positionH relativeFrom="column">
              <wp:posOffset>779145</wp:posOffset>
            </wp:positionH>
            <wp:positionV relativeFrom="paragraph">
              <wp:posOffset>-21590</wp:posOffset>
            </wp:positionV>
            <wp:extent cx="3780155" cy="2066290"/>
            <wp:effectExtent l="19050" t="0" r="10795" b="0"/>
            <wp:wrapTight wrapText="bothSides">
              <wp:wrapPolygon>
                <wp:start x="-109" y="0"/>
                <wp:lineTo x="-109" y="21507"/>
                <wp:lineTo x="21662" y="21507"/>
                <wp:lineTo x="21662" y="0"/>
                <wp:lineTo x="-109" y="0"/>
              </wp:wrapPolygon>
            </wp:wrapTight>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2"/>
        <w:spacing w:before="93"/>
      </w:pPr>
    </w:p>
    <w:p>
      <w:pPr>
        <w:spacing w:line="600" w:lineRule="exact"/>
        <w:jc w:val="center"/>
        <w:rPr>
          <w:rFonts w:ascii="仿宋" w:hAnsi="仿宋" w:eastAsia="仿宋"/>
          <w:sz w:val="32"/>
          <w:szCs w:val="32"/>
        </w:rPr>
      </w:pPr>
    </w:p>
    <w:p>
      <w:pPr>
        <w:spacing w:line="600" w:lineRule="exact"/>
        <w:rPr>
          <w:rFonts w:ascii="仿宋" w:hAnsi="仿宋" w:eastAsia="仿宋"/>
          <w:sz w:val="32"/>
          <w:szCs w:val="32"/>
        </w:rPr>
      </w:pPr>
    </w:p>
    <w:p>
      <w:pPr>
        <w:spacing w:line="600" w:lineRule="exact"/>
        <w:rPr>
          <w:rFonts w:ascii="仿宋" w:hAnsi="仿宋" w:eastAsia="仿宋"/>
          <w:sz w:val="32"/>
          <w:szCs w:val="32"/>
        </w:rPr>
      </w:pPr>
      <w:r>
        <w:rPr>
          <w:rFonts w:hint="eastAsia" w:ascii="仿宋" w:hAnsi="仿宋" w:eastAsia="仿宋"/>
          <w:sz w:val="32"/>
          <w:szCs w:val="32"/>
        </w:rPr>
        <w:t>（图5：一般公共预算财政拨款支出决算变动情况）（柱状图）</w:t>
      </w:r>
    </w:p>
    <w:p>
      <w:pPr>
        <w:spacing w:line="600" w:lineRule="exact"/>
        <w:ind w:firstLine="640" w:firstLineChars="200"/>
        <w:outlineLvl w:val="2"/>
        <w:rPr>
          <w:rFonts w:ascii="仿宋" w:hAnsi="仿宋" w:eastAsia="仿宋"/>
          <w:sz w:val="32"/>
          <w:szCs w:val="32"/>
        </w:rPr>
      </w:pPr>
      <w:bookmarkStart w:id="79" w:name="_Toc15377211"/>
      <w:bookmarkStart w:id="80" w:name="_Toc174107216"/>
    </w:p>
    <w:p>
      <w:pPr>
        <w:spacing w:line="600" w:lineRule="exact"/>
        <w:ind w:firstLine="640" w:firstLineChars="200"/>
        <w:outlineLvl w:val="2"/>
        <w:rPr>
          <w:rFonts w:ascii="仿宋" w:hAnsi="仿宋" w:eastAsia="仿宋"/>
          <w:sz w:val="32"/>
          <w:szCs w:val="32"/>
        </w:rPr>
      </w:pPr>
      <w:r>
        <w:rPr>
          <w:rFonts w:hint="eastAsia" w:ascii="仿宋" w:hAnsi="仿宋" w:eastAsia="仿宋"/>
          <w:sz w:val="32"/>
          <w:szCs w:val="32"/>
        </w:rPr>
        <w:t>（二）一般公共预算财政拨款支出决算结构情况</w:t>
      </w:r>
      <w:bookmarkEnd w:id="79"/>
      <w:bookmarkEnd w:id="80"/>
    </w:p>
    <w:p>
      <w:pPr>
        <w:spacing w:line="600" w:lineRule="exact"/>
        <w:ind w:firstLine="640"/>
        <w:rPr>
          <w:rFonts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sz w:val="32"/>
          <w:szCs w:val="32"/>
        </w:rPr>
        <w:t>5240.6</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b/>
          <w:sz w:val="32"/>
          <w:szCs w:val="32"/>
        </w:rPr>
        <w:t>育支出</w:t>
      </w:r>
      <w:r>
        <w:rPr>
          <w:rFonts w:ascii="仿宋" w:hAnsi="仿宋" w:eastAsia="仿宋"/>
          <w:sz w:val="32"/>
          <w:szCs w:val="32"/>
        </w:rPr>
        <w:t>4,326.35</w:t>
      </w:r>
      <w:r>
        <w:rPr>
          <w:rFonts w:hint="eastAsia" w:ascii="仿宋" w:hAnsi="仿宋" w:eastAsia="仿宋"/>
          <w:sz w:val="32"/>
          <w:szCs w:val="32"/>
        </w:rPr>
        <w:t>万元，占82.</w:t>
      </w:r>
      <w:r>
        <w:rPr>
          <w:rFonts w:hint="eastAsia" w:ascii="仿宋" w:hAnsi="仿宋" w:eastAsia="仿宋"/>
          <w:sz w:val="32"/>
          <w:szCs w:val="32"/>
          <w:lang w:val="en-US" w:eastAsia="zh-CN"/>
        </w:rPr>
        <w:t>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社会保障和就业支出</w:t>
      </w:r>
      <w:r>
        <w:rPr>
          <w:rFonts w:ascii="仿宋" w:hAnsi="仿宋" w:eastAsia="仿宋"/>
          <w:sz w:val="32"/>
          <w:szCs w:val="32"/>
        </w:rPr>
        <w:t>567.01</w:t>
      </w:r>
      <w:r>
        <w:rPr>
          <w:rFonts w:hint="eastAsia" w:ascii="仿宋" w:hAnsi="仿宋" w:eastAsia="仿宋"/>
          <w:sz w:val="32"/>
          <w:szCs w:val="32"/>
        </w:rPr>
        <w:t>万元，占10.8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卫生健康支出</w:t>
      </w:r>
      <w:r>
        <w:rPr>
          <w:rFonts w:ascii="仿宋" w:hAnsi="仿宋" w:eastAsia="仿宋"/>
          <w:sz w:val="32"/>
          <w:szCs w:val="32"/>
        </w:rPr>
        <w:t>112.20</w:t>
      </w:r>
      <w:r>
        <w:rPr>
          <w:rFonts w:hint="eastAsia" w:ascii="仿宋" w:hAnsi="仿宋" w:eastAsia="仿宋"/>
          <w:sz w:val="32"/>
          <w:szCs w:val="32"/>
        </w:rPr>
        <w:t>万元，占2.1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ascii="仿宋" w:hAnsi="仿宋" w:eastAsia="仿宋"/>
          <w:sz w:val="32"/>
          <w:szCs w:val="32"/>
        </w:rPr>
        <w:t>235.04</w:t>
      </w:r>
      <w:r>
        <w:rPr>
          <w:rFonts w:hint="eastAsia" w:ascii="仿宋" w:hAnsi="仿宋" w:eastAsia="仿宋"/>
          <w:sz w:val="32"/>
          <w:szCs w:val="32"/>
        </w:rPr>
        <w:t>万元，占4.</w:t>
      </w:r>
      <w:r>
        <w:rPr>
          <w:rFonts w:hint="eastAsia" w:ascii="仿宋" w:hAnsi="仿宋" w:eastAsia="仿宋"/>
          <w:sz w:val="32"/>
          <w:szCs w:val="32"/>
          <w:lang w:val="en-US" w:eastAsia="zh-CN"/>
        </w:rPr>
        <w:t>5</w:t>
      </w:r>
      <w:r>
        <w:rPr>
          <w:rFonts w:ascii="仿宋" w:hAnsi="仿宋" w:eastAsia="仿宋"/>
          <w:sz w:val="32"/>
          <w:szCs w:val="32"/>
        </w:rPr>
        <w:t>%</w:t>
      </w:r>
      <w:r>
        <w:rPr>
          <w:rFonts w:hint="eastAsia" w:ascii="仿宋" w:hAnsi="仿宋" w:eastAsia="仿宋"/>
          <w:sz w:val="32"/>
          <w:szCs w:val="32"/>
        </w:rPr>
        <w:t>。</w:t>
      </w:r>
    </w:p>
    <w:p>
      <w:pPr>
        <w:pStyle w:val="21"/>
        <w:jc w:val="center"/>
        <w:outlineLvl w:val="9"/>
        <w:rPr>
          <w:rFonts w:ascii="仿宋" w:hAnsi="仿宋" w:eastAsia="仿宋"/>
          <w:sz w:val="32"/>
          <w:szCs w:val="32"/>
        </w:rPr>
      </w:pPr>
      <w:r>
        <w:rPr>
          <w:rFonts w:hint="eastAsia" w:ascii="仿宋" w:hAnsi="仿宋" w:eastAsia="仿宋"/>
          <w:sz w:val="32"/>
          <w:szCs w:val="32"/>
        </w:rPr>
        <w:drawing>
          <wp:inline distT="0" distB="0" distL="114300" distR="114300">
            <wp:extent cx="4036695" cy="2395220"/>
            <wp:effectExtent l="4445" t="4445" r="10160" b="1333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320" w:firstLineChars="100"/>
        <w:rPr>
          <w:rFonts w:ascii="仿宋" w:hAnsi="仿宋" w:eastAsia="仿宋"/>
          <w:sz w:val="32"/>
          <w:szCs w:val="32"/>
        </w:rPr>
      </w:pPr>
      <w:r>
        <w:rPr>
          <w:rFonts w:hint="eastAsia" w:ascii="仿宋" w:hAnsi="仿宋" w:eastAsia="仿宋"/>
          <w:sz w:val="32"/>
          <w:szCs w:val="32"/>
        </w:rPr>
        <w:t>（图6：一般公共预算财政拨款支出决算结构）（饼状图）</w:t>
      </w:r>
    </w:p>
    <w:p>
      <w:pPr>
        <w:spacing w:line="600" w:lineRule="exact"/>
        <w:ind w:firstLine="640" w:firstLineChars="200"/>
        <w:outlineLvl w:val="2"/>
        <w:rPr>
          <w:rFonts w:ascii="仿宋" w:hAnsi="仿宋" w:eastAsia="仿宋"/>
          <w:sz w:val="32"/>
          <w:szCs w:val="32"/>
        </w:rPr>
      </w:pPr>
      <w:bookmarkStart w:id="81" w:name="_Toc15377212"/>
      <w:bookmarkStart w:id="82" w:name="_Toc174107217"/>
    </w:p>
    <w:p>
      <w:pPr>
        <w:spacing w:line="600" w:lineRule="exact"/>
        <w:ind w:firstLine="640" w:firstLineChars="200"/>
        <w:outlineLvl w:val="2"/>
        <w:rPr>
          <w:rFonts w:ascii="仿宋" w:hAnsi="仿宋" w:eastAsia="仿宋"/>
          <w:sz w:val="32"/>
          <w:szCs w:val="32"/>
        </w:rPr>
      </w:pPr>
      <w:r>
        <w:rPr>
          <w:rFonts w:hint="eastAsia" w:ascii="仿宋" w:hAnsi="仿宋" w:eastAsia="仿宋"/>
          <w:sz w:val="32"/>
          <w:szCs w:val="32"/>
        </w:rPr>
        <w:t>（三）一般公共预算财政拨款支出决算具体情况</w:t>
      </w:r>
      <w:bookmarkEnd w:id="81"/>
      <w:bookmarkEnd w:id="82"/>
    </w:p>
    <w:p>
      <w:pPr>
        <w:spacing w:line="600" w:lineRule="exact"/>
        <w:ind w:firstLine="640" w:firstLineChars="200"/>
        <w:outlineLvl w:val="1"/>
        <w:rPr>
          <w:rFonts w:ascii="仿宋" w:hAnsi="仿宋" w:eastAsia="仿宋"/>
          <w:sz w:val="32"/>
          <w:szCs w:val="32"/>
        </w:rPr>
      </w:pPr>
      <w:bookmarkStart w:id="83" w:name="_Toc174107218"/>
      <w:bookmarkStart w:id="84" w:name="_Toc17424"/>
      <w:bookmarkStart w:id="85" w:name="_Toc15378460"/>
      <w:bookmarkStart w:id="86" w:name="_Toc15377444"/>
      <w:bookmarkStart w:id="87" w:name="_Toc15377213"/>
      <w:bookmarkStart w:id="88" w:name="_Toc12177"/>
      <w:r>
        <w:rPr>
          <w:rFonts w:hint="eastAsia" w:ascii="仿宋" w:hAnsi="仿宋" w:eastAsia="仿宋"/>
          <w:sz w:val="32"/>
          <w:szCs w:val="32"/>
        </w:rPr>
        <w:t>2023年度一般公共预算支出决算数为</w:t>
      </w:r>
      <w:r>
        <w:rPr>
          <w:rFonts w:ascii="仿宋" w:hAnsi="仿宋" w:eastAsia="仿宋"/>
          <w:sz w:val="32"/>
          <w:szCs w:val="32"/>
        </w:rPr>
        <w:t>5240.6</w:t>
      </w:r>
      <w:r>
        <w:rPr>
          <w:rFonts w:hint="eastAsia" w:ascii="仿宋" w:hAnsi="仿宋" w:eastAsia="仿宋"/>
          <w:sz w:val="32"/>
          <w:szCs w:val="32"/>
          <w:lang w:eastAsia="zh-CN"/>
        </w:rPr>
        <w:t>万元</w:t>
      </w:r>
      <w:r>
        <w:rPr>
          <w:rFonts w:hint="eastAsia" w:ascii="仿宋" w:hAnsi="仿宋" w:eastAsia="仿宋"/>
          <w:sz w:val="32"/>
          <w:szCs w:val="32"/>
        </w:rPr>
        <w:t>，</w:t>
      </w:r>
      <w:r>
        <w:rPr>
          <w:rStyle w:val="16"/>
          <w:rFonts w:hint="eastAsia" w:ascii="仿宋" w:hAnsi="仿宋" w:eastAsia="仿宋"/>
          <w:b w:val="0"/>
          <w:bCs/>
          <w:sz w:val="32"/>
          <w:szCs w:val="32"/>
        </w:rPr>
        <w:t>完成预算81.</w:t>
      </w:r>
      <w:r>
        <w:rPr>
          <w:rStyle w:val="16"/>
          <w:rFonts w:hint="eastAsia" w:ascii="仿宋" w:hAnsi="仿宋" w:eastAsia="仿宋"/>
          <w:b w:val="0"/>
          <w:bCs/>
          <w:sz w:val="32"/>
          <w:szCs w:val="32"/>
          <w:lang w:val="en-US" w:eastAsia="zh-CN"/>
        </w:rPr>
        <w:t>9</w:t>
      </w:r>
      <w:r>
        <w:rPr>
          <w:rStyle w:val="16"/>
          <w:rFonts w:ascii="仿宋" w:hAnsi="仿宋" w:eastAsia="仿宋"/>
          <w:b w:val="0"/>
          <w:bCs/>
          <w:sz w:val="32"/>
          <w:szCs w:val="32"/>
        </w:rPr>
        <w:t>%</w:t>
      </w:r>
      <w:r>
        <w:rPr>
          <w:rStyle w:val="16"/>
          <w:rFonts w:hint="eastAsia" w:ascii="仿宋" w:hAnsi="仿宋" w:eastAsia="仿宋"/>
          <w:b w:val="0"/>
          <w:bCs/>
          <w:sz w:val="32"/>
          <w:szCs w:val="32"/>
        </w:rPr>
        <w:t>。其中：</w:t>
      </w:r>
      <w:bookmarkEnd w:id="83"/>
      <w:bookmarkEnd w:id="84"/>
      <w:bookmarkEnd w:id="85"/>
      <w:bookmarkEnd w:id="86"/>
      <w:bookmarkEnd w:id="87"/>
      <w:bookmarkEnd w:id="88"/>
    </w:p>
    <w:p>
      <w:pPr>
        <w:spacing w:line="600" w:lineRule="exact"/>
        <w:ind w:firstLine="642" w:firstLineChars="200"/>
        <w:rPr>
          <w:rFonts w:ascii="仿宋" w:hAnsi="仿宋" w:eastAsia="仿宋"/>
          <w:sz w:val="32"/>
          <w:szCs w:val="32"/>
        </w:rPr>
      </w:pPr>
      <w:r>
        <w:rPr>
          <w:rStyle w:val="16"/>
          <w:rFonts w:hint="eastAsia" w:ascii="仿宋" w:hAnsi="仿宋" w:eastAsia="仿宋"/>
          <w:bCs/>
          <w:sz w:val="32"/>
          <w:szCs w:val="32"/>
        </w:rPr>
        <w:t>1</w:t>
      </w:r>
      <w:r>
        <w:rPr>
          <w:rStyle w:val="16"/>
          <w:rFonts w:ascii="仿宋" w:hAnsi="仿宋" w:eastAsia="仿宋"/>
          <w:bCs/>
          <w:sz w:val="32"/>
          <w:szCs w:val="32"/>
        </w:rPr>
        <w:t>.</w:t>
      </w:r>
      <w:r>
        <w:rPr>
          <w:rStyle w:val="16"/>
          <w:rFonts w:hint="eastAsia" w:ascii="仿宋" w:hAnsi="仿宋" w:eastAsia="仿宋"/>
          <w:bCs/>
          <w:sz w:val="32"/>
          <w:szCs w:val="32"/>
        </w:rPr>
        <w:t>教育（类）</w:t>
      </w:r>
      <w:r>
        <w:rPr>
          <w:rFonts w:ascii="仿宋" w:hAnsi="仿宋" w:eastAsia="仿宋"/>
          <w:b/>
          <w:bCs/>
          <w:sz w:val="32"/>
          <w:szCs w:val="32"/>
        </w:rPr>
        <w:t>职业教育</w:t>
      </w:r>
      <w:r>
        <w:rPr>
          <w:rStyle w:val="16"/>
          <w:rFonts w:hint="eastAsia" w:ascii="仿宋" w:hAnsi="仿宋" w:eastAsia="仿宋"/>
          <w:bCs/>
          <w:sz w:val="32"/>
          <w:szCs w:val="32"/>
        </w:rPr>
        <w:t>（款）</w:t>
      </w:r>
      <w:r>
        <w:rPr>
          <w:rFonts w:ascii="仿宋" w:hAnsi="仿宋" w:eastAsia="仿宋"/>
          <w:b/>
          <w:bCs/>
          <w:sz w:val="32"/>
          <w:szCs w:val="32"/>
        </w:rPr>
        <w:t>中等职业教育</w:t>
      </w:r>
      <w:r>
        <w:rPr>
          <w:rStyle w:val="16"/>
          <w:rFonts w:hint="eastAsia" w:ascii="仿宋" w:hAnsi="仿宋" w:eastAsia="仿宋"/>
          <w:bCs/>
          <w:sz w:val="32"/>
          <w:szCs w:val="32"/>
        </w:rPr>
        <w:t>（项）</w:t>
      </w:r>
      <w:r>
        <w:rPr>
          <w:rStyle w:val="16"/>
          <w:rFonts w:ascii="仿宋" w:hAnsi="仿宋" w:eastAsia="仿宋"/>
          <w:b w:val="0"/>
          <w:bCs/>
          <w:sz w:val="32"/>
          <w:szCs w:val="32"/>
        </w:rPr>
        <w:t>:</w:t>
      </w:r>
      <w:r>
        <w:rPr>
          <w:rStyle w:val="16"/>
          <w:rFonts w:hint="eastAsia" w:ascii="仿宋" w:hAnsi="仿宋" w:eastAsia="仿宋"/>
          <w:b w:val="0"/>
          <w:bCs/>
          <w:sz w:val="32"/>
          <w:szCs w:val="32"/>
          <w:lang w:eastAsia="zh-CN"/>
        </w:rPr>
        <w:t>：</w:t>
      </w:r>
      <w:r>
        <w:rPr>
          <w:rStyle w:val="16"/>
          <w:rFonts w:hint="eastAsia" w:ascii="仿宋" w:hAnsi="仿宋" w:eastAsia="仿宋"/>
          <w:b w:val="0"/>
          <w:bCs/>
          <w:sz w:val="32"/>
          <w:szCs w:val="32"/>
        </w:rPr>
        <w:t>出决算为</w:t>
      </w:r>
      <w:r>
        <w:rPr>
          <w:rFonts w:ascii="仿宋" w:hAnsi="仿宋" w:eastAsia="仿宋"/>
          <w:sz w:val="32"/>
          <w:szCs w:val="32"/>
        </w:rPr>
        <w:t>4,326.35</w:t>
      </w:r>
      <w:r>
        <w:rPr>
          <w:rStyle w:val="16"/>
          <w:rFonts w:hint="eastAsia" w:ascii="仿宋" w:hAnsi="仿宋" w:eastAsia="仿宋"/>
          <w:b w:val="0"/>
          <w:bCs/>
          <w:sz w:val="32"/>
          <w:szCs w:val="32"/>
        </w:rPr>
        <w:t>万元，完成预算67.</w:t>
      </w:r>
      <w:r>
        <w:rPr>
          <w:rStyle w:val="16"/>
          <w:rFonts w:hint="eastAsia" w:ascii="仿宋" w:hAnsi="仿宋" w:eastAsia="仿宋"/>
          <w:b w:val="0"/>
          <w:bCs/>
          <w:sz w:val="32"/>
          <w:szCs w:val="32"/>
          <w:lang w:val="en-US" w:eastAsia="zh-CN"/>
        </w:rPr>
        <w:t>6</w:t>
      </w:r>
      <w:r>
        <w:rPr>
          <w:rStyle w:val="16"/>
          <w:rFonts w:ascii="仿宋" w:hAnsi="仿宋" w:eastAsia="仿宋"/>
          <w:b w:val="0"/>
          <w:bCs/>
          <w:sz w:val="32"/>
          <w:szCs w:val="32"/>
        </w:rPr>
        <w:t>%</w:t>
      </w:r>
      <w:r>
        <w:rPr>
          <w:rStyle w:val="16"/>
          <w:rFonts w:hint="eastAsia" w:ascii="仿宋" w:hAnsi="仿宋" w:eastAsia="仿宋"/>
          <w:b w:val="0"/>
          <w:bCs/>
          <w:sz w:val="32"/>
          <w:szCs w:val="32"/>
        </w:rPr>
        <w:t>，决算数小于预算数的主要原因是</w:t>
      </w:r>
      <w:r>
        <w:rPr>
          <w:rFonts w:hint="eastAsia" w:ascii="仿宋" w:hAnsi="仿宋" w:eastAsia="仿宋"/>
          <w:bCs/>
          <w:sz w:val="32"/>
          <w:szCs w:val="32"/>
        </w:rPr>
        <w:t>是项目经费下达时间晚，未全部使用</w:t>
      </w:r>
      <w:r>
        <w:rPr>
          <w:rStyle w:val="16"/>
          <w:rFonts w:hint="eastAsia" w:ascii="仿宋" w:hAnsi="仿宋" w:eastAsia="仿宋"/>
          <w:b w:val="0"/>
          <w:bCs/>
          <w:sz w:val="32"/>
          <w:szCs w:val="32"/>
        </w:rPr>
        <w:t>。</w:t>
      </w:r>
    </w:p>
    <w:p>
      <w:pPr>
        <w:spacing w:line="600" w:lineRule="exact"/>
        <w:ind w:firstLine="642" w:firstLineChars="200"/>
        <w:rPr>
          <w:rFonts w:ascii="仿宋" w:hAnsi="仿宋" w:eastAsia="仿宋"/>
          <w:bCs/>
          <w:sz w:val="32"/>
          <w:szCs w:val="32"/>
        </w:rPr>
      </w:pPr>
      <w:r>
        <w:rPr>
          <w:rFonts w:hint="eastAsia" w:ascii="仿宋" w:hAnsi="仿宋" w:eastAsia="仿宋"/>
          <w:b/>
          <w:bCs/>
          <w:sz w:val="32"/>
          <w:szCs w:val="32"/>
        </w:rPr>
        <w:t>2.社会保障和就业（类）</w:t>
      </w:r>
      <w:r>
        <w:rPr>
          <w:rFonts w:ascii="仿宋" w:hAnsi="仿宋" w:eastAsia="仿宋"/>
          <w:b/>
          <w:bCs/>
          <w:sz w:val="32"/>
          <w:szCs w:val="32"/>
        </w:rPr>
        <w:t>人力资源和社会保障管理事务</w:t>
      </w:r>
      <w:r>
        <w:rPr>
          <w:rFonts w:hint="eastAsia" w:ascii="仿宋" w:hAnsi="仿宋" w:eastAsia="仿宋"/>
          <w:b/>
          <w:bCs/>
          <w:sz w:val="32"/>
          <w:szCs w:val="32"/>
        </w:rPr>
        <w:t>（款)</w:t>
      </w:r>
      <w:r>
        <w:rPr>
          <w:rFonts w:ascii="仿宋" w:hAnsi="仿宋" w:eastAsia="仿宋"/>
          <w:b/>
          <w:bCs/>
          <w:sz w:val="32"/>
          <w:szCs w:val="32"/>
        </w:rPr>
        <w:t>其他人力资源和社会保障管理事务支出</w:t>
      </w:r>
      <w:r>
        <w:rPr>
          <w:rFonts w:hint="eastAsia" w:ascii="仿宋" w:hAnsi="仿宋" w:eastAsia="仿宋"/>
          <w:b/>
          <w:bCs/>
          <w:sz w:val="32"/>
          <w:szCs w:val="32"/>
        </w:rPr>
        <w:t>（项）</w:t>
      </w:r>
      <w:r>
        <w:rPr>
          <w:rFonts w:hint="eastAsia" w:ascii="仿宋" w:hAnsi="仿宋" w:eastAsia="仿宋"/>
          <w:bCs/>
          <w:sz w:val="32"/>
          <w:szCs w:val="32"/>
        </w:rPr>
        <w:t>：支出决算为4万元，完成预算100</w:t>
      </w:r>
      <w:r>
        <w:rPr>
          <w:rFonts w:ascii="仿宋" w:hAnsi="仿宋" w:eastAsia="仿宋"/>
          <w:bCs/>
          <w:sz w:val="32"/>
          <w:szCs w:val="32"/>
        </w:rPr>
        <w:t>%</w:t>
      </w:r>
      <w:r>
        <w:rPr>
          <w:rFonts w:hint="eastAsia" w:ascii="仿宋" w:hAnsi="仿宋" w:eastAsia="仿宋"/>
          <w:bCs/>
          <w:sz w:val="32"/>
          <w:szCs w:val="32"/>
        </w:rPr>
        <w:t>，决算数与预算数持平。</w:t>
      </w:r>
    </w:p>
    <w:p>
      <w:pPr>
        <w:spacing w:line="600" w:lineRule="exact"/>
        <w:ind w:firstLine="642" w:firstLineChars="200"/>
        <w:rPr>
          <w:rFonts w:ascii="仿宋" w:hAnsi="仿宋" w:eastAsia="仿宋"/>
          <w:bCs/>
          <w:sz w:val="32"/>
          <w:szCs w:val="32"/>
        </w:rPr>
      </w:pPr>
      <w:r>
        <w:rPr>
          <w:rFonts w:hint="eastAsia" w:ascii="仿宋" w:hAnsi="仿宋" w:eastAsia="仿宋"/>
          <w:b/>
          <w:bCs/>
          <w:sz w:val="32"/>
          <w:szCs w:val="32"/>
        </w:rPr>
        <w:t>3.社会保障和就业（类）行政事业单位养老支出（款)</w:t>
      </w:r>
      <w:r>
        <w:rPr>
          <w:rFonts w:ascii="仿宋" w:hAnsi="仿宋" w:eastAsia="仿宋"/>
          <w:b/>
          <w:bCs/>
          <w:sz w:val="32"/>
          <w:szCs w:val="32"/>
        </w:rPr>
        <w:t>事业单位离退休</w:t>
      </w:r>
      <w:r>
        <w:rPr>
          <w:rFonts w:hint="eastAsia" w:ascii="仿宋" w:hAnsi="仿宋" w:eastAsia="仿宋"/>
          <w:b/>
          <w:bCs/>
          <w:sz w:val="32"/>
          <w:szCs w:val="32"/>
        </w:rPr>
        <w:t>（项）</w:t>
      </w:r>
      <w:r>
        <w:rPr>
          <w:rFonts w:hint="eastAsia" w:ascii="仿宋" w:hAnsi="仿宋" w:eastAsia="仿宋"/>
          <w:bCs/>
          <w:sz w:val="32"/>
          <w:szCs w:val="32"/>
        </w:rPr>
        <w:t>：支出决算为</w:t>
      </w:r>
      <w:r>
        <w:rPr>
          <w:rFonts w:ascii="仿宋" w:hAnsi="仿宋" w:eastAsia="仿宋"/>
          <w:bCs/>
          <w:sz w:val="32"/>
          <w:szCs w:val="32"/>
        </w:rPr>
        <w:t>36.75</w:t>
      </w:r>
      <w:r>
        <w:rPr>
          <w:rFonts w:hint="eastAsia" w:ascii="仿宋" w:hAnsi="仿宋" w:eastAsia="仿宋"/>
          <w:bCs/>
          <w:sz w:val="32"/>
          <w:szCs w:val="32"/>
        </w:rPr>
        <w:t>万元，完成预算100</w:t>
      </w:r>
      <w:r>
        <w:rPr>
          <w:rFonts w:ascii="仿宋" w:hAnsi="仿宋" w:eastAsia="仿宋"/>
          <w:bCs/>
          <w:sz w:val="32"/>
          <w:szCs w:val="32"/>
        </w:rPr>
        <w:t>%</w:t>
      </w:r>
      <w:r>
        <w:rPr>
          <w:rFonts w:hint="eastAsia" w:ascii="仿宋" w:hAnsi="仿宋" w:eastAsia="仿宋"/>
          <w:bCs/>
          <w:sz w:val="32"/>
          <w:szCs w:val="32"/>
        </w:rPr>
        <w:t>，决算数与预算数持平。</w:t>
      </w:r>
    </w:p>
    <w:p>
      <w:pPr>
        <w:spacing w:line="600" w:lineRule="exact"/>
        <w:ind w:firstLine="642" w:firstLineChars="200"/>
        <w:rPr>
          <w:rFonts w:ascii="仿宋" w:hAnsi="仿宋" w:eastAsia="仿宋"/>
          <w:bCs/>
          <w:sz w:val="32"/>
          <w:szCs w:val="32"/>
        </w:rPr>
      </w:pPr>
      <w:r>
        <w:rPr>
          <w:rFonts w:hint="eastAsia" w:ascii="仿宋" w:hAnsi="仿宋" w:eastAsia="仿宋"/>
          <w:b/>
          <w:bCs/>
          <w:sz w:val="32"/>
          <w:szCs w:val="32"/>
        </w:rPr>
        <w:t>4</w:t>
      </w:r>
      <w:r>
        <w:rPr>
          <w:rFonts w:ascii="仿宋" w:hAnsi="仿宋" w:eastAsia="仿宋"/>
          <w:b/>
          <w:bCs/>
          <w:sz w:val="32"/>
          <w:szCs w:val="32"/>
        </w:rPr>
        <w:t>.</w:t>
      </w:r>
      <w:r>
        <w:rPr>
          <w:rFonts w:hint="eastAsia" w:ascii="仿宋" w:hAnsi="仿宋" w:eastAsia="仿宋"/>
          <w:b/>
          <w:bCs/>
          <w:sz w:val="32"/>
          <w:szCs w:val="32"/>
        </w:rPr>
        <w:t>社会保障和就业（类）行政事业单位养老支出（款)机关事业单位基本养老保险缴费支出（项）</w:t>
      </w:r>
      <w:r>
        <w:rPr>
          <w:rFonts w:ascii="仿宋" w:hAnsi="仿宋" w:eastAsia="仿宋"/>
          <w:bCs/>
          <w:sz w:val="32"/>
          <w:szCs w:val="32"/>
        </w:rPr>
        <w:t>:</w:t>
      </w:r>
      <w:r>
        <w:rPr>
          <w:rFonts w:hint="eastAsia" w:ascii="仿宋" w:hAnsi="仿宋" w:eastAsia="仿宋"/>
          <w:bCs/>
          <w:sz w:val="32"/>
          <w:szCs w:val="32"/>
        </w:rPr>
        <w:t>出决算为</w:t>
      </w:r>
      <w:r>
        <w:rPr>
          <w:rFonts w:ascii="仿宋" w:hAnsi="仿宋" w:eastAsia="仿宋"/>
          <w:bCs/>
          <w:sz w:val="32"/>
          <w:szCs w:val="32"/>
        </w:rPr>
        <w:t>359.37</w:t>
      </w:r>
      <w:r>
        <w:rPr>
          <w:rFonts w:hint="eastAsia" w:ascii="仿宋" w:hAnsi="仿宋" w:eastAsia="仿宋"/>
          <w:bCs/>
          <w:sz w:val="32"/>
          <w:szCs w:val="32"/>
        </w:rPr>
        <w:t>万元，完成预算100</w:t>
      </w:r>
      <w:r>
        <w:rPr>
          <w:rFonts w:ascii="仿宋" w:hAnsi="仿宋" w:eastAsia="仿宋"/>
          <w:bCs/>
          <w:sz w:val="32"/>
          <w:szCs w:val="32"/>
        </w:rPr>
        <w:t>%</w:t>
      </w:r>
      <w:r>
        <w:rPr>
          <w:rFonts w:hint="eastAsia" w:ascii="仿宋" w:hAnsi="仿宋" w:eastAsia="仿宋"/>
          <w:bCs/>
          <w:sz w:val="32"/>
          <w:szCs w:val="32"/>
        </w:rPr>
        <w:t>，决算数与预算数持平。</w:t>
      </w:r>
    </w:p>
    <w:p>
      <w:pPr>
        <w:spacing w:line="600" w:lineRule="exact"/>
        <w:ind w:firstLine="642" w:firstLineChars="200"/>
        <w:rPr>
          <w:rFonts w:ascii="仿宋" w:hAnsi="仿宋" w:eastAsia="仿宋"/>
          <w:bCs/>
          <w:sz w:val="32"/>
          <w:szCs w:val="32"/>
        </w:rPr>
      </w:pPr>
      <w:r>
        <w:rPr>
          <w:rFonts w:hint="eastAsia" w:ascii="仿宋" w:hAnsi="仿宋" w:eastAsia="仿宋"/>
          <w:b/>
          <w:bCs/>
          <w:sz w:val="32"/>
          <w:szCs w:val="32"/>
        </w:rPr>
        <w:t>5.社会保障和就业（类）行政事业单位养老支出（款)机关事业单位职业年金缴费支出（项）</w:t>
      </w:r>
      <w:r>
        <w:rPr>
          <w:rFonts w:hint="eastAsia" w:ascii="仿宋" w:hAnsi="仿宋" w:eastAsia="仿宋"/>
          <w:bCs/>
          <w:sz w:val="32"/>
          <w:szCs w:val="32"/>
        </w:rPr>
        <w:t>：支出决算为</w:t>
      </w:r>
      <w:r>
        <w:rPr>
          <w:rFonts w:ascii="仿宋" w:hAnsi="仿宋" w:eastAsia="仿宋"/>
          <w:bCs/>
          <w:sz w:val="32"/>
          <w:szCs w:val="32"/>
        </w:rPr>
        <w:t>50.03</w:t>
      </w:r>
      <w:r>
        <w:rPr>
          <w:rFonts w:hint="eastAsia" w:ascii="仿宋" w:hAnsi="仿宋" w:eastAsia="仿宋"/>
          <w:bCs/>
          <w:sz w:val="32"/>
          <w:szCs w:val="32"/>
        </w:rPr>
        <w:t>万元，完成预算100</w:t>
      </w:r>
      <w:r>
        <w:rPr>
          <w:rFonts w:ascii="仿宋" w:hAnsi="仿宋" w:eastAsia="仿宋"/>
          <w:bCs/>
          <w:sz w:val="32"/>
          <w:szCs w:val="32"/>
        </w:rPr>
        <w:t>%</w:t>
      </w:r>
      <w:r>
        <w:rPr>
          <w:rFonts w:hint="eastAsia" w:ascii="仿宋" w:hAnsi="仿宋" w:eastAsia="仿宋"/>
          <w:bCs/>
          <w:sz w:val="32"/>
          <w:szCs w:val="32"/>
        </w:rPr>
        <w:t>，决算数与预算数持平。</w:t>
      </w:r>
    </w:p>
    <w:p>
      <w:pPr>
        <w:spacing w:line="600" w:lineRule="exact"/>
        <w:ind w:firstLine="642" w:firstLineChars="200"/>
        <w:rPr>
          <w:rFonts w:ascii="仿宋" w:hAnsi="仿宋" w:eastAsia="仿宋"/>
          <w:bCs/>
          <w:sz w:val="32"/>
          <w:szCs w:val="32"/>
        </w:rPr>
      </w:pPr>
      <w:r>
        <w:rPr>
          <w:rFonts w:hint="eastAsia" w:ascii="仿宋" w:hAnsi="仿宋" w:eastAsia="仿宋"/>
          <w:b/>
          <w:bCs/>
          <w:sz w:val="32"/>
          <w:szCs w:val="32"/>
        </w:rPr>
        <w:t>6.社会保障和就业（类）</w:t>
      </w:r>
      <w:r>
        <w:rPr>
          <w:rFonts w:ascii="仿宋" w:hAnsi="仿宋" w:eastAsia="仿宋"/>
          <w:b/>
          <w:bCs/>
          <w:sz w:val="32"/>
          <w:szCs w:val="32"/>
        </w:rPr>
        <w:t>就业补助</w:t>
      </w:r>
      <w:r>
        <w:rPr>
          <w:rFonts w:hint="eastAsia" w:ascii="仿宋" w:hAnsi="仿宋" w:eastAsia="仿宋"/>
          <w:b/>
          <w:bCs/>
          <w:sz w:val="32"/>
          <w:szCs w:val="32"/>
        </w:rPr>
        <w:t>（款)</w:t>
      </w:r>
      <w:r>
        <w:rPr>
          <w:rFonts w:ascii="仿宋" w:hAnsi="仿宋" w:eastAsia="仿宋"/>
          <w:b/>
          <w:bCs/>
          <w:sz w:val="32"/>
          <w:szCs w:val="32"/>
        </w:rPr>
        <w:t>其他就业补助支出</w:t>
      </w:r>
      <w:r>
        <w:rPr>
          <w:rFonts w:hint="eastAsia" w:ascii="仿宋" w:hAnsi="仿宋" w:eastAsia="仿宋"/>
          <w:b/>
          <w:bCs/>
          <w:sz w:val="32"/>
          <w:szCs w:val="32"/>
        </w:rPr>
        <w:t>（项）</w:t>
      </w:r>
      <w:r>
        <w:rPr>
          <w:rFonts w:hint="eastAsia" w:ascii="仿宋" w:hAnsi="仿宋" w:eastAsia="仿宋"/>
          <w:bCs/>
          <w:sz w:val="32"/>
          <w:szCs w:val="32"/>
        </w:rPr>
        <w:t>：支出决算为</w:t>
      </w:r>
      <w:r>
        <w:rPr>
          <w:rFonts w:ascii="仿宋" w:hAnsi="仿宋" w:eastAsia="仿宋"/>
          <w:bCs/>
          <w:sz w:val="32"/>
          <w:szCs w:val="32"/>
        </w:rPr>
        <w:t>94.17</w:t>
      </w:r>
      <w:r>
        <w:rPr>
          <w:rFonts w:hint="eastAsia" w:ascii="仿宋" w:hAnsi="仿宋" w:eastAsia="仿宋"/>
          <w:bCs/>
          <w:sz w:val="32"/>
          <w:szCs w:val="32"/>
        </w:rPr>
        <w:t>万元，完成预算100</w:t>
      </w:r>
      <w:r>
        <w:rPr>
          <w:rFonts w:ascii="仿宋" w:hAnsi="仿宋" w:eastAsia="仿宋"/>
          <w:bCs/>
          <w:sz w:val="32"/>
          <w:szCs w:val="32"/>
        </w:rPr>
        <w:t>%</w:t>
      </w:r>
      <w:r>
        <w:rPr>
          <w:rFonts w:hint="eastAsia" w:ascii="仿宋" w:hAnsi="仿宋" w:eastAsia="仿宋"/>
          <w:bCs/>
          <w:sz w:val="32"/>
          <w:szCs w:val="32"/>
        </w:rPr>
        <w:t>，决算数与预算数持平。</w:t>
      </w:r>
    </w:p>
    <w:p>
      <w:pPr>
        <w:spacing w:line="600" w:lineRule="exact"/>
        <w:ind w:firstLine="642" w:firstLineChars="200"/>
        <w:rPr>
          <w:rFonts w:ascii="仿宋" w:hAnsi="仿宋" w:eastAsia="仿宋"/>
          <w:bCs/>
          <w:sz w:val="32"/>
          <w:szCs w:val="32"/>
        </w:rPr>
      </w:pPr>
      <w:r>
        <w:rPr>
          <w:rFonts w:hint="eastAsia" w:ascii="仿宋" w:hAnsi="仿宋" w:eastAsia="仿宋"/>
          <w:b/>
          <w:bCs/>
          <w:sz w:val="32"/>
          <w:szCs w:val="32"/>
        </w:rPr>
        <w:t>7.社会保障和就业（类）</w:t>
      </w:r>
      <w:r>
        <w:rPr>
          <w:rFonts w:ascii="仿宋" w:hAnsi="仿宋" w:eastAsia="仿宋"/>
          <w:b/>
          <w:bCs/>
          <w:sz w:val="32"/>
          <w:szCs w:val="32"/>
        </w:rPr>
        <w:t>其他社会保障和就业支出</w:t>
      </w:r>
      <w:r>
        <w:rPr>
          <w:rFonts w:hint="eastAsia" w:ascii="仿宋" w:hAnsi="仿宋" w:eastAsia="仿宋"/>
          <w:b/>
          <w:bCs/>
          <w:sz w:val="32"/>
          <w:szCs w:val="32"/>
        </w:rPr>
        <w:t>（款)</w:t>
      </w:r>
      <w:r>
        <w:rPr>
          <w:rFonts w:ascii="仿宋" w:hAnsi="仿宋" w:eastAsia="仿宋"/>
          <w:b/>
          <w:bCs/>
          <w:sz w:val="32"/>
          <w:szCs w:val="32"/>
        </w:rPr>
        <w:t>其他社会保障和就业支出</w:t>
      </w:r>
      <w:r>
        <w:rPr>
          <w:rFonts w:hint="eastAsia" w:ascii="仿宋" w:hAnsi="仿宋" w:eastAsia="仿宋"/>
          <w:b/>
          <w:bCs/>
          <w:sz w:val="32"/>
          <w:szCs w:val="32"/>
        </w:rPr>
        <w:t>（项）</w:t>
      </w:r>
      <w:r>
        <w:rPr>
          <w:rFonts w:hint="eastAsia" w:ascii="仿宋" w:hAnsi="仿宋" w:eastAsia="仿宋"/>
          <w:bCs/>
          <w:sz w:val="32"/>
          <w:szCs w:val="32"/>
        </w:rPr>
        <w:t>：支出决算为</w:t>
      </w:r>
      <w:r>
        <w:rPr>
          <w:rFonts w:ascii="仿宋" w:hAnsi="仿宋" w:eastAsia="仿宋"/>
          <w:bCs/>
          <w:sz w:val="32"/>
          <w:szCs w:val="32"/>
        </w:rPr>
        <w:t>22.70</w:t>
      </w:r>
      <w:r>
        <w:rPr>
          <w:rFonts w:hint="eastAsia" w:ascii="仿宋" w:hAnsi="仿宋" w:eastAsia="仿宋"/>
          <w:bCs/>
          <w:sz w:val="32"/>
          <w:szCs w:val="32"/>
        </w:rPr>
        <w:t>万元，完成预算100</w:t>
      </w:r>
      <w:r>
        <w:rPr>
          <w:rFonts w:ascii="仿宋" w:hAnsi="仿宋" w:eastAsia="仿宋"/>
          <w:bCs/>
          <w:sz w:val="32"/>
          <w:szCs w:val="32"/>
        </w:rPr>
        <w:t>%</w:t>
      </w:r>
      <w:r>
        <w:rPr>
          <w:rFonts w:hint="eastAsia" w:ascii="仿宋" w:hAnsi="仿宋" w:eastAsia="仿宋"/>
          <w:bCs/>
          <w:sz w:val="32"/>
          <w:szCs w:val="32"/>
        </w:rPr>
        <w:t>，决算数与预算数持平。</w:t>
      </w:r>
    </w:p>
    <w:p>
      <w:pPr>
        <w:spacing w:line="600" w:lineRule="exact"/>
        <w:ind w:firstLine="642" w:firstLineChars="200"/>
        <w:rPr>
          <w:rFonts w:ascii="仿宋" w:hAnsi="仿宋" w:eastAsia="仿宋"/>
          <w:bCs/>
          <w:sz w:val="32"/>
          <w:szCs w:val="32"/>
        </w:rPr>
      </w:pPr>
      <w:r>
        <w:rPr>
          <w:rFonts w:hint="eastAsia" w:ascii="仿宋" w:hAnsi="仿宋" w:eastAsia="仿宋"/>
          <w:b/>
          <w:bCs/>
          <w:sz w:val="32"/>
          <w:szCs w:val="32"/>
        </w:rPr>
        <w:t>8</w:t>
      </w:r>
      <w:r>
        <w:rPr>
          <w:rFonts w:ascii="仿宋" w:hAnsi="仿宋" w:eastAsia="仿宋"/>
          <w:b/>
          <w:bCs/>
          <w:sz w:val="32"/>
          <w:szCs w:val="32"/>
        </w:rPr>
        <w:t>.</w:t>
      </w:r>
      <w:r>
        <w:rPr>
          <w:rFonts w:hint="eastAsia" w:ascii="仿宋" w:hAnsi="仿宋" w:eastAsia="仿宋"/>
          <w:b/>
          <w:bCs/>
          <w:sz w:val="32"/>
          <w:szCs w:val="32"/>
        </w:rPr>
        <w:t>卫生健康（类）</w:t>
      </w:r>
      <w:r>
        <w:rPr>
          <w:rFonts w:ascii="仿宋" w:hAnsi="仿宋" w:eastAsia="仿宋"/>
          <w:b/>
          <w:bCs/>
          <w:sz w:val="32"/>
          <w:szCs w:val="32"/>
        </w:rPr>
        <w:t>公共卫生</w:t>
      </w:r>
      <w:r>
        <w:rPr>
          <w:rFonts w:hint="eastAsia" w:ascii="仿宋" w:hAnsi="仿宋" w:eastAsia="仿宋"/>
          <w:b/>
          <w:bCs/>
          <w:sz w:val="32"/>
          <w:szCs w:val="32"/>
        </w:rPr>
        <w:t>（款）</w:t>
      </w:r>
      <w:r>
        <w:rPr>
          <w:rFonts w:ascii="仿宋" w:hAnsi="仿宋" w:eastAsia="仿宋"/>
          <w:b/>
          <w:bCs/>
          <w:sz w:val="32"/>
          <w:szCs w:val="32"/>
        </w:rPr>
        <w:t>基本公共卫生服务</w:t>
      </w:r>
      <w:r>
        <w:rPr>
          <w:rFonts w:hint="eastAsia" w:ascii="仿宋" w:hAnsi="仿宋" w:eastAsia="仿宋"/>
          <w:b/>
          <w:bCs/>
          <w:sz w:val="32"/>
          <w:szCs w:val="32"/>
        </w:rPr>
        <w:t>（项）</w:t>
      </w:r>
      <w:r>
        <w:rPr>
          <w:rFonts w:ascii="仿宋" w:hAnsi="仿宋" w:eastAsia="仿宋"/>
          <w:bCs/>
          <w:sz w:val="32"/>
          <w:szCs w:val="32"/>
        </w:rPr>
        <w:t>:</w:t>
      </w:r>
      <w:r>
        <w:rPr>
          <w:rFonts w:hint="eastAsia" w:ascii="仿宋" w:hAnsi="仿宋" w:eastAsia="仿宋"/>
          <w:bCs/>
          <w:sz w:val="32"/>
          <w:szCs w:val="32"/>
          <w:lang w:eastAsia="zh-CN"/>
        </w:rPr>
        <w:t>：</w:t>
      </w:r>
      <w:r>
        <w:rPr>
          <w:rFonts w:hint="eastAsia" w:ascii="仿宋" w:hAnsi="仿宋" w:eastAsia="仿宋"/>
          <w:bCs/>
          <w:sz w:val="32"/>
          <w:szCs w:val="32"/>
        </w:rPr>
        <w:t>出决算为</w:t>
      </w:r>
      <w:r>
        <w:rPr>
          <w:rFonts w:ascii="仿宋" w:hAnsi="仿宋" w:eastAsia="仿宋"/>
          <w:bCs/>
          <w:sz w:val="32"/>
          <w:szCs w:val="32"/>
        </w:rPr>
        <w:t>5.42</w:t>
      </w:r>
      <w:r>
        <w:rPr>
          <w:rFonts w:hint="eastAsia" w:ascii="仿宋" w:hAnsi="仿宋" w:eastAsia="仿宋"/>
          <w:bCs/>
          <w:sz w:val="32"/>
          <w:szCs w:val="32"/>
        </w:rPr>
        <w:t>万元，完成预算100</w:t>
      </w:r>
      <w:r>
        <w:rPr>
          <w:rFonts w:ascii="仿宋" w:hAnsi="仿宋" w:eastAsia="仿宋"/>
          <w:bCs/>
          <w:sz w:val="32"/>
          <w:szCs w:val="32"/>
        </w:rPr>
        <w:t>%</w:t>
      </w:r>
      <w:r>
        <w:rPr>
          <w:rFonts w:hint="eastAsia" w:ascii="仿宋" w:hAnsi="仿宋" w:eastAsia="仿宋"/>
          <w:bCs/>
          <w:sz w:val="32"/>
          <w:szCs w:val="32"/>
        </w:rPr>
        <w:t>，决算数与预算数持平。</w:t>
      </w:r>
    </w:p>
    <w:p>
      <w:pPr>
        <w:spacing w:line="600" w:lineRule="exact"/>
        <w:ind w:firstLine="642" w:firstLineChars="200"/>
        <w:rPr>
          <w:rFonts w:ascii="仿宋" w:hAnsi="仿宋" w:eastAsia="仿宋"/>
          <w:bCs/>
          <w:sz w:val="32"/>
          <w:szCs w:val="32"/>
        </w:rPr>
      </w:pPr>
      <w:r>
        <w:rPr>
          <w:rFonts w:hint="eastAsia" w:ascii="仿宋" w:hAnsi="仿宋" w:eastAsia="仿宋"/>
          <w:b/>
          <w:bCs/>
          <w:sz w:val="32"/>
          <w:szCs w:val="32"/>
        </w:rPr>
        <w:t>9</w:t>
      </w:r>
      <w:r>
        <w:rPr>
          <w:rFonts w:ascii="仿宋" w:hAnsi="仿宋" w:eastAsia="仿宋"/>
          <w:b/>
          <w:bCs/>
          <w:sz w:val="32"/>
          <w:szCs w:val="32"/>
        </w:rPr>
        <w:t>.</w:t>
      </w:r>
      <w:r>
        <w:rPr>
          <w:rFonts w:hint="eastAsia" w:ascii="仿宋" w:hAnsi="仿宋" w:eastAsia="仿宋"/>
          <w:b/>
          <w:bCs/>
          <w:sz w:val="32"/>
          <w:szCs w:val="32"/>
        </w:rPr>
        <w:t>卫生健康（类）</w:t>
      </w:r>
      <w:r>
        <w:rPr>
          <w:rFonts w:ascii="仿宋" w:hAnsi="仿宋" w:eastAsia="仿宋"/>
          <w:b/>
          <w:bCs/>
          <w:sz w:val="32"/>
          <w:szCs w:val="32"/>
        </w:rPr>
        <w:t>行政事业单位医疗</w:t>
      </w:r>
      <w:r>
        <w:rPr>
          <w:rFonts w:hint="eastAsia" w:ascii="仿宋" w:hAnsi="仿宋" w:eastAsia="仿宋"/>
          <w:b/>
          <w:bCs/>
          <w:sz w:val="32"/>
          <w:szCs w:val="32"/>
        </w:rPr>
        <w:t>（款）</w:t>
      </w:r>
      <w:r>
        <w:rPr>
          <w:rFonts w:ascii="仿宋" w:hAnsi="仿宋" w:eastAsia="仿宋"/>
          <w:b/>
          <w:bCs/>
          <w:sz w:val="32"/>
          <w:szCs w:val="32"/>
        </w:rPr>
        <w:t>事业单位医疗</w:t>
      </w:r>
      <w:r>
        <w:rPr>
          <w:rFonts w:hint="eastAsia" w:ascii="仿宋" w:hAnsi="仿宋" w:eastAsia="仿宋"/>
          <w:b/>
          <w:bCs/>
          <w:sz w:val="32"/>
          <w:szCs w:val="32"/>
        </w:rPr>
        <w:t>（项）</w:t>
      </w:r>
      <w:r>
        <w:rPr>
          <w:rFonts w:ascii="仿宋" w:hAnsi="仿宋" w:eastAsia="仿宋"/>
          <w:bCs/>
          <w:sz w:val="32"/>
          <w:szCs w:val="32"/>
        </w:rPr>
        <w:t>:</w:t>
      </w:r>
      <w:r>
        <w:rPr>
          <w:rFonts w:hint="eastAsia" w:ascii="仿宋" w:hAnsi="仿宋" w:eastAsia="仿宋"/>
          <w:bCs/>
          <w:sz w:val="32"/>
          <w:szCs w:val="32"/>
          <w:lang w:eastAsia="zh-CN"/>
        </w:rPr>
        <w:t>：</w:t>
      </w:r>
      <w:r>
        <w:rPr>
          <w:rFonts w:hint="eastAsia" w:ascii="仿宋" w:hAnsi="仿宋" w:eastAsia="仿宋"/>
          <w:bCs/>
          <w:sz w:val="32"/>
          <w:szCs w:val="32"/>
        </w:rPr>
        <w:t>出决算为</w:t>
      </w:r>
      <w:r>
        <w:rPr>
          <w:rFonts w:ascii="仿宋" w:hAnsi="仿宋" w:eastAsia="仿宋"/>
          <w:bCs/>
          <w:sz w:val="32"/>
          <w:szCs w:val="32"/>
        </w:rPr>
        <w:t>106.78</w:t>
      </w:r>
      <w:r>
        <w:rPr>
          <w:rFonts w:hint="eastAsia" w:ascii="仿宋" w:hAnsi="仿宋" w:eastAsia="仿宋"/>
          <w:bCs/>
          <w:sz w:val="32"/>
          <w:szCs w:val="32"/>
        </w:rPr>
        <w:t>万元，完成预算100</w:t>
      </w:r>
      <w:r>
        <w:rPr>
          <w:rFonts w:ascii="仿宋" w:hAnsi="仿宋" w:eastAsia="仿宋"/>
          <w:bCs/>
          <w:sz w:val="32"/>
          <w:szCs w:val="32"/>
        </w:rPr>
        <w:t>%</w:t>
      </w:r>
      <w:r>
        <w:rPr>
          <w:rFonts w:hint="eastAsia" w:ascii="仿宋" w:hAnsi="仿宋" w:eastAsia="仿宋"/>
          <w:bCs/>
          <w:sz w:val="32"/>
          <w:szCs w:val="32"/>
        </w:rPr>
        <w:t>，决算数与预算数持平。</w:t>
      </w:r>
    </w:p>
    <w:p>
      <w:pPr>
        <w:spacing w:line="600" w:lineRule="exact"/>
        <w:ind w:firstLine="642" w:firstLineChars="200"/>
        <w:rPr>
          <w:rFonts w:ascii="仿宋" w:hAnsi="仿宋" w:eastAsia="仿宋"/>
          <w:bCs/>
          <w:sz w:val="32"/>
          <w:szCs w:val="32"/>
        </w:rPr>
      </w:pPr>
      <w:r>
        <w:rPr>
          <w:rFonts w:hint="eastAsia" w:ascii="仿宋" w:hAnsi="仿宋" w:eastAsia="仿宋"/>
          <w:b/>
          <w:bCs/>
          <w:sz w:val="32"/>
          <w:szCs w:val="32"/>
        </w:rPr>
        <w:t>10</w:t>
      </w:r>
      <w:r>
        <w:rPr>
          <w:rFonts w:ascii="仿宋" w:hAnsi="仿宋" w:eastAsia="仿宋"/>
          <w:b/>
          <w:bCs/>
          <w:sz w:val="32"/>
          <w:szCs w:val="32"/>
        </w:rPr>
        <w:t>.</w:t>
      </w:r>
      <w:r>
        <w:rPr>
          <w:rFonts w:hint="eastAsia" w:ascii="仿宋" w:hAnsi="仿宋" w:eastAsia="仿宋"/>
          <w:b/>
          <w:bCs/>
          <w:sz w:val="32"/>
          <w:szCs w:val="32"/>
        </w:rPr>
        <w:t>住房保障支出（类）住房改革支出（款）住房公积金（项）</w:t>
      </w:r>
      <w:r>
        <w:rPr>
          <w:rFonts w:hint="eastAsia" w:ascii="仿宋" w:hAnsi="仿宋" w:eastAsia="仿宋"/>
          <w:b/>
          <w:bCs/>
          <w:sz w:val="32"/>
          <w:szCs w:val="32"/>
          <w:lang w:eastAsia="zh-CN"/>
        </w:rPr>
        <w:t>：</w:t>
      </w:r>
      <w:r>
        <w:rPr>
          <w:rFonts w:hint="eastAsia" w:ascii="仿宋" w:hAnsi="仿宋" w:eastAsia="仿宋"/>
          <w:bCs/>
          <w:sz w:val="32"/>
          <w:szCs w:val="32"/>
        </w:rPr>
        <w:t>支出决算为</w:t>
      </w:r>
      <w:r>
        <w:rPr>
          <w:rFonts w:ascii="仿宋" w:hAnsi="仿宋" w:eastAsia="仿宋"/>
          <w:bCs/>
          <w:sz w:val="32"/>
          <w:szCs w:val="32"/>
        </w:rPr>
        <w:t>235.04</w:t>
      </w:r>
      <w:r>
        <w:rPr>
          <w:rFonts w:hint="eastAsia" w:ascii="仿宋" w:hAnsi="仿宋" w:eastAsia="仿宋"/>
          <w:bCs/>
          <w:sz w:val="32"/>
          <w:szCs w:val="32"/>
        </w:rPr>
        <w:t>万元，完成预算100</w:t>
      </w:r>
      <w:r>
        <w:rPr>
          <w:rFonts w:ascii="仿宋" w:hAnsi="仿宋" w:eastAsia="仿宋"/>
          <w:bCs/>
          <w:sz w:val="32"/>
          <w:szCs w:val="32"/>
        </w:rPr>
        <w:t>%</w:t>
      </w:r>
      <w:r>
        <w:rPr>
          <w:rFonts w:hint="eastAsia" w:ascii="仿宋" w:hAnsi="仿宋" w:eastAsia="仿宋"/>
          <w:bCs/>
          <w:sz w:val="32"/>
          <w:szCs w:val="32"/>
        </w:rPr>
        <w:t>，决算数与预算数持平。</w:t>
      </w:r>
    </w:p>
    <w:p>
      <w:pPr>
        <w:tabs>
          <w:tab w:val="right" w:pos="8306"/>
        </w:tabs>
        <w:spacing w:line="600" w:lineRule="exact"/>
        <w:ind w:firstLine="640"/>
        <w:outlineLvl w:val="1"/>
        <w:rPr>
          <w:rStyle w:val="19"/>
          <w:b w:val="0"/>
        </w:rPr>
      </w:pPr>
      <w:bookmarkStart w:id="89" w:name="_Toc15396608"/>
      <w:bookmarkStart w:id="90" w:name="_Toc174107219"/>
      <w:bookmarkStart w:id="91" w:name="_Toc15377214"/>
      <w:bookmarkStart w:id="92" w:name="_Toc4003"/>
      <w:r>
        <w:rPr>
          <w:rFonts w:hint="eastAsia" w:ascii="黑体" w:eastAsia="黑体"/>
          <w:sz w:val="32"/>
          <w:szCs w:val="32"/>
        </w:rPr>
        <w:t>六、</w:t>
      </w:r>
      <w:r>
        <w:rPr>
          <w:rFonts w:hint="eastAsia" w:ascii="黑体" w:hAnsi="黑体" w:eastAsia="黑体"/>
          <w:sz w:val="32"/>
          <w:szCs w:val="32"/>
        </w:rPr>
        <w:t>一</w:t>
      </w:r>
      <w:r>
        <w:rPr>
          <w:rStyle w:val="19"/>
          <w:rFonts w:hint="eastAsia" w:ascii="黑体" w:hAnsi="黑体" w:eastAsia="黑体"/>
          <w:b w:val="0"/>
        </w:rPr>
        <w:t>般公共预算财政拨款基本支出决算情况说明</w:t>
      </w:r>
      <w:bookmarkEnd w:id="89"/>
      <w:bookmarkEnd w:id="90"/>
      <w:bookmarkEnd w:id="91"/>
      <w:bookmarkEnd w:id="92"/>
      <w:r>
        <w:rPr>
          <w:rStyle w:val="19"/>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sz w:val="32"/>
          <w:szCs w:val="32"/>
        </w:rPr>
        <w:t>2981.53</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ascii="仿宋" w:hAnsi="仿宋" w:eastAsia="仿宋"/>
          <w:sz w:val="32"/>
          <w:szCs w:val="32"/>
        </w:rPr>
        <w:t>2902.25</w:t>
      </w:r>
      <w:r>
        <w:rPr>
          <w:rFonts w:hint="eastAsia" w:ascii="仿宋" w:hAnsi="仿宋" w:eastAsia="仿宋"/>
          <w:sz w:val="32"/>
          <w:szCs w:val="32"/>
        </w:rPr>
        <w:t>万元，主要包括：基本工资、津贴补贴、奖金、绩效工资</w:t>
      </w:r>
      <w:r>
        <w:rPr>
          <w:rFonts w:hint="eastAsia" w:ascii="仿宋" w:hAnsi="仿宋" w:eastAsia="仿宋"/>
          <w:sz w:val="32"/>
          <w:szCs w:val="32"/>
          <w:lang w:eastAsia="zh-CN"/>
        </w:rPr>
        <w:t>、</w:t>
      </w:r>
      <w:r>
        <w:rPr>
          <w:rFonts w:hint="eastAsia" w:ascii="仿宋" w:hAnsi="仿宋" w:eastAsia="仿宋"/>
          <w:sz w:val="32"/>
          <w:szCs w:val="32"/>
        </w:rPr>
        <w:t>机关事业单位基本养老保险缴费、职业年金缴费、职工基本医疗保险缴费</w:t>
      </w:r>
      <w:r>
        <w:rPr>
          <w:rFonts w:hint="eastAsia" w:ascii="仿宋" w:hAnsi="仿宋" w:eastAsia="仿宋"/>
          <w:sz w:val="32"/>
          <w:szCs w:val="32"/>
          <w:lang w:eastAsia="zh-CN"/>
        </w:rPr>
        <w:t>、</w:t>
      </w:r>
      <w:r>
        <w:rPr>
          <w:rFonts w:hint="eastAsia" w:ascii="仿宋" w:hAnsi="仿宋" w:eastAsia="仿宋"/>
          <w:sz w:val="32"/>
          <w:szCs w:val="32"/>
        </w:rPr>
        <w:t>其他社会保障缴费、住房公积金、生活补助、奖励金。</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sz w:val="32"/>
          <w:szCs w:val="32"/>
        </w:rPr>
        <w:t>79.28</w:t>
      </w:r>
      <w:r>
        <w:rPr>
          <w:rFonts w:hint="eastAsia" w:ascii="仿宋" w:hAnsi="仿宋" w:eastAsia="仿宋"/>
          <w:sz w:val="32"/>
          <w:szCs w:val="32"/>
        </w:rPr>
        <w:t>万元，主要包括：差旅费、工会经费、福利费、其他商品和服务支出。</w:t>
      </w:r>
    </w:p>
    <w:p>
      <w:pPr>
        <w:spacing w:line="600" w:lineRule="exact"/>
        <w:ind w:firstLine="640"/>
        <w:outlineLvl w:val="1"/>
        <w:rPr>
          <w:rStyle w:val="19"/>
          <w:rFonts w:ascii="黑体" w:hAnsi="黑体" w:eastAsia="黑体"/>
          <w:b w:val="0"/>
        </w:rPr>
      </w:pPr>
      <w:bookmarkStart w:id="93" w:name="_Toc11988"/>
      <w:bookmarkStart w:id="94" w:name="_Toc15377215"/>
      <w:bookmarkStart w:id="95" w:name="_Toc15396609"/>
      <w:bookmarkStart w:id="96" w:name="_Toc174107220"/>
      <w:r>
        <w:rPr>
          <w:rFonts w:hint="eastAsia" w:ascii="黑体" w:eastAsia="黑体"/>
          <w:sz w:val="32"/>
          <w:szCs w:val="32"/>
        </w:rPr>
        <w:t>七、</w:t>
      </w:r>
      <w:r>
        <w:rPr>
          <w:rStyle w:val="19"/>
          <w:rFonts w:hint="eastAsia" w:ascii="黑体" w:hAnsi="黑体" w:eastAsia="黑体"/>
          <w:b w:val="0"/>
        </w:rPr>
        <w:t>财政拨款“三公”经费支出决算情况说明</w:t>
      </w:r>
      <w:bookmarkEnd w:id="93"/>
      <w:bookmarkEnd w:id="94"/>
      <w:bookmarkEnd w:id="95"/>
      <w:bookmarkEnd w:id="96"/>
    </w:p>
    <w:p>
      <w:pPr>
        <w:spacing w:line="600" w:lineRule="exact"/>
        <w:ind w:firstLine="640"/>
        <w:outlineLvl w:val="2"/>
        <w:rPr>
          <w:rFonts w:ascii="仿宋" w:hAnsi="仿宋" w:eastAsia="仿宋"/>
          <w:sz w:val="32"/>
          <w:szCs w:val="32"/>
        </w:rPr>
      </w:pPr>
      <w:bookmarkStart w:id="97" w:name="_Toc15377216"/>
      <w:bookmarkStart w:id="98" w:name="_Toc174107221"/>
      <w:r>
        <w:rPr>
          <w:rFonts w:hint="eastAsia" w:ascii="仿宋" w:hAnsi="仿宋" w:eastAsia="仿宋"/>
          <w:sz w:val="32"/>
          <w:szCs w:val="32"/>
        </w:rPr>
        <w:t>（一）“三公”经费财政拨款支出决算总体情况说明</w:t>
      </w:r>
      <w:bookmarkEnd w:id="97"/>
      <w:bookmarkEnd w:id="98"/>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sz w:val="32"/>
          <w:szCs w:val="32"/>
        </w:rPr>
        <w:t>0</w:t>
      </w:r>
      <w:r>
        <w:rPr>
          <w:rFonts w:hint="eastAsia" w:ascii="仿宋" w:hAnsi="仿宋" w:eastAsia="仿宋"/>
          <w:sz w:val="32"/>
          <w:szCs w:val="32"/>
        </w:rPr>
        <w:t>万元，年初未在财政拨款支出中安排该项预算</w:t>
      </w:r>
      <w:r>
        <w:rPr>
          <w:rFonts w:hint="eastAsia" w:ascii="仿宋" w:hAnsi="仿宋" w:eastAsia="仿宋"/>
          <w:sz w:val="32"/>
          <w:szCs w:val="32"/>
          <w:lang w:eastAsia="zh-CN"/>
        </w:rPr>
        <w:t>，较上年无变化</w:t>
      </w:r>
      <w:r>
        <w:rPr>
          <w:rFonts w:hint="eastAsia" w:ascii="仿宋" w:hAnsi="仿宋" w:eastAsia="仿宋"/>
          <w:sz w:val="32"/>
          <w:szCs w:val="32"/>
        </w:rPr>
        <w:t>。</w:t>
      </w:r>
    </w:p>
    <w:p>
      <w:pPr>
        <w:spacing w:line="600" w:lineRule="exact"/>
        <w:ind w:firstLine="640"/>
        <w:outlineLvl w:val="2"/>
        <w:rPr>
          <w:rFonts w:ascii="仿宋" w:hAnsi="仿宋" w:eastAsia="仿宋"/>
          <w:sz w:val="32"/>
          <w:szCs w:val="32"/>
        </w:rPr>
      </w:pPr>
      <w:bookmarkStart w:id="99" w:name="_Toc15377217"/>
      <w:bookmarkStart w:id="100" w:name="_Toc174107222"/>
      <w:r>
        <w:rPr>
          <w:rFonts w:hint="eastAsia" w:ascii="仿宋" w:hAnsi="仿宋" w:eastAsia="仿宋"/>
          <w:sz w:val="32"/>
          <w:szCs w:val="32"/>
        </w:rPr>
        <w:t>（二）“三公”经费财政拨款支出决算具体情况说明</w:t>
      </w:r>
      <w:bookmarkEnd w:id="99"/>
      <w:bookmarkEnd w:id="100"/>
    </w:p>
    <w:p>
      <w:pPr>
        <w:spacing w:line="600" w:lineRule="exact"/>
        <w:ind w:firstLine="640"/>
        <w:rPr>
          <w:rFonts w:ascii="仿宋" w:hAnsi="仿宋" w:eastAsia="仿宋"/>
          <w:sz w:val="32"/>
          <w:szCs w:val="32"/>
        </w:rPr>
      </w:pPr>
      <w:r>
        <w:rPr>
          <w:rFonts w:hint="eastAsia" w:ascii="仿宋" w:hAnsi="仿宋" w:eastAsia="仿宋"/>
          <w:sz w:val="32"/>
          <w:szCs w:val="32"/>
        </w:rPr>
        <w:t>2023年度</w:t>
      </w:r>
      <w:bookmarkStart w:id="101" w:name="_Toc15396610"/>
      <w:bookmarkStart w:id="102" w:name="_Toc15377218"/>
      <w:r>
        <w:rPr>
          <w:rFonts w:hint="eastAsia" w:ascii="仿宋" w:hAnsi="仿宋" w:eastAsia="仿宋"/>
          <w:sz w:val="32"/>
          <w:szCs w:val="32"/>
        </w:rPr>
        <w:t>“三公”经费财政拨款支出决算中，因公出国（境）费支出决算</w:t>
      </w:r>
      <w:r>
        <w:rPr>
          <w:rFonts w:ascii="仿宋" w:hAnsi="仿宋" w:eastAsia="仿宋"/>
          <w:sz w:val="32"/>
          <w:szCs w:val="32"/>
        </w:rPr>
        <w:t>0</w:t>
      </w:r>
      <w:r>
        <w:rPr>
          <w:rFonts w:hint="eastAsia" w:ascii="仿宋" w:hAnsi="仿宋" w:eastAsia="仿宋"/>
          <w:sz w:val="32"/>
          <w:szCs w:val="32"/>
        </w:rPr>
        <w:t>万元，占0%；公务用车购置及运行维护费支出决算</w:t>
      </w:r>
      <w:r>
        <w:rPr>
          <w:rFonts w:ascii="仿宋" w:hAnsi="仿宋" w:eastAsia="仿宋"/>
          <w:sz w:val="32"/>
          <w:szCs w:val="32"/>
        </w:rPr>
        <w:t>0</w:t>
      </w:r>
      <w:r>
        <w:rPr>
          <w:rFonts w:hint="eastAsia" w:ascii="仿宋" w:hAnsi="仿宋" w:eastAsia="仿宋"/>
          <w:sz w:val="32"/>
          <w:szCs w:val="32"/>
        </w:rPr>
        <w:t>万元，占0%；公务接待费支出决算</w:t>
      </w:r>
      <w:r>
        <w:rPr>
          <w:rFonts w:ascii="仿宋" w:hAnsi="仿宋" w:eastAsia="仿宋"/>
          <w:sz w:val="32"/>
          <w:szCs w:val="32"/>
        </w:rPr>
        <w:t>0</w:t>
      </w:r>
      <w:r>
        <w:rPr>
          <w:rFonts w:hint="eastAsia" w:ascii="仿宋" w:hAnsi="仿宋" w:eastAsia="仿宋"/>
          <w:sz w:val="32"/>
          <w:szCs w:val="32"/>
        </w:rPr>
        <w:t>万元，占0%。具体情况如下：</w:t>
      </w:r>
    </w:p>
    <w:p>
      <w:pPr>
        <w:spacing w:line="600" w:lineRule="exact"/>
        <w:ind w:firstLine="640"/>
        <w:rPr>
          <w:rFonts w:ascii="仿宋" w:hAnsi="仿宋" w:eastAsia="仿宋"/>
          <w:sz w:val="32"/>
          <w:szCs w:val="32"/>
        </w:rPr>
      </w:pPr>
      <w:r>
        <w:rPr>
          <w:rFonts w:ascii="仿宋" w:hAnsi="仿宋" w:eastAsia="仿宋"/>
          <w:b/>
          <w:sz w:val="32"/>
          <w:szCs w:val="32"/>
        </w:rPr>
        <w:t>1.</w:t>
      </w:r>
      <w:r>
        <w:rPr>
          <w:rFonts w:hint="eastAsia" w:ascii="仿宋" w:hAnsi="仿宋" w:eastAsia="仿宋"/>
          <w:b/>
          <w:sz w:val="32"/>
          <w:szCs w:val="32"/>
        </w:rPr>
        <w:t>因公出国（境）经费支出</w:t>
      </w:r>
      <w:r>
        <w:rPr>
          <w:rFonts w:ascii="仿宋" w:hAnsi="仿宋" w:eastAsia="仿宋"/>
          <w:sz w:val="32"/>
          <w:szCs w:val="32"/>
        </w:rPr>
        <w:t>0</w:t>
      </w:r>
      <w:r>
        <w:rPr>
          <w:rFonts w:hint="eastAsia" w:ascii="仿宋" w:hAnsi="仿宋" w:eastAsia="仿宋"/>
          <w:sz w:val="32"/>
          <w:szCs w:val="32"/>
        </w:rPr>
        <w:t>万元，年初未安排预算。因公出国（境）支出决算较</w:t>
      </w:r>
      <w:r>
        <w:rPr>
          <w:rFonts w:ascii="仿宋" w:hAnsi="仿宋" w:eastAsia="仿宋"/>
          <w:sz w:val="32"/>
          <w:szCs w:val="32"/>
        </w:rPr>
        <w:t>20</w:t>
      </w:r>
      <w:r>
        <w:rPr>
          <w:rFonts w:hint="eastAsia" w:ascii="仿宋" w:hAnsi="仿宋" w:eastAsia="仿宋"/>
          <w:sz w:val="32"/>
          <w:szCs w:val="32"/>
        </w:rPr>
        <w:t>22年无变化。</w:t>
      </w:r>
    </w:p>
    <w:p>
      <w:pPr>
        <w:spacing w:line="600" w:lineRule="exact"/>
        <w:ind w:firstLine="640"/>
        <w:rPr>
          <w:rFonts w:ascii="仿宋" w:hAnsi="仿宋" w:eastAsia="仿宋"/>
          <w:b/>
          <w:sz w:val="32"/>
          <w:szCs w:val="32"/>
        </w:rPr>
      </w:pPr>
      <w:r>
        <w:rPr>
          <w:rFonts w:ascii="仿宋" w:hAnsi="仿宋" w:eastAsia="仿宋"/>
          <w:b/>
          <w:sz w:val="32"/>
          <w:szCs w:val="32"/>
        </w:rPr>
        <w:t>2.</w:t>
      </w:r>
      <w:r>
        <w:rPr>
          <w:rFonts w:hint="eastAsia" w:ascii="仿宋" w:hAnsi="仿宋" w:eastAsia="仿宋"/>
          <w:b/>
          <w:sz w:val="32"/>
          <w:szCs w:val="32"/>
        </w:rPr>
        <w:t>公务用车购置及运行维护费支出</w:t>
      </w:r>
      <w:r>
        <w:rPr>
          <w:rFonts w:ascii="仿宋" w:hAnsi="仿宋" w:eastAsia="仿宋"/>
          <w:sz w:val="32"/>
          <w:szCs w:val="32"/>
        </w:rPr>
        <w:t>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 xml:space="preserve"> 年初未安排预算。公务用车购置及运行维护费支出决算较</w:t>
      </w:r>
      <w:r>
        <w:rPr>
          <w:rFonts w:ascii="仿宋" w:hAnsi="仿宋" w:eastAsia="仿宋"/>
          <w:sz w:val="32"/>
          <w:szCs w:val="32"/>
        </w:rPr>
        <w:t>20</w:t>
      </w:r>
      <w:r>
        <w:rPr>
          <w:rFonts w:hint="eastAsia" w:ascii="仿宋" w:hAnsi="仿宋" w:eastAsia="仿宋"/>
          <w:sz w:val="32"/>
          <w:szCs w:val="32"/>
        </w:rPr>
        <w:t>20年无变化。</w:t>
      </w:r>
    </w:p>
    <w:p>
      <w:pPr>
        <w:spacing w:line="600" w:lineRule="exact"/>
        <w:ind w:firstLine="640"/>
        <w:rPr>
          <w:rFonts w:ascii="仿宋" w:hAnsi="仿宋" w:eastAsia="仿宋"/>
          <w:b/>
          <w:sz w:val="32"/>
          <w:szCs w:val="32"/>
        </w:rPr>
      </w:pPr>
      <w:r>
        <w:rPr>
          <w:rFonts w:hint="eastAsia" w:ascii="仿宋" w:hAnsi="仿宋" w:eastAsia="仿宋"/>
          <w:sz w:val="32"/>
          <w:szCs w:val="32"/>
        </w:rPr>
        <w:t>其中：</w:t>
      </w:r>
      <w:r>
        <w:rPr>
          <w:rFonts w:hint="eastAsia" w:ascii="仿宋" w:hAnsi="仿宋" w:eastAsia="仿宋"/>
          <w:b/>
          <w:sz w:val="32"/>
          <w:szCs w:val="32"/>
        </w:rPr>
        <w:t>公务用车购置支出</w:t>
      </w:r>
      <w:r>
        <w:rPr>
          <w:rFonts w:hint="eastAsia" w:ascii="仿宋" w:hAnsi="仿宋" w:eastAsia="仿宋"/>
          <w:sz w:val="32"/>
          <w:szCs w:val="32"/>
        </w:rPr>
        <w:t>0万元。全年按规定更新购置公务用车0辆，截至</w:t>
      </w:r>
      <w:r>
        <w:rPr>
          <w:rFonts w:ascii="仿宋" w:hAnsi="仿宋" w:eastAsia="仿宋"/>
          <w:sz w:val="32"/>
          <w:szCs w:val="32"/>
        </w:rPr>
        <w:t>20</w:t>
      </w:r>
      <w:r>
        <w:rPr>
          <w:rFonts w:hint="eastAsia" w:ascii="仿宋" w:hAnsi="仿宋" w:eastAsia="仿宋"/>
          <w:sz w:val="32"/>
          <w:szCs w:val="32"/>
        </w:rPr>
        <w:t>22年</w:t>
      </w:r>
      <w:r>
        <w:rPr>
          <w:rFonts w:ascii="仿宋" w:hAnsi="仿宋" w:eastAsia="仿宋"/>
          <w:sz w:val="32"/>
          <w:szCs w:val="32"/>
        </w:rPr>
        <w:t>12</w:t>
      </w:r>
      <w:r>
        <w:rPr>
          <w:rFonts w:hint="eastAsia" w:ascii="仿宋" w:hAnsi="仿宋" w:eastAsia="仿宋"/>
          <w:sz w:val="32"/>
          <w:szCs w:val="32"/>
        </w:rPr>
        <w:t>月底，单位共有公务用车2辆，其中：轿车1辆、其他1辆。</w:t>
      </w:r>
    </w:p>
    <w:p>
      <w:pPr>
        <w:spacing w:line="600" w:lineRule="exact"/>
        <w:ind w:firstLine="640"/>
        <w:rPr>
          <w:rFonts w:ascii="仿宋" w:hAnsi="仿宋" w:eastAsia="仿宋"/>
          <w:sz w:val="32"/>
          <w:szCs w:val="32"/>
        </w:rPr>
      </w:pPr>
      <w:r>
        <w:rPr>
          <w:rFonts w:hint="eastAsia" w:ascii="仿宋" w:hAnsi="仿宋" w:eastAsia="仿宋"/>
          <w:b/>
          <w:sz w:val="32"/>
          <w:szCs w:val="32"/>
        </w:rPr>
        <w:t>公务用车运行维护费支出</w:t>
      </w:r>
      <w:r>
        <w:rPr>
          <w:rFonts w:hint="eastAsia" w:ascii="仿宋" w:hAnsi="仿宋" w:eastAsia="仿宋"/>
          <w:sz w:val="32"/>
          <w:szCs w:val="32"/>
        </w:rPr>
        <w:t>0万元。</w:t>
      </w:r>
      <w:r>
        <w:rPr>
          <w:rFonts w:hint="eastAsia" w:ascii="仿宋" w:hAnsi="仿宋" w:eastAsia="仿宋"/>
          <w:bCs/>
          <w:sz w:val="32"/>
          <w:szCs w:val="32"/>
        </w:rPr>
        <w:t>年初未安排预算，较2022年无变化。</w:t>
      </w:r>
    </w:p>
    <w:p>
      <w:pPr>
        <w:spacing w:line="600" w:lineRule="exact"/>
        <w:ind w:firstLine="640"/>
        <w:rPr>
          <w:rFonts w:ascii="仿宋" w:hAnsi="仿宋" w:eastAsia="仿宋"/>
          <w:sz w:val="32"/>
          <w:szCs w:val="32"/>
        </w:rPr>
      </w:pPr>
      <w:r>
        <w:rPr>
          <w:rFonts w:ascii="仿宋" w:hAnsi="仿宋" w:eastAsia="仿宋"/>
          <w:b/>
          <w:sz w:val="32"/>
          <w:szCs w:val="32"/>
        </w:rPr>
        <w:t>3.</w:t>
      </w:r>
      <w:r>
        <w:rPr>
          <w:rFonts w:hint="eastAsia" w:ascii="仿宋" w:hAnsi="仿宋" w:eastAsia="仿宋"/>
          <w:b/>
          <w:sz w:val="32"/>
          <w:szCs w:val="32"/>
        </w:rPr>
        <w:t>公务接待费支出</w:t>
      </w:r>
      <w:r>
        <w:rPr>
          <w:rFonts w:ascii="仿宋" w:hAnsi="仿宋" w:eastAsia="仿宋"/>
          <w:sz w:val="32"/>
          <w:szCs w:val="32"/>
        </w:rPr>
        <w:t>0</w:t>
      </w:r>
      <w:r>
        <w:rPr>
          <w:rFonts w:hint="eastAsia" w:ascii="仿宋" w:hAnsi="仿宋" w:eastAsia="仿宋"/>
          <w:sz w:val="32"/>
          <w:szCs w:val="32"/>
        </w:rPr>
        <w:t>万元，年初未安排预算。公务接待费支出决算较</w:t>
      </w:r>
      <w:r>
        <w:rPr>
          <w:rFonts w:ascii="仿宋" w:hAnsi="仿宋" w:eastAsia="仿宋"/>
          <w:sz w:val="32"/>
          <w:szCs w:val="32"/>
        </w:rPr>
        <w:t>20</w:t>
      </w:r>
      <w:r>
        <w:rPr>
          <w:rFonts w:hint="eastAsia" w:ascii="仿宋" w:hAnsi="仿宋" w:eastAsia="仿宋"/>
          <w:sz w:val="32"/>
          <w:szCs w:val="32"/>
        </w:rPr>
        <w:t>22年无变化。其中：</w:t>
      </w:r>
    </w:p>
    <w:p>
      <w:pPr>
        <w:spacing w:line="600" w:lineRule="exact"/>
        <w:ind w:firstLine="640"/>
        <w:rPr>
          <w:rFonts w:ascii="仿宋" w:hAnsi="仿宋" w:eastAsia="仿宋"/>
          <w:sz w:val="32"/>
          <w:szCs w:val="32"/>
        </w:rPr>
      </w:pPr>
      <w:r>
        <w:rPr>
          <w:rFonts w:hint="eastAsia" w:ascii="仿宋" w:hAnsi="仿宋" w:eastAsia="仿宋"/>
          <w:b/>
          <w:sz w:val="32"/>
          <w:szCs w:val="32"/>
        </w:rPr>
        <w:t>国内公务接待支出</w:t>
      </w:r>
      <w:r>
        <w:rPr>
          <w:rFonts w:hint="eastAsia" w:ascii="仿宋" w:hAnsi="仿宋" w:eastAsia="仿宋"/>
          <w:sz w:val="32"/>
          <w:szCs w:val="32"/>
        </w:rPr>
        <w:t>0万元。</w:t>
      </w:r>
    </w:p>
    <w:p>
      <w:pPr>
        <w:spacing w:line="600" w:lineRule="exact"/>
        <w:ind w:firstLine="640"/>
        <w:rPr>
          <w:rFonts w:ascii="黑体" w:eastAsia="黑体"/>
          <w:sz w:val="32"/>
          <w:szCs w:val="32"/>
        </w:rPr>
      </w:pPr>
      <w:r>
        <w:rPr>
          <w:rFonts w:hint="eastAsia" w:ascii="仿宋" w:hAnsi="仿宋" w:eastAsia="仿宋"/>
          <w:b/>
          <w:sz w:val="32"/>
          <w:szCs w:val="32"/>
        </w:rPr>
        <w:t>外事接待支出</w:t>
      </w:r>
      <w:r>
        <w:rPr>
          <w:rFonts w:hint="eastAsia" w:ascii="仿宋" w:hAnsi="仿宋" w:eastAsia="仿宋"/>
          <w:sz w:val="32"/>
          <w:szCs w:val="32"/>
        </w:rPr>
        <w:t>0万元。</w:t>
      </w:r>
    </w:p>
    <w:p>
      <w:pPr>
        <w:spacing w:line="600" w:lineRule="exact"/>
        <w:ind w:firstLine="640"/>
        <w:outlineLvl w:val="1"/>
        <w:rPr>
          <w:rStyle w:val="19"/>
          <w:rFonts w:ascii="黑体" w:hAnsi="黑体" w:eastAsia="黑体"/>
          <w:b w:val="0"/>
        </w:rPr>
      </w:pPr>
      <w:bookmarkStart w:id="103" w:name="_Toc11508"/>
      <w:bookmarkStart w:id="104" w:name="_Toc174107223"/>
      <w:r>
        <w:rPr>
          <w:rFonts w:hint="eastAsia" w:ascii="黑体" w:eastAsia="黑体"/>
          <w:sz w:val="32"/>
          <w:szCs w:val="32"/>
        </w:rPr>
        <w:t>八、</w:t>
      </w:r>
      <w:r>
        <w:rPr>
          <w:rStyle w:val="19"/>
          <w:rFonts w:hint="eastAsia" w:ascii="黑体" w:hAnsi="黑体" w:eastAsia="黑体"/>
          <w:b w:val="0"/>
        </w:rPr>
        <w:t>政府性基金预算支出决算情况说明</w:t>
      </w:r>
      <w:bookmarkEnd w:id="101"/>
      <w:bookmarkEnd w:id="102"/>
      <w:bookmarkEnd w:id="103"/>
      <w:bookmarkEnd w:id="104"/>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sz w:val="32"/>
          <w:szCs w:val="32"/>
        </w:rPr>
        <w:t>700</w:t>
      </w:r>
      <w:r>
        <w:rPr>
          <w:rFonts w:hint="eastAsia" w:ascii="仿宋_GB2312" w:eastAsia="仿宋_GB2312"/>
          <w:sz w:val="32"/>
          <w:szCs w:val="32"/>
        </w:rPr>
        <w:t>万元。</w:t>
      </w:r>
    </w:p>
    <w:p>
      <w:pPr>
        <w:numPr>
          <w:ilvl w:val="0"/>
          <w:numId w:val="3"/>
        </w:numPr>
        <w:spacing w:line="600" w:lineRule="exact"/>
        <w:ind w:firstLine="640"/>
        <w:outlineLvl w:val="1"/>
        <w:rPr>
          <w:rStyle w:val="19"/>
          <w:rFonts w:ascii="黑体" w:hAnsi="黑体" w:eastAsia="黑体"/>
          <w:b w:val="0"/>
        </w:rPr>
      </w:pPr>
      <w:bookmarkStart w:id="105" w:name="_Toc174107224"/>
      <w:bookmarkStart w:id="106" w:name="_Toc15377219"/>
      <w:bookmarkStart w:id="107" w:name="_Toc15396611"/>
      <w:bookmarkStart w:id="108" w:name="_Toc15147"/>
      <w:r>
        <w:rPr>
          <w:rStyle w:val="19"/>
          <w:rFonts w:hint="eastAsia" w:ascii="黑体" w:hAnsi="黑体" w:eastAsia="黑体"/>
          <w:b w:val="0"/>
        </w:rPr>
        <w:t>国有资本经营预算支出决算情况说明</w:t>
      </w:r>
      <w:bookmarkEnd w:id="105"/>
      <w:bookmarkEnd w:id="106"/>
      <w:bookmarkEnd w:id="107"/>
      <w:bookmarkEnd w:id="108"/>
    </w:p>
    <w:p>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rFonts w:ascii="仿宋" w:hAnsi="仿宋" w:eastAsia="仿宋"/>
          <w:sz w:val="32"/>
          <w:szCs w:val="32"/>
        </w:rPr>
        <w:t>0</w:t>
      </w:r>
      <w:r>
        <w:rPr>
          <w:rFonts w:hint="eastAsia" w:ascii="仿宋_GB2312" w:eastAsia="仿宋_GB2312"/>
          <w:sz w:val="32"/>
          <w:szCs w:val="32"/>
        </w:rPr>
        <w:t>万元。</w:t>
      </w:r>
    </w:p>
    <w:p>
      <w:pPr>
        <w:numPr>
          <w:ilvl w:val="0"/>
          <w:numId w:val="3"/>
        </w:numPr>
        <w:spacing w:line="600" w:lineRule="exact"/>
        <w:ind w:firstLine="640"/>
        <w:outlineLvl w:val="1"/>
        <w:rPr>
          <w:rStyle w:val="19"/>
          <w:rFonts w:ascii="黑体" w:hAnsi="黑体" w:eastAsia="黑体"/>
          <w:b w:val="0"/>
        </w:rPr>
      </w:pPr>
      <w:bookmarkStart w:id="109" w:name="_Toc15396612"/>
      <w:bookmarkStart w:id="110" w:name="_Toc25523"/>
      <w:bookmarkStart w:id="111" w:name="_Toc15377221"/>
      <w:bookmarkStart w:id="112" w:name="_Toc174107225"/>
      <w:r>
        <w:rPr>
          <w:rStyle w:val="19"/>
          <w:rFonts w:hint="eastAsia" w:ascii="黑体" w:hAnsi="黑体" w:eastAsia="黑体"/>
          <w:b w:val="0"/>
        </w:rPr>
        <w:t>其他重要事项的情况说明</w:t>
      </w:r>
      <w:bookmarkEnd w:id="109"/>
      <w:bookmarkEnd w:id="110"/>
      <w:bookmarkEnd w:id="111"/>
      <w:bookmarkEnd w:id="112"/>
    </w:p>
    <w:p>
      <w:pPr>
        <w:spacing w:line="600" w:lineRule="exact"/>
        <w:ind w:firstLine="640" w:firstLineChars="200"/>
        <w:outlineLvl w:val="2"/>
        <w:rPr>
          <w:rFonts w:ascii="仿宋" w:hAnsi="仿宋" w:eastAsia="仿宋"/>
          <w:sz w:val="32"/>
          <w:szCs w:val="32"/>
        </w:rPr>
      </w:pPr>
      <w:bookmarkStart w:id="113" w:name="_Toc174107226"/>
      <w:bookmarkStart w:id="114" w:name="_Toc15377222"/>
      <w:r>
        <w:rPr>
          <w:rFonts w:hint="eastAsia" w:ascii="仿宋" w:hAnsi="仿宋" w:eastAsia="仿宋"/>
          <w:sz w:val="32"/>
          <w:szCs w:val="32"/>
        </w:rPr>
        <w:t>（一）机关运行经费支出情况</w:t>
      </w:r>
      <w:bookmarkEnd w:id="113"/>
      <w:bookmarkEnd w:id="114"/>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2023年度未发生机关运行经费支出，与2022年决算数持平。</w:t>
      </w:r>
    </w:p>
    <w:p>
      <w:pPr>
        <w:autoSpaceDE w:val="0"/>
        <w:autoSpaceDN w:val="0"/>
        <w:adjustRightInd w:val="0"/>
        <w:spacing w:line="600" w:lineRule="exact"/>
        <w:ind w:firstLine="640" w:firstLineChars="200"/>
        <w:jc w:val="left"/>
        <w:outlineLvl w:val="2"/>
        <w:rPr>
          <w:rFonts w:ascii="仿宋" w:hAnsi="仿宋" w:eastAsia="仿宋"/>
          <w:sz w:val="32"/>
          <w:szCs w:val="32"/>
        </w:rPr>
      </w:pPr>
      <w:bookmarkStart w:id="115" w:name="_Toc15377223"/>
      <w:bookmarkStart w:id="116" w:name="_Toc174107227"/>
      <w:r>
        <w:rPr>
          <w:rFonts w:hint="eastAsia" w:ascii="仿宋" w:hAnsi="仿宋" w:eastAsia="仿宋"/>
          <w:sz w:val="32"/>
          <w:szCs w:val="32"/>
        </w:rPr>
        <w:t>（二）政府采购支出情况</w:t>
      </w:r>
      <w:bookmarkEnd w:id="115"/>
      <w:bookmarkEnd w:id="116"/>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sz w:val="32"/>
          <w:szCs w:val="32"/>
        </w:rPr>
        <w:t>四川省广元市职业高级中学校</w:t>
      </w:r>
      <w:r>
        <w:rPr>
          <w:rFonts w:hint="eastAsia" w:ascii="仿宋_GB2312" w:eastAsia="仿宋_GB2312"/>
          <w:sz w:val="32"/>
          <w:szCs w:val="32"/>
        </w:rPr>
        <w:t>政府采购支出总额</w:t>
      </w:r>
      <w:r>
        <w:rPr>
          <w:rFonts w:ascii="仿宋" w:hAnsi="仿宋" w:eastAsia="仿宋"/>
          <w:sz w:val="32"/>
          <w:szCs w:val="32"/>
        </w:rPr>
        <w:t>588.08</w:t>
      </w:r>
      <w:r>
        <w:rPr>
          <w:rFonts w:hint="eastAsia" w:ascii="仿宋_GB2312" w:eastAsia="仿宋_GB2312"/>
          <w:sz w:val="32"/>
          <w:szCs w:val="32"/>
        </w:rPr>
        <w:t>万元，其中：政府采购货物支出</w:t>
      </w:r>
      <w:r>
        <w:rPr>
          <w:rFonts w:ascii="仿宋" w:hAnsi="仿宋" w:eastAsia="仿宋"/>
          <w:sz w:val="32"/>
          <w:szCs w:val="32"/>
        </w:rPr>
        <w:t>512.58</w:t>
      </w:r>
      <w:r>
        <w:rPr>
          <w:rFonts w:hint="eastAsia" w:ascii="仿宋_GB2312" w:eastAsia="仿宋_GB2312"/>
          <w:sz w:val="32"/>
          <w:szCs w:val="32"/>
        </w:rPr>
        <w:t>万元、政府采购服务支出</w:t>
      </w:r>
      <w:r>
        <w:rPr>
          <w:rFonts w:ascii="仿宋" w:hAnsi="仿宋" w:eastAsia="仿宋"/>
          <w:sz w:val="32"/>
          <w:szCs w:val="32"/>
        </w:rPr>
        <w:t>75.5</w:t>
      </w:r>
      <w:r>
        <w:rPr>
          <w:rFonts w:hint="eastAsia" w:ascii="仿宋_GB2312" w:eastAsia="仿宋_GB2312"/>
          <w:sz w:val="32"/>
          <w:szCs w:val="32"/>
        </w:rPr>
        <w:t>万元。主要用于中餐烹饪实训室设施设备采购、无人机操作实训室建设采购等。授予中小企业合同金额</w:t>
      </w:r>
      <w:r>
        <w:rPr>
          <w:rFonts w:ascii="仿宋" w:hAnsi="仿宋" w:eastAsia="仿宋"/>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autoSpaceDE w:val="0"/>
        <w:autoSpaceDN w:val="0"/>
        <w:adjustRightInd w:val="0"/>
        <w:spacing w:line="600" w:lineRule="exact"/>
        <w:ind w:firstLine="640" w:firstLineChars="200"/>
        <w:jc w:val="left"/>
        <w:outlineLvl w:val="2"/>
        <w:rPr>
          <w:rFonts w:ascii="仿宋" w:hAnsi="仿宋" w:eastAsia="仿宋"/>
          <w:sz w:val="32"/>
          <w:szCs w:val="32"/>
        </w:rPr>
      </w:pPr>
      <w:bookmarkStart w:id="117" w:name="_Toc174107228"/>
      <w:bookmarkStart w:id="118" w:name="_Toc15377224"/>
      <w:r>
        <w:rPr>
          <w:rFonts w:hint="eastAsia" w:ascii="仿宋" w:hAnsi="仿宋" w:eastAsia="仿宋"/>
          <w:sz w:val="32"/>
          <w:szCs w:val="32"/>
        </w:rPr>
        <w:t>（三）国有资产占有使用情况</w:t>
      </w:r>
      <w:bookmarkEnd w:id="117"/>
      <w:bookmarkEnd w:id="11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sz w:val="32"/>
          <w:szCs w:val="32"/>
        </w:rPr>
        <w:t>四川省广元市职业高级中学校</w:t>
      </w:r>
      <w:r>
        <w:rPr>
          <w:rFonts w:hint="eastAsia" w:ascii="仿宋_GB2312" w:eastAsia="仿宋_GB2312"/>
          <w:sz w:val="32"/>
          <w:szCs w:val="32"/>
        </w:rPr>
        <w:t>共有车辆2辆，其中：其中：其他用车</w:t>
      </w:r>
      <w:r>
        <w:rPr>
          <w:rFonts w:ascii="仿宋_GB2312" w:eastAsia="仿宋_GB2312"/>
          <w:sz w:val="32"/>
          <w:szCs w:val="32"/>
        </w:rPr>
        <w:t>2</w:t>
      </w:r>
      <w:r>
        <w:rPr>
          <w:rFonts w:hint="eastAsia" w:ascii="仿宋_GB2312" w:eastAsia="仿宋_GB2312"/>
          <w:sz w:val="32"/>
          <w:szCs w:val="32"/>
        </w:rPr>
        <w:t>辆，</w:t>
      </w:r>
      <w:r>
        <w:rPr>
          <w:rFonts w:hint="eastAsia" w:ascii="仿宋" w:hAnsi="仿宋" w:eastAsia="仿宋"/>
          <w:color w:val="000000"/>
          <w:sz w:val="32"/>
          <w:szCs w:val="32"/>
        </w:rPr>
        <w:t>其他用车主要是用于日常开展工作。</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万元以上专用设备0台（套）。</w:t>
      </w:r>
    </w:p>
    <w:p>
      <w:pPr>
        <w:autoSpaceDE w:val="0"/>
        <w:autoSpaceDN w:val="0"/>
        <w:adjustRightInd w:val="0"/>
        <w:spacing w:line="600" w:lineRule="exact"/>
        <w:ind w:firstLine="640" w:firstLineChars="200"/>
        <w:jc w:val="left"/>
        <w:outlineLvl w:val="2"/>
        <w:rPr>
          <w:rFonts w:ascii="仿宋" w:hAnsi="仿宋" w:eastAsia="仿宋"/>
          <w:sz w:val="32"/>
          <w:szCs w:val="32"/>
        </w:rPr>
      </w:pPr>
      <w:bookmarkStart w:id="119" w:name="_Toc174107229"/>
      <w:r>
        <w:rPr>
          <w:rFonts w:hint="eastAsia" w:ascii="仿宋" w:hAnsi="仿宋" w:eastAsia="仿宋"/>
          <w:sz w:val="32"/>
          <w:szCs w:val="32"/>
        </w:rPr>
        <w:t>（四）预算绩效管理情况</w:t>
      </w:r>
      <w:bookmarkEnd w:id="119"/>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w:t>
      </w:r>
      <w:r>
        <w:rPr>
          <w:rFonts w:ascii="仿宋_GB2312" w:eastAsia="仿宋_GB2312"/>
          <w:sz w:val="32"/>
          <w:szCs w:val="32"/>
        </w:rPr>
        <w:t>工资性支</w:t>
      </w:r>
      <w:r>
        <w:rPr>
          <w:rFonts w:hint="eastAsia" w:ascii="仿宋_GB2312" w:eastAsia="仿宋_GB2312"/>
          <w:sz w:val="32"/>
          <w:szCs w:val="32"/>
        </w:rPr>
        <w:t>出、其他人员支出项目（项目名称）等26个项目开展了预算事前绩效评估，对26个项目编制了绩效目标，预算执行过程中，选取26个项目开展绩效监控，组织对26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4"/>
        </w:numPr>
        <w:spacing w:line="600" w:lineRule="exact"/>
        <w:ind w:firstLine="660" w:firstLineChars="150"/>
        <w:jc w:val="center"/>
        <w:outlineLvl w:val="0"/>
        <w:rPr>
          <w:rStyle w:val="18"/>
          <w:rFonts w:ascii="黑体" w:hAnsi="黑体" w:eastAsia="黑体"/>
          <w:b w:val="0"/>
        </w:rPr>
      </w:pPr>
      <w:bookmarkStart w:id="120" w:name="_Toc15396613"/>
      <w:bookmarkStart w:id="121" w:name="_Toc15377225"/>
      <w:bookmarkStart w:id="122" w:name="_Toc27078"/>
      <w:bookmarkStart w:id="123" w:name="_Toc174107230"/>
      <w:r>
        <w:rPr>
          <w:rFonts w:hint="eastAsia" w:ascii="黑体" w:hAnsi="黑体" w:eastAsia="黑体"/>
          <w:sz w:val="44"/>
          <w:szCs w:val="44"/>
        </w:rPr>
        <w:t>名</w:t>
      </w:r>
      <w:r>
        <w:rPr>
          <w:rStyle w:val="18"/>
          <w:rFonts w:hint="eastAsia" w:ascii="黑体" w:hAnsi="黑体" w:eastAsia="黑体"/>
          <w:b w:val="0"/>
        </w:rPr>
        <w:t>词解释</w:t>
      </w:r>
      <w:bookmarkEnd w:id="120"/>
      <w:bookmarkEnd w:id="121"/>
      <w:bookmarkEnd w:id="122"/>
      <w:bookmarkEnd w:id="123"/>
    </w:p>
    <w:p>
      <w:pPr>
        <w:spacing w:line="600" w:lineRule="exact"/>
        <w:jc w:val="left"/>
        <w:rPr>
          <w:rFonts w:ascii="宋体"/>
          <w:sz w:val="44"/>
          <w:szCs w:val="44"/>
        </w:rPr>
      </w:pP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ind w:left="0" w:leftChars="0" w:firstLine="400" w:firstLineChars="0"/>
        <w:textAlignment w:val="auto"/>
        <w:rPr>
          <w:rFonts w:ascii="仿宋_GB2312" w:eastAsia="仿宋_GB2312"/>
          <w:sz w:val="32"/>
          <w:szCs w:val="32"/>
        </w:rPr>
      </w:pPr>
      <w:r>
        <w:rPr>
          <w:rFonts w:hint="eastAsia" w:ascii="仿宋_GB2312" w:eastAsia="仿宋_GB2312"/>
          <w:sz w:val="32"/>
          <w:szCs w:val="32"/>
        </w:rPr>
        <w:t>财政拨款收入：指单位从同级财政部门取得的财政预算资金。</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ind w:left="0" w:leftChars="0" w:firstLine="400" w:firstLineChars="0"/>
        <w:textAlignment w:val="auto"/>
        <w:rPr>
          <w:rFonts w:ascii="仿宋_GB2312" w:eastAsia="仿宋_GB2312"/>
          <w:sz w:val="32"/>
          <w:szCs w:val="32"/>
        </w:rPr>
      </w:pPr>
      <w:r>
        <w:rPr>
          <w:rFonts w:hint="eastAsia" w:ascii="仿宋_GB2312" w:eastAsia="仿宋_GB2312"/>
          <w:sz w:val="32"/>
          <w:szCs w:val="32"/>
        </w:rPr>
        <w:t>事业收入：指事业单位开展专业业务活动及辅助活动取得的收入。</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ind w:left="0" w:leftChars="0" w:firstLine="400" w:firstLineChars="0"/>
        <w:textAlignment w:val="auto"/>
        <w:rPr>
          <w:rFonts w:ascii="仿宋_GB2312" w:eastAsia="仿宋_GB2312"/>
          <w:sz w:val="32"/>
          <w:szCs w:val="32"/>
        </w:rPr>
      </w:pPr>
      <w:r>
        <w:rPr>
          <w:rFonts w:hint="eastAsia" w:ascii="仿宋_GB2312" w:eastAsia="仿宋_GB2312"/>
          <w:sz w:val="32"/>
          <w:szCs w:val="32"/>
        </w:rPr>
        <w:t>年初结转和结余：指以前年度尚未完成、结转到本年按有关规定继续使用的资金。</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ind w:left="0" w:leftChars="0" w:firstLine="400" w:firstLineChars="0"/>
        <w:textAlignment w:val="auto"/>
        <w:rPr>
          <w:rFonts w:ascii="仿宋_GB2312" w:eastAsia="仿宋_GB2312"/>
          <w:sz w:val="32"/>
          <w:szCs w:val="32"/>
        </w:rPr>
      </w:pPr>
      <w:r>
        <w:rPr>
          <w:rFonts w:hint="eastAsia" w:ascii="仿宋_GB2312" w:eastAsia="仿宋_GB2312"/>
          <w:sz w:val="32"/>
          <w:szCs w:val="32"/>
        </w:rPr>
        <w:t>年末结转和结余：指单位按有关规定结转到下年或以后年度继续使用的资金。</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教育（类）职业教育（款）中等职业教育（项）：指学校用于教育教学等方面的支出。</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社会保障和就业（类）</w:t>
      </w:r>
      <w:r>
        <w:rPr>
          <w:rFonts w:ascii="仿宋_GB2312" w:eastAsia="仿宋_GB2312"/>
          <w:sz w:val="32"/>
          <w:szCs w:val="32"/>
        </w:rPr>
        <w:t>人力资源和社会保障管理事务</w:t>
      </w:r>
      <w:r>
        <w:rPr>
          <w:rFonts w:hint="eastAsia" w:ascii="仿宋_GB2312" w:eastAsia="仿宋_GB2312"/>
          <w:sz w:val="32"/>
          <w:szCs w:val="32"/>
        </w:rPr>
        <w:t>（款）</w:t>
      </w:r>
      <w:r>
        <w:rPr>
          <w:rFonts w:ascii="仿宋_GB2312" w:eastAsia="仿宋_GB2312"/>
          <w:sz w:val="32"/>
          <w:szCs w:val="32"/>
        </w:rPr>
        <w:t>其他人力资源和社会保障管理事务支出</w:t>
      </w:r>
      <w:r>
        <w:rPr>
          <w:rFonts w:hint="eastAsia" w:ascii="仿宋_GB2312" w:eastAsia="仿宋_GB2312"/>
          <w:sz w:val="32"/>
          <w:szCs w:val="32"/>
        </w:rPr>
        <w:t>（项）：指其他用于人力资源和社会保障管理事务方面的支出。</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社会保障和就业（类）</w:t>
      </w:r>
      <w:r>
        <w:rPr>
          <w:rFonts w:ascii="仿宋_GB2312" w:eastAsia="仿宋_GB2312"/>
          <w:sz w:val="32"/>
          <w:szCs w:val="32"/>
        </w:rPr>
        <w:t>行政事业单位养老支出</w:t>
      </w:r>
      <w:r>
        <w:rPr>
          <w:rFonts w:hint="eastAsia" w:ascii="仿宋_GB2312" w:eastAsia="仿宋_GB2312"/>
          <w:sz w:val="32"/>
          <w:szCs w:val="32"/>
        </w:rPr>
        <w:t>（款）</w:t>
      </w:r>
      <w:r>
        <w:rPr>
          <w:rFonts w:ascii="仿宋_GB2312" w:eastAsia="仿宋_GB2312"/>
          <w:sz w:val="32"/>
          <w:szCs w:val="32"/>
        </w:rPr>
        <w:t>事业单位离退休</w:t>
      </w:r>
      <w:r>
        <w:rPr>
          <w:rFonts w:hint="eastAsia" w:ascii="仿宋_GB2312" w:eastAsia="仿宋_GB2312"/>
          <w:sz w:val="32"/>
          <w:szCs w:val="32"/>
        </w:rPr>
        <w:t>（项）：指学校开支的离退休经费。</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社会保障和就业（类）行政事业单位养老支出（款）机关事业单位基本养老保险缴费支出（项）：指学校用于实施养老保险制度由单位缴纳的基本养老保险费支出。</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社会保障和就业（类）行政事业单位养老支出（款）</w:t>
      </w:r>
      <w:r>
        <w:rPr>
          <w:rFonts w:ascii="仿宋_GB2312" w:eastAsia="仿宋_GB2312"/>
          <w:sz w:val="32"/>
          <w:szCs w:val="32"/>
        </w:rPr>
        <w:t>机关事业单位职业年金缴费支出</w:t>
      </w:r>
      <w:r>
        <w:rPr>
          <w:rFonts w:hint="eastAsia" w:ascii="仿宋_GB2312" w:eastAsia="仿宋_GB2312"/>
          <w:sz w:val="32"/>
          <w:szCs w:val="32"/>
        </w:rPr>
        <w:t>（项）：指学校用于实施养老保险制度由单位缴纳的职业年金支出。</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社会保障和就业（类）</w:t>
      </w:r>
      <w:r>
        <w:rPr>
          <w:rFonts w:ascii="仿宋_GB2312" w:eastAsia="仿宋_GB2312"/>
          <w:sz w:val="32"/>
          <w:szCs w:val="32"/>
        </w:rPr>
        <w:t>就业补助</w:t>
      </w:r>
      <w:r>
        <w:rPr>
          <w:rFonts w:hint="eastAsia" w:ascii="仿宋_GB2312" w:eastAsia="仿宋_GB2312"/>
          <w:sz w:val="32"/>
          <w:szCs w:val="32"/>
        </w:rPr>
        <w:t>（款）</w:t>
      </w:r>
      <w:r>
        <w:rPr>
          <w:rFonts w:ascii="仿宋_GB2312" w:eastAsia="仿宋_GB2312"/>
          <w:sz w:val="32"/>
          <w:szCs w:val="32"/>
        </w:rPr>
        <w:t>其他就业补助支出</w:t>
      </w:r>
      <w:r>
        <w:rPr>
          <w:rFonts w:hint="eastAsia" w:ascii="仿宋_GB2312" w:eastAsia="仿宋_GB2312"/>
          <w:sz w:val="32"/>
          <w:szCs w:val="32"/>
        </w:rPr>
        <w:t>（项）：指学校用于按规定确定的其他用于促进就业的补助支出。</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社会保障和就业（类）</w:t>
      </w:r>
      <w:r>
        <w:rPr>
          <w:rFonts w:ascii="仿宋_GB2312" w:eastAsia="仿宋_GB2312"/>
          <w:sz w:val="32"/>
          <w:szCs w:val="32"/>
        </w:rPr>
        <w:t>其他社会保障和就业支出</w:t>
      </w:r>
      <w:r>
        <w:rPr>
          <w:rFonts w:hint="eastAsia" w:ascii="仿宋_GB2312" w:eastAsia="仿宋_GB2312"/>
          <w:sz w:val="32"/>
          <w:szCs w:val="32"/>
        </w:rPr>
        <w:t>（款）</w:t>
      </w:r>
      <w:r>
        <w:rPr>
          <w:rFonts w:ascii="仿宋_GB2312" w:eastAsia="仿宋_GB2312"/>
          <w:sz w:val="32"/>
          <w:szCs w:val="32"/>
        </w:rPr>
        <w:t>其他社会保障和就业支出</w:t>
      </w:r>
      <w:r>
        <w:rPr>
          <w:rFonts w:hint="eastAsia" w:ascii="仿宋_GB2312" w:eastAsia="仿宋_GB2312"/>
          <w:sz w:val="32"/>
          <w:szCs w:val="32"/>
        </w:rPr>
        <w:t>（项）：指学校用于其他用于社会保障和就业方面的支出。</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卫生健康（类）</w:t>
      </w:r>
      <w:r>
        <w:rPr>
          <w:rFonts w:ascii="仿宋_GB2312" w:eastAsia="仿宋_GB2312"/>
          <w:sz w:val="32"/>
          <w:szCs w:val="32"/>
        </w:rPr>
        <w:t>公共卫生</w:t>
      </w:r>
      <w:r>
        <w:rPr>
          <w:rFonts w:hint="eastAsia" w:ascii="仿宋_GB2312" w:eastAsia="仿宋_GB2312"/>
          <w:sz w:val="32"/>
          <w:szCs w:val="32"/>
        </w:rPr>
        <w:t>（款）</w:t>
      </w:r>
      <w:r>
        <w:rPr>
          <w:rFonts w:ascii="仿宋_GB2312" w:eastAsia="仿宋_GB2312"/>
          <w:sz w:val="32"/>
          <w:szCs w:val="32"/>
        </w:rPr>
        <w:t>基本公共卫生服务</w:t>
      </w:r>
      <w:r>
        <w:rPr>
          <w:rFonts w:hint="eastAsia" w:ascii="仿宋_GB2312" w:eastAsia="仿宋_GB2312"/>
          <w:sz w:val="32"/>
          <w:szCs w:val="32"/>
        </w:rPr>
        <w:t>（项）：指学校用于基本公共卫生服务支出。</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卫生健康（类）行政事业单位医疗（款）事业单位医疗（项）：指学校用于按规定的工资基数以及规定比例为职工缴纳的基本医疗保险。</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住房保障支出（类）住房改革支出（款）住房公积金（项）：指学校用于按规定的工资基数以及规定比例为职工缴纳的住房公积金。</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spacing w:line="560" w:lineRule="exact"/>
        <w:ind w:left="0" w:leftChars="0" w:firstLine="400" w:firstLineChars="0"/>
        <w:textAlignment w:val="auto"/>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pStyle w:val="28"/>
        <w:keepNext w:val="0"/>
        <w:keepLines w:val="0"/>
        <w:pageBreakBefore w:val="0"/>
        <w:widowControl w:val="0"/>
        <w:numPr>
          <w:ilvl w:val="0"/>
          <w:numId w:val="5"/>
        </w:numPr>
        <w:kinsoku/>
        <w:wordWrap/>
        <w:overflowPunct/>
        <w:topLinePunct w:val="0"/>
        <w:autoSpaceDE w:val="0"/>
        <w:autoSpaceDN w:val="0"/>
        <w:bidi w:val="0"/>
        <w:adjustRightInd w:val="0"/>
        <w:snapToGrid/>
        <w:ind w:left="0" w:leftChars="0" w:firstLine="400" w:firstLineChars="0"/>
        <w:textAlignment w:val="auto"/>
        <w:rPr>
          <w:rFonts w:ascii="仿宋_GB2312" w:eastAsia="仿宋_GB2312"/>
          <w:sz w:val="32"/>
          <w:szCs w:val="32"/>
        </w:rPr>
      </w:pPr>
      <w:r>
        <w:rPr>
          <w:rFonts w:hint="eastAsia" w:ascii="仿宋_GB2312" w:eastAsia="仿宋_GB2312"/>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rPr>
          <w:rFonts w:ascii="仿宋_GB2312" w:eastAsia="仿宋_GB2312"/>
          <w:sz w:val="32"/>
          <w:szCs w:val="32"/>
        </w:rPr>
      </w:pPr>
      <w:r>
        <w:rPr>
          <w:rFonts w:hint="eastAsia" w:ascii="仿宋_GB2312" w:eastAsia="仿宋_GB2312"/>
          <w:sz w:val="32"/>
          <w:szCs w:val="32"/>
        </w:rPr>
        <w:br w:type="page"/>
      </w:r>
    </w:p>
    <w:p>
      <w:pPr>
        <w:jc w:val="both"/>
        <w:rPr>
          <w:rFonts w:ascii="仿宋" w:hAnsi="仿宋" w:eastAsia="仿宋"/>
          <w:sz w:val="32"/>
          <w:szCs w:val="32"/>
        </w:rPr>
      </w:pPr>
      <w:bookmarkStart w:id="124" w:name="_Toc15396614"/>
      <w:bookmarkStart w:id="125" w:name="_Toc15377226"/>
    </w:p>
    <w:p>
      <w:pPr>
        <w:ind w:firstLine="883" w:firstLineChars="200"/>
        <w:jc w:val="center"/>
        <w:rPr>
          <w:rFonts w:ascii="黑体" w:hAnsi="黑体" w:eastAsia="黑体"/>
          <w:sz w:val="44"/>
          <w:szCs w:val="44"/>
        </w:rPr>
      </w:pPr>
      <w:r>
        <w:rPr>
          <w:rStyle w:val="18"/>
          <w:rFonts w:hint="eastAsia"/>
        </w:rPr>
        <w:t>第四部分 附件</w:t>
      </w:r>
      <w:bookmarkEnd w:id="124"/>
    </w:p>
    <w:p>
      <w:pPr>
        <w:spacing w:line="572" w:lineRule="exact"/>
        <w:jc w:val="left"/>
        <w:rPr>
          <w:rFonts w:ascii="仿宋_GB2312" w:hAnsi="仿宋_GB2312" w:eastAsia="仿宋_GB2312" w:cs="仿宋_GB2312"/>
          <w:sz w:val="32"/>
          <w:szCs w:val="32"/>
        </w:rPr>
      </w:pPr>
    </w:p>
    <w:p>
      <w:pPr>
        <w:spacing w:line="600" w:lineRule="exact"/>
        <w:jc w:val="center"/>
        <w:outlineLvl w:val="0"/>
        <w:rPr>
          <w:rFonts w:hint="eastAsia" w:ascii="黑体" w:hAnsi="黑体" w:eastAsia="宋体"/>
          <w:color w:val="FF0000"/>
          <w:sz w:val="44"/>
          <w:szCs w:val="44"/>
          <w:lang w:eastAsia="zh-CN"/>
        </w:rPr>
      </w:pPr>
      <w:bookmarkStart w:id="126" w:name="_Toc174107231"/>
      <w:bookmarkStart w:id="127" w:name="_Toc31224"/>
      <w:bookmarkStart w:id="128" w:name="_Toc9651"/>
      <w:bookmarkStart w:id="129" w:name="_Toc15396618"/>
      <w:r>
        <w:rPr>
          <w:rFonts w:hint="eastAsia"/>
          <w:sz w:val="32"/>
          <w:szCs w:val="32"/>
        </w:rPr>
        <w:t>部门预算项目支出绩效自评表（2023年度）</w:t>
      </w:r>
      <w:bookmarkEnd w:id="126"/>
      <w:bookmarkEnd w:id="127"/>
      <w:bookmarkEnd w:id="128"/>
      <w:r>
        <w:rPr>
          <w:rFonts w:hint="eastAsia"/>
          <w:sz w:val="32"/>
          <w:szCs w:val="32"/>
          <w:lang w:eastAsia="zh-CN"/>
        </w:rPr>
        <w:t>，具体内容见附表</w:t>
      </w:r>
    </w:p>
    <w:p>
      <w:pPr>
        <w:rPr>
          <w:rFonts w:hint="eastAsia" w:ascii="仿宋_GB2312" w:hAnsi="仿宋_GB2312" w:eastAsia="黑体" w:cs="仿宋_GB2312"/>
          <w:sz w:val="32"/>
          <w:szCs w:val="32"/>
          <w:lang w:eastAsia="zh-CN"/>
        </w:rPr>
      </w:pPr>
      <w:bookmarkStart w:id="130" w:name="_Toc174107232"/>
      <w:r>
        <w:rPr>
          <w:rFonts w:ascii="黑体" w:hAnsi="黑体" w:eastAsia="黑体"/>
          <w:sz w:val="44"/>
          <w:szCs w:val="44"/>
        </w:rPr>
        <w:br w:type="page"/>
      </w:r>
    </w:p>
    <w:p>
      <w:pPr>
        <w:spacing w:line="600" w:lineRule="exact"/>
        <w:jc w:val="both"/>
        <w:rPr>
          <w:rFonts w:ascii="黑体" w:hAnsi="黑体" w:eastAsia="黑体"/>
          <w:sz w:val="44"/>
          <w:szCs w:val="44"/>
        </w:rPr>
      </w:pPr>
    </w:p>
    <w:p>
      <w:pPr>
        <w:spacing w:line="600" w:lineRule="exact"/>
        <w:jc w:val="center"/>
        <w:outlineLvl w:val="0"/>
        <w:rPr>
          <w:rFonts w:ascii="仿宋" w:hAnsi="仿宋" w:eastAsia="仿宋"/>
        </w:rPr>
      </w:pPr>
      <w:bookmarkStart w:id="131" w:name="_Toc27756"/>
      <w:r>
        <w:rPr>
          <w:rFonts w:hint="eastAsia" w:ascii="黑体" w:hAnsi="黑体" w:eastAsia="黑体"/>
          <w:sz w:val="44"/>
          <w:szCs w:val="44"/>
        </w:rPr>
        <w:t>第</w:t>
      </w:r>
      <w:r>
        <w:rPr>
          <w:rStyle w:val="18"/>
          <w:rFonts w:hint="eastAsia" w:ascii="黑体" w:hAnsi="黑体" w:eastAsia="黑体"/>
          <w:b w:val="0"/>
        </w:rPr>
        <w:t>五部分 附表</w:t>
      </w:r>
      <w:bookmarkEnd w:id="125"/>
      <w:bookmarkEnd w:id="129"/>
      <w:bookmarkEnd w:id="130"/>
      <w:bookmarkEnd w:id="131"/>
      <w:bookmarkStart w:id="132" w:name="_Toc15396619"/>
    </w:p>
    <w:p>
      <w:pPr>
        <w:pStyle w:val="4"/>
        <w:rPr>
          <w:rFonts w:ascii="仿宋" w:hAnsi="仿宋" w:eastAsia="仿宋"/>
          <w:b w:val="0"/>
        </w:rPr>
      </w:pPr>
      <w:bookmarkStart w:id="133" w:name="_Toc174107233"/>
      <w:bookmarkStart w:id="134" w:name="_Toc24038"/>
      <w:r>
        <w:rPr>
          <w:rFonts w:hint="eastAsia" w:ascii="仿宋" w:hAnsi="仿宋" w:eastAsia="仿宋"/>
          <w:b w:val="0"/>
        </w:rPr>
        <w:t>一、收</w:t>
      </w:r>
      <w:r>
        <w:rPr>
          <w:rStyle w:val="19"/>
          <w:rFonts w:hint="eastAsia" w:ascii="仿宋" w:hAnsi="仿宋" w:eastAsia="仿宋"/>
          <w:b w:val="0"/>
          <w:bCs w:val="0"/>
        </w:rPr>
        <w:t>入支出决算总表</w:t>
      </w:r>
      <w:bookmarkEnd w:id="132"/>
      <w:bookmarkEnd w:id="133"/>
      <w:bookmarkEnd w:id="134"/>
    </w:p>
    <w:p>
      <w:pPr>
        <w:pStyle w:val="4"/>
        <w:rPr>
          <w:rFonts w:ascii="仿宋" w:hAnsi="仿宋" w:eastAsia="仿宋"/>
          <w:b w:val="0"/>
        </w:rPr>
      </w:pPr>
      <w:bookmarkStart w:id="135" w:name="_Toc28659"/>
      <w:bookmarkStart w:id="136" w:name="_Toc15396620"/>
      <w:bookmarkStart w:id="137" w:name="_Toc174107234"/>
      <w:r>
        <w:rPr>
          <w:rFonts w:hint="eastAsia" w:ascii="仿宋" w:hAnsi="仿宋" w:eastAsia="仿宋"/>
          <w:b w:val="0"/>
        </w:rPr>
        <w:t>二、收</w:t>
      </w:r>
      <w:r>
        <w:rPr>
          <w:rStyle w:val="19"/>
          <w:rFonts w:hint="eastAsia" w:ascii="仿宋" w:hAnsi="仿宋" w:eastAsia="仿宋"/>
          <w:b w:val="0"/>
          <w:bCs w:val="0"/>
        </w:rPr>
        <w:t>入决算表</w:t>
      </w:r>
      <w:bookmarkEnd w:id="135"/>
      <w:bookmarkEnd w:id="136"/>
      <w:bookmarkEnd w:id="137"/>
    </w:p>
    <w:p>
      <w:pPr>
        <w:pStyle w:val="4"/>
        <w:rPr>
          <w:rFonts w:ascii="仿宋" w:hAnsi="仿宋" w:eastAsia="仿宋"/>
          <w:b w:val="0"/>
        </w:rPr>
      </w:pPr>
      <w:bookmarkStart w:id="138" w:name="_Toc8206"/>
      <w:bookmarkStart w:id="139" w:name="_Toc174107235"/>
      <w:bookmarkStart w:id="140" w:name="_Toc15396621"/>
      <w:r>
        <w:rPr>
          <w:rStyle w:val="19"/>
          <w:rFonts w:hint="eastAsia" w:ascii="仿宋" w:hAnsi="仿宋" w:eastAsia="仿宋"/>
          <w:b w:val="0"/>
          <w:bCs w:val="0"/>
        </w:rPr>
        <w:t>三、</w:t>
      </w:r>
      <w:r>
        <w:rPr>
          <w:rFonts w:hint="eastAsia" w:ascii="仿宋" w:hAnsi="仿宋" w:eastAsia="仿宋"/>
          <w:b w:val="0"/>
        </w:rPr>
        <w:t>支</w:t>
      </w:r>
      <w:r>
        <w:rPr>
          <w:rStyle w:val="19"/>
          <w:rFonts w:hint="eastAsia" w:ascii="仿宋" w:hAnsi="仿宋" w:eastAsia="仿宋"/>
          <w:b w:val="0"/>
          <w:bCs w:val="0"/>
        </w:rPr>
        <w:t>出决算表</w:t>
      </w:r>
      <w:bookmarkEnd w:id="138"/>
      <w:bookmarkEnd w:id="139"/>
      <w:bookmarkEnd w:id="140"/>
    </w:p>
    <w:p>
      <w:pPr>
        <w:pStyle w:val="4"/>
        <w:rPr>
          <w:rFonts w:ascii="仿宋" w:hAnsi="仿宋" w:eastAsia="仿宋"/>
          <w:b w:val="0"/>
        </w:rPr>
      </w:pPr>
      <w:bookmarkStart w:id="141" w:name="_Toc15396622"/>
      <w:bookmarkStart w:id="142" w:name="_Toc20460"/>
      <w:bookmarkStart w:id="143" w:name="_Toc174107236"/>
      <w:r>
        <w:rPr>
          <w:rStyle w:val="19"/>
          <w:rFonts w:hint="eastAsia" w:ascii="仿宋" w:hAnsi="仿宋" w:eastAsia="仿宋"/>
          <w:b w:val="0"/>
          <w:bCs w:val="0"/>
        </w:rPr>
        <w:t>四、</w:t>
      </w:r>
      <w:r>
        <w:rPr>
          <w:rFonts w:hint="eastAsia" w:ascii="仿宋" w:hAnsi="仿宋" w:eastAsia="仿宋"/>
          <w:b w:val="0"/>
        </w:rPr>
        <w:t>财</w:t>
      </w:r>
      <w:r>
        <w:rPr>
          <w:rStyle w:val="19"/>
          <w:rFonts w:hint="eastAsia" w:ascii="仿宋" w:hAnsi="仿宋" w:eastAsia="仿宋"/>
          <w:b w:val="0"/>
          <w:bCs w:val="0"/>
        </w:rPr>
        <w:t>政拨款收入支出决算总表</w:t>
      </w:r>
      <w:bookmarkEnd w:id="141"/>
      <w:bookmarkEnd w:id="142"/>
      <w:bookmarkEnd w:id="143"/>
    </w:p>
    <w:p>
      <w:pPr>
        <w:pStyle w:val="4"/>
        <w:rPr>
          <w:rStyle w:val="19"/>
          <w:rFonts w:ascii="仿宋" w:hAnsi="仿宋" w:eastAsia="仿宋"/>
          <w:b w:val="0"/>
          <w:bCs w:val="0"/>
        </w:rPr>
      </w:pPr>
      <w:bookmarkStart w:id="144" w:name="_Toc174107237"/>
      <w:bookmarkStart w:id="145" w:name="_Toc15396623"/>
      <w:bookmarkStart w:id="146" w:name="_Toc26354"/>
      <w:r>
        <w:rPr>
          <w:rStyle w:val="19"/>
          <w:rFonts w:hint="eastAsia" w:ascii="仿宋" w:hAnsi="仿宋" w:eastAsia="仿宋"/>
          <w:b w:val="0"/>
          <w:bCs w:val="0"/>
        </w:rPr>
        <w:t>五、</w:t>
      </w:r>
      <w:r>
        <w:rPr>
          <w:rFonts w:hint="eastAsia" w:ascii="仿宋" w:hAnsi="仿宋" w:eastAsia="仿宋"/>
          <w:b w:val="0"/>
        </w:rPr>
        <w:t>财</w:t>
      </w:r>
      <w:r>
        <w:rPr>
          <w:rStyle w:val="19"/>
          <w:rFonts w:hint="eastAsia" w:ascii="仿宋" w:hAnsi="仿宋" w:eastAsia="仿宋"/>
          <w:b w:val="0"/>
          <w:bCs w:val="0"/>
        </w:rPr>
        <w:t>政拨款支出决算明细表</w:t>
      </w:r>
      <w:bookmarkEnd w:id="144"/>
      <w:bookmarkEnd w:id="145"/>
      <w:bookmarkEnd w:id="146"/>
      <w:bookmarkStart w:id="147" w:name="_Toc15396624"/>
    </w:p>
    <w:p>
      <w:pPr>
        <w:pStyle w:val="4"/>
        <w:rPr>
          <w:rFonts w:ascii="仿宋" w:hAnsi="仿宋" w:eastAsia="仿宋"/>
          <w:b w:val="0"/>
        </w:rPr>
      </w:pPr>
      <w:bookmarkStart w:id="148" w:name="_Toc14449"/>
      <w:bookmarkStart w:id="149" w:name="_Toc174107238"/>
      <w:r>
        <w:rPr>
          <w:rStyle w:val="19"/>
          <w:rFonts w:hint="eastAsia" w:ascii="仿宋" w:hAnsi="仿宋" w:eastAsia="仿宋"/>
          <w:b w:val="0"/>
          <w:bCs w:val="0"/>
        </w:rPr>
        <w:t>六、</w:t>
      </w:r>
      <w:r>
        <w:rPr>
          <w:rFonts w:hint="eastAsia" w:ascii="仿宋" w:hAnsi="仿宋" w:eastAsia="仿宋"/>
          <w:b w:val="0"/>
        </w:rPr>
        <w:t>一</w:t>
      </w:r>
      <w:r>
        <w:rPr>
          <w:rStyle w:val="19"/>
          <w:rFonts w:hint="eastAsia" w:ascii="仿宋" w:hAnsi="仿宋" w:eastAsia="仿宋"/>
          <w:b w:val="0"/>
          <w:bCs w:val="0"/>
        </w:rPr>
        <w:t>般公共预算财政拨款支出决算表</w:t>
      </w:r>
      <w:bookmarkEnd w:id="147"/>
      <w:bookmarkEnd w:id="148"/>
      <w:bookmarkEnd w:id="149"/>
    </w:p>
    <w:p>
      <w:pPr>
        <w:pStyle w:val="4"/>
        <w:rPr>
          <w:rFonts w:ascii="仿宋" w:hAnsi="仿宋" w:eastAsia="仿宋"/>
          <w:b w:val="0"/>
        </w:rPr>
      </w:pPr>
      <w:bookmarkStart w:id="150" w:name="_Toc15396625"/>
      <w:bookmarkStart w:id="151" w:name="_Toc8434"/>
      <w:bookmarkStart w:id="152" w:name="_Toc174107239"/>
      <w:r>
        <w:rPr>
          <w:rStyle w:val="19"/>
          <w:rFonts w:hint="eastAsia" w:ascii="仿宋" w:hAnsi="仿宋" w:eastAsia="仿宋"/>
          <w:b w:val="0"/>
          <w:bCs w:val="0"/>
        </w:rPr>
        <w:t>七、</w:t>
      </w:r>
      <w:r>
        <w:rPr>
          <w:rFonts w:hint="eastAsia" w:ascii="仿宋" w:hAnsi="仿宋" w:eastAsia="仿宋"/>
          <w:b w:val="0"/>
        </w:rPr>
        <w:t>一</w:t>
      </w:r>
      <w:r>
        <w:rPr>
          <w:rStyle w:val="19"/>
          <w:rFonts w:hint="eastAsia" w:ascii="仿宋" w:hAnsi="仿宋" w:eastAsia="仿宋"/>
          <w:b w:val="0"/>
          <w:bCs w:val="0"/>
        </w:rPr>
        <w:t>般公共预算财政拨款支出决算明细表</w:t>
      </w:r>
      <w:bookmarkEnd w:id="150"/>
      <w:bookmarkEnd w:id="151"/>
      <w:bookmarkEnd w:id="152"/>
    </w:p>
    <w:p>
      <w:pPr>
        <w:pStyle w:val="4"/>
        <w:rPr>
          <w:rFonts w:ascii="仿宋" w:hAnsi="仿宋" w:eastAsia="仿宋"/>
          <w:b w:val="0"/>
        </w:rPr>
      </w:pPr>
      <w:bookmarkStart w:id="153" w:name="_Toc15396626"/>
      <w:bookmarkStart w:id="154" w:name="_Toc11875"/>
      <w:bookmarkStart w:id="155" w:name="_Toc174107240"/>
      <w:r>
        <w:rPr>
          <w:rStyle w:val="19"/>
          <w:rFonts w:hint="eastAsia" w:ascii="仿宋" w:hAnsi="仿宋" w:eastAsia="仿宋"/>
          <w:b w:val="0"/>
          <w:bCs w:val="0"/>
        </w:rPr>
        <w:t>八、</w:t>
      </w:r>
      <w:r>
        <w:rPr>
          <w:rFonts w:hint="eastAsia" w:ascii="仿宋" w:hAnsi="仿宋" w:eastAsia="仿宋"/>
          <w:b w:val="0"/>
        </w:rPr>
        <w:t>一</w:t>
      </w:r>
      <w:r>
        <w:rPr>
          <w:rStyle w:val="19"/>
          <w:rFonts w:hint="eastAsia" w:ascii="仿宋" w:hAnsi="仿宋" w:eastAsia="仿宋"/>
          <w:b w:val="0"/>
          <w:bCs w:val="0"/>
        </w:rPr>
        <w:t>般公共预算财政拨款基本支出决算表</w:t>
      </w:r>
      <w:bookmarkEnd w:id="153"/>
      <w:bookmarkEnd w:id="154"/>
      <w:bookmarkEnd w:id="155"/>
    </w:p>
    <w:p>
      <w:pPr>
        <w:pStyle w:val="4"/>
        <w:rPr>
          <w:rFonts w:ascii="仿宋" w:hAnsi="仿宋" w:eastAsia="仿宋"/>
          <w:b w:val="0"/>
        </w:rPr>
      </w:pPr>
      <w:bookmarkStart w:id="156" w:name="_Toc174107241"/>
      <w:bookmarkStart w:id="157" w:name="_Toc15396627"/>
      <w:bookmarkStart w:id="158" w:name="_Toc22371"/>
      <w:r>
        <w:rPr>
          <w:rStyle w:val="19"/>
          <w:rFonts w:hint="eastAsia" w:ascii="仿宋" w:hAnsi="仿宋" w:eastAsia="仿宋"/>
          <w:b w:val="0"/>
          <w:bCs w:val="0"/>
        </w:rPr>
        <w:t>九、</w:t>
      </w:r>
      <w:r>
        <w:rPr>
          <w:rFonts w:hint="eastAsia" w:ascii="仿宋" w:hAnsi="仿宋" w:eastAsia="仿宋"/>
          <w:b w:val="0"/>
        </w:rPr>
        <w:t>一</w:t>
      </w:r>
      <w:r>
        <w:rPr>
          <w:rStyle w:val="19"/>
          <w:rFonts w:hint="eastAsia" w:ascii="仿宋" w:hAnsi="仿宋" w:eastAsia="仿宋"/>
          <w:b w:val="0"/>
          <w:bCs w:val="0"/>
        </w:rPr>
        <w:t>般公共预算财政拨款项目支出决算表</w:t>
      </w:r>
      <w:bookmarkEnd w:id="156"/>
      <w:bookmarkEnd w:id="157"/>
      <w:bookmarkEnd w:id="158"/>
    </w:p>
    <w:p>
      <w:pPr>
        <w:pStyle w:val="4"/>
        <w:rPr>
          <w:rFonts w:ascii="仿宋" w:hAnsi="仿宋" w:eastAsia="仿宋"/>
          <w:b w:val="0"/>
        </w:rPr>
      </w:pPr>
      <w:bookmarkStart w:id="159" w:name="_Toc15396628"/>
      <w:bookmarkStart w:id="160" w:name="_Toc13783"/>
      <w:bookmarkStart w:id="161" w:name="_Toc174107242"/>
      <w:r>
        <w:rPr>
          <w:rStyle w:val="19"/>
          <w:rFonts w:hint="eastAsia" w:ascii="仿宋" w:hAnsi="仿宋" w:eastAsia="仿宋"/>
          <w:b w:val="0"/>
          <w:bCs w:val="0"/>
        </w:rPr>
        <w:t>十、</w:t>
      </w:r>
      <w:bookmarkEnd w:id="159"/>
      <w:r>
        <w:rPr>
          <w:rFonts w:hint="eastAsia" w:ascii="仿宋" w:hAnsi="仿宋" w:eastAsia="仿宋"/>
          <w:b w:val="0"/>
        </w:rPr>
        <w:t>政</w:t>
      </w:r>
      <w:r>
        <w:rPr>
          <w:rStyle w:val="19"/>
          <w:rFonts w:hint="eastAsia" w:ascii="仿宋" w:hAnsi="仿宋" w:eastAsia="仿宋"/>
          <w:b w:val="0"/>
          <w:bCs w:val="0"/>
        </w:rPr>
        <w:t>府性基金预算财政拨款收入支出决算表</w:t>
      </w:r>
      <w:bookmarkEnd w:id="160"/>
      <w:bookmarkEnd w:id="161"/>
    </w:p>
    <w:p>
      <w:pPr>
        <w:pStyle w:val="4"/>
        <w:rPr>
          <w:rFonts w:ascii="仿宋" w:hAnsi="仿宋" w:eastAsia="仿宋"/>
          <w:b w:val="0"/>
        </w:rPr>
      </w:pPr>
      <w:bookmarkStart w:id="162" w:name="_Toc15396629"/>
      <w:bookmarkStart w:id="163" w:name="_Toc26069"/>
      <w:bookmarkStart w:id="164" w:name="_Toc174107243"/>
      <w:r>
        <w:rPr>
          <w:rStyle w:val="19"/>
          <w:rFonts w:hint="eastAsia" w:ascii="仿宋" w:hAnsi="仿宋" w:eastAsia="仿宋"/>
          <w:b w:val="0"/>
          <w:bCs w:val="0"/>
        </w:rPr>
        <w:t>十一、</w:t>
      </w:r>
      <w:bookmarkEnd w:id="162"/>
      <w:r>
        <w:rPr>
          <w:rFonts w:hint="eastAsia" w:ascii="仿宋" w:hAnsi="仿宋" w:eastAsia="仿宋"/>
          <w:b w:val="0"/>
        </w:rPr>
        <w:t>国</w:t>
      </w:r>
      <w:r>
        <w:rPr>
          <w:rStyle w:val="19"/>
          <w:rFonts w:hint="eastAsia" w:ascii="仿宋" w:hAnsi="仿宋" w:eastAsia="仿宋"/>
          <w:b w:val="0"/>
          <w:bCs w:val="0"/>
        </w:rPr>
        <w:t>有资本经营预算财政拨款收入支出决算表</w:t>
      </w:r>
      <w:bookmarkEnd w:id="163"/>
      <w:bookmarkEnd w:id="164"/>
    </w:p>
    <w:p>
      <w:pPr>
        <w:pStyle w:val="4"/>
        <w:rPr>
          <w:rFonts w:ascii="仿宋" w:hAnsi="仿宋" w:eastAsia="仿宋"/>
          <w:b w:val="0"/>
        </w:rPr>
      </w:pPr>
      <w:bookmarkStart w:id="165" w:name="_Toc15396630"/>
      <w:bookmarkStart w:id="166" w:name="_Toc11453"/>
      <w:bookmarkStart w:id="167" w:name="_Toc174107244"/>
      <w:r>
        <w:rPr>
          <w:rStyle w:val="19"/>
          <w:rFonts w:hint="eastAsia" w:ascii="仿宋" w:hAnsi="仿宋" w:eastAsia="仿宋"/>
          <w:b w:val="0"/>
          <w:bCs w:val="0"/>
        </w:rPr>
        <w:t>十二、</w:t>
      </w:r>
      <w:bookmarkEnd w:id="165"/>
      <w:r>
        <w:rPr>
          <w:rStyle w:val="19"/>
          <w:rFonts w:hint="eastAsia" w:ascii="仿宋" w:hAnsi="仿宋" w:eastAsia="仿宋"/>
          <w:b w:val="0"/>
          <w:bCs w:val="0"/>
        </w:rPr>
        <w:t>国有资本经营预算财政拨款支出决算表</w:t>
      </w:r>
      <w:bookmarkEnd w:id="166"/>
      <w:bookmarkEnd w:id="167"/>
    </w:p>
    <w:p>
      <w:pPr>
        <w:pStyle w:val="4"/>
        <w:rPr>
          <w:rFonts w:eastAsia="仿宋"/>
          <w:b w:val="0"/>
        </w:rPr>
      </w:pPr>
      <w:bookmarkStart w:id="168" w:name="_Toc15396631"/>
      <w:bookmarkStart w:id="169" w:name="_Toc26762"/>
      <w:bookmarkStart w:id="170" w:name="_Toc174107245"/>
      <w:r>
        <w:rPr>
          <w:rStyle w:val="19"/>
          <w:rFonts w:hint="eastAsia" w:ascii="仿宋" w:hAnsi="仿宋" w:eastAsia="仿宋"/>
          <w:b w:val="0"/>
          <w:bCs w:val="0"/>
        </w:rPr>
        <w:t>十三、</w:t>
      </w:r>
      <w:bookmarkEnd w:id="168"/>
      <w:r>
        <w:rPr>
          <w:rStyle w:val="19"/>
          <w:rFonts w:hint="eastAsia" w:ascii="仿宋" w:hAnsi="仿宋" w:eastAsia="仿宋"/>
          <w:b w:val="0"/>
          <w:bCs w:val="0"/>
        </w:rPr>
        <w:t>财政拨款“三公”经费支出决算表</w:t>
      </w:r>
      <w:bookmarkEnd w:id="169"/>
      <w:bookmarkEnd w:id="170"/>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9"/>
          <w:jc w:val="center"/>
        </w:pPr>
        <w:r>
          <w:fldChar w:fldCharType="begin"/>
        </w:r>
        <w:r>
          <w:instrText xml:space="preserve">PAGE   \* MERGEFORMAT</w:instrText>
        </w:r>
        <w:r>
          <w:fldChar w:fldCharType="separate"/>
        </w:r>
        <w:r>
          <w:rPr>
            <w:lang w:val="zh-CN"/>
          </w:rPr>
          <w:t>4</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F4FB0"/>
    <w:multiLevelType w:val="singleLevel"/>
    <w:tmpl w:val="97EF4FB0"/>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F1361C"/>
    <w:rsid w:val="000222C6"/>
    <w:rsid w:val="0002549F"/>
    <w:rsid w:val="000468DB"/>
    <w:rsid w:val="0004753C"/>
    <w:rsid w:val="00061040"/>
    <w:rsid w:val="0006487A"/>
    <w:rsid w:val="00065F8F"/>
    <w:rsid w:val="00070A43"/>
    <w:rsid w:val="000768F2"/>
    <w:rsid w:val="00084CAF"/>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06F93"/>
    <w:rsid w:val="00114E9B"/>
    <w:rsid w:val="001162C1"/>
    <w:rsid w:val="00142216"/>
    <w:rsid w:val="00144D6A"/>
    <w:rsid w:val="0014729F"/>
    <w:rsid w:val="00157BAB"/>
    <w:rsid w:val="001654D1"/>
    <w:rsid w:val="00174518"/>
    <w:rsid w:val="0018106D"/>
    <w:rsid w:val="001877A7"/>
    <w:rsid w:val="00191536"/>
    <w:rsid w:val="00196687"/>
    <w:rsid w:val="001A1DAD"/>
    <w:rsid w:val="001C0962"/>
    <w:rsid w:val="001C7911"/>
    <w:rsid w:val="001D7531"/>
    <w:rsid w:val="001E6B1E"/>
    <w:rsid w:val="001E737D"/>
    <w:rsid w:val="001F0592"/>
    <w:rsid w:val="001F7506"/>
    <w:rsid w:val="002006CD"/>
    <w:rsid w:val="00202B36"/>
    <w:rsid w:val="00204B7A"/>
    <w:rsid w:val="00204CDE"/>
    <w:rsid w:val="00206907"/>
    <w:rsid w:val="0021101A"/>
    <w:rsid w:val="00212B4A"/>
    <w:rsid w:val="00220536"/>
    <w:rsid w:val="002309DC"/>
    <w:rsid w:val="00235629"/>
    <w:rsid w:val="002375B2"/>
    <w:rsid w:val="00241E35"/>
    <w:rsid w:val="00247B8E"/>
    <w:rsid w:val="00260C38"/>
    <w:rsid w:val="002616C0"/>
    <w:rsid w:val="00265372"/>
    <w:rsid w:val="002662AA"/>
    <w:rsid w:val="00280496"/>
    <w:rsid w:val="00286C12"/>
    <w:rsid w:val="00294DC9"/>
    <w:rsid w:val="00295495"/>
    <w:rsid w:val="002A31DE"/>
    <w:rsid w:val="002B2613"/>
    <w:rsid w:val="002C5004"/>
    <w:rsid w:val="002D6D05"/>
    <w:rsid w:val="002F1818"/>
    <w:rsid w:val="002F567B"/>
    <w:rsid w:val="003025F8"/>
    <w:rsid w:val="00312E40"/>
    <w:rsid w:val="003216A9"/>
    <w:rsid w:val="00335A74"/>
    <w:rsid w:val="0036561B"/>
    <w:rsid w:val="0037013F"/>
    <w:rsid w:val="00380C92"/>
    <w:rsid w:val="003A484F"/>
    <w:rsid w:val="003A4883"/>
    <w:rsid w:val="003A4ADF"/>
    <w:rsid w:val="003B0644"/>
    <w:rsid w:val="003B0BE0"/>
    <w:rsid w:val="003B0C1B"/>
    <w:rsid w:val="003B2C37"/>
    <w:rsid w:val="003B688C"/>
    <w:rsid w:val="003C0291"/>
    <w:rsid w:val="003C39AE"/>
    <w:rsid w:val="003C7B60"/>
    <w:rsid w:val="003D0C0F"/>
    <w:rsid w:val="003D1FB2"/>
    <w:rsid w:val="003D66DA"/>
    <w:rsid w:val="003E1310"/>
    <w:rsid w:val="003E6F55"/>
    <w:rsid w:val="00406254"/>
    <w:rsid w:val="00414EE7"/>
    <w:rsid w:val="004223DE"/>
    <w:rsid w:val="00425C50"/>
    <w:rsid w:val="0043177C"/>
    <w:rsid w:val="00434489"/>
    <w:rsid w:val="00437085"/>
    <w:rsid w:val="00443880"/>
    <w:rsid w:val="004464F4"/>
    <w:rsid w:val="004479F7"/>
    <w:rsid w:val="0046049C"/>
    <w:rsid w:val="00471401"/>
    <w:rsid w:val="00473F31"/>
    <w:rsid w:val="0048263A"/>
    <w:rsid w:val="00487E5D"/>
    <w:rsid w:val="004A711F"/>
    <w:rsid w:val="004B199D"/>
    <w:rsid w:val="004B2F0F"/>
    <w:rsid w:val="004B4690"/>
    <w:rsid w:val="004E0954"/>
    <w:rsid w:val="004E0A2D"/>
    <w:rsid w:val="004E206B"/>
    <w:rsid w:val="004E4352"/>
    <w:rsid w:val="004E6DF7"/>
    <w:rsid w:val="004F0FBD"/>
    <w:rsid w:val="00505A47"/>
    <w:rsid w:val="00512FDA"/>
    <w:rsid w:val="00520DA0"/>
    <w:rsid w:val="005533CF"/>
    <w:rsid w:val="005622FA"/>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352E"/>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2460"/>
    <w:rsid w:val="0066343B"/>
    <w:rsid w:val="00664777"/>
    <w:rsid w:val="00664E82"/>
    <w:rsid w:val="006748A4"/>
    <w:rsid w:val="00681A31"/>
    <w:rsid w:val="00683E73"/>
    <w:rsid w:val="00690EED"/>
    <w:rsid w:val="006A3141"/>
    <w:rsid w:val="006A5E34"/>
    <w:rsid w:val="006B2422"/>
    <w:rsid w:val="006B2B9A"/>
    <w:rsid w:val="006C1937"/>
    <w:rsid w:val="006F020C"/>
    <w:rsid w:val="0071021A"/>
    <w:rsid w:val="007127B7"/>
    <w:rsid w:val="00713ABC"/>
    <w:rsid w:val="0071798E"/>
    <w:rsid w:val="007208AF"/>
    <w:rsid w:val="007416B6"/>
    <w:rsid w:val="00746F48"/>
    <w:rsid w:val="0075404D"/>
    <w:rsid w:val="0076182A"/>
    <w:rsid w:val="00767B7E"/>
    <w:rsid w:val="007770C3"/>
    <w:rsid w:val="00783D35"/>
    <w:rsid w:val="00784D24"/>
    <w:rsid w:val="00785FBA"/>
    <w:rsid w:val="00786E4A"/>
    <w:rsid w:val="007875EB"/>
    <w:rsid w:val="00787B62"/>
    <w:rsid w:val="0079426B"/>
    <w:rsid w:val="007B3003"/>
    <w:rsid w:val="007C0562"/>
    <w:rsid w:val="007C7689"/>
    <w:rsid w:val="007D1682"/>
    <w:rsid w:val="007D312A"/>
    <w:rsid w:val="007D3F19"/>
    <w:rsid w:val="007D522F"/>
    <w:rsid w:val="007D6BBD"/>
    <w:rsid w:val="007E23B0"/>
    <w:rsid w:val="007E23E5"/>
    <w:rsid w:val="007E53BC"/>
    <w:rsid w:val="007E6F22"/>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0866"/>
    <w:rsid w:val="00871F71"/>
    <w:rsid w:val="00872FD8"/>
    <w:rsid w:val="00885AF4"/>
    <w:rsid w:val="008939CD"/>
    <w:rsid w:val="008A45BB"/>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3973"/>
    <w:rsid w:val="00A04EB0"/>
    <w:rsid w:val="00A13CC1"/>
    <w:rsid w:val="00A16847"/>
    <w:rsid w:val="00A237D8"/>
    <w:rsid w:val="00A268C4"/>
    <w:rsid w:val="00A307CD"/>
    <w:rsid w:val="00A331C8"/>
    <w:rsid w:val="00A40A00"/>
    <w:rsid w:val="00A4142F"/>
    <w:rsid w:val="00A422EB"/>
    <w:rsid w:val="00A45BB7"/>
    <w:rsid w:val="00A53676"/>
    <w:rsid w:val="00A56DF2"/>
    <w:rsid w:val="00A56E6E"/>
    <w:rsid w:val="00A67AB5"/>
    <w:rsid w:val="00A733B2"/>
    <w:rsid w:val="00A741C2"/>
    <w:rsid w:val="00A91760"/>
    <w:rsid w:val="00A93B00"/>
    <w:rsid w:val="00A93C21"/>
    <w:rsid w:val="00AB5D39"/>
    <w:rsid w:val="00AB64C9"/>
    <w:rsid w:val="00AC1DDD"/>
    <w:rsid w:val="00AC3C6A"/>
    <w:rsid w:val="00AC775A"/>
    <w:rsid w:val="00AD5620"/>
    <w:rsid w:val="00AD656B"/>
    <w:rsid w:val="00AD7C1B"/>
    <w:rsid w:val="00AE16BA"/>
    <w:rsid w:val="00AE1EBE"/>
    <w:rsid w:val="00AE3D9C"/>
    <w:rsid w:val="00AE556A"/>
    <w:rsid w:val="00AE5FC3"/>
    <w:rsid w:val="00AF73DB"/>
    <w:rsid w:val="00B03C9D"/>
    <w:rsid w:val="00B03FA5"/>
    <w:rsid w:val="00B057F0"/>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1CF0"/>
    <w:rsid w:val="00BB4DF0"/>
    <w:rsid w:val="00BC168A"/>
    <w:rsid w:val="00BC289F"/>
    <w:rsid w:val="00BC2D50"/>
    <w:rsid w:val="00BC5361"/>
    <w:rsid w:val="00BC5460"/>
    <w:rsid w:val="00BC6B50"/>
    <w:rsid w:val="00BD0E25"/>
    <w:rsid w:val="00BF260C"/>
    <w:rsid w:val="00BF5BD6"/>
    <w:rsid w:val="00C03E31"/>
    <w:rsid w:val="00C33E72"/>
    <w:rsid w:val="00C354B2"/>
    <w:rsid w:val="00C35554"/>
    <w:rsid w:val="00C42709"/>
    <w:rsid w:val="00C533CC"/>
    <w:rsid w:val="00C5751C"/>
    <w:rsid w:val="00C61BFC"/>
    <w:rsid w:val="00C62B85"/>
    <w:rsid w:val="00C65438"/>
    <w:rsid w:val="00C66532"/>
    <w:rsid w:val="00C87FD8"/>
    <w:rsid w:val="00C91381"/>
    <w:rsid w:val="00C91CBB"/>
    <w:rsid w:val="00CA68DA"/>
    <w:rsid w:val="00CB4E70"/>
    <w:rsid w:val="00CC09B6"/>
    <w:rsid w:val="00CC666F"/>
    <w:rsid w:val="00CD1E3F"/>
    <w:rsid w:val="00CE44F6"/>
    <w:rsid w:val="00CE49DA"/>
    <w:rsid w:val="00CE7B61"/>
    <w:rsid w:val="00CE7EFB"/>
    <w:rsid w:val="00D00095"/>
    <w:rsid w:val="00D114F0"/>
    <w:rsid w:val="00D20620"/>
    <w:rsid w:val="00D254F7"/>
    <w:rsid w:val="00D26091"/>
    <w:rsid w:val="00D2685C"/>
    <w:rsid w:val="00D31CA2"/>
    <w:rsid w:val="00D31E6F"/>
    <w:rsid w:val="00D34E7C"/>
    <w:rsid w:val="00D35489"/>
    <w:rsid w:val="00D36AFE"/>
    <w:rsid w:val="00D51276"/>
    <w:rsid w:val="00D625D5"/>
    <w:rsid w:val="00D7035F"/>
    <w:rsid w:val="00D96833"/>
    <w:rsid w:val="00DA634F"/>
    <w:rsid w:val="00DA65AC"/>
    <w:rsid w:val="00DB1913"/>
    <w:rsid w:val="00DC410D"/>
    <w:rsid w:val="00DC5A81"/>
    <w:rsid w:val="00DC68CA"/>
    <w:rsid w:val="00DC7CBA"/>
    <w:rsid w:val="00DD73B7"/>
    <w:rsid w:val="00DF28BC"/>
    <w:rsid w:val="00DF34B9"/>
    <w:rsid w:val="00E01053"/>
    <w:rsid w:val="00E07ACF"/>
    <w:rsid w:val="00E150EE"/>
    <w:rsid w:val="00E331A1"/>
    <w:rsid w:val="00E33202"/>
    <w:rsid w:val="00E336A9"/>
    <w:rsid w:val="00E472B1"/>
    <w:rsid w:val="00E50624"/>
    <w:rsid w:val="00E568DF"/>
    <w:rsid w:val="00E56F97"/>
    <w:rsid w:val="00E64269"/>
    <w:rsid w:val="00E82267"/>
    <w:rsid w:val="00E853CE"/>
    <w:rsid w:val="00E867B6"/>
    <w:rsid w:val="00EA010F"/>
    <w:rsid w:val="00ED1B63"/>
    <w:rsid w:val="00ED3C1F"/>
    <w:rsid w:val="00ED4085"/>
    <w:rsid w:val="00ED420E"/>
    <w:rsid w:val="00ED6FBE"/>
    <w:rsid w:val="00EE2F57"/>
    <w:rsid w:val="00EE59BF"/>
    <w:rsid w:val="00EF4C34"/>
    <w:rsid w:val="00EF77C6"/>
    <w:rsid w:val="00F05438"/>
    <w:rsid w:val="00F1361C"/>
    <w:rsid w:val="00F156F0"/>
    <w:rsid w:val="00F160C7"/>
    <w:rsid w:val="00F2408F"/>
    <w:rsid w:val="00F240E9"/>
    <w:rsid w:val="00F36D8F"/>
    <w:rsid w:val="00F417B1"/>
    <w:rsid w:val="00F45853"/>
    <w:rsid w:val="00F5163C"/>
    <w:rsid w:val="00F602DF"/>
    <w:rsid w:val="00F754A1"/>
    <w:rsid w:val="00F81FD9"/>
    <w:rsid w:val="00F841AA"/>
    <w:rsid w:val="00F84A94"/>
    <w:rsid w:val="00F86910"/>
    <w:rsid w:val="00F87E96"/>
    <w:rsid w:val="00FA23E8"/>
    <w:rsid w:val="00FD3CC1"/>
    <w:rsid w:val="00FF00FA"/>
    <w:rsid w:val="00FF0347"/>
    <w:rsid w:val="00FF1E02"/>
    <w:rsid w:val="00FF30B4"/>
    <w:rsid w:val="00FF6BEC"/>
    <w:rsid w:val="03DC2831"/>
    <w:rsid w:val="081B5E94"/>
    <w:rsid w:val="0A2032A3"/>
    <w:rsid w:val="0B8A37D8"/>
    <w:rsid w:val="0C5B0590"/>
    <w:rsid w:val="0D232C17"/>
    <w:rsid w:val="0F5FFB2F"/>
    <w:rsid w:val="0FFFCF60"/>
    <w:rsid w:val="1081433D"/>
    <w:rsid w:val="10C055FF"/>
    <w:rsid w:val="118107EC"/>
    <w:rsid w:val="11DD6519"/>
    <w:rsid w:val="13207E3D"/>
    <w:rsid w:val="14F04146"/>
    <w:rsid w:val="1505553D"/>
    <w:rsid w:val="16BB723D"/>
    <w:rsid w:val="17CE2C04"/>
    <w:rsid w:val="18015F3F"/>
    <w:rsid w:val="19F82288"/>
    <w:rsid w:val="1BE8440E"/>
    <w:rsid w:val="1D155CEE"/>
    <w:rsid w:val="1E54607D"/>
    <w:rsid w:val="1E761259"/>
    <w:rsid w:val="1FAF4A23"/>
    <w:rsid w:val="1FDBBF84"/>
    <w:rsid w:val="20F57F95"/>
    <w:rsid w:val="240371BF"/>
    <w:rsid w:val="25711CC6"/>
    <w:rsid w:val="25C741E6"/>
    <w:rsid w:val="276F80C0"/>
    <w:rsid w:val="27842671"/>
    <w:rsid w:val="29735017"/>
    <w:rsid w:val="29FD04D3"/>
    <w:rsid w:val="2ABE7A3E"/>
    <w:rsid w:val="2AFF09B6"/>
    <w:rsid w:val="2B14398C"/>
    <w:rsid w:val="2CA234A8"/>
    <w:rsid w:val="2EE8112B"/>
    <w:rsid w:val="2EFA178C"/>
    <w:rsid w:val="2EFDF86C"/>
    <w:rsid w:val="2F9D17E1"/>
    <w:rsid w:val="30B46D73"/>
    <w:rsid w:val="319F7F4E"/>
    <w:rsid w:val="33CF0D98"/>
    <w:rsid w:val="34A977C0"/>
    <w:rsid w:val="35005944"/>
    <w:rsid w:val="356A28F1"/>
    <w:rsid w:val="357C035A"/>
    <w:rsid w:val="35A3072E"/>
    <w:rsid w:val="368E000D"/>
    <w:rsid w:val="383D272C"/>
    <w:rsid w:val="39AE70AB"/>
    <w:rsid w:val="3A4DCE41"/>
    <w:rsid w:val="3BCB56FA"/>
    <w:rsid w:val="3C0C0783"/>
    <w:rsid w:val="3E1F291C"/>
    <w:rsid w:val="3EE7C2F4"/>
    <w:rsid w:val="3F371B56"/>
    <w:rsid w:val="3F792ED8"/>
    <w:rsid w:val="3F9F3A96"/>
    <w:rsid w:val="3FD37E62"/>
    <w:rsid w:val="3FECA4B2"/>
    <w:rsid w:val="3FF58C48"/>
    <w:rsid w:val="419D10E7"/>
    <w:rsid w:val="42C42510"/>
    <w:rsid w:val="42C45840"/>
    <w:rsid w:val="42E6DA0F"/>
    <w:rsid w:val="42FF6694"/>
    <w:rsid w:val="48BF60AB"/>
    <w:rsid w:val="493C27E9"/>
    <w:rsid w:val="496F39ED"/>
    <w:rsid w:val="49FF41D3"/>
    <w:rsid w:val="4BE068DB"/>
    <w:rsid w:val="4BF6002B"/>
    <w:rsid w:val="4BFFC6BE"/>
    <w:rsid w:val="4C905CCA"/>
    <w:rsid w:val="4ECE2238"/>
    <w:rsid w:val="51CC5E14"/>
    <w:rsid w:val="51DB4B86"/>
    <w:rsid w:val="51F64DB0"/>
    <w:rsid w:val="52302EF2"/>
    <w:rsid w:val="536D62FF"/>
    <w:rsid w:val="53715570"/>
    <w:rsid w:val="55333C3E"/>
    <w:rsid w:val="567A298E"/>
    <w:rsid w:val="58B55DF0"/>
    <w:rsid w:val="5BCD1532"/>
    <w:rsid w:val="5C735EB5"/>
    <w:rsid w:val="5CF948B4"/>
    <w:rsid w:val="5EC03109"/>
    <w:rsid w:val="5F67802D"/>
    <w:rsid w:val="5F7DC4F2"/>
    <w:rsid w:val="5FA7206D"/>
    <w:rsid w:val="5FB36814"/>
    <w:rsid w:val="5FBB8E56"/>
    <w:rsid w:val="5FFB5535"/>
    <w:rsid w:val="64CA39A1"/>
    <w:rsid w:val="676F7FF4"/>
    <w:rsid w:val="69630ADE"/>
    <w:rsid w:val="69AF0748"/>
    <w:rsid w:val="69BD5F13"/>
    <w:rsid w:val="69FB0B4B"/>
    <w:rsid w:val="6BFFE1FB"/>
    <w:rsid w:val="6C4A05C8"/>
    <w:rsid w:val="6D3B1A89"/>
    <w:rsid w:val="6DB7D8A3"/>
    <w:rsid w:val="6E423939"/>
    <w:rsid w:val="6EC78701"/>
    <w:rsid w:val="6F7A5481"/>
    <w:rsid w:val="6FFE07A9"/>
    <w:rsid w:val="715440AF"/>
    <w:rsid w:val="71BF4EC2"/>
    <w:rsid w:val="72734D90"/>
    <w:rsid w:val="73E75B71"/>
    <w:rsid w:val="7412278C"/>
    <w:rsid w:val="75DDCDA9"/>
    <w:rsid w:val="75FF44B1"/>
    <w:rsid w:val="77670518"/>
    <w:rsid w:val="777FA627"/>
    <w:rsid w:val="77DF1B5F"/>
    <w:rsid w:val="77EF2D9D"/>
    <w:rsid w:val="79E7B28D"/>
    <w:rsid w:val="79FF5EF5"/>
    <w:rsid w:val="7ACFF0C2"/>
    <w:rsid w:val="7AFB9108"/>
    <w:rsid w:val="7BD5340C"/>
    <w:rsid w:val="7BFB19D2"/>
    <w:rsid w:val="7BFD1750"/>
    <w:rsid w:val="7BFDAA1B"/>
    <w:rsid w:val="7C5B09E8"/>
    <w:rsid w:val="7CDF9A82"/>
    <w:rsid w:val="7CFFA1BD"/>
    <w:rsid w:val="7D0A0B4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6"/>
    <w:unhideWhenUsed/>
    <w:qFormat/>
    <w:uiPriority w:val="99"/>
    <w:pPr>
      <w:ind w:firstLine="420" w:firstLine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rPr>
  </w:style>
  <w:style w:type="character" w:customStyle="1" w:styleId="18">
    <w:name w:val="标题 1 Char"/>
    <w:basedOn w:val="15"/>
    <w:link w:val="3"/>
    <w:qFormat/>
    <w:uiPriority w:val="9"/>
    <w:rPr>
      <w:rFonts w:ascii="Times New Roman" w:hAnsi="Times New Roman"/>
      <w:b/>
      <w:bCs/>
      <w:kern w:val="44"/>
      <w:sz w:val="44"/>
      <w:szCs w:val="44"/>
    </w:rPr>
  </w:style>
  <w:style w:type="character" w:customStyle="1" w:styleId="19">
    <w:name w:val="标题 2 Char"/>
    <w:basedOn w:val="15"/>
    <w:link w:val="4"/>
    <w:qFormat/>
    <w:uiPriority w:val="9"/>
    <w:rPr>
      <w:rFonts w:asciiTheme="majorHAnsi" w:hAnsiTheme="majorHAnsi" w:eastAsiaTheme="majorEastAsia" w:cstheme="majorBidi"/>
      <w:b/>
      <w:bCs/>
      <w:kern w:val="2"/>
      <w:sz w:val="32"/>
      <w:szCs w:val="32"/>
    </w:rPr>
  </w:style>
  <w:style w:type="character" w:customStyle="1" w:styleId="20">
    <w:name w:val="标题 3 Char"/>
    <w:basedOn w:val="15"/>
    <w:link w:val="5"/>
    <w:qFormat/>
    <w:uiPriority w:val="9"/>
    <w:rPr>
      <w:rFonts w:ascii="Times New Roman" w:hAnsi="Times New Roman"/>
      <w:b/>
      <w:bCs/>
      <w:kern w:val="2"/>
      <w:sz w:val="32"/>
      <w:szCs w:val="32"/>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5"/>
    <w:semiHidden/>
    <w:qFormat/>
    <w:uiPriority w:val="99"/>
    <w:rPr>
      <w:rFonts w:ascii="Times New Roman" w:hAnsi="Times New Roman"/>
      <w:sz w:val="18"/>
      <w:szCs w:val="18"/>
    </w:rPr>
  </w:style>
  <w:style w:type="character" w:customStyle="1" w:styleId="23">
    <w:name w:val="页眉 Char"/>
    <w:link w:val="10"/>
    <w:semiHidden/>
    <w:qFormat/>
    <w:locked/>
    <w:uiPriority w:val="99"/>
    <w:rPr>
      <w:sz w:val="18"/>
    </w:rPr>
  </w:style>
  <w:style w:type="character" w:customStyle="1" w:styleId="24">
    <w:name w:val="Footer Char"/>
    <w:basedOn w:val="15"/>
    <w:semiHidden/>
    <w:qFormat/>
    <w:uiPriority w:val="99"/>
    <w:rPr>
      <w:rFonts w:ascii="Times New Roman" w:hAnsi="Times New Roman"/>
      <w:sz w:val="18"/>
      <w:szCs w:val="18"/>
    </w:rPr>
  </w:style>
  <w:style w:type="character" w:customStyle="1" w:styleId="25">
    <w:name w:val="页脚 Char"/>
    <w:link w:val="9"/>
    <w:qFormat/>
    <w:locked/>
    <w:uiPriority w:val="99"/>
    <w:rPr>
      <w:sz w:val="18"/>
    </w:rPr>
  </w:style>
  <w:style w:type="character" w:customStyle="1" w:styleId="26">
    <w:name w:val="Body Text Char"/>
    <w:basedOn w:val="15"/>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1">
    <w:name w:val="批注框文本 Char"/>
    <w:basedOn w:val="15"/>
    <w:link w:val="8"/>
    <w:semiHidden/>
    <w:qFormat/>
    <w:uiPriority w:val="99"/>
    <w:rPr>
      <w:rFonts w:ascii="Times New Roman" w:hAnsi="Times New Roman"/>
      <w:kern w:val="2"/>
      <w:sz w:val="18"/>
      <w:szCs w:val="18"/>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3">
    <w:name w:val="TOC 标题3"/>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4">
    <w:name w:val="WPSOffice手动目录 1"/>
    <w:qFormat/>
    <w:uiPriority w:val="0"/>
    <w:rPr>
      <w:rFonts w:asciiTheme="minorHAnsi" w:hAnsiTheme="minorHAnsi" w:eastAsiaTheme="minorEastAsia" w:cstheme="minorBidi"/>
      <w:lang w:val="en-US" w:eastAsia="zh-CN" w:bidi="ar-SA"/>
    </w:rPr>
  </w:style>
  <w:style w:type="paragraph" w:customStyle="1" w:styleId="35">
    <w:name w:val="WPSOffice手动目录 2"/>
    <w:qFormat/>
    <w:uiPriority w:val="0"/>
    <w:pPr>
      <w:ind w:left="200" w:leftChars="2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Sheet1!$A$2</c:f>
              <c:strCache>
                <c:ptCount val="1"/>
                <c:pt idx="0">
                  <c:v>2022年</c:v>
                </c:pt>
              </c:strCache>
            </c:strRef>
          </c:tx>
          <c:spPr>
            <a:solidFill>
              <a:schemeClr val="accent1"/>
            </a:solidFill>
            <a:ln>
              <a:noFill/>
            </a:ln>
            <a:effectLst/>
          </c:spPr>
          <c:invertIfNegative val="false"/>
          <c:dLbls>
            <c:delete val="true"/>
          </c:dLbls>
          <c:cat>
            <c:strRef>
              <c:f>Sheet1!$B$1:$C$1</c:f>
              <c:strCache>
                <c:ptCount val="2"/>
                <c:pt idx="0">
                  <c:v>收入</c:v>
                </c:pt>
                <c:pt idx="1">
                  <c:v>支出</c:v>
                </c:pt>
              </c:strCache>
            </c:strRef>
          </c:cat>
          <c:val>
            <c:numRef>
              <c:f>Sheet1!$B$2:$C$2</c:f>
              <c:numCache>
                <c:formatCode>General</c:formatCode>
                <c:ptCount val="2"/>
                <c:pt idx="0">
                  <c:v>6554.46</c:v>
                </c:pt>
                <c:pt idx="1">
                  <c:v>6554.46</c:v>
                </c:pt>
              </c:numCache>
            </c:numRef>
          </c:val>
        </c:ser>
        <c:ser>
          <c:idx val="1"/>
          <c:order val="1"/>
          <c:tx>
            <c:strRef>
              <c:f>Sheet1!$A$3</c:f>
              <c:strCache>
                <c:ptCount val="1"/>
                <c:pt idx="0">
                  <c:v>2023年</c:v>
                </c:pt>
              </c:strCache>
            </c:strRef>
          </c:tx>
          <c:spPr>
            <a:solidFill>
              <a:schemeClr val="accent2"/>
            </a:solidFill>
            <a:ln>
              <a:noFill/>
            </a:ln>
            <a:effectLst/>
          </c:spPr>
          <c:invertIfNegative val="false"/>
          <c:dLbls>
            <c:delete val="true"/>
          </c:dLbls>
          <c:cat>
            <c:strRef>
              <c:f>Sheet1!$B$1:$C$1</c:f>
              <c:strCache>
                <c:ptCount val="2"/>
                <c:pt idx="0">
                  <c:v>收入</c:v>
                </c:pt>
                <c:pt idx="1">
                  <c:v>支出</c:v>
                </c:pt>
              </c:strCache>
            </c:strRef>
          </c:cat>
          <c:val>
            <c:numRef>
              <c:f>Sheet1!$B$3:$C$3</c:f>
              <c:numCache>
                <c:formatCode>General</c:formatCode>
                <c:ptCount val="2"/>
                <c:pt idx="0">
                  <c:v>7019.34</c:v>
                </c:pt>
                <c:pt idx="1">
                  <c:v>7019.34</c:v>
                </c:pt>
              </c:numCache>
            </c:numRef>
          </c:val>
        </c:ser>
        <c:dLbls>
          <c:showLegendKey val="false"/>
          <c:showVal val="false"/>
          <c:showCatName val="false"/>
          <c:showSerName val="false"/>
          <c:showPercent val="false"/>
          <c:showBubbleSize val="false"/>
        </c:dLbls>
        <c:gapWidth val="246"/>
        <c:overlap val="-28"/>
        <c:axId val="103926016"/>
        <c:axId val="50896896"/>
      </c:barChart>
      <c:catAx>
        <c:axId val="103926016"/>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0896896"/>
        <c:crosses val="autoZero"/>
        <c:auto val="true"/>
        <c:lblAlgn val="ctr"/>
        <c:lblOffset val="100"/>
        <c:noMultiLvlLbl val="false"/>
      </c:catAx>
      <c:valAx>
        <c:axId val="50896896"/>
        <c:scaling>
          <c:orientation val="minMax"/>
        </c:scaling>
        <c:delete val="false"/>
        <c:axPos val="l"/>
        <c:majorGridlines>
          <c:spPr>
            <a:ln w="9525" cap="flat" cmpd="sng" algn="ctr">
              <a:solidFill>
                <a:schemeClr val="lt1">
                  <a:lumMod val="90200"/>
                </a:schemeClr>
              </a:solidFill>
              <a:prstDash val="solid"/>
              <a:round/>
            </a:ln>
            <a:effectLst/>
          </c:spPr>
        </c:majorGridlines>
        <c:title>
          <c:tx>
            <c:rich>
              <a:bodyPr rot="-54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r>
                  <a:rPr lang="zh-CN" altLang="en-US" b="0"/>
                  <a:t>金额：万元</a:t>
                </a:r>
                <a:endParaRPr altLang="en-US" b="0"/>
              </a:p>
            </c:rich>
          </c:tx>
          <c:layout>
            <c:manualLayout>
              <c:xMode val="edge"/>
              <c:yMode val="edge"/>
              <c:x val="0.0300932891965092"/>
              <c:y val="0.26606842545558"/>
            </c:manualLayout>
          </c:layout>
          <c:overlay val="false"/>
        </c:title>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3926016"/>
        <c:crosses val="autoZero"/>
        <c:crossBetween val="between"/>
        <c:majorUnit val="500"/>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收入</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Lbl>
              <c:idx val="0"/>
              <c:layout>
                <c:manualLayout>
                  <c:x val="0.0440107183116175"/>
                  <c:y val="-0.0976142093821129"/>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00515675003208478"/>
                  <c:y val="0.00881286206670608"/>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0961430442622388"/>
                  <c:y val="0.0137836928870573"/>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一般公共预算财政拨款收入</c:v>
                </c:pt>
                <c:pt idx="1">
                  <c:v>政府性基金预算财政拨款收入</c:v>
                </c:pt>
                <c:pt idx="2">
                  <c:v>事业收入</c:v>
                </c:pt>
              </c:strCache>
            </c:strRef>
          </c:cat>
          <c:val>
            <c:numRef>
              <c:f>Sheet1!$B$2:$B$4</c:f>
              <c:numCache>
                <c:formatCode>General</c:formatCode>
                <c:ptCount val="3"/>
                <c:pt idx="0">
                  <c:v>5211.44</c:v>
                </c:pt>
                <c:pt idx="1">
                  <c:v>700</c:v>
                </c:pt>
                <c:pt idx="2">
                  <c:v>617.02</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支出</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manualLayout>
                  <c:x val="-0.152457261711135"/>
                  <c:y val="0.0215120451168643"/>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manualLayout>
                      <c:w val="0.0890311669485383"/>
                      <c:h val="0.12027199320017"/>
                    </c:manualLayout>
                  </c15:layout>
                </c:ext>
              </c:extLst>
            </c:dLbl>
            <c:dLbl>
              <c:idx val="1"/>
              <c:layout>
                <c:manualLayout>
                  <c:x val="0.135061754171104"/>
                  <c:y val="-0.0193870523313782"/>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2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2981.53</c:v>
                </c:pt>
                <c:pt idx="1">
                  <c:v>3576.09</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egendEntry>
        <c:idx val="0"/>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Entry>
      <c:layout/>
      <c:overlay val="false"/>
      <c:spPr>
        <a:noFill/>
        <a:ln>
          <a:noFill/>
        </a:ln>
        <a:effectLst/>
      </c:spPr>
      <c:txPr>
        <a:bodyPr rot="0" spcFirstLastPara="0" vertOverflow="ellipsis" vert="horz" wrap="square" anchor="ctr" anchorCtr="true"/>
        <a:lstStyle/>
        <a:p>
          <a:pPr>
            <a:defRPr lang="zh-CN" sz="12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200"/>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55094339622641"/>
          <c:y val="0.054917623564653"/>
          <c:w val="0.812975326560232"/>
          <c:h val="0.71128307538692"/>
        </c:manualLayout>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delete val="true"/>
          </c:dLbls>
          <c:cat>
            <c:strRef>
              <c:extLst>
                <c:ext xmlns:c15="http://schemas.microsoft.com/office/drawing/2012/chart" uri="{02D57815-91ED-43cb-92C2-25804820EDAC}">
                  <c15:fullRef>
                    <c15:sqref>Sheet1!$A$2:$A$3</c15:sqref>
                  </c15:fullRef>
                </c:ext>
              </c:extLst>
              <c:f>Sheet1!$A$2:$A$3</c:f>
              <c:strCache>
                <c:ptCount val="2"/>
                <c:pt idx="0">
                  <c:v>收入</c:v>
                </c:pt>
                <c:pt idx="1">
                  <c:v>支出</c:v>
                </c:pt>
              </c:strCache>
            </c:strRef>
          </c:cat>
          <c:val>
            <c:numRef>
              <c:extLst>
                <c:ext xmlns:c15="http://schemas.microsoft.com/office/drawing/2012/chart" uri="{02D57815-91ED-43cb-92C2-25804820EDAC}">
                  <c15:fullRef>
                    <c15:sqref>Sheet1!$B$2:$B$3</c15:sqref>
                  </c15:fullRef>
                </c:ext>
              </c:extLst>
              <c:f>Sheet1!$B$2:$B$3</c:f>
              <c:numCache>
                <c:formatCode>General</c:formatCode>
                <c:ptCount val="2"/>
                <c:pt idx="0">
                  <c:v>5836.7</c:v>
                </c:pt>
                <c:pt idx="1">
                  <c:v>5836.7</c:v>
                </c:pt>
              </c:numCache>
            </c:numRef>
          </c:val>
        </c:ser>
        <c:ser>
          <c:idx val="1"/>
          <c:order val="1"/>
          <c:tx>
            <c:strRef>
              <c:f>Sheet1!$C$1</c:f>
              <c:strCache>
                <c:ptCount val="1"/>
                <c:pt idx="0">
                  <c:v>2023年</c:v>
                </c:pt>
              </c:strCache>
            </c:strRef>
          </c:tx>
          <c:spPr>
            <a:solidFill>
              <a:schemeClr val="accent2"/>
            </a:solidFill>
            <a:ln>
              <a:noFill/>
            </a:ln>
            <a:effectLst/>
          </c:spPr>
          <c:invertIfNegative val="false"/>
          <c:dLbls>
            <c:delete val="true"/>
          </c:dLbls>
          <c:cat>
            <c:strRef>
              <c:extLst>
                <c:ext xmlns:c15="http://schemas.microsoft.com/office/drawing/2012/chart" uri="{02D57815-91ED-43cb-92C2-25804820EDAC}">
                  <c15:fullRef>
                    <c15:sqref>Sheet1!$A$2:$A$3</c15:sqref>
                  </c15:fullRef>
                </c:ext>
              </c:extLst>
              <c:f>Sheet1!$A$2:$A$3</c:f>
              <c:strCache>
                <c:ptCount val="2"/>
                <c:pt idx="0">
                  <c:v>收入</c:v>
                </c:pt>
                <c:pt idx="1">
                  <c:v>支出</c:v>
                </c:pt>
              </c:strCache>
            </c:strRef>
          </c:cat>
          <c:val>
            <c:numRef>
              <c:extLst>
                <c:ext xmlns:c15="http://schemas.microsoft.com/office/drawing/2012/chart" uri="{02D57815-91ED-43cb-92C2-25804820EDAC}">
                  <c15:fullRef>
                    <c15:sqref>Sheet1!$C$2:$C$3</c15:sqref>
                  </c15:fullRef>
                </c:ext>
              </c:extLst>
              <c:f>Sheet1!$C$2:$C$3</c:f>
              <c:numCache>
                <c:formatCode>General</c:formatCode>
                <c:ptCount val="2"/>
                <c:pt idx="0">
                  <c:v>6402.31</c:v>
                </c:pt>
                <c:pt idx="1">
                  <c:v>6402.31</c:v>
                </c:pt>
              </c:numCache>
            </c:numRef>
          </c:val>
        </c:ser>
        <c:dLbls>
          <c:showLegendKey val="false"/>
          <c:showVal val="false"/>
          <c:showCatName val="false"/>
          <c:showSerName val="false"/>
          <c:showPercent val="false"/>
          <c:showBubbleSize val="false"/>
        </c:dLbls>
        <c:gapWidth val="246"/>
        <c:overlap val="-28"/>
        <c:axId val="105656320"/>
        <c:axId val="105657856"/>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false"/>
                <c:dLbls>
                  <c:delete val="true"/>
                </c:dLbls>
                <c:cat>
                  <c:strRef>
                    <c:extLst>
                      <c:ext uri="{02D57815-91ED-43cb-92C2-25804820EDAC}">
                        <c15:fullRef>
                          <c15:sqref>Sheet1!$A$2:$A$3</c15:sqref>
                        </c15:fullRef>
                        <c15:formulaRef>
                          <c15:sqref>Sheet1!$A$2:$A$3</c15:sqref>
                        </c15:formulaRef>
                      </c:ext>
                    </c:extLst>
                    <c:strCache>
                      <c:ptCount val="2"/>
                      <c:pt idx="0">
                        <c:v>收入</c:v>
                      </c:pt>
                      <c:pt idx="1">
                        <c:v>支出</c:v>
                      </c:pt>
                    </c:strCache>
                  </c:strRef>
                </c:cat>
              </c15:ser>
            </c15:filteredBarSeries>
          </c:ext>
        </c:extLst>
      </c:barChart>
      <c:catAx>
        <c:axId val="10565632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5657856"/>
        <c:crosses val="autoZero"/>
        <c:auto val="true"/>
        <c:lblAlgn val="ctr"/>
        <c:lblOffset val="100"/>
        <c:noMultiLvlLbl val="false"/>
      </c:catAx>
      <c:valAx>
        <c:axId val="105657856"/>
        <c:scaling>
          <c:orientation val="minMax"/>
        </c:scaling>
        <c:delete val="false"/>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t>金额：万元</a:t>
                </a:r>
              </a:p>
            </c:rich>
          </c:tx>
          <c:layout/>
          <c:overlay val="false"/>
          <c:spPr>
            <a:noFill/>
            <a:ln>
              <a:noFill/>
            </a:ln>
            <a:effectLst/>
          </c:spPr>
        </c:title>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05656320"/>
        <c:crosses val="autoZero"/>
        <c:crossBetween val="between"/>
        <c:majorUnit val="500"/>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77223834727676"/>
          <c:y val="0.0499178981937603"/>
          <c:w val="0.815263786921631"/>
          <c:h val="0.796387520525452"/>
        </c:manualLayout>
      </c:layout>
      <c:barChart>
        <c:barDir val="col"/>
        <c:grouping val="clustered"/>
        <c:varyColors val="false"/>
        <c:ser>
          <c:idx val="0"/>
          <c:order val="0"/>
          <c:tx>
            <c:strRef>
              <c:f>Sheet1!$B$1</c:f>
              <c:strCache>
                <c:ptCount val="1"/>
                <c:pt idx="0">
                  <c:v>支出</c:v>
                </c:pt>
              </c:strCache>
            </c:strRef>
          </c:tx>
          <c:spPr>
            <a:solidFill>
              <a:schemeClr val="accent1"/>
            </a:solidFill>
            <a:ln>
              <a:noFill/>
            </a:ln>
            <a:effectLst/>
          </c:spPr>
          <c:invertIfNegative val="false"/>
          <c:dLbls>
            <c:delete val="true"/>
          </c:dLbls>
          <c:cat>
            <c:strRef>
              <c:f>Sheet1!$A$2:$A$3</c:f>
              <c:strCache>
                <c:ptCount val="2"/>
                <c:pt idx="0">
                  <c:v>2022年</c:v>
                </c:pt>
                <c:pt idx="1">
                  <c:v>2023年</c:v>
                </c:pt>
              </c:strCache>
            </c:strRef>
          </c:cat>
          <c:val>
            <c:numRef>
              <c:f>Sheet1!$B$2:$B$3</c:f>
              <c:numCache>
                <c:formatCode>General</c:formatCode>
                <c:ptCount val="2"/>
                <c:pt idx="0">
                  <c:v>5345.83</c:v>
                </c:pt>
                <c:pt idx="1">
                  <c:v>5240.6</c:v>
                </c:pt>
              </c:numCache>
            </c:numRef>
          </c:val>
        </c:ser>
        <c:ser>
          <c:idx val="1"/>
          <c:order val="1"/>
          <c:tx>
            <c:strRef>
              <c:f>Sheet1!#REF!</c:f>
              <c:strCache>
                <c:ptCount val="1"/>
                <c:pt idx="0">
                  <c:v/>
                </c:pt>
              </c:strCache>
            </c:strRef>
          </c:tx>
          <c:spPr>
            <a:solidFill>
              <a:schemeClr val="accent2"/>
            </a:solidFill>
            <a:ln>
              <a:noFill/>
            </a:ln>
            <a:effectLst/>
          </c:spPr>
          <c:invertIfNegative val="false"/>
          <c:dLbls>
            <c:delete val="true"/>
          </c:dLbls>
          <c:cat>
            <c:strRef>
              <c:f>Sheet1!$A$2:$A$3</c:f>
              <c:strCache>
                <c:ptCount val="2"/>
                <c:pt idx="0">
                  <c:v>2022年</c:v>
                </c:pt>
                <c:pt idx="1">
                  <c:v>2023年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Sheet1!$A$2:$A$3</c:f>
              <c:strCache>
                <c:ptCount val="2"/>
                <c:pt idx="0">
                  <c:v>2022年</c:v>
                </c:pt>
                <c:pt idx="1">
                  <c:v>2023年</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262"/>
        <c:overlap val="78"/>
        <c:axId val="105695872"/>
        <c:axId val="105697664"/>
      </c:barChart>
      <c:catAx>
        <c:axId val="10569587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crossAx val="105697664"/>
        <c:crosses val="autoZero"/>
        <c:auto val="true"/>
        <c:lblAlgn val="ctr"/>
        <c:lblOffset val="100"/>
        <c:noMultiLvlLbl val="false"/>
      </c:catAx>
      <c:valAx>
        <c:axId val="105697664"/>
        <c:scaling>
          <c:orientation val="minMax"/>
        </c:scaling>
        <c:delete val="false"/>
        <c:axPos val="l"/>
        <c:majorGridlines>
          <c:spPr>
            <a:ln w="9525" cap="flat" cmpd="sng" algn="ctr">
              <a:solidFill>
                <a:schemeClr val="lt1">
                  <a:lumMod val="90200"/>
                </a:schemeClr>
              </a:solidFill>
              <a:round/>
            </a:ln>
            <a:effectLst/>
          </c:spPr>
        </c:majorGridlines>
        <c:title>
          <c:tx>
            <c:rich>
              <a:bodyPr rot="-540000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t>金额：万元</a:t>
                </a:r>
              </a:p>
            </c:rich>
          </c:tx>
          <c:layout/>
          <c:overlay val="false"/>
          <c:spPr>
            <a:noFill/>
            <a:ln>
              <a:noFill/>
            </a:ln>
            <a:effectLst/>
          </c:spPr>
        </c:title>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crossAx val="105695872"/>
        <c:crosses val="autoZero"/>
        <c:crossBetween val="between"/>
        <c:majorUnit val="1500"/>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sz="1000"/>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支出</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教育支出</c:v>
                </c:pt>
                <c:pt idx="1">
                  <c:v>社会保障和就业支出</c:v>
                </c:pt>
                <c:pt idx="2">
                  <c:v>卫生健康支出</c:v>
                </c:pt>
                <c:pt idx="3">
                  <c:v>住房保障支出</c:v>
                </c:pt>
              </c:strCache>
            </c:strRef>
          </c:cat>
          <c:val>
            <c:numRef>
              <c:f>Sheet1!$B$2:$B$5</c:f>
              <c:numCache>
                <c:formatCode>General</c:formatCode>
                <c:ptCount val="4"/>
                <c:pt idx="0">
                  <c:v>4326.35</c:v>
                </c:pt>
                <c:pt idx="1">
                  <c:v>567.01</c:v>
                </c:pt>
                <c:pt idx="2">
                  <c:v>112.2</c:v>
                </c:pt>
                <c:pt idx="3">
                  <c:v>235.04</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5028</Words>
  <Characters>5461</Characters>
  <Lines>19</Lines>
  <Paragraphs>14</Paragraphs>
  <TotalTime>17</TotalTime>
  <ScaleCrop>false</ScaleCrop>
  <LinksUpToDate>false</LinksUpToDate>
  <CharactersWithSpaces>5583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2024-08-09T18:01:00Z</dcterms:created>
  <dc:creator>曹颖</dc:creator>
  <cp:lastModifiedBy> </cp:lastModifiedBy>
  <cp:lastPrinted>2023-08-03T18:35:00Z</cp:lastPrinted>
  <dcterms:modified xsi:type="dcterms:W3CDTF">2024-10-11T17:46:50Z</dcterms:modified>
  <dc:title>四川省***</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919B9C4F2EEB441FA4598CCF06A13589_12</vt:lpwstr>
  </property>
</Properties>
</file>