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方正小标宋简体" w:hAnsi="宋体" w:eastAsia="方正小标宋简体"/>
          <w:szCs w:val="21"/>
        </w:rPr>
      </w:pPr>
      <w:bookmarkStart w:id="0" w:name="_Toc15306267"/>
    </w:p>
    <w:p>
      <w:pPr>
        <w:pStyle w:val="2"/>
        <w:spacing w:before="93"/>
      </w:pPr>
    </w:p>
    <w:p>
      <w:pPr>
        <w:spacing w:line="600" w:lineRule="exact"/>
        <w:jc w:val="center"/>
        <w:rPr>
          <w:rFonts w:ascii="方正小标宋简体" w:hAnsi="宋体" w:eastAsia="方正小标宋简体"/>
          <w:sz w:val="72"/>
          <w:szCs w:val="72"/>
        </w:rPr>
      </w:pPr>
    </w:p>
    <w:p>
      <w:pPr>
        <w:spacing w:line="600" w:lineRule="exact"/>
        <w:jc w:val="center"/>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8441"/>
      <w:bookmarkStart w:id="2" w:name="_Toc15396475"/>
      <w:bookmarkStart w:id="3" w:name="_Toc15377193"/>
      <w:bookmarkStart w:id="4" w:name="_Toc25612"/>
      <w:bookmarkStart w:id="5" w:name="_Toc15377425"/>
      <w:bookmarkStart w:id="6" w:name="_Toc24659"/>
      <w:bookmarkStart w:id="7" w:name="_Toc15396597"/>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bookmarkEnd w:id="7"/>
    </w:p>
    <w:bookmarkEnd w:id="0"/>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8" w:name="_Toc20073"/>
      <w:bookmarkStart w:id="9" w:name="_Toc11262"/>
      <w:bookmarkStart w:id="10" w:name="_Toc15306268"/>
      <w:bookmarkStart w:id="11" w:name="_Toc15378442"/>
      <w:bookmarkStart w:id="12" w:name="_Toc15396476"/>
      <w:bookmarkStart w:id="13" w:name="_Toc15377194"/>
      <w:bookmarkStart w:id="14" w:name="_Toc15396598"/>
      <w:bookmarkStart w:id="15" w:name="_Toc15377426"/>
      <w:r>
        <w:rPr>
          <w:rFonts w:hint="eastAsia" w:ascii="方正小标宋简体" w:hAnsi="方正小标宋简体" w:eastAsia="方正小标宋简体" w:cs="方正小标宋简体"/>
          <w:sz w:val="72"/>
          <w:szCs w:val="72"/>
        </w:rPr>
        <w:t>广元市交通技工学校</w:t>
      </w:r>
      <w:bookmarkEnd w:id="8"/>
      <w:bookmarkEnd w:id="9"/>
    </w:p>
    <w:p>
      <w:pPr>
        <w:adjustRightInd w:val="0"/>
        <w:snapToGrid w:val="0"/>
        <w:spacing w:line="360" w:lineRule="auto"/>
        <w:jc w:val="center"/>
        <w:outlineLvl w:val="0"/>
        <w:rPr>
          <w:rFonts w:ascii="方正小标宋简体" w:hAnsi="宋体" w:eastAsia="方正小标宋简体"/>
          <w:sz w:val="52"/>
          <w:szCs w:val="52"/>
        </w:rPr>
      </w:pPr>
      <w:bookmarkStart w:id="16" w:name="_Toc8597"/>
      <w:bookmarkStart w:id="17" w:name="_Toc29476"/>
      <w:r>
        <w:rPr>
          <w:rFonts w:hint="eastAsia" w:ascii="方正小标宋简体" w:hAnsi="方正小标宋简体" w:eastAsia="方正小标宋简体" w:cs="方正小标宋简体"/>
          <w:sz w:val="72"/>
          <w:szCs w:val="72"/>
        </w:rPr>
        <w:t>单位决算</w:t>
      </w:r>
      <w:bookmarkEnd w:id="10"/>
      <w:bookmarkEnd w:id="11"/>
      <w:bookmarkEnd w:id="12"/>
      <w:bookmarkEnd w:id="13"/>
      <w:bookmarkEnd w:id="14"/>
      <w:bookmarkEnd w:id="15"/>
      <w:bookmarkEnd w:id="16"/>
      <w:bookmarkEnd w:id="17"/>
    </w:p>
    <w:p>
      <w:pPr>
        <w:widowControl/>
        <w:jc w:val="center"/>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  录</w:t>
      </w:r>
    </w:p>
    <w:p>
      <w:pPr>
        <w:pStyle w:val="12"/>
        <w:rPr>
          <w:b/>
        </w:rPr>
      </w:pPr>
      <w:r>
        <w:rPr>
          <w:rFonts w:hint="eastAsia"/>
        </w:rPr>
        <w:t>公开时间：2024年10月</w:t>
      </w:r>
      <w:r>
        <w:rPr>
          <w:rFonts w:hint="eastAsia"/>
          <w:lang w:val="en-US" w:eastAsia="zh-CN"/>
        </w:rPr>
        <w:t>14</w:t>
      </w:r>
      <w:r>
        <w:rPr>
          <w:rFonts w:hint="eastAsia"/>
        </w:rPr>
        <w:t>日</w:t>
      </w:r>
    </w:p>
    <w:p>
      <w:pPr>
        <w:rPr>
          <w:rFonts w:hint="eastAsia" w:ascii="黑体" w:hAnsi="黑体" w:eastAsia="黑体"/>
          <w:b w:val="0"/>
        </w:rPr>
      </w:pPr>
    </w:p>
    <w:sdt>
      <w:sdtPr>
        <w:rPr>
          <w:rFonts w:ascii="宋体" w:hAnsi="宋体" w:eastAsia="宋体" w:cs="Times New Roman"/>
          <w:kern w:val="2"/>
          <w:sz w:val="21"/>
          <w:szCs w:val="24"/>
          <w:lang w:val="en-US" w:eastAsia="zh-CN" w:bidi="ar-SA"/>
        </w:rPr>
        <w:id w:val="147451259"/>
        <w15:color w:val="DBDBDB"/>
        <w:docPartObj>
          <w:docPartGallery w:val="Table of Contents"/>
          <w:docPartUnique/>
        </w:docPartObj>
      </w:sdtPr>
      <w:sdtEndPr>
        <w:rPr>
          <w:rFonts w:hint="eastAsia" w:ascii="仿宋_GB2312" w:hAnsi="Times New Roman" w:eastAsia="仿宋_GB2312" w:cs="Times New Roman"/>
          <w:b/>
          <w:kern w:val="0"/>
          <w:sz w:val="30"/>
          <w:szCs w:val="24"/>
          <w:lang w:val="en-US" w:eastAsia="zh-CN" w:bidi="ar-SA"/>
        </w:rPr>
      </w:sdtEndPr>
      <w:sdtContent>
        <w:p>
          <w:pPr>
            <w:spacing w:before="0" w:beforeLines="0" w:after="0" w:afterLines="0" w:line="240" w:lineRule="auto"/>
            <w:ind w:left="0" w:leftChars="0" w:right="0" w:rightChars="0" w:firstLine="0" w:firstLineChars="0"/>
            <w:jc w:val="center"/>
            <w:rPr>
              <w:b/>
            </w:rPr>
          </w:pPr>
          <w:r>
            <w:rPr>
              <w:rFonts w:hint="eastAsia"/>
            </w:rPr>
            <w:fldChar w:fldCharType="begin"/>
          </w:r>
          <w:r>
            <w:rPr>
              <w:rFonts w:hint="eastAsia"/>
            </w:rPr>
            <w:instrText xml:space="preserve">TOC \o "1-2" \h \u </w:instrText>
          </w:r>
          <w:r>
            <w:rPr>
              <w:rFonts w:hint="eastAsia"/>
            </w:rPr>
            <w:fldChar w:fldCharType="separate"/>
          </w:r>
        </w:p>
        <w:p>
          <w:pPr>
            <w:pStyle w:val="34"/>
            <w:tabs>
              <w:tab w:val="right" w:leader="dot" w:pos="8306"/>
            </w:tabs>
            <w:rPr>
              <w:b/>
            </w:rPr>
          </w:pPr>
          <w:r>
            <w:rPr>
              <w:rFonts w:hint="eastAsia"/>
              <w:b/>
            </w:rPr>
            <w:fldChar w:fldCharType="begin"/>
          </w:r>
          <w:r>
            <w:rPr>
              <w:rFonts w:hint="eastAsia"/>
              <w:b/>
            </w:rPr>
            <w:instrText xml:space="preserve"> HYPERLINK \l _Toc10477 </w:instrText>
          </w:r>
          <w:r>
            <w:rPr>
              <w:rFonts w:hint="eastAsia"/>
              <w:b/>
            </w:rPr>
            <w:fldChar w:fldCharType="separate"/>
          </w:r>
          <w:r>
            <w:rPr>
              <w:rFonts w:hint="eastAsia" w:ascii="黑体" w:hAnsi="黑体" w:eastAsia="黑体"/>
              <w:b/>
            </w:rPr>
            <w:t>第一部分 单位</w:t>
          </w:r>
          <w:r>
            <w:rPr>
              <w:rFonts w:hint="eastAsia" w:ascii="黑体" w:hAnsi="黑体" w:eastAsia="黑体"/>
              <w:b/>
              <w:bCs w:val="0"/>
            </w:rPr>
            <w:t>概况</w:t>
          </w:r>
          <w:r>
            <w:rPr>
              <w:b/>
            </w:rPr>
            <w:tab/>
          </w:r>
          <w:r>
            <w:rPr>
              <w:b/>
            </w:rPr>
            <w:fldChar w:fldCharType="begin"/>
          </w:r>
          <w:r>
            <w:rPr>
              <w:b/>
            </w:rPr>
            <w:instrText xml:space="preserve"> PAGEREF _Toc10477 \h </w:instrText>
          </w:r>
          <w:r>
            <w:rPr>
              <w:b/>
            </w:rPr>
            <w:fldChar w:fldCharType="separate"/>
          </w:r>
          <w:r>
            <w:rPr>
              <w:b/>
            </w:rPr>
            <w:t>1</w:t>
          </w:r>
          <w:r>
            <w:rPr>
              <w:b/>
            </w:rPr>
            <w:fldChar w:fldCharType="end"/>
          </w:r>
          <w:r>
            <w:rPr>
              <w:rFonts w:hint="eastAsia"/>
              <w:b/>
            </w:rPr>
            <w:fldChar w:fldCharType="end"/>
          </w:r>
        </w:p>
        <w:p>
          <w:pPr>
            <w:pStyle w:val="35"/>
            <w:tabs>
              <w:tab w:val="right" w:leader="dot" w:pos="8306"/>
            </w:tabs>
          </w:pPr>
          <w:r>
            <w:rPr>
              <w:rFonts w:hint="eastAsia"/>
            </w:rPr>
            <w:fldChar w:fldCharType="begin"/>
          </w:r>
          <w:r>
            <w:rPr>
              <w:rFonts w:hint="eastAsia"/>
            </w:rPr>
            <w:instrText xml:space="preserve"> HYPERLINK \l _Toc27985 </w:instrText>
          </w:r>
          <w:r>
            <w:rPr>
              <w:rFonts w:hint="eastAsia"/>
            </w:rPr>
            <w:fldChar w:fldCharType="separate"/>
          </w:r>
          <w:r>
            <w:rPr>
              <w:rFonts w:hint="eastAsia" w:ascii="黑体" w:hAnsi="黑体" w:eastAsia="黑体"/>
              <w:lang w:val="zh-CN"/>
            </w:rPr>
            <w:t>一、主要职责</w:t>
          </w:r>
          <w:r>
            <w:tab/>
          </w:r>
          <w:r>
            <w:fldChar w:fldCharType="begin"/>
          </w:r>
          <w:r>
            <w:instrText xml:space="preserve"> PAGEREF _Toc27985 \h </w:instrText>
          </w:r>
          <w:r>
            <w:fldChar w:fldCharType="separate"/>
          </w:r>
          <w:r>
            <w:t>1</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_Toc6299 </w:instrText>
          </w:r>
          <w:r>
            <w:rPr>
              <w:rFonts w:hint="eastAsia"/>
            </w:rPr>
            <w:fldChar w:fldCharType="separate"/>
          </w:r>
          <w:r>
            <w:rPr>
              <w:rFonts w:hint="eastAsia" w:ascii="黑体" w:hAnsi="黑体" w:eastAsia="黑体"/>
              <w:lang w:val="zh-CN"/>
            </w:rPr>
            <w:t>二、机构设置</w:t>
          </w:r>
          <w:r>
            <w:tab/>
          </w:r>
          <w:r>
            <w:fldChar w:fldCharType="begin"/>
          </w:r>
          <w:r>
            <w:instrText xml:space="preserve"> PAGEREF _Toc6299 \h </w:instrText>
          </w:r>
          <w:r>
            <w:fldChar w:fldCharType="separate"/>
          </w:r>
          <w:r>
            <w:t>2</w:t>
          </w:r>
          <w:r>
            <w:fldChar w:fldCharType="end"/>
          </w:r>
          <w:r>
            <w:rPr>
              <w:rFonts w:hint="eastAsia"/>
            </w:rPr>
            <w:fldChar w:fldCharType="end"/>
          </w:r>
        </w:p>
        <w:p>
          <w:pPr>
            <w:pStyle w:val="34"/>
            <w:tabs>
              <w:tab w:val="right" w:leader="dot" w:pos="8306"/>
            </w:tabs>
            <w:rPr>
              <w:b/>
            </w:rPr>
          </w:pPr>
          <w:r>
            <w:rPr>
              <w:rFonts w:hint="eastAsia"/>
              <w:b/>
            </w:rPr>
            <w:fldChar w:fldCharType="begin"/>
          </w:r>
          <w:r>
            <w:rPr>
              <w:rFonts w:hint="eastAsia"/>
              <w:b/>
            </w:rPr>
            <w:instrText xml:space="preserve"> HYPERLINK \l _Toc28752 </w:instrText>
          </w:r>
          <w:r>
            <w:rPr>
              <w:rFonts w:hint="eastAsia"/>
              <w:b/>
            </w:rPr>
            <w:fldChar w:fldCharType="separate"/>
          </w:r>
          <w:r>
            <w:rPr>
              <w:rFonts w:hint="eastAsia" w:ascii="黑体" w:hAnsi="黑体" w:eastAsia="黑体"/>
              <w:b/>
              <w:bCs/>
              <w:kern w:val="44"/>
              <w:szCs w:val="44"/>
            </w:rPr>
            <w:t>第二部分 2023年度单位决算情况说明</w:t>
          </w:r>
          <w:r>
            <w:rPr>
              <w:b/>
            </w:rPr>
            <w:tab/>
          </w:r>
          <w:r>
            <w:rPr>
              <w:b/>
            </w:rPr>
            <w:fldChar w:fldCharType="begin"/>
          </w:r>
          <w:r>
            <w:rPr>
              <w:b/>
            </w:rPr>
            <w:instrText xml:space="preserve"> PAGEREF _Toc28752 \h </w:instrText>
          </w:r>
          <w:r>
            <w:rPr>
              <w:b/>
            </w:rPr>
            <w:fldChar w:fldCharType="separate"/>
          </w:r>
          <w:r>
            <w:rPr>
              <w:b/>
            </w:rPr>
            <w:t>2</w:t>
          </w:r>
          <w:r>
            <w:rPr>
              <w:b/>
            </w:rPr>
            <w:fldChar w:fldCharType="end"/>
          </w:r>
          <w:r>
            <w:rPr>
              <w:rFonts w:hint="eastAsia"/>
              <w:b/>
            </w:rPr>
            <w:fldChar w:fldCharType="end"/>
          </w:r>
        </w:p>
        <w:p>
          <w:pPr>
            <w:pStyle w:val="35"/>
            <w:tabs>
              <w:tab w:val="right" w:leader="dot" w:pos="8306"/>
            </w:tabs>
          </w:pPr>
          <w:r>
            <w:rPr>
              <w:rFonts w:hint="eastAsia"/>
            </w:rPr>
            <w:fldChar w:fldCharType="begin"/>
          </w:r>
          <w:r>
            <w:rPr>
              <w:rFonts w:hint="eastAsia"/>
            </w:rPr>
            <w:instrText xml:space="preserve"> HYPERLINK \l _Toc21413 </w:instrText>
          </w:r>
          <w:r>
            <w:rPr>
              <w:rFonts w:hint="eastAsia"/>
            </w:rP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_Toc21413 \h </w:instrText>
          </w:r>
          <w:r>
            <w:fldChar w:fldCharType="separate"/>
          </w:r>
          <w:r>
            <w:t>2</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_Toc17594 </w:instrText>
          </w:r>
          <w:r>
            <w:rPr>
              <w:rFonts w:hint="eastAsia"/>
            </w:rP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_Toc17594 \h </w:instrText>
          </w:r>
          <w:r>
            <w:fldChar w:fldCharType="separate"/>
          </w:r>
          <w:r>
            <w:t>2</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_Toc15341 </w:instrText>
          </w:r>
          <w:r>
            <w:rPr>
              <w:rFonts w:hint="eastAsia"/>
            </w:rP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_Toc15341 \h </w:instrText>
          </w:r>
          <w:r>
            <w:fldChar w:fldCharType="separate"/>
          </w:r>
          <w:r>
            <w:t>3</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_Toc13907 </w:instrText>
          </w:r>
          <w:r>
            <w:rPr>
              <w:rFonts w:hint="eastAsia"/>
            </w:rP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_Toc13907 \h </w:instrText>
          </w:r>
          <w:r>
            <w:fldChar w:fldCharType="separate"/>
          </w:r>
          <w:r>
            <w:t>3</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_Toc27751 </w:instrText>
          </w:r>
          <w:r>
            <w:rPr>
              <w:rFonts w:hint="eastAsia"/>
            </w:rP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_Toc27751 \h </w:instrText>
          </w:r>
          <w:r>
            <w:fldChar w:fldCharType="separate"/>
          </w:r>
          <w:r>
            <w:t>4</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_Toc30762 </w:instrText>
          </w:r>
          <w:r>
            <w:rPr>
              <w:rFonts w:hint="eastAsia"/>
            </w:rP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_Toc30762 \h </w:instrText>
          </w:r>
          <w:r>
            <w:fldChar w:fldCharType="separate"/>
          </w:r>
          <w:r>
            <w:t>6</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_Toc12391 </w:instrText>
          </w:r>
          <w:r>
            <w:rPr>
              <w:rFonts w:hint="eastAsia"/>
            </w:rP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_Toc12391 \h </w:instrText>
          </w:r>
          <w:r>
            <w:fldChar w:fldCharType="separate"/>
          </w:r>
          <w:r>
            <w:t>7</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_Toc14515 </w:instrText>
          </w:r>
          <w:r>
            <w:rPr>
              <w:rFonts w:hint="eastAsia"/>
            </w:rPr>
            <w:fldChar w:fldCharType="separate"/>
          </w:r>
          <w:r>
            <w:rPr>
              <w:rFonts w:hint="eastAsia" w:ascii="黑体" w:hAnsi="黑体" w:eastAsia="黑体"/>
            </w:rPr>
            <w:t>八、政府性基金预算支出决算情况说明</w:t>
          </w:r>
          <w:r>
            <w:tab/>
          </w:r>
          <w:r>
            <w:fldChar w:fldCharType="begin"/>
          </w:r>
          <w:r>
            <w:instrText xml:space="preserve"> PAGEREF _Toc14515 \h </w:instrText>
          </w:r>
          <w:r>
            <w:fldChar w:fldCharType="separate"/>
          </w:r>
          <w:r>
            <w:t>9</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_Toc24756 </w:instrText>
          </w:r>
          <w:r>
            <w:rPr>
              <w:rFonts w:hint="eastAsia"/>
            </w:rPr>
            <w:fldChar w:fldCharType="separate"/>
          </w:r>
          <w:r>
            <w:rPr>
              <w:rFonts w:hint="eastAsia" w:ascii="黑体" w:hAnsi="黑体" w:eastAsia="黑体" w:cs="黑体"/>
              <w:bCs w:val="0"/>
            </w:rPr>
            <w:t>九、 国有资本经营预算支出决算情况说明</w:t>
          </w:r>
          <w:r>
            <w:tab/>
          </w:r>
          <w:r>
            <w:fldChar w:fldCharType="begin"/>
          </w:r>
          <w:r>
            <w:instrText xml:space="preserve"> PAGEREF _Toc24756 \h </w:instrText>
          </w:r>
          <w:r>
            <w:fldChar w:fldCharType="separate"/>
          </w:r>
          <w:r>
            <w:t>9</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_Toc27191 </w:instrText>
          </w:r>
          <w:r>
            <w:rPr>
              <w:rFonts w:hint="eastAsia"/>
            </w:rPr>
            <w:fldChar w:fldCharType="separate"/>
          </w:r>
          <w:r>
            <w:rPr>
              <w:rFonts w:hint="eastAsia" w:ascii="黑体" w:hAnsi="黑体" w:eastAsia="黑体" w:cs="黑体"/>
            </w:rPr>
            <w:t>十、 其他重要事项的情况说明</w:t>
          </w:r>
          <w:r>
            <w:tab/>
          </w:r>
          <w:r>
            <w:fldChar w:fldCharType="begin"/>
          </w:r>
          <w:r>
            <w:instrText xml:space="preserve"> PAGEREF _Toc27191 \h </w:instrText>
          </w:r>
          <w:r>
            <w:fldChar w:fldCharType="separate"/>
          </w:r>
          <w:r>
            <w:t>9</w:t>
          </w:r>
          <w:r>
            <w:fldChar w:fldCharType="end"/>
          </w:r>
          <w:r>
            <w:rPr>
              <w:rFonts w:hint="eastAsia"/>
            </w:rPr>
            <w:fldChar w:fldCharType="end"/>
          </w:r>
        </w:p>
        <w:p>
          <w:pPr>
            <w:pStyle w:val="34"/>
            <w:tabs>
              <w:tab w:val="right" w:leader="dot" w:pos="8306"/>
            </w:tabs>
            <w:rPr>
              <w:b/>
            </w:rPr>
          </w:pPr>
          <w:r>
            <w:rPr>
              <w:rFonts w:hint="eastAsia"/>
              <w:b/>
            </w:rPr>
            <w:fldChar w:fldCharType="begin"/>
          </w:r>
          <w:r>
            <w:rPr>
              <w:rFonts w:hint="eastAsia"/>
              <w:b/>
            </w:rPr>
            <w:instrText xml:space="preserve"> HYPERLINK \l _Toc15500 </w:instrText>
          </w:r>
          <w:r>
            <w:rPr>
              <w:rFonts w:hint="eastAsia"/>
              <w:b/>
            </w:rPr>
            <w:fldChar w:fldCharType="separate"/>
          </w:r>
          <w:r>
            <w:rPr>
              <w:rFonts w:hint="eastAsia" w:ascii="黑体" w:hAnsi="黑体" w:eastAsia="黑体" w:cs="黑体"/>
              <w:b/>
              <w:szCs w:val="44"/>
            </w:rPr>
            <w:t xml:space="preserve">第三部分 </w:t>
          </w:r>
          <w:r>
            <w:rPr>
              <w:rFonts w:hint="eastAsia" w:ascii="黑体" w:hAnsi="黑体" w:eastAsia="黑体"/>
              <w:b/>
              <w:szCs w:val="44"/>
            </w:rPr>
            <w:t>名</w:t>
          </w:r>
          <w:r>
            <w:rPr>
              <w:rFonts w:hint="eastAsia" w:ascii="黑体" w:hAnsi="黑体" w:eastAsia="黑体"/>
              <w:b/>
            </w:rPr>
            <w:t>词解释</w:t>
          </w:r>
          <w:r>
            <w:rPr>
              <w:b/>
            </w:rPr>
            <w:tab/>
          </w:r>
          <w:r>
            <w:rPr>
              <w:b/>
            </w:rPr>
            <w:fldChar w:fldCharType="begin"/>
          </w:r>
          <w:r>
            <w:rPr>
              <w:b/>
            </w:rPr>
            <w:instrText xml:space="preserve"> PAGEREF _Toc15500 \h </w:instrText>
          </w:r>
          <w:r>
            <w:rPr>
              <w:b/>
            </w:rPr>
            <w:fldChar w:fldCharType="separate"/>
          </w:r>
          <w:r>
            <w:rPr>
              <w:b/>
            </w:rPr>
            <w:t>11</w:t>
          </w:r>
          <w:r>
            <w:rPr>
              <w:b/>
            </w:rPr>
            <w:fldChar w:fldCharType="end"/>
          </w:r>
          <w:r>
            <w:rPr>
              <w:rFonts w:hint="eastAsia"/>
              <w:b/>
            </w:rPr>
            <w:fldChar w:fldCharType="end"/>
          </w:r>
        </w:p>
        <w:p>
          <w:pPr>
            <w:pStyle w:val="34"/>
            <w:tabs>
              <w:tab w:val="right" w:leader="dot" w:pos="8306"/>
            </w:tabs>
            <w:rPr>
              <w:b/>
            </w:rPr>
          </w:pPr>
          <w:r>
            <w:rPr>
              <w:rFonts w:hint="eastAsia"/>
              <w:b/>
            </w:rPr>
            <w:fldChar w:fldCharType="begin"/>
          </w:r>
          <w:r>
            <w:rPr>
              <w:rFonts w:hint="eastAsia"/>
              <w:b/>
            </w:rPr>
            <w:instrText xml:space="preserve"> HYPERLINK \l _Toc27660 </w:instrText>
          </w:r>
          <w:r>
            <w:rPr>
              <w:rFonts w:hint="eastAsia"/>
              <w:b/>
            </w:rPr>
            <w:fldChar w:fldCharType="separate"/>
          </w:r>
          <w:r>
            <w:rPr>
              <w:rFonts w:hint="eastAsia" w:ascii="黑体" w:hAnsi="黑体" w:eastAsia="黑体"/>
              <w:b/>
              <w:szCs w:val="44"/>
            </w:rPr>
            <w:t>第</w:t>
          </w:r>
          <w:r>
            <w:rPr>
              <w:rFonts w:hint="eastAsia" w:ascii="黑体" w:hAnsi="黑体" w:eastAsia="黑体"/>
              <w:b/>
            </w:rPr>
            <w:t>四部分 附件</w:t>
          </w:r>
          <w:r>
            <w:rPr>
              <w:b/>
            </w:rPr>
            <w:tab/>
          </w:r>
          <w:r>
            <w:rPr>
              <w:b/>
            </w:rPr>
            <w:fldChar w:fldCharType="begin"/>
          </w:r>
          <w:r>
            <w:rPr>
              <w:b/>
            </w:rPr>
            <w:instrText xml:space="preserve"> PAGEREF _Toc27660 \h </w:instrText>
          </w:r>
          <w:r>
            <w:rPr>
              <w:b/>
            </w:rPr>
            <w:fldChar w:fldCharType="separate"/>
          </w:r>
          <w:r>
            <w:rPr>
              <w:b/>
            </w:rPr>
            <w:t>13</w:t>
          </w:r>
          <w:r>
            <w:rPr>
              <w:b/>
            </w:rPr>
            <w:fldChar w:fldCharType="end"/>
          </w:r>
          <w:r>
            <w:rPr>
              <w:rFonts w:hint="eastAsia"/>
              <w:b/>
            </w:rPr>
            <w:fldChar w:fldCharType="end"/>
          </w:r>
        </w:p>
        <w:p>
          <w:pPr>
            <w:pStyle w:val="34"/>
            <w:tabs>
              <w:tab w:val="right" w:leader="dot" w:pos="8306"/>
            </w:tabs>
            <w:rPr>
              <w:b/>
            </w:rPr>
          </w:pPr>
          <w:r>
            <w:rPr>
              <w:rFonts w:hint="eastAsia"/>
              <w:b/>
            </w:rPr>
            <w:fldChar w:fldCharType="begin"/>
          </w:r>
          <w:r>
            <w:rPr>
              <w:rFonts w:hint="eastAsia"/>
              <w:b/>
            </w:rPr>
            <w:instrText xml:space="preserve"> HYPERLINK \l _Toc2527 </w:instrText>
          </w:r>
          <w:r>
            <w:rPr>
              <w:rFonts w:hint="eastAsia"/>
              <w:b/>
            </w:rPr>
            <w:fldChar w:fldCharType="separate"/>
          </w:r>
          <w:r>
            <w:rPr>
              <w:rFonts w:hint="eastAsia" w:ascii="黑体" w:hAnsi="黑体" w:eastAsia="黑体"/>
              <w:b/>
              <w:szCs w:val="44"/>
            </w:rPr>
            <w:t>第</w:t>
          </w:r>
          <w:r>
            <w:rPr>
              <w:rFonts w:hint="eastAsia" w:ascii="黑体" w:hAnsi="黑体" w:eastAsia="黑体"/>
              <w:b/>
            </w:rPr>
            <w:t>五部分 附表</w:t>
          </w:r>
          <w:r>
            <w:rPr>
              <w:b/>
            </w:rPr>
            <w:tab/>
          </w:r>
          <w:r>
            <w:rPr>
              <w:b/>
            </w:rPr>
            <w:fldChar w:fldCharType="begin"/>
          </w:r>
          <w:r>
            <w:rPr>
              <w:b/>
            </w:rPr>
            <w:instrText xml:space="preserve"> PAGEREF _Toc2527 \h </w:instrText>
          </w:r>
          <w:r>
            <w:rPr>
              <w:b/>
            </w:rPr>
            <w:fldChar w:fldCharType="separate"/>
          </w:r>
          <w:r>
            <w:rPr>
              <w:b/>
            </w:rPr>
            <w:t>14</w:t>
          </w:r>
          <w:r>
            <w:rPr>
              <w:b/>
            </w:rPr>
            <w:fldChar w:fldCharType="end"/>
          </w:r>
          <w:r>
            <w:rPr>
              <w:rFonts w:hint="eastAsia"/>
              <w:b/>
            </w:rPr>
            <w:fldChar w:fldCharType="end"/>
          </w:r>
        </w:p>
        <w:p>
          <w:pPr>
            <w:pStyle w:val="35"/>
            <w:tabs>
              <w:tab w:val="right" w:leader="dot" w:pos="8306"/>
            </w:tabs>
          </w:pPr>
          <w:r>
            <w:rPr>
              <w:rFonts w:hint="eastAsia"/>
            </w:rPr>
            <w:fldChar w:fldCharType="begin"/>
          </w:r>
          <w:r>
            <w:rPr>
              <w:rFonts w:hint="eastAsia"/>
            </w:rPr>
            <w:instrText xml:space="preserve"> HYPERLINK \l _Toc21356 </w:instrText>
          </w:r>
          <w:r>
            <w:rPr>
              <w:rFonts w:hint="eastAsia"/>
            </w:rP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_Toc21356 \h </w:instrText>
          </w:r>
          <w:r>
            <w:fldChar w:fldCharType="separate"/>
          </w:r>
          <w:r>
            <w:t>14</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_Toc18342 </w:instrText>
          </w:r>
          <w:r>
            <w:rPr>
              <w:rFonts w:hint="eastAsia"/>
            </w:rP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_Toc18342 \h </w:instrText>
          </w:r>
          <w:r>
            <w:fldChar w:fldCharType="separate"/>
          </w:r>
          <w:r>
            <w:t>14</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_Toc2699 </w:instrText>
          </w:r>
          <w:r>
            <w:rPr>
              <w:rFonts w:hint="eastAsia"/>
            </w:rP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_Toc2699 \h </w:instrText>
          </w:r>
          <w:r>
            <w:fldChar w:fldCharType="separate"/>
          </w:r>
          <w:r>
            <w:t>14</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_Toc27793 </w:instrText>
          </w:r>
          <w:r>
            <w:rPr>
              <w:rFonts w:hint="eastAsia"/>
            </w:rP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_Toc27793 \h </w:instrText>
          </w:r>
          <w:r>
            <w:fldChar w:fldCharType="separate"/>
          </w:r>
          <w:r>
            <w:t>14</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_Toc27151 </w:instrText>
          </w:r>
          <w:r>
            <w:rPr>
              <w:rFonts w:hint="eastAsia"/>
            </w:rP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_Toc27151 \h </w:instrText>
          </w:r>
          <w:r>
            <w:fldChar w:fldCharType="separate"/>
          </w:r>
          <w:r>
            <w:t>14</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_Toc23509 </w:instrText>
          </w:r>
          <w:r>
            <w:rPr>
              <w:rFonts w:hint="eastAsia"/>
            </w:rP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_Toc23509 \h </w:instrText>
          </w:r>
          <w:r>
            <w:fldChar w:fldCharType="separate"/>
          </w:r>
          <w:r>
            <w:t>14</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_Toc2295 </w:instrText>
          </w:r>
          <w:r>
            <w:rPr>
              <w:rFonts w:hint="eastAsia"/>
            </w:rP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_Toc2295 \h </w:instrText>
          </w:r>
          <w:r>
            <w:fldChar w:fldCharType="separate"/>
          </w:r>
          <w:r>
            <w:t>14</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_Toc30371 </w:instrText>
          </w:r>
          <w:r>
            <w:rPr>
              <w:rFonts w:hint="eastAsia"/>
            </w:rP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_Toc30371 \h </w:instrText>
          </w:r>
          <w:r>
            <w:fldChar w:fldCharType="separate"/>
          </w:r>
          <w:r>
            <w:t>14</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_Toc6423 </w:instrText>
          </w:r>
          <w:r>
            <w:rPr>
              <w:rFonts w:hint="eastAsia"/>
            </w:rP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_Toc6423 \h </w:instrText>
          </w:r>
          <w:r>
            <w:fldChar w:fldCharType="separate"/>
          </w:r>
          <w:r>
            <w:t>14</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_Toc20292 </w:instrText>
          </w:r>
          <w:r>
            <w:rPr>
              <w:rFonts w:hint="eastAsia"/>
            </w:rP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_Toc20292 \h </w:instrText>
          </w:r>
          <w:r>
            <w:fldChar w:fldCharType="separate"/>
          </w:r>
          <w:r>
            <w:t>14</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_Toc29774 </w:instrText>
          </w:r>
          <w:r>
            <w:rPr>
              <w:rFonts w:hint="eastAsia"/>
            </w:rP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_Toc29774 \h </w:instrText>
          </w:r>
          <w:r>
            <w:fldChar w:fldCharType="separate"/>
          </w:r>
          <w:r>
            <w:t>14</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_Toc3565 </w:instrText>
          </w:r>
          <w:r>
            <w:rPr>
              <w:rFonts w:hint="eastAsia"/>
            </w:rPr>
            <w:fldChar w:fldCharType="separate"/>
          </w:r>
          <w:r>
            <w:rPr>
              <w:rFonts w:hint="eastAsia" w:ascii="仿宋" w:hAnsi="仿宋" w:eastAsia="仿宋"/>
              <w:bCs w:val="0"/>
            </w:rPr>
            <w:t>十二、国有资本经营预算财政拨款支出决算表</w:t>
          </w:r>
          <w:r>
            <w:tab/>
          </w:r>
          <w:r>
            <w:fldChar w:fldCharType="begin"/>
          </w:r>
          <w:r>
            <w:instrText xml:space="preserve"> PAGEREF _Toc3565 \h </w:instrText>
          </w:r>
          <w:r>
            <w:fldChar w:fldCharType="separate"/>
          </w:r>
          <w:r>
            <w:t>14</w:t>
          </w:r>
          <w:r>
            <w:fldChar w:fldCharType="end"/>
          </w:r>
          <w:r>
            <w:rPr>
              <w:rFonts w:hint="eastAsia"/>
            </w:rPr>
            <w:fldChar w:fldCharType="end"/>
          </w:r>
        </w:p>
        <w:p>
          <w:pPr>
            <w:pStyle w:val="35"/>
            <w:tabs>
              <w:tab w:val="right" w:leader="dot" w:pos="8306"/>
            </w:tabs>
          </w:pPr>
          <w:r>
            <w:rPr>
              <w:rFonts w:hint="eastAsia"/>
            </w:rPr>
            <w:fldChar w:fldCharType="begin"/>
          </w:r>
          <w:r>
            <w:rPr>
              <w:rFonts w:hint="eastAsia"/>
            </w:rPr>
            <w:instrText xml:space="preserve"> HYPERLINK \l _Toc18570 </w:instrText>
          </w:r>
          <w:r>
            <w:rPr>
              <w:rFonts w:hint="eastAsia"/>
            </w:rPr>
            <w:fldChar w:fldCharType="separate"/>
          </w:r>
          <w:r>
            <w:rPr>
              <w:rFonts w:hint="eastAsia" w:ascii="仿宋" w:hAnsi="仿宋" w:eastAsia="仿宋"/>
              <w:bCs w:val="0"/>
            </w:rPr>
            <w:t>十三、财政拨款“三公”经费支出决算表</w:t>
          </w:r>
          <w:r>
            <w:tab/>
          </w:r>
          <w:r>
            <w:fldChar w:fldCharType="begin"/>
          </w:r>
          <w:r>
            <w:instrText xml:space="preserve"> PAGEREF _Toc18570 \h </w:instrText>
          </w:r>
          <w:r>
            <w:fldChar w:fldCharType="separate"/>
          </w:r>
          <w:r>
            <w:t>14</w:t>
          </w:r>
          <w:r>
            <w:fldChar w:fldCharType="end"/>
          </w:r>
          <w:r>
            <w:rPr>
              <w:rFonts w:hint="eastAsia"/>
            </w:rPr>
            <w:fldChar w:fldCharType="end"/>
          </w:r>
        </w:p>
        <w:p>
          <w:pPr>
            <w:pStyle w:val="2"/>
            <w:rPr>
              <w:rFonts w:hint="eastAsia" w:ascii="仿宋_GB2312" w:hAnsi="Times New Roman" w:eastAsia="仿宋_GB2312" w:cs="Times New Roman"/>
              <w:b/>
              <w:kern w:val="0"/>
              <w:sz w:val="30"/>
              <w:szCs w:val="24"/>
              <w:lang w:val="en-US" w:eastAsia="zh-CN" w:bidi="ar-SA"/>
            </w:rPr>
          </w:pPr>
          <w:r>
            <w:rPr>
              <w:rFonts w:hint="eastAsia"/>
              <w:b/>
            </w:rPr>
            <w:fldChar w:fldCharType="end"/>
          </w:r>
        </w:p>
      </w:sdtContent>
    </w:sdt>
    <w:p>
      <w:pPr>
        <w:pStyle w:val="2"/>
        <w:rPr>
          <w:rFonts w:hint="eastAsia" w:ascii="仿宋_GB2312" w:hAnsi="Times New Roman" w:eastAsia="仿宋_GB2312" w:cs="Times New Roman"/>
          <w:b/>
          <w:kern w:val="0"/>
          <w:sz w:val="30"/>
          <w:szCs w:val="24"/>
          <w:lang w:val="en-US" w:eastAsia="zh-CN" w:bidi="ar-SA"/>
        </w:rPr>
        <w:sectPr>
          <w:headerReference r:id="rId3" w:type="default"/>
          <w:pgSz w:w="11906" w:h="16838"/>
          <w:pgMar w:top="1440" w:right="1800" w:bottom="1440" w:left="1800" w:header="851" w:footer="992" w:gutter="0"/>
          <w:pgNumType w:start="1"/>
          <w:cols w:space="425" w:num="1"/>
          <w:titlePg/>
          <w:docGrid w:type="lines" w:linePitch="312" w:charSpace="0"/>
        </w:sectPr>
      </w:pPr>
    </w:p>
    <w:p>
      <w:pPr>
        <w:pStyle w:val="3"/>
        <w:jc w:val="center"/>
        <w:rPr>
          <w:rStyle w:val="19"/>
          <w:rFonts w:ascii="黑体" w:hAnsi="黑体" w:eastAsia="黑体"/>
          <w:b/>
          <w:bCs w:val="0"/>
        </w:rPr>
      </w:pPr>
      <w:bookmarkStart w:id="18" w:name="_Toc10477"/>
      <w:r>
        <w:rPr>
          <w:rFonts w:hint="eastAsia" w:ascii="黑体" w:hAnsi="黑体" w:eastAsia="黑体"/>
          <w:b w:val="0"/>
        </w:rPr>
        <w:t>第一部分 单位</w:t>
      </w:r>
      <w:r>
        <w:rPr>
          <w:rStyle w:val="19"/>
          <w:rFonts w:hint="eastAsia" w:ascii="黑体" w:hAnsi="黑体" w:eastAsia="黑体"/>
          <w:b w:val="0"/>
          <w:bCs w:val="0"/>
        </w:rPr>
        <w:t>概况</w:t>
      </w:r>
      <w:bookmarkEnd w:id="18"/>
    </w:p>
    <w:p>
      <w:pPr>
        <w:spacing w:line="576" w:lineRule="exact"/>
        <w:outlineLvl w:val="1"/>
        <w:rPr>
          <w:rFonts w:ascii="黑体" w:hAnsi="黑体" w:eastAsia="黑体"/>
          <w:color w:val="000000"/>
          <w:sz w:val="32"/>
          <w:lang w:val="zh-CN"/>
        </w:rPr>
      </w:pPr>
      <w:bookmarkStart w:id="19" w:name="_Toc27985"/>
      <w:bookmarkStart w:id="20" w:name="_Toc17318"/>
      <w:r>
        <w:rPr>
          <w:rFonts w:hint="eastAsia" w:ascii="黑体" w:hAnsi="黑体" w:eastAsia="黑体"/>
          <w:color w:val="000000"/>
          <w:sz w:val="32"/>
          <w:lang w:val="zh-CN"/>
        </w:rPr>
        <w:t>一、主要职责</w:t>
      </w:r>
      <w:bookmarkEnd w:id="19"/>
    </w:p>
    <w:p>
      <w:pPr>
        <w:spacing w:line="576" w:lineRule="exact"/>
        <w:ind w:firstLine="640" w:firstLineChars="200"/>
        <w:rPr>
          <w:rFonts w:ascii="楷体_GB2312" w:hAnsi="仿宋" w:eastAsia="楷体_GB2312" w:cs="仿宋"/>
          <w:sz w:val="32"/>
          <w:szCs w:val="32"/>
          <w:lang w:val="zh-CN"/>
        </w:rPr>
      </w:pPr>
      <w:r>
        <w:rPr>
          <w:rFonts w:hint="eastAsia" w:ascii="楷体_GB2312" w:hAnsi="仿宋" w:eastAsia="楷体_GB2312" w:cs="仿宋"/>
          <w:sz w:val="32"/>
          <w:szCs w:val="32"/>
          <w:lang w:val="zh-CN"/>
        </w:rPr>
        <w:t>（一)主要职能</w:t>
      </w:r>
    </w:p>
    <w:p>
      <w:pPr>
        <w:spacing w:line="576" w:lineRule="exact"/>
        <w:ind w:firstLine="640" w:firstLineChars="200"/>
        <w:rPr>
          <w:rFonts w:ascii="仿宋_GB2312" w:hAnsi="仿宋_GB2312" w:eastAsia="仿宋_GB2312" w:cs="仿宋_GB2312"/>
          <w:color w:val="000000"/>
          <w:sz w:val="32"/>
          <w:lang w:val="zh-CN"/>
        </w:rPr>
      </w:pPr>
      <w:r>
        <w:rPr>
          <w:rFonts w:hint="eastAsia" w:ascii="仿宋_GB2312" w:hAnsi="仿宋_GB2312" w:eastAsia="仿宋_GB2312" w:cs="仿宋_GB2312"/>
          <w:sz w:val="32"/>
          <w:szCs w:val="32"/>
          <w:lang w:val="zh-CN"/>
        </w:rPr>
        <w:t>广元市交通技工学校直属于广元市交通运输局，差额拨款事业单位性质。学校主要从事中职学历教育、大专及以上学历层次函授教育、职业技能鉴定、道路运输从业资格证培训、汽车驾驶员培训、内河船舶船员培训、交通执法人员培训及其他短期培训。学校具有年教学培训6000人以上办学规模。</w:t>
      </w:r>
    </w:p>
    <w:p>
      <w:pPr>
        <w:spacing w:line="576" w:lineRule="exact"/>
        <w:ind w:firstLine="640" w:firstLineChars="200"/>
        <w:rPr>
          <w:rFonts w:ascii="黑体" w:hAnsi="黑体" w:eastAsia="黑体"/>
          <w:color w:val="000000"/>
          <w:sz w:val="32"/>
          <w:lang w:val="zh-CN"/>
        </w:rPr>
      </w:pPr>
      <w:r>
        <w:rPr>
          <w:rFonts w:hint="eastAsia" w:ascii="黑体" w:hAnsi="黑体" w:eastAsia="黑体"/>
          <w:color w:val="000000"/>
          <w:sz w:val="32"/>
          <w:lang w:val="zh-CN"/>
        </w:rPr>
        <w:t>（二)机构资产</w:t>
      </w:r>
    </w:p>
    <w:p>
      <w:pPr>
        <w:spacing w:line="576"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学校现有固定资产7023.66万元，校区3处，其中：南校区位于南河老鹰嘴，东校区位于东坝滨河北路，在大石镇龙洞碥与当地村组联办机动车驾驶员训练场1处，另有大石镇青岩村实训楼，学生宿舍1处。学校总占地面积120余亩，现有教学综合楼2幢，建筑面积11728.44m2，设有教室、电教室、模拟教室、多媒体教学室和实习车间，配备了全套教学模拟设备和电教系统。学校现有驾驶教练车辆53台。建校以来，累计为社会培养输送各类专业人才10万人，为全市交通运输事业发展提供了智力支持和人才保障。</w:t>
      </w:r>
    </w:p>
    <w:p>
      <w:pPr>
        <w:spacing w:line="576" w:lineRule="exact"/>
        <w:ind w:firstLine="640" w:firstLineChars="200"/>
        <w:rPr>
          <w:rFonts w:ascii="楷体_GB2312" w:hAnsi="仿宋" w:eastAsia="楷体_GB2312" w:cs="仿宋"/>
          <w:sz w:val="32"/>
          <w:szCs w:val="32"/>
          <w:lang w:val="zh-CN"/>
        </w:rPr>
      </w:pPr>
      <w:r>
        <w:rPr>
          <w:rFonts w:hint="eastAsia" w:ascii="楷体_GB2312" w:hAnsi="仿宋" w:eastAsia="楷体_GB2312" w:cs="仿宋"/>
          <w:sz w:val="32"/>
          <w:szCs w:val="32"/>
          <w:lang w:val="zh-CN"/>
        </w:rPr>
        <w:t>（三)人员编制</w:t>
      </w:r>
    </w:p>
    <w:p>
      <w:pPr>
        <w:spacing w:line="576"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学校现有60人，人员构成多样，有全额事业编制，差额事业编制，还有聘用人员。广元市机构编制委员会核定学校人员编制33人，2023年8月底改制，年末实际在编1</w:t>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zh-CN"/>
        </w:rPr>
        <w:t>人，退休17人。</w:t>
      </w:r>
    </w:p>
    <w:p>
      <w:pPr>
        <w:spacing w:line="576" w:lineRule="exact"/>
        <w:outlineLvl w:val="1"/>
        <w:rPr>
          <w:rFonts w:ascii="黑体" w:hAnsi="黑体" w:eastAsia="黑体"/>
          <w:color w:val="000000"/>
          <w:sz w:val="32"/>
          <w:lang w:val="zh-CN"/>
        </w:rPr>
      </w:pPr>
      <w:bookmarkStart w:id="21" w:name="_Toc6299"/>
      <w:r>
        <w:rPr>
          <w:rFonts w:hint="eastAsia" w:ascii="黑体" w:hAnsi="黑体" w:eastAsia="黑体"/>
          <w:color w:val="000000"/>
          <w:sz w:val="32"/>
          <w:lang w:val="zh-CN"/>
        </w:rPr>
        <w:t>二、机构设置</w:t>
      </w:r>
      <w:bookmarkEnd w:id="21"/>
    </w:p>
    <w:p>
      <w:pPr>
        <w:spacing w:line="576"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市交通技工学校</w:t>
      </w:r>
      <w:bookmarkStart w:id="110" w:name="_GoBack"/>
      <w:bookmarkEnd w:id="110"/>
      <w:r>
        <w:rPr>
          <w:rFonts w:hint="eastAsia" w:ascii="仿宋_GB2312" w:hAnsi="仿宋_GB2312" w:eastAsia="仿宋_GB2312" w:cs="仿宋_GB2312"/>
          <w:sz w:val="32"/>
          <w:szCs w:val="32"/>
          <w:lang w:val="zh-CN"/>
        </w:rPr>
        <w:t>为交通技工学校部门为二级预算单位，无下属单位。</w:t>
      </w:r>
    </w:p>
    <w:bookmarkEnd w:id="20"/>
    <w:p>
      <w:pPr>
        <w:spacing w:line="576" w:lineRule="exact"/>
        <w:jc w:val="center"/>
        <w:rPr>
          <w:rFonts w:ascii="黑体" w:hAnsi="黑体" w:eastAsia="黑体"/>
          <w:bCs/>
          <w:kern w:val="44"/>
          <w:sz w:val="44"/>
          <w:szCs w:val="44"/>
        </w:rPr>
      </w:pPr>
      <w:bookmarkStart w:id="22" w:name="_Toc15396602"/>
      <w:bookmarkStart w:id="23" w:name="_Toc15377204"/>
    </w:p>
    <w:p>
      <w:pPr>
        <w:numPr>
          <w:ilvl w:val="0"/>
          <w:numId w:val="1"/>
        </w:numPr>
        <w:spacing w:line="576" w:lineRule="exact"/>
        <w:jc w:val="center"/>
        <w:outlineLvl w:val="0"/>
        <w:rPr>
          <w:rFonts w:ascii="黑体" w:hAnsi="黑体" w:eastAsia="黑体"/>
          <w:bCs/>
          <w:kern w:val="44"/>
          <w:sz w:val="44"/>
          <w:szCs w:val="44"/>
        </w:rPr>
      </w:pPr>
      <w:bookmarkStart w:id="24" w:name="_Toc28752"/>
      <w:r>
        <w:rPr>
          <w:rFonts w:hint="eastAsia" w:ascii="黑体" w:hAnsi="黑体" w:eastAsia="黑体"/>
          <w:bCs/>
          <w:kern w:val="44"/>
          <w:sz w:val="44"/>
          <w:szCs w:val="44"/>
        </w:rPr>
        <w:t>2023年度单位决算情况说明</w:t>
      </w:r>
      <w:bookmarkEnd w:id="22"/>
      <w:bookmarkEnd w:id="23"/>
      <w:bookmarkEnd w:id="24"/>
    </w:p>
    <w:p>
      <w:pPr>
        <w:spacing w:line="576" w:lineRule="exact"/>
        <w:rPr>
          <w:rFonts w:ascii="黑体" w:hAnsi="黑体" w:eastAsia="黑体"/>
          <w:bCs/>
          <w:kern w:val="44"/>
          <w:sz w:val="44"/>
          <w:szCs w:val="44"/>
        </w:rPr>
      </w:pPr>
    </w:p>
    <w:p>
      <w:pPr>
        <w:pStyle w:val="30"/>
        <w:numPr>
          <w:ilvl w:val="0"/>
          <w:numId w:val="2"/>
        </w:numPr>
        <w:spacing w:line="600" w:lineRule="exact"/>
        <w:ind w:firstLineChars="0"/>
        <w:outlineLvl w:val="1"/>
        <w:rPr>
          <w:rStyle w:val="20"/>
          <w:rFonts w:ascii="黑体" w:hAnsi="黑体" w:eastAsia="黑体"/>
          <w:b w:val="0"/>
        </w:rPr>
      </w:pPr>
      <w:bookmarkStart w:id="25" w:name="_Toc15377205"/>
      <w:bookmarkStart w:id="26" w:name="_Toc21413"/>
      <w:bookmarkStart w:id="27" w:name="_Toc15396603"/>
      <w:r>
        <w:rPr>
          <w:rFonts w:hint="eastAsia" w:ascii="黑体" w:hAnsi="黑体" w:eastAsia="黑体"/>
          <w:sz w:val="32"/>
          <w:szCs w:val="32"/>
        </w:rPr>
        <w:t>收</w:t>
      </w:r>
      <w:r>
        <w:rPr>
          <w:rStyle w:val="20"/>
          <w:rFonts w:hint="eastAsia" w:ascii="黑体" w:hAnsi="黑体" w:eastAsia="黑体"/>
          <w:b w:val="0"/>
        </w:rPr>
        <w:t>入支出决算总体情况说明</w:t>
      </w:r>
      <w:bookmarkEnd w:id="25"/>
      <w:bookmarkEnd w:id="26"/>
      <w:bookmarkEnd w:id="27"/>
    </w:p>
    <w:p>
      <w:pPr>
        <w:spacing w:line="576" w:lineRule="exact"/>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2023年度收、支总计均为660.86万元。与2022年度相比，收、支总计各减少</w:t>
      </w:r>
      <w:r>
        <w:rPr>
          <w:rFonts w:hint="eastAsia" w:ascii="仿宋_GB2312" w:hAnsi="仿宋_GB2312" w:eastAsia="仿宋_GB2312" w:cs="仿宋_GB2312"/>
          <w:sz w:val="32"/>
          <w:szCs w:val="32"/>
        </w:rPr>
        <w:t>95.13</w:t>
      </w:r>
      <w:r>
        <w:rPr>
          <w:rFonts w:hint="eastAsia" w:ascii="仿宋_GB2312" w:hAnsi="仿宋_GB2312" w:eastAsia="仿宋_GB2312" w:cs="仿宋_GB2312"/>
          <w:sz w:val="32"/>
          <w:szCs w:val="32"/>
          <w:lang w:val="zh-CN"/>
        </w:rPr>
        <w:t>万元，下降</w:t>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lang w:val="zh-CN"/>
        </w:rPr>
        <w:t>%。主要变动原因是机构改革，部分职能从我单位剥离出去减少了支出。</w:t>
      </w:r>
    </w:p>
    <w:p>
      <w:pPr>
        <w:spacing w:line="600" w:lineRule="exact"/>
        <w:jc w:val="center"/>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spacing w:line="600" w:lineRule="exact"/>
        <w:jc w:val="right"/>
        <w:rPr>
          <w:rFonts w:ascii="仿宋_GB2312" w:eastAsia="仿宋_GB2312"/>
          <w:sz w:val="32"/>
          <w:szCs w:val="32"/>
        </w:rPr>
      </w:pPr>
      <w:r>
        <w:rPr>
          <w:rFonts w:hint="eastAsia" w:ascii="仿宋_GB2312" w:eastAsia="仿宋_GB2312"/>
          <w:sz w:val="32"/>
          <w:szCs w:val="32"/>
        </w:rPr>
        <w:t>单位：万元</w:t>
      </w:r>
    </w:p>
    <w:p>
      <w:pPr>
        <w:pStyle w:val="2"/>
        <w:spacing w:before="93"/>
      </w:pPr>
      <w:r>
        <w:drawing>
          <wp:inline distT="0" distB="0" distL="114300" distR="114300">
            <wp:extent cx="5080000" cy="1852930"/>
            <wp:effectExtent l="4445" t="4445" r="20955"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30"/>
        <w:numPr>
          <w:ilvl w:val="0"/>
          <w:numId w:val="2"/>
        </w:numPr>
        <w:spacing w:line="600" w:lineRule="exact"/>
        <w:ind w:firstLineChars="0"/>
        <w:outlineLvl w:val="1"/>
        <w:rPr>
          <w:rStyle w:val="20"/>
          <w:rFonts w:ascii="黑体" w:hAnsi="黑体" w:eastAsia="黑体"/>
          <w:b w:val="0"/>
        </w:rPr>
      </w:pPr>
      <w:bookmarkStart w:id="28" w:name="_Toc15396604"/>
      <w:bookmarkStart w:id="29" w:name="_Toc17594"/>
      <w:bookmarkStart w:id="30" w:name="_Toc15377206"/>
      <w:r>
        <w:rPr>
          <w:rFonts w:hint="eastAsia" w:ascii="黑体" w:hAnsi="黑体" w:eastAsia="黑体"/>
          <w:sz w:val="32"/>
          <w:szCs w:val="32"/>
        </w:rPr>
        <w:t>收</w:t>
      </w:r>
      <w:r>
        <w:rPr>
          <w:rStyle w:val="20"/>
          <w:rFonts w:hint="eastAsia" w:ascii="黑体" w:hAnsi="黑体" w:eastAsia="黑体"/>
          <w:b w:val="0"/>
        </w:rPr>
        <w:t>入决算情况说明</w:t>
      </w:r>
      <w:bookmarkEnd w:id="28"/>
      <w:bookmarkEnd w:id="29"/>
      <w:bookmarkEnd w:id="30"/>
    </w:p>
    <w:p>
      <w:pPr>
        <w:spacing w:line="600" w:lineRule="exact"/>
        <w:ind w:firstLine="640" w:firstLineChars="200"/>
        <w:outlineLvl w:val="1"/>
        <w:rPr>
          <w:rFonts w:ascii="仿宋" w:hAnsi="仿宋" w:eastAsia="仿宋"/>
          <w:sz w:val="32"/>
          <w:szCs w:val="32"/>
        </w:rPr>
      </w:pPr>
      <w:bookmarkStart w:id="31" w:name="_Toc6650"/>
      <w:bookmarkStart w:id="32" w:name="_Toc20717"/>
      <w:r>
        <w:rPr>
          <w:rFonts w:hint="eastAsia" w:ascii="仿宋" w:hAnsi="仿宋" w:eastAsia="仿宋"/>
          <w:sz w:val="32"/>
          <w:szCs w:val="32"/>
        </w:rPr>
        <w:t>2023年度本年收入合计</w:t>
      </w:r>
      <w:r>
        <w:rPr>
          <w:rFonts w:ascii="仿宋" w:hAnsi="仿宋" w:eastAsia="仿宋"/>
          <w:b/>
          <w:sz w:val="32"/>
          <w:szCs w:val="32"/>
        </w:rPr>
        <w:t>658.09</w:t>
      </w:r>
      <w:r>
        <w:rPr>
          <w:rFonts w:hint="eastAsia" w:ascii="仿宋" w:hAnsi="仿宋" w:eastAsia="仿宋"/>
          <w:sz w:val="32"/>
          <w:szCs w:val="32"/>
        </w:rPr>
        <w:t>万元，其中：一般公共预算财政拨款收入</w:t>
      </w:r>
      <w:r>
        <w:rPr>
          <w:rFonts w:ascii="仿宋" w:hAnsi="仿宋" w:eastAsia="仿宋"/>
          <w:b/>
          <w:sz w:val="32"/>
          <w:szCs w:val="32"/>
        </w:rPr>
        <w:t>658.09</w:t>
      </w:r>
      <w:r>
        <w:rPr>
          <w:rFonts w:hint="eastAsia" w:ascii="仿宋" w:hAnsi="仿宋" w:eastAsia="仿宋"/>
          <w:sz w:val="32"/>
          <w:szCs w:val="32"/>
        </w:rPr>
        <w:t>万元，占</w:t>
      </w:r>
      <w:r>
        <w:rPr>
          <w:rFonts w:ascii="仿宋" w:hAnsi="仿宋" w:eastAsia="仿宋"/>
          <w:b/>
          <w:sz w:val="32"/>
          <w:szCs w:val="32"/>
        </w:rPr>
        <w:t>100%</w:t>
      </w:r>
      <w:r>
        <w:rPr>
          <w:rFonts w:hint="eastAsia" w:ascii="仿宋" w:hAnsi="仿宋" w:eastAsia="仿宋"/>
          <w:sz w:val="32"/>
          <w:szCs w:val="32"/>
        </w:rPr>
        <w:t>。</w:t>
      </w:r>
      <w:bookmarkEnd w:id="31"/>
      <w:bookmarkEnd w:id="32"/>
    </w:p>
    <w:p>
      <w:pPr>
        <w:spacing w:line="600" w:lineRule="exact"/>
        <w:jc w:val="center"/>
        <w:rPr>
          <w:rFonts w:ascii="仿宋" w:hAnsi="仿宋" w:eastAsia="仿宋"/>
          <w:sz w:val="32"/>
          <w:szCs w:val="32"/>
        </w:rPr>
      </w:pPr>
    </w:p>
    <w:p>
      <w:pPr>
        <w:spacing w:line="600" w:lineRule="exact"/>
        <w:jc w:val="center"/>
        <w:rPr>
          <w:rFonts w:ascii="仿宋" w:hAnsi="仿宋" w:eastAsia="仿宋"/>
          <w:sz w:val="32"/>
          <w:szCs w:val="32"/>
        </w:rPr>
      </w:pPr>
    </w:p>
    <w:p>
      <w:pPr>
        <w:spacing w:line="600" w:lineRule="exact"/>
        <w:jc w:val="center"/>
        <w:rPr>
          <w:rFonts w:ascii="仿宋" w:hAnsi="仿宋" w:eastAsia="仿宋"/>
          <w:sz w:val="32"/>
          <w:szCs w:val="32"/>
        </w:rPr>
      </w:pPr>
    </w:p>
    <w:p>
      <w:pPr>
        <w:spacing w:line="600" w:lineRule="exact"/>
        <w:jc w:val="center"/>
        <w:rPr>
          <w:rFonts w:ascii="仿宋" w:hAnsi="仿宋" w:eastAsia="仿宋"/>
          <w:sz w:val="32"/>
          <w:szCs w:val="32"/>
        </w:rPr>
      </w:pPr>
      <w:r>
        <w:rPr>
          <w:rFonts w:hint="eastAsia" w:ascii="仿宋" w:hAnsi="仿宋" w:eastAsia="仿宋"/>
          <w:sz w:val="32"/>
          <w:szCs w:val="32"/>
        </w:rPr>
        <w:t>图2：收入决算结构图</w:t>
      </w:r>
    </w:p>
    <w:p>
      <w:pPr>
        <w:spacing w:line="600" w:lineRule="exact"/>
        <w:jc w:val="right"/>
        <w:rPr>
          <w:rFonts w:ascii="仿宋_GB2312" w:eastAsia="仿宋_GB2312"/>
          <w:sz w:val="32"/>
          <w:szCs w:val="32"/>
        </w:rPr>
      </w:pPr>
      <w:r>
        <w:rPr>
          <w:rFonts w:hint="eastAsia" w:ascii="仿宋_GB2312" w:eastAsia="仿宋_GB2312"/>
          <w:sz w:val="32"/>
          <w:szCs w:val="32"/>
        </w:rPr>
        <w:t>单位：万元</w:t>
      </w:r>
    </w:p>
    <w:p>
      <w:pPr>
        <w:pStyle w:val="2"/>
        <w:spacing w:before="93"/>
        <w:jc w:val="center"/>
        <w:rPr>
          <w:sz w:val="32"/>
          <w:szCs w:val="32"/>
        </w:rPr>
      </w:pPr>
      <w:r>
        <w:rPr>
          <w:rFonts w:hint="eastAsia"/>
        </w:rPr>
        <w:drawing>
          <wp:inline distT="0" distB="0" distL="114300" distR="114300">
            <wp:extent cx="4305935" cy="1737360"/>
            <wp:effectExtent l="4445" t="4445" r="13970" b="1079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30"/>
        <w:numPr>
          <w:ilvl w:val="0"/>
          <w:numId w:val="2"/>
        </w:numPr>
        <w:spacing w:line="600" w:lineRule="exact"/>
        <w:ind w:firstLineChars="0"/>
        <w:outlineLvl w:val="1"/>
        <w:rPr>
          <w:rStyle w:val="20"/>
          <w:rFonts w:ascii="黑体" w:hAnsi="黑体" w:eastAsia="黑体"/>
          <w:b w:val="0"/>
        </w:rPr>
      </w:pPr>
      <w:bookmarkStart w:id="33" w:name="_Toc15396605"/>
      <w:bookmarkStart w:id="34" w:name="_Toc15341"/>
      <w:bookmarkStart w:id="35" w:name="_Toc15377207"/>
      <w:r>
        <w:rPr>
          <w:rFonts w:hint="eastAsia" w:ascii="黑体" w:hAnsi="黑体" w:eastAsia="黑体"/>
          <w:sz w:val="32"/>
          <w:szCs w:val="32"/>
        </w:rPr>
        <w:t>支</w:t>
      </w:r>
      <w:r>
        <w:rPr>
          <w:rStyle w:val="20"/>
          <w:rFonts w:hint="eastAsia" w:ascii="黑体" w:hAnsi="黑体" w:eastAsia="黑体"/>
          <w:b w:val="0"/>
        </w:rPr>
        <w:t>出决算情况说明</w:t>
      </w:r>
      <w:bookmarkEnd w:id="33"/>
      <w:bookmarkEnd w:id="34"/>
      <w:bookmarkEnd w:id="35"/>
    </w:p>
    <w:p>
      <w:pPr>
        <w:spacing w:line="600" w:lineRule="exact"/>
        <w:ind w:firstLine="640" w:firstLineChars="200"/>
        <w:outlineLvl w:val="1"/>
        <w:rPr>
          <w:rFonts w:ascii="仿宋_GB2312" w:hAnsi="仿宋_GB2312" w:eastAsia="仿宋_GB2312" w:cs="仿宋_GB2312"/>
          <w:sz w:val="32"/>
          <w:szCs w:val="32"/>
        </w:rPr>
      </w:pPr>
      <w:bookmarkStart w:id="36" w:name="_Toc597"/>
      <w:bookmarkStart w:id="37" w:name="_Toc30413"/>
      <w:r>
        <w:rPr>
          <w:rFonts w:hint="eastAsia" w:ascii="仿宋_GB2312" w:hAnsi="仿宋_GB2312" w:eastAsia="仿宋_GB2312" w:cs="仿宋_GB2312"/>
          <w:sz w:val="32"/>
          <w:szCs w:val="32"/>
        </w:rPr>
        <w:t>2023年度本年支出合计</w:t>
      </w:r>
      <w:r>
        <w:rPr>
          <w:rFonts w:hint="eastAsia" w:ascii="仿宋_GB2312" w:hAnsi="仿宋_GB2312" w:eastAsia="仿宋_GB2312" w:cs="仿宋_GB2312"/>
          <w:b/>
          <w:sz w:val="32"/>
          <w:szCs w:val="32"/>
        </w:rPr>
        <w:t>658.14</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b/>
          <w:sz w:val="32"/>
          <w:szCs w:val="32"/>
        </w:rPr>
        <w:t>395.41</w:t>
      </w:r>
      <w:r>
        <w:rPr>
          <w:rFonts w:hint="eastAsia" w:ascii="仿宋_GB2312" w:hAnsi="仿宋_GB2312" w:eastAsia="仿宋_GB2312" w:cs="仿宋_GB2312"/>
          <w:sz w:val="32"/>
          <w:szCs w:val="32"/>
        </w:rPr>
        <w:t>万元，占</w:t>
      </w:r>
      <w:r>
        <w:rPr>
          <w:rFonts w:hint="eastAsia" w:ascii="仿宋_GB2312" w:hAnsi="仿宋_GB2312" w:eastAsia="仿宋_GB2312" w:cs="仿宋_GB2312"/>
          <w:b/>
          <w:sz w:val="32"/>
          <w:szCs w:val="32"/>
        </w:rPr>
        <w:t>60.08</w:t>
      </w:r>
      <w:r>
        <w:rPr>
          <w:rFonts w:hint="eastAsia" w:ascii="仿宋_GB2312" w:hAnsi="仿宋_GB2312" w:eastAsia="仿宋_GB2312" w:cs="仿宋_GB2312"/>
          <w:sz w:val="32"/>
          <w:szCs w:val="32"/>
        </w:rPr>
        <w:t>%；项目支出</w:t>
      </w:r>
      <w:r>
        <w:rPr>
          <w:rFonts w:hint="eastAsia" w:ascii="仿宋_GB2312" w:hAnsi="仿宋_GB2312" w:eastAsia="仿宋_GB2312" w:cs="仿宋_GB2312"/>
          <w:b/>
          <w:sz w:val="32"/>
          <w:szCs w:val="32"/>
        </w:rPr>
        <w:t>262.73</w:t>
      </w:r>
      <w:r>
        <w:rPr>
          <w:rFonts w:hint="eastAsia" w:ascii="仿宋_GB2312" w:hAnsi="仿宋_GB2312" w:eastAsia="仿宋_GB2312" w:cs="仿宋_GB2312"/>
          <w:sz w:val="32"/>
          <w:szCs w:val="32"/>
        </w:rPr>
        <w:t>万元，占</w:t>
      </w:r>
      <w:r>
        <w:rPr>
          <w:rFonts w:hint="eastAsia" w:ascii="仿宋_GB2312" w:hAnsi="仿宋_GB2312" w:eastAsia="仿宋_GB2312" w:cs="仿宋_GB2312"/>
          <w:b/>
          <w:sz w:val="32"/>
          <w:szCs w:val="32"/>
        </w:rPr>
        <w:t>39.92</w:t>
      </w:r>
      <w:r>
        <w:rPr>
          <w:rFonts w:hint="eastAsia" w:ascii="仿宋_GB2312" w:hAnsi="仿宋_GB2312" w:eastAsia="仿宋_GB2312" w:cs="仿宋_GB2312"/>
          <w:sz w:val="32"/>
          <w:szCs w:val="32"/>
        </w:rPr>
        <w:t>%。</w:t>
      </w:r>
      <w:bookmarkEnd w:id="36"/>
      <w:bookmarkEnd w:id="37"/>
    </w:p>
    <w:p>
      <w:pPr>
        <w:spacing w:line="600" w:lineRule="exact"/>
        <w:jc w:val="center"/>
        <w:rPr>
          <w:rFonts w:ascii="仿宋" w:hAnsi="仿宋" w:eastAsia="仿宋"/>
          <w:sz w:val="32"/>
          <w:szCs w:val="32"/>
        </w:rPr>
      </w:pPr>
      <w:r>
        <w:rPr>
          <w:rFonts w:hint="eastAsia" w:ascii="仿宋" w:hAnsi="仿宋" w:eastAsia="仿宋"/>
          <w:sz w:val="32"/>
          <w:szCs w:val="32"/>
        </w:rPr>
        <w:t>图3：支出决算结构图</w:t>
      </w:r>
    </w:p>
    <w:p>
      <w:pPr>
        <w:spacing w:line="600" w:lineRule="exact"/>
        <w:jc w:val="right"/>
        <w:rPr>
          <w:rFonts w:ascii="仿宋_GB2312" w:eastAsia="仿宋_GB2312"/>
          <w:sz w:val="32"/>
          <w:szCs w:val="32"/>
        </w:rPr>
      </w:pPr>
      <w:r>
        <w:rPr>
          <w:rFonts w:hint="eastAsia" w:ascii="仿宋_GB2312" w:eastAsia="仿宋_GB2312"/>
          <w:sz w:val="32"/>
          <w:szCs w:val="32"/>
        </w:rPr>
        <w:t>单位：万元</w:t>
      </w:r>
    </w:p>
    <w:p>
      <w:pPr>
        <w:pStyle w:val="2"/>
        <w:spacing w:before="93"/>
        <w:rPr>
          <w:sz w:val="32"/>
          <w:szCs w:val="32"/>
        </w:rPr>
      </w:pPr>
      <w:r>
        <w:rPr>
          <w:rFonts w:hint="eastAsia"/>
        </w:rPr>
        <w:drawing>
          <wp:inline distT="0" distB="0" distL="114300" distR="114300">
            <wp:extent cx="5080000" cy="1947545"/>
            <wp:effectExtent l="4445" t="4445" r="20955" b="1016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outlineLvl w:val="1"/>
        <w:rPr>
          <w:rStyle w:val="20"/>
          <w:rFonts w:ascii="黑体" w:hAnsi="黑体" w:eastAsia="黑体"/>
          <w:b w:val="0"/>
        </w:rPr>
      </w:pPr>
      <w:bookmarkStart w:id="38" w:name="_Toc15396606"/>
      <w:bookmarkStart w:id="39" w:name="_Toc13907"/>
      <w:bookmarkStart w:id="40" w:name="_Toc15377208"/>
      <w:r>
        <w:rPr>
          <w:rFonts w:hint="eastAsia" w:ascii="黑体" w:hAnsi="黑体" w:eastAsia="黑体"/>
          <w:sz w:val="32"/>
          <w:szCs w:val="32"/>
        </w:rPr>
        <w:t>四、财</w:t>
      </w:r>
      <w:r>
        <w:rPr>
          <w:rStyle w:val="20"/>
          <w:rFonts w:hint="eastAsia" w:ascii="黑体" w:hAnsi="黑体" w:eastAsia="黑体"/>
          <w:b w:val="0"/>
        </w:rPr>
        <w:t>政拨款收入支出决算总体情况说明</w:t>
      </w:r>
      <w:bookmarkEnd w:id="38"/>
      <w:bookmarkEnd w:id="39"/>
      <w:bookmarkEnd w:id="40"/>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2023年度财政拨款收、支总计均为</w:t>
      </w:r>
      <w:r>
        <w:rPr>
          <w:rFonts w:hint="eastAsia" w:ascii="仿宋_GB2312" w:hAnsi="仿宋_GB2312" w:eastAsia="仿宋_GB2312" w:cs="仿宋_GB2312"/>
          <w:b/>
          <w:sz w:val="32"/>
          <w:szCs w:val="32"/>
        </w:rPr>
        <w:t>660.86</w:t>
      </w:r>
      <w:r>
        <w:rPr>
          <w:rFonts w:hint="eastAsia" w:ascii="仿宋_GB2312" w:hAnsi="仿宋_GB2312" w:eastAsia="仿宋_GB2312" w:cs="仿宋_GB2312"/>
          <w:sz w:val="32"/>
          <w:szCs w:val="32"/>
        </w:rPr>
        <w:t>万元。与2022年度相比，财政拨款收、支总计各减少82.44万元，下降11.09%。主要变动原因是机构改革，部分职能从我单位剥离出去减少了支出。</w:t>
      </w:r>
    </w:p>
    <w:p>
      <w:pPr>
        <w:spacing w:line="600" w:lineRule="exact"/>
        <w:jc w:val="center"/>
        <w:rPr>
          <w:rFonts w:ascii="仿宋" w:hAnsi="仿宋" w:eastAsia="仿宋"/>
          <w:sz w:val="32"/>
          <w:szCs w:val="32"/>
        </w:rPr>
      </w:pPr>
      <w:r>
        <w:rPr>
          <w:rFonts w:hint="eastAsia" w:ascii="仿宋" w:hAnsi="仿宋" w:eastAsia="仿宋"/>
          <w:sz w:val="32"/>
          <w:szCs w:val="32"/>
        </w:rPr>
        <w:t>图4：财政拨款收、支决算总计变动情况</w:t>
      </w:r>
    </w:p>
    <w:p>
      <w:pPr>
        <w:pStyle w:val="2"/>
        <w:spacing w:before="93"/>
        <w:jc w:val="right"/>
        <w:rPr>
          <w:sz w:val="32"/>
          <w:szCs w:val="32"/>
        </w:rPr>
      </w:pPr>
      <w:r>
        <w:rPr>
          <w:rFonts w:hint="eastAsia"/>
          <w:sz w:val="32"/>
          <w:szCs w:val="32"/>
        </w:rPr>
        <w:t>单位：万元</w:t>
      </w:r>
    </w:p>
    <w:p>
      <w:pPr>
        <w:pStyle w:val="2"/>
        <w:spacing w:before="93"/>
        <w:jc w:val="right"/>
        <w:rPr>
          <w:rFonts w:ascii="仿宋" w:hAnsi="仿宋" w:eastAsia="仿宋"/>
          <w:b/>
          <w:sz w:val="32"/>
          <w:szCs w:val="32"/>
        </w:rPr>
      </w:pPr>
      <w:r>
        <w:rPr>
          <w:rFonts w:hint="eastAsia"/>
          <w:sz w:val="32"/>
          <w:szCs w:val="32"/>
        </w:rPr>
        <w:drawing>
          <wp:inline distT="0" distB="0" distL="114300" distR="114300">
            <wp:extent cx="5080000" cy="1988820"/>
            <wp:effectExtent l="4445" t="4445" r="20955" b="698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outlineLvl w:val="1"/>
        <w:rPr>
          <w:rStyle w:val="20"/>
          <w:rFonts w:ascii="黑体" w:hAnsi="黑体" w:eastAsia="黑体"/>
          <w:b w:val="0"/>
        </w:rPr>
      </w:pPr>
      <w:bookmarkStart w:id="41" w:name="_Toc15377209"/>
      <w:bookmarkStart w:id="42" w:name="_Toc15396607"/>
      <w:bookmarkStart w:id="43" w:name="_Toc27751"/>
      <w:r>
        <w:rPr>
          <w:rFonts w:hint="eastAsia" w:ascii="黑体" w:hAnsi="黑体" w:eastAsia="黑体"/>
          <w:sz w:val="32"/>
          <w:szCs w:val="32"/>
        </w:rPr>
        <w:t>五、</w:t>
      </w:r>
      <w:r>
        <w:rPr>
          <w:rFonts w:hint="eastAsia" w:ascii="黑体" w:hAnsi="黑体" w:eastAsia="黑体"/>
          <w:b/>
          <w:sz w:val="32"/>
          <w:szCs w:val="32"/>
        </w:rPr>
        <w:t>一</w:t>
      </w:r>
      <w:r>
        <w:rPr>
          <w:rStyle w:val="20"/>
          <w:rFonts w:hint="eastAsia" w:ascii="黑体" w:hAnsi="黑体" w:eastAsia="黑体"/>
          <w:b w:val="0"/>
        </w:rPr>
        <w:t>般公共预算财政拨款支出决算情况说明</w:t>
      </w:r>
      <w:bookmarkEnd w:id="41"/>
      <w:bookmarkEnd w:id="42"/>
      <w:bookmarkEnd w:id="43"/>
    </w:p>
    <w:p>
      <w:pPr>
        <w:spacing w:line="600" w:lineRule="exact"/>
        <w:ind w:firstLine="642" w:firstLineChars="200"/>
        <w:outlineLvl w:val="2"/>
        <w:rPr>
          <w:rFonts w:ascii="仿宋_GB2312" w:hAnsi="仿宋_GB2312" w:eastAsia="仿宋_GB2312" w:cs="仿宋_GB2312"/>
          <w:b/>
          <w:sz w:val="32"/>
          <w:szCs w:val="32"/>
        </w:rPr>
      </w:pPr>
      <w:bookmarkStart w:id="44" w:name="_Toc15377210"/>
      <w:r>
        <w:rPr>
          <w:rFonts w:hint="eastAsia" w:ascii="仿宋_GB2312" w:hAnsi="仿宋_GB2312" w:eastAsia="仿宋_GB2312" w:cs="仿宋_GB2312"/>
          <w:b/>
          <w:sz w:val="32"/>
          <w:szCs w:val="32"/>
        </w:rPr>
        <w:t>（一）一般公共预算财政拨款支出决算总体情况</w:t>
      </w:r>
      <w:bookmarkEnd w:id="44"/>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2023年度一般公共预算财政拨款支出</w:t>
      </w:r>
      <w:r>
        <w:rPr>
          <w:rFonts w:hint="eastAsia" w:ascii="仿宋_GB2312" w:hAnsi="仿宋_GB2312" w:eastAsia="仿宋_GB2312" w:cs="仿宋_GB2312"/>
          <w:b/>
          <w:sz w:val="32"/>
          <w:szCs w:val="32"/>
        </w:rPr>
        <w:t>658.14</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b/>
          <w:sz w:val="32"/>
          <w:szCs w:val="32"/>
        </w:rPr>
        <w:t>100</w:t>
      </w:r>
      <w:r>
        <w:rPr>
          <w:rFonts w:hint="eastAsia" w:ascii="仿宋_GB2312" w:hAnsi="仿宋_GB2312" w:eastAsia="仿宋_GB2312" w:cs="仿宋_GB2312"/>
          <w:sz w:val="32"/>
          <w:szCs w:val="32"/>
        </w:rPr>
        <w:t>%。与2022年度相比，一般公共预算财政拨款支出减少82.38万元，下降11.12%。主要变动原因是机构改革，部分职能从我单位剥离出去减少了支出。</w:t>
      </w:r>
    </w:p>
    <w:p>
      <w:pPr>
        <w:spacing w:line="600" w:lineRule="exact"/>
        <w:jc w:val="center"/>
        <w:rPr>
          <w:rFonts w:ascii="仿宋" w:hAnsi="仿宋" w:eastAsia="仿宋"/>
          <w:sz w:val="32"/>
          <w:szCs w:val="32"/>
        </w:rPr>
      </w:pPr>
      <w:r>
        <w:rPr>
          <w:rFonts w:hint="eastAsia" w:ascii="仿宋" w:hAnsi="仿宋" w:eastAsia="仿宋"/>
          <w:sz w:val="32"/>
          <w:szCs w:val="32"/>
        </w:rPr>
        <w:t>图5：一般公共预算财政拨款支出决算变动情况</w:t>
      </w:r>
    </w:p>
    <w:p>
      <w:pPr>
        <w:pStyle w:val="2"/>
        <w:spacing w:before="93"/>
        <w:jc w:val="right"/>
        <w:rPr>
          <w:sz w:val="32"/>
          <w:szCs w:val="32"/>
        </w:rPr>
      </w:pPr>
      <w:r>
        <w:rPr>
          <w:rFonts w:hint="eastAsia"/>
          <w:sz w:val="32"/>
          <w:szCs w:val="32"/>
        </w:rPr>
        <w:t>单位：万元</w:t>
      </w:r>
    </w:p>
    <w:p>
      <w:pPr>
        <w:pStyle w:val="2"/>
        <w:spacing w:before="93"/>
        <w:jc w:val="right"/>
        <w:rPr>
          <w:rFonts w:ascii="仿宋" w:hAnsi="仿宋" w:eastAsia="仿宋"/>
          <w:sz w:val="32"/>
          <w:szCs w:val="32"/>
        </w:rPr>
      </w:pPr>
      <w:r>
        <w:rPr>
          <w:rFonts w:hint="eastAsia"/>
          <w:sz w:val="32"/>
          <w:szCs w:val="32"/>
        </w:rPr>
        <w:drawing>
          <wp:inline distT="0" distB="0" distL="114300" distR="114300">
            <wp:extent cx="5080000" cy="2754630"/>
            <wp:effectExtent l="4445" t="4445" r="20955" b="2222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2" w:firstLineChars="200"/>
        <w:outlineLvl w:val="2"/>
        <w:rPr>
          <w:rFonts w:ascii="仿宋" w:hAnsi="仿宋" w:eastAsia="仿宋"/>
          <w:b/>
          <w:sz w:val="32"/>
          <w:szCs w:val="32"/>
        </w:rPr>
      </w:pPr>
      <w:bookmarkStart w:id="45" w:name="_Toc15377211"/>
      <w:r>
        <w:rPr>
          <w:rFonts w:hint="eastAsia" w:ascii="仿宋" w:hAnsi="仿宋" w:eastAsia="仿宋"/>
          <w:b/>
          <w:sz w:val="32"/>
          <w:szCs w:val="32"/>
        </w:rPr>
        <w:t>（二）一般公共预算财政拨款支出决算结构情况</w:t>
      </w:r>
      <w:bookmarkEnd w:id="45"/>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2023年度一般公共预算财政拨款支出</w:t>
      </w:r>
      <w:r>
        <w:rPr>
          <w:rFonts w:hint="eastAsia" w:ascii="仿宋_GB2312" w:hAnsi="仿宋_GB2312" w:eastAsia="仿宋_GB2312" w:cs="仿宋_GB2312"/>
          <w:b/>
          <w:sz w:val="32"/>
          <w:szCs w:val="32"/>
        </w:rPr>
        <w:t>658.14</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b/>
          <w:sz w:val="32"/>
          <w:szCs w:val="32"/>
        </w:rPr>
        <w:t>教育支出</w:t>
      </w:r>
      <w:r>
        <w:rPr>
          <w:rFonts w:hint="eastAsia" w:ascii="仿宋_GB2312" w:hAnsi="仿宋_GB2312" w:eastAsia="仿宋_GB2312" w:cs="仿宋_GB2312"/>
          <w:sz w:val="32"/>
          <w:szCs w:val="32"/>
        </w:rPr>
        <w:t>552.24万元，占83.91%；</w:t>
      </w:r>
      <w:r>
        <w:rPr>
          <w:rFonts w:hint="eastAsia" w:ascii="仿宋_GB2312" w:hAnsi="仿宋_GB2312" w:eastAsia="仿宋_GB2312" w:cs="仿宋_GB2312"/>
          <w:b/>
          <w:sz w:val="32"/>
          <w:szCs w:val="32"/>
        </w:rPr>
        <w:t>社会保障和就业</w:t>
      </w:r>
      <w:r>
        <w:rPr>
          <w:rFonts w:hint="eastAsia" w:ascii="仿宋_GB2312" w:hAnsi="仿宋_GB2312" w:eastAsia="仿宋_GB2312" w:cs="仿宋_GB2312"/>
          <w:b/>
          <w:bCs/>
          <w:sz w:val="32"/>
          <w:szCs w:val="32"/>
        </w:rPr>
        <w:t>支出</w:t>
      </w:r>
      <w:r>
        <w:rPr>
          <w:rFonts w:hint="eastAsia" w:ascii="仿宋_GB2312" w:hAnsi="仿宋_GB2312" w:eastAsia="仿宋_GB2312" w:cs="仿宋_GB2312"/>
          <w:sz w:val="32"/>
          <w:szCs w:val="32"/>
        </w:rPr>
        <w:t>39.45万元，占5.99%；</w:t>
      </w:r>
      <w:r>
        <w:rPr>
          <w:rFonts w:hint="eastAsia" w:ascii="仿宋_GB2312" w:hAnsi="仿宋_GB2312" w:eastAsia="仿宋_GB2312" w:cs="仿宋_GB2312"/>
          <w:b/>
          <w:bCs/>
          <w:sz w:val="32"/>
          <w:szCs w:val="32"/>
        </w:rPr>
        <w:t>卫生健康支出</w:t>
      </w:r>
      <w:r>
        <w:rPr>
          <w:rFonts w:hint="eastAsia" w:ascii="仿宋_GB2312" w:hAnsi="仿宋_GB2312" w:eastAsia="仿宋_GB2312" w:cs="仿宋_GB2312"/>
          <w:sz w:val="32"/>
          <w:szCs w:val="32"/>
        </w:rPr>
        <w:t>33.11万元，占5.03%；</w:t>
      </w:r>
      <w:r>
        <w:rPr>
          <w:rFonts w:hint="eastAsia" w:ascii="仿宋_GB2312" w:hAnsi="仿宋_GB2312" w:eastAsia="仿宋_GB2312" w:cs="仿宋_GB2312"/>
          <w:b/>
          <w:bCs/>
          <w:sz w:val="32"/>
          <w:szCs w:val="32"/>
        </w:rPr>
        <w:t>住房保障支出</w:t>
      </w:r>
      <w:r>
        <w:rPr>
          <w:rFonts w:hint="eastAsia" w:ascii="仿宋_GB2312" w:hAnsi="仿宋_GB2312" w:eastAsia="仿宋_GB2312" w:cs="仿宋_GB2312"/>
          <w:sz w:val="32"/>
          <w:szCs w:val="32"/>
        </w:rPr>
        <w:t>33.34万元，占5.07%。</w:t>
      </w:r>
    </w:p>
    <w:p>
      <w:pPr>
        <w:spacing w:line="600" w:lineRule="exact"/>
        <w:jc w:val="center"/>
        <w:rPr>
          <w:rFonts w:ascii="仿宋" w:hAnsi="仿宋" w:eastAsia="仿宋"/>
          <w:sz w:val="32"/>
          <w:szCs w:val="32"/>
        </w:rPr>
      </w:pPr>
      <w:r>
        <w:rPr>
          <w:rFonts w:hint="eastAsia" w:ascii="仿宋" w:hAnsi="仿宋" w:eastAsia="仿宋"/>
          <w:sz w:val="32"/>
          <w:szCs w:val="32"/>
        </w:rPr>
        <w:t>图6：一般公共预算财政拨款支出决算结构</w:t>
      </w:r>
    </w:p>
    <w:p>
      <w:pPr>
        <w:spacing w:line="600" w:lineRule="exact"/>
        <w:ind w:firstLine="640" w:firstLineChars="200"/>
        <w:jc w:val="right"/>
        <w:rPr>
          <w:rFonts w:ascii="仿宋_GB2312" w:eastAsia="仿宋_GB2312"/>
          <w:sz w:val="32"/>
          <w:szCs w:val="32"/>
        </w:rPr>
      </w:pPr>
      <w:r>
        <w:rPr>
          <w:rFonts w:hint="eastAsia" w:ascii="仿宋_GB2312" w:eastAsia="仿宋_GB2312"/>
          <w:sz w:val="32"/>
          <w:szCs w:val="32"/>
        </w:rPr>
        <w:t>单位：万元</w:t>
      </w:r>
    </w:p>
    <w:p>
      <w:pPr>
        <w:pStyle w:val="2"/>
        <w:spacing w:before="93"/>
      </w:pPr>
      <w:r>
        <w:drawing>
          <wp:inline distT="0" distB="0" distL="114300" distR="114300">
            <wp:extent cx="5080000" cy="2607945"/>
            <wp:effectExtent l="4445" t="4445" r="20955" b="1651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2" w:firstLineChars="200"/>
        <w:outlineLvl w:val="2"/>
        <w:rPr>
          <w:rFonts w:ascii="仿宋" w:hAnsi="仿宋" w:eastAsia="仿宋"/>
          <w:b/>
          <w:sz w:val="32"/>
          <w:szCs w:val="32"/>
        </w:rPr>
      </w:pPr>
      <w:bookmarkStart w:id="46" w:name="_Toc15377212"/>
      <w:r>
        <w:rPr>
          <w:rFonts w:hint="eastAsia" w:ascii="仿宋" w:hAnsi="仿宋" w:eastAsia="仿宋"/>
          <w:b/>
          <w:sz w:val="32"/>
          <w:szCs w:val="32"/>
        </w:rPr>
        <w:t>（三）一般公共预算财政拨款支出决算具体情况</w:t>
      </w:r>
      <w:bookmarkEnd w:id="46"/>
    </w:p>
    <w:p>
      <w:pPr>
        <w:spacing w:line="600" w:lineRule="exact"/>
        <w:ind w:firstLine="642" w:firstLineChars="200"/>
        <w:outlineLvl w:val="1"/>
        <w:rPr>
          <w:rFonts w:ascii="仿宋_GB2312" w:hAnsi="仿宋_GB2312" w:eastAsia="仿宋_GB2312" w:cs="仿宋_GB2312"/>
          <w:sz w:val="32"/>
          <w:szCs w:val="32"/>
        </w:rPr>
      </w:pPr>
      <w:bookmarkStart w:id="47" w:name="_Toc15377213"/>
      <w:bookmarkStart w:id="48" w:name="_Toc15377444"/>
      <w:bookmarkStart w:id="49" w:name="_Toc15170"/>
      <w:bookmarkStart w:id="50" w:name="_Toc15378460"/>
      <w:bookmarkStart w:id="51" w:name="_Toc23794"/>
      <w:r>
        <w:rPr>
          <w:rFonts w:hint="eastAsia" w:ascii="仿宋_GB2312" w:hAnsi="仿宋_GB2312" w:eastAsia="仿宋_GB2312" w:cs="仿宋_GB2312"/>
          <w:b/>
          <w:sz w:val="32"/>
          <w:szCs w:val="32"/>
        </w:rPr>
        <w:t>2023年度一般公共预算支出决算数为658.14</w:t>
      </w:r>
      <w:r>
        <w:rPr>
          <w:rFonts w:hint="eastAsia" w:ascii="仿宋_GB2312" w:hAnsi="仿宋_GB2312" w:eastAsia="仿宋_GB2312" w:cs="仿宋_GB2312"/>
          <w:sz w:val="32"/>
          <w:szCs w:val="32"/>
        </w:rPr>
        <w:t>，</w:t>
      </w:r>
      <w:r>
        <w:rPr>
          <w:rStyle w:val="17"/>
          <w:rFonts w:hint="eastAsia" w:ascii="仿宋_GB2312" w:hAnsi="仿宋_GB2312" w:eastAsia="仿宋_GB2312" w:cs="仿宋_GB2312"/>
          <w:bCs/>
          <w:sz w:val="32"/>
          <w:szCs w:val="32"/>
        </w:rPr>
        <w:t>完成预算99.59%。其中：</w:t>
      </w:r>
      <w:bookmarkEnd w:id="47"/>
      <w:bookmarkEnd w:id="48"/>
      <w:bookmarkEnd w:id="49"/>
      <w:bookmarkEnd w:id="50"/>
      <w:bookmarkEnd w:id="51"/>
    </w:p>
    <w:p>
      <w:pPr>
        <w:spacing w:line="600" w:lineRule="exact"/>
        <w:ind w:firstLine="642" w:firstLineChars="200"/>
        <w:rPr>
          <w:rFonts w:ascii="仿宋_GB2312" w:hAnsi="仿宋_GB2312" w:eastAsia="仿宋_GB2312" w:cs="仿宋_GB2312"/>
          <w:b/>
          <w:sz w:val="32"/>
          <w:szCs w:val="32"/>
        </w:rPr>
      </w:pPr>
      <w:r>
        <w:rPr>
          <w:rStyle w:val="17"/>
          <w:rFonts w:hint="eastAsia" w:ascii="仿宋_GB2312" w:hAnsi="仿宋_GB2312" w:eastAsia="仿宋_GB2312" w:cs="仿宋_GB2312"/>
          <w:bCs/>
          <w:sz w:val="32"/>
          <w:szCs w:val="32"/>
        </w:rPr>
        <w:t>1.教育支出（类）职业教育（款）技校教育（项）：</w:t>
      </w:r>
      <w:r>
        <w:rPr>
          <w:rStyle w:val="17"/>
          <w:rFonts w:hint="eastAsia" w:ascii="仿宋_GB2312" w:hAnsi="仿宋_GB2312" w:eastAsia="仿宋_GB2312" w:cs="仿宋_GB2312"/>
          <w:b w:val="0"/>
          <w:bCs/>
          <w:sz w:val="32"/>
          <w:szCs w:val="32"/>
        </w:rPr>
        <w:t xml:space="preserve"> 支出决算为552.24万元，完成预算99.51%，决算数小于预算数的主要原因是部分费用在下年度支付。</w:t>
      </w:r>
    </w:p>
    <w:p>
      <w:pPr>
        <w:spacing w:line="600" w:lineRule="exact"/>
        <w:ind w:firstLine="642" w:firstLineChars="200"/>
        <w:rPr>
          <w:rStyle w:val="17"/>
          <w:rFonts w:ascii="仿宋_GB2312" w:hAnsi="仿宋_GB2312" w:eastAsia="仿宋_GB2312" w:cs="仿宋_GB2312"/>
          <w:b w:val="0"/>
          <w:bCs/>
          <w:sz w:val="32"/>
          <w:szCs w:val="32"/>
        </w:rPr>
      </w:pPr>
      <w:r>
        <w:rPr>
          <w:rStyle w:val="17"/>
          <w:rFonts w:hint="eastAsia" w:ascii="仿宋_GB2312" w:hAnsi="仿宋_GB2312" w:eastAsia="仿宋_GB2312" w:cs="仿宋_GB2312"/>
          <w:bCs/>
          <w:sz w:val="32"/>
          <w:szCs w:val="32"/>
        </w:rPr>
        <w:t>2.社会保障和就业支出（类）行政事业单位养老支出（款）机关事业单位基本养老保险缴费支出（项）：</w:t>
      </w:r>
      <w:r>
        <w:rPr>
          <w:rStyle w:val="17"/>
          <w:rFonts w:hint="eastAsia" w:ascii="仿宋_GB2312" w:hAnsi="仿宋_GB2312" w:eastAsia="仿宋_GB2312" w:cs="仿宋_GB2312"/>
          <w:b w:val="0"/>
          <w:bCs/>
          <w:sz w:val="32"/>
          <w:szCs w:val="32"/>
        </w:rPr>
        <w:t xml:space="preserve"> 支出决算为21.44万元，完成预算100%。</w:t>
      </w:r>
    </w:p>
    <w:p>
      <w:pPr>
        <w:pStyle w:val="2"/>
        <w:spacing w:before="93"/>
        <w:ind w:firstLine="642" w:firstLineChars="200"/>
        <w:rPr>
          <w:rStyle w:val="17"/>
          <w:rFonts w:hAnsi="仿宋_GB2312" w:cs="仿宋_GB2312"/>
          <w:b w:val="0"/>
          <w:bCs/>
          <w:sz w:val="32"/>
          <w:szCs w:val="32"/>
        </w:rPr>
      </w:pPr>
      <w:r>
        <w:rPr>
          <w:rStyle w:val="17"/>
          <w:rFonts w:hint="eastAsia" w:hAnsi="仿宋_GB2312" w:cs="仿宋_GB2312"/>
          <w:bCs/>
          <w:sz w:val="32"/>
          <w:szCs w:val="32"/>
        </w:rPr>
        <w:t>3.社会保障和就业支出（类）行政事业单位养老支出（款）机关事业单位职业年金缴费支出（项）：</w:t>
      </w:r>
      <w:r>
        <w:rPr>
          <w:rStyle w:val="17"/>
          <w:rFonts w:hint="eastAsia" w:hAnsi="仿宋_GB2312" w:cs="仿宋_GB2312"/>
          <w:b w:val="0"/>
          <w:bCs/>
          <w:sz w:val="32"/>
          <w:szCs w:val="32"/>
        </w:rPr>
        <w:t xml:space="preserve"> 支出决算为10.92万元，完成预算100%。</w:t>
      </w:r>
    </w:p>
    <w:p>
      <w:pPr>
        <w:pStyle w:val="2"/>
        <w:spacing w:before="93"/>
        <w:ind w:firstLine="642" w:firstLineChars="200"/>
        <w:rPr>
          <w:rStyle w:val="17"/>
          <w:rFonts w:hAnsi="仿宋_GB2312" w:cs="仿宋_GB2312"/>
          <w:b w:val="0"/>
          <w:bCs/>
          <w:sz w:val="32"/>
          <w:szCs w:val="32"/>
        </w:rPr>
      </w:pPr>
      <w:r>
        <w:rPr>
          <w:rStyle w:val="17"/>
          <w:rFonts w:hint="eastAsia" w:hAnsi="仿宋_GB2312" w:cs="仿宋_GB2312"/>
          <w:bCs/>
          <w:sz w:val="32"/>
          <w:szCs w:val="32"/>
        </w:rPr>
        <w:t>4.社会保障和就业支出（类）抚恤（款）死亡抚恤（项）：</w:t>
      </w:r>
      <w:r>
        <w:rPr>
          <w:rStyle w:val="17"/>
          <w:rFonts w:hint="eastAsia" w:hAnsi="仿宋_GB2312" w:cs="仿宋_GB2312"/>
          <w:b w:val="0"/>
          <w:bCs/>
          <w:sz w:val="32"/>
          <w:szCs w:val="32"/>
        </w:rPr>
        <w:t xml:space="preserve"> 支出决算为7.09万元，完成预算100%。</w:t>
      </w:r>
    </w:p>
    <w:p>
      <w:pPr>
        <w:spacing w:line="600" w:lineRule="exact"/>
        <w:ind w:firstLine="642" w:firstLineChars="200"/>
        <w:rPr>
          <w:rFonts w:ascii="仿宋_GB2312" w:hAnsi="仿宋_GB2312" w:eastAsia="仿宋_GB2312" w:cs="仿宋_GB2312"/>
          <w:b/>
          <w:sz w:val="32"/>
          <w:szCs w:val="32"/>
        </w:rPr>
      </w:pPr>
      <w:r>
        <w:rPr>
          <w:rStyle w:val="17"/>
          <w:rFonts w:hint="eastAsia" w:ascii="仿宋_GB2312" w:hAnsi="仿宋_GB2312" w:eastAsia="仿宋_GB2312" w:cs="仿宋_GB2312"/>
          <w:bCs/>
          <w:sz w:val="32"/>
          <w:szCs w:val="32"/>
        </w:rPr>
        <w:t>5.</w:t>
      </w:r>
      <w:r>
        <w:rPr>
          <w:rFonts w:hint="eastAsia" w:ascii="仿宋_GB2312" w:hAnsi="仿宋_GB2312" w:eastAsia="仿宋_GB2312" w:cs="仿宋_GB2312"/>
          <w:b/>
          <w:bCs/>
          <w:sz w:val="32"/>
          <w:szCs w:val="32"/>
        </w:rPr>
        <w:t>卫生健康支出</w:t>
      </w:r>
      <w:r>
        <w:rPr>
          <w:rStyle w:val="17"/>
          <w:rFonts w:hint="eastAsia" w:ascii="仿宋_GB2312" w:hAnsi="仿宋_GB2312" w:eastAsia="仿宋_GB2312" w:cs="仿宋_GB2312"/>
          <w:bCs/>
          <w:sz w:val="32"/>
          <w:szCs w:val="32"/>
        </w:rPr>
        <w:t>（类）行政事业单位医疗（款）事业单位医疗（项）：</w:t>
      </w:r>
      <w:r>
        <w:rPr>
          <w:rStyle w:val="17"/>
          <w:rFonts w:hint="eastAsia" w:ascii="仿宋_GB2312" w:hAnsi="仿宋_GB2312" w:eastAsia="仿宋_GB2312" w:cs="仿宋_GB2312"/>
          <w:b w:val="0"/>
          <w:bCs/>
          <w:sz w:val="32"/>
          <w:szCs w:val="32"/>
        </w:rPr>
        <w:t>支出决算为33.11万元，完成预算100%。</w:t>
      </w:r>
    </w:p>
    <w:p>
      <w:pPr>
        <w:spacing w:line="600" w:lineRule="exact"/>
        <w:ind w:firstLine="642" w:firstLineChars="200"/>
        <w:rPr>
          <w:rStyle w:val="17"/>
          <w:rFonts w:ascii="仿宋_GB2312" w:hAnsi="仿宋_GB2312" w:eastAsia="仿宋_GB2312" w:cs="仿宋_GB2312"/>
          <w:b w:val="0"/>
          <w:bCs/>
          <w:sz w:val="32"/>
          <w:szCs w:val="32"/>
        </w:rPr>
      </w:pPr>
      <w:r>
        <w:rPr>
          <w:rStyle w:val="17"/>
          <w:rFonts w:hint="eastAsia" w:ascii="仿宋_GB2312" w:hAnsi="仿宋_GB2312" w:eastAsia="仿宋_GB2312" w:cs="仿宋_GB2312"/>
          <w:bCs/>
          <w:sz w:val="32"/>
          <w:szCs w:val="32"/>
        </w:rPr>
        <w:t>6.</w:t>
      </w:r>
      <w:r>
        <w:rPr>
          <w:rFonts w:hint="eastAsia" w:ascii="仿宋_GB2312" w:hAnsi="仿宋_GB2312" w:eastAsia="仿宋_GB2312" w:cs="仿宋_GB2312"/>
          <w:b/>
          <w:bCs/>
          <w:sz w:val="32"/>
          <w:szCs w:val="32"/>
        </w:rPr>
        <w:t>住房保障支出</w:t>
      </w:r>
      <w:r>
        <w:rPr>
          <w:rStyle w:val="17"/>
          <w:rFonts w:hint="eastAsia" w:ascii="仿宋_GB2312" w:hAnsi="仿宋_GB2312" w:eastAsia="仿宋_GB2312" w:cs="仿宋_GB2312"/>
          <w:bCs/>
          <w:sz w:val="32"/>
          <w:szCs w:val="32"/>
        </w:rPr>
        <w:t>（类）住房改革支出（款）住房公积金（项）：</w:t>
      </w:r>
      <w:r>
        <w:rPr>
          <w:rStyle w:val="17"/>
          <w:rFonts w:hint="eastAsia" w:ascii="仿宋_GB2312" w:hAnsi="仿宋_GB2312" w:eastAsia="仿宋_GB2312" w:cs="仿宋_GB2312"/>
          <w:b w:val="0"/>
          <w:bCs/>
          <w:sz w:val="32"/>
          <w:szCs w:val="32"/>
        </w:rPr>
        <w:t>支出决算为33.34万元，完成预算100%。</w:t>
      </w:r>
    </w:p>
    <w:p>
      <w:pPr>
        <w:tabs>
          <w:tab w:val="right" w:pos="8306"/>
        </w:tabs>
        <w:spacing w:line="600" w:lineRule="exact"/>
        <w:ind w:firstLine="640"/>
        <w:outlineLvl w:val="1"/>
        <w:rPr>
          <w:rStyle w:val="20"/>
        </w:rPr>
      </w:pPr>
      <w:bookmarkStart w:id="52" w:name="_Toc30762"/>
      <w:bookmarkStart w:id="53" w:name="_Toc15396608"/>
      <w:bookmarkStart w:id="54"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0"/>
          <w:rFonts w:hint="eastAsia" w:ascii="黑体" w:hAnsi="黑体" w:eastAsia="黑体"/>
          <w:b w:val="0"/>
        </w:rPr>
        <w:t>般公共预算财政拨款基本支出决算情况说明</w:t>
      </w:r>
      <w:bookmarkEnd w:id="52"/>
      <w:bookmarkEnd w:id="53"/>
      <w:bookmarkEnd w:id="54"/>
      <w:r>
        <w:rPr>
          <w:rStyle w:val="20"/>
          <w:rFonts w:ascii="黑体" w:hAnsi="黑体" w:eastAsia="黑体"/>
          <w:b w:val="0"/>
        </w:rPr>
        <w:tab/>
      </w:r>
    </w:p>
    <w:p>
      <w:pPr>
        <w:spacing w:line="60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2023年度一般公共预算财政拨款基本支出</w:t>
      </w:r>
      <w:r>
        <w:rPr>
          <w:rFonts w:hint="eastAsia" w:ascii="仿宋_GB2312" w:hAnsi="仿宋_GB2312" w:eastAsia="仿宋_GB2312" w:cs="仿宋_GB2312"/>
          <w:b/>
          <w:sz w:val="32"/>
          <w:szCs w:val="32"/>
        </w:rPr>
        <w:t>395.41</w:t>
      </w:r>
      <w:r>
        <w:rPr>
          <w:rFonts w:hint="eastAsia" w:ascii="仿宋_GB2312" w:hAnsi="仿宋_GB2312" w:eastAsia="仿宋_GB2312" w:cs="仿宋_GB2312"/>
          <w:sz w:val="32"/>
          <w:szCs w:val="32"/>
        </w:rPr>
        <w:t>万元，其中：</w:t>
      </w:r>
    </w:p>
    <w:p>
      <w:pPr>
        <w:spacing w:line="600" w:lineRule="exac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w:t>
      </w:r>
      <w:r>
        <w:rPr>
          <w:rFonts w:hint="eastAsia" w:ascii="仿宋_GB2312" w:hAnsi="仿宋_GB2312" w:eastAsia="仿宋_GB2312" w:cs="仿宋_GB2312"/>
          <w:b/>
          <w:sz w:val="32"/>
          <w:szCs w:val="32"/>
        </w:rPr>
        <w:t>367.66</w:t>
      </w:r>
      <w:r>
        <w:rPr>
          <w:rFonts w:hint="eastAsia" w:ascii="仿宋_GB2312" w:hAnsi="仿宋_GB2312" w:eastAsia="仿宋_GB2312" w:cs="仿宋_GB2312"/>
          <w:sz w:val="32"/>
          <w:szCs w:val="32"/>
        </w:rPr>
        <w:t>万元，主要包括：基本工资、津贴补贴、奖金、绩效工资、机关事业单位基本养老保险缴费、职业年金缴费、职工基本医疗保险缴费、住房公积金、其他工资福利支出、抚恤金、生活补助、奖励金、其他对个人和家庭的补助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公用经费</w:t>
      </w:r>
      <w:r>
        <w:rPr>
          <w:rFonts w:hint="eastAsia" w:ascii="仿宋_GB2312" w:hAnsi="仿宋_GB2312" w:eastAsia="仿宋_GB2312" w:cs="仿宋_GB2312"/>
          <w:b/>
          <w:sz w:val="32"/>
          <w:szCs w:val="32"/>
        </w:rPr>
        <w:t>27.75</w:t>
      </w:r>
      <w:r>
        <w:rPr>
          <w:rFonts w:hint="eastAsia" w:ascii="仿宋_GB2312" w:hAnsi="仿宋_GB2312" w:eastAsia="仿宋_GB2312" w:cs="仿宋_GB2312"/>
          <w:sz w:val="32"/>
          <w:szCs w:val="32"/>
        </w:rPr>
        <w:t>万元，主要包括：办公费、印刷费、水费、电费、邮电费、物业管理费、差旅费、维修（护）费、公务接待费、劳务费、工会经费、福利费、其他商品和服务支出。</w:t>
      </w:r>
    </w:p>
    <w:p>
      <w:pPr>
        <w:spacing w:line="600" w:lineRule="exact"/>
        <w:ind w:firstLine="640"/>
        <w:outlineLvl w:val="1"/>
        <w:rPr>
          <w:rStyle w:val="20"/>
          <w:rFonts w:ascii="黑体" w:hAnsi="黑体" w:eastAsia="黑体"/>
          <w:b w:val="0"/>
        </w:rPr>
      </w:pPr>
      <w:bookmarkStart w:id="55" w:name="_Toc12391"/>
      <w:bookmarkStart w:id="56" w:name="_Toc15377215"/>
      <w:bookmarkStart w:id="57" w:name="_Toc15396609"/>
      <w:r>
        <w:rPr>
          <w:rFonts w:hint="eastAsia" w:ascii="黑体" w:eastAsia="黑体"/>
          <w:sz w:val="32"/>
          <w:szCs w:val="32"/>
        </w:rPr>
        <w:t>七、</w:t>
      </w:r>
      <w:r>
        <w:rPr>
          <w:rStyle w:val="20"/>
          <w:rFonts w:hint="eastAsia" w:ascii="黑体" w:hAnsi="黑体" w:eastAsia="黑体"/>
          <w:b w:val="0"/>
        </w:rPr>
        <w:t>财政拨款</w:t>
      </w:r>
      <w:r>
        <w:rPr>
          <w:rStyle w:val="20"/>
          <w:rFonts w:hint="eastAsia" w:ascii="黑体" w:hAnsi="黑体" w:eastAsia="黑体"/>
        </w:rPr>
        <w:t>“</w:t>
      </w:r>
      <w:r>
        <w:rPr>
          <w:rStyle w:val="20"/>
          <w:rFonts w:hint="eastAsia" w:ascii="黑体" w:hAnsi="黑体" w:eastAsia="黑体"/>
          <w:b w:val="0"/>
        </w:rPr>
        <w:t>三公”经费支出决算情况说明</w:t>
      </w:r>
      <w:bookmarkEnd w:id="55"/>
      <w:bookmarkEnd w:id="56"/>
      <w:bookmarkEnd w:id="57"/>
    </w:p>
    <w:p>
      <w:pPr>
        <w:spacing w:line="600" w:lineRule="exact"/>
        <w:ind w:firstLine="640"/>
        <w:outlineLvl w:val="2"/>
        <w:rPr>
          <w:rFonts w:ascii="仿宋_GB2312" w:hAnsi="仿宋_GB2312" w:eastAsia="仿宋_GB2312" w:cs="仿宋_GB2312"/>
          <w:b/>
          <w:sz w:val="32"/>
          <w:szCs w:val="32"/>
        </w:rPr>
      </w:pPr>
      <w:bookmarkStart w:id="58" w:name="_Toc15377216"/>
      <w:r>
        <w:rPr>
          <w:rFonts w:hint="eastAsia" w:ascii="仿宋_GB2312" w:hAnsi="仿宋_GB2312" w:eastAsia="仿宋_GB2312" w:cs="仿宋_GB2312"/>
          <w:b/>
          <w:sz w:val="32"/>
          <w:szCs w:val="32"/>
        </w:rPr>
        <w:t>（一）“三公”经费财政拨款支出决算总体情况说明</w:t>
      </w:r>
      <w:bookmarkEnd w:id="58"/>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2023年度“三公”经费财政拨款支出决算为</w:t>
      </w:r>
      <w:r>
        <w:rPr>
          <w:rFonts w:hint="eastAsia" w:ascii="仿宋_GB2312" w:hAnsi="仿宋_GB2312" w:eastAsia="仿宋_GB2312" w:cs="仿宋_GB2312"/>
          <w:b/>
          <w:sz w:val="32"/>
          <w:szCs w:val="32"/>
        </w:rPr>
        <w:t>0.08</w:t>
      </w:r>
      <w:r>
        <w:rPr>
          <w:rFonts w:hint="eastAsia" w:ascii="仿宋_GB2312" w:hAnsi="仿宋_GB2312" w:eastAsia="仿宋_GB2312" w:cs="仿宋_GB2312"/>
          <w:sz w:val="32"/>
          <w:szCs w:val="32"/>
        </w:rPr>
        <w:t>万元，完成预算</w:t>
      </w:r>
      <w:r>
        <w:rPr>
          <w:rFonts w:hint="eastAsia" w:ascii="仿宋_GB2312" w:hAnsi="仿宋_GB2312" w:eastAsia="仿宋_GB2312" w:cs="仿宋_GB2312"/>
          <w:b/>
          <w:sz w:val="32"/>
          <w:szCs w:val="32"/>
        </w:rPr>
        <w:t>25</w:t>
      </w:r>
      <w:r>
        <w:rPr>
          <w:rFonts w:hint="eastAsia" w:ascii="仿宋_GB2312" w:hAnsi="仿宋_GB2312" w:eastAsia="仿宋_GB2312" w:cs="仿宋_GB2312"/>
          <w:sz w:val="32"/>
          <w:szCs w:val="32"/>
        </w:rPr>
        <w:t>%，较上年度增加0.08万元，增长100%。决算数小于预算数的主要原因是厉行节约减少了支出。</w:t>
      </w:r>
    </w:p>
    <w:p>
      <w:pPr>
        <w:spacing w:line="600" w:lineRule="exact"/>
        <w:ind w:firstLine="640"/>
        <w:outlineLvl w:val="2"/>
        <w:rPr>
          <w:rFonts w:ascii="仿宋_GB2312" w:hAnsi="仿宋_GB2312" w:eastAsia="仿宋_GB2312" w:cs="仿宋_GB2312"/>
          <w:b/>
          <w:sz w:val="32"/>
          <w:szCs w:val="32"/>
        </w:rPr>
      </w:pPr>
      <w:bookmarkStart w:id="59" w:name="_Toc15377217"/>
      <w:r>
        <w:rPr>
          <w:rFonts w:hint="eastAsia" w:ascii="仿宋_GB2312" w:hAnsi="仿宋_GB2312" w:eastAsia="仿宋_GB2312" w:cs="仿宋_GB2312"/>
          <w:b/>
          <w:sz w:val="32"/>
          <w:szCs w:val="32"/>
        </w:rPr>
        <w:t>（二）“三公”经费财政拨款支出决算具体情况说明</w:t>
      </w:r>
      <w:bookmarkEnd w:id="59"/>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2023年度“三公”经费财政拨款支出决算中，因公出国（境）费支出决算</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%；公务用车购置及运行维护费支出决算</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%；公务接待费支出决算</w:t>
      </w:r>
      <w:r>
        <w:rPr>
          <w:rFonts w:hint="eastAsia" w:ascii="仿宋_GB2312" w:hAnsi="仿宋_GB2312" w:eastAsia="仿宋_GB2312" w:cs="仿宋_GB2312"/>
          <w:b/>
          <w:sz w:val="32"/>
          <w:szCs w:val="32"/>
        </w:rPr>
        <w:t>0.08</w:t>
      </w:r>
      <w:r>
        <w:rPr>
          <w:rFonts w:hint="eastAsia" w:ascii="仿宋_GB2312" w:hAnsi="仿宋_GB2312" w:eastAsia="仿宋_GB2312" w:cs="仿宋_GB2312"/>
          <w:sz w:val="32"/>
          <w:szCs w:val="32"/>
        </w:rPr>
        <w:t>万元，占</w:t>
      </w:r>
      <w:r>
        <w:rPr>
          <w:rFonts w:hint="eastAsia" w:ascii="仿宋_GB2312" w:hAnsi="仿宋_GB2312" w:eastAsia="仿宋_GB2312" w:cs="仿宋_GB2312"/>
          <w:b/>
          <w:sz w:val="32"/>
          <w:szCs w:val="32"/>
        </w:rPr>
        <w:t>100</w:t>
      </w:r>
      <w:r>
        <w:rPr>
          <w:rFonts w:hint="eastAsia" w:ascii="仿宋_GB2312" w:hAnsi="仿宋_GB2312" w:eastAsia="仿宋_GB2312" w:cs="仿宋_GB2312"/>
          <w:sz w:val="32"/>
          <w:szCs w:val="32"/>
        </w:rPr>
        <w:t>%。具体情况如下：</w:t>
      </w:r>
    </w:p>
    <w:p>
      <w:pPr>
        <w:spacing w:line="600" w:lineRule="exact"/>
        <w:jc w:val="center"/>
        <w:rPr>
          <w:rFonts w:ascii="仿宋" w:hAnsi="仿宋" w:eastAsia="仿宋"/>
          <w:sz w:val="32"/>
          <w:szCs w:val="32"/>
        </w:rPr>
      </w:pPr>
      <w:r>
        <w:rPr>
          <w:rFonts w:hint="eastAsia" w:ascii="仿宋" w:hAnsi="仿宋" w:eastAsia="仿宋"/>
          <w:sz w:val="32"/>
          <w:szCs w:val="32"/>
        </w:rPr>
        <w:t>图7：“三公”经费财政拨款支出结构</w:t>
      </w:r>
    </w:p>
    <w:p>
      <w:pPr>
        <w:spacing w:line="600" w:lineRule="exact"/>
        <w:ind w:firstLine="640" w:firstLineChars="200"/>
        <w:jc w:val="right"/>
        <w:rPr>
          <w:rFonts w:ascii="仿宋_GB2312" w:eastAsia="仿宋_GB2312"/>
          <w:sz w:val="32"/>
          <w:szCs w:val="32"/>
        </w:rPr>
      </w:pPr>
      <w:r>
        <w:rPr>
          <w:rFonts w:hint="eastAsia" w:ascii="仿宋_GB2312" w:eastAsia="仿宋_GB2312"/>
          <w:sz w:val="32"/>
          <w:szCs w:val="32"/>
        </w:rPr>
        <w:t>单位：万元</w:t>
      </w:r>
    </w:p>
    <w:p>
      <w:pPr>
        <w:pStyle w:val="2"/>
        <w:spacing w:before="93"/>
      </w:pPr>
      <w:r>
        <w:rPr>
          <w:rFonts w:hint="eastAsia"/>
        </w:rPr>
        <w:drawing>
          <wp:inline distT="0" distB="0" distL="114300" distR="114300">
            <wp:extent cx="5080000" cy="2434590"/>
            <wp:effectExtent l="4445" t="4445" r="20955" b="1841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rPr>
          <w:rFonts w:ascii="仿宋_GB2312" w:hAnsi="仿宋_GB2312" w:eastAsia="仿宋_GB2312" w:cs="仿宋_GB2312"/>
          <w:b/>
          <w:sz w:val="32"/>
          <w:szCs w:val="32"/>
        </w:rPr>
      </w:pPr>
      <w:bookmarkStart w:id="60" w:name="_Toc15396610"/>
      <w:bookmarkStart w:id="61" w:name="_Toc15377218"/>
      <w:r>
        <w:rPr>
          <w:rFonts w:hint="eastAsia" w:ascii="仿宋_GB2312" w:hAnsi="仿宋_GB2312" w:eastAsia="仿宋_GB2312" w:cs="仿宋_GB2312"/>
          <w:b/>
          <w:sz w:val="32"/>
          <w:szCs w:val="32"/>
        </w:rPr>
        <w:t>1.因公出国（境）经费支出0</w:t>
      </w:r>
      <w:r>
        <w:rPr>
          <w:rFonts w:hint="eastAsia" w:ascii="仿宋_GB2312" w:hAnsi="仿宋_GB2312" w:eastAsia="仿宋_GB2312" w:cs="仿宋_GB2312"/>
          <w:sz w:val="32"/>
          <w:szCs w:val="32"/>
        </w:rPr>
        <w:t>万元，</w:t>
      </w:r>
      <w:r>
        <w:rPr>
          <w:rStyle w:val="17"/>
          <w:rFonts w:hint="eastAsia" w:ascii="仿宋_GB2312" w:hAnsi="仿宋_GB2312" w:eastAsia="仿宋_GB2312" w:cs="仿宋_GB2312"/>
          <w:b w:val="0"/>
          <w:bCs/>
          <w:sz w:val="32"/>
          <w:szCs w:val="32"/>
        </w:rPr>
        <w:t>完成预算</w:t>
      </w:r>
      <w:r>
        <w:rPr>
          <w:rStyle w:val="17"/>
          <w:rFonts w:hint="eastAsia" w:ascii="仿宋_GB2312" w:hAnsi="仿宋_GB2312" w:eastAsia="仿宋_GB2312" w:cs="仿宋_GB2312"/>
          <w:bCs/>
          <w:sz w:val="32"/>
          <w:szCs w:val="32"/>
        </w:rPr>
        <w:t>0</w:t>
      </w:r>
      <w:r>
        <w:rPr>
          <w:rStyle w:val="17"/>
          <w:rFonts w:hint="eastAsia" w:ascii="仿宋_GB2312" w:hAnsi="仿宋_GB2312" w:eastAsia="仿宋_GB2312" w:cs="仿宋_GB2312"/>
          <w:b w:val="0"/>
          <w:bCs/>
          <w:sz w:val="32"/>
          <w:szCs w:val="32"/>
        </w:rPr>
        <w:t>%。</w:t>
      </w:r>
      <w:r>
        <w:rPr>
          <w:rFonts w:hint="eastAsia" w:ascii="仿宋_GB2312" w:hAnsi="仿宋_GB2312" w:eastAsia="仿宋_GB2312" w:cs="仿宋_GB2312"/>
          <w:sz w:val="32"/>
          <w:szCs w:val="32"/>
        </w:rPr>
        <w:t>全年安排因公出国（境）团组</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次，出国（境）</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人。因公出国（境）支出决算比2022年持平。</w:t>
      </w:r>
    </w:p>
    <w:p>
      <w:pPr>
        <w:spacing w:line="600" w:lineRule="exact"/>
        <w:ind w:firstLine="640"/>
        <w:rPr>
          <w:rFonts w:ascii="仿宋_GB2312" w:hAnsi="仿宋_GB2312" w:eastAsia="仿宋_GB2312" w:cs="仿宋_GB2312"/>
          <w:b/>
          <w:sz w:val="32"/>
          <w:szCs w:val="32"/>
        </w:rPr>
      </w:pPr>
      <w:r>
        <w:rPr>
          <w:rFonts w:hint="eastAsia" w:ascii="仿宋_GB2312" w:hAnsi="仿宋_GB2312" w:eastAsia="仿宋_GB2312" w:cs="仿宋_GB2312"/>
          <w:b/>
          <w:sz w:val="32"/>
          <w:szCs w:val="32"/>
        </w:rPr>
        <w:t>2.公务用车购置及运行维护费支出0</w:t>
      </w:r>
      <w:r>
        <w:rPr>
          <w:rFonts w:hint="eastAsia" w:ascii="仿宋_GB2312" w:hAnsi="仿宋_GB2312" w:eastAsia="仿宋_GB2312" w:cs="仿宋_GB2312"/>
          <w:sz w:val="32"/>
          <w:szCs w:val="32"/>
        </w:rPr>
        <w:t>万元，</w:t>
      </w:r>
      <w:r>
        <w:rPr>
          <w:rStyle w:val="17"/>
          <w:rFonts w:hint="eastAsia" w:ascii="仿宋_GB2312" w:hAnsi="仿宋_GB2312" w:eastAsia="仿宋_GB2312" w:cs="仿宋_GB2312"/>
          <w:b w:val="0"/>
          <w:bCs/>
          <w:sz w:val="32"/>
          <w:szCs w:val="32"/>
        </w:rPr>
        <w:t>完成预算</w:t>
      </w:r>
      <w:r>
        <w:rPr>
          <w:rStyle w:val="17"/>
          <w:rFonts w:hint="eastAsia" w:ascii="仿宋_GB2312" w:hAnsi="仿宋_GB2312" w:eastAsia="仿宋_GB2312" w:cs="仿宋_GB2312"/>
          <w:bCs/>
          <w:sz w:val="32"/>
          <w:szCs w:val="32"/>
        </w:rPr>
        <w:t>0</w:t>
      </w:r>
      <w:r>
        <w:rPr>
          <w:rStyle w:val="17"/>
          <w:rFonts w:hint="eastAsia" w:ascii="仿宋_GB2312" w:hAnsi="仿宋_GB2312" w:eastAsia="仿宋_GB2312" w:cs="仿宋_GB2312"/>
          <w:b w:val="0"/>
          <w:bCs/>
          <w:sz w:val="32"/>
          <w:szCs w:val="32"/>
        </w:rPr>
        <w:t>%。</w:t>
      </w:r>
      <w:r>
        <w:rPr>
          <w:rFonts w:hint="eastAsia" w:ascii="仿宋_GB2312" w:hAnsi="仿宋_GB2312" w:eastAsia="仿宋_GB2312" w:cs="仿宋_GB2312"/>
          <w:sz w:val="32"/>
          <w:szCs w:val="32"/>
        </w:rPr>
        <w:t>公务用车购置及运行维护费支出决算比2022年度持平。</w:t>
      </w:r>
    </w:p>
    <w:p>
      <w:pPr>
        <w:spacing w:line="600" w:lineRule="exact"/>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其中：</w:t>
      </w:r>
      <w:r>
        <w:rPr>
          <w:rFonts w:hint="eastAsia" w:ascii="仿宋_GB2312" w:hAnsi="仿宋_GB2312" w:eastAsia="仿宋_GB2312" w:cs="仿宋_GB2312"/>
          <w:b/>
          <w:sz w:val="32"/>
          <w:szCs w:val="32"/>
        </w:rPr>
        <w:t>公务用车购置支出0</w:t>
      </w:r>
      <w:r>
        <w:rPr>
          <w:rFonts w:hint="eastAsia" w:ascii="仿宋_GB2312" w:hAnsi="仿宋_GB2312" w:eastAsia="仿宋_GB2312" w:cs="仿宋_GB2312"/>
          <w:sz w:val="32"/>
          <w:szCs w:val="32"/>
        </w:rPr>
        <w:t>万元。全年按规定更新购置公务用车0辆。截至2023年12月31日，单位共有公务用车0辆。</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b/>
          <w:sz w:val="32"/>
          <w:szCs w:val="32"/>
        </w:rPr>
        <w:t>公务用车运行维护费支出0</w:t>
      </w:r>
      <w:r>
        <w:rPr>
          <w:rFonts w:hint="eastAsia" w:ascii="仿宋_GB2312" w:hAnsi="仿宋_GB2312" w:eastAsia="仿宋_GB2312" w:cs="仿宋_GB2312"/>
          <w:sz w:val="32"/>
          <w:szCs w:val="32"/>
        </w:rPr>
        <w:t>万元。</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b/>
          <w:sz w:val="32"/>
          <w:szCs w:val="32"/>
        </w:rPr>
        <w:t>3.公务接待费支出0.08</w:t>
      </w:r>
      <w:r>
        <w:rPr>
          <w:rFonts w:hint="eastAsia" w:ascii="仿宋_GB2312" w:hAnsi="仿宋_GB2312" w:eastAsia="仿宋_GB2312" w:cs="仿宋_GB2312"/>
          <w:sz w:val="32"/>
          <w:szCs w:val="32"/>
        </w:rPr>
        <w:t>万元，</w:t>
      </w:r>
      <w:r>
        <w:rPr>
          <w:rStyle w:val="17"/>
          <w:rFonts w:hint="eastAsia" w:ascii="仿宋_GB2312" w:hAnsi="仿宋_GB2312" w:eastAsia="仿宋_GB2312" w:cs="仿宋_GB2312"/>
          <w:b w:val="0"/>
          <w:bCs/>
          <w:sz w:val="32"/>
          <w:szCs w:val="32"/>
        </w:rPr>
        <w:t>完成预算24.21%。</w:t>
      </w:r>
      <w:r>
        <w:rPr>
          <w:rFonts w:hint="eastAsia" w:ascii="仿宋_GB2312" w:hAnsi="仿宋_GB2312" w:eastAsia="仿宋_GB2312" w:cs="仿宋_GB2312"/>
          <w:sz w:val="32"/>
          <w:szCs w:val="32"/>
        </w:rPr>
        <w:t>公务接待费支出决算比2022年度增加0.08万元，增长100%。主要原因是2022年因疫情原因无来广人员。其中：</w:t>
      </w:r>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b/>
          <w:sz w:val="32"/>
          <w:szCs w:val="32"/>
        </w:rPr>
        <w:t>国内公务接待支出0.08</w:t>
      </w:r>
      <w:r>
        <w:rPr>
          <w:rFonts w:hint="eastAsia" w:ascii="仿宋_GB2312" w:hAnsi="仿宋_GB2312" w:eastAsia="仿宋_GB2312" w:cs="仿宋_GB2312"/>
          <w:sz w:val="32"/>
          <w:szCs w:val="32"/>
        </w:rPr>
        <w:t>万元，主要用于执行公务、开展业务活动开支的用餐费等。国内公务接待1批次，8人次（不包括陪同人员），共计支出0.08万元，具体内容包括：上级调研用餐费0.08万元。</w:t>
      </w:r>
    </w:p>
    <w:p>
      <w:pPr>
        <w:spacing w:line="600" w:lineRule="exact"/>
        <w:ind w:firstLine="642"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外事接待支出0</w:t>
      </w:r>
      <w:r>
        <w:rPr>
          <w:rFonts w:hint="eastAsia" w:ascii="仿宋_GB2312" w:hAnsi="仿宋_GB2312" w:eastAsia="仿宋_GB2312" w:cs="仿宋_GB2312"/>
          <w:sz w:val="32"/>
          <w:szCs w:val="32"/>
        </w:rPr>
        <w:t>万元。</w:t>
      </w:r>
    </w:p>
    <w:p>
      <w:pPr>
        <w:spacing w:line="600" w:lineRule="exact"/>
        <w:ind w:firstLine="640"/>
        <w:outlineLvl w:val="1"/>
        <w:rPr>
          <w:rStyle w:val="20"/>
          <w:rFonts w:ascii="黑体" w:hAnsi="黑体" w:eastAsia="黑体"/>
        </w:rPr>
      </w:pPr>
      <w:bookmarkStart w:id="62" w:name="_Toc14515"/>
      <w:r>
        <w:rPr>
          <w:rStyle w:val="20"/>
          <w:rFonts w:hint="eastAsia" w:ascii="黑体" w:hAnsi="黑体" w:eastAsia="黑体"/>
        </w:rPr>
        <w:t>八、政府性基金预算支出决算情况说明</w:t>
      </w:r>
      <w:bookmarkEnd w:id="60"/>
      <w:bookmarkEnd w:id="61"/>
      <w:bookmarkEnd w:id="62"/>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2023年度政府性基金预算财政拨款支出</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万元。</w:t>
      </w:r>
    </w:p>
    <w:p>
      <w:pPr>
        <w:numPr>
          <w:ilvl w:val="0"/>
          <w:numId w:val="3"/>
        </w:numPr>
        <w:spacing w:line="600" w:lineRule="exact"/>
        <w:ind w:firstLine="640"/>
        <w:outlineLvl w:val="1"/>
        <w:rPr>
          <w:rStyle w:val="20"/>
          <w:rFonts w:ascii="黑体" w:hAnsi="黑体" w:eastAsia="黑体" w:cs="黑体"/>
          <w:bCs w:val="0"/>
        </w:rPr>
      </w:pPr>
      <w:bookmarkStart w:id="63" w:name="_Toc15396611"/>
      <w:bookmarkStart w:id="64" w:name="_Toc24756"/>
      <w:bookmarkStart w:id="65" w:name="_Toc15377219"/>
      <w:r>
        <w:rPr>
          <w:rStyle w:val="20"/>
          <w:rFonts w:hint="eastAsia" w:ascii="黑体" w:hAnsi="黑体" w:eastAsia="黑体" w:cs="黑体"/>
          <w:bCs w:val="0"/>
        </w:rPr>
        <w:t>国有资本经营预算支出决算情况说明</w:t>
      </w:r>
      <w:bookmarkEnd w:id="63"/>
      <w:bookmarkEnd w:id="64"/>
      <w:bookmarkEnd w:id="65"/>
    </w:p>
    <w:p>
      <w:pPr>
        <w:spacing w:line="600" w:lineRule="exact"/>
        <w:ind w:firstLine="640"/>
        <w:rPr>
          <w:rFonts w:ascii="仿宋_GB2312" w:hAnsi="仿宋_GB2312" w:eastAsia="仿宋_GB2312" w:cs="仿宋_GB2312"/>
          <w:sz w:val="44"/>
          <w:szCs w:val="44"/>
        </w:rPr>
      </w:pPr>
      <w:r>
        <w:rPr>
          <w:rFonts w:hint="eastAsia" w:ascii="仿宋_GB2312" w:hAnsi="仿宋_GB2312" w:eastAsia="仿宋_GB2312" w:cs="仿宋_GB2312"/>
          <w:sz w:val="32"/>
          <w:szCs w:val="32"/>
        </w:rPr>
        <w:t>2023年度国有资本经营预算财政拨款支出</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万元。</w:t>
      </w:r>
    </w:p>
    <w:p>
      <w:pPr>
        <w:numPr>
          <w:ilvl w:val="0"/>
          <w:numId w:val="3"/>
        </w:numPr>
        <w:spacing w:line="600" w:lineRule="exact"/>
        <w:ind w:firstLine="640"/>
        <w:outlineLvl w:val="1"/>
        <w:rPr>
          <w:rStyle w:val="20"/>
          <w:rFonts w:ascii="黑体" w:hAnsi="黑体" w:eastAsia="黑体" w:cs="黑体"/>
          <w:b w:val="0"/>
        </w:rPr>
      </w:pPr>
      <w:bookmarkStart w:id="66" w:name="_Toc27191"/>
      <w:bookmarkStart w:id="67" w:name="_Toc15396612"/>
      <w:bookmarkStart w:id="68" w:name="_Toc15377221"/>
      <w:r>
        <w:rPr>
          <w:rStyle w:val="20"/>
          <w:rFonts w:hint="eastAsia" w:ascii="黑体" w:hAnsi="黑体" w:eastAsia="黑体" w:cs="黑体"/>
          <w:b w:val="0"/>
        </w:rPr>
        <w:t>其他重要事项的情况说明</w:t>
      </w:r>
      <w:bookmarkEnd w:id="66"/>
      <w:bookmarkEnd w:id="67"/>
      <w:bookmarkEnd w:id="68"/>
    </w:p>
    <w:p>
      <w:pPr>
        <w:spacing w:line="600" w:lineRule="exact"/>
        <w:ind w:firstLine="642" w:firstLineChars="200"/>
        <w:outlineLvl w:val="2"/>
        <w:rPr>
          <w:rFonts w:ascii="仿宋_GB2312" w:hAnsi="仿宋_GB2312" w:eastAsia="仿宋_GB2312" w:cs="仿宋_GB2312"/>
          <w:sz w:val="32"/>
          <w:szCs w:val="32"/>
        </w:rPr>
      </w:pPr>
      <w:bookmarkStart w:id="69" w:name="_Toc15377222"/>
      <w:r>
        <w:rPr>
          <w:rFonts w:hint="eastAsia" w:ascii="仿宋_GB2312" w:hAnsi="仿宋_GB2312" w:eastAsia="仿宋_GB2312" w:cs="仿宋_GB2312"/>
          <w:b/>
          <w:sz w:val="32"/>
          <w:szCs w:val="32"/>
        </w:rPr>
        <w:t>（一）机关运行经费支出情况</w:t>
      </w:r>
      <w:bookmarkEnd w:id="69"/>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w:t>
      </w:r>
      <w:r>
        <w:rPr>
          <w:rFonts w:hint="eastAsia" w:ascii="仿宋_GB2312" w:hAnsi="仿宋_GB2312" w:eastAsia="仿宋_GB2312" w:cs="仿宋_GB2312"/>
          <w:b/>
          <w:sz w:val="32"/>
          <w:szCs w:val="32"/>
        </w:rPr>
        <w:t>广元市交通技工学校</w:t>
      </w:r>
      <w:r>
        <w:rPr>
          <w:rFonts w:hint="eastAsia" w:ascii="仿宋_GB2312" w:hAnsi="仿宋_GB2312" w:eastAsia="仿宋_GB2312" w:cs="仿宋_GB2312"/>
          <w:sz w:val="32"/>
          <w:szCs w:val="32"/>
        </w:rPr>
        <w:t>机关运行经费支出</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万元，比2022年度决算数持平。</w:t>
      </w:r>
      <w:r>
        <w:rPr>
          <w:rFonts w:hint="eastAsia" w:ascii="仿宋_GB2312" w:hAnsi="仿宋_GB2312" w:eastAsia="仿宋_GB2312" w:cs="仿宋_GB2312"/>
          <w:sz w:val="32"/>
        </w:rPr>
        <w:t>主要原因是本单位属于其他事业单位，不产生机关运行经费。</w:t>
      </w:r>
    </w:p>
    <w:p>
      <w:pPr>
        <w:autoSpaceDE w:val="0"/>
        <w:autoSpaceDN w:val="0"/>
        <w:adjustRightInd w:val="0"/>
        <w:spacing w:line="600" w:lineRule="exact"/>
        <w:ind w:firstLine="642" w:firstLineChars="200"/>
        <w:jc w:val="left"/>
        <w:outlineLvl w:val="2"/>
        <w:rPr>
          <w:rFonts w:ascii="仿宋_GB2312" w:hAnsi="仿宋_GB2312" w:eastAsia="仿宋_GB2312" w:cs="仿宋_GB2312"/>
          <w:b/>
          <w:sz w:val="32"/>
          <w:szCs w:val="32"/>
        </w:rPr>
      </w:pPr>
      <w:bookmarkStart w:id="70" w:name="_Toc15377223"/>
      <w:r>
        <w:rPr>
          <w:rFonts w:hint="eastAsia" w:ascii="仿宋_GB2312" w:hAnsi="仿宋_GB2312" w:eastAsia="仿宋_GB2312" w:cs="仿宋_GB2312"/>
          <w:b/>
          <w:sz w:val="32"/>
          <w:szCs w:val="32"/>
        </w:rPr>
        <w:t>（二）政府采购支出情况</w:t>
      </w:r>
      <w:bookmarkEnd w:id="70"/>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w:t>
      </w:r>
      <w:r>
        <w:rPr>
          <w:rFonts w:hint="eastAsia" w:ascii="仿宋_GB2312" w:hAnsi="仿宋_GB2312" w:eastAsia="仿宋_GB2312" w:cs="仿宋_GB2312"/>
          <w:b/>
          <w:sz w:val="32"/>
          <w:szCs w:val="32"/>
        </w:rPr>
        <w:t>广元市交通技工学校</w:t>
      </w:r>
      <w:r>
        <w:rPr>
          <w:rFonts w:hint="eastAsia" w:ascii="仿宋_GB2312" w:hAnsi="仿宋_GB2312" w:eastAsia="仿宋_GB2312" w:cs="仿宋_GB2312"/>
          <w:sz w:val="32"/>
          <w:szCs w:val="32"/>
        </w:rPr>
        <w:t>政府采购支出总额</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万元。</w:t>
      </w:r>
    </w:p>
    <w:p>
      <w:pPr>
        <w:autoSpaceDE w:val="0"/>
        <w:autoSpaceDN w:val="0"/>
        <w:adjustRightInd w:val="0"/>
        <w:spacing w:line="600" w:lineRule="exact"/>
        <w:ind w:firstLine="642" w:firstLineChars="200"/>
        <w:jc w:val="left"/>
        <w:outlineLvl w:val="2"/>
        <w:rPr>
          <w:rFonts w:ascii="仿宋_GB2312" w:hAnsi="仿宋_GB2312" w:eastAsia="仿宋_GB2312" w:cs="仿宋_GB2312"/>
          <w:b/>
          <w:sz w:val="32"/>
          <w:szCs w:val="32"/>
        </w:rPr>
      </w:pPr>
      <w:bookmarkStart w:id="71" w:name="_Toc15377224"/>
      <w:r>
        <w:rPr>
          <w:rFonts w:hint="eastAsia" w:ascii="仿宋_GB2312" w:hAnsi="仿宋_GB2312" w:eastAsia="仿宋_GB2312" w:cs="仿宋_GB2312"/>
          <w:b/>
          <w:sz w:val="32"/>
          <w:szCs w:val="32"/>
        </w:rPr>
        <w:t>（三）国有资产占有使用情况</w:t>
      </w:r>
      <w:bookmarkEnd w:id="71"/>
    </w:p>
    <w:p>
      <w:pPr>
        <w:autoSpaceDE w:val="0"/>
        <w:autoSpaceDN w:val="0"/>
        <w:adjustRightInd w:val="0"/>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截至2023年12月31日，</w:t>
      </w:r>
      <w:r>
        <w:rPr>
          <w:rFonts w:hint="eastAsia" w:ascii="仿宋_GB2312" w:hAnsi="仿宋_GB2312" w:eastAsia="仿宋_GB2312" w:cs="仿宋_GB2312"/>
          <w:b/>
          <w:sz w:val="32"/>
          <w:szCs w:val="32"/>
        </w:rPr>
        <w:t>广元市交通技工学校</w:t>
      </w:r>
      <w:r>
        <w:rPr>
          <w:rFonts w:hint="eastAsia" w:ascii="仿宋_GB2312" w:hAnsi="仿宋_GB2312" w:eastAsia="仿宋_GB2312" w:cs="仿宋_GB2312"/>
          <w:sz w:val="32"/>
          <w:szCs w:val="32"/>
        </w:rPr>
        <w:t>共有车辆</w:t>
      </w:r>
      <w:r>
        <w:rPr>
          <w:rFonts w:hint="eastAsia" w:ascii="仿宋_GB2312" w:hAnsi="仿宋_GB2312" w:eastAsia="仿宋_GB2312" w:cs="仿宋_GB2312"/>
          <w:b/>
          <w:sz w:val="32"/>
          <w:szCs w:val="32"/>
        </w:rPr>
        <w:t>52</w:t>
      </w:r>
      <w:r>
        <w:rPr>
          <w:rFonts w:hint="eastAsia" w:ascii="仿宋_GB2312" w:hAnsi="仿宋_GB2312" w:eastAsia="仿宋_GB2312" w:cs="仿宋_GB2312"/>
          <w:sz w:val="32"/>
          <w:szCs w:val="32"/>
        </w:rPr>
        <w:t>辆，其中：其他用车52辆，</w:t>
      </w:r>
      <w:r>
        <w:rPr>
          <w:rFonts w:hint="eastAsia" w:ascii="仿宋_GB2312" w:hAnsi="仿宋_GB2312" w:eastAsia="仿宋_GB2312" w:cs="仿宋_GB2312"/>
          <w:sz w:val="32"/>
        </w:rPr>
        <w:t>其他用车主要是用于驾驶员培训教学、学员接送等52辆。</w:t>
      </w:r>
      <w:r>
        <w:rPr>
          <w:rFonts w:hint="eastAsia" w:ascii="仿宋_GB2312" w:hAnsi="仿宋_GB2312" w:eastAsia="仿宋_GB2312" w:cs="仿宋_GB2312"/>
          <w:sz w:val="32"/>
          <w:szCs w:val="32"/>
        </w:rPr>
        <w:t>单价100万元以上设备（不含车辆）</w:t>
      </w:r>
      <w:r>
        <w:rPr>
          <w:rFonts w:hint="eastAsia" w:ascii="仿宋_GB2312" w:hAnsi="仿宋_GB2312" w:eastAsia="仿宋_GB2312" w:cs="仿宋_GB2312"/>
          <w:b/>
          <w:sz w:val="32"/>
          <w:szCs w:val="32"/>
        </w:rPr>
        <w:t>0</w:t>
      </w:r>
      <w:r>
        <w:rPr>
          <w:rFonts w:hint="eastAsia" w:ascii="仿宋_GB2312" w:hAnsi="仿宋_GB2312" w:eastAsia="仿宋_GB2312" w:cs="仿宋_GB2312"/>
          <w:sz w:val="32"/>
          <w:szCs w:val="32"/>
        </w:rPr>
        <w:t>台（套）。</w:t>
      </w:r>
    </w:p>
    <w:p>
      <w:pPr>
        <w:autoSpaceDE w:val="0"/>
        <w:autoSpaceDN w:val="0"/>
        <w:adjustRightInd w:val="0"/>
        <w:spacing w:line="600" w:lineRule="exact"/>
        <w:ind w:firstLine="642" w:firstLineChars="200"/>
        <w:jc w:val="left"/>
        <w:outlineLvl w:val="2"/>
        <w:rPr>
          <w:rFonts w:ascii="仿宋_GB2312" w:hAnsi="仿宋_GB2312" w:eastAsia="仿宋_GB2312" w:cs="仿宋_GB2312"/>
          <w:b/>
          <w:sz w:val="32"/>
          <w:szCs w:val="32"/>
        </w:rPr>
      </w:pPr>
      <w:r>
        <w:rPr>
          <w:rFonts w:hint="eastAsia" w:ascii="仿宋_GB2312" w:hAnsi="仿宋_GB2312" w:eastAsia="仿宋_GB2312" w:cs="仿宋_GB2312"/>
          <w:b/>
          <w:sz w:val="32"/>
          <w:szCs w:val="32"/>
        </w:rPr>
        <w:t>（四）预算绩效管理情况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2023年度预算编制阶段，组织对开展学员技能培训工作经费等5个项目开展了预算事前绩效评估，对5个项目编制了绩效目标，预算执行过程中，选取5个项目开展绩效监控，组织对5个项目开展绩效自评，绩效自评表详见第四部分附件。</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numPr>
          <w:ilvl w:val="0"/>
          <w:numId w:val="4"/>
        </w:numPr>
        <w:spacing w:line="600" w:lineRule="exact"/>
        <w:ind w:firstLine="660" w:firstLineChars="150"/>
        <w:jc w:val="center"/>
        <w:outlineLvl w:val="0"/>
        <w:rPr>
          <w:rStyle w:val="19"/>
          <w:rFonts w:ascii="黑体" w:hAnsi="黑体" w:eastAsia="黑体"/>
          <w:b w:val="0"/>
        </w:rPr>
      </w:pPr>
      <w:bookmarkStart w:id="72" w:name="_Toc15500"/>
      <w:bookmarkStart w:id="73" w:name="_Toc15396613"/>
      <w:bookmarkStart w:id="74" w:name="_Toc15377225"/>
      <w:r>
        <w:rPr>
          <w:rFonts w:hint="eastAsia" w:ascii="黑体" w:hAnsi="黑体" w:eastAsia="黑体"/>
          <w:sz w:val="44"/>
          <w:szCs w:val="44"/>
        </w:rPr>
        <w:t>名</w:t>
      </w:r>
      <w:r>
        <w:rPr>
          <w:rStyle w:val="19"/>
          <w:rFonts w:hint="eastAsia" w:ascii="黑体" w:hAnsi="黑体" w:eastAsia="黑体"/>
          <w:b w:val="0"/>
        </w:rPr>
        <w:t>词解释</w:t>
      </w:r>
      <w:bookmarkEnd w:id="72"/>
      <w:bookmarkEnd w:id="73"/>
      <w:bookmarkEnd w:id="74"/>
    </w:p>
    <w:p>
      <w:pPr>
        <w:spacing w:line="600" w:lineRule="exact"/>
        <w:jc w:val="left"/>
        <w:rPr>
          <w:rFonts w:ascii="宋体"/>
          <w:b/>
          <w:sz w:val="44"/>
          <w:szCs w:val="44"/>
        </w:rPr>
      </w:pPr>
    </w:p>
    <w:p>
      <w:pPr>
        <w:pStyle w:val="29"/>
        <w:spacing w:line="600" w:lineRule="exact"/>
        <w:ind w:firstLine="640" w:firstLineChars="200"/>
        <w:outlineLvl w:val="1"/>
        <w:rPr>
          <w:rFonts w:ascii="仿宋_GB2312" w:hAnsi="仿宋_GB2312" w:eastAsia="仿宋_GB2312" w:cs="仿宋_GB2312"/>
          <w:color w:val="auto"/>
          <w:sz w:val="32"/>
          <w:szCs w:val="32"/>
        </w:rPr>
      </w:pPr>
      <w:bookmarkStart w:id="75" w:name="_Toc27206"/>
      <w:bookmarkStart w:id="76" w:name="_Toc24228"/>
      <w:bookmarkStart w:id="77" w:name="_Toc15377226"/>
      <w:r>
        <w:rPr>
          <w:rFonts w:hint="eastAsia" w:ascii="仿宋_GB2312" w:hAnsi="仿宋_GB2312" w:eastAsia="仿宋_GB2312" w:cs="仿宋_GB2312"/>
          <w:color w:val="auto"/>
          <w:sz w:val="32"/>
          <w:szCs w:val="32"/>
        </w:rPr>
        <w:t>1.财政拨款收入：指单位从同级财政单位取得的财政预算资金。</w:t>
      </w:r>
      <w:bookmarkEnd w:id="75"/>
      <w:bookmarkEnd w:id="76"/>
    </w:p>
    <w:p>
      <w:pPr>
        <w:pStyle w:val="29"/>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2.年初结转和结余：指以前年度尚未完成、结转到本年按有关规定继续使用的资金。</w:t>
      </w:r>
    </w:p>
    <w:p>
      <w:pPr>
        <w:pStyle w:val="29"/>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3.年末结转和结余：指单位按有关规定结转到下年或以后年度继续使用的资金。</w:t>
      </w:r>
    </w:p>
    <w:p>
      <w:pPr>
        <w:spacing w:line="600" w:lineRule="exact"/>
        <w:ind w:firstLine="640" w:firstLineChars="200"/>
        <w:rPr>
          <w:rFonts w:ascii="仿宋_GB2312" w:hAnsi="仿宋_GB2312" w:eastAsia="仿宋_GB2312" w:cs="仿宋_GB2312"/>
          <w:sz w:val="32"/>
        </w:rPr>
      </w:pPr>
      <w:r>
        <w:rPr>
          <w:rFonts w:hint="eastAsia" w:ascii="仿宋_GB2312" w:hAnsi="仿宋_GB2312" w:eastAsia="仿宋_GB2312" w:cs="仿宋_GB2312"/>
          <w:sz w:val="32"/>
        </w:rPr>
        <w:t>4.教育支出（类）职业教育（款）技校教育（项）：指人力资源社会保障单位举办的技校教育支出，政府各单位对社会组织等举办的技工学校的资助，如捐赠、补贴等。</w:t>
      </w:r>
    </w:p>
    <w:p>
      <w:pPr>
        <w:pStyle w:val="14"/>
        <w:spacing w:before="75" w:beforeAutospacing="0" w:after="75" w:afterAutospacing="0"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5.社会保障和就业支出（类）行政事业单位养老支出（款）机关事业单位基本养老保险缴费支出（项）：指机关事业单位实施养老保险制度由单位实际缴纳的基本养老保险支出。</w:t>
      </w:r>
    </w:p>
    <w:p>
      <w:pPr>
        <w:pStyle w:val="14"/>
        <w:spacing w:before="75" w:beforeAutospacing="0" w:after="75" w:afterAutospacing="0"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6.社会保障和就业支出（类）行政事业单位养老支出（款）机关事业单位职业年金缴费支出（项）：指机关事业单位实施养老保险制度由单位实际缴纳的职业年金支出。</w:t>
      </w:r>
    </w:p>
    <w:p>
      <w:pPr>
        <w:spacing w:line="600" w:lineRule="exact"/>
        <w:ind w:firstLine="640" w:firstLineChars="200"/>
        <w:rPr>
          <w:rFonts w:ascii="仿宋_GB2312" w:hAnsi="仿宋_GB2312" w:eastAsia="仿宋_GB2312" w:cs="仿宋_GB2312"/>
          <w:sz w:val="32"/>
        </w:rPr>
      </w:pPr>
      <w:r>
        <w:rPr>
          <w:rFonts w:hint="eastAsia" w:ascii="仿宋_GB2312" w:hAnsi="仿宋_GB2312" w:eastAsia="仿宋_GB2312" w:cs="仿宋_GB2312"/>
          <w:sz w:val="32"/>
        </w:rPr>
        <w:t>7.社会保障和就业支出（类）抚恤（款）死亡抚恤（项）：指按规定用于烈士和牺牲、病故人员家属的一次性和定期抚恤金以及丧葬补助费。</w:t>
      </w:r>
    </w:p>
    <w:p>
      <w:pPr>
        <w:pStyle w:val="14"/>
        <w:spacing w:before="75" w:beforeAutospacing="0" w:after="75" w:afterAutospacing="0"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8.卫生健康支出（类）行政事业单位医疗（款）事业单位医疗（项）：指财政单位安排的事业单位基本医疗保险缴费经费，未参加医疗保险的事业单位的公费医疗经费，按国家规定享受离休人员待遇人员的医疗经费。</w:t>
      </w:r>
    </w:p>
    <w:p>
      <w:pPr>
        <w:pStyle w:val="14"/>
        <w:spacing w:before="75" w:beforeAutospacing="0" w:after="75" w:afterAutospacing="0"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9.住房保障支出（类）住房改革支出（款）住房公积金（项）：指行政事业单位按人力资源和社会保障部、财政部规定的基本工资和津贴补贴以及规定比例为职工缴纳的住房公积金。</w:t>
      </w:r>
    </w:p>
    <w:p>
      <w:pPr>
        <w:spacing w:line="600" w:lineRule="exact"/>
        <w:ind w:firstLine="640" w:firstLineChars="200"/>
        <w:rPr>
          <w:rFonts w:ascii="仿宋_GB2312" w:hAnsi="仿宋_GB2312" w:eastAsia="仿宋_GB2312" w:cs="仿宋_GB2312"/>
          <w:sz w:val="32"/>
        </w:rPr>
      </w:pPr>
      <w:r>
        <w:rPr>
          <w:rFonts w:hint="eastAsia" w:ascii="仿宋_GB2312" w:hAnsi="仿宋_GB2312" w:eastAsia="仿宋_GB2312" w:cs="仿宋_GB2312"/>
          <w:sz w:val="32"/>
        </w:rPr>
        <w:t>10.基本支出：指为保障机构正常运转、完成日常工作任务而发生的人员支出和公用支出。</w:t>
      </w:r>
    </w:p>
    <w:p>
      <w:pPr>
        <w:spacing w:line="600" w:lineRule="exact"/>
        <w:ind w:firstLine="640" w:firstLineChars="200"/>
        <w:rPr>
          <w:rFonts w:ascii="仿宋_GB2312" w:hAnsi="仿宋_GB2312" w:eastAsia="仿宋_GB2312" w:cs="仿宋_GB2312"/>
          <w:sz w:val="32"/>
        </w:rPr>
      </w:pPr>
      <w:r>
        <w:rPr>
          <w:rFonts w:hint="eastAsia" w:ascii="仿宋_GB2312" w:hAnsi="仿宋_GB2312" w:eastAsia="仿宋_GB2312" w:cs="仿宋_GB2312"/>
          <w:sz w:val="32"/>
        </w:rPr>
        <w:t>11.项目支出：指在基本支出之外为完成特定行政任务和事业发展目标所发生的支出。</w:t>
      </w:r>
    </w:p>
    <w:p>
      <w:pPr>
        <w:spacing w:line="600" w:lineRule="exact"/>
        <w:ind w:firstLine="640" w:firstLineChars="200"/>
        <w:jc w:val="left"/>
        <w:outlineLvl w:val="0"/>
        <w:rPr>
          <w:rFonts w:ascii="仿宋_GB2312" w:hAnsi="仿宋_GB2312" w:eastAsia="仿宋_GB2312" w:cs="仿宋_GB2312"/>
          <w:color w:val="000000"/>
          <w:sz w:val="32"/>
          <w:szCs w:val="32"/>
        </w:rPr>
      </w:pPr>
      <w:bookmarkStart w:id="78" w:name="_Toc27013"/>
      <w:bookmarkStart w:id="79" w:name="_Toc15367"/>
      <w:r>
        <w:rPr>
          <w:rFonts w:hint="eastAsia" w:ascii="仿宋_GB2312" w:hAnsi="仿宋_GB2312" w:eastAsia="仿宋_GB2312" w:cs="仿宋_GB2312"/>
          <w:color w:val="000000"/>
          <w:sz w:val="32"/>
          <w:szCs w:val="32"/>
        </w:rPr>
        <w:t>12.“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End w:id="78"/>
      <w:bookmarkEnd w:id="79"/>
    </w:p>
    <w:p>
      <w:pPr>
        <w:spacing w:line="600" w:lineRule="exact"/>
        <w:ind w:firstLine="640" w:firstLineChars="200"/>
        <w:jc w:val="center"/>
        <w:outlineLvl w:val="0"/>
        <w:rPr>
          <w:rStyle w:val="19"/>
          <w:rFonts w:ascii="黑体" w:hAnsi="黑体" w:eastAsia="黑体"/>
          <w:b w:val="0"/>
        </w:rPr>
      </w:pPr>
      <w:r>
        <w:rPr>
          <w:rFonts w:hint="eastAsia" w:ascii="仿宋_GB2312" w:hAnsi="仿宋_GB2312" w:eastAsia="仿宋_GB2312" w:cs="仿宋_GB2312"/>
          <w:color w:val="000000"/>
          <w:sz w:val="32"/>
          <w:szCs w:val="32"/>
        </w:rPr>
        <w:br w:type="page"/>
      </w:r>
      <w:bookmarkStart w:id="80" w:name="_Toc27660"/>
      <w:bookmarkStart w:id="81" w:name="_Toc15396614"/>
      <w:r>
        <w:rPr>
          <w:rFonts w:hint="eastAsia" w:ascii="黑体" w:hAnsi="黑体" w:eastAsia="黑体"/>
          <w:sz w:val="44"/>
          <w:szCs w:val="44"/>
        </w:rPr>
        <w:t>第</w:t>
      </w:r>
      <w:r>
        <w:rPr>
          <w:rStyle w:val="19"/>
          <w:rFonts w:hint="eastAsia" w:ascii="黑体" w:hAnsi="黑体" w:eastAsia="黑体"/>
          <w:b w:val="0"/>
        </w:rPr>
        <w:t>四部分 附件</w:t>
      </w:r>
      <w:bookmarkEnd w:id="80"/>
      <w:bookmarkEnd w:id="81"/>
      <w:bookmarkStart w:id="82" w:name="_Toc15396618"/>
    </w:p>
    <w:p>
      <w:pPr>
        <w:widowControl/>
        <w:spacing w:line="600" w:lineRule="exact"/>
        <w:ind w:right="424"/>
        <w:rPr>
          <w:rFonts w:ascii="仿宋_GB2312" w:hAnsi="仿宋_GB2312" w:eastAsia="仿宋_GB2312" w:cs="仿宋_GB2312"/>
          <w:sz w:val="32"/>
          <w:szCs w:val="32"/>
        </w:rPr>
      </w:pPr>
    </w:p>
    <w:p>
      <w:pPr>
        <w:pStyle w:val="7"/>
        <w:ind w:left="0" w:leftChars="0" w:firstLine="0" w:firstLineChars="0"/>
        <w:rPr>
          <w:rFonts w:ascii="Times New Roman" w:eastAsia="黑体"/>
          <w:sz w:val="24"/>
          <w:szCs w:val="24"/>
        </w:rPr>
      </w:pPr>
      <w:r>
        <w:rPr>
          <w:color w:val="000000"/>
          <w:kern w:val="0"/>
          <w:shd w:val="clear" w:color="auto" w:fill="FFFFFF"/>
        </w:rPr>
        <w:br w:type="page"/>
      </w:r>
    </w:p>
    <w:p>
      <w:pPr>
        <w:pStyle w:val="2"/>
        <w:spacing w:before="93"/>
      </w:pPr>
    </w:p>
    <w:p>
      <w:pPr>
        <w:spacing w:line="600" w:lineRule="exact"/>
        <w:jc w:val="center"/>
        <w:outlineLvl w:val="0"/>
        <w:rPr>
          <w:rFonts w:ascii="仿宋" w:hAnsi="仿宋" w:eastAsia="仿宋"/>
        </w:rPr>
      </w:pPr>
      <w:bookmarkStart w:id="83" w:name="_Toc2527"/>
      <w:r>
        <w:rPr>
          <w:rFonts w:hint="eastAsia" w:ascii="黑体" w:hAnsi="黑体" w:eastAsia="黑体"/>
          <w:sz w:val="44"/>
          <w:szCs w:val="44"/>
        </w:rPr>
        <w:t>第</w:t>
      </w:r>
      <w:r>
        <w:rPr>
          <w:rStyle w:val="19"/>
          <w:rFonts w:hint="eastAsia" w:ascii="黑体" w:hAnsi="黑体" w:eastAsia="黑体"/>
          <w:b w:val="0"/>
        </w:rPr>
        <w:t>五部分 附表</w:t>
      </w:r>
      <w:bookmarkEnd w:id="77"/>
      <w:bookmarkEnd w:id="82"/>
      <w:bookmarkEnd w:id="83"/>
      <w:bookmarkStart w:id="84" w:name="_Toc15396619"/>
    </w:p>
    <w:p>
      <w:pPr>
        <w:pStyle w:val="4"/>
        <w:rPr>
          <w:rFonts w:ascii="仿宋" w:hAnsi="仿宋" w:eastAsia="仿宋"/>
        </w:rPr>
      </w:pPr>
      <w:bookmarkStart w:id="85" w:name="_Toc21356"/>
      <w:r>
        <w:rPr>
          <w:rFonts w:hint="eastAsia" w:ascii="仿宋" w:hAnsi="仿宋" w:eastAsia="仿宋"/>
          <w:b w:val="0"/>
        </w:rPr>
        <w:t>一、收</w:t>
      </w:r>
      <w:r>
        <w:rPr>
          <w:rStyle w:val="20"/>
          <w:rFonts w:hint="eastAsia" w:ascii="仿宋" w:hAnsi="仿宋" w:eastAsia="仿宋"/>
          <w:b w:val="0"/>
          <w:bCs w:val="0"/>
        </w:rPr>
        <w:t>入支出决算总表</w:t>
      </w:r>
      <w:bookmarkEnd w:id="84"/>
      <w:bookmarkEnd w:id="85"/>
    </w:p>
    <w:p>
      <w:pPr>
        <w:pStyle w:val="4"/>
        <w:rPr>
          <w:rFonts w:ascii="仿宋" w:hAnsi="仿宋" w:eastAsia="仿宋"/>
        </w:rPr>
      </w:pPr>
      <w:bookmarkStart w:id="86" w:name="_Toc15396620"/>
      <w:bookmarkStart w:id="87" w:name="_Toc18342"/>
      <w:r>
        <w:rPr>
          <w:rFonts w:hint="eastAsia" w:ascii="仿宋" w:hAnsi="仿宋" w:eastAsia="仿宋"/>
          <w:b w:val="0"/>
        </w:rPr>
        <w:t>二、收</w:t>
      </w:r>
      <w:r>
        <w:rPr>
          <w:rStyle w:val="20"/>
          <w:rFonts w:hint="eastAsia" w:ascii="仿宋" w:hAnsi="仿宋" w:eastAsia="仿宋"/>
          <w:b w:val="0"/>
          <w:bCs w:val="0"/>
        </w:rPr>
        <w:t>入决算表</w:t>
      </w:r>
      <w:bookmarkEnd w:id="86"/>
      <w:bookmarkEnd w:id="87"/>
    </w:p>
    <w:p>
      <w:pPr>
        <w:pStyle w:val="4"/>
        <w:rPr>
          <w:rFonts w:ascii="仿宋" w:hAnsi="仿宋" w:eastAsia="仿宋"/>
        </w:rPr>
      </w:pPr>
      <w:bookmarkStart w:id="88" w:name="_Toc2699"/>
      <w:bookmarkStart w:id="89" w:name="_Toc15396621"/>
      <w:r>
        <w:rPr>
          <w:rStyle w:val="20"/>
          <w:rFonts w:hint="eastAsia" w:ascii="仿宋" w:hAnsi="仿宋" w:eastAsia="仿宋"/>
          <w:b w:val="0"/>
          <w:bCs w:val="0"/>
        </w:rPr>
        <w:t>三、</w:t>
      </w:r>
      <w:r>
        <w:rPr>
          <w:rFonts w:hint="eastAsia" w:ascii="仿宋" w:hAnsi="仿宋" w:eastAsia="仿宋"/>
          <w:b w:val="0"/>
        </w:rPr>
        <w:t>支</w:t>
      </w:r>
      <w:r>
        <w:rPr>
          <w:rStyle w:val="20"/>
          <w:rFonts w:hint="eastAsia" w:ascii="仿宋" w:hAnsi="仿宋" w:eastAsia="仿宋"/>
          <w:b w:val="0"/>
          <w:bCs w:val="0"/>
        </w:rPr>
        <w:t>出决算表</w:t>
      </w:r>
      <w:bookmarkEnd w:id="88"/>
      <w:bookmarkEnd w:id="89"/>
    </w:p>
    <w:p>
      <w:pPr>
        <w:pStyle w:val="4"/>
        <w:rPr>
          <w:rFonts w:ascii="仿宋" w:hAnsi="仿宋" w:eastAsia="仿宋"/>
          <w:b w:val="0"/>
        </w:rPr>
      </w:pPr>
      <w:bookmarkStart w:id="90" w:name="_Toc27793"/>
      <w:bookmarkStart w:id="91" w:name="_Toc15396622"/>
      <w:r>
        <w:rPr>
          <w:rStyle w:val="20"/>
          <w:rFonts w:hint="eastAsia" w:ascii="仿宋" w:hAnsi="仿宋" w:eastAsia="仿宋"/>
          <w:b w:val="0"/>
          <w:bCs w:val="0"/>
        </w:rPr>
        <w:t>四、</w:t>
      </w:r>
      <w:r>
        <w:rPr>
          <w:rFonts w:hint="eastAsia" w:ascii="仿宋" w:hAnsi="仿宋" w:eastAsia="仿宋"/>
          <w:b w:val="0"/>
        </w:rPr>
        <w:t>财</w:t>
      </w:r>
      <w:r>
        <w:rPr>
          <w:rStyle w:val="20"/>
          <w:rFonts w:hint="eastAsia" w:ascii="仿宋" w:hAnsi="仿宋" w:eastAsia="仿宋"/>
          <w:b w:val="0"/>
          <w:bCs w:val="0"/>
        </w:rPr>
        <w:t>政拨款收入支出决算总表</w:t>
      </w:r>
      <w:bookmarkEnd w:id="90"/>
      <w:bookmarkEnd w:id="91"/>
    </w:p>
    <w:p>
      <w:pPr>
        <w:pStyle w:val="4"/>
        <w:rPr>
          <w:rStyle w:val="20"/>
          <w:rFonts w:ascii="仿宋" w:hAnsi="仿宋" w:eastAsia="仿宋"/>
          <w:b w:val="0"/>
          <w:bCs w:val="0"/>
        </w:rPr>
      </w:pPr>
      <w:bookmarkStart w:id="92" w:name="_Toc15396623"/>
      <w:bookmarkStart w:id="93" w:name="_Toc27151"/>
      <w:r>
        <w:rPr>
          <w:rStyle w:val="20"/>
          <w:rFonts w:hint="eastAsia" w:ascii="仿宋" w:hAnsi="仿宋" w:eastAsia="仿宋"/>
          <w:b w:val="0"/>
          <w:bCs w:val="0"/>
        </w:rPr>
        <w:t>五、</w:t>
      </w:r>
      <w:r>
        <w:rPr>
          <w:rFonts w:hint="eastAsia" w:ascii="仿宋" w:hAnsi="仿宋" w:eastAsia="仿宋"/>
          <w:b w:val="0"/>
        </w:rPr>
        <w:t>财</w:t>
      </w:r>
      <w:r>
        <w:rPr>
          <w:rStyle w:val="20"/>
          <w:rFonts w:hint="eastAsia" w:ascii="仿宋" w:hAnsi="仿宋" w:eastAsia="仿宋"/>
          <w:b w:val="0"/>
          <w:bCs w:val="0"/>
        </w:rPr>
        <w:t>政拨款支出决算明细表</w:t>
      </w:r>
      <w:bookmarkEnd w:id="92"/>
      <w:bookmarkEnd w:id="93"/>
      <w:bookmarkStart w:id="94" w:name="_Toc15396624"/>
    </w:p>
    <w:p>
      <w:pPr>
        <w:pStyle w:val="4"/>
        <w:rPr>
          <w:rFonts w:ascii="仿宋" w:hAnsi="仿宋" w:eastAsia="仿宋"/>
        </w:rPr>
      </w:pPr>
      <w:bookmarkStart w:id="95" w:name="_Toc23509"/>
      <w:r>
        <w:rPr>
          <w:rStyle w:val="20"/>
          <w:rFonts w:hint="eastAsia" w:ascii="仿宋" w:hAnsi="仿宋" w:eastAsia="仿宋"/>
          <w:b w:val="0"/>
          <w:bCs w:val="0"/>
        </w:rPr>
        <w:t>六、</w:t>
      </w:r>
      <w:r>
        <w:rPr>
          <w:rFonts w:hint="eastAsia" w:ascii="仿宋" w:hAnsi="仿宋" w:eastAsia="仿宋"/>
          <w:b w:val="0"/>
        </w:rPr>
        <w:t>一</w:t>
      </w:r>
      <w:r>
        <w:rPr>
          <w:rStyle w:val="20"/>
          <w:rFonts w:hint="eastAsia" w:ascii="仿宋" w:hAnsi="仿宋" w:eastAsia="仿宋"/>
          <w:b w:val="0"/>
          <w:bCs w:val="0"/>
        </w:rPr>
        <w:t>般公共预算财政拨款支出决算表</w:t>
      </w:r>
      <w:bookmarkEnd w:id="94"/>
      <w:bookmarkEnd w:id="95"/>
    </w:p>
    <w:p>
      <w:pPr>
        <w:pStyle w:val="4"/>
        <w:rPr>
          <w:rFonts w:ascii="仿宋" w:hAnsi="仿宋" w:eastAsia="仿宋"/>
        </w:rPr>
      </w:pPr>
      <w:bookmarkStart w:id="96" w:name="_Toc2295"/>
      <w:bookmarkStart w:id="97" w:name="_Toc15396625"/>
      <w:r>
        <w:rPr>
          <w:rStyle w:val="20"/>
          <w:rFonts w:hint="eastAsia" w:ascii="仿宋" w:hAnsi="仿宋" w:eastAsia="仿宋"/>
          <w:b w:val="0"/>
          <w:bCs w:val="0"/>
        </w:rPr>
        <w:t>七、</w:t>
      </w:r>
      <w:r>
        <w:rPr>
          <w:rFonts w:hint="eastAsia" w:ascii="仿宋" w:hAnsi="仿宋" w:eastAsia="仿宋"/>
          <w:b w:val="0"/>
        </w:rPr>
        <w:t>一</w:t>
      </w:r>
      <w:r>
        <w:rPr>
          <w:rStyle w:val="20"/>
          <w:rFonts w:hint="eastAsia" w:ascii="仿宋" w:hAnsi="仿宋" w:eastAsia="仿宋"/>
          <w:b w:val="0"/>
          <w:bCs w:val="0"/>
        </w:rPr>
        <w:t>般公共预算财政拨款支出决算明细表</w:t>
      </w:r>
      <w:bookmarkEnd w:id="96"/>
      <w:bookmarkEnd w:id="97"/>
    </w:p>
    <w:p>
      <w:pPr>
        <w:pStyle w:val="4"/>
        <w:rPr>
          <w:rFonts w:ascii="仿宋" w:hAnsi="仿宋" w:eastAsia="仿宋"/>
        </w:rPr>
      </w:pPr>
      <w:bookmarkStart w:id="98" w:name="_Toc15396626"/>
      <w:bookmarkStart w:id="99" w:name="_Toc30371"/>
      <w:r>
        <w:rPr>
          <w:rStyle w:val="20"/>
          <w:rFonts w:hint="eastAsia" w:ascii="仿宋" w:hAnsi="仿宋" w:eastAsia="仿宋"/>
          <w:b w:val="0"/>
          <w:bCs w:val="0"/>
        </w:rPr>
        <w:t>八、</w:t>
      </w:r>
      <w:r>
        <w:rPr>
          <w:rFonts w:hint="eastAsia" w:ascii="仿宋" w:hAnsi="仿宋" w:eastAsia="仿宋"/>
          <w:b w:val="0"/>
        </w:rPr>
        <w:t>一</w:t>
      </w:r>
      <w:r>
        <w:rPr>
          <w:rStyle w:val="20"/>
          <w:rFonts w:hint="eastAsia" w:ascii="仿宋" w:hAnsi="仿宋" w:eastAsia="仿宋"/>
          <w:b w:val="0"/>
          <w:bCs w:val="0"/>
        </w:rPr>
        <w:t>般公共预算财政拨款基本支出决算表</w:t>
      </w:r>
      <w:bookmarkEnd w:id="98"/>
      <w:bookmarkEnd w:id="99"/>
    </w:p>
    <w:p>
      <w:pPr>
        <w:pStyle w:val="4"/>
        <w:rPr>
          <w:rFonts w:ascii="仿宋" w:hAnsi="仿宋" w:eastAsia="仿宋"/>
        </w:rPr>
      </w:pPr>
      <w:bookmarkStart w:id="100" w:name="_Toc15396627"/>
      <w:bookmarkStart w:id="101" w:name="_Toc6423"/>
      <w:r>
        <w:rPr>
          <w:rStyle w:val="20"/>
          <w:rFonts w:hint="eastAsia" w:ascii="仿宋" w:hAnsi="仿宋" w:eastAsia="仿宋"/>
          <w:b w:val="0"/>
          <w:bCs w:val="0"/>
        </w:rPr>
        <w:t>九、</w:t>
      </w:r>
      <w:r>
        <w:rPr>
          <w:rFonts w:hint="eastAsia" w:ascii="仿宋" w:hAnsi="仿宋" w:eastAsia="仿宋"/>
          <w:b w:val="0"/>
        </w:rPr>
        <w:t>一</w:t>
      </w:r>
      <w:r>
        <w:rPr>
          <w:rStyle w:val="20"/>
          <w:rFonts w:hint="eastAsia" w:ascii="仿宋" w:hAnsi="仿宋" w:eastAsia="仿宋"/>
          <w:b w:val="0"/>
          <w:bCs w:val="0"/>
        </w:rPr>
        <w:t>般公共预算财政拨款项目支出决算表</w:t>
      </w:r>
      <w:bookmarkEnd w:id="100"/>
      <w:bookmarkEnd w:id="101"/>
    </w:p>
    <w:p>
      <w:pPr>
        <w:pStyle w:val="4"/>
        <w:rPr>
          <w:rFonts w:ascii="仿宋" w:hAnsi="仿宋" w:eastAsia="仿宋"/>
        </w:rPr>
      </w:pPr>
      <w:bookmarkStart w:id="102" w:name="_Toc15396628"/>
      <w:bookmarkStart w:id="103" w:name="_Toc20292"/>
      <w:r>
        <w:rPr>
          <w:rStyle w:val="20"/>
          <w:rFonts w:hint="eastAsia" w:ascii="仿宋" w:hAnsi="仿宋" w:eastAsia="仿宋"/>
          <w:b w:val="0"/>
          <w:bCs w:val="0"/>
        </w:rPr>
        <w:t>十、</w:t>
      </w:r>
      <w:bookmarkEnd w:id="102"/>
      <w:r>
        <w:rPr>
          <w:rFonts w:hint="eastAsia" w:ascii="仿宋" w:hAnsi="仿宋" w:eastAsia="仿宋"/>
          <w:b w:val="0"/>
        </w:rPr>
        <w:t>政</w:t>
      </w:r>
      <w:r>
        <w:rPr>
          <w:rStyle w:val="20"/>
          <w:rFonts w:hint="eastAsia" w:ascii="仿宋" w:hAnsi="仿宋" w:eastAsia="仿宋"/>
          <w:b w:val="0"/>
          <w:bCs w:val="0"/>
        </w:rPr>
        <w:t>府性基金预算财政拨款收入支出决算表</w:t>
      </w:r>
      <w:bookmarkEnd w:id="103"/>
    </w:p>
    <w:p>
      <w:pPr>
        <w:pStyle w:val="4"/>
        <w:rPr>
          <w:rFonts w:ascii="仿宋" w:hAnsi="仿宋" w:eastAsia="仿宋"/>
        </w:rPr>
      </w:pPr>
      <w:bookmarkStart w:id="104" w:name="_Toc15396629"/>
      <w:bookmarkStart w:id="105" w:name="_Toc29774"/>
      <w:r>
        <w:rPr>
          <w:rStyle w:val="20"/>
          <w:rFonts w:hint="eastAsia" w:ascii="仿宋" w:hAnsi="仿宋" w:eastAsia="仿宋"/>
          <w:b w:val="0"/>
          <w:bCs w:val="0"/>
        </w:rPr>
        <w:t>十一、</w:t>
      </w:r>
      <w:bookmarkEnd w:id="104"/>
      <w:r>
        <w:rPr>
          <w:rFonts w:hint="eastAsia" w:ascii="仿宋" w:hAnsi="仿宋" w:eastAsia="仿宋"/>
          <w:b w:val="0"/>
        </w:rPr>
        <w:t>国</w:t>
      </w:r>
      <w:r>
        <w:rPr>
          <w:rStyle w:val="20"/>
          <w:rFonts w:hint="eastAsia" w:ascii="仿宋" w:hAnsi="仿宋" w:eastAsia="仿宋"/>
          <w:b w:val="0"/>
          <w:bCs w:val="0"/>
        </w:rPr>
        <w:t>有资本经营预算财政拨款收入支出决算表</w:t>
      </w:r>
      <w:bookmarkEnd w:id="105"/>
    </w:p>
    <w:p>
      <w:pPr>
        <w:pStyle w:val="4"/>
        <w:rPr>
          <w:rFonts w:ascii="仿宋" w:hAnsi="仿宋" w:eastAsia="仿宋"/>
        </w:rPr>
      </w:pPr>
      <w:bookmarkStart w:id="106" w:name="_Toc15396630"/>
      <w:bookmarkStart w:id="107" w:name="_Toc3565"/>
      <w:r>
        <w:rPr>
          <w:rStyle w:val="20"/>
          <w:rFonts w:hint="eastAsia" w:ascii="仿宋" w:hAnsi="仿宋" w:eastAsia="仿宋"/>
          <w:b w:val="0"/>
          <w:bCs w:val="0"/>
        </w:rPr>
        <w:t>十二、</w:t>
      </w:r>
      <w:bookmarkEnd w:id="106"/>
      <w:r>
        <w:rPr>
          <w:rStyle w:val="20"/>
          <w:rFonts w:hint="eastAsia" w:ascii="仿宋" w:hAnsi="仿宋" w:eastAsia="仿宋"/>
          <w:b w:val="0"/>
          <w:bCs w:val="0"/>
        </w:rPr>
        <w:t>国有资本经营预算财政拨款支出决算表</w:t>
      </w:r>
      <w:bookmarkEnd w:id="107"/>
    </w:p>
    <w:p>
      <w:pPr>
        <w:pStyle w:val="4"/>
        <w:rPr>
          <w:rFonts w:eastAsia="仿宋"/>
        </w:rPr>
      </w:pPr>
      <w:bookmarkStart w:id="108" w:name="_Toc15396631"/>
      <w:bookmarkStart w:id="109" w:name="_Toc18570"/>
      <w:r>
        <w:rPr>
          <w:rStyle w:val="20"/>
          <w:rFonts w:hint="eastAsia" w:ascii="仿宋" w:hAnsi="仿宋" w:eastAsia="仿宋"/>
          <w:b w:val="0"/>
          <w:bCs w:val="0"/>
        </w:rPr>
        <w:t>十三、</w:t>
      </w:r>
      <w:bookmarkEnd w:id="108"/>
      <w:r>
        <w:rPr>
          <w:rStyle w:val="20"/>
          <w:rFonts w:hint="eastAsia" w:ascii="仿宋" w:hAnsi="仿宋" w:eastAsia="仿宋"/>
          <w:b w:val="0"/>
          <w:bCs w:val="0"/>
        </w:rPr>
        <w:t>财政拨款“三公”经费支出决算表</w:t>
      </w:r>
      <w:bookmarkEnd w:id="109"/>
    </w:p>
    <w:sectPr>
      <w:footerReference r:id="rId5" w:type="first"/>
      <w:footerReference r:id="rId4"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仿宋简体">
    <w:panose1 w:val="03000509000000000000"/>
    <w:charset w:val="86"/>
    <w:family w:val="script"/>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D2028509"/>
    <w:multiLevelType w:val="singleLevel"/>
    <w:tmpl w:val="D2028509"/>
    <w:lvl w:ilvl="0" w:tentative="0">
      <w:start w:val="2"/>
      <w:numFmt w:val="chineseCounting"/>
      <w:suff w:val="space"/>
      <w:lvlText w:val="第%1部分"/>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0F6D7F"/>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4A19"/>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D5CCE"/>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85B23"/>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29E8"/>
    <w:rsid w:val="00A733B2"/>
    <w:rsid w:val="00A741C2"/>
    <w:rsid w:val="00A91760"/>
    <w:rsid w:val="00A93B00"/>
    <w:rsid w:val="00A93C21"/>
    <w:rsid w:val="00AB64C9"/>
    <w:rsid w:val="00AC3C6A"/>
    <w:rsid w:val="00AD5620"/>
    <w:rsid w:val="00AD656B"/>
    <w:rsid w:val="00AD7BC0"/>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B7657"/>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176EA7"/>
    <w:rsid w:val="013730A5"/>
    <w:rsid w:val="01C012ED"/>
    <w:rsid w:val="02C866AB"/>
    <w:rsid w:val="03DC2831"/>
    <w:rsid w:val="056D353A"/>
    <w:rsid w:val="05C34013"/>
    <w:rsid w:val="06936492"/>
    <w:rsid w:val="081B5E94"/>
    <w:rsid w:val="08E73603"/>
    <w:rsid w:val="09622B56"/>
    <w:rsid w:val="0A2032A3"/>
    <w:rsid w:val="0ACC0D02"/>
    <w:rsid w:val="0B8A37D8"/>
    <w:rsid w:val="0BD936D7"/>
    <w:rsid w:val="0C2F2478"/>
    <w:rsid w:val="0D662D48"/>
    <w:rsid w:val="0D927FE1"/>
    <w:rsid w:val="0E016F15"/>
    <w:rsid w:val="0EFE371F"/>
    <w:rsid w:val="0F5FFB2F"/>
    <w:rsid w:val="0FBA381F"/>
    <w:rsid w:val="0FDF6DE2"/>
    <w:rsid w:val="0FFFCF60"/>
    <w:rsid w:val="10A2678D"/>
    <w:rsid w:val="10C055FF"/>
    <w:rsid w:val="114F61E9"/>
    <w:rsid w:val="118107EC"/>
    <w:rsid w:val="11DD6519"/>
    <w:rsid w:val="12015736"/>
    <w:rsid w:val="13B642FE"/>
    <w:rsid w:val="146401FE"/>
    <w:rsid w:val="16BB723D"/>
    <w:rsid w:val="174560C4"/>
    <w:rsid w:val="18015F3F"/>
    <w:rsid w:val="18245CDA"/>
    <w:rsid w:val="184E065C"/>
    <w:rsid w:val="186B1B5B"/>
    <w:rsid w:val="190B6E9A"/>
    <w:rsid w:val="1A8A4074"/>
    <w:rsid w:val="1BE8440E"/>
    <w:rsid w:val="1C4A5F2B"/>
    <w:rsid w:val="1D155CEE"/>
    <w:rsid w:val="1E86536F"/>
    <w:rsid w:val="1FDBBF84"/>
    <w:rsid w:val="20BE2A44"/>
    <w:rsid w:val="20EC5803"/>
    <w:rsid w:val="20F57F95"/>
    <w:rsid w:val="21F11323"/>
    <w:rsid w:val="22E26EBD"/>
    <w:rsid w:val="22F4274D"/>
    <w:rsid w:val="235D4796"/>
    <w:rsid w:val="240371BF"/>
    <w:rsid w:val="24280900"/>
    <w:rsid w:val="25711CC6"/>
    <w:rsid w:val="25C741E6"/>
    <w:rsid w:val="27491812"/>
    <w:rsid w:val="276F80C0"/>
    <w:rsid w:val="27842671"/>
    <w:rsid w:val="27FF6430"/>
    <w:rsid w:val="285048C9"/>
    <w:rsid w:val="29073CA5"/>
    <w:rsid w:val="29622B06"/>
    <w:rsid w:val="29FD04D3"/>
    <w:rsid w:val="2A197628"/>
    <w:rsid w:val="2ABE7A3E"/>
    <w:rsid w:val="2AFF09B6"/>
    <w:rsid w:val="2B964CE9"/>
    <w:rsid w:val="2C475FE3"/>
    <w:rsid w:val="2CA234A8"/>
    <w:rsid w:val="2D1265F1"/>
    <w:rsid w:val="2EFA178C"/>
    <w:rsid w:val="2EFDF86C"/>
    <w:rsid w:val="2F542EF1"/>
    <w:rsid w:val="2F7D2448"/>
    <w:rsid w:val="2F9D17E1"/>
    <w:rsid w:val="306E7FE2"/>
    <w:rsid w:val="30777956"/>
    <w:rsid w:val="30B46D73"/>
    <w:rsid w:val="319F7F4E"/>
    <w:rsid w:val="343C2E00"/>
    <w:rsid w:val="356A28F1"/>
    <w:rsid w:val="357C035A"/>
    <w:rsid w:val="36873BAC"/>
    <w:rsid w:val="368E000D"/>
    <w:rsid w:val="36BE6EA2"/>
    <w:rsid w:val="383D272C"/>
    <w:rsid w:val="39AE70AB"/>
    <w:rsid w:val="3A4DCE41"/>
    <w:rsid w:val="3BCB56FA"/>
    <w:rsid w:val="3C0C0783"/>
    <w:rsid w:val="3C4816E7"/>
    <w:rsid w:val="3C925059"/>
    <w:rsid w:val="3DB57251"/>
    <w:rsid w:val="3EE7C2F4"/>
    <w:rsid w:val="3EF1250A"/>
    <w:rsid w:val="3F371B56"/>
    <w:rsid w:val="3F792ED8"/>
    <w:rsid w:val="3F8F3AD1"/>
    <w:rsid w:val="3F9F3A96"/>
    <w:rsid w:val="3FECA4B2"/>
    <w:rsid w:val="3FF58C48"/>
    <w:rsid w:val="406562ED"/>
    <w:rsid w:val="410F4ECA"/>
    <w:rsid w:val="41C51A2C"/>
    <w:rsid w:val="42FF6694"/>
    <w:rsid w:val="43E97C54"/>
    <w:rsid w:val="450B1E4C"/>
    <w:rsid w:val="450D7972"/>
    <w:rsid w:val="455475CD"/>
    <w:rsid w:val="48BF60AB"/>
    <w:rsid w:val="493C27E9"/>
    <w:rsid w:val="496F39ED"/>
    <w:rsid w:val="49D4280C"/>
    <w:rsid w:val="49FF41D3"/>
    <w:rsid w:val="4BC13810"/>
    <w:rsid w:val="4BE068DB"/>
    <w:rsid w:val="4BF6002B"/>
    <w:rsid w:val="4BFFC6BE"/>
    <w:rsid w:val="4D241CFD"/>
    <w:rsid w:val="4ECE2238"/>
    <w:rsid w:val="4FA17635"/>
    <w:rsid w:val="4FFD86C6"/>
    <w:rsid w:val="50C64E79"/>
    <w:rsid w:val="51DB4B86"/>
    <w:rsid w:val="51F06651"/>
    <w:rsid w:val="51F64DB0"/>
    <w:rsid w:val="52927709"/>
    <w:rsid w:val="55333C3E"/>
    <w:rsid w:val="55983288"/>
    <w:rsid w:val="55B42DB1"/>
    <w:rsid w:val="59AC10B0"/>
    <w:rsid w:val="5A094754"/>
    <w:rsid w:val="5A2C0443"/>
    <w:rsid w:val="5D5512BF"/>
    <w:rsid w:val="5EFF6632"/>
    <w:rsid w:val="5F622211"/>
    <w:rsid w:val="5F67802D"/>
    <w:rsid w:val="5F7C7776"/>
    <w:rsid w:val="5F7DC4F2"/>
    <w:rsid w:val="5FB36814"/>
    <w:rsid w:val="5FBB8E56"/>
    <w:rsid w:val="5FFB5535"/>
    <w:rsid w:val="62141EE8"/>
    <w:rsid w:val="63FE1B48"/>
    <w:rsid w:val="63FE4DFD"/>
    <w:rsid w:val="64104931"/>
    <w:rsid w:val="646E664C"/>
    <w:rsid w:val="64CA39A1"/>
    <w:rsid w:val="65B85280"/>
    <w:rsid w:val="6626043C"/>
    <w:rsid w:val="667B0788"/>
    <w:rsid w:val="66E83943"/>
    <w:rsid w:val="66FB71D3"/>
    <w:rsid w:val="679F04A6"/>
    <w:rsid w:val="69630ADE"/>
    <w:rsid w:val="69BD5F13"/>
    <w:rsid w:val="69FB0B4B"/>
    <w:rsid w:val="6BA56D33"/>
    <w:rsid w:val="6BFFE1FB"/>
    <w:rsid w:val="6C4A05C8"/>
    <w:rsid w:val="6D3B1A89"/>
    <w:rsid w:val="6DB7D8A3"/>
    <w:rsid w:val="6EC78701"/>
    <w:rsid w:val="6EFE2AA8"/>
    <w:rsid w:val="6F6A75EB"/>
    <w:rsid w:val="6F7A5481"/>
    <w:rsid w:val="6FFE07A9"/>
    <w:rsid w:val="71467BE4"/>
    <w:rsid w:val="718A5D23"/>
    <w:rsid w:val="71BF4EC2"/>
    <w:rsid w:val="72005FE5"/>
    <w:rsid w:val="72734D90"/>
    <w:rsid w:val="73446F12"/>
    <w:rsid w:val="73463ECB"/>
    <w:rsid w:val="7386076C"/>
    <w:rsid w:val="73E75B71"/>
    <w:rsid w:val="7412278C"/>
    <w:rsid w:val="748B46A3"/>
    <w:rsid w:val="749173C8"/>
    <w:rsid w:val="75DDCDA9"/>
    <w:rsid w:val="75FF44B1"/>
    <w:rsid w:val="77670518"/>
    <w:rsid w:val="777FA627"/>
    <w:rsid w:val="77DF1B5F"/>
    <w:rsid w:val="77EF2D9D"/>
    <w:rsid w:val="78EA2879"/>
    <w:rsid w:val="798474FC"/>
    <w:rsid w:val="79E7B28D"/>
    <w:rsid w:val="7A545120"/>
    <w:rsid w:val="7ACFF0C2"/>
    <w:rsid w:val="7AFB9108"/>
    <w:rsid w:val="7BD5340C"/>
    <w:rsid w:val="7BFB19D2"/>
    <w:rsid w:val="7BFD1750"/>
    <w:rsid w:val="7BFDAA1B"/>
    <w:rsid w:val="7C8415C1"/>
    <w:rsid w:val="7CDF9A82"/>
    <w:rsid w:val="7CFFA1BD"/>
    <w:rsid w:val="7D2E3F7A"/>
    <w:rsid w:val="7DED9490"/>
    <w:rsid w:val="7DF8DDB0"/>
    <w:rsid w:val="7DFF4872"/>
    <w:rsid w:val="7E7487E6"/>
    <w:rsid w:val="7E7C2A54"/>
    <w:rsid w:val="7ED14F91"/>
    <w:rsid w:val="7EEEFD72"/>
    <w:rsid w:val="7F01339C"/>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9E1262"/>
    <w:rsid w:val="97E77C70"/>
    <w:rsid w:val="9E3A10E2"/>
    <w:rsid w:val="9FB91FBD"/>
    <w:rsid w:val="9FD54998"/>
    <w:rsid w:val="A671883B"/>
    <w:rsid w:val="A7EFD17F"/>
    <w:rsid w:val="A7FFE43F"/>
    <w:rsid w:val="BBFF09FC"/>
    <w:rsid w:val="BDFEA317"/>
    <w:rsid w:val="BFBD1581"/>
    <w:rsid w:val="CD9BBABB"/>
    <w:rsid w:val="CF99F292"/>
    <w:rsid w:val="D5DA60B3"/>
    <w:rsid w:val="D7C6F579"/>
    <w:rsid w:val="D8FECA92"/>
    <w:rsid w:val="DAFFBE66"/>
    <w:rsid w:val="DD2C0BFE"/>
    <w:rsid w:val="DE3F332B"/>
    <w:rsid w:val="DE6F4A3D"/>
    <w:rsid w:val="DF63B7EA"/>
    <w:rsid w:val="DF69F8B0"/>
    <w:rsid w:val="DFC71555"/>
    <w:rsid w:val="DFDF08D9"/>
    <w:rsid w:val="DFFC559C"/>
    <w:rsid w:val="DFFEDFAE"/>
    <w:rsid w:val="DFFFB5EB"/>
    <w:rsid w:val="E4B33E57"/>
    <w:rsid w:val="E5BF946A"/>
    <w:rsid w:val="EB39BD45"/>
    <w:rsid w:val="EBCF1FC2"/>
    <w:rsid w:val="EBD18F66"/>
    <w:rsid w:val="ECEFA26E"/>
    <w:rsid w:val="ED17392C"/>
    <w:rsid w:val="ED9FFD9A"/>
    <w:rsid w:val="EDB7968B"/>
    <w:rsid w:val="EEF73F60"/>
    <w:rsid w:val="EFED9E42"/>
    <w:rsid w:val="EFFFB194"/>
    <w:rsid w:val="F07D1C5A"/>
    <w:rsid w:val="F2E1F9D4"/>
    <w:rsid w:val="F5EE828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8"/>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unhideWhenUsed/>
    <w:qFormat/>
    <w:uiPriority w:val="99"/>
    <w:pPr>
      <w:widowControl/>
      <w:spacing w:before="100" w:beforeAutospacing="1" w:after="100" w:afterAutospacing="1"/>
    </w:pPr>
    <w:rPr>
      <w:rFonts w:ascii="宋体" w:hAnsi="宋体" w:cs="宋体"/>
    </w:r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rPr>
  </w:style>
  <w:style w:type="character" w:customStyle="1" w:styleId="19">
    <w:name w:val="标题 1 Char"/>
    <w:basedOn w:val="16"/>
    <w:link w:val="3"/>
    <w:qFormat/>
    <w:uiPriority w:val="9"/>
    <w:rPr>
      <w:rFonts w:ascii="Times New Roman" w:hAnsi="Times New Roman"/>
      <w:b/>
      <w:bCs/>
      <w:kern w:val="44"/>
      <w:sz w:val="44"/>
      <w:szCs w:val="44"/>
    </w:rPr>
  </w:style>
  <w:style w:type="character" w:customStyle="1" w:styleId="20">
    <w:name w:val="标题 2 Char"/>
    <w:basedOn w:val="16"/>
    <w:link w:val="4"/>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5"/>
    <w:qFormat/>
    <w:uiPriority w:val="9"/>
    <w:rPr>
      <w:rFonts w:ascii="Times New Roman" w:hAnsi="Times New Roman"/>
      <w:b/>
      <w:bCs/>
      <w:kern w:val="2"/>
      <w:sz w:val="32"/>
      <w:szCs w:val="32"/>
    </w:rPr>
  </w:style>
  <w:style w:type="paragraph" w:customStyle="1" w:styleId="2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3">
    <w:name w:val="Header Char"/>
    <w:basedOn w:val="16"/>
    <w:semiHidden/>
    <w:qFormat/>
    <w:uiPriority w:val="99"/>
    <w:rPr>
      <w:rFonts w:ascii="Times New Roman" w:hAnsi="Times New Roman"/>
      <w:sz w:val="18"/>
      <w:szCs w:val="18"/>
    </w:rPr>
  </w:style>
  <w:style w:type="character" w:customStyle="1" w:styleId="24">
    <w:name w:val="页眉 Char"/>
    <w:link w:val="11"/>
    <w:semiHidden/>
    <w:qFormat/>
    <w:locked/>
    <w:uiPriority w:val="99"/>
    <w:rPr>
      <w:sz w:val="18"/>
    </w:rPr>
  </w:style>
  <w:style w:type="character" w:customStyle="1" w:styleId="25">
    <w:name w:val="Footer Char"/>
    <w:basedOn w:val="16"/>
    <w:semiHidden/>
    <w:qFormat/>
    <w:uiPriority w:val="99"/>
    <w:rPr>
      <w:rFonts w:ascii="Times New Roman" w:hAnsi="Times New Roman"/>
      <w:sz w:val="18"/>
      <w:szCs w:val="18"/>
    </w:rPr>
  </w:style>
  <w:style w:type="character" w:customStyle="1" w:styleId="26">
    <w:name w:val="页脚 Char"/>
    <w:link w:val="10"/>
    <w:qFormat/>
    <w:locked/>
    <w:uiPriority w:val="99"/>
    <w:rPr>
      <w:sz w:val="18"/>
    </w:rPr>
  </w:style>
  <w:style w:type="character" w:customStyle="1" w:styleId="27">
    <w:name w:val="Body Text Char"/>
    <w:basedOn w:val="16"/>
    <w:semiHidden/>
    <w:qFormat/>
    <w:uiPriority w:val="99"/>
    <w:rPr>
      <w:rFonts w:ascii="Times New Roman" w:hAnsi="Times New Roman"/>
      <w:szCs w:val="24"/>
    </w:rPr>
  </w:style>
  <w:style w:type="character" w:customStyle="1" w:styleId="28">
    <w:name w:val="正文文本 Char"/>
    <w:link w:val="2"/>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2">
    <w:name w:val="批注框文本 Char"/>
    <w:basedOn w:val="16"/>
    <w:link w:val="9"/>
    <w:semiHidden/>
    <w:qFormat/>
    <w:uiPriority w:val="99"/>
    <w:rPr>
      <w:rFonts w:ascii="Times New Roman" w:hAnsi="Times New Roman"/>
      <w:kern w:val="2"/>
      <w:sz w:val="18"/>
      <w:szCs w:val="18"/>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6">
    <w:name w:val="常用样式（方正仿宋简）"/>
    <w:basedOn w:val="1"/>
    <w:qFormat/>
    <w:uiPriority w:val="0"/>
    <w:pPr>
      <w:spacing w:line="560" w:lineRule="exact"/>
      <w:ind w:firstLine="200" w:firstLineChars="200"/>
    </w:pPr>
    <w:rPr>
      <w:rFonts w:eastAsia="方正仿宋简体"/>
      <w:sz w:val="32"/>
    </w:rPr>
  </w:style>
  <w:style w:type="paragraph" w:customStyle="1" w:styleId="37">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trendline>
            <c:spPr>
              <a:ln w="19050" cap="rnd" cmpd="sng" algn="ctr">
                <a:solidFill>
                  <a:schemeClr val="accent1"/>
                </a:solidFill>
                <a:prstDash val="sysDot"/>
                <a:round/>
              </a:ln>
              <a:effectLst/>
            </c:spPr>
            <c:trendlineType val="linear"/>
            <c:dispRSqr val="false"/>
            <c:dispEq val="false"/>
          </c:trendline>
          <c:cat>
            <c:strRef>
              <c:f>Sheet1!$A$2:$A$3</c:f>
              <c:strCache>
                <c:ptCount val="2"/>
                <c:pt idx="0">
                  <c:v>2022年</c:v>
                </c:pt>
                <c:pt idx="1">
                  <c:v>2023年</c:v>
                </c:pt>
              </c:strCache>
            </c:strRef>
          </c:cat>
          <c:val>
            <c:numRef>
              <c:f>Sheet1!$B$2:$B$3</c:f>
              <c:numCache>
                <c:formatCode>General</c:formatCode>
                <c:ptCount val="2"/>
                <c:pt idx="0">
                  <c:v>755.99</c:v>
                </c:pt>
                <c:pt idx="1">
                  <c:v>660.86</c:v>
                </c:pt>
              </c:numCache>
            </c:numRef>
          </c:val>
        </c:ser>
        <c:dLbls>
          <c:showLegendKey val="false"/>
          <c:showVal val="true"/>
          <c:showCatName val="false"/>
          <c:showSerName val="false"/>
          <c:showPercent val="false"/>
          <c:showBubbleSize val="false"/>
        </c:dLbls>
        <c:gapWidth val="219"/>
        <c:overlap val="-27"/>
        <c:axId val="85872640"/>
        <c:axId val="85874176"/>
      </c:barChart>
      <c:catAx>
        <c:axId val="85872640"/>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5874176"/>
        <c:crosses val="autoZero"/>
        <c:auto val="true"/>
        <c:lblAlgn val="ctr"/>
        <c:lblOffset val="100"/>
        <c:noMultiLvlLbl val="false"/>
      </c:catAx>
      <c:valAx>
        <c:axId val="85874176"/>
        <c:scaling>
          <c:orientation val="minMax"/>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5872640"/>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explosion val="0"/>
          <c:dPt>
            <c:idx val="0"/>
            <c:bubble3D val="false"/>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一般公共预算财政拨款收入658.09万元</c:v>
                </c:pt>
              </c:strCache>
            </c:strRef>
          </c:cat>
          <c:val>
            <c:numRef>
              <c:f>Sheet1!$B$2</c:f>
              <c:numCache>
                <c:formatCode>General</c:formatCode>
                <c:ptCount val="1"/>
                <c:pt idx="0">
                  <c:v>658.09</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基本支出395.41万元</c:v>
                </c:pt>
                <c:pt idx="1">
                  <c:v>项目支出262.73万元</c:v>
                </c:pt>
              </c:strCache>
            </c:strRef>
          </c:cat>
          <c:val>
            <c:numRef>
              <c:f>Sheet1!$B$2:$B$3</c:f>
              <c:numCache>
                <c:formatCode>General</c:formatCode>
                <c:ptCount val="2"/>
                <c:pt idx="0">
                  <c:v>395.41</c:v>
                </c:pt>
                <c:pt idx="1">
                  <c:v>262.73</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187625"/>
          <c:y val="0.917833333333333"/>
          <c:w val="0.601625"/>
          <c:h val="0.0621666666666667"/>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trendline>
            <c:spPr>
              <a:ln w="19050" cap="rnd" cmpd="sng" algn="ctr">
                <a:solidFill>
                  <a:schemeClr val="accent1"/>
                </a:solidFill>
                <a:prstDash val="sysDot"/>
                <a:round/>
              </a:ln>
              <a:effectLst/>
            </c:spPr>
            <c:trendlineType val="linear"/>
            <c:dispRSqr val="false"/>
            <c:dispEq val="false"/>
          </c:trendline>
          <c:cat>
            <c:strRef>
              <c:f>Sheet1!$A$2:$A$3</c:f>
              <c:strCache>
                <c:ptCount val="2"/>
                <c:pt idx="0">
                  <c:v>2022年</c:v>
                </c:pt>
                <c:pt idx="1">
                  <c:v>2023年</c:v>
                </c:pt>
              </c:strCache>
            </c:strRef>
          </c:cat>
          <c:val>
            <c:numRef>
              <c:f>Sheet1!$B$2:$B$3</c:f>
              <c:numCache>
                <c:formatCode>General</c:formatCode>
                <c:ptCount val="2"/>
                <c:pt idx="0">
                  <c:v>743.3</c:v>
                </c:pt>
                <c:pt idx="1">
                  <c:v>660.86</c:v>
                </c:pt>
              </c:numCache>
            </c:numRef>
          </c:val>
        </c:ser>
        <c:dLbls>
          <c:showLegendKey val="false"/>
          <c:showVal val="true"/>
          <c:showCatName val="false"/>
          <c:showSerName val="false"/>
          <c:showPercent val="false"/>
          <c:showBubbleSize val="false"/>
        </c:dLbls>
        <c:gapWidth val="219"/>
        <c:overlap val="-27"/>
        <c:axId val="85899904"/>
        <c:axId val="86253952"/>
      </c:barChart>
      <c:catAx>
        <c:axId val="85899904"/>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6253952"/>
        <c:crosses val="autoZero"/>
        <c:auto val="true"/>
        <c:lblAlgn val="ctr"/>
        <c:lblOffset val="100"/>
        <c:noMultiLvlLbl val="false"/>
      </c:catAx>
      <c:valAx>
        <c:axId val="86253952"/>
        <c:scaling>
          <c:orientation val="minMax"/>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589990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trendline>
            <c:spPr>
              <a:ln w="19050" cap="rnd" cmpd="sng" algn="ctr">
                <a:solidFill>
                  <a:schemeClr val="accent1"/>
                </a:solidFill>
                <a:prstDash val="sysDot"/>
                <a:round/>
              </a:ln>
              <a:effectLst/>
            </c:spPr>
            <c:trendlineType val="linear"/>
            <c:dispRSqr val="false"/>
            <c:dispEq val="false"/>
          </c:trendline>
          <c:cat>
            <c:strRef>
              <c:f>Sheet1!$A$2:$A$3</c:f>
              <c:strCache>
                <c:ptCount val="2"/>
                <c:pt idx="0">
                  <c:v>2022年</c:v>
                </c:pt>
                <c:pt idx="1">
                  <c:v>2023年</c:v>
                </c:pt>
              </c:strCache>
            </c:strRef>
          </c:cat>
          <c:val>
            <c:numRef>
              <c:f>Sheet1!$B$2:$B$3</c:f>
              <c:numCache>
                <c:formatCode>General</c:formatCode>
                <c:ptCount val="2"/>
                <c:pt idx="0">
                  <c:v>740.52</c:v>
                </c:pt>
                <c:pt idx="1">
                  <c:v>658.14</c:v>
                </c:pt>
              </c:numCache>
            </c:numRef>
          </c:val>
        </c:ser>
        <c:dLbls>
          <c:showLegendKey val="false"/>
          <c:showVal val="true"/>
          <c:showCatName val="false"/>
          <c:showSerName val="false"/>
          <c:showPercent val="false"/>
          <c:showBubbleSize val="false"/>
        </c:dLbls>
        <c:gapWidth val="219"/>
        <c:overlap val="-27"/>
        <c:axId val="86638976"/>
        <c:axId val="86640512"/>
      </c:barChart>
      <c:catAx>
        <c:axId val="86638976"/>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6640512"/>
        <c:crosses val="autoZero"/>
        <c:auto val="true"/>
        <c:lblAlgn val="ctr"/>
        <c:lblOffset val="100"/>
        <c:noMultiLvlLbl val="false"/>
      </c:catAx>
      <c:valAx>
        <c:axId val="86640512"/>
        <c:scaling>
          <c:orientation val="minMax"/>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86638976"/>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Sheet1!$A$2:$A$5</c:f>
              <c:strCache>
                <c:ptCount val="4"/>
                <c:pt idx="0">
                  <c:v>教育支出552.24万元</c:v>
                </c:pt>
                <c:pt idx="1">
                  <c:v>社会保障和就业支出39.45万元</c:v>
                </c:pt>
                <c:pt idx="2">
                  <c:v>卫生健康支出33.11万元</c:v>
                </c:pt>
                <c:pt idx="3">
                  <c:v>住房保障支出33.34万元</c:v>
                </c:pt>
              </c:strCache>
            </c:strRef>
          </c:cat>
          <c:val>
            <c:numRef>
              <c:f>Sheet1!$B$2:$B$5</c:f>
              <c:numCache>
                <c:formatCode>General</c:formatCode>
                <c:ptCount val="4"/>
                <c:pt idx="0">
                  <c:v>552.24</c:v>
                </c:pt>
                <c:pt idx="1">
                  <c:v>39.45</c:v>
                </c:pt>
                <c:pt idx="2">
                  <c:v>33.11</c:v>
                </c:pt>
                <c:pt idx="3">
                  <c:v>33.34</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explosion val="0"/>
          <c:dPt>
            <c:idx val="0"/>
            <c:bubble3D val="false"/>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公务接待费支出决算0.08万元</c:v>
                </c:pt>
              </c:strCache>
            </c:strRef>
          </c:cat>
          <c:val>
            <c:numRef>
              <c:f>Sheet1!$B$2</c:f>
              <c:numCache>
                <c:formatCode>General</c:formatCode>
                <c:ptCount val="1"/>
                <c:pt idx="0">
                  <c:v>0.08</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16</Pages>
  <Words>9090</Words>
  <Characters>9859</Characters>
  <Lines>85</Lines>
  <Paragraphs>24</Paragraphs>
  <TotalTime>3</TotalTime>
  <ScaleCrop>false</ScaleCrop>
  <LinksUpToDate>false</LinksUpToDate>
  <CharactersWithSpaces>9968</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2024-10-10T12:38:00Z</dcterms:created>
  <dc:creator>曹颖</dc:creator>
  <cp:lastModifiedBy> </cp:lastModifiedBy>
  <cp:lastPrinted>2024-09-20T21:11:00Z</cp:lastPrinted>
  <dcterms:modified xsi:type="dcterms:W3CDTF">2024-10-16T15:51:20Z</dcterms:modified>
  <dc:title>四川省***</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F8837705263040C487F809723F9BACBF_13</vt:lpwstr>
  </property>
</Properties>
</file>