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bidi w:val="0"/>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lang w:val="en-US" w:eastAsia="zh-CN"/>
        </w:rPr>
      </w:pPr>
    </w:p>
    <w:p>
      <w:pPr>
        <w:suppressAutoHyphens/>
        <w:bidi w:val="0"/>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val="en-US" w:eastAsia="zh-CN"/>
        </w:rPr>
      </w:pPr>
      <w:bookmarkStart w:id="0" w:name="_Toc8540"/>
      <w:r>
        <w:rPr>
          <w:rFonts w:hint="eastAsia" w:ascii="方正小标宋简体" w:hAnsi="方正小标宋简体" w:eastAsia="方正小标宋简体" w:cs="方正小标宋简体"/>
          <w:color w:val="auto"/>
          <w:sz w:val="72"/>
          <w:szCs w:val="72"/>
          <w:highlight w:val="none"/>
          <w:lang w:val="en-US" w:eastAsia="zh-CN"/>
        </w:rPr>
        <w:t>2023年度广元市医学技术服务管理中心</w:t>
      </w:r>
      <w:bookmarkEnd w:id="0"/>
    </w:p>
    <w:p>
      <w:pPr>
        <w:suppressAutoHyphens/>
        <w:bidi w:val="0"/>
        <w:adjustRightInd w:val="0"/>
        <w:snapToGrid w:val="0"/>
        <w:spacing w:line="360" w:lineRule="auto"/>
        <w:jc w:val="center"/>
        <w:outlineLvl w:val="0"/>
        <w:rPr>
          <w:rFonts w:hint="default" w:ascii="方正小标宋简体" w:hAnsi="方正小标宋简体" w:eastAsia="方正小标宋简体" w:cs="方正小标宋简体"/>
          <w:color w:val="auto"/>
          <w:sz w:val="72"/>
          <w:szCs w:val="72"/>
          <w:highlight w:val="none"/>
          <w:lang w:val="en-US" w:eastAsia="zh-CN"/>
        </w:rPr>
      </w:pPr>
      <w:bookmarkStart w:id="1" w:name="_Toc2704"/>
      <w:r>
        <w:rPr>
          <w:rFonts w:hint="eastAsia" w:ascii="方正小标宋简体" w:hAnsi="方正小标宋简体" w:eastAsia="方正小标宋简体" w:cs="方正小标宋简体"/>
          <w:color w:val="auto"/>
          <w:sz w:val="72"/>
          <w:szCs w:val="72"/>
          <w:highlight w:val="none"/>
          <w:lang w:val="en-US" w:eastAsia="zh-CN"/>
        </w:rPr>
        <w:t>单位决算公开</w:t>
      </w:r>
      <w:bookmarkEnd w:id="1"/>
    </w:p>
    <w:p>
      <w:pPr>
        <w:widowControl/>
        <w:jc w:val="center"/>
        <w:rPr>
          <w:rFonts w:ascii="方正小标宋简体" w:hAnsi="宋体" w:eastAsia="方正小标宋简体"/>
          <w:color w:val="auto"/>
          <w:sz w:val="36"/>
          <w:szCs w:val="36"/>
          <w:highlight w:val="none"/>
        </w:rPr>
        <w:sectPr>
          <w:pgSz w:w="11906" w:h="16838"/>
          <w:pgMar w:top="1440" w:right="1800" w:bottom="1440" w:left="1800" w:header="720" w:footer="720" w:gutter="0"/>
          <w:pgNumType w:fmt="numberInDash"/>
          <w:cols w:space="720" w:num="1"/>
          <w:docGrid w:type="lines" w:linePitch="312" w:charSpace="0"/>
        </w:sectPr>
      </w:pPr>
    </w:p>
    <w:p>
      <w:pPr>
        <w:widowControl/>
        <w:jc w:val="center"/>
        <w:rPr>
          <w:rFonts w:ascii="黑体" w:hAnsi="黑体" w:eastAsia="黑体" w:cs="Times New Roman"/>
          <w:color w:val="auto"/>
          <w:sz w:val="28"/>
          <w:szCs w:val="28"/>
          <w:highlight w:val="none"/>
        </w:rPr>
      </w:pPr>
      <w:r>
        <w:rPr>
          <w:rFonts w:hint="eastAsia" w:ascii="黑体" w:hAnsi="黑体" w:eastAsia="黑体"/>
          <w:color w:val="auto"/>
          <w:sz w:val="48"/>
          <w:szCs w:val="48"/>
          <w:highlight w:val="none"/>
        </w:rPr>
        <w:t>目录</w:t>
      </w:r>
    </w:p>
    <w:p>
      <w:pPr>
        <w:pStyle w:val="11"/>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p>
      <w:pPr>
        <w:rPr>
          <w:color w:val="auto"/>
          <w:highlight w:val="none"/>
        </w:rPr>
      </w:pPr>
    </w:p>
    <w:sdt>
      <w:sdtPr>
        <w:rPr>
          <w:rFonts w:ascii="宋体" w:hAnsi="宋体" w:eastAsia="宋体" w:cs="Times New Roman"/>
          <w:color w:val="auto"/>
          <w:kern w:val="2"/>
          <w:sz w:val="21"/>
          <w:szCs w:val="24"/>
          <w:lang w:val="en-US" w:eastAsia="zh-CN" w:bidi="ar-SA"/>
        </w:rPr>
        <w:id w:val="147464479"/>
        <w15:color w:val="DBDBDB"/>
        <w:docPartObj>
          <w:docPartGallery w:val="Table of Contents"/>
          <w:docPartUnique/>
        </w:docPartObj>
      </w:sdtPr>
      <w:sdtEndPr>
        <w:rPr>
          <w:rFonts w:ascii="Calibri" w:hAnsi="Calibri" w:eastAsia="宋体" w:cs="Times New Roman"/>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pPr>
          <w:r>
            <w:rPr>
              <w:color w:val="auto"/>
              <w:highlight w:val="none"/>
            </w:rPr>
            <w:fldChar w:fldCharType="begin"/>
          </w:r>
          <w:r>
            <w:rPr>
              <w:color w:val="auto"/>
              <w:highlight w:val="none"/>
            </w:rPr>
            <w:instrText xml:space="preserve">TOC \o "1-3" \h \u </w:instrText>
          </w:r>
          <w:r>
            <w:rPr>
              <w:color w:val="auto"/>
              <w:highlight w:val="none"/>
            </w:rPr>
            <w:fldChar w:fldCharType="separate"/>
          </w:r>
        </w:p>
        <w:p>
          <w:pPr>
            <w:pStyle w:val="26"/>
            <w:tabs>
              <w:tab w:val="right" w:leader="dot" w:pos="8306"/>
            </w:tabs>
          </w:pPr>
          <w:r>
            <w:rPr>
              <w:color w:val="auto"/>
              <w:highlight w:val="none"/>
            </w:rPr>
            <w:fldChar w:fldCharType="begin"/>
          </w:r>
          <w:r>
            <w:rPr>
              <w:highlight w:val="none"/>
            </w:rPr>
            <w:instrText xml:space="preserve"> HYPERLINK \l _Toc3814 </w:instrText>
          </w:r>
          <w:r>
            <w:rPr>
              <w:highlight w:val="none"/>
            </w:rPr>
            <w:fldChar w:fldCharType="separate"/>
          </w:r>
          <w:r>
            <w:rPr>
              <w:rFonts w:hint="eastAsia" w:ascii="方正小标宋_GBK" w:hAnsi="方正小标宋_GBK" w:eastAsia="方正小标宋_GBK" w:cs="方正小标宋_GBK"/>
              <w:szCs w:val="44"/>
              <w:highlight w:val="none"/>
            </w:rPr>
            <w:t xml:space="preserve">第一部分 </w:t>
          </w:r>
          <w:r>
            <w:rPr>
              <w:rFonts w:hint="eastAsia" w:ascii="方正小标宋_GBK" w:hAnsi="方正小标宋_GBK" w:eastAsia="方正小标宋_GBK" w:cs="方正小标宋_GBK"/>
              <w:szCs w:val="44"/>
              <w:highlight w:val="none"/>
              <w:lang w:eastAsia="zh-CN"/>
            </w:rPr>
            <w:t>单位</w:t>
          </w:r>
          <w:r>
            <w:rPr>
              <w:rFonts w:hint="eastAsia" w:ascii="方正小标宋_GBK" w:hAnsi="方正小标宋_GBK" w:eastAsia="方正小标宋_GBK" w:cs="方正小标宋_GBK"/>
              <w:szCs w:val="44"/>
              <w:highlight w:val="none"/>
            </w:rPr>
            <w:t>概况</w:t>
          </w:r>
          <w:r>
            <w:tab/>
          </w:r>
          <w:r>
            <w:fldChar w:fldCharType="begin"/>
          </w:r>
          <w:r>
            <w:instrText xml:space="preserve"> PAGEREF _Toc3814 </w:instrText>
          </w:r>
          <w:r>
            <w:fldChar w:fldCharType="separate"/>
          </w:r>
          <w:r>
            <w:t>- 1 -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_Toc15937 </w:instrText>
          </w:r>
          <w:r>
            <w:rPr>
              <w:highlight w:val="none"/>
            </w:rPr>
            <w:fldChar w:fldCharType="separate"/>
          </w:r>
          <w:r>
            <w:rPr>
              <w:rFonts w:hint="eastAsia" w:ascii="黑体" w:hAnsi="黑体" w:eastAsia="黑体" w:cs="黑体"/>
              <w:szCs w:val="32"/>
              <w:highlight w:val="none"/>
            </w:rPr>
            <w:t>一、</w:t>
          </w:r>
          <w:r>
            <w:rPr>
              <w:rFonts w:hint="eastAsia" w:ascii="黑体" w:hAnsi="黑体" w:eastAsia="黑体" w:cs="黑体"/>
              <w:szCs w:val="32"/>
              <w:highlight w:val="none"/>
              <w:lang w:eastAsia="zh-CN"/>
            </w:rPr>
            <w:t>主要职责</w:t>
          </w:r>
          <w:r>
            <w:tab/>
          </w:r>
          <w:r>
            <w:fldChar w:fldCharType="begin"/>
          </w:r>
          <w:r>
            <w:instrText xml:space="preserve"> PAGEREF _Toc15937 </w:instrText>
          </w:r>
          <w:r>
            <w:fldChar w:fldCharType="separate"/>
          </w:r>
          <w:r>
            <w:t>- 1 -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_Toc18502 </w:instrText>
          </w:r>
          <w:r>
            <w:rPr>
              <w:highlight w:val="none"/>
            </w:rPr>
            <w:fldChar w:fldCharType="separate"/>
          </w:r>
          <w:r>
            <w:rPr>
              <w:rFonts w:hint="eastAsia" w:ascii="黑体" w:hAnsi="黑体" w:eastAsia="黑体" w:cs="黑体"/>
              <w:szCs w:val="32"/>
              <w:highlight w:val="none"/>
              <w:lang w:eastAsia="zh-CN"/>
            </w:rPr>
            <w:t>二</w:t>
          </w:r>
          <w:r>
            <w:rPr>
              <w:rFonts w:hint="eastAsia" w:ascii="黑体" w:hAnsi="黑体" w:eastAsia="黑体" w:cs="黑体"/>
              <w:szCs w:val="32"/>
              <w:highlight w:val="none"/>
            </w:rPr>
            <w:t>、</w:t>
          </w:r>
          <w:r>
            <w:rPr>
              <w:rFonts w:hint="eastAsia" w:ascii="黑体" w:hAnsi="黑体" w:eastAsia="黑体" w:cs="黑体"/>
              <w:szCs w:val="32"/>
              <w:highlight w:val="none"/>
              <w:lang w:eastAsia="zh-CN"/>
            </w:rPr>
            <w:t>机构设置</w:t>
          </w:r>
          <w:r>
            <w:tab/>
          </w:r>
          <w:r>
            <w:fldChar w:fldCharType="begin"/>
          </w:r>
          <w:r>
            <w:instrText xml:space="preserve"> PAGEREF _Toc18502 </w:instrText>
          </w:r>
          <w:r>
            <w:fldChar w:fldCharType="separate"/>
          </w:r>
          <w:r>
            <w:t>- 1 -</w:t>
          </w:r>
          <w:r>
            <w:fldChar w:fldCharType="end"/>
          </w:r>
          <w:r>
            <w:rPr>
              <w:color w:val="auto"/>
              <w:highlight w:val="none"/>
            </w:rPr>
            <w:fldChar w:fldCharType="end"/>
          </w:r>
        </w:p>
        <w:p>
          <w:pPr>
            <w:pStyle w:val="26"/>
            <w:tabs>
              <w:tab w:val="right" w:leader="dot" w:pos="8306"/>
            </w:tabs>
          </w:pPr>
          <w:r>
            <w:rPr>
              <w:color w:val="auto"/>
              <w:highlight w:val="none"/>
            </w:rPr>
            <w:fldChar w:fldCharType="begin"/>
          </w:r>
          <w:r>
            <w:rPr>
              <w:highlight w:val="none"/>
            </w:rPr>
            <w:instrText xml:space="preserve"> HYPERLINK \l _Toc6705 </w:instrText>
          </w:r>
          <w:r>
            <w:rPr>
              <w:highlight w:val="none"/>
            </w:rPr>
            <w:fldChar w:fldCharType="separate"/>
          </w:r>
          <w:r>
            <w:rPr>
              <w:rFonts w:hint="eastAsia" w:ascii="方正小标宋_GBK" w:hAnsi="方正小标宋_GBK" w:eastAsia="方正小标宋_GBK" w:cs="方正小标宋_GBK"/>
              <w:bCs/>
              <w:highlight w:val="none"/>
            </w:rPr>
            <w:t xml:space="preserve">第二部分 </w:t>
          </w:r>
          <w:r>
            <w:rPr>
              <w:rFonts w:hint="eastAsia" w:ascii="方正小标宋_GBK" w:hAnsi="方正小标宋_GBK" w:eastAsia="方正小标宋_GBK" w:cs="方正小标宋_GBK"/>
              <w:bCs/>
              <w:highlight w:val="none"/>
              <w:lang w:val="en-US" w:eastAsia="zh-CN"/>
            </w:rPr>
            <w:t>2023年度</w:t>
          </w:r>
          <w:r>
            <w:rPr>
              <w:rFonts w:hint="eastAsia" w:ascii="方正小标宋_GBK" w:hAnsi="方正小标宋_GBK" w:eastAsia="方正小标宋_GBK" w:cs="方正小标宋_GBK"/>
              <w:bCs/>
              <w:highlight w:val="none"/>
              <w:lang w:eastAsia="zh-CN"/>
            </w:rPr>
            <w:t>单位</w:t>
          </w:r>
          <w:r>
            <w:rPr>
              <w:rFonts w:hint="eastAsia" w:ascii="方正小标宋_GBK" w:hAnsi="方正小标宋_GBK" w:eastAsia="方正小标宋_GBK" w:cs="方正小标宋_GBK"/>
              <w:bCs/>
              <w:highlight w:val="none"/>
            </w:rPr>
            <w:t>决算情况说明</w:t>
          </w:r>
          <w:r>
            <w:tab/>
          </w:r>
          <w:r>
            <w:fldChar w:fldCharType="begin"/>
          </w:r>
          <w:r>
            <w:instrText xml:space="preserve"> PAGEREF _Toc6705 </w:instrText>
          </w:r>
          <w:r>
            <w:fldChar w:fldCharType="separate"/>
          </w:r>
          <w:r>
            <w:t>- 1 -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_Toc27221 </w:instrText>
          </w:r>
          <w:r>
            <w:rPr>
              <w:highlight w:val="none"/>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_Toc27221 </w:instrText>
          </w:r>
          <w:r>
            <w:fldChar w:fldCharType="separate"/>
          </w:r>
          <w:r>
            <w:t>- 1 -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_Toc1708 </w:instrText>
          </w:r>
          <w:r>
            <w:rPr>
              <w:highlight w:val="none"/>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_Toc1708 </w:instrText>
          </w:r>
          <w:r>
            <w:fldChar w:fldCharType="separate"/>
          </w:r>
          <w:r>
            <w:t>- 2 -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_Toc2698 </w:instrText>
          </w:r>
          <w:r>
            <w:rPr>
              <w:highlight w:val="none"/>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_Toc2698 </w:instrText>
          </w:r>
          <w:r>
            <w:fldChar w:fldCharType="separate"/>
          </w:r>
          <w:r>
            <w:t>- 2 -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_Toc11251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_Toc11251 </w:instrText>
          </w:r>
          <w:r>
            <w:fldChar w:fldCharType="separate"/>
          </w:r>
          <w:r>
            <w:t>- 3 -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_Toc23261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_Toc23261 </w:instrText>
          </w:r>
          <w:r>
            <w:fldChar w:fldCharType="separate"/>
          </w:r>
          <w:r>
            <w:t>- 4 -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_Toc28301 </w:instrText>
          </w:r>
          <w:r>
            <w:rPr>
              <w:highlight w:val="none"/>
            </w:rPr>
            <w:fldChar w:fldCharType="separate"/>
          </w:r>
          <w:r>
            <w:rPr>
              <w:rFonts w:hint="eastAsia" w:ascii="仿宋_GB2312" w:hAnsi="仿宋_GB2312" w:eastAsia="仿宋_GB2312" w:cs="仿宋_GB2312"/>
              <w:szCs w:val="32"/>
              <w:highlight w:val="none"/>
            </w:rPr>
            <w:t>（一）一般公共预算财政拨款支出决算总体情况</w:t>
          </w:r>
          <w:r>
            <w:tab/>
          </w:r>
          <w:r>
            <w:fldChar w:fldCharType="begin"/>
          </w:r>
          <w:r>
            <w:instrText xml:space="preserve"> PAGEREF _Toc28301 </w:instrText>
          </w:r>
          <w:r>
            <w:fldChar w:fldCharType="separate"/>
          </w:r>
          <w:r>
            <w:t>- 4 -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_Toc16783 </w:instrText>
          </w:r>
          <w:r>
            <w:rPr>
              <w:highlight w:val="none"/>
            </w:rPr>
            <w:fldChar w:fldCharType="separate"/>
          </w:r>
          <w:r>
            <w:rPr>
              <w:rFonts w:hint="eastAsia" w:ascii="仿宋_GB2312" w:hAnsi="仿宋_GB2312" w:eastAsia="仿宋_GB2312" w:cs="仿宋_GB2312"/>
              <w:szCs w:val="32"/>
              <w:highlight w:val="none"/>
            </w:rPr>
            <w:t>（二）一般公共预算财政拨款支出决算结构情况</w:t>
          </w:r>
          <w:r>
            <w:tab/>
          </w:r>
          <w:r>
            <w:fldChar w:fldCharType="begin"/>
          </w:r>
          <w:r>
            <w:instrText xml:space="preserve"> PAGEREF _Toc16783 </w:instrText>
          </w:r>
          <w:r>
            <w:fldChar w:fldCharType="separate"/>
          </w:r>
          <w:r>
            <w:t>- 4 -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_Toc31663 </w:instrText>
          </w:r>
          <w:r>
            <w:rPr>
              <w:highlight w:val="none"/>
            </w:rPr>
            <w:fldChar w:fldCharType="separate"/>
          </w:r>
          <w:r>
            <w:rPr>
              <w:rFonts w:hint="eastAsia" w:ascii="仿宋_GB2312" w:hAnsi="仿宋_GB2312" w:eastAsia="仿宋_GB2312" w:cs="仿宋_GB2312"/>
              <w:szCs w:val="32"/>
              <w:highlight w:val="none"/>
            </w:rPr>
            <w:t>（三）一般公共预算财政拨款支出决算具体情况</w:t>
          </w:r>
          <w:r>
            <w:tab/>
          </w:r>
          <w:r>
            <w:fldChar w:fldCharType="begin"/>
          </w:r>
          <w:r>
            <w:instrText xml:space="preserve"> PAGEREF _Toc31663 </w:instrText>
          </w:r>
          <w:r>
            <w:fldChar w:fldCharType="separate"/>
          </w:r>
          <w:r>
            <w:t>- 5 -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_Toc1575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_Toc1575 </w:instrText>
          </w:r>
          <w:r>
            <w:fldChar w:fldCharType="separate"/>
          </w:r>
          <w:r>
            <w:t>- 6 -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_Toc9122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_Toc9122 </w:instrText>
          </w:r>
          <w:r>
            <w:fldChar w:fldCharType="separate"/>
          </w:r>
          <w:r>
            <w:t>- 6 -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_Toc16305 </w:instrText>
          </w:r>
          <w:r>
            <w:rPr>
              <w:highlight w:val="none"/>
            </w:rPr>
            <w:fldChar w:fldCharType="separate"/>
          </w:r>
          <w:r>
            <w:rPr>
              <w:rFonts w:hint="eastAsia" w:ascii="仿宋_GB2312" w:hAnsi="仿宋_GB2312" w:eastAsia="仿宋_GB2312" w:cs="仿宋_GB2312"/>
              <w:szCs w:val="32"/>
              <w:highlight w:val="none"/>
            </w:rPr>
            <w:t>（一）“三公”经费财政拨款支出决算总体情况说明</w:t>
          </w:r>
          <w:r>
            <w:tab/>
          </w:r>
          <w:r>
            <w:fldChar w:fldCharType="begin"/>
          </w:r>
          <w:r>
            <w:instrText xml:space="preserve"> PAGEREF _Toc16305 </w:instrText>
          </w:r>
          <w:r>
            <w:fldChar w:fldCharType="separate"/>
          </w:r>
          <w:r>
            <w:t>- 7 -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_Toc242 </w:instrText>
          </w:r>
          <w:r>
            <w:rPr>
              <w:highlight w:val="none"/>
            </w:rPr>
            <w:fldChar w:fldCharType="separate"/>
          </w:r>
          <w:r>
            <w:rPr>
              <w:rFonts w:hint="eastAsia" w:ascii="仿宋_GB2312" w:hAnsi="仿宋_GB2312" w:eastAsia="仿宋_GB2312" w:cs="仿宋_GB2312"/>
              <w:szCs w:val="32"/>
              <w:highlight w:val="none"/>
            </w:rPr>
            <w:t>（二）“三公”经费财政拨款支出决算具体情况说明</w:t>
          </w:r>
          <w:r>
            <w:tab/>
          </w:r>
          <w:r>
            <w:fldChar w:fldCharType="begin"/>
          </w:r>
          <w:r>
            <w:instrText xml:space="preserve"> PAGEREF _Toc242 </w:instrText>
          </w:r>
          <w:r>
            <w:fldChar w:fldCharType="separate"/>
          </w:r>
          <w:r>
            <w:t>- 7 -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_Toc20618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_Toc20618 </w:instrText>
          </w:r>
          <w:r>
            <w:fldChar w:fldCharType="separate"/>
          </w:r>
          <w:r>
            <w:t>- 8 -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_Toc27224 </w:instrText>
          </w:r>
          <w:r>
            <w:rPr>
              <w:highlight w:val="none"/>
            </w:rPr>
            <w:fldChar w:fldCharType="separate"/>
          </w:r>
          <w:r>
            <w:rPr>
              <w:rFonts w:hint="eastAsia" w:ascii="黑体" w:hAnsi="黑体" w:eastAsia="黑体"/>
              <w:highlight w:val="none"/>
              <w:lang w:eastAsia="zh-CN"/>
            </w:rPr>
            <w:t>九、</w:t>
          </w:r>
          <w:r>
            <w:rPr>
              <w:rFonts w:hint="eastAsia" w:ascii="黑体" w:hAnsi="黑体" w:eastAsia="黑体"/>
              <w:highlight w:val="none"/>
            </w:rPr>
            <w:t>国有资本经营预算支出决算情况说明</w:t>
          </w:r>
          <w:r>
            <w:tab/>
          </w:r>
          <w:r>
            <w:fldChar w:fldCharType="begin"/>
          </w:r>
          <w:r>
            <w:instrText xml:space="preserve"> PAGEREF _Toc27224 </w:instrText>
          </w:r>
          <w:r>
            <w:fldChar w:fldCharType="separate"/>
          </w:r>
          <w:r>
            <w:t>- 8 -</w:t>
          </w:r>
          <w:r>
            <w:fldChar w:fldCharType="end"/>
          </w:r>
          <w:r>
            <w:rPr>
              <w:color w:val="auto"/>
              <w:highlight w:val="none"/>
            </w:rPr>
            <w:fldChar w:fldCharType="end"/>
          </w:r>
        </w:p>
        <w:p>
          <w:pPr>
            <w:pStyle w:val="27"/>
            <w:tabs>
              <w:tab w:val="right" w:leader="dot" w:pos="8306"/>
            </w:tabs>
          </w:pPr>
          <w:r>
            <w:rPr>
              <w:color w:val="auto"/>
              <w:highlight w:val="none"/>
            </w:rPr>
            <w:fldChar w:fldCharType="begin"/>
          </w:r>
          <w:r>
            <w:rPr>
              <w:highlight w:val="none"/>
            </w:rPr>
            <w:instrText xml:space="preserve"> HYPERLINK \l _Toc23841 </w:instrText>
          </w:r>
          <w:r>
            <w:rPr>
              <w:highlight w:val="none"/>
            </w:rPr>
            <w:fldChar w:fldCharType="separate"/>
          </w:r>
          <w:r>
            <w:rPr>
              <w:rFonts w:hint="eastAsia" w:ascii="黑体" w:hAnsi="黑体" w:eastAsia="黑体"/>
              <w:highlight w:val="none"/>
              <w:lang w:eastAsia="zh-CN"/>
            </w:rPr>
            <w:t>十、</w:t>
          </w:r>
          <w:r>
            <w:rPr>
              <w:rFonts w:hint="eastAsia" w:ascii="黑体" w:hAnsi="黑体" w:eastAsia="黑体"/>
              <w:highlight w:val="none"/>
            </w:rPr>
            <w:t>其他重要事项的情况说明</w:t>
          </w:r>
          <w:r>
            <w:tab/>
          </w:r>
          <w:r>
            <w:fldChar w:fldCharType="begin"/>
          </w:r>
          <w:r>
            <w:instrText xml:space="preserve"> PAGEREF _Toc23841 </w:instrText>
          </w:r>
          <w:r>
            <w:fldChar w:fldCharType="separate"/>
          </w:r>
          <w:r>
            <w:t>- 8 -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_Toc27225 </w:instrText>
          </w:r>
          <w:r>
            <w:rPr>
              <w:highlight w:val="none"/>
            </w:rPr>
            <w:fldChar w:fldCharType="separate"/>
          </w:r>
          <w:r>
            <w:rPr>
              <w:rFonts w:hint="eastAsia" w:ascii="仿宋" w:hAnsi="仿宋" w:eastAsia="仿宋"/>
              <w:szCs w:val="32"/>
              <w:highlight w:val="none"/>
            </w:rPr>
            <w:t>（一）机关运行经费支出情况</w:t>
          </w:r>
          <w:r>
            <w:tab/>
          </w:r>
          <w:r>
            <w:fldChar w:fldCharType="begin"/>
          </w:r>
          <w:r>
            <w:instrText xml:space="preserve"> PAGEREF _Toc27225 </w:instrText>
          </w:r>
          <w:r>
            <w:fldChar w:fldCharType="separate"/>
          </w:r>
          <w:r>
            <w:t>- 8 -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_Toc24421 </w:instrText>
          </w:r>
          <w:r>
            <w:rPr>
              <w:highlight w:val="none"/>
            </w:rPr>
            <w:fldChar w:fldCharType="separate"/>
          </w:r>
          <w:r>
            <w:rPr>
              <w:rFonts w:hint="eastAsia" w:ascii="仿宋" w:hAnsi="仿宋" w:eastAsia="仿宋"/>
              <w:szCs w:val="32"/>
              <w:highlight w:val="none"/>
            </w:rPr>
            <w:t>（二）政府采购支出情况</w:t>
          </w:r>
          <w:r>
            <w:tab/>
          </w:r>
          <w:r>
            <w:fldChar w:fldCharType="begin"/>
          </w:r>
          <w:r>
            <w:instrText xml:space="preserve"> PAGEREF _Toc24421 </w:instrText>
          </w:r>
          <w:r>
            <w:fldChar w:fldCharType="separate"/>
          </w:r>
          <w:r>
            <w:t>- 8 -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_Toc474 </w:instrText>
          </w:r>
          <w:r>
            <w:rPr>
              <w:highlight w:val="none"/>
            </w:rPr>
            <w:fldChar w:fldCharType="separate"/>
          </w:r>
          <w:r>
            <w:rPr>
              <w:rFonts w:hint="eastAsia" w:ascii="仿宋" w:hAnsi="仿宋" w:eastAsia="仿宋"/>
              <w:szCs w:val="32"/>
              <w:highlight w:val="none"/>
            </w:rPr>
            <w:t>（三）国有资产占有使用情况</w:t>
          </w:r>
          <w:r>
            <w:tab/>
          </w:r>
          <w:r>
            <w:fldChar w:fldCharType="begin"/>
          </w:r>
          <w:r>
            <w:instrText xml:space="preserve"> PAGEREF _Toc474 </w:instrText>
          </w:r>
          <w:r>
            <w:fldChar w:fldCharType="separate"/>
          </w:r>
          <w:r>
            <w:t>- 8 -</w:t>
          </w:r>
          <w:r>
            <w:fldChar w:fldCharType="end"/>
          </w:r>
          <w:r>
            <w:rPr>
              <w:color w:val="auto"/>
              <w:highlight w:val="none"/>
            </w:rPr>
            <w:fldChar w:fldCharType="end"/>
          </w:r>
        </w:p>
        <w:p>
          <w:pPr>
            <w:pStyle w:val="28"/>
            <w:tabs>
              <w:tab w:val="right" w:leader="dot" w:pos="8306"/>
            </w:tabs>
          </w:pPr>
          <w:r>
            <w:rPr>
              <w:color w:val="auto"/>
              <w:highlight w:val="none"/>
            </w:rPr>
            <w:fldChar w:fldCharType="begin"/>
          </w:r>
          <w:r>
            <w:rPr>
              <w:highlight w:val="none"/>
            </w:rPr>
            <w:instrText xml:space="preserve"> HYPERLINK \l _Toc20127 </w:instrText>
          </w:r>
          <w:r>
            <w:rPr>
              <w:highlight w:val="none"/>
            </w:rPr>
            <w:fldChar w:fldCharType="separate"/>
          </w:r>
          <w:r>
            <w:rPr>
              <w:rFonts w:hint="eastAsia" w:ascii="仿宋" w:hAnsi="仿宋" w:eastAsia="仿宋"/>
              <w:szCs w:val="32"/>
              <w:highlight w:val="none"/>
            </w:rPr>
            <w:t>（四）预算绩效管理情况</w:t>
          </w:r>
          <w:r>
            <w:tab/>
          </w:r>
          <w:r>
            <w:fldChar w:fldCharType="begin"/>
          </w:r>
          <w:r>
            <w:instrText xml:space="preserve"> PAGEREF _Toc20127 </w:instrText>
          </w:r>
          <w:r>
            <w:fldChar w:fldCharType="separate"/>
          </w:r>
          <w:r>
            <w:t>- 9 -</w:t>
          </w:r>
          <w:r>
            <w:fldChar w:fldCharType="end"/>
          </w:r>
          <w:r>
            <w:rPr>
              <w:color w:val="auto"/>
              <w:highlight w:val="none"/>
            </w:rPr>
            <w:fldChar w:fldCharType="end"/>
          </w:r>
        </w:p>
        <w:p>
          <w:pPr>
            <w:pStyle w:val="26"/>
            <w:tabs>
              <w:tab w:val="right" w:leader="dot" w:pos="8306"/>
            </w:tabs>
          </w:pPr>
          <w:r>
            <w:rPr>
              <w:color w:val="auto"/>
              <w:highlight w:val="none"/>
            </w:rPr>
            <w:fldChar w:fldCharType="begin"/>
          </w:r>
          <w:r>
            <w:rPr>
              <w:highlight w:val="none"/>
            </w:rPr>
            <w:instrText xml:space="preserve"> HYPERLINK \l _Toc24852 </w:instrText>
          </w:r>
          <w:r>
            <w:rPr>
              <w:highlight w:val="none"/>
            </w:rPr>
            <w:fldChar w:fldCharType="separate"/>
          </w:r>
          <w:r>
            <w:rPr>
              <w:rFonts w:hint="eastAsia" w:ascii="黑体" w:hAnsi="黑体" w:eastAsia="黑体"/>
              <w:szCs w:val="44"/>
              <w:highlight w:val="none"/>
              <w:lang w:eastAsia="zh-CN"/>
            </w:rPr>
            <w:t>第三部分</w:t>
          </w:r>
          <w:r>
            <w:rPr>
              <w:rFonts w:hint="eastAsia" w:ascii="黑体" w:hAnsi="黑体" w:eastAsia="黑体"/>
              <w:szCs w:val="44"/>
              <w:highlight w:val="none"/>
              <w:lang w:val="en-US" w:eastAsia="zh-CN"/>
            </w:rPr>
            <w:t xml:space="preserve">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_Toc24852 </w:instrText>
          </w:r>
          <w:r>
            <w:fldChar w:fldCharType="separate"/>
          </w:r>
          <w:r>
            <w:t>- 10 -</w:t>
          </w:r>
          <w:r>
            <w:fldChar w:fldCharType="end"/>
          </w:r>
          <w:r>
            <w:rPr>
              <w:color w:val="auto"/>
              <w:highlight w:val="none"/>
            </w:rPr>
            <w:fldChar w:fldCharType="end"/>
          </w:r>
        </w:p>
        <w:p>
          <w:pPr>
            <w:pStyle w:val="26"/>
            <w:tabs>
              <w:tab w:val="right" w:leader="dot" w:pos="8306"/>
            </w:tabs>
          </w:pPr>
          <w:r>
            <w:rPr>
              <w:color w:val="auto"/>
              <w:highlight w:val="none"/>
            </w:rPr>
            <w:fldChar w:fldCharType="begin"/>
          </w:r>
          <w:r>
            <w:rPr>
              <w:highlight w:val="none"/>
            </w:rPr>
            <w:instrText xml:space="preserve"> HYPERLINK \l _Toc8165 </w:instrText>
          </w:r>
          <w:r>
            <w:rPr>
              <w:highlight w:val="none"/>
            </w:rP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_Toc8165 </w:instrText>
          </w:r>
          <w:r>
            <w:fldChar w:fldCharType="separate"/>
          </w:r>
          <w:r>
            <w:t>- 13 -</w:t>
          </w:r>
          <w:r>
            <w:fldChar w:fldCharType="end"/>
          </w:r>
          <w:r>
            <w:rPr>
              <w:color w:val="auto"/>
              <w:highlight w:val="none"/>
            </w:rPr>
            <w:fldChar w:fldCharType="end"/>
          </w:r>
        </w:p>
        <w:p>
          <w:pPr>
            <w:pStyle w:val="26"/>
            <w:tabs>
              <w:tab w:val="right" w:leader="dot" w:pos="8306"/>
            </w:tabs>
          </w:pPr>
          <w:r>
            <w:rPr>
              <w:color w:val="auto"/>
              <w:highlight w:val="none"/>
            </w:rPr>
            <w:fldChar w:fldCharType="begin"/>
          </w:r>
          <w:r>
            <w:rPr>
              <w:highlight w:val="none"/>
            </w:rPr>
            <w:instrText xml:space="preserve"> HYPERLINK \l _Toc3763 </w:instrText>
          </w:r>
          <w:r>
            <w:rPr>
              <w:highlight w:val="none"/>
            </w:rP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_Toc3763 </w:instrText>
          </w:r>
          <w:r>
            <w:fldChar w:fldCharType="separate"/>
          </w:r>
          <w:r>
            <w:t>- 37 -</w:t>
          </w:r>
          <w:r>
            <w:fldChar w:fldCharType="end"/>
          </w:r>
          <w:r>
            <w:rPr>
              <w:color w:val="auto"/>
              <w:highlight w:val="none"/>
            </w:rPr>
            <w:fldChar w:fldCharType="end"/>
          </w:r>
        </w:p>
        <w:p>
          <w:pPr>
            <w:pStyle w:val="27"/>
            <w:tabs>
              <w:tab w:val="right" w:leader="dot" w:pos="8306"/>
            </w:tabs>
          </w:pPr>
        </w:p>
        <w:p>
          <w:pPr>
            <w:pStyle w:val="2"/>
            <w:rPr>
              <w:color w:val="auto"/>
              <w:highlight w:val="none"/>
            </w:rPr>
          </w:pPr>
          <w:r>
            <w:rPr>
              <w:color w:val="auto"/>
              <w:highlight w:val="none"/>
            </w:rPr>
            <w:fldChar w:fldCharType="end"/>
          </w:r>
        </w:p>
      </w:sdtContent>
    </w:sdt>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sectPr>
          <w:footerReference r:id="rId3" w:type="default"/>
          <w:pgSz w:w="11906" w:h="16838"/>
          <w:pgMar w:top="1440" w:right="1800" w:bottom="1440" w:left="1800" w:header="720" w:footer="720" w:gutter="0"/>
          <w:pgNumType w:fmt="numberInDash" w:start="1"/>
          <w:cols w:space="720" w:num="1"/>
          <w:docGrid w:type="lines" w:linePitch="312" w:charSpace="0"/>
        </w:sectPr>
      </w:pPr>
    </w:p>
    <w:p/>
    <w:p>
      <w:pPr>
        <w:pStyle w:val="11"/>
        <w:keepNext w:val="0"/>
        <w:keepLines w:val="0"/>
        <w:pageBreakBefore w:val="0"/>
        <w:widowControl w:val="0"/>
        <w:kinsoku/>
        <w:wordWrap/>
        <w:overflowPunct/>
        <w:topLinePunct w:val="0"/>
        <w:autoSpaceDE/>
        <w:autoSpaceDN/>
        <w:bidi w:val="0"/>
        <w:adjustRightInd w:val="0"/>
        <w:snapToGrid w:val="0"/>
        <w:spacing w:before="0" w:line="576" w:lineRule="exact"/>
        <w:jc w:val="center"/>
        <w:textAlignment w:val="auto"/>
        <w:outlineLvl w:val="0"/>
        <w:rPr>
          <w:rFonts w:hint="eastAsia" w:ascii="黑体" w:hAnsi="黑体" w:eastAsia="黑体" w:cs="黑体"/>
          <w:color w:val="auto"/>
          <w:sz w:val="32"/>
          <w:szCs w:val="32"/>
          <w:highlight w:val="none"/>
        </w:rPr>
      </w:pPr>
      <w:bookmarkStart w:id="2" w:name="_Toc3814"/>
      <w:r>
        <w:rPr>
          <w:rFonts w:hint="eastAsia" w:ascii="方正小标宋_GBK" w:hAnsi="方正小标宋_GBK" w:eastAsia="方正小标宋_GBK" w:cs="方正小标宋_GBK"/>
          <w:color w:val="auto"/>
          <w:sz w:val="44"/>
          <w:szCs w:val="44"/>
          <w:highlight w:val="none"/>
        </w:rPr>
        <w:t xml:space="preserve">第一部分 </w:t>
      </w:r>
      <w:r>
        <w:rPr>
          <w:rFonts w:hint="eastAsia" w:ascii="方正小标宋_GBK" w:hAnsi="方正小标宋_GBK" w:eastAsia="方正小标宋_GBK" w:cs="方正小标宋_GBK"/>
          <w:color w:val="auto"/>
          <w:sz w:val="44"/>
          <w:szCs w:val="44"/>
          <w:highlight w:val="none"/>
          <w:lang w:eastAsia="zh-CN"/>
        </w:rPr>
        <w:t>单位</w:t>
      </w:r>
      <w:r>
        <w:rPr>
          <w:rFonts w:hint="eastAsia" w:ascii="方正小标宋_GBK" w:hAnsi="方正小标宋_GBK" w:eastAsia="方正小标宋_GBK" w:cs="方正小标宋_GBK"/>
          <w:color w:val="auto"/>
          <w:sz w:val="44"/>
          <w:szCs w:val="44"/>
          <w:highlight w:val="none"/>
        </w:rPr>
        <w:t>概况</w:t>
      </w:r>
      <w:bookmarkEnd w:id="2"/>
    </w:p>
    <w:p>
      <w:pPr>
        <w:pStyle w:val="14"/>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left"/>
        <w:textAlignment w:val="auto"/>
        <w:outlineLvl w:val="1"/>
        <w:rPr>
          <w:rFonts w:hint="eastAsia" w:ascii="黑体" w:hAnsi="黑体" w:eastAsia="黑体" w:cs="黑体"/>
          <w:color w:val="auto"/>
          <w:sz w:val="32"/>
          <w:szCs w:val="32"/>
          <w:highlight w:val="none"/>
          <w:lang w:eastAsia="zh-CN"/>
        </w:rPr>
      </w:pPr>
      <w:bookmarkStart w:id="3" w:name="_Toc15937"/>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主要职责</w:t>
      </w:r>
      <w:bookmarkEnd w:id="3"/>
    </w:p>
    <w:p>
      <w:pPr>
        <w:pStyle w:val="15"/>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bookmarkStart w:id="4" w:name="_Toc18060"/>
      <w:r>
        <w:rPr>
          <w:rStyle w:val="20"/>
          <w:rFonts w:hint="eastAsia" w:ascii="仿宋_GB2312" w:hAnsi="仿宋_GB2312" w:eastAsia="仿宋_GB2312" w:cs="仿宋_GB2312"/>
          <w:b w:val="0"/>
          <w:bCs w:val="0"/>
          <w:color w:val="auto"/>
          <w:highlight w:val="none"/>
          <w:lang w:eastAsia="zh-CN"/>
        </w:rPr>
        <w:t>负责医疗事故争议技术等鉴定组织和日常工作；负责全市医师资格考试、卫生专业技术资格考试、</w:t>
      </w:r>
      <w:r>
        <w:rPr>
          <w:rStyle w:val="20"/>
          <w:rFonts w:hint="eastAsia" w:ascii="仿宋_GB2312" w:hAnsi="仿宋_GB2312" w:eastAsia="仿宋_GB2312" w:cs="仿宋_GB2312"/>
          <w:b w:val="0"/>
          <w:bCs w:val="0"/>
          <w:color w:val="auto"/>
          <w:highlight w:val="none"/>
          <w:lang w:val="en-US" w:eastAsia="zh-CN"/>
        </w:rPr>
        <w:t>护士执业资格考试、卫生人才评价考试</w:t>
      </w:r>
      <w:r>
        <w:rPr>
          <w:rStyle w:val="20"/>
          <w:rFonts w:hint="eastAsia" w:ascii="仿宋_GB2312" w:hAnsi="仿宋_GB2312" w:eastAsia="仿宋_GB2312" w:cs="仿宋_GB2312"/>
          <w:b w:val="0"/>
          <w:bCs w:val="0"/>
          <w:color w:val="auto"/>
          <w:highlight w:val="none"/>
          <w:lang w:eastAsia="zh-CN"/>
        </w:rPr>
        <w:t>的报名初审和考务工作；协助医疗机构等级评审、复查及医学科技项目评审的相关服务工作；负责市医学会、护理学会、中医学会等学术团体办公室日常工作；负责全市卫生技术咨询服务，医学科技查新工作；协助卫生系统信息化工作；</w:t>
      </w:r>
      <w:bookmarkEnd w:id="4"/>
      <w:r>
        <w:rPr>
          <w:rFonts w:hint="eastAsia" w:ascii="仿宋_GB2312" w:eastAsia="仿宋_GB2312"/>
          <w:sz w:val="32"/>
          <w:szCs w:val="32"/>
          <w:lang w:val="en-US" w:eastAsia="zh-CN"/>
        </w:rPr>
        <w:t>承担全市医师资格考试类和认定类的医师资格证遗失补办和信息变更等工作；承担</w:t>
      </w:r>
      <w:r>
        <w:rPr>
          <w:rFonts w:hint="eastAsia" w:ascii="仿宋_GB2312" w:eastAsia="仿宋_GB2312"/>
          <w:sz w:val="32"/>
          <w:szCs w:val="32"/>
        </w:rPr>
        <w:t>医师定期考核</w:t>
      </w:r>
      <w:r>
        <w:rPr>
          <w:rFonts w:hint="eastAsia" w:ascii="仿宋_GB2312" w:eastAsia="仿宋_GB2312"/>
          <w:sz w:val="32"/>
          <w:szCs w:val="32"/>
          <w:lang w:eastAsia="zh-CN"/>
        </w:rPr>
        <w:t>、</w:t>
      </w:r>
      <w:r>
        <w:rPr>
          <w:rFonts w:hint="eastAsia" w:ascii="仿宋_GB2312" w:eastAsia="仿宋_GB2312"/>
          <w:sz w:val="32"/>
          <w:szCs w:val="32"/>
        </w:rPr>
        <w:t>疾病应急救助</w:t>
      </w:r>
      <w:r>
        <w:rPr>
          <w:rFonts w:hint="eastAsia" w:ascii="仿宋_GB2312" w:eastAsia="仿宋_GB2312"/>
          <w:sz w:val="32"/>
          <w:szCs w:val="32"/>
          <w:lang w:eastAsia="zh-CN"/>
        </w:rPr>
        <w:t>工作；</w:t>
      </w:r>
      <w:r>
        <w:rPr>
          <w:rFonts w:hint="eastAsia" w:ascii="仿宋_GB2312" w:eastAsia="仿宋_GB2312"/>
          <w:sz w:val="32"/>
          <w:szCs w:val="32"/>
          <w:lang w:val="en-US" w:eastAsia="zh-CN"/>
        </w:rPr>
        <w:t>协助开展互联网医院建设、</w:t>
      </w:r>
      <w:r>
        <w:rPr>
          <w:rFonts w:hint="eastAsia" w:ascii="仿宋_GB2312" w:eastAsia="仿宋_GB2312"/>
          <w:sz w:val="32"/>
          <w:szCs w:val="32"/>
        </w:rPr>
        <w:t>三医监管</w:t>
      </w:r>
      <w:r>
        <w:rPr>
          <w:rFonts w:hint="eastAsia" w:ascii="仿宋_GB2312" w:eastAsia="仿宋_GB2312"/>
          <w:sz w:val="32"/>
          <w:szCs w:val="32"/>
          <w:lang w:eastAsia="zh-CN"/>
        </w:rPr>
        <w:t>、</w:t>
      </w:r>
      <w:r>
        <w:rPr>
          <w:rFonts w:hint="eastAsia" w:ascii="仿宋_GB2312" w:eastAsia="仿宋_GB2312"/>
          <w:sz w:val="32"/>
          <w:szCs w:val="32"/>
          <w:lang w:val="en-US" w:eastAsia="zh-CN"/>
        </w:rPr>
        <w:t>继续教育、对口帮扶</w:t>
      </w:r>
      <w:r>
        <w:rPr>
          <w:rFonts w:hint="eastAsia" w:ascii="仿宋_GB2312" w:eastAsia="仿宋_GB2312"/>
          <w:sz w:val="32"/>
          <w:szCs w:val="32"/>
        </w:rPr>
        <w:t>工作</w:t>
      </w:r>
      <w:r>
        <w:rPr>
          <w:rFonts w:hint="eastAsia" w:ascii="仿宋_GB2312" w:eastAsia="仿宋_GB2312"/>
          <w:sz w:val="32"/>
          <w:szCs w:val="32"/>
          <w:lang w:eastAsia="zh-CN"/>
        </w:rPr>
        <w:t>；</w:t>
      </w:r>
      <w:r>
        <w:rPr>
          <w:rFonts w:hint="eastAsia" w:ascii="仿宋_GB2312" w:eastAsia="仿宋_GB2312"/>
          <w:sz w:val="32"/>
          <w:szCs w:val="32"/>
          <w:lang w:val="en-US" w:eastAsia="zh-CN"/>
        </w:rPr>
        <w:t>完成市</w:t>
      </w:r>
      <w:r>
        <w:rPr>
          <w:rFonts w:hint="eastAsia" w:ascii="仿宋_GB2312" w:eastAsia="仿宋_GB2312"/>
          <w:sz w:val="32"/>
          <w:szCs w:val="32"/>
        </w:rPr>
        <w:t>卫生健康委交办的其他</w:t>
      </w:r>
      <w:r>
        <w:rPr>
          <w:rFonts w:hint="eastAsia" w:ascii="仿宋_GB2312" w:eastAsia="仿宋_GB2312"/>
          <w:sz w:val="32"/>
          <w:szCs w:val="32"/>
          <w:lang w:val="en-US" w:eastAsia="zh-CN"/>
        </w:rPr>
        <w:t>任务。</w:t>
      </w:r>
    </w:p>
    <w:p>
      <w:pPr>
        <w:pStyle w:val="14"/>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left"/>
        <w:textAlignment w:val="auto"/>
        <w:outlineLvl w:val="1"/>
        <w:rPr>
          <w:rFonts w:hint="eastAsia" w:ascii="黑体" w:hAnsi="黑体" w:eastAsia="黑体" w:cs="黑体"/>
          <w:color w:val="auto"/>
          <w:sz w:val="32"/>
          <w:szCs w:val="32"/>
          <w:highlight w:val="none"/>
          <w:lang w:eastAsia="zh-CN"/>
        </w:rPr>
      </w:pPr>
      <w:bookmarkStart w:id="5" w:name="_Toc18502"/>
      <w:r>
        <w:rPr>
          <w:rFonts w:hint="eastAsia" w:ascii="黑体" w:hAnsi="黑体" w:eastAsia="黑体" w:cs="黑体"/>
          <w:color w:val="auto"/>
          <w:sz w:val="32"/>
          <w:szCs w:val="32"/>
          <w:highlight w:val="none"/>
          <w:lang w:eastAsia="zh-CN"/>
        </w:rPr>
        <w:t>二</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eastAsia="zh-CN"/>
        </w:rPr>
        <w:t>机构设置</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我单位为广元市卫生健康委员会下属二级预算单位，本单位无下属机构，设有内设机构0个。</w:t>
      </w:r>
    </w:p>
    <w:p>
      <w:pPr>
        <w:pStyle w:val="2"/>
        <w:rPr>
          <w:rFonts w:hint="eastAsia"/>
        </w:rPr>
      </w:pPr>
    </w:p>
    <w:p>
      <w:pPr>
        <w:pStyle w:val="3"/>
        <w:pageBreakBefore w:val="0"/>
        <w:widowControl w:val="0"/>
        <w:kinsoku/>
        <w:wordWrap/>
        <w:overflowPunct/>
        <w:topLinePunct w:val="0"/>
        <w:autoSpaceDE/>
        <w:autoSpaceDN/>
        <w:bidi w:val="0"/>
        <w:adjustRightInd/>
        <w:snapToGrid/>
        <w:spacing w:line="576" w:lineRule="exact"/>
        <w:ind w:right="440"/>
        <w:jc w:val="center"/>
        <w:textAlignment w:val="auto"/>
        <w:rPr>
          <w:rFonts w:hint="eastAsia" w:ascii="黑体" w:hAnsi="黑体" w:eastAsia="黑体"/>
          <w:color w:val="auto"/>
          <w:sz w:val="32"/>
          <w:szCs w:val="32"/>
          <w:highlight w:val="none"/>
          <w:lang w:eastAsia="zh-CN"/>
        </w:rPr>
      </w:pPr>
      <w:bookmarkStart w:id="6" w:name="_Toc6705"/>
      <w:r>
        <w:rPr>
          <w:rFonts w:hint="eastAsia" w:ascii="方正小标宋_GBK" w:hAnsi="方正小标宋_GBK" w:eastAsia="方正小标宋_GBK" w:cs="方正小标宋_GBK"/>
          <w:b w:val="0"/>
          <w:bCs/>
          <w:color w:val="auto"/>
          <w:highlight w:val="none"/>
        </w:rPr>
        <w:t xml:space="preserve">第二部分 </w:t>
      </w:r>
      <w:r>
        <w:rPr>
          <w:rFonts w:hint="eastAsia" w:ascii="方正小标宋_GBK" w:hAnsi="方正小标宋_GBK" w:eastAsia="方正小标宋_GBK" w:cs="方正小标宋_GBK"/>
          <w:b w:val="0"/>
          <w:bCs/>
          <w:color w:val="auto"/>
          <w:highlight w:val="none"/>
          <w:lang w:val="en-US" w:eastAsia="zh-CN"/>
        </w:rPr>
        <w:t>2023年度</w:t>
      </w:r>
      <w:r>
        <w:rPr>
          <w:rStyle w:val="19"/>
          <w:rFonts w:hint="eastAsia" w:ascii="方正小标宋_GBK" w:hAnsi="方正小标宋_GBK" w:eastAsia="方正小标宋_GBK" w:cs="方正小标宋_GBK"/>
          <w:b w:val="0"/>
          <w:bCs/>
          <w:color w:val="auto"/>
          <w:highlight w:val="none"/>
          <w:lang w:eastAsia="zh-CN"/>
        </w:rPr>
        <w:t>单位</w:t>
      </w:r>
      <w:r>
        <w:rPr>
          <w:rStyle w:val="19"/>
          <w:rFonts w:hint="eastAsia" w:ascii="方正小标宋_GBK" w:hAnsi="方正小标宋_GBK" w:eastAsia="方正小标宋_GBK" w:cs="方正小标宋_GBK"/>
          <w:b w:val="0"/>
          <w:bCs/>
          <w:color w:val="auto"/>
          <w:highlight w:val="none"/>
        </w:rPr>
        <w:t>决算情况说明</w:t>
      </w:r>
      <w:bookmarkEnd w:id="6"/>
    </w:p>
    <w:p>
      <w:pPr>
        <w:pStyle w:val="24"/>
        <w:pageBreakBefore w:val="0"/>
        <w:widowControl w:val="0"/>
        <w:numPr>
          <w:ilvl w:val="0"/>
          <w:numId w:val="0"/>
        </w:numPr>
        <w:kinsoku/>
        <w:wordWrap/>
        <w:overflowPunct/>
        <w:topLinePunct w:val="0"/>
        <w:autoSpaceDE/>
        <w:autoSpaceDN/>
        <w:bidi w:val="0"/>
        <w:adjustRightInd/>
        <w:snapToGrid/>
        <w:spacing w:line="576" w:lineRule="exact"/>
        <w:ind w:left="640" w:leftChars="0"/>
        <w:textAlignment w:val="auto"/>
        <w:outlineLvl w:val="1"/>
        <w:rPr>
          <w:rStyle w:val="20"/>
          <w:rFonts w:ascii="黑体" w:hAnsi="黑体" w:eastAsia="黑体"/>
          <w:b w:val="0"/>
          <w:color w:val="auto"/>
          <w:highlight w:val="none"/>
        </w:rPr>
      </w:pPr>
      <w:bookmarkStart w:id="7" w:name="_Toc27221"/>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7"/>
    </w:p>
    <w:p>
      <w:pPr>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168.69</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相比，收、支总计各增加</w:t>
      </w:r>
      <w:r>
        <w:rPr>
          <w:rFonts w:hint="eastAsia" w:ascii="仿宋_GB2312" w:hAnsi="仿宋_GB2312" w:eastAsia="仿宋_GB2312" w:cs="仿宋_GB2312"/>
          <w:color w:val="auto"/>
          <w:sz w:val="32"/>
          <w:szCs w:val="32"/>
          <w:highlight w:val="none"/>
          <w:lang w:val="en-US" w:eastAsia="zh-CN"/>
        </w:rPr>
        <w:t>0.26</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0.15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2023年考生数量稍有增加，考试工作项目支出稍有增加</w:t>
      </w:r>
      <w:r>
        <w:rPr>
          <w:rFonts w:hint="eastAsia" w:ascii="仿宋_GB2312" w:hAnsi="仿宋_GB2312" w:eastAsia="仿宋_GB2312" w:cs="仿宋_GB2312"/>
          <w:color w:val="auto"/>
          <w:sz w:val="32"/>
          <w:szCs w:val="32"/>
          <w:highlight w:val="none"/>
          <w:lang w:eastAsia="zh-CN"/>
        </w:rPr>
        <w:t>。</w:t>
      </w:r>
    </w:p>
    <w:p>
      <w:pPr>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59264" behindDoc="1" locked="0" layoutInCell="1" allowOverlap="1">
            <wp:simplePos x="0" y="0"/>
            <wp:positionH relativeFrom="column">
              <wp:posOffset>297180</wp:posOffset>
            </wp:positionH>
            <wp:positionV relativeFrom="paragraph">
              <wp:posOffset>43180</wp:posOffset>
            </wp:positionV>
            <wp:extent cx="4726305" cy="2861945"/>
            <wp:effectExtent l="4445" t="4445" r="12700" b="10160"/>
            <wp:wrapTight wrapText="bothSides">
              <wp:wrapPolygon>
                <wp:start x="-20" y="-34"/>
                <wp:lineTo x="-20" y="21533"/>
                <wp:lineTo x="21571" y="21533"/>
                <wp:lineTo x="21571" y="-34"/>
                <wp:lineTo x="-20" y="-34"/>
              </wp:wrapPolygon>
            </wp:wrapTight>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pageBreakBefore w:val="0"/>
        <w:widowControl w:val="0"/>
        <w:kinsoku/>
        <w:wordWrap/>
        <w:overflowPunct/>
        <w:topLinePunct w:val="0"/>
        <w:bidi w:val="0"/>
        <w:spacing w:line="576"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wordWrap/>
        <w:overflowPunct/>
        <w:topLinePunct w:val="0"/>
        <w:bidi w:val="0"/>
        <w:spacing w:line="576"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24"/>
        <w:pageBreakBefore w:val="0"/>
        <w:widowControl w:val="0"/>
        <w:numPr>
          <w:ilvl w:val="0"/>
          <w:numId w:val="0"/>
        </w:numPr>
        <w:kinsoku/>
        <w:wordWrap/>
        <w:overflowPunct/>
        <w:topLinePunct w:val="0"/>
        <w:bidi w:val="0"/>
        <w:spacing w:line="576" w:lineRule="exact"/>
        <w:ind w:left="640" w:leftChars="0"/>
        <w:textAlignment w:val="auto"/>
        <w:outlineLvl w:val="1"/>
        <w:rPr>
          <w:rStyle w:val="20"/>
          <w:rFonts w:ascii="黑体" w:hAnsi="黑体" w:eastAsia="黑体"/>
          <w:b w:val="0"/>
          <w:color w:val="auto"/>
          <w:highlight w:val="none"/>
        </w:rPr>
      </w:pPr>
      <w:bookmarkStart w:id="8" w:name="_Toc1708"/>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8"/>
    </w:p>
    <w:p>
      <w:pPr>
        <w:pageBreakBefore w:val="0"/>
        <w:widowControl w:val="0"/>
        <w:kinsoku/>
        <w:wordWrap/>
        <w:overflowPunct/>
        <w:topLinePunct w:val="0"/>
        <w:bidi w:val="0"/>
        <w:spacing w:line="576" w:lineRule="exact"/>
        <w:ind w:firstLine="640" w:firstLineChars="200"/>
        <w:textAlignment w:val="auto"/>
        <w:outlineLvl w:val="1"/>
        <w:rPr>
          <w:rFonts w:hint="eastAsia" w:ascii="仿宋_GB2312" w:hAnsi="仿宋_GB2312" w:eastAsia="仿宋_GB2312" w:cs="仿宋_GB2312"/>
          <w:color w:val="auto"/>
          <w:sz w:val="32"/>
          <w:szCs w:val="32"/>
          <w:highlight w:val="none"/>
        </w:rPr>
      </w:pPr>
      <w:bookmarkStart w:id="9" w:name="_Toc12307"/>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本年收入合计</w:t>
      </w:r>
      <w:r>
        <w:rPr>
          <w:rFonts w:hint="eastAsia" w:ascii="仿宋_GB2312" w:hAnsi="仿宋_GB2312" w:eastAsia="仿宋_GB2312" w:cs="仿宋_GB2312"/>
          <w:color w:val="auto"/>
          <w:sz w:val="32"/>
          <w:szCs w:val="32"/>
          <w:highlight w:val="none"/>
          <w:lang w:val="en-US" w:eastAsia="zh-CN"/>
        </w:rPr>
        <w:t>168.69</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168.67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99.99</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0.02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0.01</w:t>
      </w:r>
      <w:r>
        <w:rPr>
          <w:rFonts w:hint="eastAsia" w:ascii="仿宋_GB2312" w:hAnsi="仿宋_GB2312" w:eastAsia="仿宋_GB2312" w:cs="仿宋_GB2312"/>
          <w:color w:val="auto"/>
          <w:sz w:val="32"/>
          <w:szCs w:val="32"/>
          <w:highlight w:val="none"/>
        </w:rPr>
        <w:t>%。</w:t>
      </w:r>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4676140" cy="2360295"/>
            <wp:effectExtent l="4445" t="4445" r="5715"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ageBreakBefore w:val="0"/>
        <w:widowControl w:val="0"/>
        <w:kinsoku/>
        <w:wordWrap/>
        <w:overflowPunct/>
        <w:topLinePunct w:val="0"/>
        <w:bidi w:val="0"/>
        <w:spacing w:line="576" w:lineRule="exact"/>
        <w:ind w:firstLine="640" w:firstLineChars="200"/>
        <w:jc w:val="center"/>
        <w:textAlignment w:val="auto"/>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4"/>
        <w:pageBreakBefore w:val="0"/>
        <w:widowControl w:val="0"/>
        <w:numPr>
          <w:ilvl w:val="0"/>
          <w:numId w:val="0"/>
        </w:numPr>
        <w:kinsoku/>
        <w:wordWrap/>
        <w:overflowPunct/>
        <w:topLinePunct w:val="0"/>
        <w:bidi w:val="0"/>
        <w:spacing w:line="576" w:lineRule="exact"/>
        <w:ind w:left="640" w:leftChars="0"/>
        <w:textAlignment w:val="auto"/>
        <w:outlineLvl w:val="1"/>
        <w:rPr>
          <w:rStyle w:val="20"/>
          <w:rFonts w:ascii="黑体" w:hAnsi="黑体" w:eastAsia="黑体"/>
          <w:b w:val="0"/>
          <w:color w:val="auto"/>
          <w:highlight w:val="none"/>
        </w:rPr>
      </w:pPr>
      <w:bookmarkStart w:id="10" w:name="_Toc2698"/>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10"/>
    </w:p>
    <w:p>
      <w:pPr>
        <w:pageBreakBefore w:val="0"/>
        <w:widowControl w:val="0"/>
        <w:kinsoku/>
        <w:wordWrap/>
        <w:overflowPunct/>
        <w:topLinePunct w:val="0"/>
        <w:bidi w:val="0"/>
        <w:spacing w:line="576" w:lineRule="exact"/>
        <w:ind w:firstLine="640" w:firstLineChars="200"/>
        <w:textAlignment w:val="auto"/>
        <w:outlineLvl w:val="1"/>
        <w:rPr>
          <w:rFonts w:ascii="仿宋" w:hAnsi="仿宋" w:eastAsia="仿宋"/>
          <w:color w:val="auto"/>
          <w:sz w:val="32"/>
          <w:szCs w:val="32"/>
          <w:highlight w:val="none"/>
        </w:rPr>
      </w:pPr>
      <w:bookmarkStart w:id="11" w:name="_Toc16719"/>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168.69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59.7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67.92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40.3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1"/>
    </w:p>
    <w:p>
      <w:pPr>
        <w:pageBreakBefore w:val="0"/>
        <w:widowControl w:val="0"/>
        <w:kinsoku/>
        <w:wordWrap/>
        <w:overflowPunct/>
        <w:topLinePunct w:val="0"/>
        <w:bidi w:val="0"/>
        <w:spacing w:line="240" w:lineRule="auto"/>
        <w:ind w:firstLine="640"/>
        <w:textAlignment w:val="auto"/>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4389120" cy="2435860"/>
            <wp:effectExtent l="5080" t="4445" r="635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ageBreakBefore w:val="0"/>
        <w:widowControl w:val="0"/>
        <w:kinsoku/>
        <w:wordWrap/>
        <w:overflowPunct/>
        <w:topLinePunct w:val="0"/>
        <w:bidi w:val="0"/>
        <w:spacing w:line="576" w:lineRule="exact"/>
        <w:jc w:val="center"/>
        <w:textAlignment w:val="auto"/>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ageBreakBefore w:val="0"/>
        <w:widowControl w:val="0"/>
        <w:kinsoku/>
        <w:wordWrap/>
        <w:overflowPunct/>
        <w:topLinePunct w:val="0"/>
        <w:bidi w:val="0"/>
        <w:spacing w:line="576" w:lineRule="exact"/>
        <w:ind w:firstLine="640" w:firstLineChars="200"/>
        <w:textAlignment w:val="auto"/>
        <w:outlineLvl w:val="1"/>
        <w:rPr>
          <w:rStyle w:val="20"/>
          <w:rFonts w:ascii="黑体" w:hAnsi="黑体" w:eastAsia="黑体"/>
          <w:b w:val="0"/>
          <w:color w:val="auto"/>
          <w:highlight w:val="none"/>
        </w:rPr>
      </w:pPr>
      <w:bookmarkStart w:id="12" w:name="_Toc11251"/>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12"/>
    </w:p>
    <w:p>
      <w:pPr>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168.67</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相比，财政拨款收、支总计各增加</w:t>
      </w:r>
      <w:r>
        <w:rPr>
          <w:rFonts w:hint="eastAsia" w:ascii="仿宋_GB2312" w:hAnsi="仿宋_GB2312" w:eastAsia="仿宋_GB2312" w:cs="仿宋_GB2312"/>
          <w:color w:val="auto"/>
          <w:sz w:val="32"/>
          <w:szCs w:val="32"/>
          <w:highlight w:val="none"/>
          <w:lang w:val="en-US" w:eastAsia="zh-CN"/>
        </w:rPr>
        <w:t>0.24</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0.01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2023年考生数量稍有增加，考试工作项目支出稍有增加</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bidi w:val="0"/>
        <w:spacing w:line="240" w:lineRule="auto"/>
        <w:jc w:val="center"/>
        <w:textAlignment w:val="auto"/>
        <w:rPr>
          <w:rFonts w:hint="eastAsia" w:ascii="仿宋_GB2312" w:hAnsi="仿宋_GB2312" w:eastAsia="仿宋_GB2312" w:cs="仿宋_GB2312"/>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4836160" cy="2587625"/>
            <wp:effectExtent l="4445" t="4445" r="17145" b="177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ageBreakBefore w:val="0"/>
        <w:widowControl w:val="0"/>
        <w:kinsoku/>
        <w:wordWrap/>
        <w:overflowPunct/>
        <w:topLinePunct w:val="0"/>
        <w:bidi w:val="0"/>
        <w:spacing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color w:val="auto"/>
          <w:sz w:val="32"/>
          <w:szCs w:val="32"/>
          <w:highlight w:val="none"/>
        </w:rPr>
      </w:pPr>
    </w:p>
    <w:p>
      <w:pPr>
        <w:pageBreakBefore w:val="0"/>
        <w:widowControl w:val="0"/>
        <w:kinsoku/>
        <w:wordWrap/>
        <w:overflowPunct/>
        <w:topLinePunct w:val="0"/>
        <w:bidi w:val="0"/>
        <w:spacing w:line="576" w:lineRule="exact"/>
        <w:ind w:firstLine="640" w:firstLineChars="200"/>
        <w:textAlignment w:val="auto"/>
        <w:outlineLvl w:val="1"/>
        <w:rPr>
          <w:rStyle w:val="20"/>
          <w:rFonts w:ascii="黑体" w:hAnsi="黑体" w:eastAsia="黑体"/>
          <w:b w:val="0"/>
          <w:color w:val="auto"/>
          <w:highlight w:val="none"/>
        </w:rPr>
      </w:pPr>
      <w:bookmarkStart w:id="13" w:name="_Toc2326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13"/>
    </w:p>
    <w:p>
      <w:pPr>
        <w:pageBreakBefore w:val="0"/>
        <w:widowControl w:val="0"/>
        <w:kinsoku/>
        <w:wordWrap/>
        <w:overflowPunct/>
        <w:topLinePunct w:val="0"/>
        <w:bidi w:val="0"/>
        <w:spacing w:line="576" w:lineRule="exact"/>
        <w:ind w:firstLine="642" w:firstLineChars="200"/>
        <w:textAlignment w:val="auto"/>
        <w:outlineLvl w:val="2"/>
        <w:rPr>
          <w:rFonts w:hint="eastAsia" w:ascii="仿宋_GB2312" w:hAnsi="仿宋_GB2312" w:eastAsia="仿宋_GB2312" w:cs="仿宋_GB2312"/>
          <w:b/>
          <w:color w:val="auto"/>
          <w:sz w:val="32"/>
          <w:szCs w:val="32"/>
          <w:highlight w:val="none"/>
        </w:rPr>
      </w:pPr>
      <w:bookmarkStart w:id="14" w:name="_Toc28301"/>
      <w:r>
        <w:rPr>
          <w:rFonts w:hint="eastAsia" w:ascii="仿宋_GB2312" w:hAnsi="仿宋_GB2312" w:eastAsia="仿宋_GB2312" w:cs="仿宋_GB2312"/>
          <w:b/>
          <w:color w:val="auto"/>
          <w:sz w:val="32"/>
          <w:szCs w:val="32"/>
          <w:highlight w:val="none"/>
        </w:rPr>
        <w:t>（一）一般公共预算财政拨款支出决算总体情况</w:t>
      </w:r>
      <w:bookmarkEnd w:id="14"/>
    </w:p>
    <w:p>
      <w:pPr>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168.67</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99.9</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0.24</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0.01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2023年考生数量稍有增加，考试工作项目支出稍有增加</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bidi w:val="0"/>
        <w:spacing w:line="240" w:lineRule="auto"/>
        <w:textAlignment w:val="auto"/>
        <w:rPr>
          <w:rFonts w:hint="eastAsia" w:ascii="仿宋_GB2312" w:hAnsi="仿宋_GB2312" w:eastAsia="仿宋_GB2312" w:cs="仿宋_GB2312"/>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ageBreakBefore w:val="0"/>
        <w:widowControl w:val="0"/>
        <w:kinsoku/>
        <w:wordWrap/>
        <w:overflowPunct/>
        <w:topLinePunct w:val="0"/>
        <w:bidi w:val="0"/>
        <w:spacing w:line="576" w:lineRule="exact"/>
        <w:jc w:val="center"/>
        <w:textAlignment w:val="auto"/>
        <w:outlineLvl w:val="2"/>
        <w:rPr>
          <w:rFonts w:hint="eastAsia" w:ascii="仿宋_GB2312" w:hAnsi="仿宋_GB2312" w:eastAsia="仿宋_GB2312" w:cs="仿宋_GB2312"/>
          <w:color w:val="auto"/>
          <w:sz w:val="32"/>
          <w:szCs w:val="32"/>
          <w:highlight w:val="none"/>
        </w:rPr>
      </w:pPr>
      <w:bookmarkStart w:id="15" w:name="_Toc19301"/>
      <w:r>
        <w:rPr>
          <w:rFonts w:hint="eastAsia" w:ascii="仿宋_GB2312" w:hAnsi="仿宋_GB2312" w:eastAsia="仿宋_GB2312" w:cs="仿宋_GB2312"/>
          <w:color w:val="auto"/>
          <w:sz w:val="32"/>
          <w:szCs w:val="32"/>
          <w:highlight w:val="none"/>
        </w:rPr>
        <w:t>（图5：一般公共预算财政拨款支出决算变动情况）</w:t>
      </w:r>
      <w:bookmarkEnd w:id="15"/>
    </w:p>
    <w:p>
      <w:pPr>
        <w:pageBreakBefore w:val="0"/>
        <w:widowControl w:val="0"/>
        <w:kinsoku/>
        <w:wordWrap/>
        <w:overflowPunct/>
        <w:topLinePunct w:val="0"/>
        <w:bidi w:val="0"/>
        <w:spacing w:line="576" w:lineRule="exact"/>
        <w:ind w:firstLine="642" w:firstLineChars="200"/>
        <w:textAlignment w:val="auto"/>
        <w:outlineLvl w:val="2"/>
        <w:rPr>
          <w:rFonts w:hint="eastAsia" w:ascii="仿宋_GB2312" w:hAnsi="仿宋_GB2312" w:eastAsia="仿宋_GB2312" w:cs="仿宋_GB2312"/>
          <w:b/>
          <w:color w:val="auto"/>
          <w:sz w:val="32"/>
          <w:szCs w:val="32"/>
          <w:highlight w:val="none"/>
        </w:rPr>
      </w:pPr>
      <w:bookmarkStart w:id="16" w:name="_Toc16783"/>
      <w:r>
        <w:rPr>
          <w:rFonts w:hint="eastAsia" w:ascii="仿宋_GB2312" w:hAnsi="仿宋_GB2312" w:eastAsia="仿宋_GB2312" w:cs="仿宋_GB2312"/>
          <w:b/>
          <w:color w:val="auto"/>
          <w:sz w:val="32"/>
          <w:szCs w:val="32"/>
          <w:highlight w:val="none"/>
        </w:rPr>
        <w:t>（二）一般公共预算财政拨款支出决算结构情况</w:t>
      </w:r>
      <w:bookmarkEnd w:id="16"/>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168.67</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10.16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150.51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89.2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7.99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4.7</w:t>
      </w:r>
      <w:r>
        <w:rPr>
          <w:rFonts w:hint="eastAsia" w:ascii="仿宋_GB2312" w:hAnsi="仿宋_GB2312" w:eastAsia="仿宋_GB2312" w:cs="仿宋_GB2312"/>
          <w:color w:val="auto"/>
          <w:sz w:val="32"/>
          <w:szCs w:val="32"/>
          <w:highlight w:val="none"/>
        </w:rPr>
        <w:t>%。</w:t>
      </w:r>
    </w:p>
    <w:p>
      <w:pPr>
        <w:pageBreakBefore w:val="0"/>
        <w:widowControl w:val="0"/>
        <w:kinsoku/>
        <w:wordWrap/>
        <w:overflowPunct/>
        <w:topLinePunct w:val="0"/>
        <w:bidi w:val="0"/>
        <w:spacing w:line="240" w:lineRule="auto"/>
        <w:ind w:firstLine="640"/>
        <w:textAlignment w:val="auto"/>
        <w:rPr>
          <w:rFonts w:hint="eastAsia" w:ascii="仿宋_GB2312" w:hAnsi="仿宋_GB2312" w:eastAsia="仿宋_GB2312" w:cs="仿宋_GB2312"/>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4551680" cy="2626995"/>
            <wp:effectExtent l="4445" t="4445" r="15875"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ageBreakBefore w:val="0"/>
        <w:widowControl w:val="0"/>
        <w:kinsoku/>
        <w:wordWrap/>
        <w:overflowPunct/>
        <w:topLinePunct w:val="0"/>
        <w:bidi w:val="0"/>
        <w:spacing w:line="576" w:lineRule="exact"/>
        <w:ind w:firstLine="640" w:firstLineChars="200"/>
        <w:textAlignment w:val="auto"/>
        <w:rPr>
          <w:rFonts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pageBreakBefore w:val="0"/>
        <w:widowControl w:val="0"/>
        <w:kinsoku/>
        <w:wordWrap/>
        <w:overflowPunct/>
        <w:topLinePunct w:val="0"/>
        <w:bidi w:val="0"/>
        <w:spacing w:line="576" w:lineRule="exact"/>
        <w:ind w:firstLine="642" w:firstLineChars="200"/>
        <w:textAlignment w:val="auto"/>
        <w:outlineLvl w:val="2"/>
        <w:rPr>
          <w:rFonts w:hint="eastAsia" w:ascii="仿宋_GB2312" w:hAnsi="仿宋_GB2312" w:eastAsia="仿宋_GB2312" w:cs="仿宋_GB2312"/>
          <w:b/>
          <w:color w:val="auto"/>
          <w:sz w:val="32"/>
          <w:szCs w:val="32"/>
          <w:highlight w:val="none"/>
        </w:rPr>
      </w:pPr>
      <w:bookmarkStart w:id="17" w:name="_Toc31663"/>
      <w:r>
        <w:rPr>
          <w:rFonts w:hint="eastAsia" w:ascii="仿宋_GB2312" w:hAnsi="仿宋_GB2312" w:eastAsia="仿宋_GB2312" w:cs="仿宋_GB2312"/>
          <w:b/>
          <w:color w:val="auto"/>
          <w:sz w:val="32"/>
          <w:szCs w:val="32"/>
          <w:highlight w:val="none"/>
        </w:rPr>
        <w:t>（三）一般公共预算财政拨款支出决算具体情况</w:t>
      </w:r>
      <w:bookmarkEnd w:id="17"/>
    </w:p>
    <w:p>
      <w:pPr>
        <w:pageBreakBefore w:val="0"/>
        <w:widowControl w:val="0"/>
        <w:kinsoku/>
        <w:wordWrap/>
        <w:overflowPunct/>
        <w:topLinePunct w:val="0"/>
        <w:bidi w:val="0"/>
        <w:spacing w:line="576" w:lineRule="exact"/>
        <w:ind w:firstLine="642" w:firstLineChars="200"/>
        <w:textAlignment w:val="auto"/>
        <w:outlineLvl w:val="2"/>
        <w:rPr>
          <w:rFonts w:hint="eastAsia" w:ascii="仿宋_GB2312" w:hAnsi="仿宋_GB2312" w:eastAsia="仿宋_GB2312" w:cs="仿宋_GB2312"/>
          <w:color w:val="auto"/>
          <w:sz w:val="32"/>
          <w:szCs w:val="32"/>
          <w:highlight w:val="none"/>
        </w:rPr>
      </w:pPr>
      <w:bookmarkStart w:id="18" w:name="_Toc28519"/>
      <w:r>
        <w:rPr>
          <w:rFonts w:hint="eastAsia" w:ascii="仿宋_GB2312" w:hAnsi="仿宋_GB2312" w:eastAsia="仿宋_GB2312" w:cs="仿宋_GB2312"/>
          <w:b/>
          <w:color w:val="auto"/>
          <w:sz w:val="32"/>
          <w:szCs w:val="32"/>
          <w:highlight w:val="none"/>
          <w:lang w:eastAsia="zh-CN"/>
        </w:rPr>
        <w:t>2023</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度一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168.67</w:t>
      </w:r>
      <w:r>
        <w:rPr>
          <w:rFonts w:hint="eastAsia" w:ascii="仿宋_GB2312" w:hAnsi="仿宋_GB2312" w:eastAsia="仿宋_GB2312" w:cs="仿宋_GB2312"/>
          <w:b/>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Style w:val="18"/>
          <w:rFonts w:hint="eastAsia" w:ascii="仿宋_GB2312" w:hAnsi="仿宋_GB2312" w:eastAsia="仿宋_GB2312" w:cs="仿宋_GB2312"/>
          <w:bCs/>
          <w:color w:val="auto"/>
          <w:sz w:val="32"/>
          <w:szCs w:val="32"/>
          <w:highlight w:val="none"/>
        </w:rPr>
        <w:t>完成预算</w:t>
      </w:r>
      <w:r>
        <w:rPr>
          <w:rStyle w:val="18"/>
          <w:rFonts w:hint="eastAsia" w:ascii="仿宋_GB2312" w:hAnsi="仿宋_GB2312" w:eastAsia="仿宋_GB2312" w:cs="仿宋_GB2312"/>
          <w:bCs/>
          <w:color w:val="auto"/>
          <w:sz w:val="32"/>
          <w:szCs w:val="32"/>
          <w:highlight w:val="none"/>
          <w:lang w:val="en-US" w:eastAsia="zh-CN"/>
        </w:rPr>
        <w:t>100</w:t>
      </w:r>
      <w:r>
        <w:rPr>
          <w:rStyle w:val="18"/>
          <w:rFonts w:hint="eastAsia" w:ascii="仿宋_GB2312" w:hAnsi="仿宋_GB2312" w:eastAsia="仿宋_GB2312" w:cs="仿宋_GB2312"/>
          <w:bCs/>
          <w:color w:val="auto"/>
          <w:sz w:val="32"/>
          <w:szCs w:val="32"/>
          <w:highlight w:val="none"/>
        </w:rPr>
        <w:t>%。其中：</w:t>
      </w:r>
      <w:bookmarkEnd w:id="18"/>
    </w:p>
    <w:p>
      <w:pPr>
        <w:numPr>
          <w:ilvl w:val="0"/>
          <w:numId w:val="1"/>
        </w:numPr>
        <w:spacing w:beforeLines="0" w:afterLines="0" w:line="600" w:lineRule="exact"/>
        <w:ind w:left="0" w:leftChars="0" w:firstLine="400" w:firstLineChars="0"/>
        <w:rPr>
          <w:rStyle w:val="18"/>
          <w:rFonts w:hint="eastAsia" w:ascii="仿宋" w:eastAsia="仿宋"/>
          <w:b w:val="0"/>
          <w:bCs/>
          <w:color w:val="000000"/>
          <w:sz w:val="32"/>
          <w:szCs w:val="32"/>
        </w:rPr>
      </w:pPr>
      <w:r>
        <w:rPr>
          <w:rStyle w:val="18"/>
          <w:rFonts w:hint="eastAsia" w:ascii="仿宋" w:eastAsia="仿宋"/>
          <w:bCs/>
          <w:color w:val="000000"/>
          <w:sz w:val="32"/>
          <w:szCs w:val="32"/>
        </w:rPr>
        <w:t>社会保障和就业（类）行政事业单位养老支出（款）机关事业单位基本养老保险缴费支出（项）</w:t>
      </w:r>
      <w:r>
        <w:rPr>
          <w:rStyle w:val="18"/>
          <w:rFonts w:hint="eastAsia" w:ascii="仿宋" w:eastAsia="仿宋"/>
          <w:bCs/>
          <w:color w:val="000000"/>
          <w:sz w:val="32"/>
          <w:szCs w:val="32"/>
          <w:lang w:eastAsia="zh-CN"/>
        </w:rPr>
        <w:t>：</w:t>
      </w:r>
      <w:r>
        <w:rPr>
          <w:rStyle w:val="18"/>
          <w:rFonts w:hint="eastAsia" w:ascii="仿宋" w:eastAsia="仿宋"/>
          <w:b w:val="0"/>
          <w:bCs/>
          <w:color w:val="000000"/>
          <w:sz w:val="32"/>
          <w:szCs w:val="32"/>
          <w:lang w:eastAsia="zh-CN"/>
        </w:rPr>
        <w:t>支出</w:t>
      </w:r>
      <w:r>
        <w:rPr>
          <w:rStyle w:val="18"/>
          <w:rFonts w:hint="eastAsia" w:ascii="仿宋" w:eastAsia="仿宋"/>
          <w:b w:val="0"/>
          <w:bCs/>
          <w:color w:val="000000"/>
          <w:sz w:val="32"/>
          <w:szCs w:val="32"/>
          <w:lang w:val="en-US" w:eastAsia="zh-CN"/>
        </w:rPr>
        <w:t>决</w:t>
      </w:r>
      <w:r>
        <w:rPr>
          <w:rStyle w:val="18"/>
          <w:rFonts w:hint="eastAsia" w:ascii="仿宋" w:eastAsia="仿宋"/>
          <w:b w:val="0"/>
          <w:bCs/>
          <w:color w:val="000000"/>
          <w:sz w:val="32"/>
          <w:szCs w:val="32"/>
        </w:rPr>
        <w:t>算为</w:t>
      </w:r>
      <w:r>
        <w:rPr>
          <w:rStyle w:val="18"/>
          <w:rFonts w:hint="eastAsia" w:ascii="仿宋" w:eastAsia="仿宋"/>
          <w:b w:val="0"/>
          <w:bCs/>
          <w:color w:val="000000"/>
          <w:sz w:val="32"/>
          <w:szCs w:val="32"/>
          <w:lang w:val="en-US" w:eastAsia="zh-CN"/>
        </w:rPr>
        <w:t>9.45</w:t>
      </w:r>
      <w:r>
        <w:rPr>
          <w:rStyle w:val="18"/>
          <w:rFonts w:hint="eastAsia" w:ascii="仿宋" w:eastAsia="仿宋"/>
          <w:b w:val="0"/>
          <w:bCs/>
          <w:color w:val="000000"/>
          <w:sz w:val="32"/>
          <w:szCs w:val="32"/>
        </w:rPr>
        <w:t>万元，完成预算100%。</w:t>
      </w:r>
    </w:p>
    <w:p>
      <w:pPr>
        <w:numPr>
          <w:ilvl w:val="0"/>
          <w:numId w:val="1"/>
        </w:numPr>
        <w:spacing w:line="600" w:lineRule="exact"/>
        <w:ind w:left="0" w:leftChars="0" w:firstLine="400" w:firstLineChars="0"/>
        <w:rPr>
          <w:rStyle w:val="18"/>
          <w:rFonts w:hint="eastAsia" w:ascii="仿宋" w:hAnsi="Times New Roman" w:eastAsia="仿宋"/>
          <w:b w:val="0"/>
          <w:color w:val="000000"/>
          <w:sz w:val="32"/>
          <w:szCs w:val="24"/>
        </w:rPr>
      </w:pPr>
      <w:r>
        <w:rPr>
          <w:rStyle w:val="18"/>
          <w:rFonts w:hint="eastAsia" w:ascii="仿宋" w:hAnsi="Times New Roman" w:eastAsia="仿宋"/>
          <w:color w:val="000000"/>
          <w:sz w:val="32"/>
          <w:szCs w:val="24"/>
        </w:rPr>
        <w:t>社会保障和就业（类）行政事业单位养老支出（款）机关事业单位职业年金缴费支出（项）：</w:t>
      </w:r>
      <w:r>
        <w:rPr>
          <w:rStyle w:val="18"/>
          <w:rFonts w:hint="eastAsia" w:ascii="仿宋" w:hAnsi="Times New Roman" w:eastAsia="仿宋"/>
          <w:b w:val="0"/>
          <w:color w:val="000000"/>
          <w:sz w:val="32"/>
          <w:szCs w:val="24"/>
        </w:rPr>
        <w:t>支出决算为</w:t>
      </w:r>
      <w:r>
        <w:rPr>
          <w:rStyle w:val="18"/>
          <w:rFonts w:hint="eastAsia" w:ascii="仿宋" w:hAnsi="Times New Roman" w:eastAsia="仿宋"/>
          <w:b w:val="0"/>
          <w:color w:val="000000"/>
          <w:sz w:val="32"/>
          <w:szCs w:val="24"/>
          <w:lang w:val="en-US" w:eastAsia="zh-CN"/>
        </w:rPr>
        <w:t>0.63</w:t>
      </w:r>
      <w:r>
        <w:rPr>
          <w:rStyle w:val="18"/>
          <w:rFonts w:hint="eastAsia" w:ascii="仿宋" w:hAnsi="Times New Roman" w:eastAsia="仿宋"/>
          <w:b w:val="0"/>
          <w:color w:val="000000"/>
          <w:sz w:val="32"/>
          <w:szCs w:val="24"/>
        </w:rPr>
        <w:t>万元，完成预算100%。</w:t>
      </w:r>
    </w:p>
    <w:p>
      <w:pPr>
        <w:numPr>
          <w:ilvl w:val="0"/>
          <w:numId w:val="1"/>
        </w:numPr>
        <w:spacing w:line="600" w:lineRule="exact"/>
        <w:ind w:left="0" w:leftChars="0" w:firstLine="400" w:firstLineChars="0"/>
        <w:rPr>
          <w:rFonts w:hint="eastAsia"/>
        </w:rPr>
      </w:pPr>
      <w:r>
        <w:rPr>
          <w:rStyle w:val="18"/>
          <w:rFonts w:hint="eastAsia" w:ascii="仿宋" w:hAnsi="Times New Roman" w:eastAsia="仿宋"/>
          <w:color w:val="000000"/>
          <w:sz w:val="32"/>
          <w:szCs w:val="24"/>
        </w:rPr>
        <w:t>社会保障和就业（类）其他社会保障和就业支出（款）其他社会保障和就业支出（项）：</w:t>
      </w:r>
      <w:r>
        <w:rPr>
          <w:rStyle w:val="18"/>
          <w:rFonts w:hint="eastAsia" w:ascii="仿宋" w:hAnsi="Times New Roman" w:eastAsia="仿宋"/>
          <w:b w:val="0"/>
          <w:color w:val="000000"/>
          <w:sz w:val="32"/>
          <w:szCs w:val="24"/>
        </w:rPr>
        <w:t>支出决算为0.</w:t>
      </w:r>
      <w:r>
        <w:rPr>
          <w:rStyle w:val="18"/>
          <w:rFonts w:hint="eastAsia" w:ascii="仿宋" w:hAnsi="Times New Roman" w:eastAsia="仿宋"/>
          <w:b w:val="0"/>
          <w:color w:val="000000"/>
          <w:sz w:val="32"/>
          <w:szCs w:val="24"/>
          <w:lang w:val="en-US" w:eastAsia="zh-CN"/>
        </w:rPr>
        <w:t>07</w:t>
      </w:r>
      <w:r>
        <w:rPr>
          <w:rStyle w:val="18"/>
          <w:rFonts w:hint="eastAsia" w:ascii="仿宋" w:hAnsi="Times New Roman" w:eastAsia="仿宋"/>
          <w:b w:val="0"/>
          <w:color w:val="000000"/>
          <w:sz w:val="32"/>
          <w:szCs w:val="24"/>
        </w:rPr>
        <w:t>万元，完成预算100%。</w:t>
      </w:r>
    </w:p>
    <w:p>
      <w:pPr>
        <w:numPr>
          <w:ilvl w:val="0"/>
          <w:numId w:val="1"/>
        </w:numPr>
        <w:spacing w:line="600" w:lineRule="exact"/>
        <w:ind w:left="0" w:leftChars="0" w:firstLine="400" w:firstLineChars="0"/>
        <w:rPr>
          <w:rStyle w:val="18"/>
          <w:rFonts w:hint="eastAsia" w:ascii="仿宋" w:eastAsia="仿宋"/>
          <w:b w:val="0"/>
          <w:bCs/>
          <w:color w:val="000000"/>
          <w:sz w:val="32"/>
          <w:szCs w:val="32"/>
        </w:rPr>
      </w:pPr>
      <w:r>
        <w:rPr>
          <w:rFonts w:hint="eastAsia" w:ascii="仿宋" w:eastAsia="仿宋"/>
          <w:b/>
          <w:bCs/>
          <w:color w:val="000000"/>
          <w:sz w:val="32"/>
          <w:szCs w:val="32"/>
          <w:highlight w:val="none"/>
        </w:rPr>
        <w:t>卫生健康</w:t>
      </w:r>
      <w:r>
        <w:rPr>
          <w:rStyle w:val="18"/>
          <w:rFonts w:hint="eastAsia" w:ascii="仿宋" w:eastAsia="仿宋"/>
          <w:bCs/>
          <w:color w:val="000000"/>
          <w:sz w:val="32"/>
          <w:szCs w:val="32"/>
          <w:highlight w:val="none"/>
        </w:rPr>
        <w:t>（类）卫生健康管理事务（款）其他卫生健康管理事务支出（项）:</w:t>
      </w:r>
      <w:r>
        <w:rPr>
          <w:rStyle w:val="18"/>
          <w:rFonts w:hint="eastAsia" w:ascii="仿宋" w:eastAsia="仿宋"/>
          <w:bCs/>
          <w:color w:val="000000"/>
          <w:sz w:val="32"/>
          <w:szCs w:val="32"/>
          <w:highlight w:val="none"/>
          <w:lang w:eastAsia="zh-CN"/>
        </w:rPr>
        <w:t>：</w:t>
      </w:r>
      <w:r>
        <w:rPr>
          <w:rStyle w:val="18"/>
          <w:rFonts w:hint="eastAsia" w:ascii="仿宋" w:eastAsia="仿宋"/>
          <w:b w:val="0"/>
          <w:bCs w:val="0"/>
          <w:color w:val="000000"/>
          <w:sz w:val="32"/>
          <w:szCs w:val="32"/>
          <w:highlight w:val="none"/>
          <w:lang w:eastAsia="zh-CN"/>
        </w:rPr>
        <w:t>出决算为</w:t>
      </w:r>
      <w:r>
        <w:rPr>
          <w:rStyle w:val="18"/>
          <w:rFonts w:hint="eastAsia" w:ascii="仿宋" w:eastAsia="仿宋" w:hAnsiTheme="minorHAnsi" w:cstheme="minorBidi"/>
          <w:b w:val="0"/>
          <w:bCs/>
          <w:color w:val="000000"/>
          <w:sz w:val="32"/>
          <w:szCs w:val="32"/>
          <w:lang w:val="en-US" w:eastAsia="zh-CN"/>
        </w:rPr>
        <w:t>72.12万元，完成预算100%。</w:t>
      </w:r>
    </w:p>
    <w:p>
      <w:pPr>
        <w:numPr>
          <w:ilvl w:val="0"/>
          <w:numId w:val="1"/>
        </w:numPr>
        <w:spacing w:beforeLines="0" w:afterLines="0" w:line="600" w:lineRule="exact"/>
        <w:ind w:left="0" w:leftChars="0" w:firstLine="400" w:firstLineChars="0"/>
        <w:rPr>
          <w:rStyle w:val="18"/>
          <w:rFonts w:hint="eastAsia" w:ascii="仿宋" w:eastAsia="仿宋"/>
          <w:b w:val="0"/>
          <w:bCs/>
          <w:color w:val="000000"/>
          <w:sz w:val="32"/>
          <w:szCs w:val="32"/>
          <w:highlight w:val="none"/>
          <w:lang w:val="en-US" w:eastAsia="zh-CN"/>
        </w:rPr>
      </w:pPr>
      <w:r>
        <w:rPr>
          <w:rFonts w:hint="eastAsia" w:ascii="仿宋" w:eastAsia="仿宋"/>
          <w:b/>
          <w:bCs/>
          <w:color w:val="000000"/>
          <w:sz w:val="32"/>
          <w:szCs w:val="32"/>
          <w:highlight w:val="none"/>
        </w:rPr>
        <w:t>卫生健康</w:t>
      </w:r>
      <w:r>
        <w:rPr>
          <w:rStyle w:val="18"/>
          <w:rFonts w:hint="eastAsia" w:ascii="仿宋" w:eastAsia="仿宋"/>
          <w:bCs/>
          <w:color w:val="000000"/>
          <w:sz w:val="32"/>
          <w:szCs w:val="32"/>
          <w:highlight w:val="none"/>
        </w:rPr>
        <w:t>（类）公共卫生（款）其他专业公共卫生机构（项）:</w:t>
      </w:r>
      <w:r>
        <w:rPr>
          <w:rStyle w:val="18"/>
          <w:rFonts w:hint="eastAsia" w:ascii="仿宋" w:eastAsia="仿宋"/>
          <w:bCs/>
          <w:color w:val="000000"/>
          <w:sz w:val="32"/>
          <w:szCs w:val="32"/>
          <w:highlight w:val="none"/>
          <w:lang w:eastAsia="zh-CN"/>
        </w:rPr>
        <w:t>：</w:t>
      </w:r>
      <w:r>
        <w:rPr>
          <w:rStyle w:val="18"/>
          <w:rFonts w:hint="eastAsia" w:ascii="仿宋" w:eastAsia="仿宋"/>
          <w:b w:val="0"/>
          <w:bCs w:val="0"/>
          <w:color w:val="000000"/>
          <w:sz w:val="32"/>
          <w:szCs w:val="32"/>
          <w:highlight w:val="none"/>
          <w:lang w:eastAsia="zh-CN"/>
        </w:rPr>
        <w:t>出决算为</w:t>
      </w:r>
      <w:r>
        <w:rPr>
          <w:rStyle w:val="18"/>
          <w:rFonts w:hint="eastAsia" w:ascii="仿宋" w:eastAsia="仿宋"/>
          <w:b w:val="0"/>
          <w:bCs/>
          <w:color w:val="000000"/>
          <w:sz w:val="32"/>
          <w:szCs w:val="32"/>
          <w:highlight w:val="none"/>
          <w:lang w:val="en-US" w:eastAsia="zh-CN"/>
        </w:rPr>
        <w:t>5.74</w:t>
      </w:r>
      <w:r>
        <w:rPr>
          <w:rStyle w:val="18"/>
          <w:rFonts w:hint="eastAsia" w:ascii="仿宋" w:eastAsia="仿宋"/>
          <w:b w:val="0"/>
          <w:bCs/>
          <w:color w:val="000000"/>
          <w:sz w:val="32"/>
          <w:szCs w:val="32"/>
          <w:highlight w:val="none"/>
        </w:rPr>
        <w:t>万元，完成预算</w:t>
      </w:r>
      <w:r>
        <w:rPr>
          <w:rStyle w:val="18"/>
          <w:rFonts w:hint="eastAsia" w:ascii="仿宋" w:eastAsia="仿宋"/>
          <w:b w:val="0"/>
          <w:bCs/>
          <w:color w:val="000000"/>
          <w:sz w:val="32"/>
          <w:szCs w:val="32"/>
          <w:highlight w:val="none"/>
          <w:lang w:val="en-US" w:eastAsia="zh-CN"/>
        </w:rPr>
        <w:t>100</w:t>
      </w:r>
      <w:r>
        <w:rPr>
          <w:rStyle w:val="18"/>
          <w:rFonts w:hint="eastAsia" w:ascii="仿宋" w:eastAsia="仿宋"/>
          <w:b w:val="0"/>
          <w:bCs/>
          <w:color w:val="000000"/>
          <w:sz w:val="32"/>
          <w:szCs w:val="32"/>
          <w:highlight w:val="none"/>
        </w:rPr>
        <w:t>%</w:t>
      </w:r>
      <w:r>
        <w:rPr>
          <w:rStyle w:val="18"/>
          <w:rFonts w:hint="eastAsia" w:ascii="仿宋" w:eastAsia="仿宋"/>
          <w:b w:val="0"/>
          <w:bCs/>
          <w:color w:val="000000"/>
          <w:sz w:val="32"/>
          <w:szCs w:val="32"/>
          <w:highlight w:val="none"/>
          <w:lang w:val="en-US" w:eastAsia="zh-CN"/>
        </w:rPr>
        <w:t>。</w:t>
      </w:r>
    </w:p>
    <w:p>
      <w:pPr>
        <w:numPr>
          <w:ilvl w:val="0"/>
          <w:numId w:val="1"/>
        </w:numPr>
        <w:spacing w:beforeLines="0" w:afterLines="0" w:line="600" w:lineRule="exact"/>
        <w:ind w:left="0" w:leftChars="0" w:firstLine="400" w:firstLineChars="0"/>
        <w:rPr>
          <w:rStyle w:val="18"/>
          <w:rFonts w:hint="eastAsia" w:ascii="仿宋" w:hAnsi="Times New Roman" w:eastAsia="仿宋"/>
          <w:b w:val="0"/>
          <w:color w:val="000000"/>
          <w:sz w:val="32"/>
          <w:szCs w:val="24"/>
        </w:rPr>
      </w:pPr>
      <w:r>
        <w:rPr>
          <w:rFonts w:hint="eastAsia" w:ascii="仿宋" w:eastAsia="仿宋"/>
          <w:b/>
          <w:color w:val="000000"/>
          <w:sz w:val="32"/>
          <w:szCs w:val="32"/>
        </w:rPr>
        <w:t>卫生健康</w:t>
      </w:r>
      <w:r>
        <w:rPr>
          <w:rStyle w:val="18"/>
          <w:rFonts w:hint="eastAsia" w:ascii="仿宋" w:hAnsi="Times New Roman" w:eastAsia="仿宋"/>
          <w:color w:val="000000"/>
          <w:sz w:val="32"/>
          <w:szCs w:val="24"/>
        </w:rPr>
        <w:t>（类）公共卫生（款）重大公共卫生服务（项）:</w:t>
      </w:r>
      <w:r>
        <w:rPr>
          <w:rStyle w:val="18"/>
          <w:rFonts w:hint="eastAsia" w:ascii="仿宋" w:hAnsi="Times New Roman" w:eastAsia="仿宋"/>
          <w:color w:val="000000"/>
          <w:sz w:val="32"/>
          <w:szCs w:val="24"/>
          <w:lang w:eastAsia="zh-CN"/>
        </w:rPr>
        <w:t>：</w:t>
      </w:r>
      <w:r>
        <w:rPr>
          <w:rStyle w:val="18"/>
          <w:rFonts w:hint="eastAsia" w:ascii="仿宋" w:hAnsi="Times New Roman" w:eastAsia="仿宋"/>
          <w:b w:val="0"/>
          <w:color w:val="000000"/>
          <w:sz w:val="32"/>
          <w:szCs w:val="24"/>
        </w:rPr>
        <w:t>出决算为</w:t>
      </w:r>
      <w:r>
        <w:rPr>
          <w:rStyle w:val="18"/>
          <w:rFonts w:hint="eastAsia" w:ascii="仿宋" w:hAnsi="Times New Roman" w:eastAsia="仿宋"/>
          <w:b w:val="0"/>
          <w:color w:val="000000"/>
          <w:sz w:val="32"/>
          <w:szCs w:val="24"/>
          <w:lang w:val="en-US" w:eastAsia="zh-CN"/>
        </w:rPr>
        <w:t>1.21</w:t>
      </w:r>
      <w:r>
        <w:rPr>
          <w:rStyle w:val="18"/>
          <w:rFonts w:hint="eastAsia" w:ascii="仿宋" w:hAnsi="Times New Roman" w:eastAsia="仿宋"/>
          <w:b w:val="0"/>
          <w:color w:val="000000"/>
          <w:sz w:val="32"/>
          <w:szCs w:val="24"/>
        </w:rPr>
        <w:t>万元，完成预算100%。</w:t>
      </w:r>
    </w:p>
    <w:p>
      <w:pPr>
        <w:numPr>
          <w:ilvl w:val="0"/>
          <w:numId w:val="1"/>
        </w:numPr>
        <w:spacing w:beforeLines="0" w:afterLines="0" w:line="600" w:lineRule="exact"/>
        <w:ind w:left="0" w:leftChars="0" w:firstLine="400" w:firstLineChars="0"/>
        <w:rPr>
          <w:rStyle w:val="18"/>
          <w:rFonts w:hint="eastAsia" w:ascii="仿宋" w:eastAsia="仿宋"/>
          <w:b w:val="0"/>
          <w:bCs/>
          <w:color w:val="000000"/>
          <w:sz w:val="32"/>
          <w:szCs w:val="32"/>
          <w:highlight w:val="none"/>
        </w:rPr>
      </w:pPr>
      <w:r>
        <w:rPr>
          <w:rFonts w:hint="eastAsia" w:ascii="仿宋" w:eastAsia="仿宋"/>
          <w:b/>
          <w:color w:val="000000"/>
          <w:sz w:val="32"/>
          <w:szCs w:val="32"/>
        </w:rPr>
        <w:t>卫生健康</w:t>
      </w:r>
      <w:r>
        <w:rPr>
          <w:rStyle w:val="18"/>
          <w:rFonts w:hint="eastAsia" w:ascii="仿宋" w:hAnsi="Times New Roman" w:eastAsia="仿宋"/>
          <w:color w:val="000000"/>
          <w:sz w:val="32"/>
          <w:szCs w:val="24"/>
        </w:rPr>
        <w:t>（类）公共卫生（款）其他公共卫生支出（项）:</w:t>
      </w:r>
      <w:r>
        <w:rPr>
          <w:rStyle w:val="18"/>
          <w:rFonts w:hint="eastAsia" w:ascii="仿宋" w:hAnsi="Times New Roman" w:eastAsia="仿宋"/>
          <w:color w:val="000000"/>
          <w:sz w:val="32"/>
          <w:szCs w:val="24"/>
          <w:lang w:eastAsia="zh-CN"/>
        </w:rPr>
        <w:t>：</w:t>
      </w:r>
      <w:r>
        <w:rPr>
          <w:rStyle w:val="18"/>
          <w:rFonts w:hint="eastAsia" w:ascii="仿宋" w:hAnsi="Times New Roman" w:eastAsia="仿宋"/>
          <w:b w:val="0"/>
          <w:color w:val="000000"/>
          <w:sz w:val="32"/>
          <w:szCs w:val="24"/>
        </w:rPr>
        <w:t>出决算为</w:t>
      </w:r>
      <w:r>
        <w:rPr>
          <w:rStyle w:val="18"/>
          <w:rFonts w:hint="eastAsia" w:ascii="仿宋" w:hAnsi="Times New Roman" w:eastAsia="仿宋"/>
          <w:b w:val="0"/>
          <w:color w:val="000000"/>
          <w:sz w:val="32"/>
          <w:szCs w:val="24"/>
          <w:lang w:val="en-US" w:eastAsia="zh-CN"/>
        </w:rPr>
        <w:t>62.96</w:t>
      </w:r>
      <w:r>
        <w:rPr>
          <w:rStyle w:val="18"/>
          <w:rFonts w:hint="eastAsia" w:ascii="仿宋" w:hAnsi="Times New Roman" w:eastAsia="仿宋"/>
          <w:b w:val="0"/>
          <w:color w:val="000000"/>
          <w:sz w:val="32"/>
          <w:szCs w:val="24"/>
        </w:rPr>
        <w:t>万元，完成预算100%。</w:t>
      </w:r>
    </w:p>
    <w:p>
      <w:pPr>
        <w:numPr>
          <w:ilvl w:val="0"/>
          <w:numId w:val="1"/>
        </w:numPr>
        <w:spacing w:beforeLines="0" w:afterLines="0" w:line="600" w:lineRule="exact"/>
        <w:ind w:left="0" w:leftChars="0" w:firstLine="400" w:firstLineChars="0"/>
        <w:rPr>
          <w:rStyle w:val="18"/>
          <w:rFonts w:hint="eastAsia" w:ascii="仿宋" w:eastAsia="仿宋"/>
          <w:b w:val="0"/>
          <w:bCs/>
          <w:color w:val="000000"/>
          <w:sz w:val="32"/>
          <w:szCs w:val="32"/>
        </w:rPr>
      </w:pPr>
      <w:r>
        <w:rPr>
          <w:rFonts w:hint="eastAsia" w:ascii="仿宋" w:eastAsia="仿宋"/>
          <w:b/>
          <w:bCs/>
          <w:color w:val="000000"/>
          <w:sz w:val="32"/>
          <w:szCs w:val="32"/>
        </w:rPr>
        <w:t>卫生健康</w:t>
      </w:r>
      <w:r>
        <w:rPr>
          <w:rStyle w:val="18"/>
          <w:rFonts w:hint="eastAsia" w:ascii="仿宋" w:eastAsia="仿宋"/>
          <w:bCs/>
          <w:color w:val="000000"/>
          <w:sz w:val="32"/>
          <w:szCs w:val="32"/>
        </w:rPr>
        <w:t>（类）行政事业单位医疗（款）事业单位医疗（项）:</w:t>
      </w:r>
      <w:r>
        <w:rPr>
          <w:rStyle w:val="18"/>
          <w:rFonts w:hint="eastAsia" w:ascii="仿宋" w:eastAsia="仿宋"/>
          <w:bCs/>
          <w:color w:val="000000"/>
          <w:sz w:val="32"/>
          <w:szCs w:val="32"/>
          <w:lang w:eastAsia="zh-CN"/>
        </w:rPr>
        <w:t>：出决算为</w:t>
      </w:r>
      <w:r>
        <w:rPr>
          <w:rStyle w:val="18"/>
          <w:rFonts w:hint="eastAsia" w:ascii="仿宋" w:eastAsia="仿宋"/>
          <w:b w:val="0"/>
          <w:bCs/>
          <w:color w:val="000000"/>
          <w:sz w:val="32"/>
          <w:szCs w:val="32"/>
          <w:lang w:val="en-US" w:eastAsia="zh-CN"/>
        </w:rPr>
        <w:t>3.01</w:t>
      </w:r>
      <w:r>
        <w:rPr>
          <w:rStyle w:val="18"/>
          <w:rFonts w:hint="eastAsia" w:ascii="仿宋" w:eastAsia="仿宋"/>
          <w:b w:val="0"/>
          <w:bCs/>
          <w:color w:val="000000"/>
          <w:sz w:val="32"/>
          <w:szCs w:val="32"/>
        </w:rPr>
        <w:t>万元，完成预算100%。</w:t>
      </w:r>
    </w:p>
    <w:p>
      <w:pPr>
        <w:numPr>
          <w:ilvl w:val="0"/>
          <w:numId w:val="1"/>
        </w:numPr>
        <w:spacing w:beforeLines="0" w:afterLines="0" w:line="600" w:lineRule="exact"/>
        <w:ind w:left="0" w:leftChars="0" w:firstLine="400" w:firstLineChars="0"/>
        <w:rPr>
          <w:rFonts w:hint="eastAsia"/>
        </w:rPr>
      </w:pPr>
      <w:r>
        <w:rPr>
          <w:rFonts w:hint="eastAsia" w:ascii="仿宋" w:eastAsia="仿宋"/>
          <w:b/>
          <w:color w:val="000000"/>
          <w:sz w:val="32"/>
          <w:szCs w:val="32"/>
        </w:rPr>
        <w:t>卫生健康</w:t>
      </w:r>
      <w:r>
        <w:rPr>
          <w:rStyle w:val="18"/>
          <w:rFonts w:hint="eastAsia" w:ascii="仿宋" w:hAnsi="Times New Roman" w:eastAsia="仿宋"/>
          <w:color w:val="000000"/>
          <w:sz w:val="32"/>
          <w:szCs w:val="24"/>
        </w:rPr>
        <w:t>（类）其他卫生健康支出（款）其他卫生健康支出（项）:</w:t>
      </w:r>
      <w:r>
        <w:rPr>
          <w:rStyle w:val="18"/>
          <w:rFonts w:hint="eastAsia" w:ascii="仿宋" w:hAnsi="Times New Roman" w:eastAsia="仿宋"/>
          <w:color w:val="000000"/>
          <w:sz w:val="32"/>
          <w:szCs w:val="24"/>
          <w:lang w:eastAsia="zh-CN"/>
        </w:rPr>
        <w:t>：</w:t>
      </w:r>
      <w:r>
        <w:rPr>
          <w:rStyle w:val="18"/>
          <w:rFonts w:hint="eastAsia" w:ascii="仿宋" w:hAnsi="Times New Roman" w:eastAsia="仿宋"/>
          <w:color w:val="000000"/>
          <w:sz w:val="32"/>
          <w:szCs w:val="24"/>
        </w:rPr>
        <w:t>出决算为</w:t>
      </w:r>
      <w:r>
        <w:rPr>
          <w:rStyle w:val="18"/>
          <w:rFonts w:hint="eastAsia" w:ascii="仿宋" w:hAnsi="Times New Roman" w:eastAsia="仿宋"/>
          <w:b w:val="0"/>
          <w:color w:val="000000"/>
          <w:sz w:val="32"/>
          <w:szCs w:val="24"/>
          <w:lang w:val="en-US" w:eastAsia="zh-CN"/>
        </w:rPr>
        <w:t>5.46</w:t>
      </w:r>
      <w:r>
        <w:rPr>
          <w:rStyle w:val="18"/>
          <w:rFonts w:hint="eastAsia" w:ascii="仿宋" w:hAnsi="Times New Roman" w:eastAsia="仿宋"/>
          <w:b w:val="0"/>
          <w:color w:val="000000"/>
          <w:sz w:val="32"/>
          <w:szCs w:val="24"/>
        </w:rPr>
        <w:t>万元，完成预算100%。</w:t>
      </w:r>
    </w:p>
    <w:p>
      <w:pPr>
        <w:numPr>
          <w:ilvl w:val="0"/>
          <w:numId w:val="1"/>
        </w:numPr>
        <w:spacing w:line="600" w:lineRule="exact"/>
        <w:ind w:left="0" w:leftChars="0" w:firstLine="400" w:firstLineChars="0"/>
        <w:rPr>
          <w:rFonts w:ascii="仿宋" w:hAnsi="仿宋" w:eastAsia="仿宋"/>
          <w:b/>
          <w:color w:val="auto"/>
          <w:sz w:val="32"/>
          <w:szCs w:val="32"/>
          <w:highlight w:val="none"/>
        </w:rPr>
      </w:pPr>
      <w:r>
        <w:rPr>
          <w:rFonts w:hint="eastAsia" w:ascii="仿宋" w:eastAsia="仿宋"/>
          <w:b/>
          <w:bCs/>
          <w:color w:val="000000"/>
          <w:sz w:val="32"/>
          <w:szCs w:val="32"/>
        </w:rPr>
        <w:t>住房保障支出</w:t>
      </w:r>
      <w:r>
        <w:rPr>
          <w:rStyle w:val="18"/>
          <w:rFonts w:hint="eastAsia" w:ascii="仿宋" w:eastAsia="仿宋"/>
          <w:bCs/>
          <w:color w:val="000000"/>
          <w:sz w:val="32"/>
          <w:szCs w:val="32"/>
        </w:rPr>
        <w:t>（类）住房改革支出（款）住房公积金（项）:</w:t>
      </w:r>
      <w:r>
        <w:rPr>
          <w:rStyle w:val="18"/>
          <w:rFonts w:hint="eastAsia" w:ascii="仿宋" w:eastAsia="仿宋"/>
          <w:bCs/>
          <w:color w:val="000000"/>
          <w:sz w:val="32"/>
          <w:szCs w:val="32"/>
          <w:lang w:eastAsia="zh-CN"/>
        </w:rPr>
        <w:t>：出决算为</w:t>
      </w:r>
      <w:r>
        <w:rPr>
          <w:rStyle w:val="18"/>
          <w:rFonts w:hint="eastAsia" w:ascii="仿宋" w:eastAsia="仿宋"/>
          <w:b w:val="0"/>
          <w:bCs/>
          <w:color w:val="000000"/>
          <w:sz w:val="32"/>
          <w:szCs w:val="32"/>
          <w:lang w:val="en-US" w:eastAsia="zh-CN"/>
        </w:rPr>
        <w:t>7.99</w:t>
      </w:r>
      <w:r>
        <w:rPr>
          <w:rStyle w:val="18"/>
          <w:rFonts w:hint="eastAsia" w:ascii="仿宋" w:eastAsia="仿宋"/>
          <w:b w:val="0"/>
          <w:bCs/>
          <w:color w:val="000000"/>
          <w:sz w:val="32"/>
          <w:szCs w:val="32"/>
        </w:rPr>
        <w:t>万元，完成预算100%。</w:t>
      </w:r>
    </w:p>
    <w:p>
      <w:pPr>
        <w:pageBreakBefore w:val="0"/>
        <w:widowControl w:val="0"/>
        <w:tabs>
          <w:tab w:val="right" w:pos="8306"/>
        </w:tabs>
        <w:kinsoku/>
        <w:wordWrap/>
        <w:overflowPunct/>
        <w:topLinePunct w:val="0"/>
        <w:bidi w:val="0"/>
        <w:spacing w:line="576" w:lineRule="exact"/>
        <w:ind w:firstLine="640"/>
        <w:textAlignment w:val="auto"/>
        <w:outlineLvl w:val="1"/>
        <w:rPr>
          <w:rStyle w:val="20"/>
          <w:color w:val="auto"/>
          <w:highlight w:val="none"/>
        </w:rPr>
      </w:pPr>
      <w:bookmarkStart w:id="19" w:name="_Toc157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19"/>
      <w:r>
        <w:rPr>
          <w:rStyle w:val="20"/>
          <w:rFonts w:ascii="黑体" w:hAnsi="黑体" w:eastAsia="黑体"/>
          <w:b w:val="0"/>
          <w:color w:val="auto"/>
          <w:highlight w:val="none"/>
        </w:rPr>
        <w:tab/>
      </w:r>
    </w:p>
    <w:p>
      <w:pPr>
        <w:pageBreakBefore w:val="0"/>
        <w:widowControl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val="en-US" w:eastAsia="zh-CN"/>
        </w:rPr>
        <w:t>168.67</w:t>
      </w:r>
      <w:r>
        <w:rPr>
          <w:rFonts w:hint="eastAsia" w:ascii="仿宋_GB2312" w:hAnsi="仿宋_GB2312" w:eastAsia="仿宋_GB2312" w:cs="仿宋_GB2312"/>
          <w:color w:val="auto"/>
          <w:sz w:val="32"/>
          <w:szCs w:val="32"/>
          <w:highlight w:val="none"/>
        </w:rPr>
        <w:t>万元，其中：</w:t>
      </w:r>
    </w:p>
    <w:p>
      <w:pPr>
        <w:pageBreakBefore w:val="0"/>
        <w:widowControl w:val="0"/>
        <w:kinsoku/>
        <w:wordWrap/>
        <w:overflowPunct/>
        <w:topLinePunct w:val="0"/>
        <w:bidi w:val="0"/>
        <w:spacing w:line="576" w:lineRule="exact"/>
        <w:ind w:firstLine="645"/>
        <w:textAlignment w:val="auto"/>
        <w:rPr>
          <w:rFonts w:ascii="仿宋" w:hAnsi="仿宋" w:eastAsia="仿宋"/>
          <w:b/>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92.75</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万元，主要包括：基本工资、津贴补贴、奖金、绩效工资、机关事业单位基本养老保险缴费、职业年金缴费、职工基本医疗保险缴费</w:t>
      </w:r>
      <w:r>
        <w:rPr>
          <w:rFonts w:hint="eastAsia" w:ascii="仿宋_GB2312" w:hAnsi="仿宋_GB2312" w:eastAsia="仿宋_GB2312" w:cs="仿宋_GB2312"/>
          <w:color w:val="auto"/>
          <w:sz w:val="32"/>
          <w:szCs w:val="32"/>
          <w:highlight w:val="none"/>
          <w:lang w:eastAsia="zh-CN"/>
        </w:rPr>
        <w:t>、其他社会保障缴费、</w:t>
      </w:r>
      <w:r>
        <w:rPr>
          <w:rFonts w:hint="eastAsia" w:ascii="仿宋_GB2312" w:hAnsi="仿宋_GB2312" w:eastAsia="仿宋_GB2312" w:cs="仿宋_GB2312"/>
          <w:color w:val="auto"/>
          <w:sz w:val="32"/>
          <w:szCs w:val="32"/>
          <w:highlight w:val="none"/>
        </w:rPr>
        <w:t>住房公积金。</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7.99</w:t>
      </w:r>
      <w:r>
        <w:rPr>
          <w:rFonts w:hint="eastAsia" w:ascii="仿宋_GB2312" w:hAnsi="仿宋_GB2312" w:eastAsia="仿宋_GB2312" w:cs="仿宋_GB2312"/>
          <w:color w:val="auto"/>
          <w:sz w:val="32"/>
          <w:szCs w:val="32"/>
          <w:highlight w:val="none"/>
        </w:rPr>
        <w:t>万元，主要包括：办公费、印刷费、电费、邮电费、差旅费、维修（护）费、公务接待费、劳务费、工会经费、福利费、其他商品和服务支出。</w:t>
      </w:r>
    </w:p>
    <w:p>
      <w:pPr>
        <w:pageBreakBefore w:val="0"/>
        <w:widowControl w:val="0"/>
        <w:kinsoku/>
        <w:wordWrap/>
        <w:overflowPunct/>
        <w:topLinePunct w:val="0"/>
        <w:bidi w:val="0"/>
        <w:spacing w:line="576" w:lineRule="exact"/>
        <w:ind w:firstLine="640"/>
        <w:textAlignment w:val="auto"/>
        <w:outlineLvl w:val="1"/>
        <w:rPr>
          <w:rStyle w:val="20"/>
          <w:rFonts w:ascii="黑体" w:hAnsi="黑体" w:eastAsia="黑体"/>
          <w:b w:val="0"/>
          <w:color w:val="auto"/>
          <w:highlight w:val="none"/>
        </w:rPr>
      </w:pPr>
      <w:bookmarkStart w:id="20" w:name="_Toc9122"/>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20"/>
    </w:p>
    <w:p>
      <w:pPr>
        <w:pageBreakBefore w:val="0"/>
        <w:widowControl w:val="0"/>
        <w:kinsoku/>
        <w:wordWrap/>
        <w:overflowPunct/>
        <w:topLinePunct w:val="0"/>
        <w:bidi w:val="0"/>
        <w:spacing w:line="576" w:lineRule="exact"/>
        <w:ind w:firstLine="640"/>
        <w:textAlignment w:val="auto"/>
        <w:outlineLvl w:val="2"/>
        <w:rPr>
          <w:rFonts w:hint="eastAsia" w:ascii="仿宋_GB2312" w:hAnsi="仿宋_GB2312" w:eastAsia="仿宋_GB2312" w:cs="仿宋_GB2312"/>
          <w:b/>
          <w:color w:val="auto"/>
          <w:sz w:val="32"/>
          <w:szCs w:val="32"/>
          <w:highlight w:val="none"/>
        </w:rPr>
      </w:pPr>
      <w:bookmarkStart w:id="21" w:name="_Toc16305"/>
      <w:r>
        <w:rPr>
          <w:rFonts w:hint="eastAsia" w:ascii="仿宋_GB2312" w:hAnsi="仿宋_GB2312" w:eastAsia="仿宋_GB2312" w:cs="仿宋_GB2312"/>
          <w:b/>
          <w:color w:val="auto"/>
          <w:sz w:val="32"/>
          <w:szCs w:val="32"/>
          <w:highlight w:val="none"/>
        </w:rPr>
        <w:t>（一）“三公”经费财政拨款支出决算总体情况说明</w:t>
      </w:r>
      <w:bookmarkEnd w:id="21"/>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86.4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较上年度增加</w:t>
      </w:r>
      <w:r>
        <w:rPr>
          <w:rFonts w:hint="eastAsia" w:ascii="仿宋_GB2312" w:hAnsi="仿宋_GB2312" w:eastAsia="仿宋_GB2312" w:cs="仿宋_GB2312"/>
          <w:color w:val="auto"/>
          <w:sz w:val="32"/>
          <w:szCs w:val="32"/>
          <w:highlight w:val="none"/>
          <w:lang w:val="en-US" w:eastAsia="zh-CN"/>
        </w:rPr>
        <w:t>0.11万元，增长138%。</w:t>
      </w:r>
      <w:r>
        <w:rPr>
          <w:rFonts w:hint="eastAsia" w:ascii="仿宋_GB2312" w:hAnsi="仿宋_GB2312" w:eastAsia="仿宋_GB2312" w:cs="仿宋_GB2312"/>
          <w:color w:val="auto"/>
          <w:sz w:val="32"/>
          <w:szCs w:val="32"/>
          <w:highlight w:val="none"/>
        </w:rPr>
        <w:t>决算数小于预算数的主要原因是践行厉行节约原则，主动压减“三公”经费支出。</w:t>
      </w:r>
    </w:p>
    <w:p>
      <w:pPr>
        <w:pageBreakBefore w:val="0"/>
        <w:widowControl w:val="0"/>
        <w:kinsoku/>
        <w:wordWrap/>
        <w:overflowPunct/>
        <w:topLinePunct w:val="0"/>
        <w:bidi w:val="0"/>
        <w:spacing w:line="576" w:lineRule="exact"/>
        <w:ind w:firstLine="640"/>
        <w:textAlignment w:val="auto"/>
        <w:outlineLvl w:val="2"/>
        <w:rPr>
          <w:rFonts w:hint="eastAsia" w:ascii="仿宋_GB2312" w:hAnsi="仿宋_GB2312" w:eastAsia="仿宋_GB2312" w:cs="仿宋_GB2312"/>
          <w:b/>
          <w:color w:val="auto"/>
          <w:sz w:val="32"/>
          <w:szCs w:val="32"/>
          <w:highlight w:val="none"/>
        </w:rPr>
      </w:pPr>
      <w:bookmarkStart w:id="22" w:name="_Toc242"/>
      <w:r>
        <w:rPr>
          <w:rFonts w:hint="eastAsia" w:ascii="仿宋_GB2312" w:hAnsi="仿宋_GB2312" w:eastAsia="仿宋_GB2312" w:cs="仿宋_GB2312"/>
          <w:b/>
          <w:color w:val="auto"/>
          <w:sz w:val="32"/>
          <w:szCs w:val="32"/>
          <w:highlight w:val="none"/>
        </w:rPr>
        <w:t>（二）“三公”经费财政拨款支出决算具体情况说明</w:t>
      </w:r>
      <w:bookmarkEnd w:id="22"/>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%。具体情况如下：</w:t>
      </w:r>
    </w:p>
    <w:p>
      <w:pPr>
        <w:pStyle w:val="2"/>
        <w:jc w:val="center"/>
        <w:rPr>
          <w:rFonts w:hint="eastAsia"/>
        </w:rPr>
      </w:pPr>
      <w:r>
        <w:rPr>
          <w:rFonts w:hint="eastAsia" w:ascii="仿宋" w:hAnsi="仿宋" w:eastAsia="仿宋"/>
          <w:color w:val="auto"/>
          <w:sz w:val="32"/>
          <w:szCs w:val="32"/>
          <w:highlight w:val="none"/>
          <w:lang w:eastAsia="zh-CN"/>
        </w:rPr>
        <w:drawing>
          <wp:inline distT="0" distB="0" distL="114300" distR="114300">
            <wp:extent cx="4707890" cy="2630170"/>
            <wp:effectExtent l="4445" t="4445" r="12065"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ageBreakBefore w:val="0"/>
        <w:widowControl w:val="0"/>
        <w:kinsoku/>
        <w:wordWrap/>
        <w:overflowPunct/>
        <w:topLinePunct w:val="0"/>
        <w:bidi w:val="0"/>
        <w:spacing w:line="576" w:lineRule="exact"/>
        <w:ind w:firstLine="640"/>
        <w:jc w:val="center"/>
        <w:textAlignment w:val="auto"/>
        <w:outlineLvl w:val="2"/>
        <w:rPr>
          <w:rFonts w:hint="eastAsia" w:ascii="仿宋_GB2312" w:hAnsi="仿宋_GB2312" w:eastAsia="仿宋_GB2312" w:cs="仿宋_GB2312"/>
          <w:color w:val="auto"/>
          <w:sz w:val="32"/>
          <w:szCs w:val="32"/>
          <w:highlight w:val="none"/>
        </w:rPr>
      </w:pPr>
      <w:bookmarkStart w:id="23" w:name="_Toc25615"/>
      <w:r>
        <w:rPr>
          <w:rFonts w:hint="eastAsia" w:ascii="仿宋_GB2312" w:hAnsi="仿宋_GB2312" w:eastAsia="仿宋_GB2312" w:cs="仿宋_GB2312"/>
          <w:color w:val="auto"/>
          <w:sz w:val="32"/>
          <w:szCs w:val="32"/>
          <w:highlight w:val="none"/>
        </w:rPr>
        <w:t>（图7：“三公”经费财政拨款支出结构）</w:t>
      </w:r>
      <w:bookmarkEnd w:id="23"/>
    </w:p>
    <w:p>
      <w:pPr>
        <w:spacing w:line="600" w:lineRule="exact"/>
        <w:ind w:firstLine="640"/>
        <w:rPr>
          <w:rFonts w:hint="eastAsia" w:ascii="仿宋_GB2312" w:hAnsi="Times New Roman" w:eastAsia="仿宋_GB2312" w:cs="Times New Roman"/>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hAnsi="Times New Roman" w:eastAsia="仿宋_GB2312" w:cs="Times New Roman"/>
          <w:color w:val="auto"/>
          <w:sz w:val="32"/>
          <w:szCs w:val="32"/>
          <w:highlight w:val="none"/>
          <w:lang w:val="en-US" w:eastAsia="zh-CN"/>
        </w:rPr>
        <w:t>0万元，年初未安排预算，</w:t>
      </w:r>
      <w:r>
        <w:rPr>
          <w:rFonts w:hint="eastAsia" w:ascii="仿宋_GB2312" w:hAnsi="Times New Roman" w:eastAsia="仿宋_GB2312" w:cs="Times New Roman"/>
          <w:color w:val="auto"/>
          <w:sz w:val="32"/>
          <w:szCs w:val="32"/>
          <w:highlight w:val="none"/>
        </w:rPr>
        <w:t>较202</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rPr>
        <w:t>年无变化。</w:t>
      </w:r>
    </w:p>
    <w:p>
      <w:pPr>
        <w:pageBreakBefore w:val="0"/>
        <w:widowControl w:val="0"/>
        <w:kinsoku/>
        <w:wordWrap/>
        <w:overflowPunct/>
        <w:topLinePunct w:val="0"/>
        <w:bidi w:val="0"/>
        <w:spacing w:line="576" w:lineRule="exact"/>
        <w:ind w:firstLine="640"/>
        <w:textAlignment w:val="auto"/>
        <w:rPr>
          <w:rFonts w:hint="default" w:ascii="仿宋_GB2312" w:hAnsi="Times New Roman" w:eastAsia="仿宋_GB2312" w:cs="仿宋_GB2312"/>
          <w:i w:val="0"/>
          <w:iCs w:val="0"/>
          <w:caps w:val="0"/>
          <w:color w:val="000000"/>
          <w:spacing w:val="0"/>
          <w:kern w:val="0"/>
          <w:sz w:val="32"/>
          <w:szCs w:val="32"/>
          <w:highlight w:val="none"/>
          <w:lang w:eastAsia="zh-CN" w:bidi="ar"/>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年初未安排预算，</w:t>
      </w:r>
      <w:r>
        <w:rPr>
          <w:rFonts w:hint="eastAsia" w:ascii="仿宋_GB2312" w:eastAsia="仿宋_GB2312"/>
          <w:color w:val="auto"/>
          <w:sz w:val="32"/>
          <w:szCs w:val="32"/>
          <w:highlight w:val="none"/>
          <w:lang w:eastAsia="zh-CN"/>
        </w:rPr>
        <w:t>较202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年无变化</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，未购置公务用车</w:t>
      </w:r>
      <w:r>
        <w:rPr>
          <w:rFonts w:hint="eastAsia" w:ascii="仿宋_GB2312" w:eastAsia="仿宋_GB2312"/>
          <w:color w:val="auto"/>
          <w:sz w:val="32"/>
          <w:szCs w:val="32"/>
          <w:highlight w:val="none"/>
        </w:rPr>
        <w:t>。</w:t>
      </w: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ascii="仿宋_GB2312" w:hAnsi="Times New Roman" w:eastAsia="仿宋_GB2312" w:cs="仿宋_GB2312"/>
          <w:i w:val="0"/>
          <w:iCs w:val="0"/>
          <w:caps w:val="0"/>
          <w:color w:val="000000"/>
          <w:spacing w:val="0"/>
          <w:kern w:val="0"/>
          <w:sz w:val="32"/>
          <w:szCs w:val="32"/>
          <w:highlight w:val="none"/>
          <w:lang w:val="en-US" w:eastAsia="zh-CN" w:bidi="ar"/>
        </w:rPr>
        <w:t>截至</w:t>
      </w:r>
      <w:r>
        <w:rPr>
          <w:rFonts w:hint="default" w:ascii="仿宋_GB2312" w:hAnsi="Times New Roman" w:eastAsia="仿宋_GB2312" w:cs="仿宋_GB2312"/>
          <w:i w:val="0"/>
          <w:iCs w:val="0"/>
          <w:caps w:val="0"/>
          <w:color w:val="000000"/>
          <w:spacing w:val="0"/>
          <w:kern w:val="0"/>
          <w:sz w:val="32"/>
          <w:szCs w:val="32"/>
          <w:highlight w:val="none"/>
          <w:lang w:val="en-US" w:eastAsia="zh-CN" w:bidi="ar"/>
        </w:rPr>
        <w:t>202</w:t>
      </w:r>
      <w:r>
        <w:rPr>
          <w:rFonts w:hint="eastAsia" w:ascii="仿宋_GB2312" w:hAnsi="Times New Roman" w:eastAsia="仿宋_GB2312" w:cs="仿宋_GB2312"/>
          <w:i w:val="0"/>
          <w:iCs w:val="0"/>
          <w:caps w:val="0"/>
          <w:color w:val="000000"/>
          <w:spacing w:val="0"/>
          <w:kern w:val="0"/>
          <w:sz w:val="32"/>
          <w:szCs w:val="32"/>
          <w:highlight w:val="none"/>
          <w:lang w:val="en-US" w:eastAsia="zh-CN" w:bidi="ar"/>
        </w:rPr>
        <w:t>3</w:t>
      </w:r>
      <w:r>
        <w:rPr>
          <w:rFonts w:hint="default" w:ascii="仿宋_GB2312" w:hAnsi="Times New Roman" w:eastAsia="仿宋_GB2312" w:cs="仿宋_GB2312"/>
          <w:i w:val="0"/>
          <w:iCs w:val="0"/>
          <w:caps w:val="0"/>
          <w:color w:val="000000"/>
          <w:spacing w:val="0"/>
          <w:kern w:val="0"/>
          <w:sz w:val="32"/>
          <w:szCs w:val="32"/>
          <w:highlight w:val="none"/>
          <w:lang w:val="en-US" w:eastAsia="zh-CN" w:bidi="ar"/>
        </w:rPr>
        <w:t>年12月底，单位共有公务用车</w:t>
      </w:r>
      <w:r>
        <w:rPr>
          <w:rFonts w:hint="default" w:ascii="仿宋_GB2312" w:hAnsi="Times New Roman" w:eastAsia="仿宋_GB2312" w:cs="仿宋_GB2312"/>
          <w:i w:val="0"/>
          <w:iCs w:val="0"/>
          <w:caps w:val="0"/>
          <w:color w:val="000000"/>
          <w:spacing w:val="0"/>
          <w:kern w:val="0"/>
          <w:sz w:val="32"/>
          <w:szCs w:val="32"/>
          <w:highlight w:val="none"/>
          <w:lang w:eastAsia="zh-CN" w:bidi="ar"/>
        </w:rPr>
        <w:t>0</w:t>
      </w:r>
      <w:r>
        <w:rPr>
          <w:rFonts w:hint="default" w:ascii="仿宋_GB2312" w:hAnsi="Times New Roman" w:eastAsia="仿宋_GB2312" w:cs="仿宋_GB2312"/>
          <w:i w:val="0"/>
          <w:iCs w:val="0"/>
          <w:caps w:val="0"/>
          <w:color w:val="000000"/>
          <w:spacing w:val="0"/>
          <w:kern w:val="0"/>
          <w:sz w:val="32"/>
          <w:szCs w:val="32"/>
          <w:highlight w:val="none"/>
          <w:lang w:val="en-US" w:eastAsia="zh-CN" w:bidi="ar"/>
        </w:rPr>
        <w:t>辆</w:t>
      </w:r>
      <w:r>
        <w:rPr>
          <w:rFonts w:hint="default" w:ascii="仿宋_GB2312" w:hAnsi="Times New Roman" w:eastAsia="仿宋_GB2312" w:cs="仿宋_GB2312"/>
          <w:i w:val="0"/>
          <w:iCs w:val="0"/>
          <w:caps w:val="0"/>
          <w:color w:val="000000"/>
          <w:spacing w:val="0"/>
          <w:kern w:val="0"/>
          <w:sz w:val="32"/>
          <w:szCs w:val="32"/>
          <w:highlight w:val="none"/>
          <w:lang w:eastAsia="zh-CN" w:bidi="ar"/>
        </w:rPr>
        <w:t>。</w:t>
      </w:r>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w:t>
      </w:r>
      <w:r>
        <w:rPr>
          <w:rStyle w:val="18"/>
          <w:rFonts w:hint="eastAsia" w:ascii="仿宋_GB2312" w:hAnsi="仿宋_GB2312" w:eastAsia="仿宋_GB2312" w:cs="仿宋_GB2312"/>
          <w:b w:val="0"/>
          <w:bCs/>
          <w:color w:val="auto"/>
          <w:sz w:val="32"/>
          <w:szCs w:val="32"/>
          <w:highlight w:val="none"/>
        </w:rPr>
        <w:t>完成预算</w:t>
      </w:r>
      <w:r>
        <w:rPr>
          <w:rStyle w:val="18"/>
          <w:rFonts w:hint="eastAsia" w:ascii="仿宋_GB2312" w:hAnsi="仿宋_GB2312" w:eastAsia="仿宋_GB2312" w:cs="仿宋_GB2312"/>
          <w:b w:val="0"/>
          <w:bCs/>
          <w:color w:val="auto"/>
          <w:sz w:val="32"/>
          <w:szCs w:val="32"/>
          <w:highlight w:val="none"/>
          <w:lang w:val="en-US" w:eastAsia="zh-CN"/>
        </w:rPr>
        <w:t>86.4</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公务接待费支出决算比</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0.11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138</w:t>
      </w:r>
      <w:r>
        <w:rPr>
          <w:rFonts w:hint="eastAsia" w:ascii="仿宋_GB2312" w:hAnsi="仿宋_GB2312" w:eastAsia="仿宋_GB2312" w:cs="仿宋_GB2312"/>
          <w:color w:val="auto"/>
          <w:sz w:val="32"/>
          <w:szCs w:val="32"/>
          <w:highlight w:val="none"/>
        </w:rPr>
        <w:t>%。主要原因</w:t>
      </w:r>
      <w:r>
        <w:rPr>
          <w:rFonts w:hint="eastAsia" w:ascii="仿宋_GB2312" w:hAnsi="仿宋_GB2312" w:eastAsia="仿宋_GB2312" w:cs="仿宋_GB2312"/>
          <w:color w:val="auto"/>
          <w:sz w:val="32"/>
          <w:szCs w:val="32"/>
          <w:highlight w:val="none"/>
          <w:lang w:val="en-US" w:eastAsia="zh-CN"/>
        </w:rPr>
        <w:t>是到我中心进行交流学习的外市卫生行业单位较22年稍有增加</w:t>
      </w:r>
      <w:r>
        <w:rPr>
          <w:rFonts w:hint="eastAsia" w:ascii="仿宋_GB2312" w:hAnsi="仿宋_GB2312" w:eastAsia="仿宋_GB2312" w:cs="仿宋_GB2312"/>
          <w:color w:val="auto"/>
          <w:sz w:val="32"/>
          <w:szCs w:val="32"/>
          <w:highlight w:val="none"/>
        </w:rPr>
        <w:t>。其中：</w:t>
      </w:r>
    </w:p>
    <w:p>
      <w:pPr>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国内公务接待支出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万元，主要用于执行公务、开展业务活动开支的用餐费等)。国内公务接待</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万元，具体内容包括</w:t>
      </w:r>
      <w:r>
        <w:rPr>
          <w:rFonts w:hint="eastAsia" w:ascii="仿宋_GB2312" w:hAnsi="仿宋_GB2312" w:eastAsia="仿宋_GB2312" w:cs="仿宋_GB2312"/>
          <w:color w:val="auto"/>
          <w:sz w:val="32"/>
          <w:szCs w:val="32"/>
          <w:highlight w:val="none"/>
          <w:lang w:eastAsia="zh-CN"/>
        </w:rPr>
        <w:t>：接待</w:t>
      </w:r>
      <w:r>
        <w:rPr>
          <w:rFonts w:hint="eastAsia" w:ascii="仿宋_GB2312" w:hAnsi="仿宋_GB2312" w:eastAsia="仿宋_GB2312" w:cs="仿宋_GB2312"/>
          <w:color w:val="auto"/>
          <w:sz w:val="32"/>
          <w:szCs w:val="32"/>
          <w:highlight w:val="none"/>
          <w:lang w:val="en-US" w:eastAsia="zh-CN"/>
        </w:rPr>
        <w:t>外市卫生行业单位交流</w:t>
      </w:r>
      <w:r>
        <w:rPr>
          <w:rFonts w:hint="eastAsia" w:ascii="仿宋_GB2312" w:hAnsi="仿宋_GB2312" w:eastAsia="仿宋_GB2312" w:cs="仿宋_GB2312"/>
          <w:color w:val="auto"/>
          <w:sz w:val="32"/>
          <w:szCs w:val="32"/>
          <w:highlight w:val="none"/>
        </w:rPr>
        <w:t>用餐费0.</w:t>
      </w:r>
      <w:r>
        <w:rPr>
          <w:rFonts w:hint="eastAsia" w:ascii="仿宋_GB2312" w:hAnsi="仿宋_GB2312" w:eastAsia="仿宋_GB2312" w:cs="仿宋_GB2312"/>
          <w:color w:val="auto"/>
          <w:sz w:val="32"/>
          <w:szCs w:val="32"/>
          <w:highlight w:val="none"/>
          <w:lang w:val="en-US" w:eastAsia="zh-CN"/>
        </w:rPr>
        <w:t>19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bidi w:val="0"/>
        <w:spacing w:line="576"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外事接待支出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pageBreakBefore w:val="0"/>
        <w:widowControl w:val="0"/>
        <w:kinsoku/>
        <w:wordWrap/>
        <w:overflowPunct/>
        <w:topLinePunct w:val="0"/>
        <w:bidi w:val="0"/>
        <w:spacing w:line="576" w:lineRule="exact"/>
        <w:ind w:firstLine="640"/>
        <w:textAlignment w:val="auto"/>
        <w:outlineLvl w:val="9"/>
        <w:rPr>
          <w:rFonts w:ascii="黑体" w:eastAsia="黑体"/>
          <w:color w:val="auto"/>
          <w:sz w:val="32"/>
          <w:szCs w:val="32"/>
          <w:highlight w:val="none"/>
        </w:rPr>
      </w:pPr>
    </w:p>
    <w:p>
      <w:pPr>
        <w:pageBreakBefore w:val="0"/>
        <w:widowControl w:val="0"/>
        <w:kinsoku/>
        <w:wordWrap/>
        <w:overflowPunct/>
        <w:topLinePunct w:val="0"/>
        <w:bidi w:val="0"/>
        <w:spacing w:line="576" w:lineRule="exact"/>
        <w:ind w:firstLine="640"/>
        <w:textAlignment w:val="auto"/>
        <w:outlineLvl w:val="1"/>
        <w:rPr>
          <w:rStyle w:val="20"/>
          <w:rFonts w:ascii="黑体" w:hAnsi="黑体" w:eastAsia="黑体"/>
          <w:color w:val="auto"/>
          <w:highlight w:val="none"/>
        </w:rPr>
      </w:pPr>
      <w:bookmarkStart w:id="24" w:name="_Toc20618"/>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w:t>
      </w:r>
      <w:bookmarkStart w:id="49" w:name="_GoBack"/>
      <w:bookmarkEnd w:id="49"/>
      <w:r>
        <w:rPr>
          <w:rStyle w:val="20"/>
          <w:rFonts w:hint="eastAsia" w:ascii="黑体" w:hAnsi="黑体" w:eastAsia="黑体"/>
          <w:b w:val="0"/>
          <w:color w:val="auto"/>
          <w:highlight w:val="none"/>
        </w:rPr>
        <w:t>况说明</w:t>
      </w:r>
      <w:bookmarkEnd w:id="24"/>
    </w:p>
    <w:p>
      <w:pPr>
        <w:pageBreakBefore w:val="0"/>
        <w:widowControl w:val="0"/>
        <w:kinsoku/>
        <w:wordWrap/>
        <w:overflowPunct/>
        <w:topLinePunct w:val="0"/>
        <w:bidi w:val="0"/>
        <w:spacing w:line="576"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Style w:val="20"/>
          <w:rFonts w:ascii="黑体" w:hAnsi="黑体" w:eastAsia="黑体"/>
          <w:b w:val="0"/>
          <w:color w:val="auto"/>
          <w:highlight w:val="none"/>
        </w:rPr>
      </w:pPr>
      <w:bookmarkStart w:id="25" w:name="_Toc27224"/>
      <w:r>
        <w:rPr>
          <w:rStyle w:val="20"/>
          <w:rFonts w:hint="eastAsia" w:ascii="黑体" w:hAnsi="黑体" w:eastAsia="黑体"/>
          <w:b w:val="0"/>
          <w:color w:val="auto"/>
          <w:highlight w:val="none"/>
          <w:lang w:eastAsia="zh-CN"/>
        </w:rPr>
        <w:t>九、</w:t>
      </w:r>
      <w:r>
        <w:rPr>
          <w:rStyle w:val="20"/>
          <w:rFonts w:hint="eastAsia" w:ascii="黑体" w:hAnsi="黑体" w:eastAsia="黑体"/>
          <w:b w:val="0"/>
          <w:color w:val="auto"/>
          <w:highlight w:val="none"/>
        </w:rPr>
        <w:t>国有资本经营预算支出决算情况说明</w:t>
      </w:r>
      <w:bookmarkEnd w:id="25"/>
    </w:p>
    <w:p>
      <w:pPr>
        <w:pageBreakBefore w:val="0"/>
        <w:widowControl w:val="0"/>
        <w:kinsoku/>
        <w:wordWrap/>
        <w:overflowPunct/>
        <w:topLinePunct w:val="0"/>
        <w:bidi w:val="0"/>
        <w:spacing w:line="576" w:lineRule="exact"/>
        <w:ind w:firstLine="640"/>
        <w:textAlignment w:val="auto"/>
        <w:rPr>
          <w:rFonts w:ascii="方正小标宋简体" w:hAnsi="方正小标宋简体" w:eastAsia="方正小标宋简体" w:cs="方正小标宋简体"/>
          <w:color w:val="auto"/>
          <w:sz w:val="44"/>
          <w:szCs w:val="44"/>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Style w:val="20"/>
          <w:rFonts w:hint="eastAsia" w:ascii="黑体" w:hAnsi="黑体" w:eastAsia="黑体"/>
          <w:b w:val="0"/>
          <w:color w:val="auto"/>
          <w:highlight w:val="none"/>
        </w:rPr>
      </w:pPr>
      <w:bookmarkStart w:id="26" w:name="_Toc23841"/>
      <w:r>
        <w:rPr>
          <w:rStyle w:val="20"/>
          <w:rFonts w:hint="eastAsia" w:ascii="黑体" w:hAnsi="黑体" w:eastAsia="黑体"/>
          <w:b w:val="0"/>
          <w:color w:val="auto"/>
          <w:highlight w:val="none"/>
          <w:lang w:eastAsia="zh-CN"/>
        </w:rPr>
        <w:t>十、</w:t>
      </w:r>
      <w:r>
        <w:rPr>
          <w:rStyle w:val="20"/>
          <w:rFonts w:hint="eastAsia" w:ascii="黑体" w:hAnsi="黑体" w:eastAsia="黑体"/>
          <w:b w:val="0"/>
          <w:color w:val="auto"/>
          <w:highlight w:val="none"/>
        </w:rPr>
        <w:t>其他重要事项的情况说明</w:t>
      </w:r>
      <w:bookmarkEnd w:id="26"/>
    </w:p>
    <w:p>
      <w:pPr>
        <w:pageBreakBefore w:val="0"/>
        <w:widowControl w:val="0"/>
        <w:kinsoku/>
        <w:wordWrap/>
        <w:overflowPunct/>
        <w:topLinePunct w:val="0"/>
        <w:bidi w:val="0"/>
        <w:spacing w:line="576" w:lineRule="exact"/>
        <w:ind w:firstLine="642" w:firstLineChars="200"/>
        <w:textAlignment w:val="auto"/>
        <w:outlineLvl w:val="2"/>
        <w:rPr>
          <w:rFonts w:ascii="仿宋" w:hAnsi="仿宋" w:eastAsia="仿宋"/>
          <w:color w:val="auto"/>
          <w:sz w:val="32"/>
          <w:szCs w:val="32"/>
          <w:highlight w:val="none"/>
        </w:rPr>
      </w:pPr>
      <w:bookmarkStart w:id="27" w:name="_Toc27225"/>
      <w:r>
        <w:rPr>
          <w:rFonts w:hint="eastAsia" w:ascii="仿宋" w:hAnsi="仿宋" w:eastAsia="仿宋"/>
          <w:b/>
          <w:color w:val="auto"/>
          <w:sz w:val="32"/>
          <w:szCs w:val="32"/>
          <w:highlight w:val="none"/>
        </w:rPr>
        <w:t>（一）机关运行经费支出情况</w:t>
      </w:r>
      <w:bookmarkEnd w:id="27"/>
    </w:p>
    <w:p>
      <w:pPr>
        <w:pageBreakBefore w:val="0"/>
        <w:widowControl w:val="0"/>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未发生机关运行经费支出，与202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年决算数持平。</w:t>
      </w:r>
    </w:p>
    <w:p>
      <w:pPr>
        <w:pageBreakBefore w:val="0"/>
        <w:widowControl w:val="0"/>
        <w:kinsoku/>
        <w:wordWrap/>
        <w:overflowPunct/>
        <w:topLinePunct w:val="0"/>
        <w:autoSpaceDE w:val="0"/>
        <w:autoSpaceDN w:val="0"/>
        <w:bidi w:val="0"/>
        <w:adjustRightInd w:val="0"/>
        <w:spacing w:line="576" w:lineRule="exact"/>
        <w:ind w:firstLine="642" w:firstLineChars="200"/>
        <w:jc w:val="left"/>
        <w:textAlignment w:val="auto"/>
        <w:outlineLvl w:val="2"/>
        <w:rPr>
          <w:rFonts w:ascii="仿宋" w:hAnsi="仿宋" w:eastAsia="仿宋"/>
          <w:b/>
          <w:color w:val="auto"/>
          <w:sz w:val="32"/>
          <w:szCs w:val="32"/>
          <w:highlight w:val="none"/>
        </w:rPr>
      </w:pPr>
      <w:bookmarkStart w:id="28" w:name="_Toc24421"/>
      <w:r>
        <w:rPr>
          <w:rFonts w:hint="eastAsia" w:ascii="仿宋" w:hAnsi="仿宋" w:eastAsia="仿宋"/>
          <w:b/>
          <w:color w:val="auto"/>
          <w:sz w:val="32"/>
          <w:szCs w:val="32"/>
          <w:highlight w:val="none"/>
        </w:rPr>
        <w:t>（二）政府采购支出情况</w:t>
      </w:r>
      <w:bookmarkEnd w:id="28"/>
    </w:p>
    <w:p>
      <w:pPr>
        <w:pageBreakBefore w:val="0"/>
        <w:widowControl w:val="0"/>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我中心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widowControl w:val="0"/>
        <w:kinsoku/>
        <w:wordWrap/>
        <w:overflowPunct/>
        <w:topLinePunct w:val="0"/>
        <w:autoSpaceDE w:val="0"/>
        <w:autoSpaceDN w:val="0"/>
        <w:bidi w:val="0"/>
        <w:adjustRightInd w:val="0"/>
        <w:spacing w:line="576" w:lineRule="exact"/>
        <w:ind w:firstLine="642" w:firstLineChars="200"/>
        <w:jc w:val="left"/>
        <w:textAlignment w:val="auto"/>
        <w:outlineLvl w:val="2"/>
        <w:rPr>
          <w:rFonts w:ascii="仿宋" w:hAnsi="仿宋" w:eastAsia="仿宋"/>
          <w:b/>
          <w:color w:val="auto"/>
          <w:sz w:val="32"/>
          <w:szCs w:val="32"/>
          <w:highlight w:val="none"/>
        </w:rPr>
      </w:pPr>
      <w:bookmarkStart w:id="29" w:name="_Toc474"/>
      <w:r>
        <w:rPr>
          <w:rFonts w:hint="eastAsia" w:ascii="仿宋" w:hAnsi="仿宋" w:eastAsia="仿宋"/>
          <w:b/>
          <w:color w:val="auto"/>
          <w:sz w:val="32"/>
          <w:szCs w:val="32"/>
          <w:highlight w:val="none"/>
        </w:rPr>
        <w:t>（三）国有资产占有使用情况</w:t>
      </w:r>
      <w:bookmarkEnd w:id="29"/>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辆。单价100万元以上专用设备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w:t>
      </w:r>
    </w:p>
    <w:p>
      <w:pPr>
        <w:pageBreakBefore w:val="0"/>
        <w:widowControl w:val="0"/>
        <w:kinsoku/>
        <w:wordWrap/>
        <w:overflowPunct/>
        <w:topLinePunct w:val="0"/>
        <w:autoSpaceDE w:val="0"/>
        <w:autoSpaceDN w:val="0"/>
        <w:bidi w:val="0"/>
        <w:adjustRightInd w:val="0"/>
        <w:spacing w:line="576" w:lineRule="exact"/>
        <w:ind w:firstLine="642" w:firstLineChars="200"/>
        <w:jc w:val="left"/>
        <w:textAlignment w:val="auto"/>
        <w:outlineLvl w:val="2"/>
        <w:rPr>
          <w:rFonts w:hint="eastAsia" w:ascii="仿宋" w:hAnsi="仿宋" w:eastAsia="仿宋"/>
          <w:b/>
          <w:color w:val="auto"/>
          <w:sz w:val="32"/>
          <w:szCs w:val="32"/>
          <w:highlight w:val="none"/>
          <w:lang w:eastAsia="zh-CN"/>
        </w:rPr>
      </w:pPr>
      <w:bookmarkStart w:id="30" w:name="_Toc20127"/>
      <w:r>
        <w:rPr>
          <w:rFonts w:hint="eastAsia" w:ascii="仿宋" w:hAnsi="仿宋" w:eastAsia="仿宋"/>
          <w:b/>
          <w:color w:val="auto"/>
          <w:sz w:val="32"/>
          <w:szCs w:val="32"/>
          <w:highlight w:val="none"/>
        </w:rPr>
        <w:t>（四）预算绩效管理情况</w:t>
      </w:r>
      <w:bookmarkEnd w:id="30"/>
    </w:p>
    <w:p>
      <w:pPr>
        <w:pageBreakBefore w:val="0"/>
        <w:widowControl w:val="0"/>
        <w:kinsoku/>
        <w:wordWrap/>
        <w:overflowPunct/>
        <w:topLinePunct w:val="0"/>
        <w:bidi w:val="0"/>
        <w:spacing w:line="576" w:lineRule="exac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预算编制阶段，组织对“51080022T000005767300-执业资格考试考务支出”项目</w:t>
      </w:r>
      <w:r>
        <w:rPr>
          <w:rFonts w:hint="eastAsia" w:ascii="仿宋_GB2312" w:hAnsi="Times New Roman" w:eastAsia="仿宋_GB2312" w:cs="Times New Roman"/>
          <w:color w:val="auto"/>
          <w:sz w:val="32"/>
          <w:szCs w:val="32"/>
          <w:highlight w:val="none"/>
          <w:lang w:val="en-US" w:eastAsia="zh-CN"/>
        </w:rPr>
        <w:t>和“51080023T000008460548-鉴定工作”</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2个项目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2个项目开展绩效自评，绩效自评表详见第四部分附件。</w:t>
      </w:r>
    </w:p>
    <w:p>
      <w:pPr>
        <w:pageBreakBefore w:val="0"/>
        <w:widowControl w:val="0"/>
        <w:kinsoku/>
        <w:wordWrap/>
        <w:overflowPunct/>
        <w:topLinePunct w:val="0"/>
        <w:bidi w:val="0"/>
        <w:spacing w:line="576" w:lineRule="exact"/>
        <w:ind w:firstLine="640" w:firstLineChars="200"/>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pPr>
        <w:pageBreakBefore w:val="0"/>
        <w:widowControl w:val="0"/>
        <w:numPr>
          <w:ilvl w:val="0"/>
          <w:numId w:val="0"/>
        </w:numPr>
        <w:kinsoku/>
        <w:wordWrap/>
        <w:overflowPunct/>
        <w:topLinePunct w:val="0"/>
        <w:bidi w:val="0"/>
        <w:spacing w:line="576" w:lineRule="exact"/>
        <w:jc w:val="center"/>
        <w:textAlignment w:val="auto"/>
        <w:outlineLvl w:val="0"/>
        <w:rPr>
          <w:rStyle w:val="19"/>
          <w:rFonts w:ascii="黑体" w:hAnsi="黑体" w:eastAsia="黑体"/>
          <w:b w:val="0"/>
          <w:color w:val="auto"/>
          <w:highlight w:val="none"/>
        </w:rPr>
      </w:pPr>
      <w:bookmarkStart w:id="31" w:name="_Toc24852"/>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31"/>
    </w:p>
    <w:p>
      <w:pPr>
        <w:pageBreakBefore w:val="0"/>
        <w:widowControl w:val="0"/>
        <w:kinsoku/>
        <w:wordWrap/>
        <w:overflowPunct/>
        <w:topLinePunct w:val="0"/>
        <w:bidi w:val="0"/>
        <w:spacing w:line="576" w:lineRule="exact"/>
        <w:jc w:val="left"/>
        <w:textAlignment w:val="auto"/>
        <w:rPr>
          <w:rFonts w:ascii="宋体"/>
          <w:b/>
          <w:color w:val="auto"/>
          <w:sz w:val="44"/>
          <w:szCs w:val="44"/>
          <w:highlight w:val="none"/>
        </w:rPr>
      </w:pP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其他收入：指单位取得的除上述收入以外的各项收入。主要是银行利息收入、非同级财政拨款收入等。</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社会保障和就业支出（类）行政事业单位离退休（款）机关事业单位基本养老保险缴费支出（项）：指反映机关事业单位实施养老保险制度由单位缴纳的基本养老保险费支出。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社会保障和就业支出（类）行政事业单位养老支出（款）机关事业单位职业年金缴费支出（项）：指反映机关事业单位实施养老保险制度由单位实际缴纳的职业年金支出。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社会保障和就业支出（类）其他社会保障和就业支出（款）其他社会保障和就业支出（项）：指反映除上述项目以外其他用于社会保障和就业方面的支出。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卫生健康支出（类）卫生健康管理事务（款）其他卫生健康管理事务支出（项）：指反映除上述项目以外其他用于卫生健康管理事务方面的支出。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卫生健康支出（类）公共卫生（款）其他公共卫生支出（项）：指反映财政部门安排的事业单位基本医疗保险缴费经费，未参加医疗保险的事业单位的公费医疗经费，按国家规定享受离休人员待遇的医疗经费。</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卫生健康支出（类）公共卫生（款）重大公共卫生专项（项）：指反映重大疾病、重大传染病预防控制等重大公共卫生服务项目支出。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卫生健康支出（类）公共卫生（款）其他公共卫生支出（项）：指上述项目以外的其他用于公共卫生方面的支出。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行政事业单位医疗（款）事业单位医疗（项）：指反映财政部门安排的事业单位基本医疗保险缴费经费，未参加医疗保险的事业单位的公费医疗经费，按国家规定享受离休人员待遇的医疗经费。</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卫生健康支出（类）其他卫生健康支出（款）其他卫生健康支出（项）：指反映除上述项目以外其他用于卫生健康方面的支出。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住房保障支出（类）住房改革支出（款）住房公积金（项）：指反映行政事业单位按人力资源和社会保障部、财政部规定的基本工资和津贴补贴以及规定比例为职工缴纳的住房公积金。</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项目支出：指在基本支出之外为完成特定行政任务和事业发展目标所发生的支出。 </w:t>
      </w:r>
    </w:p>
    <w:p>
      <w:pPr>
        <w:numPr>
          <w:ilvl w:val="0"/>
          <w:numId w:val="2"/>
        </w:numPr>
        <w:ind w:left="0" w:leftChars="0" w:firstLine="400" w:firstLineChars="0"/>
        <w:jc w:val="left"/>
        <w:outlineLvl w:val="0"/>
        <w:rPr>
          <w:rFonts w:hint="eastAsia" w:ascii="仿宋_GB2312" w:eastAsia="仿宋_GB2312"/>
          <w:color w:val="auto"/>
          <w:sz w:val="32"/>
          <w:szCs w:val="32"/>
          <w:highlight w:val="none"/>
        </w:rPr>
        <w:sectPr>
          <w:footerReference r:id="rId4" w:type="default"/>
          <w:pgSz w:w="11906" w:h="16838"/>
          <w:pgMar w:top="1440" w:right="1800" w:bottom="1440" w:left="1800" w:header="720" w:footer="720" w:gutter="0"/>
          <w:pgNumType w:fmt="numberInDash" w:start="1"/>
          <w:cols w:space="720" w:num="1"/>
          <w:docGrid w:type="lines" w:linePitch="312" w:charSpace="0"/>
        </w:sectPr>
      </w:pPr>
      <w:bookmarkStart w:id="32" w:name="_Toc3986"/>
      <w:bookmarkStart w:id="33" w:name="_Toc16340"/>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32"/>
      <w:r>
        <w:rPr>
          <w:rFonts w:hint="eastAsia" w:ascii="仿宋_GB2312" w:eastAsia="仿宋_GB2312"/>
          <w:color w:val="auto"/>
          <w:sz w:val="32"/>
          <w:szCs w:val="32"/>
          <w:highlight w:val="none"/>
          <w:lang w:eastAsia="zh-CN"/>
        </w:rPr>
        <w:t>。</w:t>
      </w:r>
      <w:bookmarkEnd w:id="33"/>
    </w:p>
    <w:p>
      <w:pPr>
        <w:pageBreakBefore w:val="0"/>
        <w:widowControl w:val="0"/>
        <w:kinsoku/>
        <w:wordWrap/>
        <w:overflowPunct/>
        <w:topLinePunct w:val="0"/>
        <w:bidi w:val="0"/>
        <w:spacing w:line="576" w:lineRule="exact"/>
        <w:jc w:val="center"/>
        <w:textAlignment w:val="auto"/>
        <w:outlineLvl w:val="0"/>
        <w:rPr>
          <w:rStyle w:val="19"/>
          <w:rFonts w:ascii="黑体" w:hAnsi="黑体" w:eastAsia="黑体"/>
          <w:b w:val="0"/>
          <w:color w:val="auto"/>
          <w:highlight w:val="none"/>
        </w:rPr>
      </w:pPr>
      <w:bookmarkStart w:id="34" w:name="_Toc8165"/>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四部分 附件</w:t>
      </w:r>
      <w:bookmarkEnd w:id="34"/>
    </w:p>
    <w:p>
      <w:pPr>
        <w:keepNext w:val="0"/>
        <w:keepLines w:val="0"/>
        <w:pageBreakBefore w:val="0"/>
        <w:widowControl w:val="0"/>
        <w:kinsoku/>
        <w:wordWrap/>
        <w:overflowPunct/>
        <w:topLinePunct w:val="0"/>
        <w:autoSpaceDE/>
        <w:autoSpaceDN/>
        <w:bidi w:val="0"/>
        <w:spacing w:line="576" w:lineRule="exact"/>
        <w:jc w:val="left"/>
        <w:textAlignment w:val="auto"/>
        <w:outlineLvl w:val="9"/>
        <w:rPr>
          <w:rFonts w:ascii="仿宋_GB2312" w:hAnsi="仿宋_GB2312" w:eastAsia="仿宋_GB2312" w:cs="仿宋_GB2312"/>
          <w:color w:val="auto"/>
          <w:sz w:val="32"/>
          <w:szCs w:val="32"/>
          <w:highlight w:val="none"/>
        </w:rPr>
      </w:pPr>
    </w:p>
    <w:tbl>
      <w:tblPr>
        <w:tblStyle w:val="16"/>
        <w:tblW w:w="126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0"/>
        <w:gridCol w:w="1715"/>
        <w:gridCol w:w="1500"/>
        <w:gridCol w:w="1951"/>
        <w:gridCol w:w="663"/>
        <w:gridCol w:w="1219"/>
        <w:gridCol w:w="756"/>
        <w:gridCol w:w="968"/>
        <w:gridCol w:w="486"/>
        <w:gridCol w:w="666"/>
        <w:gridCol w:w="21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cs="宋体"/>
                <w:i w:val="0"/>
                <w:iCs w:val="0"/>
                <w:color w:val="000000"/>
                <w:kern w:val="0"/>
                <w:sz w:val="18"/>
                <w:szCs w:val="18"/>
                <w:u w:val="none"/>
                <w:lang w:val="en-US" w:eastAsia="zh-CN" w:bidi="ar"/>
              </w:rPr>
              <w:t>。</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严格执行了相关政策，保障了工资及时发放、足额发放，预算编制科学合理，无结余资金。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color w:val="000000"/>
                <w:sz w:val="18"/>
                <w:szCs w:val="18"/>
                <w:u w:val="none"/>
              </w:rPr>
              <w:t>严格执行了相关政策，保障了工资及时发放、足额发放，预算编制科学合理，</w:t>
            </w:r>
            <w:r>
              <w:rPr>
                <w:rFonts w:hint="eastAsia" w:ascii="宋体" w:hAnsi="宋体" w:eastAsia="宋体" w:cs="宋体"/>
                <w:i w:val="0"/>
                <w:color w:val="000000"/>
                <w:sz w:val="18"/>
                <w:szCs w:val="18"/>
                <w:u w:val="none"/>
                <w:lang w:val="en-US" w:eastAsia="zh-CN"/>
              </w:rPr>
              <w:t>未产生</w:t>
            </w:r>
            <w:r>
              <w:rPr>
                <w:rFonts w:hint="eastAsia" w:ascii="宋体" w:hAnsi="宋体" w:eastAsia="宋体" w:cs="宋体"/>
                <w:i w:val="0"/>
                <w:color w:val="000000"/>
                <w:sz w:val="18"/>
                <w:szCs w:val="18"/>
                <w:u w:val="none"/>
              </w:rPr>
              <w:t>结余资金</w:t>
            </w:r>
            <w:r>
              <w:rPr>
                <w:rFonts w:hint="eastAsia" w:ascii="宋体" w:hAnsi="宋体" w:eastAsia="宋体" w:cs="宋体"/>
                <w:i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36.57</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45.16</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36.57</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45.16</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iCs w:val="0"/>
                <w:color w:val="000000"/>
                <w:sz w:val="16"/>
                <w:szCs w:val="16"/>
                <w:u w:val="none"/>
                <w:lang w:val="en-US"/>
              </w:rPr>
            </w:pPr>
            <w:r>
              <w:rPr>
                <w:rFonts w:hint="eastAsia" w:ascii="微软雅黑" w:hAnsi="微软雅黑" w:eastAsia="微软雅黑" w:cs="微软雅黑"/>
                <w:i w:val="0"/>
                <w:iCs w:val="0"/>
                <w:color w:val="000000"/>
                <w:kern w:val="0"/>
                <w:sz w:val="16"/>
                <w:szCs w:val="16"/>
                <w:u w:val="none"/>
                <w:lang w:val="en-US" w:eastAsia="zh-CN" w:bidi="ar"/>
              </w:rPr>
              <w:t>我中心严格按照财政要求，严格执行相关政策，保障了工资及时发放、足额发放，预算编制科学合理，未有结余资金。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51000021R000000019953-单位缴费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本年度工资及时、足额发放或社保及时、足额缴纳，预算编制科学合理，未有结余资金。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color w:val="000000"/>
                <w:sz w:val="18"/>
                <w:szCs w:val="18"/>
                <w:u w:val="none"/>
              </w:rPr>
              <w:t>严格执行了相关政策，保障了工资及时发放、足额发放，预算编制科学合理，</w:t>
            </w:r>
            <w:r>
              <w:rPr>
                <w:rFonts w:hint="eastAsia" w:ascii="宋体" w:hAnsi="宋体" w:eastAsia="宋体" w:cs="宋体"/>
                <w:i w:val="0"/>
                <w:color w:val="000000"/>
                <w:sz w:val="18"/>
                <w:szCs w:val="18"/>
                <w:u w:val="none"/>
                <w:lang w:val="en-US" w:eastAsia="zh-CN"/>
              </w:rPr>
              <w:t>未产生</w:t>
            </w:r>
            <w:r>
              <w:rPr>
                <w:rFonts w:hint="eastAsia" w:ascii="宋体" w:hAnsi="宋体" w:eastAsia="宋体" w:cs="宋体"/>
                <w:i w:val="0"/>
                <w:color w:val="000000"/>
                <w:sz w:val="18"/>
                <w:szCs w:val="18"/>
                <w:u w:val="none"/>
              </w:rPr>
              <w:t>结余资金</w:t>
            </w:r>
            <w:r>
              <w:rPr>
                <w:rFonts w:hint="eastAsia" w:ascii="宋体" w:hAnsi="宋体" w:eastAsia="宋体" w:cs="宋体"/>
                <w:i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严格执行了相关政策，本年度工资及时、足额发放或社保及时、足额缴纳，预算编制科学合理，未有结余资金。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提高预算编制质量，严格执行预算，保障单位日常运转</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auto"/>
                <w:sz w:val="18"/>
                <w:szCs w:val="18"/>
                <w:u w:val="none"/>
                <w:lang w:val="en-US" w:eastAsia="zh-CN"/>
              </w:rPr>
            </w:pPr>
            <w:r>
              <w:rPr>
                <w:rFonts w:hint="eastAsia" w:ascii="黑体" w:hAnsi="黑体" w:eastAsia="黑体" w:cs="黑体"/>
                <w:i w:val="0"/>
                <w:iCs w:val="0"/>
                <w:color w:val="auto"/>
                <w:sz w:val="18"/>
                <w:szCs w:val="18"/>
                <w:u w:val="none"/>
                <w:lang w:val="en-US" w:eastAsia="zh-CN"/>
              </w:rPr>
              <w:t>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我中心严格执行相关政策，合理编制预算，并严格执行，保障了单位日常正常运转。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0.85</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0.85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100</w:t>
            </w:r>
            <w:r>
              <w:rPr>
                <w:rFonts w:ascii="宋体" w:hAnsi="宋体" w:eastAsia="宋体" w:cs="宋体"/>
                <w:i w:val="0"/>
                <w:iCs w:val="0"/>
                <w:color w:val="auto"/>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val="0"/>
                <w:iCs w:val="0"/>
                <w:color w:val="auto"/>
                <w:kern w:val="0"/>
                <w:sz w:val="18"/>
                <w:szCs w:val="18"/>
                <w:u w:val="none"/>
                <w:lang w:val="en-US" w:eastAsia="zh-CN" w:bidi="ar"/>
              </w:rPr>
              <w:t>1.预算执行率=预算执行数/调整后预算</w:t>
            </w: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0.85</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0.85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100</w:t>
            </w:r>
            <w:r>
              <w:rPr>
                <w:rFonts w:ascii="宋体" w:hAnsi="宋体" w:eastAsia="宋体" w:cs="宋体"/>
                <w:i w:val="0"/>
                <w:iCs w:val="0"/>
                <w:color w:val="auto"/>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科目调整次数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lang w:val="en-US" w:eastAsia="zh-CN"/>
              </w:rPr>
            </w:pPr>
            <w:r>
              <w:rPr>
                <w:rFonts w:hint="eastAsia" w:ascii="宋体" w:hAnsi="宋体" w:eastAsia="宋体" w:cs="宋体"/>
                <w:i w:val="0"/>
                <w:iCs w:val="0"/>
                <w:color w:val="auto"/>
                <w:kern w:val="0"/>
                <w:sz w:val="18"/>
                <w:szCs w:val="18"/>
                <w:u w:val="none"/>
                <w:lang w:val="en-US" w:eastAsia="zh-CN" w:bidi="ar"/>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预算编制准确率（计算方法为：∣（执行数-预算数）/预算数∣）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-19%</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“三公经费”控制率[计算方法为：（三公经费实际支出数/预算安排数]×100%）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86.4%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运转保障率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auto"/>
                <w:sz w:val="16"/>
                <w:szCs w:val="16"/>
                <w:u w:val="none"/>
                <w:lang w:val="en-US" w:eastAsia="zh-CN"/>
              </w:rPr>
            </w:pPr>
            <w:r>
              <w:rPr>
                <w:rFonts w:hint="eastAsia" w:ascii="宋体" w:hAnsi="宋体" w:cs="宋体"/>
                <w:i w:val="0"/>
                <w:iCs w:val="0"/>
                <w:color w:val="auto"/>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我中心严格执行相关政策，合理编制预算，并严格执行，保障了单位日常正常运转。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提高预算编制质量，严格执行预算，保障单位日常运转</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sz w:val="18"/>
                <w:szCs w:val="18"/>
                <w:u w:val="none"/>
                <w:lang w:val="en-US" w:eastAsia="zh-CN"/>
              </w:rPr>
              <w:t>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lang w:val="en-US" w:eastAsia="zh-CN"/>
              </w:rPr>
              <w:t>我中心严格执行相关政策，合理编制预算，并严格执行，保障了单位日常正常运转。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1.89</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1.97</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r>
              <w:rPr>
                <w:rFonts w:hint="eastAsia" w:ascii="宋体" w:hAnsi="宋体" w:cs="宋体"/>
                <w:i w:val="0"/>
                <w:iCs w:val="0"/>
                <w:color w:val="auto"/>
                <w:kern w:val="0"/>
                <w:sz w:val="18"/>
                <w:szCs w:val="18"/>
                <w:u w:val="none"/>
                <w:lang w:val="en-US" w:eastAsia="zh-CN" w:bidi="ar"/>
              </w:rPr>
              <w:t>6</w:t>
            </w:r>
            <w:r>
              <w:rPr>
                <w:rFonts w:ascii="宋体" w:hAnsi="宋体" w:eastAsia="宋体" w:cs="宋体"/>
                <w:i w:val="0"/>
                <w:iCs w:val="0"/>
                <w:color w:val="auto"/>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6.6</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auto"/>
                <w:sz w:val="18"/>
                <w:szCs w:val="18"/>
                <w:u w:val="none"/>
                <w:lang w:val="en-US"/>
              </w:rPr>
            </w:pPr>
            <w:r>
              <w:rPr>
                <w:rFonts w:hint="eastAsia" w:ascii="黑体" w:hAnsi="黑体" w:eastAsia="黑体" w:cs="黑体"/>
                <w:i w:val="0"/>
                <w:iCs w:val="0"/>
                <w:color w:val="auto"/>
                <w:kern w:val="0"/>
                <w:sz w:val="18"/>
                <w:szCs w:val="18"/>
                <w:u w:val="none"/>
                <w:lang w:val="en-US" w:eastAsia="zh-CN" w:bidi="ar"/>
              </w:rPr>
              <w:t>由于党建活动开展不足，导致党建经费开支较少。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1.89</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ascii="宋体" w:hAnsi="宋体" w:eastAsia="宋体" w:cs="宋体"/>
                <w:i w:val="0"/>
                <w:iCs w:val="0"/>
                <w:color w:val="auto"/>
                <w:kern w:val="0"/>
                <w:sz w:val="18"/>
                <w:szCs w:val="18"/>
                <w:u w:val="none"/>
                <w:lang w:val="en-US" w:eastAsia="zh-CN" w:bidi="ar"/>
              </w:rPr>
              <w:t>1.97</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65.35%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科目调整次数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lang w:val="en-US" w:eastAsia="zh-CN"/>
              </w:rPr>
            </w:pPr>
            <w:r>
              <w:rPr>
                <w:rFonts w:hint="eastAsia" w:ascii="宋体" w:hAnsi="宋体" w:eastAsia="宋体" w:cs="宋体"/>
                <w:i w:val="0"/>
                <w:iCs w:val="0"/>
                <w:color w:val="auto"/>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预算编制准确率（计算方法为：∣（执行数-预算数）/预算数∣）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-34.5%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“三公经费”控制率[计算方法为：（三公经费实际支出数/预算安排数]×100%）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86.4%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运转保障率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96.6</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kern w:val="2"/>
                <w:sz w:val="16"/>
                <w:szCs w:val="16"/>
                <w:u w:val="none"/>
                <w:lang w:val="en-US" w:eastAsia="zh-CN" w:bidi="ar-SA"/>
              </w:rPr>
            </w:pPr>
            <w:r>
              <w:rPr>
                <w:rFonts w:hint="eastAsia" w:ascii="微软雅黑" w:hAnsi="微软雅黑" w:eastAsia="微软雅黑" w:cs="微软雅黑"/>
                <w:i w:val="0"/>
                <w:iCs w:val="0"/>
                <w:color w:val="auto"/>
                <w:kern w:val="0"/>
                <w:sz w:val="16"/>
                <w:szCs w:val="16"/>
                <w:u w:val="none"/>
                <w:lang w:val="en-US" w:eastAsia="zh-CN" w:bidi="ar"/>
              </w:rPr>
              <w:t>我中心严格执行相关政策，合理编制预算，并严格执行，保障了单位日常正常运转。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kern w:val="2"/>
                <w:sz w:val="16"/>
                <w:szCs w:val="16"/>
                <w:u w:val="none"/>
                <w:lang w:val="en-US" w:eastAsia="zh-CN" w:bidi="ar-SA"/>
              </w:rPr>
            </w:pPr>
            <w:r>
              <w:rPr>
                <w:rFonts w:hint="eastAsia" w:ascii="微软雅黑" w:hAnsi="微软雅黑" w:eastAsia="微软雅黑" w:cs="微软雅黑"/>
                <w:i w:val="0"/>
                <w:iCs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kern w:val="2"/>
                <w:sz w:val="16"/>
                <w:szCs w:val="16"/>
                <w:u w:val="none"/>
                <w:lang w:val="en-US" w:eastAsia="zh-CN" w:bidi="ar-SA"/>
              </w:rPr>
            </w:pPr>
            <w:r>
              <w:rPr>
                <w:rFonts w:hint="eastAsia" w:ascii="微软雅黑" w:hAnsi="微软雅黑" w:eastAsia="微软雅黑" w:cs="微软雅黑"/>
                <w:i w:val="0"/>
                <w:iCs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严格执行了相关政策，保障了工资及时足额发放或社保及时、足额缴纳，预算编制合理，无结余资金。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严格执行了相关政策，保障了工资及时、足额发放，社保及时、足额缴纳，预算编制科学合理，</w:t>
            </w:r>
            <w:r>
              <w:rPr>
                <w:rFonts w:hint="eastAsia" w:ascii="黑体" w:hAnsi="黑体" w:eastAsia="黑体" w:cs="黑体"/>
                <w:i w:val="0"/>
                <w:iCs w:val="0"/>
                <w:color w:val="000000"/>
                <w:kern w:val="0"/>
                <w:sz w:val="18"/>
                <w:szCs w:val="18"/>
                <w:u w:val="none"/>
                <w:lang w:val="en-US" w:eastAsia="zh-CN" w:bidi="ar"/>
              </w:rPr>
              <w:t>未有</w:t>
            </w:r>
            <w:r>
              <w:rPr>
                <w:rFonts w:hint="eastAsia" w:ascii="微软雅黑" w:hAnsi="微软雅黑" w:eastAsia="微软雅黑" w:cs="微软雅黑"/>
                <w:i w:val="0"/>
                <w:iCs w:val="0"/>
                <w:color w:val="000000"/>
                <w:kern w:val="0"/>
                <w:sz w:val="16"/>
                <w:szCs w:val="16"/>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51080022R000007489234-2022年考核奖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shd w:val="clear"/>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51080022T000005767300-执业资格考试考务支出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如期组织举行卫生执业技术考试、医师资格考试等卫生执业考试，确保考试圆满完成；定期进行信息修改信息更正等工作，保障中心工作顺利进行。</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严格按照国家、省、市要求，在规定时间内完成本年度各项考试工作开展，无任何违纪违规情况发生，项目收入全数上缴财政非税，本年度完成7次医师资格信息修改等工作。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顺利组织考试5批次。其中：护士执业资格考试参考694人，合格245人，通过率35.30%；卫生专业技术资格考试参考3282人，合格1629人，通过率43.63%；卫生人才评价考试报名参考27人，合格15人，通过率55.56%；医师资格考试参考1006人，通过551人，通过率54.78%。积极参与国家及省考区组织的卫护考及医考考务、技术保障人员培训3次，组织考场考务、技术保障人员参与国家相关培训3次，考核合格率均为100%。协同纪检、保密、公安、经信和医疗卫生机构等多部门，严防死守，确保了各项考试安全顺利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61.80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61.57</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61.57</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61.80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61.57</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61.57</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全市卫生执业考试</w:t>
            </w: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报名</w:t>
            </w: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人数超5500人</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5500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人/年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5009</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36.43</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r>
              <w:rPr>
                <w:rFonts w:hint="eastAsia" w:ascii="微软雅黑" w:hAnsi="微软雅黑" w:eastAsia="微软雅黑" w:cs="微软雅黑"/>
                <w:i w:val="0"/>
                <w:iCs w:val="0"/>
                <w:color w:val="000000" w:themeColor="text1"/>
                <w:sz w:val="16"/>
                <w:szCs w:val="16"/>
                <w:u w:val="none"/>
                <w14:textFill>
                  <w14:solidFill>
                    <w14:schemeClr w14:val="tx1"/>
                  </w14:solidFill>
                </w14:textFill>
              </w:rPr>
              <w:t>由于疫情影响</w:t>
            </w:r>
            <w:r>
              <w:rPr>
                <w:rFonts w:hint="eastAsia" w:ascii="微软雅黑" w:hAnsi="微软雅黑" w:eastAsia="微软雅黑" w:cs="微软雅黑"/>
                <w:i w:val="0"/>
                <w:iCs w:val="0"/>
                <w:color w:val="000000" w:themeColor="text1"/>
                <w:sz w:val="16"/>
                <w:szCs w:val="16"/>
                <w:u w:val="none"/>
                <w:lang w:eastAsia="zh-CN"/>
                <w14:textFill>
                  <w14:solidFill>
                    <w14:schemeClr w14:val="tx1"/>
                  </w14:solidFill>
                </w14:textFill>
              </w:rPr>
              <w:t>，</w:t>
            </w:r>
            <w:r>
              <w:rPr>
                <w:rFonts w:hint="eastAsia" w:ascii="微软雅黑" w:hAnsi="微软雅黑" w:eastAsia="微软雅黑" w:cs="微软雅黑"/>
                <w:i w:val="0"/>
                <w:iCs w:val="0"/>
                <w:color w:val="000000" w:themeColor="text1"/>
                <w:sz w:val="16"/>
                <w:szCs w:val="16"/>
                <w:u w:val="none"/>
                <w:lang w:val="en-US" w:eastAsia="zh-CN"/>
                <w14:textFill>
                  <w14:solidFill>
                    <w14:schemeClr w14:val="tx1"/>
                  </w14:solidFill>
                </w14:textFill>
              </w:rPr>
              <w:t>导致</w:t>
            </w:r>
            <w:r>
              <w:rPr>
                <w:rFonts w:hint="eastAsia" w:ascii="微软雅黑" w:hAnsi="微软雅黑" w:eastAsia="微软雅黑" w:cs="微软雅黑"/>
                <w:i w:val="0"/>
                <w:iCs w:val="0"/>
                <w:color w:val="000000" w:themeColor="text1"/>
                <w:sz w:val="16"/>
                <w:szCs w:val="16"/>
                <w:u w:val="none"/>
                <w14:textFill>
                  <w14:solidFill>
                    <w14:schemeClr w14:val="tx1"/>
                  </w14:solidFill>
                </w14:textFill>
              </w:rPr>
              <w:t>22年年末报名期间</w:t>
            </w:r>
            <w:r>
              <w:rPr>
                <w:rFonts w:hint="eastAsia" w:ascii="微软雅黑" w:hAnsi="微软雅黑" w:eastAsia="微软雅黑" w:cs="微软雅黑"/>
                <w:i w:val="0"/>
                <w:iCs w:val="0"/>
                <w:color w:val="000000" w:themeColor="text1"/>
                <w:sz w:val="16"/>
                <w:szCs w:val="16"/>
                <w:u w:val="none"/>
                <w:lang w:eastAsia="zh-CN"/>
                <w14:textFill>
                  <w14:solidFill>
                    <w14:schemeClr w14:val="tx1"/>
                  </w14:solidFill>
                </w14:textFill>
              </w:rPr>
              <w:t>，</w:t>
            </w:r>
            <w:r>
              <w:rPr>
                <w:rFonts w:hint="eastAsia" w:ascii="微软雅黑" w:hAnsi="微软雅黑" w:eastAsia="微软雅黑" w:cs="微软雅黑"/>
                <w:i w:val="0"/>
                <w:iCs w:val="0"/>
                <w:color w:val="000000" w:themeColor="text1"/>
                <w:sz w:val="16"/>
                <w:szCs w:val="16"/>
                <w:u w:val="none"/>
                <w:lang w:val="en-US" w:eastAsia="zh-CN"/>
                <w14:textFill>
                  <w14:solidFill>
                    <w14:schemeClr w14:val="tx1"/>
                  </w14:solidFill>
                </w14:textFill>
              </w:rPr>
              <w:t>有</w:t>
            </w:r>
            <w:r>
              <w:rPr>
                <w:rFonts w:hint="eastAsia" w:ascii="微软雅黑" w:hAnsi="微软雅黑" w:eastAsia="微软雅黑" w:cs="微软雅黑"/>
                <w:i w:val="0"/>
                <w:iCs w:val="0"/>
                <w:color w:val="000000" w:themeColor="text1"/>
                <w:sz w:val="16"/>
                <w:szCs w:val="16"/>
                <w:u w:val="none"/>
                <w14:textFill>
                  <w14:solidFill>
                    <w14:schemeClr w14:val="tx1"/>
                  </w14:solidFill>
                </w14:textFill>
              </w:rPr>
              <w:t>部分考生未</w:t>
            </w:r>
            <w:r>
              <w:rPr>
                <w:rFonts w:hint="eastAsia" w:ascii="微软雅黑" w:hAnsi="微软雅黑" w:eastAsia="微软雅黑" w:cs="微软雅黑"/>
                <w:i w:val="0"/>
                <w:iCs w:val="0"/>
                <w:color w:val="000000" w:themeColor="text1"/>
                <w:sz w:val="16"/>
                <w:szCs w:val="16"/>
                <w:u w:val="none"/>
                <w:lang w:val="en-US" w:eastAsia="zh-CN"/>
                <w14:textFill>
                  <w14:solidFill>
                    <w14:schemeClr w14:val="tx1"/>
                  </w14:solidFill>
                </w14:textFill>
              </w:rPr>
              <w:t>能前往现场完成报名</w:t>
            </w:r>
            <w:r>
              <w:rPr>
                <w:rFonts w:hint="eastAsia" w:ascii="微软雅黑" w:hAnsi="微软雅黑" w:eastAsia="微软雅黑" w:cs="微软雅黑"/>
                <w:i w:val="0"/>
                <w:iCs w:val="0"/>
                <w:color w:val="000000" w:themeColor="text1"/>
                <w:sz w:val="16"/>
                <w:szCs w:val="16"/>
                <w:u w:val="none"/>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为卫生健康事业输送专业执业人才</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2200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人/年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2440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服务对象满意度指标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考生满意度超80%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人/年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w:t>
            </w: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10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成本指标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经济成本指标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根据实际情况支出</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人/年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122.9</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96.43</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themeColor="text1"/>
                <w:sz w:val="16"/>
                <w:szCs w:val="16"/>
                <w:u w:val="none"/>
                <w14:textFill>
                  <w14:solidFill>
                    <w14:schemeClr w14:val="tx1"/>
                  </w14:solidFill>
                </w14:textFill>
              </w:rPr>
            </w:pPr>
            <w:r>
              <w:rPr>
                <w:rFonts w:hint="eastAsia"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该项目设立严格按照规定履行评估论证、申报程序，绩效目标与计划期内的任务量、预算安排的资金量相匹配，绩效目标设置遵循指向明确、细化量化、合理可行、相应匹配的原则,并在规定时间完成项目入库；项目实际列支内容与绩效目标设置方向相符，未进行过项目调整，项目无结余资金；该项目绩效目标数量指标完成91%，效益指标全数完成，总体完成情况较好，总分100分，自评96.43分，较好的完成了各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部分指标设置量化程度不够，导致评价结果不够精准。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在今后，我中心将进一步细致量化项目绩效指标，对于定性指标的设置力争进一步细致，严格执行部门预算和绩效管理有关工作要求，进一步提高财政性资金的使用效率和使用效益。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严格执行了相关政策，预算编制科学合理，保障了单位日常正常运转。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严格执行了相关政策，预算编制科学合理，保障了单位日常正常运转。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9.8</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86.4%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宋体" w:hAnsi="宋体" w:cs="宋体"/>
                <w:i w:val="0"/>
                <w:iCs w:val="0"/>
                <w:color w:val="auto"/>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99.8</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严格执行了相关政策，预算编制科学合理，保障了单位日常正常运转。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93.72%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9.4</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93.72%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99.4</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严格执行了相关政策，保障了工资及时、足额发放，社保及时、足额缴纳，预算编制科学合理，未有结余资金。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51080023T000008460548-鉴定工作支出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及时受理群众提交的鉴定申请，公平公正公开组织鉴定，完成本年鉴定工作。</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本年度受理医疗事故鉴定1例，受理预防接种异常反应鉴定1例。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2023年全年接受职业病鉴定咨询2例，预防接种异常反应鉴定咨询3例，医疗事故鉴定咨询18例，针对明确有鉴定需求的患者及患者家属及时受理，全年共受理医疗事故鉴定1例，预防接种异常反应鉴定1例，秉承着公平公正公开的原则，精心组织开展，得到患者家属一致高度认可，收到患者家属赠送锦旗表达感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预计开展2次</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为有鉴定需求的群众提供平台，按时组织开展</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完成本年度已受理鉴定</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556"/>
              </w:tabs>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完成</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申请人满意度大于80%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10000元（预计每起鉴定10000元）</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5900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themeColor="text1"/>
                <w:sz w:val="16"/>
                <w:szCs w:val="16"/>
                <w:u w:val="none"/>
                <w14:textFill>
                  <w14:solidFill>
                    <w14:schemeClr w14:val="tx1"/>
                  </w14:solidFill>
                </w14:textFill>
              </w:rPr>
            </w:pPr>
            <w:r>
              <w:rPr>
                <w:rFonts w:hint="eastAsia"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该项目设立严格按照规定履行评估论证、申报程序，绩效目标与计划期内的任务量、预算安排的资金量相匹配，绩效目标设置遵循指向明确、细化量化、合理可行、相应匹配的原则,并在规定时间完成项目入库；项目实际列支内容与绩效目标设置方向相符，未进行过项目调整，项目无结余资金；该项目绩效目标数量和效益指标均全数完成，总体完成情况较好，总分100分，自评100分，较好的完成了各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themeColor="text1"/>
                <w:sz w:val="16"/>
                <w:szCs w:val="16"/>
                <w:u w:val="none"/>
                <w14:textFill>
                  <w14:solidFill>
                    <w14:schemeClr w14:val="tx1"/>
                  </w14:solidFill>
                </w14:textFill>
              </w:rPr>
            </w:pPr>
            <w:r>
              <w:rPr>
                <w:rFonts w:hint="eastAsia"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部分指标设置量化程度不够，导致评价结果不够精准。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themeColor="text1"/>
                <w:sz w:val="16"/>
                <w:szCs w:val="16"/>
                <w:u w:val="none"/>
                <w14:textFill>
                  <w14:solidFill>
                    <w14:schemeClr w14:val="tx1"/>
                  </w14:solidFill>
                </w14:textFill>
              </w:rPr>
            </w:pPr>
            <w:r>
              <w:rPr>
                <w:rFonts w:hint="eastAsia" w:ascii="微软雅黑" w:hAnsi="微软雅黑" w:eastAsia="微软雅黑" w:cs="微软雅黑"/>
                <w:i w:val="0"/>
                <w:iCs w:val="0"/>
                <w:color w:val="000000" w:themeColor="text1"/>
                <w:kern w:val="0"/>
                <w:sz w:val="16"/>
                <w:szCs w:val="16"/>
                <w:u w:val="none"/>
                <w:lang w:val="en-US" w:eastAsia="zh-CN" w:bidi="ar"/>
                <w14:textFill>
                  <w14:solidFill>
                    <w14:schemeClr w14:val="tx1"/>
                  </w14:solidFill>
                </w14:textFill>
              </w:rPr>
              <w:t>在今后，我中心将进一步细致量化项目绩效指标，对于定性指标的设置力争进一步细致，严格执行部门预算和绩效管理有关工作要求，进一步提高财政性资金的使用效率和使用效益。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51080023T000008613035-2022年市级重大卫生事业及发展经费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全市卫生应急工作做出努力，保障人民群众卫生健康</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用于支付了22年由于疫情影响，组织开展考试工作产生的疫情防控费用，全部完成支付。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sz w:val="18"/>
                <w:szCs w:val="18"/>
                <w:u w:val="none"/>
                <w:lang w:val="en-US" w:eastAsia="zh-CN"/>
              </w:rPr>
              <w:t>用于支付了22年由于疫情影响，组织开展考试工作产生的疫情防控费用，全部完成支付。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2.62</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 xml:space="preserve">10 </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2.62</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高质量完成全市卫生应急相关工作</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40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为全市卫生应急工作做出努力，保障人民群众卫生健康</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40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人民群众满意度</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sz w:val="18"/>
                <w:szCs w:val="18"/>
                <w:u w:val="none"/>
                <w:lang w:val="en-US" w:eastAsia="zh-CN"/>
              </w:rPr>
              <w:t>用于支付了22年由于疫情影响，组织开展考试工作产生的疫情防控费用，全部完成支付。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 xml:space="preserve">10 </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严格执行了相关政策，保障工资及时、足额发放，社保及时、足额缴纳，预算编制科学合理，未有结余资金。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0.63</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rPr>
            </w:pPr>
            <w:r>
              <w:rPr>
                <w:rFonts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rPr>
            </w:pPr>
            <w:r>
              <w:rPr>
                <w:rFonts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严格执行了相关政策，保障工资及时、足额发放，社保及时、足额缴纳，预算编制科学理，合未有结余资金。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51080024T000009980095-2023年医师资格考试实践技能考试费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广元市卫生健康委员会部门</w:t>
            </w:r>
          </w:p>
        </w:tc>
        <w:tc>
          <w:tcPr>
            <w:tcW w:w="96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实施单位 （盖章）</w:t>
            </w:r>
          </w:p>
        </w:tc>
        <w:tc>
          <w:tcPr>
            <w:tcW w:w="33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按照上级要求，按时完成医师资格考试报名和实践技能考试相关工作，无泄密事件发生。</w:t>
            </w:r>
          </w:p>
        </w:tc>
        <w:tc>
          <w:tcPr>
            <w:tcW w:w="42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themeColor="text1"/>
                <w:sz w:val="18"/>
                <w:szCs w:val="18"/>
                <w:u w:val="none"/>
                <w:lang w:val="en-US" w:eastAsia="zh-CN"/>
                <w14:textFill>
                  <w14:solidFill>
                    <w14:schemeClr w14:val="tx1"/>
                  </w14:solidFill>
                </w14:textFill>
              </w:rPr>
            </w:pPr>
            <w:r>
              <w:rPr>
                <w:rFonts w:hint="eastAsia" w:ascii="黑体" w:hAnsi="黑体" w:eastAsia="黑体" w:cs="黑体"/>
                <w:i w:val="0"/>
                <w:iCs w:val="0"/>
                <w:color w:val="000000" w:themeColor="text1"/>
                <w:sz w:val="18"/>
                <w:szCs w:val="18"/>
                <w:u w:val="none"/>
                <w:lang w:val="en-US" w:eastAsia="zh-CN"/>
                <w14:textFill>
                  <w14:solidFill>
                    <w14:schemeClr w14:val="tx1"/>
                  </w14:solidFill>
                </w14:textFill>
              </w:rPr>
              <w:t>按照国家及省考区要求，在规定时间内完成了工作。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sz w:val="18"/>
                <w:szCs w:val="18"/>
                <w:u w:val="none"/>
                <w:lang w:val="en-US" w:eastAsia="zh-CN"/>
                <w14:textFill>
                  <w14:solidFill>
                    <w14:schemeClr w14:val="tx1"/>
                  </w14:solidFill>
                </w14:textFill>
              </w:rPr>
              <w:t>按照国家及省考区要求，按时完成医师资格考试报名和实践技能考试相关工作，无泄密事件发生。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3.96</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3.96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10</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themeColor="text1"/>
                <w:sz w:val="18"/>
                <w:szCs w:val="18"/>
                <w:u w:val="none"/>
                <w14:textFill>
                  <w14:solidFill>
                    <w14:schemeClr w14:val="tx1"/>
                  </w14:solidFill>
                </w14:textFill>
              </w:rPr>
            </w:pPr>
            <w:r>
              <w:rPr>
                <w:rFonts w:hint="eastAsia" w:ascii="黑体" w:hAnsi="黑体" w:eastAsia="黑体" w:cs="黑体"/>
                <w:i/>
                <w:iCs/>
                <w:color w:val="000000" w:themeColor="text1"/>
                <w:kern w:val="0"/>
                <w:sz w:val="18"/>
                <w:szCs w:val="18"/>
                <w:u w:val="none"/>
                <w:lang w:val="en-US" w:eastAsia="zh-CN" w:bidi="ar"/>
                <w14:textFill>
                  <w14:solidFill>
                    <w14:schemeClr w14:val="tx1"/>
                  </w14:solidFill>
                </w14:textFill>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3.96</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3.96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组织开展医师资格考试报名</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考生报名初审完成率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30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时效指标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项目完成时间</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定性</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9月前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lang w:val="en-US" w:eastAsia="zh-CN"/>
              </w:rPr>
            </w:pPr>
            <w:r>
              <w:rPr>
                <w:rFonts w:hint="eastAsia"/>
                <w:lang w:val="en-US" w:eastAsia="zh-CN"/>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完成</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服务对象满意度指标</w:t>
            </w: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考生满意度</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95%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18"/>
                <w:szCs w:val="18"/>
                <w:u w:val="none"/>
                <w:lang w:val="en-US" w:eastAsia="zh-CN"/>
                <w14:textFill>
                  <w14:solidFill>
                    <w14:schemeClr w14:val="tx1"/>
                  </w14:solidFill>
                </w14:textFill>
              </w:rPr>
            </w:pPr>
            <w:r>
              <w:rPr>
                <w:rFonts w:hint="eastAsia" w:ascii="宋体" w:hAnsi="宋体" w:cs="宋体"/>
                <w:i w:val="0"/>
                <w:iCs w:val="0"/>
                <w:color w:val="000000" w:themeColor="text1"/>
                <w:sz w:val="18"/>
                <w:szCs w:val="18"/>
                <w:u w:val="none"/>
                <w:lang w:val="en-US" w:eastAsia="zh-CN"/>
                <w14:textFill>
                  <w14:solidFill>
                    <w14:schemeClr w14:val="tx1"/>
                  </w14:solidFill>
                </w14:textFill>
              </w:rPr>
              <w:t>20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1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kern w:val="0"/>
                <w:sz w:val="16"/>
                <w:szCs w:val="16"/>
                <w:u w:val="none"/>
                <w:lang w:val="en-US" w:eastAsia="zh-CN" w:bidi="ar"/>
              </w:rPr>
              <w:t>工作开展全程安全顺利，无违纪违规事件发生，费用全数上缴非税，完成年度目标。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0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268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268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268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268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pStyle w:val="2"/>
        <w:pageBreakBefore w:val="0"/>
        <w:widowControl w:val="0"/>
        <w:kinsoku/>
        <w:wordWrap/>
        <w:overflowPunct/>
        <w:topLinePunct w:val="0"/>
        <w:bidi w:val="0"/>
        <w:spacing w:line="576" w:lineRule="exact"/>
        <w:textAlignment w:val="auto"/>
        <w:rPr>
          <w:rFonts w:hint="eastAsia" w:ascii="仿宋_GB2312" w:hAnsi="Calibri" w:eastAsia="仿宋_GB2312" w:cs="仿宋"/>
          <w:color w:val="auto"/>
          <w:kern w:val="0"/>
          <w:sz w:val="32"/>
          <w:szCs w:val="32"/>
          <w:highlight w:val="none"/>
          <w:lang w:val="en-US" w:eastAsia="zh-CN" w:bidi="ar-SA"/>
        </w:rPr>
      </w:pPr>
    </w:p>
    <w:p>
      <w:pPr>
        <w:pStyle w:val="2"/>
        <w:pageBreakBefore w:val="0"/>
        <w:widowControl w:val="0"/>
        <w:kinsoku/>
        <w:wordWrap/>
        <w:overflowPunct/>
        <w:topLinePunct w:val="0"/>
        <w:bidi w:val="0"/>
        <w:spacing w:line="576" w:lineRule="exact"/>
        <w:textAlignment w:val="auto"/>
        <w:rPr>
          <w:rFonts w:hint="eastAsia" w:ascii="仿宋_GB2312" w:hAnsi="Calibri" w:eastAsia="仿宋_GB2312" w:cs="仿宋"/>
          <w:color w:val="auto"/>
          <w:kern w:val="0"/>
          <w:sz w:val="32"/>
          <w:szCs w:val="32"/>
          <w:highlight w:val="none"/>
          <w:lang w:val="en-US" w:eastAsia="zh-CN" w:bidi="ar-SA"/>
        </w:rPr>
      </w:pPr>
    </w:p>
    <w:p>
      <w:pPr>
        <w:pStyle w:val="2"/>
        <w:pageBreakBefore w:val="0"/>
        <w:widowControl w:val="0"/>
        <w:kinsoku/>
        <w:wordWrap/>
        <w:overflowPunct/>
        <w:topLinePunct w:val="0"/>
        <w:bidi w:val="0"/>
        <w:spacing w:line="576" w:lineRule="exact"/>
        <w:textAlignment w:val="auto"/>
        <w:rPr>
          <w:rFonts w:hint="eastAsia" w:ascii="仿宋_GB2312" w:hAnsi="Calibri" w:eastAsia="仿宋_GB2312" w:cs="仿宋"/>
          <w:color w:val="auto"/>
          <w:kern w:val="0"/>
          <w:sz w:val="32"/>
          <w:szCs w:val="32"/>
          <w:highlight w:val="none"/>
          <w:lang w:val="en-US" w:eastAsia="zh-CN" w:bidi="ar-SA"/>
        </w:rPr>
      </w:pPr>
    </w:p>
    <w:p>
      <w:pPr>
        <w:pStyle w:val="2"/>
        <w:pageBreakBefore w:val="0"/>
        <w:widowControl w:val="0"/>
        <w:kinsoku/>
        <w:wordWrap/>
        <w:overflowPunct/>
        <w:topLinePunct w:val="0"/>
        <w:bidi w:val="0"/>
        <w:spacing w:line="576" w:lineRule="exact"/>
        <w:textAlignment w:val="auto"/>
        <w:rPr>
          <w:rFonts w:hint="eastAsia" w:ascii="仿宋_GB2312" w:hAnsi="Calibri" w:eastAsia="仿宋_GB2312" w:cs="仿宋"/>
          <w:color w:val="auto"/>
          <w:kern w:val="0"/>
          <w:sz w:val="32"/>
          <w:szCs w:val="32"/>
          <w:highlight w:val="none"/>
          <w:lang w:val="en-US" w:eastAsia="zh-CN" w:bidi="ar-SA"/>
        </w:rPr>
      </w:pPr>
    </w:p>
    <w:p>
      <w:pPr>
        <w:pStyle w:val="2"/>
        <w:pageBreakBefore w:val="0"/>
        <w:widowControl w:val="0"/>
        <w:kinsoku/>
        <w:wordWrap/>
        <w:overflowPunct/>
        <w:topLinePunct w:val="0"/>
        <w:bidi w:val="0"/>
        <w:spacing w:line="576" w:lineRule="exact"/>
        <w:textAlignment w:val="auto"/>
        <w:rPr>
          <w:rFonts w:hint="eastAsia" w:ascii="仿宋_GB2312" w:hAnsi="Calibri" w:eastAsia="仿宋_GB2312" w:cs="仿宋"/>
          <w:color w:val="auto"/>
          <w:kern w:val="0"/>
          <w:sz w:val="32"/>
          <w:szCs w:val="32"/>
          <w:highlight w:val="none"/>
          <w:lang w:val="en-US" w:eastAsia="zh-CN" w:bidi="ar-SA"/>
        </w:rPr>
      </w:pPr>
    </w:p>
    <w:p>
      <w:pPr>
        <w:pageBreakBefore w:val="0"/>
        <w:widowControl w:val="0"/>
        <w:kinsoku/>
        <w:wordWrap/>
        <w:overflowPunct/>
        <w:topLinePunct w:val="0"/>
        <w:bidi w:val="0"/>
        <w:spacing w:line="576" w:lineRule="exact"/>
        <w:textAlignment w:val="auto"/>
        <w:rPr>
          <w:rFonts w:hint="eastAsia" w:ascii="黑体" w:hAnsi="黑体" w:eastAsia="黑体"/>
          <w:color w:val="auto"/>
          <w:sz w:val="44"/>
          <w:szCs w:val="44"/>
          <w:highlight w:val="none"/>
        </w:rPr>
        <w:sectPr>
          <w:pgSz w:w="16838" w:h="11906" w:orient="landscape"/>
          <w:pgMar w:top="1800" w:right="1440" w:bottom="1800" w:left="1440" w:header="720" w:footer="720" w:gutter="0"/>
          <w:pgNumType w:fmt="numberInDash"/>
          <w:cols w:space="720" w:num="1"/>
          <w:docGrid w:type="lines" w:linePitch="312" w:charSpace="0"/>
        </w:sectPr>
      </w:pPr>
    </w:p>
    <w:p>
      <w:pPr>
        <w:pStyle w:val="2"/>
        <w:rPr>
          <w:rFonts w:hint="eastAsia"/>
        </w:rPr>
      </w:pPr>
    </w:p>
    <w:p>
      <w:pPr>
        <w:pageBreakBefore w:val="0"/>
        <w:widowControl w:val="0"/>
        <w:kinsoku/>
        <w:wordWrap/>
        <w:overflowPunct/>
        <w:topLinePunct w:val="0"/>
        <w:bidi w:val="0"/>
        <w:spacing w:line="576" w:lineRule="exact"/>
        <w:jc w:val="center"/>
        <w:textAlignment w:val="auto"/>
        <w:outlineLvl w:val="0"/>
        <w:rPr>
          <w:rFonts w:hint="eastAsia" w:ascii="仿宋" w:hAnsi="仿宋" w:eastAsia="仿宋"/>
          <w:b w:val="0"/>
          <w:color w:val="auto"/>
          <w:highlight w:val="none"/>
        </w:rPr>
      </w:pPr>
      <w:bookmarkStart w:id="35" w:name="_Toc3763"/>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五部分 附表</w:t>
      </w:r>
      <w:bookmarkEnd w:id="35"/>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36" w:name="_Toc18810"/>
      <w:r>
        <w:rPr>
          <w:rFonts w:hint="eastAsia" w:ascii="仿宋" w:hAnsi="仿宋" w:eastAsia="仿宋"/>
          <w:b w:val="0"/>
          <w:color w:val="auto"/>
          <w:highlight w:val="none"/>
        </w:rPr>
        <w:t>一、收</w:t>
      </w:r>
      <w:r>
        <w:rPr>
          <w:rStyle w:val="20"/>
          <w:rFonts w:hint="eastAsia" w:ascii="仿宋" w:hAnsi="仿宋" w:eastAsia="仿宋"/>
          <w:b w:val="0"/>
          <w:bCs w:val="0"/>
          <w:color w:val="auto"/>
          <w:highlight w:val="none"/>
        </w:rPr>
        <w:t>入支出决算总表</w:t>
      </w:r>
      <w:bookmarkEnd w:id="36"/>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37" w:name="_Toc9984"/>
      <w:r>
        <w:rPr>
          <w:rFonts w:hint="eastAsia" w:ascii="仿宋" w:hAnsi="仿宋" w:eastAsia="仿宋"/>
          <w:b w:val="0"/>
          <w:color w:val="auto"/>
          <w:highlight w:val="none"/>
        </w:rPr>
        <w:t>二、收</w:t>
      </w:r>
      <w:r>
        <w:rPr>
          <w:rStyle w:val="20"/>
          <w:rFonts w:hint="eastAsia" w:ascii="仿宋" w:hAnsi="仿宋" w:eastAsia="仿宋"/>
          <w:b w:val="0"/>
          <w:bCs w:val="0"/>
          <w:color w:val="auto"/>
          <w:highlight w:val="none"/>
        </w:rPr>
        <w:t>入决算表</w:t>
      </w:r>
      <w:bookmarkEnd w:id="37"/>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38" w:name="_Toc14992"/>
      <w:r>
        <w:rPr>
          <w:rStyle w:val="2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0"/>
          <w:rFonts w:hint="eastAsia" w:ascii="仿宋" w:hAnsi="仿宋" w:eastAsia="仿宋"/>
          <w:b w:val="0"/>
          <w:bCs w:val="0"/>
          <w:color w:val="auto"/>
          <w:highlight w:val="none"/>
        </w:rPr>
        <w:t>出决算表</w:t>
      </w:r>
      <w:bookmarkEnd w:id="38"/>
    </w:p>
    <w:p>
      <w:pPr>
        <w:pStyle w:val="4"/>
        <w:pageBreakBefore w:val="0"/>
        <w:widowControl w:val="0"/>
        <w:kinsoku/>
        <w:wordWrap/>
        <w:overflowPunct/>
        <w:topLinePunct w:val="0"/>
        <w:bidi w:val="0"/>
        <w:spacing w:line="576" w:lineRule="exact"/>
        <w:textAlignment w:val="auto"/>
        <w:rPr>
          <w:rFonts w:ascii="仿宋" w:hAnsi="仿宋" w:eastAsia="仿宋"/>
          <w:b w:val="0"/>
          <w:color w:val="auto"/>
          <w:highlight w:val="none"/>
        </w:rPr>
      </w:pPr>
      <w:bookmarkStart w:id="39" w:name="_Toc14951"/>
      <w:r>
        <w:rPr>
          <w:rStyle w:val="2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政拨款收入支出决算总表</w:t>
      </w:r>
      <w:bookmarkEnd w:id="39"/>
    </w:p>
    <w:p>
      <w:pPr>
        <w:pStyle w:val="4"/>
        <w:pageBreakBefore w:val="0"/>
        <w:widowControl w:val="0"/>
        <w:kinsoku/>
        <w:wordWrap/>
        <w:overflowPunct/>
        <w:topLinePunct w:val="0"/>
        <w:bidi w:val="0"/>
        <w:spacing w:line="576" w:lineRule="exact"/>
        <w:textAlignment w:val="auto"/>
        <w:rPr>
          <w:rStyle w:val="20"/>
          <w:rFonts w:ascii="仿宋" w:hAnsi="仿宋" w:eastAsia="仿宋"/>
          <w:b w:val="0"/>
          <w:bCs w:val="0"/>
          <w:color w:val="auto"/>
          <w:highlight w:val="none"/>
        </w:rPr>
      </w:pPr>
      <w:bookmarkStart w:id="40" w:name="_Toc3709"/>
      <w:r>
        <w:rPr>
          <w:rStyle w:val="2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政拨款支出决算明细表</w:t>
      </w:r>
      <w:bookmarkEnd w:id="40"/>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1" w:name="_Toc19931"/>
      <w:r>
        <w:rPr>
          <w:rStyle w:val="2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般公共预算财政拨款支出决算表</w:t>
      </w:r>
      <w:bookmarkEnd w:id="41"/>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2" w:name="_Toc31122"/>
      <w:r>
        <w:rPr>
          <w:rStyle w:val="2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般公共预算财政拨款支出决算明细表</w:t>
      </w:r>
      <w:bookmarkEnd w:id="42"/>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3" w:name="_Toc8937"/>
      <w:r>
        <w:rPr>
          <w:rStyle w:val="2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般公共预算财政拨款基本支出决算表</w:t>
      </w:r>
      <w:bookmarkEnd w:id="43"/>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4" w:name="_Toc25769"/>
      <w:r>
        <w:rPr>
          <w:rStyle w:val="2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般公共预算财政拨款项目支出决算表</w:t>
      </w:r>
      <w:bookmarkEnd w:id="44"/>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5" w:name="_Toc27569"/>
      <w:r>
        <w:rPr>
          <w:rStyle w:val="20"/>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20"/>
          <w:rFonts w:hint="eastAsia" w:ascii="仿宋" w:hAnsi="仿宋" w:eastAsia="仿宋"/>
          <w:b w:val="0"/>
          <w:bCs w:val="0"/>
          <w:color w:val="auto"/>
          <w:highlight w:val="none"/>
        </w:rPr>
        <w:t>府性基金预算财政拨款收入支出决算表</w:t>
      </w:r>
      <w:bookmarkEnd w:id="45"/>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6" w:name="_Toc32049"/>
      <w:r>
        <w:rPr>
          <w:rStyle w:val="20"/>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20"/>
          <w:rFonts w:hint="eastAsia" w:ascii="仿宋" w:hAnsi="仿宋" w:eastAsia="仿宋"/>
          <w:b w:val="0"/>
          <w:bCs w:val="0"/>
          <w:color w:val="auto"/>
          <w:highlight w:val="none"/>
        </w:rPr>
        <w:t>有资本经营预算</w:t>
      </w:r>
      <w:r>
        <w:rPr>
          <w:rStyle w:val="20"/>
          <w:rFonts w:hint="eastAsia" w:ascii="仿宋" w:hAnsi="仿宋" w:eastAsia="仿宋"/>
          <w:b w:val="0"/>
          <w:bCs w:val="0"/>
          <w:color w:val="auto"/>
          <w:highlight w:val="none"/>
          <w:lang w:eastAsia="zh-CN"/>
        </w:rPr>
        <w:t>财政拨款收入</w:t>
      </w:r>
      <w:r>
        <w:rPr>
          <w:rStyle w:val="20"/>
          <w:rFonts w:hint="eastAsia" w:ascii="仿宋" w:hAnsi="仿宋" w:eastAsia="仿宋"/>
          <w:b w:val="0"/>
          <w:bCs w:val="0"/>
          <w:color w:val="auto"/>
          <w:highlight w:val="none"/>
        </w:rPr>
        <w:t>支出决算表</w:t>
      </w:r>
      <w:bookmarkEnd w:id="46"/>
    </w:p>
    <w:p>
      <w:pPr>
        <w:pStyle w:val="4"/>
        <w:pageBreakBefore w:val="0"/>
        <w:widowControl w:val="0"/>
        <w:kinsoku/>
        <w:wordWrap/>
        <w:overflowPunct/>
        <w:topLinePunct w:val="0"/>
        <w:bidi w:val="0"/>
        <w:spacing w:line="576" w:lineRule="exact"/>
        <w:textAlignment w:val="auto"/>
        <w:rPr>
          <w:rFonts w:ascii="仿宋" w:hAnsi="仿宋" w:eastAsia="仿宋"/>
          <w:color w:val="auto"/>
          <w:highlight w:val="none"/>
        </w:rPr>
      </w:pPr>
      <w:bookmarkStart w:id="47" w:name="_Toc1554"/>
      <w:r>
        <w:rPr>
          <w:rStyle w:val="20"/>
          <w:rFonts w:hint="eastAsia" w:ascii="仿宋" w:hAnsi="仿宋" w:eastAsia="仿宋"/>
          <w:b w:val="0"/>
          <w:bCs w:val="0"/>
          <w:color w:val="auto"/>
          <w:highlight w:val="none"/>
        </w:rPr>
        <w:t>十二、</w:t>
      </w:r>
      <w:r>
        <w:rPr>
          <w:rStyle w:val="20"/>
          <w:rFonts w:hint="eastAsia" w:ascii="仿宋" w:hAnsi="仿宋" w:eastAsia="仿宋"/>
          <w:b w:val="0"/>
          <w:bCs w:val="0"/>
          <w:color w:val="auto"/>
          <w:highlight w:val="none"/>
          <w:lang w:eastAsia="zh-CN"/>
        </w:rPr>
        <w:t>国有资本经营预算财政拨款支出决算表</w:t>
      </w:r>
      <w:bookmarkEnd w:id="47"/>
    </w:p>
    <w:p>
      <w:pPr>
        <w:pStyle w:val="4"/>
        <w:pageBreakBefore w:val="0"/>
        <w:widowControl w:val="0"/>
        <w:kinsoku/>
        <w:wordWrap/>
        <w:overflowPunct/>
        <w:topLinePunct w:val="0"/>
        <w:bidi w:val="0"/>
        <w:spacing w:line="576" w:lineRule="exact"/>
        <w:textAlignment w:val="auto"/>
        <w:rPr>
          <w:rFonts w:hint="eastAsia" w:eastAsia="仿宋"/>
          <w:color w:val="auto"/>
          <w:highlight w:val="none"/>
          <w:lang w:eastAsia="zh-CN"/>
        </w:rPr>
      </w:pPr>
      <w:bookmarkStart w:id="48" w:name="_Toc24510"/>
      <w:r>
        <w:rPr>
          <w:rStyle w:val="20"/>
          <w:rFonts w:hint="eastAsia" w:ascii="仿宋" w:hAnsi="仿宋" w:eastAsia="仿宋"/>
          <w:b w:val="0"/>
          <w:bCs w:val="0"/>
          <w:color w:val="auto"/>
          <w:highlight w:val="none"/>
        </w:rPr>
        <w:t>十三、</w:t>
      </w:r>
      <w:r>
        <w:rPr>
          <w:rStyle w:val="20"/>
          <w:rFonts w:hint="eastAsia" w:ascii="仿宋" w:hAnsi="仿宋" w:eastAsia="仿宋"/>
          <w:b w:val="0"/>
          <w:bCs w:val="0"/>
          <w:color w:val="auto"/>
          <w:highlight w:val="none"/>
          <w:lang w:eastAsia="zh-CN"/>
        </w:rPr>
        <w:t>财政拨款“三公”经费支出决算表</w:t>
      </w:r>
      <w:bookmarkEnd w:id="48"/>
    </w:p>
    <w:p>
      <w:pPr>
        <w:pageBreakBefore w:val="0"/>
        <w:widowControl w:val="0"/>
        <w:kinsoku/>
        <w:wordWrap/>
        <w:overflowPunct/>
        <w:topLinePunct w:val="0"/>
        <w:bidi w:val="0"/>
        <w:spacing w:line="576" w:lineRule="exact"/>
        <w:textAlignment w:val="auto"/>
      </w:pPr>
    </w:p>
    <w:sectPr>
      <w:pgSz w:w="11906" w:h="16838"/>
      <w:pgMar w:top="1440" w:right="1800" w:bottom="1440" w:left="1800" w:header="720" w:footer="720"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iberation Sans">
    <w:altName w:val="华文中宋"/>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sz w:val="24"/>
                              <w:szCs w:val="40"/>
                              <w:lang w:eastAsia="zh-CN"/>
                            </w:rPr>
                          </w:pPr>
                          <w:r>
                            <w:rPr>
                              <w:rFonts w:hint="eastAsia"/>
                              <w:sz w:val="24"/>
                              <w:szCs w:val="40"/>
                              <w:lang w:eastAsia="zh-CN"/>
                            </w:rPr>
                            <w:fldChar w:fldCharType="begin"/>
                          </w:r>
                          <w:r>
                            <w:rPr>
                              <w:rFonts w:hint="eastAsia"/>
                              <w:sz w:val="24"/>
                              <w:szCs w:val="40"/>
                              <w:lang w:eastAsia="zh-CN"/>
                            </w:rPr>
                            <w:instrText xml:space="preserve"> PAGE  \* MERGEFORMAT </w:instrText>
                          </w:r>
                          <w:r>
                            <w:rPr>
                              <w:rFonts w:hint="eastAsia"/>
                              <w:sz w:val="24"/>
                              <w:szCs w:val="40"/>
                              <w:lang w:eastAsia="zh-CN"/>
                            </w:rPr>
                            <w:fldChar w:fldCharType="separate"/>
                          </w:r>
                          <w:r>
                            <w:rPr>
                              <w:rFonts w:hint="eastAsia"/>
                              <w:sz w:val="24"/>
                              <w:szCs w:val="40"/>
                              <w:lang w:eastAsia="zh-CN"/>
                            </w:rPr>
                            <w:t>1</w:t>
                          </w:r>
                          <w:r>
                            <w:rPr>
                              <w:rFonts w:hint="eastAsia"/>
                              <w:sz w:val="24"/>
                              <w:szCs w:val="40"/>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9"/>
                      <w:rPr>
                        <w:rFonts w:hint="eastAsia" w:eastAsia="宋体"/>
                        <w:sz w:val="24"/>
                        <w:szCs w:val="40"/>
                        <w:lang w:eastAsia="zh-CN"/>
                      </w:rPr>
                    </w:pPr>
                    <w:r>
                      <w:rPr>
                        <w:rFonts w:hint="eastAsia"/>
                        <w:sz w:val="24"/>
                        <w:szCs w:val="40"/>
                        <w:lang w:eastAsia="zh-CN"/>
                      </w:rPr>
                      <w:fldChar w:fldCharType="begin"/>
                    </w:r>
                    <w:r>
                      <w:rPr>
                        <w:rFonts w:hint="eastAsia"/>
                        <w:sz w:val="24"/>
                        <w:szCs w:val="40"/>
                        <w:lang w:eastAsia="zh-CN"/>
                      </w:rPr>
                      <w:instrText xml:space="preserve"> PAGE  \* MERGEFORMAT </w:instrText>
                    </w:r>
                    <w:r>
                      <w:rPr>
                        <w:rFonts w:hint="eastAsia"/>
                        <w:sz w:val="24"/>
                        <w:szCs w:val="40"/>
                        <w:lang w:eastAsia="zh-CN"/>
                      </w:rPr>
                      <w:fldChar w:fldCharType="separate"/>
                    </w:r>
                    <w:r>
                      <w:rPr>
                        <w:rFonts w:hint="eastAsia"/>
                        <w:sz w:val="24"/>
                        <w:szCs w:val="40"/>
                        <w:lang w:eastAsia="zh-CN"/>
                      </w:rPr>
                      <w:t>1</w:t>
                    </w:r>
                    <w:r>
                      <w:rPr>
                        <w:rFonts w:hint="eastAsia"/>
                        <w:sz w:val="24"/>
                        <w:szCs w:val="40"/>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1745F"/>
    <w:multiLevelType w:val="singleLevel"/>
    <w:tmpl w:val="EF01745F"/>
    <w:lvl w:ilvl="0" w:tentative="0">
      <w:start w:val="1"/>
      <w:numFmt w:val="decimal"/>
      <w:suff w:val="nothing"/>
      <w:lvlText w:val="%1．"/>
      <w:lvlJc w:val="left"/>
      <w:pPr>
        <w:ind w:left="0" w:firstLine="400"/>
      </w:pPr>
      <w:rPr>
        <w:rFonts w:hint="default"/>
      </w:rPr>
    </w:lvl>
  </w:abstractNum>
  <w:abstractNum w:abstractNumId="1">
    <w:nsid w:val="333D6613"/>
    <w:multiLevelType w:val="singleLevel"/>
    <w:tmpl w:val="333D6613"/>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7100B9"/>
    <w:rsid w:val="04C81B54"/>
    <w:rsid w:val="17E561E1"/>
    <w:rsid w:val="1C7242DE"/>
    <w:rsid w:val="27F59F5C"/>
    <w:rsid w:val="3DDFD299"/>
    <w:rsid w:val="42CF7202"/>
    <w:rsid w:val="49A55ED9"/>
    <w:rsid w:val="4D66182D"/>
    <w:rsid w:val="510020F8"/>
    <w:rsid w:val="673F5A7F"/>
    <w:rsid w:val="7BFFE41D"/>
    <w:rsid w:val="7CB17E02"/>
    <w:rsid w:val="7DE875DF"/>
    <w:rsid w:val="7EB37C5E"/>
    <w:rsid w:val="BEFB004A"/>
    <w:rsid w:val="CBFE919C"/>
    <w:rsid w:val="DE6DA011"/>
    <w:rsid w:val="F375EAB6"/>
    <w:rsid w:val="F6FF4A73"/>
    <w:rsid w:val="FF5FD7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7">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index 6"/>
    <w:basedOn w:val="1"/>
    <w:next w:val="1"/>
    <w:qFormat/>
    <w:uiPriority w:val="0"/>
    <w:pPr>
      <w:ind w:left="2100"/>
      <w:jc w:val="center"/>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next w:val="6"/>
    <w:unhideWhenUsed/>
    <w:qFormat/>
    <w:uiPriority w:val="99"/>
    <w:pPr>
      <w:ind w:firstLine="420" w:firstLine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List"/>
    <w:basedOn w:val="2"/>
    <w:qFormat/>
    <w:uiPriority w:val="0"/>
  </w:style>
  <w:style w:type="paragraph" w:styleId="13">
    <w:name w:val="footnote text"/>
    <w:basedOn w:val="1"/>
    <w:next w:val="8"/>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w:basedOn w:val="2"/>
    <w:qFormat/>
    <w:uiPriority w:val="99"/>
    <w:pPr>
      <w:ind w:firstLine="420" w:firstLineChars="100"/>
    </w:pPr>
    <w:rPr>
      <w:kern w:val="0"/>
      <w:sz w:val="20"/>
      <w:szCs w:val="20"/>
    </w:rPr>
  </w:style>
  <w:style w:type="character" w:styleId="18">
    <w:name w:val="Strong"/>
    <w:basedOn w:val="17"/>
    <w:qFormat/>
    <w:uiPriority w:val="99"/>
    <w:rPr>
      <w:b/>
    </w:rPr>
  </w:style>
  <w:style w:type="character" w:customStyle="1" w:styleId="19">
    <w:name w:val="标题 1 Char"/>
    <w:basedOn w:val="17"/>
    <w:link w:val="3"/>
    <w:qFormat/>
    <w:uiPriority w:val="9"/>
    <w:rPr>
      <w:b/>
      <w:bCs/>
      <w:kern w:val="44"/>
      <w:sz w:val="44"/>
      <w:szCs w:val="44"/>
    </w:rPr>
  </w:style>
  <w:style w:type="character" w:customStyle="1" w:styleId="20">
    <w:name w:val="标题 2 Char"/>
    <w:basedOn w:val="17"/>
    <w:link w:val="4"/>
    <w:qFormat/>
    <w:uiPriority w:val="9"/>
    <w:rPr>
      <w:rFonts w:ascii="Cambria" w:hAnsi="Cambria" w:eastAsia="宋体" w:cs="Times New Roman"/>
      <w:b/>
      <w:bCs/>
      <w:sz w:val="32"/>
      <w:szCs w:val="32"/>
    </w:rPr>
  </w:style>
  <w:style w:type="character" w:customStyle="1" w:styleId="21">
    <w:name w:val="默认段落字体1"/>
    <w:qFormat/>
    <w:uiPriority w:val="0"/>
  </w:style>
  <w:style w:type="paragraph" w:customStyle="1" w:styleId="2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23">
    <w:name w:val="Index"/>
    <w:basedOn w:val="1"/>
    <w:qFormat/>
    <w:uiPriority w:val="0"/>
    <w:pPr>
      <w:widowControl w:val="0"/>
      <w:suppressLineNumbers/>
      <w:suppressAutoHyphens/>
    </w:pPr>
  </w:style>
  <w:style w:type="paragraph" w:styleId="24">
    <w:name w:val="List Paragraph"/>
    <w:basedOn w:val="1"/>
    <w:qFormat/>
    <w:uiPriority w:val="34"/>
    <w:pPr>
      <w:ind w:firstLine="420" w:firstLineChars="200"/>
    </w:p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paragraph" w:customStyle="1" w:styleId="2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1307;&#31649;&#20013;&#24515;\&#36130;&#21153;&#20986;&#32435;\&#19987;&#39033;&#24037;&#20316;\&#20915;&#31639;\&#30011;&#22270;&#34920;&#26684;%20-%20&#21103;&#2641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收、支合计</a:t>
            </a:r>
          </a:p>
        </c:rich>
      </c:tx>
      <c:layout/>
      <c:overlay val="false"/>
      <c:spPr>
        <a:noFill/>
        <a:ln>
          <a:noFill/>
        </a:ln>
        <a:effectLst/>
      </c:spPr>
    </c:title>
    <c:autoTitleDeleted val="false"/>
    <c:plotArea>
      <c:layout/>
      <c:barChart>
        <c:barDir val="col"/>
        <c:grouping val="clustered"/>
        <c:varyColors val="false"/>
        <c:ser>
          <c:idx val="0"/>
          <c:order val="0"/>
          <c:tx>
            <c:strRef>
              <c:f>'22决算'!$B$2</c:f>
              <c:strCache>
                <c:ptCount val="1"/>
                <c:pt idx="0">
                  <c:v>收、支合计</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'22决算'!$A$3:$A$4</c:f>
              <c:strCache>
                <c:ptCount val="2"/>
                <c:pt idx="0">
                  <c:v>2022年</c:v>
                </c:pt>
                <c:pt idx="1">
                  <c:v>2023年</c:v>
                </c:pt>
              </c:strCache>
            </c:strRef>
          </c:cat>
          <c:val>
            <c:numRef>
              <c:f>'22决算'!$B$3:$B$4</c:f>
              <c:numCache>
                <c:formatCode>General</c:formatCode>
                <c:ptCount val="2"/>
                <c:pt idx="0">
                  <c:v>168.43</c:v>
                </c:pt>
                <c:pt idx="1">
                  <c:v>168.69</c:v>
                </c:pt>
              </c:numCache>
            </c:numRef>
          </c:val>
        </c:ser>
        <c:dLbls>
          <c:showLegendKey val="false"/>
          <c:showVal val="true"/>
          <c:showCatName val="false"/>
          <c:showSerName val="false"/>
          <c:showPercent val="false"/>
          <c:showBubbleSize val="false"/>
        </c:dLbls>
        <c:gapWidth val="150"/>
        <c:overlap val="0"/>
        <c:axId val="864634156"/>
        <c:axId val="248170648"/>
      </c:barChart>
      <c:catAx>
        <c:axId val="86463415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48170648"/>
        <c:crosses val="autoZero"/>
        <c:auto val="true"/>
        <c:lblAlgn val="ctr"/>
        <c:lblOffset val="100"/>
        <c:noMultiLvlLbl val="false"/>
      </c:catAx>
      <c:valAx>
        <c:axId val="24817064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6463415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本年收入</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123142250530786"/>
                  <c:y val="-0.10869565217391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168.67</c:v>
                </c:pt>
                <c:pt idx="1">
                  <c:v>0.02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本年支出 </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100.77</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1"/>
              <c:layout>
                <c:manualLayout>
                  <c:x val="0"/>
                  <c:y val="-0.0033889468196037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100.77</c:v>
                </c:pt>
                <c:pt idx="1">
                  <c:v>67.92</c:v>
                </c:pt>
              </c:numCache>
            </c:numRef>
          </c:val>
        </c:ser>
        <c:ser>
          <c:idx val="1"/>
          <c:order val="1"/>
          <c:tx>
            <c:strRef>
              <c:f>Sheet1!#REF!</c:f>
              <c:strCache>
                <c:ptCount val="1"/>
                <c:pt idx="0">
                  <c:v/>
                </c:pt>
              </c:strCache>
            </c:strRef>
          </c:tx>
          <c:spPr/>
          <c:explosion val="0"/>
          <c:dPt>
            <c:idx val="0"/>
            <c:bubble3D val="false"/>
            <c:spPr>
              <a:solidFill>
                <a:schemeClr val="accent1"/>
              </a:solidFill>
              <a:ln>
                <a:solidFill>
                  <a:schemeClr val="bg1"/>
                </a:solidFill>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财政拨款收、支总计 </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trendline>
            <c:spPr>
              <a:ln w="19050" cap="rnd">
                <a:solidFill>
                  <a:schemeClr val="accent1"/>
                </a:solidFill>
                <a:prstDash val="sysDot"/>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168.43</c:v>
                </c:pt>
                <c:pt idx="1">
                  <c:v>168.67</c:v>
                </c:pt>
              </c:numCache>
            </c:numRef>
          </c:val>
        </c:ser>
        <c:dLbls>
          <c:showLegendKey val="false"/>
          <c:showVal val="true"/>
          <c:showCatName val="false"/>
          <c:showSerName val="false"/>
          <c:showPercent val="false"/>
          <c:showBubbleSize val="false"/>
        </c:dLbls>
        <c:gapWidth val="246"/>
        <c:overlap val="-28"/>
        <c:axId val="37035648"/>
        <c:axId val="116564318"/>
      </c:barChart>
      <c:catAx>
        <c:axId val="3703564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6564318"/>
        <c:crosses val="autoZero"/>
        <c:auto val="true"/>
        <c:lblAlgn val="ctr"/>
        <c:lblOffset val="100"/>
        <c:noMultiLvlLbl val="false"/>
      </c:catAx>
      <c:valAx>
        <c:axId val="116564318"/>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7035648"/>
        <c:crosses val="autoZero"/>
        <c:crossBetween val="between"/>
      </c:valAx>
      <c:spPr>
        <a:noFill/>
        <a:ln>
          <a:noFill/>
        </a:ln>
        <a:effectLst/>
      </c:spPr>
    </c:plotArea>
    <c:legend>
      <c:legendPos val="b"/>
      <c:legendEntry>
        <c:idx val="1"/>
        <c:delete val="true"/>
      </c:legendEntry>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168.43</c:v>
                </c:pt>
                <c:pt idx="1">
                  <c:v>168.67</c:v>
                </c:pt>
              </c:numCache>
            </c:numRef>
          </c:val>
        </c:ser>
        <c:dLbls>
          <c:showLegendKey val="false"/>
          <c:showVal val="true"/>
          <c:showCatName val="false"/>
          <c:showSerName val="false"/>
          <c:showPercent val="false"/>
          <c:showBubbleSize val="false"/>
        </c:dLbls>
        <c:gapWidth val="246"/>
        <c:overlap val="-28"/>
        <c:axId val="218459284"/>
        <c:axId val="361033168"/>
      </c:barChart>
      <c:catAx>
        <c:axId val="21845928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61033168"/>
        <c:crosses val="autoZero"/>
        <c:auto val="true"/>
        <c:lblAlgn val="ctr"/>
        <c:lblOffset val="100"/>
        <c:noMultiLvlLbl val="false"/>
      </c:catAx>
      <c:valAx>
        <c:axId val="361033168"/>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8459284"/>
        <c:crosses val="autoZero"/>
        <c:crossBetween val="between"/>
      </c:valAx>
      <c:spPr>
        <a:noFill/>
        <a:ln>
          <a:noFill/>
        </a:ln>
        <a:effectLst/>
      </c:spPr>
    </c:plotArea>
    <c:legend>
      <c:legendPos val="b"/>
      <c:legendEntry>
        <c:idx val="1"/>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卫生健康支出</c:v>
                </c:pt>
                <c:pt idx="1">
                  <c:v>社会保障和就业支出</c:v>
                </c:pt>
                <c:pt idx="2">
                  <c:v>住房保障支出</c:v>
                </c:pt>
              </c:strCache>
            </c:strRef>
          </c:cat>
          <c:val>
            <c:numRef>
              <c:f>Sheet1!$B$2:$B$4</c:f>
              <c:numCache>
                <c:formatCode>General</c:formatCode>
                <c:ptCount val="3"/>
                <c:pt idx="0">
                  <c:v>150.51</c:v>
                </c:pt>
                <c:pt idx="1">
                  <c:v>10.16</c:v>
                </c:pt>
                <c:pt idx="2">
                  <c:v>7.99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公务接待费支出</c:v>
                </c:pt>
                <c:pt idx="1">
                  <c:v>公务用车购置及运行维护费支出</c:v>
                </c:pt>
                <c:pt idx="2">
                  <c:v>因公出国（境）费支出</c:v>
                </c:pt>
              </c:strCache>
            </c:strRef>
          </c:cat>
          <c:val>
            <c:numRef>
              <c:f>Sheet1!$B$2:$B$4</c:f>
              <c:numCache>
                <c:formatCode>General</c:formatCode>
                <c:ptCount val="3"/>
                <c:pt idx="0">
                  <c:v>0.19</c:v>
                </c:pt>
                <c:pt idx="1">
                  <c:v>0</c:v>
                </c:pt>
                <c:pt idx="2">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13904</Words>
  <Characters>16091</Characters>
  <TotalTime>0</TotalTime>
  <ScaleCrop>false</ScaleCrop>
  <LinksUpToDate>false</LinksUpToDate>
  <CharactersWithSpaces>16255</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2018-11-28T17:47:00Z</dcterms:created>
  <dc:creator>user</dc:creator>
  <cp:lastModifiedBy> </cp:lastModifiedBy>
  <dcterms:modified xsi:type="dcterms:W3CDTF">2024-10-12T19:42:45Z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2ED862947D1042F9A19628830E65EEE9_13</vt:lpwstr>
  </property>
  <property fmtid="{D5CDD505-2E9C-101B-9397-08002B2CF9AE}" pid="4" name="KSOSaveFontToCloudKey">
    <vt:lpwstr>249817741_embed</vt:lpwstr>
  </property>
</Properties>
</file>