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outlineLvl w:val="0"/>
        <w:rPr>
          <w:rFonts w:ascii="方正小标宋简体" w:hAnsi="宋体" w:eastAsia="方正小标宋简体"/>
          <w:color w:val="auto"/>
          <w:sz w:val="72"/>
          <w:szCs w:val="72"/>
          <w:highlight w:val="none"/>
        </w:rPr>
      </w:pPr>
      <w:bookmarkStart w:id="0" w:name="_Toc15306267"/>
    </w:p>
    <w:bookmarkEnd w:id="0"/>
    <w:p>
      <w:pPr>
        <w:adjustRightInd w:val="0"/>
        <w:snapToGrid w:val="0"/>
        <w:spacing w:line="360" w:lineRule="auto"/>
        <w:ind w:firstLine="2880" w:firstLineChars="400"/>
        <w:outlineLvl w:val="0"/>
        <w:rPr>
          <w:rFonts w:ascii="黑体" w:hAnsi="黑体" w:eastAsia="黑体" w:cs="黑体"/>
          <w:color w:val="000000"/>
          <w:sz w:val="72"/>
          <w:szCs w:val="72"/>
        </w:rPr>
      </w:pPr>
      <w:bookmarkStart w:id="1" w:name="_Toc15378441"/>
      <w:bookmarkStart w:id="2" w:name="_Toc15396597"/>
      <w:bookmarkStart w:id="3" w:name="_Toc15377193"/>
      <w:bookmarkStart w:id="4" w:name="_Toc15396475"/>
      <w:bookmarkStart w:id="5" w:name="_Toc21744"/>
      <w:bookmarkStart w:id="6" w:name="_Toc15377425"/>
      <w:r>
        <w:rPr>
          <w:rFonts w:ascii="黑体" w:hAnsi="黑体" w:eastAsia="黑体" w:cs="黑体"/>
          <w:color w:val="000000"/>
          <w:sz w:val="72"/>
          <w:szCs w:val="72"/>
        </w:rPr>
        <w:t>202</w:t>
      </w:r>
      <w:r>
        <w:rPr>
          <w:rFonts w:ascii="黑体" w:hAnsi="黑体" w:eastAsia="黑体" w:cs="黑体"/>
          <w:color w:val="000000"/>
          <w:sz w:val="72"/>
          <w:szCs w:val="72"/>
          <w:lang w:val="en-US" w:eastAsia="zh-CN"/>
        </w:rPr>
        <w:t>3</w:t>
      </w:r>
      <w:r>
        <w:rPr>
          <w:rFonts w:hint="eastAsia" w:ascii="黑体" w:hAnsi="黑体" w:eastAsia="黑体" w:cs="黑体"/>
          <w:color w:val="000000"/>
          <w:sz w:val="72"/>
          <w:szCs w:val="72"/>
        </w:rPr>
        <w:t>年度</w:t>
      </w:r>
      <w:bookmarkEnd w:id="1"/>
      <w:bookmarkEnd w:id="2"/>
      <w:bookmarkEnd w:id="3"/>
      <w:bookmarkEnd w:id="4"/>
      <w:bookmarkEnd w:id="5"/>
      <w:bookmarkEnd w:id="6"/>
    </w:p>
    <w:p>
      <w:pPr>
        <w:adjustRightInd w:val="0"/>
        <w:snapToGrid w:val="0"/>
        <w:spacing w:line="360" w:lineRule="auto"/>
        <w:jc w:val="center"/>
        <w:outlineLvl w:val="0"/>
        <w:rPr>
          <w:rFonts w:ascii="黑体" w:hAnsi="黑体" w:eastAsia="黑体" w:cs="黑体"/>
          <w:color w:val="000000"/>
          <w:sz w:val="72"/>
          <w:szCs w:val="72"/>
        </w:rPr>
      </w:pPr>
      <w:bookmarkStart w:id="7" w:name="_Toc15830"/>
      <w:bookmarkStart w:id="8" w:name="_Toc15377194"/>
      <w:bookmarkStart w:id="9" w:name="_Toc15396598"/>
      <w:bookmarkStart w:id="10" w:name="_Toc15306268"/>
      <w:bookmarkStart w:id="11" w:name="_Toc15378442"/>
      <w:bookmarkStart w:id="12" w:name="_Toc15396476"/>
      <w:bookmarkStart w:id="13" w:name="_Toc15377426"/>
      <w:r>
        <w:rPr>
          <w:rFonts w:hint="eastAsia" w:ascii="黑体" w:hAnsi="黑体" w:eastAsia="黑体" w:cs="黑体"/>
          <w:color w:val="000000"/>
          <w:sz w:val="72"/>
          <w:szCs w:val="72"/>
        </w:rPr>
        <w:t>皇泽寺博物馆</w:t>
      </w:r>
      <w:bookmarkEnd w:id="7"/>
    </w:p>
    <w:p>
      <w:pPr>
        <w:adjustRightInd w:val="0"/>
        <w:snapToGrid w:val="0"/>
        <w:spacing w:line="360" w:lineRule="auto"/>
        <w:jc w:val="center"/>
        <w:outlineLvl w:val="0"/>
        <w:rPr>
          <w:rFonts w:ascii="黑体" w:hAnsi="黑体" w:eastAsia="黑体" w:cs="黑体"/>
          <w:color w:val="000000"/>
          <w:sz w:val="72"/>
          <w:szCs w:val="72"/>
        </w:rPr>
      </w:pPr>
      <w:bookmarkStart w:id="14" w:name="_Toc28931"/>
      <w:r>
        <w:rPr>
          <w:rFonts w:hint="eastAsia" w:ascii="黑体" w:hAnsi="黑体" w:eastAsia="黑体" w:cs="黑体"/>
          <w:color w:val="000000"/>
          <w:sz w:val="72"/>
          <w:szCs w:val="72"/>
          <w:lang w:val="en-US" w:eastAsia="zh-CN"/>
        </w:rPr>
        <w:t>单位</w:t>
      </w:r>
      <w:r>
        <w:rPr>
          <w:rFonts w:hint="eastAsia" w:ascii="黑体" w:hAnsi="黑体" w:eastAsia="黑体" w:cs="黑体"/>
          <w:color w:val="000000"/>
          <w:sz w:val="72"/>
          <w:szCs w:val="72"/>
        </w:rPr>
        <w:t>决算</w:t>
      </w:r>
      <w:bookmarkEnd w:id="8"/>
      <w:bookmarkEnd w:id="9"/>
      <w:bookmarkEnd w:id="10"/>
      <w:bookmarkEnd w:id="11"/>
      <w:bookmarkEnd w:id="12"/>
      <w:bookmarkEnd w:id="13"/>
      <w:bookmarkEnd w:id="14"/>
    </w:p>
    <w:p>
      <w:pPr>
        <w:pStyle w:val="2"/>
        <w:spacing w:before="93" w:beforeLines="0"/>
        <w:jc w:val="center"/>
        <w:rPr>
          <w:rFonts w:ascii="黑体" w:hAnsi="黑体" w:eastAsia="黑体" w:cs="黑体"/>
          <w:color w:val="000000"/>
          <w:sz w:val="72"/>
          <w:szCs w:val="72"/>
        </w:rPr>
      </w:pPr>
      <w:r>
        <w:rPr>
          <w:rFonts w:hint="eastAsia" w:ascii="黑体" w:hAnsi="黑体" w:eastAsia="黑体" w:cs="黑体"/>
          <w:color w:val="000000"/>
          <w:sz w:val="72"/>
          <w:szCs w:val="72"/>
        </w:rPr>
        <w:t>编</w:t>
      </w:r>
    </w:p>
    <w:p>
      <w:pPr>
        <w:pStyle w:val="2"/>
        <w:spacing w:before="93" w:beforeLines="0"/>
        <w:jc w:val="center"/>
        <w:rPr>
          <w:rFonts w:ascii="黑体" w:hAnsi="黑体" w:eastAsia="黑体" w:cs="黑体"/>
          <w:color w:val="000000"/>
          <w:sz w:val="72"/>
          <w:szCs w:val="72"/>
        </w:rPr>
      </w:pPr>
      <w:r>
        <w:rPr>
          <w:rFonts w:hint="eastAsia" w:ascii="黑体" w:hAnsi="黑体" w:eastAsia="黑体" w:cs="黑体"/>
          <w:color w:val="000000"/>
          <w:sz w:val="72"/>
          <w:szCs w:val="72"/>
        </w:rPr>
        <w:t>制</w:t>
      </w:r>
    </w:p>
    <w:p>
      <w:pPr>
        <w:pStyle w:val="2"/>
        <w:spacing w:before="93" w:beforeLines="0"/>
        <w:jc w:val="center"/>
        <w:rPr>
          <w:rFonts w:ascii="黑体" w:hAnsi="黑体" w:eastAsia="黑体" w:cs="黑体"/>
          <w:color w:val="000000"/>
          <w:sz w:val="72"/>
          <w:szCs w:val="72"/>
        </w:rPr>
      </w:pPr>
      <w:r>
        <w:rPr>
          <w:rFonts w:hint="eastAsia" w:ascii="黑体" w:hAnsi="黑体" w:eastAsia="黑体" w:cs="黑体"/>
          <w:color w:val="000000"/>
          <w:sz w:val="72"/>
          <w:szCs w:val="72"/>
        </w:rPr>
        <w:t>说</w:t>
      </w:r>
    </w:p>
    <w:p>
      <w:pPr>
        <w:pStyle w:val="2"/>
        <w:spacing w:before="93" w:beforeLines="0"/>
        <w:jc w:val="center"/>
        <w:rPr>
          <w:rFonts w:ascii="方正小标宋简体" w:hAnsi="宋体" w:eastAsia="方正小标宋简体"/>
          <w:color w:val="000000"/>
          <w:sz w:val="72"/>
          <w:szCs w:val="72"/>
        </w:rPr>
      </w:pPr>
      <w:r>
        <w:rPr>
          <w:rFonts w:hint="eastAsia" w:ascii="黑体" w:hAnsi="黑体" w:eastAsia="黑体" w:cs="黑体"/>
          <w:color w:val="000000"/>
          <w:sz w:val="72"/>
          <w:szCs w:val="72"/>
        </w:rPr>
        <w:t>明</w:t>
      </w:r>
    </w:p>
    <w:p>
      <w:pPr>
        <w:widowControl/>
        <w:jc w:val="center"/>
        <w:rPr>
          <w:rFonts w:ascii="黑体" w:hAnsi="黑体" w:eastAsia="黑体" w:cs="Arial"/>
          <w:color w:val="auto"/>
          <w:sz w:val="28"/>
          <w:szCs w:val="28"/>
          <w:highlight w:val="none"/>
        </w:rPr>
      </w:pPr>
      <w:r>
        <w:rPr>
          <w:rFonts w:ascii="方正小标宋简体" w:hAnsi="宋体" w:eastAsia="方正小标宋简体"/>
          <w:sz w:val="36"/>
          <w:szCs w:val="36"/>
        </w:rPr>
        <w:br w:type="page"/>
      </w:r>
      <w:r>
        <w:rPr>
          <w:rFonts w:hint="eastAsia" w:ascii="黑体" w:hAnsi="黑体" w:eastAsia="黑体"/>
          <w:color w:val="auto"/>
          <w:sz w:val="48"/>
          <w:szCs w:val="48"/>
          <w:highlight w:val="none"/>
        </w:rPr>
        <w:t>目录</w:t>
      </w:r>
    </w:p>
    <w:p>
      <w:pPr>
        <w:pStyle w:val="10"/>
        <w:rPr>
          <w:rFonts w:hint="eastAsia"/>
          <w:color w:val="auto"/>
          <w:sz w:val="24"/>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p>
    <w:sdt>
      <w:sdtPr>
        <w:rPr>
          <w:rFonts w:ascii="宋体" w:hAnsi="宋体" w:eastAsia="宋体" w:cs="Times New Roman"/>
          <w:kern w:val="2"/>
          <w:sz w:val="21"/>
          <w:szCs w:val="24"/>
          <w:lang w:val="en-US" w:eastAsia="zh-CN" w:bidi="ar-SA"/>
        </w:rPr>
        <w:id w:val="130809820"/>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after="0" w:line="240" w:lineRule="auto"/>
            <w:ind w:left="0" w:right="0" w:firstLine="0"/>
            <w:jc w:val="center"/>
          </w:pPr>
        </w:p>
        <w:p>
          <w:pPr>
            <w:pStyle w:val="10"/>
            <w:tabs>
              <w:tab w:val="right" w:leader="dot" w:pos="8306"/>
              <w:tab w:val="clear" w:pos="8296"/>
            </w:tabs>
            <w:jc w:val="both"/>
          </w:pPr>
          <w:r>
            <w:fldChar w:fldCharType="begin"/>
          </w:r>
          <w:r>
            <w:instrText xml:space="preserve">TOC \o "1-3" \h \u </w:instrText>
          </w:r>
          <w:r>
            <w:fldChar w:fldCharType="separate"/>
          </w:r>
          <w:r>
            <w:fldChar w:fldCharType="begin"/>
          </w:r>
          <w:r>
            <w:instrText xml:space="preserve"> HYPERLINK \l _Toc12881 </w:instrText>
          </w:r>
          <w:r>
            <w:fldChar w:fldCharType="separate"/>
          </w:r>
          <w:r>
            <w:rPr>
              <w:rFonts w:hint="eastAsia" w:ascii="黑体" w:hAnsi="黑体" w:eastAsia="黑体"/>
              <w:highlight w:val="none"/>
            </w:rPr>
            <w:t>第一部分</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_Toc12881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_Toc12440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_Toc12440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_Toc1958 </w:instrText>
          </w:r>
          <w:r>
            <w:fldChar w:fldCharType="separate"/>
          </w:r>
          <w:r>
            <w:rPr>
              <w:rFonts w:hint="eastAsia" w:ascii="黑体" w:hAnsi="黑体" w:eastAsia="黑体"/>
              <w:lang w:val="en-US" w:eastAsia="zh-CN"/>
            </w:rPr>
            <w:t>二、</w:t>
          </w:r>
          <w:r>
            <w:rPr>
              <w:rFonts w:hint="eastAsia" w:ascii="黑体" w:hAnsi="黑体" w:eastAsia="黑体"/>
              <w:highlight w:val="none"/>
              <w:lang w:val="en-US" w:eastAsia="zh-CN"/>
            </w:rPr>
            <w:t>机构设置</w:t>
          </w:r>
          <w:r>
            <w:tab/>
          </w:r>
          <w:r>
            <w:fldChar w:fldCharType="begin"/>
          </w:r>
          <w:r>
            <w:instrText xml:space="preserve"> PAGEREF _Toc1958 \h </w:instrText>
          </w:r>
          <w:r>
            <w:fldChar w:fldCharType="separate"/>
          </w:r>
          <w:r>
            <w:t>1</w:t>
          </w:r>
          <w:r>
            <w:fldChar w:fldCharType="end"/>
          </w:r>
          <w:r>
            <w:fldChar w:fldCharType="end"/>
          </w:r>
        </w:p>
        <w:p>
          <w:pPr>
            <w:pStyle w:val="10"/>
            <w:tabs>
              <w:tab w:val="right" w:leader="dot" w:pos="8306"/>
              <w:tab w:val="clear" w:pos="8296"/>
            </w:tabs>
          </w:pPr>
          <w:r>
            <w:fldChar w:fldCharType="begin"/>
          </w:r>
          <w:r>
            <w:instrText xml:space="preserve"> HYPERLINK \l _Toc28975 </w:instrText>
          </w:r>
          <w:r>
            <w:fldChar w:fldCharType="separate"/>
          </w:r>
          <w:r>
            <w:rPr>
              <w:rFonts w:hint="eastAsia" w:ascii="黑体" w:hAnsi="黑体" w:eastAsia="黑体"/>
              <w:bCs/>
              <w:highlight w:val="none"/>
            </w:rPr>
            <w:t>第二部分</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_Toc28975 \h </w:instrText>
          </w:r>
          <w:r>
            <w:fldChar w:fldCharType="separate"/>
          </w:r>
          <w:r>
            <w:t>2</w:t>
          </w:r>
          <w:r>
            <w:fldChar w:fldCharType="end"/>
          </w:r>
          <w:r>
            <w:fldChar w:fldCharType="end"/>
          </w:r>
        </w:p>
        <w:p>
          <w:pPr>
            <w:pStyle w:val="11"/>
            <w:tabs>
              <w:tab w:val="right" w:leader="dot" w:pos="8306"/>
              <w:tab w:val="clear" w:pos="8296"/>
            </w:tabs>
          </w:pPr>
          <w:r>
            <w:fldChar w:fldCharType="begin"/>
          </w:r>
          <w:r>
            <w:instrText xml:space="preserve"> HYPERLINK \l _Toc19686 </w:instrText>
          </w:r>
          <w:r>
            <w:fldChar w:fldCharType="separate"/>
          </w:r>
          <w:r>
            <w:rPr>
              <w:rFonts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_Toc19686 \h </w:instrText>
          </w:r>
          <w:r>
            <w:fldChar w:fldCharType="separate"/>
          </w:r>
          <w:r>
            <w:t>2</w:t>
          </w:r>
          <w:r>
            <w:fldChar w:fldCharType="end"/>
          </w:r>
          <w:r>
            <w:fldChar w:fldCharType="end"/>
          </w:r>
        </w:p>
        <w:p>
          <w:pPr>
            <w:pStyle w:val="11"/>
            <w:tabs>
              <w:tab w:val="right" w:leader="dot" w:pos="8306"/>
              <w:tab w:val="clear" w:pos="8296"/>
            </w:tabs>
          </w:pPr>
          <w:r>
            <w:fldChar w:fldCharType="begin"/>
          </w:r>
          <w:r>
            <w:instrText xml:space="preserve"> HYPERLINK \l _Toc13238 </w:instrText>
          </w:r>
          <w:r>
            <w:fldChar w:fldCharType="separate"/>
          </w:r>
          <w:r>
            <w:rPr>
              <w:rFonts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_Toc13238 \h </w:instrText>
          </w:r>
          <w:r>
            <w:fldChar w:fldCharType="separate"/>
          </w:r>
          <w:r>
            <w:t>2</w:t>
          </w:r>
          <w:r>
            <w:fldChar w:fldCharType="end"/>
          </w:r>
          <w:r>
            <w:fldChar w:fldCharType="end"/>
          </w:r>
        </w:p>
        <w:p>
          <w:pPr>
            <w:pStyle w:val="11"/>
            <w:tabs>
              <w:tab w:val="right" w:leader="dot" w:pos="8306"/>
              <w:tab w:val="clear" w:pos="8296"/>
            </w:tabs>
          </w:pPr>
          <w:r>
            <w:fldChar w:fldCharType="begin"/>
          </w:r>
          <w:r>
            <w:instrText xml:space="preserve"> HYPERLINK \l _Toc18525 </w:instrText>
          </w:r>
          <w:r>
            <w:fldChar w:fldCharType="separate"/>
          </w:r>
          <w:r>
            <w:rPr>
              <w:rFonts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_Toc18525 \h </w:instrText>
          </w:r>
          <w:r>
            <w:fldChar w:fldCharType="separate"/>
          </w:r>
          <w:r>
            <w:t>3</w:t>
          </w:r>
          <w:r>
            <w:fldChar w:fldCharType="end"/>
          </w:r>
          <w:r>
            <w:fldChar w:fldCharType="end"/>
          </w:r>
        </w:p>
        <w:p>
          <w:pPr>
            <w:pStyle w:val="11"/>
            <w:tabs>
              <w:tab w:val="right" w:leader="dot" w:pos="8306"/>
              <w:tab w:val="clear" w:pos="8296"/>
            </w:tabs>
          </w:pPr>
          <w:r>
            <w:fldChar w:fldCharType="begin"/>
          </w:r>
          <w:r>
            <w:instrText xml:space="preserve"> HYPERLINK \l _Toc29469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_Toc29469 \h </w:instrText>
          </w:r>
          <w:r>
            <w:fldChar w:fldCharType="separate"/>
          </w:r>
          <w:r>
            <w:t>3</w:t>
          </w:r>
          <w:r>
            <w:fldChar w:fldCharType="end"/>
          </w:r>
          <w:r>
            <w:fldChar w:fldCharType="end"/>
          </w:r>
        </w:p>
        <w:p>
          <w:pPr>
            <w:pStyle w:val="11"/>
            <w:tabs>
              <w:tab w:val="right" w:leader="dot" w:pos="8306"/>
              <w:tab w:val="clear" w:pos="8296"/>
            </w:tabs>
          </w:pPr>
          <w:r>
            <w:fldChar w:fldCharType="begin"/>
          </w:r>
          <w:r>
            <w:instrText xml:space="preserve"> HYPERLINK \l _Toc20740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_Toc20740 \h </w:instrText>
          </w:r>
          <w:r>
            <w:fldChar w:fldCharType="separate"/>
          </w:r>
          <w:r>
            <w:t>4</w:t>
          </w:r>
          <w:r>
            <w:fldChar w:fldCharType="end"/>
          </w:r>
          <w:r>
            <w:fldChar w:fldCharType="end"/>
          </w:r>
        </w:p>
        <w:p>
          <w:pPr>
            <w:pStyle w:val="11"/>
            <w:tabs>
              <w:tab w:val="right" w:leader="dot" w:pos="8306"/>
              <w:tab w:val="clear" w:pos="8296"/>
            </w:tabs>
          </w:pPr>
          <w:r>
            <w:fldChar w:fldCharType="begin"/>
          </w:r>
          <w:r>
            <w:instrText xml:space="preserve"> HYPERLINK \l _Toc18847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_Toc18847 \h </w:instrText>
          </w:r>
          <w:r>
            <w:fldChar w:fldCharType="separate"/>
          </w:r>
          <w:r>
            <w:t>6</w:t>
          </w:r>
          <w:r>
            <w:fldChar w:fldCharType="end"/>
          </w:r>
          <w:r>
            <w:fldChar w:fldCharType="end"/>
          </w:r>
        </w:p>
        <w:p>
          <w:pPr>
            <w:pStyle w:val="11"/>
            <w:tabs>
              <w:tab w:val="right" w:leader="dot" w:pos="8306"/>
              <w:tab w:val="clear" w:pos="8296"/>
            </w:tabs>
          </w:pPr>
          <w:r>
            <w:fldChar w:fldCharType="begin"/>
          </w:r>
          <w:r>
            <w:instrText xml:space="preserve"> HYPERLINK \l _Toc27063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_Toc27063 \h </w:instrText>
          </w:r>
          <w:r>
            <w:fldChar w:fldCharType="separate"/>
          </w:r>
          <w:r>
            <w:t>6</w:t>
          </w:r>
          <w:r>
            <w:fldChar w:fldCharType="end"/>
          </w:r>
          <w:r>
            <w:fldChar w:fldCharType="end"/>
          </w:r>
        </w:p>
        <w:p>
          <w:pPr>
            <w:pStyle w:val="11"/>
            <w:tabs>
              <w:tab w:val="right" w:leader="dot" w:pos="8306"/>
              <w:tab w:val="clear" w:pos="8296"/>
            </w:tabs>
          </w:pPr>
          <w:r>
            <w:fldChar w:fldCharType="begin"/>
          </w:r>
          <w:r>
            <w:instrText xml:space="preserve"> HYPERLINK \l _Toc16650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_Toc16650 \h </w:instrText>
          </w:r>
          <w:r>
            <w:fldChar w:fldCharType="separate"/>
          </w:r>
          <w:r>
            <w:t>8</w:t>
          </w:r>
          <w:r>
            <w:fldChar w:fldCharType="end"/>
          </w:r>
          <w:r>
            <w:fldChar w:fldCharType="end"/>
          </w:r>
        </w:p>
        <w:p>
          <w:pPr>
            <w:pStyle w:val="11"/>
            <w:tabs>
              <w:tab w:val="right" w:leader="dot" w:pos="8306"/>
              <w:tab w:val="clear" w:pos="8296"/>
            </w:tabs>
          </w:pPr>
          <w:r>
            <w:fldChar w:fldCharType="begin"/>
          </w:r>
          <w:r>
            <w:instrText xml:space="preserve"> HYPERLINK \l _Toc32541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_Toc32541 \h </w:instrText>
          </w:r>
          <w:r>
            <w:fldChar w:fldCharType="separate"/>
          </w:r>
          <w:r>
            <w:t>9</w:t>
          </w:r>
          <w:r>
            <w:fldChar w:fldCharType="end"/>
          </w:r>
          <w:r>
            <w:fldChar w:fldCharType="end"/>
          </w:r>
        </w:p>
        <w:p>
          <w:pPr>
            <w:pStyle w:val="11"/>
            <w:tabs>
              <w:tab w:val="right" w:leader="dot" w:pos="8306"/>
              <w:tab w:val="clear" w:pos="8296"/>
            </w:tabs>
          </w:pPr>
          <w:r>
            <w:fldChar w:fldCharType="begin"/>
          </w:r>
          <w:r>
            <w:instrText xml:space="preserve"> HYPERLINK \l _Toc1010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_Toc1010 \h </w:instrText>
          </w:r>
          <w:r>
            <w:fldChar w:fldCharType="separate"/>
          </w:r>
          <w:r>
            <w:t>9</w:t>
          </w:r>
          <w:r>
            <w:fldChar w:fldCharType="end"/>
          </w:r>
          <w:r>
            <w:fldChar w:fldCharType="end"/>
          </w:r>
        </w:p>
        <w:p>
          <w:pPr>
            <w:pStyle w:val="10"/>
            <w:tabs>
              <w:tab w:val="right" w:leader="dot" w:pos="8306"/>
              <w:tab w:val="clear" w:pos="8296"/>
            </w:tabs>
          </w:pPr>
          <w:r>
            <w:fldChar w:fldCharType="begin"/>
          </w:r>
          <w:r>
            <w:instrText xml:space="preserve"> HYPERLINK \l _Toc17609 </w:instrText>
          </w:r>
          <w:r>
            <w:fldChar w:fldCharType="separate"/>
          </w:r>
          <w:r>
            <w:rPr>
              <w:rFonts w:hint="eastAsia" w:ascii="黑体" w:hAnsi="黑体" w:eastAsia="黑体" w:cs="黑体"/>
              <w:szCs w:val="44"/>
            </w:rPr>
            <w:t>第三部分</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_Toc17609 \h </w:instrText>
          </w:r>
          <w:r>
            <w:fldChar w:fldCharType="separate"/>
          </w:r>
          <w:r>
            <w:t>11</w:t>
          </w:r>
          <w:r>
            <w:fldChar w:fldCharType="end"/>
          </w:r>
          <w:r>
            <w:fldChar w:fldCharType="end"/>
          </w:r>
        </w:p>
        <w:p>
          <w:pPr>
            <w:pStyle w:val="10"/>
            <w:tabs>
              <w:tab w:val="right" w:leader="dot" w:pos="8306"/>
              <w:tab w:val="clear" w:pos="8296"/>
            </w:tabs>
          </w:pPr>
          <w:r>
            <w:fldChar w:fldCharType="begin"/>
          </w:r>
          <w:r>
            <w:instrText xml:space="preserve"> HYPERLINK \l _Toc20681 </w:instrText>
          </w:r>
          <w:r>
            <w:fldChar w:fldCharType="separate"/>
          </w:r>
          <w:r>
            <w:rPr>
              <w:rFonts w:hint="eastAsia" w:ascii="黑体" w:hAnsi="黑体" w:eastAsia="黑体" w:cs="黑体"/>
              <w:szCs w:val="44"/>
            </w:rPr>
            <w:t>第四部分</w:t>
          </w:r>
          <w:r>
            <w:rPr>
              <w:rFonts w:hint="eastAsia" w:ascii="黑体" w:hAnsi="黑体" w:eastAsia="黑体"/>
            </w:rPr>
            <w:t>附件</w:t>
          </w:r>
          <w:r>
            <w:tab/>
          </w:r>
          <w:r>
            <w:fldChar w:fldCharType="begin"/>
          </w:r>
          <w:r>
            <w:instrText xml:space="preserve"> PAGEREF _Toc20681 \h </w:instrText>
          </w:r>
          <w:r>
            <w:fldChar w:fldCharType="separate"/>
          </w:r>
          <w:r>
            <w:t>13</w:t>
          </w:r>
          <w:r>
            <w:fldChar w:fldCharType="end"/>
          </w:r>
          <w:r>
            <w:fldChar w:fldCharType="end"/>
          </w:r>
        </w:p>
        <w:p>
          <w:pPr>
            <w:pStyle w:val="10"/>
            <w:tabs>
              <w:tab w:val="right" w:leader="dot" w:pos="8306"/>
              <w:tab w:val="clear" w:pos="8296"/>
            </w:tabs>
          </w:pPr>
          <w:r>
            <w:fldChar w:fldCharType="begin"/>
          </w:r>
          <w:r>
            <w:instrText xml:space="preserve"> HYPERLINK \l _Toc223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五部分附表</w:t>
          </w:r>
          <w:r>
            <w:tab/>
          </w:r>
          <w:r>
            <w:fldChar w:fldCharType="begin"/>
          </w:r>
          <w:r>
            <w:instrText xml:space="preserve"> PAGEREF _Toc223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_Toc6158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_Toc6158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_Toc12575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_Toc12575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_Toc2880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_Toc2880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_Toc2384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_Toc2384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_Toc13430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_Toc13430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_Toc8944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_Toc8944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_Toc10227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_Toc10227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_Toc1797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_Toc1797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_Toc16682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_Toc16682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_Toc26525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_Toc26525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_Toc9421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_Toc9421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_Toc3601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_Toc3601 \h </w:instrText>
          </w:r>
          <w:r>
            <w:fldChar w:fldCharType="separate"/>
          </w:r>
          <w:r>
            <w:t>35</w:t>
          </w:r>
          <w:r>
            <w:fldChar w:fldCharType="end"/>
          </w:r>
          <w:r>
            <w:fldChar w:fldCharType="end"/>
          </w:r>
        </w:p>
        <w:p>
          <w:pPr>
            <w:pStyle w:val="11"/>
            <w:tabs>
              <w:tab w:val="right" w:leader="dot" w:pos="8306"/>
              <w:tab w:val="clear" w:pos="8296"/>
            </w:tabs>
          </w:pPr>
          <w:r>
            <w:fldChar w:fldCharType="begin"/>
          </w:r>
          <w:r>
            <w:instrText xml:space="preserve"> HYPERLINK \l _Toc6269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_Toc6269 \h </w:instrText>
          </w:r>
          <w:r>
            <w:fldChar w:fldCharType="separate"/>
          </w:r>
          <w:r>
            <w:t>35</w:t>
          </w:r>
          <w:r>
            <w:fldChar w:fldCharType="end"/>
          </w:r>
          <w:r>
            <w:fldChar w:fldCharType="end"/>
          </w:r>
        </w:p>
        <w:p>
          <w:r>
            <w:fldChar w:fldCharType="end"/>
          </w:r>
        </w:p>
      </w:sdtContent>
    </w:sdt>
    <w:p>
      <w:pPr>
        <w:jc w:val="center"/>
        <w:rPr>
          <w:rStyle w:val="16"/>
          <w:rFonts w:hint="eastAsia" w:ascii="黑体" w:hAnsi="黑体" w:eastAsia="黑体"/>
          <w:b w:val="0"/>
          <w:bCs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5" w:name="_Toc12881"/>
      <w:bookmarkStart w:id="16" w:name="_Toc15396600"/>
      <w:bookmarkStart w:id="17" w:name="_Toc15377197"/>
    </w:p>
    <w:p>
      <w:pPr>
        <w:jc w:val="center"/>
        <w:rPr>
          <w:rStyle w:val="16"/>
          <w:rFonts w:ascii="黑体" w:hAnsi="黑体" w:eastAsia="黑体"/>
          <w:b/>
          <w:bCs w:val="0"/>
          <w:color w:val="auto"/>
          <w:highlight w:val="none"/>
        </w:rPr>
      </w:pPr>
      <w:r>
        <w:rPr>
          <w:rStyle w:val="16"/>
          <w:rFonts w:hint="eastAsia" w:ascii="黑体" w:hAnsi="黑体" w:eastAsia="黑体"/>
          <w:b w:val="0"/>
          <w:bCs w:val="0"/>
          <w:color w:val="auto"/>
          <w:highlight w:val="none"/>
        </w:rPr>
        <w:t>第一部分</w:t>
      </w:r>
      <w:r>
        <w:rPr>
          <w:rStyle w:val="16"/>
          <w:rFonts w:hint="eastAsia" w:ascii="黑体" w:hAnsi="黑体" w:eastAsia="黑体"/>
          <w:b w:val="0"/>
          <w:bCs w:val="0"/>
          <w:color w:val="auto"/>
          <w:highlight w:val="none"/>
          <w:lang w:eastAsia="zh-CN"/>
        </w:rPr>
        <w:t>单位</w:t>
      </w:r>
      <w:r>
        <w:rPr>
          <w:rStyle w:val="16"/>
          <w:rFonts w:hint="eastAsia" w:ascii="黑体" w:hAnsi="黑体" w:eastAsia="黑体"/>
          <w:b w:val="0"/>
          <w:bCs w:val="0"/>
          <w:color w:val="auto"/>
          <w:highlight w:val="none"/>
        </w:rPr>
        <w:t>概况</w:t>
      </w:r>
      <w:bookmarkEnd w:id="15"/>
    </w:p>
    <w:p>
      <w:pPr>
        <w:pStyle w:val="4"/>
        <w:keepNext/>
        <w:keepLines/>
        <w:widowControl w:val="0"/>
        <w:spacing w:before="260" w:after="260" w:line="415" w:lineRule="auto"/>
        <w:jc w:val="both"/>
        <w:outlineLvl w:val="1"/>
        <w:rPr>
          <w:rStyle w:val="17"/>
          <w:rFonts w:hint="eastAsia" w:ascii="黑体" w:hAnsi="黑体" w:eastAsia="黑体"/>
          <w:b w:val="0"/>
          <w:bCs w:val="0"/>
          <w:color w:val="auto"/>
          <w:highlight w:val="none"/>
          <w:lang w:eastAsia="zh-CN"/>
        </w:rPr>
      </w:pPr>
    </w:p>
    <w:p>
      <w:pPr>
        <w:pStyle w:val="4"/>
        <w:numPr>
          <w:ilvl w:val="0"/>
          <w:numId w:val="1"/>
        </w:numPr>
        <w:rPr>
          <w:rStyle w:val="17"/>
          <w:rFonts w:hint="eastAsia" w:ascii="黑体" w:hAnsi="黑体" w:eastAsia="黑体"/>
          <w:b w:val="0"/>
          <w:bCs w:val="0"/>
          <w:color w:val="auto"/>
          <w:highlight w:val="none"/>
          <w:lang w:eastAsia="zh-CN"/>
        </w:rPr>
      </w:pPr>
      <w:bookmarkStart w:id="18" w:name="_Toc12440"/>
      <w:r>
        <w:rPr>
          <w:rStyle w:val="17"/>
          <w:rFonts w:hint="eastAsia" w:ascii="黑体" w:hAnsi="黑体" w:eastAsia="黑体"/>
          <w:b w:val="0"/>
          <w:bCs w:val="0"/>
          <w:color w:val="auto"/>
          <w:highlight w:val="none"/>
          <w:lang w:eastAsia="zh-CN"/>
        </w:rPr>
        <w:t>主要职责</w:t>
      </w:r>
      <w:bookmarkEnd w:id="18"/>
    </w:p>
    <w:p>
      <w:pPr>
        <w:pStyle w:val="4"/>
        <w:spacing w:before="0" w:after="0" w:line="240" w:lineRule="auto"/>
        <w:ind w:firstLine="640" w:firstLineChars="200"/>
        <w:rPr>
          <w:rFonts w:hint="eastAsia"/>
          <w:lang w:eastAsia="zh-CN"/>
        </w:rPr>
      </w:pPr>
      <w:bookmarkStart w:id="19" w:name="_Toc14111"/>
      <w:r>
        <w:rPr>
          <w:rFonts w:hint="eastAsia" w:ascii="仿宋" w:hAnsi="仿宋" w:eastAsia="仿宋" w:cs="仿宋"/>
          <w:b w:val="0"/>
          <w:bCs w:val="0"/>
        </w:rPr>
        <w:t>皇泽寺博物馆是根据广编发</w:t>
      </w:r>
      <w:r>
        <w:rPr>
          <w:rFonts w:hint="eastAsia" w:ascii="仿宋" w:hAnsi="仿宋" w:eastAsia="仿宋" w:cs="仿宋"/>
          <w:color w:val="000000"/>
        </w:rPr>
        <w:t>〔</w:t>
      </w:r>
      <w:r>
        <w:rPr>
          <w:rFonts w:hint="eastAsia" w:ascii="仿宋" w:hAnsi="仿宋" w:eastAsia="仿宋" w:cs="仿宋"/>
          <w:b w:val="0"/>
          <w:bCs w:val="0"/>
          <w:color w:val="000000"/>
        </w:rPr>
        <w:t>2012〕50号于2012年成立的直属于广元市文化广播电视和旅游</w:t>
      </w:r>
      <w:r>
        <w:rPr>
          <w:rFonts w:hint="eastAsia" w:ascii="仿宋" w:hAnsi="仿宋" w:eastAsia="仿宋" w:cs="仿宋"/>
          <w:b w:val="0"/>
          <w:bCs w:val="0"/>
        </w:rPr>
        <w:t>局全额拨款的事业单位，执行政府会计制度。其主要职能是承担文物藏品安全、管理和利用工作</w:t>
      </w:r>
      <w:r>
        <w:rPr>
          <w:rFonts w:hint="eastAsia" w:ascii="仿宋" w:hAnsi="仿宋" w:eastAsia="仿宋" w:cs="仿宋"/>
          <w:b w:val="0"/>
          <w:bCs w:val="0"/>
          <w:lang w:eastAsia="zh-CN"/>
        </w:rPr>
        <w:t>；</w:t>
      </w:r>
      <w:r>
        <w:rPr>
          <w:rFonts w:hint="eastAsia" w:ascii="仿宋" w:hAnsi="仿宋" w:eastAsia="仿宋" w:cs="仿宋"/>
          <w:b w:val="0"/>
          <w:bCs w:val="0"/>
        </w:rPr>
        <w:t>承担武则天文化研究和传承创新工作；承担皇泽寺A级景区的管理和运营工作；负责广元市红军文化博物馆的保护、研究、管理和宣传工作</w:t>
      </w:r>
      <w:r>
        <w:rPr>
          <w:rFonts w:hint="eastAsia" w:ascii="仿宋" w:hAnsi="仿宋" w:eastAsia="仿宋" w:cs="仿宋"/>
        </w:rPr>
        <w:t>。</w:t>
      </w:r>
      <w:bookmarkEnd w:id="19"/>
    </w:p>
    <w:p>
      <w:pPr>
        <w:pStyle w:val="4"/>
        <w:numPr>
          <w:ilvl w:val="0"/>
          <w:numId w:val="1"/>
        </w:numPr>
        <w:ind w:left="0" w:firstLine="0"/>
        <w:rPr>
          <w:rFonts w:hint="eastAsia" w:ascii="黑体" w:hAnsi="黑体" w:eastAsia="黑体"/>
          <w:b w:val="0"/>
          <w:color w:val="auto"/>
          <w:highlight w:val="none"/>
          <w:lang w:val="en-US" w:eastAsia="zh-CN"/>
        </w:rPr>
      </w:pPr>
      <w:bookmarkStart w:id="20" w:name="_Toc1958"/>
      <w:r>
        <w:rPr>
          <w:rFonts w:hint="eastAsia" w:ascii="黑体" w:hAnsi="黑体" w:eastAsia="黑体"/>
          <w:b w:val="0"/>
          <w:color w:val="auto"/>
          <w:highlight w:val="none"/>
          <w:lang w:val="en-US" w:eastAsia="zh-CN"/>
        </w:rPr>
        <w:t>机构设置</w:t>
      </w:r>
      <w:bookmarkEnd w:id="20"/>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本单位为广元市文化广播电视和旅游局所属二级预算单位，单位性质为全额拨款公益一类正科级事业单位，决算编报类型为政府会计制度，按照政府会计制度填报决算数据。</w:t>
      </w:r>
    </w:p>
    <w:p>
      <w:pPr>
        <w:rPr>
          <w:rFonts w:hint="eastAsia"/>
          <w:lang w:val="en-US" w:eastAsia="zh-CN"/>
        </w:rPr>
      </w:pPr>
    </w:p>
    <w:bookmarkEnd w:id="16"/>
    <w:bookmarkEnd w:id="17"/>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ind w:right="440"/>
        <w:jc w:val="center"/>
        <w:rPr>
          <w:rStyle w:val="16"/>
          <w:rFonts w:ascii="黑体" w:hAnsi="黑体" w:eastAsia="黑体"/>
          <w:b w:val="0"/>
          <w:bCs/>
          <w:color w:val="auto"/>
          <w:highlight w:val="none"/>
        </w:rPr>
      </w:pPr>
      <w:bookmarkStart w:id="21" w:name="_Toc15396602"/>
      <w:bookmarkStart w:id="22" w:name="_Toc15377204"/>
      <w:bookmarkStart w:id="23" w:name="_Toc28975"/>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202</w:t>
      </w:r>
      <w:r>
        <w:rPr>
          <w:rFonts w:ascii="黑体" w:hAnsi="黑体" w:eastAsia="黑体"/>
          <w:b w:val="0"/>
          <w:bCs/>
          <w:color w:val="auto"/>
          <w:highlight w:val="none"/>
          <w:lang w:val="en-US" w:eastAsia="zh-CN"/>
        </w:rPr>
        <w:t>3</w:t>
      </w:r>
      <w:r>
        <w:rPr>
          <w:rFonts w:hint="eastAsia" w:ascii="黑体" w:hAnsi="黑体" w:eastAsia="黑体"/>
          <w:b w:val="0"/>
          <w:bCs/>
          <w:color w:val="auto"/>
          <w:highlight w:val="none"/>
          <w:lang w:val="en-US" w:eastAsia="zh-CN"/>
        </w:rPr>
        <w:t>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21"/>
      <w:bookmarkEnd w:id="22"/>
      <w:bookmarkEnd w:id="23"/>
    </w:p>
    <w:p>
      <w:pPr>
        <w:rPr>
          <w:color w:val="auto"/>
          <w:highlight w:val="none"/>
        </w:rPr>
      </w:pPr>
    </w:p>
    <w:p>
      <w:pPr>
        <w:pStyle w:val="22"/>
        <w:numPr>
          <w:ilvl w:val="0"/>
          <w:numId w:val="2"/>
        </w:numPr>
        <w:spacing w:line="600" w:lineRule="exact"/>
        <w:ind w:firstLineChars="0"/>
        <w:outlineLvl w:val="1"/>
        <w:rPr>
          <w:rStyle w:val="17"/>
          <w:rFonts w:ascii="黑体" w:hAnsi="黑体" w:eastAsia="黑体"/>
          <w:b w:val="0"/>
          <w:color w:val="auto"/>
          <w:highlight w:val="none"/>
        </w:rPr>
      </w:pPr>
      <w:bookmarkStart w:id="24" w:name="_Toc15396603"/>
      <w:bookmarkStart w:id="25" w:name="_Toc15377205"/>
      <w:bookmarkStart w:id="26" w:name="_Toc19686"/>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24"/>
      <w:bookmarkEnd w:id="25"/>
      <w:bookmarkEnd w:id="26"/>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w:t>
      </w:r>
      <w:r>
        <w:rPr>
          <w:rFonts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年度收、支总计</w:t>
      </w:r>
      <w:r>
        <w:rPr>
          <w:rFonts w:ascii="仿宋" w:hAnsi="仿宋" w:eastAsia="仿宋"/>
          <w:color w:val="auto"/>
          <w:sz w:val="32"/>
          <w:szCs w:val="32"/>
          <w:highlight w:val="none"/>
          <w:lang w:val="en-US" w:eastAsia="zh-CN"/>
        </w:rPr>
        <w:t>1079.54</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w:t>
      </w:r>
      <w:r>
        <w:rPr>
          <w:rFonts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年相比，收、支总计各</w:t>
      </w:r>
      <w:r>
        <w:rPr>
          <w:rFonts w:ascii="仿宋" w:hAnsi="仿宋" w:eastAsia="仿宋"/>
          <w:color w:val="auto"/>
          <w:sz w:val="32"/>
          <w:szCs w:val="32"/>
          <w:highlight w:val="none"/>
        </w:rPr>
        <w:t>增加</w:t>
      </w:r>
      <w:r>
        <w:rPr>
          <w:rFonts w:ascii="仿宋" w:hAnsi="仿宋" w:eastAsia="仿宋"/>
          <w:color w:val="auto"/>
          <w:sz w:val="32"/>
          <w:szCs w:val="32"/>
          <w:highlight w:val="none"/>
          <w:lang w:val="en-US" w:eastAsia="zh-CN"/>
        </w:rPr>
        <w:t>175.7</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上升19.4</w:t>
      </w:r>
      <w:r>
        <w:rPr>
          <w:rFonts w:hint="eastAsia" w:ascii="仿宋" w:hAnsi="仿宋" w:eastAsia="仿宋"/>
          <w:color w:val="auto"/>
          <w:sz w:val="32"/>
          <w:szCs w:val="32"/>
          <w:highlight w:val="none"/>
          <w:lang w:val="en-US" w:eastAsia="zh-CN"/>
        </w:rPr>
        <w:t>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ascii="仿宋" w:hAnsi="仿宋" w:eastAsia="仿宋"/>
          <w:color w:val="auto"/>
          <w:sz w:val="32"/>
          <w:szCs w:val="32"/>
          <w:highlight w:val="none"/>
          <w:lang w:eastAsia="zh-CN"/>
        </w:rPr>
        <w:t>本年度与千佛崖石刻艺术博</w:t>
      </w:r>
      <w:r>
        <w:rPr>
          <w:rFonts w:hint="eastAsia" w:ascii="仿宋" w:hAnsi="仿宋" w:eastAsia="仿宋"/>
          <w:color w:val="auto"/>
          <w:sz w:val="32"/>
          <w:szCs w:val="32"/>
          <w:highlight w:val="none"/>
          <w:lang w:eastAsia="zh-CN"/>
        </w:rPr>
        <w:t>物馆</w:t>
      </w:r>
      <w:r>
        <w:rPr>
          <w:rFonts w:ascii="仿宋" w:hAnsi="仿宋" w:eastAsia="仿宋"/>
          <w:color w:val="auto"/>
          <w:sz w:val="32"/>
          <w:szCs w:val="32"/>
          <w:highlight w:val="none"/>
          <w:lang w:eastAsia="zh-CN"/>
        </w:rPr>
        <w:t>合并后，本年度文保项目支出增加。</w:t>
      </w:r>
    </w:p>
    <w:p>
      <w:pPr>
        <w:spacing w:line="600" w:lineRule="exact"/>
        <w:rPr>
          <w:rFonts w:hint="eastAsia" w:ascii="仿宋" w:hAnsi="仿宋" w:eastAsia="仿宋"/>
          <w:color w:val="auto"/>
          <w:sz w:val="32"/>
          <w:szCs w:val="32"/>
          <w:highlight w:val="none"/>
        </w:rPr>
      </w:pPr>
    </w:p>
    <w:p>
      <w:pPr>
        <w:pStyle w:val="2"/>
        <w:jc w:val="center"/>
        <w:rPr>
          <w:rFonts w:hint="eastAsia" w:ascii="仿宋" w:hAnsi="仿宋" w:eastAsia="仿宋"/>
          <w:color w:val="auto"/>
          <w:sz w:val="32"/>
          <w:szCs w:val="32"/>
          <w:highlight w:val="none"/>
        </w:rPr>
      </w:pPr>
      <w:r>
        <w:drawing>
          <wp:inline distT="0" distB="0" distL="114300" distR="114300">
            <wp:extent cx="4819015" cy="2742565"/>
            <wp:effectExtent l="0" t="0" r="0" b="0"/>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jc w:val="center"/>
        <w:rPr>
          <w:rFonts w:ascii="仿宋" w:hAnsi="仿宋" w:eastAsia="仿宋"/>
          <w:color w:val="FF0000"/>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spacing w:line="600" w:lineRule="exact"/>
        <w:ind w:firstLine="640" w:firstLineChars="200"/>
        <w:jc w:val="left"/>
        <w:rPr>
          <w:rFonts w:ascii="仿宋_GB2312" w:eastAsia="仿宋_GB2312"/>
          <w:color w:val="auto"/>
          <w:sz w:val="32"/>
          <w:szCs w:val="32"/>
          <w:highlight w:val="none"/>
        </w:rPr>
      </w:pPr>
    </w:p>
    <w:p>
      <w:pPr>
        <w:pStyle w:val="22"/>
        <w:numPr>
          <w:ilvl w:val="0"/>
          <w:numId w:val="2"/>
        </w:numPr>
        <w:spacing w:line="600" w:lineRule="exact"/>
        <w:ind w:firstLineChars="0"/>
        <w:outlineLvl w:val="1"/>
        <w:rPr>
          <w:rStyle w:val="17"/>
          <w:rFonts w:ascii="黑体" w:hAnsi="黑体" w:eastAsia="黑体"/>
          <w:b w:val="0"/>
          <w:color w:val="auto"/>
          <w:highlight w:val="none"/>
        </w:rPr>
      </w:pPr>
      <w:bookmarkStart w:id="27" w:name="_Toc15396604"/>
      <w:bookmarkStart w:id="28" w:name="_Toc15377206"/>
      <w:bookmarkStart w:id="29" w:name="_Toc13238"/>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ascii="仿宋" w:hAnsi="仿宋" w:eastAsia="仿宋"/>
          <w:color w:val="000000"/>
          <w:sz w:val="32"/>
          <w:szCs w:val="32"/>
        </w:rPr>
      </w:pPr>
      <w:bookmarkStart w:id="30" w:name="_Toc2204"/>
      <w:r>
        <w:rPr>
          <w:rFonts w:ascii="仿宋" w:hAnsi="仿宋" w:eastAsia="仿宋"/>
          <w:sz w:val="32"/>
          <w:szCs w:val="32"/>
        </w:rPr>
        <w:t>202</w:t>
      </w:r>
      <w:r>
        <w:rPr>
          <w:rFonts w:ascii="仿宋" w:hAnsi="仿宋" w:eastAsia="仿宋"/>
          <w:sz w:val="32"/>
          <w:szCs w:val="32"/>
          <w:lang w:val="en-US" w:eastAsia="zh-CN"/>
        </w:rPr>
        <w:t>3</w:t>
      </w:r>
      <w:r>
        <w:rPr>
          <w:rFonts w:hint="eastAsia" w:ascii="仿宋" w:hAnsi="仿宋" w:eastAsia="仿宋"/>
          <w:sz w:val="32"/>
          <w:szCs w:val="32"/>
        </w:rPr>
        <w:t>年本年收入合计</w:t>
      </w:r>
      <w:r>
        <w:rPr>
          <w:rFonts w:ascii="仿宋" w:hAnsi="仿宋" w:eastAsia="仿宋"/>
          <w:sz w:val="32"/>
          <w:szCs w:val="32"/>
          <w:lang w:val="en-US" w:eastAsia="zh-CN"/>
        </w:rPr>
        <w:t>934.63</w:t>
      </w:r>
      <w:r>
        <w:rPr>
          <w:rFonts w:hint="eastAsia" w:ascii="仿宋" w:hAnsi="仿宋" w:eastAsia="仿宋"/>
          <w:sz w:val="32"/>
          <w:szCs w:val="32"/>
        </w:rPr>
        <w:t>万元，</w:t>
      </w:r>
      <w:r>
        <w:rPr>
          <w:rFonts w:hint="eastAsia" w:ascii="仿宋" w:hAnsi="仿宋" w:eastAsia="仿宋"/>
          <w:color w:val="000000"/>
          <w:sz w:val="32"/>
          <w:szCs w:val="32"/>
        </w:rPr>
        <w:t>其中：一般公共预算财政拨款收入</w:t>
      </w:r>
      <w:r>
        <w:rPr>
          <w:rFonts w:ascii="仿宋" w:hAnsi="仿宋" w:eastAsia="仿宋"/>
          <w:sz w:val="32"/>
          <w:szCs w:val="32"/>
        </w:rPr>
        <w:t>834.63</w:t>
      </w:r>
      <w:r>
        <w:rPr>
          <w:rFonts w:hint="eastAsia" w:ascii="仿宋" w:hAnsi="仿宋" w:eastAsia="仿宋"/>
          <w:color w:val="000000"/>
          <w:sz w:val="32"/>
          <w:szCs w:val="32"/>
        </w:rPr>
        <w:t>万元，占</w:t>
      </w:r>
      <w:r>
        <w:rPr>
          <w:rFonts w:ascii="仿宋" w:hAnsi="仿宋" w:eastAsia="仿宋"/>
          <w:color w:val="000000"/>
          <w:sz w:val="32"/>
          <w:szCs w:val="32"/>
        </w:rPr>
        <w:t>100%</w:t>
      </w:r>
      <w:r>
        <w:rPr>
          <w:rFonts w:hint="eastAsia" w:ascii="仿宋" w:hAnsi="仿宋" w:eastAsia="仿宋"/>
          <w:color w:val="000000"/>
          <w:sz w:val="32"/>
          <w:szCs w:val="32"/>
        </w:rPr>
        <w:t>。</w:t>
      </w:r>
      <w:bookmarkEnd w:id="30"/>
    </w:p>
    <w:p>
      <w:pPr>
        <w:pStyle w:val="2"/>
        <w:rPr>
          <w:rFonts w:ascii="仿宋" w:hAnsi="仿宋" w:eastAsia="仿宋"/>
          <w:color w:val="auto"/>
          <w:sz w:val="32"/>
          <w:szCs w:val="32"/>
          <w:highlight w:val="none"/>
        </w:rPr>
      </w:pPr>
    </w:p>
    <w:p>
      <w:pPr>
        <w:pStyle w:val="2"/>
        <w:jc w:val="center"/>
        <w:rPr>
          <w:rFonts w:ascii="仿宋" w:hAnsi="仿宋" w:eastAsia="仿宋"/>
          <w:color w:val="auto"/>
          <w:sz w:val="32"/>
          <w:szCs w:val="32"/>
          <w:highlight w:val="none"/>
        </w:rPr>
      </w:pPr>
      <w:r>
        <w:drawing>
          <wp:inline distT="0" distB="0" distL="114300" distR="114300">
            <wp:extent cx="4819015" cy="2742565"/>
            <wp:effectExtent l="0" t="0" r="0" b="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pPr>
        <w:pStyle w:val="22"/>
        <w:numPr>
          <w:ilvl w:val="0"/>
          <w:numId w:val="2"/>
        </w:numPr>
        <w:spacing w:line="600" w:lineRule="exact"/>
        <w:ind w:firstLineChars="0"/>
        <w:outlineLvl w:val="1"/>
        <w:rPr>
          <w:rStyle w:val="17"/>
          <w:rFonts w:ascii="黑体" w:hAnsi="黑体" w:eastAsia="黑体"/>
          <w:b w:val="0"/>
          <w:color w:val="auto"/>
          <w:highlight w:val="none"/>
        </w:rPr>
      </w:pPr>
      <w:bookmarkStart w:id="31" w:name="_Toc15377207"/>
      <w:bookmarkStart w:id="32" w:name="_Toc18525"/>
      <w:bookmarkStart w:id="33" w:name="_Toc15396605"/>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ascii="仿宋" w:hAnsi="仿宋" w:eastAsia="仿宋"/>
          <w:color w:val="000000"/>
          <w:sz w:val="32"/>
          <w:szCs w:val="32"/>
        </w:rPr>
      </w:pPr>
      <w:bookmarkStart w:id="34" w:name="_Toc32364"/>
      <w:r>
        <w:rPr>
          <w:rFonts w:ascii="仿宋" w:hAnsi="仿宋" w:eastAsia="仿宋"/>
          <w:color w:val="000000"/>
          <w:sz w:val="32"/>
          <w:szCs w:val="32"/>
        </w:rPr>
        <w:t>202</w:t>
      </w:r>
      <w:r>
        <w:rPr>
          <w:rFonts w:ascii="仿宋" w:hAnsi="仿宋" w:eastAsia="仿宋"/>
          <w:color w:val="000000"/>
          <w:sz w:val="32"/>
          <w:szCs w:val="32"/>
          <w:lang w:val="en-US" w:eastAsia="zh-CN"/>
        </w:rPr>
        <w:t>3</w:t>
      </w:r>
      <w:r>
        <w:rPr>
          <w:rFonts w:hint="eastAsia" w:ascii="仿宋" w:hAnsi="仿宋" w:eastAsia="仿宋"/>
          <w:color w:val="000000"/>
          <w:sz w:val="32"/>
          <w:szCs w:val="32"/>
        </w:rPr>
        <w:t>年本年支出合计</w:t>
      </w:r>
      <w:r>
        <w:rPr>
          <w:rFonts w:ascii="仿宋" w:hAnsi="仿宋" w:eastAsia="仿宋"/>
          <w:color w:val="000000"/>
          <w:sz w:val="32"/>
          <w:szCs w:val="32"/>
          <w:lang w:val="en-US" w:eastAsia="zh-CN"/>
        </w:rPr>
        <w:t>1028.8</w:t>
      </w:r>
      <w:r>
        <w:rPr>
          <w:rFonts w:hint="eastAsia" w:ascii="仿宋" w:hAnsi="仿宋" w:eastAsia="仿宋"/>
          <w:color w:val="000000"/>
          <w:sz w:val="32"/>
          <w:szCs w:val="32"/>
        </w:rPr>
        <w:t>万元，其中：基本支出</w:t>
      </w:r>
      <w:r>
        <w:rPr>
          <w:rFonts w:ascii="仿宋" w:hAnsi="仿宋" w:eastAsia="仿宋"/>
          <w:color w:val="000000"/>
          <w:sz w:val="32"/>
          <w:szCs w:val="32"/>
          <w:lang w:val="en-US" w:eastAsia="zh-CN"/>
        </w:rPr>
        <w:t>425.48</w:t>
      </w:r>
      <w:r>
        <w:rPr>
          <w:rFonts w:hint="eastAsia" w:ascii="仿宋" w:hAnsi="仿宋" w:eastAsia="仿宋"/>
          <w:color w:val="000000"/>
          <w:sz w:val="32"/>
          <w:szCs w:val="32"/>
        </w:rPr>
        <w:t>万元，占</w:t>
      </w:r>
      <w:r>
        <w:rPr>
          <w:rFonts w:ascii="仿宋" w:hAnsi="仿宋" w:eastAsia="仿宋"/>
          <w:color w:val="000000"/>
          <w:sz w:val="32"/>
          <w:szCs w:val="32"/>
          <w:lang w:val="en-US" w:eastAsia="zh-CN"/>
        </w:rPr>
        <w:t>41.35</w:t>
      </w:r>
      <w:r>
        <w:rPr>
          <w:rFonts w:ascii="仿宋" w:hAnsi="仿宋" w:eastAsia="仿宋"/>
          <w:color w:val="000000"/>
          <w:sz w:val="32"/>
          <w:szCs w:val="32"/>
        </w:rPr>
        <w:t>%</w:t>
      </w:r>
      <w:r>
        <w:rPr>
          <w:rFonts w:hint="eastAsia" w:ascii="仿宋" w:hAnsi="仿宋" w:eastAsia="仿宋"/>
          <w:color w:val="000000"/>
          <w:sz w:val="32"/>
          <w:szCs w:val="32"/>
        </w:rPr>
        <w:t>；项目支出</w:t>
      </w:r>
      <w:r>
        <w:rPr>
          <w:rFonts w:ascii="仿宋" w:hAnsi="仿宋" w:eastAsia="仿宋"/>
          <w:color w:val="000000"/>
          <w:sz w:val="32"/>
          <w:szCs w:val="32"/>
          <w:lang w:val="en-US" w:eastAsia="zh-CN"/>
        </w:rPr>
        <w:t>603.31</w:t>
      </w:r>
      <w:r>
        <w:rPr>
          <w:rFonts w:hint="eastAsia" w:ascii="仿宋" w:hAnsi="仿宋" w:eastAsia="仿宋"/>
          <w:color w:val="000000"/>
          <w:sz w:val="32"/>
          <w:szCs w:val="32"/>
        </w:rPr>
        <w:t>万元，占</w:t>
      </w:r>
      <w:r>
        <w:rPr>
          <w:rFonts w:ascii="仿宋" w:hAnsi="仿宋" w:eastAsia="仿宋"/>
          <w:color w:val="000000"/>
          <w:sz w:val="32"/>
          <w:szCs w:val="32"/>
          <w:lang w:val="en-US" w:eastAsia="zh-CN"/>
        </w:rPr>
        <w:t>58.64</w:t>
      </w:r>
      <w:r>
        <w:rPr>
          <w:rFonts w:ascii="仿宋" w:hAnsi="仿宋" w:eastAsia="仿宋"/>
          <w:color w:val="000000"/>
          <w:sz w:val="32"/>
          <w:szCs w:val="32"/>
        </w:rPr>
        <w:t>%</w:t>
      </w:r>
      <w:r>
        <w:rPr>
          <w:rFonts w:hint="eastAsia" w:ascii="仿宋" w:hAnsi="仿宋" w:eastAsia="仿宋"/>
          <w:color w:val="000000"/>
          <w:sz w:val="32"/>
          <w:szCs w:val="32"/>
        </w:rPr>
        <w:t>。</w:t>
      </w:r>
      <w:bookmarkEnd w:id="34"/>
    </w:p>
    <w:p>
      <w:pPr>
        <w:pStyle w:val="2"/>
        <w:jc w:val="center"/>
        <w:rPr>
          <w:rFonts w:ascii="仿宋" w:hAnsi="仿宋" w:eastAsia="仿宋"/>
          <w:color w:val="auto"/>
          <w:sz w:val="32"/>
          <w:szCs w:val="32"/>
          <w:highlight w:val="none"/>
          <w:shd w:val="pct10" w:color="auto" w:fill="FFFFFF"/>
        </w:rPr>
      </w:pPr>
      <w:r>
        <w:drawing>
          <wp:inline distT="0" distB="0" distL="114300" distR="114300">
            <wp:extent cx="4819015" cy="2742565"/>
            <wp:effectExtent l="0" t="0" r="0" b="0"/>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outlineLvl w:val="1"/>
        <w:rPr>
          <w:rFonts w:hint="eastAsia" w:ascii="仿宋" w:hAnsi="仿宋" w:eastAsia="仿宋"/>
          <w:color w:val="auto"/>
          <w:sz w:val="32"/>
          <w:szCs w:val="32"/>
          <w:highlight w:val="none"/>
        </w:rPr>
      </w:pPr>
      <w:bookmarkStart w:id="35" w:name="_Toc10808"/>
      <w:r>
        <w:rPr>
          <w:rFonts w:hint="eastAsia" w:ascii="仿宋" w:hAnsi="仿宋" w:eastAsia="仿宋"/>
          <w:color w:val="auto"/>
          <w:sz w:val="32"/>
          <w:szCs w:val="32"/>
          <w:highlight w:val="none"/>
        </w:rPr>
        <w:t>（图3：支出决算结构图）</w:t>
      </w:r>
      <w:bookmarkEnd w:id="35"/>
      <w:bookmarkStart w:id="36" w:name="_Toc15396606"/>
      <w:bookmarkStart w:id="37" w:name="_Toc15377208"/>
    </w:p>
    <w:p>
      <w:pPr>
        <w:spacing w:line="600" w:lineRule="exact"/>
        <w:ind w:firstLine="640" w:firstLineChars="200"/>
        <w:outlineLvl w:val="1"/>
        <w:rPr>
          <w:rStyle w:val="17"/>
          <w:rFonts w:ascii="黑体" w:hAnsi="黑体" w:eastAsia="黑体"/>
          <w:b w:val="0"/>
          <w:color w:val="auto"/>
          <w:highlight w:val="none"/>
        </w:rPr>
      </w:pPr>
      <w:bookmarkStart w:id="38" w:name="_Toc29469"/>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36"/>
      <w:bookmarkEnd w:id="37"/>
      <w:bookmarkEnd w:id="38"/>
    </w:p>
    <w:p>
      <w:pPr>
        <w:spacing w:line="600" w:lineRule="exact"/>
        <w:ind w:firstLine="640"/>
        <w:rPr>
          <w:rFonts w:ascii="仿宋" w:hAnsi="仿宋" w:eastAsia="仿宋"/>
          <w:b/>
          <w:color w:val="FF0000"/>
          <w:sz w:val="32"/>
          <w:szCs w:val="32"/>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w:t>
      </w:r>
      <w:r>
        <w:rPr>
          <w:rFonts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年财政拨款收、支总计</w:t>
      </w:r>
      <w:r>
        <w:rPr>
          <w:rFonts w:ascii="仿宋" w:hAnsi="仿宋" w:eastAsia="仿宋"/>
          <w:color w:val="auto"/>
          <w:sz w:val="32"/>
          <w:szCs w:val="32"/>
          <w:highlight w:val="none"/>
        </w:rPr>
        <w:t>1028.8</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w:t>
      </w:r>
      <w:r>
        <w:rPr>
          <w:rFonts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年相比，财政拨款收、支总计各</w:t>
      </w:r>
      <w:r>
        <w:rPr>
          <w:rFonts w:ascii="仿宋" w:hAnsi="仿宋" w:eastAsia="仿宋"/>
          <w:color w:val="auto"/>
          <w:sz w:val="32"/>
          <w:szCs w:val="32"/>
          <w:highlight w:val="none"/>
        </w:rPr>
        <w:t>增加175.9</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上升20.62%</w:t>
      </w:r>
      <w:r>
        <w:rPr>
          <w:rFonts w:hint="eastAsia" w:ascii="仿宋" w:hAnsi="仿宋" w:eastAsia="仿宋"/>
          <w:color w:val="auto"/>
          <w:sz w:val="32"/>
          <w:szCs w:val="32"/>
          <w:highlight w:val="none"/>
        </w:rPr>
        <w:t>。主要变动原因是</w:t>
      </w:r>
      <w:r>
        <w:rPr>
          <w:rFonts w:ascii="仿宋" w:hAnsi="仿宋" w:eastAsia="仿宋"/>
          <w:color w:val="auto"/>
          <w:sz w:val="32"/>
          <w:szCs w:val="32"/>
          <w:highlight w:val="none"/>
        </w:rPr>
        <w:t>本年度与千佛崖合并，增加文保项目支出</w:t>
      </w:r>
      <w:r>
        <w:rPr>
          <w:rFonts w:hint="eastAsia" w:ascii="仿宋" w:hAnsi="仿宋" w:eastAsia="仿宋"/>
          <w:color w:val="auto"/>
          <w:sz w:val="32"/>
          <w:szCs w:val="32"/>
          <w:highlight w:val="none"/>
          <w:lang w:eastAsia="zh-CN"/>
        </w:rPr>
        <w:t>。</w:t>
      </w:r>
    </w:p>
    <w:p>
      <w:pPr>
        <w:pStyle w:val="2"/>
        <w:jc w:val="center"/>
        <w:rPr>
          <w:rFonts w:ascii="仿宋" w:hAnsi="仿宋" w:eastAsia="仿宋"/>
          <w:color w:val="auto"/>
          <w:sz w:val="32"/>
          <w:szCs w:val="32"/>
          <w:highlight w:val="none"/>
        </w:rPr>
      </w:pPr>
      <w:r>
        <w:drawing>
          <wp:inline distT="0" distB="0" distL="114300" distR="114300">
            <wp:extent cx="4819015" cy="2742565"/>
            <wp:effectExtent l="0" t="0" r="0" b="0"/>
            <wp:docPr id="10"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firstLineChars="200"/>
        <w:outlineLvl w:val="1"/>
        <w:rPr>
          <w:rStyle w:val="17"/>
          <w:rFonts w:ascii="黑体" w:hAnsi="黑体" w:eastAsia="黑体"/>
          <w:b w:val="0"/>
          <w:color w:val="auto"/>
          <w:highlight w:val="none"/>
        </w:rPr>
      </w:pPr>
      <w:bookmarkStart w:id="39" w:name="_Toc15377209"/>
      <w:bookmarkStart w:id="40" w:name="_Toc20740"/>
      <w:bookmarkStart w:id="41"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39"/>
      <w:bookmarkEnd w:id="40"/>
      <w:bookmarkEnd w:id="41"/>
    </w:p>
    <w:p>
      <w:pPr>
        <w:spacing w:line="600" w:lineRule="exact"/>
        <w:ind w:firstLine="642" w:firstLineChars="200"/>
        <w:outlineLvl w:val="2"/>
        <w:rPr>
          <w:rFonts w:ascii="仿宋" w:hAnsi="仿宋" w:eastAsia="仿宋"/>
          <w:b/>
          <w:color w:val="auto"/>
          <w:sz w:val="32"/>
          <w:szCs w:val="32"/>
          <w:highlight w:val="none"/>
        </w:rPr>
      </w:pPr>
      <w:bookmarkStart w:id="42" w:name="_Toc15377210"/>
      <w:bookmarkStart w:id="43" w:name="_Toc30012"/>
      <w:r>
        <w:rPr>
          <w:rFonts w:hint="eastAsia" w:ascii="仿宋" w:hAnsi="仿宋" w:eastAsia="仿宋"/>
          <w:b/>
          <w:color w:val="auto"/>
          <w:sz w:val="32"/>
          <w:szCs w:val="32"/>
          <w:highlight w:val="none"/>
        </w:rPr>
        <w:t>（一）一般公共预算财政拨款支出决算总体情况</w:t>
      </w:r>
      <w:bookmarkEnd w:id="42"/>
      <w:bookmarkEnd w:id="43"/>
    </w:p>
    <w:p>
      <w:pPr>
        <w:spacing w:line="600" w:lineRule="exact"/>
        <w:ind w:firstLine="640"/>
        <w:rPr>
          <w:rFonts w:ascii="仿宋" w:hAnsi="仿宋" w:eastAsia="仿宋"/>
          <w:b/>
          <w:color w:val="FF0000"/>
          <w:sz w:val="32"/>
          <w:szCs w:val="32"/>
        </w:rPr>
      </w:pPr>
      <w:r>
        <w:drawing>
          <wp:anchor distT="0" distB="0" distL="114300" distR="114300" simplePos="0" relativeHeight="251659264" behindDoc="0" locked="0" layoutInCell="1" allowOverlap="1">
            <wp:simplePos x="0" y="0"/>
            <wp:positionH relativeFrom="column">
              <wp:posOffset>299085</wp:posOffset>
            </wp:positionH>
            <wp:positionV relativeFrom="paragraph">
              <wp:posOffset>1793240</wp:posOffset>
            </wp:positionV>
            <wp:extent cx="4819650" cy="2095500"/>
            <wp:effectExtent l="0" t="0" r="0" b="0"/>
            <wp:wrapTopAndBottom/>
            <wp:docPr id="1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w:t>
      </w:r>
      <w:r>
        <w:rPr>
          <w:rFonts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年一般公共预算财政拨款支出</w:t>
      </w:r>
      <w:r>
        <w:rPr>
          <w:rFonts w:ascii="仿宋" w:hAnsi="仿宋" w:eastAsia="仿宋"/>
          <w:color w:val="auto"/>
          <w:sz w:val="32"/>
          <w:szCs w:val="32"/>
          <w:highlight w:val="none"/>
          <w:lang w:val="en-US" w:eastAsia="zh-CN"/>
        </w:rPr>
        <w:t>1028.8</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w:t>
      </w:r>
      <w:r>
        <w:rPr>
          <w:rFonts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ascii="仿宋" w:hAnsi="仿宋" w:eastAsia="仿宋"/>
          <w:color w:val="auto"/>
          <w:sz w:val="32"/>
          <w:szCs w:val="32"/>
          <w:highlight w:val="none"/>
        </w:rPr>
        <w:t>增加286.16</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上升38.5%</w:t>
      </w:r>
      <w:r>
        <w:rPr>
          <w:rFonts w:hint="eastAsia" w:ascii="仿宋" w:hAnsi="仿宋" w:eastAsia="仿宋"/>
          <w:color w:val="auto"/>
          <w:sz w:val="32"/>
          <w:szCs w:val="32"/>
          <w:highlight w:val="none"/>
        </w:rPr>
        <w:t>。主要变动原因是</w:t>
      </w:r>
      <w:r>
        <w:rPr>
          <w:rFonts w:ascii="仿宋" w:hAnsi="仿宋" w:eastAsia="仿宋"/>
          <w:color w:val="auto"/>
          <w:sz w:val="32"/>
          <w:szCs w:val="32"/>
          <w:highlight w:val="none"/>
        </w:rPr>
        <w:t>本年度与千佛崖合并，增加文保项目支出</w:t>
      </w:r>
      <w:r>
        <w:rPr>
          <w:rFonts w:hint="eastAsia" w:ascii="仿宋" w:hAnsi="仿宋" w:eastAsia="仿宋"/>
          <w:color w:val="auto"/>
          <w:sz w:val="32"/>
          <w:szCs w:val="32"/>
          <w:highlight w:val="none"/>
          <w:lang w:eastAsia="zh-CN"/>
        </w:rPr>
        <w:t>。</w:t>
      </w:r>
    </w:p>
    <w:p>
      <w:pPr>
        <w:spacing w:line="600" w:lineRule="exact"/>
        <w:ind w:firstLine="640" w:firstLineChars="200"/>
        <w:rPr>
          <w:rFonts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2" w:firstLineChars="200"/>
        <w:outlineLvl w:val="2"/>
        <w:rPr>
          <w:rFonts w:ascii="仿宋" w:hAnsi="仿宋" w:eastAsia="仿宋"/>
          <w:b/>
          <w:color w:val="auto"/>
          <w:sz w:val="32"/>
          <w:szCs w:val="32"/>
          <w:highlight w:val="none"/>
        </w:rPr>
      </w:pPr>
      <w:bookmarkStart w:id="44" w:name="_Toc15377211"/>
      <w:bookmarkStart w:id="45" w:name="_Toc22460"/>
      <w:r>
        <w:rPr>
          <w:rFonts w:hint="eastAsia" w:ascii="仿宋" w:hAnsi="仿宋" w:eastAsia="仿宋"/>
          <w:b/>
          <w:color w:val="auto"/>
          <w:sz w:val="32"/>
          <w:szCs w:val="32"/>
          <w:highlight w:val="none"/>
        </w:rPr>
        <w:t>（二）一般公共预算财政拨款支出决算结构情况</w:t>
      </w:r>
      <w:bookmarkEnd w:id="44"/>
      <w:bookmarkEnd w:id="45"/>
    </w:p>
    <w:p>
      <w:pPr>
        <w:spacing w:line="600" w:lineRule="exact"/>
        <w:ind w:firstLine="640"/>
        <w:rPr>
          <w:rFonts w:hint="eastAsia" w:ascii="仿宋" w:hAnsi="仿宋" w:eastAsia="仿宋"/>
          <w:color w:val="auto"/>
          <w:sz w:val="32"/>
          <w:szCs w:val="32"/>
          <w:highlight w:val="none"/>
        </w:rPr>
      </w:pPr>
      <w:r>
        <w:rPr>
          <w:rFonts w:ascii="仿宋" w:hAnsi="仿宋" w:eastAsia="仿宋"/>
          <w:bCs/>
          <w:color w:val="000000"/>
          <w:sz w:val="32"/>
          <w:szCs w:val="32"/>
        </w:rPr>
        <w:t>202</w:t>
      </w:r>
      <w:r>
        <w:rPr>
          <w:rFonts w:ascii="仿宋" w:hAnsi="仿宋" w:eastAsia="仿宋"/>
          <w:bCs/>
          <w:color w:val="000000"/>
          <w:sz w:val="32"/>
          <w:szCs w:val="32"/>
          <w:lang w:val="en-US" w:eastAsia="zh-CN"/>
        </w:rPr>
        <w:t>3</w:t>
      </w:r>
      <w:r>
        <w:rPr>
          <w:rFonts w:hint="eastAsia" w:ascii="仿宋" w:hAnsi="仿宋" w:eastAsia="仿宋"/>
          <w:bCs/>
          <w:color w:val="000000"/>
          <w:sz w:val="32"/>
          <w:szCs w:val="32"/>
        </w:rPr>
        <w:t>年一般公共预算财政拨款支出</w:t>
      </w:r>
      <w:r>
        <w:rPr>
          <w:rFonts w:ascii="仿宋" w:hAnsi="仿宋" w:eastAsia="仿宋"/>
          <w:bCs/>
          <w:color w:val="000000"/>
          <w:sz w:val="32"/>
          <w:szCs w:val="32"/>
          <w:highlight w:val="none"/>
          <w:lang w:val="en-US" w:eastAsia="zh-CN"/>
        </w:rPr>
        <w:t>1028.8</w:t>
      </w:r>
      <w:r>
        <w:rPr>
          <w:rFonts w:hint="eastAsia" w:ascii="仿宋" w:hAnsi="仿宋" w:eastAsia="仿宋"/>
          <w:bCs/>
          <w:color w:val="000000"/>
          <w:sz w:val="32"/>
          <w:szCs w:val="32"/>
          <w:highlight w:val="none"/>
          <w:lang w:val="en-US" w:eastAsia="zh-CN"/>
        </w:rPr>
        <w:t>0</w:t>
      </w:r>
      <w:r>
        <w:rPr>
          <w:rFonts w:hint="eastAsia" w:ascii="仿宋" w:hAnsi="仿宋" w:eastAsia="仿宋"/>
          <w:bCs/>
          <w:color w:val="000000"/>
          <w:sz w:val="32"/>
          <w:szCs w:val="32"/>
          <w:highlight w:val="none"/>
        </w:rPr>
        <w:t>万元，主要用于以下方面</w:t>
      </w:r>
      <w:r>
        <w:rPr>
          <w:rFonts w:hint="eastAsia" w:ascii="仿宋" w:hAnsi="仿宋" w:eastAsia="仿宋"/>
          <w:bCs/>
          <w:color w:val="000000"/>
          <w:sz w:val="32"/>
          <w:szCs w:val="32"/>
          <w:highlight w:val="none"/>
          <w:lang w:eastAsia="zh-CN"/>
        </w:rPr>
        <w:t>：</w:t>
      </w:r>
      <w:r>
        <w:rPr>
          <w:rFonts w:hint="eastAsia" w:ascii="仿宋" w:hAnsi="仿宋" w:eastAsia="仿宋"/>
          <w:bCs/>
          <w:color w:val="000000"/>
          <w:sz w:val="32"/>
          <w:szCs w:val="32"/>
          <w:highlight w:val="none"/>
        </w:rPr>
        <w:t>文化旅游体育与传媒（类）支出</w:t>
      </w:r>
      <w:r>
        <w:rPr>
          <w:rFonts w:ascii="仿宋" w:hAnsi="仿宋" w:eastAsia="仿宋"/>
          <w:bCs/>
          <w:color w:val="000000"/>
          <w:sz w:val="32"/>
          <w:szCs w:val="32"/>
          <w:highlight w:val="none"/>
        </w:rPr>
        <w:t>952.27</w:t>
      </w:r>
      <w:r>
        <w:rPr>
          <w:rFonts w:hint="eastAsia" w:ascii="仿宋" w:hAnsi="仿宋" w:eastAsia="仿宋"/>
          <w:bCs/>
          <w:color w:val="000000"/>
          <w:sz w:val="32"/>
          <w:szCs w:val="32"/>
          <w:highlight w:val="none"/>
        </w:rPr>
        <w:t>万元，占</w:t>
      </w:r>
      <w:r>
        <w:rPr>
          <w:rFonts w:ascii="仿宋" w:hAnsi="仿宋" w:eastAsia="仿宋"/>
          <w:bCs/>
          <w:color w:val="000000"/>
          <w:sz w:val="32"/>
          <w:szCs w:val="32"/>
          <w:highlight w:val="none"/>
          <w:lang w:val="en-US" w:eastAsia="zh-CN"/>
        </w:rPr>
        <w:t>92.56</w:t>
      </w:r>
      <w:r>
        <w:rPr>
          <w:rFonts w:ascii="仿宋" w:hAnsi="仿宋" w:eastAsia="仿宋"/>
          <w:bCs/>
          <w:color w:val="000000"/>
          <w:sz w:val="32"/>
          <w:szCs w:val="32"/>
          <w:highlight w:val="none"/>
        </w:rPr>
        <w:t>%</w:t>
      </w:r>
      <w:r>
        <w:rPr>
          <w:rFonts w:hint="eastAsia" w:ascii="仿宋" w:hAnsi="仿宋" w:eastAsia="仿宋"/>
          <w:bCs/>
          <w:color w:val="000000"/>
          <w:sz w:val="32"/>
          <w:szCs w:val="32"/>
          <w:highlight w:val="none"/>
        </w:rPr>
        <w:t>；社会保障和就业（类）支出</w:t>
      </w:r>
      <w:r>
        <w:rPr>
          <w:rFonts w:ascii="仿宋" w:hAnsi="仿宋" w:eastAsia="仿宋"/>
          <w:bCs/>
          <w:color w:val="000000"/>
          <w:sz w:val="32"/>
          <w:szCs w:val="32"/>
          <w:highlight w:val="none"/>
        </w:rPr>
        <w:t>36.21</w:t>
      </w:r>
      <w:r>
        <w:rPr>
          <w:rFonts w:hint="eastAsia" w:ascii="仿宋" w:hAnsi="仿宋" w:eastAsia="仿宋"/>
          <w:bCs/>
          <w:color w:val="000000"/>
          <w:sz w:val="32"/>
          <w:szCs w:val="32"/>
          <w:highlight w:val="none"/>
        </w:rPr>
        <w:t>万元，占</w:t>
      </w:r>
      <w:r>
        <w:rPr>
          <w:rFonts w:hint="eastAsia" w:ascii="仿宋" w:hAnsi="仿宋" w:eastAsia="仿宋"/>
          <w:bCs/>
          <w:color w:val="000000"/>
          <w:sz w:val="32"/>
          <w:szCs w:val="32"/>
          <w:highlight w:val="none"/>
          <w:lang w:val="en-US" w:eastAsia="zh-CN"/>
        </w:rPr>
        <w:t>3.</w:t>
      </w:r>
      <w:r>
        <w:rPr>
          <w:rFonts w:ascii="仿宋" w:hAnsi="仿宋" w:eastAsia="仿宋"/>
          <w:bCs/>
          <w:color w:val="000000"/>
          <w:sz w:val="32"/>
          <w:szCs w:val="32"/>
          <w:highlight w:val="none"/>
          <w:lang w:val="en-US" w:eastAsia="zh-CN"/>
        </w:rPr>
        <w:t>52</w:t>
      </w:r>
      <w:r>
        <w:rPr>
          <w:rFonts w:ascii="仿宋" w:hAnsi="仿宋" w:eastAsia="仿宋"/>
          <w:bCs/>
          <w:color w:val="000000"/>
          <w:sz w:val="32"/>
          <w:szCs w:val="32"/>
          <w:highlight w:val="none"/>
        </w:rPr>
        <w:t>%</w:t>
      </w:r>
      <w:r>
        <w:rPr>
          <w:rFonts w:hint="eastAsia" w:ascii="仿宋" w:hAnsi="仿宋" w:eastAsia="仿宋"/>
          <w:bCs/>
          <w:color w:val="000000"/>
          <w:sz w:val="32"/>
          <w:szCs w:val="32"/>
          <w:highlight w:val="none"/>
        </w:rPr>
        <w:t>；卫生健康支出</w:t>
      </w:r>
      <w:r>
        <w:rPr>
          <w:rFonts w:ascii="仿宋" w:hAnsi="仿宋" w:eastAsia="仿宋"/>
          <w:bCs/>
          <w:color w:val="000000"/>
          <w:sz w:val="32"/>
          <w:szCs w:val="32"/>
          <w:highlight w:val="none"/>
        </w:rPr>
        <w:t>12.24</w:t>
      </w:r>
      <w:r>
        <w:rPr>
          <w:rFonts w:hint="eastAsia" w:ascii="仿宋" w:hAnsi="仿宋" w:eastAsia="仿宋"/>
          <w:bCs/>
          <w:color w:val="000000"/>
          <w:sz w:val="32"/>
          <w:szCs w:val="32"/>
          <w:highlight w:val="none"/>
        </w:rPr>
        <w:t>万元，占</w:t>
      </w:r>
      <w:r>
        <w:rPr>
          <w:rFonts w:hint="eastAsia" w:ascii="仿宋" w:hAnsi="仿宋" w:eastAsia="仿宋"/>
          <w:bCs/>
          <w:color w:val="000000"/>
          <w:sz w:val="32"/>
          <w:szCs w:val="32"/>
          <w:highlight w:val="none"/>
          <w:lang w:val="en-US" w:eastAsia="zh-CN"/>
        </w:rPr>
        <w:t>1.</w:t>
      </w:r>
      <w:r>
        <w:rPr>
          <w:rFonts w:ascii="仿宋" w:hAnsi="仿宋" w:eastAsia="仿宋"/>
          <w:bCs/>
          <w:color w:val="000000"/>
          <w:sz w:val="32"/>
          <w:szCs w:val="32"/>
          <w:highlight w:val="none"/>
          <w:lang w:val="en-US" w:eastAsia="zh-CN"/>
        </w:rPr>
        <w:t>19</w:t>
      </w:r>
      <w:r>
        <w:rPr>
          <w:rFonts w:ascii="仿宋" w:hAnsi="仿宋" w:eastAsia="仿宋"/>
          <w:bCs/>
          <w:color w:val="000000"/>
          <w:sz w:val="32"/>
          <w:szCs w:val="32"/>
          <w:highlight w:val="none"/>
        </w:rPr>
        <w:t>%</w:t>
      </w:r>
      <w:r>
        <w:rPr>
          <w:rFonts w:hint="eastAsia" w:ascii="仿宋" w:hAnsi="仿宋" w:eastAsia="仿宋"/>
          <w:bCs/>
          <w:color w:val="000000"/>
          <w:sz w:val="32"/>
          <w:szCs w:val="32"/>
          <w:highlight w:val="none"/>
        </w:rPr>
        <w:t>；住房保障支出</w:t>
      </w:r>
      <w:r>
        <w:rPr>
          <w:rFonts w:ascii="仿宋" w:hAnsi="仿宋" w:eastAsia="仿宋"/>
          <w:bCs/>
          <w:color w:val="000000"/>
          <w:sz w:val="32"/>
          <w:szCs w:val="32"/>
          <w:highlight w:val="none"/>
        </w:rPr>
        <w:t>28.07</w:t>
      </w:r>
      <w:r>
        <w:rPr>
          <w:rFonts w:hint="eastAsia" w:ascii="仿宋" w:hAnsi="仿宋" w:eastAsia="仿宋"/>
          <w:bCs/>
          <w:color w:val="000000"/>
          <w:sz w:val="32"/>
          <w:szCs w:val="32"/>
          <w:highlight w:val="none"/>
        </w:rPr>
        <w:t>万元，占</w:t>
      </w:r>
      <w:r>
        <w:rPr>
          <w:rFonts w:ascii="仿宋" w:hAnsi="仿宋" w:eastAsia="仿宋"/>
          <w:bCs/>
          <w:color w:val="000000"/>
          <w:sz w:val="32"/>
          <w:szCs w:val="32"/>
          <w:highlight w:val="none"/>
          <w:lang w:val="en-US" w:eastAsia="zh-CN"/>
        </w:rPr>
        <w:t>2.73</w:t>
      </w:r>
      <w:r>
        <w:rPr>
          <w:rFonts w:ascii="仿宋" w:hAnsi="仿宋" w:eastAsia="仿宋"/>
          <w:bCs/>
          <w:color w:val="000000"/>
          <w:sz w:val="32"/>
          <w:szCs w:val="32"/>
          <w:highlight w:val="none"/>
        </w:rPr>
        <w:t>%</w:t>
      </w:r>
      <w:r>
        <w:rPr>
          <w:rFonts w:hint="eastAsia" w:ascii="仿宋" w:hAnsi="仿宋" w:eastAsia="仿宋"/>
          <w:bCs/>
          <w:color w:val="000000"/>
          <w:sz w:val="32"/>
          <w:szCs w:val="32"/>
          <w:highlight w:val="none"/>
        </w:rPr>
        <w:t>。</w:t>
      </w:r>
    </w:p>
    <w:p>
      <w:pPr>
        <w:pStyle w:val="2"/>
        <w:jc w:val="center"/>
        <w:rPr>
          <w:rFonts w:hint="eastAsia" w:ascii="仿宋" w:hAnsi="仿宋" w:eastAsia="仿宋"/>
          <w:color w:val="auto"/>
          <w:sz w:val="32"/>
          <w:szCs w:val="32"/>
          <w:highlight w:val="none"/>
        </w:rPr>
      </w:pPr>
      <w:r>
        <w:drawing>
          <wp:inline distT="0" distB="0" distL="114300" distR="114300">
            <wp:extent cx="4923790" cy="2771140"/>
            <wp:effectExtent l="0" t="0" r="0" b="0"/>
            <wp:docPr id="12"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2" w:firstLineChars="200"/>
        <w:outlineLvl w:val="2"/>
        <w:rPr>
          <w:rFonts w:ascii="仿宋" w:hAnsi="仿宋" w:eastAsia="仿宋"/>
          <w:b/>
          <w:color w:val="auto"/>
          <w:sz w:val="32"/>
          <w:szCs w:val="32"/>
          <w:highlight w:val="none"/>
        </w:rPr>
      </w:pPr>
      <w:bookmarkStart w:id="46" w:name="_Toc15377212"/>
      <w:bookmarkStart w:id="47" w:name="_Toc26612"/>
      <w:r>
        <w:rPr>
          <w:rFonts w:hint="eastAsia" w:ascii="仿宋" w:hAnsi="仿宋" w:eastAsia="仿宋"/>
          <w:b/>
          <w:color w:val="auto"/>
          <w:sz w:val="32"/>
          <w:szCs w:val="32"/>
          <w:highlight w:val="none"/>
        </w:rPr>
        <w:t>（三）一般公共预算财政拨款支出决算具体情况</w:t>
      </w:r>
      <w:bookmarkEnd w:id="46"/>
      <w:bookmarkEnd w:id="47"/>
    </w:p>
    <w:p>
      <w:pPr>
        <w:spacing w:line="600" w:lineRule="exact"/>
        <w:ind w:firstLine="640" w:firstLineChars="200"/>
        <w:outlineLvl w:val="2"/>
        <w:rPr>
          <w:rFonts w:ascii="仿宋" w:hAnsi="仿宋" w:eastAsia="仿宋"/>
          <w:bCs/>
          <w:color w:val="0D0D0D"/>
          <w:sz w:val="32"/>
          <w:szCs w:val="32"/>
        </w:rPr>
      </w:pPr>
      <w:bookmarkStart w:id="48" w:name="_Toc15378460"/>
      <w:bookmarkStart w:id="49" w:name="_Toc15377213"/>
      <w:bookmarkStart w:id="50" w:name="_Toc24721"/>
      <w:bookmarkStart w:id="51" w:name="_Toc15377444"/>
      <w:r>
        <w:rPr>
          <w:rFonts w:ascii="仿宋" w:hAnsi="仿宋" w:eastAsia="仿宋"/>
          <w:bCs/>
          <w:color w:val="0D0D0D"/>
          <w:sz w:val="32"/>
          <w:szCs w:val="32"/>
        </w:rPr>
        <w:t>202</w:t>
      </w:r>
      <w:r>
        <w:rPr>
          <w:rFonts w:ascii="仿宋" w:hAnsi="仿宋" w:eastAsia="仿宋"/>
          <w:bCs/>
          <w:color w:val="0D0D0D"/>
          <w:sz w:val="32"/>
          <w:szCs w:val="32"/>
          <w:lang w:val="en-US" w:eastAsia="zh-CN"/>
        </w:rPr>
        <w:t>3</w:t>
      </w:r>
      <w:r>
        <w:rPr>
          <w:rFonts w:hint="eastAsia" w:ascii="仿宋" w:hAnsi="仿宋" w:eastAsia="仿宋"/>
          <w:bCs/>
          <w:color w:val="0D0D0D"/>
          <w:sz w:val="32"/>
          <w:szCs w:val="32"/>
        </w:rPr>
        <w:t>年一般公共预</w:t>
      </w:r>
      <w:r>
        <w:rPr>
          <w:rStyle w:val="14"/>
          <w:rFonts w:hint="eastAsia" w:ascii="仿宋" w:hAnsi="仿宋" w:eastAsia="仿宋"/>
          <w:b w:val="0"/>
          <w:bCs/>
          <w:color w:val="0D0D0D"/>
          <w:sz w:val="32"/>
          <w:szCs w:val="32"/>
        </w:rPr>
        <w:t>算支出决算数为</w:t>
      </w:r>
      <w:r>
        <w:rPr>
          <w:rStyle w:val="14"/>
          <w:rFonts w:ascii="仿宋" w:hAnsi="仿宋" w:eastAsia="仿宋"/>
          <w:b w:val="0"/>
          <w:bCs/>
          <w:color w:val="0D0D0D"/>
          <w:sz w:val="32"/>
          <w:szCs w:val="32"/>
          <w:lang w:val="en-US" w:eastAsia="zh-CN"/>
        </w:rPr>
        <w:t>1028.8</w:t>
      </w:r>
      <w:r>
        <w:rPr>
          <w:rStyle w:val="14"/>
          <w:rFonts w:hint="eastAsia" w:ascii="仿宋" w:hAnsi="仿宋" w:eastAsia="仿宋"/>
          <w:b w:val="0"/>
          <w:bCs/>
          <w:color w:val="0D0D0D"/>
          <w:sz w:val="32"/>
          <w:szCs w:val="32"/>
        </w:rPr>
        <w:t>万元，完成预算</w:t>
      </w:r>
      <w:r>
        <w:rPr>
          <w:rStyle w:val="14"/>
          <w:rFonts w:ascii="仿宋" w:hAnsi="仿宋" w:eastAsia="仿宋"/>
          <w:b w:val="0"/>
          <w:bCs/>
          <w:color w:val="0D0D0D"/>
          <w:sz w:val="32"/>
          <w:szCs w:val="32"/>
          <w:lang w:val="en-US" w:eastAsia="zh-CN"/>
        </w:rPr>
        <w:t>100</w:t>
      </w:r>
      <w:r>
        <w:rPr>
          <w:rStyle w:val="14"/>
          <w:rFonts w:hint="eastAsia" w:ascii="仿宋" w:hAnsi="仿宋" w:eastAsia="仿宋"/>
          <w:b w:val="0"/>
          <w:bCs/>
          <w:color w:val="0D0D0D"/>
          <w:sz w:val="32"/>
          <w:szCs w:val="32"/>
        </w:rPr>
        <w:t>%。其中：</w:t>
      </w:r>
      <w:bookmarkEnd w:id="48"/>
      <w:bookmarkEnd w:id="49"/>
      <w:bookmarkEnd w:id="50"/>
      <w:bookmarkEnd w:id="51"/>
    </w:p>
    <w:p>
      <w:pPr>
        <w:spacing w:line="600" w:lineRule="exact"/>
        <w:ind w:left="0" w:firstLine="640" w:firstLineChars="200"/>
        <w:rPr>
          <w:rFonts w:ascii="仿宋" w:hAnsi="仿宋" w:eastAsia="仿宋"/>
          <w:color w:val="FF0000"/>
          <w:sz w:val="32"/>
          <w:szCs w:val="32"/>
        </w:rPr>
      </w:pPr>
      <w:r>
        <w:rPr>
          <w:rStyle w:val="14"/>
          <w:rFonts w:hint="eastAsia" w:ascii="仿宋" w:hAnsi="仿宋" w:eastAsia="仿宋"/>
          <w:b w:val="0"/>
          <w:bCs/>
          <w:color w:val="0D0D0D"/>
          <w:sz w:val="32"/>
          <w:szCs w:val="32"/>
          <w:lang w:val="en-US" w:eastAsia="zh-CN"/>
        </w:rPr>
        <w:t>1.</w:t>
      </w:r>
      <w:r>
        <w:rPr>
          <w:rStyle w:val="14"/>
          <w:rFonts w:hint="eastAsia" w:ascii="仿宋" w:hAnsi="仿宋" w:eastAsia="仿宋"/>
          <w:b w:val="0"/>
          <w:bCs/>
          <w:color w:val="0D0D0D"/>
          <w:sz w:val="32"/>
          <w:szCs w:val="32"/>
        </w:rPr>
        <w:t>文化旅游体育与传媒（类）文物（款）博物馆（项）</w:t>
      </w:r>
      <w:r>
        <w:rPr>
          <w:rStyle w:val="14"/>
          <w:rFonts w:hint="eastAsia" w:ascii="仿宋" w:hAnsi="仿宋" w:eastAsia="仿宋"/>
          <w:b w:val="0"/>
          <w:bCs/>
          <w:color w:val="0D0D0D"/>
          <w:sz w:val="32"/>
          <w:szCs w:val="32"/>
          <w:lang w:eastAsia="zh-CN"/>
        </w:rPr>
        <w:t>：</w:t>
      </w:r>
      <w:r>
        <w:rPr>
          <w:rStyle w:val="14"/>
          <w:rFonts w:hint="eastAsia" w:ascii="仿宋" w:hAnsi="仿宋" w:eastAsia="仿宋"/>
          <w:b w:val="0"/>
          <w:bCs/>
          <w:color w:val="0D0D0D"/>
          <w:sz w:val="32"/>
          <w:szCs w:val="32"/>
        </w:rPr>
        <w:t>支出决算为</w:t>
      </w:r>
      <w:r>
        <w:rPr>
          <w:rFonts w:ascii="仿宋" w:hAnsi="仿宋" w:eastAsia="仿宋"/>
          <w:bCs/>
          <w:color w:val="0D0D0D"/>
          <w:sz w:val="32"/>
          <w:szCs w:val="32"/>
        </w:rPr>
        <w:t>952.27</w:t>
      </w:r>
      <w:r>
        <w:rPr>
          <w:rStyle w:val="14"/>
          <w:rFonts w:hint="eastAsia" w:ascii="仿宋" w:hAnsi="仿宋" w:eastAsia="仿宋"/>
          <w:b w:val="0"/>
          <w:bCs/>
          <w:color w:val="0D0D0D"/>
          <w:sz w:val="32"/>
          <w:szCs w:val="32"/>
        </w:rPr>
        <w:t>万元，完成预算</w:t>
      </w:r>
      <w:r>
        <w:rPr>
          <w:rStyle w:val="14"/>
          <w:rFonts w:ascii="仿宋" w:hAnsi="仿宋" w:eastAsia="仿宋"/>
          <w:b w:val="0"/>
          <w:bCs/>
          <w:color w:val="0D0D0D"/>
          <w:sz w:val="32"/>
          <w:szCs w:val="32"/>
          <w:lang w:val="en-US" w:eastAsia="zh-CN"/>
        </w:rPr>
        <w:t>100</w:t>
      </w:r>
      <w:r>
        <w:rPr>
          <w:rStyle w:val="14"/>
          <w:rFonts w:ascii="仿宋" w:hAnsi="仿宋" w:eastAsia="仿宋"/>
          <w:b w:val="0"/>
          <w:bCs/>
          <w:color w:val="0D0D0D"/>
          <w:sz w:val="32"/>
          <w:szCs w:val="32"/>
        </w:rPr>
        <w:t>%</w:t>
      </w:r>
      <w:r>
        <w:rPr>
          <w:rStyle w:val="14"/>
          <w:rFonts w:hint="eastAsia" w:ascii="仿宋" w:hAnsi="仿宋" w:eastAsia="仿宋"/>
          <w:b w:val="0"/>
          <w:bCs/>
          <w:color w:val="0D0D0D"/>
          <w:sz w:val="32"/>
          <w:szCs w:val="32"/>
        </w:rPr>
        <w:t>。</w:t>
      </w:r>
    </w:p>
    <w:p>
      <w:pPr>
        <w:spacing w:line="600" w:lineRule="exact"/>
        <w:ind w:firstLine="640" w:firstLineChars="200"/>
        <w:rPr>
          <w:rStyle w:val="14"/>
          <w:rFonts w:ascii="仿宋" w:hAnsi="仿宋" w:eastAsia="仿宋"/>
          <w:b w:val="0"/>
          <w:bCs/>
          <w:color w:val="FF0000"/>
          <w:sz w:val="32"/>
          <w:szCs w:val="32"/>
        </w:rPr>
      </w:pPr>
      <w:r>
        <w:rPr>
          <w:rStyle w:val="14"/>
          <w:rFonts w:ascii="仿宋" w:hAnsi="仿宋" w:eastAsia="仿宋"/>
          <w:b w:val="0"/>
          <w:bCs/>
          <w:color w:val="000000"/>
          <w:sz w:val="32"/>
          <w:szCs w:val="32"/>
        </w:rPr>
        <w:t>2.</w:t>
      </w:r>
      <w:r>
        <w:rPr>
          <w:rStyle w:val="14"/>
          <w:rFonts w:hint="eastAsia" w:ascii="仿宋" w:hAnsi="仿宋" w:eastAsia="仿宋"/>
          <w:b w:val="0"/>
          <w:bCs/>
          <w:color w:val="000000"/>
          <w:sz w:val="32"/>
          <w:szCs w:val="32"/>
        </w:rPr>
        <w:t>社会保障和就业（类）行政事业养老保险支出（款）机关事业单位基本养老保险缴费支出（项）</w:t>
      </w:r>
      <w:r>
        <w:rPr>
          <w:rStyle w:val="14"/>
          <w:rFonts w:hint="eastAsia" w:ascii="仿宋" w:hAnsi="仿宋" w:eastAsia="仿宋"/>
          <w:b w:val="0"/>
          <w:bCs/>
          <w:color w:val="000000"/>
          <w:sz w:val="32"/>
          <w:szCs w:val="32"/>
          <w:lang w:eastAsia="zh-CN"/>
        </w:rPr>
        <w:t>：</w:t>
      </w:r>
      <w:r>
        <w:rPr>
          <w:rStyle w:val="14"/>
          <w:rFonts w:hint="eastAsia" w:ascii="仿宋" w:hAnsi="仿宋" w:eastAsia="仿宋"/>
          <w:b w:val="0"/>
          <w:bCs/>
          <w:color w:val="000000"/>
          <w:sz w:val="32"/>
          <w:szCs w:val="32"/>
        </w:rPr>
        <w:t>支出决算为</w:t>
      </w:r>
      <w:r>
        <w:rPr>
          <w:rFonts w:ascii="仿宋" w:hAnsi="仿宋" w:eastAsia="仿宋"/>
          <w:bCs/>
          <w:color w:val="000000"/>
          <w:sz w:val="32"/>
          <w:szCs w:val="32"/>
          <w:lang w:val="en-US" w:eastAsia="zh-CN"/>
        </w:rPr>
        <w:t>36.1</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100%</w:t>
      </w:r>
      <w:r>
        <w:rPr>
          <w:rStyle w:val="14"/>
          <w:rFonts w:hint="eastAsia" w:ascii="仿宋" w:hAnsi="仿宋" w:eastAsia="仿宋"/>
          <w:b w:val="0"/>
          <w:bCs/>
          <w:color w:val="000000"/>
          <w:sz w:val="32"/>
          <w:szCs w:val="32"/>
        </w:rPr>
        <w:t>，决算数与预算数持平。</w:t>
      </w:r>
    </w:p>
    <w:p>
      <w:pPr>
        <w:spacing w:line="600" w:lineRule="exact"/>
        <w:ind w:firstLine="640" w:firstLineChars="200"/>
        <w:rPr>
          <w:rStyle w:val="14"/>
          <w:rFonts w:ascii="仿宋" w:hAnsi="仿宋" w:eastAsia="仿宋"/>
          <w:b w:val="0"/>
          <w:bCs/>
          <w:color w:val="FF0000"/>
          <w:sz w:val="32"/>
          <w:szCs w:val="32"/>
        </w:rPr>
      </w:pPr>
      <w:r>
        <w:rPr>
          <w:rStyle w:val="14"/>
          <w:rFonts w:ascii="仿宋" w:hAnsi="仿宋" w:eastAsia="仿宋"/>
          <w:b w:val="0"/>
          <w:bCs/>
          <w:color w:val="000000"/>
          <w:sz w:val="32"/>
          <w:szCs w:val="32"/>
        </w:rPr>
        <w:t>3.</w:t>
      </w:r>
      <w:r>
        <w:rPr>
          <w:rStyle w:val="14"/>
          <w:rFonts w:hint="eastAsia" w:ascii="仿宋" w:hAnsi="仿宋" w:eastAsia="仿宋"/>
          <w:b w:val="0"/>
          <w:bCs/>
          <w:color w:val="000000"/>
          <w:sz w:val="32"/>
          <w:szCs w:val="32"/>
        </w:rPr>
        <w:t>社会保障和就业（类）行政事业养老保险支出（款）机关事业单位职业年金缴费支出（项）</w:t>
      </w:r>
      <w:r>
        <w:rPr>
          <w:rStyle w:val="14"/>
          <w:rFonts w:hint="eastAsia" w:ascii="仿宋" w:hAnsi="仿宋" w:eastAsia="仿宋"/>
          <w:b w:val="0"/>
          <w:bCs/>
          <w:color w:val="000000"/>
          <w:sz w:val="32"/>
          <w:szCs w:val="32"/>
          <w:lang w:eastAsia="zh-CN"/>
        </w:rPr>
        <w:t>：</w:t>
      </w:r>
      <w:r>
        <w:rPr>
          <w:rStyle w:val="14"/>
          <w:rFonts w:hint="eastAsia" w:ascii="仿宋" w:hAnsi="仿宋" w:eastAsia="仿宋"/>
          <w:b w:val="0"/>
          <w:bCs/>
          <w:color w:val="000000"/>
          <w:sz w:val="32"/>
          <w:szCs w:val="32"/>
        </w:rPr>
        <w:t>支出决算为</w:t>
      </w:r>
      <w:r>
        <w:rPr>
          <w:rFonts w:ascii="仿宋" w:hAnsi="仿宋" w:eastAsia="仿宋"/>
          <w:bCs/>
          <w:color w:val="000000"/>
          <w:sz w:val="32"/>
          <w:szCs w:val="32"/>
          <w:lang w:val="en-US" w:eastAsia="zh-CN"/>
        </w:rPr>
        <w:t>0.1</w:t>
      </w:r>
      <w:r>
        <w:rPr>
          <w:rFonts w:hint="eastAsia" w:ascii="仿宋" w:hAnsi="仿宋" w:eastAsia="仿宋"/>
          <w:bCs/>
          <w:color w:val="000000"/>
          <w:sz w:val="32"/>
          <w:szCs w:val="32"/>
          <w:lang w:val="en-US" w:eastAsia="zh-CN"/>
        </w:rPr>
        <w:t>2</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100%</w:t>
      </w:r>
      <w:r>
        <w:rPr>
          <w:rStyle w:val="14"/>
          <w:rFonts w:hint="eastAsia" w:ascii="仿宋" w:hAnsi="仿宋" w:eastAsia="仿宋"/>
          <w:b w:val="0"/>
          <w:bCs/>
          <w:color w:val="000000"/>
          <w:sz w:val="32"/>
          <w:szCs w:val="32"/>
        </w:rPr>
        <w:t>，决算数与预算数持平。</w:t>
      </w:r>
    </w:p>
    <w:p>
      <w:pPr>
        <w:spacing w:line="600" w:lineRule="exact"/>
        <w:ind w:firstLine="640" w:firstLineChars="200"/>
        <w:rPr>
          <w:rStyle w:val="14"/>
          <w:rFonts w:ascii="仿宋" w:hAnsi="仿宋" w:eastAsia="仿宋"/>
          <w:b w:val="0"/>
          <w:bCs/>
          <w:color w:val="000000"/>
          <w:sz w:val="32"/>
          <w:szCs w:val="32"/>
        </w:rPr>
      </w:pPr>
      <w:r>
        <w:rPr>
          <w:rStyle w:val="14"/>
          <w:rFonts w:ascii="仿宋" w:hAnsi="仿宋" w:eastAsia="仿宋"/>
          <w:b w:val="0"/>
          <w:bCs/>
          <w:color w:val="000000"/>
          <w:sz w:val="32"/>
          <w:szCs w:val="32"/>
        </w:rPr>
        <w:t>4.</w:t>
      </w:r>
      <w:r>
        <w:rPr>
          <w:rFonts w:hint="eastAsia" w:ascii="仿宋" w:hAnsi="仿宋" w:eastAsia="仿宋"/>
          <w:bCs/>
          <w:color w:val="000000"/>
          <w:sz w:val="32"/>
          <w:szCs w:val="32"/>
        </w:rPr>
        <w:t>卫生健康</w:t>
      </w:r>
      <w:r>
        <w:rPr>
          <w:rStyle w:val="14"/>
          <w:rFonts w:hint="eastAsia" w:ascii="仿宋" w:hAnsi="仿宋" w:eastAsia="仿宋"/>
          <w:b w:val="0"/>
          <w:bCs/>
          <w:color w:val="000000"/>
          <w:sz w:val="32"/>
          <w:szCs w:val="32"/>
        </w:rPr>
        <w:t>（类）行政事业单位医疗（款）事业单位医疗（项）</w:t>
      </w:r>
      <w:r>
        <w:rPr>
          <w:rStyle w:val="14"/>
          <w:rFonts w:hint="eastAsia" w:ascii="仿宋" w:hAnsi="仿宋" w:eastAsia="仿宋"/>
          <w:b w:val="0"/>
          <w:bCs/>
          <w:color w:val="000000"/>
          <w:sz w:val="32"/>
          <w:szCs w:val="32"/>
          <w:lang w:eastAsia="zh-CN"/>
        </w:rPr>
        <w:t>：</w:t>
      </w:r>
      <w:r>
        <w:rPr>
          <w:rStyle w:val="14"/>
          <w:rFonts w:hint="eastAsia" w:ascii="仿宋" w:hAnsi="仿宋" w:eastAsia="仿宋"/>
          <w:b w:val="0"/>
          <w:bCs/>
          <w:color w:val="000000"/>
          <w:sz w:val="32"/>
          <w:szCs w:val="32"/>
        </w:rPr>
        <w:t>支出决算为</w:t>
      </w:r>
      <w:r>
        <w:rPr>
          <w:rFonts w:ascii="仿宋" w:hAnsi="仿宋" w:eastAsia="仿宋"/>
          <w:bCs/>
          <w:color w:val="000000"/>
          <w:sz w:val="32"/>
          <w:szCs w:val="32"/>
          <w:lang w:val="en-US" w:eastAsia="zh-CN"/>
        </w:rPr>
        <w:t>12.24</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100%</w:t>
      </w:r>
      <w:r>
        <w:rPr>
          <w:rStyle w:val="14"/>
          <w:rFonts w:hint="eastAsia" w:ascii="仿宋" w:hAnsi="仿宋" w:eastAsia="仿宋"/>
          <w:b w:val="0"/>
          <w:bCs/>
          <w:color w:val="000000"/>
          <w:sz w:val="32"/>
          <w:szCs w:val="32"/>
        </w:rPr>
        <w:t>，决算数与预算数持平。</w:t>
      </w:r>
    </w:p>
    <w:p>
      <w:pPr>
        <w:spacing w:line="600" w:lineRule="exact"/>
        <w:ind w:firstLine="640" w:firstLineChars="200"/>
        <w:rPr>
          <w:rFonts w:ascii="仿宋" w:hAnsi="仿宋" w:eastAsia="仿宋"/>
          <w:b/>
          <w:color w:val="000000"/>
          <w:sz w:val="32"/>
          <w:szCs w:val="32"/>
        </w:rPr>
      </w:pPr>
      <w:r>
        <w:rPr>
          <w:rFonts w:ascii="仿宋" w:hAnsi="仿宋" w:eastAsia="仿宋"/>
          <w:bCs/>
          <w:color w:val="000000"/>
          <w:sz w:val="32"/>
          <w:szCs w:val="32"/>
        </w:rPr>
        <w:t>5.</w:t>
      </w:r>
      <w:r>
        <w:rPr>
          <w:rFonts w:hint="eastAsia" w:ascii="仿宋" w:hAnsi="仿宋" w:eastAsia="仿宋"/>
          <w:bCs/>
          <w:color w:val="000000"/>
          <w:sz w:val="32"/>
          <w:szCs w:val="32"/>
        </w:rPr>
        <w:t>住房保障</w:t>
      </w:r>
      <w:r>
        <w:rPr>
          <w:rStyle w:val="14"/>
          <w:rFonts w:hint="eastAsia" w:ascii="仿宋" w:hAnsi="仿宋" w:eastAsia="仿宋"/>
          <w:b w:val="0"/>
          <w:bCs/>
          <w:color w:val="000000"/>
          <w:sz w:val="32"/>
          <w:szCs w:val="32"/>
        </w:rPr>
        <w:t>（类）住房改革支出（款）住房公积金（项）</w:t>
      </w:r>
      <w:r>
        <w:rPr>
          <w:rFonts w:hint="eastAsia"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Fonts w:ascii="仿宋" w:hAnsi="仿宋" w:eastAsia="仿宋"/>
          <w:bCs/>
          <w:color w:val="000000"/>
          <w:sz w:val="32"/>
          <w:szCs w:val="32"/>
          <w:lang w:val="en-US" w:eastAsia="zh-CN"/>
        </w:rPr>
        <w:t>28.07</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100%</w:t>
      </w:r>
      <w:r>
        <w:rPr>
          <w:rStyle w:val="14"/>
          <w:rFonts w:hint="eastAsia" w:ascii="仿宋" w:hAnsi="仿宋" w:eastAsia="仿宋"/>
          <w:b w:val="0"/>
          <w:bCs/>
          <w:color w:val="000000"/>
          <w:sz w:val="32"/>
          <w:szCs w:val="32"/>
        </w:rPr>
        <w:t>，决算数与预算数持平。</w:t>
      </w:r>
    </w:p>
    <w:p>
      <w:pPr>
        <w:tabs>
          <w:tab w:val="right" w:pos="8306"/>
        </w:tabs>
        <w:spacing w:line="600" w:lineRule="exact"/>
        <w:ind w:firstLine="640"/>
        <w:outlineLvl w:val="1"/>
        <w:rPr>
          <w:rStyle w:val="17"/>
          <w:color w:val="auto"/>
          <w:highlight w:val="none"/>
        </w:rPr>
      </w:pPr>
      <w:bookmarkStart w:id="52" w:name="_Toc15377214"/>
      <w:bookmarkStart w:id="53" w:name="_Toc18847"/>
      <w:bookmarkStart w:id="54"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52"/>
      <w:bookmarkEnd w:id="53"/>
      <w:bookmarkEnd w:id="54"/>
      <w:r>
        <w:rPr>
          <w:rStyle w:val="17"/>
          <w:rFonts w:ascii="黑体" w:hAnsi="黑体" w:eastAsia="黑体"/>
          <w:b w:val="0"/>
          <w:color w:val="auto"/>
          <w:highlight w:val="none"/>
        </w:rPr>
        <w:tab/>
      </w:r>
    </w:p>
    <w:p>
      <w:pPr>
        <w:spacing w:line="600" w:lineRule="exact"/>
        <w:ind w:firstLine="645"/>
        <w:rPr>
          <w:rFonts w:ascii="仿宋" w:hAnsi="仿宋" w:eastAsia="仿宋"/>
          <w:bCs/>
          <w:color w:val="000000"/>
          <w:sz w:val="32"/>
          <w:szCs w:val="32"/>
        </w:rPr>
      </w:pPr>
      <w:r>
        <w:rPr>
          <w:rFonts w:ascii="仿宋" w:hAnsi="仿宋" w:eastAsia="仿宋"/>
          <w:bCs/>
          <w:color w:val="000000"/>
          <w:sz w:val="32"/>
          <w:szCs w:val="32"/>
        </w:rPr>
        <w:t>202</w:t>
      </w:r>
      <w:r>
        <w:rPr>
          <w:rFonts w:ascii="仿宋" w:hAnsi="仿宋" w:eastAsia="仿宋"/>
          <w:bCs/>
          <w:color w:val="000000"/>
          <w:sz w:val="32"/>
          <w:szCs w:val="32"/>
          <w:lang w:val="en-US" w:eastAsia="zh-CN"/>
        </w:rPr>
        <w:t>3</w:t>
      </w:r>
      <w:r>
        <w:rPr>
          <w:rFonts w:hint="eastAsia" w:ascii="仿宋" w:hAnsi="仿宋" w:eastAsia="仿宋"/>
          <w:bCs/>
          <w:color w:val="000000"/>
          <w:sz w:val="32"/>
          <w:szCs w:val="32"/>
        </w:rPr>
        <w:t>年一般公共预算财政拨款基本支出</w:t>
      </w:r>
      <w:r>
        <w:rPr>
          <w:rFonts w:ascii="仿宋" w:hAnsi="仿宋" w:eastAsia="仿宋"/>
          <w:bCs/>
          <w:color w:val="000000"/>
          <w:sz w:val="32"/>
          <w:szCs w:val="32"/>
          <w:lang w:val="en-US" w:eastAsia="zh-CN"/>
        </w:rPr>
        <w:t>425.48</w:t>
      </w:r>
      <w:r>
        <w:rPr>
          <w:rFonts w:hint="eastAsia" w:ascii="仿宋" w:hAnsi="仿宋" w:eastAsia="仿宋"/>
          <w:bCs/>
          <w:color w:val="000000"/>
          <w:sz w:val="32"/>
          <w:szCs w:val="32"/>
        </w:rPr>
        <w:t>万元，其中：</w:t>
      </w:r>
    </w:p>
    <w:p>
      <w:pPr>
        <w:spacing w:line="600" w:lineRule="exact"/>
        <w:ind w:firstLine="645"/>
        <w:rPr>
          <w:rFonts w:ascii="仿宋" w:hAnsi="仿宋" w:eastAsia="仿宋"/>
          <w:bCs/>
          <w:color w:val="000000"/>
          <w:sz w:val="32"/>
          <w:szCs w:val="32"/>
        </w:rPr>
      </w:pPr>
      <w:r>
        <w:rPr>
          <w:rFonts w:hint="eastAsia" w:ascii="仿宋" w:hAnsi="仿宋" w:eastAsia="仿宋"/>
          <w:bCs/>
          <w:color w:val="000000"/>
          <w:sz w:val="32"/>
          <w:szCs w:val="32"/>
        </w:rPr>
        <w:t>人员经费</w:t>
      </w:r>
      <w:r>
        <w:rPr>
          <w:rFonts w:ascii="仿宋" w:hAnsi="仿宋" w:eastAsia="仿宋"/>
          <w:bCs/>
          <w:color w:val="000000"/>
          <w:sz w:val="32"/>
          <w:szCs w:val="32"/>
          <w:lang w:val="en-US" w:eastAsia="zh-CN"/>
        </w:rPr>
        <w:t>338.33</w:t>
      </w:r>
      <w:r>
        <w:rPr>
          <w:rFonts w:hint="eastAsia" w:ascii="仿宋" w:hAnsi="仿宋" w:eastAsia="仿宋"/>
          <w:bCs/>
          <w:color w:val="000000"/>
          <w:sz w:val="32"/>
          <w:szCs w:val="32"/>
        </w:rPr>
        <w:t>万元，主要包括：基本工资、津贴补贴、奖金、绩效工资、机关事业单位基本养老保险缴费、职业年金缴费、</w:t>
      </w:r>
      <w:r>
        <w:rPr>
          <w:rFonts w:hint="eastAsia" w:ascii="仿宋" w:hAnsi="仿宋" w:eastAsia="仿宋"/>
          <w:bCs/>
          <w:color w:val="000000"/>
          <w:sz w:val="32"/>
          <w:szCs w:val="32"/>
          <w:lang w:eastAsia="zh-CN"/>
        </w:rPr>
        <w:t>职工基本医疗缴费、</w:t>
      </w:r>
      <w:r>
        <w:rPr>
          <w:rFonts w:hint="eastAsia" w:ascii="仿宋" w:hAnsi="仿宋" w:eastAsia="仿宋"/>
          <w:b w:val="0"/>
          <w:bCs/>
          <w:color w:val="000000"/>
          <w:sz w:val="32"/>
          <w:szCs w:val="32"/>
        </w:rPr>
        <w:t>其他社会保障缴费</w:t>
      </w:r>
      <w:r>
        <w:rPr>
          <w:rFonts w:hint="eastAsia" w:ascii="仿宋" w:hAnsi="仿宋" w:eastAsia="仿宋"/>
          <w:bCs/>
          <w:color w:val="000000"/>
          <w:sz w:val="32"/>
          <w:szCs w:val="32"/>
        </w:rPr>
        <w:t>、</w:t>
      </w:r>
      <w:r>
        <w:rPr>
          <w:rFonts w:hint="eastAsia" w:ascii="仿宋" w:hAnsi="仿宋" w:eastAsia="仿宋"/>
          <w:b w:val="0"/>
          <w:bCs/>
          <w:color w:val="000000"/>
          <w:sz w:val="32"/>
          <w:szCs w:val="32"/>
        </w:rPr>
        <w:t>住房公积</w:t>
      </w:r>
      <w:r>
        <w:rPr>
          <w:rFonts w:hint="eastAsia" w:ascii="仿宋" w:hAnsi="仿宋" w:eastAsia="仿宋"/>
          <w:bCs/>
          <w:color w:val="000000"/>
          <w:sz w:val="32"/>
          <w:szCs w:val="32"/>
        </w:rPr>
        <w:t>金、</w:t>
      </w:r>
      <w:r>
        <w:rPr>
          <w:rFonts w:hint="eastAsia" w:ascii="仿宋" w:hAnsi="仿宋" w:eastAsia="仿宋"/>
          <w:bCs/>
          <w:color w:val="000000"/>
          <w:sz w:val="32"/>
          <w:szCs w:val="32"/>
          <w:lang w:eastAsia="zh-CN"/>
        </w:rPr>
        <w:t>其他工资福利支出、</w:t>
      </w:r>
      <w:r>
        <w:rPr>
          <w:rFonts w:hint="eastAsia" w:ascii="仿宋" w:hAnsi="仿宋" w:eastAsia="仿宋"/>
          <w:bCs/>
          <w:color w:val="000000"/>
          <w:sz w:val="32"/>
          <w:szCs w:val="32"/>
        </w:rPr>
        <w:t>生活补助、奖励</w:t>
      </w:r>
      <w:r>
        <w:rPr>
          <w:rFonts w:hint="eastAsia" w:ascii="仿宋" w:hAnsi="仿宋" w:eastAsia="仿宋"/>
          <w:bCs/>
          <w:color w:val="000000"/>
          <w:sz w:val="32"/>
          <w:szCs w:val="32"/>
          <w:lang w:val="en-US" w:eastAsia="zh-CN"/>
        </w:rPr>
        <w:t>金</w:t>
      </w:r>
      <w:r>
        <w:rPr>
          <w:rFonts w:hint="eastAsia" w:ascii="仿宋" w:hAnsi="仿宋" w:eastAsia="仿宋"/>
          <w:bCs/>
          <w:color w:val="000000"/>
          <w:sz w:val="32"/>
          <w:szCs w:val="32"/>
        </w:rPr>
        <w:t>。</w:t>
      </w:r>
    </w:p>
    <w:p>
      <w:pPr>
        <w:spacing w:line="600" w:lineRule="exact"/>
        <w:ind w:firstLine="645"/>
        <w:rPr>
          <w:rFonts w:ascii="仿宋" w:hAnsi="仿宋" w:eastAsia="仿宋"/>
          <w:color w:val="000000"/>
          <w:sz w:val="32"/>
          <w:szCs w:val="32"/>
          <w:highlight w:val="none"/>
        </w:rPr>
      </w:pPr>
      <w:r>
        <w:rPr>
          <w:rFonts w:hint="eastAsia" w:ascii="仿宋" w:hAnsi="仿宋" w:eastAsia="仿宋"/>
          <w:bCs/>
          <w:color w:val="000000"/>
          <w:sz w:val="32"/>
          <w:szCs w:val="32"/>
        </w:rPr>
        <w:t>日常公用经费</w:t>
      </w:r>
      <w:r>
        <w:rPr>
          <w:rFonts w:ascii="仿宋" w:hAnsi="仿宋" w:eastAsia="仿宋"/>
          <w:bCs/>
          <w:color w:val="000000"/>
          <w:sz w:val="32"/>
          <w:szCs w:val="32"/>
          <w:lang w:val="en-US" w:eastAsia="zh-CN"/>
        </w:rPr>
        <w:t>87.15</w:t>
      </w:r>
      <w:r>
        <w:rPr>
          <w:rFonts w:hint="eastAsia" w:ascii="仿宋" w:hAnsi="仿宋" w:eastAsia="仿宋"/>
          <w:bCs/>
          <w:color w:val="000000"/>
          <w:sz w:val="32"/>
          <w:szCs w:val="32"/>
        </w:rPr>
        <w:t>万元，主要包括：办公费、印刷费、水费、</w:t>
      </w:r>
      <w:r>
        <w:rPr>
          <w:rFonts w:ascii="仿宋" w:hAnsi="仿宋" w:eastAsia="仿宋"/>
          <w:bCs/>
          <w:color w:val="000000"/>
          <w:sz w:val="32"/>
          <w:szCs w:val="32"/>
        </w:rPr>
        <w:t>电费、邮电费、</w:t>
      </w:r>
      <w:r>
        <w:rPr>
          <w:rFonts w:hint="eastAsia" w:ascii="仿宋" w:hAnsi="仿宋" w:eastAsia="仿宋"/>
          <w:bCs/>
          <w:color w:val="000000"/>
          <w:sz w:val="32"/>
          <w:szCs w:val="32"/>
          <w:lang w:eastAsia="zh-CN"/>
        </w:rPr>
        <w:t>差旅费</w:t>
      </w:r>
      <w:r>
        <w:rPr>
          <w:rFonts w:hint="eastAsia" w:ascii="仿宋" w:hAnsi="仿宋" w:eastAsia="仿宋"/>
          <w:bCs/>
          <w:color w:val="000000"/>
          <w:sz w:val="32"/>
          <w:szCs w:val="32"/>
        </w:rPr>
        <w:t>、维修（护）费、培训费、</w:t>
      </w:r>
      <w:r>
        <w:rPr>
          <w:rFonts w:ascii="仿宋" w:hAnsi="仿宋" w:eastAsia="仿宋"/>
          <w:bCs/>
          <w:color w:val="000000"/>
          <w:sz w:val="32"/>
          <w:szCs w:val="32"/>
        </w:rPr>
        <w:t>公务接待费、劳务费、委托业务费、</w:t>
      </w:r>
      <w:r>
        <w:rPr>
          <w:rFonts w:hint="eastAsia" w:ascii="仿宋" w:hAnsi="仿宋" w:eastAsia="仿宋"/>
          <w:bCs/>
          <w:color w:val="000000"/>
          <w:sz w:val="32"/>
          <w:szCs w:val="32"/>
        </w:rPr>
        <w:t>工会经费、福利费、公务用车运行维护费、其他交通费</w:t>
      </w:r>
      <w:r>
        <w:rPr>
          <w:rFonts w:hint="eastAsia" w:ascii="仿宋" w:hAnsi="仿宋" w:eastAsia="仿宋"/>
          <w:bCs/>
          <w:color w:val="000000"/>
          <w:sz w:val="32"/>
          <w:szCs w:val="32"/>
          <w:lang w:val="en-US" w:eastAsia="zh-CN"/>
        </w:rPr>
        <w:t>用</w:t>
      </w:r>
      <w:r>
        <w:rPr>
          <w:rFonts w:hint="eastAsia" w:ascii="仿宋" w:hAnsi="仿宋" w:eastAsia="仿宋"/>
          <w:bCs/>
          <w:color w:val="000000"/>
          <w:sz w:val="32"/>
          <w:szCs w:val="32"/>
        </w:rPr>
        <w:t>、其他商品和服务支出。</w:t>
      </w:r>
    </w:p>
    <w:p>
      <w:pPr>
        <w:spacing w:line="600" w:lineRule="exact"/>
        <w:ind w:firstLine="640"/>
        <w:outlineLvl w:val="1"/>
        <w:rPr>
          <w:rStyle w:val="17"/>
          <w:rFonts w:ascii="黑体" w:hAnsi="黑体" w:eastAsia="黑体"/>
          <w:b w:val="0"/>
          <w:color w:val="auto"/>
          <w:highlight w:val="none"/>
        </w:rPr>
      </w:pPr>
      <w:bookmarkStart w:id="55" w:name="_Toc27063"/>
      <w:bookmarkStart w:id="56" w:name="_Toc15377215"/>
      <w:bookmarkStart w:id="57" w:name="_Toc15396609"/>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55"/>
      <w:bookmarkEnd w:id="56"/>
      <w:bookmarkEnd w:id="57"/>
    </w:p>
    <w:p>
      <w:pPr>
        <w:spacing w:line="600" w:lineRule="exact"/>
        <w:ind w:firstLine="640"/>
        <w:outlineLvl w:val="2"/>
        <w:rPr>
          <w:rFonts w:ascii="仿宋" w:hAnsi="仿宋" w:eastAsia="仿宋"/>
          <w:color w:val="000000"/>
          <w:sz w:val="32"/>
          <w:szCs w:val="32"/>
        </w:rPr>
      </w:pPr>
      <w:bookmarkStart w:id="58" w:name="_Toc15377216"/>
      <w:bookmarkStart w:id="59" w:name="_Toc15318"/>
      <w:bookmarkStart w:id="60" w:name="_Toc15396610"/>
      <w:bookmarkStart w:id="61" w:name="_Toc15377218"/>
      <w:r>
        <w:rPr>
          <w:rFonts w:hint="eastAsia" w:ascii="仿宋" w:hAnsi="仿宋" w:eastAsia="仿宋"/>
          <w:color w:val="000000"/>
          <w:sz w:val="32"/>
          <w:szCs w:val="32"/>
        </w:rPr>
        <w:t>（一）“三公”经费财政拨款支出决算总体情况说明</w:t>
      </w:r>
      <w:bookmarkEnd w:id="58"/>
      <w:bookmarkEnd w:id="59"/>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202</w:t>
      </w:r>
      <w:r>
        <w:rPr>
          <w:rFonts w:ascii="仿宋" w:hAnsi="仿宋" w:eastAsia="仿宋"/>
          <w:color w:val="000000"/>
          <w:sz w:val="32"/>
          <w:szCs w:val="32"/>
          <w:lang w:val="en-US" w:eastAsia="zh-CN"/>
        </w:rPr>
        <w:t>3</w:t>
      </w:r>
      <w:r>
        <w:rPr>
          <w:rFonts w:hint="eastAsia" w:ascii="仿宋" w:hAnsi="仿宋" w:eastAsia="仿宋"/>
          <w:color w:val="000000"/>
          <w:sz w:val="32"/>
          <w:szCs w:val="32"/>
        </w:rPr>
        <w:t>年“三公”经费财政拨款支出决算为</w:t>
      </w:r>
      <w:r>
        <w:rPr>
          <w:rFonts w:ascii="仿宋" w:hAnsi="仿宋" w:eastAsia="仿宋"/>
          <w:color w:val="000000"/>
          <w:sz w:val="32"/>
          <w:szCs w:val="32"/>
        </w:rPr>
        <w:t>3.07</w:t>
      </w:r>
      <w:r>
        <w:rPr>
          <w:rFonts w:hint="eastAsia" w:ascii="仿宋" w:hAnsi="仿宋" w:eastAsia="仿宋"/>
          <w:color w:val="000000"/>
          <w:sz w:val="32"/>
          <w:szCs w:val="32"/>
        </w:rPr>
        <w:t>万元，完成预算</w:t>
      </w:r>
      <w:r>
        <w:rPr>
          <w:rFonts w:ascii="仿宋" w:hAnsi="仿宋" w:eastAsia="仿宋"/>
          <w:color w:val="000000"/>
          <w:sz w:val="32"/>
          <w:szCs w:val="32"/>
          <w:lang w:val="en-US" w:eastAsia="zh-CN"/>
        </w:rPr>
        <w:t>51.95</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_GB2312" w:hAnsi="仿宋_GB2312" w:eastAsia="仿宋_GB2312" w:cs="仿宋_GB2312"/>
          <w:color w:val="auto"/>
          <w:sz w:val="32"/>
          <w:szCs w:val="32"/>
          <w:highlight w:val="none"/>
          <w:lang w:eastAsia="zh-CN"/>
        </w:rPr>
        <w:t>较上年度增加</w:t>
      </w:r>
      <w:r>
        <w:rPr>
          <w:rFonts w:hint="eastAsia" w:ascii="仿宋_GB2312" w:hAnsi="仿宋_GB2312" w:eastAsia="仿宋_GB2312" w:cs="仿宋_GB2312"/>
          <w:color w:val="auto"/>
          <w:sz w:val="32"/>
          <w:szCs w:val="32"/>
          <w:highlight w:val="none"/>
          <w:lang w:val="en-US" w:eastAsia="zh-CN"/>
        </w:rPr>
        <w:t>0.87万元，增长39.42%。</w:t>
      </w:r>
      <w:r>
        <w:rPr>
          <w:rFonts w:hint="eastAsia" w:ascii="仿宋" w:hAnsi="仿宋" w:eastAsia="仿宋"/>
          <w:color w:val="000000"/>
          <w:sz w:val="32"/>
          <w:szCs w:val="32"/>
        </w:rPr>
        <w:t>决算数小于预算数的主要原因是精简开支，公务接待</w:t>
      </w:r>
      <w:r>
        <w:rPr>
          <w:rFonts w:ascii="仿宋" w:hAnsi="仿宋" w:eastAsia="仿宋"/>
          <w:color w:val="000000"/>
          <w:sz w:val="32"/>
          <w:szCs w:val="32"/>
        </w:rPr>
        <w:t>减少</w:t>
      </w:r>
      <w:r>
        <w:rPr>
          <w:rFonts w:hint="eastAsia" w:ascii="仿宋" w:hAnsi="仿宋" w:eastAsia="仿宋"/>
          <w:color w:val="000000"/>
          <w:sz w:val="32"/>
          <w:szCs w:val="32"/>
        </w:rPr>
        <w:t>；减少公务车辆开支，降低公务车辆运行维护成本，压缩公务车辆派遣次数。</w:t>
      </w:r>
    </w:p>
    <w:p>
      <w:pPr>
        <w:spacing w:line="600" w:lineRule="exact"/>
        <w:ind w:firstLine="640"/>
        <w:outlineLvl w:val="2"/>
        <w:rPr>
          <w:rFonts w:ascii="仿宋" w:hAnsi="仿宋" w:eastAsia="仿宋"/>
          <w:b/>
          <w:bCs/>
          <w:color w:val="000000"/>
          <w:sz w:val="32"/>
          <w:szCs w:val="32"/>
        </w:rPr>
      </w:pPr>
      <w:bookmarkStart w:id="62" w:name="_Toc8631"/>
      <w:bookmarkStart w:id="63" w:name="_Toc15377217"/>
      <w:r>
        <w:rPr>
          <w:rFonts w:hint="eastAsia" w:ascii="仿宋" w:hAnsi="仿宋" w:eastAsia="仿宋"/>
          <w:b/>
          <w:bCs/>
          <w:color w:val="000000"/>
          <w:sz w:val="32"/>
          <w:szCs w:val="32"/>
        </w:rPr>
        <w:t>（二）“三公”经费财政拨款支出决算具体情况说明</w:t>
      </w:r>
      <w:bookmarkEnd w:id="62"/>
      <w:bookmarkEnd w:id="63"/>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202</w:t>
      </w:r>
      <w:r>
        <w:rPr>
          <w:rFonts w:ascii="仿宋" w:hAnsi="仿宋" w:eastAsia="仿宋"/>
          <w:color w:val="000000"/>
          <w:sz w:val="32"/>
          <w:szCs w:val="32"/>
          <w:lang w:val="en-US" w:eastAsia="zh-CN"/>
        </w:rPr>
        <w:t>3</w:t>
      </w:r>
      <w:r>
        <w:rPr>
          <w:rFonts w:hint="eastAsia" w:ascii="仿宋" w:hAnsi="仿宋" w:eastAsia="仿宋"/>
          <w:color w:val="000000"/>
          <w:sz w:val="32"/>
          <w:szCs w:val="32"/>
        </w:rPr>
        <w:t>年“三公”经费财政拨款支出决算中，因公出国（境）费支出决算</w:t>
      </w:r>
      <w:r>
        <w:rPr>
          <w:rFonts w:ascii="仿宋" w:hAnsi="仿宋" w:eastAsia="仿宋"/>
          <w:color w:val="000000"/>
          <w:sz w:val="32"/>
          <w:szCs w:val="32"/>
        </w:rPr>
        <w:t>0</w:t>
      </w:r>
      <w:r>
        <w:rPr>
          <w:rFonts w:hint="eastAsia" w:ascii="仿宋" w:hAnsi="仿宋" w:eastAsia="仿宋"/>
          <w:color w:val="000000"/>
          <w:sz w:val="32"/>
          <w:szCs w:val="32"/>
        </w:rPr>
        <w:t>万元，占</w:t>
      </w:r>
      <w:r>
        <w:rPr>
          <w:rFonts w:ascii="仿宋" w:hAnsi="仿宋" w:eastAsia="仿宋"/>
          <w:color w:val="000000"/>
          <w:sz w:val="32"/>
          <w:szCs w:val="32"/>
        </w:rPr>
        <w:t>0%</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2.</w:t>
      </w:r>
      <w:r>
        <w:rPr>
          <w:rFonts w:ascii="仿宋" w:hAnsi="仿宋" w:eastAsia="仿宋"/>
          <w:color w:val="000000"/>
          <w:sz w:val="32"/>
          <w:szCs w:val="32"/>
          <w:lang w:val="en-US" w:eastAsia="zh-CN"/>
        </w:rPr>
        <w:t>14</w:t>
      </w:r>
      <w:r>
        <w:rPr>
          <w:rFonts w:hint="eastAsia" w:ascii="仿宋" w:hAnsi="仿宋" w:eastAsia="仿宋"/>
          <w:color w:val="000000"/>
          <w:sz w:val="32"/>
          <w:szCs w:val="32"/>
        </w:rPr>
        <w:t>万元，占</w:t>
      </w:r>
      <w:r>
        <w:rPr>
          <w:rFonts w:ascii="仿宋" w:hAnsi="仿宋" w:eastAsia="仿宋"/>
          <w:color w:val="000000"/>
          <w:sz w:val="32"/>
          <w:szCs w:val="32"/>
          <w:lang w:val="en-US" w:eastAsia="zh-CN"/>
        </w:rPr>
        <w:t>69.89</w:t>
      </w:r>
      <w:r>
        <w:rPr>
          <w:rFonts w:ascii="仿宋" w:hAnsi="仿宋" w:eastAsia="仿宋"/>
          <w:color w:val="000000"/>
          <w:sz w:val="32"/>
          <w:szCs w:val="32"/>
        </w:rPr>
        <w:t>%；公务接待费支出决算0.92万元，占30.1%。具体情况如下：</w:t>
      </w:r>
    </w:p>
    <w:p>
      <w:pPr>
        <w:pStyle w:val="2"/>
        <w:rPr>
          <w:rFonts w:hint="eastAsia"/>
        </w:rPr>
      </w:pPr>
      <w:r>
        <w:drawing>
          <wp:anchor distT="0" distB="0" distL="114300" distR="114300" simplePos="0" relativeHeight="251659264" behindDoc="0" locked="0" layoutInCell="1" allowOverlap="1">
            <wp:simplePos x="0" y="0"/>
            <wp:positionH relativeFrom="column">
              <wp:posOffset>48895</wp:posOffset>
            </wp:positionH>
            <wp:positionV relativeFrom="paragraph">
              <wp:posOffset>239395</wp:posOffset>
            </wp:positionV>
            <wp:extent cx="5200650" cy="2305050"/>
            <wp:effectExtent l="0" t="0" r="0" b="0"/>
            <wp:wrapTight wrapText="bothSides">
              <wp:wrapPolygon>
                <wp:start x="-5" y="-18"/>
                <wp:lineTo x="-5" y="21581"/>
                <wp:lineTo x="21594" y="21581"/>
                <wp:lineTo x="21594" y="-18"/>
                <wp:lineTo x="-5" y="-18"/>
              </wp:wrapPolygon>
            </wp:wrapTight>
            <wp:docPr id="13" name="图表 1" descr="7b0a202020202263686172745265734964223a202232303437363132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jc w:val="center"/>
        <w:rPr>
          <w:rFonts w:hint="eastAsia" w:ascii="仿宋" w:hAnsi="仿宋" w:eastAsia="仿宋"/>
          <w:color w:val="000000"/>
          <w:sz w:val="32"/>
          <w:szCs w:val="32"/>
        </w:rPr>
      </w:pPr>
      <w:r>
        <w:rPr>
          <w:rFonts w:hint="eastAsia" w:ascii="仿宋" w:hAnsi="仿宋" w:eastAsia="仿宋"/>
          <w:color w:val="000000"/>
          <w:sz w:val="32"/>
          <w:szCs w:val="32"/>
        </w:rPr>
        <w:t>（图</w:t>
      </w: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：“三公”经费财政拨款支出结构）</w:t>
      </w:r>
    </w:p>
    <w:p>
      <w:pPr>
        <w:spacing w:line="600" w:lineRule="exact"/>
        <w:ind w:firstLine="640" w:firstLineChars="200"/>
        <w:rPr>
          <w:rFonts w:ascii="仿宋" w:hAnsi="仿宋" w:eastAsia="仿宋"/>
          <w:color w:val="000000"/>
          <w:sz w:val="32"/>
          <w:szCs w:val="32"/>
        </w:rPr>
      </w:pPr>
      <w:r>
        <w:rPr>
          <w:rFonts w:ascii="??_GB2312" w:hAnsi="??_GB2312" w:eastAsia="Times New Roman"/>
          <w:color w:val="000000"/>
          <w:sz w:val="32"/>
          <w:szCs w:val="32"/>
        </w:rPr>
        <w:t>1</w:t>
      </w:r>
      <w:r>
        <w:rPr>
          <w:rFonts w:hint="eastAsia" w:ascii="仿宋" w:hAnsi="仿宋" w:eastAsia="仿宋"/>
          <w:color w:val="000000"/>
          <w:sz w:val="32"/>
          <w:szCs w:val="32"/>
        </w:rPr>
        <w:t>、因公出国（境）经费支出</w:t>
      </w:r>
      <w:r>
        <w:rPr>
          <w:rFonts w:ascii="仿宋" w:hAnsi="仿宋" w:eastAsia="仿宋"/>
          <w:color w:val="000000"/>
          <w:sz w:val="32"/>
          <w:szCs w:val="32"/>
        </w:rPr>
        <w:t>0</w:t>
      </w:r>
      <w:r>
        <w:rPr>
          <w:rFonts w:hint="eastAsia" w:ascii="仿宋" w:hAnsi="仿宋" w:eastAsia="仿宋"/>
          <w:color w:val="000000"/>
          <w:sz w:val="32"/>
          <w:szCs w:val="32"/>
        </w:rPr>
        <w:t>万元，</w:t>
      </w:r>
      <w:r>
        <w:rPr>
          <w:rStyle w:val="14"/>
          <w:rFonts w:hint="eastAsia" w:ascii="仿宋" w:eastAsia="仿宋"/>
          <w:b w:val="0"/>
          <w:bCs/>
          <w:color w:val="000000"/>
          <w:sz w:val="32"/>
          <w:szCs w:val="32"/>
        </w:rPr>
        <w:t>年初未安排预算</w:t>
      </w:r>
      <w:r>
        <w:rPr>
          <w:rStyle w:val="14"/>
          <w:rFonts w:hint="eastAsia" w:ascii="仿宋" w:hAnsi="仿宋" w:eastAsia="仿宋"/>
          <w:b w:val="0"/>
          <w:color w:val="000000"/>
          <w:sz w:val="32"/>
          <w:szCs w:val="32"/>
        </w:rPr>
        <w:t>。</w:t>
      </w:r>
      <w:r>
        <w:rPr>
          <w:rFonts w:hint="eastAsia" w:ascii="仿宋" w:hAnsi="仿宋" w:eastAsia="仿宋"/>
          <w:color w:val="000000"/>
          <w:sz w:val="32"/>
          <w:szCs w:val="32"/>
        </w:rPr>
        <w:t>全年安排因公出国（境）团组</w:t>
      </w:r>
      <w:r>
        <w:rPr>
          <w:rFonts w:ascii="仿宋" w:hAnsi="仿宋" w:eastAsia="仿宋"/>
          <w:color w:val="000000"/>
          <w:sz w:val="32"/>
          <w:szCs w:val="32"/>
        </w:rPr>
        <w:t>0</w:t>
      </w:r>
      <w:r>
        <w:rPr>
          <w:rFonts w:hint="eastAsia" w:ascii="仿宋" w:hAnsi="仿宋" w:eastAsia="仿宋"/>
          <w:color w:val="000000"/>
          <w:sz w:val="32"/>
          <w:szCs w:val="32"/>
        </w:rPr>
        <w:t>次，出国（境）</w:t>
      </w:r>
      <w:r>
        <w:rPr>
          <w:rFonts w:ascii="仿宋" w:hAnsi="仿宋" w:eastAsia="仿宋"/>
          <w:color w:val="000000"/>
          <w:sz w:val="32"/>
          <w:szCs w:val="32"/>
        </w:rPr>
        <w:t>0</w:t>
      </w:r>
      <w:r>
        <w:rPr>
          <w:rFonts w:hint="eastAsia" w:ascii="仿宋" w:hAnsi="仿宋" w:eastAsia="仿宋"/>
          <w:color w:val="000000"/>
          <w:sz w:val="32"/>
          <w:szCs w:val="32"/>
        </w:rPr>
        <w:t>人。因公出国（境）支出决算与</w:t>
      </w:r>
      <w:r>
        <w:rPr>
          <w:rFonts w:ascii="仿宋" w:hAnsi="仿宋" w:eastAsia="仿宋"/>
          <w:color w:val="000000"/>
          <w:sz w:val="32"/>
          <w:szCs w:val="32"/>
        </w:rPr>
        <w:t>202</w:t>
      </w:r>
      <w:r>
        <w:rPr>
          <w:rFonts w:ascii="仿宋" w:hAnsi="仿宋" w:eastAsia="仿宋"/>
          <w:color w:val="000000"/>
          <w:sz w:val="32"/>
          <w:szCs w:val="32"/>
          <w:lang w:val="en-US" w:eastAsia="zh-CN"/>
        </w:rPr>
        <w:t>2</w:t>
      </w:r>
      <w:r>
        <w:rPr>
          <w:rFonts w:hint="eastAsia" w:ascii="仿宋" w:hAnsi="仿宋" w:eastAsia="仿宋"/>
          <w:color w:val="000000"/>
          <w:sz w:val="32"/>
          <w:szCs w:val="32"/>
          <w:lang w:val="en-US" w:eastAsia="zh-CN"/>
        </w:rPr>
        <w:t>年</w:t>
      </w:r>
      <w:r>
        <w:rPr>
          <w:rFonts w:hint="eastAsia" w:ascii="仿宋" w:hAnsi="仿宋" w:eastAsia="仿宋"/>
          <w:color w:val="000000"/>
          <w:sz w:val="32"/>
          <w:szCs w:val="32"/>
        </w:rPr>
        <w:t>持平。</w:t>
      </w:r>
    </w:p>
    <w:p>
      <w:pPr>
        <w:spacing w:line="600" w:lineRule="exact"/>
        <w:ind w:firstLine="640"/>
        <w:rPr>
          <w:rFonts w:ascii="??_GB2312" w:hAnsi="??_GB2312" w:eastAsia="Times New Roman"/>
          <w:strike w:val="0"/>
          <w:dstrike w:val="0"/>
          <w:color w:val="000000"/>
          <w:sz w:val="32"/>
          <w:szCs w:val="32"/>
        </w:rPr>
      </w:pPr>
      <w:r>
        <w:rPr>
          <w:rFonts w:ascii="仿宋" w:hAnsi="仿宋" w:eastAsia="仿宋"/>
          <w:strike w:val="0"/>
          <w:dstrike w:val="0"/>
          <w:color w:val="000000"/>
          <w:sz w:val="32"/>
          <w:szCs w:val="32"/>
        </w:rPr>
        <w:t>2</w:t>
      </w:r>
      <w:r>
        <w:rPr>
          <w:rFonts w:hint="eastAsia" w:ascii="仿宋" w:hAnsi="仿宋" w:eastAsia="仿宋"/>
          <w:strike w:val="0"/>
          <w:dstrike w:val="0"/>
          <w:color w:val="000000"/>
          <w:sz w:val="32"/>
          <w:szCs w:val="32"/>
        </w:rPr>
        <w:t>、公务用车购置及运行维护费支出</w:t>
      </w:r>
      <w:r>
        <w:rPr>
          <w:rFonts w:hint="eastAsia" w:ascii="仿宋" w:hAnsi="仿宋" w:eastAsia="仿宋"/>
          <w:strike w:val="0"/>
          <w:dstrike w:val="0"/>
          <w:color w:val="000000"/>
          <w:sz w:val="32"/>
          <w:szCs w:val="32"/>
          <w:lang w:val="en-US" w:eastAsia="zh-CN"/>
        </w:rPr>
        <w:t>2.</w:t>
      </w:r>
      <w:r>
        <w:rPr>
          <w:rFonts w:ascii="仿宋" w:hAnsi="仿宋" w:eastAsia="仿宋"/>
          <w:strike w:val="0"/>
          <w:dstrike w:val="0"/>
          <w:color w:val="000000"/>
          <w:sz w:val="32"/>
          <w:szCs w:val="32"/>
          <w:lang w:val="en-US" w:eastAsia="zh-CN"/>
        </w:rPr>
        <w:t>14</w:t>
      </w:r>
      <w:r>
        <w:rPr>
          <w:rFonts w:hint="eastAsia" w:ascii="仿宋" w:hAnsi="仿宋" w:eastAsia="仿宋"/>
          <w:strike w:val="0"/>
          <w:dstrike w:val="0"/>
          <w:color w:val="000000"/>
          <w:sz w:val="32"/>
          <w:szCs w:val="32"/>
        </w:rPr>
        <w:t>万元</w:t>
      </w:r>
      <w:r>
        <w:rPr>
          <w:rFonts w:hint="eastAsia" w:ascii="仿宋" w:hAnsi="仿宋" w:eastAsia="仿宋"/>
          <w:strike w:val="0"/>
          <w:dstrike w:val="0"/>
          <w:color w:val="000000"/>
          <w:sz w:val="32"/>
          <w:szCs w:val="32"/>
          <w:lang w:eastAsia="zh-CN"/>
        </w:rPr>
        <w:t>，</w:t>
      </w:r>
      <w:r>
        <w:rPr>
          <w:rFonts w:hint="eastAsia" w:ascii="仿宋" w:hAnsi="仿宋" w:eastAsia="仿宋"/>
          <w:strike w:val="0"/>
          <w:dstrike w:val="0"/>
          <w:color w:val="000000"/>
          <w:sz w:val="32"/>
          <w:szCs w:val="32"/>
        </w:rPr>
        <w:t>完成预算</w:t>
      </w:r>
      <w:r>
        <w:rPr>
          <w:rFonts w:ascii="仿宋" w:hAnsi="仿宋" w:eastAsia="仿宋"/>
          <w:strike w:val="0"/>
          <w:dstrike w:val="0"/>
          <w:color w:val="000000"/>
          <w:sz w:val="32"/>
          <w:szCs w:val="32"/>
          <w:lang w:val="en-US" w:eastAsia="zh-CN"/>
        </w:rPr>
        <w:t>43.28</w:t>
      </w:r>
      <w:r>
        <w:rPr>
          <w:rFonts w:ascii="仿宋" w:hAnsi="仿宋" w:eastAsia="仿宋"/>
          <w:strike w:val="0"/>
          <w:dstrike w:val="0"/>
          <w:color w:val="000000"/>
          <w:sz w:val="32"/>
          <w:szCs w:val="32"/>
        </w:rPr>
        <w:t>%</w:t>
      </w:r>
      <w:r>
        <w:rPr>
          <w:rFonts w:hint="eastAsia" w:ascii="仿宋" w:hAnsi="仿宋" w:eastAsia="仿宋"/>
          <w:strike w:val="0"/>
          <w:dstrike w:val="0"/>
          <w:color w:val="000000"/>
          <w:sz w:val="32"/>
          <w:szCs w:val="32"/>
        </w:rPr>
        <w:t>，预算数为</w:t>
      </w:r>
      <w:r>
        <w:rPr>
          <w:rFonts w:ascii="仿宋" w:hAnsi="仿宋" w:eastAsia="仿宋"/>
          <w:strike w:val="0"/>
          <w:dstrike w:val="0"/>
          <w:color w:val="000000"/>
          <w:sz w:val="32"/>
          <w:szCs w:val="32"/>
        </w:rPr>
        <w:t>4.9</w:t>
      </w:r>
      <w:r>
        <w:rPr>
          <w:rFonts w:hint="eastAsia" w:ascii="仿宋" w:hAnsi="仿宋" w:eastAsia="仿宋"/>
          <w:strike w:val="0"/>
          <w:dstrike w:val="0"/>
          <w:color w:val="000000"/>
          <w:sz w:val="32"/>
          <w:szCs w:val="32"/>
          <w:lang w:val="en-US" w:eastAsia="zh-CN"/>
        </w:rPr>
        <w:t>5</w:t>
      </w:r>
      <w:r>
        <w:rPr>
          <w:rFonts w:hint="eastAsia" w:ascii="仿宋" w:hAnsi="仿宋" w:eastAsia="仿宋"/>
          <w:strike w:val="0"/>
          <w:dstrike w:val="0"/>
          <w:color w:val="000000"/>
          <w:sz w:val="32"/>
          <w:szCs w:val="32"/>
        </w:rPr>
        <w:t>万元。公务用车购置及运行维护费支出决算比</w:t>
      </w:r>
      <w:r>
        <w:rPr>
          <w:rFonts w:ascii="仿宋" w:hAnsi="仿宋" w:eastAsia="仿宋"/>
          <w:strike w:val="0"/>
          <w:dstrike w:val="0"/>
          <w:color w:val="000000"/>
          <w:sz w:val="32"/>
          <w:szCs w:val="32"/>
        </w:rPr>
        <w:t>202</w:t>
      </w:r>
      <w:r>
        <w:rPr>
          <w:rFonts w:ascii="仿宋" w:hAnsi="仿宋" w:eastAsia="仿宋"/>
          <w:strike w:val="0"/>
          <w:dstrike w:val="0"/>
          <w:color w:val="000000"/>
          <w:sz w:val="32"/>
          <w:szCs w:val="32"/>
          <w:lang w:val="en-US" w:eastAsia="zh-CN"/>
        </w:rPr>
        <w:t>2</w:t>
      </w:r>
      <w:r>
        <w:rPr>
          <w:rFonts w:hint="eastAsia" w:ascii="仿宋" w:hAnsi="仿宋" w:eastAsia="仿宋"/>
          <w:strike w:val="0"/>
          <w:dstrike w:val="0"/>
          <w:color w:val="000000"/>
          <w:sz w:val="32"/>
          <w:szCs w:val="32"/>
        </w:rPr>
        <w:t>年减少</w:t>
      </w:r>
      <w:r>
        <w:rPr>
          <w:rFonts w:ascii="仿宋" w:hAnsi="仿宋" w:eastAsia="仿宋"/>
          <w:strike w:val="0"/>
          <w:dstrike w:val="0"/>
          <w:color w:val="000000"/>
          <w:sz w:val="32"/>
          <w:szCs w:val="32"/>
          <w:lang w:val="en-US" w:eastAsia="zh-CN"/>
        </w:rPr>
        <w:t>0.06</w:t>
      </w:r>
      <w:r>
        <w:rPr>
          <w:rFonts w:hint="eastAsia" w:ascii="仿宋" w:hAnsi="仿宋" w:eastAsia="仿宋"/>
          <w:strike w:val="0"/>
          <w:dstrike w:val="0"/>
          <w:color w:val="000000"/>
          <w:sz w:val="32"/>
          <w:szCs w:val="32"/>
        </w:rPr>
        <w:t>万元，减少</w:t>
      </w:r>
      <w:r>
        <w:rPr>
          <w:rFonts w:ascii="仿宋" w:hAnsi="仿宋" w:eastAsia="仿宋"/>
          <w:strike w:val="0"/>
          <w:dstrike w:val="0"/>
          <w:color w:val="000000"/>
          <w:sz w:val="32"/>
          <w:szCs w:val="32"/>
          <w:lang w:val="en-US" w:eastAsia="zh-CN"/>
        </w:rPr>
        <w:t>2.7</w:t>
      </w:r>
      <w:r>
        <w:rPr>
          <w:rFonts w:hint="eastAsia" w:ascii="仿宋" w:hAnsi="仿宋" w:eastAsia="仿宋"/>
          <w:strike w:val="0"/>
          <w:dstrike w:val="0"/>
          <w:color w:val="000000"/>
          <w:sz w:val="32"/>
          <w:szCs w:val="32"/>
        </w:rPr>
        <w:t>%。主要原因减少公务车辆开支，降低公务车辆运行维护成本，压缩公务车辆派遣次数。</w:t>
      </w:r>
    </w:p>
    <w:p>
      <w:pPr>
        <w:spacing w:line="600" w:lineRule="exact"/>
        <w:ind w:firstLine="640" w:firstLineChars="200"/>
        <w:rPr>
          <w:rFonts w:ascii="仿宋" w:hAnsi="仿宋" w:eastAsia="仿宋"/>
          <w:strike w:val="0"/>
          <w:dstrike w:val="0"/>
          <w:color w:val="000000"/>
          <w:sz w:val="32"/>
          <w:szCs w:val="32"/>
        </w:rPr>
      </w:pPr>
      <w:r>
        <w:rPr>
          <w:rFonts w:hint="eastAsia" w:ascii="仿宋" w:hAnsi="仿宋" w:eastAsia="仿宋"/>
          <w:strike w:val="0"/>
          <w:dstrike w:val="0"/>
          <w:color w:val="000000"/>
          <w:sz w:val="32"/>
          <w:szCs w:val="32"/>
        </w:rPr>
        <w:t>其中：公务用车购置支出</w:t>
      </w:r>
      <w:r>
        <w:rPr>
          <w:rFonts w:ascii="仿宋" w:hAnsi="仿宋" w:eastAsia="仿宋"/>
          <w:strike w:val="0"/>
          <w:dstrike w:val="0"/>
          <w:color w:val="000000"/>
          <w:sz w:val="32"/>
          <w:szCs w:val="32"/>
        </w:rPr>
        <w:t>0</w:t>
      </w:r>
      <w:r>
        <w:rPr>
          <w:rFonts w:hint="eastAsia" w:ascii="仿宋" w:hAnsi="仿宋" w:eastAsia="仿宋"/>
          <w:strike w:val="0"/>
          <w:dstrike w:val="0"/>
          <w:color w:val="000000"/>
          <w:sz w:val="32"/>
          <w:szCs w:val="32"/>
        </w:rPr>
        <w:t>万元。全年按规定更新购置公务用车</w:t>
      </w:r>
      <w:r>
        <w:rPr>
          <w:rFonts w:ascii="仿宋" w:hAnsi="仿宋" w:eastAsia="仿宋"/>
          <w:strike w:val="0"/>
          <w:dstrike w:val="0"/>
          <w:color w:val="000000"/>
          <w:sz w:val="32"/>
          <w:szCs w:val="32"/>
        </w:rPr>
        <w:t>0</w:t>
      </w:r>
      <w:r>
        <w:rPr>
          <w:rFonts w:hint="eastAsia" w:ascii="仿宋" w:hAnsi="仿宋" w:eastAsia="仿宋"/>
          <w:strike w:val="0"/>
          <w:dstrike w:val="0"/>
          <w:color w:val="000000"/>
          <w:sz w:val="32"/>
          <w:szCs w:val="32"/>
        </w:rPr>
        <w:t>辆，截至</w:t>
      </w:r>
      <w:r>
        <w:rPr>
          <w:rFonts w:ascii="仿宋" w:hAnsi="仿宋" w:eastAsia="仿宋"/>
          <w:strike w:val="0"/>
          <w:dstrike w:val="0"/>
          <w:color w:val="000000"/>
          <w:sz w:val="32"/>
          <w:szCs w:val="32"/>
        </w:rPr>
        <w:t>202</w:t>
      </w:r>
      <w:r>
        <w:rPr>
          <w:rFonts w:ascii="仿宋" w:hAnsi="仿宋" w:eastAsia="仿宋"/>
          <w:strike w:val="0"/>
          <w:dstrike w:val="0"/>
          <w:color w:val="000000"/>
          <w:sz w:val="32"/>
          <w:szCs w:val="32"/>
          <w:lang w:val="en-US" w:eastAsia="zh-CN"/>
        </w:rPr>
        <w:t>3</w:t>
      </w:r>
      <w:r>
        <w:rPr>
          <w:rFonts w:hint="eastAsia" w:ascii="仿宋" w:hAnsi="仿宋" w:eastAsia="仿宋"/>
          <w:strike w:val="0"/>
          <w:dstrike w:val="0"/>
          <w:color w:val="000000"/>
          <w:sz w:val="32"/>
          <w:szCs w:val="32"/>
        </w:rPr>
        <w:t>年</w:t>
      </w:r>
      <w:r>
        <w:rPr>
          <w:rFonts w:ascii="仿宋" w:hAnsi="仿宋" w:eastAsia="仿宋"/>
          <w:strike w:val="0"/>
          <w:dstrike w:val="0"/>
          <w:color w:val="000000"/>
          <w:sz w:val="32"/>
          <w:szCs w:val="32"/>
        </w:rPr>
        <w:t>12</w:t>
      </w:r>
      <w:r>
        <w:rPr>
          <w:rFonts w:hint="eastAsia" w:ascii="仿宋" w:hAnsi="仿宋" w:eastAsia="仿宋"/>
          <w:strike w:val="0"/>
          <w:dstrike w:val="0"/>
          <w:color w:val="000000"/>
          <w:sz w:val="32"/>
          <w:szCs w:val="32"/>
        </w:rPr>
        <w:t>月底，单位共有公务用车</w:t>
      </w:r>
      <w:r>
        <w:rPr>
          <w:rFonts w:ascii="仿宋" w:hAnsi="仿宋" w:eastAsia="仿宋"/>
          <w:strike w:val="0"/>
          <w:dstrike w:val="0"/>
          <w:color w:val="000000"/>
          <w:sz w:val="32"/>
          <w:szCs w:val="32"/>
        </w:rPr>
        <w:t>1</w:t>
      </w:r>
      <w:r>
        <w:rPr>
          <w:rFonts w:hint="eastAsia" w:ascii="仿宋" w:hAnsi="仿宋" w:eastAsia="仿宋"/>
          <w:strike w:val="0"/>
          <w:dstrike w:val="0"/>
          <w:color w:val="000000"/>
          <w:sz w:val="32"/>
          <w:szCs w:val="32"/>
        </w:rPr>
        <w:t>辆，其中：轿车</w:t>
      </w:r>
      <w:r>
        <w:rPr>
          <w:rFonts w:ascii="仿宋" w:hAnsi="仿宋" w:eastAsia="仿宋"/>
          <w:strike w:val="0"/>
          <w:dstrike w:val="0"/>
          <w:color w:val="000000"/>
          <w:sz w:val="32"/>
          <w:szCs w:val="32"/>
        </w:rPr>
        <w:t>1</w:t>
      </w:r>
      <w:r>
        <w:rPr>
          <w:rFonts w:hint="eastAsia" w:ascii="仿宋" w:hAnsi="仿宋" w:eastAsia="仿宋"/>
          <w:strike w:val="0"/>
          <w:dstrike w:val="0"/>
          <w:color w:val="000000"/>
          <w:sz w:val="32"/>
          <w:szCs w:val="32"/>
        </w:rPr>
        <w:t>辆。</w:t>
      </w:r>
    </w:p>
    <w:p>
      <w:pPr>
        <w:spacing w:line="600" w:lineRule="exact"/>
        <w:ind w:firstLine="640"/>
        <w:rPr>
          <w:rFonts w:ascii="仿宋" w:hAnsi="仿宋" w:eastAsia="仿宋"/>
          <w:strike w:val="0"/>
          <w:dstrike w:val="0"/>
          <w:color w:val="000000"/>
          <w:sz w:val="32"/>
          <w:szCs w:val="32"/>
        </w:rPr>
      </w:pPr>
      <w:r>
        <w:rPr>
          <w:rFonts w:hint="eastAsia" w:ascii="仿宋" w:hAnsi="仿宋" w:eastAsia="仿宋"/>
          <w:strike w:val="0"/>
          <w:dstrike w:val="0"/>
          <w:color w:val="000000"/>
          <w:sz w:val="32"/>
          <w:szCs w:val="32"/>
        </w:rPr>
        <w:t>公务用车运行维护费支出</w:t>
      </w:r>
      <w:r>
        <w:rPr>
          <w:rFonts w:hint="eastAsia" w:ascii="仿宋" w:hAnsi="仿宋" w:eastAsia="仿宋"/>
          <w:strike w:val="0"/>
          <w:dstrike w:val="0"/>
          <w:color w:val="000000"/>
          <w:sz w:val="32"/>
          <w:szCs w:val="32"/>
          <w:lang w:val="en-US" w:eastAsia="zh-CN"/>
        </w:rPr>
        <w:t>2.</w:t>
      </w:r>
      <w:r>
        <w:rPr>
          <w:rFonts w:ascii="仿宋" w:hAnsi="仿宋" w:eastAsia="仿宋"/>
          <w:strike w:val="0"/>
          <w:dstrike w:val="0"/>
          <w:color w:val="000000"/>
          <w:sz w:val="32"/>
          <w:szCs w:val="32"/>
          <w:lang w:val="en-US" w:eastAsia="zh-CN"/>
        </w:rPr>
        <w:t>14</w:t>
      </w:r>
      <w:r>
        <w:rPr>
          <w:rFonts w:hint="eastAsia" w:ascii="仿宋" w:hAnsi="仿宋" w:eastAsia="仿宋"/>
          <w:strike w:val="0"/>
          <w:dstrike w:val="0"/>
          <w:color w:val="000000"/>
          <w:sz w:val="32"/>
          <w:szCs w:val="32"/>
        </w:rPr>
        <w:t>万元。主要用于</w:t>
      </w:r>
      <w:r>
        <w:rPr>
          <w:rFonts w:hint="eastAsia" w:ascii="仿宋" w:hAnsi="仿宋" w:eastAsia="仿宋"/>
          <w:strike w:val="0"/>
          <w:dstrike w:val="0"/>
          <w:color w:val="000000"/>
          <w:sz w:val="32"/>
          <w:szCs w:val="32"/>
          <w:lang w:eastAsia="zh-CN"/>
        </w:rPr>
        <w:t>到帮扶村开展帮扶工作、</w:t>
      </w:r>
      <w:r>
        <w:rPr>
          <w:rFonts w:hint="eastAsia" w:ascii="仿宋" w:hAnsi="仿宋" w:eastAsia="仿宋"/>
          <w:strike w:val="0"/>
          <w:dstrike w:val="0"/>
          <w:color w:val="000000"/>
          <w:sz w:val="32"/>
          <w:szCs w:val="32"/>
        </w:rPr>
        <w:t>外地出差等所需的公务用车燃料费、维修费、过路过桥费、保险费等支出</w:t>
      </w:r>
      <w:r>
        <w:rPr>
          <w:rFonts w:hint="eastAsia" w:ascii="仿宋" w:hAnsi="仿宋" w:eastAsia="仿宋"/>
          <w:strike w:val="0"/>
          <w:dstrike w:val="0"/>
          <w:color w:val="000000"/>
          <w:sz w:val="32"/>
          <w:szCs w:val="32"/>
          <w:lang w:eastAsia="zh-CN"/>
        </w:rPr>
        <w:t>等</w:t>
      </w:r>
      <w:r>
        <w:rPr>
          <w:rFonts w:hint="eastAsia" w:ascii="仿宋" w:hAnsi="仿宋" w:eastAsia="仿宋"/>
          <w:strike w:val="0"/>
          <w:dstrike w:val="0"/>
          <w:color w:val="000000"/>
          <w:sz w:val="32"/>
          <w:szCs w:val="32"/>
        </w:rPr>
        <w:t>。</w:t>
      </w:r>
    </w:p>
    <w:p>
      <w:pPr>
        <w:numPr>
          <w:ilvl w:val="0"/>
          <w:numId w:val="3"/>
        </w:numPr>
        <w:spacing w:line="600" w:lineRule="exact"/>
        <w:ind w:left="0" w:firstLine="640" w:firstLineChars="200"/>
        <w:rPr>
          <w:rFonts w:hint="eastAsia" w:ascii="仿宋" w:hAnsi="仿宋" w:eastAsia="仿宋"/>
          <w:strike w:val="0"/>
          <w:dstrike w:val="0"/>
          <w:color w:val="000000"/>
          <w:sz w:val="32"/>
          <w:szCs w:val="32"/>
          <w:lang w:val="en-US" w:eastAsia="zh-CN"/>
        </w:rPr>
      </w:pPr>
      <w:r>
        <w:rPr>
          <w:rFonts w:hint="eastAsia" w:ascii="仿宋" w:hAnsi="仿宋" w:eastAsia="仿宋"/>
          <w:strike w:val="0"/>
          <w:dstrike w:val="0"/>
          <w:color w:val="000000"/>
          <w:sz w:val="32"/>
          <w:szCs w:val="32"/>
        </w:rPr>
        <w:t>公务接待费支出</w:t>
      </w:r>
      <w:r>
        <w:rPr>
          <w:rFonts w:ascii="仿宋" w:hAnsi="仿宋" w:eastAsia="仿宋"/>
          <w:strike w:val="0"/>
          <w:dstrike w:val="0"/>
          <w:color w:val="000000"/>
          <w:sz w:val="32"/>
          <w:szCs w:val="32"/>
          <w:lang w:val="en-US" w:eastAsia="zh-CN"/>
        </w:rPr>
        <w:t>0.92</w:t>
      </w:r>
      <w:r>
        <w:rPr>
          <w:rFonts w:hint="eastAsia" w:ascii="仿宋" w:hAnsi="仿宋" w:eastAsia="仿宋"/>
          <w:strike w:val="0"/>
          <w:dstrike w:val="0"/>
          <w:color w:val="000000"/>
          <w:sz w:val="32"/>
          <w:szCs w:val="32"/>
        </w:rPr>
        <w:t>万元，完成预算</w:t>
      </w:r>
      <w:r>
        <w:rPr>
          <w:rFonts w:ascii="仿宋" w:hAnsi="仿宋" w:eastAsia="仿宋"/>
          <w:strike w:val="0"/>
          <w:dstrike w:val="0"/>
          <w:color w:val="000000"/>
          <w:sz w:val="32"/>
          <w:szCs w:val="32"/>
          <w:lang w:val="en-US" w:eastAsia="zh-CN"/>
        </w:rPr>
        <w:t>97.14</w:t>
      </w:r>
      <w:r>
        <w:rPr>
          <w:rFonts w:ascii="仿宋" w:hAnsi="仿宋" w:eastAsia="仿宋"/>
          <w:strike w:val="0"/>
          <w:dstrike w:val="0"/>
          <w:color w:val="000000"/>
          <w:sz w:val="32"/>
          <w:szCs w:val="32"/>
        </w:rPr>
        <w:t>%</w:t>
      </w:r>
      <w:r>
        <w:rPr>
          <w:rFonts w:hint="eastAsia" w:ascii="仿宋" w:hAnsi="仿宋" w:eastAsia="仿宋"/>
          <w:strike w:val="0"/>
          <w:dstrike w:val="0"/>
          <w:color w:val="000000"/>
          <w:sz w:val="32"/>
          <w:szCs w:val="32"/>
        </w:rPr>
        <w:t>。公务接待费支出决算比</w:t>
      </w:r>
      <w:r>
        <w:rPr>
          <w:rFonts w:ascii="仿宋" w:hAnsi="仿宋" w:eastAsia="仿宋"/>
          <w:strike w:val="0"/>
          <w:dstrike w:val="0"/>
          <w:color w:val="000000"/>
          <w:sz w:val="32"/>
          <w:szCs w:val="32"/>
        </w:rPr>
        <w:t>202</w:t>
      </w:r>
      <w:r>
        <w:rPr>
          <w:rFonts w:ascii="仿宋" w:hAnsi="仿宋" w:eastAsia="仿宋"/>
          <w:strike w:val="0"/>
          <w:dstrike w:val="0"/>
          <w:color w:val="000000"/>
          <w:sz w:val="32"/>
          <w:szCs w:val="32"/>
          <w:lang w:val="en-US" w:eastAsia="zh-CN"/>
        </w:rPr>
        <w:t>2</w:t>
      </w:r>
      <w:r>
        <w:rPr>
          <w:rFonts w:hint="eastAsia" w:ascii="仿宋" w:hAnsi="仿宋" w:eastAsia="仿宋"/>
          <w:strike w:val="0"/>
          <w:dstrike w:val="0"/>
          <w:color w:val="000000"/>
          <w:sz w:val="32"/>
          <w:szCs w:val="32"/>
        </w:rPr>
        <w:t>年</w:t>
      </w:r>
      <w:r>
        <w:rPr>
          <w:rFonts w:ascii="仿宋" w:hAnsi="仿宋" w:eastAsia="仿宋"/>
          <w:strike w:val="0"/>
          <w:dstrike w:val="0"/>
          <w:color w:val="000000"/>
          <w:sz w:val="32"/>
          <w:szCs w:val="32"/>
        </w:rPr>
        <w:t>增加0.92</w:t>
      </w:r>
      <w:r>
        <w:rPr>
          <w:rFonts w:hint="eastAsia" w:ascii="仿宋" w:hAnsi="仿宋" w:eastAsia="仿宋"/>
          <w:strike w:val="0"/>
          <w:dstrike w:val="0"/>
          <w:color w:val="000000"/>
          <w:sz w:val="32"/>
          <w:szCs w:val="32"/>
        </w:rPr>
        <w:t>万元，</w:t>
      </w:r>
      <w:r>
        <w:rPr>
          <w:rFonts w:ascii="仿宋" w:hAnsi="仿宋" w:eastAsia="仿宋"/>
          <w:strike w:val="0"/>
          <w:dstrike w:val="0"/>
          <w:color w:val="000000"/>
          <w:sz w:val="32"/>
          <w:szCs w:val="32"/>
          <w:lang w:eastAsia="zh-CN"/>
        </w:rPr>
        <w:t>增加10</w:t>
      </w:r>
      <w:r>
        <w:rPr>
          <w:rFonts w:hint="eastAsia" w:ascii="仿宋" w:hAnsi="仿宋" w:eastAsia="仿宋"/>
          <w:strike w:val="0"/>
          <w:dstrike w:val="0"/>
          <w:color w:val="000000"/>
          <w:sz w:val="32"/>
          <w:szCs w:val="32"/>
          <w:lang w:val="en-US" w:eastAsia="zh-CN"/>
        </w:rPr>
        <w:t>0</w:t>
      </w:r>
      <w:r>
        <w:rPr>
          <w:rFonts w:hint="eastAsia" w:ascii="仿宋" w:hAnsi="仿宋" w:eastAsia="仿宋"/>
          <w:strike w:val="0"/>
          <w:dstrike w:val="0"/>
          <w:color w:val="000000"/>
          <w:sz w:val="32"/>
          <w:szCs w:val="32"/>
        </w:rPr>
        <w:t>%。主要原因是</w:t>
      </w:r>
      <w:r>
        <w:rPr>
          <w:rFonts w:ascii="仿宋" w:hAnsi="仿宋" w:eastAsia="仿宋"/>
          <w:strike w:val="0"/>
          <w:dstrike w:val="0"/>
          <w:color w:val="000000"/>
          <w:sz w:val="32"/>
          <w:szCs w:val="32"/>
        </w:rPr>
        <w:t>2023年疫情后恢复正常经营，公务接待在正常范围内</w:t>
      </w:r>
      <w:r>
        <w:rPr>
          <w:rFonts w:hint="eastAsia" w:ascii="仿宋" w:hAnsi="仿宋" w:eastAsia="仿宋"/>
          <w:strike w:val="0"/>
          <w:dstrike w:val="0"/>
          <w:color w:val="000000"/>
          <w:sz w:val="32"/>
          <w:szCs w:val="32"/>
          <w:lang w:val="en-US" w:eastAsia="zh-CN"/>
        </w:rPr>
        <w:t>。</w:t>
      </w:r>
    </w:p>
    <w:p>
      <w:pPr>
        <w:spacing w:line="600" w:lineRule="exact"/>
        <w:ind w:left="0" w:firstLine="640" w:firstLineChars="200"/>
        <w:rPr>
          <w:rFonts w:ascii="仿宋" w:hAnsi="仿宋" w:eastAsia="仿宋"/>
          <w:strike w:val="0"/>
          <w:dstrike w:val="0"/>
          <w:color w:val="000000"/>
          <w:sz w:val="32"/>
          <w:szCs w:val="32"/>
        </w:rPr>
      </w:pPr>
      <w:r>
        <w:rPr>
          <w:rFonts w:hint="eastAsia" w:ascii="仿宋" w:hAnsi="仿宋" w:eastAsia="仿宋"/>
          <w:strike w:val="0"/>
          <w:dstrike w:val="0"/>
          <w:color w:val="000000"/>
          <w:sz w:val="32"/>
          <w:szCs w:val="32"/>
        </w:rPr>
        <w:t>国内公务接待</w:t>
      </w:r>
      <w:r>
        <w:rPr>
          <w:rFonts w:ascii="仿宋" w:hAnsi="仿宋" w:eastAsia="仿宋"/>
          <w:strike w:val="0"/>
          <w:dstrike w:val="0"/>
          <w:color w:val="000000"/>
          <w:sz w:val="32"/>
          <w:szCs w:val="32"/>
        </w:rPr>
        <w:t>支出0.92万元，主要用于上级部门考察及相关文博单位学习交流所产生的住宿费、用餐费等。国内公务接待8</w:t>
      </w:r>
      <w:r>
        <w:rPr>
          <w:rFonts w:hint="eastAsia" w:ascii="仿宋" w:hAnsi="仿宋" w:eastAsia="仿宋"/>
          <w:strike w:val="0"/>
          <w:dstrike w:val="0"/>
          <w:color w:val="000000"/>
          <w:sz w:val="32"/>
          <w:szCs w:val="32"/>
        </w:rPr>
        <w:t>批次，</w:t>
      </w:r>
      <w:r>
        <w:rPr>
          <w:rFonts w:ascii="仿宋" w:hAnsi="仿宋" w:eastAsia="仿宋"/>
          <w:strike w:val="0"/>
          <w:dstrike w:val="0"/>
          <w:color w:val="000000"/>
          <w:sz w:val="32"/>
          <w:szCs w:val="32"/>
          <w:lang w:val="en-US" w:eastAsia="zh-CN"/>
        </w:rPr>
        <w:t>103</w:t>
      </w:r>
      <w:r>
        <w:rPr>
          <w:rFonts w:hint="eastAsia" w:ascii="仿宋" w:hAnsi="仿宋" w:eastAsia="仿宋"/>
          <w:strike w:val="0"/>
          <w:dstrike w:val="0"/>
          <w:color w:val="000000"/>
          <w:sz w:val="32"/>
          <w:szCs w:val="32"/>
        </w:rPr>
        <w:t>人次，共计支出</w:t>
      </w:r>
      <w:r>
        <w:rPr>
          <w:rFonts w:ascii="仿宋" w:hAnsi="仿宋" w:eastAsia="仿宋"/>
          <w:strike w:val="0"/>
          <w:dstrike w:val="0"/>
          <w:color w:val="000000"/>
          <w:sz w:val="32"/>
          <w:szCs w:val="32"/>
          <w:lang w:val="en-US" w:eastAsia="zh-CN"/>
        </w:rPr>
        <w:t>0.92</w:t>
      </w:r>
      <w:r>
        <w:rPr>
          <w:rFonts w:hint="eastAsia" w:ascii="仿宋" w:hAnsi="仿宋" w:eastAsia="仿宋"/>
          <w:strike w:val="0"/>
          <w:dstrike w:val="0"/>
          <w:color w:val="000000"/>
          <w:sz w:val="32"/>
          <w:szCs w:val="32"/>
        </w:rPr>
        <w:t>万元</w:t>
      </w:r>
      <w:r>
        <w:rPr>
          <w:rFonts w:ascii="仿宋" w:hAnsi="仿宋" w:eastAsia="仿宋"/>
          <w:strike w:val="0"/>
          <w:dstrike w:val="0"/>
          <w:color w:val="000000"/>
          <w:sz w:val="32"/>
          <w:szCs w:val="32"/>
        </w:rPr>
        <w:t>，具体内容包括接待四川历史名人文化基地实地考察640元；广元窟学术与产业研讨会参与嘉宾接待2600元；武则天历史名人文化专题座谈会1152元；四川博物院、达州市博物馆、资阳市文旅局、巴中市文旅局等来广考察调研4808元</w:t>
      </w:r>
      <w:r>
        <w:rPr>
          <w:rFonts w:hint="eastAsia" w:ascii="仿宋" w:hAnsi="仿宋" w:eastAsia="仿宋"/>
          <w:strike w:val="0"/>
          <w:dstrike w:val="0"/>
          <w:color w:val="000000"/>
          <w:sz w:val="32"/>
          <w:szCs w:val="32"/>
        </w:rPr>
        <w:t>。</w:t>
      </w:r>
    </w:p>
    <w:p>
      <w:pPr>
        <w:spacing w:line="600" w:lineRule="exact"/>
        <w:ind w:firstLine="640"/>
        <w:outlineLvl w:val="1"/>
        <w:rPr>
          <w:rStyle w:val="17"/>
          <w:rFonts w:ascii="黑体" w:hAnsi="黑体" w:eastAsia="黑体"/>
          <w:color w:val="auto"/>
          <w:highlight w:val="none"/>
        </w:rPr>
      </w:pPr>
      <w:bookmarkStart w:id="64" w:name="_Toc16650"/>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60"/>
      <w:bookmarkEnd w:id="61"/>
      <w:bookmarkEnd w:id="64"/>
    </w:p>
    <w:p>
      <w:pPr>
        <w:spacing w:line="600" w:lineRule="exact"/>
        <w:ind w:firstLine="640" w:firstLineChars="200"/>
        <w:rPr>
          <w:rFonts w:ascii="仿宋_GB2312" w:eastAsia="仿宋_GB2312"/>
          <w:color w:val="auto"/>
          <w:sz w:val="32"/>
          <w:szCs w:val="32"/>
          <w:highlight w:val="none"/>
        </w:rPr>
      </w:pPr>
      <w:r>
        <w:rPr>
          <w:rFonts w:ascii="仿宋" w:hAnsi="仿宋" w:eastAsia="仿宋"/>
          <w:color w:val="000000"/>
          <w:sz w:val="32"/>
          <w:szCs w:val="32"/>
        </w:rPr>
        <w:t>202</w:t>
      </w:r>
      <w:r>
        <w:rPr>
          <w:rFonts w:ascii="仿宋" w:hAnsi="仿宋" w:eastAsia="仿宋"/>
          <w:color w:val="000000"/>
          <w:sz w:val="32"/>
          <w:szCs w:val="32"/>
          <w:lang w:val="en-US" w:eastAsia="zh-CN"/>
        </w:rPr>
        <w:t>3</w:t>
      </w:r>
      <w:r>
        <w:rPr>
          <w:rFonts w:hint="eastAsia" w:ascii="仿宋" w:hAnsi="仿宋" w:eastAsia="仿宋"/>
          <w:color w:val="000000"/>
          <w:sz w:val="32"/>
          <w:szCs w:val="32"/>
        </w:rPr>
        <w:t>年政府性基金预算财政拨款支出</w:t>
      </w:r>
      <w:r>
        <w:rPr>
          <w:rFonts w:ascii="仿宋" w:hAnsi="仿宋" w:eastAsia="仿宋"/>
          <w:color w:val="000000"/>
          <w:sz w:val="32"/>
          <w:szCs w:val="32"/>
        </w:rPr>
        <w:t>0</w:t>
      </w:r>
      <w:r>
        <w:rPr>
          <w:rFonts w:hint="eastAsia" w:ascii="仿宋" w:hAnsi="仿宋" w:eastAsia="仿宋"/>
          <w:color w:val="000000"/>
          <w:sz w:val="32"/>
          <w:szCs w:val="32"/>
        </w:rPr>
        <w:t>万元。</w:t>
      </w:r>
    </w:p>
    <w:p>
      <w:pPr>
        <w:numPr>
          <w:ilvl w:val="0"/>
          <w:numId w:val="4"/>
        </w:numPr>
        <w:spacing w:line="600" w:lineRule="exact"/>
        <w:ind w:left="0" w:firstLine="640"/>
        <w:outlineLvl w:val="1"/>
        <w:rPr>
          <w:rStyle w:val="17"/>
          <w:rFonts w:ascii="黑体" w:hAnsi="黑体" w:eastAsia="黑体"/>
          <w:b w:val="0"/>
          <w:color w:val="auto"/>
          <w:highlight w:val="none"/>
        </w:rPr>
      </w:pPr>
      <w:bookmarkStart w:id="65" w:name="_Toc32541"/>
      <w:bookmarkStart w:id="66" w:name="_Toc15396611"/>
      <w:bookmarkStart w:id="67" w:name="_Toc15377219"/>
      <w:r>
        <w:rPr>
          <w:rStyle w:val="17"/>
          <w:rFonts w:hint="eastAsia" w:ascii="黑体" w:hAnsi="黑体" w:eastAsia="黑体"/>
          <w:b w:val="0"/>
          <w:color w:val="auto"/>
          <w:highlight w:val="none"/>
        </w:rPr>
        <w:t>国有资本经营预算支出决算情况说明</w:t>
      </w:r>
      <w:bookmarkEnd w:id="65"/>
      <w:bookmarkEnd w:id="66"/>
      <w:bookmarkEnd w:id="67"/>
    </w:p>
    <w:p>
      <w:pPr>
        <w:spacing w:line="600" w:lineRule="exact"/>
        <w:ind w:firstLine="640" w:firstLineChars="200"/>
        <w:rPr>
          <w:rFonts w:ascii="方正小标宋简体" w:hAnsi="方正小标宋简体" w:eastAsia="方正小标宋简体" w:cs="方正小标宋简体"/>
          <w:color w:val="auto"/>
          <w:sz w:val="44"/>
          <w:szCs w:val="44"/>
          <w:highlight w:val="none"/>
        </w:rPr>
      </w:pPr>
      <w:r>
        <w:rPr>
          <w:rFonts w:ascii="仿宋" w:hAnsi="仿宋" w:eastAsia="仿宋"/>
          <w:color w:val="000000"/>
          <w:sz w:val="32"/>
          <w:szCs w:val="32"/>
        </w:rPr>
        <w:t>202</w:t>
      </w:r>
      <w:r>
        <w:rPr>
          <w:rFonts w:ascii="仿宋" w:hAnsi="仿宋" w:eastAsia="仿宋"/>
          <w:color w:val="000000"/>
          <w:sz w:val="32"/>
          <w:szCs w:val="32"/>
          <w:lang w:val="en-US" w:eastAsia="zh-CN"/>
        </w:rPr>
        <w:t>3</w:t>
      </w:r>
      <w:r>
        <w:rPr>
          <w:rFonts w:hint="eastAsia" w:ascii="仿宋" w:hAnsi="仿宋" w:eastAsia="仿宋"/>
          <w:color w:val="000000"/>
          <w:sz w:val="32"/>
          <w:szCs w:val="32"/>
        </w:rPr>
        <w:t>年国有资本经营预算财政拨款支出</w:t>
      </w:r>
      <w:r>
        <w:rPr>
          <w:rFonts w:ascii="仿宋" w:hAnsi="仿宋" w:eastAsia="仿宋"/>
          <w:color w:val="000000"/>
          <w:sz w:val="32"/>
          <w:szCs w:val="32"/>
        </w:rPr>
        <w:t>0</w:t>
      </w:r>
      <w:r>
        <w:rPr>
          <w:rFonts w:hint="eastAsia" w:ascii="仿宋" w:hAnsi="仿宋" w:eastAsia="仿宋"/>
          <w:color w:val="000000"/>
          <w:sz w:val="32"/>
          <w:szCs w:val="32"/>
        </w:rPr>
        <w:t>万元。</w:t>
      </w:r>
    </w:p>
    <w:p>
      <w:pPr>
        <w:numPr>
          <w:ilvl w:val="0"/>
          <w:numId w:val="4"/>
        </w:numPr>
        <w:spacing w:line="600" w:lineRule="exact"/>
        <w:ind w:left="0" w:firstLine="640"/>
        <w:outlineLvl w:val="1"/>
        <w:rPr>
          <w:rStyle w:val="17"/>
          <w:rFonts w:hint="eastAsia" w:ascii="黑体" w:hAnsi="黑体" w:eastAsia="黑体"/>
          <w:b w:val="0"/>
          <w:color w:val="auto"/>
          <w:highlight w:val="none"/>
        </w:rPr>
      </w:pPr>
      <w:bookmarkStart w:id="68" w:name="_Toc15396612"/>
      <w:bookmarkStart w:id="69" w:name="_Toc15377221"/>
      <w:bookmarkStart w:id="70" w:name="_Toc1010"/>
      <w:r>
        <w:rPr>
          <w:rStyle w:val="17"/>
          <w:rFonts w:hint="eastAsia" w:ascii="黑体" w:hAnsi="黑体" w:eastAsia="黑体"/>
          <w:b w:val="0"/>
          <w:color w:val="auto"/>
          <w:highlight w:val="none"/>
        </w:rPr>
        <w:t>其他重要事项的情况说明</w:t>
      </w:r>
      <w:bookmarkEnd w:id="68"/>
      <w:bookmarkEnd w:id="69"/>
      <w:bookmarkEnd w:id="70"/>
    </w:p>
    <w:p>
      <w:pPr>
        <w:spacing w:line="600" w:lineRule="exact"/>
        <w:ind w:firstLine="642" w:firstLineChars="200"/>
        <w:rPr>
          <w:rFonts w:hint="eastAsia" w:ascii="仿宋" w:hAnsi="仿宋" w:eastAsia="仿宋"/>
          <w:b/>
          <w:sz w:val="32"/>
          <w:szCs w:val="32"/>
          <w:lang w:val="en-US" w:eastAsia="zh-CN"/>
        </w:rPr>
      </w:pPr>
      <w:r>
        <w:rPr>
          <w:rFonts w:hint="eastAsia" w:ascii="仿宋" w:hAnsi="仿宋" w:eastAsia="仿宋"/>
          <w:b/>
          <w:sz w:val="32"/>
          <w:szCs w:val="32"/>
          <w:lang w:val="en-US" w:eastAsia="zh-CN"/>
        </w:rPr>
        <w:t>（一）机关运行经费支出情况</w:t>
      </w:r>
    </w:p>
    <w:p>
      <w:pPr>
        <w:spacing w:line="600" w:lineRule="exact"/>
        <w:ind w:firstLine="640" w:firstLineChars="200"/>
        <w:rPr>
          <w:rFonts w:hint="eastAsia" w:ascii="仿宋" w:hAnsi="仿宋" w:eastAsia="仿宋" w:cs="Times New Roman"/>
          <w:color w:val="000000"/>
          <w:kern w:val="2"/>
          <w:sz w:val="32"/>
          <w:szCs w:val="32"/>
          <w:lang w:val="en-US" w:eastAsia="zh-CN" w:bidi="ar-SA"/>
        </w:rPr>
      </w:pPr>
      <w:bookmarkStart w:id="71" w:name="_Toc15377223"/>
      <w:r>
        <w:rPr>
          <w:rFonts w:hint="eastAsia" w:ascii="仿宋" w:hAnsi="仿宋" w:eastAsia="仿宋" w:cs="Times New Roman"/>
          <w:color w:val="000000"/>
          <w:kern w:val="2"/>
          <w:sz w:val="32"/>
          <w:szCs w:val="32"/>
          <w:lang w:val="en-US" w:eastAsia="zh-CN" w:bidi="ar-SA"/>
        </w:rPr>
        <w:t>本单位为公益一类事业单位，无机关运行经费支出</w:t>
      </w:r>
      <w:r>
        <w:rPr>
          <w:rFonts w:ascii="仿宋" w:hAnsi="仿宋" w:eastAsia="仿宋" w:cs="Times New Roman"/>
          <w:color w:val="000000"/>
          <w:kern w:val="2"/>
          <w:sz w:val="32"/>
          <w:szCs w:val="32"/>
          <w:lang w:eastAsia="zh-CN" w:bidi="ar-SA"/>
        </w:rPr>
        <w:t>，较2022年无变化</w:t>
      </w:r>
      <w:r>
        <w:rPr>
          <w:rFonts w:hint="eastAsia" w:ascii="仿宋" w:hAnsi="仿宋" w:eastAsia="仿宋" w:cs="Times New Roman"/>
          <w:color w:val="000000"/>
          <w:kern w:val="2"/>
          <w:sz w:val="32"/>
          <w:szCs w:val="32"/>
          <w:lang w:val="en-US" w:eastAsia="zh-CN" w:bidi="ar-SA"/>
        </w:rPr>
        <w:t>。</w:t>
      </w:r>
    </w:p>
    <w:p>
      <w:pPr>
        <w:spacing w:line="600" w:lineRule="exact"/>
        <w:ind w:firstLine="642" w:firstLineChars="200"/>
        <w:rPr>
          <w:rFonts w:hint="eastAsia" w:ascii="仿宋" w:hAnsi="仿宋" w:eastAsia="仿宋"/>
          <w:color w:val="000000"/>
          <w:sz w:val="32"/>
          <w:szCs w:val="32"/>
        </w:rPr>
      </w:pPr>
      <w:r>
        <w:rPr>
          <w:rFonts w:hint="eastAsia" w:ascii="仿宋" w:hAnsi="仿宋" w:eastAsia="仿宋"/>
          <w:b/>
          <w:sz w:val="32"/>
          <w:szCs w:val="32"/>
        </w:rPr>
        <w:t>（</w:t>
      </w:r>
      <w:r>
        <w:rPr>
          <w:rFonts w:hint="eastAsia" w:ascii="仿宋" w:hAnsi="仿宋" w:eastAsia="仿宋"/>
          <w:b/>
          <w:sz w:val="32"/>
          <w:szCs w:val="32"/>
          <w:lang w:eastAsia="zh-CN"/>
        </w:rPr>
        <w:t>二</w:t>
      </w:r>
      <w:r>
        <w:rPr>
          <w:rFonts w:hint="eastAsia" w:ascii="仿宋" w:hAnsi="仿宋" w:eastAsia="仿宋"/>
          <w:b/>
          <w:sz w:val="32"/>
          <w:szCs w:val="32"/>
        </w:rPr>
        <w:t>）政府采购支出情况</w:t>
      </w:r>
      <w:bookmarkEnd w:id="71"/>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w:t>
      </w:r>
      <w:r>
        <w:rPr>
          <w:rFonts w:ascii="仿宋" w:hAnsi="仿宋" w:eastAsia="仿宋"/>
          <w:color w:val="000000"/>
          <w:sz w:val="32"/>
          <w:szCs w:val="32"/>
          <w:lang w:val="en-US" w:eastAsia="zh-CN"/>
        </w:rPr>
        <w:t>3</w:t>
      </w:r>
      <w:r>
        <w:rPr>
          <w:rFonts w:hint="eastAsia" w:ascii="仿宋" w:hAnsi="仿宋" w:eastAsia="仿宋"/>
          <w:color w:val="000000"/>
          <w:sz w:val="32"/>
          <w:szCs w:val="32"/>
        </w:rPr>
        <w:t>年，皇泽寺博物馆政府采购支出总额</w:t>
      </w:r>
      <w:r>
        <w:rPr>
          <w:rFonts w:ascii="仿宋" w:hAnsi="仿宋" w:eastAsia="仿宋"/>
          <w:color w:val="000000"/>
          <w:sz w:val="32"/>
          <w:szCs w:val="32"/>
          <w:lang w:val="en-US" w:eastAsia="zh-CN"/>
        </w:rPr>
        <w:t>247.46</w:t>
      </w:r>
      <w:r>
        <w:rPr>
          <w:rFonts w:hint="eastAsia" w:ascii="仿宋" w:hAnsi="仿宋" w:eastAsia="仿宋"/>
          <w:color w:val="000000"/>
          <w:sz w:val="32"/>
          <w:szCs w:val="32"/>
        </w:rPr>
        <w:t>万元，其中：</w:t>
      </w:r>
      <w:bookmarkStart w:id="108" w:name="_GoBack"/>
      <w:bookmarkEnd w:id="108"/>
      <w:r>
        <w:rPr>
          <w:rFonts w:hint="eastAsia" w:ascii="仿宋" w:hAnsi="仿宋" w:eastAsia="仿宋"/>
          <w:color w:val="000000"/>
          <w:sz w:val="32"/>
          <w:szCs w:val="32"/>
        </w:rPr>
        <w:t>政府采购服务支出</w:t>
      </w:r>
      <w:r>
        <w:rPr>
          <w:rFonts w:ascii="仿宋" w:hAnsi="仿宋" w:eastAsia="仿宋"/>
          <w:color w:val="000000"/>
          <w:sz w:val="32"/>
          <w:szCs w:val="32"/>
          <w:lang w:val="en-US" w:eastAsia="zh-CN"/>
        </w:rPr>
        <w:t>247.46</w:t>
      </w:r>
      <w:r>
        <w:rPr>
          <w:rFonts w:hint="eastAsia" w:ascii="仿宋" w:hAnsi="仿宋" w:eastAsia="仿宋"/>
          <w:color w:val="000000"/>
          <w:sz w:val="32"/>
          <w:szCs w:val="32"/>
        </w:rPr>
        <w:t>万元。主要用于皇泽寺景区卫生保洁工作</w:t>
      </w:r>
      <w:r>
        <w:rPr>
          <w:rFonts w:ascii="仿宋" w:hAnsi="仿宋" w:eastAsia="仿宋"/>
          <w:color w:val="000000"/>
          <w:sz w:val="32"/>
          <w:szCs w:val="32"/>
        </w:rPr>
        <w:t>、皇泽寺馆藏文物预防性保护项目、嘉陵江战役广元段重点展示园方案设计项目</w:t>
      </w:r>
      <w:r>
        <w:rPr>
          <w:rFonts w:hint="eastAsia" w:ascii="仿宋" w:hAnsi="仿宋" w:eastAsia="仿宋"/>
          <w:color w:val="000000"/>
          <w:sz w:val="32"/>
          <w:szCs w:val="32"/>
        </w:rPr>
        <w:t>。授予中小企业合同金额</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万元，占政府采购支出总额的</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，其中：授予小微企业合同金额</w:t>
      </w:r>
      <w:r>
        <w:rPr>
          <w:rFonts w:ascii="仿宋" w:hAnsi="仿宋" w:eastAsia="仿宋"/>
          <w:color w:val="000000"/>
          <w:sz w:val="32"/>
          <w:szCs w:val="32"/>
          <w:lang w:val="en-US" w:eastAsia="zh-CN"/>
        </w:rPr>
        <w:t>247.46</w:t>
      </w:r>
      <w:r>
        <w:rPr>
          <w:rFonts w:hint="eastAsia" w:ascii="仿宋" w:hAnsi="仿宋" w:eastAsia="仿宋"/>
          <w:color w:val="000000"/>
          <w:sz w:val="32"/>
          <w:szCs w:val="32"/>
        </w:rPr>
        <w:t>万元，占政府采购支出总额的</w:t>
      </w:r>
      <w:r>
        <w:rPr>
          <w:rFonts w:ascii="仿宋" w:hAnsi="仿宋" w:eastAsia="仿宋"/>
          <w:color w:val="000000"/>
          <w:sz w:val="32"/>
          <w:szCs w:val="32"/>
        </w:rPr>
        <w:t>10</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autoSpaceDE w:val="0"/>
        <w:autoSpaceDN w:val="0"/>
        <w:adjustRightInd w:val="0"/>
        <w:spacing w:line="600" w:lineRule="exact"/>
        <w:ind w:firstLine="642" w:firstLineChars="200"/>
        <w:jc w:val="left"/>
        <w:outlineLvl w:val="2"/>
        <w:rPr>
          <w:rFonts w:ascii="仿宋" w:hAnsi="仿宋" w:eastAsia="仿宋"/>
          <w:b/>
          <w:bCs/>
          <w:color w:val="000000"/>
          <w:sz w:val="32"/>
          <w:szCs w:val="32"/>
        </w:rPr>
      </w:pPr>
      <w:bookmarkStart w:id="72" w:name="_Toc16055"/>
      <w:bookmarkStart w:id="73" w:name="_Toc15377224"/>
      <w:r>
        <w:rPr>
          <w:rFonts w:hint="eastAsia" w:ascii="仿宋" w:hAnsi="仿宋" w:eastAsia="仿宋"/>
          <w:b/>
          <w:bCs/>
          <w:color w:val="000000"/>
          <w:sz w:val="32"/>
          <w:szCs w:val="32"/>
        </w:rPr>
        <w:t>（</w:t>
      </w:r>
      <w:r>
        <w:rPr>
          <w:rFonts w:hint="eastAsia" w:ascii="仿宋" w:hAnsi="仿宋" w:eastAsia="仿宋"/>
          <w:b/>
          <w:bCs/>
          <w:color w:val="000000"/>
          <w:sz w:val="32"/>
          <w:szCs w:val="32"/>
          <w:lang w:eastAsia="zh-CN"/>
        </w:rPr>
        <w:t>三</w:t>
      </w:r>
      <w:r>
        <w:rPr>
          <w:rFonts w:hint="eastAsia" w:ascii="仿宋" w:hAnsi="仿宋" w:eastAsia="仿宋"/>
          <w:b/>
          <w:bCs/>
          <w:color w:val="000000"/>
          <w:sz w:val="32"/>
          <w:szCs w:val="32"/>
        </w:rPr>
        <w:t>）国有资产占有使用情况</w:t>
      </w:r>
      <w:bookmarkEnd w:id="72"/>
      <w:bookmarkEnd w:id="73"/>
    </w:p>
    <w:p>
      <w:pPr>
        <w:autoSpaceDE w:val="0"/>
        <w:autoSpaceDN w:val="0"/>
        <w:adjustRightInd w:val="0"/>
        <w:spacing w:line="60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截至</w:t>
      </w:r>
      <w:r>
        <w:rPr>
          <w:rFonts w:ascii="仿宋" w:hAnsi="仿宋" w:eastAsia="仿宋"/>
          <w:color w:val="000000"/>
          <w:sz w:val="32"/>
          <w:szCs w:val="32"/>
        </w:rPr>
        <w:t>2023</w:t>
      </w:r>
      <w:r>
        <w:rPr>
          <w:rFonts w:hint="eastAsia" w:ascii="仿宋" w:hAnsi="仿宋" w:eastAsia="仿宋"/>
          <w:color w:val="000000"/>
          <w:sz w:val="32"/>
          <w:szCs w:val="32"/>
        </w:rPr>
        <w:t>年</w:t>
      </w:r>
      <w:r>
        <w:rPr>
          <w:rFonts w:ascii="仿宋" w:hAnsi="仿宋" w:eastAsia="仿宋"/>
          <w:color w:val="000000"/>
          <w:sz w:val="32"/>
          <w:szCs w:val="32"/>
        </w:rPr>
        <w:t>12</w:t>
      </w:r>
      <w:r>
        <w:rPr>
          <w:rFonts w:hint="eastAsia" w:ascii="仿宋" w:hAnsi="仿宋" w:eastAsia="仿宋"/>
          <w:color w:val="000000"/>
          <w:sz w:val="32"/>
          <w:szCs w:val="32"/>
        </w:rPr>
        <w:t>月</w:t>
      </w:r>
      <w:r>
        <w:rPr>
          <w:rFonts w:ascii="仿宋" w:hAnsi="仿宋" w:eastAsia="仿宋"/>
          <w:color w:val="000000"/>
          <w:sz w:val="32"/>
          <w:szCs w:val="32"/>
        </w:rPr>
        <w:t>31</w:t>
      </w:r>
      <w:r>
        <w:rPr>
          <w:rFonts w:hint="eastAsia" w:ascii="仿宋" w:hAnsi="仿宋" w:eastAsia="仿宋"/>
          <w:color w:val="000000"/>
          <w:sz w:val="32"/>
          <w:szCs w:val="32"/>
        </w:rPr>
        <w:t>日，皇泽寺博物馆共有车辆</w:t>
      </w:r>
      <w:r>
        <w:rPr>
          <w:rFonts w:ascii="仿宋" w:hAnsi="仿宋" w:eastAsia="仿宋"/>
          <w:color w:val="000000"/>
          <w:sz w:val="32"/>
          <w:szCs w:val="32"/>
        </w:rPr>
        <w:t>1</w:t>
      </w:r>
      <w:r>
        <w:rPr>
          <w:rFonts w:hint="eastAsia" w:ascii="仿宋" w:hAnsi="仿宋" w:eastAsia="仿宋"/>
          <w:color w:val="000000"/>
          <w:sz w:val="32"/>
          <w:szCs w:val="32"/>
        </w:rPr>
        <w:t>辆，其中：其他用车</w:t>
      </w:r>
      <w:r>
        <w:rPr>
          <w:rFonts w:ascii="仿宋" w:hAnsi="仿宋" w:eastAsia="仿宋"/>
          <w:color w:val="000000"/>
          <w:sz w:val="32"/>
          <w:szCs w:val="32"/>
        </w:rPr>
        <w:t>1</w:t>
      </w:r>
      <w:r>
        <w:rPr>
          <w:rFonts w:hint="eastAsia" w:ascii="仿宋" w:hAnsi="仿宋" w:eastAsia="仿宋"/>
          <w:color w:val="000000"/>
          <w:sz w:val="32"/>
          <w:szCs w:val="32"/>
        </w:rPr>
        <w:t>辆，其他用车主要是用于文物业务用车。单价</w:t>
      </w:r>
      <w:r>
        <w:rPr>
          <w:rFonts w:ascii="仿宋" w:hAnsi="仿宋" w:eastAsia="仿宋"/>
          <w:color w:val="000000"/>
          <w:sz w:val="32"/>
          <w:szCs w:val="32"/>
        </w:rPr>
        <w:t>50</w:t>
      </w:r>
      <w:r>
        <w:rPr>
          <w:rFonts w:hint="eastAsia" w:ascii="仿宋" w:hAnsi="仿宋" w:eastAsia="仿宋"/>
          <w:color w:val="000000"/>
          <w:sz w:val="32"/>
          <w:szCs w:val="32"/>
        </w:rPr>
        <w:t>万元以上通用设备</w:t>
      </w:r>
      <w:r>
        <w:rPr>
          <w:rFonts w:hint="eastAsia" w:ascii="仿宋" w:hAnsi="仿宋" w:eastAsia="仿宋"/>
          <w:color w:val="000000"/>
          <w:sz w:val="32"/>
          <w:szCs w:val="32"/>
          <w:lang w:eastAsia="zh-CN"/>
        </w:rPr>
        <w:t>，</w:t>
      </w:r>
      <w:r>
        <w:rPr>
          <w:rFonts w:ascii="仿宋" w:hAnsi="仿宋" w:eastAsia="仿宋"/>
          <w:color w:val="000000"/>
          <w:sz w:val="32"/>
          <w:szCs w:val="32"/>
        </w:rPr>
        <w:t>0</w:t>
      </w:r>
      <w:r>
        <w:rPr>
          <w:rFonts w:hint="eastAsia" w:ascii="仿宋" w:hAnsi="仿宋" w:eastAsia="仿宋"/>
          <w:color w:val="000000"/>
          <w:sz w:val="32"/>
          <w:szCs w:val="32"/>
        </w:rPr>
        <w:t>台（套），单价</w:t>
      </w:r>
      <w:r>
        <w:rPr>
          <w:rFonts w:ascii="仿宋" w:hAnsi="仿宋" w:eastAsia="仿宋"/>
          <w:color w:val="000000"/>
          <w:sz w:val="32"/>
          <w:szCs w:val="32"/>
        </w:rPr>
        <w:t>100</w:t>
      </w:r>
      <w:r>
        <w:rPr>
          <w:rFonts w:hint="eastAsia" w:ascii="仿宋" w:hAnsi="仿宋" w:eastAsia="仿宋"/>
          <w:color w:val="000000"/>
          <w:sz w:val="32"/>
          <w:szCs w:val="32"/>
        </w:rPr>
        <w:t>万元以上专用设备</w:t>
      </w:r>
      <w:r>
        <w:rPr>
          <w:rFonts w:ascii="仿宋" w:hAnsi="仿宋" w:eastAsia="仿宋"/>
          <w:color w:val="000000"/>
          <w:sz w:val="32"/>
          <w:szCs w:val="32"/>
        </w:rPr>
        <w:t>0</w:t>
      </w:r>
      <w:r>
        <w:rPr>
          <w:rFonts w:hint="eastAsia" w:ascii="仿宋" w:hAnsi="仿宋" w:eastAsia="仿宋"/>
          <w:color w:val="000000"/>
          <w:sz w:val="32"/>
          <w:szCs w:val="32"/>
        </w:rPr>
        <w:t>台（套）。</w:t>
      </w:r>
    </w:p>
    <w:p>
      <w:pPr>
        <w:autoSpaceDE w:val="0"/>
        <w:autoSpaceDN w:val="0"/>
        <w:adjustRightInd w:val="0"/>
        <w:spacing w:line="600" w:lineRule="exact"/>
        <w:ind w:firstLine="642" w:firstLineChars="200"/>
        <w:jc w:val="left"/>
        <w:outlineLvl w:val="2"/>
        <w:rPr>
          <w:rFonts w:hint="eastAsia" w:ascii="仿宋" w:hAnsi="仿宋" w:eastAsia="仿宋"/>
          <w:b/>
          <w:bCs/>
          <w:color w:val="000000"/>
          <w:sz w:val="32"/>
          <w:szCs w:val="32"/>
          <w:lang w:eastAsia="zh-CN"/>
        </w:rPr>
      </w:pPr>
      <w:bookmarkStart w:id="74" w:name="_Toc24397"/>
      <w:r>
        <w:rPr>
          <w:rFonts w:hint="eastAsia" w:ascii="仿宋" w:hAnsi="仿宋" w:eastAsia="仿宋"/>
          <w:b/>
          <w:bCs/>
          <w:color w:val="000000"/>
          <w:sz w:val="32"/>
          <w:szCs w:val="32"/>
        </w:rPr>
        <w:t>（四）预算绩效管理情况</w:t>
      </w:r>
      <w:bookmarkEnd w:id="74"/>
    </w:p>
    <w:p>
      <w:pPr>
        <w:autoSpaceDE w:val="0"/>
        <w:autoSpaceDN w:val="0"/>
        <w:adjustRightInd w:val="0"/>
        <w:spacing w:line="600" w:lineRule="exact"/>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根据预算绩效管理要求，本部门在202</w:t>
      </w:r>
      <w:r>
        <w:rPr>
          <w:rFonts w:ascii="仿宋" w:hAnsi="仿宋" w:eastAsia="仿宋"/>
          <w:color w:val="000000"/>
          <w:sz w:val="32"/>
          <w:szCs w:val="32"/>
          <w:lang w:val="en-US" w:eastAsia="zh-CN"/>
        </w:rPr>
        <w:t>3</w:t>
      </w:r>
      <w:r>
        <w:rPr>
          <w:rFonts w:hint="eastAsia" w:ascii="仿宋" w:hAnsi="仿宋" w:eastAsia="仿宋"/>
          <w:color w:val="000000"/>
          <w:sz w:val="32"/>
          <w:szCs w:val="32"/>
        </w:rPr>
        <w:t>年度预算编制阶段，组织对</w:t>
      </w:r>
      <w:r>
        <w:rPr>
          <w:rFonts w:hint="eastAsia" w:ascii="仿宋" w:hAnsi="仿宋" w:eastAsia="仿宋"/>
          <w:color w:val="000000"/>
          <w:sz w:val="32"/>
          <w:szCs w:val="32"/>
          <w:lang w:val="en-US" w:eastAsia="zh-CN"/>
        </w:rPr>
        <w:t>其他公用经费（福利、工会、公车补贴、党建、退休活动）、定额公用经费（事业）</w:t>
      </w:r>
      <w:r>
        <w:rPr>
          <w:rFonts w:hint="eastAsia" w:ascii="仿宋" w:hAnsi="仿宋" w:eastAsia="仿宋"/>
          <w:color w:val="000000"/>
          <w:sz w:val="32"/>
          <w:szCs w:val="32"/>
          <w:lang w:eastAsia="zh-CN"/>
        </w:rPr>
        <w:t>皇泽寺博物馆</w:t>
      </w:r>
      <w:r>
        <w:rPr>
          <w:rFonts w:hint="eastAsia" w:ascii="仿宋" w:hAnsi="仿宋" w:eastAsia="仿宋"/>
          <w:color w:val="000000"/>
          <w:sz w:val="32"/>
          <w:szCs w:val="32"/>
        </w:rPr>
        <w:t>安防经费、文物保护费、红军文化园运转经费、绿化及卫生费、宣传费、</w:t>
      </w:r>
      <w:r>
        <w:rPr>
          <w:rFonts w:hint="eastAsia" w:ascii="仿宋" w:hAnsi="仿宋" w:eastAsia="仿宋"/>
          <w:color w:val="000000"/>
          <w:sz w:val="32"/>
          <w:szCs w:val="32"/>
          <w:lang w:eastAsia="zh-CN"/>
        </w:rPr>
        <w:t>皇泽寺博物馆乡村振兴</w:t>
      </w:r>
      <w:r>
        <w:rPr>
          <w:rFonts w:hint="eastAsia" w:ascii="仿宋" w:hAnsi="仿宋" w:eastAsia="仿宋"/>
          <w:color w:val="000000"/>
          <w:sz w:val="32"/>
          <w:szCs w:val="32"/>
        </w:rPr>
        <w:t>工作经费</w:t>
      </w:r>
      <w:r>
        <w:rPr>
          <w:rFonts w:hint="eastAsia" w:ascii="仿宋" w:hAnsi="仿宋" w:eastAsia="仿宋"/>
          <w:color w:val="000000"/>
          <w:sz w:val="32"/>
          <w:szCs w:val="32"/>
          <w:lang w:eastAsia="zh-CN"/>
        </w:rPr>
        <w:t>、信息化建设费用</w:t>
      </w:r>
      <w:r>
        <w:rPr>
          <w:rFonts w:hint="eastAsia" w:ascii="仿宋" w:hAnsi="仿宋" w:eastAsia="仿宋"/>
          <w:color w:val="000000"/>
          <w:sz w:val="32"/>
          <w:szCs w:val="32"/>
        </w:rPr>
        <w:t>（项目名称）等</w:t>
      </w:r>
      <w:r>
        <w:rPr>
          <w:rFonts w:ascii="仿宋" w:hAnsi="仿宋" w:eastAsia="仿宋"/>
          <w:color w:val="000000"/>
          <w:sz w:val="32"/>
          <w:szCs w:val="32"/>
          <w:lang w:val="en-US" w:eastAsia="zh-CN"/>
        </w:rPr>
        <w:t>19</w:t>
      </w:r>
      <w:r>
        <w:rPr>
          <w:rFonts w:hint="eastAsia" w:ascii="仿宋" w:hAnsi="仿宋" w:eastAsia="仿宋"/>
          <w:color w:val="000000"/>
          <w:sz w:val="32"/>
          <w:szCs w:val="32"/>
        </w:rPr>
        <w:t>个项目开展了预算事前绩效评估，对</w:t>
      </w:r>
      <w:r>
        <w:rPr>
          <w:rFonts w:ascii="仿宋" w:hAnsi="仿宋" w:eastAsia="仿宋"/>
          <w:color w:val="000000"/>
          <w:sz w:val="32"/>
          <w:szCs w:val="32"/>
          <w:lang w:val="en-US" w:eastAsia="zh-CN"/>
        </w:rPr>
        <w:t>19</w:t>
      </w:r>
      <w:r>
        <w:rPr>
          <w:rFonts w:hint="eastAsia" w:ascii="仿宋" w:hAnsi="仿宋" w:eastAsia="仿宋"/>
          <w:color w:val="000000"/>
          <w:sz w:val="32"/>
          <w:szCs w:val="32"/>
        </w:rPr>
        <w:t>个项目编制了绩效目标，预算执行过程中，选取</w:t>
      </w:r>
      <w:r>
        <w:rPr>
          <w:rFonts w:ascii="仿宋" w:hAnsi="仿宋" w:eastAsia="仿宋"/>
          <w:color w:val="000000"/>
          <w:sz w:val="32"/>
          <w:szCs w:val="32"/>
          <w:lang w:val="en-US" w:eastAsia="zh-CN"/>
        </w:rPr>
        <w:t>19</w:t>
      </w:r>
      <w:r>
        <w:rPr>
          <w:rFonts w:hint="eastAsia" w:ascii="仿宋" w:hAnsi="仿宋" w:eastAsia="仿宋"/>
          <w:color w:val="000000"/>
          <w:sz w:val="32"/>
          <w:szCs w:val="32"/>
        </w:rPr>
        <w:t>个项目开展绩效监控，年终执行完毕后，对</w:t>
      </w:r>
      <w:r>
        <w:rPr>
          <w:rFonts w:ascii="仿宋" w:hAnsi="仿宋" w:eastAsia="仿宋"/>
          <w:color w:val="000000"/>
          <w:sz w:val="32"/>
          <w:szCs w:val="32"/>
          <w:lang w:val="en-US" w:eastAsia="zh-CN"/>
        </w:rPr>
        <w:t>19</w:t>
      </w:r>
      <w:r>
        <w:rPr>
          <w:rFonts w:hint="eastAsia" w:ascii="仿宋" w:hAnsi="仿宋" w:eastAsia="仿宋"/>
          <w:color w:val="000000"/>
          <w:sz w:val="32"/>
          <w:szCs w:val="32"/>
        </w:rPr>
        <w:t>个项目开展了绩效自评。</w:t>
      </w:r>
      <w:r>
        <w:rPr>
          <w:rFonts w:ascii="仿宋" w:hAnsi="仿宋" w:eastAsia="仿宋"/>
          <w:color w:val="000000"/>
          <w:sz w:val="32"/>
          <w:szCs w:val="32"/>
        </w:rPr>
        <w:t>部门预算项目绩效自评表</w:t>
      </w:r>
      <w:r>
        <w:rPr>
          <w:rFonts w:hint="eastAsia" w:ascii="仿宋" w:hAnsi="仿宋" w:eastAsia="仿宋"/>
          <w:color w:val="000000"/>
          <w:sz w:val="32"/>
          <w:szCs w:val="32"/>
        </w:rPr>
        <w:t>见附件（第四部分）。</w:t>
      </w:r>
    </w:p>
    <w:p>
      <w:pPr>
        <w:autoSpaceDE w:val="0"/>
        <w:autoSpaceDN w:val="0"/>
        <w:adjustRightInd w:val="0"/>
        <w:spacing w:line="600" w:lineRule="exact"/>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br w:type="page"/>
      </w:r>
    </w:p>
    <w:p>
      <w:pPr>
        <w:numPr>
          <w:ilvl w:val="0"/>
          <w:numId w:val="5"/>
        </w:numPr>
        <w:spacing w:line="600" w:lineRule="exact"/>
        <w:ind w:left="0" w:firstLine="660" w:firstLineChars="150"/>
        <w:jc w:val="center"/>
        <w:outlineLvl w:val="0"/>
        <w:rPr>
          <w:rStyle w:val="16"/>
          <w:rFonts w:ascii="黑体" w:hAnsi="黑体" w:eastAsia="黑体"/>
          <w:b w:val="0"/>
          <w:color w:val="auto"/>
          <w:highlight w:val="none"/>
        </w:rPr>
      </w:pPr>
      <w:bookmarkStart w:id="75" w:name="_Toc15377225"/>
      <w:bookmarkStart w:id="76" w:name="_Toc15396613"/>
      <w:bookmarkStart w:id="77" w:name="_Toc17609"/>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75"/>
      <w:bookmarkEnd w:id="76"/>
      <w:bookmarkEnd w:id="77"/>
    </w:p>
    <w:p>
      <w:pPr>
        <w:spacing w:line="600" w:lineRule="exact"/>
        <w:jc w:val="left"/>
        <w:rPr>
          <w:rFonts w:ascii="宋体"/>
          <w:b/>
          <w:color w:val="000000"/>
          <w:sz w:val="44"/>
          <w:szCs w:val="44"/>
        </w:rPr>
      </w:pPr>
    </w:p>
    <w:p>
      <w:pPr>
        <w:pStyle w:val="21"/>
        <w:numPr>
          <w:ilvl w:val="0"/>
          <w:numId w:val="6"/>
        </w:numPr>
        <w:spacing w:line="560" w:lineRule="exact"/>
        <w:ind w:left="0" w:firstLine="400"/>
        <w:rPr>
          <w:rFonts w:hAnsi="仿宋"/>
          <w:color w:val="auto"/>
          <w:sz w:val="32"/>
          <w:szCs w:val="32"/>
        </w:rPr>
      </w:pPr>
      <w:r>
        <w:rPr>
          <w:rFonts w:hint="eastAsia" w:hAnsi="仿宋"/>
          <w:color w:val="auto"/>
          <w:sz w:val="32"/>
          <w:szCs w:val="32"/>
        </w:rPr>
        <w:t>财政拨款收入：指单位从同级财政部门取得的财政预算资金。</w:t>
      </w:r>
    </w:p>
    <w:p>
      <w:pPr>
        <w:pStyle w:val="21"/>
        <w:numPr>
          <w:ilvl w:val="0"/>
          <w:numId w:val="6"/>
        </w:numPr>
        <w:spacing w:line="560" w:lineRule="exact"/>
        <w:ind w:left="0" w:firstLine="400"/>
        <w:rPr>
          <w:rFonts w:hAnsi="仿宋"/>
          <w:color w:val="auto"/>
          <w:sz w:val="32"/>
          <w:szCs w:val="32"/>
        </w:rPr>
      </w:pPr>
      <w:r>
        <w:rPr>
          <w:rFonts w:hint="eastAsia" w:hAnsi="仿宋"/>
          <w:color w:val="auto"/>
          <w:sz w:val="32"/>
          <w:szCs w:val="32"/>
        </w:rPr>
        <w:t>年初结转和结余：指以前年度尚未完成、结转到本年按有关规定继续使用的资金。</w:t>
      </w:r>
    </w:p>
    <w:p>
      <w:pPr>
        <w:pStyle w:val="21"/>
        <w:numPr>
          <w:ilvl w:val="0"/>
          <w:numId w:val="6"/>
        </w:numPr>
        <w:spacing w:line="560" w:lineRule="exact"/>
        <w:ind w:left="0" w:firstLine="400"/>
        <w:rPr>
          <w:rFonts w:hAnsi="仿宋"/>
          <w:color w:val="auto"/>
          <w:sz w:val="32"/>
          <w:szCs w:val="32"/>
        </w:rPr>
      </w:pPr>
      <w:r>
        <w:rPr>
          <w:rFonts w:hint="eastAsia" w:hAnsi="仿宋"/>
          <w:color w:val="auto"/>
          <w:sz w:val="32"/>
          <w:szCs w:val="32"/>
        </w:rPr>
        <w:t>年末结转和结余：指单位按有关规定结转到下年或以后年度继续使用的资金。</w:t>
      </w:r>
    </w:p>
    <w:p>
      <w:pPr>
        <w:numPr>
          <w:ilvl w:val="0"/>
          <w:numId w:val="6"/>
        </w:numPr>
        <w:ind w:left="0" w:firstLine="400"/>
        <w:rPr>
          <w:rFonts w:ascii="仿宋" w:hAnsi="仿宋" w:eastAsia="仿宋" w:cs="仿宋"/>
          <w:kern w:val="0"/>
          <w:sz w:val="32"/>
          <w:szCs w:val="32"/>
        </w:rPr>
      </w:pPr>
      <w:r>
        <w:rPr>
          <w:rFonts w:hint="eastAsia" w:ascii="仿宋" w:hAnsi="仿宋" w:eastAsia="仿宋" w:cs="仿宋"/>
          <w:kern w:val="0"/>
          <w:sz w:val="32"/>
          <w:szCs w:val="32"/>
        </w:rPr>
        <w:t>文化体育与传媒（类）文化和旅游（款）其他文化和旅游支出（项）：反映除上述项目以外其他用于文化和旅游方面的支出。</w:t>
      </w:r>
    </w:p>
    <w:p>
      <w:pPr>
        <w:pStyle w:val="2"/>
        <w:numPr>
          <w:ilvl w:val="0"/>
          <w:numId w:val="6"/>
        </w:numPr>
        <w:spacing w:before="93" w:beforeLines="0"/>
        <w:ind w:left="0" w:firstLine="400"/>
        <w:rPr>
          <w:color w:val="000000"/>
          <w:sz w:val="32"/>
          <w:szCs w:val="32"/>
        </w:rPr>
      </w:pPr>
      <w:r>
        <w:rPr>
          <w:rFonts w:hint="eastAsia" w:ascii="仿宋" w:hAnsi="仿宋" w:eastAsia="仿宋" w:cs="仿宋"/>
          <w:sz w:val="32"/>
          <w:szCs w:val="32"/>
        </w:rPr>
        <w:t>文化旅游体育与传媒支出（类）文物（款）博物馆（项）支出：反映文物系统及其他部门所属博物馆、纪念馆（室）的支出。</w:t>
      </w:r>
    </w:p>
    <w:p>
      <w:pPr>
        <w:pStyle w:val="2"/>
        <w:numPr>
          <w:ilvl w:val="0"/>
          <w:numId w:val="6"/>
        </w:numPr>
        <w:spacing w:before="93" w:beforeLines="0"/>
        <w:ind w:left="0" w:firstLine="400"/>
        <w:rPr>
          <w:rFonts w:ascii="仿宋" w:hAnsi="仿宋" w:eastAsia="仿宋" w:cs="仿宋"/>
          <w:sz w:val="32"/>
          <w:szCs w:val="32"/>
        </w:rPr>
      </w:pPr>
      <w:r>
        <w:rPr>
          <w:rFonts w:hint="eastAsia" w:ascii="仿宋" w:hAnsi="仿宋" w:eastAsia="仿宋" w:cs="仿宋"/>
          <w:sz w:val="32"/>
          <w:szCs w:val="32"/>
        </w:rPr>
        <w:t>社会保障和就业支出（类）行政事业单位养老支出（款）机关事业单位基本养老保险缴费支出（项）</w:t>
      </w:r>
      <w:r>
        <w:rPr>
          <w:rFonts w:hint="eastAsia" w:ascii="仿宋" w:hAnsi="仿宋" w:eastAsia="仿宋" w:cs="仿宋"/>
          <w:sz w:val="32"/>
          <w:szCs w:val="32"/>
          <w:lang w:eastAsia="zh-CN"/>
        </w:rPr>
        <w:t>：</w:t>
      </w:r>
      <w:r>
        <w:rPr>
          <w:rFonts w:hint="eastAsia" w:ascii="仿宋" w:hAnsi="仿宋" w:eastAsia="仿宋" w:cs="仿宋"/>
          <w:sz w:val="32"/>
          <w:szCs w:val="32"/>
        </w:rPr>
        <w:t>反映机关事业单位实施养老保险制度由单位缴纳的基本养老保险支出。</w:t>
      </w:r>
    </w:p>
    <w:p>
      <w:pPr>
        <w:pStyle w:val="2"/>
        <w:numPr>
          <w:ilvl w:val="0"/>
          <w:numId w:val="6"/>
        </w:numPr>
        <w:spacing w:before="93" w:beforeLines="0"/>
        <w:ind w:left="0" w:firstLine="400"/>
        <w:rPr>
          <w:rFonts w:ascii="仿宋" w:hAnsi="仿宋" w:eastAsia="仿宋" w:cs="仿宋"/>
          <w:sz w:val="32"/>
          <w:szCs w:val="32"/>
        </w:rPr>
      </w:pPr>
      <w:r>
        <w:rPr>
          <w:rFonts w:hint="eastAsia" w:ascii="仿宋" w:hAnsi="仿宋" w:eastAsia="仿宋" w:cs="仿宋"/>
          <w:sz w:val="32"/>
          <w:szCs w:val="32"/>
        </w:rPr>
        <w:t>社会保障和就业支出（类）行政事业单位养老支出（款）机关事业单位职业年金缴费支出（项）</w:t>
      </w:r>
      <w:r>
        <w:rPr>
          <w:rFonts w:hint="eastAsia" w:ascii="仿宋" w:hAnsi="仿宋" w:eastAsia="仿宋" w:cs="仿宋"/>
          <w:sz w:val="32"/>
          <w:szCs w:val="32"/>
          <w:lang w:eastAsia="zh-CN"/>
        </w:rPr>
        <w:t>：</w:t>
      </w:r>
      <w:r>
        <w:rPr>
          <w:rFonts w:hint="eastAsia" w:ascii="仿宋" w:hAnsi="仿宋" w:eastAsia="仿宋" w:cs="仿宋"/>
          <w:sz w:val="32"/>
          <w:szCs w:val="32"/>
        </w:rPr>
        <w:t>反映机关事业单位实施养老保险制度由单位实际缴纳的职业年金支出。</w:t>
      </w:r>
    </w:p>
    <w:p>
      <w:pPr>
        <w:numPr>
          <w:ilvl w:val="0"/>
          <w:numId w:val="6"/>
        </w:numPr>
        <w:ind w:left="0" w:firstLine="400"/>
        <w:rPr>
          <w:rFonts w:ascii="??_GB2312" w:hAnsi="??_GB2312" w:eastAsia="Times New Roman"/>
          <w:color w:val="000000"/>
          <w:sz w:val="32"/>
          <w:szCs w:val="32"/>
        </w:rPr>
      </w:pPr>
      <w:r>
        <w:rPr>
          <w:rFonts w:hint="eastAsia" w:ascii="仿宋" w:hAnsi="仿宋" w:eastAsia="仿宋" w:cs="仿宋"/>
          <w:sz w:val="32"/>
          <w:szCs w:val="32"/>
        </w:rPr>
        <w:t>卫生健康支出（类）行政事业单位医疗（款）事业单位医疗（项）</w:t>
      </w:r>
      <w:r>
        <w:rPr>
          <w:rFonts w:hint="eastAsia" w:ascii="仿宋" w:hAnsi="仿宋" w:eastAsia="仿宋" w:cs="仿宋"/>
          <w:sz w:val="32"/>
          <w:szCs w:val="32"/>
          <w:lang w:eastAsia="zh-CN"/>
        </w:rPr>
        <w:t>：</w:t>
      </w:r>
      <w:r>
        <w:rPr>
          <w:rFonts w:hint="eastAsia" w:ascii="仿宋" w:hAnsi="仿宋" w:eastAsia="仿宋" w:cs="仿宋"/>
          <w:sz w:val="32"/>
          <w:szCs w:val="32"/>
        </w:rPr>
        <w:t>反映财政部门安排的事业单位基本医疗保险缴费经费，未参加医疗保险的事业单位的公费医疗经费</w:t>
      </w:r>
      <w:r>
        <w:rPr>
          <w:rFonts w:hint="eastAsia" w:ascii="仿宋" w:hAnsi="仿宋" w:eastAsia="仿宋" w:cs="仿宋"/>
          <w:sz w:val="32"/>
          <w:szCs w:val="32"/>
          <w:lang w:eastAsia="zh-CN"/>
        </w:rPr>
        <w:t>，</w:t>
      </w:r>
      <w:r>
        <w:rPr>
          <w:rFonts w:hint="eastAsia" w:ascii="仿宋" w:hAnsi="仿宋" w:eastAsia="仿宋" w:cs="仿宋"/>
          <w:sz w:val="32"/>
          <w:szCs w:val="32"/>
        </w:rPr>
        <w:t>按国家规定享受离休人员</w:t>
      </w:r>
      <w:r>
        <w:rPr>
          <w:rFonts w:hint="eastAsia" w:ascii="仿宋" w:hAnsi="仿宋" w:eastAsia="仿宋" w:cs="仿宋"/>
          <w:sz w:val="32"/>
          <w:szCs w:val="32"/>
          <w:lang w:eastAsia="zh-CN"/>
        </w:rPr>
        <w:t>待遇</w:t>
      </w:r>
      <w:r>
        <w:rPr>
          <w:rFonts w:hint="eastAsia" w:ascii="仿宋" w:hAnsi="仿宋" w:eastAsia="仿宋" w:cs="仿宋"/>
          <w:sz w:val="32"/>
          <w:szCs w:val="32"/>
        </w:rPr>
        <w:t>的医疗经费。</w:t>
      </w:r>
    </w:p>
    <w:p>
      <w:pPr>
        <w:numPr>
          <w:ilvl w:val="0"/>
          <w:numId w:val="6"/>
        </w:numPr>
        <w:ind w:left="0" w:firstLine="400"/>
        <w:rPr>
          <w:rFonts w:ascii="仿宋" w:hAnsi="仿宋" w:eastAsia="仿宋" w:cs="仿宋"/>
          <w:sz w:val="32"/>
          <w:szCs w:val="32"/>
        </w:rPr>
      </w:pPr>
      <w:r>
        <w:rPr>
          <w:rFonts w:hint="eastAsia" w:ascii="仿宋" w:hAnsi="仿宋" w:eastAsia="仿宋" w:cs="仿宋"/>
          <w:sz w:val="32"/>
          <w:szCs w:val="32"/>
        </w:rPr>
        <w:t>住房保障支出（类）住房改革支出（款）住房公积金（项）</w:t>
      </w:r>
      <w:r>
        <w:rPr>
          <w:rFonts w:hint="eastAsia" w:ascii="仿宋" w:hAnsi="仿宋" w:eastAsia="仿宋" w:cs="仿宋"/>
          <w:sz w:val="32"/>
          <w:szCs w:val="32"/>
          <w:lang w:eastAsia="zh-CN"/>
        </w:rPr>
        <w:t>：</w:t>
      </w:r>
      <w:r>
        <w:rPr>
          <w:rFonts w:hint="eastAsia" w:ascii="仿宋" w:hAnsi="仿宋" w:eastAsia="仿宋" w:cs="仿宋"/>
          <w:sz w:val="32"/>
          <w:szCs w:val="32"/>
        </w:rPr>
        <w:t>反映行政事业单位按人力资源和社会保障部、财政部规定的基本工资和津贴补贴以及规定比例为职工缴纳的住房公积金。</w:t>
      </w:r>
    </w:p>
    <w:p>
      <w:pPr>
        <w:pStyle w:val="2"/>
        <w:numPr>
          <w:ilvl w:val="0"/>
          <w:numId w:val="6"/>
        </w:numPr>
        <w:spacing w:before="93" w:beforeLines="0"/>
        <w:ind w:left="0" w:firstLine="400"/>
        <w:rPr>
          <w:rFonts w:ascii="仿宋" w:hAnsi="仿宋" w:eastAsia="仿宋" w:cs="仿宋"/>
          <w:sz w:val="32"/>
          <w:szCs w:val="32"/>
        </w:rPr>
      </w:pPr>
      <w:r>
        <w:rPr>
          <w:rFonts w:hint="eastAsia" w:ascii="仿宋" w:hAnsi="仿宋" w:eastAsia="仿宋" w:cs="仿宋"/>
          <w:sz w:val="32"/>
          <w:szCs w:val="32"/>
        </w:rPr>
        <w:t>基本支出：指为保障机构正常运转、完成日常工作任务而发生的人员支出和公用支出。</w:t>
      </w:r>
    </w:p>
    <w:p>
      <w:pPr>
        <w:pStyle w:val="2"/>
        <w:numPr>
          <w:ilvl w:val="0"/>
          <w:numId w:val="6"/>
        </w:numPr>
        <w:spacing w:before="93" w:beforeLines="0"/>
        <w:ind w:left="0" w:firstLine="400"/>
        <w:rPr>
          <w:rFonts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pStyle w:val="2"/>
        <w:numPr>
          <w:ilvl w:val="0"/>
          <w:numId w:val="6"/>
        </w:numPr>
        <w:spacing w:before="93" w:beforeLines="0"/>
        <w:ind w:left="0" w:firstLine="400"/>
        <w:rPr>
          <w:sz w:val="32"/>
          <w:szCs w:val="32"/>
        </w:rPr>
      </w:pPr>
      <w:r>
        <w:rPr>
          <w:rFonts w:hint="eastAsia" w:ascii="仿宋" w:hAnsi="仿宋" w:eastAsia="仿宋" w:cs="仿宋"/>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1"/>
        <w:spacing w:line="560" w:lineRule="exact"/>
        <w:ind w:firstLine="640" w:firstLineChars="200"/>
        <w:rPr>
          <w:rFonts w:ascii="??_GB2312" w:hAnsi="??_GB2312" w:eastAsia="Times New Roman" w:cs="黑体"/>
          <w:sz w:val="32"/>
          <w:szCs w:val="32"/>
        </w:rPr>
      </w:pPr>
    </w:p>
    <w:p>
      <w:pPr>
        <w:spacing w:line="600" w:lineRule="exact"/>
        <w:jc w:val="center"/>
        <w:outlineLvl w:val="0"/>
        <w:rPr>
          <w:rFonts w:ascii="仿宋_GB2312" w:hAnsi="仿宋_GB2312" w:eastAsia="仿宋_GB2312" w:cs="仿宋_GB2312"/>
          <w:color w:val="auto"/>
          <w:sz w:val="32"/>
          <w:szCs w:val="32"/>
          <w:highlight w:val="none"/>
        </w:rPr>
      </w:pPr>
      <w:r>
        <w:rPr>
          <w:rFonts w:ascii="宋体"/>
          <w:b/>
          <w:color w:val="000000"/>
          <w:sz w:val="44"/>
          <w:szCs w:val="44"/>
        </w:rPr>
        <w:br w:type="page"/>
      </w:r>
      <w:bookmarkStart w:id="78" w:name="_Toc15377226"/>
    </w:p>
    <w:p>
      <w:pPr>
        <w:numPr>
          <w:ilvl w:val="0"/>
          <w:numId w:val="5"/>
        </w:numPr>
        <w:spacing w:line="600" w:lineRule="exact"/>
        <w:ind w:left="0" w:firstLine="660" w:firstLineChars="150"/>
        <w:jc w:val="center"/>
        <w:outlineLvl w:val="0"/>
        <w:rPr>
          <w:rStyle w:val="16"/>
          <w:rFonts w:hint="eastAsia" w:ascii="黑体" w:hAnsi="黑体" w:eastAsia="黑体"/>
          <w:b w:val="0"/>
          <w:color w:val="000000"/>
        </w:rPr>
      </w:pPr>
      <w:bookmarkStart w:id="79" w:name="_Toc20681"/>
      <w:bookmarkStart w:id="80" w:name="_Toc15396618"/>
      <w:r>
        <w:rPr>
          <w:rStyle w:val="16"/>
          <w:rFonts w:hint="eastAsia" w:ascii="黑体" w:hAnsi="黑体" w:eastAsia="黑体"/>
          <w:b w:val="0"/>
          <w:color w:val="000000"/>
        </w:rPr>
        <w:t>附件</w:t>
      </w:r>
      <w:bookmarkEnd w:id="79"/>
    </w:p>
    <w:p>
      <w:pPr>
        <w:pStyle w:val="2"/>
      </w:pPr>
    </w:p>
    <w:tbl>
      <w:tblPr>
        <w:tblStyle w:val="12"/>
        <w:tblW w:w="10934" w:type="dxa"/>
        <w:tblInd w:w="-12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0"/>
        <w:gridCol w:w="1155"/>
        <w:gridCol w:w="992"/>
        <w:gridCol w:w="1678"/>
        <w:gridCol w:w="691"/>
        <w:gridCol w:w="1050"/>
        <w:gridCol w:w="600"/>
        <w:gridCol w:w="870"/>
        <w:gridCol w:w="585"/>
        <w:gridCol w:w="525"/>
        <w:gridCol w:w="20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0934"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193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8999"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51080021T000000053194-文物保护费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93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5011"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3118"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15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5011"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988"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011"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　洪涝、地质、大风天气所造成的景区基础设施受损，及时处置影响文物的安全隐患</w:t>
            </w:r>
          </w:p>
        </w:tc>
        <w:tc>
          <w:tcPr>
            <w:tcW w:w="3988"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　洪涝、地质、大风天气所造成的景区基础设施受损，及时处置影响文物的安全隐患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8999"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　洪涝、地质、大风天气所造成的景区基础设施受损，及时处置影响文物的安全隐患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234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200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3.82</w:t>
            </w: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3.82</w:t>
            </w:r>
          </w:p>
        </w:tc>
        <w:tc>
          <w:tcPr>
            <w:tcW w:w="234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3.82</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2008"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3.82</w:t>
            </w: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3.82</w:t>
            </w:r>
          </w:p>
        </w:tc>
        <w:tc>
          <w:tcPr>
            <w:tcW w:w="234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3.82</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34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34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234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9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10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200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质量指标</w:t>
            </w: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实施紧急排危</w:t>
            </w:r>
          </w:p>
        </w:tc>
        <w:tc>
          <w:tcPr>
            <w:tcW w:w="69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10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好</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50</w:t>
            </w:r>
          </w:p>
        </w:tc>
        <w:tc>
          <w:tcPr>
            <w:tcW w:w="200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可持续影响指标</w:t>
            </w: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排除文物安全隐患，延长文物保存寿命</w:t>
            </w:r>
          </w:p>
        </w:tc>
        <w:tc>
          <w:tcPr>
            <w:tcW w:w="69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10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符合</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200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满意度指标</w:t>
            </w:r>
          </w:p>
        </w:tc>
        <w:tc>
          <w:tcPr>
            <w:tcW w:w="992"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满意度指标</w:t>
            </w:r>
          </w:p>
        </w:tc>
        <w:tc>
          <w:tcPr>
            <w:tcW w:w="167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观众更好参观文物</w:t>
            </w:r>
          </w:p>
        </w:tc>
        <w:tc>
          <w:tcPr>
            <w:tcW w:w="69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0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2008"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816"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pPr>
            <w:r>
              <w:rPr>
                <w:rFonts w:ascii="宋体" w:eastAsia="宋体" w:cs="Arial"/>
                <w:color w:val="000000"/>
                <w:sz w:val="18"/>
              </w:rPr>
              <w:t>100</w:t>
            </w:r>
          </w:p>
        </w:tc>
        <w:tc>
          <w:tcPr>
            <w:tcW w:w="2008"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1015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aps w:val="0"/>
                <w:smallCaps w:val="0"/>
                <w:strike w:val="0"/>
                <w:dstrike w:val="0"/>
                <w:color w:val="000000"/>
                <w:sz w:val="16"/>
                <w:u w:val="none"/>
                <w:vertAlign w:val="baseline"/>
              </w:rPr>
              <w:t>结合自评情况，说明项目自评总分100。</w:t>
            </w:r>
            <w:r>
              <w:rPr>
                <w:rFonts w:hint="eastAsia" w:ascii="微软雅黑" w:hAnsi="微软雅黑" w:eastAsia="微软雅黑" w:cs="微软雅黑"/>
                <w:color w:val="000000"/>
                <w:kern w:val="0"/>
                <w:sz w:val="16"/>
                <w:szCs w:val="16"/>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1015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center"/>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1015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center"/>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296"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项目负责人：杨栋</w:t>
            </w:r>
          </w:p>
        </w:tc>
        <w:tc>
          <w:tcPr>
            <w:tcW w:w="5638"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tbl>
      <w:tblPr>
        <w:tblStyle w:val="12"/>
        <w:tblW w:w="10623" w:type="dxa"/>
        <w:tblInd w:w="-11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0"/>
        <w:gridCol w:w="449"/>
        <w:gridCol w:w="571"/>
        <w:gridCol w:w="936"/>
        <w:gridCol w:w="8"/>
        <w:gridCol w:w="974"/>
        <w:gridCol w:w="1336"/>
        <w:gridCol w:w="585"/>
        <w:gridCol w:w="133"/>
        <w:gridCol w:w="482"/>
        <w:gridCol w:w="103"/>
        <w:gridCol w:w="527"/>
        <w:gridCol w:w="430"/>
        <w:gridCol w:w="404"/>
        <w:gridCol w:w="172"/>
        <w:gridCol w:w="690"/>
        <w:gridCol w:w="262"/>
        <w:gridCol w:w="278"/>
        <w:gridCol w:w="232"/>
        <w:gridCol w:w="676"/>
        <w:gridCol w:w="467"/>
        <w:gridCol w:w="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0623" w:type="dxa"/>
            <w:gridSpan w:val="2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653"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971" w:type="dxa"/>
            <w:gridSpan w:val="17"/>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51080021T000000053215-绿化及卫生费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2653"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97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1124" w:type="dxa"/>
            <w:gridSpan w:val="3"/>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1872"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1139"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14" w:type="dxa"/>
            <w:gridSpan w:val="3"/>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97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2996"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3"/>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97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根据《中共广元市委机构编制委员会办公室关于旅游服务中心等事业单位更名及职责界定有关事项的通知》，（广编办发[2020]49号）文件精神。皇泽寺景区卫生日常养护费用、绿化养护费用。</w:t>
            </w:r>
          </w:p>
        </w:tc>
        <w:tc>
          <w:tcPr>
            <w:tcW w:w="2996"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。皇泽寺景区卫生日常养护费用、绿化养护费用。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971" w:type="dxa"/>
            <w:gridSpan w:val="17"/>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皇泽寺景区卫生日常养护费用、绿化养护费用。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1139"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946"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687"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53.00</w:t>
            </w: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53.00</w:t>
            </w:r>
          </w:p>
        </w:tc>
        <w:tc>
          <w:tcPr>
            <w:tcW w:w="1946"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53.00</w:t>
            </w: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687"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53.00</w:t>
            </w: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53.00</w:t>
            </w:r>
          </w:p>
        </w:tc>
        <w:tc>
          <w:tcPr>
            <w:tcW w:w="1946"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53.00</w:t>
            </w: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293" w:type="dxa"/>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946"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293" w:type="dxa"/>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946"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293" w:type="dxa"/>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946"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293" w:type="dxa"/>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1139"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958"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40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687"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皇泽寺景区卫生日常养护费用</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958"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12.31</w:t>
            </w:r>
          </w:p>
        </w:tc>
        <w:tc>
          <w:tcPr>
            <w:tcW w:w="40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w:t>
            </w: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12.31</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50</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50</w:t>
            </w:r>
          </w:p>
        </w:tc>
        <w:tc>
          <w:tcPr>
            <w:tcW w:w="687"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生态效益指标</w:t>
            </w: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保证景区绿化覆盖率达到60%,环境卫生良好</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958"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40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60</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687"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1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满意度指标</w:t>
            </w:r>
          </w:p>
        </w:tc>
        <w:tc>
          <w:tcPr>
            <w:tcW w:w="97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服务对象满意度指标</w:t>
            </w:r>
          </w:p>
        </w:tc>
        <w:tc>
          <w:tcPr>
            <w:tcW w:w="205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游客针对绿化方面满意度达到90%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958"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90</w:t>
            </w:r>
          </w:p>
        </w:tc>
        <w:tc>
          <w:tcPr>
            <w:tcW w:w="404"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12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90</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687"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751" w:type="dxa"/>
            <w:gridSpan w:val="17"/>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0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right"/>
            </w:pPr>
            <w:r>
              <w:rPr>
                <w:rFonts w:ascii="宋体" w:eastAsia="宋体" w:cs="Arial"/>
                <w:color w:val="000000"/>
                <w:sz w:val="18"/>
              </w:rPr>
              <w:t>100</w:t>
            </w:r>
          </w:p>
        </w:tc>
        <w:tc>
          <w:tcPr>
            <w:tcW w:w="687"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3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484"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hint="eastAsia" w:ascii="微软雅黑" w:hAnsi="微软雅黑" w:eastAsia="微软雅黑" w:cs="微软雅黑"/>
                <w:color w:val="000000"/>
                <w:sz w:val="16"/>
                <w:szCs w:val="16"/>
                <w:lang w:eastAsia="zh-CN"/>
              </w:rPr>
            </w:pPr>
            <w:r>
              <w:rPr>
                <w:rFonts w:hint="eastAsia" w:ascii="微软雅黑" w:hAnsi="微软雅黑" w:eastAsia="微软雅黑" w:cs="微软雅黑"/>
                <w:color w:val="000000"/>
                <w:kern w:val="0"/>
                <w:sz w:val="16"/>
                <w:szCs w:val="16"/>
              </w:rPr>
              <w:t>结合自评情况，项目自评总分</w:t>
            </w:r>
            <w:r>
              <w:rPr>
                <w:rFonts w:ascii="微软雅黑" w:hAnsi="微软雅黑" w:eastAsia="微软雅黑" w:cs="微软雅黑"/>
                <w:color w:val="000000"/>
                <w:kern w:val="0"/>
                <w:sz w:val="16"/>
                <w:szCs w:val="16"/>
                <w:lang w:val="en-US" w:eastAsia="zh-CN"/>
              </w:rPr>
              <w:t>100</w:t>
            </w:r>
            <w:r>
              <w:rPr>
                <w:rFonts w:hint="eastAsia" w:ascii="微软雅黑" w:hAnsi="微软雅黑" w:eastAsia="微软雅黑" w:cs="微软雅黑"/>
                <w:color w:val="000000"/>
                <w:kern w:val="0"/>
                <w:sz w:val="16"/>
                <w:szCs w:val="16"/>
              </w:rPr>
              <w:t>分，严格按照绩效管理办法执行，确保博物馆开放工作有序进行，为观众提供优质服务，推动博物馆事业发展，不断满足人民群众对文化的需求，不断传承广元悠久历史文化。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113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484"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1139"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484"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加强绩效管理，提高绩效管理水平，进一步规范绩效目标编制。一是组织预算绩效管理相关培训，提高人员绩效管理水平。二是对项目绩效目标和指标目标设置的科学性、合理性和规范性。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266"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项目负责人：陈洁</w:t>
            </w:r>
          </w:p>
        </w:tc>
        <w:tc>
          <w:tcPr>
            <w:tcW w:w="4358"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899" w:hRule="atLeast"/>
        </w:trPr>
        <w:tc>
          <w:tcPr>
            <w:tcW w:w="10403" w:type="dxa"/>
            <w:gridSpan w:val="2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284" w:hRule="atLeast"/>
        </w:trPr>
        <w:tc>
          <w:tcPr>
            <w:tcW w:w="171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8694" w:type="dxa"/>
            <w:gridSpan w:val="1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51080021T000000053220-宣传费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509" w:hRule="atLeast"/>
        </w:trPr>
        <w:tc>
          <w:tcPr>
            <w:tcW w:w="171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5083"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1007" w:type="dxa"/>
            <w:gridSpan w:val="3"/>
            <w:tcBorders>
              <w:top w:val="nil"/>
              <w:left w:val="nil"/>
              <w:bottom w:val="nil"/>
              <w:right w:val="nil"/>
              <w:tl2br w:val="nil"/>
              <w:tr2bl w:val="nil"/>
            </w:tcBorders>
            <w:noWrap/>
            <w:vAlign w:val="center"/>
          </w:tcPr>
          <w:p>
            <w:pPr>
              <w:jc w:val="center"/>
            </w:pPr>
            <w:r>
              <w:rPr>
                <w:rFonts w:ascii="黑体" w:hAnsi="黑体" w:eastAsia="黑体" w:cs="Arial"/>
                <w:color w:val="000000"/>
                <w:sz w:val="18"/>
              </w:rPr>
              <w:t xml:space="preserve">实施单位 </w:t>
            </w:r>
          </w:p>
        </w:tc>
        <w:tc>
          <w:tcPr>
            <w:tcW w:w="2604"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284" w:hRule="atLeast"/>
        </w:trPr>
        <w:tc>
          <w:tcPr>
            <w:tcW w:w="69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020"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5083"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611"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89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5083"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b w:val="0"/>
                <w:i w:val="0"/>
                <w:caps w:val="0"/>
                <w:smallCaps w:val="0"/>
                <w:strike w:val="0"/>
                <w:dstrike w:val="0"/>
                <w:color w:val="000000"/>
                <w:sz w:val="18"/>
                <w:u w:val="none"/>
                <w:vertAlign w:val="baseline"/>
              </w:rPr>
              <w:t xml:space="preserve"> 提升景区宣传册、宣传折页等日常宣传资料、宣传资料耗材等费用； 新媒体宣传媒介等传统媒介宣传推广费用；                          </w:t>
            </w:r>
          </w:p>
        </w:tc>
        <w:tc>
          <w:tcPr>
            <w:tcW w:w="3611"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 xml:space="preserve">提升景区宣传册、宣传折页等日常宣传资料、宣传资料耗材等费用；传媒介等传统媒介宣传推广费用；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8694" w:type="dxa"/>
            <w:gridSpan w:val="1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 xml:space="preserve">提升景区宣传册、宣传折页等日常宣传资料、宣传资料耗材等费用； 传统媒介宣传推广费用。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359" w:hRule="atLeast"/>
        </w:trPr>
        <w:tc>
          <w:tcPr>
            <w:tcW w:w="69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93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7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93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34.00</w:t>
            </w: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34.00</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34.00</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74" w:type="dxa"/>
            <w:gridSpan w:val="3"/>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93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34.00</w:t>
            </w: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34.00</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34.00</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gridSpan w:val="3"/>
            <w:vMerge w:val="continue"/>
            <w:tcBorders>
              <w:top w:val="single" w:color="000000" w:sz="6" w:space="0"/>
              <w:left w:val="single" w:color="000000" w:sz="6" w:space="0"/>
              <w:bottom w:val="single" w:color="000000" w:sz="6" w:space="0"/>
              <w:right w:val="single" w:color="000000" w:sz="6" w:space="0"/>
              <w:tl2br w:val="nil"/>
              <w:tr2bl w:val="nil"/>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93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gridSpan w:val="3"/>
            <w:vMerge w:val="continue"/>
            <w:tcBorders>
              <w:top w:val="single" w:color="000000" w:sz="6" w:space="0"/>
              <w:left w:val="single" w:color="000000" w:sz="6" w:space="0"/>
              <w:bottom w:val="single" w:color="000000" w:sz="6" w:space="0"/>
              <w:right w:val="single" w:color="000000" w:sz="6" w:space="0"/>
              <w:tl2br w:val="nil"/>
              <w:tr2bl w:val="nil"/>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93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gridSpan w:val="3"/>
            <w:vMerge w:val="continue"/>
            <w:tcBorders>
              <w:top w:val="single" w:color="000000" w:sz="6" w:space="0"/>
              <w:left w:val="single" w:color="000000" w:sz="6" w:space="0"/>
              <w:bottom w:val="single" w:color="000000" w:sz="6" w:space="0"/>
              <w:right w:val="single" w:color="000000" w:sz="6" w:space="0"/>
              <w:tl2br w:val="nil"/>
              <w:tr2bl w:val="nil"/>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93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gridSpan w:val="3"/>
            <w:vMerge w:val="continue"/>
            <w:tcBorders>
              <w:top w:val="single" w:color="000000" w:sz="6" w:space="0"/>
              <w:left w:val="single" w:color="000000" w:sz="6" w:space="0"/>
              <w:bottom w:val="single" w:color="000000" w:sz="6" w:space="0"/>
              <w:right w:val="single" w:color="000000" w:sz="6" w:space="0"/>
              <w:tl2br w:val="nil"/>
              <w:tr2bl w:val="nil"/>
            </w:tcBorders>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449" w:hRule="atLeast"/>
        </w:trPr>
        <w:tc>
          <w:tcPr>
            <w:tcW w:w="69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93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1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7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67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93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质量指标</w:t>
            </w: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提升景区宣传册、宣传折页等日常宣传费用</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61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万元</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40</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40</w:t>
            </w:r>
          </w:p>
        </w:tc>
        <w:tc>
          <w:tcPr>
            <w:tcW w:w="137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67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936"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手机电视台等新媒体宣传媒介推广费用</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61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好</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好</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7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936"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皇泽寺景区卫生日常养护费</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1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7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936"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研学教程及资料开发印制</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61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7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成本指标</w:t>
            </w:r>
          </w:p>
        </w:tc>
        <w:tc>
          <w:tcPr>
            <w:tcW w:w="936"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经济成本指标</w:t>
            </w: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门票印制购买费用、会务费、展板制作</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1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7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936"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231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解说员工资及五险</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1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1007"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7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284" w:hRule="atLeast"/>
        </w:trPr>
        <w:tc>
          <w:tcPr>
            <w:tcW w:w="7800" w:type="dxa"/>
            <w:gridSpan w:val="1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4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37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599" w:hRule="atLeast"/>
        </w:trPr>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713"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center"/>
              <w:textAlignment w:val="center"/>
              <w:rPr>
                <w:rFonts w:hint="eastAsia" w:ascii="微软雅黑" w:hAnsi="微软雅黑" w:eastAsia="微软雅黑" w:cs="微软雅黑"/>
                <w:color w:val="000000"/>
                <w:sz w:val="16"/>
                <w:szCs w:val="16"/>
                <w:lang w:eastAsia="zh-CN"/>
              </w:rPr>
            </w:pPr>
            <w:r>
              <w:rPr>
                <w:rFonts w:hint="eastAsia" w:ascii="微软雅黑" w:hAnsi="微软雅黑" w:eastAsia="微软雅黑" w:cs="微软雅黑"/>
                <w:color w:val="000000"/>
                <w:kern w:val="0"/>
                <w:sz w:val="16"/>
                <w:szCs w:val="16"/>
              </w:rPr>
              <w:t>结合自评情况，说明项目自评总分</w:t>
            </w:r>
            <w:r>
              <w:rPr>
                <w:rFonts w:ascii="微软雅黑" w:hAnsi="微软雅黑" w:eastAsia="微软雅黑" w:cs="微软雅黑"/>
                <w:color w:val="000000"/>
                <w:kern w:val="0"/>
                <w:sz w:val="16"/>
                <w:szCs w:val="16"/>
              </w:rPr>
              <w:t>100</w:t>
            </w:r>
            <w:r>
              <w:rPr>
                <w:rFonts w:hint="eastAsia" w:ascii="微软雅黑" w:hAnsi="微软雅黑" w:eastAsia="微软雅黑" w:cs="微软雅黑"/>
                <w:color w:val="000000"/>
                <w:kern w:val="0"/>
                <w:sz w:val="16"/>
                <w:szCs w:val="16"/>
              </w:rPr>
              <w:t>分，运行维护为</w:t>
            </w:r>
            <w:r>
              <w:rPr>
                <w:rFonts w:hint="eastAsia" w:ascii="微软雅黑" w:hAnsi="微软雅黑" w:eastAsia="微软雅黑" w:cs="微软雅黑"/>
                <w:color w:val="000000"/>
                <w:kern w:val="0"/>
                <w:sz w:val="16"/>
                <w:szCs w:val="16"/>
                <w:lang w:eastAsia="zh-CN"/>
              </w:rPr>
              <w:t>宣传公用及解说员、</w:t>
            </w:r>
            <w:r>
              <w:rPr>
                <w:rFonts w:hint="eastAsia" w:ascii="微软雅黑" w:hAnsi="微软雅黑" w:eastAsia="微软雅黑" w:cs="微软雅黑"/>
                <w:color w:val="000000"/>
                <w:kern w:val="0"/>
                <w:sz w:val="16"/>
                <w:szCs w:val="16"/>
              </w:rPr>
              <w:t>在资金的使用上严格按照相关文件要求执行，并确保项目的整体推进和质量要求。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569" w:hRule="atLeast"/>
        </w:trPr>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713"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center"/>
              <w:textAlignment w:val="center"/>
              <w:rPr>
                <w:rFonts w:hint="eastAsia" w:ascii="微软雅黑" w:hAnsi="微软雅黑" w:eastAsia="微软雅黑" w:cs="微软雅黑"/>
                <w:color w:val="000000"/>
                <w:sz w:val="16"/>
                <w:szCs w:val="16"/>
                <w:lang w:eastAsia="zh-CN"/>
              </w:rPr>
            </w:pPr>
            <w:r>
              <w:rPr>
                <w:rFonts w:hint="eastAsia" w:ascii="微软雅黑" w:hAnsi="微软雅黑" w:eastAsia="微软雅黑" w:cs="微软雅黑"/>
                <w:color w:val="000000"/>
                <w:kern w:val="0"/>
                <w:sz w:val="16"/>
                <w:szCs w:val="16"/>
              </w:rPr>
              <w:t>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629" w:hRule="atLeast"/>
        </w:trPr>
        <w:tc>
          <w:tcPr>
            <w:tcW w:w="69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713"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center"/>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加强预算编制准确性，提高资金使用效率。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0" w:type="dxa"/>
          <w:trHeight w:val="284" w:hRule="atLeast"/>
        </w:trPr>
        <w:tc>
          <w:tcPr>
            <w:tcW w:w="5548"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856" w:type="dxa"/>
            <w:gridSpan w:val="1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tbl>
      <w:tblPr>
        <w:tblStyle w:val="12"/>
        <w:tblpPr w:leftFromText="180" w:rightFromText="180" w:vertAnchor="text" w:horzAnchor="page" w:tblpX="550" w:tblpY="614"/>
        <w:tblOverlap w:val="never"/>
        <w:tblW w:w="103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0"/>
        <w:gridCol w:w="1521"/>
        <w:gridCol w:w="1155"/>
        <w:gridCol w:w="1629"/>
        <w:gridCol w:w="675"/>
        <w:gridCol w:w="675"/>
        <w:gridCol w:w="795"/>
        <w:gridCol w:w="870"/>
        <w:gridCol w:w="510"/>
        <w:gridCol w:w="600"/>
        <w:gridCol w:w="10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0317"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361"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956"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51080021T000000056102-皇泽寺博物馆安防经费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361"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92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158"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4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21"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92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028"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92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1、保安工资；2、保安保险；3、电费；4、安防监控系统专用网络通讯租赁费；5、消防维保应急演练及档案整理等费用；6、厨房费用</w:t>
            </w:r>
          </w:p>
        </w:tc>
        <w:tc>
          <w:tcPr>
            <w:tcW w:w="3028"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1、保安工资；2、保安保险；3、电费；4、安防监控系统专用网络通讯租赁费；5、消防维保应急演练及档案整理等费用；6、厨房费用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956"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1、保安工资；2、保安保险；3、电费；4、安防监控系统专用网络通讯租赁费；5、消防维保应急演练及档案整理等费用；6、厨房费用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84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214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165.00</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268.10</w:t>
            </w:r>
          </w:p>
        </w:tc>
        <w:tc>
          <w:tcPr>
            <w:tcW w:w="214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242.45</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90.43%</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49"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165.00</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268.10</w:t>
            </w:r>
          </w:p>
        </w:tc>
        <w:tc>
          <w:tcPr>
            <w:tcW w:w="214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242.45</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90.43%</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494"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14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494"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144"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1494" w:type="dxa"/>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84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7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21"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保安保险</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7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次/年</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15</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保安工资</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7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次/年</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15</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15</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安防监控系统专用通讯网通讯租赁费（电话费）</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7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次/年</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电费</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7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次/年</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生态效益指标</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增加安防设备、人防技防结合，防火、保护文物</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7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处</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满意度指标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满意度指标</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厨房费用</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95</w:t>
            </w:r>
          </w:p>
        </w:tc>
        <w:tc>
          <w:tcPr>
            <w:tcW w:w="7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95</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2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成本指标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经济成本指标</w:t>
            </w:r>
          </w:p>
        </w:tc>
        <w:tc>
          <w:tcPr>
            <w:tcW w:w="16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消防维保应急演练及档案整理等费用</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w:t>
            </w:r>
          </w:p>
        </w:tc>
        <w:tc>
          <w:tcPr>
            <w:tcW w:w="79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159"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049"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4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结合自评情况，说明项目自评总分</w:t>
            </w:r>
            <w:r>
              <w:rPr>
                <w:rFonts w:ascii="微软雅黑" w:hAnsi="微软雅黑" w:eastAsia="微软雅黑" w:cs="微软雅黑"/>
                <w:color w:val="000000"/>
                <w:kern w:val="0"/>
                <w:sz w:val="16"/>
                <w:szCs w:val="16"/>
              </w:rPr>
              <w:t>100</w:t>
            </w:r>
            <w:r>
              <w:rPr>
                <w:rFonts w:hint="eastAsia" w:ascii="微软雅黑" w:hAnsi="微软雅黑" w:eastAsia="微软雅黑" w:cs="微软雅黑"/>
                <w:color w:val="000000"/>
                <w:kern w:val="0"/>
                <w:sz w:val="16"/>
                <w:szCs w:val="16"/>
              </w:rPr>
              <w:t>分，</w:t>
            </w:r>
            <w:r>
              <w:rPr>
                <w:rStyle w:val="25"/>
                <w:lang w:val="en-US" w:eastAsia="zh-CN"/>
              </w:rPr>
              <w:t>该项目资金全部用于保安工资；保安保险；消防维保；安全应急演练1年约3次；消防、安防设施设备维修更换及各类档案整理、装订费；厨房费用；单位电、电话费用。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4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477"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82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497"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tbl>
      <w:tblPr>
        <w:tblStyle w:val="12"/>
        <w:tblW w:w="10564" w:type="dxa"/>
        <w:tblInd w:w="-10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
        <w:gridCol w:w="270"/>
        <w:gridCol w:w="990"/>
        <w:gridCol w:w="600"/>
        <w:gridCol w:w="555"/>
        <w:gridCol w:w="855"/>
        <w:gridCol w:w="645"/>
        <w:gridCol w:w="600"/>
        <w:gridCol w:w="456"/>
        <w:gridCol w:w="174"/>
        <w:gridCol w:w="426"/>
        <w:gridCol w:w="174"/>
        <w:gridCol w:w="456"/>
        <w:gridCol w:w="414"/>
        <w:gridCol w:w="185"/>
        <w:gridCol w:w="400"/>
        <w:gridCol w:w="470"/>
        <w:gridCol w:w="55"/>
        <w:gridCol w:w="530"/>
        <w:gridCol w:w="490"/>
        <w:gridCol w:w="35"/>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10564" w:type="dxa"/>
            <w:gridSpan w:val="2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625"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940" w:type="dxa"/>
            <w:gridSpan w:val="1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51080022T000004932047-信息化建设费用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625"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940"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gridSpan w:val="2"/>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129"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1035"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90"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940"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2999" w:type="dxa"/>
            <w:gridSpan w:val="7"/>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940"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信息化系统维修维护费用。</w:t>
            </w:r>
          </w:p>
        </w:tc>
        <w:tc>
          <w:tcPr>
            <w:tcW w:w="2999" w:type="dxa"/>
            <w:gridSpan w:val="7"/>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信息化系统维修维护费用。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940" w:type="dxa"/>
            <w:gridSpan w:val="18"/>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宋体" w:eastAsia="宋体" w:cs="Arial"/>
                <w:color w:val="000000"/>
                <w:sz w:val="18"/>
              </w:rPr>
              <w:t>信息化系统维修维护费用。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1035"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829"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2.00</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2.00</w:t>
            </w:r>
          </w:p>
        </w:tc>
        <w:tc>
          <w:tcPr>
            <w:tcW w:w="1829"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2.00</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2.00</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2.00</w:t>
            </w:r>
          </w:p>
        </w:tc>
        <w:tc>
          <w:tcPr>
            <w:tcW w:w="1829"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2.00</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29"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29"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1035"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质量指标</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信息化系统维修维护费用</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万元</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90"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410"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对方便游客效率方面的影响程度</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90</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对促进政务信息公开方面的影响程度</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95</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95</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可持续影响指标</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对单位或行业大数据</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高</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高</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满意度指标</w:t>
            </w: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满意度指标</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社会公众或服务对象对项目实施效果的满意程度</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95</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95</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9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成本指标</w:t>
            </w:r>
          </w:p>
        </w:tc>
        <w:tc>
          <w:tcPr>
            <w:tcW w:w="141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经济成本指标</w:t>
            </w:r>
          </w:p>
        </w:tc>
        <w:tc>
          <w:tcPr>
            <w:tcW w:w="1701"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智能售检票系统节约纸质门票</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万元</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8435" w:type="dxa"/>
            <w:gridSpan w:val="17"/>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03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529"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hint="eastAsia" w:ascii="微软雅黑" w:hAnsi="微软雅黑" w:eastAsia="微软雅黑" w:cs="微软雅黑"/>
                <w:color w:val="000000"/>
                <w:sz w:val="16"/>
                <w:szCs w:val="16"/>
                <w:lang w:eastAsia="zh-CN"/>
              </w:rPr>
            </w:pPr>
            <w:r>
              <w:rPr>
                <w:rFonts w:hint="eastAsia" w:ascii="微软雅黑" w:hAnsi="微软雅黑" w:eastAsia="微软雅黑" w:cs="微软雅黑"/>
                <w:color w:val="000000"/>
                <w:kern w:val="0"/>
                <w:sz w:val="16"/>
                <w:szCs w:val="16"/>
              </w:rPr>
              <w:t>结合自评情况，项目自评总分9</w:t>
            </w:r>
            <w:r>
              <w:rPr>
                <w:rFonts w:hint="eastAsia" w:ascii="微软雅黑" w:hAnsi="微软雅黑" w:eastAsia="微软雅黑" w:cs="微软雅黑"/>
                <w:color w:val="000000"/>
                <w:kern w:val="0"/>
                <w:sz w:val="16"/>
                <w:szCs w:val="16"/>
                <w:lang w:val="en-US" w:eastAsia="zh-CN"/>
              </w:rPr>
              <w:t>0</w:t>
            </w:r>
            <w:r>
              <w:rPr>
                <w:rFonts w:hint="eastAsia" w:ascii="微软雅黑" w:hAnsi="微软雅黑" w:eastAsia="微软雅黑" w:cs="微软雅黑"/>
                <w:color w:val="000000"/>
                <w:kern w:val="0"/>
                <w:sz w:val="16"/>
                <w:szCs w:val="16"/>
              </w:rPr>
              <w:t>分，严格按照绩效管理办法执行，确保博物馆</w:t>
            </w:r>
            <w:r>
              <w:rPr>
                <w:rFonts w:hint="eastAsia" w:ascii="微软雅黑" w:hAnsi="微软雅黑" w:eastAsia="微软雅黑" w:cs="微软雅黑"/>
                <w:color w:val="000000"/>
                <w:kern w:val="0"/>
                <w:sz w:val="16"/>
                <w:szCs w:val="16"/>
                <w:lang w:eastAsia="zh-CN"/>
              </w:rPr>
              <w:t>信息化建设</w:t>
            </w:r>
            <w:r>
              <w:rPr>
                <w:rFonts w:hint="eastAsia" w:ascii="微软雅黑" w:hAnsi="微软雅黑" w:eastAsia="微软雅黑" w:cs="微软雅黑"/>
                <w:color w:val="000000"/>
                <w:kern w:val="0"/>
                <w:sz w:val="16"/>
                <w:szCs w:val="16"/>
              </w:rPr>
              <w:t>工作有序进行，为观众提供优质服务，推动博物馆事业发展，不断满足人民群众对文化的需求，不断传承广元悠久历史文化。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103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529"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hint="eastAsia" w:ascii="微软雅黑" w:hAnsi="微软雅黑" w:eastAsia="微软雅黑" w:cs="微软雅黑"/>
                <w:color w:val="000000"/>
                <w:sz w:val="16"/>
                <w:szCs w:val="16"/>
                <w:lang w:eastAsia="zh-CN"/>
              </w:rPr>
            </w:pPr>
            <w:r>
              <w:rPr>
                <w:rFonts w:hint="eastAsia" w:ascii="微软雅黑" w:hAnsi="微软雅黑" w:eastAsia="微软雅黑" w:cs="微软雅黑"/>
                <w:color w:val="000000"/>
                <w:kern w:val="0"/>
                <w:sz w:val="16"/>
                <w:szCs w:val="16"/>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103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529"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加强绩效管理，提高绩效管理水平，进一步规范绩效目标编制。一是组织预算绩效管理相关培训，提高人员绩效管理水平。二是对项目绩效目标和指标目标设置的科学性、合理性和规范性。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335"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229"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899" w:hRule="atLeast"/>
        </w:trPr>
        <w:tc>
          <w:tcPr>
            <w:tcW w:w="9509" w:type="dxa"/>
            <w:gridSpan w:val="2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284" w:hRule="atLeast"/>
        </w:trPr>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484" w:type="dxa"/>
            <w:gridSpan w:val="17"/>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51080022T000004937289-退还智慧博物馆建设服务项目履约保证金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509" w:hRule="atLeast"/>
        </w:trPr>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48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gridSpan w:val="2"/>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13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260"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48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00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48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退还智慧博物馆建设服务项目履约金</w:t>
            </w:r>
          </w:p>
        </w:tc>
        <w:tc>
          <w:tcPr>
            <w:tcW w:w="300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484" w:type="dxa"/>
            <w:gridSpan w:val="17"/>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宋体" w:eastAsia="宋体" w:cs="Arial"/>
                <w:color w:val="000000"/>
                <w:sz w:val="18"/>
              </w:rPr>
              <w:t>退还智慧博物馆建设服务项目履约金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5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4.96</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4.96</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gridSpan w:val="2"/>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4.96</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4.96</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5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83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gridSpan w:val="2"/>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5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5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退还及时率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5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足额保障率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0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284" w:hRule="atLeast"/>
        </w:trPr>
        <w:tc>
          <w:tcPr>
            <w:tcW w:w="7380" w:type="dxa"/>
            <w:gridSpan w:val="1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020"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8744" w:type="dxa"/>
            <w:gridSpan w:val="1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8744" w:type="dxa"/>
            <w:gridSpan w:val="1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8744" w:type="dxa"/>
            <w:gridSpan w:val="1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055" w:type="dxa"/>
          <w:trHeight w:val="284" w:hRule="atLeast"/>
        </w:trPr>
        <w:tc>
          <w:tcPr>
            <w:tcW w:w="528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项目负责人：聂志明</w:t>
            </w:r>
          </w:p>
        </w:tc>
        <w:tc>
          <w:tcPr>
            <w:tcW w:w="4230" w:type="dxa"/>
            <w:gridSpan w:val="1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p>
      <w:pPr>
        <w:pStyle w:val="2"/>
      </w:pPr>
    </w:p>
    <w:p>
      <w:pPr>
        <w:pStyle w:val="2"/>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9"/>
        <w:gridCol w:w="1115"/>
        <w:gridCol w:w="1025"/>
        <w:gridCol w:w="1322"/>
        <w:gridCol w:w="547"/>
        <w:gridCol w:w="573"/>
        <w:gridCol w:w="547"/>
        <w:gridCol w:w="779"/>
        <w:gridCol w:w="534"/>
        <w:gridCol w:w="482"/>
        <w:gridCol w:w="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509"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51080022T000004938716-皇泽寺博物馆乡村振兴工作经费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1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2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驻村工作队队员生活补助及零星办公经费及帮扶经费</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驻村工作队队员生活补助及零星办公经费及帮扶经费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驻村工作队队员生活补助及零星办公经费及帮扶经费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1.82</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1.82</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1.82</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1.82</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1.82</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1.82</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驻村时间</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22</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天/月</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22</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生活补助标准</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元/天</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通过帮扶，该村认可度达到较高水平</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好</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好</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成本指标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经济成本指标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驻村工作队队员生活补助及零星办公经费及帮扶经费</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万元</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38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hint="eastAsia" w:ascii="微软雅黑" w:hAnsi="微软雅黑" w:eastAsia="宋体" w:cs="微软雅黑"/>
                <w:color w:val="000000"/>
                <w:sz w:val="16"/>
                <w:szCs w:val="16"/>
                <w:lang w:eastAsia="zh-CN"/>
              </w:rPr>
            </w:pPr>
            <w:r>
              <w:rPr>
                <w:rFonts w:hint="eastAsia" w:ascii="微软雅黑" w:hAnsi="微软雅黑" w:eastAsia="微软雅黑" w:cs="微软雅黑"/>
                <w:color w:val="000000"/>
                <w:kern w:val="0"/>
                <w:sz w:val="16"/>
                <w:szCs w:val="16"/>
              </w:rPr>
              <w:t>结合自评情况，项目自评总分</w:t>
            </w:r>
            <w:r>
              <w:rPr>
                <w:rFonts w:ascii="微软雅黑" w:hAnsi="微软雅黑" w:eastAsia="微软雅黑" w:cs="微软雅黑"/>
                <w:color w:val="000000"/>
                <w:kern w:val="0"/>
                <w:sz w:val="16"/>
                <w:szCs w:val="16"/>
              </w:rPr>
              <w:t>100</w:t>
            </w:r>
            <w:r>
              <w:rPr>
                <w:rFonts w:hint="eastAsia" w:ascii="微软雅黑" w:hAnsi="微软雅黑" w:eastAsia="微软雅黑" w:cs="微软雅黑"/>
                <w:color w:val="000000"/>
                <w:kern w:val="0"/>
                <w:sz w:val="16"/>
                <w:szCs w:val="16"/>
              </w:rPr>
              <w:t>分，严格按照绩效管理办法执行，确保</w:t>
            </w:r>
            <w:r>
              <w:rPr>
                <w:rFonts w:ascii="宋体" w:hAnsi="宋体" w:cs="宋体"/>
                <w:color w:val="000000"/>
                <w:kern w:val="0"/>
                <w:sz w:val="18"/>
                <w:szCs w:val="18"/>
              </w:rPr>
              <w:t>全部用于</w:t>
            </w:r>
            <w:r>
              <w:rPr>
                <w:rFonts w:hint="eastAsia" w:ascii="宋体" w:hAnsi="宋体" w:cs="宋体"/>
                <w:color w:val="000000"/>
                <w:kern w:val="0"/>
                <w:sz w:val="18"/>
                <w:szCs w:val="18"/>
                <w:lang w:eastAsia="zh-CN"/>
              </w:rPr>
              <w:t>皇泽寺</w:t>
            </w:r>
            <w:r>
              <w:rPr>
                <w:rFonts w:ascii="宋体" w:hAnsi="宋体" w:cs="宋体"/>
                <w:color w:val="000000"/>
                <w:kern w:val="0"/>
                <w:sz w:val="18"/>
                <w:szCs w:val="18"/>
              </w:rPr>
              <w:t>博物馆</w:t>
            </w:r>
            <w:r>
              <w:rPr>
                <w:rStyle w:val="25"/>
                <w:lang w:val="en-US" w:eastAsia="zh-CN"/>
              </w:rPr>
              <w:t>驻村工作队队员生活补助及零星办公经费。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hint="eastAsia" w:ascii="微软雅黑" w:hAnsi="微软雅黑" w:eastAsia="微软雅黑" w:cs="微软雅黑"/>
                <w:color w:val="000000"/>
                <w:sz w:val="16"/>
                <w:szCs w:val="16"/>
                <w:lang w:eastAsia="zh-CN"/>
              </w:rPr>
            </w:pPr>
            <w:r>
              <w:rPr>
                <w:rFonts w:hint="eastAsia" w:ascii="微软雅黑" w:hAnsi="微软雅黑" w:eastAsia="微软雅黑" w:cs="微软雅黑"/>
                <w:color w:val="000000"/>
                <w:kern w:val="0"/>
                <w:sz w:val="16"/>
                <w:szCs w:val="16"/>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加强绩效管理，提高绩效管理水平，进一步规范绩效目标编制。一是组织预算绩效管理相关培训，提高人员绩效管理水平。二是对项目绩效目标和指标目标设置的科学性、合理性和规范性。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28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23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509"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51080022T000005409989-剑门蜀道国家级风景名胜区禁止开发区专项资金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1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2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为进一步提升皇泽寺景区周边生态环境，扩展皇泽寺景区范围、提升皇泽寺景区品质，以皇泽寺景区及周边生态修复为重点，对皇泽寺后山10.8亩荒地中的第一层平地实施景观园林生态修复，对后山门区域景观进行提升，建设后山门至皇泽寺禅院坡地生态道路。</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对皇泽寺后山10.8亩荒地中的第一层平地实施景观园林生态修复，对后山门区域景观进行提升，建设后山门至皇泽寺禅院坡地生态道路。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为进一步提升皇泽寺景区周边生态环境，扩展皇泽寺景区范围、提升皇泽寺景区品质，以皇泽寺景区及周边生态修复为重点，对皇泽寺后山10.8亩荒地中的第一层平地实施景观园林生态修复，对后山门区域景观进行提升，建设后山门至皇泽寺禅院坡地生态道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95.85</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89.20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93.06%</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95.85</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89.20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93.06%</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本项目实施面积约4000平方米</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4000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平方米</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生态效益指标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提升周边生态自然环境</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好</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t>处</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好</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38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结合自评情况，说明项目自评总分100，对后山门区域景观进行提升，建设后山门至皇泽寺禅院坡地生态道路。将该区域建设成为游客、市民的休闲场所及连接皇泽寺、皇泽禅院的旅游通道。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28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项目负责人：杨栋</w:t>
            </w:r>
          </w:p>
        </w:tc>
        <w:tc>
          <w:tcPr>
            <w:tcW w:w="423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p>
      <w:pPr>
        <w:pStyle w:val="2"/>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9"/>
        <w:gridCol w:w="1115"/>
        <w:gridCol w:w="1025"/>
        <w:gridCol w:w="1322"/>
        <w:gridCol w:w="547"/>
        <w:gridCol w:w="573"/>
        <w:gridCol w:w="547"/>
        <w:gridCol w:w="779"/>
        <w:gridCol w:w="534"/>
        <w:gridCol w:w="482"/>
        <w:gridCol w:w="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510"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48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51080022T000007254569-文旅融合发展专项资金-系列文化旅游活动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1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2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文旅融合发展经费</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文旅融合发展经费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48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文旅融合发展经费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5.35</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5.35</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02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5.35</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5.35</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女儿节创新歌曲</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个</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女儿节知名度</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优</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优</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满意度指标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服务对象满意度指标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满意度</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38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874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结合自评情况，说明项目自评总分100，女儿节活动宣传，推广广元旅游业发展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874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874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28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23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p>
      <w:pPr>
        <w:pStyle w:val="2"/>
      </w:pPr>
    </w:p>
    <w:tbl>
      <w:tblPr>
        <w:tblStyle w:val="12"/>
        <w:tblW w:w="156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5"/>
        <w:gridCol w:w="1260"/>
        <w:gridCol w:w="1155"/>
        <w:gridCol w:w="1500"/>
        <w:gridCol w:w="600"/>
        <w:gridCol w:w="630"/>
        <w:gridCol w:w="600"/>
        <w:gridCol w:w="870"/>
        <w:gridCol w:w="585"/>
        <w:gridCol w:w="525"/>
        <w:gridCol w:w="1020"/>
        <w:gridCol w:w="1019"/>
        <w:gridCol w:w="1019"/>
        <w:gridCol w:w="1020"/>
        <w:gridCol w:w="1020"/>
        <w:gridCol w:w="102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899" w:hRule="atLeast"/>
        </w:trPr>
        <w:tc>
          <w:tcPr>
            <w:tcW w:w="9509"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51080023T000008408743-红军文化园安防及运转经费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509"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1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2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红军文化园免费开放成本费用（绿化及卫生养护费用、卫生日常保洁费用、水电及临时维修等），保安2人工资及保险。</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红军文化园免费开放成本费用（绿化及卫生养护费用、卫生日常保洁费用、水电及临时维修等），保安2人工资及保险。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红军文化园免费开放成本费用（绿化及卫生养护费用、卫生日常保洁费用、水电及临时维修等），保安2人工资及保险。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12.18</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12.18</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12.18</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12.18</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12.18</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12.18</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质量指标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红军文化园保洁</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98</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98</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绿化养护及临时维修费</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生态效益指标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增加安防设施，人防技防相结合，防火、保护文物</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成本指标</w:t>
            </w:r>
          </w:p>
        </w:tc>
        <w:tc>
          <w:tcPr>
            <w:tcW w:w="115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经济成本指标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红军文化园电费</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红军文化园水费</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7379"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结合自评情况，说明项目自评总分100分，说项目实施取宣传了广元的红色文化，将红色故事代代相传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528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项目负责人：陈洁</w:t>
            </w:r>
          </w:p>
        </w:tc>
        <w:tc>
          <w:tcPr>
            <w:tcW w:w="423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899" w:hRule="atLeast"/>
        </w:trPr>
        <w:tc>
          <w:tcPr>
            <w:tcW w:w="9509"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51080023T000008949296-年度考核奖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509"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1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2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年度考核奖</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12.60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12.60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12.60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12.60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12.60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12.60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发放（缴纳）覆盖率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足额保障率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7379"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528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23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765" w:type="dxa"/>
            <w:tcBorders>
              <w:top w:val="nil"/>
              <w:left w:val="nil"/>
              <w:bottom w:val="nil"/>
              <w:right w:val="nil"/>
              <w:tl2br w:val="nil"/>
              <w:tr2bl w:val="nil"/>
            </w:tcBorders>
            <w:noWrap/>
            <w:vAlign w:val="center"/>
          </w:tcPr>
          <w:p/>
        </w:tc>
        <w:tc>
          <w:tcPr>
            <w:tcW w:w="1260" w:type="dxa"/>
            <w:tcBorders>
              <w:top w:val="nil"/>
              <w:left w:val="nil"/>
              <w:bottom w:val="nil"/>
              <w:right w:val="nil"/>
              <w:tl2br w:val="nil"/>
              <w:tr2bl w:val="nil"/>
            </w:tcBorders>
            <w:noWrap/>
            <w:vAlign w:val="center"/>
          </w:tcPr>
          <w:p/>
        </w:tc>
        <w:tc>
          <w:tcPr>
            <w:tcW w:w="1155" w:type="dxa"/>
            <w:tcBorders>
              <w:top w:val="nil"/>
              <w:left w:val="nil"/>
              <w:bottom w:val="nil"/>
              <w:right w:val="nil"/>
              <w:tl2br w:val="nil"/>
              <w:tr2bl w:val="nil"/>
            </w:tcBorders>
            <w:noWrap/>
            <w:vAlign w:val="center"/>
          </w:tcPr>
          <w:p/>
        </w:tc>
        <w:tc>
          <w:tcPr>
            <w:tcW w:w="1500" w:type="dxa"/>
            <w:tcBorders>
              <w:top w:val="nil"/>
              <w:left w:val="nil"/>
              <w:bottom w:val="nil"/>
              <w:right w:val="nil"/>
              <w:tl2br w:val="nil"/>
              <w:tr2bl w:val="nil"/>
            </w:tcBorders>
            <w:noWrap/>
            <w:vAlign w:val="center"/>
          </w:tcPr>
          <w:p/>
        </w:tc>
        <w:tc>
          <w:tcPr>
            <w:tcW w:w="600" w:type="dxa"/>
            <w:tcBorders>
              <w:top w:val="nil"/>
              <w:left w:val="nil"/>
              <w:bottom w:val="nil"/>
              <w:right w:val="nil"/>
              <w:tl2br w:val="nil"/>
              <w:tr2bl w:val="nil"/>
            </w:tcBorders>
            <w:noWrap/>
            <w:vAlign w:val="center"/>
          </w:tcPr>
          <w:p/>
        </w:tc>
        <w:tc>
          <w:tcPr>
            <w:tcW w:w="630" w:type="dxa"/>
            <w:tcBorders>
              <w:top w:val="nil"/>
              <w:left w:val="nil"/>
              <w:bottom w:val="nil"/>
              <w:right w:val="nil"/>
              <w:tl2br w:val="nil"/>
              <w:tr2bl w:val="nil"/>
            </w:tcBorders>
            <w:noWrap/>
            <w:vAlign w:val="center"/>
          </w:tcPr>
          <w:p/>
        </w:tc>
        <w:tc>
          <w:tcPr>
            <w:tcW w:w="600" w:type="dxa"/>
            <w:tcBorders>
              <w:top w:val="nil"/>
              <w:left w:val="nil"/>
              <w:bottom w:val="nil"/>
              <w:right w:val="nil"/>
              <w:tl2br w:val="nil"/>
              <w:tr2bl w:val="nil"/>
            </w:tcBorders>
            <w:noWrap/>
            <w:vAlign w:val="center"/>
          </w:tcPr>
          <w:p/>
          <w:p>
            <w:pPr>
              <w:pStyle w:val="2"/>
            </w:pPr>
          </w:p>
          <w:p>
            <w:pPr>
              <w:pStyle w:val="2"/>
            </w:pPr>
          </w:p>
        </w:tc>
        <w:tc>
          <w:tcPr>
            <w:tcW w:w="870" w:type="dxa"/>
            <w:tcBorders>
              <w:top w:val="nil"/>
              <w:left w:val="nil"/>
              <w:bottom w:val="nil"/>
              <w:right w:val="nil"/>
              <w:tl2br w:val="nil"/>
              <w:tr2bl w:val="nil"/>
            </w:tcBorders>
            <w:noWrap/>
            <w:vAlign w:val="center"/>
          </w:tcPr>
          <w:p/>
        </w:tc>
        <w:tc>
          <w:tcPr>
            <w:tcW w:w="585" w:type="dxa"/>
            <w:tcBorders>
              <w:top w:val="nil"/>
              <w:left w:val="nil"/>
              <w:bottom w:val="nil"/>
              <w:right w:val="nil"/>
              <w:tl2br w:val="nil"/>
              <w:tr2bl w:val="nil"/>
            </w:tcBorders>
            <w:noWrap/>
            <w:vAlign w:val="center"/>
          </w:tcPr>
          <w:p/>
        </w:tc>
        <w:tc>
          <w:tcPr>
            <w:tcW w:w="525" w:type="dxa"/>
            <w:tcBorders>
              <w:top w:val="nil"/>
              <w:left w:val="nil"/>
              <w:bottom w:val="nil"/>
              <w:right w:val="nil"/>
              <w:tl2br w:val="nil"/>
              <w:tr2bl w:val="nil"/>
            </w:tcBorders>
            <w:noWrap/>
            <w:vAlign w:val="center"/>
          </w:tcPr>
          <w:p/>
        </w:tc>
        <w:tc>
          <w:tcPr>
            <w:tcW w:w="1020" w:type="dxa"/>
            <w:tcBorders>
              <w:top w:val="nil"/>
              <w:left w:val="nil"/>
              <w:bottom w:val="nil"/>
              <w:right w:val="nil"/>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899" w:hRule="atLeast"/>
        </w:trPr>
        <w:tc>
          <w:tcPr>
            <w:tcW w:w="9509"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51080023T000009130659-机关事业单位退休人员（中人）一次性待遇资金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509" w:hRule="atLeast"/>
        </w:trPr>
        <w:tc>
          <w:tcPr>
            <w:tcW w:w="20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7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1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2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48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退休中人一次性补助</w:t>
            </w:r>
          </w:p>
        </w:tc>
        <w:tc>
          <w:tcPr>
            <w:tcW w:w="300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48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宋体" w:eastAsia="宋体" w:cs="Arial"/>
                <w:color w:val="000000"/>
                <w:sz w:val="18"/>
              </w:rPr>
              <w:t>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2.27</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2.27</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2.27</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02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2.27</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2.27</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2.27</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83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发放覆盖率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2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5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足额保障率</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w:t>
            </w:r>
          </w:p>
        </w:tc>
        <w:tc>
          <w:tcPr>
            <w:tcW w:w="60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7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379"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宋体" w:eastAsia="宋体" w:cs="Arial"/>
                <w:color w:val="000000"/>
                <w:sz w:val="18"/>
              </w:rPr>
              <w:t>100</w:t>
            </w:r>
          </w:p>
        </w:tc>
        <w:tc>
          <w:tcPr>
            <w:tcW w:w="1020" w:type="dxa"/>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020" w:type="dxa"/>
            <w:tcBorders>
              <w:top w:val="single" w:color="000000" w:sz="6" w:space="0"/>
              <w:left w:val="single" w:color="000000" w:sz="6" w:space="0"/>
              <w:bottom w:val="single" w:color="000000" w:sz="6" w:space="0"/>
              <w:right w:val="single" w:color="000000" w:sz="6" w:space="0"/>
              <w:tl2br w:val="nil"/>
              <w:tr2bl w:val="nil"/>
            </w:tcBorders>
            <w:vAlign w:val="center"/>
          </w:tcPr>
          <w:p/>
        </w:tc>
        <w:tc>
          <w:tcPr>
            <w:tcW w:w="1020" w:type="dxa"/>
            <w:tcBorders>
              <w:top w:val="single" w:color="000000" w:sz="6" w:space="0"/>
              <w:left w:val="single" w:color="000000" w:sz="6" w:space="0"/>
              <w:bottom w:val="single" w:color="000000" w:sz="6" w:space="0"/>
              <w:right w:val="single" w:color="000000" w:sz="6" w:space="0"/>
              <w:tl2br w:val="nil"/>
              <w:tr2bl w:val="nil"/>
            </w:tcBorders>
            <w:vAlign w:val="center"/>
          </w:tcPr>
          <w:p/>
        </w:tc>
        <w:tc>
          <w:tcPr>
            <w:tcW w:w="1020" w:type="dxa"/>
            <w:tcBorders>
              <w:top w:val="single" w:color="000000" w:sz="6" w:space="0"/>
              <w:left w:val="single" w:color="000000" w:sz="6" w:space="0"/>
              <w:bottom w:val="single" w:color="000000" w:sz="6" w:space="0"/>
              <w:right w:val="single" w:color="000000" w:sz="6" w:space="0"/>
              <w:tl2br w:val="nil"/>
              <w:tr2bl w:val="nil"/>
            </w:tcBorders>
            <w:vAlign w:val="center"/>
          </w:tcPr>
          <w:p/>
        </w:tc>
        <w:tc>
          <w:tcPr>
            <w:tcW w:w="1020" w:type="dxa"/>
            <w:tcBorders>
              <w:top w:val="single" w:color="000000" w:sz="6" w:space="0"/>
              <w:left w:val="single" w:color="000000" w:sz="6" w:space="0"/>
              <w:bottom w:val="single" w:color="000000" w:sz="6" w:space="0"/>
              <w:right w:val="single" w:color="000000" w:sz="6" w:space="0"/>
              <w:tl2br w:val="nil"/>
              <w:tr2bl w:val="nil"/>
            </w:tcBorders>
            <w:vAlign w:val="center"/>
          </w:tcPr>
          <w:p/>
        </w:tc>
        <w:tc>
          <w:tcPr>
            <w:tcW w:w="1020" w:type="dxa"/>
            <w:tcBorders>
              <w:top w:val="single" w:color="000000" w:sz="6" w:space="0"/>
              <w:left w:val="single" w:color="000000" w:sz="6" w:space="0"/>
              <w:bottom w:val="single" w:color="000000" w:sz="6" w:space="0"/>
              <w:right w:val="single" w:color="000000" w:sz="6" w:space="0"/>
              <w:tl2br w:val="nil"/>
              <w:tr2bl w:val="nil"/>
            </w:tcBorders>
            <w:vAlign w:val="center"/>
          </w:tcPr>
          <w:p/>
        </w:tc>
        <w:tc>
          <w:tcPr>
            <w:tcW w:w="1020"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eastAsia="宋体" w:cs="Arial"/>
                <w:color w:val="000000"/>
                <w:sz w:val="18"/>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874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6120" w:type="dxa"/>
          <w:trHeight w:val="284" w:hRule="atLeast"/>
        </w:trPr>
        <w:tc>
          <w:tcPr>
            <w:tcW w:w="528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23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p>
      <w:pPr>
        <w:pStyle w:val="2"/>
      </w:pPr>
    </w:p>
    <w:p>
      <w:pPr>
        <w:pStyle w:val="2"/>
      </w:pPr>
    </w:p>
    <w:tbl>
      <w:tblPr>
        <w:tblStyle w:val="12"/>
        <w:tblW w:w="0" w:type="auto"/>
        <w:tblInd w:w="-35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4"/>
        <w:gridCol w:w="1362"/>
        <w:gridCol w:w="1018"/>
        <w:gridCol w:w="1018"/>
        <w:gridCol w:w="608"/>
        <w:gridCol w:w="608"/>
        <w:gridCol w:w="608"/>
        <w:gridCol w:w="754"/>
        <w:gridCol w:w="531"/>
        <w:gridCol w:w="480"/>
        <w:gridCol w:w="12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990"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4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4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宋体" w:eastAsia="宋体" w:cs="Arial"/>
                <w:color w:val="000000"/>
                <w:sz w:val="18"/>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131.35</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131.35</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131.35</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131.35</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131.35</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131.35</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发放（缴纳）覆盖率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足额保障率（参保率）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50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31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68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tcBorders>
              <w:top w:val="nil"/>
              <w:left w:val="nil"/>
              <w:bottom w:val="nil"/>
              <w:right w:val="nil"/>
              <w:tl2br w:val="nil"/>
              <w:tr2bl w:val="nil"/>
            </w:tcBorders>
            <w:noWrap/>
            <w:vAlign w:val="center"/>
          </w:tcPr>
          <w:p/>
        </w:tc>
        <w:tc>
          <w:tcPr>
            <w:tcW w:w="1560" w:type="dxa"/>
            <w:tcBorders>
              <w:top w:val="nil"/>
              <w:left w:val="nil"/>
              <w:bottom w:val="nil"/>
              <w:right w:val="nil"/>
              <w:tl2br w:val="nil"/>
              <w:tr2bl w:val="nil"/>
            </w:tcBorders>
            <w:noWrap/>
            <w:vAlign w:val="center"/>
          </w:tcPr>
          <w:p/>
        </w:tc>
        <w:tc>
          <w:tcPr>
            <w:tcW w:w="1155" w:type="dxa"/>
            <w:tcBorders>
              <w:top w:val="nil"/>
              <w:left w:val="nil"/>
              <w:bottom w:val="nil"/>
              <w:right w:val="nil"/>
              <w:tl2br w:val="nil"/>
              <w:tr2bl w:val="nil"/>
            </w:tcBorders>
            <w:noWrap/>
            <w:vAlign w:val="center"/>
          </w:tcPr>
          <w:p/>
        </w:tc>
        <w:tc>
          <w:tcPr>
            <w:tcW w:w="1155" w:type="dxa"/>
            <w:tcBorders>
              <w:top w:val="nil"/>
              <w:left w:val="nil"/>
              <w:bottom w:val="nil"/>
              <w:right w:val="nil"/>
              <w:tl2br w:val="nil"/>
              <w:tr2bl w:val="nil"/>
            </w:tcBorders>
            <w:noWrap/>
            <w:vAlign w:val="center"/>
          </w:tcPr>
          <w:p/>
        </w:tc>
        <w:tc>
          <w:tcPr>
            <w:tcW w:w="675" w:type="dxa"/>
            <w:tcBorders>
              <w:top w:val="nil"/>
              <w:left w:val="nil"/>
              <w:bottom w:val="nil"/>
              <w:right w:val="nil"/>
              <w:tl2br w:val="nil"/>
              <w:tr2bl w:val="nil"/>
            </w:tcBorders>
            <w:noWrap/>
            <w:vAlign w:val="center"/>
          </w:tcPr>
          <w:p/>
        </w:tc>
        <w:tc>
          <w:tcPr>
            <w:tcW w:w="675" w:type="dxa"/>
            <w:tcBorders>
              <w:top w:val="nil"/>
              <w:left w:val="nil"/>
              <w:bottom w:val="nil"/>
              <w:right w:val="nil"/>
              <w:tl2br w:val="nil"/>
              <w:tr2bl w:val="nil"/>
            </w:tcBorders>
            <w:noWrap/>
            <w:vAlign w:val="center"/>
          </w:tcPr>
          <w:p/>
        </w:tc>
        <w:tc>
          <w:tcPr>
            <w:tcW w:w="675" w:type="dxa"/>
            <w:tcBorders>
              <w:top w:val="nil"/>
              <w:left w:val="nil"/>
              <w:bottom w:val="nil"/>
              <w:right w:val="nil"/>
              <w:tl2br w:val="nil"/>
              <w:tr2bl w:val="nil"/>
            </w:tcBorders>
            <w:noWrap/>
            <w:vAlign w:val="center"/>
          </w:tcPr>
          <w:p/>
        </w:tc>
        <w:tc>
          <w:tcPr>
            <w:tcW w:w="840" w:type="dxa"/>
            <w:tcBorders>
              <w:top w:val="nil"/>
              <w:left w:val="nil"/>
              <w:bottom w:val="nil"/>
              <w:right w:val="nil"/>
              <w:tl2br w:val="nil"/>
              <w:tr2bl w:val="nil"/>
            </w:tcBorders>
            <w:noWrap/>
            <w:vAlign w:val="center"/>
          </w:tcPr>
          <w:p/>
        </w:tc>
        <w:tc>
          <w:tcPr>
            <w:tcW w:w="585" w:type="dxa"/>
            <w:tcBorders>
              <w:top w:val="nil"/>
              <w:left w:val="nil"/>
              <w:bottom w:val="nil"/>
              <w:right w:val="nil"/>
              <w:tl2br w:val="nil"/>
              <w:tr2bl w:val="nil"/>
            </w:tcBorders>
            <w:noWrap/>
            <w:vAlign w:val="center"/>
          </w:tcPr>
          <w:p/>
        </w:tc>
        <w:tc>
          <w:tcPr>
            <w:tcW w:w="525" w:type="dxa"/>
            <w:tcBorders>
              <w:top w:val="nil"/>
              <w:left w:val="nil"/>
              <w:bottom w:val="nil"/>
              <w:right w:val="nil"/>
              <w:tl2br w:val="nil"/>
              <w:tr2bl w:val="nil"/>
            </w:tcBorders>
            <w:noWrap/>
            <w:vAlign w:val="center"/>
          </w:tcPr>
          <w:p/>
        </w:tc>
        <w:tc>
          <w:tcPr>
            <w:tcW w:w="1380" w:type="dxa"/>
            <w:tcBorders>
              <w:top w:val="nil"/>
              <w:left w:val="nil"/>
              <w:bottom w:val="nil"/>
              <w:right w:val="nil"/>
              <w:tl2br w:val="nil"/>
              <w:tr2bl w:val="nil"/>
            </w:tcBorders>
            <w:noWrap/>
            <w:vAlign w:val="center"/>
          </w:tcPr>
          <w:p/>
        </w:tc>
      </w:tr>
    </w:tbl>
    <w:p>
      <w:pPr>
        <w:pStyle w:val="2"/>
      </w:pPr>
    </w:p>
    <w:p>
      <w:pPr>
        <w:pStyle w:val="2"/>
      </w:pPr>
    </w:p>
    <w:p>
      <w:pPr>
        <w:pStyle w:val="2"/>
      </w:pPr>
    </w:p>
    <w:tbl>
      <w:tblPr>
        <w:tblStyle w:val="12"/>
        <w:tblpPr w:leftFromText="180" w:rightFromText="180" w:vertAnchor="text" w:horzAnchor="page" w:tblpX="1201" w:tblpY="751"/>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9"/>
        <w:gridCol w:w="1300"/>
        <w:gridCol w:w="973"/>
        <w:gridCol w:w="973"/>
        <w:gridCol w:w="586"/>
        <w:gridCol w:w="586"/>
        <w:gridCol w:w="586"/>
        <w:gridCol w:w="724"/>
        <w:gridCol w:w="514"/>
        <w:gridCol w:w="465"/>
        <w:gridCol w:w="11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990"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4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4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27.72</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27.72</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27.72</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27.72</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27.72</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27.72</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发放（缴纳）覆盖率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足额保障率（参保率）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50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31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68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p>
      <w:pPr>
        <w:pStyle w:val="2"/>
      </w:pPr>
    </w:p>
    <w:p>
      <w:pPr>
        <w:pStyle w:val="2"/>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9"/>
        <w:gridCol w:w="1300"/>
        <w:gridCol w:w="973"/>
        <w:gridCol w:w="973"/>
        <w:gridCol w:w="586"/>
        <w:gridCol w:w="586"/>
        <w:gridCol w:w="586"/>
        <w:gridCol w:w="724"/>
        <w:gridCol w:w="514"/>
        <w:gridCol w:w="465"/>
        <w:gridCol w:w="11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990"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4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4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0.92</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0.92</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0.92</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0.92</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0.92</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0.92</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发放（缴纳）覆盖率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足额保障率（参保率）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50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31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68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p>
      <w:pPr>
        <w:pStyle w:val="2"/>
      </w:pPr>
    </w:p>
    <w:p>
      <w:pPr>
        <w:pStyle w:val="2"/>
      </w:pPr>
    </w:p>
    <w:tbl>
      <w:tblPr>
        <w:tblStyle w:val="12"/>
        <w:tblW w:w="10011" w:type="dxa"/>
        <w:tblInd w:w="-95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6"/>
        <w:gridCol w:w="1562"/>
        <w:gridCol w:w="1157"/>
        <w:gridCol w:w="1157"/>
        <w:gridCol w:w="676"/>
        <w:gridCol w:w="676"/>
        <w:gridCol w:w="676"/>
        <w:gridCol w:w="847"/>
        <w:gridCol w:w="586"/>
        <w:gridCol w:w="526"/>
        <w:gridCol w:w="13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990"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4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4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提高预算编制质量，严格执行预算，保障单位日常运转。</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宋体" w:eastAsia="宋体" w:cs="Arial"/>
                <w:color w:val="000000"/>
                <w:sz w:val="18"/>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8.45</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8.45</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8.45</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8.45</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8.45</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8.45</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科目调整次数</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质量指标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预算编制准确率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经济效益指标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“三公经费”控制率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运转保障率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50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31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68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tbl>
      <w:tblPr>
        <w:tblStyle w:val="12"/>
        <w:tblW w:w="0" w:type="auto"/>
        <w:tblInd w:w="-4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3"/>
        <w:gridCol w:w="1385"/>
        <w:gridCol w:w="1032"/>
        <w:gridCol w:w="1032"/>
        <w:gridCol w:w="615"/>
        <w:gridCol w:w="615"/>
        <w:gridCol w:w="615"/>
        <w:gridCol w:w="764"/>
        <w:gridCol w:w="537"/>
        <w:gridCol w:w="485"/>
        <w:gridCol w:w="12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990"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40"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4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c>
          <w:tcPr>
            <w:tcW w:w="333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665"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r>
              <w:rPr>
                <w:rFonts w:ascii="宋体" w:eastAsia="宋体" w:cs="Arial"/>
                <w:color w:val="000000"/>
                <w:sz w:val="18"/>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144.94</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145.05</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145.05</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144.94</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145.05</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145.05</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发放（缴纳）覆盖率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60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足额保障率（参保率）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500"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225"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31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680"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pStyle w:val="2"/>
      </w:pPr>
    </w:p>
    <w:p>
      <w:pPr>
        <w:pStyle w:val="2"/>
      </w:pPr>
    </w:p>
    <w:p>
      <w:pPr>
        <w:pStyle w:val="2"/>
      </w:pPr>
    </w:p>
    <w:tbl>
      <w:tblPr>
        <w:tblStyle w:val="12"/>
        <w:tblW w:w="9996" w:type="dxa"/>
        <w:tblInd w:w="-41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5"/>
        <w:gridCol w:w="1560"/>
        <w:gridCol w:w="1155"/>
        <w:gridCol w:w="1155"/>
        <w:gridCol w:w="675"/>
        <w:gridCol w:w="675"/>
        <w:gridCol w:w="675"/>
        <w:gridCol w:w="846"/>
        <w:gridCol w:w="585"/>
        <w:gridCol w:w="525"/>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996"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671"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846"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4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3336"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335"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提高预算编制质量，严格执行预算，保障单位日常运转。</w:t>
            </w:r>
          </w:p>
        </w:tc>
        <w:tc>
          <w:tcPr>
            <w:tcW w:w="3336"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671"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21.60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21.60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21.60</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3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21.60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21.60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21.60</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025"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科目调整次数</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次</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质量指标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预算编制准确率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经济效益指标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“三公经费”控制率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社会效益指标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运转保障率</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67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846"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506"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评价结论</w:t>
            </w:r>
          </w:p>
        </w:tc>
        <w:tc>
          <w:tcPr>
            <w:tcW w:w="9231"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231"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结合自评情况，分析存在的问题及原因。（200字以内）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231"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针对项目自评中发现的问题，提出下一步改进完善的意见及有关政策性建议。（200字以内）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310"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w:t>
            </w:r>
            <w:r>
              <w:rPr>
                <w:rFonts w:hint="eastAsia" w:ascii="黑体" w:hAnsi="黑体" w:eastAsia="黑体" w:cs="黑体"/>
                <w:color w:val="000000"/>
                <w:kern w:val="0"/>
                <w:sz w:val="18"/>
                <w:szCs w:val="18"/>
                <w:lang w:eastAsia="zh-CN"/>
              </w:rPr>
              <w:t>何光远</w:t>
            </w:r>
          </w:p>
        </w:tc>
        <w:tc>
          <w:tcPr>
            <w:tcW w:w="4686"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w:t>
            </w:r>
            <w:r>
              <w:rPr>
                <w:rFonts w:hint="eastAsia" w:ascii="黑体" w:hAnsi="黑体" w:eastAsia="黑体" w:cs="黑体"/>
                <w:b w:val="0"/>
                <w:bCs w:val="0"/>
                <w:color w:val="000000"/>
                <w:kern w:val="0"/>
                <w:sz w:val="18"/>
                <w:szCs w:val="18"/>
                <w:lang w:eastAsia="zh-CN"/>
              </w:rPr>
              <w:t>李映龙</w:t>
            </w:r>
          </w:p>
        </w:tc>
      </w:tr>
    </w:tbl>
    <w:p>
      <w:pPr>
        <w:pStyle w:val="2"/>
        <w:spacing w:before="93" w:beforeLines="0"/>
      </w:pPr>
    </w:p>
    <w:p>
      <w:pPr>
        <w:spacing w:line="600" w:lineRule="exact"/>
        <w:ind w:left="0"/>
        <w:jc w:val="both"/>
        <w:outlineLvl w:val="0"/>
        <w:rPr>
          <w:rFonts w:hint="eastAsia" w:ascii="黑体" w:hAnsi="黑体" w:eastAsia="黑体"/>
          <w:color w:val="auto"/>
          <w:sz w:val="44"/>
          <w:szCs w:val="44"/>
          <w:highlight w:val="none"/>
        </w:rPr>
      </w:pPr>
    </w:p>
    <w:tbl>
      <w:tblPr>
        <w:tblStyle w:val="12"/>
        <w:tblpPr w:leftFromText="180" w:rightFromText="180" w:vertAnchor="text" w:horzAnchor="page" w:tblpX="901" w:tblpY="-74"/>
        <w:tblOverlap w:val="never"/>
        <w:tblW w:w="99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
        <w:gridCol w:w="1560"/>
        <w:gridCol w:w="1155"/>
        <w:gridCol w:w="1329"/>
        <w:gridCol w:w="630"/>
        <w:gridCol w:w="750"/>
        <w:gridCol w:w="810"/>
        <w:gridCol w:w="501"/>
        <w:gridCol w:w="585"/>
        <w:gridCol w:w="525"/>
        <w:gridCol w:w="13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9989" w:type="dxa"/>
            <w:gridSpan w:val="11"/>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eastAsia="黑体" w:cs="Arial"/>
                <w:b/>
                <w:i w:val="0"/>
                <w:color w:val="000000"/>
                <w:sz w:val="30"/>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项目名称</w:t>
            </w:r>
          </w:p>
        </w:tc>
        <w:tc>
          <w:tcPr>
            <w:tcW w:w="766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51080023T000008132912-省级文物保护专项资金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325" w:type="dxa"/>
            <w:gridSpan w:val="2"/>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主管部门</w:t>
            </w:r>
          </w:p>
        </w:tc>
        <w:tc>
          <w:tcPr>
            <w:tcW w:w="4674"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广元市文化广播电视和旅游局部门</w:t>
            </w:r>
          </w:p>
        </w:tc>
        <w:tc>
          <w:tcPr>
            <w:tcW w:w="501" w:type="dxa"/>
            <w:tcBorders>
              <w:top w:val="nil"/>
              <w:left w:val="nil"/>
              <w:bottom w:val="nil"/>
              <w:right w:val="nil"/>
              <w:tl2br w:val="nil"/>
              <w:tr2bl w:val="nil"/>
            </w:tcBorders>
            <w:noWrap/>
            <w:vAlign w:val="center"/>
          </w:tcPr>
          <w:p>
            <w:pPr>
              <w:jc w:val="center"/>
            </w:pPr>
            <w:r>
              <w:rPr>
                <w:rFonts w:ascii="黑体" w:hAnsi="黑体" w:eastAsia="黑体" w:cs="Arial"/>
                <w:color w:val="000000"/>
                <w:sz w:val="18"/>
              </w:rPr>
              <w:t>实施单位 （盖章）</w:t>
            </w:r>
          </w:p>
        </w:tc>
        <w:tc>
          <w:tcPr>
            <w:tcW w:w="24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皇泽寺博物馆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项目基本情况</w:t>
            </w: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1.项目年度目标完成情况</w:t>
            </w:r>
          </w:p>
        </w:tc>
        <w:tc>
          <w:tcPr>
            <w:tcW w:w="4674"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项目年度目标</w:t>
            </w:r>
          </w:p>
        </w:tc>
        <w:tc>
          <w:tcPr>
            <w:tcW w:w="299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4674"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是第二次国内革命战争时期中国共产党领导的川陕革命根据地的重要组成部分，是川陕革命根据地的第二大区域、西线的主战场、后期的中心和红四方面军长征的出发地。为弘扬红军精神，加快革命老区建设，激励人民建设更加美好家园，皇泽寺博物馆牵头组织编制《嘉陵江战役（广元段）重点展示园方案设计》，为今后嘉陵江战役（广元段）整体保护及利用奠定基础。</w:t>
            </w:r>
          </w:p>
        </w:tc>
        <w:tc>
          <w:tcPr>
            <w:tcW w:w="2990" w:type="dxa"/>
            <w:gridSpan w:val="4"/>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是第二次国内革命战争时期中国共产党领导的川陕革命根据地的重要组成部分，是川陕革命根据地的第二大区域、西线的主战场、后期的中心和红四方面军长征的出发地。为弘扬红军精神，加快革命老区建设，激励人民建设更加美好家园，皇泽寺博物馆牵头组织编制《嘉陵江战役（广元段）重点展示园方案设计》，为今后嘉陵江战役（广元段）整体保护及利用奠定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2.项目实施内容及过程概述</w:t>
            </w:r>
          </w:p>
        </w:tc>
        <w:tc>
          <w:tcPr>
            <w:tcW w:w="7664" w:type="dxa"/>
            <w:gridSpan w:val="9"/>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广元是第二次国内革命战争时期中国共产党领导的川陕革命根据地的重要组成部分，是川陕革命根据地的第二大区域、西线的主战场、后期的中心和红四方面军长征的出发地。为弘扬红军精神，加快革命老区建设，激励人民建设更加美好家园，皇泽寺博物馆牵头组织编制《嘉陵江战役（广元段）重点展示园方案设计》，为今后嘉陵江战役（广元段）整体保护及利用奠定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预算执行情况（10分）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年度预算数（万元）</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年初预算</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调整后预算数</w:t>
            </w:r>
          </w:p>
        </w:tc>
        <w:tc>
          <w:tcPr>
            <w:tcW w:w="21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预算执行数</w:t>
            </w: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预算执行率</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总额</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21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49.87</w:t>
            </w: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49.87%</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8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其中：财政资金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100.00</w:t>
            </w:r>
          </w:p>
        </w:tc>
        <w:tc>
          <w:tcPr>
            <w:tcW w:w="21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49.87</w:t>
            </w: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49.87%</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财政专户管理资金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1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单位资金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21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0.00%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其他资金</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2190" w:type="dxa"/>
            <w:gridSpan w:val="3"/>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65"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绩效指标（90分）</w:t>
            </w: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一级指标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二级指标</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三级指标</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指标性质</w:t>
            </w:r>
          </w:p>
        </w:tc>
        <w:tc>
          <w:tcPr>
            <w:tcW w:w="7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指标值</w:t>
            </w:r>
          </w:p>
        </w:tc>
        <w:tc>
          <w:tcPr>
            <w:tcW w:w="8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度量单位</w:t>
            </w: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完成值</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权重</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得分</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vMerge w:val="restart"/>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产出指标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数量指标</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方案1套</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7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8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套</w:t>
            </w: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质量指标</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方案通过专家论证及省市文物主管部门评审</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7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通过审批</w:t>
            </w:r>
          </w:p>
        </w:tc>
        <w:tc>
          <w:tcPr>
            <w:tcW w:w="8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通过审批</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时效指标</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2023年实施完毕</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7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365</w:t>
            </w:r>
          </w:p>
        </w:tc>
        <w:tc>
          <w:tcPr>
            <w:tcW w:w="8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工作日</w:t>
            </w: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365</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效益指标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可持续发展指标</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制定该方案，旨在保护嘉陵江战役广元段革命文物资源，为制定详细保护规划及实施具体项目从源头上进行顶层设计，使文物永续利用及可持续发展</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定性</w:t>
            </w:r>
          </w:p>
        </w:tc>
        <w:tc>
          <w:tcPr>
            <w:tcW w:w="7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优</w:t>
            </w:r>
          </w:p>
        </w:tc>
        <w:tc>
          <w:tcPr>
            <w:tcW w:w="8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优</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20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9" w:hRule="atLeast"/>
        </w:trPr>
        <w:tc>
          <w:tcPr>
            <w:vMerge w:val="continue"/>
            <w:tcBorders>
              <w:top w:val="single" w:color="000000" w:sz="6" w:space="0"/>
              <w:left w:val="single" w:color="000000" w:sz="6" w:space="0"/>
              <w:bottom w:val="single" w:color="000000" w:sz="6" w:space="0"/>
              <w:right w:val="single" w:color="000000" w:sz="6" w:space="0"/>
              <w:tl2br w:val="nil"/>
              <w:tr2bl w:val="nil"/>
            </w:tcBorders>
            <w:noWrap/>
            <w:vAlign w:val="center"/>
          </w:tcPr>
          <w:p/>
        </w:tc>
        <w:tc>
          <w:tcPr>
            <w:tcW w:w="156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成本指标</w:t>
            </w:r>
          </w:p>
        </w:tc>
        <w:tc>
          <w:tcPr>
            <w:tcW w:w="115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经济成本指标</w:t>
            </w:r>
          </w:p>
        </w:tc>
        <w:tc>
          <w:tcPr>
            <w:tcW w:w="1329"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嘉陵江战役广元段涉及苍溪、剑阁、昭化、旺苍、利州等县区，该方案促进各县区资源整合，共同建设革命产业园区，具有良好的社会效益</w:t>
            </w:r>
          </w:p>
        </w:tc>
        <w:tc>
          <w:tcPr>
            <w:tcW w:w="63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w:t>
            </w:r>
          </w:p>
        </w:tc>
        <w:tc>
          <w:tcPr>
            <w:tcW w:w="75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81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万</w:t>
            </w:r>
          </w:p>
        </w:tc>
        <w:tc>
          <w:tcPr>
            <w:tcW w:w="501"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7499" w:type="dxa"/>
            <w:gridSpan w:val="8"/>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合计</w:t>
            </w:r>
          </w:p>
        </w:tc>
        <w:tc>
          <w:tcPr>
            <w:tcW w:w="58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52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100</w:t>
            </w:r>
          </w:p>
        </w:tc>
        <w:tc>
          <w:tcPr>
            <w:tcW w:w="1380" w:type="dxa"/>
            <w:tcBorders>
              <w:top w:val="single" w:color="000000" w:sz="6" w:space="0"/>
              <w:left w:val="single" w:color="000000" w:sz="6" w:space="0"/>
              <w:bottom w:val="single" w:color="000000" w:sz="6" w:space="0"/>
              <w:right w:val="single" w:color="000000" w:sz="6" w:space="0"/>
              <w:tl2br w:val="nil"/>
              <w:tr2bl w:val="nil"/>
            </w:tcBorders>
            <w:noWrap/>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sz w:val="18"/>
                <w:szCs w:val="18"/>
              </w:rPr>
            </w:pPr>
            <w:r>
              <w:rPr>
                <w:rFonts w:ascii="宋体" w:eastAsia="宋体" w:cs="Arial"/>
                <w:color w:val="000000"/>
                <w:sz w:val="18"/>
                <w:szCs w:val="18"/>
              </w:rPr>
              <w:t>评价结论</w:t>
            </w:r>
          </w:p>
        </w:tc>
        <w:tc>
          <w:tcPr>
            <w:tcW w:w="922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rPr>
                <w:sz w:val="18"/>
                <w:szCs w:val="18"/>
              </w:rPr>
            </w:pPr>
            <w:r>
              <w:rPr>
                <w:rFonts w:ascii="微软雅黑" w:eastAsia="微软雅黑" w:cs="Arial"/>
                <w:b w:val="0"/>
                <w:i/>
                <w:color w:val="000000"/>
                <w:sz w:val="18"/>
                <w:szCs w:val="18"/>
              </w:rPr>
              <w:t>结合自评情况，说明项目自评总分100分，</w:t>
            </w:r>
            <w:r>
              <w:rPr>
                <w:rFonts w:ascii="宋体" w:eastAsia="宋体" w:cs="Arial"/>
                <w:color w:val="000000"/>
                <w:sz w:val="18"/>
                <w:szCs w:val="18"/>
              </w:rPr>
              <w:t>弘扬红军精神，加快革命老区建设，激励人民建设更加美好家园，皇泽寺博物馆牵头组织编制《嘉陵江战役（广元段）重点展示园方案设计》，为今后嘉陵江战役（广元段）整体保护及利用奠定基础。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存在问题</w:t>
            </w:r>
          </w:p>
        </w:tc>
        <w:tc>
          <w:tcPr>
            <w:tcW w:w="922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765" w:type="dxa"/>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宋体" w:eastAsia="宋体" w:cs="Arial"/>
                <w:color w:val="000000"/>
                <w:sz w:val="18"/>
              </w:rPr>
              <w:t>改进措施</w:t>
            </w:r>
          </w:p>
        </w:tc>
        <w:tc>
          <w:tcPr>
            <w:tcW w:w="9224" w:type="dxa"/>
            <w:gridSpan w:val="10"/>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微软雅黑" w:eastAsia="微软雅黑" w:cs="Arial"/>
                <w:b w:val="0"/>
                <w:i/>
                <w:color w:val="000000"/>
                <w:sz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5438" w:type="dxa"/>
            <w:gridSpan w:val="5"/>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项目负责人：何光远</w:t>
            </w:r>
          </w:p>
        </w:tc>
        <w:tc>
          <w:tcPr>
            <w:tcW w:w="4551" w:type="dxa"/>
            <w:gridSpan w:val="6"/>
            <w:tcBorders>
              <w:top w:val="single" w:color="000000" w:sz="6" w:space="0"/>
              <w:left w:val="single" w:color="000000" w:sz="6" w:space="0"/>
              <w:bottom w:val="single" w:color="000000" w:sz="6" w:space="0"/>
              <w:right w:val="single" w:color="000000" w:sz="6" w:space="0"/>
              <w:tl2br w:val="nil"/>
              <w:tr2bl w:val="nil"/>
            </w:tcBorders>
            <w:noWrap/>
            <w:vAlign w:val="center"/>
          </w:tcPr>
          <w:p>
            <w:pPr>
              <w:jc w:val="center"/>
            </w:pPr>
            <w:r>
              <w:rPr>
                <w:rFonts w:ascii="黑体" w:hAnsi="黑体" w:eastAsia="黑体" w:cs="Arial"/>
                <w:color w:val="000000"/>
                <w:sz w:val="18"/>
              </w:rPr>
              <w:t>财务负责人：李映龙</w:t>
            </w:r>
          </w:p>
        </w:tc>
      </w:tr>
    </w:tbl>
    <w:p>
      <w:pPr>
        <w:spacing w:line="600" w:lineRule="exact"/>
        <w:jc w:val="both"/>
        <w:outlineLvl w:val="0"/>
        <w:rPr>
          <w:rFonts w:ascii="黑体" w:hAnsi="黑体" w:eastAsia="黑体"/>
          <w:color w:val="auto"/>
          <w:sz w:val="44"/>
          <w:szCs w:val="44"/>
          <w:highlight w:val="none"/>
        </w:rPr>
      </w:pPr>
    </w:p>
    <w:p>
      <w:pPr>
        <w:pStyle w:val="2"/>
        <w:rPr>
          <w:rFonts w:hint="eastAsia"/>
        </w:rPr>
      </w:pPr>
    </w:p>
    <w:p>
      <w:pPr>
        <w:spacing w:line="600" w:lineRule="exact"/>
        <w:jc w:val="center"/>
        <w:outlineLvl w:val="0"/>
        <w:rPr>
          <w:rFonts w:hint="eastAsia" w:ascii="仿宋" w:hAnsi="仿宋" w:eastAsia="仿宋"/>
          <w:b w:val="0"/>
          <w:color w:val="auto"/>
          <w:highlight w:val="none"/>
        </w:rPr>
      </w:pPr>
      <w:bookmarkStart w:id="81" w:name="_Toc223"/>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五部分附表</w:t>
      </w:r>
      <w:bookmarkEnd w:id="78"/>
      <w:bookmarkEnd w:id="80"/>
      <w:bookmarkEnd w:id="81"/>
      <w:bookmarkStart w:id="82" w:name="_Toc15396619"/>
    </w:p>
    <w:p>
      <w:pPr>
        <w:pStyle w:val="4"/>
        <w:rPr>
          <w:rFonts w:ascii="仿宋" w:hAnsi="仿宋" w:eastAsia="仿宋"/>
          <w:color w:val="auto"/>
          <w:highlight w:val="none"/>
        </w:rPr>
      </w:pPr>
      <w:bookmarkStart w:id="83" w:name="_Toc6158"/>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82"/>
      <w:bookmarkEnd w:id="83"/>
    </w:p>
    <w:p>
      <w:pPr>
        <w:pStyle w:val="4"/>
        <w:rPr>
          <w:rFonts w:ascii="仿宋" w:hAnsi="仿宋" w:eastAsia="仿宋"/>
          <w:color w:val="auto"/>
          <w:highlight w:val="none"/>
        </w:rPr>
      </w:pPr>
      <w:bookmarkStart w:id="84" w:name="_Toc12575"/>
      <w:bookmarkStart w:id="85" w:name="_Toc15396620"/>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84"/>
      <w:bookmarkEnd w:id="85"/>
    </w:p>
    <w:p>
      <w:pPr>
        <w:pStyle w:val="4"/>
        <w:rPr>
          <w:rFonts w:ascii="仿宋" w:hAnsi="仿宋" w:eastAsia="仿宋"/>
          <w:color w:val="auto"/>
          <w:highlight w:val="none"/>
        </w:rPr>
      </w:pPr>
      <w:bookmarkStart w:id="86" w:name="_Toc2880"/>
      <w:bookmarkStart w:id="87" w:name="_Toc15396621"/>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86"/>
      <w:bookmarkEnd w:id="87"/>
    </w:p>
    <w:p>
      <w:pPr>
        <w:pStyle w:val="4"/>
        <w:rPr>
          <w:rFonts w:ascii="仿宋" w:hAnsi="仿宋" w:eastAsia="仿宋"/>
          <w:b w:val="0"/>
          <w:color w:val="auto"/>
          <w:highlight w:val="none"/>
        </w:rPr>
      </w:pPr>
      <w:bookmarkStart w:id="88" w:name="_Toc2384"/>
      <w:bookmarkStart w:id="89" w:name="_Toc15396622"/>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88"/>
      <w:bookmarkEnd w:id="89"/>
    </w:p>
    <w:p>
      <w:pPr>
        <w:pStyle w:val="4"/>
        <w:rPr>
          <w:rStyle w:val="17"/>
          <w:rFonts w:ascii="仿宋" w:hAnsi="仿宋" w:eastAsia="仿宋"/>
          <w:b w:val="0"/>
          <w:bCs w:val="0"/>
          <w:color w:val="auto"/>
          <w:highlight w:val="none"/>
        </w:rPr>
      </w:pPr>
      <w:bookmarkStart w:id="90" w:name="_Toc15396623"/>
      <w:bookmarkStart w:id="91" w:name="_Toc13430"/>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90"/>
      <w:bookmarkEnd w:id="91"/>
      <w:bookmarkStart w:id="92" w:name="_Toc15396624"/>
    </w:p>
    <w:p>
      <w:pPr>
        <w:pStyle w:val="4"/>
        <w:rPr>
          <w:rFonts w:ascii="仿宋" w:hAnsi="仿宋" w:eastAsia="仿宋"/>
          <w:color w:val="auto"/>
          <w:highlight w:val="none"/>
        </w:rPr>
      </w:pPr>
      <w:bookmarkStart w:id="93" w:name="_Toc8944"/>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92"/>
      <w:bookmarkEnd w:id="93"/>
    </w:p>
    <w:p>
      <w:pPr>
        <w:pStyle w:val="4"/>
        <w:rPr>
          <w:rFonts w:ascii="仿宋" w:hAnsi="仿宋" w:eastAsia="仿宋"/>
          <w:color w:val="auto"/>
          <w:highlight w:val="none"/>
        </w:rPr>
      </w:pPr>
      <w:bookmarkStart w:id="94" w:name="_Toc15396625"/>
      <w:bookmarkStart w:id="95" w:name="_Toc10227"/>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94"/>
      <w:bookmarkEnd w:id="95"/>
    </w:p>
    <w:p>
      <w:pPr>
        <w:pStyle w:val="4"/>
        <w:rPr>
          <w:rFonts w:ascii="仿宋" w:hAnsi="仿宋" w:eastAsia="仿宋"/>
          <w:color w:val="auto"/>
          <w:highlight w:val="none"/>
        </w:rPr>
      </w:pPr>
      <w:bookmarkStart w:id="96" w:name="_Toc1797"/>
      <w:bookmarkStart w:id="97" w:name="_Toc15396626"/>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96"/>
      <w:bookmarkEnd w:id="97"/>
    </w:p>
    <w:p>
      <w:pPr>
        <w:pStyle w:val="4"/>
        <w:rPr>
          <w:rFonts w:ascii="仿宋" w:hAnsi="仿宋" w:eastAsia="仿宋"/>
          <w:color w:val="auto"/>
          <w:highlight w:val="none"/>
        </w:rPr>
      </w:pPr>
      <w:bookmarkStart w:id="98" w:name="_Toc15396627"/>
      <w:bookmarkStart w:id="99" w:name="_Toc16682"/>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98"/>
      <w:bookmarkEnd w:id="99"/>
    </w:p>
    <w:p>
      <w:pPr>
        <w:pStyle w:val="4"/>
        <w:rPr>
          <w:rFonts w:ascii="仿宋" w:hAnsi="仿宋" w:eastAsia="仿宋"/>
          <w:color w:val="auto"/>
          <w:highlight w:val="none"/>
        </w:rPr>
      </w:pPr>
      <w:bookmarkStart w:id="100" w:name="_Toc15396628"/>
      <w:bookmarkStart w:id="101" w:name="_Toc26525"/>
      <w:r>
        <w:rPr>
          <w:rStyle w:val="17"/>
          <w:rFonts w:hint="eastAsia" w:ascii="仿宋" w:hAnsi="仿宋" w:eastAsia="仿宋"/>
          <w:b w:val="0"/>
          <w:bCs w:val="0"/>
          <w:color w:val="auto"/>
          <w:highlight w:val="none"/>
        </w:rPr>
        <w:t>十、</w:t>
      </w:r>
      <w:bookmarkEnd w:id="100"/>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101"/>
    </w:p>
    <w:p>
      <w:pPr>
        <w:pStyle w:val="4"/>
        <w:rPr>
          <w:rFonts w:ascii="仿宋" w:hAnsi="仿宋" w:eastAsia="仿宋"/>
          <w:color w:val="auto"/>
          <w:highlight w:val="none"/>
        </w:rPr>
      </w:pPr>
      <w:bookmarkStart w:id="102" w:name="_Toc15396629"/>
      <w:bookmarkStart w:id="103" w:name="_Toc9421"/>
      <w:r>
        <w:rPr>
          <w:rStyle w:val="17"/>
          <w:rFonts w:hint="eastAsia" w:ascii="仿宋" w:hAnsi="仿宋" w:eastAsia="仿宋"/>
          <w:b w:val="0"/>
          <w:bCs w:val="0"/>
          <w:color w:val="auto"/>
          <w:highlight w:val="none"/>
        </w:rPr>
        <w:t>十一、</w:t>
      </w:r>
      <w:bookmarkEnd w:id="102"/>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103"/>
    </w:p>
    <w:p>
      <w:pPr>
        <w:pStyle w:val="4"/>
        <w:rPr>
          <w:rFonts w:ascii="仿宋" w:hAnsi="仿宋" w:eastAsia="仿宋"/>
          <w:color w:val="auto"/>
          <w:highlight w:val="none"/>
        </w:rPr>
      </w:pPr>
      <w:bookmarkStart w:id="104" w:name="_Toc15396630"/>
      <w:bookmarkStart w:id="105" w:name="_Toc3601"/>
      <w:r>
        <w:rPr>
          <w:rStyle w:val="17"/>
          <w:rFonts w:hint="eastAsia" w:ascii="仿宋" w:hAnsi="仿宋" w:eastAsia="仿宋"/>
          <w:b w:val="0"/>
          <w:bCs w:val="0"/>
          <w:color w:val="auto"/>
          <w:highlight w:val="none"/>
        </w:rPr>
        <w:t>十二、</w:t>
      </w:r>
      <w:bookmarkEnd w:id="104"/>
      <w:r>
        <w:rPr>
          <w:rStyle w:val="17"/>
          <w:rFonts w:hint="eastAsia" w:ascii="仿宋" w:hAnsi="仿宋" w:eastAsia="仿宋"/>
          <w:b w:val="0"/>
          <w:bCs w:val="0"/>
          <w:color w:val="auto"/>
          <w:highlight w:val="none"/>
          <w:lang w:eastAsia="zh-CN"/>
        </w:rPr>
        <w:t>国有资本经营预算财政拨款支出决算表</w:t>
      </w:r>
      <w:bookmarkEnd w:id="105"/>
    </w:p>
    <w:p>
      <w:pPr>
        <w:pStyle w:val="4"/>
        <w:rPr>
          <w:rFonts w:hint="eastAsia" w:eastAsia="仿宋"/>
          <w:color w:val="auto"/>
          <w:highlight w:val="none"/>
          <w:lang w:eastAsia="zh-CN"/>
        </w:rPr>
      </w:pPr>
      <w:bookmarkStart w:id="106" w:name="_Toc15396631"/>
      <w:bookmarkStart w:id="107" w:name="_Toc6269"/>
      <w:r>
        <w:rPr>
          <w:rStyle w:val="17"/>
          <w:rFonts w:hint="eastAsia" w:ascii="仿宋" w:hAnsi="仿宋" w:eastAsia="仿宋"/>
          <w:b w:val="0"/>
          <w:bCs w:val="0"/>
          <w:color w:val="auto"/>
          <w:highlight w:val="none"/>
        </w:rPr>
        <w:t>十三、</w:t>
      </w:r>
      <w:bookmarkEnd w:id="106"/>
      <w:r>
        <w:rPr>
          <w:rStyle w:val="17"/>
          <w:rFonts w:hint="eastAsia" w:ascii="仿宋" w:hAnsi="仿宋" w:eastAsia="仿宋"/>
          <w:b w:val="0"/>
          <w:bCs w:val="0"/>
          <w:color w:val="auto"/>
          <w:highlight w:val="none"/>
          <w:lang w:eastAsia="zh-CN"/>
        </w:rPr>
        <w:t>财政拨款“三公”经费支出决算表</w:t>
      </w:r>
      <w:bookmarkEnd w:id="107"/>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pPr>
        <w:ind w:left="0" w:firstLine="0"/>
      </w:pPr>
      <w:rPr>
        <w:rFonts w:hint="eastAsia"/>
      </w:rPr>
    </w:lvl>
  </w:abstractNum>
  <w:abstractNum w:abstractNumId="1">
    <w:nsid w:val="E2FA047D"/>
    <w:multiLevelType w:val="singleLevel"/>
    <w:tmpl w:val="E2FA047D"/>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2632FBDF"/>
    <w:multiLevelType w:val="singleLevel"/>
    <w:tmpl w:val="2632FBDF"/>
    <w:lvl w:ilvl="0" w:tentative="0">
      <w:start w:val="1"/>
      <w:numFmt w:val="decimal"/>
      <w:suff w:val="nothing"/>
      <w:lvlText w:val="%1．"/>
      <w:lvlJc w:val="left"/>
      <w:pPr>
        <w:ind w:left="0" w:firstLine="400"/>
      </w:pPr>
      <w:rPr>
        <w:rFonts w:hint="default"/>
      </w:rPr>
    </w:lvl>
  </w:abstractNum>
  <w:abstractNum w:abstractNumId="4">
    <w:nsid w:val="37BEFC32"/>
    <w:multiLevelType w:val="singleLevel"/>
    <w:tmpl w:val="37BEFC32"/>
    <w:lvl w:ilvl="0" w:tentative="0">
      <w:start w:val="3"/>
      <w:numFmt w:val="decimal"/>
      <w:suff w:val="nothing"/>
      <w:lvlText w:val="%1、"/>
      <w:lvlJc w:val="left"/>
      <w:pPr>
        <w:ind w:left="0" w:firstLine="0"/>
      </w:pPr>
    </w:lvl>
  </w:abstractNum>
  <w:abstractNum w:abstractNumId="5">
    <w:nsid w:val="3818A09A"/>
    <w:multiLevelType w:val="singleLevel"/>
    <w:tmpl w:val="3818A09A"/>
    <w:lvl w:ilvl="0" w:tentative="0">
      <w:start w:val="1"/>
      <w:numFmt w:val="chineseCounting"/>
      <w:suff w:val="nothing"/>
      <w:lvlText w:val="%1、"/>
      <w:lvlJc w:val="left"/>
      <w:pPr>
        <w:ind w:left="0" w:firstLine="0"/>
      </w:pPr>
      <w:rPr>
        <w:rFonts w:hint="eastAsia"/>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dit="readOnly"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YTc2ZGZiNzZiNDVlOGViOWVmM2JhOTY0NGJkNjUyYzgifQ=="/>
  </w:docVars>
  <w:rsids>
    <w:rsidRoot w:val="00000000"/>
    <w:rsid w:val="2B6346A9"/>
    <w:rsid w:val="45703FD4"/>
    <w:rsid w:val="5FF9A330"/>
    <w:rsid w:val="FF97B7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17"/>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30" w:beforeLines="30"/>
    </w:pPr>
    <w:rPr>
      <w:rFonts w:ascii="仿宋_GB2312" w:eastAsia="仿宋_GB2312"/>
      <w:kern w:val="0"/>
      <w:sz w:val="30"/>
    </w:rPr>
  </w:style>
  <w:style w:type="paragraph" w:styleId="6">
    <w:name w:val="toc 3"/>
    <w:basedOn w:val="1"/>
    <w:next w:val="1"/>
    <w:qFormat/>
    <w:uiPriority w:val="0"/>
    <w:pPr>
      <w:tabs>
        <w:tab w:val="right" w:leader="dot" w:pos="8296"/>
      </w:tabs>
      <w:ind w:left="400" w:leftChars="400"/>
    </w:p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11">
    <w:name w:val="toc 2"/>
    <w:basedOn w:val="1"/>
    <w:next w:val="1"/>
    <w:qFormat/>
    <w:uiPriority w:val="0"/>
    <w:pPr>
      <w:tabs>
        <w:tab w:val="right" w:leader="dot" w:pos="8296"/>
      </w:tabs>
      <w:ind w:left="200" w:leftChars="200"/>
    </w:p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customStyle="1" w:styleId="16">
    <w:name w:val="heading 1 Char"/>
    <w:basedOn w:val="13"/>
    <w:link w:val="3"/>
    <w:qFormat/>
    <w:uiPriority w:val="0"/>
    <w:rPr>
      <w:rFonts w:ascii="Times New Roman" w:hAnsi="Times New Roman" w:eastAsia="宋体" w:cs="Times New Roman"/>
      <w:b/>
      <w:bCs/>
      <w:kern w:val="44"/>
      <w:sz w:val="44"/>
      <w:szCs w:val="44"/>
      <w:lang w:val="en-US" w:eastAsia="zh-CN" w:bidi="ar-SA"/>
    </w:rPr>
  </w:style>
  <w:style w:type="character" w:customStyle="1" w:styleId="17">
    <w:name w:val="heading 2 Char"/>
    <w:basedOn w:val="13"/>
    <w:link w:val="4"/>
    <w:qFormat/>
    <w:uiPriority w:val="0"/>
    <w:rPr>
      <w:rFonts w:ascii="Cambria" w:hAnsi="Cambria" w:eastAsia="宋体" w:cs="Times New Roman"/>
      <w:b/>
      <w:bCs/>
      <w:kern w:val="2"/>
      <w:sz w:val="32"/>
      <w:szCs w:val="32"/>
      <w:lang w:val="en-US" w:eastAsia="zh-CN" w:bidi="ar-SA"/>
    </w:rPr>
  </w:style>
  <w:style w:type="character" w:customStyle="1" w:styleId="18">
    <w:name w:val="Header Char"/>
    <w:basedOn w:val="13"/>
    <w:qFormat/>
    <w:uiPriority w:val="0"/>
    <w:rPr>
      <w:rFonts w:ascii="Times New Roman" w:hAnsi="Times New Roman"/>
      <w:sz w:val="18"/>
      <w:szCs w:val="18"/>
    </w:rPr>
  </w:style>
  <w:style w:type="character" w:customStyle="1" w:styleId="19">
    <w:name w:val="Footer Char"/>
    <w:basedOn w:val="13"/>
    <w:qFormat/>
    <w:uiPriority w:val="0"/>
    <w:rPr>
      <w:rFonts w:ascii="Times New Roman" w:hAnsi="Times New Roman"/>
      <w:sz w:val="18"/>
      <w:szCs w:val="18"/>
    </w:rPr>
  </w:style>
  <w:style w:type="character" w:customStyle="1" w:styleId="20">
    <w:name w:val="Body Text Char"/>
    <w:basedOn w:val="13"/>
    <w:qFormat/>
    <w:uiPriority w:val="0"/>
    <w:rPr>
      <w:rFonts w:ascii="Times New Roman" w:hAnsi="Times New Roman"/>
      <w:szCs w:val="24"/>
    </w:rPr>
  </w:style>
  <w:style w:type="paragraph" w:customStyle="1" w:styleId="21">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2">
    <w:name w:val="List Paragraph"/>
    <w:basedOn w:val="1"/>
    <w:qFormat/>
    <w:uiPriority w:val="0"/>
    <w:pPr>
      <w:ind w:firstLine="200" w:firstLineChars="200"/>
    </w:pPr>
  </w:style>
  <w:style w:type="paragraph" w:customStyle="1" w:styleId="23">
    <w:name w:val="TOC 标题1"/>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4">
    <w:name w:val="TOC Heading"/>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25">
    <w:name w:val="font01"/>
    <w:basedOn w:val="13"/>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收、支决算总计变动情况图</a:t>
            </a:r>
            <a:endParaRPr lang="zh-CN"/>
          </a:p>
        </c:rich>
      </c:tx>
      <c:layout/>
      <c:overlay val="false"/>
      <c:spPr>
        <a:noFill/>
        <a:ln>
          <a:noFill/>
        </a:ln>
      </c:spPr>
    </c:title>
    <c:autoTitleDeleted val="false"/>
    <c:plotArea>
      <c:layout/>
      <c:barChart>
        <c:barDir val="col"/>
        <c:grouping val="clustered"/>
        <c:varyColors val="false"/>
        <c:ser>
          <c:idx val="0"/>
          <c:order val="0"/>
          <c:spPr>
            <a:solidFill>
              <a:srgbClr val="4F81BD"/>
            </a:solidFill>
            <a:ln>
              <a:noFill/>
            </a:ln>
          </c:spPr>
          <c:invertIfNegative val="false"/>
          <c:dLbls>
            <c:dLbl>
              <c:idx val="0"/>
              <c:layout/>
              <c:numFmt formatCode="General"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numFmt formatCode="General"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{""2023年"",""2022年""}</c:f>
              <c:strCache>
                <c:ptCount val="2"/>
                <c:pt idx="0">
                  <c:v>"2023年"</c:v>
                </c:pt>
                <c:pt idx="1">
                  <c:v>"2022年"</c:v>
                </c:pt>
              </c:strCache>
            </c:strRef>
          </c:cat>
          <c:val>
            <c:numRef>
              <c:f>{1079.54,903.84}</c:f>
              <c:numCache>
                <c:formatCode>General</c:formatCode>
                <c:ptCount val="2"/>
                <c:pt idx="0">
                  <c:v>1079.54</c:v>
                </c:pt>
                <c:pt idx="1">
                  <c:v>903.84</c:v>
                </c:pt>
              </c:numCache>
            </c:numRef>
          </c:val>
        </c:ser>
        <c:dLbls>
          <c:showLegendKey val="false"/>
          <c:showVal val="true"/>
          <c:showCatName val="false"/>
          <c:showSerName val="false"/>
          <c:showPercent val="false"/>
          <c:showBubbleSize val="false"/>
        </c:dLbls>
        <c:gapWidth val="246"/>
        <c:overlap val="-28"/>
        <c:axId val="0"/>
        <c:axId val="1"/>
      </c:barChart>
      <c:catAx>
        <c:axId val="0"/>
        <c:scaling>
          <c:orientation val="minMax"/>
        </c:scaling>
        <c:delete val="false"/>
        <c:axPos val="b"/>
        <c:numFmt formatCode="General" sourceLinked="false"/>
        <c:majorTickMark val="none"/>
        <c:minorTickMark val="none"/>
        <c:tickLblPos val="nextTo"/>
        <c:spPr>
          <a:ln w="6350" cap="flat" cmpd="sng" algn="ctr">
            <a:solidFill>
              <a:srgbClr val="D9D9D9"/>
            </a:solid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true"/>
        <c:lblAlgn val="ctr"/>
        <c:lblOffset val="100"/>
        <c:noMultiLvlLbl val="false"/>
      </c:catAx>
      <c:valAx>
        <c:axId val="1"/>
        <c:scaling>
          <c:orientation val="minMax"/>
        </c:scaling>
        <c:delete val="false"/>
        <c:axPos val="l"/>
        <c:majorGridlines>
          <c:spPr>
            <a:ln w="6350" cap="flat" cmpd="sng" algn="ctr">
              <a:solidFill>
                <a:srgbClr val="E6E6E6"/>
              </a:solidFill>
              <a:prstDash val="solid"/>
              <a:round/>
            </a:ln>
          </c:spPr>
        </c:majorGridlines>
        <c:numFmt formatCode="General" sourceLinked="true"/>
        <c:majorTickMark val="none"/>
        <c:minorTickMark val="none"/>
        <c:tickLblPos val="nextTo"/>
        <c:spPr>
          <a:ln w="9525" cap="flat" cmpd="sng" algn="ctr">
            <a:no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收入决算结构图</a:t>
            </a:r>
            <a:endParaRPr lang="zh-CN"/>
          </a:p>
        </c:rich>
      </c:tx>
      <c:layout/>
      <c:overlay val="false"/>
      <c:spPr>
        <a:noFill/>
        <a:ln>
          <a:noFill/>
        </a:ln>
      </c:spPr>
    </c:title>
    <c:autoTitleDeleted val="false"/>
    <c:plotArea>
      <c:layout/>
      <c:pieChart>
        <c:varyColors val="true"/>
        <c:ser>
          <c:idx val="0"/>
          <c:order val="0"/>
          <c:spPr>
            <a:solidFill>
              <a:srgbClr val="4F81BD"/>
            </a:solidFill>
            <a:ln>
              <a:noFill/>
            </a:ln>
          </c:spPr>
          <c:explosion val="0"/>
          <c:dPt>
            <c:idx val="0"/>
            <c:bubble3D val="false"/>
            <c:spPr>
              <a:solidFill>
                <a:srgbClr val="4F81BD"/>
              </a:solidFill>
              <a:ln w="6350">
                <a:solidFill>
                  <a:srgbClr val="FFFFFF"/>
                </a:solidFill>
                <a:prstDash val="solid"/>
              </a:ln>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{""一般公共预算财政拨款收入""}</c:f>
              <c:strCache>
                <c:ptCount val="1"/>
                <c:pt idx="0">
                  <c:v>"一般公共预算财政拨款收入"</c:v>
                </c:pt>
              </c:strCache>
            </c:strRef>
          </c:cat>
          <c:val>
            <c:numRef>
              <c:f>{1}</c:f>
              <c:numCache>
                <c:formatCode>General</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支出决算结构图</a:t>
            </a:r>
            <a:endParaRPr lang="zh-CN"/>
          </a:p>
        </c:rich>
      </c:tx>
      <c:layout/>
      <c:overlay val="false"/>
      <c:spPr>
        <a:noFill/>
        <a:ln>
          <a:noFill/>
        </a:ln>
      </c:spPr>
    </c:title>
    <c:autoTitleDeleted val="false"/>
    <c:plotArea>
      <c:layout/>
      <c:pieChart>
        <c:varyColors val="true"/>
        <c:ser>
          <c:idx val="0"/>
          <c:order val="0"/>
          <c:spPr>
            <a:solidFill>
              <a:srgbClr val="4F81BD"/>
            </a:solidFill>
            <a:ln>
              <a:noFill/>
            </a:ln>
          </c:spPr>
          <c:explosion val="0"/>
          <c:dPt>
            <c:idx val="0"/>
            <c:bubble3D val="false"/>
            <c:spPr>
              <a:solidFill>
                <a:srgbClr val="4F81BD"/>
              </a:solidFill>
              <a:ln w="6350">
                <a:solidFill>
                  <a:srgbClr val="FFFFFF"/>
                </a:solidFill>
                <a:prstDash val="solid"/>
              </a:ln>
            </c:spPr>
          </c:dPt>
          <c:dPt>
            <c:idx val="1"/>
            <c:bubble3D val="false"/>
            <c:spPr>
              <a:solidFill>
                <a:srgbClr val="C0504D"/>
              </a:solidFill>
              <a:ln w="6350">
                <a:solidFill>
                  <a:srgbClr val="FFFFFF"/>
                </a:solidFill>
                <a:prstDash val="solid"/>
              </a:ln>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{"基本支出","项目支出"}</c:f>
              <c:strCache>
                <c:ptCount val="2"/>
                <c:pt idx="0">
                  <c:v>基本支出</c:v>
                </c:pt>
                <c:pt idx="1">
                  <c:v>项目支出</c:v>
                </c:pt>
              </c:strCache>
            </c:strRef>
          </c:cat>
          <c:val>
            <c:numRef>
              <c:f>{0.4135,0.5864}</c:f>
              <c:numCache>
                <c:formatCode>General</c:formatCode>
                <c:ptCount val="2"/>
                <c:pt idx="0">
                  <c:v>0.4135</c:v>
                </c:pt>
                <c:pt idx="1">
                  <c:v>0.5864</c:v>
                </c:pt>
              </c:numCache>
            </c:numRef>
          </c:val>
        </c:ser>
        <c:dLbls>
          <c:showLegendKey val="false"/>
          <c:showVal val="true"/>
          <c:showCatName val="false"/>
          <c:showSerName val="false"/>
          <c:showPercent val="false"/>
          <c:showBubbleSize val="false"/>
          <c:showLeaderLines val="true"/>
        </c:dLbls>
        <c:firstSliceAng val="0"/>
      </c:pieChart>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财政拨款收、支决算总计变动情况</a:t>
            </a:r>
            <a:endParaRPr lang="zh-CN"/>
          </a:p>
        </c:rich>
      </c:tx>
      <c:layout/>
      <c:overlay val="false"/>
      <c:spPr>
        <a:noFill/>
        <a:ln>
          <a:noFill/>
        </a:ln>
      </c:spPr>
    </c:title>
    <c:autoTitleDeleted val="false"/>
    <c:plotArea>
      <c:layout/>
      <c:barChart>
        <c:barDir val="col"/>
        <c:grouping val="clustered"/>
        <c:varyColors val="false"/>
        <c:ser>
          <c:idx val="0"/>
          <c:order val="0"/>
          <c:spPr>
            <a:solidFill>
              <a:srgbClr val="4F81BD"/>
            </a:solidFill>
            <a:ln>
              <a:noFill/>
            </a:ln>
          </c:spPr>
          <c:invertIfNegative val="false"/>
          <c:dLbls>
            <c:numFmt formatCode="General"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{""2023年"",""2022年""}</c:f>
              <c:strCache>
                <c:ptCount val="2"/>
                <c:pt idx="0">
                  <c:v>"2023年"</c:v>
                </c:pt>
                <c:pt idx="1">
                  <c:v>"2022年"</c:v>
                </c:pt>
              </c:strCache>
            </c:strRef>
          </c:cat>
          <c:val>
            <c:numRef>
              <c:f>{1028.8,852.9}</c:f>
              <c:numCache>
                <c:formatCode>General</c:formatCode>
                <c:ptCount val="2"/>
                <c:pt idx="0">
                  <c:v>1028.8</c:v>
                </c:pt>
                <c:pt idx="1">
                  <c:v>852.9</c:v>
                </c:pt>
              </c:numCache>
            </c:numRef>
          </c:val>
        </c:ser>
        <c:dLbls>
          <c:showLegendKey val="false"/>
          <c:showVal val="true"/>
          <c:showCatName val="false"/>
          <c:showSerName val="false"/>
          <c:showPercent val="false"/>
          <c:showBubbleSize val="false"/>
        </c:dLbls>
        <c:gapWidth val="246"/>
        <c:overlap val="-28"/>
        <c:axId val="0"/>
        <c:axId val="1"/>
      </c:barChart>
      <c:catAx>
        <c:axId val="0"/>
        <c:scaling>
          <c:orientation val="minMax"/>
        </c:scaling>
        <c:delete val="false"/>
        <c:axPos val="b"/>
        <c:numFmt formatCode="General" sourceLinked="false"/>
        <c:majorTickMark val="none"/>
        <c:minorTickMark val="none"/>
        <c:tickLblPos val="nextTo"/>
        <c:spPr>
          <a:ln w="6350" cap="flat" cmpd="sng" algn="ctr">
            <a:solidFill>
              <a:srgbClr val="D9D9D9"/>
            </a:solid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true"/>
        <c:lblAlgn val="ctr"/>
        <c:lblOffset val="100"/>
        <c:noMultiLvlLbl val="false"/>
      </c:catAx>
      <c:valAx>
        <c:axId val="1"/>
        <c:scaling>
          <c:orientation val="minMax"/>
        </c:scaling>
        <c:delete val="false"/>
        <c:axPos val="l"/>
        <c:majorGridlines>
          <c:spPr>
            <a:ln w="6350" cap="flat" cmpd="sng" algn="ctr">
              <a:solidFill>
                <a:srgbClr val="E6E6E6"/>
              </a:solidFill>
              <a:prstDash val="solid"/>
              <a:round/>
            </a:ln>
          </c:spPr>
        </c:majorGridlines>
        <c:numFmt formatCode="General" sourceLinked="true"/>
        <c:majorTickMark val="none"/>
        <c:minorTickMark val="none"/>
        <c:tickLblPos val="nextTo"/>
        <c:spPr>
          <a:ln w="9525" cap="flat" cmpd="sng" algn="ctr">
            <a:no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一般公共预算财政拨款支出决算变动情况</a:t>
            </a:r>
            <a:endParaRPr lang="zh-CN"/>
          </a:p>
        </c:rich>
      </c:tx>
      <c:layout>
        <c:manualLayout>
          <c:xMode val="edge"/>
          <c:yMode val="edge"/>
          <c:x val="0.1406579"/>
          <c:y val="0.0069444445"/>
        </c:manualLayout>
      </c:layout>
      <c:overlay val="false"/>
      <c:spPr>
        <a:noFill/>
        <a:ln>
          <a:noFill/>
        </a:ln>
      </c:spPr>
    </c:title>
    <c:autoTitleDeleted val="false"/>
    <c:plotArea>
      <c:layout/>
      <c:barChart>
        <c:barDir val="col"/>
        <c:grouping val="clustered"/>
        <c:varyColors val="false"/>
        <c:ser>
          <c:idx val="0"/>
          <c:order val="0"/>
          <c:spPr>
            <a:solidFill>
              <a:srgbClr val="4F81BD"/>
            </a:solidFill>
            <a:ln>
              <a:noFill/>
            </a:ln>
          </c:spPr>
          <c:invertIfNegative val="false"/>
          <c:dLbls>
            <c:numFmt formatCode="General"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{""2023年"",""2022年""}</c:f>
              <c:strCache>
                <c:ptCount val="2"/>
                <c:pt idx="0">
                  <c:v>"2023年"</c:v>
                </c:pt>
                <c:pt idx="1">
                  <c:v>"2022年"</c:v>
                </c:pt>
              </c:strCache>
            </c:strRef>
          </c:cat>
          <c:val>
            <c:numRef>
              <c:f>{1028.8,742.64}</c:f>
              <c:numCache>
                <c:formatCode>General</c:formatCode>
                <c:ptCount val="2"/>
                <c:pt idx="0">
                  <c:v>1028.8</c:v>
                </c:pt>
                <c:pt idx="1">
                  <c:v>742.64</c:v>
                </c:pt>
              </c:numCache>
            </c:numRef>
          </c:val>
        </c:ser>
        <c:dLbls>
          <c:showLegendKey val="false"/>
          <c:showVal val="true"/>
          <c:showCatName val="false"/>
          <c:showSerName val="false"/>
          <c:showPercent val="false"/>
          <c:showBubbleSize val="false"/>
        </c:dLbls>
        <c:gapWidth val="246"/>
        <c:overlap val="-28"/>
        <c:axId val="0"/>
        <c:axId val="1"/>
      </c:barChart>
      <c:catAx>
        <c:axId val="0"/>
        <c:scaling>
          <c:orientation val="minMax"/>
        </c:scaling>
        <c:delete val="false"/>
        <c:axPos val="b"/>
        <c:numFmt formatCode="General" sourceLinked="false"/>
        <c:majorTickMark val="none"/>
        <c:minorTickMark val="none"/>
        <c:tickLblPos val="nextTo"/>
        <c:spPr>
          <a:ln w="6350" cap="flat" cmpd="sng" algn="ctr">
            <a:solidFill>
              <a:srgbClr val="D9D9D9"/>
            </a:solid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1"/>
        <c:crosses val="autoZero"/>
        <c:auto val="true"/>
        <c:lblAlgn val="ctr"/>
        <c:lblOffset val="100"/>
        <c:noMultiLvlLbl val="false"/>
      </c:catAx>
      <c:valAx>
        <c:axId val="1"/>
        <c:scaling>
          <c:orientation val="minMax"/>
        </c:scaling>
        <c:delete val="false"/>
        <c:axPos val="l"/>
        <c:majorGridlines>
          <c:spPr>
            <a:ln w="6350" cap="flat" cmpd="sng" algn="ctr">
              <a:solidFill>
                <a:srgbClr val="E6E6E6"/>
              </a:solidFill>
              <a:prstDash val="solid"/>
              <a:round/>
            </a:ln>
          </c:spPr>
        </c:majorGridlines>
        <c:numFmt formatCode="General" sourceLinked="true"/>
        <c:majorTickMark val="none"/>
        <c:minorTickMark val="none"/>
        <c:tickLblPos val="nextTo"/>
        <c:spPr>
          <a:ln w="9525" cap="flat" cmpd="sng" algn="ctr">
            <a:noFill/>
            <a:prstDash val="solid"/>
            <a:round/>
          </a:ln>
        </c:spPr>
        <c:txPr>
          <a:bodyPr rot="-6000000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crossAx val="0"/>
        <c:crossesAt val="1"/>
        <c:crossBetween val="between"/>
      </c:valAx>
      <c:spPr>
        <a:noFill/>
        <a:ln>
          <a:noFill/>
        </a:ln>
      </c:spPr>
    </c:plotArea>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一般公共预算财政拨款支出决算结构</a:t>
            </a:r>
            <a:endParaRPr lang="zh-CN"/>
          </a:p>
        </c:rich>
      </c:tx>
      <c:layout/>
      <c:overlay val="false"/>
      <c:spPr>
        <a:noFill/>
        <a:ln>
          <a:noFill/>
        </a:ln>
      </c:spPr>
    </c:title>
    <c:autoTitleDeleted val="false"/>
    <c:plotArea>
      <c:layout/>
      <c:pieChart>
        <c:varyColors val="true"/>
        <c:ser>
          <c:idx val="0"/>
          <c:order val="0"/>
          <c:spPr>
            <a:solidFill>
              <a:srgbClr val="4F81BD"/>
            </a:solidFill>
            <a:ln>
              <a:noFill/>
            </a:ln>
          </c:spPr>
          <c:explosion val="0"/>
          <c:dPt>
            <c:idx val="0"/>
            <c:bubble3D val="false"/>
            <c:spPr>
              <a:solidFill>
                <a:srgbClr val="4F81BD"/>
              </a:solidFill>
              <a:ln w="6350">
                <a:solidFill>
                  <a:srgbClr val="FFFFFF"/>
                </a:solidFill>
                <a:prstDash val="solid"/>
              </a:ln>
            </c:spPr>
          </c:dPt>
          <c:dPt>
            <c:idx val="1"/>
            <c:bubble3D val="false"/>
            <c:spPr>
              <a:solidFill>
                <a:srgbClr val="C0504D"/>
              </a:solidFill>
              <a:ln w="6350">
                <a:solidFill>
                  <a:srgbClr val="FFFFFF"/>
                </a:solidFill>
                <a:prstDash val="solid"/>
              </a:ln>
            </c:spPr>
          </c:dPt>
          <c:dPt>
            <c:idx val="2"/>
            <c:bubble3D val="false"/>
            <c:spPr>
              <a:solidFill>
                <a:srgbClr val="9BBB59"/>
              </a:solidFill>
              <a:ln w="6350">
                <a:solidFill>
                  <a:srgbClr val="FFFFFF"/>
                </a:solidFill>
                <a:prstDash val="solid"/>
              </a:ln>
            </c:spPr>
          </c:dPt>
          <c:dPt>
            <c:idx val="3"/>
            <c:bubble3D val="false"/>
            <c:spPr>
              <a:solidFill>
                <a:srgbClr val="8064A2"/>
              </a:solidFill>
              <a:ln w="6350">
                <a:solidFill>
                  <a:srgbClr val="FFFFFF"/>
                </a:solidFill>
                <a:prstDash val="solid"/>
              </a:ln>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solidFill>
                    <a:latin typeface="Times New Roman" panose="02020603050405020304"/>
                    <a:ea typeface="宋体" panose="02010600030101010101" charset="-122"/>
                    <a:cs typeface="Arial" panose="020B0604020202020204" pitchFamily="2"/>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{"文化旅游体育与传媒支出","社会保障和就业支出","卫生健康支出","住房保障支出"}</c:f>
              <c:strCache>
                <c:ptCount val="4"/>
                <c:pt idx="0">
                  <c:v>文化旅游体育与传媒支出</c:v>
                </c:pt>
                <c:pt idx="1">
                  <c:v>社会保障和就业支出</c:v>
                </c:pt>
                <c:pt idx="2">
                  <c:v>卫生健康支出</c:v>
                </c:pt>
                <c:pt idx="3">
                  <c:v>住房保障支出</c:v>
                </c:pt>
              </c:strCache>
            </c:strRef>
          </c:cat>
          <c:val>
            <c:numRef>
              <c:f>{0.9256,0.0352,0.0119,0.0273}</c:f>
              <c:numCache>
                <c:formatCode>General</c:formatCode>
                <c:ptCount val="4"/>
                <c:pt idx="0">
                  <c:v>0.9256</c:v>
                </c:pt>
                <c:pt idx="1">
                  <c:v>0.0352</c:v>
                </c:pt>
                <c:pt idx="2">
                  <c:v>0.0119</c:v>
                </c:pt>
                <c:pt idx="3">
                  <c:v>0.0273</c:v>
                </c:pt>
              </c:numCache>
            </c:numRef>
          </c:val>
        </c:ser>
        <c:dLbls>
          <c:showLegendKey val="false"/>
          <c:showVal val="true"/>
          <c:showCatName val="false"/>
          <c:showSerName val="false"/>
          <c:showPercent val="false"/>
          <c:showBubbleSize val="false"/>
          <c:showLeaderLines val="true"/>
        </c:dLbls>
        <c:firstSliceAng val="0"/>
      </c:pieChart>
      <c:spPr>
        <a:noFill/>
        <a:ln>
          <a:noFill/>
        </a:ln>
      </c:spPr>
    </c:plotArea>
    <c:legend>
      <c:legendPos val="b"/>
      <c:layout/>
      <c:overlay val="false"/>
      <c:spPr>
        <a:noFill/>
        <a:ln>
          <a:noFill/>
        </a:ln>
      </c:spPr>
      <c:txPr>
        <a:bodyPr rot="0" spcFirstLastPara="0" vertOverflow="ellipsis" vert="horz" wrap="square" anchor="ctr" anchorCtr="true"/>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p>
      </c:txPr>
    </c:legend>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“三公”经费财政拨款支出结构</a:t>
            </a:r>
            <a:endParaRPr lang="zh-CN"/>
          </a:p>
        </c:rich>
      </c:tx>
      <c:layout>
        <c:manualLayout>
          <c:xMode val="edge"/>
          <c:yMode val="edge"/>
          <c:x val="0.23919272"/>
          <c:y val="0.048554435"/>
        </c:manualLayout>
      </c:layout>
      <c:overlay val="false"/>
      <c:spPr>
        <a:noFill/>
        <a:ln>
          <a:noFill/>
        </a:ln>
      </c:spPr>
    </c:title>
    <c:autoTitleDeleted val="false"/>
    <c:plotArea>
      <c:layout/>
      <c:pieChart>
        <c:varyColors val="true"/>
        <c:ser>
          <c:idx val="0"/>
          <c:order val="0"/>
          <c:tx>
            <c:strRef>
              <c:f>金额</c:f>
              <c:strCache>
                <c:ptCount val="1"/>
                <c:pt idx="0">
                  <c:v>金额</c:v>
                </c:pt>
              </c:strCache>
            </c:strRef>
          </c:tx>
          <c:spPr>
            <a:ln>
              <a:noFill/>
            </a:ln>
          </c:spPr>
          <c:explosion val="0"/>
          <c:dPt>
            <c:idx val="0"/>
            <c:bubble3D val="false"/>
            <c:spPr>
              <a:solidFill>
                <a:srgbClr val="4F81BD"/>
              </a:solidFill>
              <a:ln w="6350">
                <a:solidFill>
                  <a:srgbClr val="FFFFFF"/>
                </a:solidFill>
                <a:prstDash val="solid"/>
              </a:ln>
            </c:spPr>
          </c:dPt>
          <c:dPt>
            <c:idx val="1"/>
            <c:bubble3D val="false"/>
            <c:spPr>
              <a:solidFill>
                <a:srgbClr val="C0504D"/>
              </a:solidFill>
              <a:ln w="6350">
                <a:solidFill>
                  <a:srgbClr val="FFFFFF"/>
                </a:solidFill>
                <a:prstDash val="solid"/>
              </a:ln>
            </c:spPr>
          </c:dPt>
          <c:dPt>
            <c:idx val="2"/>
            <c:bubble3D val="false"/>
            <c:spPr>
              <a:solidFill>
                <a:srgbClr val="9BBB59"/>
              </a:solidFill>
              <a:ln w="6350">
                <a:solidFill>
                  <a:srgbClr val="FFFFFF"/>
                </a:solidFill>
                <a:prstDash val="solid"/>
              </a:ln>
            </c:spPr>
          </c:dPt>
          <c:dLbls>
            <c:dLbl>
              <c:idx val="0"/>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rgbClr val="4F81BD"/>
                      </a:solidFill>
                      <a:latin typeface="Times New Roman" panose="02020603050405020304"/>
                      <a:ea typeface="宋体" panose="02010600030101010101" charset="-122"/>
                      <a:cs typeface="Arial" panose="020B0604020202020204" pitchFamily="2"/>
                    </a:defRPr>
                  </a:pPr>
                </a:p>
              </c:txPr>
              <c:dLblPos val="outEnd"/>
              <c:showLegendKey val="false"/>
              <c:showVal val="false"/>
              <c:showCatName val="true"/>
              <c:showSerName val="false"/>
              <c:showPercent val="true"/>
              <c:showBubbleSize val="false"/>
              <c:separator>
</c:separator>
              <c:extLst>
                <c:ext xmlns:c15="http://schemas.microsoft.com/office/drawing/2012/chart" uri="{CE6537A1-D6FC-4f65-9D91-7224C49458BB}"/>
              </c:extLst>
            </c:dLbl>
            <c:dLbl>
              <c:idx val="1"/>
              <c:layout>
                <c:manualLayout>
                  <c:x val="0.31755915"/>
                  <c:y val="-0.009827357"/>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rgbClr val="C0504D"/>
                      </a:solidFill>
                      <a:latin typeface="Times New Roman" panose="02020603050405020304"/>
                      <a:ea typeface="宋体" panose="02010600030101010101" charset="-122"/>
                      <a:cs typeface="Arial" panose="020B0604020202020204" pitchFamily="2"/>
                    </a:defRPr>
                  </a:pPr>
                </a:p>
              </c:txPr>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23349938"/>
                  <c:y val="0.07383798"/>
                </c:manualLayout>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rgbClr val="9BBB59"/>
                      </a:solidFill>
                      <a:latin typeface="Times New Roman" panose="02020603050405020304"/>
                      <a:ea typeface="宋体" panose="02010600030101010101" charset="-122"/>
                      <a:cs typeface="Arial" panose="020B0604020202020204" pitchFamily="2"/>
                    </a:defRPr>
                  </a:pPr>
                </a:p>
              </c:txPr>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baseline="0">
                    <a:solidFill>
                      <a:srgbClr val="4F81BD"/>
                    </a:solidFill>
                    <a:latin typeface="Times New Roman" panose="02020603050405020304"/>
                    <a:ea typeface="宋体" panose="02010600030101010101" charset="-122"/>
                    <a:cs typeface="Arial" panose="020B0604020202020204" pitchFamily="2"/>
                  </a:defRPr>
                </a:pPr>
              </a:p>
            </c:txPr>
            <c:dLblPos val="out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{"因公出国（境）费","公务用车购置及运行维护费  ","公务接待费"}</c:f>
              <c:strCache>
                <c:ptCount val="3"/>
                <c:pt idx="0">
                  <c:v>因公出国（境）费</c:v>
                </c:pt>
                <c:pt idx="1">
                  <c:v>公务用车购置及运行维护费  </c:v>
                </c:pt>
                <c:pt idx="2">
                  <c:v>公务接待费</c:v>
                </c:pt>
              </c:strCache>
            </c:strRef>
          </c:cat>
          <c:val>
            <c:numRef>
              <c:f>{0,2.14,0.92}</c:f>
              <c:numCache>
                <c:formatCode>General</c:formatCode>
                <c:ptCount val="3"/>
                <c:pt idx="0">
                  <c:v>0</c:v>
                </c:pt>
                <c:pt idx="1">
                  <c:v>2.14</c:v>
                </c:pt>
                <c:pt idx="2">
                  <c:v>0.92</c:v>
                </c:pt>
              </c:numCache>
            </c:numRef>
          </c:val>
        </c:ser>
        <c:dLbls>
          <c:showLegendKey val="false"/>
          <c:showVal val="false"/>
          <c:showCatName val="true"/>
          <c:showSerName val="false"/>
          <c:showPercent val="true"/>
          <c:showBubbleSize val="false"/>
          <c:showLeaderLines val="true"/>
        </c:dLbls>
        <c:firstSliceAng val="0"/>
      </c:pieChart>
      <c:spPr>
        <a:noFill/>
        <a:ln>
          <a:noFill/>
        </a:ln>
      </c:spPr>
    </c:plotArea>
    <c:plotVisOnly val="true"/>
    <c:dispBlanksAs val="gap"/>
    <c:showDLblsOverMax val="false"/>
  </c:chart>
  <c:spPr>
    <a:solidFill>
      <a:srgbClr val="FFFFFF"/>
    </a:solid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p>
  </c:txPr>
  <c:externalData r:id="rId1">
    <c:autoUpdate val="false"/>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37</Pages>
  <Words>15456</Words>
  <Characters>17985</Characters>
  <Lines>0</Lines>
  <Paragraphs>210</Paragraphs>
  <TotalTime>3</TotalTime>
  <ScaleCrop>false</ScaleCrop>
  <LinksUpToDate>false</LinksUpToDate>
  <CharactersWithSpaces>18154</CharactersWithSpaces>
  <Application>WPS Office_11.8.2.9980_F1E327BC-269C-435d-A152-05C5408002CA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2023-07-31T18:35:00Z</cp:lastPrinted>
  <dcterms:modified xsi:type="dcterms:W3CDTF">2024-10-11T19:32:30Z</dcterms:modified>
  <dc:title>四川省***</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8236DF18C5B1442A91226605B71F4845_12</vt:lpwstr>
  </property>
</Properties>
</file>