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szCs w:val="21"/>
        </w:rPr>
      </w:pPr>
      <w:bookmarkStart w:id="0" w:name="_Toc15306267"/>
    </w:p>
    <w:p>
      <w:pPr>
        <w:spacing w:line="600" w:lineRule="exact"/>
        <w:jc w:val="center"/>
        <w:outlineLvl w:val="9"/>
        <w:rPr>
          <w:rFonts w:ascii="方正小标宋简体" w:hAnsi="宋体" w:eastAsia="方正小标宋简体"/>
          <w:sz w:val="72"/>
          <w:szCs w:val="72"/>
        </w:rPr>
      </w:pPr>
    </w:p>
    <w:p>
      <w:pPr>
        <w:spacing w:line="600" w:lineRule="exact"/>
        <w:jc w:val="center"/>
        <w:outlineLvl w:val="9"/>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color w:val="000000" w:themeColor="text1"/>
          <w:sz w:val="72"/>
          <w:szCs w:val="72"/>
        </w:rPr>
      </w:pPr>
      <w:bookmarkStart w:id="1" w:name="_Toc15377425"/>
      <w:bookmarkStart w:id="2" w:name="_Toc15396597"/>
      <w:bookmarkStart w:id="3" w:name="_Toc15377193"/>
      <w:bookmarkStart w:id="4" w:name="_Toc15396475"/>
      <w:bookmarkStart w:id="5" w:name="_Toc15378441"/>
      <w:bookmarkStart w:id="6" w:name="_Toc22795"/>
      <w:r>
        <w:rPr>
          <w:rFonts w:hint="eastAsia" w:ascii="方正小标宋简体" w:hAnsi="方正小标宋简体" w:eastAsia="方正小标宋简体" w:cs="方正小标宋简体"/>
          <w:color w:val="000000" w:themeColor="text1"/>
          <w:sz w:val="72"/>
          <w:szCs w:val="72"/>
        </w:rPr>
        <w:t>2023年度</w:t>
      </w:r>
      <w:bookmarkEnd w:id="1"/>
      <w:bookmarkEnd w:id="2"/>
      <w:bookmarkEnd w:id="3"/>
      <w:bookmarkEnd w:id="4"/>
      <w:bookmarkEnd w:id="5"/>
      <w:bookmarkEnd w:id="6"/>
    </w:p>
    <w:p>
      <w:pPr>
        <w:adjustRightInd w:val="0"/>
        <w:snapToGrid w:val="0"/>
        <w:spacing w:line="360" w:lineRule="auto"/>
        <w:jc w:val="center"/>
        <w:outlineLvl w:val="0"/>
        <w:rPr>
          <w:rFonts w:ascii="方正小标宋简体" w:hAnsi="方正小标宋简体" w:eastAsia="方正小标宋简体" w:cs="方正小标宋简体"/>
          <w:color w:val="000000" w:themeColor="text1"/>
          <w:sz w:val="72"/>
          <w:szCs w:val="72"/>
        </w:rPr>
      </w:pPr>
      <w:bookmarkStart w:id="7" w:name="_Toc15396476"/>
      <w:bookmarkStart w:id="8" w:name="_Toc15396598"/>
      <w:bookmarkStart w:id="9" w:name="_Toc15377426"/>
      <w:bookmarkStart w:id="10" w:name="_Toc15378442"/>
      <w:bookmarkStart w:id="11" w:name="_Toc15377194"/>
      <w:bookmarkStart w:id="12" w:name="_Toc2789"/>
      <w:r>
        <w:rPr>
          <w:rFonts w:hint="eastAsia" w:ascii="方正小标宋简体" w:hAnsi="方正小标宋简体" w:eastAsia="方正小标宋简体" w:cs="方正小标宋简体"/>
          <w:color w:val="000000" w:themeColor="text1"/>
          <w:sz w:val="72"/>
          <w:szCs w:val="72"/>
        </w:rPr>
        <w:t>广元市</w:t>
      </w:r>
      <w:bookmarkEnd w:id="0"/>
      <w:bookmarkStart w:id="13" w:name="_Toc15306268"/>
      <w:r>
        <w:rPr>
          <w:rFonts w:hint="eastAsia" w:ascii="方正小标宋简体" w:hAnsi="方正小标宋简体" w:eastAsia="方正小标宋简体" w:cs="方正小标宋简体"/>
          <w:color w:val="000000" w:themeColor="text1"/>
          <w:sz w:val="72"/>
          <w:szCs w:val="72"/>
        </w:rPr>
        <w:t>国资国企服务中心单位决算</w:t>
      </w:r>
      <w:bookmarkEnd w:id="7"/>
      <w:bookmarkEnd w:id="8"/>
      <w:bookmarkEnd w:id="9"/>
      <w:bookmarkEnd w:id="10"/>
      <w:bookmarkEnd w:id="11"/>
      <w:bookmarkEnd w:id="12"/>
      <w:bookmarkEnd w:id="13"/>
    </w:p>
    <w:p>
      <w:pPr>
        <w:widowControl/>
        <w:jc w:val="center"/>
        <w:rPr>
          <w:rFonts w:ascii="黑体" w:hAnsi="黑体" w:eastAsia="黑体" w:cstheme="minorBidi"/>
          <w:color w:val="000000" w:themeColor="text1"/>
          <w:sz w:val="28"/>
          <w:szCs w:val="28"/>
        </w:rPr>
      </w:pPr>
      <w:r>
        <w:rPr>
          <w:rFonts w:ascii="方正小标宋简体" w:hAnsi="宋体" w:eastAsia="方正小标宋简体"/>
          <w:color w:val="000000" w:themeColor="text1"/>
          <w:sz w:val="36"/>
          <w:szCs w:val="36"/>
        </w:rPr>
        <w:br w:type="page"/>
      </w:r>
      <w:r>
        <w:rPr>
          <w:rFonts w:hint="eastAsia" w:ascii="华文中宋" w:hAnsi="华文中宋" w:eastAsia="华文中宋"/>
          <w:color w:val="000000" w:themeColor="text1"/>
          <w:sz w:val="48"/>
          <w:szCs w:val="48"/>
        </w:rPr>
        <w:t>目录</w:t>
      </w:r>
    </w:p>
    <w:p>
      <w:pPr>
        <w:pStyle w:val="11"/>
        <w:adjustRightInd w:val="0"/>
        <w:snapToGrid w:val="0"/>
        <w:spacing w:before="0" w:line="580" w:lineRule="exact"/>
        <w:rPr>
          <w:rFonts w:hint="eastAsia" w:ascii="仿宋_GB2312" w:eastAsia="仿宋_GB2312"/>
          <w:color w:val="000000" w:themeColor="text1"/>
        </w:rPr>
      </w:pPr>
      <w:r>
        <w:rPr>
          <w:rFonts w:hint="eastAsia" w:ascii="仿宋_GB2312" w:eastAsia="仿宋_GB2312"/>
          <w:color w:val="000000" w:themeColor="text1"/>
        </w:rPr>
        <w:t>公开时间：2024年10月1</w:t>
      </w:r>
      <w:r>
        <w:rPr>
          <w:rFonts w:hint="eastAsia" w:ascii="仿宋_GB2312" w:eastAsia="仿宋_GB2312"/>
          <w:color w:val="000000" w:themeColor="text1"/>
          <w:lang w:val="en-US" w:eastAsia="zh-CN"/>
        </w:rPr>
        <w:t>4</w:t>
      </w:r>
      <w:r>
        <w:rPr>
          <w:rFonts w:hint="eastAsia" w:ascii="仿宋_GB2312" w:eastAsia="仿宋_GB2312"/>
          <w:color w:val="000000" w:themeColor="text1"/>
        </w:rPr>
        <w:t>日</w:t>
      </w:r>
    </w:p>
    <w:sdt>
      <w:sdtPr>
        <w:rPr>
          <w:rFonts w:ascii="宋体" w:hAnsi="宋体" w:eastAsia="宋体" w:cs="Times New Roman"/>
          <w:kern w:val="2"/>
          <w:sz w:val="21"/>
          <w:szCs w:val="24"/>
          <w:lang w:val="en-US" w:eastAsia="zh-CN" w:bidi="ar-SA"/>
        </w:rPr>
        <w:id w:val="147454905"/>
        <w15:color w:val="DBDBDB"/>
        <w:docPartObj>
          <w:docPartGallery w:val="Table of Contents"/>
          <w:docPartUnique/>
        </w:docPartObj>
      </w:sdtPr>
      <w:sdtEndPr>
        <w:rPr>
          <w:rFonts w:ascii="Times New Roman" w:hAnsi="Times New Roman" w:eastAsia="宋体" w:cs="Times New Roman"/>
          <w:b/>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b/>
            </w:rPr>
          </w:pPr>
          <w:r>
            <w:fldChar w:fldCharType="begin"/>
          </w:r>
          <w:r>
            <w:instrText xml:space="preserve">TOC \o "1-2" \h \u </w:instrText>
          </w:r>
          <w:r>
            <w:fldChar w:fldCharType="separate"/>
          </w:r>
        </w:p>
        <w:p>
          <w:pPr>
            <w:pStyle w:val="68"/>
            <w:tabs>
              <w:tab w:val="right" w:leader="dot" w:pos="8306"/>
            </w:tabs>
            <w:rPr>
              <w:b/>
            </w:rPr>
          </w:pPr>
          <w:r>
            <w:rPr>
              <w:b/>
            </w:rPr>
            <w:fldChar w:fldCharType="begin"/>
          </w:r>
          <w:r>
            <w:rPr>
              <w:b/>
            </w:rPr>
            <w:instrText xml:space="preserve"> HYPERLINK \l _Toc26191 </w:instrText>
          </w:r>
          <w:r>
            <w:rPr>
              <w:b/>
            </w:rPr>
            <w:fldChar w:fldCharType="separate"/>
          </w:r>
          <w:r>
            <w:rPr>
              <w:rFonts w:hint="eastAsia" w:ascii="黑体" w:hAnsi="黑体" w:eastAsia="黑体"/>
              <w:b/>
            </w:rPr>
            <w:t>第一部分 单位</w:t>
          </w:r>
          <w:r>
            <w:rPr>
              <w:rFonts w:hint="eastAsia" w:ascii="黑体" w:hAnsi="黑体" w:eastAsia="黑体"/>
              <w:b/>
              <w:bCs w:val="0"/>
            </w:rPr>
            <w:t>概况</w:t>
          </w:r>
          <w:r>
            <w:rPr>
              <w:b/>
            </w:rPr>
            <w:tab/>
          </w:r>
          <w:r>
            <w:rPr>
              <w:b/>
            </w:rPr>
            <w:fldChar w:fldCharType="begin"/>
          </w:r>
          <w:r>
            <w:rPr>
              <w:b/>
            </w:rPr>
            <w:instrText xml:space="preserve"> PAGEREF _Toc26191 \h </w:instrText>
          </w:r>
          <w:r>
            <w:rPr>
              <w:b/>
            </w:rPr>
            <w:fldChar w:fldCharType="separate"/>
          </w:r>
          <w:r>
            <w:rPr>
              <w:b/>
            </w:rPr>
            <w:t>1</w:t>
          </w:r>
          <w:r>
            <w:rPr>
              <w:b/>
            </w:rPr>
            <w:fldChar w:fldCharType="end"/>
          </w:r>
          <w:r>
            <w:rPr>
              <w:b/>
            </w:rPr>
            <w:fldChar w:fldCharType="end"/>
          </w:r>
        </w:p>
        <w:p>
          <w:pPr>
            <w:pStyle w:val="69"/>
            <w:tabs>
              <w:tab w:val="right" w:leader="dot" w:pos="8306"/>
            </w:tabs>
          </w:pPr>
          <w:r>
            <w:fldChar w:fldCharType="begin"/>
          </w:r>
          <w:r>
            <w:instrText xml:space="preserve"> HYPERLINK \l _Toc795 </w:instrText>
          </w:r>
          <w:r>
            <w:fldChar w:fldCharType="separate"/>
          </w:r>
          <w:r>
            <w:rPr>
              <w:rFonts w:hint="eastAsia" w:ascii="黑体" w:hAnsi="黑体" w:eastAsia="黑体"/>
              <w:bCs w:val="0"/>
              <w:szCs w:val="32"/>
            </w:rPr>
            <w:t>一、</w:t>
          </w:r>
          <w:r>
            <w:rPr>
              <w:rFonts w:hint="eastAsia" w:ascii="黑体" w:hAnsi="黑体" w:eastAsia="黑体"/>
              <w:bCs w:val="0"/>
            </w:rPr>
            <w:t>主要职责</w:t>
          </w:r>
          <w:r>
            <w:tab/>
          </w:r>
          <w:r>
            <w:fldChar w:fldCharType="begin"/>
          </w:r>
          <w:r>
            <w:instrText xml:space="preserve"> PAGEREF _Toc795 \h </w:instrText>
          </w:r>
          <w:r>
            <w:fldChar w:fldCharType="separate"/>
          </w:r>
          <w:r>
            <w:t>1</w:t>
          </w:r>
          <w:r>
            <w:fldChar w:fldCharType="end"/>
          </w:r>
          <w:r>
            <w:fldChar w:fldCharType="end"/>
          </w:r>
        </w:p>
        <w:p>
          <w:pPr>
            <w:pStyle w:val="69"/>
            <w:tabs>
              <w:tab w:val="right" w:leader="dot" w:pos="8306"/>
            </w:tabs>
          </w:pPr>
          <w:r>
            <w:fldChar w:fldCharType="begin"/>
          </w:r>
          <w:r>
            <w:instrText xml:space="preserve"> HYPERLINK \l _Toc22989 </w:instrText>
          </w:r>
          <w:r>
            <w:fldChar w:fldCharType="separate"/>
          </w:r>
          <w:r>
            <w:rPr>
              <w:rFonts w:hint="eastAsia" w:ascii="黑体" w:hAnsi="黑体" w:eastAsia="黑体"/>
            </w:rPr>
            <w:t>二、机构设置</w:t>
          </w:r>
          <w:r>
            <w:tab/>
          </w:r>
          <w:r>
            <w:fldChar w:fldCharType="begin"/>
          </w:r>
          <w:r>
            <w:instrText xml:space="preserve"> PAGEREF _Toc22989 \h </w:instrText>
          </w:r>
          <w:r>
            <w:fldChar w:fldCharType="separate"/>
          </w:r>
          <w:r>
            <w:t>1</w:t>
          </w:r>
          <w:r>
            <w:fldChar w:fldCharType="end"/>
          </w:r>
          <w:r>
            <w:fldChar w:fldCharType="end"/>
          </w:r>
        </w:p>
        <w:p>
          <w:pPr>
            <w:pStyle w:val="68"/>
            <w:tabs>
              <w:tab w:val="right" w:leader="dot" w:pos="8306"/>
            </w:tabs>
            <w:rPr>
              <w:b/>
            </w:rPr>
          </w:pPr>
          <w:r>
            <w:rPr>
              <w:b/>
            </w:rPr>
            <w:fldChar w:fldCharType="begin"/>
          </w:r>
          <w:r>
            <w:rPr>
              <w:b/>
            </w:rPr>
            <w:instrText xml:space="preserve"> HYPERLINK \l _Toc6509 </w:instrText>
          </w:r>
          <w:r>
            <w:rPr>
              <w:b/>
            </w:rPr>
            <w:fldChar w:fldCharType="separate"/>
          </w:r>
          <w:r>
            <w:rPr>
              <w:rFonts w:hint="eastAsia" w:ascii="黑体" w:hAnsi="黑体" w:eastAsia="黑体"/>
              <w:b/>
            </w:rPr>
            <w:t>第二部分 2023年度</w:t>
          </w:r>
          <w:r>
            <w:rPr>
              <w:rFonts w:hint="eastAsia" w:ascii="黑体" w:hAnsi="黑体" w:eastAsia="黑体"/>
              <w:b/>
              <w:bCs/>
            </w:rPr>
            <w:t>单位决算情况说明</w:t>
          </w:r>
          <w:r>
            <w:rPr>
              <w:b/>
            </w:rPr>
            <w:tab/>
          </w:r>
          <w:r>
            <w:rPr>
              <w:b/>
            </w:rPr>
            <w:fldChar w:fldCharType="begin"/>
          </w:r>
          <w:r>
            <w:rPr>
              <w:b/>
            </w:rPr>
            <w:instrText xml:space="preserve"> PAGEREF _Toc6509 \h </w:instrText>
          </w:r>
          <w:r>
            <w:rPr>
              <w:b/>
            </w:rPr>
            <w:fldChar w:fldCharType="separate"/>
          </w:r>
          <w:r>
            <w:rPr>
              <w:b/>
            </w:rPr>
            <w:t>2</w:t>
          </w:r>
          <w:r>
            <w:rPr>
              <w:b/>
            </w:rPr>
            <w:fldChar w:fldCharType="end"/>
          </w:r>
          <w:r>
            <w:rPr>
              <w:b/>
            </w:rPr>
            <w:fldChar w:fldCharType="end"/>
          </w:r>
        </w:p>
        <w:p>
          <w:pPr>
            <w:pStyle w:val="69"/>
            <w:tabs>
              <w:tab w:val="right" w:leader="dot" w:pos="8306"/>
            </w:tabs>
          </w:pPr>
          <w:r>
            <w:fldChar w:fldCharType="begin"/>
          </w:r>
          <w:r>
            <w:instrText xml:space="preserve"> HYPERLINK \l _Toc5877 </w:instrText>
          </w:r>
          <w:r>
            <w:fldChar w:fldCharType="separate"/>
          </w:r>
          <w:r>
            <w:rPr>
              <w:rFonts w:hint="default" w:ascii="黑体" w:hAnsi="黑体" w:eastAsia="黑体"/>
            </w:rPr>
            <w:t xml:space="preserve">一、 </w:t>
          </w:r>
          <w:r>
            <w:rPr>
              <w:rFonts w:hint="eastAsia" w:ascii="黑体" w:hAnsi="黑体" w:eastAsia="黑体"/>
              <w:szCs w:val="32"/>
            </w:rPr>
            <w:t>收</w:t>
          </w:r>
          <w:r>
            <w:rPr>
              <w:rFonts w:hint="eastAsia" w:ascii="黑体" w:hAnsi="黑体" w:eastAsia="黑体"/>
            </w:rPr>
            <w:t>入支出决算总体情况说明</w:t>
          </w:r>
          <w:r>
            <w:tab/>
          </w:r>
          <w:r>
            <w:fldChar w:fldCharType="begin"/>
          </w:r>
          <w:r>
            <w:instrText xml:space="preserve"> PAGEREF _Toc5877 \h </w:instrText>
          </w:r>
          <w:r>
            <w:fldChar w:fldCharType="separate"/>
          </w:r>
          <w:r>
            <w:t>2</w:t>
          </w:r>
          <w:r>
            <w:fldChar w:fldCharType="end"/>
          </w:r>
          <w:r>
            <w:fldChar w:fldCharType="end"/>
          </w:r>
        </w:p>
        <w:p>
          <w:pPr>
            <w:pStyle w:val="69"/>
            <w:tabs>
              <w:tab w:val="right" w:leader="dot" w:pos="8306"/>
            </w:tabs>
          </w:pPr>
          <w:r>
            <w:fldChar w:fldCharType="begin"/>
          </w:r>
          <w:r>
            <w:instrText xml:space="preserve"> HYPERLINK \l _Toc28935 </w:instrText>
          </w:r>
          <w:r>
            <w:fldChar w:fldCharType="separate"/>
          </w:r>
          <w:r>
            <w:rPr>
              <w:rFonts w:hint="eastAsia" w:ascii="黑体" w:hAnsi="黑体" w:eastAsia="黑体"/>
              <w:szCs w:val="32"/>
            </w:rPr>
            <w:t>二、收</w:t>
          </w:r>
          <w:r>
            <w:rPr>
              <w:rFonts w:hint="eastAsia" w:ascii="黑体" w:hAnsi="黑体" w:eastAsia="黑体"/>
            </w:rPr>
            <w:t>入决算情况说明</w:t>
          </w:r>
          <w:r>
            <w:tab/>
          </w:r>
          <w:r>
            <w:fldChar w:fldCharType="begin"/>
          </w:r>
          <w:r>
            <w:instrText xml:space="preserve"> PAGEREF _Toc28935 \h </w:instrText>
          </w:r>
          <w:r>
            <w:fldChar w:fldCharType="separate"/>
          </w:r>
          <w:r>
            <w:t>2</w:t>
          </w:r>
          <w:r>
            <w:fldChar w:fldCharType="end"/>
          </w:r>
          <w:r>
            <w:fldChar w:fldCharType="end"/>
          </w:r>
        </w:p>
        <w:p>
          <w:pPr>
            <w:pStyle w:val="69"/>
            <w:tabs>
              <w:tab w:val="right" w:leader="dot" w:pos="8306"/>
            </w:tabs>
          </w:pPr>
          <w:r>
            <w:fldChar w:fldCharType="begin"/>
          </w:r>
          <w:r>
            <w:instrText xml:space="preserve"> HYPERLINK \l _Toc26077 </w:instrText>
          </w:r>
          <w:r>
            <w:fldChar w:fldCharType="separate"/>
          </w:r>
          <w:r>
            <w:rPr>
              <w:rFonts w:hint="eastAsia" w:ascii="黑体" w:hAnsi="黑体" w:eastAsia="黑体"/>
              <w:szCs w:val="32"/>
            </w:rPr>
            <w:t>三、支</w:t>
          </w:r>
          <w:r>
            <w:rPr>
              <w:rFonts w:hint="eastAsia" w:ascii="黑体" w:hAnsi="黑体" w:eastAsia="黑体"/>
            </w:rPr>
            <w:t>出决算情况说明</w:t>
          </w:r>
          <w:r>
            <w:tab/>
          </w:r>
          <w:r>
            <w:fldChar w:fldCharType="begin"/>
          </w:r>
          <w:r>
            <w:instrText xml:space="preserve"> PAGEREF _Toc26077 \h </w:instrText>
          </w:r>
          <w:r>
            <w:fldChar w:fldCharType="separate"/>
          </w:r>
          <w:r>
            <w:t>3</w:t>
          </w:r>
          <w:r>
            <w:fldChar w:fldCharType="end"/>
          </w:r>
          <w:r>
            <w:fldChar w:fldCharType="end"/>
          </w:r>
        </w:p>
        <w:p>
          <w:pPr>
            <w:pStyle w:val="69"/>
            <w:tabs>
              <w:tab w:val="right" w:leader="dot" w:pos="8306"/>
            </w:tabs>
          </w:pPr>
          <w:r>
            <w:fldChar w:fldCharType="begin"/>
          </w:r>
          <w:r>
            <w:instrText xml:space="preserve"> HYPERLINK \l _Toc10699 </w:instrText>
          </w:r>
          <w:r>
            <w:fldChar w:fldCharType="separate"/>
          </w:r>
          <w:r>
            <w:rPr>
              <w:rFonts w:hint="eastAsia" w:ascii="黑体" w:hAnsi="黑体" w:eastAsia="黑体"/>
              <w:szCs w:val="32"/>
            </w:rPr>
            <w:t>四、财</w:t>
          </w:r>
          <w:r>
            <w:rPr>
              <w:rFonts w:hint="eastAsia" w:ascii="黑体" w:hAnsi="黑体" w:eastAsia="黑体"/>
            </w:rPr>
            <w:t>政拨款收入支出决算总体情况说明</w:t>
          </w:r>
          <w:r>
            <w:tab/>
          </w:r>
          <w:r>
            <w:fldChar w:fldCharType="begin"/>
          </w:r>
          <w:r>
            <w:instrText xml:space="preserve"> PAGEREF _Toc10699 \h </w:instrText>
          </w:r>
          <w:r>
            <w:fldChar w:fldCharType="separate"/>
          </w:r>
          <w:r>
            <w:t>4</w:t>
          </w:r>
          <w:r>
            <w:fldChar w:fldCharType="end"/>
          </w:r>
          <w:r>
            <w:fldChar w:fldCharType="end"/>
          </w:r>
        </w:p>
        <w:p>
          <w:pPr>
            <w:pStyle w:val="69"/>
            <w:tabs>
              <w:tab w:val="right" w:leader="dot" w:pos="8306"/>
            </w:tabs>
          </w:pPr>
          <w:r>
            <w:fldChar w:fldCharType="begin"/>
          </w:r>
          <w:r>
            <w:instrText xml:space="preserve"> HYPERLINK \l _Toc26009 </w:instrText>
          </w:r>
          <w:r>
            <w:fldChar w:fldCharType="separate"/>
          </w:r>
          <w:r>
            <w:rPr>
              <w:rFonts w:hint="eastAsia" w:ascii="黑体" w:hAnsi="黑体" w:eastAsia="黑体"/>
              <w:szCs w:val="32"/>
            </w:rPr>
            <w:t>五、一</w:t>
          </w:r>
          <w:r>
            <w:rPr>
              <w:rFonts w:hint="eastAsia" w:ascii="黑体" w:hAnsi="黑体" w:eastAsia="黑体"/>
            </w:rPr>
            <w:t>般公共预算财政拨款支出决算情况说明</w:t>
          </w:r>
          <w:r>
            <w:tab/>
          </w:r>
          <w:r>
            <w:fldChar w:fldCharType="begin"/>
          </w:r>
          <w:r>
            <w:instrText xml:space="preserve"> PAGEREF _Toc26009 \h </w:instrText>
          </w:r>
          <w:r>
            <w:fldChar w:fldCharType="separate"/>
          </w:r>
          <w:r>
            <w:t>4</w:t>
          </w:r>
          <w:r>
            <w:fldChar w:fldCharType="end"/>
          </w:r>
          <w:r>
            <w:fldChar w:fldCharType="end"/>
          </w:r>
        </w:p>
        <w:p>
          <w:pPr>
            <w:pStyle w:val="69"/>
            <w:tabs>
              <w:tab w:val="right" w:leader="dot" w:pos="8306"/>
            </w:tabs>
          </w:pPr>
          <w:r>
            <w:fldChar w:fldCharType="begin"/>
          </w:r>
          <w:r>
            <w:instrText xml:space="preserve"> HYPERLINK \l _Toc24893 </w:instrText>
          </w:r>
          <w:r>
            <w:fldChar w:fldCharType="separate"/>
          </w:r>
          <w:r>
            <w:rPr>
              <w:rFonts w:hint="eastAsia" w:ascii="黑体" w:eastAsia="黑体"/>
              <w:szCs w:val="32"/>
            </w:rPr>
            <w:t>六、</w:t>
          </w:r>
          <w:r>
            <w:rPr>
              <w:rFonts w:hint="eastAsia" w:ascii="黑体" w:hAnsi="黑体" w:eastAsia="黑体"/>
              <w:szCs w:val="32"/>
            </w:rPr>
            <w:t>一</w:t>
          </w:r>
          <w:r>
            <w:rPr>
              <w:rFonts w:hint="eastAsia" w:ascii="黑体" w:hAnsi="黑体" w:eastAsia="黑体"/>
            </w:rPr>
            <w:t>般公共预算财政拨款基本支出决算情况说明</w:t>
          </w:r>
          <w:r>
            <w:tab/>
          </w:r>
          <w:r>
            <w:fldChar w:fldCharType="begin"/>
          </w:r>
          <w:r>
            <w:instrText xml:space="preserve"> PAGEREF _Toc24893 \h </w:instrText>
          </w:r>
          <w:r>
            <w:fldChar w:fldCharType="separate"/>
          </w:r>
          <w:r>
            <w:t>7</w:t>
          </w:r>
          <w:r>
            <w:fldChar w:fldCharType="end"/>
          </w:r>
          <w:r>
            <w:fldChar w:fldCharType="end"/>
          </w:r>
        </w:p>
        <w:p>
          <w:pPr>
            <w:pStyle w:val="69"/>
            <w:tabs>
              <w:tab w:val="right" w:leader="dot" w:pos="8306"/>
            </w:tabs>
          </w:pPr>
          <w:r>
            <w:fldChar w:fldCharType="begin"/>
          </w:r>
          <w:r>
            <w:instrText xml:space="preserve"> HYPERLINK \l _Toc7069 </w:instrText>
          </w:r>
          <w:r>
            <w:fldChar w:fldCharType="separate"/>
          </w:r>
          <w:r>
            <w:rPr>
              <w:rFonts w:hint="eastAsia" w:ascii="黑体" w:eastAsia="黑体"/>
              <w:szCs w:val="32"/>
            </w:rPr>
            <w:t>七、</w:t>
          </w:r>
          <w:r>
            <w:rPr>
              <w:rFonts w:hint="eastAsia" w:ascii="黑体" w:hAnsi="黑体" w:eastAsia="黑体"/>
            </w:rPr>
            <w:t>财政拨款“三公”经费支出决算情况说明</w:t>
          </w:r>
          <w:r>
            <w:tab/>
          </w:r>
          <w:r>
            <w:fldChar w:fldCharType="begin"/>
          </w:r>
          <w:r>
            <w:instrText xml:space="preserve"> PAGEREF _Toc7069 \h </w:instrText>
          </w:r>
          <w:r>
            <w:fldChar w:fldCharType="separate"/>
          </w:r>
          <w:r>
            <w:t>7</w:t>
          </w:r>
          <w:r>
            <w:fldChar w:fldCharType="end"/>
          </w:r>
          <w:r>
            <w:fldChar w:fldCharType="end"/>
          </w:r>
        </w:p>
        <w:p>
          <w:pPr>
            <w:pStyle w:val="69"/>
            <w:tabs>
              <w:tab w:val="right" w:leader="dot" w:pos="8306"/>
            </w:tabs>
          </w:pPr>
          <w:r>
            <w:fldChar w:fldCharType="begin"/>
          </w:r>
          <w:r>
            <w:instrText xml:space="preserve"> HYPERLINK \l _Toc30024 </w:instrText>
          </w:r>
          <w:r>
            <w:fldChar w:fldCharType="separate"/>
          </w:r>
          <w:r>
            <w:rPr>
              <w:rFonts w:hint="eastAsia" w:ascii="黑体" w:eastAsia="黑体"/>
              <w:szCs w:val="32"/>
            </w:rPr>
            <w:t>八、</w:t>
          </w:r>
          <w:r>
            <w:rPr>
              <w:rFonts w:hint="eastAsia" w:ascii="黑体" w:hAnsi="黑体" w:eastAsia="黑体"/>
            </w:rPr>
            <w:t>政府性基金预算支出决算情况说明</w:t>
          </w:r>
          <w:r>
            <w:tab/>
          </w:r>
          <w:r>
            <w:fldChar w:fldCharType="begin"/>
          </w:r>
          <w:r>
            <w:instrText xml:space="preserve"> PAGEREF _Toc30024 \h </w:instrText>
          </w:r>
          <w:r>
            <w:fldChar w:fldCharType="separate"/>
          </w:r>
          <w:r>
            <w:t>9</w:t>
          </w:r>
          <w:r>
            <w:fldChar w:fldCharType="end"/>
          </w:r>
          <w:r>
            <w:fldChar w:fldCharType="end"/>
          </w:r>
        </w:p>
        <w:p>
          <w:pPr>
            <w:pStyle w:val="69"/>
            <w:tabs>
              <w:tab w:val="right" w:leader="dot" w:pos="8306"/>
            </w:tabs>
          </w:pPr>
          <w:r>
            <w:fldChar w:fldCharType="begin"/>
          </w:r>
          <w:r>
            <w:instrText xml:space="preserve"> HYPERLINK \l _Toc23510 </w:instrText>
          </w:r>
          <w:r>
            <w:fldChar w:fldCharType="separate"/>
          </w:r>
          <w:r>
            <w:rPr>
              <w:rFonts w:hint="eastAsia" w:ascii="黑体" w:hAnsi="黑体" w:eastAsia="黑体"/>
            </w:rPr>
            <w:t>九、 国有资本经营预算支出决算情况说明</w:t>
          </w:r>
          <w:r>
            <w:tab/>
          </w:r>
          <w:r>
            <w:fldChar w:fldCharType="begin"/>
          </w:r>
          <w:r>
            <w:instrText xml:space="preserve"> PAGEREF _Toc23510 \h </w:instrText>
          </w:r>
          <w:r>
            <w:fldChar w:fldCharType="separate"/>
          </w:r>
          <w:r>
            <w:t>9</w:t>
          </w:r>
          <w:r>
            <w:fldChar w:fldCharType="end"/>
          </w:r>
          <w:r>
            <w:fldChar w:fldCharType="end"/>
          </w:r>
        </w:p>
        <w:p>
          <w:pPr>
            <w:pStyle w:val="69"/>
            <w:tabs>
              <w:tab w:val="right" w:leader="dot" w:pos="8306"/>
            </w:tabs>
          </w:pPr>
          <w:r>
            <w:fldChar w:fldCharType="begin"/>
          </w:r>
          <w:r>
            <w:instrText xml:space="preserve"> HYPERLINK \l _Toc25516 </w:instrText>
          </w:r>
          <w:r>
            <w:fldChar w:fldCharType="separate"/>
          </w:r>
          <w:r>
            <w:rPr>
              <w:rFonts w:hint="eastAsia" w:ascii="黑体" w:hAnsi="黑体" w:eastAsia="黑体"/>
            </w:rPr>
            <w:t>十、 其他重要事项的情况说明</w:t>
          </w:r>
          <w:r>
            <w:tab/>
          </w:r>
          <w:r>
            <w:fldChar w:fldCharType="begin"/>
          </w:r>
          <w:r>
            <w:instrText xml:space="preserve"> PAGEREF _Toc25516 \h </w:instrText>
          </w:r>
          <w:r>
            <w:fldChar w:fldCharType="separate"/>
          </w:r>
          <w:r>
            <w:t>9</w:t>
          </w:r>
          <w:r>
            <w:fldChar w:fldCharType="end"/>
          </w:r>
          <w:r>
            <w:fldChar w:fldCharType="end"/>
          </w:r>
        </w:p>
        <w:p>
          <w:pPr>
            <w:pStyle w:val="68"/>
            <w:tabs>
              <w:tab w:val="right" w:leader="dot" w:pos="8306"/>
            </w:tabs>
            <w:rPr>
              <w:b/>
            </w:rPr>
          </w:pPr>
          <w:r>
            <w:rPr>
              <w:b/>
            </w:rPr>
            <w:fldChar w:fldCharType="begin"/>
          </w:r>
          <w:r>
            <w:rPr>
              <w:b/>
            </w:rPr>
            <w:instrText xml:space="preserve"> HYPERLINK \l _Toc5913 </w:instrText>
          </w:r>
          <w:r>
            <w:rPr>
              <w:b/>
            </w:rPr>
            <w:fldChar w:fldCharType="separate"/>
          </w:r>
          <w:r>
            <w:rPr>
              <w:rFonts w:hint="eastAsia" w:ascii="黑体" w:hAnsi="黑体" w:eastAsia="黑体"/>
              <w:b/>
              <w:szCs w:val="44"/>
            </w:rPr>
            <w:t>第三部分 名</w:t>
          </w:r>
          <w:r>
            <w:rPr>
              <w:rFonts w:hint="eastAsia" w:ascii="黑体" w:hAnsi="黑体" w:eastAsia="黑体"/>
              <w:b/>
            </w:rPr>
            <w:t>词解释</w:t>
          </w:r>
          <w:r>
            <w:rPr>
              <w:b/>
            </w:rPr>
            <w:tab/>
          </w:r>
          <w:r>
            <w:rPr>
              <w:b/>
            </w:rPr>
            <w:fldChar w:fldCharType="begin"/>
          </w:r>
          <w:r>
            <w:rPr>
              <w:b/>
            </w:rPr>
            <w:instrText xml:space="preserve"> PAGEREF _Toc5913 \h </w:instrText>
          </w:r>
          <w:r>
            <w:rPr>
              <w:b/>
            </w:rPr>
            <w:fldChar w:fldCharType="separate"/>
          </w:r>
          <w:r>
            <w:rPr>
              <w:b/>
            </w:rPr>
            <w:t>10</w:t>
          </w:r>
          <w:r>
            <w:rPr>
              <w:b/>
            </w:rPr>
            <w:fldChar w:fldCharType="end"/>
          </w:r>
          <w:r>
            <w:rPr>
              <w:b/>
            </w:rPr>
            <w:fldChar w:fldCharType="end"/>
          </w:r>
        </w:p>
        <w:p>
          <w:pPr>
            <w:pStyle w:val="68"/>
            <w:tabs>
              <w:tab w:val="right" w:leader="dot" w:pos="8306"/>
            </w:tabs>
            <w:rPr>
              <w:b/>
            </w:rPr>
          </w:pPr>
          <w:r>
            <w:rPr>
              <w:b/>
            </w:rPr>
            <w:fldChar w:fldCharType="begin"/>
          </w:r>
          <w:r>
            <w:rPr>
              <w:b/>
            </w:rPr>
            <w:instrText xml:space="preserve"> HYPERLINK \l _Toc12828 </w:instrText>
          </w:r>
          <w:r>
            <w:rPr>
              <w:b/>
            </w:rPr>
            <w:fldChar w:fldCharType="separate"/>
          </w:r>
          <w:r>
            <w:rPr>
              <w:rFonts w:hint="eastAsia" w:ascii="黑体" w:hAnsi="黑体" w:eastAsia="黑体"/>
              <w:b/>
              <w:szCs w:val="44"/>
            </w:rPr>
            <w:t>第</w:t>
          </w:r>
          <w:r>
            <w:rPr>
              <w:rFonts w:hint="eastAsia" w:ascii="黑体" w:hAnsi="黑体" w:eastAsia="黑体"/>
              <w:b/>
            </w:rPr>
            <w:t>四部分 附件</w:t>
          </w:r>
          <w:r>
            <w:rPr>
              <w:b/>
            </w:rPr>
            <w:tab/>
          </w:r>
          <w:r>
            <w:rPr>
              <w:b/>
            </w:rPr>
            <w:fldChar w:fldCharType="begin"/>
          </w:r>
          <w:r>
            <w:rPr>
              <w:b/>
            </w:rPr>
            <w:instrText xml:space="preserve"> PAGEREF _Toc12828 \h </w:instrText>
          </w:r>
          <w:r>
            <w:rPr>
              <w:b/>
            </w:rPr>
            <w:fldChar w:fldCharType="separate"/>
          </w:r>
          <w:r>
            <w:rPr>
              <w:b/>
            </w:rPr>
            <w:t>12</w:t>
          </w:r>
          <w:r>
            <w:rPr>
              <w:b/>
            </w:rPr>
            <w:fldChar w:fldCharType="end"/>
          </w:r>
          <w:r>
            <w:rPr>
              <w:b/>
            </w:rPr>
            <w:fldChar w:fldCharType="end"/>
          </w:r>
        </w:p>
        <w:p>
          <w:pPr>
            <w:pStyle w:val="68"/>
            <w:tabs>
              <w:tab w:val="right" w:leader="dot" w:pos="8306"/>
            </w:tabs>
            <w:rPr>
              <w:b/>
            </w:rPr>
          </w:pPr>
          <w:r>
            <w:rPr>
              <w:b/>
            </w:rPr>
            <w:fldChar w:fldCharType="begin"/>
          </w:r>
          <w:r>
            <w:rPr>
              <w:b/>
            </w:rPr>
            <w:instrText xml:space="preserve"> HYPERLINK \l _Toc12126 </w:instrText>
          </w:r>
          <w:r>
            <w:rPr>
              <w:b/>
            </w:rPr>
            <w:fldChar w:fldCharType="separate"/>
          </w:r>
          <w:r>
            <w:rPr>
              <w:rFonts w:hint="eastAsia" w:ascii="黑体" w:hAnsi="黑体" w:eastAsia="黑体"/>
              <w:b/>
              <w:szCs w:val="44"/>
            </w:rPr>
            <w:t>第</w:t>
          </w:r>
          <w:r>
            <w:rPr>
              <w:rFonts w:hint="eastAsia" w:ascii="黑体" w:hAnsi="黑体" w:eastAsia="黑体"/>
              <w:b/>
            </w:rPr>
            <w:t>五部分 附表</w:t>
          </w:r>
          <w:r>
            <w:rPr>
              <w:b/>
            </w:rPr>
            <w:tab/>
          </w:r>
          <w:r>
            <w:rPr>
              <w:b/>
            </w:rPr>
            <w:fldChar w:fldCharType="begin"/>
          </w:r>
          <w:r>
            <w:rPr>
              <w:b/>
            </w:rPr>
            <w:instrText xml:space="preserve"> PAGEREF _Toc12126 \h </w:instrText>
          </w:r>
          <w:r>
            <w:rPr>
              <w:b/>
            </w:rPr>
            <w:fldChar w:fldCharType="separate"/>
          </w:r>
          <w:r>
            <w:rPr>
              <w:b/>
            </w:rPr>
            <w:t>13</w:t>
          </w:r>
          <w:r>
            <w:rPr>
              <w:b/>
            </w:rPr>
            <w:fldChar w:fldCharType="end"/>
          </w:r>
          <w:r>
            <w:rPr>
              <w:b/>
            </w:rPr>
            <w:fldChar w:fldCharType="end"/>
          </w:r>
        </w:p>
        <w:p>
          <w:pPr>
            <w:pStyle w:val="69"/>
            <w:tabs>
              <w:tab w:val="right" w:leader="dot" w:pos="8306"/>
            </w:tabs>
          </w:pPr>
          <w:r>
            <w:fldChar w:fldCharType="begin"/>
          </w:r>
          <w:r>
            <w:instrText xml:space="preserve"> HYPERLINK \l _Toc11958 </w:instrText>
          </w:r>
          <w:r>
            <w:fldChar w:fldCharType="separate"/>
          </w:r>
          <w:r>
            <w:rPr>
              <w:rFonts w:hint="eastAsia" w:ascii="楷体_GB2312" w:hAnsi="仿宋" w:eastAsia="楷体_GB2312"/>
              <w:szCs w:val="32"/>
            </w:rPr>
            <w:t>一、收</w:t>
          </w:r>
          <w:r>
            <w:rPr>
              <w:rFonts w:hint="eastAsia" w:ascii="楷体_GB2312" w:hAnsi="仿宋" w:eastAsia="楷体_GB2312"/>
            </w:rPr>
            <w:t>入支出决算总表</w:t>
          </w:r>
          <w:r>
            <w:tab/>
          </w:r>
          <w:r>
            <w:fldChar w:fldCharType="begin"/>
          </w:r>
          <w:r>
            <w:instrText xml:space="preserve"> PAGEREF _Toc11958 \h </w:instrText>
          </w:r>
          <w:r>
            <w:fldChar w:fldCharType="separate"/>
          </w:r>
          <w:r>
            <w:t>13</w:t>
          </w:r>
          <w:r>
            <w:fldChar w:fldCharType="end"/>
          </w:r>
          <w:r>
            <w:fldChar w:fldCharType="end"/>
          </w:r>
        </w:p>
        <w:p>
          <w:pPr>
            <w:pStyle w:val="69"/>
            <w:tabs>
              <w:tab w:val="right" w:leader="dot" w:pos="8306"/>
            </w:tabs>
          </w:pPr>
          <w:r>
            <w:fldChar w:fldCharType="begin"/>
          </w:r>
          <w:r>
            <w:instrText xml:space="preserve"> HYPERLINK \l _Toc31242 </w:instrText>
          </w:r>
          <w:r>
            <w:fldChar w:fldCharType="separate"/>
          </w:r>
          <w:r>
            <w:rPr>
              <w:rFonts w:hint="eastAsia" w:ascii="楷体_GB2312" w:hAnsi="仿宋" w:eastAsia="楷体_GB2312"/>
            </w:rPr>
            <w:t>二、收</w:t>
          </w:r>
          <w:r>
            <w:rPr>
              <w:rFonts w:hint="eastAsia" w:ascii="楷体_GB2312" w:hAnsi="仿宋" w:eastAsia="楷体_GB2312"/>
              <w:bCs w:val="0"/>
            </w:rPr>
            <w:t>入决算表</w:t>
          </w:r>
          <w:r>
            <w:tab/>
          </w:r>
          <w:r>
            <w:fldChar w:fldCharType="begin"/>
          </w:r>
          <w:r>
            <w:instrText xml:space="preserve"> PAGEREF _Toc31242 \h </w:instrText>
          </w:r>
          <w:r>
            <w:fldChar w:fldCharType="separate"/>
          </w:r>
          <w:r>
            <w:t>13</w:t>
          </w:r>
          <w:r>
            <w:fldChar w:fldCharType="end"/>
          </w:r>
          <w:r>
            <w:fldChar w:fldCharType="end"/>
          </w:r>
        </w:p>
        <w:p>
          <w:pPr>
            <w:pStyle w:val="69"/>
            <w:tabs>
              <w:tab w:val="right" w:leader="dot" w:pos="8306"/>
            </w:tabs>
          </w:pPr>
          <w:r>
            <w:fldChar w:fldCharType="begin"/>
          </w:r>
          <w:r>
            <w:instrText xml:space="preserve"> HYPERLINK \l _Toc28647 </w:instrText>
          </w:r>
          <w:r>
            <w:fldChar w:fldCharType="separate"/>
          </w:r>
          <w:r>
            <w:rPr>
              <w:rFonts w:hint="eastAsia" w:ascii="楷体_GB2312" w:hAnsi="仿宋" w:eastAsia="楷体_GB2312"/>
              <w:bCs w:val="0"/>
            </w:rPr>
            <w:t>三、</w:t>
          </w:r>
          <w:r>
            <w:rPr>
              <w:rFonts w:hint="eastAsia" w:ascii="楷体_GB2312" w:hAnsi="仿宋" w:eastAsia="楷体_GB2312"/>
            </w:rPr>
            <w:t>支</w:t>
          </w:r>
          <w:r>
            <w:rPr>
              <w:rFonts w:hint="eastAsia" w:ascii="楷体_GB2312" w:hAnsi="仿宋" w:eastAsia="楷体_GB2312"/>
              <w:bCs w:val="0"/>
            </w:rPr>
            <w:t>出决算表</w:t>
          </w:r>
          <w:r>
            <w:tab/>
          </w:r>
          <w:r>
            <w:fldChar w:fldCharType="begin"/>
          </w:r>
          <w:r>
            <w:instrText xml:space="preserve"> PAGEREF _Toc28647 \h </w:instrText>
          </w:r>
          <w:r>
            <w:fldChar w:fldCharType="separate"/>
          </w:r>
          <w:r>
            <w:t>13</w:t>
          </w:r>
          <w:r>
            <w:fldChar w:fldCharType="end"/>
          </w:r>
          <w:r>
            <w:fldChar w:fldCharType="end"/>
          </w:r>
        </w:p>
        <w:p>
          <w:pPr>
            <w:pStyle w:val="69"/>
            <w:tabs>
              <w:tab w:val="right" w:leader="dot" w:pos="8306"/>
            </w:tabs>
          </w:pPr>
          <w:r>
            <w:fldChar w:fldCharType="begin"/>
          </w:r>
          <w:r>
            <w:instrText xml:space="preserve"> HYPERLINK \l _Toc10990 </w:instrText>
          </w:r>
          <w:r>
            <w:fldChar w:fldCharType="separate"/>
          </w:r>
          <w:r>
            <w:rPr>
              <w:rFonts w:hint="eastAsia" w:ascii="楷体_GB2312" w:hAnsi="仿宋" w:eastAsia="楷体_GB2312"/>
              <w:bCs w:val="0"/>
            </w:rPr>
            <w:t>四、</w:t>
          </w:r>
          <w:r>
            <w:rPr>
              <w:rFonts w:hint="eastAsia" w:ascii="楷体_GB2312" w:hAnsi="仿宋" w:eastAsia="楷体_GB2312"/>
            </w:rPr>
            <w:t>财</w:t>
          </w:r>
          <w:r>
            <w:rPr>
              <w:rFonts w:hint="eastAsia" w:ascii="楷体_GB2312" w:hAnsi="仿宋" w:eastAsia="楷体_GB2312"/>
              <w:bCs w:val="0"/>
            </w:rPr>
            <w:t>政拨款收入支出决算总表</w:t>
          </w:r>
          <w:r>
            <w:tab/>
          </w:r>
          <w:r>
            <w:fldChar w:fldCharType="begin"/>
          </w:r>
          <w:r>
            <w:instrText xml:space="preserve"> PAGEREF _Toc10990 \h </w:instrText>
          </w:r>
          <w:r>
            <w:fldChar w:fldCharType="separate"/>
          </w:r>
          <w:r>
            <w:t>13</w:t>
          </w:r>
          <w:r>
            <w:fldChar w:fldCharType="end"/>
          </w:r>
          <w:r>
            <w:fldChar w:fldCharType="end"/>
          </w:r>
        </w:p>
        <w:p>
          <w:pPr>
            <w:pStyle w:val="69"/>
            <w:tabs>
              <w:tab w:val="right" w:leader="dot" w:pos="8306"/>
            </w:tabs>
          </w:pPr>
          <w:r>
            <w:fldChar w:fldCharType="begin"/>
          </w:r>
          <w:r>
            <w:instrText xml:space="preserve"> HYPERLINK \l _Toc30575 </w:instrText>
          </w:r>
          <w:r>
            <w:fldChar w:fldCharType="separate"/>
          </w:r>
          <w:r>
            <w:rPr>
              <w:rFonts w:hint="eastAsia" w:ascii="楷体_GB2312" w:hAnsi="仿宋" w:eastAsia="楷体_GB2312"/>
              <w:bCs w:val="0"/>
            </w:rPr>
            <w:t>五、</w:t>
          </w:r>
          <w:r>
            <w:rPr>
              <w:rFonts w:hint="eastAsia" w:ascii="楷体_GB2312" w:hAnsi="仿宋" w:eastAsia="楷体_GB2312"/>
            </w:rPr>
            <w:t>财</w:t>
          </w:r>
          <w:r>
            <w:rPr>
              <w:rFonts w:hint="eastAsia" w:ascii="楷体_GB2312" w:hAnsi="仿宋" w:eastAsia="楷体_GB2312"/>
              <w:bCs w:val="0"/>
            </w:rPr>
            <w:t>政拨款支出决算明细表</w:t>
          </w:r>
          <w:r>
            <w:tab/>
          </w:r>
          <w:r>
            <w:fldChar w:fldCharType="begin"/>
          </w:r>
          <w:r>
            <w:instrText xml:space="preserve"> PAGEREF _Toc30575 \h </w:instrText>
          </w:r>
          <w:r>
            <w:fldChar w:fldCharType="separate"/>
          </w:r>
          <w:r>
            <w:t>13</w:t>
          </w:r>
          <w:r>
            <w:fldChar w:fldCharType="end"/>
          </w:r>
          <w:r>
            <w:fldChar w:fldCharType="end"/>
          </w:r>
        </w:p>
        <w:p>
          <w:pPr>
            <w:pStyle w:val="69"/>
            <w:tabs>
              <w:tab w:val="right" w:leader="dot" w:pos="8306"/>
            </w:tabs>
          </w:pPr>
          <w:r>
            <w:fldChar w:fldCharType="begin"/>
          </w:r>
          <w:r>
            <w:instrText xml:space="preserve"> HYPERLINK \l _Toc24285 </w:instrText>
          </w:r>
          <w:r>
            <w:fldChar w:fldCharType="separate"/>
          </w:r>
          <w:r>
            <w:rPr>
              <w:rFonts w:hint="eastAsia" w:ascii="楷体_GB2312" w:hAnsi="仿宋" w:eastAsia="楷体_GB2312"/>
              <w:bCs w:val="0"/>
            </w:rPr>
            <w:t>六、</w:t>
          </w:r>
          <w:r>
            <w:rPr>
              <w:rFonts w:hint="eastAsia" w:ascii="楷体_GB2312" w:hAnsi="仿宋" w:eastAsia="楷体_GB2312"/>
            </w:rPr>
            <w:t>一</w:t>
          </w:r>
          <w:r>
            <w:rPr>
              <w:rFonts w:hint="eastAsia" w:ascii="楷体_GB2312" w:hAnsi="仿宋" w:eastAsia="楷体_GB2312"/>
              <w:bCs w:val="0"/>
            </w:rPr>
            <w:t>般公共预算财政拨款支出决算表</w:t>
          </w:r>
          <w:r>
            <w:tab/>
          </w:r>
          <w:r>
            <w:fldChar w:fldCharType="begin"/>
          </w:r>
          <w:r>
            <w:instrText xml:space="preserve"> PAGEREF _Toc24285 \h </w:instrText>
          </w:r>
          <w:r>
            <w:fldChar w:fldCharType="separate"/>
          </w:r>
          <w:r>
            <w:t>13</w:t>
          </w:r>
          <w:r>
            <w:fldChar w:fldCharType="end"/>
          </w:r>
          <w:r>
            <w:fldChar w:fldCharType="end"/>
          </w:r>
        </w:p>
        <w:p>
          <w:pPr>
            <w:pStyle w:val="69"/>
            <w:tabs>
              <w:tab w:val="right" w:leader="dot" w:pos="8306"/>
            </w:tabs>
          </w:pPr>
          <w:r>
            <w:fldChar w:fldCharType="begin"/>
          </w:r>
          <w:r>
            <w:instrText xml:space="preserve"> HYPERLINK \l _Toc12468 </w:instrText>
          </w:r>
          <w:r>
            <w:fldChar w:fldCharType="separate"/>
          </w:r>
          <w:r>
            <w:rPr>
              <w:rFonts w:hint="eastAsia" w:ascii="楷体_GB2312" w:hAnsi="仿宋" w:eastAsia="楷体_GB2312"/>
              <w:bCs w:val="0"/>
            </w:rPr>
            <w:t>七、</w:t>
          </w:r>
          <w:r>
            <w:rPr>
              <w:rFonts w:hint="eastAsia" w:ascii="楷体_GB2312" w:hAnsi="仿宋" w:eastAsia="楷体_GB2312"/>
            </w:rPr>
            <w:t>一</w:t>
          </w:r>
          <w:r>
            <w:rPr>
              <w:rFonts w:hint="eastAsia" w:ascii="楷体_GB2312" w:hAnsi="仿宋" w:eastAsia="楷体_GB2312"/>
              <w:bCs w:val="0"/>
            </w:rPr>
            <w:t>般公共预算财政拨款支出决算明细表</w:t>
          </w:r>
          <w:r>
            <w:tab/>
          </w:r>
          <w:r>
            <w:fldChar w:fldCharType="begin"/>
          </w:r>
          <w:r>
            <w:instrText xml:space="preserve"> PAGEREF _Toc12468 \h </w:instrText>
          </w:r>
          <w:r>
            <w:fldChar w:fldCharType="separate"/>
          </w:r>
          <w:r>
            <w:t>13</w:t>
          </w:r>
          <w:r>
            <w:fldChar w:fldCharType="end"/>
          </w:r>
          <w:r>
            <w:fldChar w:fldCharType="end"/>
          </w:r>
        </w:p>
        <w:p>
          <w:pPr>
            <w:pStyle w:val="69"/>
            <w:tabs>
              <w:tab w:val="right" w:leader="dot" w:pos="8306"/>
            </w:tabs>
          </w:pPr>
          <w:r>
            <w:fldChar w:fldCharType="begin"/>
          </w:r>
          <w:r>
            <w:instrText xml:space="preserve"> HYPERLINK \l _Toc5622 </w:instrText>
          </w:r>
          <w:r>
            <w:fldChar w:fldCharType="separate"/>
          </w:r>
          <w:r>
            <w:rPr>
              <w:rFonts w:hint="eastAsia" w:ascii="楷体_GB2312" w:hAnsi="仿宋" w:eastAsia="楷体_GB2312"/>
              <w:bCs w:val="0"/>
            </w:rPr>
            <w:t>八、</w:t>
          </w:r>
          <w:r>
            <w:rPr>
              <w:rFonts w:hint="eastAsia" w:ascii="楷体_GB2312" w:hAnsi="仿宋" w:eastAsia="楷体_GB2312"/>
            </w:rPr>
            <w:t>一</w:t>
          </w:r>
          <w:r>
            <w:rPr>
              <w:rFonts w:hint="eastAsia" w:ascii="楷体_GB2312" w:hAnsi="仿宋" w:eastAsia="楷体_GB2312"/>
              <w:bCs w:val="0"/>
            </w:rPr>
            <w:t>般公共预算财政拨款基本支出决算表</w:t>
          </w:r>
          <w:r>
            <w:tab/>
          </w:r>
          <w:r>
            <w:fldChar w:fldCharType="begin"/>
          </w:r>
          <w:r>
            <w:instrText xml:space="preserve"> PAGEREF _Toc5622 \h </w:instrText>
          </w:r>
          <w:r>
            <w:fldChar w:fldCharType="separate"/>
          </w:r>
          <w:r>
            <w:t>13</w:t>
          </w:r>
          <w:r>
            <w:fldChar w:fldCharType="end"/>
          </w:r>
          <w:r>
            <w:fldChar w:fldCharType="end"/>
          </w:r>
        </w:p>
        <w:p>
          <w:pPr>
            <w:pStyle w:val="69"/>
            <w:tabs>
              <w:tab w:val="right" w:leader="dot" w:pos="8306"/>
            </w:tabs>
          </w:pPr>
          <w:r>
            <w:fldChar w:fldCharType="begin"/>
          </w:r>
          <w:r>
            <w:instrText xml:space="preserve"> HYPERLINK \l _Toc15435 </w:instrText>
          </w:r>
          <w:r>
            <w:fldChar w:fldCharType="separate"/>
          </w:r>
          <w:r>
            <w:rPr>
              <w:rFonts w:hint="eastAsia" w:ascii="楷体_GB2312" w:hAnsi="仿宋" w:eastAsia="楷体_GB2312"/>
              <w:bCs w:val="0"/>
            </w:rPr>
            <w:t>九、</w:t>
          </w:r>
          <w:r>
            <w:rPr>
              <w:rFonts w:hint="eastAsia" w:ascii="楷体_GB2312" w:hAnsi="仿宋" w:eastAsia="楷体_GB2312"/>
            </w:rPr>
            <w:t>一</w:t>
          </w:r>
          <w:r>
            <w:rPr>
              <w:rFonts w:hint="eastAsia" w:ascii="楷体_GB2312" w:hAnsi="仿宋" w:eastAsia="楷体_GB2312"/>
              <w:bCs w:val="0"/>
            </w:rPr>
            <w:t>般公共预算财政拨款项目支出决算表</w:t>
          </w:r>
          <w:r>
            <w:tab/>
          </w:r>
          <w:r>
            <w:fldChar w:fldCharType="begin"/>
          </w:r>
          <w:r>
            <w:instrText xml:space="preserve"> PAGEREF _Toc15435 \h </w:instrText>
          </w:r>
          <w:r>
            <w:fldChar w:fldCharType="separate"/>
          </w:r>
          <w:r>
            <w:t>13</w:t>
          </w:r>
          <w:r>
            <w:fldChar w:fldCharType="end"/>
          </w:r>
          <w:r>
            <w:fldChar w:fldCharType="end"/>
          </w:r>
        </w:p>
        <w:p>
          <w:pPr>
            <w:pStyle w:val="69"/>
            <w:tabs>
              <w:tab w:val="right" w:leader="dot" w:pos="8306"/>
            </w:tabs>
          </w:pPr>
          <w:r>
            <w:fldChar w:fldCharType="begin"/>
          </w:r>
          <w:r>
            <w:instrText xml:space="preserve"> HYPERLINK \l _Toc21418 </w:instrText>
          </w:r>
          <w:r>
            <w:fldChar w:fldCharType="separate"/>
          </w:r>
          <w:r>
            <w:rPr>
              <w:rFonts w:hint="eastAsia" w:ascii="楷体_GB2312" w:hAnsi="仿宋" w:eastAsia="楷体_GB2312"/>
              <w:bCs w:val="0"/>
            </w:rPr>
            <w:t>十、</w:t>
          </w:r>
          <w:r>
            <w:rPr>
              <w:rFonts w:hint="eastAsia" w:ascii="楷体_GB2312" w:hAnsi="仿宋" w:eastAsia="楷体_GB2312"/>
            </w:rPr>
            <w:t>政</w:t>
          </w:r>
          <w:r>
            <w:rPr>
              <w:rFonts w:hint="eastAsia" w:ascii="楷体_GB2312" w:hAnsi="仿宋" w:eastAsia="楷体_GB2312"/>
              <w:bCs w:val="0"/>
            </w:rPr>
            <w:t>府性基金预算财政拨款收入支出决算表</w:t>
          </w:r>
          <w:r>
            <w:tab/>
          </w:r>
          <w:r>
            <w:fldChar w:fldCharType="begin"/>
          </w:r>
          <w:r>
            <w:instrText xml:space="preserve"> PAGEREF _Toc21418 \h </w:instrText>
          </w:r>
          <w:r>
            <w:fldChar w:fldCharType="separate"/>
          </w:r>
          <w:r>
            <w:t>13</w:t>
          </w:r>
          <w:r>
            <w:fldChar w:fldCharType="end"/>
          </w:r>
          <w:r>
            <w:fldChar w:fldCharType="end"/>
          </w:r>
        </w:p>
        <w:p>
          <w:pPr>
            <w:pStyle w:val="69"/>
            <w:tabs>
              <w:tab w:val="right" w:leader="dot" w:pos="8306"/>
            </w:tabs>
          </w:pPr>
          <w:r>
            <w:fldChar w:fldCharType="begin"/>
          </w:r>
          <w:r>
            <w:instrText xml:space="preserve"> HYPERLINK \l _Toc2150 </w:instrText>
          </w:r>
          <w:r>
            <w:fldChar w:fldCharType="separate"/>
          </w:r>
          <w:r>
            <w:rPr>
              <w:rFonts w:hint="eastAsia" w:ascii="楷体_GB2312" w:hAnsi="仿宋" w:eastAsia="楷体_GB2312"/>
              <w:bCs w:val="0"/>
            </w:rPr>
            <w:t>十一、</w:t>
          </w:r>
          <w:r>
            <w:rPr>
              <w:rFonts w:hint="eastAsia" w:ascii="楷体_GB2312" w:hAnsi="仿宋" w:eastAsia="楷体_GB2312"/>
            </w:rPr>
            <w:t>国</w:t>
          </w:r>
          <w:r>
            <w:rPr>
              <w:rFonts w:hint="eastAsia" w:ascii="楷体_GB2312" w:hAnsi="仿宋" w:eastAsia="楷体_GB2312"/>
              <w:bCs w:val="0"/>
            </w:rPr>
            <w:t>有资本经营预算财政拨款收入支出决算表</w:t>
          </w:r>
          <w:r>
            <w:tab/>
          </w:r>
          <w:r>
            <w:fldChar w:fldCharType="begin"/>
          </w:r>
          <w:r>
            <w:instrText xml:space="preserve"> PAGEREF _Toc2150 \h </w:instrText>
          </w:r>
          <w:r>
            <w:fldChar w:fldCharType="separate"/>
          </w:r>
          <w:r>
            <w:t>13</w:t>
          </w:r>
          <w:r>
            <w:fldChar w:fldCharType="end"/>
          </w:r>
          <w:r>
            <w:fldChar w:fldCharType="end"/>
          </w:r>
        </w:p>
        <w:p>
          <w:pPr>
            <w:pStyle w:val="69"/>
            <w:tabs>
              <w:tab w:val="right" w:leader="dot" w:pos="8306"/>
            </w:tabs>
          </w:pPr>
          <w:r>
            <w:fldChar w:fldCharType="begin"/>
          </w:r>
          <w:r>
            <w:instrText xml:space="preserve"> HYPERLINK \l _Toc27614 </w:instrText>
          </w:r>
          <w:r>
            <w:fldChar w:fldCharType="separate"/>
          </w:r>
          <w:r>
            <w:rPr>
              <w:rFonts w:hint="eastAsia" w:ascii="楷体_GB2312" w:hAnsi="仿宋" w:eastAsia="楷体_GB2312"/>
              <w:bCs w:val="0"/>
            </w:rPr>
            <w:t>十二、国有资本经营预算财政拨款支出决算表</w:t>
          </w:r>
          <w:r>
            <w:tab/>
          </w:r>
          <w:r>
            <w:fldChar w:fldCharType="begin"/>
          </w:r>
          <w:r>
            <w:instrText xml:space="preserve"> PAGEREF _Toc27614 \h </w:instrText>
          </w:r>
          <w:r>
            <w:fldChar w:fldCharType="separate"/>
          </w:r>
          <w:r>
            <w:t>13</w:t>
          </w:r>
          <w:r>
            <w:fldChar w:fldCharType="end"/>
          </w:r>
          <w:r>
            <w:fldChar w:fldCharType="end"/>
          </w:r>
        </w:p>
        <w:p>
          <w:pPr>
            <w:pStyle w:val="69"/>
            <w:tabs>
              <w:tab w:val="right" w:leader="dot" w:pos="8306"/>
            </w:tabs>
          </w:pPr>
          <w:r>
            <w:fldChar w:fldCharType="begin"/>
          </w:r>
          <w:r>
            <w:instrText xml:space="preserve"> HYPERLINK \l _Toc9699 </w:instrText>
          </w:r>
          <w:r>
            <w:fldChar w:fldCharType="separate"/>
          </w:r>
          <w:r>
            <w:rPr>
              <w:rFonts w:hint="eastAsia" w:ascii="楷体_GB2312" w:hAnsi="仿宋" w:eastAsia="楷体_GB2312"/>
              <w:bCs w:val="0"/>
            </w:rPr>
            <w:t>十三、财政拨款“三公”经费支出决算表</w:t>
          </w:r>
          <w:r>
            <w:tab/>
          </w:r>
          <w:r>
            <w:fldChar w:fldCharType="begin"/>
          </w:r>
          <w:r>
            <w:instrText xml:space="preserve"> PAGEREF _Toc9699 \h </w:instrText>
          </w:r>
          <w:r>
            <w:fldChar w:fldCharType="separate"/>
          </w:r>
          <w:r>
            <w:t>13</w:t>
          </w:r>
          <w:r>
            <w:fldChar w:fldCharType="end"/>
          </w:r>
          <w:r>
            <w:fldChar w:fldCharType="end"/>
          </w:r>
        </w:p>
        <w:p>
          <w:pPr>
            <w:rPr>
              <w:rFonts w:ascii="Times New Roman" w:hAnsi="Times New Roman" w:eastAsia="宋体" w:cs="Times New Roman"/>
              <w:b/>
              <w:kern w:val="2"/>
              <w:sz w:val="21"/>
              <w:szCs w:val="24"/>
              <w:lang w:val="en-US" w:eastAsia="zh-CN" w:bidi="ar-SA"/>
            </w:rPr>
          </w:pPr>
          <w:r>
            <w:rPr>
              <w:b/>
            </w:rPr>
            <w:fldChar w:fldCharType="end"/>
          </w:r>
        </w:p>
      </w:sdtContent>
    </w:sdt>
    <w:p>
      <w:pPr>
        <w:pStyle w:val="2"/>
      </w:pPr>
    </w:p>
    <w:p>
      <w:pPr>
        <w:pStyle w:val="3"/>
        <w:adjustRightInd w:val="0"/>
        <w:snapToGrid w:val="0"/>
        <w:spacing w:before="0" w:after="0" w:line="580" w:lineRule="exact"/>
        <w:jc w:val="center"/>
        <w:outlineLvl w:val="9"/>
        <w:rPr>
          <w:rFonts w:hint="eastAsia" w:ascii="黑体" w:hAnsi="黑体" w:eastAsia="黑体"/>
          <w:b w:val="0"/>
          <w:color w:val="000000" w:themeColor="text1"/>
        </w:rPr>
        <w:sectPr>
          <w:headerReference r:id="rId3" w:type="default"/>
          <w:pgSz w:w="11906" w:h="16838"/>
          <w:pgMar w:top="1440" w:right="1800" w:bottom="1440" w:left="1800" w:header="851" w:footer="992" w:gutter="0"/>
          <w:pgNumType w:start="1"/>
          <w:cols w:space="425" w:num="1"/>
          <w:titlePg/>
          <w:docGrid w:type="lines" w:linePitch="312" w:charSpace="0"/>
        </w:sectPr>
      </w:pPr>
      <w:bookmarkStart w:id="14" w:name="_Toc15396599"/>
      <w:bookmarkStart w:id="15" w:name="_Toc15377196"/>
    </w:p>
    <w:p>
      <w:pPr>
        <w:pStyle w:val="3"/>
        <w:adjustRightInd w:val="0"/>
        <w:snapToGrid w:val="0"/>
        <w:spacing w:before="0" w:after="0" w:line="580" w:lineRule="exact"/>
        <w:jc w:val="center"/>
        <w:rPr>
          <w:rStyle w:val="19"/>
          <w:rFonts w:ascii="黑体" w:hAnsi="黑体" w:eastAsia="黑体"/>
          <w:b w:val="0"/>
          <w:bCs w:val="0"/>
          <w:color w:val="000000" w:themeColor="text1"/>
        </w:rPr>
      </w:pPr>
      <w:bookmarkStart w:id="16" w:name="_Toc26191"/>
      <w:r>
        <w:rPr>
          <w:rFonts w:hint="eastAsia" w:ascii="黑体" w:hAnsi="黑体" w:eastAsia="黑体"/>
          <w:b w:val="0"/>
          <w:color w:val="000000" w:themeColor="text1"/>
        </w:rPr>
        <w:t>第一部分 单位</w:t>
      </w:r>
      <w:r>
        <w:rPr>
          <w:rStyle w:val="19"/>
          <w:rFonts w:hint="eastAsia" w:ascii="黑体" w:hAnsi="黑体" w:eastAsia="黑体"/>
          <w:b w:val="0"/>
          <w:bCs w:val="0"/>
          <w:color w:val="000000" w:themeColor="text1"/>
        </w:rPr>
        <w:t>概况</w:t>
      </w:r>
      <w:bookmarkEnd w:id="14"/>
      <w:bookmarkEnd w:id="15"/>
      <w:bookmarkEnd w:id="16"/>
      <w:bookmarkStart w:id="17" w:name="_Toc15377197"/>
      <w:bookmarkStart w:id="18" w:name="_Toc15396600"/>
    </w:p>
    <w:p>
      <w:pPr>
        <w:adjustRightInd w:val="0"/>
        <w:snapToGrid w:val="0"/>
        <w:spacing w:line="580" w:lineRule="exact"/>
        <w:rPr>
          <w:color w:val="000000" w:themeColor="text1"/>
        </w:rPr>
      </w:pPr>
    </w:p>
    <w:p>
      <w:pPr>
        <w:pStyle w:val="3"/>
        <w:adjustRightInd w:val="0"/>
        <w:snapToGrid w:val="0"/>
        <w:spacing w:before="0" w:after="0" w:line="580" w:lineRule="exact"/>
        <w:ind w:firstLine="640" w:firstLineChars="200"/>
        <w:outlineLvl w:val="1"/>
        <w:rPr>
          <w:rStyle w:val="20"/>
          <w:rFonts w:ascii="黑体" w:hAnsi="黑体" w:eastAsia="黑体" w:cs="Times New Roman"/>
          <w:b/>
          <w:bCs w:val="0"/>
          <w:color w:val="000000" w:themeColor="text1"/>
          <w:kern w:val="44"/>
        </w:rPr>
      </w:pPr>
      <w:bookmarkStart w:id="19" w:name="_Toc795"/>
      <w:r>
        <w:rPr>
          <w:rStyle w:val="19"/>
          <w:rFonts w:hint="eastAsia" w:ascii="黑体" w:hAnsi="黑体" w:eastAsia="黑体"/>
          <w:b w:val="0"/>
          <w:bCs w:val="0"/>
          <w:color w:val="000000" w:themeColor="text1"/>
          <w:sz w:val="32"/>
          <w:szCs w:val="32"/>
        </w:rPr>
        <w:t>一、</w:t>
      </w:r>
      <w:r>
        <w:rPr>
          <w:rStyle w:val="20"/>
          <w:rFonts w:hint="eastAsia" w:ascii="黑体" w:hAnsi="黑体" w:eastAsia="黑体"/>
          <w:b w:val="0"/>
          <w:bCs w:val="0"/>
          <w:color w:val="000000" w:themeColor="text1"/>
        </w:rPr>
        <w:t>主要职责</w:t>
      </w:r>
      <w:bookmarkEnd w:id="19"/>
    </w:p>
    <w:p>
      <w:pPr>
        <w:pStyle w:val="13"/>
        <w:overflowPunct w:val="0"/>
        <w:adjustRightInd w:val="0"/>
        <w:snapToGrid w:val="0"/>
        <w:spacing w:line="580" w:lineRule="exact"/>
        <w:ind w:firstLine="640" w:firstLineChars="200"/>
        <w:outlineLvl w:val="2"/>
        <w:rPr>
          <w:rFonts w:ascii="仿宋_GB2312" w:eastAsia="仿宋_GB2312"/>
          <w:color w:val="000000" w:themeColor="text1"/>
          <w:kern w:val="1"/>
          <w:sz w:val="32"/>
          <w:szCs w:val="32"/>
        </w:rPr>
      </w:pPr>
      <w:r>
        <w:rPr>
          <w:rFonts w:hint="eastAsia" w:ascii="仿宋_GB2312" w:eastAsia="仿宋_GB2312"/>
          <w:color w:val="000000" w:themeColor="text1"/>
          <w:kern w:val="1"/>
          <w:sz w:val="32"/>
          <w:szCs w:val="32"/>
        </w:rPr>
        <w:t>负责管理市直机关经营性国有资产，负责收益的收取、解缴和相关资产的物业管理，履行授权管理的国有资产保值增值责任，增加跟踪分析研判外部董事履职情况，为外部董事提供日常服务等事务性职责。</w:t>
      </w:r>
    </w:p>
    <w:p>
      <w:pPr>
        <w:pStyle w:val="4"/>
        <w:adjustRightInd w:val="0"/>
        <w:snapToGrid w:val="0"/>
        <w:spacing w:before="0" w:after="0" w:line="580" w:lineRule="exact"/>
        <w:ind w:firstLine="640" w:firstLineChars="200"/>
        <w:rPr>
          <w:rFonts w:ascii="黑体" w:hAnsi="黑体" w:eastAsia="黑体"/>
          <w:b w:val="0"/>
          <w:color w:val="000000" w:themeColor="text1"/>
        </w:rPr>
      </w:pPr>
      <w:bookmarkStart w:id="20" w:name="_Toc22989"/>
      <w:r>
        <w:rPr>
          <w:rFonts w:hint="eastAsia" w:ascii="黑体" w:hAnsi="黑体" w:eastAsia="黑体"/>
          <w:b w:val="0"/>
          <w:color w:val="000000" w:themeColor="text1"/>
        </w:rPr>
        <w:t>二、机构设置</w:t>
      </w:r>
      <w:bookmarkEnd w:id="20"/>
    </w:p>
    <w:bookmarkEnd w:id="17"/>
    <w:bookmarkEnd w:id="18"/>
    <w:p>
      <w:pPr>
        <w:pStyle w:val="4"/>
        <w:keepNext w:val="0"/>
        <w:keepLines w:val="0"/>
        <w:overflowPunct w:val="0"/>
        <w:adjustRightInd w:val="0"/>
        <w:snapToGrid w:val="0"/>
        <w:spacing w:before="0" w:after="0" w:line="580" w:lineRule="exact"/>
        <w:ind w:firstLine="640" w:firstLineChars="200"/>
        <w:outlineLvl w:val="0"/>
        <w:rPr>
          <w:rFonts w:ascii="仿宋_GB2312" w:hAnsi="Times New Roman" w:eastAsia="仿宋_GB2312" w:cs="Times New Roman"/>
          <w:b w:val="0"/>
          <w:bCs w:val="0"/>
          <w:color w:val="000000" w:themeColor="text1"/>
          <w:kern w:val="32"/>
        </w:rPr>
      </w:pPr>
      <w:bookmarkStart w:id="21" w:name="_Toc24549"/>
      <w:r>
        <w:rPr>
          <w:rFonts w:hint="eastAsia" w:ascii="仿宋_GB2312" w:hAnsi="Times New Roman" w:eastAsia="仿宋_GB2312" w:cs="Times New Roman"/>
          <w:b w:val="0"/>
          <w:bCs w:val="0"/>
          <w:color w:val="000000" w:themeColor="text1"/>
          <w:kern w:val="32"/>
        </w:rPr>
        <w:t>广元市国资国企服务中心属于广元市国资委部门下属的二级预算单位，</w:t>
      </w:r>
      <w:r>
        <w:rPr>
          <w:rFonts w:hint="eastAsia" w:ascii="仿宋_GB2312" w:hAnsi="仿宋_GB2312" w:eastAsia="仿宋_GB2312" w:cs="仿宋_GB2312"/>
          <w:b w:val="0"/>
        </w:rPr>
        <w:t>设有内设机构5个</w:t>
      </w:r>
      <w:r>
        <w:rPr>
          <w:rFonts w:hint="eastAsia" w:ascii="仿宋_GB2312" w:hAnsi="Times New Roman" w:eastAsia="仿宋_GB2312" w:cs="Times New Roman"/>
          <w:b w:val="0"/>
          <w:bCs w:val="0"/>
          <w:color w:val="000000" w:themeColor="text1"/>
          <w:kern w:val="32"/>
        </w:rPr>
        <w:t>。</w:t>
      </w:r>
      <w:bookmarkEnd w:id="21"/>
    </w:p>
    <w:p>
      <w:pPr>
        <w:pStyle w:val="4"/>
        <w:keepNext w:val="0"/>
        <w:keepLines w:val="0"/>
        <w:overflowPunct w:val="0"/>
        <w:adjustRightInd w:val="0"/>
        <w:snapToGrid w:val="0"/>
        <w:spacing w:before="0" w:after="0" w:line="580" w:lineRule="exact"/>
        <w:ind w:firstLine="640" w:firstLineChars="200"/>
        <w:rPr>
          <w:rFonts w:ascii="仿宋_GB2312" w:hAnsi="Times New Roman" w:eastAsia="仿宋_GB2312" w:cs="Times New Roman"/>
          <w:b w:val="0"/>
          <w:bCs w:val="0"/>
          <w:color w:val="000000" w:themeColor="text1"/>
          <w:kern w:val="32"/>
        </w:rPr>
      </w:pPr>
      <w:bookmarkStart w:id="22" w:name="_Toc15041"/>
      <w:r>
        <w:rPr>
          <w:rFonts w:hint="eastAsia" w:ascii="仿宋_GB2312" w:hAnsi="Times New Roman" w:eastAsia="仿宋_GB2312" w:cs="Times New Roman"/>
          <w:b w:val="0"/>
          <w:bCs w:val="0"/>
          <w:color w:val="000000" w:themeColor="text1"/>
          <w:kern w:val="32"/>
        </w:rPr>
        <w:t>2011年1月，市委机构编制委员会下发《关于撤销9个市级机关后勤服务中心成立广元市国有资产管理中心的批复》（广编发〔2011〕1号）文件，成立广元市国有资产管理中心，为广元市国资委管理的公益一类事业单位，经费形式为核定收支、定额（定项）补助。</w:t>
      </w:r>
      <w:bookmarkEnd w:id="22"/>
    </w:p>
    <w:p>
      <w:pPr>
        <w:pStyle w:val="4"/>
        <w:keepNext w:val="0"/>
        <w:keepLines w:val="0"/>
        <w:overflowPunct w:val="0"/>
        <w:adjustRightInd w:val="0"/>
        <w:snapToGrid w:val="0"/>
        <w:spacing w:before="0" w:after="0" w:line="580" w:lineRule="exact"/>
        <w:ind w:firstLine="640" w:firstLineChars="200"/>
        <w:rPr>
          <w:rFonts w:ascii="仿宋_GB2312" w:hAnsi="Times New Roman" w:eastAsia="仿宋_GB2312" w:cs="Times New Roman"/>
          <w:b w:val="0"/>
          <w:bCs w:val="0"/>
          <w:color w:val="000000" w:themeColor="text1"/>
          <w:kern w:val="32"/>
        </w:rPr>
      </w:pPr>
      <w:bookmarkStart w:id="23" w:name="_Toc32694"/>
      <w:r>
        <w:rPr>
          <w:rFonts w:hint="eastAsia" w:ascii="仿宋_GB2312" w:hAnsi="Times New Roman" w:eastAsia="仿宋_GB2312" w:cs="Times New Roman"/>
          <w:b w:val="0"/>
          <w:bCs w:val="0"/>
          <w:color w:val="000000" w:themeColor="text1"/>
          <w:kern w:val="32"/>
        </w:rPr>
        <w:t>2022年7月，中共广元市委机构编制委员会办公室《关于广元市国有资产管理中心更名的批复》（广编发〔2022〕55号）文件，同意将广元市国有资产管理中心更名为广元市国资国企服务中心，加挂广元市国有企业外部董事服务中心牌子；经费来源核定为收支统管、全额保障。</w:t>
      </w:r>
      <w:bookmarkEnd w:id="23"/>
    </w:p>
    <w:p>
      <w:pPr>
        <w:widowControl/>
        <w:jc w:val="left"/>
        <w:rPr>
          <w:rFonts w:ascii="仿宋" w:hAnsi="仿宋" w:eastAsia="仿宋"/>
          <w:color w:val="000000" w:themeColor="text1"/>
          <w:kern w:val="0"/>
          <w:sz w:val="32"/>
          <w:szCs w:val="32"/>
        </w:rPr>
      </w:pPr>
      <w:r>
        <w:rPr>
          <w:rFonts w:ascii="仿宋" w:hAnsi="仿宋" w:eastAsia="仿宋"/>
          <w:color w:val="000000" w:themeColor="text1"/>
          <w:sz w:val="32"/>
          <w:szCs w:val="32"/>
        </w:rPr>
        <w:br w:type="page"/>
      </w:r>
    </w:p>
    <w:p>
      <w:pPr>
        <w:pStyle w:val="3"/>
        <w:ind w:right="440"/>
        <w:jc w:val="center"/>
        <w:rPr>
          <w:rStyle w:val="19"/>
          <w:rFonts w:ascii="黑体" w:hAnsi="黑体" w:eastAsia="黑体"/>
          <w:b w:val="0"/>
          <w:bCs/>
          <w:color w:val="000000" w:themeColor="text1"/>
        </w:rPr>
      </w:pPr>
      <w:bookmarkStart w:id="24" w:name="_Toc15396602"/>
      <w:bookmarkStart w:id="25" w:name="_Toc6509"/>
      <w:bookmarkStart w:id="26" w:name="_Toc15377204"/>
      <w:r>
        <w:rPr>
          <w:rFonts w:hint="eastAsia" w:ascii="黑体" w:hAnsi="黑体" w:eastAsia="黑体"/>
          <w:b w:val="0"/>
          <w:color w:val="000000" w:themeColor="text1"/>
        </w:rPr>
        <w:t>第二部分 2023年度</w:t>
      </w:r>
      <w:r>
        <w:rPr>
          <w:rStyle w:val="19"/>
          <w:rFonts w:hint="eastAsia" w:ascii="黑体" w:hAnsi="黑体" w:eastAsia="黑体"/>
          <w:b w:val="0"/>
          <w:bCs/>
          <w:color w:val="000000" w:themeColor="text1"/>
        </w:rPr>
        <w:t>单位决算情况说明</w:t>
      </w:r>
      <w:bookmarkEnd w:id="24"/>
      <w:bookmarkEnd w:id="25"/>
      <w:bookmarkEnd w:id="26"/>
    </w:p>
    <w:p>
      <w:pPr>
        <w:rPr>
          <w:color w:val="000000" w:themeColor="text1"/>
        </w:rPr>
      </w:pPr>
    </w:p>
    <w:p>
      <w:pPr>
        <w:pStyle w:val="29"/>
        <w:numPr>
          <w:ilvl w:val="0"/>
          <w:numId w:val="1"/>
        </w:numPr>
        <w:spacing w:line="600" w:lineRule="exact"/>
        <w:ind w:firstLineChars="0"/>
        <w:outlineLvl w:val="1"/>
        <w:rPr>
          <w:rStyle w:val="20"/>
          <w:rFonts w:ascii="黑体" w:hAnsi="黑体" w:eastAsia="黑体"/>
          <w:b w:val="0"/>
          <w:color w:val="000000" w:themeColor="text1"/>
        </w:rPr>
      </w:pPr>
      <w:bookmarkStart w:id="27" w:name="_Toc15396603"/>
      <w:bookmarkStart w:id="28" w:name="_Toc5877"/>
      <w:bookmarkStart w:id="29" w:name="_Toc15377205"/>
      <w:r>
        <w:rPr>
          <w:rFonts w:hint="eastAsia" w:ascii="黑体" w:hAnsi="黑体" w:eastAsia="黑体"/>
          <w:color w:val="000000" w:themeColor="text1"/>
          <w:sz w:val="32"/>
          <w:szCs w:val="32"/>
        </w:rPr>
        <w:t>收</w:t>
      </w:r>
      <w:r>
        <w:rPr>
          <w:rStyle w:val="20"/>
          <w:rFonts w:hint="eastAsia" w:ascii="黑体" w:hAnsi="黑体" w:eastAsia="黑体"/>
          <w:b w:val="0"/>
          <w:color w:val="000000" w:themeColor="text1"/>
        </w:rPr>
        <w:t>入支出决算总体情况说明</w:t>
      </w:r>
      <w:bookmarkEnd w:id="27"/>
      <w:bookmarkEnd w:id="28"/>
      <w:bookmarkEnd w:id="29"/>
    </w:p>
    <w:p>
      <w:pPr>
        <w:overflowPunct w:val="0"/>
        <w:adjustRightInd w:val="0"/>
        <w:snapToGrid w:val="0"/>
        <w:spacing w:line="580" w:lineRule="exact"/>
        <w:ind w:firstLine="640" w:firstLineChars="200"/>
        <w:rPr>
          <w:rFonts w:ascii="仿宋_GB2312" w:eastAsia="仿宋_GB2312"/>
          <w:color w:val="000000" w:themeColor="text1"/>
          <w:spacing w:val="-4"/>
          <w:sz w:val="32"/>
          <w:szCs w:val="32"/>
        </w:rPr>
      </w:pPr>
      <w:r>
        <w:rPr>
          <w:rFonts w:hint="eastAsia" w:ascii="仿宋_GB2312" w:hAnsi="仿宋_GB2312" w:eastAsia="仿宋_GB2312" w:cs="仿宋_GB2312"/>
          <w:sz w:val="32"/>
          <w:szCs w:val="32"/>
        </w:rPr>
        <w:t>2023年度收、支总计均为</w:t>
      </w:r>
      <w:r>
        <w:rPr>
          <w:rFonts w:hint="eastAsia" w:ascii="仿宋_GB2312" w:eastAsia="仿宋_GB2312"/>
          <w:color w:val="000000" w:themeColor="text1"/>
          <w:spacing w:val="-4"/>
          <w:sz w:val="32"/>
          <w:szCs w:val="32"/>
        </w:rPr>
        <w:t>810.24万元。与2022年相比，收、支总计各增加48.04万元，</w:t>
      </w:r>
      <w:r>
        <w:rPr>
          <w:rFonts w:hint="eastAsia" w:ascii="仿宋_GB2312" w:hAnsi="仿宋_GB2312" w:eastAsia="仿宋_GB2312" w:cs="仿宋_GB2312"/>
          <w:sz w:val="32"/>
          <w:szCs w:val="32"/>
        </w:rPr>
        <w:t>增长</w:t>
      </w:r>
      <w:r>
        <w:rPr>
          <w:rFonts w:hint="eastAsia" w:ascii="仿宋_GB2312" w:eastAsia="仿宋_GB2312"/>
          <w:color w:val="000000" w:themeColor="text1"/>
          <w:spacing w:val="-4"/>
          <w:sz w:val="32"/>
          <w:szCs w:val="32"/>
        </w:rPr>
        <w:t>6.3%。主要变动原因是新冠疫情减免2022年7-12月出租房屋租金，</w:t>
      </w:r>
      <w:r>
        <w:rPr>
          <w:rFonts w:hint="eastAsia" w:ascii="仿宋_GB2312" w:eastAsia="仿宋_GB2312"/>
          <w:color w:val="000000" w:themeColor="text1"/>
          <w:sz w:val="32"/>
          <w:szCs w:val="32"/>
        </w:rPr>
        <w:t>当年出租房屋税费支出减少</w:t>
      </w:r>
      <w:r>
        <w:rPr>
          <w:rFonts w:hint="eastAsia" w:ascii="仿宋_GB2312" w:eastAsia="仿宋_GB2312"/>
          <w:color w:val="000000" w:themeColor="text1"/>
          <w:spacing w:val="-4"/>
          <w:sz w:val="32"/>
          <w:szCs w:val="32"/>
        </w:rPr>
        <w:t>。</w:t>
      </w:r>
    </w:p>
    <w:p>
      <w:pPr>
        <w:pStyle w:val="2"/>
        <w:spacing w:before="93"/>
      </w:pPr>
      <w:r>
        <w:drawing>
          <wp:inline distT="0" distB="0" distL="0" distR="0">
            <wp:extent cx="5274310" cy="3076575"/>
            <wp:effectExtent l="19050" t="0" r="21590" b="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adjustRightInd w:val="0"/>
        <w:snapToGrid w:val="0"/>
        <w:spacing w:line="580" w:lineRule="exact"/>
        <w:jc w:val="center"/>
        <w:rPr>
          <w:rFonts w:ascii="仿宋_GB2312" w:hAnsi="仿宋" w:eastAsia="仿宋_GB2312"/>
          <w:color w:val="000000" w:themeColor="text1"/>
          <w:sz w:val="32"/>
          <w:szCs w:val="32"/>
        </w:rPr>
      </w:pPr>
      <w:r>
        <w:rPr>
          <w:rFonts w:hint="eastAsia" w:ascii="仿宋_GB2312" w:hAnsi="仿宋" w:eastAsia="仿宋_GB2312"/>
          <w:color w:val="000000" w:themeColor="text1"/>
          <w:sz w:val="32"/>
          <w:szCs w:val="32"/>
        </w:rPr>
        <w:t>（图1：收、支决算总计变动情况图）（柱状图）</w:t>
      </w:r>
    </w:p>
    <w:p>
      <w:pPr>
        <w:pStyle w:val="29"/>
        <w:adjustRightInd w:val="0"/>
        <w:snapToGrid w:val="0"/>
        <w:spacing w:line="580" w:lineRule="exact"/>
        <w:ind w:firstLine="640"/>
        <w:outlineLvl w:val="1"/>
        <w:rPr>
          <w:rStyle w:val="20"/>
          <w:rFonts w:ascii="黑体" w:hAnsi="黑体" w:eastAsia="黑体"/>
          <w:b w:val="0"/>
          <w:color w:val="000000" w:themeColor="text1"/>
        </w:rPr>
      </w:pPr>
      <w:bookmarkStart w:id="30" w:name="_Toc15396604"/>
      <w:bookmarkStart w:id="31" w:name="_Toc28935"/>
      <w:bookmarkStart w:id="32" w:name="_Toc15377206"/>
      <w:r>
        <w:rPr>
          <w:rFonts w:hint="eastAsia" w:ascii="黑体" w:hAnsi="黑体" w:eastAsia="黑体"/>
          <w:color w:val="000000" w:themeColor="text1"/>
          <w:sz w:val="32"/>
          <w:szCs w:val="32"/>
        </w:rPr>
        <w:t>二、收</w:t>
      </w:r>
      <w:r>
        <w:rPr>
          <w:rStyle w:val="20"/>
          <w:rFonts w:hint="eastAsia" w:ascii="黑体" w:hAnsi="黑体" w:eastAsia="黑体"/>
          <w:b w:val="0"/>
          <w:color w:val="000000" w:themeColor="text1"/>
        </w:rPr>
        <w:t>入决算情况说明</w:t>
      </w:r>
      <w:bookmarkEnd w:id="30"/>
      <w:bookmarkEnd w:id="31"/>
      <w:bookmarkEnd w:id="32"/>
    </w:p>
    <w:p>
      <w:pPr>
        <w:adjustRightInd w:val="0"/>
        <w:snapToGrid w:val="0"/>
        <w:spacing w:line="580" w:lineRule="exact"/>
        <w:ind w:firstLine="640" w:firstLineChars="200"/>
        <w:outlineLvl w:val="1"/>
        <w:rPr>
          <w:rFonts w:ascii="仿宋_GB2312" w:eastAsia="仿宋_GB2312"/>
          <w:color w:val="000000" w:themeColor="text1"/>
          <w:sz w:val="32"/>
          <w:szCs w:val="32"/>
        </w:rPr>
      </w:pPr>
      <w:bookmarkStart w:id="33" w:name="_Toc4805"/>
      <w:bookmarkStart w:id="34" w:name="_Toc15910"/>
      <w:r>
        <w:rPr>
          <w:rFonts w:hint="eastAsia" w:ascii="仿宋_GB2312" w:eastAsia="仿宋_GB2312"/>
          <w:color w:val="000000" w:themeColor="text1"/>
          <w:sz w:val="32"/>
          <w:szCs w:val="32"/>
        </w:rPr>
        <w:t>2023年本年收入合计796.5万元，其中：一般公共预算财政拨款收入796.49万元，占99.99%；其他收入0.01万元，占0.01%。</w:t>
      </w:r>
      <w:bookmarkEnd w:id="33"/>
      <w:bookmarkEnd w:id="34"/>
    </w:p>
    <w:p>
      <w:pPr>
        <w:pStyle w:val="2"/>
        <w:spacing w:before="93"/>
      </w:pPr>
      <w:r>
        <w:drawing>
          <wp:inline distT="0" distB="0" distL="0" distR="0">
            <wp:extent cx="5274310" cy="3181350"/>
            <wp:effectExtent l="19050" t="0" r="21590" b="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jc w:val="center"/>
        <w:rPr>
          <w:rFonts w:ascii="仿宋_GB2312" w:hAnsi="仿宋" w:eastAsia="仿宋_GB2312"/>
          <w:color w:val="000000" w:themeColor="text1"/>
          <w:sz w:val="32"/>
          <w:szCs w:val="32"/>
        </w:rPr>
      </w:pPr>
      <w:r>
        <w:rPr>
          <w:rFonts w:hint="eastAsia" w:ascii="仿宋_GB2312" w:hAnsi="仿宋" w:eastAsia="仿宋_GB2312"/>
          <w:color w:val="000000" w:themeColor="text1"/>
          <w:sz w:val="32"/>
          <w:szCs w:val="32"/>
        </w:rPr>
        <w:t>（图2：收入决算结构图）（饼状图）</w:t>
      </w:r>
    </w:p>
    <w:p>
      <w:pPr>
        <w:spacing w:line="600" w:lineRule="exact"/>
        <w:ind w:firstLine="640" w:firstLineChars="200"/>
        <w:outlineLvl w:val="1"/>
        <w:rPr>
          <w:rStyle w:val="20"/>
          <w:rFonts w:ascii="黑体" w:hAnsi="黑体" w:eastAsia="黑体"/>
          <w:b w:val="0"/>
          <w:color w:val="000000" w:themeColor="text1"/>
        </w:rPr>
      </w:pPr>
      <w:bookmarkStart w:id="35" w:name="_Toc26077"/>
      <w:bookmarkStart w:id="36" w:name="_Toc15377207"/>
      <w:bookmarkStart w:id="37" w:name="_Toc15396605"/>
      <w:r>
        <w:rPr>
          <w:rFonts w:hint="eastAsia" w:ascii="黑体" w:hAnsi="黑体" w:eastAsia="黑体"/>
          <w:color w:val="000000" w:themeColor="text1"/>
          <w:sz w:val="32"/>
          <w:szCs w:val="32"/>
        </w:rPr>
        <w:t>三、支</w:t>
      </w:r>
      <w:r>
        <w:rPr>
          <w:rStyle w:val="20"/>
          <w:rFonts w:hint="eastAsia" w:ascii="黑体" w:hAnsi="黑体" w:eastAsia="黑体"/>
          <w:b w:val="0"/>
          <w:color w:val="000000" w:themeColor="text1"/>
        </w:rPr>
        <w:t>出决算情况说明</w:t>
      </w:r>
      <w:bookmarkEnd w:id="35"/>
      <w:bookmarkEnd w:id="36"/>
      <w:bookmarkEnd w:id="37"/>
    </w:p>
    <w:p>
      <w:pPr>
        <w:adjustRightInd w:val="0"/>
        <w:snapToGrid w:val="0"/>
        <w:spacing w:line="580" w:lineRule="exact"/>
        <w:ind w:firstLine="640" w:firstLineChars="200"/>
        <w:outlineLvl w:val="1"/>
        <w:rPr>
          <w:rFonts w:ascii="仿宋_GB2312" w:eastAsia="仿宋_GB2312"/>
          <w:color w:val="000000" w:themeColor="text1"/>
          <w:sz w:val="32"/>
          <w:szCs w:val="32"/>
        </w:rPr>
      </w:pPr>
      <w:bookmarkStart w:id="38" w:name="_Toc11020"/>
      <w:bookmarkStart w:id="39" w:name="_Toc29489"/>
      <w:r>
        <w:rPr>
          <w:rFonts w:hint="eastAsia" w:ascii="仿宋_GB2312" w:eastAsia="仿宋_GB2312"/>
          <w:color w:val="000000" w:themeColor="text1"/>
          <w:sz w:val="32"/>
          <w:szCs w:val="32"/>
        </w:rPr>
        <w:t>2023年本年支出合计808.56万元，其中：基本支出493.47万元，占61%；项目支出315.09万元，占39%。</w:t>
      </w:r>
      <w:bookmarkEnd w:id="38"/>
      <w:bookmarkEnd w:id="39"/>
    </w:p>
    <w:p>
      <w:pPr>
        <w:pStyle w:val="2"/>
        <w:spacing w:before="93"/>
      </w:pPr>
      <w:r>
        <w:drawing>
          <wp:inline distT="0" distB="0" distL="0" distR="0">
            <wp:extent cx="5274310" cy="3076575"/>
            <wp:effectExtent l="19050" t="0" r="21590" b="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jc w:val="center"/>
        <w:rPr>
          <w:rFonts w:ascii="仿宋_GB2312" w:hAnsi="仿宋" w:eastAsia="仿宋_GB2312"/>
          <w:color w:val="000000" w:themeColor="text1"/>
          <w:sz w:val="32"/>
          <w:szCs w:val="32"/>
        </w:rPr>
      </w:pPr>
      <w:r>
        <w:rPr>
          <w:rFonts w:hint="eastAsia" w:ascii="仿宋_GB2312" w:hAnsi="仿宋" w:eastAsia="仿宋_GB2312"/>
          <w:color w:val="000000" w:themeColor="text1"/>
          <w:sz w:val="32"/>
          <w:szCs w:val="32"/>
        </w:rPr>
        <w:t>（图3：支出决算结构图）（饼状图）</w:t>
      </w:r>
    </w:p>
    <w:p>
      <w:pPr>
        <w:spacing w:line="600" w:lineRule="exact"/>
        <w:ind w:firstLine="640" w:firstLineChars="200"/>
        <w:rPr>
          <w:rFonts w:ascii="仿宋_GB2312" w:eastAsia="仿宋_GB2312"/>
          <w:color w:val="000000" w:themeColor="text1"/>
          <w:sz w:val="32"/>
          <w:szCs w:val="32"/>
        </w:rPr>
      </w:pPr>
    </w:p>
    <w:p>
      <w:pPr>
        <w:adjustRightInd w:val="0"/>
        <w:snapToGrid w:val="0"/>
        <w:spacing w:line="580" w:lineRule="exact"/>
        <w:ind w:firstLine="640" w:firstLineChars="200"/>
        <w:outlineLvl w:val="1"/>
        <w:rPr>
          <w:rStyle w:val="20"/>
          <w:rFonts w:ascii="黑体" w:hAnsi="黑体" w:eastAsia="黑体"/>
          <w:b w:val="0"/>
          <w:color w:val="000000" w:themeColor="text1"/>
        </w:rPr>
      </w:pPr>
      <w:bookmarkStart w:id="40" w:name="_Toc15396606"/>
      <w:bookmarkStart w:id="41" w:name="_Toc15377208"/>
      <w:bookmarkStart w:id="42" w:name="_Toc10699"/>
      <w:r>
        <w:rPr>
          <w:rFonts w:hint="eastAsia" w:ascii="黑体" w:hAnsi="黑体" w:eastAsia="黑体"/>
          <w:color w:val="000000" w:themeColor="text1"/>
          <w:sz w:val="32"/>
          <w:szCs w:val="32"/>
        </w:rPr>
        <w:t>四、财</w:t>
      </w:r>
      <w:r>
        <w:rPr>
          <w:rStyle w:val="20"/>
          <w:rFonts w:hint="eastAsia" w:ascii="黑体" w:hAnsi="黑体" w:eastAsia="黑体"/>
          <w:b w:val="0"/>
          <w:color w:val="000000" w:themeColor="text1"/>
        </w:rPr>
        <w:t>政拨款收入支出决算总体情况说明</w:t>
      </w:r>
      <w:bookmarkEnd w:id="40"/>
      <w:bookmarkEnd w:id="41"/>
      <w:bookmarkEnd w:id="42"/>
    </w:p>
    <w:p>
      <w:pPr>
        <w:overflowPunct w:val="0"/>
        <w:adjustRightInd w:val="0"/>
        <w:snapToGrid w:val="0"/>
        <w:spacing w:line="58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2023年财政拨款收、支总计</w:t>
      </w:r>
      <w:r>
        <w:rPr>
          <w:rFonts w:hint="eastAsia" w:ascii="仿宋_GB2312" w:hAnsi="仿宋_GB2312" w:eastAsia="仿宋_GB2312" w:cs="仿宋_GB2312"/>
          <w:sz w:val="32"/>
          <w:szCs w:val="32"/>
        </w:rPr>
        <w:t>均为</w:t>
      </w:r>
      <w:r>
        <w:rPr>
          <w:rFonts w:hint="eastAsia" w:ascii="仿宋_GB2312" w:eastAsia="仿宋_GB2312"/>
          <w:color w:val="000000" w:themeColor="text1"/>
          <w:sz w:val="32"/>
          <w:szCs w:val="32"/>
        </w:rPr>
        <w:t>810.23万元。与2022年相比，财政拨款收、支总计各</w:t>
      </w:r>
      <w:r>
        <w:rPr>
          <w:rFonts w:hint="eastAsia" w:ascii="仿宋_GB2312" w:hAnsi="仿宋_GB2312" w:eastAsia="仿宋_GB2312" w:cs="仿宋_GB2312"/>
          <w:sz w:val="32"/>
          <w:szCs w:val="32"/>
        </w:rPr>
        <w:t>增加</w:t>
      </w:r>
      <w:r>
        <w:rPr>
          <w:rFonts w:hint="eastAsia" w:ascii="仿宋_GB2312" w:eastAsia="仿宋_GB2312"/>
          <w:color w:val="000000" w:themeColor="text1"/>
          <w:sz w:val="32"/>
          <w:szCs w:val="32"/>
        </w:rPr>
        <w:t>48.04万元，</w:t>
      </w:r>
      <w:r>
        <w:rPr>
          <w:rFonts w:hint="eastAsia" w:ascii="仿宋_GB2312" w:hAnsi="仿宋_GB2312" w:eastAsia="仿宋_GB2312" w:cs="仿宋_GB2312"/>
          <w:sz w:val="32"/>
          <w:szCs w:val="32"/>
        </w:rPr>
        <w:t>增长</w:t>
      </w:r>
      <w:r>
        <w:rPr>
          <w:rFonts w:hint="eastAsia" w:ascii="仿宋_GB2312" w:eastAsia="仿宋_GB2312"/>
          <w:color w:val="000000" w:themeColor="text1"/>
          <w:sz w:val="32"/>
          <w:szCs w:val="32"/>
        </w:rPr>
        <w:t>6.3%。主要变动原因是新冠疫情减免2022年7-12月出租房屋租金，当年出租房屋税费支出减少。</w:t>
      </w:r>
    </w:p>
    <w:p>
      <w:pPr>
        <w:pStyle w:val="2"/>
        <w:spacing w:before="93"/>
      </w:pPr>
      <w:r>
        <w:drawing>
          <wp:inline distT="0" distB="0" distL="0" distR="0">
            <wp:extent cx="5274310" cy="3076575"/>
            <wp:effectExtent l="19050" t="0" r="2159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jc w:val="center"/>
        <w:rPr>
          <w:rFonts w:ascii="仿宋_GB2312" w:hAnsi="仿宋" w:eastAsia="仿宋_GB2312"/>
          <w:color w:val="000000" w:themeColor="text1"/>
          <w:sz w:val="32"/>
          <w:szCs w:val="32"/>
        </w:rPr>
      </w:pPr>
      <w:r>
        <w:rPr>
          <w:rFonts w:hint="eastAsia" w:ascii="仿宋_GB2312" w:hAnsi="仿宋" w:eastAsia="仿宋_GB2312"/>
          <w:color w:val="000000" w:themeColor="text1"/>
          <w:sz w:val="32"/>
          <w:szCs w:val="32"/>
        </w:rPr>
        <w:t>（图4：财政拨款收、支决算总计变动情况）（柱状图）</w:t>
      </w:r>
    </w:p>
    <w:p>
      <w:pPr>
        <w:adjustRightInd w:val="0"/>
        <w:snapToGrid w:val="0"/>
        <w:spacing w:line="580" w:lineRule="exact"/>
        <w:ind w:firstLine="640" w:firstLineChars="200"/>
        <w:outlineLvl w:val="1"/>
        <w:rPr>
          <w:rStyle w:val="20"/>
          <w:rFonts w:ascii="黑体" w:hAnsi="黑体" w:eastAsia="黑体"/>
          <w:b w:val="0"/>
          <w:color w:val="000000" w:themeColor="text1"/>
        </w:rPr>
      </w:pPr>
      <w:bookmarkStart w:id="43" w:name="_Toc26009"/>
      <w:bookmarkStart w:id="44" w:name="_Toc15377209"/>
      <w:bookmarkStart w:id="45" w:name="_Toc15396607"/>
      <w:r>
        <w:rPr>
          <w:rFonts w:hint="eastAsia" w:ascii="黑体" w:hAnsi="黑体" w:eastAsia="黑体"/>
          <w:color w:val="000000" w:themeColor="text1"/>
          <w:sz w:val="32"/>
          <w:szCs w:val="32"/>
        </w:rPr>
        <w:t>五、</w:t>
      </w:r>
      <w:r>
        <w:rPr>
          <w:rFonts w:hint="eastAsia" w:ascii="黑体" w:hAnsi="黑体" w:eastAsia="黑体"/>
          <w:b/>
          <w:color w:val="000000" w:themeColor="text1"/>
          <w:sz w:val="32"/>
          <w:szCs w:val="32"/>
        </w:rPr>
        <w:t>一</w:t>
      </w:r>
      <w:r>
        <w:rPr>
          <w:rStyle w:val="20"/>
          <w:rFonts w:hint="eastAsia" w:ascii="黑体" w:hAnsi="黑体" w:eastAsia="黑体"/>
          <w:b w:val="0"/>
          <w:color w:val="000000" w:themeColor="text1"/>
        </w:rPr>
        <w:t>般公共预算财政拨款支出决算情况说明</w:t>
      </w:r>
      <w:bookmarkEnd w:id="43"/>
      <w:bookmarkEnd w:id="44"/>
      <w:bookmarkEnd w:id="45"/>
    </w:p>
    <w:p>
      <w:pPr>
        <w:adjustRightInd w:val="0"/>
        <w:snapToGrid w:val="0"/>
        <w:spacing w:line="580" w:lineRule="exact"/>
        <w:ind w:firstLine="642" w:firstLineChars="200"/>
        <w:outlineLvl w:val="2"/>
        <w:rPr>
          <w:rFonts w:ascii="楷体_GB2312" w:hAnsi="仿宋" w:eastAsia="楷体_GB2312"/>
          <w:b/>
          <w:color w:val="000000" w:themeColor="text1"/>
          <w:sz w:val="32"/>
          <w:szCs w:val="32"/>
        </w:rPr>
      </w:pPr>
      <w:bookmarkStart w:id="46" w:name="_Toc15377210"/>
      <w:r>
        <w:rPr>
          <w:rFonts w:hint="eastAsia" w:ascii="楷体_GB2312" w:hAnsi="仿宋" w:eastAsia="楷体_GB2312"/>
          <w:b/>
          <w:color w:val="000000" w:themeColor="text1"/>
          <w:sz w:val="32"/>
          <w:szCs w:val="32"/>
        </w:rPr>
        <w:t>（一）一般公共预算财政拨款支出决算总体情况</w:t>
      </w:r>
      <w:bookmarkEnd w:id="46"/>
    </w:p>
    <w:p>
      <w:pPr>
        <w:overflowPunct w:val="0"/>
        <w:adjustRightInd w:val="0"/>
        <w:snapToGrid w:val="0"/>
        <w:spacing w:line="58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2023年一般公共预算财政拨款支出808.56万元，占本年支出总计的</w:t>
      </w:r>
      <w:r>
        <w:rPr>
          <w:rFonts w:ascii="仿宋_GB2312" w:eastAsia="仿宋_GB2312"/>
          <w:color w:val="000000" w:themeColor="text1"/>
          <w:sz w:val="32"/>
          <w:szCs w:val="32"/>
        </w:rPr>
        <w:t>100</w:t>
      </w:r>
      <w:r>
        <w:rPr>
          <w:rFonts w:hint="eastAsia" w:ascii="仿宋_GB2312" w:eastAsia="仿宋_GB2312"/>
          <w:color w:val="000000" w:themeColor="text1"/>
          <w:sz w:val="32"/>
          <w:szCs w:val="32"/>
        </w:rPr>
        <w:t>%。与2022年相比，一般公共预算财政拨款支出</w:t>
      </w:r>
      <w:r>
        <w:rPr>
          <w:rFonts w:hint="eastAsia" w:ascii="仿宋_GB2312" w:hAnsi="仿宋_GB2312" w:eastAsia="仿宋_GB2312" w:cs="仿宋_GB2312"/>
          <w:sz w:val="32"/>
          <w:szCs w:val="32"/>
        </w:rPr>
        <w:t>增加</w:t>
      </w:r>
      <w:r>
        <w:rPr>
          <w:rFonts w:hint="eastAsia" w:ascii="仿宋_GB2312" w:eastAsia="仿宋_GB2312"/>
          <w:color w:val="000000" w:themeColor="text1"/>
          <w:sz w:val="32"/>
          <w:szCs w:val="32"/>
        </w:rPr>
        <w:t>60.11万元，</w:t>
      </w:r>
      <w:r>
        <w:rPr>
          <w:rFonts w:hint="eastAsia" w:ascii="仿宋_GB2312" w:hAnsi="仿宋_GB2312" w:eastAsia="仿宋_GB2312" w:cs="仿宋_GB2312"/>
          <w:sz w:val="32"/>
          <w:szCs w:val="32"/>
        </w:rPr>
        <w:t>增长</w:t>
      </w:r>
      <w:r>
        <w:rPr>
          <w:rFonts w:hint="eastAsia" w:ascii="仿宋_GB2312" w:eastAsia="仿宋_GB2312"/>
          <w:color w:val="000000" w:themeColor="text1"/>
          <w:sz w:val="32"/>
          <w:szCs w:val="32"/>
        </w:rPr>
        <w:t>8%。主要变动原因是新冠疫情减免2022年7-12月出租房屋租金，当年出租房屋税费支出减少。</w:t>
      </w:r>
    </w:p>
    <w:p>
      <w:pPr>
        <w:pStyle w:val="2"/>
        <w:spacing w:before="93"/>
      </w:pPr>
      <w:r>
        <w:drawing>
          <wp:inline distT="0" distB="0" distL="0" distR="0">
            <wp:extent cx="5274310" cy="3181350"/>
            <wp:effectExtent l="19050" t="0" r="21590" b="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jc w:val="center"/>
        <w:rPr>
          <w:rFonts w:ascii="仿宋_GB2312" w:hAnsi="仿宋" w:eastAsia="仿宋_GB2312"/>
          <w:sz w:val="32"/>
          <w:szCs w:val="32"/>
        </w:rPr>
      </w:pPr>
      <w:r>
        <w:rPr>
          <w:rFonts w:hint="eastAsia" w:ascii="仿宋_GB2312" w:hAnsi="仿宋" w:eastAsia="仿宋_GB2312"/>
          <w:sz w:val="32"/>
          <w:szCs w:val="32"/>
        </w:rPr>
        <w:t>（图5：一般公共预算财政拨款支出决算变动情况）（柱状图）</w:t>
      </w:r>
    </w:p>
    <w:p>
      <w:pPr>
        <w:adjustRightInd w:val="0"/>
        <w:snapToGrid w:val="0"/>
        <w:spacing w:line="580" w:lineRule="exact"/>
        <w:ind w:firstLine="642" w:firstLineChars="200"/>
        <w:outlineLvl w:val="2"/>
        <w:rPr>
          <w:rFonts w:ascii="楷体_GB2312" w:hAnsi="仿宋" w:eastAsia="楷体_GB2312"/>
          <w:b/>
          <w:color w:val="000000" w:themeColor="text1"/>
          <w:sz w:val="32"/>
          <w:szCs w:val="32"/>
        </w:rPr>
      </w:pPr>
      <w:bookmarkStart w:id="47" w:name="_Toc15377211"/>
      <w:r>
        <w:rPr>
          <w:rFonts w:hint="eastAsia" w:ascii="楷体_GB2312" w:hAnsi="仿宋" w:eastAsia="楷体_GB2312"/>
          <w:b/>
          <w:color w:val="000000" w:themeColor="text1"/>
          <w:sz w:val="32"/>
          <w:szCs w:val="32"/>
        </w:rPr>
        <w:t>（二）一般公共预算财政拨款支出决算结构情况</w:t>
      </w:r>
      <w:bookmarkEnd w:id="47"/>
    </w:p>
    <w:p>
      <w:pPr>
        <w:adjustRightInd w:val="0"/>
        <w:snapToGrid w:val="0"/>
        <w:spacing w:line="580" w:lineRule="exact"/>
        <w:ind w:firstLine="640"/>
        <w:rPr>
          <w:rFonts w:ascii="仿宋_GB2312" w:eastAsia="仿宋_GB2312"/>
          <w:color w:val="000000" w:themeColor="text1"/>
          <w:sz w:val="32"/>
          <w:szCs w:val="32"/>
        </w:rPr>
      </w:pPr>
      <w:r>
        <w:rPr>
          <w:rFonts w:hint="eastAsia" w:ascii="仿宋_GB2312" w:eastAsia="仿宋_GB2312"/>
          <w:color w:val="000000" w:themeColor="text1"/>
          <w:sz w:val="32"/>
          <w:szCs w:val="32"/>
        </w:rPr>
        <w:t>2023年一般公共预算财政拨款支出808.56万元，主要用于以下方面</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rPr>
        <w:t>社会保障和就业支出（类）支出57.64万元，占7.1%；卫生健康支出（类）13.05万元，占1.6%；资源勘探工业信息等支出（类）支出704.46万元，占87.1%；</w:t>
      </w:r>
      <w:r>
        <w:rPr>
          <w:rFonts w:hint="eastAsia" w:ascii="仿宋_GB2312" w:eastAsia="仿宋_GB2312"/>
          <w:bCs/>
          <w:color w:val="000000" w:themeColor="text1"/>
          <w:sz w:val="32"/>
          <w:szCs w:val="32"/>
        </w:rPr>
        <w:t>住房保障支出（类）支出33.41万元，占4.2%</w:t>
      </w:r>
      <w:r>
        <w:rPr>
          <w:rFonts w:hint="eastAsia" w:ascii="仿宋_GB2312" w:eastAsia="仿宋_GB2312"/>
          <w:color w:val="000000" w:themeColor="text1"/>
          <w:sz w:val="32"/>
          <w:szCs w:val="32"/>
        </w:rPr>
        <w:t>。</w:t>
      </w:r>
    </w:p>
    <w:p>
      <w:pPr>
        <w:pStyle w:val="2"/>
        <w:spacing w:before="93"/>
      </w:pPr>
      <w:r>
        <w:drawing>
          <wp:inline distT="0" distB="0" distL="0" distR="0">
            <wp:extent cx="5274310" cy="3076575"/>
            <wp:effectExtent l="19050" t="0" r="21590" b="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jc w:val="center"/>
        <w:rPr>
          <w:rFonts w:ascii="仿宋_GB2312" w:hAnsi="仿宋" w:eastAsia="仿宋_GB2312"/>
          <w:color w:val="000000" w:themeColor="text1"/>
          <w:sz w:val="32"/>
          <w:szCs w:val="32"/>
        </w:rPr>
      </w:pPr>
      <w:r>
        <w:rPr>
          <w:rFonts w:hint="eastAsia" w:ascii="仿宋_GB2312" w:hAnsi="仿宋" w:eastAsia="仿宋_GB2312"/>
          <w:color w:val="000000" w:themeColor="text1"/>
          <w:sz w:val="32"/>
          <w:szCs w:val="32"/>
        </w:rPr>
        <w:t>（图6：一般公共预算财政拨款支出决算结构）（饼状图）</w:t>
      </w:r>
    </w:p>
    <w:p>
      <w:pPr>
        <w:adjustRightInd w:val="0"/>
        <w:snapToGrid w:val="0"/>
        <w:spacing w:line="580" w:lineRule="exact"/>
        <w:ind w:firstLine="642" w:firstLineChars="200"/>
        <w:outlineLvl w:val="2"/>
        <w:rPr>
          <w:rFonts w:ascii="楷体_GB2312" w:hAnsi="仿宋" w:eastAsia="楷体_GB2312"/>
          <w:b/>
          <w:color w:val="000000" w:themeColor="text1"/>
          <w:sz w:val="32"/>
          <w:szCs w:val="32"/>
        </w:rPr>
      </w:pPr>
      <w:bookmarkStart w:id="48" w:name="_Toc15377212"/>
      <w:r>
        <w:rPr>
          <w:rFonts w:hint="eastAsia" w:ascii="楷体_GB2312" w:hAnsi="仿宋" w:eastAsia="楷体_GB2312"/>
          <w:b/>
          <w:color w:val="000000" w:themeColor="text1"/>
          <w:sz w:val="32"/>
          <w:szCs w:val="32"/>
        </w:rPr>
        <w:t>（三）一般公共预算财政拨款支出决算具体情况</w:t>
      </w:r>
      <w:bookmarkEnd w:id="48"/>
    </w:p>
    <w:p>
      <w:pPr>
        <w:adjustRightInd w:val="0"/>
        <w:snapToGrid w:val="0"/>
        <w:spacing w:line="580" w:lineRule="exact"/>
        <w:ind w:firstLine="640" w:firstLineChars="200"/>
        <w:rPr>
          <w:rStyle w:val="16"/>
          <w:rFonts w:ascii="仿宋_GB2312" w:eastAsia="仿宋_GB2312"/>
          <w:b w:val="0"/>
          <w:bCs/>
          <w:color w:val="000000" w:themeColor="text1"/>
          <w:sz w:val="32"/>
          <w:szCs w:val="32"/>
        </w:rPr>
      </w:pPr>
      <w:r>
        <w:rPr>
          <w:rStyle w:val="16"/>
          <w:rFonts w:hint="eastAsia" w:ascii="仿宋_GB2312" w:eastAsia="仿宋_GB2312"/>
          <w:b w:val="0"/>
          <w:bCs/>
          <w:color w:val="000000" w:themeColor="text1"/>
          <w:sz w:val="32"/>
          <w:szCs w:val="32"/>
        </w:rPr>
        <w:t>2023年一般公共预算支出决算数为808.56万元，完成预算</w:t>
      </w:r>
      <w:r>
        <w:rPr>
          <w:rStyle w:val="16"/>
          <w:rFonts w:hint="eastAsia" w:ascii="仿宋_GB2312" w:eastAsia="仿宋_GB2312"/>
          <w:b w:val="0"/>
          <w:bCs/>
          <w:sz w:val="32"/>
          <w:szCs w:val="32"/>
        </w:rPr>
        <w:t>99.8%</w:t>
      </w:r>
      <w:r>
        <w:rPr>
          <w:rStyle w:val="16"/>
          <w:rFonts w:hint="eastAsia" w:ascii="仿宋_GB2312" w:eastAsia="仿宋_GB2312"/>
          <w:b w:val="0"/>
          <w:bCs/>
          <w:color w:val="000000" w:themeColor="text1"/>
          <w:sz w:val="32"/>
          <w:szCs w:val="32"/>
        </w:rPr>
        <w:t>。其中：</w:t>
      </w:r>
    </w:p>
    <w:p>
      <w:pPr>
        <w:numPr>
          <w:ilvl w:val="0"/>
          <w:numId w:val="2"/>
        </w:numPr>
        <w:adjustRightInd w:val="0"/>
        <w:snapToGrid w:val="0"/>
        <w:spacing w:line="580" w:lineRule="exact"/>
        <w:ind w:left="0" w:leftChars="0" w:firstLine="400" w:firstLineChars="0"/>
        <w:rPr>
          <w:rStyle w:val="16"/>
          <w:rFonts w:hint="eastAsia" w:ascii="仿宋_GB2312" w:eastAsia="仿宋_GB2312"/>
          <w:b w:val="0"/>
          <w:bCs/>
          <w:color w:val="000000" w:themeColor="text1"/>
          <w:sz w:val="32"/>
          <w:szCs w:val="32"/>
        </w:rPr>
      </w:pPr>
      <w:r>
        <w:rPr>
          <w:rStyle w:val="16"/>
          <w:rFonts w:hint="eastAsia" w:ascii="仿宋_GB2312" w:eastAsia="仿宋_GB2312"/>
          <w:b w:val="0"/>
          <w:bCs/>
          <w:color w:val="000000" w:themeColor="text1"/>
          <w:sz w:val="32"/>
          <w:szCs w:val="32"/>
        </w:rPr>
        <w:t>社会保障和就业（类）行政事业单位养老支出（款）机关事业单位基本养老保险缴费支出（项）</w:t>
      </w:r>
      <w:r>
        <w:rPr>
          <w:rStyle w:val="16"/>
          <w:rFonts w:hint="eastAsia" w:ascii="仿宋_GB2312" w:eastAsia="仿宋_GB2312"/>
          <w:b w:val="0"/>
          <w:bCs/>
          <w:color w:val="000000" w:themeColor="text1"/>
          <w:sz w:val="32"/>
          <w:szCs w:val="32"/>
          <w:lang w:eastAsia="zh-CN"/>
        </w:rPr>
        <w:t>：</w:t>
      </w:r>
      <w:r>
        <w:rPr>
          <w:rStyle w:val="16"/>
          <w:rFonts w:hint="eastAsia" w:ascii="仿宋_GB2312" w:eastAsia="仿宋_GB2312"/>
          <w:b w:val="0"/>
          <w:bCs/>
          <w:color w:val="000000" w:themeColor="text1"/>
          <w:sz w:val="32"/>
          <w:szCs w:val="32"/>
        </w:rPr>
        <w:t>支出决算为50.46万元，完成预算100%。</w:t>
      </w:r>
    </w:p>
    <w:p>
      <w:pPr>
        <w:numPr>
          <w:ilvl w:val="0"/>
          <w:numId w:val="2"/>
        </w:numPr>
        <w:adjustRightInd w:val="0"/>
        <w:snapToGrid w:val="0"/>
        <w:spacing w:line="580" w:lineRule="exact"/>
        <w:ind w:left="0" w:leftChars="0" w:firstLine="400" w:firstLineChars="0"/>
        <w:rPr>
          <w:rStyle w:val="16"/>
          <w:rFonts w:ascii="仿宋_GB2312" w:eastAsia="仿宋_GB2312"/>
          <w:b w:val="0"/>
          <w:bCs/>
          <w:color w:val="000000" w:themeColor="text1"/>
          <w:sz w:val="32"/>
          <w:szCs w:val="32"/>
        </w:rPr>
      </w:pPr>
      <w:r>
        <w:rPr>
          <w:rStyle w:val="16"/>
          <w:rFonts w:hint="eastAsia" w:ascii="仿宋_GB2312" w:eastAsia="仿宋_GB2312"/>
          <w:b w:val="0"/>
          <w:bCs/>
          <w:color w:val="000000" w:themeColor="text1"/>
          <w:sz w:val="32"/>
          <w:szCs w:val="32"/>
        </w:rPr>
        <w:t>社会保障和就业（类）行政事业单位养老支出（款）机关事业单位职业年金缴费支出（项）</w:t>
      </w:r>
      <w:r>
        <w:rPr>
          <w:rStyle w:val="16"/>
          <w:rFonts w:hint="eastAsia" w:ascii="仿宋_GB2312" w:eastAsia="仿宋_GB2312"/>
          <w:b w:val="0"/>
          <w:bCs/>
          <w:color w:val="000000" w:themeColor="text1"/>
          <w:sz w:val="32"/>
          <w:szCs w:val="32"/>
          <w:lang w:eastAsia="zh-CN"/>
        </w:rPr>
        <w:t>：</w:t>
      </w:r>
      <w:r>
        <w:rPr>
          <w:rStyle w:val="16"/>
          <w:rFonts w:hint="eastAsia" w:ascii="仿宋_GB2312" w:eastAsia="仿宋_GB2312"/>
          <w:b w:val="0"/>
          <w:bCs/>
          <w:color w:val="000000" w:themeColor="text1"/>
          <w:sz w:val="32"/>
          <w:szCs w:val="32"/>
        </w:rPr>
        <w:t>支出决算为</w:t>
      </w:r>
      <w:r>
        <w:rPr>
          <w:rStyle w:val="16"/>
          <w:rFonts w:hint="eastAsia" w:ascii="仿宋_GB2312" w:eastAsia="仿宋_GB2312"/>
          <w:b w:val="0"/>
          <w:bCs/>
          <w:color w:val="000000" w:themeColor="text1"/>
          <w:sz w:val="32"/>
          <w:szCs w:val="32"/>
          <w:lang w:val="en-US" w:eastAsia="zh-CN"/>
        </w:rPr>
        <w:t>5.27</w:t>
      </w:r>
      <w:r>
        <w:rPr>
          <w:rStyle w:val="16"/>
          <w:rFonts w:hint="eastAsia" w:ascii="仿宋_GB2312" w:eastAsia="仿宋_GB2312"/>
          <w:b w:val="0"/>
          <w:bCs/>
          <w:color w:val="000000" w:themeColor="text1"/>
          <w:sz w:val="32"/>
          <w:szCs w:val="32"/>
        </w:rPr>
        <w:t>万元，完成预算100%。</w:t>
      </w:r>
    </w:p>
    <w:p>
      <w:pPr>
        <w:pStyle w:val="2"/>
        <w:numPr>
          <w:ilvl w:val="0"/>
          <w:numId w:val="2"/>
        </w:numPr>
        <w:adjustRightInd w:val="0"/>
        <w:snapToGrid w:val="0"/>
        <w:spacing w:beforeLines="0" w:line="580" w:lineRule="exact"/>
        <w:ind w:left="0" w:leftChars="0" w:firstLine="400" w:firstLineChars="0"/>
        <w:rPr>
          <w:color w:val="000000" w:themeColor="text1"/>
          <w:sz w:val="32"/>
          <w:szCs w:val="32"/>
        </w:rPr>
      </w:pPr>
      <w:r>
        <w:rPr>
          <w:rStyle w:val="16"/>
          <w:rFonts w:hint="eastAsia"/>
          <w:b w:val="0"/>
          <w:bCs/>
          <w:color w:val="000000" w:themeColor="text1"/>
          <w:sz w:val="32"/>
          <w:szCs w:val="32"/>
        </w:rPr>
        <w:t>社会保障和就业（类）其他社会保障和就业支出（款）其他社会保障和就业支出（项）：支出决算为1.91万元，完成预算100%。</w:t>
      </w:r>
    </w:p>
    <w:p>
      <w:pPr>
        <w:numPr>
          <w:ilvl w:val="0"/>
          <w:numId w:val="2"/>
        </w:numPr>
        <w:adjustRightInd w:val="0"/>
        <w:snapToGrid w:val="0"/>
        <w:spacing w:line="580" w:lineRule="exact"/>
        <w:ind w:left="0" w:leftChars="0" w:firstLine="400" w:firstLineChars="0"/>
        <w:rPr>
          <w:rStyle w:val="16"/>
          <w:rFonts w:eastAsia="仿宋_GB2312"/>
          <w:b w:val="0"/>
          <w:bCs/>
          <w:color w:val="000000" w:themeColor="text1"/>
          <w:sz w:val="32"/>
          <w:szCs w:val="32"/>
        </w:rPr>
      </w:pPr>
      <w:r>
        <w:rPr>
          <w:rFonts w:hint="eastAsia" w:ascii="仿宋_GB2312" w:eastAsia="仿宋_GB2312"/>
          <w:bCs/>
          <w:color w:val="000000" w:themeColor="text1"/>
          <w:sz w:val="32"/>
          <w:szCs w:val="32"/>
        </w:rPr>
        <w:t>卫生健康</w:t>
      </w:r>
      <w:r>
        <w:rPr>
          <w:rStyle w:val="16"/>
          <w:rFonts w:hint="eastAsia" w:ascii="仿宋_GB2312" w:eastAsia="仿宋_GB2312"/>
          <w:b w:val="0"/>
          <w:bCs/>
          <w:color w:val="000000" w:themeColor="text1"/>
          <w:sz w:val="32"/>
          <w:szCs w:val="32"/>
        </w:rPr>
        <w:t>（类）行政事业单位医疗（款）事业单位医疗（项）</w:t>
      </w:r>
      <w:r>
        <w:rPr>
          <w:rStyle w:val="16"/>
          <w:rFonts w:hint="eastAsia" w:ascii="仿宋_GB2312" w:eastAsia="仿宋_GB2312"/>
          <w:b w:val="0"/>
          <w:bCs/>
          <w:color w:val="000000" w:themeColor="text1"/>
          <w:sz w:val="32"/>
          <w:szCs w:val="32"/>
          <w:lang w:eastAsia="zh-CN"/>
        </w:rPr>
        <w:t>：</w:t>
      </w:r>
      <w:r>
        <w:rPr>
          <w:rStyle w:val="16"/>
          <w:rFonts w:hint="eastAsia" w:ascii="仿宋_GB2312" w:eastAsia="仿宋_GB2312"/>
          <w:b w:val="0"/>
          <w:bCs/>
          <w:color w:val="000000" w:themeColor="text1"/>
          <w:sz w:val="32"/>
          <w:szCs w:val="32"/>
        </w:rPr>
        <w:t>支出决算为13.05万元，完成预算99.8%。决算数小于预算数的主要原因是</w:t>
      </w:r>
      <w:r>
        <w:rPr>
          <w:rStyle w:val="16"/>
          <w:rFonts w:hint="eastAsia" w:ascii="仿宋_GB2312" w:eastAsia="仿宋_GB2312"/>
          <w:b w:val="0"/>
          <w:bCs/>
          <w:sz w:val="32"/>
          <w:szCs w:val="32"/>
        </w:rPr>
        <w:t>基本支出中的人员经费事业单位医疗保险费</w:t>
      </w:r>
      <w:r>
        <w:rPr>
          <w:rStyle w:val="16"/>
          <w:rFonts w:hint="eastAsia" w:ascii="仿宋" w:hAnsi="仿宋" w:eastAsia="仿宋"/>
          <w:b w:val="0"/>
          <w:bCs/>
          <w:sz w:val="32"/>
          <w:szCs w:val="32"/>
        </w:rPr>
        <w:t>结转至下年。</w:t>
      </w:r>
    </w:p>
    <w:p>
      <w:pPr>
        <w:numPr>
          <w:ilvl w:val="0"/>
          <w:numId w:val="2"/>
        </w:numPr>
        <w:adjustRightInd w:val="0"/>
        <w:snapToGrid w:val="0"/>
        <w:spacing w:line="580" w:lineRule="exact"/>
        <w:ind w:left="0" w:leftChars="0" w:firstLine="400" w:firstLineChars="0"/>
        <w:rPr>
          <w:rFonts w:ascii="仿宋_GB2312" w:eastAsia="仿宋_GB2312"/>
          <w:bCs/>
          <w:sz w:val="32"/>
          <w:szCs w:val="32"/>
        </w:rPr>
      </w:pPr>
      <w:r>
        <w:rPr>
          <w:rFonts w:hint="eastAsia" w:ascii="仿宋_GB2312" w:eastAsia="仿宋_GB2312"/>
          <w:bCs/>
          <w:color w:val="000000" w:themeColor="text1"/>
          <w:sz w:val="32"/>
          <w:szCs w:val="32"/>
        </w:rPr>
        <w:t>资源勘探工业信息等支出（类）国有资产监管（款）其他国有资产监管支出（项）：</w:t>
      </w:r>
      <w:r>
        <w:rPr>
          <w:rStyle w:val="16"/>
          <w:rFonts w:hint="eastAsia" w:ascii="仿宋_GB2312" w:eastAsia="仿宋_GB2312"/>
          <w:b w:val="0"/>
          <w:bCs/>
          <w:color w:val="000000" w:themeColor="text1"/>
          <w:sz w:val="32"/>
          <w:szCs w:val="32"/>
        </w:rPr>
        <w:t>支出决算为704.46万元，完成预算97.94%，决算数小于预算数的主要原因是</w:t>
      </w:r>
      <w:r>
        <w:rPr>
          <w:rStyle w:val="16"/>
          <w:rFonts w:hint="eastAsia" w:ascii="仿宋_GB2312" w:eastAsia="仿宋_GB2312"/>
          <w:b w:val="0"/>
          <w:bCs/>
          <w:sz w:val="32"/>
          <w:szCs w:val="32"/>
        </w:rPr>
        <w:t>基本支出中的人员经费</w:t>
      </w:r>
      <w:r>
        <w:rPr>
          <w:rStyle w:val="16"/>
          <w:rFonts w:hint="eastAsia" w:ascii="仿宋" w:hAnsi="仿宋" w:eastAsia="仿宋"/>
          <w:b w:val="0"/>
          <w:bCs/>
          <w:sz w:val="32"/>
          <w:szCs w:val="32"/>
        </w:rPr>
        <w:t>结转至下年。</w:t>
      </w:r>
    </w:p>
    <w:p>
      <w:pPr>
        <w:pStyle w:val="2"/>
        <w:numPr>
          <w:ilvl w:val="0"/>
          <w:numId w:val="2"/>
        </w:numPr>
        <w:adjustRightInd w:val="0"/>
        <w:snapToGrid w:val="0"/>
        <w:spacing w:beforeLines="0" w:line="580" w:lineRule="exact"/>
        <w:ind w:left="0" w:leftChars="0" w:firstLine="400" w:firstLineChars="0"/>
        <w:rPr>
          <w:color w:val="000000" w:themeColor="text1"/>
          <w:sz w:val="32"/>
          <w:szCs w:val="32"/>
        </w:rPr>
      </w:pPr>
      <w:r>
        <w:rPr>
          <w:rFonts w:hint="eastAsia"/>
          <w:bCs/>
          <w:color w:val="000000" w:themeColor="text1"/>
          <w:sz w:val="32"/>
          <w:szCs w:val="32"/>
        </w:rPr>
        <w:t>住房保障支出（类）住房改革支出（款）住房公积金（项）：</w:t>
      </w:r>
      <w:r>
        <w:rPr>
          <w:rStyle w:val="16"/>
          <w:rFonts w:hint="eastAsia"/>
          <w:b w:val="0"/>
          <w:bCs/>
          <w:color w:val="000000" w:themeColor="text1"/>
          <w:kern w:val="2"/>
          <w:sz w:val="32"/>
          <w:szCs w:val="32"/>
        </w:rPr>
        <w:t>支出决算为33.41万元，完成预算100%。</w:t>
      </w:r>
    </w:p>
    <w:p>
      <w:pPr>
        <w:tabs>
          <w:tab w:val="right" w:pos="8306"/>
        </w:tabs>
        <w:adjustRightInd w:val="0"/>
        <w:snapToGrid w:val="0"/>
        <w:spacing w:line="580" w:lineRule="exact"/>
        <w:ind w:firstLine="640"/>
        <w:outlineLvl w:val="1"/>
        <w:rPr>
          <w:rStyle w:val="20"/>
          <w:color w:val="000000" w:themeColor="text1"/>
        </w:rPr>
      </w:pPr>
      <w:bookmarkStart w:id="49" w:name="_Toc24893"/>
      <w:bookmarkStart w:id="50" w:name="_Toc15377214"/>
      <w:bookmarkStart w:id="51" w:name="_Toc15396608"/>
      <w:r>
        <w:rPr>
          <w:rFonts w:hint="eastAsia" w:ascii="黑体" w:eastAsia="黑体"/>
          <w:color w:val="000000" w:themeColor="text1"/>
          <w:sz w:val="32"/>
          <w:szCs w:val="32"/>
        </w:rPr>
        <w:t>六</w:t>
      </w:r>
      <w:r>
        <w:rPr>
          <w:rFonts w:hint="eastAsia" w:ascii="黑体" w:eastAsia="黑体"/>
          <w:b/>
          <w:color w:val="000000" w:themeColor="text1"/>
          <w:sz w:val="32"/>
          <w:szCs w:val="32"/>
        </w:rPr>
        <w:t>、</w:t>
      </w:r>
      <w:r>
        <w:rPr>
          <w:rFonts w:hint="eastAsia" w:ascii="黑体" w:hAnsi="黑体" w:eastAsia="黑体"/>
          <w:b/>
          <w:color w:val="000000" w:themeColor="text1"/>
          <w:sz w:val="32"/>
          <w:szCs w:val="32"/>
        </w:rPr>
        <w:t>一</w:t>
      </w:r>
      <w:r>
        <w:rPr>
          <w:rStyle w:val="20"/>
          <w:rFonts w:hint="eastAsia" w:ascii="黑体" w:hAnsi="黑体" w:eastAsia="黑体"/>
          <w:b w:val="0"/>
          <w:color w:val="000000" w:themeColor="text1"/>
        </w:rPr>
        <w:t>般公共预算财政拨款基本支出决算情况说明</w:t>
      </w:r>
      <w:bookmarkEnd w:id="49"/>
      <w:bookmarkEnd w:id="50"/>
      <w:bookmarkEnd w:id="51"/>
      <w:r>
        <w:rPr>
          <w:rStyle w:val="20"/>
          <w:rFonts w:ascii="黑体" w:hAnsi="黑体" w:eastAsia="黑体"/>
          <w:b w:val="0"/>
          <w:color w:val="000000" w:themeColor="text1"/>
        </w:rPr>
        <w:tab/>
      </w:r>
    </w:p>
    <w:p>
      <w:pPr>
        <w:adjustRightInd w:val="0"/>
        <w:snapToGrid w:val="0"/>
        <w:spacing w:line="580" w:lineRule="exact"/>
        <w:ind w:firstLine="645"/>
        <w:rPr>
          <w:rFonts w:ascii="仿宋_GB2312" w:hAnsi="仿宋" w:eastAsia="仿宋_GB2312"/>
          <w:color w:val="000000" w:themeColor="text1"/>
          <w:sz w:val="32"/>
          <w:szCs w:val="32"/>
        </w:rPr>
      </w:pPr>
      <w:r>
        <w:rPr>
          <w:rFonts w:hint="eastAsia" w:ascii="仿宋_GB2312" w:hAnsi="仿宋" w:eastAsia="仿宋_GB2312"/>
          <w:color w:val="000000" w:themeColor="text1"/>
          <w:sz w:val="32"/>
          <w:szCs w:val="32"/>
        </w:rPr>
        <w:t>2023年一般公共预算财政拨款基本支出493.47万元，其中：</w:t>
      </w:r>
    </w:p>
    <w:p>
      <w:pPr>
        <w:adjustRightInd w:val="0"/>
        <w:snapToGrid w:val="0"/>
        <w:spacing w:line="580" w:lineRule="exact"/>
        <w:ind w:firstLine="645"/>
        <w:rPr>
          <w:rFonts w:ascii="仿宋_GB2312" w:hAnsi="仿宋" w:eastAsia="仿宋_GB2312"/>
          <w:color w:val="000000" w:themeColor="text1"/>
          <w:sz w:val="32"/>
          <w:szCs w:val="32"/>
        </w:rPr>
      </w:pPr>
      <w:r>
        <w:rPr>
          <w:rFonts w:hint="eastAsia" w:ascii="仿宋_GB2312" w:hAnsi="仿宋" w:eastAsia="仿宋_GB2312"/>
          <w:color w:val="000000" w:themeColor="text1"/>
          <w:sz w:val="32"/>
          <w:szCs w:val="32"/>
        </w:rPr>
        <w:t>人员经费446.14万元，主要包括：基本工资、津贴补贴、奖金、绩效工资、机关事业单位基本养老保险缴费、职业年金缴费、</w:t>
      </w:r>
      <w:r>
        <w:rPr>
          <w:rFonts w:ascii="仿宋_GB2312" w:hAnsi="仿宋" w:eastAsia="仿宋_GB2312"/>
          <w:color w:val="000000" w:themeColor="text1"/>
          <w:sz w:val="32"/>
          <w:szCs w:val="32"/>
        </w:rPr>
        <w:t>职工基本医疗保险缴费、</w:t>
      </w:r>
      <w:r>
        <w:rPr>
          <w:rFonts w:hint="eastAsia" w:ascii="仿宋_GB2312" w:hAnsi="仿宋" w:eastAsia="仿宋_GB2312"/>
          <w:color w:val="000000" w:themeColor="text1"/>
          <w:sz w:val="32"/>
          <w:szCs w:val="32"/>
        </w:rPr>
        <w:t>其他社会保障缴费、住房公积金、生活补助、医疗费补助、奖励金。</w:t>
      </w:r>
    </w:p>
    <w:p>
      <w:pPr>
        <w:adjustRightInd w:val="0"/>
        <w:snapToGrid w:val="0"/>
        <w:spacing w:line="580" w:lineRule="exact"/>
        <w:ind w:firstLine="645"/>
        <w:rPr>
          <w:rFonts w:ascii="仿宋_GB2312" w:hAnsi="仿宋" w:eastAsia="仿宋_GB2312"/>
          <w:color w:val="000000" w:themeColor="text1"/>
          <w:sz w:val="32"/>
          <w:szCs w:val="32"/>
        </w:rPr>
      </w:pPr>
      <w:r>
        <w:rPr>
          <w:rFonts w:hint="eastAsia" w:ascii="仿宋_GB2312" w:hAnsi="仿宋" w:eastAsia="仿宋_GB2312"/>
          <w:color w:val="000000" w:themeColor="text1"/>
          <w:sz w:val="32"/>
          <w:szCs w:val="32"/>
        </w:rPr>
        <w:t>公用经费47.33万元，主要包括：办公费、印刷费、咨询费、水费、电费、邮电费、物业管理费、差旅费、维修（护）费、培训费、公务接待费、工会经费、福利费、其他交通费</w:t>
      </w:r>
      <w:r>
        <w:rPr>
          <w:rFonts w:hint="eastAsia" w:ascii="仿宋_GB2312" w:hAnsi="仿宋" w:eastAsia="仿宋_GB2312"/>
          <w:color w:val="000000" w:themeColor="text1"/>
          <w:sz w:val="32"/>
          <w:szCs w:val="32"/>
          <w:lang w:val="en-US" w:eastAsia="zh-CN"/>
        </w:rPr>
        <w:t>用</w:t>
      </w:r>
      <w:r>
        <w:rPr>
          <w:rFonts w:hint="eastAsia" w:ascii="仿宋_GB2312" w:hAnsi="仿宋" w:eastAsia="仿宋_GB2312"/>
          <w:color w:val="000000" w:themeColor="text1"/>
          <w:sz w:val="32"/>
          <w:szCs w:val="32"/>
        </w:rPr>
        <w:t>、其他商品和服务支出。</w:t>
      </w:r>
    </w:p>
    <w:p>
      <w:pPr>
        <w:adjustRightInd w:val="0"/>
        <w:snapToGrid w:val="0"/>
        <w:spacing w:line="580" w:lineRule="exact"/>
        <w:ind w:firstLine="641"/>
        <w:outlineLvl w:val="1"/>
        <w:rPr>
          <w:rStyle w:val="20"/>
          <w:rFonts w:ascii="黑体" w:hAnsi="黑体" w:eastAsia="黑体"/>
          <w:b w:val="0"/>
          <w:color w:val="000000" w:themeColor="text1"/>
        </w:rPr>
      </w:pPr>
      <w:bookmarkStart w:id="52" w:name="_Toc15377215"/>
      <w:bookmarkStart w:id="53" w:name="_Toc15396609"/>
      <w:bookmarkStart w:id="54" w:name="_Toc7069"/>
      <w:r>
        <w:rPr>
          <w:rFonts w:hint="eastAsia" w:ascii="黑体" w:eastAsia="黑体"/>
          <w:color w:val="000000" w:themeColor="text1"/>
          <w:sz w:val="32"/>
          <w:szCs w:val="32"/>
        </w:rPr>
        <w:t>七、</w:t>
      </w:r>
      <w:r>
        <w:rPr>
          <w:rStyle w:val="20"/>
          <w:rFonts w:hint="eastAsia" w:ascii="黑体" w:hAnsi="黑体" w:eastAsia="黑体"/>
          <w:b w:val="0"/>
          <w:color w:val="000000" w:themeColor="text1"/>
        </w:rPr>
        <w:t>财政拨款</w:t>
      </w:r>
      <w:r>
        <w:rPr>
          <w:rStyle w:val="20"/>
          <w:rFonts w:hint="eastAsia" w:ascii="黑体" w:hAnsi="黑体" w:eastAsia="黑体"/>
          <w:color w:val="000000" w:themeColor="text1"/>
        </w:rPr>
        <w:t>“</w:t>
      </w:r>
      <w:r>
        <w:rPr>
          <w:rStyle w:val="20"/>
          <w:rFonts w:hint="eastAsia" w:ascii="黑体" w:hAnsi="黑体" w:eastAsia="黑体"/>
          <w:b w:val="0"/>
          <w:color w:val="000000" w:themeColor="text1"/>
        </w:rPr>
        <w:t>三公”经费支出决算情况说明</w:t>
      </w:r>
      <w:bookmarkEnd w:id="52"/>
      <w:bookmarkEnd w:id="53"/>
      <w:bookmarkEnd w:id="54"/>
    </w:p>
    <w:p>
      <w:pPr>
        <w:adjustRightInd w:val="0"/>
        <w:snapToGrid w:val="0"/>
        <w:spacing w:line="580" w:lineRule="exact"/>
        <w:ind w:firstLine="641"/>
        <w:outlineLvl w:val="2"/>
        <w:rPr>
          <w:rFonts w:ascii="楷体_GB2312" w:hAnsi="仿宋" w:eastAsia="楷体_GB2312"/>
          <w:b/>
          <w:color w:val="000000" w:themeColor="text1"/>
          <w:sz w:val="32"/>
          <w:szCs w:val="32"/>
        </w:rPr>
      </w:pPr>
      <w:bookmarkStart w:id="55" w:name="_Toc15377216"/>
      <w:r>
        <w:rPr>
          <w:rFonts w:hint="eastAsia" w:ascii="楷体_GB2312" w:hAnsi="仿宋" w:eastAsia="楷体_GB2312"/>
          <w:b/>
          <w:color w:val="000000" w:themeColor="text1"/>
          <w:sz w:val="32"/>
          <w:szCs w:val="32"/>
        </w:rPr>
        <w:t>（一）“三公”经费财政拨款支出决算总体情况说明</w:t>
      </w:r>
      <w:bookmarkEnd w:id="55"/>
    </w:p>
    <w:p>
      <w:pPr>
        <w:spacing w:line="600" w:lineRule="exact"/>
        <w:ind w:firstLine="640"/>
        <w:rPr>
          <w:rFonts w:ascii="仿宋_GB2312" w:hAnsi="仿宋_GB2312" w:eastAsia="仿宋_GB2312" w:cs="仿宋_GB2312"/>
          <w:sz w:val="32"/>
          <w:szCs w:val="32"/>
        </w:rPr>
      </w:pPr>
      <w:r>
        <w:rPr>
          <w:rFonts w:hint="eastAsia" w:ascii="仿宋_GB2312" w:hAnsi="仿宋" w:eastAsia="仿宋_GB2312"/>
          <w:sz w:val="32"/>
          <w:szCs w:val="32"/>
        </w:rPr>
        <w:t>2023年“三公”经费财政拨款支出决算为0.2万元，完成预算95.2</w:t>
      </w:r>
      <w:r>
        <w:rPr>
          <w:rFonts w:hint="eastAsia" w:ascii="仿宋_GB2312" w:hAnsi="仿宋" w:eastAsia="仿宋_GB2312"/>
          <w:sz w:val="32"/>
          <w:szCs w:val="32"/>
          <w:lang w:val="en-US" w:eastAsia="zh-CN"/>
        </w:rPr>
        <w:t>4</w:t>
      </w:r>
      <w:r>
        <w:rPr>
          <w:rFonts w:hint="eastAsia" w:ascii="仿宋_GB2312" w:hAnsi="仿宋" w:eastAsia="仿宋_GB2312"/>
          <w:sz w:val="32"/>
          <w:szCs w:val="32"/>
        </w:rPr>
        <w:t>%。</w:t>
      </w:r>
      <w:r>
        <w:rPr>
          <w:rFonts w:hint="eastAsia" w:ascii="仿宋_GB2312" w:hAnsi="仿宋_GB2312" w:eastAsia="仿宋_GB2312" w:cs="仿宋_GB2312"/>
          <w:sz w:val="32"/>
          <w:szCs w:val="32"/>
        </w:rPr>
        <w:t>公务接待费支出决算与2022年度</w:t>
      </w:r>
      <w:r>
        <w:rPr>
          <w:rFonts w:ascii="仿宋_GB2312" w:hAnsi="仿宋" w:eastAsia="仿宋_GB2312"/>
          <w:sz w:val="32"/>
          <w:szCs w:val="32"/>
        </w:rPr>
        <w:t>持平</w:t>
      </w:r>
      <w:r>
        <w:rPr>
          <w:rFonts w:hint="eastAsia" w:ascii="仿宋_GB2312" w:hAnsi="仿宋" w:eastAsia="仿宋_GB2312"/>
          <w:sz w:val="32"/>
          <w:szCs w:val="32"/>
        </w:rPr>
        <w:t>，</w:t>
      </w:r>
      <w:r>
        <w:rPr>
          <w:rFonts w:hint="eastAsia" w:ascii="仿宋_GB2312" w:hAnsi="仿宋_GB2312" w:eastAsia="仿宋_GB2312" w:cs="仿宋_GB2312"/>
          <w:sz w:val="32"/>
          <w:szCs w:val="32"/>
        </w:rPr>
        <w:t>主要原因是</w:t>
      </w:r>
      <w:bookmarkStart w:id="56" w:name="_Toc15377217"/>
      <w:r>
        <w:rPr>
          <w:rFonts w:hint="eastAsia" w:ascii="仿宋_GB2312" w:eastAsia="仿宋_GB2312"/>
          <w:color w:val="000000" w:themeColor="text1"/>
          <w:sz w:val="32"/>
          <w:szCs w:val="32"/>
        </w:rPr>
        <w:t>不折不扣贯彻省市压减一般性支出的精神</w:t>
      </w:r>
      <w:r>
        <w:rPr>
          <w:rFonts w:hint="eastAsia" w:ascii="仿宋_GB2312" w:eastAsia="仿宋_GB2312"/>
          <w:color w:val="000000" w:themeColor="text1"/>
          <w:sz w:val="32"/>
          <w:szCs w:val="32"/>
          <w:lang w:eastAsia="zh-CN"/>
        </w:rPr>
        <w:t>，</w:t>
      </w:r>
      <w:r>
        <w:rPr>
          <w:rFonts w:hint="eastAsia" w:ascii="仿宋" w:hAnsi="仿宋" w:eastAsia="仿宋"/>
          <w:sz w:val="32"/>
          <w:szCs w:val="32"/>
        </w:rPr>
        <w:t>落实政府过紧日子政策</w:t>
      </w:r>
      <w:r>
        <w:rPr>
          <w:rFonts w:hint="eastAsia" w:ascii="仿宋_GB2312" w:hAnsi="仿宋" w:eastAsia="仿宋_GB2312"/>
          <w:color w:val="000000" w:themeColor="text1"/>
          <w:sz w:val="32"/>
          <w:szCs w:val="32"/>
        </w:rPr>
        <w:t>。</w:t>
      </w:r>
    </w:p>
    <w:p>
      <w:pPr>
        <w:adjustRightInd w:val="0"/>
        <w:snapToGrid w:val="0"/>
        <w:spacing w:line="580" w:lineRule="exact"/>
        <w:ind w:firstLine="641"/>
        <w:rPr>
          <w:rFonts w:ascii="楷体_GB2312" w:hAnsi="仿宋" w:eastAsia="楷体_GB2312"/>
          <w:b/>
          <w:color w:val="000000" w:themeColor="text1"/>
          <w:sz w:val="32"/>
          <w:szCs w:val="32"/>
        </w:rPr>
      </w:pPr>
      <w:r>
        <w:rPr>
          <w:rFonts w:hint="eastAsia" w:ascii="楷体_GB2312" w:hAnsi="仿宋" w:eastAsia="楷体_GB2312"/>
          <w:b/>
          <w:color w:val="000000" w:themeColor="text1"/>
          <w:sz w:val="32"/>
          <w:szCs w:val="32"/>
        </w:rPr>
        <w:t>（二）“三公”经费财政拨款支出决算具体情况说明</w:t>
      </w:r>
      <w:bookmarkEnd w:id="56"/>
    </w:p>
    <w:p>
      <w:pPr>
        <w:adjustRightInd w:val="0"/>
        <w:snapToGrid w:val="0"/>
        <w:spacing w:line="580" w:lineRule="exact"/>
        <w:ind w:firstLine="641"/>
        <w:rPr>
          <w:rFonts w:ascii="仿宋_GB2312" w:eastAsia="仿宋_GB2312"/>
          <w:color w:val="000000" w:themeColor="text1"/>
          <w:sz w:val="32"/>
          <w:szCs w:val="32"/>
        </w:rPr>
      </w:pPr>
      <w:r>
        <w:rPr>
          <w:rFonts w:hint="eastAsia" w:ascii="仿宋_GB2312" w:eastAsia="仿宋_GB2312"/>
          <w:color w:val="000000" w:themeColor="text1"/>
          <w:sz w:val="32"/>
          <w:szCs w:val="32"/>
        </w:rPr>
        <w:t>2023年“三公”经费财政拨款支出决算中，因公出国（境）费支出决算0万元，占0%；公务用车购置及运行维护费支出决算0万元，占0%；公务接待费支出决算0.2万元，占100%。具体情况如下：</w:t>
      </w:r>
    </w:p>
    <w:p>
      <w:pPr>
        <w:pStyle w:val="2"/>
        <w:spacing w:before="93"/>
      </w:pPr>
      <w:r>
        <w:drawing>
          <wp:inline distT="0" distB="0" distL="0" distR="0">
            <wp:extent cx="5274310" cy="3076575"/>
            <wp:effectExtent l="19050" t="0" r="21590" b="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adjustRightInd w:val="0"/>
        <w:snapToGrid w:val="0"/>
        <w:spacing w:line="560" w:lineRule="exact"/>
        <w:jc w:val="center"/>
        <w:rPr>
          <w:rFonts w:ascii="仿宋_GB2312" w:hAnsi="仿宋" w:eastAsia="仿宋_GB2312"/>
          <w:sz w:val="32"/>
          <w:szCs w:val="32"/>
        </w:rPr>
      </w:pPr>
      <w:r>
        <w:rPr>
          <w:rFonts w:hint="eastAsia" w:ascii="仿宋_GB2312" w:hAnsi="仿宋" w:eastAsia="仿宋_GB2312"/>
          <w:sz w:val="32"/>
          <w:szCs w:val="32"/>
        </w:rPr>
        <w:t>（图7：“三公”经费财政拨款支出结构）（饼状图）</w:t>
      </w:r>
    </w:p>
    <w:p>
      <w:pPr>
        <w:adjustRightInd w:val="0"/>
        <w:snapToGrid w:val="0"/>
        <w:spacing w:line="560" w:lineRule="exact"/>
        <w:ind w:firstLine="642" w:firstLineChars="200"/>
        <w:rPr>
          <w:rFonts w:ascii="仿宋_GB2312" w:eastAsia="仿宋_GB2312"/>
          <w:color w:val="000000" w:themeColor="text1"/>
          <w:sz w:val="32"/>
          <w:szCs w:val="32"/>
        </w:rPr>
      </w:pPr>
      <w:bookmarkStart w:id="57" w:name="_Toc15377218"/>
      <w:bookmarkStart w:id="58" w:name="_Toc15396610"/>
      <w:r>
        <w:rPr>
          <w:rFonts w:hint="eastAsia" w:ascii="仿宋_GB2312" w:eastAsia="仿宋_GB2312"/>
          <w:b/>
          <w:color w:val="000000" w:themeColor="text1"/>
          <w:sz w:val="32"/>
          <w:szCs w:val="32"/>
        </w:rPr>
        <w:t>1.因公出国（境）经费支出0万元。</w:t>
      </w:r>
      <w:r>
        <w:rPr>
          <w:rFonts w:hint="eastAsia" w:ascii="仿宋_GB2312" w:eastAsia="仿宋_GB2312"/>
          <w:color w:val="000000" w:themeColor="text1"/>
          <w:sz w:val="32"/>
          <w:szCs w:val="32"/>
        </w:rPr>
        <w:t>年初未安排预算，较2022年度无变化。</w:t>
      </w:r>
    </w:p>
    <w:p>
      <w:pPr>
        <w:spacing w:line="600" w:lineRule="exact"/>
        <w:ind w:firstLine="645"/>
        <w:rPr>
          <w:rFonts w:hint="eastAsia" w:ascii="仿宋_GB2312" w:eastAsia="仿宋_GB2312"/>
          <w:b/>
          <w:color w:val="000000" w:themeColor="text1"/>
          <w:sz w:val="32"/>
          <w:szCs w:val="32"/>
        </w:rPr>
      </w:pPr>
      <w:r>
        <w:rPr>
          <w:rFonts w:hint="eastAsia" w:ascii="仿宋_GB2312" w:eastAsia="仿宋_GB2312"/>
          <w:b/>
          <w:color w:val="000000" w:themeColor="text1"/>
          <w:sz w:val="32"/>
          <w:szCs w:val="32"/>
        </w:rPr>
        <w:t>2.公务用车购置及运行维护费支出0万元。</w:t>
      </w:r>
      <w:r>
        <w:rPr>
          <w:rFonts w:hint="eastAsia" w:ascii="仿宋_GB2312" w:hAnsi="Times New Roman" w:eastAsia="仿宋_GB2312" w:cs="Times New Roman"/>
          <w:color w:val="000000" w:themeColor="text1"/>
          <w:sz w:val="32"/>
          <w:szCs w:val="32"/>
        </w:rPr>
        <w:t>年初未安排预算，较2022年度无变化。</w:t>
      </w:r>
    </w:p>
    <w:p>
      <w:pPr>
        <w:spacing w:line="600" w:lineRule="exact"/>
        <w:ind w:firstLine="645"/>
        <w:rPr>
          <w:rFonts w:hint="eastAsia" w:ascii="仿宋_GB2312" w:eastAsia="仿宋_GB2312"/>
          <w:color w:val="000000" w:themeColor="text1"/>
          <w:sz w:val="32"/>
          <w:szCs w:val="32"/>
        </w:rPr>
      </w:pPr>
      <w:r>
        <w:rPr>
          <w:rFonts w:hint="eastAsia" w:ascii="仿宋_GB2312" w:eastAsia="仿宋_GB2312"/>
          <w:color w:val="000000" w:themeColor="text1"/>
          <w:sz w:val="32"/>
          <w:szCs w:val="32"/>
        </w:rPr>
        <w:t>其中：公务用车购置支出0万元，</w:t>
      </w:r>
      <w:r>
        <w:rPr>
          <w:rFonts w:hint="eastAsia" w:ascii="仿宋_GB2312" w:eastAsia="仿宋_GB2312"/>
          <w:color w:val="000000" w:themeColor="text1"/>
          <w:sz w:val="32"/>
          <w:szCs w:val="32"/>
          <w:lang w:eastAsia="zh-CN"/>
        </w:rPr>
        <w:t>未购置公务用车，</w:t>
      </w:r>
      <w:r>
        <w:rPr>
          <w:rFonts w:hint="eastAsia" w:ascii="仿宋_GB2312" w:eastAsia="仿宋_GB2312"/>
          <w:color w:val="000000" w:themeColor="text1"/>
          <w:sz w:val="32"/>
          <w:szCs w:val="32"/>
        </w:rPr>
        <w:t>年初未安排预算。截至2023年12月31日，单位共有公务用车0辆。</w:t>
      </w:r>
    </w:p>
    <w:p>
      <w:pPr>
        <w:spacing w:line="600" w:lineRule="exact"/>
        <w:ind w:firstLine="645"/>
        <w:rPr>
          <w:color w:val="FFFFFF" w:themeColor="background1"/>
        </w:rPr>
      </w:pPr>
      <w:r>
        <w:rPr>
          <w:rFonts w:hint="eastAsia" w:ascii="仿宋_GB2312" w:eastAsia="仿宋_GB2312"/>
          <w:color w:val="000000" w:themeColor="text1"/>
          <w:sz w:val="32"/>
          <w:szCs w:val="32"/>
        </w:rPr>
        <w:t>公务用车运行维护费支出0万元，年初未安排预算。</w:t>
      </w:r>
    </w:p>
    <w:p>
      <w:pPr>
        <w:adjustRightInd w:val="0"/>
        <w:snapToGrid w:val="0"/>
        <w:spacing w:line="580" w:lineRule="exact"/>
        <w:ind w:firstLine="641"/>
        <w:rPr>
          <w:rFonts w:ascii="仿宋_GB2312" w:hAnsi="仿宋" w:eastAsia="仿宋_GB2312"/>
          <w:color w:val="000000" w:themeColor="text1"/>
          <w:sz w:val="32"/>
          <w:szCs w:val="32"/>
        </w:rPr>
      </w:pPr>
      <w:r>
        <w:rPr>
          <w:rFonts w:hint="eastAsia" w:ascii="仿宋_GB2312" w:eastAsia="仿宋_GB2312"/>
          <w:b/>
          <w:sz w:val="32"/>
          <w:szCs w:val="32"/>
        </w:rPr>
        <w:t>3.公务接待费支出0.2万元，</w:t>
      </w:r>
      <w:r>
        <w:rPr>
          <w:rStyle w:val="16"/>
          <w:rFonts w:hint="eastAsia" w:ascii="仿宋_GB2312" w:eastAsia="仿宋_GB2312"/>
          <w:bCs/>
          <w:sz w:val="32"/>
          <w:szCs w:val="32"/>
        </w:rPr>
        <w:t>完成预算</w:t>
      </w:r>
      <w:r>
        <w:rPr>
          <w:rStyle w:val="16"/>
          <w:rFonts w:ascii="仿宋_GB2312" w:eastAsia="仿宋_GB2312"/>
          <w:bCs/>
          <w:sz w:val="32"/>
          <w:szCs w:val="32"/>
        </w:rPr>
        <w:t>100</w:t>
      </w:r>
      <w:r>
        <w:rPr>
          <w:rStyle w:val="16"/>
          <w:rFonts w:hint="eastAsia" w:ascii="仿宋_GB2312" w:eastAsia="仿宋_GB2312"/>
          <w:bCs/>
          <w:sz w:val="32"/>
          <w:szCs w:val="32"/>
        </w:rPr>
        <w:t>%。</w:t>
      </w:r>
      <w:r>
        <w:rPr>
          <w:rFonts w:hint="eastAsia" w:ascii="仿宋_GB2312" w:eastAsia="仿宋_GB2312"/>
          <w:sz w:val="32"/>
          <w:szCs w:val="32"/>
        </w:rPr>
        <w:t>公务接待费支出决算与</w:t>
      </w:r>
      <w:r>
        <w:rPr>
          <w:rFonts w:ascii="仿宋_GB2312" w:eastAsia="仿宋_GB2312"/>
          <w:sz w:val="32"/>
          <w:szCs w:val="32"/>
        </w:rPr>
        <w:t>202</w:t>
      </w:r>
      <w:r>
        <w:rPr>
          <w:rFonts w:hint="eastAsia" w:ascii="仿宋_GB2312" w:eastAsia="仿宋_GB2312"/>
          <w:sz w:val="32"/>
          <w:szCs w:val="32"/>
        </w:rPr>
        <w:t>2</w:t>
      </w:r>
      <w:r>
        <w:rPr>
          <w:rFonts w:ascii="仿宋_GB2312" w:eastAsia="仿宋_GB2312"/>
          <w:sz w:val="32"/>
          <w:szCs w:val="32"/>
        </w:rPr>
        <w:t>年</w:t>
      </w:r>
      <w:r>
        <w:rPr>
          <w:rFonts w:hint="eastAsia" w:ascii="仿宋_GB2312" w:eastAsia="仿宋_GB2312"/>
          <w:sz w:val="32"/>
          <w:szCs w:val="32"/>
        </w:rPr>
        <w:t>持平。</w:t>
      </w:r>
      <w:r>
        <w:rPr>
          <w:rFonts w:hint="eastAsia" w:ascii="仿宋_GB2312" w:eastAsia="仿宋_GB2312"/>
          <w:color w:val="000000" w:themeColor="text1"/>
          <w:sz w:val="32"/>
          <w:szCs w:val="32"/>
        </w:rPr>
        <w:t>主要原因是不折不扣贯彻省市压减一般性支出的精神</w:t>
      </w:r>
      <w:r>
        <w:rPr>
          <w:rFonts w:hint="eastAsia" w:ascii="仿宋_GB2312" w:eastAsia="仿宋_GB2312"/>
          <w:color w:val="000000" w:themeColor="text1"/>
          <w:sz w:val="32"/>
          <w:szCs w:val="32"/>
          <w:lang w:eastAsia="zh-CN"/>
        </w:rPr>
        <w:t>，</w:t>
      </w:r>
      <w:r>
        <w:rPr>
          <w:rFonts w:hint="eastAsia" w:ascii="仿宋" w:hAnsi="仿宋" w:eastAsia="仿宋"/>
          <w:sz w:val="32"/>
          <w:szCs w:val="32"/>
        </w:rPr>
        <w:t>落实政府过紧日子政策</w:t>
      </w:r>
      <w:r>
        <w:rPr>
          <w:rFonts w:hint="eastAsia" w:ascii="仿宋_GB2312" w:hAnsi="仿宋" w:eastAsia="仿宋_GB2312"/>
          <w:color w:val="000000" w:themeColor="text1"/>
          <w:sz w:val="32"/>
          <w:szCs w:val="32"/>
        </w:rPr>
        <w:t>。其中：</w:t>
      </w:r>
    </w:p>
    <w:p>
      <w:pPr>
        <w:adjustRightInd w:val="0"/>
        <w:snapToGrid w:val="0"/>
        <w:spacing w:line="580" w:lineRule="exact"/>
        <w:ind w:firstLine="641"/>
        <w:rPr>
          <w:rFonts w:ascii="仿宋_GB2312" w:hAnsi="仿宋" w:eastAsia="仿宋_GB2312"/>
          <w:color w:val="000000" w:themeColor="text1"/>
          <w:sz w:val="32"/>
          <w:szCs w:val="32"/>
        </w:rPr>
      </w:pPr>
      <w:r>
        <w:rPr>
          <w:rFonts w:hint="eastAsia" w:ascii="仿宋_GB2312" w:eastAsia="仿宋_GB2312"/>
          <w:b/>
          <w:color w:val="000000" w:themeColor="text1"/>
          <w:sz w:val="32"/>
          <w:szCs w:val="32"/>
        </w:rPr>
        <w:t>国内公务接待支出0.2万元。</w:t>
      </w:r>
      <w:r>
        <w:rPr>
          <w:rFonts w:hint="eastAsia" w:ascii="仿宋_GB2312" w:eastAsia="仿宋_GB2312"/>
          <w:color w:val="000000" w:themeColor="text1"/>
          <w:sz w:val="32"/>
          <w:szCs w:val="32"/>
        </w:rPr>
        <w:t>主要用于执行公务、开展业务活动开支的交通费、住宿费、用餐费等。国内公务接待2批次，17人（不包括陪同人员），共计支出0.2万元，具体内容包括：（1）接待剑阁县普安镇白虎村村委会开展党支部结对共建相关事宜接待费用0.1万元；（2）接待苍溪国有资产和金融服务中心工作交流学习接待费0.1万元。</w:t>
      </w:r>
    </w:p>
    <w:p>
      <w:pPr>
        <w:adjustRightInd w:val="0"/>
        <w:snapToGrid w:val="0"/>
        <w:spacing w:line="560" w:lineRule="exact"/>
        <w:ind w:firstLine="642" w:firstLineChars="200"/>
        <w:rPr>
          <w:rFonts w:ascii="仿宋_GB2312" w:eastAsia="仿宋_GB2312"/>
          <w:color w:val="000000" w:themeColor="text1"/>
          <w:sz w:val="32"/>
          <w:szCs w:val="32"/>
        </w:rPr>
      </w:pPr>
      <w:r>
        <w:rPr>
          <w:rFonts w:hint="eastAsia" w:ascii="仿宋_GB2312" w:eastAsia="仿宋_GB2312"/>
          <w:b/>
          <w:color w:val="000000" w:themeColor="text1"/>
          <w:sz w:val="32"/>
          <w:szCs w:val="32"/>
        </w:rPr>
        <w:t>外事接待支出0万元。</w:t>
      </w:r>
    </w:p>
    <w:p>
      <w:pPr>
        <w:adjustRightInd w:val="0"/>
        <w:snapToGrid w:val="0"/>
        <w:spacing w:line="560" w:lineRule="exact"/>
        <w:ind w:firstLine="640"/>
        <w:outlineLvl w:val="1"/>
        <w:rPr>
          <w:rStyle w:val="20"/>
          <w:rFonts w:ascii="黑体" w:hAnsi="黑体" w:eastAsia="黑体"/>
          <w:color w:val="000000" w:themeColor="text1"/>
        </w:rPr>
      </w:pPr>
      <w:bookmarkStart w:id="59" w:name="_Toc30024"/>
      <w:r>
        <w:rPr>
          <w:rFonts w:hint="eastAsia" w:ascii="黑体" w:eastAsia="黑体"/>
          <w:color w:val="000000" w:themeColor="text1"/>
          <w:sz w:val="32"/>
          <w:szCs w:val="32"/>
        </w:rPr>
        <w:t>八、</w:t>
      </w:r>
      <w:r>
        <w:rPr>
          <w:rStyle w:val="20"/>
          <w:rFonts w:hint="eastAsia" w:ascii="黑体" w:hAnsi="黑体" w:eastAsia="黑体"/>
          <w:b w:val="0"/>
          <w:color w:val="000000" w:themeColor="text1"/>
        </w:rPr>
        <w:t>政府性基金预算支出决算情况说明</w:t>
      </w:r>
      <w:bookmarkEnd w:id="57"/>
      <w:bookmarkEnd w:id="58"/>
      <w:bookmarkEnd w:id="59"/>
    </w:p>
    <w:p>
      <w:pPr>
        <w:adjustRightInd w:val="0"/>
        <w:snapToGrid w:val="0"/>
        <w:spacing w:line="560" w:lineRule="exact"/>
        <w:ind w:firstLine="640"/>
        <w:rPr>
          <w:rFonts w:ascii="仿宋_GB2312" w:eastAsia="仿宋_GB2312"/>
          <w:color w:val="000000" w:themeColor="text1"/>
          <w:sz w:val="32"/>
          <w:szCs w:val="32"/>
        </w:rPr>
      </w:pPr>
      <w:r>
        <w:rPr>
          <w:rFonts w:ascii="仿宋_GB2312" w:eastAsia="仿宋_GB2312"/>
          <w:color w:val="000000" w:themeColor="text1"/>
          <w:sz w:val="32"/>
          <w:szCs w:val="32"/>
        </w:rPr>
        <w:t>20</w:t>
      </w:r>
      <w:r>
        <w:rPr>
          <w:rFonts w:hint="eastAsia" w:ascii="仿宋_GB2312" w:eastAsia="仿宋_GB2312"/>
          <w:color w:val="000000" w:themeColor="text1"/>
          <w:sz w:val="32"/>
          <w:szCs w:val="32"/>
        </w:rPr>
        <w:t>23年</w:t>
      </w:r>
      <w:r>
        <w:rPr>
          <w:rFonts w:hint="eastAsia" w:ascii="仿宋_GB2312" w:eastAsia="仿宋_GB2312"/>
          <w:sz w:val="32"/>
          <w:szCs w:val="32"/>
        </w:rPr>
        <w:t>度</w:t>
      </w:r>
      <w:r>
        <w:rPr>
          <w:rFonts w:hint="eastAsia" w:ascii="仿宋_GB2312" w:eastAsia="仿宋_GB2312"/>
          <w:color w:val="000000" w:themeColor="text1"/>
          <w:sz w:val="32"/>
          <w:szCs w:val="32"/>
        </w:rPr>
        <w:t>政府性基金预算财政拨款支出0万元。</w:t>
      </w:r>
    </w:p>
    <w:p>
      <w:pPr>
        <w:numPr>
          <w:ilvl w:val="0"/>
          <w:numId w:val="3"/>
        </w:numPr>
        <w:adjustRightInd w:val="0"/>
        <w:snapToGrid w:val="0"/>
        <w:spacing w:line="560" w:lineRule="exact"/>
        <w:ind w:firstLine="640"/>
        <w:outlineLvl w:val="1"/>
        <w:rPr>
          <w:rStyle w:val="20"/>
          <w:rFonts w:ascii="黑体" w:hAnsi="黑体" w:eastAsia="黑体"/>
          <w:b w:val="0"/>
          <w:color w:val="000000" w:themeColor="text1"/>
        </w:rPr>
      </w:pPr>
      <w:bookmarkStart w:id="60" w:name="_Toc15396611"/>
      <w:bookmarkStart w:id="61" w:name="_Toc23510"/>
      <w:bookmarkStart w:id="62" w:name="_Toc15377219"/>
      <w:r>
        <w:rPr>
          <w:rStyle w:val="20"/>
          <w:rFonts w:hint="eastAsia" w:ascii="黑体" w:hAnsi="黑体" w:eastAsia="黑体"/>
          <w:b w:val="0"/>
          <w:color w:val="000000" w:themeColor="text1"/>
        </w:rPr>
        <w:t>国有资本经营预算支出决算情况说明</w:t>
      </w:r>
      <w:bookmarkEnd w:id="60"/>
      <w:bookmarkEnd w:id="61"/>
      <w:bookmarkEnd w:id="62"/>
    </w:p>
    <w:p>
      <w:pPr>
        <w:adjustRightInd w:val="0"/>
        <w:snapToGrid w:val="0"/>
        <w:spacing w:line="560" w:lineRule="exact"/>
        <w:ind w:firstLine="640"/>
        <w:rPr>
          <w:rFonts w:ascii="仿宋_GB2312" w:eastAsia="仿宋_GB2312"/>
          <w:color w:val="000000" w:themeColor="text1"/>
          <w:sz w:val="32"/>
          <w:szCs w:val="32"/>
        </w:rPr>
      </w:pPr>
      <w:r>
        <w:rPr>
          <w:rFonts w:ascii="仿宋_GB2312" w:eastAsia="仿宋_GB2312"/>
          <w:color w:val="000000" w:themeColor="text1"/>
          <w:sz w:val="32"/>
          <w:szCs w:val="32"/>
        </w:rPr>
        <w:t>20</w:t>
      </w:r>
      <w:r>
        <w:rPr>
          <w:rFonts w:hint="eastAsia" w:ascii="仿宋_GB2312" w:eastAsia="仿宋_GB2312"/>
          <w:color w:val="000000" w:themeColor="text1"/>
          <w:sz w:val="32"/>
          <w:szCs w:val="32"/>
        </w:rPr>
        <w:t>23年</w:t>
      </w:r>
      <w:r>
        <w:rPr>
          <w:rFonts w:hint="eastAsia" w:ascii="仿宋_GB2312" w:eastAsia="仿宋_GB2312"/>
          <w:sz w:val="32"/>
          <w:szCs w:val="32"/>
        </w:rPr>
        <w:t>度</w:t>
      </w:r>
      <w:r>
        <w:rPr>
          <w:rFonts w:hint="eastAsia" w:ascii="仿宋_GB2312" w:eastAsia="仿宋_GB2312"/>
          <w:color w:val="000000" w:themeColor="text1"/>
          <w:sz w:val="32"/>
          <w:szCs w:val="32"/>
        </w:rPr>
        <w:t>国有资本经营预算财政拨款支出0万元。</w:t>
      </w:r>
    </w:p>
    <w:p>
      <w:pPr>
        <w:numPr>
          <w:ilvl w:val="0"/>
          <w:numId w:val="3"/>
        </w:numPr>
        <w:adjustRightInd w:val="0"/>
        <w:snapToGrid w:val="0"/>
        <w:spacing w:line="560" w:lineRule="exact"/>
        <w:ind w:firstLine="640"/>
        <w:outlineLvl w:val="1"/>
        <w:rPr>
          <w:rStyle w:val="20"/>
          <w:rFonts w:ascii="黑体" w:hAnsi="黑体" w:eastAsia="黑体"/>
          <w:b w:val="0"/>
          <w:color w:val="000000" w:themeColor="text1"/>
        </w:rPr>
      </w:pPr>
      <w:bookmarkStart w:id="63" w:name="_Toc25516"/>
      <w:bookmarkStart w:id="64" w:name="_Toc15396612"/>
      <w:bookmarkStart w:id="65" w:name="_Toc15377221"/>
      <w:r>
        <w:rPr>
          <w:rStyle w:val="20"/>
          <w:rFonts w:hint="eastAsia" w:ascii="黑体" w:hAnsi="黑体" w:eastAsia="黑体"/>
          <w:b w:val="0"/>
          <w:color w:val="000000" w:themeColor="text1"/>
        </w:rPr>
        <w:t>其他重要事项的情况说明</w:t>
      </w:r>
      <w:bookmarkEnd w:id="63"/>
      <w:bookmarkEnd w:id="64"/>
      <w:bookmarkEnd w:id="65"/>
    </w:p>
    <w:p>
      <w:pPr>
        <w:adjustRightInd w:val="0"/>
        <w:snapToGrid w:val="0"/>
        <w:spacing w:line="560" w:lineRule="exact"/>
        <w:ind w:firstLine="642" w:firstLineChars="200"/>
        <w:outlineLvl w:val="2"/>
        <w:rPr>
          <w:rFonts w:ascii="楷体_GB2312" w:hAnsi="仿宋" w:eastAsia="楷体_GB2312"/>
          <w:color w:val="000000" w:themeColor="text1"/>
          <w:sz w:val="32"/>
          <w:szCs w:val="32"/>
        </w:rPr>
      </w:pPr>
      <w:bookmarkStart w:id="66" w:name="_Toc15377222"/>
      <w:r>
        <w:rPr>
          <w:rFonts w:hint="eastAsia" w:ascii="楷体_GB2312" w:hAnsi="仿宋" w:eastAsia="楷体_GB2312"/>
          <w:b/>
          <w:color w:val="000000" w:themeColor="text1"/>
          <w:sz w:val="32"/>
          <w:szCs w:val="32"/>
        </w:rPr>
        <w:t>（一）机关运行经费支出情况</w:t>
      </w:r>
      <w:bookmarkEnd w:id="66"/>
    </w:p>
    <w:p>
      <w:pPr>
        <w:adjustRightInd w:val="0"/>
        <w:snapToGrid w:val="0"/>
        <w:spacing w:line="560" w:lineRule="exact"/>
        <w:ind w:firstLine="624" w:firstLineChars="200"/>
        <w:rPr>
          <w:rFonts w:ascii="仿宋_GB2312" w:eastAsia="仿宋_GB2312"/>
          <w:color w:val="000000" w:themeColor="text1"/>
          <w:spacing w:val="-4"/>
          <w:sz w:val="32"/>
          <w:szCs w:val="32"/>
        </w:rPr>
      </w:pPr>
      <w:bookmarkStart w:id="67" w:name="_Toc15377223"/>
      <w:r>
        <w:rPr>
          <w:rFonts w:hint="eastAsia" w:ascii="仿宋_GB2312" w:eastAsia="仿宋_GB2312"/>
          <w:color w:val="000000" w:themeColor="text1"/>
          <w:spacing w:val="-4"/>
          <w:sz w:val="32"/>
          <w:szCs w:val="32"/>
        </w:rPr>
        <w:t>2023年未发生机关运行经费支出，与2022年决算数持平。</w:t>
      </w:r>
    </w:p>
    <w:p>
      <w:pPr>
        <w:autoSpaceDE w:val="0"/>
        <w:autoSpaceDN w:val="0"/>
        <w:adjustRightInd w:val="0"/>
        <w:snapToGrid w:val="0"/>
        <w:spacing w:line="560" w:lineRule="exact"/>
        <w:ind w:firstLine="642" w:firstLineChars="200"/>
        <w:jc w:val="left"/>
        <w:outlineLvl w:val="2"/>
        <w:rPr>
          <w:rFonts w:ascii="楷体_GB2312" w:hAnsi="仿宋" w:eastAsia="楷体_GB2312"/>
          <w:b/>
          <w:sz w:val="32"/>
          <w:szCs w:val="32"/>
        </w:rPr>
      </w:pPr>
      <w:r>
        <w:rPr>
          <w:rFonts w:hint="eastAsia" w:ascii="楷体_GB2312" w:hAnsi="仿宋" w:eastAsia="楷体_GB2312"/>
          <w:b/>
          <w:sz w:val="32"/>
          <w:szCs w:val="32"/>
        </w:rPr>
        <w:t>（二）政府采购支出情况</w:t>
      </w:r>
      <w:bookmarkEnd w:id="67"/>
    </w:p>
    <w:p>
      <w:pPr>
        <w:adjustRightInd w:val="0"/>
        <w:snapToGrid w:val="0"/>
        <w:spacing w:line="560" w:lineRule="exact"/>
        <w:ind w:firstLine="640" w:firstLineChars="200"/>
      </w:pPr>
      <w:r>
        <w:rPr>
          <w:rFonts w:hint="eastAsia" w:ascii="仿宋_GB2312" w:eastAsia="仿宋_GB2312"/>
          <w:sz w:val="32"/>
          <w:szCs w:val="32"/>
        </w:rPr>
        <w:t>2023年度，广元市国资国企服务中心政府采购支出总额0万元。</w:t>
      </w:r>
      <w:bookmarkStart w:id="104" w:name="_GoBack"/>
      <w:bookmarkEnd w:id="104"/>
    </w:p>
    <w:p>
      <w:pPr>
        <w:autoSpaceDE w:val="0"/>
        <w:autoSpaceDN w:val="0"/>
        <w:adjustRightInd w:val="0"/>
        <w:snapToGrid w:val="0"/>
        <w:spacing w:line="560" w:lineRule="exact"/>
        <w:ind w:firstLine="642" w:firstLineChars="200"/>
        <w:jc w:val="left"/>
        <w:outlineLvl w:val="2"/>
        <w:rPr>
          <w:rFonts w:ascii="楷体_GB2312" w:hAnsi="仿宋" w:eastAsia="楷体_GB2312"/>
          <w:b/>
          <w:sz w:val="32"/>
          <w:szCs w:val="32"/>
        </w:rPr>
      </w:pPr>
      <w:bookmarkStart w:id="68" w:name="_Toc15377224"/>
      <w:r>
        <w:rPr>
          <w:rFonts w:hint="eastAsia" w:ascii="楷体_GB2312" w:hAnsi="仿宋" w:eastAsia="楷体_GB2312"/>
          <w:b/>
          <w:sz w:val="32"/>
          <w:szCs w:val="32"/>
        </w:rPr>
        <w:t>（三）国有资产占有使用情况</w:t>
      </w:r>
      <w:bookmarkEnd w:id="68"/>
    </w:p>
    <w:p>
      <w:pPr>
        <w:autoSpaceDE w:val="0"/>
        <w:autoSpaceDN w:val="0"/>
        <w:adjustRightInd w:val="0"/>
        <w:snapToGrid w:val="0"/>
        <w:spacing w:line="560" w:lineRule="exact"/>
        <w:ind w:firstLine="640" w:firstLineChars="200"/>
        <w:jc w:val="left"/>
        <w:rPr>
          <w:rFonts w:ascii="仿宋_GB2312" w:eastAsia="仿宋_GB2312"/>
          <w:color w:val="000000" w:themeColor="text1"/>
          <w:sz w:val="32"/>
          <w:szCs w:val="32"/>
        </w:rPr>
      </w:pPr>
      <w:r>
        <w:rPr>
          <w:rFonts w:hint="eastAsia" w:ascii="仿宋_GB2312" w:eastAsia="仿宋_GB2312"/>
          <w:color w:val="000000" w:themeColor="text1"/>
          <w:sz w:val="32"/>
          <w:szCs w:val="32"/>
        </w:rPr>
        <w:t>截至2023年12月31日，广元市国资国企服务中心共有车辆0辆。单价100万元以上专用设备0台（套）。</w:t>
      </w:r>
    </w:p>
    <w:p>
      <w:pPr>
        <w:autoSpaceDE w:val="0"/>
        <w:autoSpaceDN w:val="0"/>
        <w:adjustRightInd w:val="0"/>
        <w:snapToGrid w:val="0"/>
        <w:spacing w:line="560" w:lineRule="exact"/>
        <w:ind w:firstLine="642" w:firstLineChars="200"/>
        <w:jc w:val="left"/>
        <w:outlineLvl w:val="2"/>
        <w:rPr>
          <w:rFonts w:ascii="楷体_GB2312" w:hAnsi="仿宋" w:eastAsia="楷体_GB2312"/>
          <w:b/>
          <w:color w:val="000000" w:themeColor="text1"/>
          <w:sz w:val="32"/>
          <w:szCs w:val="32"/>
        </w:rPr>
      </w:pPr>
      <w:r>
        <w:rPr>
          <w:rFonts w:hint="eastAsia" w:ascii="楷体_GB2312" w:hAnsi="仿宋" w:eastAsia="楷体_GB2312"/>
          <w:b/>
          <w:color w:val="000000" w:themeColor="text1"/>
          <w:sz w:val="32"/>
          <w:szCs w:val="32"/>
        </w:rPr>
        <w:t>（四）预算绩效管理情况</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根据预算绩效管理要求，本单位在2023年度预算编制阶段，组织对出租房屋税费、资产运行管理费、资产维护维修费、固定资产购置费等4个项目开展了预算事前绩效评估，对15个项目编制了绩效目标，预算执行过程中，选取15个项目开展绩效监控，年终执行完毕后，对15个项目开展了绩效自评，2023年部门预算项目绩效目标自评表</w:t>
      </w:r>
      <w:bookmarkStart w:id="69" w:name="_Toc15377225"/>
      <w:bookmarkStart w:id="70" w:name="_Toc15396613"/>
      <w:r>
        <w:rPr>
          <w:rFonts w:hint="eastAsia" w:ascii="仿宋_GB2312" w:eastAsia="仿宋_GB2312"/>
          <w:sz w:val="32"/>
          <w:szCs w:val="32"/>
        </w:rPr>
        <w:t>详见第四部分附件。</w:t>
      </w:r>
    </w:p>
    <w:p>
      <w:pPr>
        <w:adjustRightInd w:val="0"/>
        <w:snapToGrid w:val="0"/>
        <w:spacing w:line="560" w:lineRule="exact"/>
        <w:ind w:firstLine="1760" w:firstLineChars="400"/>
        <w:outlineLvl w:val="0"/>
        <w:rPr>
          <w:rStyle w:val="19"/>
          <w:rFonts w:ascii="仿宋_GB2312" w:eastAsia="仿宋_GB2312"/>
          <w:b w:val="0"/>
          <w:bCs w:val="0"/>
          <w:color w:val="000000" w:themeColor="text1"/>
          <w:kern w:val="2"/>
          <w:sz w:val="32"/>
          <w:szCs w:val="32"/>
        </w:rPr>
      </w:pPr>
      <w:bookmarkStart w:id="71" w:name="_Toc5913"/>
      <w:r>
        <w:rPr>
          <w:rFonts w:hint="eastAsia" w:ascii="黑体" w:hAnsi="黑体" w:eastAsia="黑体"/>
          <w:color w:val="000000" w:themeColor="text1"/>
          <w:sz w:val="44"/>
          <w:szCs w:val="44"/>
        </w:rPr>
        <w:t>第三部分 名</w:t>
      </w:r>
      <w:r>
        <w:rPr>
          <w:rStyle w:val="19"/>
          <w:rFonts w:hint="eastAsia" w:ascii="黑体" w:hAnsi="黑体" w:eastAsia="黑体"/>
          <w:b w:val="0"/>
          <w:color w:val="000000" w:themeColor="text1"/>
        </w:rPr>
        <w:t>词解释</w:t>
      </w:r>
      <w:bookmarkEnd w:id="69"/>
      <w:bookmarkEnd w:id="70"/>
      <w:bookmarkEnd w:id="71"/>
    </w:p>
    <w:p>
      <w:pPr>
        <w:adjustRightInd w:val="0"/>
        <w:snapToGrid w:val="0"/>
        <w:spacing w:line="556" w:lineRule="exact"/>
        <w:jc w:val="left"/>
        <w:rPr>
          <w:rFonts w:ascii="宋体"/>
          <w:b/>
          <w:sz w:val="44"/>
          <w:szCs w:val="44"/>
        </w:rPr>
      </w:pPr>
    </w:p>
    <w:p>
      <w:pPr>
        <w:pStyle w:val="28"/>
        <w:numPr>
          <w:ilvl w:val="0"/>
          <w:numId w:val="4"/>
        </w:numPr>
        <w:snapToGrid w:val="0"/>
        <w:spacing w:line="556" w:lineRule="exact"/>
        <w:ind w:left="0" w:leftChars="0" w:firstLine="400" w:firstLineChars="0"/>
        <w:outlineLvl w:val="1"/>
        <w:rPr>
          <w:rFonts w:ascii="仿宋_GB2312" w:hAnsi="Times New Roman" w:eastAsia="仿宋_GB2312" w:cs="Times New Roman"/>
          <w:color w:val="000000" w:themeColor="text1"/>
          <w:sz w:val="32"/>
          <w:szCs w:val="32"/>
        </w:rPr>
      </w:pPr>
      <w:bookmarkStart w:id="72" w:name="_Toc25527"/>
      <w:r>
        <w:rPr>
          <w:rFonts w:hint="eastAsia" w:ascii="仿宋_GB2312" w:hAnsi="Times New Roman" w:eastAsia="仿宋_GB2312" w:cs="Times New Roman"/>
          <w:color w:val="000000" w:themeColor="text1"/>
          <w:sz w:val="32"/>
          <w:szCs w:val="32"/>
        </w:rPr>
        <w:t>财政拨款收入：指单位从同级财政部门取得的财政预算资金。</w:t>
      </w:r>
      <w:bookmarkEnd w:id="72"/>
    </w:p>
    <w:p>
      <w:pPr>
        <w:pStyle w:val="28"/>
        <w:numPr>
          <w:ilvl w:val="0"/>
          <w:numId w:val="4"/>
        </w:numPr>
        <w:snapToGrid w:val="0"/>
        <w:spacing w:line="556" w:lineRule="exact"/>
        <w:ind w:left="0" w:leftChars="0" w:firstLine="400" w:firstLineChars="0"/>
        <w:rPr>
          <w:rFonts w:hint="eastAsia" w:ascii="仿宋_GB2312" w:hAnsi="Times New Roman" w:eastAsia="仿宋_GB2312" w:cs="Times New Roman"/>
          <w:color w:val="000000" w:themeColor="text1"/>
          <w:sz w:val="32"/>
          <w:szCs w:val="32"/>
        </w:rPr>
      </w:pPr>
      <w:r>
        <w:rPr>
          <w:rFonts w:hint="eastAsia" w:ascii="仿宋_GB2312" w:hAnsi="Times New Roman" w:eastAsia="仿宋_GB2312" w:cs="Times New Roman"/>
          <w:color w:val="000000" w:themeColor="text1"/>
          <w:sz w:val="32"/>
          <w:szCs w:val="32"/>
        </w:rPr>
        <w:t>其他收入：指单位取得的除上述收入以外的各项收入。主要是利息收入。</w:t>
      </w:r>
    </w:p>
    <w:p>
      <w:pPr>
        <w:pStyle w:val="28"/>
        <w:numPr>
          <w:ilvl w:val="0"/>
          <w:numId w:val="4"/>
        </w:numPr>
        <w:snapToGrid w:val="0"/>
        <w:spacing w:line="556" w:lineRule="exact"/>
        <w:ind w:left="0" w:leftChars="0" w:firstLine="400" w:firstLineChars="0"/>
        <w:rPr>
          <w:rFonts w:ascii="仿宋_GB2312" w:hAnsi="Times New Roman" w:eastAsia="仿宋_GB2312" w:cs="Times New Roman"/>
          <w:color w:val="000000" w:themeColor="text1"/>
          <w:sz w:val="32"/>
          <w:szCs w:val="32"/>
        </w:rPr>
      </w:pPr>
      <w:r>
        <w:rPr>
          <w:rFonts w:hint="eastAsia" w:ascii="仿宋_GB2312" w:hAnsi="Times New Roman" w:eastAsia="仿宋_GB2312" w:cs="Times New Roman"/>
          <w:color w:val="000000" w:themeColor="text1"/>
          <w:sz w:val="32"/>
          <w:szCs w:val="32"/>
        </w:rPr>
        <w:t>年初结转和结余：指以前年度尚未完成、结转到本年按有关规定继续使用的资金。</w:t>
      </w:r>
    </w:p>
    <w:p>
      <w:pPr>
        <w:pStyle w:val="28"/>
        <w:numPr>
          <w:ilvl w:val="0"/>
          <w:numId w:val="4"/>
        </w:numPr>
        <w:snapToGrid w:val="0"/>
        <w:spacing w:line="556" w:lineRule="exact"/>
        <w:ind w:left="0" w:leftChars="0" w:firstLine="400" w:firstLineChars="0"/>
        <w:rPr>
          <w:rFonts w:hint="eastAsia" w:ascii="仿宋_GB2312" w:hAnsi="Times New Roman" w:eastAsia="仿宋_GB2312" w:cs="Times New Roman"/>
          <w:color w:val="000000" w:themeColor="text1"/>
          <w:sz w:val="32"/>
          <w:szCs w:val="32"/>
        </w:rPr>
      </w:pPr>
      <w:r>
        <w:rPr>
          <w:rFonts w:hint="eastAsia" w:ascii="仿宋_GB2312" w:hAnsi="Times New Roman" w:eastAsia="仿宋_GB2312" w:cs="Times New Roman"/>
          <w:color w:val="000000" w:themeColor="text1"/>
          <w:sz w:val="32"/>
          <w:szCs w:val="32"/>
        </w:rPr>
        <w:t>结余分配：指事业单位按照会计制度规定缴纳的所得税、提取的专用结余以及转入非财政拨款结余的金额等。</w:t>
      </w:r>
    </w:p>
    <w:p>
      <w:pPr>
        <w:pStyle w:val="28"/>
        <w:numPr>
          <w:ilvl w:val="0"/>
          <w:numId w:val="4"/>
        </w:numPr>
        <w:snapToGrid w:val="0"/>
        <w:spacing w:line="556" w:lineRule="exact"/>
        <w:ind w:left="0" w:leftChars="0" w:firstLine="400" w:firstLineChars="0"/>
        <w:rPr>
          <w:rFonts w:ascii="仿宋_GB2312" w:hAnsi="Times New Roman" w:eastAsia="仿宋_GB2312" w:cs="Times New Roman"/>
          <w:color w:val="000000" w:themeColor="text1"/>
          <w:sz w:val="32"/>
          <w:szCs w:val="32"/>
        </w:rPr>
      </w:pPr>
      <w:r>
        <w:rPr>
          <w:rFonts w:hint="eastAsia" w:ascii="仿宋_GB2312" w:hAnsi="Times New Roman" w:eastAsia="仿宋_GB2312" w:cs="Times New Roman"/>
          <w:color w:val="000000" w:themeColor="text1"/>
          <w:sz w:val="32"/>
          <w:szCs w:val="32"/>
        </w:rPr>
        <w:t>年末结转和结余：指单位按有关规定结转到下年或以后年度继续使用的资金。</w:t>
      </w:r>
    </w:p>
    <w:p>
      <w:pPr>
        <w:numPr>
          <w:ilvl w:val="0"/>
          <w:numId w:val="4"/>
        </w:numPr>
        <w:adjustRightInd w:val="0"/>
        <w:snapToGrid w:val="0"/>
        <w:spacing w:line="556" w:lineRule="exact"/>
        <w:ind w:left="0" w:leftChars="0" w:firstLine="400" w:firstLineChars="0"/>
        <w:rPr>
          <w:rFonts w:ascii="仿宋_GB2312" w:eastAsia="仿宋_GB2312"/>
          <w:color w:val="000000" w:themeColor="text1"/>
          <w:sz w:val="32"/>
          <w:szCs w:val="32"/>
        </w:rPr>
      </w:pPr>
      <w:r>
        <w:rPr>
          <w:rFonts w:hint="eastAsia" w:ascii="仿宋_GB2312" w:eastAsia="仿宋_GB2312"/>
          <w:color w:val="000000" w:themeColor="text1"/>
          <w:kern w:val="0"/>
          <w:sz w:val="32"/>
          <w:szCs w:val="32"/>
        </w:rPr>
        <w:t>社会保障和就业（类）</w:t>
      </w:r>
      <w:r>
        <w:rPr>
          <w:rFonts w:ascii="仿宋_GB2312" w:eastAsia="仿宋_GB2312"/>
          <w:color w:val="000000" w:themeColor="text1"/>
          <w:kern w:val="0"/>
          <w:sz w:val="32"/>
          <w:szCs w:val="32"/>
        </w:rPr>
        <w:t>行政事业单位养老支出</w:t>
      </w:r>
      <w:r>
        <w:rPr>
          <w:rFonts w:hint="eastAsia" w:ascii="仿宋_GB2312" w:eastAsia="仿宋_GB2312"/>
          <w:color w:val="000000" w:themeColor="text1"/>
          <w:kern w:val="0"/>
          <w:sz w:val="32"/>
          <w:szCs w:val="32"/>
        </w:rPr>
        <w:t>（款）机关事业单位基本养老保险缴费支出（项）：指机关事业单位实施养老保险制度由单位缴纳的基本养老保险费支出。</w:t>
      </w:r>
    </w:p>
    <w:p>
      <w:pPr>
        <w:numPr>
          <w:ilvl w:val="0"/>
          <w:numId w:val="4"/>
        </w:numPr>
        <w:adjustRightInd w:val="0"/>
        <w:snapToGrid w:val="0"/>
        <w:spacing w:line="556" w:lineRule="exact"/>
        <w:ind w:left="0" w:leftChars="0" w:firstLine="400" w:firstLineChars="0"/>
        <w:rPr>
          <w:rFonts w:ascii="仿宋_GB2312" w:eastAsia="仿宋_GB2312"/>
          <w:color w:val="000000" w:themeColor="text1"/>
          <w:kern w:val="0"/>
          <w:sz w:val="32"/>
          <w:szCs w:val="32"/>
        </w:rPr>
      </w:pPr>
      <w:r>
        <w:rPr>
          <w:rStyle w:val="16"/>
          <w:rFonts w:hint="eastAsia" w:ascii="仿宋_GB2312" w:eastAsia="仿宋_GB2312"/>
          <w:b w:val="0"/>
          <w:bCs/>
          <w:color w:val="000000" w:themeColor="text1"/>
          <w:sz w:val="32"/>
          <w:szCs w:val="32"/>
        </w:rPr>
        <w:t>社会保障和就业（类）人力资源和社会保障管理事务（款）机关事业单位职业年金缴费支出（项）</w:t>
      </w:r>
      <w:r>
        <w:rPr>
          <w:rStyle w:val="16"/>
          <w:rFonts w:hint="eastAsia" w:ascii="仿宋_GB2312" w:eastAsia="仿宋_GB2312"/>
          <w:b w:val="0"/>
          <w:bCs/>
          <w:color w:val="000000" w:themeColor="text1"/>
          <w:sz w:val="32"/>
          <w:szCs w:val="32"/>
          <w:lang w:eastAsia="zh-CN"/>
        </w:rPr>
        <w:t>：</w:t>
      </w:r>
      <w:r>
        <w:rPr>
          <w:rFonts w:hint="eastAsia" w:ascii="仿宋_GB2312" w:eastAsia="仿宋_GB2312"/>
          <w:color w:val="000000" w:themeColor="text1"/>
          <w:kern w:val="0"/>
          <w:sz w:val="32"/>
          <w:szCs w:val="32"/>
        </w:rPr>
        <w:t xml:space="preserve"> 指机关事业单位实施养老保险制度由单位实际缴纳的职业年金支出</w:t>
      </w:r>
    </w:p>
    <w:p>
      <w:pPr>
        <w:numPr>
          <w:ilvl w:val="0"/>
          <w:numId w:val="4"/>
        </w:numPr>
        <w:adjustRightInd w:val="0"/>
        <w:snapToGrid w:val="0"/>
        <w:spacing w:line="556" w:lineRule="exact"/>
        <w:ind w:left="0" w:leftChars="0" w:firstLine="400" w:firstLineChars="0"/>
        <w:rPr>
          <w:rFonts w:ascii="仿宋_GB2312" w:eastAsia="仿宋_GB2312"/>
          <w:color w:val="000000" w:themeColor="text1"/>
          <w:kern w:val="0"/>
          <w:sz w:val="32"/>
          <w:szCs w:val="32"/>
        </w:rPr>
      </w:pPr>
      <w:r>
        <w:rPr>
          <w:rFonts w:hint="eastAsia" w:ascii="仿宋_GB2312" w:eastAsia="仿宋_GB2312"/>
          <w:color w:val="000000" w:themeColor="text1"/>
          <w:kern w:val="0"/>
          <w:sz w:val="32"/>
          <w:szCs w:val="32"/>
        </w:rPr>
        <w:t>社会保障和就业支出（类）其他社会保障和就业支出（款）其他社会保障和就业支出（项）：指其他用于社会保障和就业方面的支出。</w:t>
      </w:r>
    </w:p>
    <w:p>
      <w:pPr>
        <w:pStyle w:val="13"/>
        <w:numPr>
          <w:ilvl w:val="0"/>
          <w:numId w:val="4"/>
        </w:numPr>
        <w:autoSpaceDE w:val="0"/>
        <w:autoSpaceDN w:val="0"/>
        <w:adjustRightInd w:val="0"/>
        <w:snapToGrid w:val="0"/>
        <w:spacing w:line="556" w:lineRule="exact"/>
        <w:ind w:left="0" w:leftChars="0" w:firstLine="400" w:firstLineChars="0"/>
        <w:jc w:val="left"/>
        <w:rPr>
          <w:rFonts w:ascii="仿宋_GB2312" w:eastAsia="仿宋_GB2312"/>
          <w:color w:val="000000" w:themeColor="text1"/>
          <w:sz w:val="32"/>
          <w:szCs w:val="32"/>
        </w:rPr>
      </w:pPr>
      <w:r>
        <w:rPr>
          <w:rFonts w:hint="eastAsia" w:ascii="仿宋_GB2312" w:eastAsia="仿宋_GB2312"/>
          <w:color w:val="000000" w:themeColor="text1"/>
          <w:kern w:val="0"/>
          <w:sz w:val="32"/>
          <w:szCs w:val="32"/>
        </w:rPr>
        <w:t>卫生健康支出（类）行政事业单位医疗（款）事业单位医疗（项）：指财政单位安排的事业单位基本医疗保险缴费经费，未参加医疗保险的事业单位的公费医疗经费，按国家规定享受离休人员待遇的医疗经费。</w:t>
      </w:r>
    </w:p>
    <w:p>
      <w:pPr>
        <w:numPr>
          <w:ilvl w:val="0"/>
          <w:numId w:val="4"/>
        </w:numPr>
        <w:adjustRightInd w:val="0"/>
        <w:snapToGrid w:val="0"/>
        <w:spacing w:line="556" w:lineRule="exact"/>
        <w:ind w:left="0" w:leftChars="0" w:firstLine="400" w:firstLineChars="0"/>
        <w:rPr>
          <w:rFonts w:ascii="仿宋_GB2312" w:eastAsia="仿宋_GB2312"/>
          <w:color w:val="000000" w:themeColor="text1"/>
          <w:kern w:val="0"/>
          <w:sz w:val="32"/>
          <w:szCs w:val="32"/>
        </w:rPr>
      </w:pPr>
      <w:r>
        <w:rPr>
          <w:rFonts w:hint="eastAsia" w:ascii="仿宋_GB2312" w:eastAsia="仿宋_GB2312"/>
          <w:color w:val="000000" w:themeColor="text1"/>
          <w:kern w:val="0"/>
          <w:sz w:val="32"/>
          <w:szCs w:val="32"/>
        </w:rPr>
        <w:t>资源勘探工业信息等支出（类）国有资产监管（款）其他国有资产监管支出（项）：指项目以外其他用于国有资产监管方面的支出。</w:t>
      </w:r>
    </w:p>
    <w:p>
      <w:pPr>
        <w:numPr>
          <w:ilvl w:val="0"/>
          <w:numId w:val="4"/>
        </w:numPr>
        <w:adjustRightInd w:val="0"/>
        <w:snapToGrid w:val="0"/>
        <w:spacing w:line="556" w:lineRule="exact"/>
        <w:ind w:left="0" w:leftChars="0" w:firstLine="400" w:firstLineChars="0"/>
        <w:rPr>
          <w:rFonts w:ascii="仿宋_GB2312" w:eastAsia="仿宋_GB2312"/>
          <w:color w:val="000000" w:themeColor="text1"/>
          <w:kern w:val="0"/>
          <w:sz w:val="32"/>
          <w:szCs w:val="32"/>
        </w:rPr>
      </w:pPr>
      <w:r>
        <w:rPr>
          <w:rFonts w:hint="eastAsia" w:ascii="仿宋_GB2312" w:eastAsia="仿宋_GB2312"/>
          <w:color w:val="000000" w:themeColor="text1"/>
          <w:kern w:val="0"/>
          <w:sz w:val="32"/>
          <w:szCs w:val="32"/>
        </w:rPr>
        <w:t>住房保障支出（类）住房改革支出（款）住房公积金（项）：指行政事业单位按人力资源和社会保障部、财政部规定的基本工资和津贴补贴以及规定比例为职工缴纳住房公积金。</w:t>
      </w:r>
    </w:p>
    <w:p>
      <w:pPr>
        <w:numPr>
          <w:ilvl w:val="0"/>
          <w:numId w:val="4"/>
        </w:numPr>
        <w:adjustRightInd w:val="0"/>
        <w:snapToGrid w:val="0"/>
        <w:spacing w:line="556" w:lineRule="exact"/>
        <w:ind w:left="0" w:leftChars="0" w:firstLine="400" w:firstLineChars="0"/>
        <w:rPr>
          <w:rFonts w:ascii="仿宋_GB2312" w:eastAsia="仿宋_GB2312"/>
          <w:color w:val="000000" w:themeColor="text1"/>
          <w:sz w:val="32"/>
          <w:szCs w:val="32"/>
        </w:rPr>
      </w:pPr>
      <w:r>
        <w:rPr>
          <w:rFonts w:hint="eastAsia" w:ascii="仿宋_GB2312" w:eastAsia="仿宋_GB2312"/>
          <w:color w:val="000000" w:themeColor="text1"/>
          <w:sz w:val="32"/>
          <w:szCs w:val="32"/>
        </w:rPr>
        <w:t>基本支出：指为保障机构正常运转、完成日常工作任务而发生的人员支出和公用支出。</w:t>
      </w:r>
    </w:p>
    <w:p>
      <w:pPr>
        <w:numPr>
          <w:ilvl w:val="0"/>
          <w:numId w:val="4"/>
        </w:numPr>
        <w:adjustRightInd w:val="0"/>
        <w:snapToGrid w:val="0"/>
        <w:spacing w:line="556" w:lineRule="exact"/>
        <w:ind w:left="0" w:leftChars="0" w:firstLine="400" w:firstLineChars="0"/>
        <w:rPr>
          <w:rFonts w:ascii="仿宋_GB2312" w:eastAsia="仿宋_GB2312"/>
          <w:color w:val="000000" w:themeColor="text1"/>
          <w:sz w:val="32"/>
          <w:szCs w:val="32"/>
        </w:rPr>
      </w:pPr>
      <w:r>
        <w:rPr>
          <w:rFonts w:hint="eastAsia" w:ascii="仿宋_GB2312" w:eastAsia="仿宋_GB2312"/>
          <w:color w:val="000000" w:themeColor="text1"/>
          <w:sz w:val="32"/>
          <w:szCs w:val="32"/>
        </w:rPr>
        <w:t>项目支出：指在基本支出之外为完成特定行政任务和事业发展目标所发生的支出。</w:t>
      </w:r>
    </w:p>
    <w:p>
      <w:pPr>
        <w:pStyle w:val="13"/>
        <w:numPr>
          <w:ilvl w:val="0"/>
          <w:numId w:val="4"/>
        </w:numPr>
        <w:autoSpaceDE w:val="0"/>
        <w:autoSpaceDN w:val="0"/>
        <w:adjustRightInd w:val="0"/>
        <w:snapToGrid w:val="0"/>
        <w:spacing w:line="556" w:lineRule="exact"/>
        <w:ind w:left="0" w:leftChars="0" w:firstLine="400" w:firstLineChars="0"/>
        <w:jc w:val="left"/>
        <w:rPr>
          <w:rFonts w:ascii="仿宋_GB2312" w:eastAsia="仿宋_GB2312"/>
          <w:color w:val="000000" w:themeColor="text1"/>
          <w:sz w:val="32"/>
          <w:szCs w:val="32"/>
        </w:rPr>
      </w:pPr>
      <w:r>
        <w:rPr>
          <w:rFonts w:hint="eastAsia" w:ascii="仿宋_GB2312" w:eastAsia="仿宋_GB2312"/>
          <w:color w:val="000000" w:themeColor="text1"/>
          <w:kern w:val="0"/>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eastAsia="仿宋_GB2312"/>
          <w:color w:val="000000" w:themeColor="text1"/>
          <w:sz w:val="32"/>
          <w:szCs w:val="32"/>
        </w:rPr>
        <w:t>。</w:t>
      </w:r>
    </w:p>
    <w:p>
      <w:pPr>
        <w:pStyle w:val="13"/>
        <w:autoSpaceDE w:val="0"/>
        <w:autoSpaceDN w:val="0"/>
        <w:adjustRightInd w:val="0"/>
        <w:snapToGrid w:val="0"/>
        <w:spacing w:line="556" w:lineRule="exact"/>
        <w:ind w:firstLine="640" w:firstLineChars="200"/>
        <w:jc w:val="left"/>
        <w:rPr>
          <w:rFonts w:ascii="仿宋_GB2312" w:eastAsia="仿宋_GB2312"/>
          <w:color w:val="000000" w:themeColor="text1"/>
          <w:sz w:val="32"/>
          <w:szCs w:val="32"/>
        </w:rPr>
      </w:pPr>
    </w:p>
    <w:p>
      <w:pPr>
        <w:spacing w:line="600" w:lineRule="exact"/>
        <w:ind w:firstLine="2640" w:firstLineChars="600"/>
        <w:outlineLvl w:val="0"/>
        <w:rPr>
          <w:rStyle w:val="19"/>
          <w:rFonts w:ascii="黑体" w:hAnsi="黑体" w:eastAsia="黑体"/>
          <w:b w:val="0"/>
        </w:rPr>
      </w:pPr>
      <w:bookmarkStart w:id="73" w:name="_Toc12828"/>
      <w:bookmarkStart w:id="74" w:name="_Toc15396614"/>
      <w:r>
        <w:rPr>
          <w:rFonts w:hint="eastAsia" w:ascii="黑体" w:hAnsi="黑体" w:eastAsia="黑体"/>
          <w:sz w:val="44"/>
          <w:szCs w:val="44"/>
        </w:rPr>
        <w:t>第</w:t>
      </w:r>
      <w:r>
        <w:rPr>
          <w:rStyle w:val="19"/>
          <w:rFonts w:hint="eastAsia" w:ascii="黑体" w:hAnsi="黑体" w:eastAsia="黑体"/>
          <w:b w:val="0"/>
        </w:rPr>
        <w:t>四部分 附件</w:t>
      </w:r>
      <w:bookmarkEnd w:id="73"/>
      <w:bookmarkEnd w:id="74"/>
    </w:p>
    <w:p>
      <w:pPr>
        <w:pStyle w:val="13"/>
        <w:autoSpaceDE w:val="0"/>
        <w:autoSpaceDN w:val="0"/>
        <w:adjustRightInd w:val="0"/>
        <w:snapToGrid w:val="0"/>
        <w:spacing w:line="556" w:lineRule="exact"/>
        <w:ind w:firstLine="640" w:firstLineChars="200"/>
        <w:jc w:val="left"/>
        <w:rPr>
          <w:rFonts w:ascii="仿宋_GB2312" w:eastAsia="仿宋_GB2312"/>
          <w:color w:val="000000" w:themeColor="text1"/>
          <w:kern w:val="0"/>
          <w:sz w:val="32"/>
          <w:szCs w:val="32"/>
        </w:rPr>
      </w:pPr>
    </w:p>
    <w:p>
      <w:pPr>
        <w:pStyle w:val="13"/>
        <w:autoSpaceDE w:val="0"/>
        <w:autoSpaceDN w:val="0"/>
        <w:adjustRightInd w:val="0"/>
        <w:snapToGrid w:val="0"/>
        <w:spacing w:line="556" w:lineRule="exact"/>
        <w:ind w:firstLine="642" w:firstLineChars="200"/>
        <w:jc w:val="left"/>
        <w:rPr>
          <w:rFonts w:ascii="仿宋_GB2312" w:eastAsia="仿宋_GB2312"/>
          <w:b/>
          <w:color w:val="000000" w:themeColor="text1"/>
          <w:kern w:val="0"/>
          <w:sz w:val="32"/>
          <w:szCs w:val="32"/>
        </w:rPr>
        <w:sectPr>
          <w:footerReference r:id="rId5" w:type="first"/>
          <w:footerReference r:id="rId4" w:type="default"/>
          <w:pgSz w:w="11906" w:h="16838"/>
          <w:pgMar w:top="1440" w:right="1800" w:bottom="1440" w:left="1800" w:header="851" w:footer="992" w:gutter="0"/>
          <w:pgNumType w:fmt="decimal" w:start="1"/>
          <w:cols w:space="425" w:num="1"/>
          <w:titlePg/>
          <w:docGrid w:type="lines" w:linePitch="312" w:charSpace="0"/>
        </w:sectPr>
      </w:pPr>
      <w:r>
        <w:rPr>
          <w:rFonts w:hint="eastAsia" w:ascii="仿宋_GB2312" w:eastAsia="仿宋_GB2312"/>
          <w:b/>
          <w:color w:val="000000" w:themeColor="text1"/>
          <w:kern w:val="0"/>
          <w:sz w:val="32"/>
          <w:szCs w:val="32"/>
        </w:rPr>
        <w:t>部门预算项目支出绩效自评表（2023年度）</w:t>
      </w:r>
    </w:p>
    <w:p>
      <w:pPr>
        <w:spacing w:line="600" w:lineRule="exact"/>
        <w:jc w:val="center"/>
        <w:outlineLvl w:val="0"/>
        <w:rPr>
          <w:rStyle w:val="19"/>
          <w:rFonts w:ascii="黑体" w:hAnsi="黑体" w:eastAsia="黑体"/>
          <w:b w:val="0"/>
        </w:rPr>
      </w:pPr>
      <w:bookmarkStart w:id="75" w:name="_Toc15377226"/>
      <w:bookmarkStart w:id="76" w:name="_Toc12126"/>
      <w:bookmarkStart w:id="77" w:name="_Toc15396618"/>
      <w:r>
        <w:rPr>
          <w:rFonts w:hint="eastAsia" w:ascii="黑体" w:hAnsi="黑体" w:eastAsia="黑体"/>
          <w:sz w:val="44"/>
          <w:szCs w:val="44"/>
        </w:rPr>
        <w:t>第</w:t>
      </w:r>
      <w:r>
        <w:rPr>
          <w:rStyle w:val="19"/>
          <w:rFonts w:hint="eastAsia" w:ascii="黑体" w:hAnsi="黑体" w:eastAsia="黑体"/>
          <w:b w:val="0"/>
        </w:rPr>
        <w:t>五部分 附表</w:t>
      </w:r>
      <w:bookmarkEnd w:id="75"/>
      <w:bookmarkEnd w:id="76"/>
      <w:bookmarkEnd w:id="77"/>
      <w:bookmarkStart w:id="78" w:name="_Toc15396619"/>
    </w:p>
    <w:p>
      <w:pPr>
        <w:spacing w:line="600" w:lineRule="exact"/>
        <w:outlineLvl w:val="9"/>
        <w:rPr>
          <w:rStyle w:val="19"/>
          <w:rFonts w:ascii="黑体" w:hAnsi="黑体" w:eastAsia="黑体"/>
          <w:b w:val="0"/>
        </w:rPr>
      </w:pPr>
    </w:p>
    <w:p>
      <w:pPr>
        <w:adjustRightInd w:val="0"/>
        <w:snapToGrid w:val="0"/>
        <w:spacing w:line="600" w:lineRule="exact"/>
        <w:outlineLvl w:val="1"/>
        <w:rPr>
          <w:rFonts w:ascii="楷体_GB2312" w:hAnsi="仿宋" w:eastAsia="楷体_GB2312"/>
          <w:sz w:val="32"/>
          <w:szCs w:val="32"/>
        </w:rPr>
      </w:pPr>
      <w:bookmarkStart w:id="79" w:name="_Toc11958"/>
      <w:r>
        <w:rPr>
          <w:rFonts w:hint="eastAsia" w:ascii="楷体_GB2312" w:hAnsi="仿宋" w:eastAsia="楷体_GB2312"/>
          <w:sz w:val="32"/>
          <w:szCs w:val="32"/>
        </w:rPr>
        <w:t>一、收</w:t>
      </w:r>
      <w:r>
        <w:rPr>
          <w:rStyle w:val="20"/>
          <w:rFonts w:hint="eastAsia" w:ascii="楷体_GB2312" w:hAnsi="仿宋" w:eastAsia="楷体_GB2312"/>
          <w:b w:val="0"/>
        </w:rPr>
        <w:t>入支出决算总表</w:t>
      </w:r>
      <w:bookmarkEnd w:id="78"/>
      <w:bookmarkEnd w:id="79"/>
    </w:p>
    <w:p>
      <w:pPr>
        <w:pStyle w:val="4"/>
        <w:keepNext w:val="0"/>
        <w:keepLines w:val="0"/>
        <w:adjustRightInd w:val="0"/>
        <w:snapToGrid w:val="0"/>
        <w:spacing w:before="0" w:after="0" w:line="600" w:lineRule="exact"/>
        <w:rPr>
          <w:rFonts w:ascii="楷体_GB2312" w:hAnsi="仿宋" w:eastAsia="楷体_GB2312"/>
        </w:rPr>
      </w:pPr>
      <w:bookmarkStart w:id="80" w:name="_Toc15396620"/>
      <w:bookmarkStart w:id="81" w:name="_Toc31242"/>
      <w:r>
        <w:rPr>
          <w:rFonts w:hint="eastAsia" w:ascii="楷体_GB2312" w:hAnsi="仿宋" w:eastAsia="楷体_GB2312"/>
          <w:b w:val="0"/>
        </w:rPr>
        <w:t>二、收</w:t>
      </w:r>
      <w:r>
        <w:rPr>
          <w:rStyle w:val="20"/>
          <w:rFonts w:hint="eastAsia" w:ascii="楷体_GB2312" w:hAnsi="仿宋" w:eastAsia="楷体_GB2312"/>
          <w:b w:val="0"/>
          <w:bCs w:val="0"/>
        </w:rPr>
        <w:t>入决算表</w:t>
      </w:r>
      <w:bookmarkEnd w:id="80"/>
      <w:bookmarkEnd w:id="81"/>
    </w:p>
    <w:p>
      <w:pPr>
        <w:pStyle w:val="4"/>
        <w:keepNext w:val="0"/>
        <w:keepLines w:val="0"/>
        <w:adjustRightInd w:val="0"/>
        <w:snapToGrid w:val="0"/>
        <w:spacing w:before="0" w:after="0" w:line="600" w:lineRule="exact"/>
        <w:rPr>
          <w:rFonts w:ascii="楷体_GB2312" w:hAnsi="仿宋" w:eastAsia="楷体_GB2312"/>
        </w:rPr>
      </w:pPr>
      <w:bookmarkStart w:id="82" w:name="_Toc15396621"/>
      <w:bookmarkStart w:id="83" w:name="_Toc28647"/>
      <w:r>
        <w:rPr>
          <w:rStyle w:val="20"/>
          <w:rFonts w:hint="eastAsia" w:ascii="楷体_GB2312" w:hAnsi="仿宋" w:eastAsia="楷体_GB2312"/>
          <w:b w:val="0"/>
          <w:bCs w:val="0"/>
        </w:rPr>
        <w:t>三、</w:t>
      </w:r>
      <w:r>
        <w:rPr>
          <w:rFonts w:hint="eastAsia" w:ascii="楷体_GB2312" w:hAnsi="仿宋" w:eastAsia="楷体_GB2312"/>
          <w:b w:val="0"/>
        </w:rPr>
        <w:t>支</w:t>
      </w:r>
      <w:r>
        <w:rPr>
          <w:rStyle w:val="20"/>
          <w:rFonts w:hint="eastAsia" w:ascii="楷体_GB2312" w:hAnsi="仿宋" w:eastAsia="楷体_GB2312"/>
          <w:b w:val="0"/>
          <w:bCs w:val="0"/>
        </w:rPr>
        <w:t>出决算表</w:t>
      </w:r>
      <w:bookmarkEnd w:id="82"/>
      <w:bookmarkEnd w:id="83"/>
    </w:p>
    <w:p>
      <w:pPr>
        <w:pStyle w:val="4"/>
        <w:keepNext w:val="0"/>
        <w:keepLines w:val="0"/>
        <w:adjustRightInd w:val="0"/>
        <w:snapToGrid w:val="0"/>
        <w:spacing w:before="0" w:after="0" w:line="600" w:lineRule="exact"/>
        <w:rPr>
          <w:rFonts w:ascii="楷体_GB2312" w:hAnsi="仿宋" w:eastAsia="楷体_GB2312"/>
          <w:b w:val="0"/>
        </w:rPr>
      </w:pPr>
      <w:bookmarkStart w:id="84" w:name="_Toc10990"/>
      <w:bookmarkStart w:id="85" w:name="_Toc15396622"/>
      <w:r>
        <w:rPr>
          <w:rStyle w:val="20"/>
          <w:rFonts w:hint="eastAsia" w:ascii="楷体_GB2312" w:hAnsi="仿宋" w:eastAsia="楷体_GB2312"/>
          <w:b w:val="0"/>
          <w:bCs w:val="0"/>
        </w:rPr>
        <w:t>四、</w:t>
      </w:r>
      <w:r>
        <w:rPr>
          <w:rFonts w:hint="eastAsia" w:ascii="楷体_GB2312" w:hAnsi="仿宋" w:eastAsia="楷体_GB2312"/>
          <w:b w:val="0"/>
        </w:rPr>
        <w:t>财</w:t>
      </w:r>
      <w:r>
        <w:rPr>
          <w:rStyle w:val="20"/>
          <w:rFonts w:hint="eastAsia" w:ascii="楷体_GB2312" w:hAnsi="仿宋" w:eastAsia="楷体_GB2312"/>
          <w:b w:val="0"/>
          <w:bCs w:val="0"/>
        </w:rPr>
        <w:t>政拨款收入支出决算总表</w:t>
      </w:r>
      <w:bookmarkEnd w:id="84"/>
      <w:bookmarkEnd w:id="85"/>
    </w:p>
    <w:p>
      <w:pPr>
        <w:pStyle w:val="4"/>
        <w:keepNext w:val="0"/>
        <w:keepLines w:val="0"/>
        <w:adjustRightInd w:val="0"/>
        <w:snapToGrid w:val="0"/>
        <w:spacing w:before="0" w:after="0" w:line="600" w:lineRule="exact"/>
        <w:rPr>
          <w:rStyle w:val="20"/>
          <w:rFonts w:ascii="楷体_GB2312" w:hAnsi="仿宋" w:eastAsia="楷体_GB2312"/>
          <w:b w:val="0"/>
          <w:bCs w:val="0"/>
        </w:rPr>
      </w:pPr>
      <w:bookmarkStart w:id="86" w:name="_Toc15396623"/>
      <w:bookmarkStart w:id="87" w:name="_Toc30575"/>
      <w:r>
        <w:rPr>
          <w:rStyle w:val="20"/>
          <w:rFonts w:hint="eastAsia" w:ascii="楷体_GB2312" w:hAnsi="仿宋" w:eastAsia="楷体_GB2312"/>
          <w:b w:val="0"/>
          <w:bCs w:val="0"/>
        </w:rPr>
        <w:t>五、</w:t>
      </w:r>
      <w:r>
        <w:rPr>
          <w:rFonts w:hint="eastAsia" w:ascii="楷体_GB2312" w:hAnsi="仿宋" w:eastAsia="楷体_GB2312"/>
          <w:b w:val="0"/>
        </w:rPr>
        <w:t>财</w:t>
      </w:r>
      <w:r>
        <w:rPr>
          <w:rStyle w:val="20"/>
          <w:rFonts w:hint="eastAsia" w:ascii="楷体_GB2312" w:hAnsi="仿宋" w:eastAsia="楷体_GB2312"/>
          <w:b w:val="0"/>
          <w:bCs w:val="0"/>
        </w:rPr>
        <w:t>政拨款支出决算明细表</w:t>
      </w:r>
      <w:bookmarkEnd w:id="86"/>
      <w:bookmarkEnd w:id="87"/>
      <w:bookmarkStart w:id="88" w:name="_Toc15396624"/>
    </w:p>
    <w:p>
      <w:pPr>
        <w:pStyle w:val="4"/>
        <w:keepNext w:val="0"/>
        <w:keepLines w:val="0"/>
        <w:adjustRightInd w:val="0"/>
        <w:snapToGrid w:val="0"/>
        <w:spacing w:before="0" w:after="0" w:line="600" w:lineRule="exact"/>
        <w:rPr>
          <w:rFonts w:ascii="楷体_GB2312" w:hAnsi="仿宋" w:eastAsia="楷体_GB2312"/>
        </w:rPr>
      </w:pPr>
      <w:bookmarkStart w:id="89" w:name="_Toc24285"/>
      <w:r>
        <w:rPr>
          <w:rStyle w:val="20"/>
          <w:rFonts w:hint="eastAsia" w:ascii="楷体_GB2312" w:hAnsi="仿宋" w:eastAsia="楷体_GB2312"/>
          <w:b w:val="0"/>
          <w:bCs w:val="0"/>
        </w:rPr>
        <w:t>六、</w:t>
      </w:r>
      <w:r>
        <w:rPr>
          <w:rFonts w:hint="eastAsia" w:ascii="楷体_GB2312" w:hAnsi="仿宋" w:eastAsia="楷体_GB2312"/>
          <w:b w:val="0"/>
        </w:rPr>
        <w:t>一</w:t>
      </w:r>
      <w:r>
        <w:rPr>
          <w:rStyle w:val="20"/>
          <w:rFonts w:hint="eastAsia" w:ascii="楷体_GB2312" w:hAnsi="仿宋" w:eastAsia="楷体_GB2312"/>
          <w:b w:val="0"/>
          <w:bCs w:val="0"/>
        </w:rPr>
        <w:t>般公共预算财政拨款支出决算表</w:t>
      </w:r>
      <w:bookmarkEnd w:id="88"/>
      <w:bookmarkEnd w:id="89"/>
    </w:p>
    <w:p>
      <w:pPr>
        <w:pStyle w:val="4"/>
        <w:keepNext w:val="0"/>
        <w:keepLines w:val="0"/>
        <w:adjustRightInd w:val="0"/>
        <w:snapToGrid w:val="0"/>
        <w:spacing w:before="0" w:after="0" w:line="600" w:lineRule="exact"/>
        <w:rPr>
          <w:rFonts w:ascii="楷体_GB2312" w:hAnsi="仿宋" w:eastAsia="楷体_GB2312"/>
        </w:rPr>
      </w:pPr>
      <w:bookmarkStart w:id="90" w:name="_Toc15396625"/>
      <w:bookmarkStart w:id="91" w:name="_Toc12468"/>
      <w:r>
        <w:rPr>
          <w:rStyle w:val="20"/>
          <w:rFonts w:hint="eastAsia" w:ascii="楷体_GB2312" w:hAnsi="仿宋" w:eastAsia="楷体_GB2312"/>
          <w:b w:val="0"/>
          <w:bCs w:val="0"/>
        </w:rPr>
        <w:t>七、</w:t>
      </w:r>
      <w:r>
        <w:rPr>
          <w:rFonts w:hint="eastAsia" w:ascii="楷体_GB2312" w:hAnsi="仿宋" w:eastAsia="楷体_GB2312"/>
          <w:b w:val="0"/>
        </w:rPr>
        <w:t>一</w:t>
      </w:r>
      <w:r>
        <w:rPr>
          <w:rStyle w:val="20"/>
          <w:rFonts w:hint="eastAsia" w:ascii="楷体_GB2312" w:hAnsi="仿宋" w:eastAsia="楷体_GB2312"/>
          <w:b w:val="0"/>
          <w:bCs w:val="0"/>
        </w:rPr>
        <w:t>般公共预算财政拨款支出决算明细表</w:t>
      </w:r>
      <w:bookmarkEnd w:id="90"/>
      <w:bookmarkEnd w:id="91"/>
    </w:p>
    <w:p>
      <w:pPr>
        <w:pStyle w:val="4"/>
        <w:keepNext w:val="0"/>
        <w:keepLines w:val="0"/>
        <w:adjustRightInd w:val="0"/>
        <w:snapToGrid w:val="0"/>
        <w:spacing w:before="0" w:after="0" w:line="600" w:lineRule="exact"/>
        <w:rPr>
          <w:rFonts w:ascii="楷体_GB2312" w:hAnsi="仿宋" w:eastAsia="楷体_GB2312"/>
        </w:rPr>
      </w:pPr>
      <w:bookmarkStart w:id="92" w:name="_Toc5622"/>
      <w:bookmarkStart w:id="93" w:name="_Toc15396626"/>
      <w:r>
        <w:rPr>
          <w:rStyle w:val="20"/>
          <w:rFonts w:hint="eastAsia" w:ascii="楷体_GB2312" w:hAnsi="仿宋" w:eastAsia="楷体_GB2312"/>
          <w:b w:val="0"/>
          <w:bCs w:val="0"/>
        </w:rPr>
        <w:t>八、</w:t>
      </w:r>
      <w:r>
        <w:rPr>
          <w:rFonts w:hint="eastAsia" w:ascii="楷体_GB2312" w:hAnsi="仿宋" w:eastAsia="楷体_GB2312"/>
          <w:b w:val="0"/>
        </w:rPr>
        <w:t>一</w:t>
      </w:r>
      <w:r>
        <w:rPr>
          <w:rStyle w:val="20"/>
          <w:rFonts w:hint="eastAsia" w:ascii="楷体_GB2312" w:hAnsi="仿宋" w:eastAsia="楷体_GB2312"/>
          <w:b w:val="0"/>
          <w:bCs w:val="0"/>
        </w:rPr>
        <w:t>般公共预算财政拨款基本支出决算表</w:t>
      </w:r>
      <w:bookmarkEnd w:id="92"/>
      <w:bookmarkEnd w:id="93"/>
    </w:p>
    <w:p>
      <w:pPr>
        <w:pStyle w:val="4"/>
        <w:keepNext w:val="0"/>
        <w:keepLines w:val="0"/>
        <w:adjustRightInd w:val="0"/>
        <w:snapToGrid w:val="0"/>
        <w:spacing w:before="0" w:after="0" w:line="600" w:lineRule="exact"/>
        <w:rPr>
          <w:rFonts w:ascii="楷体_GB2312" w:hAnsi="仿宋" w:eastAsia="楷体_GB2312"/>
        </w:rPr>
      </w:pPr>
      <w:bookmarkStart w:id="94" w:name="_Toc15435"/>
      <w:bookmarkStart w:id="95" w:name="_Toc15396627"/>
      <w:r>
        <w:rPr>
          <w:rStyle w:val="20"/>
          <w:rFonts w:hint="eastAsia" w:ascii="楷体_GB2312" w:hAnsi="仿宋" w:eastAsia="楷体_GB2312"/>
          <w:b w:val="0"/>
          <w:bCs w:val="0"/>
        </w:rPr>
        <w:t>九、</w:t>
      </w:r>
      <w:r>
        <w:rPr>
          <w:rFonts w:hint="eastAsia" w:ascii="楷体_GB2312" w:hAnsi="仿宋" w:eastAsia="楷体_GB2312"/>
          <w:b w:val="0"/>
        </w:rPr>
        <w:t>一</w:t>
      </w:r>
      <w:r>
        <w:rPr>
          <w:rStyle w:val="20"/>
          <w:rFonts w:hint="eastAsia" w:ascii="楷体_GB2312" w:hAnsi="仿宋" w:eastAsia="楷体_GB2312"/>
          <w:b w:val="0"/>
          <w:bCs w:val="0"/>
        </w:rPr>
        <w:t>般公共预算财政拨款项目支出决算表</w:t>
      </w:r>
      <w:bookmarkEnd w:id="94"/>
      <w:bookmarkEnd w:id="95"/>
    </w:p>
    <w:p>
      <w:pPr>
        <w:pStyle w:val="4"/>
        <w:keepNext w:val="0"/>
        <w:keepLines w:val="0"/>
        <w:adjustRightInd w:val="0"/>
        <w:snapToGrid w:val="0"/>
        <w:spacing w:before="0" w:after="0" w:line="600" w:lineRule="exact"/>
        <w:rPr>
          <w:rFonts w:ascii="楷体_GB2312" w:hAnsi="仿宋" w:eastAsia="楷体_GB2312"/>
        </w:rPr>
      </w:pPr>
      <w:bookmarkStart w:id="96" w:name="_Toc15396628"/>
      <w:bookmarkStart w:id="97" w:name="_Toc21418"/>
      <w:r>
        <w:rPr>
          <w:rStyle w:val="20"/>
          <w:rFonts w:hint="eastAsia" w:ascii="楷体_GB2312" w:hAnsi="仿宋" w:eastAsia="楷体_GB2312"/>
          <w:b w:val="0"/>
          <w:bCs w:val="0"/>
        </w:rPr>
        <w:t>十、</w:t>
      </w:r>
      <w:bookmarkEnd w:id="96"/>
      <w:r>
        <w:rPr>
          <w:rFonts w:hint="eastAsia" w:ascii="楷体_GB2312" w:hAnsi="仿宋" w:eastAsia="楷体_GB2312"/>
          <w:b w:val="0"/>
        </w:rPr>
        <w:t>政</w:t>
      </w:r>
      <w:r>
        <w:rPr>
          <w:rStyle w:val="20"/>
          <w:rFonts w:hint="eastAsia" w:ascii="楷体_GB2312" w:hAnsi="仿宋" w:eastAsia="楷体_GB2312"/>
          <w:b w:val="0"/>
          <w:bCs w:val="0"/>
        </w:rPr>
        <w:t>府性基金预算财政拨款收入支出决算表</w:t>
      </w:r>
      <w:bookmarkEnd w:id="97"/>
    </w:p>
    <w:p>
      <w:pPr>
        <w:pStyle w:val="4"/>
        <w:keepNext w:val="0"/>
        <w:keepLines w:val="0"/>
        <w:adjustRightInd w:val="0"/>
        <w:snapToGrid w:val="0"/>
        <w:spacing w:before="0" w:after="0" w:line="600" w:lineRule="exact"/>
        <w:rPr>
          <w:rFonts w:ascii="楷体_GB2312" w:hAnsi="仿宋" w:eastAsia="楷体_GB2312"/>
        </w:rPr>
      </w:pPr>
      <w:bookmarkStart w:id="98" w:name="_Toc15396629"/>
      <w:bookmarkStart w:id="99" w:name="_Toc2150"/>
      <w:r>
        <w:rPr>
          <w:rStyle w:val="20"/>
          <w:rFonts w:hint="eastAsia" w:ascii="楷体_GB2312" w:hAnsi="仿宋" w:eastAsia="楷体_GB2312"/>
          <w:b w:val="0"/>
          <w:bCs w:val="0"/>
        </w:rPr>
        <w:t>十一、</w:t>
      </w:r>
      <w:bookmarkEnd w:id="98"/>
      <w:r>
        <w:rPr>
          <w:rFonts w:hint="eastAsia" w:ascii="楷体_GB2312" w:hAnsi="仿宋" w:eastAsia="楷体_GB2312"/>
          <w:b w:val="0"/>
        </w:rPr>
        <w:t>国</w:t>
      </w:r>
      <w:r>
        <w:rPr>
          <w:rStyle w:val="20"/>
          <w:rFonts w:hint="eastAsia" w:ascii="楷体_GB2312" w:hAnsi="仿宋" w:eastAsia="楷体_GB2312"/>
          <w:b w:val="0"/>
          <w:bCs w:val="0"/>
        </w:rPr>
        <w:t>有资本经营预算财政拨款收入支出决算表</w:t>
      </w:r>
      <w:bookmarkEnd w:id="99"/>
    </w:p>
    <w:p>
      <w:pPr>
        <w:pStyle w:val="4"/>
        <w:keepNext w:val="0"/>
        <w:keepLines w:val="0"/>
        <w:adjustRightInd w:val="0"/>
        <w:snapToGrid w:val="0"/>
        <w:spacing w:before="0" w:after="0" w:line="600" w:lineRule="exact"/>
        <w:rPr>
          <w:rFonts w:ascii="楷体_GB2312" w:hAnsi="仿宋" w:eastAsia="楷体_GB2312"/>
        </w:rPr>
      </w:pPr>
      <w:bookmarkStart w:id="100" w:name="_Toc15396630"/>
      <w:bookmarkStart w:id="101" w:name="_Toc27614"/>
      <w:r>
        <w:rPr>
          <w:rStyle w:val="20"/>
          <w:rFonts w:hint="eastAsia" w:ascii="楷体_GB2312" w:hAnsi="仿宋" w:eastAsia="楷体_GB2312"/>
          <w:b w:val="0"/>
          <w:bCs w:val="0"/>
        </w:rPr>
        <w:t>十二、</w:t>
      </w:r>
      <w:bookmarkEnd w:id="100"/>
      <w:r>
        <w:rPr>
          <w:rStyle w:val="20"/>
          <w:rFonts w:hint="eastAsia" w:ascii="楷体_GB2312" w:hAnsi="仿宋" w:eastAsia="楷体_GB2312"/>
          <w:b w:val="0"/>
          <w:bCs w:val="0"/>
        </w:rPr>
        <w:t>国有资本经营预算财政拨款支出决算表</w:t>
      </w:r>
      <w:bookmarkEnd w:id="101"/>
    </w:p>
    <w:p>
      <w:pPr>
        <w:pStyle w:val="4"/>
        <w:keepNext w:val="0"/>
        <w:keepLines w:val="0"/>
        <w:adjustRightInd w:val="0"/>
        <w:snapToGrid w:val="0"/>
        <w:spacing w:before="0" w:after="0" w:line="600" w:lineRule="exact"/>
        <w:rPr>
          <w:rFonts w:ascii="楷体_GB2312" w:eastAsia="楷体_GB2312"/>
        </w:rPr>
      </w:pPr>
      <w:bookmarkStart w:id="102" w:name="_Toc15396631"/>
      <w:bookmarkStart w:id="103" w:name="_Toc9699"/>
      <w:r>
        <w:rPr>
          <w:rStyle w:val="20"/>
          <w:rFonts w:hint="eastAsia" w:ascii="楷体_GB2312" w:hAnsi="仿宋" w:eastAsia="楷体_GB2312"/>
          <w:b w:val="0"/>
          <w:bCs w:val="0"/>
        </w:rPr>
        <w:t>十三、</w:t>
      </w:r>
      <w:bookmarkEnd w:id="102"/>
      <w:r>
        <w:rPr>
          <w:rStyle w:val="20"/>
          <w:rFonts w:hint="eastAsia" w:ascii="楷体_GB2312" w:hAnsi="仿宋" w:eastAsia="楷体_GB2312"/>
          <w:b w:val="0"/>
          <w:bCs w:val="0"/>
        </w:rPr>
        <w:t>财政拨款“三公”经费支出决算表</w:t>
      </w:r>
      <w:bookmarkEnd w:id="103"/>
    </w:p>
    <w:sectPr>
      <w:pgSz w:w="11906" w:h="16838"/>
      <w:pgMar w:top="1440" w:right="1797" w:bottom="1440" w:left="1797" w:header="851"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微软雅黑">
    <w:altName w:val="黑体"/>
    <w:panose1 w:val="020B0503020204020204"/>
    <w:charset w:val="86"/>
    <w:family w:val="swiss"/>
    <w:pitch w:val="default"/>
    <w:sig w:usb0="00000000" w:usb1="00000000" w:usb2="00000016" w:usb3="00000000" w:csb0="0004001F" w:csb1="00000000"/>
  </w:font>
  <w:font w:name="方正小标宋简体">
    <w:panose1 w:val="02000000000000000000"/>
    <w:charset w:val="86"/>
    <w:family w:val="script"/>
    <w:pitch w:val="default"/>
    <w:sig w:usb0="A00002BF" w:usb1="184F6CFA" w:usb2="00000012"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w:pict>
        <v:shape id="_x0000_s3074" o:spid="_x0000_s3074"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F54D4345"/>
    <w:multiLevelType w:val="singleLevel"/>
    <w:tmpl w:val="F54D4345"/>
    <w:lvl w:ilvl="0" w:tentative="0">
      <w:start w:val="1"/>
      <w:numFmt w:val="decimal"/>
      <w:suff w:val="nothing"/>
      <w:lvlText w:val="%1．"/>
      <w:lvlJc w:val="left"/>
      <w:pPr>
        <w:ind w:left="0" w:firstLine="400"/>
      </w:pPr>
      <w:rPr>
        <w:rFonts w:hint="default"/>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64E68FAB"/>
    <w:multiLevelType w:val="singleLevel"/>
    <w:tmpl w:val="64E68FAB"/>
    <w:lvl w:ilvl="0" w:tentative="0">
      <w:start w:val="1"/>
      <w:numFmt w:val="decimal"/>
      <w:suff w:val="nothing"/>
      <w:lvlText w:val="%1．"/>
      <w:lvlJc w:val="left"/>
      <w:pPr>
        <w:ind w:left="0" w:firstLine="400"/>
      </w:pPr>
      <w:rPr>
        <w:rFont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c2ZGZiNzZiNDVlOGViOWVmM2JhOTY0NGJkNjUyYzgifQ=="/>
  </w:docVars>
  <w:rsids>
    <w:rsidRoot w:val="00F1361C"/>
    <w:rsid w:val="00001D44"/>
    <w:rsid w:val="00010CC6"/>
    <w:rsid w:val="00020553"/>
    <w:rsid w:val="000222C6"/>
    <w:rsid w:val="00025228"/>
    <w:rsid w:val="0002549F"/>
    <w:rsid w:val="00033DC1"/>
    <w:rsid w:val="000468DB"/>
    <w:rsid w:val="000610A9"/>
    <w:rsid w:val="00061BC6"/>
    <w:rsid w:val="0006487A"/>
    <w:rsid w:val="00065F8F"/>
    <w:rsid w:val="00070A43"/>
    <w:rsid w:val="00071AAA"/>
    <w:rsid w:val="000768F2"/>
    <w:rsid w:val="00080FC4"/>
    <w:rsid w:val="000916E5"/>
    <w:rsid w:val="0009184B"/>
    <w:rsid w:val="00094236"/>
    <w:rsid w:val="0009593C"/>
    <w:rsid w:val="00097322"/>
    <w:rsid w:val="000973CD"/>
    <w:rsid w:val="000A6A92"/>
    <w:rsid w:val="000B047F"/>
    <w:rsid w:val="000B4BF9"/>
    <w:rsid w:val="000B5923"/>
    <w:rsid w:val="000B5A48"/>
    <w:rsid w:val="000B6FF3"/>
    <w:rsid w:val="000C3467"/>
    <w:rsid w:val="000C3CA6"/>
    <w:rsid w:val="000D1267"/>
    <w:rsid w:val="000D1D50"/>
    <w:rsid w:val="000D34E4"/>
    <w:rsid w:val="000D5782"/>
    <w:rsid w:val="000D6109"/>
    <w:rsid w:val="000D702B"/>
    <w:rsid w:val="000D7525"/>
    <w:rsid w:val="000E15F6"/>
    <w:rsid w:val="000E6613"/>
    <w:rsid w:val="000E7119"/>
    <w:rsid w:val="000F5627"/>
    <w:rsid w:val="0011453A"/>
    <w:rsid w:val="00114E9B"/>
    <w:rsid w:val="00124EBE"/>
    <w:rsid w:val="00135155"/>
    <w:rsid w:val="00142216"/>
    <w:rsid w:val="001436B3"/>
    <w:rsid w:val="00144D6A"/>
    <w:rsid w:val="00145D36"/>
    <w:rsid w:val="0014729F"/>
    <w:rsid w:val="0014760F"/>
    <w:rsid w:val="00152222"/>
    <w:rsid w:val="00153CE4"/>
    <w:rsid w:val="00155D8A"/>
    <w:rsid w:val="00157BAB"/>
    <w:rsid w:val="001654D1"/>
    <w:rsid w:val="00174518"/>
    <w:rsid w:val="001771F4"/>
    <w:rsid w:val="0018106D"/>
    <w:rsid w:val="001877A7"/>
    <w:rsid w:val="00191536"/>
    <w:rsid w:val="001945DA"/>
    <w:rsid w:val="00196687"/>
    <w:rsid w:val="001A087C"/>
    <w:rsid w:val="001A4958"/>
    <w:rsid w:val="001C0962"/>
    <w:rsid w:val="001C2E25"/>
    <w:rsid w:val="001D2097"/>
    <w:rsid w:val="001D3396"/>
    <w:rsid w:val="001D7531"/>
    <w:rsid w:val="001E4A47"/>
    <w:rsid w:val="001E737D"/>
    <w:rsid w:val="001F0592"/>
    <w:rsid w:val="001F187C"/>
    <w:rsid w:val="001F74F3"/>
    <w:rsid w:val="001F7506"/>
    <w:rsid w:val="002006CD"/>
    <w:rsid w:val="00202B36"/>
    <w:rsid w:val="00204B7A"/>
    <w:rsid w:val="00204CDE"/>
    <w:rsid w:val="0021101A"/>
    <w:rsid w:val="002164A9"/>
    <w:rsid w:val="002174DB"/>
    <w:rsid w:val="00220536"/>
    <w:rsid w:val="00225ECF"/>
    <w:rsid w:val="00226970"/>
    <w:rsid w:val="00233B04"/>
    <w:rsid w:val="002341C8"/>
    <w:rsid w:val="00235629"/>
    <w:rsid w:val="00242B8D"/>
    <w:rsid w:val="00250B74"/>
    <w:rsid w:val="002548D2"/>
    <w:rsid w:val="00260C38"/>
    <w:rsid w:val="002616C0"/>
    <w:rsid w:val="00263843"/>
    <w:rsid w:val="002641BA"/>
    <w:rsid w:val="00265372"/>
    <w:rsid w:val="002662AA"/>
    <w:rsid w:val="0027295F"/>
    <w:rsid w:val="00280496"/>
    <w:rsid w:val="002827D0"/>
    <w:rsid w:val="00283682"/>
    <w:rsid w:val="00290C01"/>
    <w:rsid w:val="00294DC9"/>
    <w:rsid w:val="00295495"/>
    <w:rsid w:val="002977FF"/>
    <w:rsid w:val="002A1666"/>
    <w:rsid w:val="002A31DE"/>
    <w:rsid w:val="002B0857"/>
    <w:rsid w:val="002B2613"/>
    <w:rsid w:val="002B56F6"/>
    <w:rsid w:val="002C3C53"/>
    <w:rsid w:val="002D6D05"/>
    <w:rsid w:val="002E1AFC"/>
    <w:rsid w:val="002E5C93"/>
    <w:rsid w:val="002E77B3"/>
    <w:rsid w:val="002F1818"/>
    <w:rsid w:val="002F567B"/>
    <w:rsid w:val="002F6D26"/>
    <w:rsid w:val="003012E3"/>
    <w:rsid w:val="003216A9"/>
    <w:rsid w:val="00323272"/>
    <w:rsid w:val="0033244E"/>
    <w:rsid w:val="00335A74"/>
    <w:rsid w:val="0034260C"/>
    <w:rsid w:val="00342CE7"/>
    <w:rsid w:val="00346089"/>
    <w:rsid w:val="00347C2F"/>
    <w:rsid w:val="0035016A"/>
    <w:rsid w:val="00362E0F"/>
    <w:rsid w:val="003655EF"/>
    <w:rsid w:val="0036561B"/>
    <w:rsid w:val="00367861"/>
    <w:rsid w:val="0037013F"/>
    <w:rsid w:val="003778A0"/>
    <w:rsid w:val="00380C92"/>
    <w:rsid w:val="003A2181"/>
    <w:rsid w:val="003A2877"/>
    <w:rsid w:val="003A484F"/>
    <w:rsid w:val="003A4883"/>
    <w:rsid w:val="003B0BE0"/>
    <w:rsid w:val="003B0C1B"/>
    <w:rsid w:val="003B3E68"/>
    <w:rsid w:val="003B4A3D"/>
    <w:rsid w:val="003B5F1A"/>
    <w:rsid w:val="003B688C"/>
    <w:rsid w:val="003C0291"/>
    <w:rsid w:val="003C39AE"/>
    <w:rsid w:val="003C4B9D"/>
    <w:rsid w:val="003C4CA6"/>
    <w:rsid w:val="003C7B60"/>
    <w:rsid w:val="003D0C0F"/>
    <w:rsid w:val="003D1FB2"/>
    <w:rsid w:val="003D30E9"/>
    <w:rsid w:val="003D66DA"/>
    <w:rsid w:val="003E1310"/>
    <w:rsid w:val="003E6AA6"/>
    <w:rsid w:val="003E6F55"/>
    <w:rsid w:val="003F47CE"/>
    <w:rsid w:val="003F50D0"/>
    <w:rsid w:val="00401283"/>
    <w:rsid w:val="004018B8"/>
    <w:rsid w:val="00404FBC"/>
    <w:rsid w:val="00406254"/>
    <w:rsid w:val="004174F3"/>
    <w:rsid w:val="004223DE"/>
    <w:rsid w:val="004268EF"/>
    <w:rsid w:val="00427601"/>
    <w:rsid w:val="00434407"/>
    <w:rsid w:val="00434489"/>
    <w:rsid w:val="00437085"/>
    <w:rsid w:val="00443880"/>
    <w:rsid w:val="004464F4"/>
    <w:rsid w:val="00453421"/>
    <w:rsid w:val="0046586D"/>
    <w:rsid w:val="00465A47"/>
    <w:rsid w:val="00467EA8"/>
    <w:rsid w:val="00471401"/>
    <w:rsid w:val="00473F31"/>
    <w:rsid w:val="00481AFC"/>
    <w:rsid w:val="0048263A"/>
    <w:rsid w:val="0048799A"/>
    <w:rsid w:val="00487E5D"/>
    <w:rsid w:val="00490FC7"/>
    <w:rsid w:val="004A711F"/>
    <w:rsid w:val="004B199D"/>
    <w:rsid w:val="004B4690"/>
    <w:rsid w:val="004B4B6C"/>
    <w:rsid w:val="004C4C8A"/>
    <w:rsid w:val="004C7D59"/>
    <w:rsid w:val="004D2264"/>
    <w:rsid w:val="004D4DCC"/>
    <w:rsid w:val="004E0A2D"/>
    <w:rsid w:val="004E206B"/>
    <w:rsid w:val="004E4FB0"/>
    <w:rsid w:val="004E662F"/>
    <w:rsid w:val="004E6DF7"/>
    <w:rsid w:val="004E76AA"/>
    <w:rsid w:val="004F0FBD"/>
    <w:rsid w:val="004F1568"/>
    <w:rsid w:val="004F6902"/>
    <w:rsid w:val="00505A47"/>
    <w:rsid w:val="00505EA3"/>
    <w:rsid w:val="00512FDA"/>
    <w:rsid w:val="00520DA0"/>
    <w:rsid w:val="00525808"/>
    <w:rsid w:val="00541DC2"/>
    <w:rsid w:val="0055194A"/>
    <w:rsid w:val="00564F14"/>
    <w:rsid w:val="005664BB"/>
    <w:rsid w:val="00566FFA"/>
    <w:rsid w:val="00570EA0"/>
    <w:rsid w:val="0057481D"/>
    <w:rsid w:val="00580871"/>
    <w:rsid w:val="0058363D"/>
    <w:rsid w:val="005839DE"/>
    <w:rsid w:val="00583F90"/>
    <w:rsid w:val="0058486E"/>
    <w:rsid w:val="00585B33"/>
    <w:rsid w:val="0059014D"/>
    <w:rsid w:val="00595A0C"/>
    <w:rsid w:val="005B215F"/>
    <w:rsid w:val="005B4ECA"/>
    <w:rsid w:val="005B5C64"/>
    <w:rsid w:val="005B619D"/>
    <w:rsid w:val="005C086D"/>
    <w:rsid w:val="005C5337"/>
    <w:rsid w:val="005C6BD0"/>
    <w:rsid w:val="005D1C8B"/>
    <w:rsid w:val="005D1CEB"/>
    <w:rsid w:val="005D468D"/>
    <w:rsid w:val="005D5CED"/>
    <w:rsid w:val="005E1E3F"/>
    <w:rsid w:val="005E3107"/>
    <w:rsid w:val="005E4897"/>
    <w:rsid w:val="005F03FA"/>
    <w:rsid w:val="005F1A4C"/>
    <w:rsid w:val="006028D0"/>
    <w:rsid w:val="00605688"/>
    <w:rsid w:val="006070AF"/>
    <w:rsid w:val="00607E6C"/>
    <w:rsid w:val="006101B1"/>
    <w:rsid w:val="00610A96"/>
    <w:rsid w:val="00613149"/>
    <w:rsid w:val="00614E44"/>
    <w:rsid w:val="00614ECB"/>
    <w:rsid w:val="00622073"/>
    <w:rsid w:val="0062270A"/>
    <w:rsid w:val="00622830"/>
    <w:rsid w:val="006234D4"/>
    <w:rsid w:val="00623DA0"/>
    <w:rsid w:val="006259A7"/>
    <w:rsid w:val="00630AEF"/>
    <w:rsid w:val="006325F8"/>
    <w:rsid w:val="00633463"/>
    <w:rsid w:val="00634C9A"/>
    <w:rsid w:val="00643D30"/>
    <w:rsid w:val="006440E4"/>
    <w:rsid w:val="00644FAD"/>
    <w:rsid w:val="00645ABF"/>
    <w:rsid w:val="00647D98"/>
    <w:rsid w:val="006515D5"/>
    <w:rsid w:val="0065197A"/>
    <w:rsid w:val="00662A83"/>
    <w:rsid w:val="0066343B"/>
    <w:rsid w:val="00664777"/>
    <w:rsid w:val="0066649C"/>
    <w:rsid w:val="00673A7D"/>
    <w:rsid w:val="006748A4"/>
    <w:rsid w:val="00681A31"/>
    <w:rsid w:val="00683E73"/>
    <w:rsid w:val="00685428"/>
    <w:rsid w:val="0069257C"/>
    <w:rsid w:val="00692E0F"/>
    <w:rsid w:val="006A3141"/>
    <w:rsid w:val="006A5E34"/>
    <w:rsid w:val="006B2422"/>
    <w:rsid w:val="006B2B9A"/>
    <w:rsid w:val="006C1937"/>
    <w:rsid w:val="006E1BFD"/>
    <w:rsid w:val="006F020C"/>
    <w:rsid w:val="006F7F25"/>
    <w:rsid w:val="0070317E"/>
    <w:rsid w:val="007127B7"/>
    <w:rsid w:val="0071798E"/>
    <w:rsid w:val="00722994"/>
    <w:rsid w:val="00725A5A"/>
    <w:rsid w:val="0072705C"/>
    <w:rsid w:val="007416B6"/>
    <w:rsid w:val="00742E5A"/>
    <w:rsid w:val="00743F42"/>
    <w:rsid w:val="00746F48"/>
    <w:rsid w:val="0075404D"/>
    <w:rsid w:val="0076182A"/>
    <w:rsid w:val="00761FAD"/>
    <w:rsid w:val="00766A6F"/>
    <w:rsid w:val="00767B7E"/>
    <w:rsid w:val="007757CE"/>
    <w:rsid w:val="007770C3"/>
    <w:rsid w:val="007777BA"/>
    <w:rsid w:val="00784D24"/>
    <w:rsid w:val="00785FBA"/>
    <w:rsid w:val="007869A6"/>
    <w:rsid w:val="00786E4A"/>
    <w:rsid w:val="007875EB"/>
    <w:rsid w:val="007900CF"/>
    <w:rsid w:val="007940C9"/>
    <w:rsid w:val="0079426B"/>
    <w:rsid w:val="007A1493"/>
    <w:rsid w:val="007A4F81"/>
    <w:rsid w:val="007B40FC"/>
    <w:rsid w:val="007B7E3C"/>
    <w:rsid w:val="007C72C9"/>
    <w:rsid w:val="007D073C"/>
    <w:rsid w:val="007D1682"/>
    <w:rsid w:val="007D312A"/>
    <w:rsid w:val="007D3F19"/>
    <w:rsid w:val="007E23B0"/>
    <w:rsid w:val="007E23E5"/>
    <w:rsid w:val="007F107E"/>
    <w:rsid w:val="007F1991"/>
    <w:rsid w:val="007F29C6"/>
    <w:rsid w:val="007F2C2F"/>
    <w:rsid w:val="007F55FC"/>
    <w:rsid w:val="007F5665"/>
    <w:rsid w:val="00800112"/>
    <w:rsid w:val="0080599A"/>
    <w:rsid w:val="0080677A"/>
    <w:rsid w:val="0080798A"/>
    <w:rsid w:val="00813348"/>
    <w:rsid w:val="008249F0"/>
    <w:rsid w:val="008253BB"/>
    <w:rsid w:val="008321BC"/>
    <w:rsid w:val="008350B9"/>
    <w:rsid w:val="0083706E"/>
    <w:rsid w:val="00840784"/>
    <w:rsid w:val="008408F6"/>
    <w:rsid w:val="008423A5"/>
    <w:rsid w:val="0084432E"/>
    <w:rsid w:val="00850625"/>
    <w:rsid w:val="00853718"/>
    <w:rsid w:val="00854DCA"/>
    <w:rsid w:val="00855221"/>
    <w:rsid w:val="00855E73"/>
    <w:rsid w:val="00860645"/>
    <w:rsid w:val="00862D47"/>
    <w:rsid w:val="00871F71"/>
    <w:rsid w:val="00872FD8"/>
    <w:rsid w:val="00882017"/>
    <w:rsid w:val="00885AF4"/>
    <w:rsid w:val="00891063"/>
    <w:rsid w:val="00891376"/>
    <w:rsid w:val="00892C83"/>
    <w:rsid w:val="008939CD"/>
    <w:rsid w:val="008969F0"/>
    <w:rsid w:val="008A14BD"/>
    <w:rsid w:val="008A22D7"/>
    <w:rsid w:val="008A46AD"/>
    <w:rsid w:val="008B768C"/>
    <w:rsid w:val="008B7839"/>
    <w:rsid w:val="008C2FFF"/>
    <w:rsid w:val="008C4DB1"/>
    <w:rsid w:val="008C4EAF"/>
    <w:rsid w:val="008C5176"/>
    <w:rsid w:val="008C5EE2"/>
    <w:rsid w:val="008C7FD0"/>
    <w:rsid w:val="008E1DE7"/>
    <w:rsid w:val="008E3636"/>
    <w:rsid w:val="008E62C7"/>
    <w:rsid w:val="008E707C"/>
    <w:rsid w:val="008E7AB7"/>
    <w:rsid w:val="008F40D4"/>
    <w:rsid w:val="008F4E6B"/>
    <w:rsid w:val="00900B08"/>
    <w:rsid w:val="00902155"/>
    <w:rsid w:val="00902FA3"/>
    <w:rsid w:val="0091126C"/>
    <w:rsid w:val="00920F9C"/>
    <w:rsid w:val="00923564"/>
    <w:rsid w:val="0092392E"/>
    <w:rsid w:val="009315F9"/>
    <w:rsid w:val="00931B0C"/>
    <w:rsid w:val="00931E0A"/>
    <w:rsid w:val="00933499"/>
    <w:rsid w:val="00935C98"/>
    <w:rsid w:val="00946945"/>
    <w:rsid w:val="00951248"/>
    <w:rsid w:val="0095152F"/>
    <w:rsid w:val="00954C49"/>
    <w:rsid w:val="00955E37"/>
    <w:rsid w:val="0096327B"/>
    <w:rsid w:val="0097099F"/>
    <w:rsid w:val="00971997"/>
    <w:rsid w:val="00971FFC"/>
    <w:rsid w:val="0098651C"/>
    <w:rsid w:val="0098660A"/>
    <w:rsid w:val="009931C3"/>
    <w:rsid w:val="00993EF9"/>
    <w:rsid w:val="009A0D6C"/>
    <w:rsid w:val="009A7B36"/>
    <w:rsid w:val="009B2C43"/>
    <w:rsid w:val="009B2FA8"/>
    <w:rsid w:val="009B32DF"/>
    <w:rsid w:val="009B4EAE"/>
    <w:rsid w:val="009B7573"/>
    <w:rsid w:val="009C22F4"/>
    <w:rsid w:val="009C2A4B"/>
    <w:rsid w:val="009C2E98"/>
    <w:rsid w:val="009D043A"/>
    <w:rsid w:val="009D3447"/>
    <w:rsid w:val="009D4711"/>
    <w:rsid w:val="009D5D3F"/>
    <w:rsid w:val="009D7C3C"/>
    <w:rsid w:val="009F1185"/>
    <w:rsid w:val="009F18CD"/>
    <w:rsid w:val="009F2A13"/>
    <w:rsid w:val="009F7527"/>
    <w:rsid w:val="00A0403A"/>
    <w:rsid w:val="00A04EB0"/>
    <w:rsid w:val="00A13908"/>
    <w:rsid w:val="00A13CC1"/>
    <w:rsid w:val="00A13E22"/>
    <w:rsid w:val="00A16847"/>
    <w:rsid w:val="00A237D8"/>
    <w:rsid w:val="00A268C4"/>
    <w:rsid w:val="00A307CD"/>
    <w:rsid w:val="00A32F6D"/>
    <w:rsid w:val="00A331C8"/>
    <w:rsid w:val="00A40A00"/>
    <w:rsid w:val="00A4142F"/>
    <w:rsid w:val="00A422EB"/>
    <w:rsid w:val="00A45BB7"/>
    <w:rsid w:val="00A46951"/>
    <w:rsid w:val="00A56DF2"/>
    <w:rsid w:val="00A56E6E"/>
    <w:rsid w:val="00A66B6C"/>
    <w:rsid w:val="00A67AB5"/>
    <w:rsid w:val="00A71DDC"/>
    <w:rsid w:val="00A733B2"/>
    <w:rsid w:val="00A741C2"/>
    <w:rsid w:val="00A7691D"/>
    <w:rsid w:val="00A771FB"/>
    <w:rsid w:val="00A84C24"/>
    <w:rsid w:val="00A86A4E"/>
    <w:rsid w:val="00A87E50"/>
    <w:rsid w:val="00A91760"/>
    <w:rsid w:val="00A91E4B"/>
    <w:rsid w:val="00A93B00"/>
    <w:rsid w:val="00A93C21"/>
    <w:rsid w:val="00A954EF"/>
    <w:rsid w:val="00AA2B69"/>
    <w:rsid w:val="00AB2879"/>
    <w:rsid w:val="00AB325A"/>
    <w:rsid w:val="00AB64C9"/>
    <w:rsid w:val="00AB7F62"/>
    <w:rsid w:val="00AC3C6A"/>
    <w:rsid w:val="00AC5795"/>
    <w:rsid w:val="00AD5620"/>
    <w:rsid w:val="00AD5E50"/>
    <w:rsid w:val="00AD656B"/>
    <w:rsid w:val="00AD7C1B"/>
    <w:rsid w:val="00AE16BA"/>
    <w:rsid w:val="00AE1EBE"/>
    <w:rsid w:val="00AE5712"/>
    <w:rsid w:val="00AF3F97"/>
    <w:rsid w:val="00AF6695"/>
    <w:rsid w:val="00AF6699"/>
    <w:rsid w:val="00AF6EB1"/>
    <w:rsid w:val="00B0088C"/>
    <w:rsid w:val="00B03C9D"/>
    <w:rsid w:val="00B060AE"/>
    <w:rsid w:val="00B06ECC"/>
    <w:rsid w:val="00B10517"/>
    <w:rsid w:val="00B14753"/>
    <w:rsid w:val="00B14E76"/>
    <w:rsid w:val="00B1510D"/>
    <w:rsid w:val="00B161B8"/>
    <w:rsid w:val="00B2048C"/>
    <w:rsid w:val="00B30097"/>
    <w:rsid w:val="00B310B9"/>
    <w:rsid w:val="00B34D6F"/>
    <w:rsid w:val="00B35F3F"/>
    <w:rsid w:val="00B36CBB"/>
    <w:rsid w:val="00B425E0"/>
    <w:rsid w:val="00B440AA"/>
    <w:rsid w:val="00B44B70"/>
    <w:rsid w:val="00B53C56"/>
    <w:rsid w:val="00B5598B"/>
    <w:rsid w:val="00B57DAF"/>
    <w:rsid w:val="00B60B71"/>
    <w:rsid w:val="00B76873"/>
    <w:rsid w:val="00B77EA6"/>
    <w:rsid w:val="00B81598"/>
    <w:rsid w:val="00B81F15"/>
    <w:rsid w:val="00B839FC"/>
    <w:rsid w:val="00B841F1"/>
    <w:rsid w:val="00B9274C"/>
    <w:rsid w:val="00B944D6"/>
    <w:rsid w:val="00BA1DF0"/>
    <w:rsid w:val="00BB4159"/>
    <w:rsid w:val="00BB4DF0"/>
    <w:rsid w:val="00BC0779"/>
    <w:rsid w:val="00BC0F33"/>
    <w:rsid w:val="00BC289F"/>
    <w:rsid w:val="00BC2D50"/>
    <w:rsid w:val="00BC5361"/>
    <w:rsid w:val="00BC5460"/>
    <w:rsid w:val="00BC6B50"/>
    <w:rsid w:val="00BD0E25"/>
    <w:rsid w:val="00BD2056"/>
    <w:rsid w:val="00BD45CE"/>
    <w:rsid w:val="00BD5EB8"/>
    <w:rsid w:val="00BE7AA0"/>
    <w:rsid w:val="00BF0F9F"/>
    <w:rsid w:val="00BF24E7"/>
    <w:rsid w:val="00BF3EA9"/>
    <w:rsid w:val="00BF5BD6"/>
    <w:rsid w:val="00C00266"/>
    <w:rsid w:val="00C03E31"/>
    <w:rsid w:val="00C07298"/>
    <w:rsid w:val="00C10261"/>
    <w:rsid w:val="00C118A6"/>
    <w:rsid w:val="00C3013A"/>
    <w:rsid w:val="00C3201D"/>
    <w:rsid w:val="00C32578"/>
    <w:rsid w:val="00C33E72"/>
    <w:rsid w:val="00C34531"/>
    <w:rsid w:val="00C34C6B"/>
    <w:rsid w:val="00C354B2"/>
    <w:rsid w:val="00C35554"/>
    <w:rsid w:val="00C36713"/>
    <w:rsid w:val="00C36CF4"/>
    <w:rsid w:val="00C42709"/>
    <w:rsid w:val="00C533CC"/>
    <w:rsid w:val="00C5751C"/>
    <w:rsid w:val="00C61BFC"/>
    <w:rsid w:val="00C62B85"/>
    <w:rsid w:val="00C641C3"/>
    <w:rsid w:val="00C65438"/>
    <w:rsid w:val="00C80B39"/>
    <w:rsid w:val="00C847A6"/>
    <w:rsid w:val="00C865A0"/>
    <w:rsid w:val="00C87FD8"/>
    <w:rsid w:val="00C91381"/>
    <w:rsid w:val="00C91CBB"/>
    <w:rsid w:val="00C94036"/>
    <w:rsid w:val="00C95A58"/>
    <w:rsid w:val="00C968F1"/>
    <w:rsid w:val="00C969A6"/>
    <w:rsid w:val="00CA4ABA"/>
    <w:rsid w:val="00CA5E99"/>
    <w:rsid w:val="00CB153F"/>
    <w:rsid w:val="00CB2069"/>
    <w:rsid w:val="00CB212A"/>
    <w:rsid w:val="00CB4E70"/>
    <w:rsid w:val="00CC09B6"/>
    <w:rsid w:val="00CC666F"/>
    <w:rsid w:val="00CC7407"/>
    <w:rsid w:val="00CD1E12"/>
    <w:rsid w:val="00CD1E3F"/>
    <w:rsid w:val="00CD57DD"/>
    <w:rsid w:val="00CD7EFA"/>
    <w:rsid w:val="00CE44F6"/>
    <w:rsid w:val="00CE49DA"/>
    <w:rsid w:val="00CE7B61"/>
    <w:rsid w:val="00CF3018"/>
    <w:rsid w:val="00D00095"/>
    <w:rsid w:val="00D01EA9"/>
    <w:rsid w:val="00D1054E"/>
    <w:rsid w:val="00D1123F"/>
    <w:rsid w:val="00D114F0"/>
    <w:rsid w:val="00D20620"/>
    <w:rsid w:val="00D21A78"/>
    <w:rsid w:val="00D22678"/>
    <w:rsid w:val="00D254F7"/>
    <w:rsid w:val="00D26091"/>
    <w:rsid w:val="00D2685C"/>
    <w:rsid w:val="00D34E7C"/>
    <w:rsid w:val="00D35489"/>
    <w:rsid w:val="00D36AFE"/>
    <w:rsid w:val="00D37281"/>
    <w:rsid w:val="00D51276"/>
    <w:rsid w:val="00D62FE3"/>
    <w:rsid w:val="00D7035F"/>
    <w:rsid w:val="00D72FE5"/>
    <w:rsid w:val="00D80EAB"/>
    <w:rsid w:val="00D85192"/>
    <w:rsid w:val="00D9648F"/>
    <w:rsid w:val="00DA25FC"/>
    <w:rsid w:val="00DA2B2F"/>
    <w:rsid w:val="00DA5D06"/>
    <w:rsid w:val="00DA634F"/>
    <w:rsid w:val="00DA65AC"/>
    <w:rsid w:val="00DB1913"/>
    <w:rsid w:val="00DB658D"/>
    <w:rsid w:val="00DB7CBD"/>
    <w:rsid w:val="00DC410D"/>
    <w:rsid w:val="00DC5A81"/>
    <w:rsid w:val="00DC68CA"/>
    <w:rsid w:val="00DC7CBA"/>
    <w:rsid w:val="00DD73B7"/>
    <w:rsid w:val="00DF1613"/>
    <w:rsid w:val="00DF28BC"/>
    <w:rsid w:val="00DF34B9"/>
    <w:rsid w:val="00DF5E05"/>
    <w:rsid w:val="00DF7685"/>
    <w:rsid w:val="00E01053"/>
    <w:rsid w:val="00E0282A"/>
    <w:rsid w:val="00E07ACF"/>
    <w:rsid w:val="00E17AD4"/>
    <w:rsid w:val="00E20B6A"/>
    <w:rsid w:val="00E3123E"/>
    <w:rsid w:val="00E331A1"/>
    <w:rsid w:val="00E33202"/>
    <w:rsid w:val="00E336A9"/>
    <w:rsid w:val="00E467C0"/>
    <w:rsid w:val="00E472B1"/>
    <w:rsid w:val="00E47AFF"/>
    <w:rsid w:val="00E50624"/>
    <w:rsid w:val="00E568DF"/>
    <w:rsid w:val="00E63286"/>
    <w:rsid w:val="00E64269"/>
    <w:rsid w:val="00E66F97"/>
    <w:rsid w:val="00E77839"/>
    <w:rsid w:val="00E82267"/>
    <w:rsid w:val="00E84C42"/>
    <w:rsid w:val="00E853CE"/>
    <w:rsid w:val="00E867B6"/>
    <w:rsid w:val="00E904DD"/>
    <w:rsid w:val="00E93373"/>
    <w:rsid w:val="00E95623"/>
    <w:rsid w:val="00E97597"/>
    <w:rsid w:val="00EA010F"/>
    <w:rsid w:val="00EA6FC2"/>
    <w:rsid w:val="00EA78A1"/>
    <w:rsid w:val="00EB756E"/>
    <w:rsid w:val="00EC1CCB"/>
    <w:rsid w:val="00EC32ED"/>
    <w:rsid w:val="00EC770F"/>
    <w:rsid w:val="00ED1B63"/>
    <w:rsid w:val="00ED1C9F"/>
    <w:rsid w:val="00ED3C1F"/>
    <w:rsid w:val="00ED4085"/>
    <w:rsid w:val="00ED420E"/>
    <w:rsid w:val="00ED6FBE"/>
    <w:rsid w:val="00EE2F57"/>
    <w:rsid w:val="00EE6A4B"/>
    <w:rsid w:val="00EF42B3"/>
    <w:rsid w:val="00EF46EE"/>
    <w:rsid w:val="00EF4C34"/>
    <w:rsid w:val="00EF77C6"/>
    <w:rsid w:val="00F05438"/>
    <w:rsid w:val="00F05B7D"/>
    <w:rsid w:val="00F07F28"/>
    <w:rsid w:val="00F11B5F"/>
    <w:rsid w:val="00F1361C"/>
    <w:rsid w:val="00F156F0"/>
    <w:rsid w:val="00F160C7"/>
    <w:rsid w:val="00F2023B"/>
    <w:rsid w:val="00F2073C"/>
    <w:rsid w:val="00F2408F"/>
    <w:rsid w:val="00F240E9"/>
    <w:rsid w:val="00F2472A"/>
    <w:rsid w:val="00F2700B"/>
    <w:rsid w:val="00F361A3"/>
    <w:rsid w:val="00F36D8F"/>
    <w:rsid w:val="00F417B1"/>
    <w:rsid w:val="00F4263B"/>
    <w:rsid w:val="00F44E78"/>
    <w:rsid w:val="00F45853"/>
    <w:rsid w:val="00F54072"/>
    <w:rsid w:val="00F602DF"/>
    <w:rsid w:val="00F61B10"/>
    <w:rsid w:val="00F61DBC"/>
    <w:rsid w:val="00F73AAC"/>
    <w:rsid w:val="00F754A1"/>
    <w:rsid w:val="00F81FD9"/>
    <w:rsid w:val="00F841AA"/>
    <w:rsid w:val="00F84A94"/>
    <w:rsid w:val="00F87E96"/>
    <w:rsid w:val="00F92567"/>
    <w:rsid w:val="00F93C4A"/>
    <w:rsid w:val="00F96052"/>
    <w:rsid w:val="00FA23E8"/>
    <w:rsid w:val="00FB3B0D"/>
    <w:rsid w:val="00FC0C7E"/>
    <w:rsid w:val="00FD3CC1"/>
    <w:rsid w:val="00FD4FF1"/>
    <w:rsid w:val="00FD52B0"/>
    <w:rsid w:val="00FD718C"/>
    <w:rsid w:val="00FE712F"/>
    <w:rsid w:val="00FF1E02"/>
    <w:rsid w:val="00FF30B4"/>
    <w:rsid w:val="00FF47D8"/>
    <w:rsid w:val="053A62B5"/>
    <w:rsid w:val="0A2032A3"/>
    <w:rsid w:val="0B8A37D8"/>
    <w:rsid w:val="10C055FF"/>
    <w:rsid w:val="118107EC"/>
    <w:rsid w:val="11DD6519"/>
    <w:rsid w:val="16BB723D"/>
    <w:rsid w:val="18015F3F"/>
    <w:rsid w:val="1BE8440E"/>
    <w:rsid w:val="1D155CEE"/>
    <w:rsid w:val="1F721210"/>
    <w:rsid w:val="20F57F95"/>
    <w:rsid w:val="240371BF"/>
    <w:rsid w:val="25711CC6"/>
    <w:rsid w:val="25C741E6"/>
    <w:rsid w:val="27842671"/>
    <w:rsid w:val="29FD04D3"/>
    <w:rsid w:val="2ABE7A3E"/>
    <w:rsid w:val="2CA234A8"/>
    <w:rsid w:val="2EFA178C"/>
    <w:rsid w:val="30B46D73"/>
    <w:rsid w:val="319F7F4E"/>
    <w:rsid w:val="383D272C"/>
    <w:rsid w:val="39AE70AB"/>
    <w:rsid w:val="3C0C0783"/>
    <w:rsid w:val="3F9F3A96"/>
    <w:rsid w:val="41085755"/>
    <w:rsid w:val="48BF60AB"/>
    <w:rsid w:val="493C27E9"/>
    <w:rsid w:val="496F39ED"/>
    <w:rsid w:val="49FF41D3"/>
    <w:rsid w:val="4BE068DB"/>
    <w:rsid w:val="4BF6002B"/>
    <w:rsid w:val="4ECE2238"/>
    <w:rsid w:val="51DB4B86"/>
    <w:rsid w:val="55333C3E"/>
    <w:rsid w:val="57BE6852"/>
    <w:rsid w:val="5C7FE965"/>
    <w:rsid w:val="5EBFDD06"/>
    <w:rsid w:val="64CA39A1"/>
    <w:rsid w:val="69630ADE"/>
    <w:rsid w:val="6C4A05C8"/>
    <w:rsid w:val="6D3B1A89"/>
    <w:rsid w:val="71BF4EC2"/>
    <w:rsid w:val="72734D90"/>
    <w:rsid w:val="7412278C"/>
    <w:rsid w:val="7904082E"/>
    <w:rsid w:val="79E7B28D"/>
    <w:rsid w:val="7B6D96C0"/>
    <w:rsid w:val="7D9FBAE7"/>
    <w:rsid w:val="7EAB0776"/>
    <w:rsid w:val="7F9F20EE"/>
    <w:rsid w:val="7FFAE403"/>
    <w:rsid w:val="7FFE393B"/>
    <w:rsid w:val="96D10CC5"/>
    <w:rsid w:val="9E3A10E2"/>
    <w:rsid w:val="B5DB188A"/>
    <w:rsid w:val="DDD2BC01"/>
    <w:rsid w:val="F2E1F9D4"/>
    <w:rsid w:val="F7880819"/>
    <w:rsid w:val="F99F5BA0"/>
    <w:rsid w:val="FEF5E535"/>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1"/>
    <w:unhideWhenUsed/>
    <w:qFormat/>
    <w:uiPriority w:val="9"/>
    <w:pPr>
      <w:keepNext/>
      <w:keepLines/>
      <w:spacing w:before="260" w:after="260" w:line="416" w:lineRule="auto"/>
      <w:outlineLvl w:val="2"/>
    </w:pPr>
    <w:rPr>
      <w:b/>
      <w:bCs/>
      <w:sz w:val="32"/>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7"/>
    <w:qFormat/>
    <w:uiPriority w:val="99"/>
    <w:pPr>
      <w:spacing w:beforeLines="30"/>
    </w:pPr>
    <w:rPr>
      <w:rFonts w:ascii="仿宋_GB2312" w:eastAsia="仿宋_GB2312"/>
      <w:kern w:val="0"/>
      <w:sz w:val="30"/>
    </w:rPr>
  </w:style>
  <w:style w:type="paragraph" w:styleId="6">
    <w:name w:val="Salutation"/>
    <w:basedOn w:val="1"/>
    <w:next w:val="1"/>
    <w:link w:val="34"/>
    <w:qFormat/>
    <w:uiPriority w:val="0"/>
    <w:pPr>
      <w:ind w:firstLine="200" w:firstLineChars="200"/>
    </w:pPr>
    <w:rPr>
      <w:sz w:val="32"/>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31"/>
    <w:semiHidden/>
    <w:unhideWhenUsed/>
    <w:qFormat/>
    <w:uiPriority w:val="99"/>
    <w:rPr>
      <w:sz w:val="18"/>
      <w:szCs w:val="18"/>
    </w:rPr>
  </w:style>
  <w:style w:type="paragraph" w:styleId="9">
    <w:name w:val="footer"/>
    <w:basedOn w:val="1"/>
    <w:link w:val="25"/>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3"/>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paragraph" w:styleId="13">
    <w:name w:val="Normal (Web)"/>
    <w:basedOn w:val="1"/>
    <w:unhideWhenUsed/>
    <w:qFormat/>
    <w:uiPriority w:val="99"/>
    <w:rPr>
      <w:sz w:val="24"/>
    </w:rPr>
  </w:style>
  <w:style w:type="character" w:styleId="16">
    <w:name w:val="Strong"/>
    <w:basedOn w:val="15"/>
    <w:qFormat/>
    <w:uiPriority w:val="99"/>
    <w:rPr>
      <w:b/>
    </w:rPr>
  </w:style>
  <w:style w:type="character" w:styleId="17">
    <w:name w:val="FollowedHyperlink"/>
    <w:basedOn w:val="15"/>
    <w:semiHidden/>
    <w:unhideWhenUsed/>
    <w:qFormat/>
    <w:uiPriority w:val="99"/>
    <w:rPr>
      <w:color w:val="800080"/>
      <w:u w:val="single"/>
    </w:rPr>
  </w:style>
  <w:style w:type="character" w:styleId="18">
    <w:name w:val="Hyperlink"/>
    <w:basedOn w:val="15"/>
    <w:unhideWhenUsed/>
    <w:qFormat/>
    <w:uiPriority w:val="99"/>
    <w:rPr>
      <w:color w:val="0000FF" w:themeColor="hyperlink"/>
      <w:u w:val="single"/>
    </w:rPr>
  </w:style>
  <w:style w:type="character" w:customStyle="1" w:styleId="19">
    <w:name w:val="标题 1 Char"/>
    <w:basedOn w:val="15"/>
    <w:link w:val="3"/>
    <w:qFormat/>
    <w:uiPriority w:val="9"/>
    <w:rPr>
      <w:rFonts w:ascii="Times New Roman" w:hAnsi="Times New Roman"/>
      <w:b/>
      <w:bCs/>
      <w:kern w:val="44"/>
      <w:sz w:val="44"/>
      <w:szCs w:val="44"/>
    </w:rPr>
  </w:style>
  <w:style w:type="character" w:customStyle="1" w:styleId="20">
    <w:name w:val="标题 2 Char"/>
    <w:basedOn w:val="15"/>
    <w:link w:val="4"/>
    <w:qFormat/>
    <w:uiPriority w:val="9"/>
    <w:rPr>
      <w:rFonts w:asciiTheme="majorHAnsi" w:hAnsiTheme="majorHAnsi" w:eastAsiaTheme="majorEastAsia" w:cstheme="majorBidi"/>
      <w:b/>
      <w:bCs/>
      <w:kern w:val="2"/>
      <w:sz w:val="32"/>
      <w:szCs w:val="32"/>
    </w:rPr>
  </w:style>
  <w:style w:type="character" w:customStyle="1" w:styleId="21">
    <w:name w:val="标题 3 Char"/>
    <w:basedOn w:val="15"/>
    <w:link w:val="5"/>
    <w:qFormat/>
    <w:uiPriority w:val="9"/>
    <w:rPr>
      <w:rFonts w:ascii="Times New Roman" w:hAnsi="Times New Roman"/>
      <w:b/>
      <w:bCs/>
      <w:kern w:val="2"/>
      <w:sz w:val="32"/>
      <w:szCs w:val="32"/>
    </w:rPr>
  </w:style>
  <w:style w:type="character" w:customStyle="1" w:styleId="22">
    <w:name w:val="Header Char"/>
    <w:basedOn w:val="15"/>
    <w:semiHidden/>
    <w:qFormat/>
    <w:uiPriority w:val="99"/>
    <w:rPr>
      <w:rFonts w:ascii="Times New Roman" w:hAnsi="Times New Roman"/>
      <w:sz w:val="18"/>
      <w:szCs w:val="18"/>
    </w:rPr>
  </w:style>
  <w:style w:type="character" w:customStyle="1" w:styleId="23">
    <w:name w:val="页眉 Char"/>
    <w:link w:val="10"/>
    <w:semiHidden/>
    <w:qFormat/>
    <w:locked/>
    <w:uiPriority w:val="99"/>
    <w:rPr>
      <w:sz w:val="18"/>
    </w:rPr>
  </w:style>
  <w:style w:type="character" w:customStyle="1" w:styleId="24">
    <w:name w:val="Footer Char"/>
    <w:basedOn w:val="15"/>
    <w:semiHidden/>
    <w:qFormat/>
    <w:uiPriority w:val="99"/>
    <w:rPr>
      <w:rFonts w:ascii="Times New Roman" w:hAnsi="Times New Roman"/>
      <w:sz w:val="18"/>
      <w:szCs w:val="18"/>
    </w:rPr>
  </w:style>
  <w:style w:type="character" w:customStyle="1" w:styleId="25">
    <w:name w:val="页脚 Char"/>
    <w:link w:val="9"/>
    <w:qFormat/>
    <w:locked/>
    <w:uiPriority w:val="99"/>
    <w:rPr>
      <w:sz w:val="18"/>
    </w:rPr>
  </w:style>
  <w:style w:type="character" w:customStyle="1" w:styleId="26">
    <w:name w:val="Body Text Char"/>
    <w:basedOn w:val="15"/>
    <w:semiHidden/>
    <w:qFormat/>
    <w:uiPriority w:val="99"/>
    <w:rPr>
      <w:rFonts w:ascii="Times New Roman" w:hAnsi="Times New Roman"/>
      <w:szCs w:val="24"/>
    </w:rPr>
  </w:style>
  <w:style w:type="character" w:customStyle="1" w:styleId="27">
    <w:name w:val="正文文本 Char"/>
    <w:link w:val="2"/>
    <w:qFormat/>
    <w:locked/>
    <w:uiPriority w:val="99"/>
    <w:rPr>
      <w:rFonts w:ascii="仿宋_GB2312" w:hAnsi="Times New Roman" w:eastAsia="仿宋_GB2312"/>
      <w:sz w:val="24"/>
    </w:rPr>
  </w:style>
  <w:style w:type="paragraph" w:customStyle="1" w:styleId="2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9">
    <w:name w:val="List Paragraph"/>
    <w:basedOn w:val="1"/>
    <w:qFormat/>
    <w:uiPriority w:val="99"/>
    <w:pPr>
      <w:ind w:firstLine="420" w:firstLineChars="200"/>
    </w:pPr>
  </w:style>
  <w:style w:type="paragraph" w:customStyle="1" w:styleId="30">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31">
    <w:name w:val="批注框文本 Char"/>
    <w:basedOn w:val="15"/>
    <w:link w:val="8"/>
    <w:semiHidden/>
    <w:qFormat/>
    <w:uiPriority w:val="99"/>
    <w:rPr>
      <w:rFonts w:ascii="Times New Roman" w:hAnsi="Times New Roman"/>
      <w:kern w:val="2"/>
      <w:sz w:val="18"/>
      <w:szCs w:val="18"/>
    </w:rPr>
  </w:style>
  <w:style w:type="paragraph" w:customStyle="1" w:styleId="32">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33">
    <w:name w:val="正文文本 Char1"/>
    <w:basedOn w:val="15"/>
    <w:qFormat/>
    <w:uiPriority w:val="0"/>
    <w:rPr>
      <w:rFonts w:hint="eastAsia" w:ascii="仿宋_GB2312" w:eastAsia="仿宋_GB2312" w:cs="仿宋_GB2312"/>
      <w:sz w:val="24"/>
    </w:rPr>
  </w:style>
  <w:style w:type="character" w:customStyle="1" w:styleId="34">
    <w:name w:val="称呼 Char"/>
    <w:basedOn w:val="15"/>
    <w:link w:val="6"/>
    <w:qFormat/>
    <w:uiPriority w:val="0"/>
    <w:rPr>
      <w:rFonts w:ascii="Times New Roman" w:hAnsi="Times New Roman" w:eastAsia="宋体" w:cs="Times New Roman"/>
      <w:kern w:val="2"/>
      <w:sz w:val="32"/>
      <w:szCs w:val="24"/>
    </w:rPr>
  </w:style>
  <w:style w:type="paragraph" w:customStyle="1" w:styleId="35">
    <w:name w:val="四号正文"/>
    <w:basedOn w:val="1"/>
    <w:link w:val="36"/>
    <w:qFormat/>
    <w:uiPriority w:val="0"/>
    <w:pPr>
      <w:spacing w:line="360" w:lineRule="auto"/>
      <w:ind w:firstLine="200" w:firstLineChars="200"/>
    </w:pPr>
    <w:rPr>
      <w:rFonts w:ascii="??" w:hAnsi="??" w:eastAsia="仿宋" w:cstheme="minorBidi"/>
      <w:color w:val="000000"/>
      <w:sz w:val="28"/>
      <w:szCs w:val="21"/>
    </w:rPr>
  </w:style>
  <w:style w:type="character" w:customStyle="1" w:styleId="36">
    <w:name w:val="四号正文 Char"/>
    <w:link w:val="35"/>
    <w:qFormat/>
    <w:uiPriority w:val="0"/>
    <w:rPr>
      <w:rFonts w:ascii="??" w:hAnsi="??" w:eastAsia="仿宋"/>
      <w:color w:val="000000"/>
      <w:kern w:val="2"/>
      <w:sz w:val="28"/>
      <w:szCs w:val="21"/>
    </w:rPr>
  </w:style>
  <w:style w:type="paragraph" w:customStyle="1" w:styleId="37">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8">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9">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0">
    <w:name w:val="xl6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cs="宋体"/>
      <w:color w:val="000000"/>
      <w:kern w:val="0"/>
      <w:sz w:val="18"/>
      <w:szCs w:val="18"/>
    </w:rPr>
  </w:style>
  <w:style w:type="paragraph" w:customStyle="1" w:styleId="41">
    <w:name w:val="xl64"/>
    <w:basedOn w:val="1"/>
    <w:qFormat/>
    <w:uiPriority w:val="0"/>
    <w:pPr>
      <w:widowControl/>
      <w:spacing w:before="100" w:beforeAutospacing="1" w:after="100" w:afterAutospacing="1"/>
      <w:jc w:val="left"/>
    </w:pPr>
    <w:rPr>
      <w:rFonts w:ascii="Courier New" w:hAnsi="Courier New" w:cs="Courier New"/>
      <w:color w:val="000000"/>
      <w:kern w:val="0"/>
      <w:sz w:val="18"/>
      <w:szCs w:val="18"/>
    </w:rPr>
  </w:style>
  <w:style w:type="paragraph" w:customStyle="1" w:styleId="42">
    <w:name w:val="xl65"/>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color w:val="000000"/>
      <w:kern w:val="0"/>
      <w:sz w:val="18"/>
      <w:szCs w:val="18"/>
    </w:rPr>
  </w:style>
  <w:style w:type="paragraph" w:customStyle="1" w:styleId="43">
    <w:name w:val="xl66"/>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color w:val="000000"/>
      <w:kern w:val="0"/>
      <w:sz w:val="18"/>
      <w:szCs w:val="18"/>
    </w:rPr>
  </w:style>
  <w:style w:type="paragraph" w:customStyle="1" w:styleId="44">
    <w:name w:val="xl6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color w:val="000000"/>
      <w:kern w:val="0"/>
      <w:sz w:val="18"/>
      <w:szCs w:val="18"/>
    </w:rPr>
  </w:style>
  <w:style w:type="paragraph" w:customStyle="1" w:styleId="45">
    <w:name w:val="xl6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微软雅黑" w:hAnsi="微软雅黑" w:eastAsia="微软雅黑" w:cs="宋体"/>
      <w:i/>
      <w:iCs/>
      <w:color w:val="000000"/>
      <w:kern w:val="0"/>
      <w:sz w:val="16"/>
      <w:szCs w:val="16"/>
    </w:rPr>
  </w:style>
  <w:style w:type="paragraph" w:customStyle="1" w:styleId="46">
    <w:name w:val="xl6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48">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49">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50">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51">
    <w:name w:val="xl7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黑体" w:hAnsi="黑体" w:eastAsia="黑体" w:cs="宋体"/>
      <w:b/>
      <w:bCs/>
      <w:color w:val="000000"/>
      <w:kern w:val="0"/>
      <w:sz w:val="30"/>
      <w:szCs w:val="30"/>
    </w:rPr>
  </w:style>
  <w:style w:type="paragraph" w:customStyle="1" w:styleId="52">
    <w:name w:val="xl75"/>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Courier New" w:hAnsi="Courier New" w:cs="Courier New"/>
      <w:color w:val="000000"/>
      <w:kern w:val="0"/>
      <w:sz w:val="18"/>
      <w:szCs w:val="18"/>
    </w:rPr>
  </w:style>
  <w:style w:type="paragraph" w:customStyle="1" w:styleId="53">
    <w:name w:val="xl76"/>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Courier New" w:hAnsi="Courier New" w:cs="Courier New"/>
      <w:color w:val="000000"/>
      <w:kern w:val="0"/>
      <w:sz w:val="18"/>
      <w:szCs w:val="18"/>
    </w:rPr>
  </w:style>
  <w:style w:type="paragraph" w:customStyle="1" w:styleId="54">
    <w:name w:val="xl7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微软雅黑" w:hAnsi="微软雅黑" w:eastAsia="微软雅黑" w:cs="宋体"/>
      <w:i/>
      <w:iCs/>
      <w:color w:val="000000"/>
      <w:kern w:val="0"/>
      <w:sz w:val="16"/>
      <w:szCs w:val="16"/>
    </w:rPr>
  </w:style>
  <w:style w:type="paragraph" w:customStyle="1" w:styleId="55">
    <w:name w:val="xl7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Courier New" w:hAnsi="Courier New" w:cs="Courier New"/>
      <w:i/>
      <w:iCs/>
      <w:color w:val="000000"/>
      <w:kern w:val="0"/>
      <w:sz w:val="18"/>
      <w:szCs w:val="18"/>
    </w:rPr>
  </w:style>
  <w:style w:type="paragraph" w:customStyle="1" w:styleId="56">
    <w:name w:val="xl79"/>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Courier New" w:hAnsi="Courier New" w:cs="Courier New"/>
      <w:color w:val="FF0000"/>
      <w:kern w:val="0"/>
      <w:sz w:val="18"/>
      <w:szCs w:val="18"/>
    </w:rPr>
  </w:style>
  <w:style w:type="paragraph" w:customStyle="1" w:styleId="57">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6"/>
      <w:szCs w:val="16"/>
    </w:rPr>
  </w:style>
  <w:style w:type="paragraph" w:customStyle="1" w:styleId="58">
    <w:name w:val="xl81"/>
    <w:basedOn w:val="1"/>
    <w:qFormat/>
    <w:uiPriority w:val="0"/>
    <w:pPr>
      <w:widowControl/>
      <w:pBdr>
        <w:top w:val="single" w:color="000000" w:sz="4" w:space="0"/>
        <w:left w:val="single" w:color="000000" w:sz="4" w:space="0"/>
        <w:bottom w:val="single" w:color="000000" w:sz="4" w:space="0"/>
      </w:pBdr>
      <w:spacing w:before="100" w:beforeAutospacing="1" w:after="100" w:afterAutospacing="1"/>
      <w:jc w:val="left"/>
    </w:pPr>
    <w:rPr>
      <w:rFonts w:ascii="宋体" w:hAnsi="宋体" w:cs="宋体"/>
      <w:color w:val="000000"/>
      <w:kern w:val="0"/>
      <w:sz w:val="18"/>
      <w:szCs w:val="18"/>
    </w:rPr>
  </w:style>
  <w:style w:type="paragraph" w:customStyle="1" w:styleId="59">
    <w:name w:val="xl82"/>
    <w:basedOn w:val="1"/>
    <w:qFormat/>
    <w:uiPriority w:val="0"/>
    <w:pPr>
      <w:widowControl/>
      <w:pBdr>
        <w:top w:val="single" w:color="000000" w:sz="4" w:space="0"/>
        <w:bottom w:val="single" w:color="000000" w:sz="4" w:space="0"/>
      </w:pBdr>
      <w:spacing w:before="100" w:beforeAutospacing="1" w:after="100" w:afterAutospacing="1"/>
      <w:jc w:val="left"/>
    </w:pPr>
    <w:rPr>
      <w:rFonts w:ascii="宋体" w:hAnsi="宋体" w:cs="宋体"/>
      <w:color w:val="000000"/>
      <w:kern w:val="0"/>
      <w:sz w:val="18"/>
      <w:szCs w:val="18"/>
    </w:rPr>
  </w:style>
  <w:style w:type="paragraph" w:customStyle="1" w:styleId="60">
    <w:name w:val="xl83"/>
    <w:basedOn w:val="1"/>
    <w:qFormat/>
    <w:uiPriority w:val="0"/>
    <w:pPr>
      <w:widowControl/>
      <w:pBdr>
        <w:top w:val="single" w:color="000000" w:sz="4" w:space="0"/>
        <w:bottom w:val="single" w:color="000000" w:sz="4" w:space="0"/>
        <w:right w:val="single" w:color="000000" w:sz="4" w:space="0"/>
      </w:pBdr>
      <w:spacing w:before="100" w:beforeAutospacing="1" w:after="100" w:afterAutospacing="1"/>
      <w:jc w:val="left"/>
    </w:pPr>
    <w:rPr>
      <w:rFonts w:ascii="宋体" w:hAnsi="宋体" w:cs="宋体"/>
      <w:color w:val="000000"/>
      <w:kern w:val="0"/>
      <w:sz w:val="18"/>
      <w:szCs w:val="18"/>
    </w:rPr>
  </w:style>
  <w:style w:type="paragraph" w:customStyle="1" w:styleId="61">
    <w:name w:val="xl84"/>
    <w:basedOn w:val="1"/>
    <w:qFormat/>
    <w:uiPriority w:val="0"/>
    <w:pPr>
      <w:widowControl/>
      <w:pBdr>
        <w:top w:val="single" w:color="000000" w:sz="4" w:space="0"/>
        <w:left w:val="single" w:color="000000" w:sz="4" w:space="0"/>
        <w:bottom w:val="single" w:color="000000" w:sz="4" w:space="0"/>
      </w:pBdr>
      <w:spacing w:before="100" w:beforeAutospacing="1" w:after="100" w:afterAutospacing="1"/>
      <w:jc w:val="left"/>
    </w:pPr>
    <w:rPr>
      <w:rFonts w:ascii="Courier New" w:hAnsi="Courier New" w:cs="Courier New"/>
      <w:color w:val="000000"/>
      <w:kern w:val="0"/>
      <w:sz w:val="18"/>
      <w:szCs w:val="18"/>
    </w:rPr>
  </w:style>
  <w:style w:type="paragraph" w:customStyle="1" w:styleId="62">
    <w:name w:val="xl85"/>
    <w:basedOn w:val="1"/>
    <w:qFormat/>
    <w:uiPriority w:val="0"/>
    <w:pPr>
      <w:widowControl/>
      <w:pBdr>
        <w:top w:val="single" w:color="000000" w:sz="4" w:space="0"/>
        <w:bottom w:val="single" w:color="000000" w:sz="4" w:space="0"/>
      </w:pBdr>
      <w:spacing w:before="100" w:beforeAutospacing="1" w:after="100" w:afterAutospacing="1"/>
      <w:jc w:val="left"/>
    </w:pPr>
    <w:rPr>
      <w:rFonts w:ascii="Courier New" w:hAnsi="Courier New" w:cs="Courier New"/>
      <w:color w:val="000000"/>
      <w:kern w:val="0"/>
      <w:sz w:val="18"/>
      <w:szCs w:val="18"/>
    </w:rPr>
  </w:style>
  <w:style w:type="paragraph" w:customStyle="1" w:styleId="63">
    <w:name w:val="xl86"/>
    <w:basedOn w:val="1"/>
    <w:qFormat/>
    <w:uiPriority w:val="0"/>
    <w:pPr>
      <w:widowControl/>
      <w:pBdr>
        <w:top w:val="single" w:color="000000" w:sz="4" w:space="0"/>
        <w:bottom w:val="single" w:color="000000" w:sz="4" w:space="0"/>
        <w:right w:val="single" w:color="000000" w:sz="4" w:space="0"/>
      </w:pBdr>
      <w:spacing w:before="100" w:beforeAutospacing="1" w:after="100" w:afterAutospacing="1"/>
      <w:jc w:val="left"/>
    </w:pPr>
    <w:rPr>
      <w:rFonts w:ascii="Courier New" w:hAnsi="Courier New" w:cs="Courier New"/>
      <w:color w:val="000000"/>
      <w:kern w:val="0"/>
      <w:sz w:val="18"/>
      <w:szCs w:val="18"/>
    </w:rPr>
  </w:style>
  <w:style w:type="paragraph" w:customStyle="1" w:styleId="64">
    <w:name w:val="xl87"/>
    <w:basedOn w:val="1"/>
    <w:qFormat/>
    <w:uiPriority w:val="0"/>
    <w:pPr>
      <w:widowControl/>
      <w:pBdr>
        <w:top w:val="single" w:color="000000" w:sz="4" w:space="0"/>
        <w:left w:val="single" w:color="000000" w:sz="4" w:space="0"/>
        <w:bottom w:val="single" w:color="000000" w:sz="4" w:space="0"/>
      </w:pBdr>
      <w:spacing w:before="100" w:beforeAutospacing="1" w:after="100" w:afterAutospacing="1"/>
      <w:jc w:val="left"/>
    </w:pPr>
    <w:rPr>
      <w:rFonts w:ascii="宋体" w:hAnsi="宋体" w:cs="宋体"/>
      <w:color w:val="FF0000"/>
      <w:kern w:val="0"/>
      <w:sz w:val="18"/>
      <w:szCs w:val="18"/>
    </w:rPr>
  </w:style>
  <w:style w:type="paragraph" w:customStyle="1" w:styleId="65">
    <w:name w:val="xl88"/>
    <w:basedOn w:val="1"/>
    <w:qFormat/>
    <w:uiPriority w:val="0"/>
    <w:pPr>
      <w:widowControl/>
      <w:pBdr>
        <w:top w:val="single" w:color="000000" w:sz="4" w:space="0"/>
        <w:left w:val="single" w:color="000000" w:sz="4" w:space="0"/>
        <w:bottom w:val="single" w:color="000000" w:sz="4" w:space="0"/>
      </w:pBdr>
      <w:spacing w:before="100" w:beforeAutospacing="1" w:after="100" w:afterAutospacing="1"/>
      <w:jc w:val="left"/>
    </w:pPr>
    <w:rPr>
      <w:rFonts w:ascii="微软雅黑" w:hAnsi="微软雅黑" w:eastAsia="微软雅黑" w:cs="宋体"/>
      <w:i/>
      <w:iCs/>
      <w:color w:val="000000"/>
      <w:kern w:val="0"/>
      <w:sz w:val="16"/>
      <w:szCs w:val="16"/>
    </w:rPr>
  </w:style>
  <w:style w:type="paragraph" w:customStyle="1" w:styleId="66">
    <w:name w:val="xl89"/>
    <w:basedOn w:val="1"/>
    <w:qFormat/>
    <w:uiPriority w:val="0"/>
    <w:pPr>
      <w:widowControl/>
      <w:pBdr>
        <w:top w:val="single" w:color="000000" w:sz="4" w:space="0"/>
        <w:bottom w:val="single" w:color="000000" w:sz="4" w:space="0"/>
      </w:pBdr>
      <w:spacing w:before="100" w:beforeAutospacing="1" w:after="100" w:afterAutospacing="1"/>
      <w:jc w:val="left"/>
    </w:pPr>
    <w:rPr>
      <w:rFonts w:ascii="微软雅黑" w:hAnsi="微软雅黑" w:eastAsia="微软雅黑" w:cs="宋体"/>
      <w:i/>
      <w:iCs/>
      <w:color w:val="000000"/>
      <w:kern w:val="0"/>
      <w:sz w:val="16"/>
      <w:szCs w:val="16"/>
    </w:rPr>
  </w:style>
  <w:style w:type="paragraph" w:customStyle="1" w:styleId="67">
    <w:name w:val="xl90"/>
    <w:basedOn w:val="1"/>
    <w:qFormat/>
    <w:uiPriority w:val="0"/>
    <w:pPr>
      <w:widowControl/>
      <w:pBdr>
        <w:top w:val="single" w:color="000000" w:sz="4" w:space="0"/>
        <w:bottom w:val="single" w:color="000000" w:sz="4" w:space="0"/>
        <w:right w:val="single" w:color="000000" w:sz="4" w:space="0"/>
      </w:pBdr>
      <w:spacing w:before="100" w:beforeAutospacing="1" w:after="100" w:afterAutospacing="1"/>
      <w:jc w:val="left"/>
    </w:pPr>
    <w:rPr>
      <w:rFonts w:ascii="微软雅黑" w:hAnsi="微软雅黑" w:eastAsia="微软雅黑" w:cs="宋体"/>
      <w:i/>
      <w:iCs/>
      <w:color w:val="000000"/>
      <w:kern w:val="0"/>
      <w:sz w:val="16"/>
      <w:szCs w:val="16"/>
    </w:rPr>
  </w:style>
  <w:style w:type="paragraph" w:customStyle="1" w:styleId="68">
    <w:name w:val="WPSOffice手动目录 1"/>
    <w:qFormat/>
    <w:uiPriority w:val="0"/>
    <w:pPr>
      <w:ind w:leftChars="0"/>
    </w:pPr>
    <w:rPr>
      <w:rFonts w:asciiTheme="minorHAnsi" w:hAnsiTheme="minorHAnsi" w:eastAsiaTheme="minorEastAsia" w:cstheme="minorBidi"/>
      <w:sz w:val="20"/>
      <w:szCs w:val="20"/>
    </w:rPr>
  </w:style>
  <w:style w:type="paragraph" w:customStyle="1" w:styleId="69">
    <w:name w:val="WPSOffice手动目录 2"/>
    <w:qFormat/>
    <w:uiPriority w:val="0"/>
    <w:pPr>
      <w:ind w:leftChars="2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a:defRPr lang="zh-CN" sz="1800" b="1" i="0" u="none" strike="noStrike" kern="1200" baseline="0">
                <a:solidFill>
                  <a:schemeClr val="tx1"/>
                </a:solidFill>
                <a:latin typeface="+mn-lt"/>
                <a:ea typeface="+mn-ea"/>
                <a:cs typeface="+mn-cs"/>
              </a:defRPr>
            </a:pPr>
            <a:r>
              <a:rPr lang="zh-CN" altLang="en-US"/>
              <a:t>收支决算总计变动情况图</a:t>
            </a:r>
            <a:endParaRPr lang="en-US" altLang="zh-CN"/>
          </a:p>
        </c:rich>
      </c:tx>
      <c:layout/>
      <c:overlay val="false"/>
    </c:title>
    <c:autoTitleDeleted val="false"/>
    <c:plotArea>
      <c:layout/>
      <c:barChart>
        <c:barDir val="col"/>
        <c:grouping val="stacked"/>
        <c:varyColors val="false"/>
        <c:ser>
          <c:idx val="0"/>
          <c:order val="0"/>
          <c:tx>
            <c:strRef>
              <c:f>Sheet1!$B$1</c:f>
              <c:strCache>
                <c:ptCount val="1"/>
                <c:pt idx="0">
                  <c:v>系列 1</c:v>
                </c:pt>
              </c:strCache>
            </c:strRef>
          </c:tx>
          <c:invertIfNegative val="false"/>
          <c:dLbls>
            <c:dLbl>
              <c:idx val="0"/>
              <c:layout>
                <c:manualLayout>
                  <c:x val="-0.00240789790512882"/>
                  <c:y val="-0.338493292053665"/>
                </c:manualLayout>
              </c:layout>
              <c:tx>
                <c:rich>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r>
                      <a:rPr lang="en-US" altLang="zh-CN"/>
                      <a:t>810.24</a:t>
                    </a:r>
                    <a:r>
                      <a:rPr lang="zh-CN" altLang="en-US"/>
                      <a:t>万元</a:t>
                    </a:r>
                    <a:endParaRPr lang="en-US" altLang="en-US"/>
                  </a:p>
                </c:rich>
              </c:tx>
              <c:dLblPos val="ctr"/>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00963159162051529"/>
                  <c:y val="-0.185758513931889"/>
                </c:manualLayout>
              </c:layout>
              <c:tx>
                <c:rich>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r>
                      <a:rPr lang="en-US" altLang="zh-CN"/>
                      <a:t>762.2</a:t>
                    </a:r>
                    <a:r>
                      <a:rPr lang="zh-CN" altLang="en-US"/>
                      <a:t>万元</a:t>
                    </a:r>
                    <a:endParaRPr lang="en-US" altLang="en-US"/>
                  </a:p>
                </c:rich>
              </c:tx>
              <c:dLblPos val="ctr"/>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ctr"/>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ext>
            </c:extLst>
          </c:dLbls>
          <c:cat>
            <c:strRef>
              <c:f>Sheet1!$A$2:$A$3</c:f>
              <c:strCache>
                <c:ptCount val="2"/>
                <c:pt idx="0">
                  <c:v>2023年收支决算总计</c:v>
                </c:pt>
                <c:pt idx="1">
                  <c:v>2022年收支决算总计</c:v>
                </c:pt>
              </c:strCache>
            </c:strRef>
          </c:cat>
          <c:val>
            <c:numRef>
              <c:f>Sheet1!$B$2:$B$3</c:f>
              <c:numCache>
                <c:formatCode>General</c:formatCode>
                <c:ptCount val="2"/>
                <c:pt idx="0">
                  <c:v>810.24</c:v>
                </c:pt>
                <c:pt idx="1">
                  <c:v>762.2</c:v>
                </c:pt>
              </c:numCache>
            </c:numRef>
          </c:val>
        </c:ser>
        <c:dLbls>
          <c:showLegendKey val="false"/>
          <c:showVal val="true"/>
          <c:showCatName val="false"/>
          <c:showSerName val="false"/>
          <c:showPercent val="false"/>
          <c:showBubbleSize val="false"/>
        </c:dLbls>
        <c:gapWidth val="150"/>
        <c:overlap val="100"/>
        <c:axId val="185125504"/>
        <c:axId val="185209600"/>
      </c:barChart>
      <c:catAx>
        <c:axId val="185125504"/>
        <c:scaling>
          <c:orientation val="minMax"/>
        </c:scaling>
        <c:delete val="false"/>
        <c:axPos val="b"/>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185209600"/>
        <c:crosses val="autoZero"/>
        <c:auto val="true"/>
        <c:lblAlgn val="ctr"/>
        <c:lblOffset val="100"/>
        <c:noMultiLvlLbl val="false"/>
      </c:catAx>
      <c:valAx>
        <c:axId val="185209600"/>
        <c:scaling>
          <c:orientation val="minMax"/>
        </c:scaling>
        <c:delete val="false"/>
        <c:axPos val="l"/>
        <c:majorGridlines/>
        <c:numFmt formatCode="General" sourceLinked="true"/>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185125504"/>
        <c:crosses val="autoZero"/>
        <c:crossBetween val="between"/>
      </c:valAx>
    </c:plotArea>
    <c:plotVisOnly val="true"/>
    <c:dispBlanksAs val="gap"/>
    <c:showDLblsOverMax val="false"/>
  </c:chart>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a:defRPr lang="zh-CN" sz="1800" b="1" i="0" u="none" strike="noStrike" kern="1200" baseline="0">
                <a:solidFill>
                  <a:schemeClr val="tx1"/>
                </a:solidFill>
                <a:latin typeface="+mn-lt"/>
                <a:ea typeface="+mn-ea"/>
                <a:cs typeface="+mn-cs"/>
              </a:defRPr>
            </a:pPr>
            <a:r>
              <a:rPr lang="zh-CN" altLang="en-US"/>
              <a:t>收入决算结构图</a:t>
            </a:r>
            <a:endParaRPr lang="zh-CN" altLang="en-US"/>
          </a:p>
        </c:rich>
      </c:tx>
      <c:layout/>
      <c:overlay val="false"/>
    </c:title>
    <c:autoTitleDeleted val="false"/>
    <c:plotArea>
      <c:layout/>
      <c:pieChart>
        <c:varyColors val="true"/>
        <c:ser>
          <c:idx val="0"/>
          <c:order val="0"/>
          <c:tx>
            <c:strRef>
              <c:f>Sheet1!$B$1</c:f>
              <c:strCache>
                <c:ptCount val="1"/>
                <c:pt idx="0">
                  <c:v>收入总计</c:v>
                </c:pt>
              </c:strCache>
            </c:strRef>
          </c:tx>
          <c:explosion val="0"/>
          <c:dPt>
            <c:idx val="0"/>
            <c:bubble3D val="false"/>
          </c:dPt>
          <c:dPt>
            <c:idx val="1"/>
            <c:bubble3D val="false"/>
          </c:dPt>
          <c:dLbls>
            <c:dLbl>
              <c:idx val="1"/>
              <c:layout/>
              <c:tx>
                <c:rich>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r>
                      <a:rPr lang="en-US" altLang="en-US"/>
                      <a:t>0.01</a:t>
                    </a:r>
                    <a:r>
                      <a:rPr lang="en-US" altLang="zh-CN"/>
                      <a:t>%</a:t>
                    </a:r>
                    <a:endParaRPr lang="en-US" altLang="en-US"/>
                  </a:p>
                </c:rich>
              </c:tx>
              <c:dLblPos val="bestFit"/>
              <c:showLegendKey val="false"/>
              <c:showVal val="true"/>
              <c:showCatName val="false"/>
              <c:showSerName val="false"/>
              <c:showPercent val="false"/>
              <c:showBubbleSize val="false"/>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ext>
            </c:extLst>
          </c:dLbls>
          <c:cat>
            <c:strRef>
              <c:f>Sheet1!$A$2:$A$3</c:f>
              <c:strCache>
                <c:ptCount val="2"/>
                <c:pt idx="0">
                  <c:v>一般公共预算收入</c:v>
                </c:pt>
                <c:pt idx="1">
                  <c:v>其他收入</c:v>
                </c:pt>
              </c:strCache>
            </c:strRef>
          </c:cat>
          <c:val>
            <c:numRef>
              <c:f>Sheet1!$B$2:$B$3</c:f>
              <c:numCache>
                <c:formatCode>0.00%</c:formatCode>
                <c:ptCount val="2"/>
                <c:pt idx="0">
                  <c:v>0.9999</c:v>
                </c:pt>
                <c:pt idx="1">
                  <c:v>0.000100000000000001</c:v>
                </c:pt>
              </c:numCache>
            </c:numRef>
          </c:val>
        </c:ser>
        <c:dLbls>
          <c:showLegendKey val="false"/>
          <c:showVal val="true"/>
          <c:showCatName val="false"/>
          <c:showSerName val="false"/>
          <c:showPercent val="false"/>
          <c:showBubbleSize val="false"/>
          <c:showLeaderLines val="true"/>
        </c:dLbls>
        <c:firstSliceAng val="0"/>
      </c:pieChart>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zero"/>
    <c:showDLblsOverMax val="false"/>
  </c:chart>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a:defRPr lang="zh-CN" sz="1800" b="1" i="0" u="none" strike="noStrike" kern="1200" baseline="0">
                <a:solidFill>
                  <a:schemeClr val="tx1"/>
                </a:solidFill>
                <a:latin typeface="+mn-lt"/>
                <a:ea typeface="+mn-ea"/>
                <a:cs typeface="+mn-cs"/>
              </a:defRPr>
            </a:pPr>
            <a:r>
              <a:rPr lang="zh-CN" altLang="en-US"/>
              <a:t>支出决算结构图</a:t>
            </a:r>
            <a:endParaRPr lang="zh-CN" altLang="en-US"/>
          </a:p>
        </c:rich>
      </c:tx>
      <c:layout>
        <c:manualLayout>
          <c:xMode val="edge"/>
          <c:yMode val="edge"/>
          <c:x val="0.405754875993264"/>
          <c:y val="0.0371517027863783"/>
        </c:manualLayout>
      </c:layout>
      <c:overlay val="false"/>
    </c:title>
    <c:autoTitleDeleted val="false"/>
    <c:plotArea>
      <c:layout/>
      <c:pieChart>
        <c:varyColors val="true"/>
        <c:ser>
          <c:idx val="0"/>
          <c:order val="0"/>
          <c:tx>
            <c:strRef>
              <c:f>Sheet1!$B$1</c:f>
              <c:strCache>
                <c:ptCount val="1"/>
                <c:pt idx="0">
                  <c:v>支出总计</c:v>
                </c:pt>
              </c:strCache>
            </c:strRef>
          </c:tx>
          <c:explosion val="0"/>
          <c:dPt>
            <c:idx val="0"/>
            <c:bubble3D val="false"/>
          </c:dPt>
          <c:dPt>
            <c:idx val="1"/>
            <c:bubble3D val="false"/>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ext>
            </c:extLst>
          </c:dLbls>
          <c:cat>
            <c:strRef>
              <c:f>Sheet1!$A$2:$A$3</c:f>
              <c:strCache>
                <c:ptCount val="2"/>
                <c:pt idx="0">
                  <c:v>基本支出</c:v>
                </c:pt>
                <c:pt idx="1">
                  <c:v>项目支出</c:v>
                </c:pt>
              </c:strCache>
            </c:strRef>
          </c:cat>
          <c:val>
            <c:numRef>
              <c:f>Sheet1!$B$2:$B$3</c:f>
              <c:numCache>
                <c:formatCode>0%</c:formatCode>
                <c:ptCount val="2"/>
                <c:pt idx="0">
                  <c:v>0.610000000000001</c:v>
                </c:pt>
                <c:pt idx="1">
                  <c:v>0.390000000000001</c:v>
                </c:pt>
              </c:numCache>
            </c:numRef>
          </c:val>
        </c:ser>
        <c:dLbls>
          <c:showLegendKey val="false"/>
          <c:showVal val="true"/>
          <c:showCatName val="false"/>
          <c:showSerName val="false"/>
          <c:showPercent val="false"/>
          <c:showBubbleSize val="false"/>
          <c:showLeaderLines val="true"/>
        </c:dLbls>
        <c:firstSliceAng val="0"/>
      </c:pieChart>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zero"/>
    <c:showDLblsOverMax val="false"/>
  </c:chart>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a:defRPr lang="zh-CN" sz="1800" b="1" i="0" u="none" strike="noStrike" kern="1200" baseline="0">
                <a:solidFill>
                  <a:schemeClr val="tx1"/>
                </a:solidFill>
                <a:latin typeface="+mn-lt"/>
                <a:ea typeface="+mn-ea"/>
                <a:cs typeface="+mn-cs"/>
              </a:defRPr>
            </a:pPr>
            <a:r>
              <a:rPr lang="zh-CN" altLang="en-US"/>
              <a:t>财政拨款收支决算总计变动情况图</a:t>
            </a:r>
            <a:endParaRPr lang="zh-CN" altLang="en-US"/>
          </a:p>
        </c:rich>
      </c:tx>
      <c:layout/>
      <c:overlay val="false"/>
    </c:title>
    <c:autoTitleDeleted val="false"/>
    <c:plotArea>
      <c:layout>
        <c:manualLayout>
          <c:layoutTarget val="inner"/>
          <c:xMode val="edge"/>
          <c:yMode val="edge"/>
          <c:x val="0.121733269375521"/>
          <c:y val="0.200216799525449"/>
          <c:w val="0.87585883271936"/>
          <c:h val="0.683061521334601"/>
        </c:manualLayout>
      </c:layout>
      <c:barChart>
        <c:barDir val="col"/>
        <c:grouping val="stacked"/>
        <c:varyColors val="false"/>
        <c:ser>
          <c:idx val="0"/>
          <c:order val="0"/>
          <c:tx>
            <c:strRef>
              <c:f>Sheet1!$B$1</c:f>
              <c:strCache>
                <c:ptCount val="1"/>
                <c:pt idx="0">
                  <c:v>2022年财政拨款收支总计</c:v>
                </c:pt>
              </c:strCache>
            </c:strRef>
          </c:tx>
          <c:invertIfNegative val="false"/>
          <c:dLbls>
            <c:dLbl>
              <c:idx val="0"/>
              <c:layout>
                <c:manualLayout>
                  <c:x val="-0.0168552853359018"/>
                  <c:y val="-0.346749551042962"/>
                </c:manualLayout>
              </c:layout>
              <c:tx>
                <c:rich>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r>
                      <a:rPr lang="en-US" altLang="zh-CN"/>
                      <a:t>810.23</a:t>
                    </a:r>
                    <a:r>
                      <a:rPr lang="zh-CN" altLang="en-US"/>
                      <a:t>万元</a:t>
                    </a:r>
                    <a:endParaRPr lang="en-US" altLang="en-US"/>
                  </a:p>
                </c:rich>
              </c:tx>
              <c:dLblPos val="ctr"/>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00240789790512894"/>
                  <c:y val="-0.326109391124879"/>
                </c:manualLayout>
              </c:layout>
              <c:tx>
                <c:rich>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r>
                      <a:rPr lang="en-US" altLang="zh-CN"/>
                      <a:t>762.19</a:t>
                    </a:r>
                    <a:r>
                      <a:rPr lang="zh-CN" altLang="en-US"/>
                      <a:t>万元</a:t>
                    </a:r>
                    <a:endParaRPr lang="en-US" altLang="en-US"/>
                  </a:p>
                </c:rich>
              </c:tx>
              <c:dLblPos val="ctr"/>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ctr"/>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ext>
            </c:extLst>
          </c:dLbls>
          <c:cat>
            <c:strRef>
              <c:f>Sheet1!$A$2:$A$3</c:f>
              <c:strCache>
                <c:ptCount val="2"/>
                <c:pt idx="0">
                  <c:v>2023年财政拨款收支决算总计</c:v>
                </c:pt>
                <c:pt idx="1">
                  <c:v>2022年财政拨款收支决算总计</c:v>
                </c:pt>
              </c:strCache>
            </c:strRef>
          </c:cat>
          <c:val>
            <c:numRef>
              <c:f>Sheet1!$B$2:$B$3</c:f>
              <c:numCache>
                <c:formatCode>General</c:formatCode>
                <c:ptCount val="2"/>
                <c:pt idx="0">
                  <c:v>810.23</c:v>
                </c:pt>
                <c:pt idx="1">
                  <c:v>762.19</c:v>
                </c:pt>
              </c:numCache>
            </c:numRef>
          </c:val>
        </c:ser>
        <c:dLbls>
          <c:showLegendKey val="false"/>
          <c:showVal val="true"/>
          <c:showCatName val="false"/>
          <c:showSerName val="false"/>
          <c:showPercent val="false"/>
          <c:showBubbleSize val="false"/>
        </c:dLbls>
        <c:gapWidth val="150"/>
        <c:overlap val="100"/>
        <c:axId val="99605504"/>
        <c:axId val="100041472"/>
      </c:barChart>
      <c:catAx>
        <c:axId val="99605504"/>
        <c:scaling>
          <c:orientation val="minMax"/>
        </c:scaling>
        <c:delete val="false"/>
        <c:axPos val="b"/>
        <c:numFmt formatCode="General" sourceLinked="true"/>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100041472"/>
        <c:crosses val="autoZero"/>
        <c:auto val="true"/>
        <c:lblAlgn val="ctr"/>
        <c:lblOffset val="100"/>
        <c:noMultiLvlLbl val="false"/>
      </c:catAx>
      <c:valAx>
        <c:axId val="100041472"/>
        <c:scaling>
          <c:orientation val="minMax"/>
        </c:scaling>
        <c:delete val="false"/>
        <c:axPos val="l"/>
        <c:majorGridlines/>
        <c:numFmt formatCode="General" sourceLinked="true"/>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99605504"/>
        <c:crosses val="autoZero"/>
        <c:crossBetween val="between"/>
      </c:valAx>
    </c:plotArea>
    <c:plotVisOnly val="true"/>
    <c:dispBlanksAs val="gap"/>
    <c:showDLblsOverMax val="false"/>
  </c:chart>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a:defRPr lang="zh-CN" sz="1800" b="1" i="0" u="none" strike="noStrike" kern="1200" baseline="0">
                <a:solidFill>
                  <a:schemeClr val="tx1"/>
                </a:solidFill>
                <a:latin typeface="+mn-lt"/>
                <a:ea typeface="+mn-ea"/>
                <a:cs typeface="+mn-cs"/>
              </a:defRPr>
            </a:pPr>
            <a:r>
              <a:rPr lang="zh-CN" altLang="en-US"/>
              <a:t>一般公共预算财政拨款支出决算变动情况</a:t>
            </a:r>
            <a:endParaRPr lang="en-US" altLang="zh-CN"/>
          </a:p>
        </c:rich>
      </c:tx>
      <c:layout/>
      <c:overlay val="false"/>
    </c:title>
    <c:autoTitleDeleted val="false"/>
    <c:plotArea>
      <c:layout/>
      <c:barChart>
        <c:barDir val="col"/>
        <c:grouping val="stacked"/>
        <c:varyColors val="false"/>
        <c:ser>
          <c:idx val="0"/>
          <c:order val="0"/>
          <c:tx>
            <c:strRef>
              <c:f>Sheet1!$B$1</c:f>
              <c:strCache>
                <c:ptCount val="1"/>
                <c:pt idx="0">
                  <c:v>系列 1</c:v>
                </c:pt>
              </c:strCache>
            </c:strRef>
          </c:tx>
          <c:invertIfNegative val="false"/>
          <c:dLbls>
            <c:dLbl>
              <c:idx val="0"/>
              <c:layout>
                <c:manualLayout>
                  <c:x val="-0.00722369371538649"/>
                  <c:y val="-0.345117953070237"/>
                </c:manualLayout>
              </c:layout>
              <c:tx>
                <c:rich>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r>
                      <a:rPr lang="en-US" altLang="zh-CN"/>
                      <a:t>808.56</a:t>
                    </a:r>
                    <a:r>
                      <a:rPr lang="zh-CN" altLang="en-US"/>
                      <a:t>万元</a:t>
                    </a:r>
                    <a:endParaRPr lang="en-US" altLang="en-US"/>
                  </a:p>
                </c:rich>
              </c:tx>
              <c:dLblPos val="ctr"/>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
                  <c:y val="-0.175092649346975"/>
                </c:manualLayout>
              </c:layout>
              <c:tx>
                <c:rich>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r>
                      <a:rPr lang="en-US" altLang="zh-CN"/>
                      <a:t>748.45</a:t>
                    </a:r>
                    <a:r>
                      <a:rPr lang="zh-CN" altLang="en-US"/>
                      <a:t>万元</a:t>
                    </a:r>
                    <a:endParaRPr lang="en-US" altLang="en-US"/>
                  </a:p>
                </c:rich>
              </c:tx>
              <c:dLblPos val="ctr"/>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ctr"/>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ext>
            </c:extLst>
          </c:dLbls>
          <c:cat>
            <c:strRef>
              <c:f>Sheet1!$A$2:$A$3</c:f>
              <c:strCache>
                <c:ptCount val="2"/>
                <c:pt idx="0">
                  <c:v>2023年一般公共预算财政拨款支出合计</c:v>
                </c:pt>
                <c:pt idx="1">
                  <c:v>2022年一般公共预算财政拨款支出合计</c:v>
                </c:pt>
              </c:strCache>
            </c:strRef>
          </c:cat>
          <c:val>
            <c:numRef>
              <c:f>Sheet1!$B$2:$B$3</c:f>
              <c:numCache>
                <c:formatCode>General</c:formatCode>
                <c:ptCount val="2"/>
                <c:pt idx="0">
                  <c:v>808.56</c:v>
                </c:pt>
                <c:pt idx="1">
                  <c:v>748.449999999999</c:v>
                </c:pt>
              </c:numCache>
            </c:numRef>
          </c:val>
        </c:ser>
        <c:dLbls>
          <c:showLegendKey val="false"/>
          <c:showVal val="true"/>
          <c:showCatName val="false"/>
          <c:showSerName val="false"/>
          <c:showPercent val="false"/>
          <c:showBubbleSize val="false"/>
        </c:dLbls>
        <c:gapWidth val="150"/>
        <c:overlap val="100"/>
        <c:axId val="151921024"/>
        <c:axId val="151922560"/>
      </c:barChart>
      <c:catAx>
        <c:axId val="151921024"/>
        <c:scaling>
          <c:orientation val="minMax"/>
        </c:scaling>
        <c:delete val="false"/>
        <c:axPos val="b"/>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151922560"/>
        <c:crosses val="autoZero"/>
        <c:auto val="true"/>
        <c:lblAlgn val="ctr"/>
        <c:lblOffset val="100"/>
        <c:noMultiLvlLbl val="false"/>
      </c:catAx>
      <c:valAx>
        <c:axId val="151922560"/>
        <c:scaling>
          <c:orientation val="minMax"/>
        </c:scaling>
        <c:delete val="false"/>
        <c:axPos val="l"/>
        <c:majorGridlines/>
        <c:numFmt formatCode="General" sourceLinked="true"/>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151921024"/>
        <c:crosses val="autoZero"/>
        <c:crossBetween val="between"/>
      </c:valAx>
    </c:plotArea>
    <c:plotVisOnly val="true"/>
    <c:dispBlanksAs val="gap"/>
    <c:showDLblsOverMax val="false"/>
  </c:chart>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a:defRPr lang="zh-CN" sz="1800" b="1" i="0" u="none" strike="noStrike" kern="1200" baseline="0">
                <a:solidFill>
                  <a:schemeClr val="tx1"/>
                </a:solidFill>
                <a:latin typeface="+mn-lt"/>
                <a:ea typeface="+mn-ea"/>
                <a:cs typeface="+mn-cs"/>
              </a:defRPr>
            </a:pPr>
            <a:r>
              <a:rPr lang="zh-CN" altLang="en-US"/>
              <a:t>一般公共预算财政拨款支出决算结构图</a:t>
            </a:r>
            <a:endParaRPr lang="zh-CN" altLang="en-US"/>
          </a:p>
        </c:rich>
      </c:tx>
      <c:layout/>
      <c:overlay val="false"/>
    </c:title>
    <c:autoTitleDeleted val="false"/>
    <c:plotArea>
      <c:layout/>
      <c:pieChart>
        <c:varyColors val="true"/>
        <c:ser>
          <c:idx val="0"/>
          <c:order val="0"/>
          <c:tx>
            <c:strRef>
              <c:f>Sheet1!$B$1</c:f>
              <c:strCache>
                <c:ptCount val="1"/>
                <c:pt idx="0">
                  <c:v>一般公共预算财政拨款支出决算结构图</c:v>
                </c:pt>
              </c:strCache>
            </c:strRef>
          </c:tx>
          <c:explosion val="0"/>
          <c:dPt>
            <c:idx val="0"/>
            <c:bubble3D val="false"/>
          </c:dPt>
          <c:dPt>
            <c:idx val="1"/>
            <c:bubble3D val="false"/>
          </c:dPt>
          <c:dPt>
            <c:idx val="2"/>
            <c:bubble3D val="false"/>
          </c:dPt>
          <c:dPt>
            <c:idx val="3"/>
            <c:bubble3D val="false"/>
          </c:dPt>
          <c:dLbls>
            <c:dLbl>
              <c:idx val="0"/>
              <c:layout>
                <c:manualLayout>
                  <c:x val="-0.0111986212414515"/>
                  <c:y val="0.00759480916278654"/>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ext>
            </c:extLst>
          </c:dLbls>
          <c:cat>
            <c:strRef>
              <c:f>Sheet1!$A$2:$A$5</c:f>
              <c:strCache>
                <c:ptCount val="4"/>
                <c:pt idx="0">
                  <c:v>社会保障和就业支出</c:v>
                </c:pt>
                <c:pt idx="1">
                  <c:v>卫生健康支出</c:v>
                </c:pt>
                <c:pt idx="2">
                  <c:v>资源勘探工业信息等支出</c:v>
                </c:pt>
                <c:pt idx="3">
                  <c:v>住房保障支出</c:v>
                </c:pt>
              </c:strCache>
            </c:strRef>
          </c:cat>
          <c:val>
            <c:numRef>
              <c:f>Sheet1!$B$2:$B$5</c:f>
              <c:numCache>
                <c:formatCode>0.0%</c:formatCode>
                <c:ptCount val="4"/>
                <c:pt idx="0">
                  <c:v>0.071</c:v>
                </c:pt>
                <c:pt idx="1">
                  <c:v>0.016</c:v>
                </c:pt>
                <c:pt idx="2">
                  <c:v>0.871000000000002</c:v>
                </c:pt>
                <c:pt idx="3">
                  <c:v>0.042</c:v>
                </c:pt>
              </c:numCache>
            </c:numRef>
          </c:val>
        </c:ser>
        <c:dLbls>
          <c:showLegendKey val="false"/>
          <c:showVal val="true"/>
          <c:showCatName val="false"/>
          <c:showSerName val="false"/>
          <c:showPercent val="false"/>
          <c:showBubbleSize val="false"/>
          <c:showLeaderLines val="true"/>
        </c:dLbls>
        <c:firstSliceAng val="0"/>
      </c:pieChart>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txPr>
        <a:bodyPr rot="0" spcFirstLastPara="0" vertOverflow="ellipsis" vert="horz" wrap="square" anchor="ctr" anchorCtr="true"/>
        <a:lstStyle/>
        <a:p>
          <a:pPr>
            <a:defRPr lang="zh-CN" sz="1800" b="1" i="0" u="none" strike="noStrike" kern="1200" baseline="0">
              <a:solidFill>
                <a:schemeClr val="tx1"/>
              </a:solidFill>
              <a:latin typeface="+mn-lt"/>
              <a:ea typeface="+mn-ea"/>
              <a:cs typeface="+mn-cs"/>
            </a:defRPr>
          </a:pPr>
        </a:p>
      </c:txPr>
    </c:title>
    <c:autoTitleDeleted val="false"/>
    <c:plotArea>
      <c:layout/>
      <c:pieChart>
        <c:varyColors val="true"/>
        <c:ser>
          <c:idx val="0"/>
          <c:order val="0"/>
          <c:tx>
            <c:strRef>
              <c:f>Sheet1!$B$1</c:f>
              <c:strCache>
                <c:ptCount val="1"/>
                <c:pt idx="0">
                  <c:v>“三公”经费财政拨款支出</c:v>
                </c:pt>
              </c:strCache>
            </c:strRef>
          </c:tx>
          <c:explosion val="0"/>
          <c:dPt>
            <c:idx val="0"/>
            <c:bubble3D val="false"/>
          </c:dPt>
          <c:dPt>
            <c:idx val="1"/>
            <c:bubble3D val="false"/>
          </c:dPt>
          <c:dPt>
            <c:idx val="2"/>
            <c:bubble3D val="false"/>
          </c:dPt>
          <c:dLbls>
            <c:delete val="true"/>
          </c:dLbls>
          <c:cat>
            <c:strRef>
              <c:f>Sheet1!$A$2:$A$4</c:f>
              <c:strCache>
                <c:ptCount val="3"/>
                <c:pt idx="0">
                  <c:v>因公出国（境）费</c:v>
                </c:pt>
                <c:pt idx="1">
                  <c:v>公务用车购置及运行维护费</c:v>
                </c:pt>
                <c:pt idx="2">
                  <c:v>公务接待费</c:v>
                </c:pt>
              </c:strCache>
            </c:strRef>
          </c:cat>
          <c:val>
            <c:numRef>
              <c:f>Sheet1!$B$2:$B$4</c:f>
              <c:numCache>
                <c:formatCode>General</c:formatCode>
                <c:ptCount val="3"/>
                <c:pt idx="0">
                  <c:v>0</c:v>
                </c:pt>
                <c:pt idx="1">
                  <c:v>0</c:v>
                </c:pt>
                <c:pt idx="2">
                  <c:v>100</c:v>
                </c:pt>
              </c:numCache>
            </c:numRef>
          </c:val>
        </c:ser>
        <c:dLbls>
          <c:showLegendKey val="false"/>
          <c:showVal val="false"/>
          <c:showCatName val="false"/>
          <c:showSerName val="false"/>
          <c:showPercent val="false"/>
          <c:showBubbleSize val="false"/>
          <c:showLeaderLines val="true"/>
        </c:dLbls>
        <c:firstSliceAng val="0"/>
      </c:pieChart>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zero"/>
    <c:showDLblsOverMax val="false"/>
  </c:chart>
  <c:txPr>
    <a:bodyPr/>
    <a:lstStyle/>
    <a:p>
      <a:pPr>
        <a:defRPr lang="zh-CN"/>
      </a:pPr>
    </a:p>
  </c:txPr>
  <c:externalData r:id="rId1">
    <c:autoUpdate val="false"/>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3073" textRotate="1"/>
    <customShpInfo spid="_x0000_s3074"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15</Pages>
  <Words>4216</Words>
  <Characters>4589</Characters>
  <Lines>33</Lines>
  <Paragraphs>9</Paragraphs>
  <TotalTime>4</TotalTime>
  <ScaleCrop>false</ScaleCrop>
  <LinksUpToDate>false</LinksUpToDate>
  <CharactersWithSpaces>4631</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2020-08-05T17:49:00Z</dcterms:created>
  <dc:creator>曹颖</dc:creator>
  <cp:lastModifiedBy> </cp:lastModifiedBy>
  <cp:lastPrinted>2023-07-31T18:35:00Z</cp:lastPrinted>
  <dcterms:modified xsi:type="dcterms:W3CDTF">2024-10-12T20:00:03Z</dcterms:modified>
  <dc:title>四川省***</dc:title>
  <cp:revision>162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6B70361D626A4593B4A9C4A901EC4F63</vt:lpwstr>
  </property>
</Properties>
</file>