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pacing w:line="560" w:lineRule="exact"/>
        <w:jc w:val="left"/>
        <w:textAlignment w:val="auto"/>
        <w:outlineLvl w:val="9"/>
        <w:rPr>
          <w:rFonts w:ascii="方正小标宋简体" w:hAnsi="宋体" w:eastAsia="方正小标宋简体"/>
          <w:szCs w:val="21"/>
        </w:rPr>
      </w:pPr>
      <w:bookmarkStart w:id="0" w:name="_Toc15306267"/>
    </w:p>
    <w:p>
      <w:pPr>
        <w:pStyle w:val="7"/>
        <w:pageBreakBefore w:val="0"/>
        <w:kinsoku/>
        <w:wordWrap/>
        <w:overflowPunct/>
        <w:topLinePunct w:val="0"/>
        <w:bidi w:val="0"/>
        <w:spacing w:before="93" w:line="560" w:lineRule="exact"/>
        <w:textAlignment w:val="auto"/>
      </w:pPr>
    </w:p>
    <w:p>
      <w:pPr>
        <w:pageBreakBefore w:val="0"/>
        <w:kinsoku/>
        <w:wordWrap/>
        <w:overflowPunct/>
        <w:topLinePunct w:val="0"/>
        <w:bidi w:val="0"/>
        <w:spacing w:line="560" w:lineRule="exact"/>
        <w:jc w:val="center"/>
        <w:textAlignment w:val="auto"/>
        <w:outlineLvl w:val="9"/>
        <w:rPr>
          <w:rFonts w:ascii="方正小标宋简体" w:hAnsi="宋体" w:eastAsia="方正小标宋简体"/>
          <w:sz w:val="72"/>
          <w:szCs w:val="72"/>
        </w:rPr>
      </w:pPr>
    </w:p>
    <w:p>
      <w:pPr>
        <w:adjustRightInd w:val="0"/>
        <w:snapToGrid w:val="0"/>
        <w:spacing w:line="360" w:lineRule="auto"/>
        <w:jc w:val="center"/>
        <w:outlineLvl w:val="9"/>
        <w:rPr>
          <w:rFonts w:hint="eastAsia" w:ascii="方正小标宋简体" w:hAnsi="方正小标宋简体" w:eastAsia="方正小标宋简体" w:cs="方正小标宋简体"/>
          <w:sz w:val="72"/>
          <w:szCs w:val="72"/>
        </w:rPr>
      </w:pPr>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1" w:name="_Toc15396597"/>
      <w:bookmarkStart w:id="2" w:name="_Toc15396475"/>
      <w:bookmarkStart w:id="3" w:name="_Toc8704"/>
      <w:bookmarkStart w:id="4" w:name="_Toc15378441"/>
      <w:bookmarkStart w:id="5" w:name="_Toc9145"/>
      <w:bookmarkStart w:id="6" w:name="_Toc15377193"/>
      <w:bookmarkStart w:id="7" w:name="_Toc1537742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bookmarkEnd w:id="7"/>
    </w:p>
    <w:bookmarkEnd w:id="0"/>
    <w:p>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8" w:name="_Toc7746"/>
      <w:bookmarkStart w:id="9" w:name="_Toc10611"/>
      <w:r>
        <w:rPr>
          <w:rFonts w:hint="eastAsia" w:ascii="方正小标宋简体" w:hAnsi="方正小标宋简体" w:eastAsia="方正小标宋简体" w:cs="方正小标宋简体"/>
          <w:sz w:val="72"/>
          <w:szCs w:val="72"/>
        </w:rPr>
        <w:t>广元市</w:t>
      </w:r>
      <w:r>
        <w:rPr>
          <w:rFonts w:hint="eastAsia" w:ascii="方正小标宋简体" w:hAnsi="方正小标宋简体" w:eastAsia="方正小标宋简体" w:cs="方正小标宋简体"/>
          <w:sz w:val="72"/>
          <w:szCs w:val="72"/>
          <w:lang w:val="en-US" w:eastAsia="zh-CN"/>
        </w:rPr>
        <w:t>教育局</w:t>
      </w:r>
      <w:r>
        <w:rPr>
          <w:rFonts w:hint="eastAsia" w:ascii="方正小标宋简体" w:hAnsi="方正小标宋简体" w:eastAsia="方正小标宋简体" w:cs="方正小标宋简体"/>
          <w:sz w:val="72"/>
          <w:szCs w:val="72"/>
        </w:rPr>
        <w:t>单位决算</w:t>
      </w:r>
      <w:bookmarkEnd w:id="8"/>
      <w:bookmarkEnd w:id="9"/>
    </w:p>
    <w:p>
      <w:pPr>
        <w:pageBreakBefore w:val="0"/>
        <w:widowControl/>
        <w:kinsoku/>
        <w:wordWrap/>
        <w:overflowPunct/>
        <w:topLinePunct w:val="0"/>
        <w:bidi w:val="0"/>
        <w:spacing w:line="560" w:lineRule="exact"/>
        <w:jc w:val="left"/>
        <w:textAlignment w:val="auto"/>
        <w:rPr>
          <w:rFonts w:hint="eastAsia"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br w:type="page"/>
      </w:r>
    </w:p>
    <w:p>
      <w:pPr>
        <w:spacing w:before="0" w:beforeLines="0" w:after="0" w:afterLines="0" w:line="240" w:lineRule="auto"/>
        <w:ind w:left="0" w:leftChars="0" w:right="0" w:rightChars="0" w:firstLine="0" w:firstLineChars="0"/>
        <w:jc w:val="center"/>
        <w:rPr>
          <w:rFonts w:hint="eastAsia" w:ascii="黑体" w:hAnsi="黑体" w:eastAsia="黑体" w:cs="Times New Roman"/>
          <w:b w:val="0"/>
          <w:bCs/>
          <w:kern w:val="44"/>
          <w:sz w:val="44"/>
          <w:szCs w:val="44"/>
          <w:lang w:val="en-US" w:eastAsia="zh-CN" w:bidi="ar-SA"/>
        </w:rPr>
      </w:pPr>
      <w:bookmarkStart w:id="10" w:name="_Toc1734"/>
      <w:r>
        <w:rPr>
          <w:rFonts w:hint="eastAsia" w:ascii="黑体" w:hAnsi="黑体" w:eastAsia="黑体" w:cs="Times New Roman"/>
          <w:b w:val="0"/>
          <w:bCs/>
          <w:kern w:val="44"/>
          <w:sz w:val="44"/>
          <w:szCs w:val="44"/>
          <w:lang w:val="en-US" w:eastAsia="zh-CN" w:bidi="ar-SA"/>
        </w:rPr>
        <w:t>目录</w:t>
      </w:r>
    </w:p>
    <w:p>
      <w:pPr>
        <w:spacing w:before="0" w:beforeLines="0" w:after="0" w:afterLines="0" w:line="240" w:lineRule="auto"/>
        <w:ind w:left="0" w:leftChars="0" w:right="0" w:rightChars="0" w:firstLine="0" w:firstLineChars="0"/>
        <w:jc w:val="center"/>
        <w:rPr>
          <w:rFonts w:hint="eastAsia" w:ascii="宋体" w:hAnsi="宋体" w:eastAsia="宋体"/>
          <w:sz w:val="21"/>
        </w:rPr>
      </w:pPr>
      <w:r>
        <w:rPr>
          <w:rFonts w:hint="eastAsia" w:ascii="宋体" w:hAnsi="宋体" w:eastAsia="宋体"/>
          <w:sz w:val="21"/>
        </w:rPr>
        <w:t>公开时间：2024年10月14日</w:t>
      </w:r>
    </w:p>
    <w:sdt>
      <w:sdtPr>
        <w:rPr>
          <w:rFonts w:ascii="宋体" w:hAnsi="宋体" w:eastAsia="宋体" w:cs="Times New Roman"/>
          <w:kern w:val="2"/>
          <w:sz w:val="21"/>
          <w:szCs w:val="24"/>
          <w:lang w:val="en-US" w:eastAsia="zh-CN" w:bidi="ar-SA"/>
        </w:rPr>
        <w:id w:val="147475024"/>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r>
            <w:fldChar w:fldCharType="begin"/>
          </w:r>
          <w:r>
            <w:instrText xml:space="preserve">TOC \o "1-2" \h \u </w:instrText>
          </w:r>
          <w:r>
            <w:fldChar w:fldCharType="separate"/>
          </w:r>
        </w:p>
        <w:p>
          <w:pPr>
            <w:pStyle w:val="33"/>
            <w:tabs>
              <w:tab w:val="right" w:leader="dot" w:pos="8306"/>
            </w:tabs>
            <w:rPr>
              <w:b/>
            </w:rPr>
          </w:pPr>
          <w:r>
            <w:rPr>
              <w:b/>
            </w:rPr>
            <w:fldChar w:fldCharType="begin"/>
          </w:r>
          <w:r>
            <w:rPr>
              <w:b/>
            </w:rPr>
            <w:instrText xml:space="preserve"> HYPERLINK \l _Toc26082 </w:instrText>
          </w:r>
          <w:r>
            <w:rPr>
              <w:b/>
            </w:rPr>
            <w:fldChar w:fldCharType="separate"/>
          </w:r>
          <w:r>
            <w:rPr>
              <w:rFonts w:hint="eastAsia" w:ascii="黑体" w:hAnsi="黑体" w:eastAsia="黑体"/>
              <w:b/>
            </w:rPr>
            <w:t>第一部分 单位</w:t>
          </w:r>
          <w:r>
            <w:rPr>
              <w:rFonts w:hint="eastAsia" w:ascii="黑体" w:hAnsi="黑体" w:eastAsia="黑体"/>
              <w:b/>
              <w:bCs w:val="0"/>
            </w:rPr>
            <w:t>概况</w:t>
          </w:r>
          <w:r>
            <w:rPr>
              <w:b/>
            </w:rPr>
            <w:tab/>
          </w:r>
          <w:r>
            <w:rPr>
              <w:b/>
            </w:rPr>
            <w:fldChar w:fldCharType="begin"/>
          </w:r>
          <w:r>
            <w:rPr>
              <w:b/>
            </w:rPr>
            <w:instrText xml:space="preserve"> PAGEREF _Toc26082 \h </w:instrText>
          </w:r>
          <w:r>
            <w:rPr>
              <w:b/>
            </w:rPr>
            <w:fldChar w:fldCharType="separate"/>
          </w:r>
          <w:r>
            <w:rPr>
              <w:b/>
            </w:rPr>
            <w:t>3</w:t>
          </w:r>
          <w:r>
            <w:rPr>
              <w:b/>
            </w:rPr>
            <w:fldChar w:fldCharType="end"/>
          </w:r>
          <w:r>
            <w:rPr>
              <w:b/>
            </w:rPr>
            <w:fldChar w:fldCharType="end"/>
          </w:r>
        </w:p>
        <w:p>
          <w:pPr>
            <w:pStyle w:val="34"/>
            <w:tabs>
              <w:tab w:val="right" w:leader="dot" w:pos="8306"/>
            </w:tabs>
          </w:pPr>
          <w:r>
            <w:fldChar w:fldCharType="begin"/>
          </w:r>
          <w:r>
            <w:instrText xml:space="preserve"> HYPERLINK \l _Toc7214 </w:instrText>
          </w:r>
          <w:r>
            <w:fldChar w:fldCharType="separate"/>
          </w:r>
          <w:r>
            <w:rPr>
              <w:rFonts w:hint="eastAsia" w:ascii="黑体" w:hAnsi="黑体" w:eastAsia="黑体"/>
              <w:bCs w:val="0"/>
            </w:rPr>
            <w:t>一、 主要职责</w:t>
          </w:r>
          <w:r>
            <w:tab/>
          </w:r>
          <w:r>
            <w:fldChar w:fldCharType="begin"/>
          </w:r>
          <w:r>
            <w:instrText xml:space="preserve"> PAGEREF _Toc7214 \h </w:instrText>
          </w:r>
          <w:r>
            <w:fldChar w:fldCharType="separate"/>
          </w:r>
          <w:r>
            <w:t>3</w:t>
          </w:r>
          <w:r>
            <w:fldChar w:fldCharType="end"/>
          </w:r>
          <w:r>
            <w:fldChar w:fldCharType="end"/>
          </w:r>
        </w:p>
        <w:p>
          <w:pPr>
            <w:pStyle w:val="34"/>
            <w:tabs>
              <w:tab w:val="right" w:leader="dot" w:pos="8306"/>
            </w:tabs>
          </w:pPr>
          <w:r>
            <w:fldChar w:fldCharType="begin"/>
          </w:r>
          <w:r>
            <w:instrText xml:space="preserve"> HYPERLINK \l _Toc19125 </w:instrText>
          </w:r>
          <w:r>
            <w:fldChar w:fldCharType="separate"/>
          </w:r>
          <w:r>
            <w:rPr>
              <w:rFonts w:hint="eastAsia" w:ascii="黑体" w:hAnsi="黑体" w:eastAsia="黑体"/>
            </w:rPr>
            <w:t>二、机构设置</w:t>
          </w:r>
          <w:r>
            <w:tab/>
          </w:r>
          <w:r>
            <w:fldChar w:fldCharType="begin"/>
          </w:r>
          <w:r>
            <w:instrText xml:space="preserve"> PAGEREF _Toc19125 \h </w:instrText>
          </w:r>
          <w:r>
            <w:fldChar w:fldCharType="separate"/>
          </w:r>
          <w:r>
            <w:t>5</w:t>
          </w:r>
          <w:r>
            <w:fldChar w:fldCharType="end"/>
          </w:r>
          <w:r>
            <w:fldChar w:fldCharType="end"/>
          </w:r>
        </w:p>
        <w:p>
          <w:pPr>
            <w:pStyle w:val="33"/>
            <w:tabs>
              <w:tab w:val="right" w:leader="dot" w:pos="8306"/>
            </w:tabs>
            <w:rPr>
              <w:b/>
            </w:rPr>
          </w:pPr>
          <w:r>
            <w:rPr>
              <w:b/>
            </w:rPr>
            <w:fldChar w:fldCharType="begin"/>
          </w:r>
          <w:r>
            <w:rPr>
              <w:b/>
            </w:rPr>
            <w:instrText xml:space="preserve"> HYPERLINK \l _Toc20049 </w:instrText>
          </w:r>
          <w:r>
            <w:rPr>
              <w:b/>
            </w:rPr>
            <w:fldChar w:fldCharType="separate"/>
          </w:r>
          <w:r>
            <w:rPr>
              <w:rFonts w:hint="eastAsia" w:ascii="黑体" w:hAnsi="黑体" w:eastAsia="黑体"/>
              <w:b/>
            </w:rPr>
            <w:t>第二部分 2023年度</w:t>
          </w:r>
          <w:r>
            <w:rPr>
              <w:rFonts w:hint="eastAsia" w:ascii="黑体" w:hAnsi="黑体" w:eastAsia="黑体"/>
              <w:b/>
              <w:bCs/>
            </w:rPr>
            <w:t>单位决算情况说明</w:t>
          </w:r>
          <w:r>
            <w:rPr>
              <w:b/>
            </w:rPr>
            <w:tab/>
          </w:r>
          <w:r>
            <w:rPr>
              <w:b/>
            </w:rPr>
            <w:fldChar w:fldCharType="begin"/>
          </w:r>
          <w:r>
            <w:rPr>
              <w:b/>
            </w:rPr>
            <w:instrText xml:space="preserve"> PAGEREF _Toc20049 \h </w:instrText>
          </w:r>
          <w:r>
            <w:rPr>
              <w:b/>
            </w:rPr>
            <w:fldChar w:fldCharType="separate"/>
          </w:r>
          <w:r>
            <w:rPr>
              <w:b/>
            </w:rPr>
            <w:t>7</w:t>
          </w:r>
          <w:r>
            <w:rPr>
              <w:b/>
            </w:rPr>
            <w:fldChar w:fldCharType="end"/>
          </w:r>
          <w:r>
            <w:rPr>
              <w:b/>
            </w:rPr>
            <w:fldChar w:fldCharType="end"/>
          </w:r>
        </w:p>
        <w:p>
          <w:pPr>
            <w:pStyle w:val="34"/>
            <w:tabs>
              <w:tab w:val="right" w:leader="dot" w:pos="8306"/>
            </w:tabs>
          </w:pPr>
          <w:r>
            <w:fldChar w:fldCharType="begin"/>
          </w:r>
          <w:r>
            <w:instrText xml:space="preserve"> HYPERLINK \l _Toc19350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_Toc19350 \h </w:instrText>
          </w:r>
          <w:r>
            <w:fldChar w:fldCharType="separate"/>
          </w:r>
          <w:r>
            <w:t>7</w:t>
          </w:r>
          <w:r>
            <w:fldChar w:fldCharType="end"/>
          </w:r>
          <w:r>
            <w:fldChar w:fldCharType="end"/>
          </w:r>
        </w:p>
        <w:p>
          <w:pPr>
            <w:pStyle w:val="34"/>
            <w:tabs>
              <w:tab w:val="right" w:leader="dot" w:pos="8306"/>
            </w:tabs>
          </w:pPr>
          <w:r>
            <w:fldChar w:fldCharType="begin"/>
          </w:r>
          <w:r>
            <w:instrText xml:space="preserve"> HYPERLINK \l _Toc23144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_Toc23144 \h </w:instrText>
          </w:r>
          <w:r>
            <w:fldChar w:fldCharType="separate"/>
          </w:r>
          <w:r>
            <w:t>7</w:t>
          </w:r>
          <w:r>
            <w:fldChar w:fldCharType="end"/>
          </w:r>
          <w:r>
            <w:fldChar w:fldCharType="end"/>
          </w:r>
        </w:p>
        <w:p>
          <w:pPr>
            <w:pStyle w:val="34"/>
            <w:tabs>
              <w:tab w:val="right" w:leader="dot" w:pos="8306"/>
            </w:tabs>
          </w:pPr>
          <w:r>
            <w:fldChar w:fldCharType="begin"/>
          </w:r>
          <w:r>
            <w:instrText xml:space="preserve"> HYPERLINK \l _Toc192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_Toc192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_Toc14361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_Toc14361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_Toc9607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_Toc9607 \h </w:instrText>
          </w:r>
          <w:r>
            <w:fldChar w:fldCharType="separate"/>
          </w:r>
          <w:r>
            <w:t>9</w:t>
          </w:r>
          <w:r>
            <w:fldChar w:fldCharType="end"/>
          </w:r>
          <w:r>
            <w:fldChar w:fldCharType="end"/>
          </w:r>
        </w:p>
        <w:p>
          <w:pPr>
            <w:pStyle w:val="34"/>
            <w:tabs>
              <w:tab w:val="right" w:leader="dot" w:pos="8306"/>
            </w:tabs>
          </w:pPr>
          <w:r>
            <w:fldChar w:fldCharType="begin"/>
          </w:r>
          <w:r>
            <w:instrText xml:space="preserve"> HYPERLINK \l _Toc23971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_Toc23971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_Toc27590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_Toc27590 \h </w:instrText>
          </w:r>
          <w:r>
            <w:fldChar w:fldCharType="separate"/>
          </w:r>
          <w:r>
            <w:t>13</w:t>
          </w:r>
          <w:r>
            <w:fldChar w:fldCharType="end"/>
          </w:r>
          <w:r>
            <w:fldChar w:fldCharType="end"/>
          </w:r>
        </w:p>
        <w:p>
          <w:pPr>
            <w:pStyle w:val="34"/>
            <w:tabs>
              <w:tab w:val="right" w:leader="dot" w:pos="8306"/>
            </w:tabs>
          </w:pPr>
          <w:r>
            <w:fldChar w:fldCharType="begin"/>
          </w:r>
          <w:r>
            <w:instrText xml:space="preserve"> HYPERLINK \l _Toc16774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_Toc16774 \h </w:instrText>
          </w:r>
          <w:r>
            <w:fldChar w:fldCharType="separate"/>
          </w:r>
          <w:r>
            <w:t>15</w:t>
          </w:r>
          <w:r>
            <w:fldChar w:fldCharType="end"/>
          </w:r>
          <w:r>
            <w:fldChar w:fldCharType="end"/>
          </w:r>
        </w:p>
        <w:p>
          <w:pPr>
            <w:pStyle w:val="34"/>
            <w:tabs>
              <w:tab w:val="right" w:leader="dot" w:pos="8306"/>
            </w:tabs>
          </w:pPr>
          <w:r>
            <w:fldChar w:fldCharType="begin"/>
          </w:r>
          <w:r>
            <w:instrText xml:space="preserve"> HYPERLINK \l _Toc23168 </w:instrText>
          </w:r>
          <w:r>
            <w:fldChar w:fldCharType="separate"/>
          </w:r>
          <w:r>
            <w:rPr>
              <w:rFonts w:hint="eastAsia" w:ascii="黑体" w:hAnsi="黑体" w:eastAsia="黑体"/>
            </w:rPr>
            <w:t>九、 国有资本经营预算支出决算情况说明</w:t>
          </w:r>
          <w:r>
            <w:tab/>
          </w:r>
          <w:r>
            <w:fldChar w:fldCharType="begin"/>
          </w:r>
          <w:r>
            <w:instrText xml:space="preserve"> PAGEREF _Toc23168 \h </w:instrText>
          </w:r>
          <w:r>
            <w:fldChar w:fldCharType="separate"/>
          </w:r>
          <w:r>
            <w:t>15</w:t>
          </w:r>
          <w:r>
            <w:fldChar w:fldCharType="end"/>
          </w:r>
          <w:r>
            <w:fldChar w:fldCharType="end"/>
          </w:r>
        </w:p>
        <w:p>
          <w:pPr>
            <w:pStyle w:val="34"/>
            <w:tabs>
              <w:tab w:val="right" w:leader="dot" w:pos="8306"/>
            </w:tabs>
          </w:pPr>
          <w:r>
            <w:fldChar w:fldCharType="begin"/>
          </w:r>
          <w:r>
            <w:instrText xml:space="preserve"> HYPERLINK \l _Toc12497 </w:instrText>
          </w:r>
          <w:r>
            <w:fldChar w:fldCharType="separate"/>
          </w:r>
          <w:r>
            <w:rPr>
              <w:rFonts w:hint="eastAsia" w:ascii="黑体" w:hAnsi="黑体" w:eastAsia="黑体"/>
            </w:rPr>
            <w:t>十、 其他重要事项的情况说明</w:t>
          </w:r>
          <w:r>
            <w:tab/>
          </w:r>
          <w:r>
            <w:fldChar w:fldCharType="begin"/>
          </w:r>
          <w:r>
            <w:instrText xml:space="preserve"> PAGEREF _Toc12497 \h </w:instrText>
          </w:r>
          <w:r>
            <w:fldChar w:fldCharType="separate"/>
          </w:r>
          <w:r>
            <w:t>15</w:t>
          </w:r>
          <w:r>
            <w:fldChar w:fldCharType="end"/>
          </w:r>
          <w:r>
            <w:fldChar w:fldCharType="end"/>
          </w:r>
        </w:p>
        <w:p>
          <w:pPr>
            <w:pStyle w:val="33"/>
            <w:tabs>
              <w:tab w:val="right" w:leader="dot" w:pos="8306"/>
            </w:tabs>
            <w:rPr>
              <w:b/>
            </w:rPr>
          </w:pPr>
          <w:r>
            <w:rPr>
              <w:b/>
            </w:rPr>
            <w:fldChar w:fldCharType="begin"/>
          </w:r>
          <w:r>
            <w:rPr>
              <w:b/>
            </w:rPr>
            <w:instrText xml:space="preserve"> HYPERLINK \l _Toc14931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_Toc14931 \h </w:instrText>
          </w:r>
          <w:r>
            <w:rPr>
              <w:b/>
            </w:rPr>
            <w:fldChar w:fldCharType="separate"/>
          </w:r>
          <w:r>
            <w:rPr>
              <w:b/>
            </w:rPr>
            <w:t>17</w:t>
          </w:r>
          <w:r>
            <w:rPr>
              <w:b/>
            </w:rPr>
            <w:fldChar w:fldCharType="end"/>
          </w:r>
          <w:r>
            <w:rPr>
              <w:b/>
            </w:rPr>
            <w:fldChar w:fldCharType="end"/>
          </w:r>
        </w:p>
        <w:p>
          <w:pPr>
            <w:pStyle w:val="33"/>
            <w:tabs>
              <w:tab w:val="right" w:leader="dot" w:pos="8306"/>
            </w:tabs>
            <w:rPr>
              <w:b/>
            </w:rPr>
          </w:pPr>
          <w:r>
            <w:rPr>
              <w:b/>
            </w:rPr>
            <w:fldChar w:fldCharType="begin"/>
          </w:r>
          <w:r>
            <w:rPr>
              <w:b/>
            </w:rPr>
            <w:instrText xml:space="preserve"> HYPERLINK \l _Toc29372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_Toc29372 \h </w:instrText>
          </w:r>
          <w:r>
            <w:rPr>
              <w:b/>
            </w:rPr>
            <w:fldChar w:fldCharType="separate"/>
          </w:r>
          <w:r>
            <w:rPr>
              <w:b/>
            </w:rPr>
            <w:t>21</w:t>
          </w:r>
          <w:r>
            <w:rPr>
              <w:b/>
            </w:rPr>
            <w:fldChar w:fldCharType="end"/>
          </w:r>
          <w:r>
            <w:rPr>
              <w:b/>
            </w:rPr>
            <w:fldChar w:fldCharType="end"/>
          </w:r>
        </w:p>
        <w:p>
          <w:pPr>
            <w:pStyle w:val="33"/>
            <w:tabs>
              <w:tab w:val="right" w:leader="dot" w:pos="8306"/>
            </w:tabs>
            <w:rPr>
              <w:b/>
            </w:rPr>
          </w:pPr>
          <w:r>
            <w:rPr>
              <w:b/>
            </w:rPr>
            <w:fldChar w:fldCharType="begin"/>
          </w:r>
          <w:r>
            <w:rPr>
              <w:b/>
            </w:rPr>
            <w:instrText xml:space="preserve"> HYPERLINK \l _Toc662 </w:instrText>
          </w:r>
          <w:r>
            <w:rPr>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_Toc662 \h </w:instrText>
          </w:r>
          <w:r>
            <w:rPr>
              <w:b/>
            </w:rPr>
            <w:fldChar w:fldCharType="separate"/>
          </w:r>
          <w:r>
            <w:rPr>
              <w:b/>
            </w:rPr>
            <w:t>75</w:t>
          </w:r>
          <w:r>
            <w:rPr>
              <w:b/>
            </w:rPr>
            <w:fldChar w:fldCharType="end"/>
          </w:r>
          <w:r>
            <w:rPr>
              <w:b/>
            </w:rPr>
            <w:fldChar w:fldCharType="end"/>
          </w:r>
        </w:p>
        <w:p>
          <w:pPr>
            <w:pStyle w:val="34"/>
            <w:tabs>
              <w:tab w:val="right" w:leader="dot" w:pos="8306"/>
            </w:tabs>
          </w:pPr>
          <w:r>
            <w:fldChar w:fldCharType="begin"/>
          </w:r>
          <w:r>
            <w:instrText xml:space="preserve"> HYPERLINK \l _Toc16598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_Toc16598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_Toc32541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_Toc32541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_Toc20965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_Toc20965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_Toc1703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_Toc1703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_Toc8004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_Toc8004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_Toc13876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_Toc13876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_Toc32443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_Toc32443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_Toc11791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_Toc11791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_Toc12935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_Toc12935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_Toc9782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_Toc9782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_Toc24215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_Toc24215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_Toc30490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_Toc30490 \h </w:instrText>
          </w:r>
          <w:r>
            <w:fldChar w:fldCharType="separate"/>
          </w:r>
          <w:r>
            <w:t>75</w:t>
          </w:r>
          <w:r>
            <w:fldChar w:fldCharType="end"/>
          </w:r>
          <w:r>
            <w:fldChar w:fldCharType="end"/>
          </w:r>
        </w:p>
        <w:p>
          <w:pPr>
            <w:pStyle w:val="34"/>
            <w:tabs>
              <w:tab w:val="right" w:leader="dot" w:pos="8306"/>
            </w:tabs>
          </w:pPr>
          <w:r>
            <w:fldChar w:fldCharType="begin"/>
          </w:r>
          <w:r>
            <w:instrText xml:space="preserve"> HYPERLINK \l _Toc13520 </w:instrText>
          </w:r>
          <w:r>
            <w:fldChar w:fldCharType="separate"/>
          </w:r>
          <w:r>
            <w:rPr>
              <w:rFonts w:hint="eastAsia" w:ascii="仿宋" w:hAnsi="仿宋" w:eastAsia="仿宋"/>
              <w:bCs w:val="0"/>
            </w:rPr>
            <w:t>十三、财政拨款“三公”经费支出决算表</w:t>
          </w:r>
          <w:r>
            <w:tab/>
          </w:r>
          <w:r>
            <w:fldChar w:fldCharType="begin"/>
          </w:r>
          <w:r>
            <w:instrText xml:space="preserve"> PAGEREF _Toc13520 \h </w:instrText>
          </w:r>
          <w:r>
            <w:fldChar w:fldCharType="separate"/>
          </w:r>
          <w:r>
            <w:t>75</w:t>
          </w:r>
          <w:r>
            <w:fldChar w:fldCharType="end"/>
          </w:r>
          <w:r>
            <w:fldChar w:fldCharType="end"/>
          </w:r>
        </w:p>
        <w:p>
          <w:pPr>
            <w:rPr>
              <w:b/>
            </w:rPr>
          </w:pPr>
          <w:r>
            <w:rPr>
              <w:b/>
            </w:rPr>
            <w:fldChar w:fldCharType="end"/>
          </w:r>
        </w:p>
      </w:sdtContent>
    </w:sdt>
    <w:p>
      <w:pPr>
        <w:rPr>
          <w:b/>
        </w:rPr>
      </w:pPr>
    </w:p>
    <w:p>
      <w:pPr>
        <w:rPr>
          <w:rFonts w:hint="eastAsia" w:ascii="宋体" w:hAnsi="宋体" w:eastAsia="宋体"/>
          <w:sz w:val="21"/>
        </w:rPr>
      </w:pPr>
      <w:r>
        <w:rPr>
          <w:rFonts w:hint="eastAsia" w:ascii="宋体" w:hAnsi="宋体" w:eastAsia="宋体"/>
          <w:sz w:val="21"/>
        </w:rPr>
        <w:br w:type="page"/>
      </w:r>
    </w:p>
    <w:p>
      <w:pPr>
        <w:pStyle w:val="2"/>
        <w:rPr>
          <w:rFonts w:hint="eastAsia"/>
        </w:rPr>
      </w:pPr>
    </w:p>
    <w:p>
      <w:pPr>
        <w:pStyle w:val="4"/>
        <w:pageBreakBefore w:val="0"/>
        <w:kinsoku/>
        <w:wordWrap/>
        <w:overflowPunct/>
        <w:topLinePunct w:val="0"/>
        <w:bidi w:val="0"/>
        <w:spacing w:line="560" w:lineRule="exact"/>
        <w:jc w:val="center"/>
        <w:textAlignment w:val="auto"/>
        <w:rPr>
          <w:rFonts w:ascii="黑体" w:eastAsia="黑体"/>
          <w:sz w:val="32"/>
          <w:szCs w:val="32"/>
        </w:rPr>
      </w:pPr>
      <w:bookmarkStart w:id="11" w:name="_Toc26082"/>
      <w:r>
        <w:rPr>
          <w:rFonts w:hint="eastAsia" w:ascii="黑体" w:hAnsi="黑体" w:eastAsia="黑体"/>
          <w:b w:val="0"/>
        </w:rPr>
        <w:t>第一部分 单位</w:t>
      </w:r>
      <w:r>
        <w:rPr>
          <w:rStyle w:val="27"/>
          <w:rFonts w:hint="eastAsia" w:ascii="黑体" w:hAnsi="黑体" w:eastAsia="黑体"/>
          <w:b w:val="0"/>
          <w:bCs w:val="0"/>
        </w:rPr>
        <w:t>概况</w:t>
      </w:r>
      <w:bookmarkEnd w:id="10"/>
      <w:bookmarkEnd w:id="11"/>
    </w:p>
    <w:p>
      <w:pPr>
        <w:pStyle w:val="5"/>
        <w:pageBreakBefore w:val="0"/>
        <w:numPr>
          <w:ilvl w:val="0"/>
          <w:numId w:val="1"/>
        </w:numPr>
        <w:kinsoku/>
        <w:wordWrap/>
        <w:overflowPunct/>
        <w:topLinePunct w:val="0"/>
        <w:bidi w:val="0"/>
        <w:spacing w:line="560" w:lineRule="exact"/>
        <w:textAlignment w:val="auto"/>
        <w:rPr>
          <w:rStyle w:val="28"/>
          <w:rFonts w:ascii="黑体" w:hAnsi="黑体" w:eastAsia="黑体"/>
          <w:b w:val="0"/>
          <w:bCs w:val="0"/>
        </w:rPr>
      </w:pPr>
      <w:bookmarkStart w:id="12" w:name="_Toc29646"/>
      <w:bookmarkStart w:id="13" w:name="_Toc7214"/>
      <w:bookmarkStart w:id="14" w:name="_Toc15396600"/>
      <w:bookmarkStart w:id="15" w:name="_Toc15377197"/>
      <w:r>
        <w:rPr>
          <w:rStyle w:val="28"/>
          <w:rFonts w:hint="eastAsia" w:ascii="黑体" w:hAnsi="黑体" w:eastAsia="黑体"/>
          <w:b w:val="0"/>
          <w:bCs w:val="0"/>
        </w:rPr>
        <w:t>主要职责</w:t>
      </w:r>
      <w:bookmarkEnd w:id="12"/>
      <w:bookmarkEnd w:id="13"/>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广元市教育局根据中国共产党广元市委、广元市人民政府的行政分工，对辖区的教育实行行政管理：</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1．贯彻执行教育工作的方针、政策、法律和法规，研究提出全市教育发展战略，草拟教育工作的政策和规范性文件，并监督执行。</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2．编制全市教育事业的发展规划和年度计划，拟定教育事业发展重点、规模、速度，指导、协调教育规划、计划的实施。</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3．综合管理全市的基础教育，指导各县（区）各部门的教育工作，负责对学校办学质量的管理，对学校办学行为和教育质量进行监督、督导和评估。组织和指导全市教育改革，统筹规划、协调指导教育体制和办学体制的改革，理顺教育内部和外部的关系，建立适应社会主义市场经济体制和政治体制以及科技体制需要的教育体制和运行机制。</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4．统筹管理本部门的教育经费；参与拟定筹措教育经费、教育拨款、教育基建投资的政策和措施；在市本级财政中，市属学校的经费预算（含教育事业费、教育基建投资）确定后，由市教育局组织实施；有关教育经费的收费标准，由市教育局提出意见，经物价、财政等部门审核后，报市政府审批；负责对城区教育费附加的征收管理；监测全市教育经费的筹措和使用情况；监测各县（区）教育经费“三个增长”的执行情况；管理国家、省对我市教育项目的拨款经费；管理国外对我市的教育援助和贷款；负责学校布局结构的调整。</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5．按照国务院关于基础教育改革与发展的决定，负责对高级中学和完全中学校长的提名、考察或参与考察，按干部管理权限任用或聘用。推行中小学校长聘任制，实行校长任期制，推进校长职级制。指导直属学校领导班子思想政治建设；加强全市学校干部队伍建设。</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6．主管全市教师工作，会同有关部门制定教育系统人事管理工作的有关政策和规章制度，指导学校内部管理体制改革，规划指导全市中小学教师队伍建设；根据中央、省制定的各类学校的编制标准管理学校的编制；负责市直属学校教师的调配任用、工资福利、考核奖惩等工作；管理学校教师专业技术职务的评聘工作；负责教师的培养培训工作；指导教师资格考试、资格认定和证书管理工作。</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7．统筹管理全市普通高校、成人高校、中等专业学校的招生考试工作和高等教育自学考试工作，并组织实施。</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8．归口管理全市的学历教育及考试工作，规划、指导继续教育工作、成人教育工作和扫除青壮年文盲工作。指导各级各类学校的思想政治工作、德育工作、法制教育工作、体育卫生与美育工作、国防教育工作和安全工作。会同有关部门改革师范类毕业生就业分配制度，组织实施师范类毕业生就业分配计划。</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9．规划并管理全市教育管理情报、统计资料及信息系统的开发和建设工作；指导教育方针政策的宣传和舆论监督工作。</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10．承担市语言文字工作委员会的日常工作。管理局直属事业单位，指导全市教育系统地学会、基金会等社团组织的管理工作。</w:t>
      </w:r>
    </w:p>
    <w:p>
      <w:pPr>
        <w:pageBreakBefore w:val="0"/>
        <w:kinsoku/>
        <w:wordWrap/>
        <w:overflowPunct/>
        <w:topLinePunct w:val="0"/>
        <w:bidi w:val="0"/>
        <w:spacing w:line="560" w:lineRule="exact"/>
        <w:ind w:firstLine="640" w:firstLineChars="200"/>
        <w:textAlignment w:val="auto"/>
      </w:pPr>
      <w:r>
        <w:rPr>
          <w:rFonts w:hint="eastAsia" w:ascii="仿宋" w:hAnsi="仿宋" w:eastAsia="仿宋"/>
          <w:sz w:val="32"/>
          <w:szCs w:val="32"/>
        </w:rPr>
        <w:t>11．承办市政府交办的其他事项。</w:t>
      </w:r>
    </w:p>
    <w:p>
      <w:pPr>
        <w:pStyle w:val="5"/>
        <w:pageBreakBefore w:val="0"/>
        <w:kinsoku/>
        <w:wordWrap/>
        <w:overflowPunct/>
        <w:topLinePunct w:val="0"/>
        <w:bidi w:val="0"/>
        <w:spacing w:line="560" w:lineRule="exact"/>
        <w:textAlignment w:val="auto"/>
        <w:rPr>
          <w:rFonts w:ascii="黑体" w:hAnsi="黑体" w:eastAsia="黑体"/>
          <w:b w:val="0"/>
        </w:rPr>
      </w:pPr>
      <w:bookmarkStart w:id="16" w:name="_Toc27692"/>
      <w:bookmarkStart w:id="17" w:name="_Toc19125"/>
      <w:r>
        <w:rPr>
          <w:rFonts w:hint="eastAsia" w:ascii="黑体" w:hAnsi="黑体" w:eastAsia="黑体"/>
          <w:b w:val="0"/>
        </w:rPr>
        <w:t>二、机构设置</w:t>
      </w:r>
      <w:bookmarkEnd w:id="16"/>
      <w:bookmarkEnd w:id="17"/>
    </w:p>
    <w:bookmarkEnd w:id="14"/>
    <w:bookmarkEnd w:id="15"/>
    <w:p>
      <w:pPr>
        <w:snapToGrid w:val="0"/>
        <w:spacing w:line="576" w:lineRule="exact"/>
        <w:ind w:firstLine="640" w:firstLineChars="200"/>
        <w:jc w:val="both"/>
        <w:rPr>
          <w:rFonts w:hint="eastAsia" w:ascii="仿宋" w:hAnsi="仿宋" w:eastAsia="仿宋" w:cs="仿宋"/>
          <w:sz w:val="32"/>
          <w:szCs w:val="32"/>
          <w:highlight w:val="none"/>
        </w:rPr>
      </w:pPr>
      <w:bookmarkStart w:id="18" w:name="_Toc15396602"/>
      <w:bookmarkStart w:id="19" w:name="_Toc15377204"/>
      <w:r>
        <w:rPr>
          <w:rFonts w:hint="eastAsia" w:ascii="仿宋_GB2312" w:hAnsi="仿宋_GB2312" w:eastAsia="仿宋_GB2312" w:cs="仿宋_GB2312"/>
          <w:sz w:val="32"/>
          <w:szCs w:val="32"/>
          <w:highlight w:val="none"/>
          <w:lang w:val="en-US" w:eastAsia="zh-CN"/>
        </w:rPr>
        <w:t>我单位为市教育局下属二级预算单位，本单位下属二级预算单位16个，设有内设机构15个，包括：办公室、基础教育科、计划财务科、人事科、职业与成人教育科、体育卫生艺术教育科、教育督导委办公室、学校后勤与产业管理科、政策法规与综合改革科、学校德育工作科、安全稳定与信访科、督察审计科、教育工委办公室、机关党委办公室、秘书科等。</w:t>
      </w:r>
    </w:p>
    <w:p>
      <w:pPr>
        <w:rPr>
          <w:rFonts w:hint="eastAsia" w:ascii="仿宋" w:hAnsi="仿宋" w:eastAsia="仿宋" w:cs="仿宋"/>
          <w:sz w:val="32"/>
          <w:szCs w:val="32"/>
          <w:highlight w:val="yellow"/>
        </w:rPr>
      </w:pPr>
    </w:p>
    <w:p>
      <w:pPr>
        <w:pStyle w:val="2"/>
        <w:rPr>
          <w:rFonts w:hint="eastAsia" w:ascii="仿宋" w:hAnsi="仿宋" w:eastAsia="仿宋" w:cs="仿宋"/>
          <w:sz w:val="32"/>
          <w:szCs w:val="32"/>
        </w:rPr>
      </w:pPr>
      <w:bookmarkStart w:id="132" w:name="_GoBack"/>
      <w:bookmarkEnd w:id="132"/>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rPr>
          <w:rFonts w:hint="eastAsia"/>
        </w:rPr>
      </w:pPr>
    </w:p>
    <w:p>
      <w:pPr>
        <w:pStyle w:val="4"/>
        <w:pageBreakBefore w:val="0"/>
        <w:kinsoku/>
        <w:wordWrap/>
        <w:overflowPunct/>
        <w:topLinePunct w:val="0"/>
        <w:bidi w:val="0"/>
        <w:spacing w:line="560" w:lineRule="exact"/>
        <w:ind w:right="440"/>
        <w:jc w:val="center"/>
        <w:textAlignment w:val="auto"/>
      </w:pPr>
      <w:bookmarkStart w:id="20" w:name="_Toc27422"/>
      <w:bookmarkStart w:id="21" w:name="_Toc20049"/>
      <w:r>
        <w:rPr>
          <w:rFonts w:hint="eastAsia" w:ascii="黑体" w:hAnsi="黑体" w:eastAsia="黑体"/>
          <w:b w:val="0"/>
        </w:rPr>
        <w:t>第二部分 2023年度</w:t>
      </w:r>
      <w:r>
        <w:rPr>
          <w:rStyle w:val="27"/>
          <w:rFonts w:hint="eastAsia" w:ascii="黑体" w:hAnsi="黑体" w:eastAsia="黑体"/>
          <w:b w:val="0"/>
          <w:bCs/>
        </w:rPr>
        <w:t>单位决算情况说明</w:t>
      </w:r>
      <w:bookmarkEnd w:id="18"/>
      <w:bookmarkEnd w:id="19"/>
      <w:bookmarkEnd w:id="20"/>
      <w:bookmarkEnd w:id="21"/>
    </w:p>
    <w:p>
      <w:pPr>
        <w:pStyle w:val="26"/>
        <w:pageBreakBefore w:val="0"/>
        <w:numPr>
          <w:ilvl w:val="0"/>
          <w:numId w:val="2"/>
        </w:numPr>
        <w:kinsoku/>
        <w:wordWrap/>
        <w:overflowPunct/>
        <w:topLinePunct w:val="0"/>
        <w:bidi w:val="0"/>
        <w:spacing w:line="560" w:lineRule="exact"/>
        <w:ind w:firstLineChars="0"/>
        <w:textAlignment w:val="auto"/>
        <w:outlineLvl w:val="1"/>
        <w:rPr>
          <w:rStyle w:val="28"/>
          <w:rFonts w:ascii="黑体" w:hAnsi="黑体" w:eastAsia="黑体"/>
          <w:b w:val="0"/>
        </w:rPr>
      </w:pPr>
      <w:bookmarkStart w:id="22" w:name="_Toc15396603"/>
      <w:bookmarkStart w:id="23" w:name="_Toc15377205"/>
      <w:bookmarkStart w:id="24" w:name="_Toc726"/>
      <w:bookmarkStart w:id="25" w:name="_Toc19350"/>
      <w:r>
        <w:rPr>
          <w:rFonts w:hint="eastAsia" w:ascii="黑体" w:hAnsi="黑体" w:eastAsia="黑体"/>
          <w:sz w:val="32"/>
          <w:szCs w:val="32"/>
        </w:rPr>
        <w:t>收</w:t>
      </w:r>
      <w:r>
        <w:rPr>
          <w:rStyle w:val="28"/>
          <w:rFonts w:hint="eastAsia" w:ascii="黑体" w:hAnsi="黑体" w:eastAsia="黑体"/>
          <w:b w:val="0"/>
        </w:rPr>
        <w:t>入支出决算总体情况说明</w:t>
      </w:r>
      <w:bookmarkEnd w:id="22"/>
      <w:bookmarkEnd w:id="23"/>
      <w:bookmarkEnd w:id="24"/>
      <w:bookmarkEnd w:id="25"/>
    </w:p>
    <w:p>
      <w:pPr>
        <w:pageBreakBefore w:val="0"/>
        <w:kinsoku/>
        <w:wordWrap/>
        <w:overflowPunct/>
        <w:topLinePunct w:val="0"/>
        <w:bidi w:val="0"/>
        <w:spacing w:line="560" w:lineRule="exact"/>
        <w:ind w:firstLine="420" w:firstLineChars="200"/>
        <w:textAlignment w:val="auto"/>
        <w:rPr>
          <w:rFonts w:hint="eastAsia" w:ascii="仿宋" w:hAnsi="仿宋" w:eastAsia="仿宋"/>
          <w:sz w:val="32"/>
          <w:szCs w:val="32"/>
        </w:rPr>
      </w:pPr>
      <w:r>
        <w:drawing>
          <wp:anchor distT="0" distB="0" distL="114300" distR="114300" simplePos="0" relativeHeight="251659264" behindDoc="0" locked="0" layoutInCell="1" allowOverlap="1">
            <wp:simplePos x="0" y="0"/>
            <wp:positionH relativeFrom="column">
              <wp:posOffset>787400</wp:posOffset>
            </wp:positionH>
            <wp:positionV relativeFrom="paragraph">
              <wp:posOffset>1169670</wp:posOffset>
            </wp:positionV>
            <wp:extent cx="3958590" cy="1607185"/>
            <wp:effectExtent l="4445" t="4445" r="12065" b="13970"/>
            <wp:wrapSquare wrapText="bothSides"/>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sz w:val="32"/>
          <w:szCs w:val="32"/>
        </w:rPr>
        <w:t>2023年度收、支总计均为</w:t>
      </w:r>
      <w:r>
        <w:rPr>
          <w:rFonts w:hint="eastAsia" w:ascii="仿宋" w:hAnsi="仿宋" w:eastAsia="仿宋"/>
          <w:b/>
          <w:sz w:val="32"/>
          <w:szCs w:val="32"/>
        </w:rPr>
        <w:t>2614.08</w:t>
      </w:r>
      <w:r>
        <w:rPr>
          <w:rFonts w:hint="eastAsia" w:ascii="仿宋" w:hAnsi="仿宋" w:eastAsia="仿宋"/>
          <w:sz w:val="32"/>
          <w:szCs w:val="32"/>
        </w:rPr>
        <w:t>万元。与2022年度相比，收、支总计各减少995.65万元，下降27.58%。主要变动原因是财政拨款收入</w:t>
      </w:r>
      <w:r>
        <w:rPr>
          <w:rFonts w:hint="eastAsia" w:ascii="仿宋" w:hAnsi="仿宋" w:eastAsia="仿宋"/>
          <w:sz w:val="32"/>
          <w:szCs w:val="32"/>
          <w:lang w:val="en-US" w:eastAsia="zh-CN"/>
        </w:rPr>
        <w:t>减少</w:t>
      </w:r>
      <w:r>
        <w:rPr>
          <w:rFonts w:hint="eastAsia" w:ascii="仿宋" w:hAnsi="仿宋" w:eastAsia="仿宋"/>
          <w:sz w:val="32"/>
          <w:szCs w:val="32"/>
        </w:rPr>
        <w:t>。</w:t>
      </w:r>
    </w:p>
    <w:p>
      <w:pPr>
        <w:pStyle w:val="18"/>
        <w:pageBreakBefore w:val="0"/>
        <w:kinsoku/>
        <w:wordWrap/>
        <w:overflowPunct/>
        <w:topLinePunct w:val="0"/>
        <w:bidi w:val="0"/>
        <w:spacing w:line="560" w:lineRule="exact"/>
        <w:textAlignment w:val="auto"/>
        <w:outlineLvl w:val="9"/>
        <w:rPr>
          <w:rFonts w:hint="eastAsia" w:ascii="仿宋" w:hAnsi="仿宋" w:eastAsia="仿宋"/>
          <w:sz w:val="32"/>
          <w:szCs w:val="32"/>
        </w:rPr>
      </w:pPr>
    </w:p>
    <w:p>
      <w:pPr>
        <w:pageBreakBefore w:val="0"/>
        <w:kinsoku/>
        <w:wordWrap/>
        <w:overflowPunct/>
        <w:topLinePunct w:val="0"/>
        <w:bidi w:val="0"/>
        <w:spacing w:line="560" w:lineRule="exact"/>
        <w:textAlignment w:val="auto"/>
        <w:rPr>
          <w:rFonts w:hint="eastAsia" w:ascii="仿宋" w:hAnsi="仿宋" w:eastAsia="仿宋"/>
          <w:sz w:val="32"/>
          <w:szCs w:val="32"/>
        </w:rPr>
      </w:pP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pStyle w:val="2"/>
      </w:pPr>
    </w:p>
    <w:p>
      <w:pPr>
        <w:pStyle w:val="26"/>
        <w:pageBreakBefore w:val="0"/>
        <w:numPr>
          <w:ilvl w:val="0"/>
          <w:numId w:val="2"/>
        </w:numPr>
        <w:kinsoku/>
        <w:wordWrap/>
        <w:overflowPunct/>
        <w:topLinePunct w:val="0"/>
        <w:bidi w:val="0"/>
        <w:spacing w:line="560" w:lineRule="exact"/>
        <w:ind w:firstLineChars="0"/>
        <w:textAlignment w:val="auto"/>
        <w:outlineLvl w:val="1"/>
        <w:rPr>
          <w:rStyle w:val="28"/>
          <w:rFonts w:ascii="黑体" w:hAnsi="黑体" w:eastAsia="黑体"/>
          <w:b w:val="0"/>
        </w:rPr>
      </w:pPr>
      <w:bookmarkStart w:id="26" w:name="_Toc15396604"/>
      <w:bookmarkStart w:id="27" w:name="_Toc22517"/>
      <w:bookmarkStart w:id="28" w:name="_Toc15377206"/>
      <w:bookmarkStart w:id="29" w:name="_Toc23144"/>
      <w:r>
        <w:rPr>
          <w:rFonts w:hint="eastAsia" w:ascii="黑体" w:hAnsi="黑体" w:eastAsia="黑体"/>
          <w:sz w:val="32"/>
          <w:szCs w:val="32"/>
        </w:rPr>
        <w:t>收</w:t>
      </w:r>
      <w:r>
        <w:rPr>
          <w:rStyle w:val="28"/>
          <w:rFonts w:hint="eastAsia" w:ascii="黑体" w:hAnsi="黑体" w:eastAsia="黑体"/>
          <w:b w:val="0"/>
        </w:rPr>
        <w:t>入决算情况说明</w:t>
      </w:r>
      <w:bookmarkEnd w:id="26"/>
      <w:bookmarkEnd w:id="27"/>
      <w:bookmarkEnd w:id="28"/>
      <w:bookmarkEnd w:id="29"/>
    </w:p>
    <w:p>
      <w:pPr>
        <w:pageBreakBefore w:val="0"/>
        <w:kinsoku/>
        <w:wordWrap/>
        <w:overflowPunct/>
        <w:topLinePunct w:val="0"/>
        <w:bidi w:val="0"/>
        <w:spacing w:line="560" w:lineRule="exact"/>
        <w:ind w:firstLine="640" w:firstLineChars="200"/>
        <w:textAlignment w:val="auto"/>
        <w:outlineLvl w:val="1"/>
        <w:rPr>
          <w:rFonts w:hint="eastAsia" w:ascii="仿宋" w:hAnsi="仿宋" w:eastAsia="仿宋"/>
          <w:sz w:val="32"/>
          <w:szCs w:val="32"/>
          <w:lang w:eastAsia="zh-CN"/>
        </w:rPr>
      </w:pPr>
      <w:bookmarkStart w:id="30" w:name="_Toc13811"/>
      <w:bookmarkStart w:id="31" w:name="_Toc32067"/>
      <w:r>
        <w:rPr>
          <w:rFonts w:hint="eastAsia" w:ascii="仿宋" w:hAnsi="仿宋" w:eastAsia="仿宋"/>
          <w:sz w:val="32"/>
          <w:szCs w:val="32"/>
        </w:rPr>
        <w:t>2023年度本年收入合计</w:t>
      </w:r>
      <w:r>
        <w:rPr>
          <w:rFonts w:ascii="仿宋" w:hAnsi="仿宋" w:eastAsia="仿宋"/>
          <w:b/>
          <w:sz w:val="32"/>
          <w:szCs w:val="32"/>
        </w:rPr>
        <w:t>2614.08</w:t>
      </w:r>
      <w:r>
        <w:rPr>
          <w:rFonts w:hint="eastAsia" w:ascii="仿宋" w:hAnsi="仿宋" w:eastAsia="仿宋"/>
          <w:sz w:val="32"/>
          <w:szCs w:val="32"/>
        </w:rPr>
        <w:t>万元，其中：一般公共预算财政拨款收入</w:t>
      </w:r>
      <w:r>
        <w:rPr>
          <w:rFonts w:ascii="仿宋" w:hAnsi="仿宋" w:eastAsia="仿宋"/>
          <w:b/>
          <w:sz w:val="32"/>
          <w:szCs w:val="32"/>
        </w:rPr>
        <w:t>2554.22</w:t>
      </w:r>
      <w:r>
        <w:rPr>
          <w:rFonts w:hint="eastAsia" w:ascii="仿宋" w:hAnsi="仿宋" w:eastAsia="仿宋"/>
          <w:sz w:val="32"/>
          <w:szCs w:val="32"/>
        </w:rPr>
        <w:t>万元，占</w:t>
      </w:r>
      <w:r>
        <w:rPr>
          <w:rFonts w:ascii="仿宋" w:hAnsi="仿宋" w:eastAsia="仿宋"/>
          <w:b/>
          <w:sz w:val="32"/>
          <w:szCs w:val="32"/>
        </w:rPr>
        <w:t>97.71%</w:t>
      </w:r>
      <w:r>
        <w:rPr>
          <w:rFonts w:hint="eastAsia" w:ascii="仿宋" w:hAnsi="仿宋" w:eastAsia="仿宋"/>
          <w:sz w:val="32"/>
          <w:szCs w:val="32"/>
        </w:rPr>
        <w:t>；其他收入</w:t>
      </w:r>
      <w:r>
        <w:rPr>
          <w:rFonts w:ascii="仿宋" w:hAnsi="仿宋" w:eastAsia="仿宋"/>
          <w:b/>
          <w:sz w:val="32"/>
          <w:szCs w:val="32"/>
        </w:rPr>
        <w:t>59.86</w:t>
      </w:r>
      <w:r>
        <w:rPr>
          <w:rFonts w:hint="eastAsia" w:ascii="仿宋" w:hAnsi="仿宋" w:eastAsia="仿宋"/>
          <w:sz w:val="32"/>
          <w:szCs w:val="32"/>
        </w:rPr>
        <w:t>万元，占</w:t>
      </w:r>
      <w:r>
        <w:rPr>
          <w:rFonts w:ascii="仿宋" w:hAnsi="仿宋" w:eastAsia="仿宋"/>
          <w:b/>
          <w:sz w:val="32"/>
          <w:szCs w:val="32"/>
        </w:rPr>
        <w:t>2.28</w:t>
      </w:r>
      <w:r>
        <w:rPr>
          <w:rFonts w:ascii="仿宋" w:hAnsi="仿宋" w:eastAsia="仿宋"/>
          <w:sz w:val="32"/>
          <w:szCs w:val="32"/>
        </w:rPr>
        <w:t>%</w:t>
      </w:r>
      <w:r>
        <w:rPr>
          <w:rFonts w:hint="eastAsia" w:ascii="仿宋" w:hAnsi="仿宋" w:eastAsia="仿宋"/>
          <w:sz w:val="32"/>
          <w:szCs w:val="32"/>
          <w:lang w:eastAsia="zh-CN"/>
        </w:rPr>
        <w:t>。</w:t>
      </w:r>
      <w:bookmarkEnd w:id="30"/>
      <w:bookmarkEnd w:id="31"/>
    </w:p>
    <w:p>
      <w:pPr>
        <w:pageBreakBefore w:val="0"/>
        <w:kinsoku/>
        <w:wordWrap/>
        <w:overflowPunct/>
        <w:topLinePunct w:val="0"/>
        <w:bidi w:val="0"/>
        <w:spacing w:line="560" w:lineRule="exact"/>
        <w:jc w:val="center"/>
        <w:textAlignment w:val="auto"/>
        <w:outlineLvl w:val="1"/>
      </w:pPr>
      <w:bookmarkStart w:id="32" w:name="_Toc15658"/>
      <w:bookmarkStart w:id="33" w:name="_Toc11605"/>
      <w:r>
        <w:drawing>
          <wp:anchor distT="0" distB="0" distL="114300" distR="114300" simplePos="0" relativeHeight="251660288" behindDoc="0" locked="0" layoutInCell="1" allowOverlap="1">
            <wp:simplePos x="0" y="0"/>
            <wp:positionH relativeFrom="column">
              <wp:posOffset>123190</wp:posOffset>
            </wp:positionH>
            <wp:positionV relativeFrom="paragraph">
              <wp:posOffset>95885</wp:posOffset>
            </wp:positionV>
            <wp:extent cx="5123815" cy="2336165"/>
            <wp:effectExtent l="4445" t="4445" r="15240" b="34290"/>
            <wp:wrapSquare wrapText="bothSides"/>
            <wp:docPr id="10" name="图表 9" descr="7b0a202020202263686172745265734964223a20223230343736313030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sz w:val="32"/>
          <w:szCs w:val="32"/>
          <w:lang w:eastAsia="zh-CN"/>
        </w:rPr>
        <w:t>（</w:t>
      </w:r>
      <w:r>
        <w:rPr>
          <w:rFonts w:hint="eastAsia" w:ascii="仿宋" w:hAnsi="仿宋" w:eastAsia="仿宋"/>
          <w:sz w:val="32"/>
          <w:szCs w:val="32"/>
        </w:rPr>
        <w:t>图2：收入决算结构图）（饼状图）</w:t>
      </w:r>
      <w:bookmarkEnd w:id="32"/>
      <w:bookmarkEnd w:id="33"/>
    </w:p>
    <w:p>
      <w:pPr>
        <w:pStyle w:val="26"/>
        <w:pageBreakBefore w:val="0"/>
        <w:numPr>
          <w:ilvl w:val="0"/>
          <w:numId w:val="2"/>
        </w:numPr>
        <w:kinsoku/>
        <w:wordWrap/>
        <w:overflowPunct/>
        <w:topLinePunct w:val="0"/>
        <w:bidi w:val="0"/>
        <w:spacing w:line="560" w:lineRule="exact"/>
        <w:ind w:firstLineChars="0"/>
        <w:textAlignment w:val="auto"/>
        <w:outlineLvl w:val="1"/>
        <w:rPr>
          <w:rStyle w:val="28"/>
          <w:rFonts w:ascii="黑体" w:hAnsi="黑体" w:eastAsia="黑体"/>
          <w:b w:val="0"/>
        </w:rPr>
      </w:pPr>
      <w:bookmarkStart w:id="34" w:name="_Toc15377207"/>
      <w:bookmarkStart w:id="35" w:name="_Toc22217"/>
      <w:bookmarkStart w:id="36" w:name="_Toc15396605"/>
      <w:bookmarkStart w:id="37" w:name="_Toc192"/>
      <w:r>
        <w:rPr>
          <w:rFonts w:hint="eastAsia" w:ascii="黑体" w:hAnsi="黑体" w:eastAsia="黑体"/>
          <w:sz w:val="32"/>
          <w:szCs w:val="32"/>
        </w:rPr>
        <w:t>支</w:t>
      </w:r>
      <w:r>
        <w:rPr>
          <w:rStyle w:val="28"/>
          <w:rFonts w:hint="eastAsia" w:ascii="黑体" w:hAnsi="黑体" w:eastAsia="黑体"/>
          <w:b w:val="0"/>
        </w:rPr>
        <w:t>出决算情况说明</w:t>
      </w:r>
      <w:bookmarkEnd w:id="34"/>
      <w:bookmarkEnd w:id="35"/>
      <w:bookmarkEnd w:id="36"/>
      <w:bookmarkEnd w:id="37"/>
    </w:p>
    <w:p>
      <w:pPr>
        <w:pageBreakBefore w:val="0"/>
        <w:kinsoku/>
        <w:wordWrap/>
        <w:overflowPunct/>
        <w:topLinePunct w:val="0"/>
        <w:bidi w:val="0"/>
        <w:spacing w:line="560" w:lineRule="exact"/>
        <w:ind w:firstLine="640" w:firstLineChars="200"/>
        <w:textAlignment w:val="auto"/>
        <w:outlineLvl w:val="1"/>
        <w:rPr>
          <w:rFonts w:ascii="仿宋" w:hAnsi="仿宋" w:eastAsia="仿宋"/>
          <w:sz w:val="32"/>
          <w:szCs w:val="32"/>
        </w:rPr>
      </w:pPr>
      <w:bookmarkStart w:id="38" w:name="_Toc8341"/>
      <w:bookmarkStart w:id="39" w:name="_Toc30224"/>
      <w:r>
        <w:rPr>
          <w:rFonts w:hint="eastAsia" w:ascii="仿宋" w:hAnsi="仿宋" w:eastAsia="仿宋"/>
          <w:sz w:val="32"/>
          <w:szCs w:val="32"/>
        </w:rPr>
        <w:t>2023年度本年支出合计</w:t>
      </w:r>
      <w:r>
        <w:rPr>
          <w:rFonts w:ascii="仿宋" w:hAnsi="仿宋" w:eastAsia="仿宋"/>
          <w:b/>
          <w:sz w:val="32"/>
          <w:szCs w:val="32"/>
        </w:rPr>
        <w:t>2614.08</w:t>
      </w:r>
      <w:r>
        <w:rPr>
          <w:rFonts w:hint="eastAsia" w:ascii="仿宋" w:hAnsi="仿宋" w:eastAsia="仿宋"/>
          <w:sz w:val="32"/>
          <w:szCs w:val="32"/>
        </w:rPr>
        <w:t>万元，其中：基本支出</w:t>
      </w:r>
      <w:r>
        <w:rPr>
          <w:rFonts w:ascii="仿宋" w:hAnsi="仿宋" w:eastAsia="仿宋"/>
          <w:b/>
          <w:sz w:val="32"/>
          <w:szCs w:val="32"/>
        </w:rPr>
        <w:t>1116.02</w:t>
      </w:r>
      <w:r>
        <w:rPr>
          <w:rFonts w:hint="eastAsia" w:ascii="仿宋" w:hAnsi="仿宋" w:eastAsia="仿宋"/>
          <w:sz w:val="32"/>
          <w:szCs w:val="32"/>
        </w:rPr>
        <w:t>万元，占</w:t>
      </w:r>
      <w:r>
        <w:rPr>
          <w:rFonts w:ascii="仿宋" w:hAnsi="仿宋" w:eastAsia="仿宋"/>
          <w:b/>
          <w:sz w:val="32"/>
          <w:szCs w:val="32"/>
        </w:rPr>
        <w:t>42.69</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1498.06</w:t>
      </w:r>
      <w:r>
        <w:rPr>
          <w:rFonts w:hint="eastAsia" w:ascii="仿宋" w:hAnsi="仿宋" w:eastAsia="仿宋"/>
          <w:sz w:val="32"/>
          <w:szCs w:val="32"/>
        </w:rPr>
        <w:t>万元，占</w:t>
      </w:r>
      <w:r>
        <w:rPr>
          <w:rFonts w:ascii="仿宋" w:hAnsi="仿宋" w:eastAsia="仿宋"/>
          <w:b/>
          <w:sz w:val="32"/>
          <w:szCs w:val="32"/>
        </w:rPr>
        <w:t>57.3</w:t>
      </w:r>
      <w:r>
        <w:rPr>
          <w:rFonts w:hint="eastAsia" w:ascii="仿宋" w:hAnsi="仿宋" w:eastAsia="仿宋"/>
          <w:b/>
          <w:sz w:val="32"/>
          <w:szCs w:val="32"/>
          <w:lang w:val="en-US" w:eastAsia="zh-CN"/>
        </w:rPr>
        <w:t>1</w:t>
      </w:r>
      <w:r>
        <w:rPr>
          <w:rFonts w:ascii="仿宋" w:hAnsi="仿宋" w:eastAsia="仿宋"/>
          <w:sz w:val="32"/>
          <w:szCs w:val="32"/>
        </w:rPr>
        <w:t>%</w:t>
      </w:r>
      <w:r>
        <w:rPr>
          <w:rFonts w:hint="eastAsia" w:ascii="仿宋" w:hAnsi="仿宋" w:eastAsia="仿宋"/>
          <w:sz w:val="32"/>
          <w:szCs w:val="32"/>
        </w:rPr>
        <w:t>。</w:t>
      </w:r>
      <w:bookmarkEnd w:id="38"/>
      <w:bookmarkEnd w:id="39"/>
    </w:p>
    <w:p>
      <w:pPr>
        <w:pageBreakBefore w:val="0"/>
        <w:kinsoku/>
        <w:wordWrap/>
        <w:overflowPunct/>
        <w:topLinePunct w:val="0"/>
        <w:bidi w:val="0"/>
        <w:spacing w:line="560" w:lineRule="exact"/>
        <w:ind w:firstLine="420" w:firstLineChars="200"/>
        <w:textAlignment w:val="auto"/>
        <w:outlineLvl w:val="9"/>
      </w:pPr>
      <w:r>
        <w:drawing>
          <wp:anchor distT="0" distB="0" distL="114300" distR="114300" simplePos="0" relativeHeight="251661312" behindDoc="0" locked="0" layoutInCell="1" allowOverlap="1">
            <wp:simplePos x="0" y="0"/>
            <wp:positionH relativeFrom="column">
              <wp:posOffset>453390</wp:posOffset>
            </wp:positionH>
            <wp:positionV relativeFrom="paragraph">
              <wp:posOffset>85725</wp:posOffset>
            </wp:positionV>
            <wp:extent cx="4204335" cy="2183765"/>
            <wp:effectExtent l="4445" t="4445" r="12700" b="6350"/>
            <wp:wrapSquare wrapText="bothSides"/>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
      </w:pPr>
    </w:p>
    <w:p/>
    <w:p>
      <w:pPr>
        <w:pStyle w:val="2"/>
      </w:pPr>
    </w:p>
    <w:p/>
    <w:p>
      <w:pPr>
        <w:pStyle w:val="2"/>
      </w:pPr>
    </w:p>
    <w:p/>
    <w:p>
      <w:pPr>
        <w:pStyle w:val="2"/>
      </w:pPr>
    </w:p>
    <w:p>
      <w:pPr>
        <w:pageBreakBefore w:val="0"/>
        <w:kinsoku/>
        <w:wordWrap/>
        <w:overflowPunct/>
        <w:topLinePunct w:val="0"/>
        <w:bidi w:val="0"/>
        <w:spacing w:line="560" w:lineRule="exact"/>
        <w:textAlignment w:val="auto"/>
        <w:rPr>
          <w:rFonts w:ascii="仿宋" w:hAnsi="仿宋" w:eastAsia="仿宋"/>
          <w:sz w:val="32"/>
          <w:szCs w:val="32"/>
          <w:shd w:val="pct10" w:color="auto" w:fill="FFFFFF"/>
        </w:rPr>
      </w:pPr>
    </w:p>
    <w:p>
      <w:pPr>
        <w:pageBreakBefore w:val="0"/>
        <w:kinsoku/>
        <w:wordWrap/>
        <w:overflowPunct/>
        <w:topLinePunct w:val="0"/>
        <w:bidi w:val="0"/>
        <w:spacing w:line="560" w:lineRule="exact"/>
        <w:ind w:firstLine="640" w:firstLineChars="200"/>
        <w:jc w:val="center"/>
        <w:textAlignment w:val="auto"/>
        <w:rPr>
          <w:rFonts w:ascii="仿宋_GB2312" w:eastAsia="仿宋_GB2312"/>
          <w:sz w:val="32"/>
          <w:szCs w:val="32"/>
        </w:rPr>
      </w:pPr>
      <w:r>
        <w:rPr>
          <w:rFonts w:hint="eastAsia" w:ascii="仿宋" w:hAnsi="仿宋" w:eastAsia="仿宋"/>
          <w:sz w:val="32"/>
          <w:szCs w:val="32"/>
        </w:rPr>
        <w:t>（图3：支出决算结构图）（饼状图）</w:t>
      </w:r>
    </w:p>
    <w:p>
      <w:pPr>
        <w:pageBreakBefore w:val="0"/>
        <w:kinsoku/>
        <w:wordWrap/>
        <w:overflowPunct/>
        <w:topLinePunct w:val="0"/>
        <w:bidi w:val="0"/>
        <w:spacing w:line="560" w:lineRule="exact"/>
        <w:ind w:firstLine="640" w:firstLineChars="200"/>
        <w:textAlignment w:val="auto"/>
        <w:outlineLvl w:val="9"/>
        <w:rPr>
          <w:rFonts w:hint="eastAsia" w:ascii="黑体" w:hAnsi="黑体" w:eastAsia="黑体"/>
          <w:sz w:val="32"/>
          <w:szCs w:val="32"/>
        </w:rPr>
      </w:pPr>
      <w:bookmarkStart w:id="40" w:name="_Toc15396606"/>
      <w:bookmarkStart w:id="41" w:name="_Toc15377208"/>
    </w:p>
    <w:p>
      <w:pPr>
        <w:pageBreakBefore w:val="0"/>
        <w:kinsoku/>
        <w:wordWrap/>
        <w:overflowPunct/>
        <w:topLinePunct w:val="0"/>
        <w:bidi w:val="0"/>
        <w:spacing w:line="560" w:lineRule="exact"/>
        <w:ind w:firstLine="640" w:firstLineChars="200"/>
        <w:textAlignment w:val="auto"/>
        <w:outlineLvl w:val="1"/>
        <w:rPr>
          <w:rStyle w:val="28"/>
          <w:rFonts w:ascii="黑体" w:hAnsi="黑体" w:eastAsia="黑体"/>
          <w:b w:val="0"/>
        </w:rPr>
      </w:pPr>
      <w:bookmarkStart w:id="42" w:name="_Toc14361"/>
      <w:bookmarkStart w:id="43" w:name="_Toc20972"/>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40"/>
      <w:bookmarkEnd w:id="41"/>
      <w:bookmarkEnd w:id="42"/>
      <w:bookmarkEnd w:id="43"/>
    </w:p>
    <w:p>
      <w:pPr>
        <w:pageBreakBefore w:val="0"/>
        <w:kinsoku/>
        <w:wordWrap/>
        <w:overflowPunct/>
        <w:topLinePunct w:val="0"/>
        <w:bidi w:val="0"/>
        <w:spacing w:line="560" w:lineRule="exact"/>
        <w:ind w:firstLine="640"/>
        <w:textAlignment w:val="auto"/>
        <w:rPr>
          <w:rFonts w:hint="default" w:ascii="仿宋" w:hAnsi="仿宋" w:eastAsia="仿宋"/>
          <w:sz w:val="32"/>
          <w:szCs w:val="32"/>
          <w:lang w:val="en-US" w:eastAsia="zh-CN"/>
        </w:rPr>
      </w:pPr>
      <w:r>
        <w:rPr>
          <w:rFonts w:hint="eastAsia" w:ascii="仿宋" w:hAnsi="仿宋" w:eastAsia="仿宋"/>
          <w:sz w:val="32"/>
          <w:szCs w:val="32"/>
        </w:rPr>
        <w:t>2023年度财政拨款收、支总计均为</w:t>
      </w:r>
      <w:r>
        <w:rPr>
          <w:rFonts w:ascii="仿宋" w:hAnsi="仿宋" w:eastAsia="仿宋"/>
          <w:b/>
          <w:sz w:val="32"/>
          <w:szCs w:val="32"/>
        </w:rPr>
        <w:t>2554.22</w:t>
      </w:r>
      <w:r>
        <w:rPr>
          <w:rFonts w:hint="eastAsia" w:ascii="仿宋" w:hAnsi="仿宋" w:eastAsia="仿宋"/>
          <w:sz w:val="32"/>
          <w:szCs w:val="32"/>
        </w:rPr>
        <w:t>万元。与2022年度相比，财政拨款收、支总计各减少1040.52万元，下降28.95%。主要变动原因是</w:t>
      </w:r>
      <w:r>
        <w:rPr>
          <w:rFonts w:hint="eastAsia" w:ascii="仿宋" w:hAnsi="仿宋" w:eastAsia="仿宋"/>
          <w:sz w:val="32"/>
          <w:szCs w:val="32"/>
          <w:lang w:val="en-US" w:eastAsia="zh-CN"/>
        </w:rPr>
        <w:t>2023年无年初结转和结余。</w:t>
      </w:r>
    </w:p>
    <w:p>
      <w:pPr>
        <w:pStyle w:val="18"/>
        <w:jc w:val="center"/>
        <w:rPr>
          <w:rFonts w:ascii="仿宋" w:hAnsi="仿宋" w:eastAsia="仿宋"/>
          <w:b w:val="0"/>
          <w:bCs/>
          <w:sz w:val="32"/>
          <w:szCs w:val="32"/>
        </w:rPr>
      </w:pPr>
      <w:r>
        <w:rPr>
          <w:b w:val="0"/>
          <w:bCs/>
        </w:rPr>
        <w:drawing>
          <wp:anchor distT="0" distB="0" distL="114300" distR="114300" simplePos="0" relativeHeight="251662336" behindDoc="0" locked="0" layoutInCell="1" allowOverlap="1">
            <wp:simplePos x="0" y="0"/>
            <wp:positionH relativeFrom="column">
              <wp:posOffset>165100</wp:posOffset>
            </wp:positionH>
            <wp:positionV relativeFrom="paragraph">
              <wp:posOffset>173990</wp:posOffset>
            </wp:positionV>
            <wp:extent cx="4993640" cy="1889125"/>
            <wp:effectExtent l="5080" t="4445" r="15240" b="11430"/>
            <wp:wrapSquare wrapText="bothSides"/>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b w:val="0"/>
          <w:bCs/>
          <w:sz w:val="32"/>
          <w:szCs w:val="32"/>
        </w:rPr>
        <w:t>（图4：财政拨款收、支决算总计变动情况）（柱状图）</w:t>
      </w:r>
    </w:p>
    <w:p>
      <w:pPr>
        <w:pageBreakBefore w:val="0"/>
        <w:kinsoku/>
        <w:wordWrap/>
        <w:overflowPunct/>
        <w:topLinePunct w:val="0"/>
        <w:bidi w:val="0"/>
        <w:spacing w:line="560" w:lineRule="exact"/>
        <w:ind w:firstLine="640" w:firstLineChars="200"/>
        <w:textAlignment w:val="auto"/>
        <w:outlineLvl w:val="9"/>
        <w:rPr>
          <w:rFonts w:hint="eastAsia" w:ascii="黑体" w:hAnsi="黑体" w:eastAsia="黑体"/>
          <w:sz w:val="32"/>
          <w:szCs w:val="32"/>
        </w:rPr>
      </w:pPr>
      <w:bookmarkStart w:id="44" w:name="_Toc15377209"/>
      <w:bookmarkStart w:id="45" w:name="_Toc15396607"/>
    </w:p>
    <w:p>
      <w:pPr>
        <w:pageBreakBefore w:val="0"/>
        <w:kinsoku/>
        <w:wordWrap/>
        <w:overflowPunct/>
        <w:topLinePunct w:val="0"/>
        <w:bidi w:val="0"/>
        <w:spacing w:line="560" w:lineRule="exact"/>
        <w:ind w:firstLine="640" w:firstLineChars="200"/>
        <w:textAlignment w:val="auto"/>
        <w:outlineLvl w:val="1"/>
        <w:rPr>
          <w:rStyle w:val="28"/>
          <w:rFonts w:ascii="黑体" w:hAnsi="黑体" w:eastAsia="黑体"/>
          <w:b w:val="0"/>
        </w:rPr>
      </w:pPr>
      <w:bookmarkStart w:id="46" w:name="_Toc9607"/>
      <w:bookmarkStart w:id="47" w:name="_Toc11810"/>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44"/>
      <w:bookmarkEnd w:id="45"/>
      <w:bookmarkEnd w:id="46"/>
      <w:bookmarkEnd w:id="47"/>
    </w:p>
    <w:p>
      <w:pPr>
        <w:pageBreakBefore w:val="0"/>
        <w:kinsoku/>
        <w:wordWrap/>
        <w:overflowPunct/>
        <w:topLinePunct w:val="0"/>
        <w:bidi w:val="0"/>
        <w:spacing w:line="560" w:lineRule="exact"/>
        <w:ind w:firstLine="642" w:firstLineChars="200"/>
        <w:textAlignment w:val="auto"/>
        <w:outlineLvl w:val="2"/>
        <w:rPr>
          <w:rFonts w:ascii="仿宋" w:hAnsi="仿宋" w:eastAsia="仿宋"/>
          <w:b/>
          <w:sz w:val="32"/>
          <w:szCs w:val="32"/>
        </w:rPr>
      </w:pPr>
      <w:bookmarkStart w:id="48" w:name="_Toc15377210"/>
      <w:r>
        <w:rPr>
          <w:rFonts w:hint="eastAsia" w:ascii="仿宋" w:hAnsi="仿宋" w:eastAsia="仿宋"/>
          <w:b/>
          <w:sz w:val="32"/>
          <w:szCs w:val="32"/>
        </w:rPr>
        <w:t>（一）一般公共预算财政拨款支出决算总体情况</w:t>
      </w:r>
      <w:bookmarkEnd w:id="48"/>
    </w:p>
    <w:p>
      <w:pPr>
        <w:pageBreakBefore w:val="0"/>
        <w:kinsoku/>
        <w:wordWrap/>
        <w:overflowPunct/>
        <w:topLinePunct w:val="0"/>
        <w:bidi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2023年度一般公共预算财政拨款支出</w:t>
      </w:r>
      <w:r>
        <w:rPr>
          <w:rFonts w:ascii="仿宋" w:hAnsi="仿宋" w:eastAsia="仿宋"/>
          <w:b/>
          <w:sz w:val="32"/>
          <w:szCs w:val="32"/>
        </w:rPr>
        <w:t>2554.22</w:t>
      </w:r>
      <w:r>
        <w:rPr>
          <w:rFonts w:hint="eastAsia" w:ascii="仿宋" w:hAnsi="仿宋" w:eastAsia="仿宋"/>
          <w:sz w:val="32"/>
          <w:szCs w:val="32"/>
        </w:rPr>
        <w:t>万元，占本年支出合计的</w:t>
      </w:r>
      <w:r>
        <w:rPr>
          <w:rFonts w:ascii="仿宋" w:hAnsi="仿宋" w:eastAsia="仿宋"/>
          <w:b/>
          <w:sz w:val="32"/>
          <w:szCs w:val="32"/>
        </w:rPr>
        <w:t>97.71</w:t>
      </w:r>
      <w:r>
        <w:rPr>
          <w:rFonts w:ascii="仿宋" w:hAnsi="仿宋" w:eastAsia="仿宋"/>
          <w:sz w:val="32"/>
          <w:szCs w:val="32"/>
        </w:rPr>
        <w:t>%</w:t>
      </w:r>
      <w:r>
        <w:rPr>
          <w:rFonts w:hint="eastAsia" w:ascii="仿宋" w:hAnsi="仿宋" w:eastAsia="仿宋"/>
          <w:sz w:val="32"/>
          <w:szCs w:val="32"/>
        </w:rPr>
        <w:t>。与2022年度相比，一般公共预算财政拨款支出减少790.52万元，下降23.63%。主要变动原因是</w:t>
      </w:r>
      <w:r>
        <w:rPr>
          <w:rFonts w:hint="eastAsia" w:ascii="仿宋" w:hAnsi="仿宋" w:eastAsia="仿宋"/>
          <w:sz w:val="32"/>
          <w:szCs w:val="32"/>
          <w:lang w:val="en-US" w:eastAsia="zh-CN"/>
        </w:rPr>
        <w:t>项目经费支出减少，2023年无政府性基金预算财政拨款预算支出。</w:t>
      </w:r>
    </w:p>
    <w:p>
      <w:pPr>
        <w:pStyle w:val="18"/>
        <w:outlineLvl w:val="9"/>
        <w:rPr>
          <w:rFonts w:hint="default"/>
          <w:lang w:val="en-US"/>
        </w:rPr>
      </w:pPr>
      <w:r>
        <w:rPr>
          <w:rFonts w:hint="eastAsia"/>
          <w:lang w:val="en-US" w:eastAsia="zh-CN"/>
        </w:rPr>
        <w:t xml:space="preserve">    </w:t>
      </w:r>
      <w:r>
        <w:drawing>
          <wp:inline distT="0" distB="0" distL="114300" distR="114300">
            <wp:extent cx="4826000" cy="2743200"/>
            <wp:effectExtent l="4445" t="4445" r="8255" b="8255"/>
            <wp:docPr id="13"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（图5：一般公共预算财政拨款支出决算变动情况）（柱状图）</w:t>
      </w:r>
    </w:p>
    <w:p>
      <w:pPr>
        <w:pStyle w:val="2"/>
      </w:pPr>
    </w:p>
    <w:p>
      <w:pPr>
        <w:pageBreakBefore w:val="0"/>
        <w:kinsoku/>
        <w:wordWrap/>
        <w:overflowPunct/>
        <w:topLinePunct w:val="0"/>
        <w:bidi w:val="0"/>
        <w:spacing w:line="560" w:lineRule="exact"/>
        <w:ind w:firstLine="642" w:firstLineChars="200"/>
        <w:textAlignment w:val="auto"/>
        <w:outlineLvl w:val="2"/>
        <w:rPr>
          <w:rFonts w:ascii="仿宋" w:hAnsi="仿宋" w:eastAsia="仿宋"/>
          <w:b/>
          <w:sz w:val="32"/>
          <w:szCs w:val="32"/>
        </w:rPr>
      </w:pPr>
      <w:bookmarkStart w:id="49" w:name="_Toc15377211"/>
      <w:r>
        <w:rPr>
          <w:rFonts w:hint="eastAsia" w:ascii="仿宋" w:hAnsi="仿宋" w:eastAsia="仿宋"/>
          <w:b/>
          <w:sz w:val="32"/>
          <w:szCs w:val="32"/>
        </w:rPr>
        <w:t>（二）一般公共预算财政拨款支出决算结构情况</w:t>
      </w:r>
      <w:bookmarkEnd w:id="49"/>
    </w:p>
    <w:p>
      <w:pPr>
        <w:pageBreakBefore w:val="0"/>
        <w:kinsoku/>
        <w:wordWrap/>
        <w:overflowPunct/>
        <w:topLinePunct w:val="0"/>
        <w:bidi w:val="0"/>
        <w:spacing w:line="560" w:lineRule="exact"/>
        <w:ind w:firstLine="640"/>
        <w:textAlignment w:val="auto"/>
      </w:pPr>
      <w:r>
        <w:rPr>
          <w:rFonts w:hint="eastAsia" w:ascii="仿宋" w:hAnsi="仿宋" w:eastAsia="仿宋"/>
          <w:sz w:val="32"/>
          <w:szCs w:val="32"/>
        </w:rPr>
        <w:t>2023年度一般公共预算财政拨款支出</w:t>
      </w:r>
      <w:r>
        <w:rPr>
          <w:rFonts w:ascii="仿宋" w:hAnsi="仿宋" w:eastAsia="仿宋"/>
          <w:b/>
          <w:sz w:val="32"/>
          <w:szCs w:val="32"/>
        </w:rPr>
        <w:t>2554.22</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rPr>
        <w:t>0.07万元，占0.00%；</w:t>
      </w:r>
      <w:r>
        <w:rPr>
          <w:rFonts w:hint="eastAsia" w:ascii="仿宋" w:hAnsi="仿宋" w:eastAsia="仿宋"/>
          <w:b/>
          <w:sz w:val="32"/>
          <w:szCs w:val="32"/>
        </w:rPr>
        <w:t>教育支出</w:t>
      </w:r>
      <w:r>
        <w:rPr>
          <w:rFonts w:hint="eastAsia" w:ascii="仿宋" w:hAnsi="仿宋" w:eastAsia="仿宋"/>
          <w:sz w:val="32"/>
          <w:szCs w:val="32"/>
        </w:rPr>
        <w:t>1,896.89万元，占74.26%；</w:t>
      </w:r>
      <w:r>
        <w:rPr>
          <w:rFonts w:hint="eastAsia" w:ascii="仿宋" w:hAnsi="仿宋" w:eastAsia="仿宋"/>
          <w:b/>
          <w:bCs/>
          <w:sz w:val="32"/>
          <w:szCs w:val="32"/>
        </w:rPr>
        <w:t>文化旅游体育与传媒支出</w:t>
      </w:r>
      <w:r>
        <w:rPr>
          <w:rFonts w:hint="eastAsia" w:ascii="仿宋" w:hAnsi="仿宋" w:eastAsia="仿宋"/>
          <w:sz w:val="32"/>
          <w:szCs w:val="32"/>
        </w:rPr>
        <w:t>1.40</w:t>
      </w:r>
      <w:r>
        <w:rPr>
          <w:rFonts w:hint="eastAsia" w:ascii="仿宋" w:hAnsi="仿宋" w:eastAsia="仿宋"/>
          <w:b/>
          <w:bCs/>
          <w:sz w:val="32"/>
          <w:szCs w:val="32"/>
        </w:rPr>
        <w:t>万元，占0.05%</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rPr>
        <w:t>125.73万元，占4.92%；</w:t>
      </w:r>
      <w:r>
        <w:rPr>
          <w:rFonts w:hint="eastAsia" w:ascii="仿宋" w:hAnsi="仿宋" w:eastAsia="仿宋"/>
          <w:b/>
          <w:bCs/>
          <w:sz w:val="32"/>
          <w:szCs w:val="32"/>
        </w:rPr>
        <w:t>卫生健康支出</w:t>
      </w:r>
      <w:r>
        <w:rPr>
          <w:rFonts w:hint="eastAsia" w:ascii="仿宋" w:hAnsi="仿宋" w:eastAsia="仿宋"/>
          <w:sz w:val="32"/>
          <w:szCs w:val="32"/>
        </w:rPr>
        <w:t>29.45万元，占1.15%；</w:t>
      </w:r>
      <w:r>
        <w:rPr>
          <w:rFonts w:hint="eastAsia" w:ascii="仿宋" w:hAnsi="仿宋" w:eastAsia="仿宋"/>
          <w:b/>
          <w:bCs/>
          <w:sz w:val="32"/>
          <w:szCs w:val="32"/>
        </w:rPr>
        <w:t>住房保障支出</w:t>
      </w:r>
      <w:r>
        <w:rPr>
          <w:rFonts w:hint="eastAsia" w:ascii="仿宋" w:hAnsi="仿宋" w:eastAsia="仿宋"/>
          <w:sz w:val="32"/>
          <w:szCs w:val="32"/>
        </w:rPr>
        <w:t>72.68万元，占2.85%；</w:t>
      </w:r>
      <w:r>
        <w:rPr>
          <w:rFonts w:hint="eastAsia" w:ascii="仿宋" w:hAnsi="仿宋" w:eastAsia="仿宋"/>
          <w:sz w:val="32"/>
          <w:szCs w:val="32"/>
          <w:lang w:val="en-US" w:eastAsia="zh-CN"/>
        </w:rPr>
        <w:t>其他支出428.00万元，占</w:t>
      </w:r>
      <w:r>
        <w:rPr>
          <w:rFonts w:hint="eastAsia" w:ascii="仿宋" w:hAnsi="仿宋" w:eastAsia="仿宋"/>
          <w:sz w:val="32"/>
          <w:szCs w:val="32"/>
        </w:rPr>
        <w:t>16.76%。</w:t>
      </w:r>
    </w:p>
    <w:p>
      <w:r>
        <w:drawing>
          <wp:anchor distT="0" distB="0" distL="114300" distR="114300" simplePos="0" relativeHeight="251663360" behindDoc="1" locked="0" layoutInCell="1" allowOverlap="1">
            <wp:simplePos x="0" y="0"/>
            <wp:positionH relativeFrom="column">
              <wp:posOffset>387985</wp:posOffset>
            </wp:positionH>
            <wp:positionV relativeFrom="paragraph">
              <wp:posOffset>102870</wp:posOffset>
            </wp:positionV>
            <wp:extent cx="4883150" cy="3232150"/>
            <wp:effectExtent l="4445" t="4445" r="19685" b="9525"/>
            <wp:wrapTight wrapText="bothSides">
              <wp:wrapPolygon>
                <wp:start x="-20" y="-30"/>
                <wp:lineTo x="-20" y="21562"/>
                <wp:lineTo x="21552" y="21562"/>
                <wp:lineTo x="21552" y="-30"/>
                <wp:lineTo x="-20" y="-30"/>
              </wp:wrapPolygon>
            </wp:wrapTight>
            <wp:docPr id="1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ageBreakBefore w:val="0"/>
        <w:kinsoku/>
        <w:wordWrap/>
        <w:overflowPunct/>
        <w:topLinePunct w:val="0"/>
        <w:bidi w:val="0"/>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（图6：一般公共预算财政拨款支出决算结构）（饼状图）</w:t>
      </w:r>
    </w:p>
    <w:p>
      <w:pPr>
        <w:pageBreakBefore w:val="0"/>
        <w:kinsoku/>
        <w:wordWrap/>
        <w:overflowPunct/>
        <w:topLinePunct w:val="0"/>
        <w:bidi w:val="0"/>
        <w:spacing w:line="560" w:lineRule="exact"/>
        <w:ind w:firstLine="642" w:firstLineChars="200"/>
        <w:textAlignment w:val="auto"/>
        <w:outlineLvl w:val="2"/>
        <w:rPr>
          <w:rFonts w:ascii="仿宋" w:hAnsi="仿宋" w:eastAsia="仿宋"/>
          <w:b/>
          <w:sz w:val="32"/>
          <w:szCs w:val="32"/>
        </w:rPr>
      </w:pPr>
      <w:bookmarkStart w:id="50" w:name="_Toc15377212"/>
      <w:r>
        <w:rPr>
          <w:rFonts w:hint="eastAsia" w:ascii="仿宋" w:hAnsi="仿宋" w:eastAsia="仿宋"/>
          <w:b/>
          <w:sz w:val="32"/>
          <w:szCs w:val="32"/>
        </w:rPr>
        <w:t>（三）一般公共预算财政拨款支出决算具体情况</w:t>
      </w:r>
      <w:bookmarkEnd w:id="50"/>
    </w:p>
    <w:p>
      <w:pPr>
        <w:pageBreakBefore w:val="0"/>
        <w:kinsoku/>
        <w:wordWrap/>
        <w:overflowPunct/>
        <w:topLinePunct w:val="0"/>
        <w:bidi w:val="0"/>
        <w:spacing w:line="560" w:lineRule="exact"/>
        <w:ind w:firstLine="642" w:firstLineChars="200"/>
        <w:textAlignment w:val="auto"/>
        <w:outlineLvl w:val="1"/>
        <w:rPr>
          <w:rFonts w:ascii="仿宋" w:hAnsi="仿宋" w:eastAsia="仿宋"/>
          <w:sz w:val="32"/>
          <w:szCs w:val="32"/>
        </w:rPr>
      </w:pPr>
      <w:bookmarkStart w:id="51" w:name="_Toc15377213"/>
      <w:bookmarkStart w:id="52" w:name="_Toc13184"/>
      <w:bookmarkStart w:id="53" w:name="_Toc15377444"/>
      <w:bookmarkStart w:id="54" w:name="_Toc13905"/>
      <w:bookmarkStart w:id="55" w:name="_Toc15378460"/>
      <w:r>
        <w:rPr>
          <w:rFonts w:hint="eastAsia" w:ascii="仿宋" w:hAnsi="仿宋" w:eastAsia="仿宋"/>
          <w:b/>
          <w:sz w:val="32"/>
          <w:szCs w:val="32"/>
        </w:rPr>
        <w:t>2023年度一般公共预算支出决算数为</w:t>
      </w:r>
      <w:r>
        <w:rPr>
          <w:rFonts w:ascii="仿宋" w:hAnsi="仿宋" w:eastAsia="仿宋"/>
          <w:b/>
          <w:sz w:val="32"/>
          <w:szCs w:val="32"/>
        </w:rPr>
        <w:t>2554.22</w:t>
      </w:r>
      <w:r>
        <w:rPr>
          <w:rFonts w:hint="eastAsia" w:ascii="仿宋" w:hAnsi="仿宋" w:eastAsia="仿宋"/>
          <w:sz w:val="32"/>
          <w:szCs w:val="32"/>
        </w:rPr>
        <w:t>，</w:t>
      </w:r>
      <w:r>
        <w:rPr>
          <w:rStyle w:val="16"/>
          <w:rFonts w:hint="eastAsia" w:ascii="仿宋" w:hAnsi="仿宋" w:eastAsia="仿宋"/>
          <w:bCs/>
          <w:sz w:val="32"/>
          <w:szCs w:val="32"/>
        </w:rPr>
        <w:t>完成预算</w:t>
      </w:r>
      <w:r>
        <w:rPr>
          <w:rStyle w:val="16"/>
          <w:rFonts w:hint="eastAsia" w:ascii="仿宋" w:hAnsi="仿宋" w:eastAsia="仿宋"/>
          <w:bCs/>
          <w:sz w:val="32"/>
          <w:szCs w:val="32"/>
          <w:lang w:val="en-US" w:eastAsia="zh-CN"/>
        </w:rPr>
        <w:t>100</w:t>
      </w:r>
      <w:r>
        <w:rPr>
          <w:rStyle w:val="16"/>
          <w:rFonts w:ascii="仿宋" w:hAnsi="仿宋" w:eastAsia="仿宋"/>
          <w:bCs/>
          <w:sz w:val="32"/>
          <w:szCs w:val="32"/>
        </w:rPr>
        <w:t>%</w:t>
      </w:r>
      <w:r>
        <w:rPr>
          <w:rStyle w:val="16"/>
          <w:rFonts w:hint="eastAsia" w:ascii="仿宋" w:hAnsi="仿宋" w:eastAsia="仿宋"/>
          <w:bCs/>
          <w:sz w:val="32"/>
          <w:szCs w:val="32"/>
        </w:rPr>
        <w:t>。其中：</w:t>
      </w:r>
      <w:bookmarkEnd w:id="51"/>
      <w:bookmarkEnd w:id="52"/>
      <w:bookmarkEnd w:id="53"/>
      <w:bookmarkEnd w:id="54"/>
      <w:bookmarkEnd w:id="55"/>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ascii="仿宋" w:hAnsi="仿宋" w:eastAsia="仿宋"/>
          <w:bCs/>
          <w:sz w:val="32"/>
          <w:szCs w:val="32"/>
        </w:rPr>
        <w:t>1.</w:t>
      </w:r>
      <w:r>
        <w:rPr>
          <w:rStyle w:val="16"/>
          <w:rFonts w:hint="eastAsia" w:ascii="仿宋" w:hAnsi="仿宋" w:eastAsia="仿宋"/>
          <w:bCs/>
          <w:sz w:val="32"/>
          <w:szCs w:val="32"/>
        </w:rPr>
        <w:t>一般公共服务（类）商贸事务（款）招商引资（项）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0.07</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Style w:val="16"/>
          <w:rFonts w:hint="eastAsia" w:ascii="仿宋" w:hAnsi="仿宋" w:eastAsia="仿宋"/>
          <w:b w:val="0"/>
          <w:bCs/>
          <w:sz w:val="32"/>
          <w:szCs w:val="32"/>
          <w:lang w:val="en-US" w:eastAsia="zh-CN"/>
        </w:rPr>
      </w:pPr>
      <w:r>
        <w:rPr>
          <w:rStyle w:val="16"/>
          <w:rFonts w:ascii="仿宋" w:hAnsi="仿宋" w:eastAsia="仿宋"/>
          <w:bCs/>
          <w:sz w:val="32"/>
          <w:szCs w:val="32"/>
        </w:rPr>
        <w:t>2.</w:t>
      </w:r>
      <w:r>
        <w:rPr>
          <w:rStyle w:val="16"/>
          <w:rFonts w:hint="eastAsia" w:ascii="仿宋" w:hAnsi="仿宋" w:eastAsia="仿宋"/>
          <w:bCs/>
          <w:sz w:val="32"/>
          <w:szCs w:val="32"/>
        </w:rPr>
        <w:t>教育（类）教育管理事务（款）行政运行（项）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支出决算为541.79万元，完成预算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r>
        <w:rPr>
          <w:rStyle w:val="16"/>
          <w:rFonts w:hint="eastAsia" w:ascii="仿宋" w:hAnsi="仿宋" w:eastAsia="仿宋"/>
          <w:b w:val="0"/>
          <w:bCs/>
          <w:sz w:val="32"/>
          <w:szCs w:val="32"/>
          <w:lang w:val="en-US" w:eastAsia="zh-CN"/>
        </w:rPr>
        <w:t xml:space="preserve">  </w:t>
      </w:r>
    </w:p>
    <w:p>
      <w:pPr>
        <w:pageBreakBefore w:val="0"/>
        <w:kinsoku/>
        <w:wordWrap/>
        <w:overflowPunct/>
        <w:topLinePunct w:val="0"/>
        <w:bidi w:val="0"/>
        <w:spacing w:line="560" w:lineRule="exact"/>
        <w:ind w:firstLine="642" w:firstLineChars="200"/>
        <w:textAlignment w:val="auto"/>
        <w:rPr>
          <w:rStyle w:val="16"/>
          <w:rFonts w:hint="eastAsia" w:ascii="仿宋" w:hAnsi="仿宋" w:eastAsia="仿宋"/>
          <w:b w:val="0"/>
          <w:bCs/>
          <w:sz w:val="32"/>
          <w:szCs w:val="32"/>
          <w:lang w:val="en-US" w:eastAsia="zh-CN"/>
        </w:rPr>
      </w:pPr>
      <w:r>
        <w:rPr>
          <w:rStyle w:val="16"/>
          <w:rFonts w:hint="eastAsia" w:ascii="仿宋" w:hAnsi="仿宋" w:eastAsia="仿宋"/>
          <w:bCs/>
          <w:sz w:val="32"/>
          <w:szCs w:val="32"/>
          <w:lang w:val="en-US" w:eastAsia="zh-CN"/>
        </w:rPr>
        <w:t>3</w:t>
      </w:r>
      <w:r>
        <w:rPr>
          <w:rStyle w:val="16"/>
          <w:rFonts w:ascii="仿宋" w:hAnsi="仿宋" w:eastAsia="仿宋"/>
          <w:bCs/>
          <w:sz w:val="32"/>
          <w:szCs w:val="32"/>
        </w:rPr>
        <w:t>.</w:t>
      </w:r>
      <w:r>
        <w:rPr>
          <w:rStyle w:val="16"/>
          <w:rFonts w:hint="eastAsia" w:ascii="仿宋" w:hAnsi="仿宋" w:eastAsia="仿宋"/>
          <w:bCs/>
          <w:sz w:val="32"/>
          <w:szCs w:val="32"/>
        </w:rPr>
        <w:t>教育（类）教育管理事务（款）一般行政管理事务（项）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支出决算为116.33万元，完成预算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4</w:t>
      </w:r>
      <w:r>
        <w:rPr>
          <w:rStyle w:val="16"/>
          <w:rFonts w:ascii="仿宋" w:hAnsi="仿宋" w:eastAsia="仿宋"/>
          <w:bCs/>
          <w:sz w:val="32"/>
          <w:szCs w:val="32"/>
        </w:rPr>
        <w:t>.</w:t>
      </w:r>
      <w:r>
        <w:rPr>
          <w:rStyle w:val="16"/>
          <w:rFonts w:hint="eastAsia" w:ascii="仿宋" w:hAnsi="仿宋" w:eastAsia="仿宋"/>
          <w:bCs/>
          <w:sz w:val="32"/>
          <w:szCs w:val="32"/>
        </w:rPr>
        <w:t>教育（类）教育管理事务（款）其他教育管理事务支出（项）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支出决算为168.2万元，完成预算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5</w:t>
      </w:r>
      <w:r>
        <w:rPr>
          <w:rStyle w:val="16"/>
          <w:rFonts w:ascii="仿宋" w:hAnsi="仿宋" w:eastAsia="仿宋"/>
          <w:bCs/>
          <w:sz w:val="32"/>
          <w:szCs w:val="32"/>
        </w:rPr>
        <w:t>.</w:t>
      </w:r>
      <w:r>
        <w:rPr>
          <w:rStyle w:val="16"/>
          <w:rFonts w:hint="eastAsia" w:ascii="仿宋" w:hAnsi="仿宋" w:eastAsia="仿宋"/>
          <w:bCs/>
          <w:sz w:val="32"/>
          <w:szCs w:val="32"/>
        </w:rPr>
        <w:t>教育（类）普通教育（款）高中教育（项）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支出决算为600万元，完成预算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6.</w:t>
      </w:r>
      <w:r>
        <w:rPr>
          <w:rStyle w:val="16"/>
          <w:rFonts w:hint="eastAsia" w:ascii="仿宋" w:hAnsi="仿宋" w:eastAsia="仿宋"/>
          <w:bCs/>
          <w:sz w:val="32"/>
          <w:szCs w:val="32"/>
        </w:rPr>
        <w:t>教育（类）普通教育（款）其他普通教育支出（项）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支出决算为105.04万元，完成预算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7.</w:t>
      </w:r>
      <w:r>
        <w:rPr>
          <w:rStyle w:val="16"/>
          <w:rFonts w:hint="eastAsia" w:ascii="仿宋" w:hAnsi="仿宋" w:eastAsia="仿宋"/>
          <w:bCs/>
          <w:sz w:val="32"/>
          <w:szCs w:val="32"/>
        </w:rPr>
        <w:t>教育（类）职业教育（款）中等职业教育（项）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支出决算为50万元，完成预算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8.</w:t>
      </w:r>
      <w:r>
        <w:rPr>
          <w:rStyle w:val="16"/>
          <w:rFonts w:hint="eastAsia" w:ascii="仿宋" w:hAnsi="仿宋" w:eastAsia="仿宋"/>
          <w:bCs/>
          <w:sz w:val="32"/>
          <w:szCs w:val="32"/>
        </w:rPr>
        <w:t>教育（类）进修及培训（款）教师进修（项）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支出决算为310万元，完成预算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9.</w:t>
      </w:r>
      <w:r>
        <w:rPr>
          <w:rStyle w:val="16"/>
          <w:rFonts w:hint="eastAsia" w:ascii="仿宋" w:hAnsi="仿宋" w:eastAsia="仿宋"/>
          <w:bCs/>
          <w:sz w:val="32"/>
          <w:szCs w:val="32"/>
        </w:rPr>
        <w:t>教育（类）进修及培训（款）干部教育（项）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支出决算为1.54万元，完成预算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10.</w:t>
      </w:r>
      <w:r>
        <w:rPr>
          <w:rStyle w:val="16"/>
          <w:rFonts w:hint="eastAsia" w:ascii="仿宋" w:hAnsi="仿宋" w:eastAsia="仿宋"/>
          <w:bCs/>
          <w:sz w:val="32"/>
          <w:szCs w:val="32"/>
        </w:rPr>
        <w:t>教育（类）进修及培训（款）培训支出（项）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支出决算为4万元，完成预算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11</w:t>
      </w:r>
      <w:r>
        <w:rPr>
          <w:rStyle w:val="16"/>
          <w:rFonts w:ascii="仿宋" w:hAnsi="仿宋" w:eastAsia="仿宋"/>
          <w:bCs/>
          <w:sz w:val="32"/>
          <w:szCs w:val="32"/>
        </w:rPr>
        <w:t>.</w:t>
      </w:r>
      <w:r>
        <w:rPr>
          <w:rStyle w:val="16"/>
          <w:rFonts w:hint="eastAsia" w:ascii="仿宋" w:hAnsi="仿宋" w:eastAsia="仿宋"/>
          <w:bCs/>
          <w:sz w:val="32"/>
          <w:szCs w:val="32"/>
        </w:rPr>
        <w:t>文化旅游体育与传媒（类）文化和旅游（款）文化活动（项）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支出决算为1.4万元，完成预算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12</w:t>
      </w:r>
      <w:r>
        <w:rPr>
          <w:rStyle w:val="16"/>
          <w:rFonts w:ascii="仿宋" w:hAnsi="仿宋" w:eastAsia="仿宋"/>
          <w:bCs/>
          <w:sz w:val="32"/>
          <w:szCs w:val="32"/>
        </w:rPr>
        <w:t>.</w:t>
      </w:r>
      <w:r>
        <w:rPr>
          <w:rStyle w:val="16"/>
          <w:rFonts w:hint="eastAsia" w:ascii="仿宋" w:hAnsi="仿宋" w:eastAsia="仿宋"/>
          <w:bCs/>
          <w:sz w:val="32"/>
          <w:szCs w:val="32"/>
        </w:rPr>
        <w:t>社会保障和就业（类）人力资源和社会保障管理事务（款）引进人才费用（项）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支出决算为24万元，完成预算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13</w:t>
      </w:r>
      <w:r>
        <w:rPr>
          <w:rStyle w:val="16"/>
          <w:rFonts w:ascii="仿宋" w:hAnsi="仿宋" w:eastAsia="仿宋"/>
          <w:bCs/>
          <w:sz w:val="32"/>
          <w:szCs w:val="32"/>
        </w:rPr>
        <w:t>.</w:t>
      </w:r>
      <w:r>
        <w:rPr>
          <w:rStyle w:val="16"/>
          <w:rFonts w:hint="eastAsia" w:ascii="仿宋" w:hAnsi="仿宋" w:eastAsia="仿宋"/>
          <w:bCs/>
          <w:sz w:val="32"/>
          <w:szCs w:val="32"/>
        </w:rPr>
        <w:t>社会保障和就业（类）人力资源和社会保障管理事务（款）其他人力资源和社会保障管理事务支出（项）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支出决算为10.12万元，完成预算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14</w:t>
      </w:r>
      <w:r>
        <w:rPr>
          <w:rStyle w:val="16"/>
          <w:rFonts w:ascii="仿宋" w:hAnsi="仿宋" w:eastAsia="仿宋"/>
          <w:bCs/>
          <w:sz w:val="32"/>
          <w:szCs w:val="32"/>
        </w:rPr>
        <w:t>.</w:t>
      </w:r>
      <w:r>
        <w:rPr>
          <w:rStyle w:val="16"/>
          <w:rFonts w:hint="eastAsia" w:ascii="仿宋" w:hAnsi="仿宋" w:eastAsia="仿宋"/>
          <w:bCs/>
          <w:sz w:val="32"/>
          <w:szCs w:val="32"/>
        </w:rPr>
        <w:t>社会保障和就业（类）行政事业单位养老支出（款）行政单位离退休（项）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支出决算为2.3万元，完成预算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15</w:t>
      </w:r>
      <w:r>
        <w:rPr>
          <w:rStyle w:val="16"/>
          <w:rFonts w:ascii="仿宋" w:hAnsi="仿宋" w:eastAsia="仿宋"/>
          <w:bCs/>
          <w:sz w:val="32"/>
          <w:szCs w:val="32"/>
        </w:rPr>
        <w:t>.</w:t>
      </w:r>
      <w:r>
        <w:rPr>
          <w:rStyle w:val="16"/>
          <w:rFonts w:hint="eastAsia" w:ascii="仿宋" w:hAnsi="仿宋" w:eastAsia="仿宋"/>
          <w:bCs/>
          <w:sz w:val="32"/>
          <w:szCs w:val="32"/>
        </w:rPr>
        <w:t>社会保障和就业（类）行政事业单位养老支出（款）机关事业单位基本养老保险缴费支出（项）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支出决算为88.79万元，完成预算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16.</w:t>
      </w:r>
      <w:r>
        <w:rPr>
          <w:rStyle w:val="16"/>
          <w:rFonts w:hint="eastAsia" w:ascii="仿宋" w:hAnsi="仿宋" w:eastAsia="仿宋"/>
          <w:bCs/>
          <w:sz w:val="32"/>
          <w:szCs w:val="32"/>
        </w:rPr>
        <w:t>社会保障和就业（类）行政事业单位养老支出（款）机关事业单位职业年金缴费支出（项）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支出决算为0.25万元，完成预算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17.</w:t>
      </w:r>
      <w:r>
        <w:rPr>
          <w:rStyle w:val="16"/>
          <w:rFonts w:hint="eastAsia" w:ascii="仿宋" w:hAnsi="仿宋" w:eastAsia="仿宋"/>
          <w:bCs/>
          <w:sz w:val="32"/>
          <w:szCs w:val="32"/>
        </w:rPr>
        <w:t>社会保障和就业（类）行政事业单位养老支出（款）其他社会保障和就业支出（项）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支出其他社会保障和就业支出决算为0.26万元，完成预算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18</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（类）行政事业单位医疗（款）行政单位医疗（项）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支出决算为29.45万元，完成预算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19</w:t>
      </w:r>
      <w:r>
        <w:rPr>
          <w:rStyle w:val="16"/>
          <w:rFonts w:ascii="仿宋" w:hAnsi="仿宋" w:eastAsia="仿宋"/>
          <w:bCs/>
          <w:sz w:val="32"/>
          <w:szCs w:val="32"/>
        </w:rPr>
        <w:t>.</w:t>
      </w:r>
      <w:r>
        <w:rPr>
          <w:rFonts w:hint="eastAsia" w:ascii="仿宋" w:hAnsi="仿宋" w:eastAsia="仿宋"/>
          <w:b/>
          <w:bCs/>
          <w:sz w:val="32"/>
          <w:szCs w:val="32"/>
        </w:rPr>
        <w:t>住房保障支出</w:t>
      </w:r>
      <w:r>
        <w:rPr>
          <w:rStyle w:val="16"/>
          <w:rFonts w:hint="eastAsia" w:ascii="仿宋" w:hAnsi="仿宋" w:eastAsia="仿宋"/>
          <w:bCs/>
          <w:sz w:val="32"/>
          <w:szCs w:val="32"/>
        </w:rPr>
        <w:t>（类）住房改革支出（款）住房公积金（项）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支出决算为72.68万元，完成预算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p>
    <w:p>
      <w:pPr>
        <w:pageBreakBefore w:val="0"/>
        <w:kinsoku/>
        <w:wordWrap/>
        <w:overflowPunct/>
        <w:topLinePunct w:val="0"/>
        <w:bidi w:val="0"/>
        <w:spacing w:line="560" w:lineRule="exact"/>
        <w:ind w:firstLine="642" w:firstLineChars="200"/>
        <w:textAlignment w:val="auto"/>
        <w:rPr>
          <w:rFonts w:hint="eastAsia" w:ascii="黑体" w:eastAsia="黑体"/>
          <w:sz w:val="32"/>
          <w:szCs w:val="32"/>
        </w:rPr>
      </w:pPr>
      <w:r>
        <w:rPr>
          <w:rStyle w:val="16"/>
          <w:rFonts w:hint="eastAsia" w:ascii="仿宋" w:hAnsi="仿宋" w:eastAsia="仿宋"/>
          <w:bCs/>
          <w:sz w:val="32"/>
          <w:szCs w:val="32"/>
          <w:lang w:val="en-US" w:eastAsia="zh-CN"/>
        </w:rPr>
        <w:t>20</w:t>
      </w:r>
      <w:r>
        <w:rPr>
          <w:rStyle w:val="16"/>
          <w:rFonts w:ascii="仿宋" w:hAnsi="仿宋" w:eastAsia="仿宋"/>
          <w:bCs/>
          <w:sz w:val="32"/>
          <w:szCs w:val="32"/>
        </w:rPr>
        <w:t>.</w:t>
      </w:r>
      <w:r>
        <w:rPr>
          <w:rFonts w:hint="eastAsia" w:ascii="仿宋" w:hAnsi="仿宋" w:eastAsia="仿宋"/>
          <w:b/>
          <w:bCs/>
          <w:sz w:val="32"/>
          <w:szCs w:val="32"/>
        </w:rPr>
        <w:t>其他支出</w:t>
      </w:r>
      <w:r>
        <w:rPr>
          <w:rStyle w:val="16"/>
          <w:rFonts w:hint="eastAsia" w:ascii="仿宋" w:hAnsi="仿宋" w:eastAsia="仿宋"/>
          <w:bCs/>
          <w:sz w:val="32"/>
          <w:szCs w:val="32"/>
        </w:rPr>
        <w:t>（类）其他支出（款）其他支出（项）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支出决算为428万元，完成预算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，决算数等于预算数。</w:t>
      </w:r>
      <w:bookmarkStart w:id="56" w:name="_Toc15396608"/>
      <w:bookmarkStart w:id="57" w:name="_Toc15377214"/>
    </w:p>
    <w:p>
      <w:pPr>
        <w:pageBreakBefore w:val="0"/>
        <w:tabs>
          <w:tab w:val="right" w:pos="8306"/>
        </w:tabs>
        <w:kinsoku/>
        <w:wordWrap/>
        <w:overflowPunct/>
        <w:topLinePunct w:val="0"/>
        <w:bidi w:val="0"/>
        <w:spacing w:line="560" w:lineRule="exact"/>
        <w:ind w:firstLine="640"/>
        <w:textAlignment w:val="auto"/>
        <w:outlineLvl w:val="1"/>
        <w:rPr>
          <w:rStyle w:val="28"/>
        </w:rPr>
      </w:pPr>
      <w:bookmarkStart w:id="58" w:name="_Toc23971"/>
      <w:bookmarkStart w:id="59" w:name="_Toc21847"/>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56"/>
      <w:bookmarkEnd w:id="57"/>
      <w:bookmarkEnd w:id="58"/>
      <w:bookmarkEnd w:id="59"/>
      <w:r>
        <w:rPr>
          <w:rStyle w:val="28"/>
          <w:rFonts w:ascii="黑体" w:hAnsi="黑体" w:eastAsia="黑体"/>
          <w:b w:val="0"/>
        </w:rPr>
        <w:tab/>
      </w:r>
    </w:p>
    <w:p>
      <w:pPr>
        <w:pageBreakBefore w:val="0"/>
        <w:kinsoku/>
        <w:wordWrap/>
        <w:overflowPunct/>
        <w:topLinePunct w:val="0"/>
        <w:bidi w:val="0"/>
        <w:spacing w:line="560" w:lineRule="exact"/>
        <w:ind w:firstLine="645"/>
        <w:textAlignment w:val="auto"/>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1116.02</w:t>
      </w:r>
      <w:r>
        <w:rPr>
          <w:rFonts w:hint="eastAsia" w:ascii="仿宋" w:hAnsi="仿宋" w:eastAsia="仿宋"/>
          <w:sz w:val="32"/>
          <w:szCs w:val="32"/>
        </w:rPr>
        <w:t>万元，其中：</w:t>
      </w:r>
    </w:p>
    <w:p>
      <w:pPr>
        <w:pageBreakBefore w:val="0"/>
        <w:kinsoku/>
        <w:wordWrap/>
        <w:overflowPunct/>
        <w:topLinePunct w:val="0"/>
        <w:bidi w:val="0"/>
        <w:spacing w:line="560" w:lineRule="exact"/>
        <w:ind w:firstLine="645"/>
        <w:textAlignment w:val="auto"/>
        <w:rPr>
          <w:rFonts w:hint="eastAsia" w:ascii="黑体" w:eastAsia="黑体"/>
          <w:sz w:val="32"/>
          <w:szCs w:val="32"/>
        </w:rPr>
      </w:pPr>
      <w:r>
        <w:rPr>
          <w:rFonts w:hint="eastAsia" w:ascii="仿宋" w:hAnsi="仿宋" w:eastAsia="仿宋"/>
          <w:sz w:val="32"/>
          <w:szCs w:val="32"/>
        </w:rPr>
        <w:t>人员经费</w:t>
      </w:r>
      <w:r>
        <w:rPr>
          <w:rFonts w:ascii="仿宋" w:hAnsi="仿宋" w:eastAsia="仿宋"/>
          <w:b/>
          <w:sz w:val="32"/>
          <w:szCs w:val="32"/>
        </w:rPr>
        <w:t>973.79</w:t>
      </w:r>
      <w:r>
        <w:rPr>
          <w:rFonts w:hint="eastAsia" w:ascii="仿宋" w:hAnsi="仿宋" w:eastAsia="仿宋"/>
          <w:sz w:val="32"/>
          <w:szCs w:val="32"/>
        </w:rPr>
        <w:t>万元，主要包括：基本工资、津贴补贴、奖金、机关事业单位基本养老保险缴费、职业年金缴费、职工基本医疗保险缴费</w:t>
      </w:r>
      <w:r>
        <w:rPr>
          <w:rFonts w:hint="eastAsia" w:ascii="仿宋" w:hAnsi="仿宋" w:eastAsia="仿宋"/>
          <w:sz w:val="32"/>
          <w:szCs w:val="32"/>
          <w:lang w:eastAsia="zh-CN"/>
        </w:rPr>
        <w:t>、</w:t>
      </w:r>
      <w:r>
        <w:rPr>
          <w:rFonts w:hint="eastAsia" w:ascii="仿宋" w:hAnsi="仿宋" w:eastAsia="仿宋"/>
          <w:sz w:val="32"/>
          <w:szCs w:val="32"/>
        </w:rPr>
        <w:t>其他社会保障缴费、住房公积金、生活补助、奖励金。</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142.23</w:t>
      </w:r>
      <w:r>
        <w:rPr>
          <w:rFonts w:hint="eastAsia" w:ascii="仿宋" w:hAnsi="仿宋" w:eastAsia="仿宋"/>
          <w:sz w:val="32"/>
          <w:szCs w:val="32"/>
        </w:rPr>
        <w:t>万元，主要包括：办公费、咨询费、水费、邮电费、物业管理费、差旅费、维修（护）费、会议费、培训费、公务接待费、劳务费、工会经费、福利费、公务用车运行维护费、其他交通费</w:t>
      </w:r>
      <w:r>
        <w:rPr>
          <w:rFonts w:hint="eastAsia" w:ascii="仿宋" w:hAnsi="仿宋" w:eastAsia="仿宋"/>
          <w:sz w:val="32"/>
          <w:szCs w:val="32"/>
          <w:lang w:val="en-US" w:eastAsia="zh-CN"/>
        </w:rPr>
        <w:t>用</w:t>
      </w:r>
      <w:r>
        <w:rPr>
          <w:rFonts w:hint="eastAsia" w:ascii="仿宋" w:hAnsi="仿宋" w:eastAsia="仿宋"/>
          <w:sz w:val="32"/>
          <w:szCs w:val="32"/>
        </w:rPr>
        <w:t>、其他商品和服务支出。</w:t>
      </w:r>
      <w:bookmarkStart w:id="60" w:name="_Toc15396609"/>
      <w:bookmarkStart w:id="61" w:name="_Toc15377215"/>
    </w:p>
    <w:p>
      <w:pPr>
        <w:pageBreakBefore w:val="0"/>
        <w:kinsoku/>
        <w:wordWrap/>
        <w:overflowPunct/>
        <w:topLinePunct w:val="0"/>
        <w:bidi w:val="0"/>
        <w:spacing w:line="560" w:lineRule="exact"/>
        <w:ind w:firstLine="640"/>
        <w:textAlignment w:val="auto"/>
        <w:outlineLvl w:val="1"/>
        <w:rPr>
          <w:rStyle w:val="28"/>
          <w:rFonts w:ascii="黑体" w:hAnsi="黑体" w:eastAsia="黑体"/>
          <w:b w:val="0"/>
        </w:rPr>
      </w:pPr>
      <w:bookmarkStart w:id="62" w:name="_Toc6699"/>
      <w:bookmarkStart w:id="63" w:name="_Toc27590"/>
      <w:r>
        <w:rPr>
          <w:rFonts w:hint="eastAsia" w:ascii="黑体" w:eastAsia="黑体"/>
          <w:sz w:val="32"/>
          <w:szCs w:val="32"/>
        </w:rPr>
        <w:t>七、</w:t>
      </w:r>
      <w:r>
        <w:rPr>
          <w:rStyle w:val="28"/>
          <w:rFonts w:hint="eastAsia" w:ascii="黑体" w:hAnsi="黑体" w:eastAsia="黑体"/>
          <w:b w:val="0"/>
        </w:rPr>
        <w:t>财政拨款</w:t>
      </w:r>
      <w:r>
        <w:rPr>
          <w:rStyle w:val="28"/>
          <w:rFonts w:hint="eastAsia" w:ascii="黑体" w:hAnsi="黑体" w:eastAsia="黑体"/>
        </w:rPr>
        <w:t>“</w:t>
      </w:r>
      <w:r>
        <w:rPr>
          <w:rStyle w:val="28"/>
          <w:rFonts w:hint="eastAsia" w:ascii="黑体" w:hAnsi="黑体" w:eastAsia="黑体"/>
          <w:b w:val="0"/>
        </w:rPr>
        <w:t>三公”经费支出决算情况说明</w:t>
      </w:r>
      <w:bookmarkEnd w:id="60"/>
      <w:bookmarkEnd w:id="61"/>
      <w:bookmarkEnd w:id="62"/>
      <w:bookmarkEnd w:id="63"/>
    </w:p>
    <w:p>
      <w:pPr>
        <w:pageBreakBefore w:val="0"/>
        <w:kinsoku/>
        <w:wordWrap/>
        <w:overflowPunct/>
        <w:topLinePunct w:val="0"/>
        <w:bidi w:val="0"/>
        <w:spacing w:line="560" w:lineRule="exact"/>
        <w:ind w:firstLine="640"/>
        <w:textAlignment w:val="auto"/>
        <w:outlineLvl w:val="2"/>
        <w:rPr>
          <w:rFonts w:ascii="仿宋" w:hAnsi="仿宋" w:eastAsia="仿宋"/>
          <w:b/>
          <w:sz w:val="32"/>
          <w:szCs w:val="32"/>
        </w:rPr>
      </w:pPr>
      <w:bookmarkStart w:id="64" w:name="_Toc15377216"/>
      <w:r>
        <w:rPr>
          <w:rFonts w:hint="eastAsia" w:ascii="仿宋" w:hAnsi="仿宋" w:eastAsia="仿宋"/>
          <w:b/>
          <w:sz w:val="32"/>
          <w:szCs w:val="32"/>
        </w:rPr>
        <w:t>（一）“三公”经费财政拨款支出决算总体情况说明</w:t>
      </w:r>
      <w:bookmarkEnd w:id="64"/>
    </w:p>
    <w:p>
      <w:pPr>
        <w:snapToGrid w:val="0"/>
        <w:spacing w:line="576" w:lineRule="exact"/>
        <w:ind w:firstLine="640" w:firstLineChars="200"/>
        <w:jc w:val="both"/>
        <w:rPr>
          <w:rFonts w:hint="eastAsia" w:ascii="仿宋_GB2312" w:eastAsia="仿宋_GB2312"/>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7.49</w:t>
      </w:r>
      <w:r>
        <w:rPr>
          <w:rFonts w:hint="eastAsia" w:ascii="仿宋" w:hAnsi="仿宋" w:eastAsia="仿宋"/>
          <w:sz w:val="32"/>
          <w:szCs w:val="32"/>
        </w:rPr>
        <w:t>万元，完成预算</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，较上年度减少</w:t>
      </w:r>
      <w:r>
        <w:rPr>
          <w:rFonts w:hint="eastAsia" w:ascii="仿宋" w:hAnsi="仿宋" w:eastAsia="仿宋"/>
          <w:sz w:val="32"/>
          <w:szCs w:val="32"/>
          <w:lang w:val="en-US" w:eastAsia="zh-CN"/>
        </w:rPr>
        <w:t>14.13</w:t>
      </w:r>
      <w:r>
        <w:rPr>
          <w:rFonts w:hint="eastAsia" w:ascii="仿宋" w:hAnsi="仿宋" w:eastAsia="仿宋"/>
          <w:sz w:val="32"/>
          <w:szCs w:val="32"/>
        </w:rPr>
        <w:t>万元，下降</w:t>
      </w:r>
      <w:r>
        <w:rPr>
          <w:rFonts w:hint="eastAsia" w:ascii="仿宋" w:hAnsi="仿宋" w:eastAsia="仿宋"/>
          <w:sz w:val="32"/>
          <w:szCs w:val="32"/>
          <w:lang w:val="en-US" w:eastAsia="zh-CN"/>
        </w:rPr>
        <w:t>65.36</w:t>
      </w:r>
      <w:r>
        <w:rPr>
          <w:rFonts w:hint="eastAsia" w:ascii="仿宋" w:hAnsi="仿宋" w:eastAsia="仿宋"/>
          <w:sz w:val="32"/>
          <w:szCs w:val="32"/>
        </w:rPr>
        <w:t>%。决算数</w:t>
      </w:r>
      <w:r>
        <w:rPr>
          <w:rFonts w:hint="eastAsia" w:ascii="仿宋" w:hAnsi="仿宋" w:eastAsia="仿宋"/>
          <w:sz w:val="32"/>
          <w:szCs w:val="32"/>
          <w:lang w:val="en-US" w:eastAsia="zh-CN"/>
        </w:rPr>
        <w:t>与</w:t>
      </w:r>
      <w:r>
        <w:rPr>
          <w:rFonts w:hint="eastAsia" w:ascii="仿宋" w:hAnsi="仿宋" w:eastAsia="仿宋"/>
          <w:sz w:val="32"/>
          <w:szCs w:val="32"/>
        </w:rPr>
        <w:t>预算数</w:t>
      </w:r>
      <w:r>
        <w:rPr>
          <w:rFonts w:hint="eastAsia" w:ascii="仿宋" w:hAnsi="仿宋" w:eastAsia="仿宋"/>
          <w:sz w:val="32"/>
          <w:szCs w:val="32"/>
          <w:lang w:val="en-US" w:eastAsia="zh-CN"/>
        </w:rPr>
        <w:t>持平</w:t>
      </w:r>
      <w:r>
        <w:rPr>
          <w:rFonts w:hint="eastAsia" w:ascii="仿宋" w:hAnsi="仿宋" w:eastAsia="仿宋"/>
          <w:sz w:val="32"/>
          <w:szCs w:val="32"/>
        </w:rPr>
        <w:t>。</w:t>
      </w:r>
    </w:p>
    <w:p>
      <w:pPr>
        <w:pageBreakBefore w:val="0"/>
        <w:kinsoku/>
        <w:wordWrap/>
        <w:overflowPunct/>
        <w:topLinePunct w:val="0"/>
        <w:bidi w:val="0"/>
        <w:spacing w:line="560" w:lineRule="exact"/>
        <w:ind w:firstLine="640"/>
        <w:textAlignment w:val="auto"/>
        <w:outlineLvl w:val="2"/>
        <w:rPr>
          <w:rFonts w:ascii="仿宋" w:hAnsi="仿宋" w:eastAsia="仿宋"/>
          <w:b/>
          <w:sz w:val="32"/>
          <w:szCs w:val="32"/>
        </w:rPr>
      </w:pPr>
      <w:bookmarkStart w:id="65" w:name="_Toc15377217"/>
      <w:r>
        <w:rPr>
          <w:rFonts w:hint="eastAsia" w:ascii="仿宋" w:hAnsi="仿宋" w:eastAsia="仿宋"/>
          <w:b/>
          <w:sz w:val="32"/>
          <w:szCs w:val="32"/>
        </w:rPr>
        <w:t>（二）“三公”经费财政拨款支出决算具体情况说明</w:t>
      </w:r>
      <w:bookmarkEnd w:id="65"/>
    </w:p>
    <w:p>
      <w:pPr>
        <w:pageBreakBefore w:val="0"/>
        <w:kinsoku/>
        <w:wordWrap/>
        <w:overflowPunct/>
        <w:topLinePunct w:val="0"/>
        <w:bidi w:val="0"/>
        <w:spacing w:line="560" w:lineRule="exact"/>
        <w:ind w:firstLine="640"/>
        <w:textAlignment w:val="auto"/>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4.49</w:t>
      </w:r>
      <w:r>
        <w:rPr>
          <w:rFonts w:hint="eastAsia" w:ascii="仿宋" w:hAnsi="仿宋" w:eastAsia="仿宋"/>
          <w:sz w:val="32"/>
          <w:szCs w:val="32"/>
        </w:rPr>
        <w:t>万元，占</w:t>
      </w:r>
      <w:r>
        <w:rPr>
          <w:rFonts w:ascii="仿宋" w:hAnsi="仿宋" w:eastAsia="仿宋"/>
          <w:b/>
          <w:sz w:val="32"/>
          <w:szCs w:val="32"/>
        </w:rPr>
        <w:t>59.94</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3</w:t>
      </w:r>
      <w:r>
        <w:rPr>
          <w:rFonts w:hint="eastAsia" w:ascii="仿宋" w:hAnsi="仿宋" w:eastAsia="仿宋"/>
          <w:sz w:val="32"/>
          <w:szCs w:val="32"/>
        </w:rPr>
        <w:t>万元，占</w:t>
      </w:r>
      <w:r>
        <w:rPr>
          <w:rFonts w:ascii="仿宋" w:hAnsi="仿宋" w:eastAsia="仿宋"/>
          <w:b/>
          <w:sz w:val="32"/>
          <w:szCs w:val="32"/>
        </w:rPr>
        <w:t>40.05</w:t>
      </w:r>
      <w:r>
        <w:rPr>
          <w:rFonts w:ascii="仿宋" w:hAnsi="仿宋" w:eastAsia="仿宋"/>
          <w:sz w:val="32"/>
          <w:szCs w:val="32"/>
        </w:rPr>
        <w:t>%</w:t>
      </w:r>
      <w:r>
        <w:rPr>
          <w:rFonts w:hint="eastAsia" w:ascii="仿宋" w:hAnsi="仿宋" w:eastAsia="仿宋"/>
          <w:sz w:val="32"/>
          <w:szCs w:val="32"/>
        </w:rPr>
        <w:t>。具体情况如下：</w:t>
      </w:r>
    </w:p>
    <w:p>
      <w:pPr>
        <w:pStyle w:val="2"/>
      </w:pPr>
      <w:r>
        <w:drawing>
          <wp:inline distT="0" distB="0" distL="114300" distR="114300">
            <wp:extent cx="4206240" cy="2201545"/>
            <wp:effectExtent l="4445" t="4445" r="10795" b="1905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ageBreakBefore w:val="0"/>
        <w:kinsoku/>
        <w:wordWrap/>
        <w:overflowPunct/>
        <w:topLinePunct w:val="0"/>
        <w:bidi w:val="0"/>
        <w:spacing w:line="560" w:lineRule="exact"/>
        <w:ind w:firstLine="640"/>
        <w:textAlignment w:val="auto"/>
        <w:rPr>
          <w:rFonts w:ascii="仿宋" w:hAnsi="仿宋" w:eastAsia="仿宋"/>
          <w:sz w:val="32"/>
          <w:szCs w:val="32"/>
        </w:rPr>
      </w:pPr>
      <w:r>
        <w:rPr>
          <w:rFonts w:hint="eastAsia" w:ascii="仿宋" w:hAnsi="仿宋" w:eastAsia="仿宋"/>
          <w:sz w:val="32"/>
          <w:szCs w:val="32"/>
        </w:rPr>
        <w:t>（图7：“三公”经费财政拨款支出结构）（饼状图）</w:t>
      </w:r>
    </w:p>
    <w:p>
      <w:pPr>
        <w:pageBreakBefore w:val="0"/>
        <w:kinsoku/>
        <w:wordWrap/>
        <w:overflowPunct/>
        <w:topLinePunct w:val="0"/>
        <w:bidi w:val="0"/>
        <w:spacing w:line="560" w:lineRule="exact"/>
        <w:ind w:firstLine="640"/>
        <w:textAlignment w:val="auto"/>
        <w:rPr>
          <w:rFonts w:hint="eastAsia" w:ascii="宋体" w:hAnsi="宋体" w:eastAsia="宋体" w:cs="宋体"/>
          <w:sz w:val="32"/>
          <w:szCs w:val="32"/>
        </w:rPr>
      </w:pPr>
      <w:bookmarkStart w:id="66" w:name="_Toc15377218"/>
      <w:bookmarkStart w:id="67" w:name="_Toc15396610"/>
      <w:r>
        <w:rPr>
          <w:rFonts w:hint="eastAsia" w:ascii="宋体" w:hAnsi="宋体" w:eastAsia="宋体" w:cs="宋体"/>
          <w:b/>
          <w:sz w:val="32"/>
          <w:szCs w:val="32"/>
        </w:rPr>
        <w:t>1.因公出国（境）经费支出0</w:t>
      </w:r>
      <w:r>
        <w:rPr>
          <w:rFonts w:hint="eastAsia" w:ascii="仿宋" w:hAnsi="仿宋" w:eastAsia="仿宋" w:cs="Times New Roman"/>
          <w:sz w:val="32"/>
          <w:szCs w:val="32"/>
        </w:rPr>
        <w:t>万元，完成预算0%。全年安排因公出国（境）团组0次，出国（境）0人。因公出国（境）支出决算</w:t>
      </w:r>
      <w:r>
        <w:rPr>
          <w:rFonts w:hint="eastAsia" w:ascii="仿宋" w:hAnsi="仿宋" w:eastAsia="仿宋" w:cs="Times New Roman"/>
          <w:sz w:val="32"/>
          <w:szCs w:val="32"/>
          <w:lang w:val="en-US" w:eastAsia="zh-CN"/>
        </w:rPr>
        <w:t>与</w:t>
      </w:r>
      <w:r>
        <w:rPr>
          <w:rFonts w:hint="eastAsia" w:ascii="仿宋" w:hAnsi="仿宋" w:eastAsia="仿宋" w:cs="Times New Roman"/>
          <w:sz w:val="32"/>
          <w:szCs w:val="32"/>
        </w:rPr>
        <w:t>2022年</w:t>
      </w:r>
      <w:r>
        <w:rPr>
          <w:rFonts w:hint="eastAsia" w:ascii="仿宋" w:hAnsi="仿宋" w:eastAsia="仿宋" w:cs="Times New Roman"/>
          <w:sz w:val="32"/>
          <w:szCs w:val="32"/>
          <w:lang w:val="en-US" w:eastAsia="zh-CN"/>
        </w:rPr>
        <w:t>无变化</w:t>
      </w:r>
      <w:r>
        <w:rPr>
          <w:rFonts w:hint="eastAsia" w:ascii="仿宋" w:hAnsi="仿宋" w:eastAsia="仿宋" w:cs="Times New Roman"/>
          <w:sz w:val="32"/>
          <w:szCs w:val="32"/>
        </w:rPr>
        <w:t>。</w:t>
      </w:r>
    </w:p>
    <w:p>
      <w:pPr>
        <w:pageBreakBefore w:val="0"/>
        <w:kinsoku/>
        <w:wordWrap/>
        <w:overflowPunct/>
        <w:topLinePunct w:val="0"/>
        <w:bidi w:val="0"/>
        <w:spacing w:line="560" w:lineRule="exact"/>
        <w:ind w:firstLine="640"/>
        <w:textAlignment w:val="auto"/>
        <w:rPr>
          <w:rFonts w:hint="eastAsia" w:ascii="仿宋" w:hAnsi="仿宋" w:eastAsia="仿宋" w:cs="Times New Roman"/>
          <w:sz w:val="32"/>
          <w:szCs w:val="32"/>
        </w:rPr>
      </w:pPr>
      <w:r>
        <w:rPr>
          <w:rFonts w:hint="eastAsia" w:ascii="宋体" w:hAnsi="宋体" w:eastAsia="宋体" w:cs="宋体"/>
          <w:b/>
          <w:sz w:val="32"/>
          <w:szCs w:val="32"/>
        </w:rPr>
        <w:t>2.公务用车购置及运行维护费支出4.49</w:t>
      </w:r>
      <w:r>
        <w:rPr>
          <w:rFonts w:hint="eastAsia" w:ascii="仿宋" w:hAnsi="仿宋" w:eastAsia="仿宋" w:cs="Times New Roman"/>
          <w:sz w:val="32"/>
          <w:szCs w:val="32"/>
        </w:rPr>
        <w:t>万元</w:t>
      </w:r>
      <w:r>
        <w:rPr>
          <w:rFonts w:hint="eastAsia" w:ascii="仿宋" w:hAnsi="仿宋" w:eastAsia="仿宋" w:cs="Times New Roman"/>
          <w:sz w:val="32"/>
          <w:szCs w:val="32"/>
          <w:lang w:eastAsia="zh-CN"/>
        </w:rPr>
        <w:t>，</w:t>
      </w:r>
      <w:r>
        <w:rPr>
          <w:rFonts w:hint="eastAsia" w:ascii="仿宋" w:hAnsi="仿宋" w:eastAsia="仿宋" w:cs="Times New Roman"/>
          <w:sz w:val="32"/>
          <w:szCs w:val="32"/>
        </w:rPr>
        <w:t>完成预算100%。公务用车购置及运行维护费支出决算比2022年度减少</w:t>
      </w:r>
      <w:r>
        <w:rPr>
          <w:rFonts w:hint="eastAsia" w:ascii="仿宋" w:hAnsi="仿宋" w:eastAsia="仿宋" w:cs="Times New Roman"/>
          <w:sz w:val="32"/>
          <w:szCs w:val="32"/>
          <w:lang w:val="en-US" w:eastAsia="zh-CN"/>
        </w:rPr>
        <w:t>13.14</w:t>
      </w:r>
      <w:r>
        <w:rPr>
          <w:rFonts w:hint="eastAsia" w:ascii="仿宋" w:hAnsi="仿宋" w:eastAsia="仿宋" w:cs="Times New Roman"/>
          <w:sz w:val="32"/>
          <w:szCs w:val="32"/>
        </w:rPr>
        <w:t>万元，下降</w:t>
      </w:r>
      <w:r>
        <w:rPr>
          <w:rFonts w:hint="eastAsia" w:ascii="仿宋" w:hAnsi="仿宋" w:eastAsia="仿宋" w:cs="Times New Roman"/>
          <w:sz w:val="32"/>
          <w:szCs w:val="32"/>
          <w:lang w:val="en-US" w:eastAsia="zh-CN"/>
        </w:rPr>
        <w:t>74.53</w:t>
      </w:r>
      <w:r>
        <w:rPr>
          <w:rFonts w:hint="eastAsia" w:ascii="仿宋" w:hAnsi="仿宋" w:eastAsia="仿宋" w:cs="Times New Roman"/>
          <w:sz w:val="32"/>
          <w:szCs w:val="32"/>
        </w:rPr>
        <w:t>%。主要原因是切实落实“过紧日子”要求，减少非必要的</w:t>
      </w:r>
      <w:r>
        <w:rPr>
          <w:rFonts w:hint="eastAsia" w:ascii="仿宋" w:hAnsi="仿宋" w:eastAsia="仿宋" w:cs="Times New Roman"/>
          <w:sz w:val="32"/>
          <w:szCs w:val="32"/>
          <w:lang w:val="en-US" w:eastAsia="zh-CN"/>
        </w:rPr>
        <w:t>用车</w:t>
      </w:r>
      <w:r>
        <w:rPr>
          <w:rFonts w:hint="eastAsia" w:ascii="仿宋" w:hAnsi="仿宋" w:eastAsia="仿宋" w:cs="Times New Roman"/>
          <w:sz w:val="32"/>
          <w:szCs w:val="32"/>
        </w:rPr>
        <w:t>，严控“三公经费”支出。</w:t>
      </w:r>
    </w:p>
    <w:p>
      <w:pPr>
        <w:pageBreakBefore w:val="0"/>
        <w:kinsoku/>
        <w:wordWrap/>
        <w:overflowPunct/>
        <w:topLinePunct w:val="0"/>
        <w:bidi w:val="0"/>
        <w:spacing w:line="560" w:lineRule="exact"/>
        <w:ind w:firstLine="640"/>
        <w:textAlignment w:val="auto"/>
        <w:rPr>
          <w:rFonts w:hint="eastAsia" w:ascii="仿宋" w:hAnsi="仿宋" w:eastAsia="仿宋" w:cs="Times New Roman"/>
          <w:sz w:val="32"/>
          <w:szCs w:val="32"/>
        </w:rPr>
      </w:pPr>
      <w:r>
        <w:rPr>
          <w:rFonts w:hint="eastAsia" w:ascii="宋体" w:hAnsi="宋体" w:eastAsia="宋体" w:cs="宋体"/>
          <w:b/>
          <w:sz w:val="32"/>
          <w:szCs w:val="32"/>
        </w:rPr>
        <w:t>其中：公务用车购置支出0万元。</w:t>
      </w:r>
      <w:r>
        <w:rPr>
          <w:rFonts w:hint="eastAsia" w:ascii="仿宋" w:hAnsi="仿宋" w:eastAsia="仿宋" w:cs="Times New Roman"/>
          <w:sz w:val="32"/>
          <w:szCs w:val="32"/>
        </w:rPr>
        <w:t>全年按规定更新购置公务用车</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辆。截至2023年12月31日，单位共有公务用车</w:t>
      </w:r>
      <w:r>
        <w:rPr>
          <w:rFonts w:hint="eastAsia" w:ascii="仿宋" w:hAnsi="仿宋" w:eastAsia="仿宋" w:cs="Times New Roman"/>
          <w:sz w:val="32"/>
          <w:szCs w:val="32"/>
          <w:lang w:val="en-US" w:eastAsia="zh-CN"/>
        </w:rPr>
        <w:t>1</w:t>
      </w:r>
      <w:r>
        <w:rPr>
          <w:rFonts w:hint="eastAsia" w:ascii="仿宋" w:hAnsi="仿宋" w:eastAsia="仿宋" w:cs="Times New Roman"/>
          <w:sz w:val="32"/>
          <w:szCs w:val="32"/>
        </w:rPr>
        <w:t>辆</w:t>
      </w:r>
      <w:r>
        <w:rPr>
          <w:rFonts w:hint="eastAsia" w:ascii="仿宋" w:hAnsi="仿宋" w:eastAsia="仿宋" w:cs="Times New Roman"/>
          <w:sz w:val="32"/>
          <w:szCs w:val="32"/>
          <w:lang w:eastAsia="zh-CN"/>
        </w:rPr>
        <w:t>，</w:t>
      </w:r>
      <w:r>
        <w:rPr>
          <w:rFonts w:hint="default" w:ascii="仿宋" w:hAnsi="仿宋" w:eastAsia="仿宋" w:cs="Times New Roman"/>
          <w:sz w:val="32"/>
          <w:szCs w:val="32"/>
          <w:lang w:val="zh-CN"/>
        </w:rPr>
        <w:t>其中：越野车</w:t>
      </w:r>
      <w:r>
        <w:rPr>
          <w:rFonts w:hint="default" w:ascii="仿宋" w:hAnsi="仿宋" w:eastAsia="仿宋" w:cs="Times New Roman"/>
          <w:sz w:val="32"/>
          <w:szCs w:val="32"/>
          <w:lang w:val="en-US" w:eastAsia="zh-CN"/>
        </w:rPr>
        <w:t>1</w:t>
      </w:r>
      <w:r>
        <w:rPr>
          <w:rFonts w:hint="default" w:ascii="仿宋" w:hAnsi="仿宋" w:eastAsia="仿宋" w:cs="Times New Roman"/>
          <w:sz w:val="32"/>
          <w:szCs w:val="32"/>
          <w:lang w:val="zh-CN"/>
        </w:rPr>
        <w:t>辆。</w:t>
      </w:r>
    </w:p>
    <w:p>
      <w:pPr>
        <w:pageBreakBefore w:val="0"/>
        <w:kinsoku/>
        <w:wordWrap/>
        <w:overflowPunct/>
        <w:topLinePunct w:val="0"/>
        <w:bidi w:val="0"/>
        <w:spacing w:line="560" w:lineRule="exact"/>
        <w:ind w:firstLine="640"/>
        <w:textAlignment w:val="auto"/>
        <w:rPr>
          <w:rFonts w:hint="eastAsia" w:ascii="宋体" w:hAnsi="宋体" w:eastAsia="宋体" w:cs="宋体"/>
          <w:sz w:val="32"/>
          <w:szCs w:val="32"/>
        </w:rPr>
      </w:pPr>
      <w:r>
        <w:rPr>
          <w:rFonts w:hint="eastAsia" w:ascii="宋体" w:hAnsi="宋体" w:eastAsia="宋体" w:cs="宋体"/>
          <w:b/>
          <w:sz w:val="32"/>
          <w:szCs w:val="32"/>
        </w:rPr>
        <w:t>公务用车运行维护费支出4.49</w:t>
      </w:r>
      <w:r>
        <w:rPr>
          <w:rFonts w:hint="eastAsia" w:ascii="仿宋" w:hAnsi="仿宋" w:eastAsia="仿宋" w:cs="Times New Roman"/>
          <w:sz w:val="32"/>
          <w:szCs w:val="32"/>
        </w:rPr>
        <w:t>万元。主要用于教育督导、项目建设推进、教育重点项目工作、教育考试等所需的公务用车燃料费、维修费、过路过桥费、保险费等支出。</w:t>
      </w:r>
    </w:p>
    <w:p>
      <w:pPr>
        <w:pageBreakBefore w:val="0"/>
        <w:kinsoku/>
        <w:wordWrap/>
        <w:overflowPunct/>
        <w:topLinePunct w:val="0"/>
        <w:bidi w:val="0"/>
        <w:spacing w:line="560" w:lineRule="exact"/>
        <w:ind w:firstLine="640"/>
        <w:textAlignment w:val="auto"/>
        <w:rPr>
          <w:rFonts w:hint="eastAsia" w:ascii="宋体" w:hAnsi="宋体" w:eastAsia="宋体" w:cs="宋体"/>
          <w:sz w:val="32"/>
          <w:szCs w:val="32"/>
        </w:rPr>
      </w:pPr>
      <w:r>
        <w:rPr>
          <w:rFonts w:hint="eastAsia" w:ascii="宋体" w:hAnsi="宋体" w:eastAsia="宋体" w:cs="宋体"/>
          <w:b/>
          <w:sz w:val="32"/>
          <w:szCs w:val="32"/>
        </w:rPr>
        <w:t>3.公务接待费支出3</w:t>
      </w:r>
      <w:r>
        <w:rPr>
          <w:rFonts w:hint="eastAsia" w:ascii="仿宋" w:hAnsi="仿宋" w:eastAsia="仿宋" w:cs="Times New Roman"/>
          <w:sz w:val="32"/>
          <w:szCs w:val="32"/>
        </w:rPr>
        <w:t>万元，完成预算100%。公务接待费支出决算比2022年度减少</w:t>
      </w:r>
      <w:r>
        <w:rPr>
          <w:rFonts w:hint="eastAsia" w:ascii="仿宋" w:hAnsi="仿宋" w:eastAsia="仿宋" w:cs="Times New Roman"/>
          <w:sz w:val="32"/>
          <w:szCs w:val="32"/>
          <w:lang w:val="en-US" w:eastAsia="zh-CN"/>
        </w:rPr>
        <w:t>1</w:t>
      </w:r>
      <w:r>
        <w:rPr>
          <w:rFonts w:hint="eastAsia" w:ascii="仿宋" w:hAnsi="仿宋" w:eastAsia="仿宋" w:cs="Times New Roman"/>
          <w:sz w:val="32"/>
          <w:szCs w:val="32"/>
        </w:rPr>
        <w:t>万元，下降</w:t>
      </w:r>
      <w:r>
        <w:rPr>
          <w:rFonts w:hint="eastAsia" w:ascii="仿宋" w:hAnsi="仿宋" w:eastAsia="仿宋" w:cs="Times New Roman"/>
          <w:sz w:val="32"/>
          <w:szCs w:val="32"/>
          <w:lang w:val="en-US" w:eastAsia="zh-CN"/>
        </w:rPr>
        <w:t>25</w:t>
      </w:r>
      <w:r>
        <w:rPr>
          <w:rFonts w:hint="eastAsia" w:ascii="仿宋" w:hAnsi="仿宋" w:eastAsia="仿宋" w:cs="Times New Roman"/>
          <w:sz w:val="32"/>
          <w:szCs w:val="32"/>
        </w:rPr>
        <w:t>%。主要原因是切实落实“过紧日子”要求，减少非必要的接待，严控公务接待支出。其中：</w:t>
      </w:r>
    </w:p>
    <w:p>
      <w:pPr>
        <w:pageBreakBefore w:val="0"/>
        <w:kinsoku/>
        <w:wordWrap/>
        <w:overflowPunct/>
        <w:topLinePunct w:val="0"/>
        <w:bidi w:val="0"/>
        <w:spacing w:line="560" w:lineRule="exact"/>
        <w:ind w:firstLine="640"/>
        <w:textAlignment w:val="auto"/>
        <w:rPr>
          <w:rFonts w:hint="eastAsia" w:ascii="宋体" w:hAnsi="宋体" w:eastAsia="宋体" w:cs="宋体"/>
          <w:sz w:val="32"/>
          <w:szCs w:val="32"/>
          <w:highlight w:val="none"/>
        </w:rPr>
      </w:pPr>
      <w:r>
        <w:rPr>
          <w:rFonts w:hint="eastAsia" w:ascii="宋体" w:hAnsi="宋体" w:eastAsia="宋体" w:cs="宋体"/>
          <w:b/>
          <w:sz w:val="32"/>
          <w:szCs w:val="32"/>
        </w:rPr>
        <w:t>国内公务接待支出3</w:t>
      </w:r>
      <w:r>
        <w:rPr>
          <w:rFonts w:hint="eastAsia" w:ascii="仿宋" w:hAnsi="仿宋" w:eastAsia="仿宋" w:cs="Times New Roman"/>
          <w:sz w:val="32"/>
          <w:szCs w:val="32"/>
        </w:rPr>
        <w:t>万元</w:t>
      </w:r>
      <w:r>
        <w:rPr>
          <w:rFonts w:hint="eastAsia" w:ascii="仿宋" w:hAnsi="仿宋" w:eastAsia="仿宋" w:cs="Times New Roman"/>
          <w:sz w:val="32"/>
          <w:szCs w:val="32"/>
          <w:lang w:eastAsia="zh-CN"/>
        </w:rPr>
        <w:t>。</w:t>
      </w:r>
      <w:r>
        <w:rPr>
          <w:rFonts w:hint="eastAsia" w:ascii="仿宋" w:hAnsi="仿宋" w:eastAsia="仿宋" w:cs="Times New Roman"/>
          <w:sz w:val="32"/>
          <w:szCs w:val="32"/>
        </w:rPr>
        <w:t>主要用于</w:t>
      </w:r>
      <w:r>
        <w:rPr>
          <w:rFonts w:hint="default" w:ascii="仿宋" w:hAnsi="仿宋" w:eastAsia="仿宋" w:cs="Times New Roman"/>
          <w:sz w:val="32"/>
          <w:szCs w:val="32"/>
          <w:lang w:val="en-US" w:eastAsia="zh-CN"/>
        </w:rPr>
        <w:t>教育高地建设、教育提质工程、项目招商等</w:t>
      </w:r>
      <w:r>
        <w:rPr>
          <w:rFonts w:hint="default" w:ascii="仿宋" w:hAnsi="仿宋" w:eastAsia="仿宋" w:cs="Times New Roman"/>
          <w:sz w:val="32"/>
          <w:szCs w:val="32"/>
          <w:lang w:val="en-US"/>
        </w:rPr>
        <w:t>执行公务、开展业务</w:t>
      </w:r>
      <w:r>
        <w:rPr>
          <w:rFonts w:hint="eastAsia" w:ascii="仿宋" w:hAnsi="仿宋" w:eastAsia="仿宋" w:cs="Times New Roman"/>
          <w:sz w:val="32"/>
          <w:szCs w:val="32"/>
        </w:rPr>
        <w:t>活动开支的交通费、住宿费、用餐费等。国内公务接待</w:t>
      </w:r>
      <w:r>
        <w:rPr>
          <w:rFonts w:hint="eastAsia" w:ascii="仿宋" w:hAnsi="仿宋" w:eastAsia="仿宋" w:cs="Times New Roman"/>
          <w:sz w:val="32"/>
          <w:szCs w:val="32"/>
          <w:lang w:val="en-US" w:eastAsia="zh-CN"/>
        </w:rPr>
        <w:t>22</w:t>
      </w:r>
      <w:r>
        <w:rPr>
          <w:rFonts w:hint="eastAsia" w:ascii="仿宋" w:hAnsi="仿宋" w:eastAsia="仿宋" w:cs="Times New Roman"/>
          <w:sz w:val="32"/>
          <w:szCs w:val="32"/>
        </w:rPr>
        <w:t>批次，</w:t>
      </w:r>
      <w:r>
        <w:rPr>
          <w:rFonts w:hint="eastAsia" w:ascii="仿宋" w:hAnsi="仿宋" w:eastAsia="仿宋" w:cs="Times New Roman"/>
          <w:sz w:val="32"/>
          <w:szCs w:val="32"/>
          <w:lang w:val="en-US" w:eastAsia="zh-CN"/>
        </w:rPr>
        <w:t>143</w:t>
      </w:r>
      <w:r>
        <w:rPr>
          <w:rFonts w:hint="eastAsia" w:ascii="仿宋" w:hAnsi="仿宋" w:eastAsia="仿宋" w:cs="Times New Roman"/>
          <w:sz w:val="32"/>
          <w:szCs w:val="32"/>
        </w:rPr>
        <w:t>人次，共计支出</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万元，具体内容包括教育事业统计数据质量检查</w:t>
      </w:r>
      <w:r>
        <w:rPr>
          <w:rFonts w:hint="eastAsia" w:ascii="仿宋" w:hAnsi="仿宋" w:eastAsia="仿宋" w:cs="Times New Roman"/>
          <w:sz w:val="32"/>
          <w:szCs w:val="32"/>
          <w:lang w:eastAsia="zh-CN"/>
        </w:rPr>
        <w:t>、</w:t>
      </w:r>
      <w:r>
        <w:rPr>
          <w:rFonts w:hint="eastAsia" w:ascii="仿宋" w:hAnsi="仿宋" w:eastAsia="仿宋" w:cs="Times New Roman"/>
          <w:sz w:val="32"/>
          <w:szCs w:val="32"/>
        </w:rPr>
        <w:t>双减工作、教育项目招商引资</w:t>
      </w:r>
      <w:r>
        <w:rPr>
          <w:rFonts w:hint="eastAsia" w:ascii="仿宋" w:hAnsi="仿宋" w:eastAsia="仿宋" w:cs="Times New Roman"/>
          <w:sz w:val="32"/>
          <w:szCs w:val="32"/>
          <w:lang w:val="en-US" w:eastAsia="zh-CN"/>
        </w:rPr>
        <w:t>接待等</w:t>
      </w:r>
      <w:r>
        <w:rPr>
          <w:rFonts w:hint="eastAsia" w:ascii="仿宋" w:hAnsi="仿宋" w:eastAsia="仿宋" w:cs="Times New Roman"/>
          <w:sz w:val="32"/>
          <w:szCs w:val="32"/>
        </w:rPr>
        <w:t>。</w:t>
      </w:r>
    </w:p>
    <w:p>
      <w:pPr>
        <w:pageBreakBefore w:val="0"/>
        <w:kinsoku/>
        <w:wordWrap/>
        <w:overflowPunct/>
        <w:topLinePunct w:val="0"/>
        <w:bidi w:val="0"/>
        <w:spacing w:line="560" w:lineRule="exact"/>
        <w:ind w:firstLine="642" w:firstLineChars="200"/>
        <w:textAlignment w:val="auto"/>
        <w:rPr>
          <w:rFonts w:hint="eastAsia" w:ascii="黑体" w:eastAsia="黑体"/>
          <w:sz w:val="32"/>
          <w:szCs w:val="32"/>
          <w:lang w:eastAsia="zh-CN"/>
        </w:rPr>
      </w:pPr>
      <w:r>
        <w:rPr>
          <w:rFonts w:hint="eastAsia" w:ascii="宋体" w:hAnsi="宋体" w:eastAsia="宋体" w:cs="宋体"/>
          <w:b/>
          <w:sz w:val="32"/>
          <w:szCs w:val="32"/>
        </w:rPr>
        <w:t>外事接待支出0</w:t>
      </w:r>
      <w:r>
        <w:rPr>
          <w:rFonts w:hint="eastAsia" w:ascii="宋体" w:hAnsi="宋体" w:eastAsia="宋体" w:cs="宋体"/>
          <w:sz w:val="32"/>
          <w:szCs w:val="32"/>
        </w:rPr>
        <w:t>万元。</w:t>
      </w:r>
    </w:p>
    <w:p>
      <w:pPr>
        <w:rPr>
          <w:rFonts w:hint="default"/>
          <w:lang w:val="en-US" w:eastAsia="zh-CN"/>
        </w:rPr>
      </w:pPr>
      <w:r>
        <w:rPr>
          <w:rFonts w:hint="eastAsia" w:ascii="黑体" w:eastAsia="黑体"/>
          <w:sz w:val="32"/>
          <w:szCs w:val="32"/>
          <w:lang w:val="en-US" w:eastAsia="zh-CN"/>
        </w:rPr>
        <w:t xml:space="preserve"> </w:t>
      </w:r>
    </w:p>
    <w:p>
      <w:pPr>
        <w:pageBreakBefore w:val="0"/>
        <w:kinsoku/>
        <w:wordWrap/>
        <w:overflowPunct/>
        <w:topLinePunct w:val="0"/>
        <w:bidi w:val="0"/>
        <w:spacing w:line="560" w:lineRule="exact"/>
        <w:ind w:firstLine="640"/>
        <w:textAlignment w:val="auto"/>
        <w:outlineLvl w:val="1"/>
        <w:rPr>
          <w:rStyle w:val="28"/>
          <w:rFonts w:ascii="黑体" w:hAnsi="黑体" w:eastAsia="黑体"/>
        </w:rPr>
      </w:pPr>
      <w:bookmarkStart w:id="68" w:name="_Toc16774"/>
      <w:bookmarkStart w:id="69" w:name="_Toc19477"/>
      <w:r>
        <w:rPr>
          <w:rFonts w:hint="eastAsia" w:ascii="黑体" w:eastAsia="黑体"/>
          <w:sz w:val="32"/>
          <w:szCs w:val="32"/>
        </w:rPr>
        <w:t>八、</w:t>
      </w:r>
      <w:r>
        <w:rPr>
          <w:rStyle w:val="28"/>
          <w:rFonts w:hint="eastAsia" w:ascii="黑体" w:hAnsi="黑体" w:eastAsia="黑体"/>
          <w:b w:val="0"/>
        </w:rPr>
        <w:t>政府性基金预算支出决算情况说明</w:t>
      </w:r>
      <w:bookmarkEnd w:id="66"/>
      <w:bookmarkEnd w:id="67"/>
      <w:bookmarkEnd w:id="68"/>
      <w:bookmarkEnd w:id="69"/>
    </w:p>
    <w:p>
      <w:pPr>
        <w:pageBreakBefore w:val="0"/>
        <w:kinsoku/>
        <w:wordWrap/>
        <w:overflowPunct/>
        <w:topLinePunct w:val="0"/>
        <w:bidi w:val="0"/>
        <w:spacing w:line="560" w:lineRule="exact"/>
        <w:ind w:firstLine="640"/>
        <w:textAlignment w:val="auto"/>
        <w:rPr>
          <w:rFonts w:ascii="仿宋_GB2312" w:eastAsia="仿宋_GB2312"/>
          <w:sz w:val="32"/>
          <w:szCs w:val="32"/>
        </w:rPr>
      </w:pPr>
      <w:r>
        <w:rPr>
          <w:rFonts w:hint="eastAsia" w:ascii="仿宋_GB2312" w:eastAsia="仿宋_GB2312"/>
          <w:sz w:val="32"/>
          <w:szCs w:val="32"/>
        </w:rPr>
        <w:t>2023</w:t>
      </w:r>
      <w:r>
        <w:rPr>
          <w:rFonts w:hint="eastAsia" w:ascii="宋体" w:hAnsi="宋体" w:eastAsia="宋体" w:cs="宋体"/>
          <w:sz w:val="32"/>
          <w:szCs w:val="32"/>
        </w:rPr>
        <w:t>年度政府性基金预算财政拨款支出</w:t>
      </w:r>
      <w:r>
        <w:rPr>
          <w:rFonts w:ascii="仿宋" w:hAnsi="仿宋" w:eastAsia="仿宋"/>
          <w:b/>
          <w:sz w:val="32"/>
          <w:szCs w:val="32"/>
        </w:rPr>
        <w:t>0</w:t>
      </w:r>
      <w:r>
        <w:rPr>
          <w:rFonts w:hint="eastAsia" w:ascii="宋体" w:hAnsi="宋体" w:eastAsia="宋体" w:cs="宋体"/>
          <w:sz w:val="32"/>
          <w:szCs w:val="32"/>
        </w:rPr>
        <w:t>万元</w:t>
      </w:r>
      <w:r>
        <w:rPr>
          <w:rFonts w:hint="eastAsia" w:ascii="仿宋_GB2312" w:eastAsia="仿宋_GB2312"/>
          <w:sz w:val="32"/>
          <w:szCs w:val="32"/>
        </w:rPr>
        <w:t>。</w:t>
      </w:r>
    </w:p>
    <w:p>
      <w:pPr>
        <w:pageBreakBefore w:val="0"/>
        <w:numPr>
          <w:ilvl w:val="0"/>
          <w:numId w:val="3"/>
        </w:numPr>
        <w:kinsoku/>
        <w:wordWrap/>
        <w:overflowPunct/>
        <w:topLinePunct w:val="0"/>
        <w:bidi w:val="0"/>
        <w:spacing w:line="560" w:lineRule="exact"/>
        <w:ind w:firstLine="640"/>
        <w:textAlignment w:val="auto"/>
        <w:outlineLvl w:val="1"/>
        <w:rPr>
          <w:rStyle w:val="28"/>
          <w:rFonts w:ascii="黑体" w:hAnsi="黑体" w:eastAsia="黑体"/>
          <w:b w:val="0"/>
        </w:rPr>
      </w:pPr>
      <w:bookmarkStart w:id="70" w:name="_Toc30425"/>
      <w:bookmarkStart w:id="71" w:name="_Toc23168"/>
      <w:bookmarkStart w:id="72" w:name="_Toc15396611"/>
      <w:bookmarkStart w:id="73" w:name="_Toc15377219"/>
      <w:r>
        <w:rPr>
          <w:rStyle w:val="28"/>
          <w:rFonts w:hint="eastAsia" w:ascii="黑体" w:hAnsi="黑体" w:eastAsia="黑体"/>
          <w:b w:val="0"/>
        </w:rPr>
        <w:t>国有资本经营预算支出决算情况说明</w:t>
      </w:r>
      <w:bookmarkEnd w:id="70"/>
      <w:bookmarkEnd w:id="71"/>
      <w:bookmarkEnd w:id="72"/>
      <w:bookmarkEnd w:id="73"/>
    </w:p>
    <w:p>
      <w:pPr>
        <w:pageBreakBefore w:val="0"/>
        <w:kinsoku/>
        <w:wordWrap/>
        <w:overflowPunct/>
        <w:topLinePunct w:val="0"/>
        <w:bidi w:val="0"/>
        <w:spacing w:line="560" w:lineRule="exact"/>
        <w:ind w:firstLine="640"/>
        <w:textAlignment w:val="auto"/>
        <w:rPr>
          <w:rFonts w:ascii="方正小标宋简体" w:hAnsi="方正小标宋简体" w:eastAsia="方正小标宋简体" w:cs="方正小标宋简体"/>
          <w:sz w:val="44"/>
          <w:szCs w:val="44"/>
        </w:rPr>
      </w:pPr>
      <w:r>
        <w:rPr>
          <w:rFonts w:hint="eastAsia" w:ascii="仿宋_GB2312" w:eastAsia="仿宋_GB2312"/>
          <w:sz w:val="32"/>
          <w:szCs w:val="32"/>
        </w:rPr>
        <w:t>2023</w:t>
      </w:r>
      <w:r>
        <w:rPr>
          <w:rFonts w:hint="eastAsia" w:ascii="宋体" w:hAnsi="宋体" w:eastAsia="宋体" w:cs="宋体"/>
          <w:sz w:val="32"/>
          <w:szCs w:val="32"/>
        </w:rPr>
        <w:t>年度国有资本经营预算财政拨款支出</w:t>
      </w:r>
      <w:r>
        <w:rPr>
          <w:rFonts w:ascii="仿宋" w:hAnsi="仿宋" w:eastAsia="仿宋"/>
          <w:b/>
          <w:sz w:val="32"/>
          <w:szCs w:val="32"/>
        </w:rPr>
        <w:t>0</w:t>
      </w:r>
      <w:r>
        <w:rPr>
          <w:rFonts w:hint="eastAsia" w:ascii="宋体" w:hAnsi="宋体" w:eastAsia="宋体" w:cs="宋体"/>
          <w:sz w:val="32"/>
          <w:szCs w:val="32"/>
        </w:rPr>
        <w:t>万元</w:t>
      </w:r>
      <w:r>
        <w:rPr>
          <w:rFonts w:hint="eastAsia" w:ascii="仿宋_GB2312" w:eastAsia="仿宋_GB2312"/>
          <w:sz w:val="32"/>
          <w:szCs w:val="32"/>
        </w:rPr>
        <w:t>。</w:t>
      </w:r>
    </w:p>
    <w:p>
      <w:pPr>
        <w:pageBreakBefore w:val="0"/>
        <w:numPr>
          <w:ilvl w:val="0"/>
          <w:numId w:val="3"/>
        </w:numPr>
        <w:kinsoku/>
        <w:wordWrap/>
        <w:overflowPunct/>
        <w:topLinePunct w:val="0"/>
        <w:bidi w:val="0"/>
        <w:spacing w:line="560" w:lineRule="exact"/>
        <w:ind w:firstLine="640"/>
        <w:textAlignment w:val="auto"/>
        <w:outlineLvl w:val="1"/>
        <w:rPr>
          <w:rStyle w:val="28"/>
          <w:rFonts w:ascii="黑体" w:hAnsi="黑体" w:eastAsia="黑体"/>
          <w:b w:val="0"/>
        </w:rPr>
      </w:pPr>
      <w:bookmarkStart w:id="74" w:name="_Toc15377221"/>
      <w:bookmarkStart w:id="75" w:name="_Toc12497"/>
      <w:bookmarkStart w:id="76" w:name="_Toc12278"/>
      <w:bookmarkStart w:id="77" w:name="_Toc15396612"/>
      <w:r>
        <w:rPr>
          <w:rStyle w:val="28"/>
          <w:rFonts w:hint="eastAsia" w:ascii="黑体" w:hAnsi="黑体" w:eastAsia="黑体"/>
          <w:b w:val="0"/>
        </w:rPr>
        <w:t>其他重要事项的情况说明</w:t>
      </w:r>
      <w:bookmarkEnd w:id="74"/>
      <w:bookmarkEnd w:id="75"/>
      <w:bookmarkEnd w:id="76"/>
      <w:bookmarkEnd w:id="77"/>
    </w:p>
    <w:p>
      <w:pPr>
        <w:pageBreakBefore w:val="0"/>
        <w:kinsoku/>
        <w:wordWrap/>
        <w:overflowPunct/>
        <w:topLinePunct w:val="0"/>
        <w:bidi w:val="0"/>
        <w:spacing w:line="560" w:lineRule="exact"/>
        <w:ind w:firstLine="642" w:firstLineChars="200"/>
        <w:textAlignment w:val="auto"/>
        <w:outlineLvl w:val="2"/>
        <w:rPr>
          <w:rFonts w:ascii="仿宋" w:hAnsi="仿宋" w:eastAsia="仿宋"/>
          <w:sz w:val="32"/>
          <w:szCs w:val="32"/>
        </w:rPr>
      </w:pPr>
      <w:bookmarkStart w:id="78" w:name="_Toc15377222"/>
      <w:r>
        <w:rPr>
          <w:rFonts w:hint="eastAsia" w:ascii="仿宋" w:hAnsi="仿宋" w:eastAsia="仿宋"/>
          <w:b/>
          <w:sz w:val="32"/>
          <w:szCs w:val="32"/>
        </w:rPr>
        <w:t>（一）机关运行经费支出情况</w:t>
      </w:r>
      <w:bookmarkEnd w:id="78"/>
    </w:p>
    <w:p>
      <w:pPr>
        <w:snapToGrid w:val="0"/>
        <w:spacing w:line="576" w:lineRule="exact"/>
        <w:ind w:firstLine="640" w:firstLineChars="200"/>
        <w:jc w:val="both"/>
        <w:rPr>
          <w:rFonts w:ascii="仿宋" w:hAnsi="仿宋" w:eastAsia="仿宋"/>
          <w:b/>
          <w:sz w:val="32"/>
          <w:szCs w:val="32"/>
        </w:rPr>
      </w:pPr>
      <w:r>
        <w:rPr>
          <w:rFonts w:hint="eastAsia" w:ascii="仿宋_GB2312" w:eastAsia="仿宋_GB2312"/>
          <w:sz w:val="32"/>
          <w:szCs w:val="32"/>
        </w:rPr>
        <w:t>2023年度，</w:t>
      </w:r>
      <w:r>
        <w:rPr>
          <w:rFonts w:ascii="仿宋_GB2312" w:eastAsia="仿宋_GB2312"/>
          <w:b/>
          <w:sz w:val="32"/>
          <w:szCs w:val="32"/>
        </w:rPr>
        <w:t>广元市教育局</w:t>
      </w:r>
      <w:r>
        <w:rPr>
          <w:rFonts w:hint="eastAsia" w:ascii="仿宋_GB2312" w:eastAsia="仿宋_GB2312"/>
          <w:b/>
          <w:sz w:val="32"/>
          <w:szCs w:val="32"/>
          <w:lang w:eastAsia="zh-CN"/>
        </w:rPr>
        <w:t>（</w:t>
      </w:r>
      <w:r>
        <w:rPr>
          <w:rFonts w:ascii="仿宋_GB2312" w:eastAsia="仿宋_GB2312"/>
          <w:b/>
          <w:sz w:val="32"/>
          <w:szCs w:val="32"/>
        </w:rPr>
        <w:t>本级）</w:t>
      </w:r>
      <w:r>
        <w:rPr>
          <w:rFonts w:hint="eastAsia" w:ascii="仿宋_GB2312" w:eastAsia="仿宋_GB2312"/>
          <w:sz w:val="32"/>
          <w:szCs w:val="32"/>
        </w:rPr>
        <w:t>机关运行经费支出</w:t>
      </w:r>
      <w:r>
        <w:rPr>
          <w:rFonts w:ascii="仿宋" w:hAnsi="仿宋" w:eastAsia="仿宋"/>
          <w:b/>
          <w:sz w:val="32"/>
          <w:szCs w:val="32"/>
        </w:rPr>
        <w:t>142.23</w:t>
      </w:r>
      <w:r>
        <w:rPr>
          <w:rFonts w:hint="eastAsia" w:ascii="仿宋_GB2312" w:eastAsia="仿宋_GB2312"/>
          <w:sz w:val="32"/>
          <w:szCs w:val="32"/>
        </w:rPr>
        <w:t>万元，比2022年度减少</w:t>
      </w:r>
      <w:r>
        <w:rPr>
          <w:rFonts w:hint="eastAsia" w:ascii="仿宋_GB2312" w:eastAsia="仿宋_GB2312"/>
          <w:sz w:val="32"/>
          <w:szCs w:val="32"/>
          <w:lang w:val="en-US" w:eastAsia="zh-CN"/>
        </w:rPr>
        <w:t>3.07</w:t>
      </w:r>
      <w:r>
        <w:rPr>
          <w:rFonts w:hint="eastAsia" w:ascii="仿宋_GB2312" w:eastAsia="仿宋_GB2312"/>
          <w:sz w:val="32"/>
          <w:szCs w:val="32"/>
        </w:rPr>
        <w:t>万元，下降</w:t>
      </w:r>
      <w:r>
        <w:rPr>
          <w:rFonts w:hint="eastAsia" w:ascii="仿宋_GB2312" w:eastAsia="仿宋_GB2312"/>
          <w:sz w:val="32"/>
          <w:szCs w:val="32"/>
          <w:lang w:val="en-US" w:eastAsia="zh-CN"/>
        </w:rPr>
        <w:t>2.11</w:t>
      </w:r>
      <w:r>
        <w:rPr>
          <w:rFonts w:ascii="仿宋_GB2312" w:eastAsia="仿宋_GB2312"/>
          <w:sz w:val="32"/>
          <w:szCs w:val="32"/>
        </w:rPr>
        <w:t>%</w:t>
      </w:r>
      <w:r>
        <w:rPr>
          <w:rFonts w:hint="eastAsia" w:ascii="仿宋_GB2312" w:eastAsia="仿宋_GB2312"/>
          <w:sz w:val="32"/>
          <w:szCs w:val="32"/>
        </w:rPr>
        <w:t>。主要原因是在职人员减少，相关运行经费预算相对减少。</w:t>
      </w:r>
    </w:p>
    <w:p>
      <w:pPr>
        <w:pageBreakBefore w:val="0"/>
        <w:kinsoku/>
        <w:wordWrap/>
        <w:overflowPunct/>
        <w:topLinePunct w:val="0"/>
        <w:autoSpaceDE w:val="0"/>
        <w:autoSpaceDN w:val="0"/>
        <w:bidi w:val="0"/>
        <w:adjustRightInd w:val="0"/>
        <w:spacing w:line="560" w:lineRule="exact"/>
        <w:ind w:firstLine="642" w:firstLineChars="200"/>
        <w:jc w:val="left"/>
        <w:textAlignment w:val="auto"/>
        <w:outlineLvl w:val="2"/>
        <w:rPr>
          <w:rFonts w:ascii="仿宋" w:hAnsi="仿宋" w:eastAsia="仿宋"/>
          <w:b/>
          <w:sz w:val="32"/>
          <w:szCs w:val="32"/>
        </w:rPr>
      </w:pPr>
      <w:bookmarkStart w:id="79" w:name="_Toc15377223"/>
      <w:r>
        <w:rPr>
          <w:rFonts w:hint="eastAsia" w:ascii="仿宋" w:hAnsi="仿宋" w:eastAsia="仿宋"/>
          <w:b/>
          <w:sz w:val="32"/>
          <w:szCs w:val="32"/>
        </w:rPr>
        <w:t>（二）政府采购支出情况</w:t>
      </w:r>
      <w:bookmarkEnd w:id="79"/>
    </w:p>
    <w:p>
      <w:pPr>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广元市教育局</w:t>
      </w:r>
      <w:r>
        <w:rPr>
          <w:rFonts w:hint="eastAsia" w:ascii="仿宋_GB2312" w:eastAsia="仿宋_GB2312"/>
          <w:b/>
          <w:sz w:val="32"/>
          <w:szCs w:val="32"/>
          <w:lang w:eastAsia="zh-CN"/>
        </w:rPr>
        <w:t>（</w:t>
      </w:r>
      <w:r>
        <w:rPr>
          <w:rFonts w:ascii="仿宋_GB2312" w:eastAsia="仿宋_GB2312"/>
          <w:b/>
          <w:sz w:val="32"/>
          <w:szCs w:val="32"/>
        </w:rPr>
        <w:t>本级）</w:t>
      </w:r>
      <w:r>
        <w:rPr>
          <w:rFonts w:hint="eastAsia" w:ascii="仿宋_GB2312" w:eastAsia="仿宋_GB2312"/>
          <w:sz w:val="32"/>
          <w:szCs w:val="32"/>
        </w:rPr>
        <w:t>政府采购支出总额</w:t>
      </w:r>
      <w:r>
        <w:rPr>
          <w:rFonts w:ascii="仿宋" w:hAnsi="仿宋" w:eastAsia="仿宋"/>
          <w:b/>
          <w:sz w:val="32"/>
          <w:szCs w:val="32"/>
        </w:rPr>
        <w:t>75.84</w:t>
      </w:r>
      <w:r>
        <w:rPr>
          <w:rFonts w:hint="eastAsia" w:ascii="仿宋_GB2312" w:eastAsia="仿宋_GB2312"/>
          <w:sz w:val="32"/>
          <w:szCs w:val="32"/>
        </w:rPr>
        <w:t>万元，其中：政府采购货物支出</w:t>
      </w:r>
      <w:r>
        <w:rPr>
          <w:rFonts w:ascii="仿宋" w:hAnsi="仿宋" w:eastAsia="仿宋"/>
          <w:b/>
          <w:sz w:val="32"/>
          <w:szCs w:val="32"/>
        </w:rPr>
        <w:t>6.54</w:t>
      </w:r>
      <w:r>
        <w:rPr>
          <w:rFonts w:hint="eastAsia" w:ascii="仿宋_GB2312" w:eastAsia="仿宋_GB2312"/>
          <w:sz w:val="32"/>
          <w:szCs w:val="32"/>
        </w:rPr>
        <w:t>万元、政府采购服务支出69.3万元。主要用于市主城区学校学生心理健康测评及培训服务项目。授予中小企业合同金额75.84万元，占政府采购支出总额的</w:t>
      </w:r>
      <w:r>
        <w:rPr>
          <w:rFonts w:ascii="仿宋_GB2312" w:eastAsia="仿宋_GB2312"/>
          <w:sz w:val="32"/>
          <w:szCs w:val="32"/>
        </w:rPr>
        <w:t>1</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，其中：授予小微企业合同金额</w:t>
      </w:r>
      <w:r>
        <w:rPr>
          <w:rFonts w:ascii="仿宋" w:hAnsi="仿宋" w:eastAsia="仿宋"/>
          <w:b/>
          <w:sz w:val="32"/>
          <w:szCs w:val="32"/>
        </w:rPr>
        <w:t>75.84</w:t>
      </w:r>
      <w:r>
        <w:rPr>
          <w:rFonts w:hint="eastAsia" w:ascii="仿宋_GB2312" w:eastAsia="仿宋_GB2312"/>
          <w:sz w:val="32"/>
          <w:szCs w:val="32"/>
        </w:rPr>
        <w:t>万元，占政府采购支出总额的</w:t>
      </w:r>
      <w:r>
        <w:rPr>
          <w:rFonts w:ascii="仿宋_GB2312" w:eastAsia="仿宋_GB2312"/>
          <w:b/>
          <w:sz w:val="32"/>
          <w:szCs w:val="32"/>
        </w:rPr>
        <w:t>100</w:t>
      </w:r>
      <w:r>
        <w:rPr>
          <w:rFonts w:ascii="仿宋_GB2312" w:eastAsia="仿宋_GB2312"/>
          <w:sz w:val="32"/>
          <w:szCs w:val="32"/>
        </w:rPr>
        <w:t>%</w:t>
      </w:r>
      <w:r>
        <w:rPr>
          <w:rFonts w:hint="eastAsia" w:ascii="仿宋_GB2312" w:eastAsia="仿宋_GB2312"/>
          <w:sz w:val="32"/>
          <w:szCs w:val="32"/>
        </w:rPr>
        <w:t>。</w:t>
      </w:r>
    </w:p>
    <w:p>
      <w:pPr>
        <w:pageBreakBefore w:val="0"/>
        <w:kinsoku/>
        <w:wordWrap/>
        <w:overflowPunct/>
        <w:topLinePunct w:val="0"/>
        <w:autoSpaceDE w:val="0"/>
        <w:autoSpaceDN w:val="0"/>
        <w:bidi w:val="0"/>
        <w:adjustRightInd w:val="0"/>
        <w:spacing w:line="560" w:lineRule="exact"/>
        <w:ind w:firstLine="642" w:firstLineChars="200"/>
        <w:jc w:val="left"/>
        <w:textAlignment w:val="auto"/>
        <w:outlineLvl w:val="2"/>
        <w:rPr>
          <w:rFonts w:ascii="仿宋" w:hAnsi="仿宋" w:eastAsia="仿宋"/>
          <w:b/>
          <w:sz w:val="32"/>
          <w:szCs w:val="32"/>
        </w:rPr>
      </w:pPr>
      <w:bookmarkStart w:id="80" w:name="_Toc15377224"/>
      <w:r>
        <w:rPr>
          <w:rFonts w:hint="eastAsia" w:ascii="仿宋" w:hAnsi="仿宋" w:eastAsia="仿宋"/>
          <w:b/>
          <w:sz w:val="32"/>
          <w:szCs w:val="32"/>
        </w:rPr>
        <w:t>（三）国有资产占有使用情况</w:t>
      </w:r>
      <w:bookmarkEnd w:id="80"/>
    </w:p>
    <w:p>
      <w:pPr>
        <w:pageBreakBefore w:val="0"/>
        <w:kinsoku/>
        <w:wordWrap/>
        <w:overflowPunct/>
        <w:topLinePunct w:val="0"/>
        <w:autoSpaceDE w:val="0"/>
        <w:autoSpaceDN w:val="0"/>
        <w:bidi w:val="0"/>
        <w:adjustRightInd w:val="0"/>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截至2023年12月31日，广元市教育局</w:t>
      </w:r>
      <w:r>
        <w:rPr>
          <w:rFonts w:hint="eastAsia" w:ascii="仿宋_GB2312" w:eastAsia="仿宋_GB2312"/>
          <w:sz w:val="32"/>
          <w:szCs w:val="32"/>
          <w:lang w:eastAsia="zh-CN"/>
        </w:rPr>
        <w:t>（</w:t>
      </w:r>
      <w:r>
        <w:rPr>
          <w:rFonts w:hint="eastAsia" w:ascii="仿宋_GB2312" w:eastAsia="仿宋_GB2312"/>
          <w:sz w:val="32"/>
          <w:szCs w:val="32"/>
        </w:rPr>
        <w:t>本级）共有车辆1辆，其中：其他用车</w:t>
      </w:r>
      <w:r>
        <w:rPr>
          <w:rFonts w:hint="eastAsia" w:ascii="仿宋_GB2312" w:eastAsia="仿宋_GB2312"/>
          <w:sz w:val="32"/>
          <w:szCs w:val="32"/>
          <w:lang w:val="en-US" w:eastAsia="zh-CN"/>
        </w:rPr>
        <w:t>1</w:t>
      </w:r>
      <w:r>
        <w:rPr>
          <w:rFonts w:hint="eastAsia" w:ascii="仿宋_GB2312" w:eastAsia="仿宋_GB2312"/>
          <w:sz w:val="32"/>
          <w:szCs w:val="32"/>
        </w:rPr>
        <w:t>辆，其他用车主要是用于教育督导、项目建设推进、教育重点项目等工作。单价100万元以上设备0台（套）。</w:t>
      </w:r>
    </w:p>
    <w:p>
      <w:pPr>
        <w:pageBreakBefore w:val="0"/>
        <w:kinsoku/>
        <w:wordWrap/>
        <w:overflowPunct/>
        <w:topLinePunct w:val="0"/>
        <w:autoSpaceDE w:val="0"/>
        <w:autoSpaceDN w:val="0"/>
        <w:bidi w:val="0"/>
        <w:adjustRightInd w:val="0"/>
        <w:spacing w:line="560" w:lineRule="exact"/>
        <w:ind w:firstLine="642" w:firstLineChars="200"/>
        <w:jc w:val="left"/>
        <w:textAlignment w:val="auto"/>
        <w:outlineLvl w:val="2"/>
        <w:rPr>
          <w:rFonts w:ascii="仿宋" w:hAnsi="仿宋" w:eastAsia="仿宋"/>
          <w:b/>
          <w:sz w:val="32"/>
          <w:szCs w:val="32"/>
        </w:rPr>
      </w:pPr>
      <w:r>
        <w:rPr>
          <w:rFonts w:hint="eastAsia" w:ascii="仿宋" w:hAnsi="仿宋" w:eastAsia="仿宋"/>
          <w:b/>
          <w:sz w:val="32"/>
          <w:szCs w:val="32"/>
        </w:rPr>
        <w:t>（四）预算绩效管理情况</w:t>
      </w:r>
    </w:p>
    <w:p>
      <w:pPr>
        <w:pageBreakBefore w:val="0"/>
        <w:kinsoku/>
        <w:wordWrap/>
        <w:overflowPunct/>
        <w:topLinePunct w:val="0"/>
        <w:bidi w:val="0"/>
        <w:spacing w:line="56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根据预算绩效管理要求，本单位在2023年度预算编制阶段，组织对</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项目教育高地建设、教育提质工程和“双减”等教育教学专项业务及重点工作经费等</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个项目开展了预算事前绩效评估，对</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个项目编制了绩效目标，预算执行过程中，选取</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个项目开展绩效监控，组织对</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个项目开展绩效自评，绩效自评表详见第四部分附件。</w:t>
      </w:r>
    </w:p>
    <w:p>
      <w:pPr>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br w:type="page"/>
      </w:r>
    </w:p>
    <w:p>
      <w:pPr>
        <w:pageBreakBefore w:val="0"/>
        <w:numPr>
          <w:ilvl w:val="0"/>
          <w:numId w:val="4"/>
        </w:numPr>
        <w:kinsoku/>
        <w:wordWrap/>
        <w:overflowPunct/>
        <w:topLinePunct w:val="0"/>
        <w:bidi w:val="0"/>
        <w:spacing w:line="560" w:lineRule="exact"/>
        <w:ind w:firstLine="660" w:firstLineChars="150"/>
        <w:jc w:val="center"/>
        <w:textAlignment w:val="auto"/>
        <w:outlineLvl w:val="0"/>
        <w:rPr>
          <w:rStyle w:val="27"/>
          <w:rFonts w:ascii="黑体" w:hAnsi="黑体" w:eastAsia="黑体"/>
          <w:b w:val="0"/>
        </w:rPr>
      </w:pPr>
      <w:bookmarkStart w:id="81" w:name="_Toc10129"/>
      <w:bookmarkStart w:id="82" w:name="_Toc14931"/>
      <w:bookmarkStart w:id="83" w:name="_Toc15377225"/>
      <w:bookmarkStart w:id="84" w:name="_Toc15396613"/>
      <w:r>
        <w:rPr>
          <w:rFonts w:hint="eastAsia" w:ascii="黑体" w:hAnsi="黑体" w:eastAsia="黑体"/>
          <w:sz w:val="44"/>
          <w:szCs w:val="44"/>
        </w:rPr>
        <w:t>名</w:t>
      </w:r>
      <w:r>
        <w:rPr>
          <w:rStyle w:val="27"/>
          <w:rFonts w:hint="eastAsia" w:ascii="黑体" w:hAnsi="黑体" w:eastAsia="黑体"/>
          <w:b w:val="0"/>
        </w:rPr>
        <w:t>词解释</w:t>
      </w:r>
      <w:bookmarkEnd w:id="81"/>
      <w:bookmarkEnd w:id="82"/>
      <w:bookmarkEnd w:id="83"/>
      <w:bookmarkEnd w:id="84"/>
    </w:p>
    <w:p>
      <w:pPr>
        <w:pageBreakBefore w:val="0"/>
        <w:kinsoku/>
        <w:wordWrap/>
        <w:overflowPunct/>
        <w:topLinePunct w:val="0"/>
        <w:bidi w:val="0"/>
        <w:spacing w:line="560" w:lineRule="exact"/>
        <w:jc w:val="left"/>
        <w:textAlignment w:val="auto"/>
        <w:rPr>
          <w:rFonts w:ascii="宋体"/>
          <w:b/>
          <w:sz w:val="44"/>
          <w:szCs w:val="44"/>
        </w:rPr>
      </w:pPr>
    </w:p>
    <w:p>
      <w:pPr>
        <w:pStyle w:val="25"/>
        <w:pageBreakBefore w:val="0"/>
        <w:numPr>
          <w:ilvl w:val="0"/>
          <w:numId w:val="5"/>
        </w:numPr>
        <w:kinsoku/>
        <w:wordWrap/>
        <w:overflowPunct/>
        <w:topLinePunct w:val="0"/>
        <w:bidi w:val="0"/>
        <w:spacing w:line="560" w:lineRule="exact"/>
        <w:ind w:left="0" w:leftChars="0" w:firstLine="400" w:firstLineChars="0"/>
        <w:textAlignment w:val="auto"/>
        <w:outlineLvl w:val="1"/>
        <w:rPr>
          <w:rFonts w:ascii="仿宋_GB2312" w:eastAsia="仿宋_GB2312"/>
          <w:color w:val="auto"/>
          <w:sz w:val="32"/>
          <w:szCs w:val="32"/>
        </w:rPr>
      </w:pPr>
      <w:bookmarkStart w:id="85" w:name="_Toc26589"/>
      <w:r>
        <w:rPr>
          <w:rFonts w:hint="eastAsia" w:ascii="仿宋_GB2312" w:eastAsia="仿宋_GB2312"/>
          <w:color w:val="auto"/>
          <w:sz w:val="32"/>
          <w:szCs w:val="32"/>
        </w:rPr>
        <w:t>财政拨款收入：指单位从同级财政部门取得的财政预算资金。</w:t>
      </w:r>
      <w:bookmarkEnd w:id="85"/>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hint="eastAsia" w:ascii="仿宋_GB2312" w:eastAsia="仿宋_GB2312"/>
          <w:sz w:val="32"/>
          <w:szCs w:val="32"/>
        </w:rPr>
      </w:pPr>
      <w:r>
        <w:rPr>
          <w:rFonts w:hint="eastAsia" w:ascii="仿宋_GB2312" w:eastAsia="仿宋_GB2312"/>
          <w:color w:val="auto"/>
          <w:sz w:val="32"/>
          <w:szCs w:val="32"/>
        </w:rPr>
        <w:t>其他收入：指单位取得的除上述收入以外的各项收入。</w:t>
      </w:r>
      <w:r>
        <w:rPr>
          <w:rFonts w:hint="eastAsia" w:ascii="仿宋_GB2312" w:eastAsia="仿宋_GB2312"/>
          <w:sz w:val="32"/>
          <w:szCs w:val="32"/>
        </w:rPr>
        <w:t>主要是财政代管的教材教辅费用、学生餐费、课后延时服务费、代收水电费、项目质保金等。</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color w:val="auto"/>
          <w:sz w:val="32"/>
          <w:szCs w:val="32"/>
        </w:rPr>
      </w:pPr>
      <w:r>
        <w:rPr>
          <w:rFonts w:hint="eastAsia" w:ascii="仿宋_GB2312" w:eastAsia="仿宋_GB2312"/>
          <w:sz w:val="32"/>
          <w:szCs w:val="32"/>
        </w:rPr>
        <w:t>一般公共服务支出（类）商贸事务（款）招商引资（项）</w:t>
      </w:r>
      <w:r>
        <w:rPr>
          <w:rFonts w:hint="eastAsia" w:ascii="仿宋_GB2312" w:eastAsia="仿宋_GB2312"/>
          <w:sz w:val="32"/>
          <w:szCs w:val="32"/>
          <w:lang w:eastAsia="zh-CN"/>
        </w:rPr>
        <w:t>：</w:t>
      </w:r>
      <w:r>
        <w:rPr>
          <w:rFonts w:hint="eastAsia" w:ascii="仿宋_GB2312" w:eastAsia="仿宋_GB2312"/>
          <w:sz w:val="32"/>
          <w:szCs w:val="32"/>
        </w:rPr>
        <w:t>指用于招商引资、优化经济环境等方面的支出。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hint="eastAsia" w:ascii="仿宋_GB2312" w:eastAsia="仿宋_GB2312"/>
          <w:sz w:val="32"/>
          <w:szCs w:val="32"/>
        </w:rPr>
      </w:pPr>
      <w:r>
        <w:rPr>
          <w:rFonts w:hint="eastAsia" w:ascii="仿宋_GB2312" w:eastAsia="仿宋_GB2312"/>
          <w:sz w:val="32"/>
          <w:szCs w:val="32"/>
        </w:rPr>
        <w:t>教育支出（类）教育管理事务（款）行政运行（项）：指本部门行政单位基本支出。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hint="eastAsia" w:ascii="仿宋_GB2312" w:eastAsia="仿宋_GB2312"/>
          <w:sz w:val="32"/>
          <w:szCs w:val="32"/>
        </w:rPr>
      </w:pPr>
      <w:r>
        <w:rPr>
          <w:rFonts w:hint="eastAsia" w:ascii="仿宋_GB2312" w:eastAsia="仿宋_GB2312"/>
          <w:sz w:val="32"/>
          <w:szCs w:val="32"/>
        </w:rPr>
        <w:t>教育支出（类）教育管理事务（款）一般行政管理事务支出（项）：指本部门行政单位未单独设置项级科目的其他项目支出。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hint="eastAsia" w:ascii="仿宋_GB2312" w:eastAsia="仿宋_GB2312"/>
          <w:sz w:val="32"/>
          <w:szCs w:val="32"/>
        </w:rPr>
      </w:pPr>
      <w:r>
        <w:rPr>
          <w:rFonts w:hint="eastAsia" w:ascii="仿宋_GB2312" w:eastAsia="仿宋_GB2312"/>
          <w:sz w:val="32"/>
          <w:szCs w:val="32"/>
        </w:rPr>
        <w:t>教育支出（类）教育管理事务（款）其他教育管理事务支出（项）：指本部门其他用于管理事务方面的支出。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color w:val="auto"/>
          <w:sz w:val="32"/>
          <w:szCs w:val="32"/>
        </w:rPr>
      </w:pPr>
      <w:r>
        <w:rPr>
          <w:rFonts w:hint="eastAsia" w:ascii="仿宋_GB2312" w:eastAsia="仿宋_GB2312"/>
          <w:sz w:val="32"/>
          <w:szCs w:val="32"/>
        </w:rPr>
        <w:t>教育支出（类）普通教育（款）高中教育（项）：指本部门举办的高中教育支出。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sz w:val="32"/>
          <w:szCs w:val="32"/>
        </w:rPr>
      </w:pPr>
      <w:r>
        <w:rPr>
          <w:rFonts w:hint="eastAsia" w:ascii="仿宋_GB2312" w:eastAsia="仿宋_GB2312"/>
          <w:sz w:val="32"/>
          <w:szCs w:val="32"/>
        </w:rPr>
        <w:t>教育支出（类）普通教育（款）其他普通教育支出（项）：指其他用于普通教育方面的支出。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sz w:val="32"/>
          <w:szCs w:val="32"/>
        </w:rPr>
      </w:pPr>
      <w:r>
        <w:rPr>
          <w:rFonts w:hint="eastAsia" w:ascii="仿宋_GB2312" w:eastAsia="仿宋_GB2312"/>
          <w:sz w:val="32"/>
          <w:szCs w:val="32"/>
        </w:rPr>
        <w:t>教育支出（类）职业教育（款）中等职业教育（项）：指</w:t>
      </w:r>
      <w:r>
        <w:rPr>
          <w:rFonts w:hint="eastAsia" w:ascii="仿宋_GB2312" w:eastAsia="仿宋_GB2312"/>
          <w:sz w:val="32"/>
          <w:szCs w:val="32"/>
          <w:highlight w:val="none"/>
        </w:rPr>
        <w:t>本部门举办的中等职业教育支出。</w:t>
      </w:r>
    </w:p>
    <w:p>
      <w:pPr>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教育支出（类）进修及培训（款）教师进修（项）：指</w:t>
      </w:r>
      <w:r>
        <w:rPr>
          <w:rFonts w:hint="eastAsia" w:ascii="仿宋_GB2312" w:eastAsia="仿宋_GB2312"/>
          <w:sz w:val="32"/>
          <w:szCs w:val="32"/>
          <w:lang w:val="en-US" w:eastAsia="zh-CN"/>
        </w:rPr>
        <w:t>教师进修、师资培训支出</w:t>
      </w:r>
      <w:r>
        <w:rPr>
          <w:rFonts w:hint="eastAsia" w:ascii="仿宋_GB2312" w:eastAsia="仿宋_GB2312"/>
          <w:sz w:val="32"/>
          <w:szCs w:val="32"/>
        </w:rPr>
        <w:t>。</w:t>
      </w:r>
    </w:p>
    <w:p>
      <w:pPr>
        <w:pageBreakBefore w:val="0"/>
        <w:numPr>
          <w:ilvl w:val="0"/>
          <w:numId w:val="5"/>
        </w:numPr>
        <w:kinsoku/>
        <w:wordWrap/>
        <w:overflowPunct/>
        <w:topLinePunct w:val="0"/>
        <w:bidi w:val="0"/>
        <w:spacing w:line="560" w:lineRule="exact"/>
        <w:ind w:left="0" w:leftChars="0" w:firstLine="400" w:firstLineChars="0"/>
        <w:textAlignment w:val="auto"/>
        <w:rPr>
          <w:rFonts w:hint="default" w:ascii="仿宋_GB2312" w:eastAsia="仿宋_GB2312"/>
          <w:sz w:val="32"/>
          <w:szCs w:val="32"/>
          <w:lang w:val="en-US" w:eastAsia="zh-CN"/>
        </w:rPr>
      </w:pPr>
      <w:r>
        <w:rPr>
          <w:rFonts w:hint="eastAsia" w:ascii="仿宋_GB2312" w:eastAsia="仿宋_GB2312"/>
          <w:sz w:val="32"/>
          <w:szCs w:val="32"/>
        </w:rPr>
        <w:t>教育支出（类）进修及培训（款）干部教育（项）：指</w:t>
      </w:r>
      <w:r>
        <w:rPr>
          <w:rFonts w:hint="eastAsia" w:ascii="仿宋_GB2312" w:eastAsia="仿宋_GB2312"/>
          <w:sz w:val="32"/>
          <w:szCs w:val="32"/>
          <w:lang w:val="en-US" w:eastAsia="zh-CN"/>
        </w:rPr>
        <w:t>各级党校、行政学院、社会主义学院、国家会计学院的支出</w:t>
      </w:r>
      <w:r>
        <w:rPr>
          <w:rFonts w:hint="eastAsia" w:ascii="仿宋_GB2312" w:eastAsia="仿宋_GB2312"/>
          <w:sz w:val="32"/>
          <w:szCs w:val="32"/>
        </w:rPr>
        <w:t>。</w:t>
      </w:r>
      <w:r>
        <w:rPr>
          <w:rFonts w:hint="eastAsia" w:ascii="仿宋_GB2312" w:eastAsia="仿宋_GB2312"/>
          <w:sz w:val="32"/>
          <w:szCs w:val="32"/>
          <w:lang w:val="en-US" w:eastAsia="zh-CN"/>
        </w:rPr>
        <w:t>包括机构运转、招聘师资、举办各类培训班的支出等。</w:t>
      </w:r>
    </w:p>
    <w:p>
      <w:pPr>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教育支出（类）进修及培训（款）培训支出（项）：指</w:t>
      </w:r>
      <w:r>
        <w:rPr>
          <w:rFonts w:hint="eastAsia" w:ascii="仿宋_GB2312" w:eastAsia="仿宋_GB2312"/>
          <w:sz w:val="32"/>
          <w:szCs w:val="32"/>
          <w:lang w:val="en-US" w:eastAsia="zh-CN"/>
        </w:rPr>
        <w:t>各部门安排的用于培训的支出</w:t>
      </w:r>
      <w:r>
        <w:rPr>
          <w:rFonts w:hint="eastAsia" w:ascii="仿宋_GB2312" w:eastAsia="仿宋_GB2312"/>
          <w:sz w:val="32"/>
          <w:szCs w:val="32"/>
        </w:rPr>
        <w:t>。</w:t>
      </w:r>
    </w:p>
    <w:p>
      <w:pPr>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文化旅游体育与传媒（类）文化和旅游（款）文化活动（项）：指</w:t>
      </w:r>
      <w:r>
        <w:rPr>
          <w:rFonts w:hint="eastAsia" w:ascii="仿宋_GB2312" w:eastAsia="仿宋_GB2312"/>
          <w:sz w:val="32"/>
          <w:szCs w:val="32"/>
          <w:lang w:val="en-US" w:eastAsia="zh-CN"/>
        </w:rPr>
        <w:t>举办大型文化艺术活动的支出</w:t>
      </w:r>
      <w:r>
        <w:rPr>
          <w:rFonts w:hint="eastAsia" w:ascii="仿宋_GB2312" w:eastAsia="仿宋_GB2312"/>
          <w:sz w:val="32"/>
          <w:szCs w:val="32"/>
        </w:rPr>
        <w:t>。</w:t>
      </w:r>
    </w:p>
    <w:p>
      <w:pPr>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社会保障和就业支出（类）人力资源和社会保障管理事务（款）引进人才费用（项）：指用于引进外国专家补助、引智成果推广等方面的支出。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sz w:val="32"/>
          <w:szCs w:val="32"/>
        </w:rPr>
      </w:pPr>
      <w:r>
        <w:rPr>
          <w:rFonts w:hint="eastAsia" w:ascii="仿宋_GB2312" w:eastAsia="仿宋_GB2312"/>
          <w:sz w:val="32"/>
          <w:szCs w:val="32"/>
        </w:rPr>
        <w:t>社会保障和就业支出（类）人力资源和社会保障管理事务（款）其他人力资源和社会保障管理事务支出（项）：指其他用于人力资源和社会保障管理事务方面的支出。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sz w:val="32"/>
          <w:szCs w:val="32"/>
        </w:rPr>
      </w:pPr>
      <w:r>
        <w:rPr>
          <w:rFonts w:hint="eastAsia" w:ascii="仿宋_GB2312" w:hAnsi="Times New Roman" w:eastAsia="仿宋_GB2312" w:cs="Times New Roman"/>
          <w:sz w:val="32"/>
          <w:szCs w:val="32"/>
        </w:rPr>
        <w:t>社会保障和就业支出（类）行政事业单位养老支出（款）</w:t>
      </w:r>
      <w:r>
        <w:rPr>
          <w:rFonts w:hint="eastAsia" w:ascii="仿宋_GB2312" w:hAnsi="Times New Roman" w:eastAsia="仿宋_GB2312" w:cs="Times New Roman"/>
          <w:sz w:val="32"/>
          <w:szCs w:val="32"/>
          <w:lang w:val="en-US" w:eastAsia="zh-CN"/>
        </w:rPr>
        <w:t>行政单位离退休</w:t>
      </w:r>
      <w:r>
        <w:rPr>
          <w:rFonts w:hint="eastAsia" w:ascii="仿宋_GB2312" w:hAnsi="Times New Roman" w:eastAsia="仿宋_GB2312" w:cs="Times New Roman"/>
          <w:sz w:val="32"/>
          <w:szCs w:val="32"/>
        </w:rPr>
        <w:t>（项）：指行政及参公管理事业单位离退休人员的支出。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sz w:val="32"/>
          <w:szCs w:val="32"/>
        </w:rPr>
      </w:pPr>
      <w:r>
        <w:rPr>
          <w:rFonts w:hint="eastAsia" w:ascii="仿宋_GB2312" w:eastAsia="仿宋_GB2312"/>
          <w:sz w:val="32"/>
          <w:szCs w:val="32"/>
        </w:rPr>
        <w:t>社会保障和就业支出（类）行政事业单位养老支出（款）机关事业单位基本养老保险缴费支出（项）：指部门实施养老保险制度由单位缴纳的养老保险的支出。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sz w:val="32"/>
          <w:szCs w:val="32"/>
        </w:rPr>
      </w:pPr>
      <w:r>
        <w:rPr>
          <w:rFonts w:hint="eastAsia" w:ascii="仿宋_GB2312" w:eastAsia="仿宋_GB2312"/>
          <w:sz w:val="32"/>
          <w:szCs w:val="32"/>
        </w:rPr>
        <w:t>社会保障和就业支出（类）行政事业单位养老支出（款）机关事业单位职业年金缴费支出（项）：指部门实施养老保险制度由单位缴纳的职业年金的支出。</w:t>
      </w:r>
    </w:p>
    <w:p>
      <w:pPr>
        <w:pageBreakBefore w:val="0"/>
        <w:numPr>
          <w:ilvl w:val="0"/>
          <w:numId w:val="5"/>
        </w:numPr>
        <w:kinsoku/>
        <w:wordWrap/>
        <w:overflowPunct/>
        <w:topLinePunct w:val="0"/>
        <w:bidi w:val="0"/>
        <w:spacing w:line="560" w:lineRule="exact"/>
        <w:ind w:left="0" w:leftChars="0" w:firstLine="400" w:firstLineChars="0"/>
        <w:textAlignment w:val="auto"/>
        <w:rPr>
          <w:rFonts w:hint="eastAsia" w:ascii="仿宋_GB2312" w:eastAsia="仿宋_GB2312"/>
          <w:sz w:val="32"/>
          <w:szCs w:val="32"/>
        </w:rPr>
      </w:pPr>
      <w:r>
        <w:rPr>
          <w:rFonts w:hint="eastAsia" w:ascii="仿宋_GB2312" w:eastAsia="仿宋_GB2312"/>
          <w:sz w:val="32"/>
          <w:szCs w:val="32"/>
        </w:rPr>
        <w:t>社会保障和就业支出（类）其他社会保障和就业支出（款）其他社会保障和就业支出（项）：指其他用于社会保障和就业支出方面的支出。</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sz w:val="32"/>
          <w:szCs w:val="32"/>
        </w:rPr>
      </w:pPr>
      <w:r>
        <w:rPr>
          <w:rFonts w:hint="eastAsia" w:ascii="仿宋_GB2312" w:eastAsia="仿宋_GB2312"/>
          <w:sz w:val="32"/>
          <w:szCs w:val="32"/>
        </w:rPr>
        <w:t>卫生健康支出（类）行政事业单位医疗（款）行政单位医疗（项）：指行政单位及参公管理事业单位基本医疗保险缴费经费，未参加医疗保险的行政单位的公费医疗经费，按国家规定享受离退休人员、红军老战士待遇人员的医疗费。</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76" w:lineRule="exact"/>
        <w:ind w:left="0" w:leftChars="0" w:firstLine="400" w:firstLineChars="0"/>
        <w:jc w:val="both"/>
        <w:textAlignment w:val="auto"/>
        <w:rPr>
          <w:rFonts w:ascii="仿宋_GB2312" w:eastAsia="仿宋_GB2312"/>
          <w:sz w:val="32"/>
          <w:szCs w:val="32"/>
        </w:rPr>
      </w:pPr>
      <w:r>
        <w:rPr>
          <w:rFonts w:hint="eastAsia" w:ascii="仿宋_GB2312" w:eastAsia="仿宋_GB2312"/>
          <w:sz w:val="32"/>
          <w:szCs w:val="32"/>
        </w:rPr>
        <w:t>住房保障（类）住房改革支出（款）住房公积金（项）：指行政事业单位按人力资源和社会保障部、财政部规定的基本工资和津贴补贴以及规定的比例为职工</w:t>
      </w:r>
      <w:r>
        <w:rPr>
          <w:rFonts w:hint="eastAsia" w:ascii="仿宋_GB2312" w:eastAsia="仿宋_GB2312"/>
          <w:sz w:val="32"/>
          <w:szCs w:val="32"/>
          <w:lang w:eastAsia="zh-CN"/>
        </w:rPr>
        <w:t>缴纳的</w:t>
      </w:r>
      <w:r>
        <w:rPr>
          <w:rFonts w:hint="eastAsia" w:ascii="仿宋_GB2312" w:eastAsia="仿宋_GB2312"/>
          <w:sz w:val="32"/>
          <w:szCs w:val="32"/>
        </w:rPr>
        <w:t>住房公积金。</w:t>
      </w:r>
    </w:p>
    <w:p>
      <w:pPr>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其他支出（类）其他支出（款）其他支出（项）</w:t>
      </w:r>
      <w:r>
        <w:rPr>
          <w:rFonts w:hint="eastAsia" w:ascii="仿宋_GB2312" w:eastAsia="仿宋_GB2312"/>
          <w:sz w:val="32"/>
          <w:szCs w:val="32"/>
          <w:lang w:eastAsia="zh-CN"/>
        </w:rPr>
        <w:t>：</w:t>
      </w:r>
      <w:r>
        <w:rPr>
          <w:rFonts w:hint="eastAsia" w:ascii="仿宋_GB2312" w:eastAsia="仿宋_GB2312"/>
          <w:sz w:val="32"/>
          <w:szCs w:val="32"/>
        </w:rPr>
        <w:t>指反映除上述项目以外其他不能划分到具体功能科目中的支出项目。</w:t>
      </w:r>
    </w:p>
    <w:p>
      <w:pPr>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5"/>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sz w:val="32"/>
          <w:szCs w:val="32"/>
        </w:rPr>
      </w:pP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pageBreakBefore w:val="0"/>
        <w:numPr>
          <w:ilvl w:val="0"/>
          <w:numId w:val="5"/>
        </w:numPr>
        <w:kinsoku/>
        <w:wordWrap/>
        <w:overflowPunct/>
        <w:topLinePunct w:val="0"/>
        <w:bidi w:val="0"/>
        <w:spacing w:line="560" w:lineRule="exact"/>
        <w:ind w:left="0" w:leftChars="0" w:firstLine="400" w:firstLineChars="0"/>
        <w:textAlignment w:val="auto"/>
        <w:rPr>
          <w:rFonts w:ascii="仿宋_GB2312" w:eastAsia="仿宋_GB2312"/>
          <w:color w:val="auto"/>
          <w:sz w:val="32"/>
          <w:szCs w:val="32"/>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spacing w:line="560" w:lineRule="exact"/>
        <w:jc w:val="center"/>
        <w:textAlignment w:val="auto"/>
        <w:outlineLvl w:val="0"/>
        <w:rPr>
          <w:rStyle w:val="27"/>
          <w:rFonts w:hint="eastAsia" w:ascii="黑体" w:hAnsi="黑体" w:eastAsia="黑体"/>
          <w:b w:val="0"/>
        </w:rPr>
      </w:pPr>
      <w:bookmarkStart w:id="86" w:name="_Toc15377226"/>
      <w:r>
        <w:rPr>
          <w:rFonts w:ascii="宋体"/>
          <w:b/>
          <w:sz w:val="44"/>
          <w:szCs w:val="44"/>
        </w:rPr>
        <w:br w:type="page"/>
      </w:r>
      <w:bookmarkStart w:id="87" w:name="_Toc15396614"/>
      <w:bookmarkStart w:id="88" w:name="_Toc29372"/>
      <w:bookmarkStart w:id="89" w:name="_Toc10843"/>
      <w:r>
        <w:rPr>
          <w:rFonts w:hint="eastAsia" w:ascii="黑体" w:hAnsi="黑体" w:eastAsia="黑体"/>
          <w:sz w:val="44"/>
          <w:szCs w:val="44"/>
        </w:rPr>
        <w:t>第</w:t>
      </w:r>
      <w:r>
        <w:rPr>
          <w:rStyle w:val="27"/>
          <w:rFonts w:hint="eastAsia" w:ascii="黑体" w:hAnsi="黑体" w:eastAsia="黑体"/>
          <w:b w:val="0"/>
        </w:rPr>
        <w:t>四部分 附件</w:t>
      </w:r>
      <w:bookmarkEnd w:id="87"/>
      <w:bookmarkEnd w:id="88"/>
      <w:bookmarkEnd w:id="89"/>
    </w:p>
    <w:p>
      <w:pPr>
        <w:pStyle w:val="2"/>
      </w:pP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7"/>
        <w:gridCol w:w="894"/>
        <w:gridCol w:w="1206"/>
        <w:gridCol w:w="396"/>
        <w:gridCol w:w="816"/>
        <w:gridCol w:w="396"/>
        <w:gridCol w:w="846"/>
        <w:gridCol w:w="486"/>
        <w:gridCol w:w="486"/>
        <w:gridCol w:w="13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90"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工资及时发放、足额发放，预算编制科学合理，无结余资金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753.59</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753.59</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748.79</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99.36%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753.59</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753.59</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748.79</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99.36%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工资及时足额发放，人员工资保障到位，预算编制科学合理，无结余资金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 xml:space="preserve">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4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2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工资及时发放、足额发放，预算编制科学合理，无结余资金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工资及时足额发放，人员工资保障到位，预算编制科学合理，无结余资金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 xml:space="preserve">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4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2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9"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工资及时发放、足额发放，预算编制科学合理，无结余资金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120.96</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120.96</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120.96</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120.96</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120.96</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120.96</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及时足额发放工资，预算编制科学合理，无结余资金。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4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2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0" w:type="pct"/>
            <w:gridSpan w:val="5"/>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工资及时发放、足额发放，预算编制科学合理，无结余资金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168.04</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168.04</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及时足额发放工资，预算编制科学合理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4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2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71.86</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99.81%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71.86</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99.81%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4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pStyle w:val="2"/>
        <w:pageBreakBefore w:val="0"/>
        <w:kinsoku/>
        <w:wordWrap/>
        <w:overflowPunct/>
        <w:topLinePunct w:val="0"/>
        <w:bidi w:val="0"/>
        <w:spacing w:line="560" w:lineRule="exact"/>
        <w:ind w:left="0" w:leftChars="0" w:firstLine="0" w:firstLineChars="0"/>
        <w:textAlignment w:val="auto"/>
        <w:rPr>
          <w:sz w:val="32"/>
        </w:rPr>
      </w:pP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7"/>
        <w:gridCol w:w="892"/>
        <w:gridCol w:w="1183"/>
        <w:gridCol w:w="396"/>
        <w:gridCol w:w="936"/>
        <w:gridCol w:w="396"/>
        <w:gridCol w:w="846"/>
        <w:gridCol w:w="486"/>
        <w:gridCol w:w="486"/>
        <w:gridCol w:w="1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51080021T000000068277-高中学业水平测试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完成2023年初中学业水平考试命题工作</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完成2023年初中学业水平考试命题工作。试题质量被教育部评价为优良等级。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组建命题队伍赴成都命题闱点，实行封闭命审题，5月25日至6月13日完成2023年初中学生（初三年级语文、数学、英语、物理、化学、道德与法治、历史七科，初二年级生物、地理两科）学业水平考试命题工作。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29.49</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29.49</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29.49</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29.49</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29.49</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29.49</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初二初三参考人数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初中学业水平考试命题</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初中学业水平参考科目</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科</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试题区分度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高</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命题失误率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参考学校工作完成率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项目完成时间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2023年6月</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2023年6月</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全市基础教育优质均衡发展，为高中学校选才</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课程改革深入推进、学生可持续发展</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师生、家长对试卷命题满意度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29.494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29.49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按时高质量完成命题工作，试题无泄密及错误。达到学生初中学业水平监测、高中学校选拔考试两考合一目标。试题质量被教育部评价为优良等级。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适当降低试题难度，严格按照课程标准要求命题；增加探究性、开放性、综合性试题的比例，进一步凸出素养考查；命题人数不足。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加强命题人员对课程标准的学习与培训；调整试题结构，进一步降低机械性试题比例；按照教育部《关于加强初中学业水平考试命题工作的意见》（教基〔2019〕15号）对中考命题人数的要求，增加命审题人员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51080022T000004924027-乡村振兴工作经费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驻村工作队到村履行</w:t>
            </w:r>
            <w:r>
              <w:rPr>
                <w:rStyle w:val="35"/>
                <w:lang w:val="en-US" w:eastAsia="zh-CN" w:bidi="ar"/>
              </w:rPr>
              <w:t>“</w:t>
            </w:r>
            <w:r>
              <w:rPr>
                <w:rStyle w:val="36"/>
                <w:lang w:val="en-US" w:eastAsia="zh-CN" w:bidi="ar"/>
              </w:rPr>
              <w:t>建强村党组织、推进强村富民、提升治理水平、为民办事服务</w:t>
            </w:r>
            <w:r>
              <w:rPr>
                <w:rStyle w:val="35"/>
                <w:lang w:val="en-US" w:eastAsia="zh-CN" w:bidi="ar"/>
              </w:rPr>
              <w:t>”</w:t>
            </w:r>
            <w:r>
              <w:rPr>
                <w:rStyle w:val="36"/>
                <w:lang w:val="en-US" w:eastAsia="zh-CN" w:bidi="ar"/>
              </w:rPr>
              <w:t>4项职责任务，助力普广村建设产业兴旺、生态宜居、乡风文明、治理有效、生活富裕的新农村。</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驻村工作队到村认真履行四项基本职责，助力普广村乡村振兴工作，较好完成了各项目标任务。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项目内容及过程：   2023年，驻村工作队坚持党建引领，健全制度机制，畅通诉求渠道，全面提升治理效能，有力助推普广村乡村振兴。</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一是严格对照党支部规范化标准化建设标准，规范组织形式、学习活动、管理机制，抓好主题教育活动，切实推动</w:t>
            </w:r>
            <w:r>
              <w:rPr>
                <w:rStyle w:val="35"/>
                <w:lang w:val="en-US" w:eastAsia="zh-CN" w:bidi="ar"/>
              </w:rPr>
              <w:t>“</w:t>
            </w:r>
            <w:r>
              <w:rPr>
                <w:rStyle w:val="36"/>
                <w:lang w:val="en-US" w:eastAsia="zh-CN" w:bidi="ar"/>
              </w:rPr>
              <w:t>三会一课</w:t>
            </w:r>
            <w:r>
              <w:rPr>
                <w:rStyle w:val="35"/>
                <w:lang w:val="en-US" w:eastAsia="zh-CN" w:bidi="ar"/>
              </w:rPr>
              <w:t>”</w:t>
            </w:r>
            <w:r>
              <w:rPr>
                <w:rStyle w:val="36"/>
                <w:lang w:val="en-US" w:eastAsia="zh-CN" w:bidi="ar"/>
              </w:rPr>
              <w:t>、主题党日活动等制度落细落实，全面提升基层党组织的组织力凝聚力。</w:t>
            </w:r>
            <w:r>
              <w:rPr>
                <w:rStyle w:val="36"/>
                <w:lang w:val="en-US" w:eastAsia="zh-CN" w:bidi="ar"/>
              </w:rPr>
              <w:br w:type="textWrapping"/>
            </w:r>
            <w:r>
              <w:rPr>
                <w:rStyle w:val="36"/>
                <w:lang w:val="en-US" w:eastAsia="zh-CN" w:bidi="ar"/>
              </w:rPr>
              <w:t>二是积极参与村级各类事务，配合村两委干部认真开展防止返贫动态监测、乡村振兴、安全生产、信访维稳、秸秆禁烧等各项工作，确保各项事务有序有力推进。</w:t>
            </w:r>
            <w:r>
              <w:rPr>
                <w:rStyle w:val="36"/>
                <w:lang w:val="en-US" w:eastAsia="zh-CN" w:bidi="ar"/>
              </w:rPr>
              <w:br w:type="textWrapping"/>
            </w:r>
            <w:r>
              <w:rPr>
                <w:rStyle w:val="36"/>
                <w:lang w:val="en-US" w:eastAsia="zh-CN" w:bidi="ar"/>
              </w:rPr>
              <w:t>三是持续加强网格管理，及时调处化解矛盾纠纷，进一步提升农村公共服务水平，巩固农村和谐稳定、群众安居乐业的良好局面。2023年来，全村累计化解矛盾纠纷20余起，无越级上访、无进京到省去市上访事件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3.64</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3.64</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3.64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3.64</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3.64</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3.64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驻村天数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天/月</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20天/月</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每月组织召开由村</w:t>
            </w:r>
            <w:r>
              <w:rPr>
                <w:rStyle w:val="35"/>
                <w:lang w:val="en-US" w:eastAsia="zh-CN" w:bidi="ar"/>
              </w:rPr>
              <w:t>“</w:t>
            </w:r>
            <w:r>
              <w:rPr>
                <w:rStyle w:val="36"/>
                <w:lang w:val="en-US" w:eastAsia="zh-CN" w:bidi="ar"/>
              </w:rPr>
              <w:t>两委</w:t>
            </w:r>
            <w:r>
              <w:rPr>
                <w:rStyle w:val="35"/>
                <w:lang w:val="en-US" w:eastAsia="zh-CN" w:bidi="ar"/>
              </w:rPr>
              <w:t>”</w:t>
            </w:r>
            <w:r>
              <w:rPr>
                <w:rStyle w:val="36"/>
                <w:lang w:val="en-US" w:eastAsia="zh-CN" w:bidi="ar"/>
              </w:rPr>
              <w:t>成员、工作队员等参加的工作例会</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参加县级及以上培训</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每半年向派出单位汇报思想、工作和学习情况</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精准帮扶、脱贫人口稳定就业、易地扶贫搬迁后续扶持衔接率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惠民政策推动落实率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党组织凝聚群众、服务群众有效率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村（社区）</w:t>
            </w:r>
            <w:r>
              <w:rPr>
                <w:rStyle w:val="35"/>
                <w:lang w:val="en-US" w:eastAsia="zh-CN" w:bidi="ar"/>
              </w:rPr>
              <w:t>“</w:t>
            </w:r>
            <w:r>
              <w:rPr>
                <w:rStyle w:val="36"/>
                <w:lang w:val="en-US" w:eastAsia="zh-CN" w:bidi="ar"/>
              </w:rPr>
              <w:t>两委</w:t>
            </w:r>
            <w:r>
              <w:rPr>
                <w:rStyle w:val="35"/>
                <w:lang w:val="en-US" w:eastAsia="zh-CN" w:bidi="ar"/>
              </w:rPr>
              <w:t>”</w:t>
            </w:r>
            <w:r>
              <w:rPr>
                <w:rStyle w:val="36"/>
                <w:lang w:val="en-US" w:eastAsia="zh-CN" w:bidi="ar"/>
              </w:rPr>
              <w:t>班子建设及村党支部标准化规范化水平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加强</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已完成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易返贫致贫人口监测</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常态化监管</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已完成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健全完善自治、法治、德治相结合的乡村治理体系</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已完成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巩固脱贫成果到推进乡村振兴过渡期</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驻村工作队任期</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人民群众生活水平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已完成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乡村产业发展水平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已完成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新型农村集体经济</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推动发展</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已完成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乡风文明建设水平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已完成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生态效益指标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农村生态环境质量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已完成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脱贫攻坚成果同乡村振兴衔接巩固率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驻村党员干部对满意度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驻村人民群众满意度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乡村振兴专项资金预算控制数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3.64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3.64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驻村工作队到村认真履行四项基本职责，积极开展防止返贫动态监测、脱贫人口收入算账等工作，协助村两委开展森林防火、保险收缴等工作，全面助力普广村乡村振兴工作。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村集体产业规模偏小，产业效益不高，集体经济收入还不够好。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积极向上加强沟通对接，进一步争取产业发展项目资金，持续壮大村集体产业。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51080022T000004937337-派驻纪检组工作经费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5"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以习近平新时代中国特色社会主义思想为指导，增强</w:t>
            </w:r>
            <w:r>
              <w:rPr>
                <w:rStyle w:val="35"/>
                <w:lang w:val="en-US" w:eastAsia="zh-CN" w:bidi="ar"/>
              </w:rPr>
              <w:t>“</w:t>
            </w:r>
            <w:r>
              <w:rPr>
                <w:rStyle w:val="36"/>
                <w:lang w:val="en-US" w:eastAsia="zh-CN" w:bidi="ar"/>
              </w:rPr>
              <w:t>四个意识</w:t>
            </w:r>
            <w:r>
              <w:rPr>
                <w:rStyle w:val="35"/>
                <w:lang w:val="en-US" w:eastAsia="zh-CN" w:bidi="ar"/>
              </w:rPr>
              <w:t>”</w:t>
            </w:r>
            <w:r>
              <w:rPr>
                <w:rStyle w:val="36"/>
                <w:lang w:val="en-US" w:eastAsia="zh-CN" w:bidi="ar"/>
              </w:rPr>
              <w:t>、坚定</w:t>
            </w:r>
            <w:r>
              <w:rPr>
                <w:rStyle w:val="35"/>
                <w:lang w:val="en-US" w:eastAsia="zh-CN" w:bidi="ar"/>
              </w:rPr>
              <w:t>“</w:t>
            </w:r>
            <w:r>
              <w:rPr>
                <w:rStyle w:val="36"/>
                <w:lang w:val="en-US" w:eastAsia="zh-CN" w:bidi="ar"/>
              </w:rPr>
              <w:t>四个自信</w:t>
            </w:r>
            <w:r>
              <w:rPr>
                <w:rStyle w:val="35"/>
                <w:lang w:val="en-US" w:eastAsia="zh-CN" w:bidi="ar"/>
              </w:rPr>
              <w:t>”</w:t>
            </w:r>
            <w:r>
              <w:rPr>
                <w:rStyle w:val="36"/>
                <w:lang w:val="en-US" w:eastAsia="zh-CN" w:bidi="ar"/>
              </w:rPr>
              <w:t>，坚决做到</w:t>
            </w:r>
            <w:r>
              <w:rPr>
                <w:rStyle w:val="35"/>
                <w:lang w:val="en-US" w:eastAsia="zh-CN" w:bidi="ar"/>
              </w:rPr>
              <w:t>“</w:t>
            </w:r>
            <w:r>
              <w:rPr>
                <w:rStyle w:val="36"/>
                <w:lang w:val="en-US" w:eastAsia="zh-CN" w:bidi="ar"/>
              </w:rPr>
              <w:t>两个维护</w:t>
            </w:r>
            <w:r>
              <w:rPr>
                <w:rStyle w:val="35"/>
                <w:lang w:val="en-US" w:eastAsia="zh-CN" w:bidi="ar"/>
              </w:rPr>
              <w:t>”</w:t>
            </w:r>
            <w:r>
              <w:rPr>
                <w:rStyle w:val="36"/>
                <w:lang w:val="en-US" w:eastAsia="zh-CN" w:bidi="ar"/>
              </w:rPr>
              <w:t>。深入学习贯彻中央纪委、省纪委全会精神，认真落实市纪委八届二次全会部署要求，以</w:t>
            </w:r>
            <w:r>
              <w:rPr>
                <w:rStyle w:val="35"/>
                <w:lang w:val="en-US" w:eastAsia="zh-CN" w:bidi="ar"/>
              </w:rPr>
              <w:t>“</w:t>
            </w:r>
            <w:r>
              <w:rPr>
                <w:rStyle w:val="36"/>
                <w:lang w:val="en-US" w:eastAsia="zh-CN" w:bidi="ar"/>
              </w:rPr>
              <w:t>三张清单</w:t>
            </w:r>
            <w:r>
              <w:rPr>
                <w:rStyle w:val="35"/>
                <w:lang w:val="en-US" w:eastAsia="zh-CN" w:bidi="ar"/>
              </w:rPr>
              <w:t>”</w:t>
            </w:r>
            <w:r>
              <w:rPr>
                <w:rStyle w:val="36"/>
                <w:lang w:val="en-US" w:eastAsia="zh-CN" w:bidi="ar"/>
              </w:rPr>
              <w:t>为抓手，从严政治监督，抓实日常监督，推动</w:t>
            </w:r>
            <w:r>
              <w:rPr>
                <w:rStyle w:val="35"/>
                <w:lang w:val="en-US" w:eastAsia="zh-CN" w:bidi="ar"/>
              </w:rPr>
              <w:t>“</w:t>
            </w:r>
            <w:r>
              <w:rPr>
                <w:rStyle w:val="36"/>
                <w:lang w:val="en-US" w:eastAsia="zh-CN" w:bidi="ar"/>
              </w:rPr>
              <w:t>三个一、三个三</w:t>
            </w:r>
            <w:r>
              <w:rPr>
                <w:rStyle w:val="35"/>
                <w:lang w:val="en-US" w:eastAsia="zh-CN" w:bidi="ar"/>
              </w:rPr>
              <w:t>”</w:t>
            </w:r>
            <w:r>
              <w:rPr>
                <w:rStyle w:val="36"/>
                <w:lang w:val="en-US" w:eastAsia="zh-CN" w:bidi="ar"/>
              </w:rPr>
              <w:t>兴广战略和市委重大决策部署落地落实，为建设川陕甘结合部现代化中心城市提供坚强纪律和作风保障。</w:t>
            </w:r>
            <w:r>
              <w:rPr>
                <w:rStyle w:val="36"/>
                <w:lang w:val="en-US" w:eastAsia="zh-CN" w:bidi="ar"/>
              </w:rPr>
              <w:br w:type="textWrapping"/>
            </w:r>
            <w:r>
              <w:rPr>
                <w:rStyle w:val="36"/>
                <w:lang w:val="en-US" w:eastAsia="zh-CN" w:bidi="ar"/>
              </w:rPr>
              <w:t>从严政治监督，抓实日常监督，推动市委重大决策部署落地落实提供坚强纪律和作风保障。保障派驻纪检组日常工作开展，顺利完成年度目标任务。</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2023年，驻市教育局纪检监察组认真落实市纪委八届三次全会部署要求，锚定</w:t>
            </w:r>
            <w:r>
              <w:rPr>
                <w:rStyle w:val="35"/>
                <w:lang w:val="en-US" w:eastAsia="zh-CN" w:bidi="ar"/>
              </w:rPr>
              <w:t>“</w:t>
            </w:r>
            <w:r>
              <w:rPr>
                <w:rStyle w:val="36"/>
                <w:lang w:val="en-US" w:eastAsia="zh-CN" w:bidi="ar"/>
              </w:rPr>
              <w:t>上档升位</w:t>
            </w:r>
            <w:r>
              <w:rPr>
                <w:rStyle w:val="35"/>
                <w:lang w:val="en-US" w:eastAsia="zh-CN" w:bidi="ar"/>
              </w:rPr>
              <w:t>”</w:t>
            </w:r>
            <w:r>
              <w:rPr>
                <w:rStyle w:val="36"/>
                <w:lang w:val="en-US" w:eastAsia="zh-CN" w:bidi="ar"/>
              </w:rPr>
              <w:t>目标，紧紧围绕中心大局，切实履行监督首责，较好完成了全年目标任务。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行清单立项监督，制定政治监督年度任务清单，建立重点工作推进落实台账，细化工作任务、一月一清单。强化巡察、审计反馈问题整改督查，对市科协党组巡察反馈问题、利州中学审计反馈问题整改情况开展专项督查。紧盯</w:t>
            </w:r>
            <w:r>
              <w:rPr>
                <w:rStyle w:val="35"/>
                <w:lang w:val="en-US" w:eastAsia="zh-CN" w:bidi="ar"/>
              </w:rPr>
              <w:t>“</w:t>
            </w:r>
            <w:r>
              <w:rPr>
                <w:rStyle w:val="36"/>
                <w:lang w:val="en-US" w:eastAsia="zh-CN" w:bidi="ar"/>
              </w:rPr>
              <w:t>关键少数</w:t>
            </w:r>
            <w:r>
              <w:rPr>
                <w:rStyle w:val="35"/>
                <w:lang w:val="en-US" w:eastAsia="zh-CN" w:bidi="ar"/>
              </w:rPr>
              <w:t>”</w:t>
            </w:r>
            <w:r>
              <w:rPr>
                <w:rStyle w:val="36"/>
                <w:lang w:val="en-US" w:eastAsia="zh-CN" w:bidi="ar"/>
              </w:rPr>
              <w:t>，</w:t>
            </w:r>
            <w:r>
              <w:rPr>
                <w:rStyle w:val="35"/>
                <w:lang w:val="en-US" w:eastAsia="zh-CN" w:bidi="ar"/>
              </w:rPr>
              <w:t>“</w:t>
            </w:r>
            <w:r>
              <w:rPr>
                <w:rStyle w:val="36"/>
                <w:lang w:val="en-US" w:eastAsia="zh-CN" w:bidi="ar"/>
              </w:rPr>
              <w:t>关键事</w:t>
            </w:r>
            <w:r>
              <w:rPr>
                <w:rStyle w:val="35"/>
                <w:lang w:val="en-US" w:eastAsia="zh-CN" w:bidi="ar"/>
              </w:rPr>
              <w:t>”“</w:t>
            </w:r>
            <w:r>
              <w:rPr>
                <w:rStyle w:val="36"/>
                <w:lang w:val="en-US" w:eastAsia="zh-CN" w:bidi="ar"/>
              </w:rPr>
              <w:t>关键时</w:t>
            </w:r>
            <w:r>
              <w:rPr>
                <w:rStyle w:val="35"/>
                <w:lang w:val="en-US" w:eastAsia="zh-CN" w:bidi="ar"/>
              </w:rPr>
              <w:t>”</w:t>
            </w:r>
            <w:r>
              <w:rPr>
                <w:rStyle w:val="36"/>
                <w:lang w:val="en-US" w:eastAsia="zh-CN" w:bidi="ar"/>
              </w:rPr>
              <w:t>，强化日常监督。全年处置问题线索12件，立案6件，给予党内严重警告1人，党内警告2人，政务警告2人，撤销党内职务1人；组织处理5人。深化以案促改和法纪教育，严守办案安全底线，审查调查实现</w:t>
            </w:r>
            <w:r>
              <w:rPr>
                <w:rStyle w:val="35"/>
                <w:lang w:val="en-US" w:eastAsia="zh-CN" w:bidi="ar"/>
              </w:rPr>
              <w:t>“</w:t>
            </w:r>
            <w:r>
              <w:rPr>
                <w:rStyle w:val="36"/>
                <w:lang w:val="en-US" w:eastAsia="zh-CN" w:bidi="ar"/>
              </w:rPr>
              <w:t>零事故</w:t>
            </w:r>
            <w:r>
              <w:rPr>
                <w:rStyle w:val="35"/>
                <w:lang w:val="en-US" w:eastAsia="zh-CN" w:bidi="ar"/>
              </w:rPr>
              <w:t>”</w:t>
            </w:r>
            <w:r>
              <w:rPr>
                <w:rStyle w:val="36"/>
                <w:lang w:val="en-US" w:eastAsia="zh-CN" w:bidi="ar"/>
              </w:rPr>
              <w:t>。全年报送工作信息50余条，其中省级以上媒体采用34条，蜀道清风廉播星期五采用16条，《广元纪检监察信息》采用1条。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19.88</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99.39%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19.88</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99.39%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r>
              <w:rPr>
                <w:rStyle w:val="36"/>
                <w:lang w:val="en-US" w:eastAsia="zh-CN" w:bidi="ar"/>
              </w:rPr>
              <w:t>三公经费</w:t>
            </w:r>
            <w:r>
              <w:rPr>
                <w:rStyle w:val="35"/>
                <w:lang w:val="en-US" w:eastAsia="zh-CN" w:bidi="ar"/>
              </w:rPr>
              <w:t>”</w:t>
            </w:r>
            <w:r>
              <w:rPr>
                <w:rStyle w:val="36"/>
                <w:lang w:val="en-US" w:eastAsia="zh-CN" w:bidi="ar"/>
              </w:rPr>
              <w:t>管理情况专项检查单位数量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4个</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年度内完成监督单位</w:t>
            </w:r>
            <w:r>
              <w:rPr>
                <w:rStyle w:val="35"/>
                <w:lang w:val="en-US" w:eastAsia="zh-CN" w:bidi="ar"/>
              </w:rPr>
              <w:t>“</w:t>
            </w:r>
            <w:r>
              <w:rPr>
                <w:rStyle w:val="36"/>
                <w:lang w:val="en-US" w:eastAsia="zh-CN" w:bidi="ar"/>
              </w:rPr>
              <w:t>三张清单</w:t>
            </w:r>
            <w:r>
              <w:rPr>
                <w:rStyle w:val="35"/>
                <w:lang w:val="en-US" w:eastAsia="zh-CN" w:bidi="ar"/>
              </w:rPr>
              <w:t>”</w:t>
            </w:r>
            <w:r>
              <w:rPr>
                <w:rStyle w:val="36"/>
                <w:lang w:val="en-US" w:eastAsia="zh-CN" w:bidi="ar"/>
              </w:rPr>
              <w:t>落实情况检查次数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办案申诉案件率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纪检监察组</w:t>
            </w:r>
            <w:r>
              <w:rPr>
                <w:rStyle w:val="35"/>
                <w:lang w:val="en-US" w:eastAsia="zh-CN" w:bidi="ar"/>
              </w:rPr>
              <w:t>“</w:t>
            </w:r>
            <w:r>
              <w:rPr>
                <w:rStyle w:val="36"/>
                <w:lang w:val="en-US" w:eastAsia="zh-CN" w:bidi="ar"/>
              </w:rPr>
              <w:t>三公三化</w:t>
            </w:r>
            <w:r>
              <w:rPr>
                <w:rStyle w:val="35"/>
                <w:lang w:val="en-US" w:eastAsia="zh-CN" w:bidi="ar"/>
              </w:rPr>
              <w:t>”</w:t>
            </w:r>
            <w:r>
              <w:rPr>
                <w:rStyle w:val="36"/>
                <w:lang w:val="en-US" w:eastAsia="zh-CN" w:bidi="ar"/>
              </w:rPr>
              <w:t>等公示栏健全、完善、更新率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办案安全率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健全完善科级干部廉政档案，坚持动态监管，全面掌握被监督单位干部廉洁自律情况</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更新廉政档案241份。</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对市教育局党组巡察反馈问题整改情况跟进监督及时率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对监督单位信访及问题线索处置及时率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群众对综合监督单位党风廉政建设满意度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持续向好</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群众对监督单位党风廉政建设满意度不断提高。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监督单位政治生态</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逐步提高</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监督单位政治生态持续向好。</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社会群众满意度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干部职工满意度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立案案件</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立案6件，计1.2万元</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初核问题线索</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初核10件，计8万元</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纪检专项资金预算控制数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小于20万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每单位日常监督一次成本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开展监督检查19次，计9.5万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函询谈话问题线索</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2个，计1万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2023年，驻市教育局纪检监察组聚焦中心大局，深化了政治监督；聚焦从严正风肃纪，做实了日常监督；聚焦</w:t>
            </w:r>
            <w:r>
              <w:rPr>
                <w:rStyle w:val="37"/>
                <w:lang w:val="en-US" w:eastAsia="zh-CN" w:bidi="ar"/>
              </w:rPr>
              <w:t>“</w:t>
            </w:r>
            <w:r>
              <w:rPr>
                <w:rStyle w:val="36"/>
                <w:lang w:val="en-US" w:eastAsia="zh-CN" w:bidi="ar"/>
              </w:rPr>
              <w:t>三不腐</w:t>
            </w:r>
            <w:r>
              <w:rPr>
                <w:rStyle w:val="37"/>
                <w:lang w:val="en-US" w:eastAsia="zh-CN" w:bidi="ar"/>
              </w:rPr>
              <w:t>”</w:t>
            </w:r>
            <w:r>
              <w:rPr>
                <w:rStyle w:val="36"/>
                <w:lang w:val="en-US" w:eastAsia="zh-CN" w:bidi="ar"/>
              </w:rPr>
              <w:t>一体推进，强化了案件查办；聚焦目标任务，教育整顿不断走深走实，较好完成了目标任务，在22家单位中年度考核排名第七。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推动落实政治监督具体化、精准化、常态化还有差距，监督检查内容不够细化，措施不够具体。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做实政治监督。严明政治纪律和政治规矩，严肃党内政治生活，坚决纠正政治偏差。围绕习近平总书记重要指示批示精神和中央、省、市重大决策部署、市委</w:t>
            </w:r>
            <w:r>
              <w:rPr>
                <w:rStyle w:val="37"/>
                <w:lang w:val="en-US" w:eastAsia="zh-CN" w:bidi="ar"/>
              </w:rPr>
              <w:t>“</w:t>
            </w:r>
            <w:r>
              <w:rPr>
                <w:rStyle w:val="36"/>
                <w:lang w:val="en-US" w:eastAsia="zh-CN" w:bidi="ar"/>
              </w:rPr>
              <w:t>1345</w:t>
            </w:r>
            <w:r>
              <w:rPr>
                <w:rStyle w:val="37"/>
                <w:lang w:val="en-US" w:eastAsia="zh-CN" w:bidi="ar"/>
              </w:rPr>
              <w:t>”</w:t>
            </w:r>
            <w:r>
              <w:rPr>
                <w:rStyle w:val="36"/>
                <w:lang w:val="en-US" w:eastAsia="zh-CN" w:bidi="ar"/>
              </w:rPr>
              <w:t>发展战略加强政治监督，聚焦乡村振兴、优化营商环境、市级重点项目、意识形态工作责任制、</w:t>
            </w:r>
            <w:r>
              <w:rPr>
                <w:rStyle w:val="37"/>
                <w:lang w:val="en-US" w:eastAsia="zh-CN" w:bidi="ar"/>
              </w:rPr>
              <w:t>“</w:t>
            </w:r>
            <w:r>
              <w:rPr>
                <w:rStyle w:val="36"/>
                <w:lang w:val="en-US" w:eastAsia="zh-CN" w:bidi="ar"/>
              </w:rPr>
              <w:t>双减</w:t>
            </w:r>
            <w:r>
              <w:rPr>
                <w:rStyle w:val="37"/>
                <w:lang w:val="en-US" w:eastAsia="zh-CN" w:bidi="ar"/>
              </w:rPr>
              <w:t>”</w:t>
            </w:r>
            <w:r>
              <w:rPr>
                <w:rStyle w:val="36"/>
                <w:lang w:val="en-US" w:eastAsia="zh-CN" w:bidi="ar"/>
              </w:rPr>
              <w:t>等，制定政治监督任务清单，加强室组校联动，跟进监督检查，常态化开展落实情况</w:t>
            </w:r>
            <w:r>
              <w:rPr>
                <w:rStyle w:val="37"/>
                <w:lang w:val="en-US" w:eastAsia="zh-CN" w:bidi="ar"/>
              </w:rPr>
              <w:t>“</w:t>
            </w:r>
            <w:r>
              <w:rPr>
                <w:rStyle w:val="36"/>
                <w:lang w:val="en-US" w:eastAsia="zh-CN" w:bidi="ar"/>
              </w:rPr>
              <w:t>回头看</w:t>
            </w:r>
            <w:r>
              <w:rPr>
                <w:rStyle w:val="37"/>
                <w:lang w:val="en-US" w:eastAsia="zh-CN" w:bidi="ar"/>
              </w:rPr>
              <w:t>”</w:t>
            </w:r>
            <w:r>
              <w:rPr>
                <w:rStyle w:val="36"/>
                <w:lang w:val="en-US" w:eastAsia="zh-CN" w:bidi="ar"/>
              </w:rPr>
              <w:t>，推动上级各项重大决策部署落地落实。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51080022T000007052790-教育高地建设、教育提质工程和</w:t>
            </w:r>
            <w:r>
              <w:rPr>
                <w:rStyle w:val="35"/>
                <w:lang w:val="en-US" w:eastAsia="zh-CN" w:bidi="ar"/>
              </w:rPr>
              <w:t>“</w:t>
            </w:r>
            <w:r>
              <w:rPr>
                <w:rStyle w:val="36"/>
                <w:lang w:val="en-US" w:eastAsia="zh-CN" w:bidi="ar"/>
              </w:rPr>
              <w:t>双减</w:t>
            </w:r>
            <w:r>
              <w:rPr>
                <w:rStyle w:val="35"/>
                <w:lang w:val="en-US" w:eastAsia="zh-CN" w:bidi="ar"/>
              </w:rPr>
              <w:t>”</w:t>
            </w:r>
            <w:r>
              <w:rPr>
                <w:rStyle w:val="36"/>
                <w:lang w:val="en-US" w:eastAsia="zh-CN" w:bidi="ar"/>
              </w:rPr>
              <w:t>等教育教学专项业务及重点工作经费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1.指导教育综合改革，依法治教，办人民满意教育；</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2.落实民办义务教育规模调控和义务教育</w:t>
            </w:r>
            <w:r>
              <w:rPr>
                <w:rStyle w:val="35"/>
                <w:lang w:val="en-US" w:eastAsia="zh-CN" w:bidi="ar"/>
              </w:rPr>
              <w:t>“</w:t>
            </w:r>
            <w:r>
              <w:rPr>
                <w:rStyle w:val="36"/>
                <w:lang w:val="en-US" w:eastAsia="zh-CN" w:bidi="ar"/>
              </w:rPr>
              <w:t>双规范</w:t>
            </w:r>
            <w:r>
              <w:rPr>
                <w:rStyle w:val="35"/>
                <w:lang w:val="en-US" w:eastAsia="zh-CN" w:bidi="ar"/>
              </w:rPr>
              <w:t>”“</w:t>
            </w:r>
            <w:r>
              <w:rPr>
                <w:rStyle w:val="36"/>
                <w:lang w:val="en-US" w:eastAsia="zh-CN" w:bidi="ar"/>
              </w:rPr>
              <w:t>双减</w:t>
            </w:r>
            <w:r>
              <w:rPr>
                <w:rStyle w:val="35"/>
                <w:lang w:val="en-US" w:eastAsia="zh-CN" w:bidi="ar"/>
              </w:rPr>
              <w:t>”</w:t>
            </w:r>
            <w:r>
              <w:rPr>
                <w:rStyle w:val="36"/>
                <w:lang w:val="en-US" w:eastAsia="zh-CN" w:bidi="ar"/>
              </w:rPr>
              <w:t>工作；</w:t>
            </w:r>
            <w:r>
              <w:rPr>
                <w:rStyle w:val="36"/>
                <w:lang w:val="en-US" w:eastAsia="zh-CN" w:bidi="ar"/>
              </w:rPr>
              <w:br w:type="textWrapping"/>
            </w:r>
            <w:r>
              <w:rPr>
                <w:rStyle w:val="36"/>
                <w:lang w:val="en-US" w:eastAsia="zh-CN" w:bidi="ar"/>
              </w:rPr>
              <w:t>3.教育系统疫情防控常态化，全面做好疫情防控工作</w:t>
            </w:r>
            <w:r>
              <w:rPr>
                <w:rStyle w:val="35"/>
                <w:lang w:val="en-US" w:eastAsia="zh-CN" w:bidi="ar"/>
              </w:rPr>
              <w:t>’</w:t>
            </w:r>
            <w:r>
              <w:rPr>
                <w:rStyle w:val="36"/>
                <w:lang w:val="en-US" w:eastAsia="zh-CN" w:bidi="ar"/>
              </w:rPr>
              <w:br w:type="textWrapping"/>
            </w:r>
            <w:r>
              <w:rPr>
                <w:rStyle w:val="36"/>
                <w:lang w:val="en-US" w:eastAsia="zh-CN" w:bidi="ar"/>
              </w:rPr>
              <w:t>4.指导全市中职学校职业教育工作，推进职业院校招生宣传、项目建设等，</w:t>
            </w:r>
            <w:r>
              <w:rPr>
                <w:rStyle w:val="36"/>
                <w:lang w:val="en-US" w:eastAsia="zh-CN" w:bidi="ar"/>
              </w:rPr>
              <w:br w:type="textWrapping"/>
            </w:r>
            <w:r>
              <w:rPr>
                <w:rStyle w:val="36"/>
                <w:lang w:val="en-US" w:eastAsia="zh-CN" w:bidi="ar"/>
              </w:rPr>
              <w:t>5.开展局机关、市直属学校（单位） 内部审计、内部控制管理工作；</w:t>
            </w:r>
            <w:r>
              <w:rPr>
                <w:rStyle w:val="36"/>
                <w:lang w:val="en-US" w:eastAsia="zh-CN" w:bidi="ar"/>
              </w:rPr>
              <w:br w:type="textWrapping"/>
            </w:r>
            <w:r>
              <w:rPr>
                <w:rStyle w:val="36"/>
                <w:lang w:val="en-US" w:eastAsia="zh-CN" w:bidi="ar"/>
              </w:rPr>
              <w:t>6.指导开展创建示范校、规范机关各项管理等；</w:t>
            </w:r>
            <w:r>
              <w:rPr>
                <w:rStyle w:val="36"/>
                <w:lang w:val="en-US" w:eastAsia="zh-CN" w:bidi="ar"/>
              </w:rPr>
              <w:br w:type="textWrapping"/>
            </w:r>
            <w:r>
              <w:rPr>
                <w:rStyle w:val="36"/>
                <w:lang w:val="en-US" w:eastAsia="zh-CN" w:bidi="ar"/>
              </w:rPr>
              <w:t>7.持续做好学校布局调整、教育事业统计分析等  ;</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切实保障局机关运行工作正常开展，落实了落实民办义务教育规模调控和义务教育</w:t>
            </w:r>
            <w:r>
              <w:rPr>
                <w:rStyle w:val="38"/>
                <w:lang w:val="en-US" w:eastAsia="zh-CN" w:bidi="ar"/>
              </w:rPr>
              <w:t>“</w:t>
            </w:r>
            <w:r>
              <w:rPr>
                <w:rStyle w:val="36"/>
                <w:lang w:val="en-US" w:eastAsia="zh-CN" w:bidi="ar"/>
              </w:rPr>
              <w:t>双规范</w:t>
            </w:r>
            <w:r>
              <w:rPr>
                <w:rStyle w:val="38"/>
                <w:lang w:val="en-US" w:eastAsia="zh-CN" w:bidi="ar"/>
              </w:rPr>
              <w:t>”“</w:t>
            </w:r>
            <w:r>
              <w:rPr>
                <w:rStyle w:val="36"/>
                <w:lang w:val="en-US" w:eastAsia="zh-CN" w:bidi="ar"/>
              </w:rPr>
              <w:t>双减</w:t>
            </w:r>
            <w:r>
              <w:rPr>
                <w:rStyle w:val="38"/>
                <w:lang w:val="en-US" w:eastAsia="zh-CN" w:bidi="ar"/>
              </w:rPr>
              <w:t>”</w:t>
            </w:r>
            <w:r>
              <w:rPr>
                <w:rStyle w:val="36"/>
                <w:lang w:val="en-US" w:eastAsia="zh-CN" w:bidi="ar"/>
              </w:rPr>
              <w:t>工作，完成了全市中职学校职业教育工作，推进职业院校招生宣传、项目建设；开展了局机关、市直属学校（单位） 内部审计、内部控制管理、学校布局调整、教育事业统计分析等工作。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落实民办义务教育规模调控和义务教育</w:t>
            </w:r>
            <w:r>
              <w:rPr>
                <w:rStyle w:val="35"/>
                <w:lang w:val="en-US" w:eastAsia="zh-CN" w:bidi="ar"/>
              </w:rPr>
              <w:t>“</w:t>
            </w:r>
            <w:r>
              <w:rPr>
                <w:rStyle w:val="36"/>
                <w:lang w:val="en-US" w:eastAsia="zh-CN" w:bidi="ar"/>
              </w:rPr>
              <w:t>双规范</w:t>
            </w:r>
            <w:r>
              <w:rPr>
                <w:rStyle w:val="35"/>
                <w:lang w:val="en-US" w:eastAsia="zh-CN" w:bidi="ar"/>
              </w:rPr>
              <w:t>”“</w:t>
            </w:r>
            <w:r>
              <w:rPr>
                <w:rStyle w:val="36"/>
                <w:lang w:val="en-US" w:eastAsia="zh-CN" w:bidi="ar"/>
              </w:rPr>
              <w:t>双减</w:t>
            </w:r>
            <w:r>
              <w:rPr>
                <w:rStyle w:val="35"/>
                <w:lang w:val="en-US" w:eastAsia="zh-CN" w:bidi="ar"/>
              </w:rPr>
              <w:t>”</w:t>
            </w:r>
            <w:r>
              <w:rPr>
                <w:rStyle w:val="36"/>
                <w:lang w:val="en-US" w:eastAsia="zh-CN" w:bidi="ar"/>
              </w:rPr>
              <w:t>工作，指导教育综合改革，依法治教；指导全市中职学校职业教育工作，推进职业院校招生宣传、项目建设等；开展局机关、市直属学校（单位） 内部审计、内部控制管理工作；指导开展创建示范校、规范机关各项管理等；持续做好学校布局调整、教育事业统计分析。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100.27</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100.27</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100.27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100.27</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100.27</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100.27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完成撤并学校所数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所</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服务各级各类学校所数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所</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民办学生与公办学生占比</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民办教育在校生规模完成省定目标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对教育教学质量、语言文字水平、教育事业统计分析的准确率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各项目工作完成时限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2023年底前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2023年底前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项目工作及时完成率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义务教育阶段学生作业负担和校外培训负担</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减轻</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减轻</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各级各类学校发展</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r>
              <w:rPr>
                <w:rStyle w:val="36"/>
                <w:lang w:val="en-US" w:eastAsia="zh-CN" w:bidi="ar"/>
              </w:rPr>
              <w:t>双减</w:t>
            </w:r>
            <w:r>
              <w:rPr>
                <w:rStyle w:val="35"/>
                <w:lang w:val="en-US" w:eastAsia="zh-CN" w:bidi="ar"/>
              </w:rPr>
              <w:t>”</w:t>
            </w:r>
            <w:r>
              <w:rPr>
                <w:rStyle w:val="36"/>
                <w:lang w:val="en-US" w:eastAsia="zh-CN" w:bidi="ar"/>
              </w:rPr>
              <w:t>措施落实程度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生态效益指标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学校布局调整合理程度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各类教育内涵建设</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持续提升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持续提升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师生满意度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社会公众满意度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落实了落实民办义务教育规模调控和义务教育</w:t>
            </w:r>
            <w:r>
              <w:rPr>
                <w:rStyle w:val="37"/>
                <w:lang w:val="en-US" w:eastAsia="zh-CN" w:bidi="ar"/>
              </w:rPr>
              <w:t>“</w:t>
            </w:r>
            <w:r>
              <w:rPr>
                <w:rStyle w:val="36"/>
                <w:lang w:val="en-US" w:eastAsia="zh-CN" w:bidi="ar"/>
              </w:rPr>
              <w:t>双规范</w:t>
            </w:r>
            <w:r>
              <w:rPr>
                <w:rStyle w:val="37"/>
                <w:lang w:val="en-US" w:eastAsia="zh-CN" w:bidi="ar"/>
              </w:rPr>
              <w:t>”“</w:t>
            </w:r>
            <w:r>
              <w:rPr>
                <w:rStyle w:val="36"/>
                <w:lang w:val="en-US" w:eastAsia="zh-CN" w:bidi="ar"/>
              </w:rPr>
              <w:t>双减</w:t>
            </w:r>
            <w:r>
              <w:rPr>
                <w:rStyle w:val="37"/>
                <w:lang w:val="en-US" w:eastAsia="zh-CN" w:bidi="ar"/>
              </w:rPr>
              <w:t>”</w:t>
            </w:r>
            <w:r>
              <w:rPr>
                <w:rStyle w:val="36"/>
                <w:lang w:val="en-US" w:eastAsia="zh-CN" w:bidi="ar"/>
              </w:rPr>
              <w:t>工作，完成了全市中职学校职业教育工作，推进职业院校招生宣传、项目建设；开展了局机关、市直属学校（单位） 内部审计、内部控制管理、学校布局调整、教育事业统计分析等工作，切实保障局机关工作正常运行。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加强资金预算编制，规范资金使用，提升资金使用效率。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51080022T000007052800-三江职教园前期工作和教育项目现场会经费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通过召开项目现场会，达到有效竞争 ，促进项目建设推进</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召开了项目现场会1次，调研参观相关学校建设情况，进行项目管理、资金投向政策等专题培训，促进了园区项目推进。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7月12日召开了项目现场会，县区和市直属学校项目相关负责人参会进行了培训，增加了项目负责人对项目管理的专业性，对资金争取掌握了投向和方法。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0.11</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0.11</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0.11</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0.11</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0.11</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0.11</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项目现场会召开次数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现场会召开成功率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项目建设进度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有效促进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有效促进</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参会人员满意度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1053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1053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本项目执行较好，完成了预期的效果，培训人员满意度高，对项目管理、资金争取进行了学习，能够好的完成学校项目工作，但是现在学校和县区项目人员流动性较大，故有必要常态化开展现场会，对项目人员进行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学校和县区项目人员流动性较大，故有必要常态化开展现场会，对项目人员进行培训。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常态化开展项目人员培训。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51080022T000007301906-市级产业招商工作经费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切实推进教育产业招商工作，顺利完成相关任务。</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邀请了2个企业进行了两次招商，拉动了企业投资，宣传了广元的投资环境，给被招商企业留下了良好的印象，取得了良好的效果。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在成都广元宾馆分别邀请信创投资管理有限公司和四川博思汇教育管理有限公司磋商三江职教园入园项目建设投资等事宜。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0.07</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临时性增加了年初计划外的招商工作，故年中追加预算，保障招商工作的有效推进。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0.07</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季度完成招商次数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招商工作保障率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本年度内</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本年度内</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教育招商工作</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进一步促进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进一步促进</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招商客户满意度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658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658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项目资金全额支付，绩效指标100%发挥，是优质的项目。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暂不存在问题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项目发挥较好，暂不存在改进。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51080023T000008292404-人事档案数字化建设经费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自2019年完成全局2420卷（包括所有直属学校、直属事业单位）管理的干部人事档案数字化以来，已新增未数字化档案450本，未扫描零散材料51000份，为进一步规范档案管理，提高档案使用效率，现需对新的档案材料进行数字化处理。</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2023年度完成干部人事档案数字化755卷加工，零散材料数字化92717页加工，规范了档案管理水平，提升了档案使用的便捷性、安全性和有效性。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通过竞争性磋商确定山东旗帜信息有限公司为我局提供人事档案数字化服务，录入数字档案管理软件的基本信息，对新增人事档案进行整理、采集、录入、加工、扫描与高清处理，已数字化档案后新增的零散材料进行数字化信息采集与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17.24%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5"/>
                <w:szCs w:val="15"/>
                <w:u w:val="none"/>
                <w:lang w:val="en-US" w:eastAsia="zh-CN" w:bidi="ar"/>
              </w:rPr>
              <w:t>年初预算5万元，按计划开展人事档案数字化加工工作，预算执行完成100%，年内调整预算增加24万元，年末下达预算指标，实际次年1月下达资金，现已按照合同约定完成支付。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29.00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17.24%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直属学校、事业单位人事档案标准化存档率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档案查缺、档案整理、扫描、高清处理、复核；按中组部统一标准</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227</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本</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755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干部人事档案符合中组部档案管理合格率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人事档案数字化完成时限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2023年底</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2023年底</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人事档案存档及时率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人事档案管理水平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提升了人事档案整体管理水平</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人事档案数字化标准程度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达到了中组部统一标准</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教职工满意度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每本档案数字化成本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全局3175卷（包括所有直属学校、直属事业单位）管理的干部人事档案数字化，本次新增数字化档案755卷，扫描零散材料92717份，进一步提升档案管理水平，提高档案使用效率，增强了档案使用的便捷性、安全性和有效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调整预算资金下达缓慢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建议加大教育人事档案管理财政专项投入，进一步提升干部人事档案科学化、规范化管理水平。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41"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51080023T000008444740-普通高中学业水平考试费用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组织完成2023年度高中学业水平考试（高二、高三），让学生顺利完成普通高中毕业会考。</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顺利完成目标任务，毕业学生达96%。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依据四川省普通高中学业水平考试实施办法，全面落实普通高中新课程方案，建立普通高中教育教学质量监控和评价体系，提高普通高中教育教学质量，全面推进素质教育。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24.43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97.74%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压缩经费。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24.43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97.74%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覆盖学生数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13000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15800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开考次数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覆盖学校数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所</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开考科目数量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科</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参考人员合格率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覆盖学校比例</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年度任务完成情况</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2023年内</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考试费用结余</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0.57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高中学生顺利毕业人数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12350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15800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家长满意度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师生满意度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严格按照四川省发展和改革委员会四川省财政厅关于重新发布全省教育系统考试考务行政事业性收费的通知（川发改价格规〔2022〕484号）文件要求规范资金管理，严格执行落实资金预算计划。参与学校覆盖数量24所，覆盖率100%；开考次数达4次，设计5各学科，参加人数约1.4万人；项目资金使用规范，完成既定目标，普通高中学生毕业率达96%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部分普通高中学校对考试经费上缴不及时，导致资金支付进度缓慢。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根据国家普通高等学校考试招生综合改革要求，四川印发《四川省普通高中学业水平考试实施办法》（川教〔2022〕55号），普通高中学业水平考试工作由市州考试院负责，建议及时完成资金结算。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51080023T000008456977-教育督导保障经费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sz w:val="18"/>
                <w:szCs w:val="18"/>
                <w:u w:val="none"/>
                <w:lang w:val="en-US" w:eastAsia="zh-CN"/>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sz w:val="18"/>
                <w:szCs w:val="18"/>
                <w:u w:val="none"/>
                <w:lang w:val="en-US" w:eastAsia="zh-CN"/>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sz w:val="18"/>
                <w:szCs w:val="18"/>
                <w:u w:val="none"/>
                <w:lang w:val="en-US" w:eastAsia="zh-CN"/>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sz w:val="18"/>
                <w:szCs w:val="18"/>
                <w:u w:val="none"/>
                <w:lang w:val="en-US" w:eastAsia="zh-CN"/>
              </w:rPr>
              <w:t>1.开展政府履行教育职责评价工作。2.完成国家、省安排的专项督导工作。3.开展对学校重点工作督导。4.完成省义务教育质量监测。</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sz w:val="18"/>
                <w:szCs w:val="18"/>
                <w:u w:val="none"/>
                <w:lang w:val="en-US" w:eastAsia="zh-CN"/>
              </w:rPr>
              <w:t>顺利完成第二轮对县区人民政府履行教育职责实地评价工作；完成上级安排的“双减”、食品安全、校园安全等督导任务；指导朝天区、旺苍县完成2023年国家、省级义务教育质量监测工作。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1.开展第二轮对县区人民政府履行教育职责实地评价工作。对苍溪县、青川县实地督查评估，形成并正式反馈苍溪县、青川县人民政府2023年履行教育职责实地督查的意见；2.完成国家、省安排的</w:t>
            </w:r>
            <w:r>
              <w:rPr>
                <w:rStyle w:val="35"/>
                <w:lang w:val="en-US" w:eastAsia="zh-CN" w:bidi="ar"/>
              </w:rPr>
              <w:t>“</w:t>
            </w:r>
            <w:r>
              <w:rPr>
                <w:rStyle w:val="36"/>
                <w:lang w:val="en-US" w:eastAsia="zh-CN" w:bidi="ar"/>
              </w:rPr>
              <w:t>双减</w:t>
            </w:r>
            <w:r>
              <w:rPr>
                <w:rStyle w:val="35"/>
                <w:lang w:val="en-US" w:eastAsia="zh-CN" w:bidi="ar"/>
              </w:rPr>
              <w:t>”</w:t>
            </w:r>
            <w:r>
              <w:rPr>
                <w:rStyle w:val="36"/>
                <w:lang w:val="en-US" w:eastAsia="zh-CN" w:bidi="ar"/>
              </w:rPr>
              <w:t>、中小学校课间十分钟、食堂食品安全及校园安全工作等专项督导；3.组织责任督学常态化开展对学校重点工作督导，开展经常性督导3973次，专项督导691次，形成督导报告 2149份，撰写督导记录2160份，听课记录3404份；4.指导朝天区、旺苍县顺利完成2023年国家、省级义务教育质量监测工作。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上半年双减、疫情防控、纪律作风整顿、高中教育高质量发展、学前教育等重点工作专项督导</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对县区政府履行教育职责实地督查</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教育督导质量率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督导任务完成时限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2023年底前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各级各类学校办学行为</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进一步规范</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政府履行教育职责能力</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社会群众满意度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师生满意度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高效完成本项目四项工作目标，自评得分100分。开展对苍溪、青川县人民政府履行教育职责工作实地评价，有效督促县区人民政府贯彻落实党中央教育政策方针，加大对教育的关心、支持力度；常态化开展对学校督导，有力指导督促学校规范办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国家撤销国务院教育督导委员会，国家、省停止对省、市人民政府履行教育职责评价，部分督导任务暂停。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加强督导工作人员理论学习培训，根据国家、省要求开展专项督导。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51080023T000008457180-中职教育专项经费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通过开展职业教育系列工作、活动，达到中职教育宣传力提升，职业教育影响力及教学质量提升。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成功开展职业教育各项工作和活动，中职教育宣传力、职业教育影响力及教学质量得到提升。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积极开展产教对接会、</w:t>
            </w:r>
            <w:r>
              <w:rPr>
                <w:rStyle w:val="35"/>
                <w:lang w:val="en-US" w:eastAsia="zh-CN" w:bidi="ar"/>
              </w:rPr>
              <w:t>“</w:t>
            </w:r>
            <w:r>
              <w:rPr>
                <w:rStyle w:val="36"/>
                <w:lang w:val="en-US" w:eastAsia="zh-CN" w:bidi="ar"/>
              </w:rPr>
              <w:t>说产业</w:t>
            </w:r>
            <w:r>
              <w:rPr>
                <w:rStyle w:val="35"/>
                <w:lang w:val="en-US" w:eastAsia="zh-CN" w:bidi="ar"/>
              </w:rPr>
              <w:t>·</w:t>
            </w:r>
            <w:r>
              <w:rPr>
                <w:rStyle w:val="36"/>
                <w:lang w:val="en-US" w:eastAsia="zh-CN" w:bidi="ar"/>
              </w:rPr>
              <w:t>说专业</w:t>
            </w:r>
            <w:r>
              <w:rPr>
                <w:rStyle w:val="35"/>
                <w:lang w:val="en-US" w:eastAsia="zh-CN" w:bidi="ar"/>
              </w:rPr>
              <w:t>·</w:t>
            </w:r>
            <w:r>
              <w:rPr>
                <w:rStyle w:val="36"/>
                <w:lang w:val="en-US" w:eastAsia="zh-CN" w:bidi="ar"/>
              </w:rPr>
              <w:t xml:space="preserve"> 说课程</w:t>
            </w:r>
            <w:r>
              <w:rPr>
                <w:rStyle w:val="35"/>
                <w:lang w:val="en-US" w:eastAsia="zh-CN" w:bidi="ar"/>
              </w:rPr>
              <w:t>·</w:t>
            </w:r>
            <w:r>
              <w:rPr>
                <w:rStyle w:val="36"/>
                <w:lang w:val="en-US" w:eastAsia="zh-CN" w:bidi="ar"/>
              </w:rPr>
              <w:t>说教材</w:t>
            </w:r>
            <w:r>
              <w:rPr>
                <w:rStyle w:val="35"/>
                <w:lang w:val="en-US" w:eastAsia="zh-CN" w:bidi="ar"/>
              </w:rPr>
              <w:t>”</w:t>
            </w:r>
            <w:r>
              <w:rPr>
                <w:rStyle w:val="36"/>
                <w:lang w:val="en-US" w:eastAsia="zh-CN" w:bidi="ar"/>
              </w:rPr>
              <w:t>活动、中职达标工程、</w:t>
            </w:r>
            <w:r>
              <w:rPr>
                <w:rStyle w:val="35"/>
                <w:lang w:val="en-US" w:eastAsia="zh-CN" w:bidi="ar"/>
              </w:rPr>
              <w:t>“</w:t>
            </w:r>
            <w:r>
              <w:rPr>
                <w:rStyle w:val="36"/>
                <w:lang w:val="en-US" w:eastAsia="zh-CN" w:bidi="ar"/>
              </w:rPr>
              <w:t>三名工程</w:t>
            </w:r>
            <w:r>
              <w:rPr>
                <w:rStyle w:val="35"/>
                <w:lang w:val="en-US" w:eastAsia="zh-CN" w:bidi="ar"/>
              </w:rPr>
              <w:t>”</w:t>
            </w:r>
            <w:r>
              <w:rPr>
                <w:rStyle w:val="36"/>
                <w:lang w:val="en-US" w:eastAsia="zh-CN" w:bidi="ar"/>
              </w:rPr>
              <w:t>项目建设、招生宣传、专业建设、创新创业、全民终身学习活动周活动等工作。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0.95</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0.95</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0.95</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0.95</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职业教育工作覆盖面</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中职教育工作、活动开展率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职业教育影响力</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职业教育宣传力度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教职工满意度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9505.5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专项经费使用效益为优。中职教育各项活动、工作顺利开展，职业教育影响力提升；中职招生宣传工作成效显著，中职招生工作平稳、有序、顺利实施。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进一步加强相关工作人员学习，确保资金安全高效规范使用。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51080023T000008457252-教师节会议、慰问、宣传等工作经费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开展庆祝教师节系列活动，集中展现广大教师爱党爱国、立德树人、自信自强的精神风貌，团结凝聚广大教师以习近平新时代中国特色社会主义思想铸魂育人，担负为党育人、为国育才使命，推动实施教育提质工程，奋力建设四川知名教育高地，努力营造全社会尊师重教的良好风。</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为努力营造全社会尊师重教良好风尚，市教育局组织开展庆祝活动8项。　一是召开教育发展大会；二是开展教师慰问活动；三是开展为教师亮灯活动；四是举办校长论坛活动；五是开展</w:t>
            </w:r>
            <w:r>
              <w:rPr>
                <w:rStyle w:val="38"/>
                <w:lang w:val="en-US" w:eastAsia="zh-CN" w:bidi="ar"/>
              </w:rPr>
              <w:t>“</w:t>
            </w:r>
            <w:r>
              <w:rPr>
                <w:rStyle w:val="36"/>
                <w:lang w:val="en-US" w:eastAsia="zh-CN" w:bidi="ar"/>
              </w:rPr>
              <w:t>万人践诺</w:t>
            </w:r>
            <w:r>
              <w:rPr>
                <w:rStyle w:val="38"/>
                <w:lang w:val="en-US" w:eastAsia="zh-CN" w:bidi="ar"/>
              </w:rPr>
              <w:t>”</w:t>
            </w:r>
            <w:r>
              <w:rPr>
                <w:rStyle w:val="36"/>
                <w:lang w:val="en-US" w:eastAsia="zh-CN" w:bidi="ar"/>
              </w:rPr>
              <w:t>活动；六是开展先进典型表扬活动；七是开展光荣退休致敬活动；八是开展书画作品展览活动。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为努力营造全社会尊师重教良好风尚，市教育局在教师节前后组织开展庆祝活动8项。一是召开教育发展大会；二是开展教师慰问活动；三是开展为教师亮灯活动；四是举办校长论坛活动；五是开展</w:t>
            </w:r>
            <w:r>
              <w:rPr>
                <w:rStyle w:val="35"/>
                <w:lang w:val="en-US" w:eastAsia="zh-CN" w:bidi="ar"/>
              </w:rPr>
              <w:t>“</w:t>
            </w:r>
            <w:r>
              <w:rPr>
                <w:rStyle w:val="36"/>
                <w:lang w:val="en-US" w:eastAsia="zh-CN" w:bidi="ar"/>
              </w:rPr>
              <w:t>万人践诺</w:t>
            </w:r>
            <w:r>
              <w:rPr>
                <w:rStyle w:val="35"/>
                <w:lang w:val="en-US" w:eastAsia="zh-CN" w:bidi="ar"/>
              </w:rPr>
              <w:t>”</w:t>
            </w:r>
            <w:r>
              <w:rPr>
                <w:rStyle w:val="36"/>
                <w:lang w:val="en-US" w:eastAsia="zh-CN" w:bidi="ar"/>
              </w:rPr>
              <w:t>活动；六是开展先进典型表扬活动；七是开展光荣退休致敬活动；八是开展书画作品展览活动。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遴选广元名师人数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80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因教师节庆祝活动调整，遴选广元名师变更为开展校长论坛活动。13名省市级名校长、17名新任校长（书记）围绕</w:t>
            </w:r>
            <w:r>
              <w:rPr>
                <w:rStyle w:val="37"/>
                <w:lang w:val="en-US" w:eastAsia="zh-CN" w:bidi="ar"/>
              </w:rPr>
              <w:t>“</w:t>
            </w:r>
            <w:r>
              <w:rPr>
                <w:rStyle w:val="36"/>
                <w:lang w:val="en-US" w:eastAsia="zh-CN" w:bidi="ar"/>
              </w:rPr>
              <w:t>优化学校治理体系，提升学校治理能力，促进教育高质量发展，全力以赴办好人民满意的教育，不断增强广元教育在川陕甘结合部的影响力、竞争力</w:t>
            </w:r>
            <w:r>
              <w:rPr>
                <w:rStyle w:val="37"/>
                <w:lang w:val="en-US" w:eastAsia="zh-CN" w:bidi="ar"/>
              </w:rPr>
              <w:t>”</w:t>
            </w:r>
            <w:r>
              <w:rPr>
                <w:rStyle w:val="36"/>
                <w:lang w:val="en-US" w:eastAsia="zh-CN" w:bidi="ar"/>
              </w:rPr>
              <w:t>主题，撰写论文、发表演讲。成都师范学院教育与心理学院院长、四川省教育学会教育专业委员会理事长唐安奎教授举办</w:t>
            </w:r>
            <w:r>
              <w:rPr>
                <w:rStyle w:val="37"/>
                <w:lang w:val="en-US" w:eastAsia="zh-CN" w:bidi="ar"/>
              </w:rPr>
              <w:t>“</w:t>
            </w:r>
            <w:r>
              <w:rPr>
                <w:rStyle w:val="36"/>
                <w:lang w:val="en-US" w:eastAsia="zh-CN" w:bidi="ar"/>
              </w:rPr>
              <w:t>学校教育变革的行动框架</w:t>
            </w:r>
            <w:r>
              <w:rPr>
                <w:rStyle w:val="37"/>
                <w:lang w:val="en-US" w:eastAsia="zh-CN" w:bidi="ar"/>
              </w:rPr>
              <w:t>”</w:t>
            </w:r>
            <w:r>
              <w:rPr>
                <w:rStyle w:val="36"/>
                <w:lang w:val="en-US" w:eastAsia="zh-CN" w:bidi="ar"/>
              </w:rPr>
              <w:t>专题讲座。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制作高质量宣传视频，开展教师风采展示活动</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部</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慰问高层次人才、困难教师</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评选表扬先进典型教师</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270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发放</w:t>
            </w:r>
            <w:r>
              <w:rPr>
                <w:rStyle w:val="35"/>
                <w:lang w:val="en-US" w:eastAsia="zh-CN" w:bidi="ar"/>
              </w:rPr>
              <w:t>“</w:t>
            </w:r>
            <w:r>
              <w:rPr>
                <w:rStyle w:val="36"/>
                <w:lang w:val="en-US" w:eastAsia="zh-CN" w:bidi="ar"/>
              </w:rPr>
              <w:t>光荣从教30年</w:t>
            </w:r>
            <w:r>
              <w:rPr>
                <w:rStyle w:val="35"/>
                <w:lang w:val="en-US" w:eastAsia="zh-CN" w:bidi="ar"/>
              </w:rPr>
              <w:t>”</w:t>
            </w:r>
            <w:r>
              <w:rPr>
                <w:rStyle w:val="36"/>
                <w:lang w:val="en-US" w:eastAsia="zh-CN" w:bidi="ar"/>
              </w:rPr>
              <w:t>证书退休教师数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918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广元名师评选工作达标率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因教师节庆祝活动调整，遴选广元名师变更为开展校长论坛活动。13名省市级名校长、17名新任校长（书记）围绕</w:t>
            </w:r>
            <w:r>
              <w:rPr>
                <w:rStyle w:val="37"/>
                <w:lang w:val="en-US" w:eastAsia="zh-CN" w:bidi="ar"/>
              </w:rPr>
              <w:t>“</w:t>
            </w:r>
            <w:r>
              <w:rPr>
                <w:rStyle w:val="36"/>
                <w:lang w:val="en-US" w:eastAsia="zh-CN" w:bidi="ar"/>
              </w:rPr>
              <w:t>优化学校治理体系，提升学校治理能力，促进教育高质量发展，全力以赴办好人民满意的教育，不断增强广元教育在川陕甘结合部的影响力、竞争力</w:t>
            </w:r>
            <w:r>
              <w:rPr>
                <w:rStyle w:val="37"/>
                <w:lang w:val="en-US" w:eastAsia="zh-CN" w:bidi="ar"/>
              </w:rPr>
              <w:t>”</w:t>
            </w:r>
            <w:r>
              <w:rPr>
                <w:rStyle w:val="36"/>
                <w:lang w:val="en-US" w:eastAsia="zh-CN" w:bidi="ar"/>
              </w:rPr>
              <w:t>主题，撰写论文、发表演讲。成都师范学院教育与心理学院院长、四川省教育学会教育专业委员会理事长唐安奎教授举办</w:t>
            </w:r>
            <w:r>
              <w:rPr>
                <w:rStyle w:val="37"/>
                <w:lang w:val="en-US" w:eastAsia="zh-CN" w:bidi="ar"/>
              </w:rPr>
              <w:t>“</w:t>
            </w:r>
            <w:r>
              <w:rPr>
                <w:rStyle w:val="36"/>
                <w:lang w:val="en-US" w:eastAsia="zh-CN" w:bidi="ar"/>
              </w:rPr>
              <w:t>学校教育变革的行动框架</w:t>
            </w:r>
            <w:r>
              <w:rPr>
                <w:rStyle w:val="37"/>
                <w:lang w:val="en-US" w:eastAsia="zh-CN" w:bidi="ar"/>
              </w:rPr>
              <w:t>”</w:t>
            </w:r>
            <w:r>
              <w:rPr>
                <w:rStyle w:val="36"/>
                <w:lang w:val="en-US" w:eastAsia="zh-CN" w:bidi="ar"/>
              </w:rPr>
              <w:t>专题讲座。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全市遴选评选优秀教师、优秀班主任、优秀教育工作者、立德树人关爱学生好老师、最美乡村教师评选工作公平率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教师节先进典型评选、教师慰问、宣传视频拍摄制作等完成时限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9月底前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广元名师评选工作完成时限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12月底前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因教师节庆祝活动内容调整，将遴选广元名师变更为开展校长论坛。校长论坛活动于2024年9月12-13日开展。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树立先进典型，优秀教师充分发挥示范引领作用</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营造全社会尊师重教的良好风尚，引导教师安心从教、热心从教、静心从教的风气。</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弘扬尊师重教的社会正能量，加强教师的荣誉感、幸福感</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教职工满意度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评审会议资料控制成本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评审、会议资料、现场答辩、网络投票等费用</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先进网络投票评选成本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慰问发放控制成本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定制先进典型荣誉证书制作成本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展现了广大教师爱党爱国、立德树人、自信自强的精神风貌，团结凝聚广大教师担负为党育人、为国育才初心使命，进一步浓厚尊师重教社会氛围。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精心设计教师节庆祝活动，持续提升活动质效，营造尊师重教浓厚氛围。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51080023T000008457292-承接省下放高级教师评审工作、每年招考、招聘、遴选教师补助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通过职称评审推荐申报工作，教师招聘工作，进一步强化中小学正高级教师后备培养对象、高级教师的培养工作，优化教师队伍，储备优秀人才。</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 xml:space="preserve">2023年推评正高级教师16人，评审高级教师867人，市直属学校招聘教师236人，其中研究生150人，占比63.55%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是职称评审：2023年9月发布评审通知，启动职称评审工作。10月底-11月收集申报材料，组织人员进行复审。12月中下旬组织开展职称评审会议，通过答辩、评议、评审等环节对申报人员资历、业绩、成果等进行评议评审。二是教师招考：2022年11月开展高校招聘工作，2023年3月开展第十五批急需紧缺人才引进面试工作和后续高校招聘工作，5月开展公开考试面试工作，6月发布公开考核、考调教师公告，7月开展公开考核、考调面试工作，8-9月办理拟聘人员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0.19</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0.19</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0.19</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0.19</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0.19</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0.19</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教师工作覆盖率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教师招聘、职称评审工作完成质量率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教师队伍建设</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不断增强</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不断提高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教师满意度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1934.94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向省厅推荐评审正高级教师16人，组织召开广元市高级职称评审会，评审通过高级教师867人，圆满完成高级教师职称评审工作。2023年共招聘教师236人，其中研究生150人，从重点师范院校优秀毕业生中针对性引进急需紧缺学科教师60人。进一步优化教师队伍，储备优秀人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一是进一步规范职称评审流程，确保职称评审工作公平公正。二是进一步提高招聘质量，优中选优，进一步提升教师队伍质量。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51080023T000008538615-教育招商及重点项目建设推进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1.促进实现招商投资洽谈，力争实现签约落地项目；</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2.推进三江职教园入园项目规划建设；</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3.推进市重点建设项目和市本级教育建设项目；</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完成牵头洽谈招商项目9个，协助参与招商项目5个，指导剑阁县教育局签约并落地项目1个，市本级在谈项目1个。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2023年，开展项目招商20次，完成牵头洽谈招商项目9个，协助参与招商项目5个，指导剑阁县教育局签约并落地项目1个，市本级在谈项目1个，与成都华西教育产业集团公司进一步对接投资广元职业技术学院项目。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全市教育系统建设项目竣工项目个数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全市教育系统储备项目个数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三江职教园入园招商项目签约数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重点建设项目开工项目个数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《三江职教园策划方案》规划入园职业院校</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所</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全市教育系统增加学位个数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三江职教园规划建设加快推进率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市直属学校办学条件改善率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项目投资时序任务完成率（固投）</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争取上级资金（固投）</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亿元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预计年内完成项目投资</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亿元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三江职教园知名度和入院项目建设进度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生态效益指标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校园基础设施</w:t>
            </w:r>
            <w:r>
              <w:rPr>
                <w:rStyle w:val="35"/>
                <w:lang w:val="en-US" w:eastAsia="zh-CN" w:bidi="ar"/>
              </w:rPr>
              <w:t>“</w:t>
            </w:r>
            <w:r>
              <w:rPr>
                <w:rStyle w:val="36"/>
                <w:lang w:val="en-US" w:eastAsia="zh-CN" w:bidi="ar"/>
              </w:rPr>
              <w:t>海绵化改造</w:t>
            </w:r>
            <w:r>
              <w:rPr>
                <w:rStyle w:val="35"/>
                <w:lang w:val="en-US" w:eastAsia="zh-CN" w:bidi="ar"/>
              </w:rPr>
              <w:t>”</w:t>
            </w:r>
            <w:r>
              <w:rPr>
                <w:rStyle w:val="36"/>
                <w:lang w:val="en-US" w:eastAsia="zh-CN" w:bidi="ar"/>
              </w:rPr>
              <w:t>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园区建设规模</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逐步提升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师生满意度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项目实施情况正常，按要求发挥了项目绩效，资金使用服务项目内容，达到使用目标。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51080023T000008538984-承接省下放高级教师评审工作经费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做好中小学正高级教师后备培养对象、高级教师的培养工作，继续做好高级教师职称评审工作和正高级教师推荐申报工作。</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2023年，推评正高级教师16人，评审高级教师867人，圆满完成高级教师职称评审工作。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2023年9月发布评审通知，启动职称评审工作。10月底-11月收集申报材料，组织人员进行复审。12月中下旬组织开展职称评审会议，通过答辩、评议、评审等环节对申报人员资历、业绩、成果等进行评议评审。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承接省下放高级教师评审工作次数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职称评审工作质量率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职称评审工作公平率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职称评审工作完成时限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2023年底前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职称评审后教师工作积极性、专业地位</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学校教师队伍的综合素质和专业化水平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职称评审后教师工资待遇、幸福指数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教职工满意度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教师职称评审工作控制成本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此项目自评分为100分。2023年，向省上推荐评审正高级教师16人，组织召开广元市高级职称评审会，评审通过高级教师867人，圆满完成高级教师职称评审工作。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加强绩效反馈与持续改进机制，根据实际情况调整优化评审工作流程和经费使用方案。不断提升评审工作的公正性、科学性和效率，促进高级教师队伍的健康发展。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51080023T000008539007-招考、招聘、遴选教师工作经费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完成2023年公开考调、考核笔试、面试工作；为教师队伍注入新的力量，提高教师队伍整体水平。</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2023年顺利完成公开考调、考核面试工作，其中公开考试24人、公开考调教师5人，公开考核教师43人。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2023年5月开展公开考试面试工作，6月发布公开考核、考调招聘公告，6月26日开展笔试工作，7月2日开展面试工作，8月拟聘人员公示，党组会审议，9月办理拟聘人员手续。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公开考调、考核笔试参考人数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169</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公开考试招聘教师面试工作参考人数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85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公开考调、考核招聘教师面试参考人数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136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公开考调、考核招聘教师面试次数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公开考调、考核招聘工作笔试次数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赴高校考核招聘研究生和公费师范生工作</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招考、招聘、遴选工作公平率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公开考试招聘工作完成时限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7月底前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公开考调、考核招聘工作完成时限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5月底前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学校教师队伍的综合素质和专业化水平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教师队伍专业化建设</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广元教育影响力</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教职工满意度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社会公众满意度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公开考调、考核招聘笔试工作费用</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公开考试招聘面试费用</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公开考调、考核招聘面试工作费用</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共计招聘教师236人，其中通过公开考试、考核、考调招聘教师72人，研究生学历150人，从重点师范院校优秀毕业生中针对性引进急需紧缺学科教师60人，保质保量完成教师招聘工作，进一步提高教师队伍质量，优化教师队伍力量，增强教师队伍综合素质和专业化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进一步规范招聘工作程序，严格落实相关政策规定，确保教师招聘工作公平公正，促进教师队伍高质量发展。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241"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51080023T000008557091-市本级两新组织党建工作经费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完成市本级两新组织党建工作经费发放</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两新组织党建工作经费主要是广元外国语学校、广元天立学校党组织活动经费定额补助，分别给党组织书记给予岗位补贴。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根据市委组织部、市财政局、市国家税务局、市地方税务局《关于进一步加强非公有制企业党建工作经费保障的通知》（广组通〔2015〕41号）精神，每年对</w:t>
            </w:r>
            <w:r>
              <w:rPr>
                <w:rStyle w:val="35"/>
                <w:lang w:val="en-US" w:eastAsia="zh-CN" w:bidi="ar"/>
              </w:rPr>
              <w:t>“</w:t>
            </w:r>
            <w:r>
              <w:rPr>
                <w:rStyle w:val="36"/>
                <w:lang w:val="en-US" w:eastAsia="zh-CN" w:bidi="ar"/>
              </w:rPr>
              <w:t>两新</w:t>
            </w:r>
            <w:r>
              <w:rPr>
                <w:rStyle w:val="35"/>
                <w:lang w:val="en-US" w:eastAsia="zh-CN" w:bidi="ar"/>
              </w:rPr>
              <w:t>”</w:t>
            </w:r>
            <w:r>
              <w:rPr>
                <w:rStyle w:val="36"/>
                <w:lang w:val="en-US" w:eastAsia="zh-CN" w:bidi="ar"/>
              </w:rPr>
              <w:t>组织党组织活动经费实行定额补助，按照党组织隶属关系，统筹纳入本级财政予以预算保障。2023年补助活动经费广外党委10000元，学校党委书记书记实行岗位补贴1200元；补助天立党支部活动经费3000元，补助党支部书记岗位补贴1200元。2023年已拨付到学校，并按照专项经费用于学校党组织主题党日活动开支和党组织书记岗位补贴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1.54</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1.54</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经费覆盖学校所数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所</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经费划拨及时率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党建工作成效</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师生满意度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党员干部满意度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单位党组织书记岗位补贴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元/个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单位党组织活动经费</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元/个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Style w:val="37"/>
                <w:lang w:val="en-US" w:eastAsia="zh-CN" w:bidi="ar"/>
              </w:rPr>
              <w:t>“</w:t>
            </w:r>
            <w:r>
              <w:rPr>
                <w:rStyle w:val="36"/>
                <w:lang w:val="en-US" w:eastAsia="zh-CN" w:bidi="ar"/>
              </w:rPr>
              <w:t>两新</w:t>
            </w:r>
            <w:r>
              <w:rPr>
                <w:rStyle w:val="37"/>
                <w:lang w:val="en-US" w:eastAsia="zh-CN" w:bidi="ar"/>
              </w:rPr>
              <w:t>”</w:t>
            </w:r>
            <w:r>
              <w:rPr>
                <w:rStyle w:val="36"/>
                <w:lang w:val="en-US" w:eastAsia="zh-CN" w:bidi="ar"/>
              </w:rPr>
              <w:t>组织党组织工作经费主要用于学校开展党的活动，两所学校主要开展了学校党员、党务工作者教育培训，春节、元旦和七一前后走访、慰问、补助生活困难党员和老党员，为支部订阅《四川党的建设》《党建研究》等报刊、资料和支部党员活动阵地维护等。书记岗位补助激发党组织书记工作热情，推动主动担当作为，资金效益显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一是通过集中培训、专题党课、交流研讨等形式，落实好</w:t>
            </w:r>
            <w:r>
              <w:rPr>
                <w:rStyle w:val="37"/>
                <w:lang w:val="en-US" w:eastAsia="zh-CN" w:bidi="ar"/>
              </w:rPr>
              <w:t>“</w:t>
            </w:r>
            <w:r>
              <w:rPr>
                <w:rStyle w:val="36"/>
                <w:lang w:val="en-US" w:eastAsia="zh-CN" w:bidi="ar"/>
              </w:rPr>
              <w:t>三会一课</w:t>
            </w:r>
            <w:r>
              <w:rPr>
                <w:rStyle w:val="37"/>
                <w:lang w:val="en-US" w:eastAsia="zh-CN" w:bidi="ar"/>
              </w:rPr>
              <w:t>”</w:t>
            </w:r>
            <w:r>
              <w:rPr>
                <w:rStyle w:val="36"/>
                <w:lang w:val="en-US" w:eastAsia="zh-CN" w:bidi="ar"/>
              </w:rPr>
              <w:t>、组织生活会、民主评议党员等组织生活制度，促进民办学校党组织和党员干部师生牢固树立</w:t>
            </w:r>
            <w:r>
              <w:rPr>
                <w:rStyle w:val="37"/>
                <w:lang w:val="en-US" w:eastAsia="zh-CN" w:bidi="ar"/>
              </w:rPr>
              <w:t>“</w:t>
            </w:r>
            <w:r>
              <w:rPr>
                <w:rStyle w:val="36"/>
                <w:lang w:val="en-US" w:eastAsia="zh-CN" w:bidi="ar"/>
              </w:rPr>
              <w:t>四个意识</w:t>
            </w:r>
            <w:r>
              <w:rPr>
                <w:rStyle w:val="37"/>
                <w:lang w:val="en-US" w:eastAsia="zh-CN" w:bidi="ar"/>
              </w:rPr>
              <w:t>”</w:t>
            </w:r>
            <w:r>
              <w:rPr>
                <w:rStyle w:val="36"/>
                <w:lang w:val="en-US" w:eastAsia="zh-CN" w:bidi="ar"/>
              </w:rPr>
              <w:t>，切实增强</w:t>
            </w:r>
            <w:r>
              <w:rPr>
                <w:rStyle w:val="37"/>
                <w:lang w:val="en-US" w:eastAsia="zh-CN" w:bidi="ar"/>
              </w:rPr>
              <w:t>“</w:t>
            </w:r>
            <w:r>
              <w:rPr>
                <w:rStyle w:val="36"/>
                <w:lang w:val="en-US" w:eastAsia="zh-CN" w:bidi="ar"/>
              </w:rPr>
              <w:t>四个自信</w:t>
            </w:r>
            <w:r>
              <w:rPr>
                <w:rStyle w:val="37"/>
                <w:lang w:val="en-US" w:eastAsia="zh-CN" w:bidi="ar"/>
              </w:rPr>
              <w:t>”</w:t>
            </w:r>
            <w:r>
              <w:rPr>
                <w:rStyle w:val="36"/>
                <w:lang w:val="en-US" w:eastAsia="zh-CN" w:bidi="ar"/>
              </w:rPr>
              <w:t>。二是提高学校党组织书记和党务干部岗位津贴标准，激励党务工作 者使命感、责任感。三是严格党建活动经费预算、执行计划，切实加强活动过程管理，发挥资金最大效益。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51080023T000008766124-科技拔尖人才2022年度岗位激励资金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根据文件标准，完成年度科技拔尖人才岗位激励金发放。</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根据文件标准，发放年度科技拔尖人才岗位激励金2.16万元，激发了科技人才的创新热情，推动科技进步和产业升级。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根据市委组织部《关于开展广元市第十届科技拔尖人才评选活动的通知》广组通〔2021〕60号精神，获评广元市第十届科技拔尖人才人员在管理期内每人每月发放岗位津贴500元。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2.16</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2.16</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2.16</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2.16</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发放人数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及时发放率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教育行业人才发展</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科技拔尖人才满意度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2.16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此项目自评分为100分。2023年，经人社局向我局核实，赵开新、谯勇、卢艳华等三人符合享受岗位激励资金条件。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将岗位激励资金的发放与个人的绩效成果紧密挂钩，设立明确的绩效指标和评价体系。通过定期评估科技拔尖人才的科研成果、技术创新、团队贡献等方面，确保激励资金能够真正激励其持续发挥引领作用。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51080023T000008804536-普通高中教育提升计划专项经费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通过高中出口成绩及基础教育质量考核结果，激发教育发展内生动力，切实加快推进全市普通高中优质发展、特色发展、创新发展，让广元孩子在家门口享有公平而有质量的教育。</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全市高考本科上线连续12年保持万人以上，</w:t>
            </w:r>
            <w:r>
              <w:rPr>
                <w:rStyle w:val="38"/>
                <w:lang w:val="en-US" w:eastAsia="zh-CN" w:bidi="ar"/>
              </w:rPr>
              <w:t>“</w:t>
            </w:r>
            <w:r>
              <w:rPr>
                <w:rStyle w:val="36"/>
                <w:lang w:val="en-US" w:eastAsia="zh-CN" w:bidi="ar"/>
              </w:rPr>
              <w:t>双一流</w:t>
            </w:r>
            <w:r>
              <w:rPr>
                <w:rStyle w:val="38"/>
                <w:lang w:val="en-US" w:eastAsia="zh-CN" w:bidi="ar"/>
              </w:rPr>
              <w:t>”</w:t>
            </w:r>
            <w:r>
              <w:rPr>
                <w:rStyle w:val="36"/>
                <w:lang w:val="en-US" w:eastAsia="zh-CN" w:bidi="ar"/>
              </w:rPr>
              <w:t>建设高校录取1164人。成功创建省级示范性普通高中2所，青川、昭化、朝天高中教育质量提升明显，一本和本科上线人数较去年均有增长。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对普通高中教育高质量发展突出成绩奖励、省级示范高中创建、拔尖创新人才培养、高中优质生源稳控、科学备考研究等关系普通高中优质、长远发展的关键环节和重要方面有突出贡献的全市普通高中优质教育学校、特色发展学校、特殊贡献学校，优秀学科组，先进个人，初中生源学校及各县区教育（教科）局进行激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600.00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600.00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严格按照预算经费，落实资金拨付。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600.00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600.00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奖补特优培养的初中学校数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所</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奖补全市普通高中学校校长</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奖补市直属高中学校教师</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奖补市直属学校高中优秀学科教研组</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参加竞赛活动指导组</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个</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奖补高中学校所数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所</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苍溪县、剑阁县、旺苍县中考前1000名留广率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青川县、昭化区、朝天区中考前 500名留广率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利州区中考前200名留广率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85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奖补经费及时发放率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高中教学质量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进一步提升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广元高中教育知名度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提高</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拔尖创新人才培养体系</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持续完善</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完善</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学校及教师满意度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名优校长（教师）来广领办学校聘请成本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省一级示范性普通高中学校创建奖补资金</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拔尖创新人才培养工作成绩显著的学校奖补资金</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151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省二级示范高中创建奖补资金</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全市初高中学校、教师、教研组、竞赛指导组奖补成本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353.8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高中教育发展专项资金的设立和使用，极大的激发了学校及教师的创业干事激情，激发了全市教育系统求突破、谋发展的内生动力。对推动新高考改革，打通素质教育促进学生多维多向成长、多元多途成长路径，提高教育教学实效有着重要推动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专项资金二次分配较晚，影响资金拨付。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强资金拨付的配合协调，加强信息沟通、确保按项目进度拨付资金，防止资金滞留，同时加强对项目单位加快项目推进的督查，确保在年度内完成预算支出。同时，加强对项目资金绩效评价上的配合协调，真正落实绩效评价的全覆盖，充分运用绩效评价的结果，约束、督促项目单位用好、管好每一笔项目资金，使资金尽可能发挥应有的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51080023T000008804663-职业教育提升计划专项经费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完成2022年度职业教育质量奖补剩余经费支付，促进职业教育优质发展、多元发展、特色发展、高质量发展。</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2022年度职业教育质量奖补剩余经费全部支付，产教融合、质量提升、内涵建设等方面成效明显。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根据《2022年广元市职业教育质量奖补资金使用方案》，合理分配剩余经费。印发《2023年广元市职业教育质量奖资金使用方案》，根据各职业院校工作成效，鼓励改革创新、创先争优，科学合理分配资金。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124.00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124.00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124.00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124.00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教育优质奖励学校数量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所</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职业教育提升内容数量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发放完成率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发放及时率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职业教育优质发展</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职业学校满意度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专项经费使用效益为优，全面提升职业教育办学质量，改善了学校办学条件，增强了职业教育影响力，提升了资金使用效益，强化职业教育服务地方积极发展的能力。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下一步工作中，进一步规范资金使用，提高资金使用效率，提升职业教育办学质量。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41"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51080023T000008949296-年度考核奖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严格执行工资相关政策，足额、及时发放工资，在职务职级变更时，及时办理工资变动业务，确保职工利益。严格执行年度考核奖发放相关政策。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认真梳理人员台账，建好退休人员、在职人员、晋升人员台账，并根据相应时间节点，及时执行相应级别工资。根据年度考核情况，严格按照相关文件要求执行年度考核奖。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33.60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33.60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33.60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33.60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33.60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33.60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在职人员发放覆盖率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足额保障率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全年度规范、及时发放工资，严格执行年度考核奖发放的相关政策。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财政加大预算投入。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51080023T000009258001-教师培训补助资金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卓越校长工作室以名师名校长为引领，通过培训和教研活动，以学科为纽带，以先进的教育思想为指导，发挥中小学名师、名校长的示范、引领、辐射作用，旨在培养优秀中青年教师和校长成长，促进其专业发展，坚持培养一批，带领一批，影响一批，充分发挥工作室的</w:t>
            </w:r>
            <w:r>
              <w:rPr>
                <w:rStyle w:val="35"/>
                <w:lang w:val="en-US" w:eastAsia="zh-CN" w:bidi="ar"/>
              </w:rPr>
              <w:t>“</w:t>
            </w:r>
            <w:r>
              <w:rPr>
                <w:rStyle w:val="36"/>
                <w:lang w:val="en-US" w:eastAsia="zh-CN" w:bidi="ar"/>
              </w:rPr>
              <w:t>网络</w:t>
            </w:r>
            <w:r>
              <w:rPr>
                <w:rStyle w:val="35"/>
                <w:lang w:val="en-US" w:eastAsia="zh-CN" w:bidi="ar"/>
              </w:rPr>
              <w:t>”</w:t>
            </w:r>
            <w:r>
              <w:rPr>
                <w:rStyle w:val="36"/>
                <w:lang w:val="en-US" w:eastAsia="zh-CN" w:bidi="ar"/>
              </w:rPr>
              <w:t>效应，建立起名师名校长与中青年教师和校长协作互动的人才培养新机制。</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举办培训或教研活动次数为10次，引领24名成员专业发展，辐射带动了其他兄弟骨干校园长、优秀校园长学校管理水平，充分发挥卓越校长工作室引领效应，加快优秀教育教学人才培养，学员满意度大于95%。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此项经费分配给陈大向、何雪松2人，每人2万元，按照《川教函〔2018〕423号省级中小学名师名校长工作室建设实施办法（试行）》和《四川省卓越校长（名师）工作室年度绩效考核细则》开支，主要用于成员培训培养相关费用、举办讲座、和书籍采购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94.70%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94.70%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举办培训或教研活动次数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培训成员的人次</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骨干校园长、优秀校园长学校管理水平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经过培训，骨干校园长、优秀校园长办学治校水平得到有效提升。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2023年内</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2023年内</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教学效果和教学影响</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扩大</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成员理论水平和育人能力有所提升。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发挥卓越校长引领效应，加快优秀教育教学人才培养</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发挥了工作室的</w:t>
            </w:r>
            <w:r>
              <w:rPr>
                <w:rStyle w:val="37"/>
                <w:lang w:val="en-US" w:eastAsia="zh-CN" w:bidi="ar"/>
              </w:rPr>
              <w:t>“</w:t>
            </w:r>
            <w:r>
              <w:rPr>
                <w:rStyle w:val="36"/>
                <w:lang w:val="en-US" w:eastAsia="zh-CN" w:bidi="ar"/>
              </w:rPr>
              <w:t>网络</w:t>
            </w:r>
            <w:r>
              <w:rPr>
                <w:rStyle w:val="37"/>
                <w:lang w:val="en-US" w:eastAsia="zh-CN" w:bidi="ar"/>
              </w:rPr>
              <w:t>”</w:t>
            </w:r>
            <w:r>
              <w:rPr>
                <w:rStyle w:val="36"/>
                <w:lang w:val="en-US" w:eastAsia="zh-CN" w:bidi="ar"/>
              </w:rPr>
              <w:t>效应，建立起与中青年教师和校长协作互动的人才培养新机制。</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学员满意度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经过全面评估，陈大向、何雪松卓越校长工作室项目绩效自评得分较高，项目实施情况良好，资金分配的精准度高，达到了预期目标，但在资金使用进度、培训效果持续性和项目成果物化方面仍有提升空间。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1.资金使用过程中，由于预算太少，有很多应该做的事无法落实，对成员的培养引领以及其他学校校长的帮扶心有余而力不足。</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2.资金主要用于进修学习和购置图书，用途还比较单一，在发挥最大效益上还有待提升。</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3.学校管理、工作室成员培训、工作室成果物化、创新案例推广等方面尚有不足。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1.加强资金使用的精准化和多元化管理，针对不同需求实施差异化资金配置方案。</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2.增加实践导向的培训引领，邀请工作室内其他学校校长分享经验，互相交流，提高成果物化、提高工作室工作表的实用性和针对性。</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3.建立工作室自己的优秀管理案例库，定期举办经验交流会，促进工作室学校间的相互学习和借鉴。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51080023T000009550833-市主城区学校学生心理健康测评及培训服务项目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基本</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对市直属学校（包括在广职业院校），利州区主城区学校学生开展心理健康测评和培训活动：一是筛查在校学生；二是对班主任和家长开展心理咨询培训。</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按照项目推进情况完成主城区在校学生7.23万人的心理健康评估筛查，参评学生满意度98%以上。完场了班主任、家长心理咨询培训各1次，家长、班主任满意度98%以上。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为掌握区域内学生心理健康状况，针对性开展心理健康教育工作，通过心理健康测评，对学生的整体心理健康水平情况进行多级划分，实现分级分类管理，后期可以有针对性地开展各类心理健康教育工作。依据测评结果能够协助辖区教育工作者全面准确掌握其工作范围内的师生心理健康状况的特点和发展趋势，为教育部门提供决策依据，为后期的心理健康教育工作分层提供依据和针对性的建议措施。确定代理机构后，积极与市财政局财评中心对接，完成项目财评工作，最终评定项目采购资金为70.85万元，7月27日在</w:t>
            </w:r>
            <w:r>
              <w:rPr>
                <w:rStyle w:val="35"/>
                <w:lang w:val="en-US" w:eastAsia="zh-CN" w:bidi="ar"/>
              </w:rPr>
              <w:t>“</w:t>
            </w:r>
            <w:r>
              <w:rPr>
                <w:rStyle w:val="36"/>
                <w:lang w:val="en-US" w:eastAsia="zh-CN" w:bidi="ar"/>
              </w:rPr>
              <w:t>四川政府采购网</w:t>
            </w:r>
            <w:r>
              <w:rPr>
                <w:rStyle w:val="35"/>
                <w:lang w:val="en-US" w:eastAsia="zh-CN" w:bidi="ar"/>
              </w:rPr>
              <w:t>”</w:t>
            </w:r>
            <w:r>
              <w:rPr>
                <w:rStyle w:val="36"/>
                <w:lang w:val="en-US" w:eastAsia="zh-CN" w:bidi="ar"/>
              </w:rPr>
              <w:t>进行意向性公示，8月2日发布招标公告，8月3日正式招标，8月15日发布中标结果公告，中标价格为69.3万元，9月9日签订政府采购合同。项目实施严格执行上级有关政策与法规，坚持公正公开，规范采买程序等原则，实施效果得到项目学校认可，无不良反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执行</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情况</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70.86</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69.30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97.79%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在项目执行过程中，经过跟供应商磋商，压缩经济成本。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63.37</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63.37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7.49</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5.93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79.12%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指标</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w:t>
            </w:r>
            <w:r>
              <w:rPr>
                <w:rFonts w:hint="eastAsia" w:ascii="SimSun-ExtB" w:hAnsi="SimSun-ExtB" w:eastAsia="SimSun-ExtB" w:cs="SimSun-ExtB"/>
                <w:i w:val="0"/>
                <w:iCs w:val="0"/>
                <w:color w:val="000000"/>
                <w:kern w:val="0"/>
                <w:sz w:val="18"/>
                <w:szCs w:val="18"/>
                <w:u w:val="none"/>
                <w:lang w:val="en-US" w:eastAsia="zh-CN" w:bidi="ar"/>
              </w:rPr>
              <w:br w:type="textWrapping"/>
            </w:r>
            <w:r>
              <w:rPr>
                <w:rFonts w:hint="eastAsia" w:ascii="SimSun-ExtB" w:hAnsi="SimSun-ExtB" w:eastAsia="SimSun-ExtB" w:cs="SimSun-ExtB"/>
                <w:i w:val="0"/>
                <w:iCs w:val="0"/>
                <w:color w:val="000000"/>
                <w:kern w:val="0"/>
                <w:sz w:val="18"/>
                <w:szCs w:val="18"/>
                <w:u w:val="none"/>
                <w:lang w:val="en-US" w:eastAsia="zh-CN" w:bidi="ar"/>
              </w:rPr>
              <w:t>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培训对象类别数量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类</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在校学生心理健康测评人数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72000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72300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心理健康测评质量率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心理健康测评和培训完成时限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日</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学生心理健康成长</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促进学生心理健康水平提升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班主任和家长心理健康咨询及辅导能力</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提升教职工、家长的家校共育能力</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测评结果运用年限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参加测评学生满意度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家长和班主任满意度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70.86455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69.3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项目自评总分为100，通过对学生开展心理健康筛查，对学生心理健康状况实现了分级管理，助力学生心理健康成长，为后期各级各校开展心理健康教育工作提供了针对性的指导意见。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暂无。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改进建议：在今后项目工作中，根据预算绩效评估的申报要求进行填报，梳理出清晰、量化、可衡量的项目绩效指标，提供客观的评价标准，以便于对项目绩效进行客观的讨论、监督和衡量。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51080024T000010059608-农村教育工作表现突出教师、校长和班主任表扬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为大力实施教育提质工程，不断增强农村教师荣誉感和责任感，激励广大农村教师扎根农村、服务农村教育改革和发展，聚力打造区域教育高质量发展新高地，全市将表扬一批农村教育工作表现突出的个人。</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9月6日市人民政府印发《关于表扬2023年农村教育工作表现突出的个人的决定》，表扬刘珊等100名农村教育工作表现突出的教师、李继华等20名农村教育工作表现突出的校长和罗冬等80名农村教育工作表现突出的班主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各学校民主推荐，县区教育主管部门评选，推荐人所在单位和县区公示，县区政府审核把关，市教育局研究，评选出刘珊等100名农村教育工作表现突出的教师、李继华等20名农村教育工作表现突出的校长和罗冬等80名农村教育工作表现突出的班主任。按照有关规定， 8月15日至21日在市教育局官网对拟表扬人员进行了公示，公示期无异议后提交市政府审议，最终决定表扬。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评选表扬农村教育工作表现突出的教师</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评选表扬农村教育工作表现突出的班主任</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80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80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评选表扬农村教育工作表现突出的校长</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教育工作表现突出的个人评选工作达标率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教育工作表现突出的个人评选工作公平率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教育工作表现突出的个人工作经费发放完成时限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年度内</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年度内</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教育工作表现突出的个人评选工作完成时限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23年9月10日前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45179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激励广大农村教师接续奋斗、砥砺前行，树立一批坚守乡村学校的新时代育人典范</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引领广大教师和教育工作者树立"躬耕教坛 、强国有我</w:t>
            </w:r>
            <w:r>
              <w:rPr>
                <w:rStyle w:val="35"/>
                <w:lang w:val="en-US" w:eastAsia="zh-CN" w:bidi="ar"/>
              </w:rPr>
              <w:t>”</w:t>
            </w:r>
            <w:r>
              <w:rPr>
                <w:rStyle w:val="36"/>
                <w:lang w:val="en-US" w:eastAsia="zh-CN" w:bidi="ar"/>
              </w:rPr>
              <w:t>的志向和抱负，全力以赴办好人民满意的教育，为打造区域教育高质量发展新高地，建设现代化广元作出新的更大贡献。</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教职工满意度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教育工作表现突出的个人工作经费</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40万元</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激励了广大农村教师接续奋斗、砥砺前行，树 立一批坚守乡村学校的新时代育人典范。引领广大教师和教育工作者树立"躬耕教坛 、强国有我</w:t>
            </w:r>
            <w:r>
              <w:rPr>
                <w:rStyle w:val="37"/>
                <w:lang w:val="en-US" w:eastAsia="zh-CN" w:bidi="ar"/>
              </w:rPr>
              <w:t>”</w:t>
            </w:r>
            <w:r>
              <w:rPr>
                <w:rStyle w:val="36"/>
                <w:lang w:val="en-US" w:eastAsia="zh-CN" w:bidi="ar"/>
              </w:rPr>
              <w:t>的志向和抱负，全力以赴办好人民满意的教育，为打造区域教育高质量发展新高地，建设现代化广元作出新的更大贡献。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noWrap/>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51080024T000010538941-市直属学校艺体教师技能达标测试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通过组织学校艺体教师技能达标测试活动，进一步提高艺体教师专业能力。</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开展直属学校艺体教师技能达标测试，进一步提高艺体教师专业技能和核心素养，促进艺体教师练就基本功，提升教育教学水平，激发创新创造活力，达到了预期目标。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根据《艺术课程标准》《体育与健康课程标准》确定测试内容，按照体育、美术、音乐学科分类别实施，采取</w:t>
            </w:r>
            <w:r>
              <w:rPr>
                <w:rStyle w:val="39"/>
                <w:lang w:val="en-US" w:eastAsia="zh-CN" w:bidi="ar"/>
              </w:rPr>
              <w:t>“</w:t>
            </w:r>
            <w:r>
              <w:rPr>
                <w:rStyle w:val="40"/>
                <w:lang w:val="en-US" w:eastAsia="zh-CN" w:bidi="ar"/>
              </w:rPr>
              <w:t>必测+选测</w:t>
            </w:r>
            <w:r>
              <w:rPr>
                <w:rStyle w:val="39"/>
                <w:lang w:val="en-US" w:eastAsia="zh-CN" w:bidi="ar"/>
              </w:rPr>
              <w:t>”</w:t>
            </w:r>
            <w:r>
              <w:rPr>
                <w:rStyle w:val="40"/>
                <w:lang w:val="en-US" w:eastAsia="zh-CN" w:bidi="ar"/>
              </w:rPr>
              <w:t>方式进行测试，体育教师主要测试队列队形、体能、技巧、球类运动项目，音乐教师主要测试自弹自唱、声乐、器乐、舞蹈项目，美术教师主要测试速写、手工制作、绘画项目，评分标准参照《国家学生体质健康标准》《中小学生艺术素质测评与管理实施方案》《四川省普通高校体育艺术类专业招生统一考试评分标准与办法》等制定，总分100分，其中，必测项目60分，选测项目40分，60分及60分以上为达标。实施过程中，督察审纪部门全程参与监督，确保测试公平公正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1.67</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1.67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1.67</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1.67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参加技能达标测试人数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9"/>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170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227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测试合格率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9"/>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80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工作完成时限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9"/>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月</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学校体育艺术影响力</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提高</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教职工满意度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9"/>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9"/>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1.67</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1.67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自评总分100分，通过直属学校艺体教师技能达标测试，促进艺体教师专业技能提升，提高艺体学科教学水平，增强学习意识，效果良好。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加强学校日常专业技能测试，提升体育教师技术动作要领，提高艺术教师专业素养，提高测试优良率。营造互促共进的学习氛围，提高艺体教师主观能动性，积极练习基本功，搭建交流展示平台，促进艺体教师虚心学习，提升技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51080024T000010575549-</w:t>
            </w:r>
            <w:r>
              <w:rPr>
                <w:rStyle w:val="35"/>
                <w:lang w:val="en-US" w:eastAsia="zh-CN" w:bidi="ar"/>
              </w:rPr>
              <w:t>“</w:t>
            </w:r>
            <w:r>
              <w:rPr>
                <w:rStyle w:val="36"/>
                <w:lang w:val="en-US" w:eastAsia="zh-CN" w:bidi="ar"/>
              </w:rPr>
              <w:t>蜀道英才</w:t>
            </w:r>
            <w:r>
              <w:rPr>
                <w:rStyle w:val="35"/>
                <w:lang w:val="en-US" w:eastAsia="zh-CN" w:bidi="ar"/>
              </w:rPr>
              <w:t>”</w:t>
            </w:r>
            <w:r>
              <w:rPr>
                <w:rStyle w:val="36"/>
                <w:lang w:val="en-US" w:eastAsia="zh-CN" w:bidi="ar"/>
              </w:rPr>
              <w:t>服务团工作经费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引导人才向乡村振兴一线服务和转化，以人才智力支撑不断增强乡村振兴内生动力和发展后劲。</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市教育局推荐专家组建名师服务团7个，通过上示范课、现场指导、开展专题调研等方式助推乡村教育高质量发展。服务团分工明确，运转高效，圆满完成年度目标任务。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市教育局推荐专家组建名师服务团7个，通过上示范课、现场指导、开展专题调研等方式助推乡村教育高质量发展。服务团分工明确，运转高效，圆满完成年度目标任务。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累计现场服务时间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天</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30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提供高质量调研报告或部门重大项目建设开展决策咨询</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现场指导或座谈交流</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年度行动计划，细化分解工作任务合格率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结对帮扶学校教师教育教学水平</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被帮扶老师满意度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7</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市教育局推荐专家组建名师服务团7个，通过上示范课、现场指导、开展专题调研等方式助推乡村教育高质量发展。服务团分工明确，运转高效，圆满完成年度目标任务。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持续加强</w:t>
            </w:r>
            <w:r>
              <w:rPr>
                <w:rStyle w:val="37"/>
                <w:lang w:val="en-US" w:eastAsia="zh-CN" w:bidi="ar"/>
              </w:rPr>
              <w:t>“</w:t>
            </w:r>
            <w:r>
              <w:rPr>
                <w:rStyle w:val="36"/>
                <w:lang w:val="en-US" w:eastAsia="zh-CN" w:bidi="ar"/>
              </w:rPr>
              <w:t>蜀道英才</w:t>
            </w:r>
            <w:r>
              <w:rPr>
                <w:rStyle w:val="37"/>
                <w:lang w:val="en-US" w:eastAsia="zh-CN" w:bidi="ar"/>
              </w:rPr>
              <w:t>”</w:t>
            </w:r>
            <w:r>
              <w:rPr>
                <w:rStyle w:val="36"/>
                <w:lang w:val="en-US" w:eastAsia="zh-CN" w:bidi="ar"/>
              </w:rPr>
              <w:t>名师服务团服务工作指导，持续提升服务工作实效。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51080024T000011195995-教育部挂职锻炼、考察学习先行区经验及教育质量评价工作经费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派1名工作人员到教育部挂职锻炼、学习先行区经验</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按照要求派1人挂职锻炼。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按照要求派1名工作人员到教育部挂职锻炼、学习先行区经验，为创建综合实验改革区奠定基础。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年末下达文件，次年年初才下达资金。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教育部挂职锻炼派出人数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1人</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挂职锻炼工作保障率。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实验区创建工作推进率。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按时推进</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按时推进实验区创建工作</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项目年度任务完成时限。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月</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12个月</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项目预算控制成本。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万元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20万元</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广元市基础教育综合改革实验区的知名度和影响力。</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持续提高</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持续提高广元市基础教育综合改革实验区的知名度和影响力</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挂职单位满意度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派出单位满意度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0.98</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选派工作人员上挂教育部门的最高行政机关，极大拓展个人眼界，极大丰富个人阅历，极大提升个人能力，进一步对教育事业的发展抱有强烈责任感，增强干事创业底气信心，在此过程中，有机会全过程了解基础教育政策起源到出台，近距离观察高效能工作模式，增强对未来教育发展的可预期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资金下达迟缓。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加强资金拨付进度。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62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94"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3"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590"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385"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187"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项目名称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51080024T000011209851-公务员和急需紧缺专业选调生补助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广元市教育局部门</w:t>
            </w:r>
          </w:p>
        </w:tc>
        <w:tc>
          <w:tcPr>
            <w:tcW w:w="38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广元市教育局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项目基本情况</w:t>
            </w: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通过发放公务员和急需专业选调生补助，达到人才稳定不外流，促进教育事业发展。</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2023年市教育局引进急需专业选调生2人，发放急需专业选调生补助9600元。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2.项目实施内容及过程概述</w:t>
            </w:r>
          </w:p>
        </w:tc>
        <w:tc>
          <w:tcPr>
            <w:tcW w:w="40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根据《广元市急需紧缺人才引进实施办法》文件要求，发放急需专业选调生租房补助9600元。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预算执行情况（10分）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年度预算数（万元）</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调整后预算数</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预算执行数</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总额</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其中：财政资金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0.96</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财政专户管理资金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单位资金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其他资金</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9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绩效指标（90分）</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度量单位</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权重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补助发放人数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足额保障率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及时发放率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人才到广工作吸引力</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增强</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人才引进工作效益</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持续加强</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满意度指标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补助人员满意度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项目控制成本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Style w:val="35"/>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9600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100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Sun-ExtB" w:hAnsi="SimSun-ExtB" w:eastAsia="SimSun-ExtB" w:cs="SimSun-ExtB"/>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2023年市教育局引进急需专业选调生2人，及时足额发放急需专业选调生补助9600元，有效帮助人才留广，提高人才到广工作吸引力。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及时发放补助，落实人才保障，进一步增加人才留广吸引力，促进人才干事活力。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项目负责人：</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imSun-ExtB" w:hAnsi="SimSun-ExtB" w:eastAsia="SimSun-ExtB" w:cs="SimSun-ExtB"/>
                <w:i w:val="0"/>
                <w:iCs w:val="0"/>
                <w:color w:val="000000"/>
                <w:sz w:val="18"/>
                <w:szCs w:val="18"/>
                <w:u w:val="none"/>
              </w:rPr>
            </w:pPr>
            <w:r>
              <w:rPr>
                <w:rFonts w:hint="eastAsia" w:ascii="SimSun-ExtB" w:hAnsi="SimSun-ExtB" w:eastAsia="SimSun-ExtB" w:cs="SimSun-ExtB"/>
                <w:i w:val="0"/>
                <w:iCs w:val="0"/>
                <w:color w:val="000000"/>
                <w:kern w:val="0"/>
                <w:sz w:val="18"/>
                <w:szCs w:val="18"/>
                <w:u w:val="none"/>
                <w:lang w:val="en-US" w:eastAsia="zh-CN" w:bidi="ar"/>
              </w:rPr>
              <w:t>财务负责人：</w:t>
            </w:r>
          </w:p>
        </w:tc>
      </w:tr>
    </w:tbl>
    <w:p>
      <w:pPr>
        <w:pStyle w:val="7"/>
        <w:pageBreakBefore w:val="0"/>
        <w:kinsoku/>
        <w:wordWrap/>
        <w:overflowPunct/>
        <w:topLinePunct w:val="0"/>
        <w:bidi w:val="0"/>
        <w:spacing w:before="93" w:line="560" w:lineRule="exact"/>
        <w:textAlignment w:val="auto"/>
        <w:rPr>
          <w:rFonts w:hAnsi="Calibri" w:cs="仿宋"/>
          <w:sz w:val="32"/>
          <w:szCs w:val="32"/>
        </w:rPr>
      </w:pPr>
    </w:p>
    <w:p>
      <w:pPr>
        <w:pStyle w:val="7"/>
        <w:pageBreakBefore w:val="0"/>
        <w:kinsoku/>
        <w:wordWrap/>
        <w:overflowPunct/>
        <w:topLinePunct w:val="0"/>
        <w:bidi w:val="0"/>
        <w:spacing w:before="93" w:line="560" w:lineRule="exact"/>
        <w:textAlignment w:val="auto"/>
        <w:rPr>
          <w:rFonts w:hAnsi="Calibri" w:cs="仿宋"/>
          <w:sz w:val="32"/>
          <w:szCs w:val="32"/>
        </w:rPr>
      </w:pPr>
    </w:p>
    <w:p>
      <w:pPr>
        <w:pStyle w:val="7"/>
        <w:pageBreakBefore w:val="0"/>
        <w:kinsoku/>
        <w:wordWrap/>
        <w:overflowPunct/>
        <w:topLinePunct w:val="0"/>
        <w:bidi w:val="0"/>
        <w:spacing w:before="93" w:line="560" w:lineRule="exact"/>
        <w:textAlignment w:val="auto"/>
        <w:rPr>
          <w:rFonts w:hAnsi="Calibri" w:cs="仿宋"/>
          <w:sz w:val="32"/>
          <w:szCs w:val="32"/>
        </w:rPr>
      </w:pPr>
    </w:p>
    <w:p>
      <w:pPr>
        <w:pStyle w:val="7"/>
        <w:pageBreakBefore w:val="0"/>
        <w:kinsoku/>
        <w:wordWrap/>
        <w:overflowPunct/>
        <w:topLinePunct w:val="0"/>
        <w:bidi w:val="0"/>
        <w:spacing w:before="93" w:line="560" w:lineRule="exact"/>
        <w:textAlignment w:val="auto"/>
        <w:rPr>
          <w:rFonts w:hAnsi="Calibri" w:cs="仿宋"/>
          <w:sz w:val="32"/>
          <w:szCs w:val="32"/>
        </w:rPr>
      </w:pPr>
    </w:p>
    <w:p>
      <w:pPr>
        <w:pStyle w:val="7"/>
        <w:pageBreakBefore w:val="0"/>
        <w:kinsoku/>
        <w:wordWrap/>
        <w:overflowPunct/>
        <w:topLinePunct w:val="0"/>
        <w:bidi w:val="0"/>
        <w:spacing w:before="93" w:line="560" w:lineRule="exact"/>
        <w:textAlignment w:val="auto"/>
        <w:rPr>
          <w:rFonts w:hAnsi="Calibri" w:cs="仿宋"/>
          <w:sz w:val="32"/>
          <w:szCs w:val="32"/>
        </w:rPr>
      </w:pPr>
    </w:p>
    <w:p>
      <w:pPr>
        <w:pStyle w:val="7"/>
        <w:pageBreakBefore w:val="0"/>
        <w:kinsoku/>
        <w:wordWrap/>
        <w:overflowPunct/>
        <w:topLinePunct w:val="0"/>
        <w:bidi w:val="0"/>
        <w:spacing w:before="93" w:line="560" w:lineRule="exact"/>
        <w:textAlignment w:val="auto"/>
        <w:rPr>
          <w:rFonts w:hAnsi="Calibri" w:cs="仿宋"/>
          <w:sz w:val="32"/>
          <w:szCs w:val="32"/>
        </w:rPr>
      </w:pPr>
    </w:p>
    <w:p>
      <w:pPr>
        <w:pStyle w:val="7"/>
        <w:pageBreakBefore w:val="0"/>
        <w:kinsoku/>
        <w:wordWrap/>
        <w:overflowPunct/>
        <w:topLinePunct w:val="0"/>
        <w:bidi w:val="0"/>
        <w:spacing w:before="93" w:line="560" w:lineRule="exact"/>
        <w:textAlignment w:val="auto"/>
        <w:rPr>
          <w:rFonts w:hAnsi="Calibri" w:cs="仿宋"/>
          <w:sz w:val="32"/>
          <w:szCs w:val="32"/>
        </w:rPr>
      </w:pPr>
    </w:p>
    <w:p>
      <w:pPr>
        <w:pStyle w:val="7"/>
        <w:pageBreakBefore w:val="0"/>
        <w:kinsoku/>
        <w:wordWrap/>
        <w:overflowPunct/>
        <w:topLinePunct w:val="0"/>
        <w:bidi w:val="0"/>
        <w:spacing w:before="93" w:line="560" w:lineRule="exact"/>
        <w:textAlignment w:val="auto"/>
        <w:rPr>
          <w:rFonts w:hAnsi="Calibri" w:cs="仿宋"/>
          <w:sz w:val="32"/>
          <w:szCs w:val="32"/>
        </w:rPr>
      </w:pPr>
    </w:p>
    <w:p>
      <w:pPr>
        <w:pStyle w:val="7"/>
        <w:pageBreakBefore w:val="0"/>
        <w:kinsoku/>
        <w:wordWrap/>
        <w:overflowPunct/>
        <w:topLinePunct w:val="0"/>
        <w:bidi w:val="0"/>
        <w:spacing w:before="93" w:line="560" w:lineRule="exact"/>
        <w:textAlignment w:val="auto"/>
        <w:rPr>
          <w:rFonts w:hAnsi="Calibri" w:cs="仿宋"/>
          <w:sz w:val="32"/>
          <w:szCs w:val="32"/>
        </w:rPr>
      </w:pPr>
    </w:p>
    <w:p>
      <w:pPr>
        <w:pageBreakBefore w:val="0"/>
        <w:kinsoku/>
        <w:wordWrap/>
        <w:overflowPunct/>
        <w:topLinePunct w:val="0"/>
        <w:bidi w:val="0"/>
        <w:spacing w:line="560" w:lineRule="exact"/>
        <w:jc w:val="center"/>
        <w:textAlignment w:val="auto"/>
        <w:outlineLvl w:val="0"/>
        <w:rPr>
          <w:rFonts w:ascii="仿宋" w:hAnsi="仿宋" w:eastAsia="仿宋"/>
        </w:rPr>
      </w:pPr>
      <w:bookmarkStart w:id="91" w:name="_Toc662"/>
      <w:bookmarkStart w:id="92" w:name="_Toc26017"/>
      <w:r>
        <w:rPr>
          <w:rFonts w:hint="eastAsia" w:ascii="黑体" w:hAnsi="黑体" w:eastAsia="黑体"/>
          <w:sz w:val="44"/>
          <w:szCs w:val="44"/>
        </w:rPr>
        <w:t>第</w:t>
      </w:r>
      <w:r>
        <w:rPr>
          <w:rStyle w:val="27"/>
          <w:rFonts w:hint="eastAsia" w:ascii="黑体" w:hAnsi="黑体" w:eastAsia="黑体"/>
          <w:b w:val="0"/>
        </w:rPr>
        <w:t>五部分 附表</w:t>
      </w:r>
      <w:bookmarkEnd w:id="86"/>
      <w:bookmarkEnd w:id="90"/>
      <w:bookmarkEnd w:id="91"/>
      <w:bookmarkEnd w:id="92"/>
      <w:bookmarkStart w:id="93" w:name="_Toc15396619"/>
    </w:p>
    <w:p>
      <w:pPr>
        <w:pStyle w:val="5"/>
        <w:pageBreakBefore w:val="0"/>
        <w:kinsoku/>
        <w:wordWrap/>
        <w:overflowPunct/>
        <w:topLinePunct w:val="0"/>
        <w:bidi w:val="0"/>
        <w:spacing w:line="560" w:lineRule="exact"/>
        <w:textAlignment w:val="auto"/>
        <w:rPr>
          <w:rFonts w:ascii="仿宋" w:hAnsi="仿宋" w:eastAsia="仿宋"/>
        </w:rPr>
      </w:pPr>
      <w:bookmarkStart w:id="94" w:name="_Toc1440"/>
      <w:bookmarkStart w:id="95" w:name="_Toc16598"/>
      <w:r>
        <w:rPr>
          <w:rFonts w:hint="eastAsia" w:ascii="仿宋" w:hAnsi="仿宋" w:eastAsia="仿宋"/>
          <w:b w:val="0"/>
        </w:rPr>
        <w:t>一、收</w:t>
      </w:r>
      <w:r>
        <w:rPr>
          <w:rStyle w:val="28"/>
          <w:rFonts w:hint="eastAsia" w:ascii="仿宋" w:hAnsi="仿宋" w:eastAsia="仿宋"/>
          <w:b w:val="0"/>
          <w:bCs w:val="0"/>
        </w:rPr>
        <w:t>入支出决算总表</w:t>
      </w:r>
      <w:bookmarkEnd w:id="93"/>
      <w:bookmarkEnd w:id="94"/>
      <w:bookmarkEnd w:id="95"/>
    </w:p>
    <w:p>
      <w:pPr>
        <w:pStyle w:val="5"/>
        <w:pageBreakBefore w:val="0"/>
        <w:kinsoku/>
        <w:wordWrap/>
        <w:overflowPunct/>
        <w:topLinePunct w:val="0"/>
        <w:bidi w:val="0"/>
        <w:spacing w:line="560" w:lineRule="exact"/>
        <w:textAlignment w:val="auto"/>
        <w:rPr>
          <w:rFonts w:ascii="仿宋" w:hAnsi="仿宋" w:eastAsia="仿宋"/>
        </w:rPr>
      </w:pPr>
      <w:bookmarkStart w:id="96" w:name="_Toc25919"/>
      <w:bookmarkStart w:id="97" w:name="_Toc32541"/>
      <w:bookmarkStart w:id="98" w:name="_Toc15396620"/>
      <w:r>
        <w:rPr>
          <w:rFonts w:hint="eastAsia" w:ascii="仿宋" w:hAnsi="仿宋" w:eastAsia="仿宋"/>
          <w:b w:val="0"/>
        </w:rPr>
        <w:t>二、收</w:t>
      </w:r>
      <w:r>
        <w:rPr>
          <w:rStyle w:val="28"/>
          <w:rFonts w:hint="eastAsia" w:ascii="仿宋" w:hAnsi="仿宋" w:eastAsia="仿宋"/>
          <w:b w:val="0"/>
          <w:bCs w:val="0"/>
        </w:rPr>
        <w:t>入决算表</w:t>
      </w:r>
      <w:bookmarkEnd w:id="96"/>
      <w:bookmarkEnd w:id="97"/>
      <w:bookmarkEnd w:id="98"/>
    </w:p>
    <w:p>
      <w:pPr>
        <w:pStyle w:val="5"/>
        <w:pageBreakBefore w:val="0"/>
        <w:kinsoku/>
        <w:wordWrap/>
        <w:overflowPunct/>
        <w:topLinePunct w:val="0"/>
        <w:bidi w:val="0"/>
        <w:spacing w:line="560" w:lineRule="exact"/>
        <w:textAlignment w:val="auto"/>
        <w:rPr>
          <w:rFonts w:ascii="仿宋" w:hAnsi="仿宋" w:eastAsia="仿宋"/>
        </w:rPr>
      </w:pPr>
      <w:bookmarkStart w:id="99" w:name="_Toc20965"/>
      <w:bookmarkStart w:id="100" w:name="_Toc1853"/>
      <w:bookmarkStart w:id="101" w:name="_Toc15396621"/>
      <w:r>
        <w:rPr>
          <w:rStyle w:val="28"/>
          <w:rFonts w:hint="eastAsia" w:ascii="仿宋" w:hAnsi="仿宋" w:eastAsia="仿宋"/>
          <w:b w:val="0"/>
          <w:bCs w:val="0"/>
        </w:rPr>
        <w:t>三、</w:t>
      </w:r>
      <w:r>
        <w:rPr>
          <w:rFonts w:hint="eastAsia" w:ascii="仿宋" w:hAnsi="仿宋" w:eastAsia="仿宋"/>
          <w:b w:val="0"/>
        </w:rPr>
        <w:t>支</w:t>
      </w:r>
      <w:r>
        <w:rPr>
          <w:rStyle w:val="28"/>
          <w:rFonts w:hint="eastAsia" w:ascii="仿宋" w:hAnsi="仿宋" w:eastAsia="仿宋"/>
          <w:b w:val="0"/>
          <w:bCs w:val="0"/>
        </w:rPr>
        <w:t>出决算表</w:t>
      </w:r>
      <w:bookmarkEnd w:id="99"/>
      <w:bookmarkEnd w:id="100"/>
      <w:bookmarkEnd w:id="101"/>
    </w:p>
    <w:p>
      <w:pPr>
        <w:pStyle w:val="5"/>
        <w:pageBreakBefore w:val="0"/>
        <w:kinsoku/>
        <w:wordWrap/>
        <w:overflowPunct/>
        <w:topLinePunct w:val="0"/>
        <w:bidi w:val="0"/>
        <w:spacing w:line="560" w:lineRule="exact"/>
        <w:textAlignment w:val="auto"/>
        <w:rPr>
          <w:rFonts w:ascii="仿宋" w:hAnsi="仿宋" w:eastAsia="仿宋"/>
          <w:b w:val="0"/>
        </w:rPr>
      </w:pPr>
      <w:bookmarkStart w:id="102" w:name="_Toc15396622"/>
      <w:bookmarkStart w:id="103" w:name="_Toc1703"/>
      <w:bookmarkStart w:id="104" w:name="_Toc8097"/>
      <w:r>
        <w:rPr>
          <w:rStyle w:val="28"/>
          <w:rFonts w:hint="eastAsia" w:ascii="仿宋" w:hAnsi="仿宋" w:eastAsia="仿宋"/>
          <w:b w:val="0"/>
          <w:bCs w:val="0"/>
        </w:rPr>
        <w:t>四、</w:t>
      </w:r>
      <w:r>
        <w:rPr>
          <w:rFonts w:hint="eastAsia" w:ascii="仿宋" w:hAnsi="仿宋" w:eastAsia="仿宋"/>
          <w:b w:val="0"/>
        </w:rPr>
        <w:t>财</w:t>
      </w:r>
      <w:r>
        <w:rPr>
          <w:rStyle w:val="28"/>
          <w:rFonts w:hint="eastAsia" w:ascii="仿宋" w:hAnsi="仿宋" w:eastAsia="仿宋"/>
          <w:b w:val="0"/>
          <w:bCs w:val="0"/>
        </w:rPr>
        <w:t>政拨款收入支出决算总表</w:t>
      </w:r>
      <w:bookmarkEnd w:id="102"/>
      <w:bookmarkEnd w:id="103"/>
      <w:bookmarkEnd w:id="104"/>
    </w:p>
    <w:p>
      <w:pPr>
        <w:pStyle w:val="5"/>
        <w:pageBreakBefore w:val="0"/>
        <w:kinsoku/>
        <w:wordWrap/>
        <w:overflowPunct/>
        <w:topLinePunct w:val="0"/>
        <w:bidi w:val="0"/>
        <w:spacing w:line="560" w:lineRule="exact"/>
        <w:textAlignment w:val="auto"/>
        <w:rPr>
          <w:rStyle w:val="28"/>
          <w:rFonts w:ascii="仿宋" w:hAnsi="仿宋" w:eastAsia="仿宋"/>
          <w:b w:val="0"/>
          <w:bCs w:val="0"/>
        </w:rPr>
      </w:pPr>
      <w:bookmarkStart w:id="105" w:name="_Toc8004"/>
      <w:bookmarkStart w:id="106" w:name="_Toc15396623"/>
      <w:bookmarkStart w:id="107" w:name="_Toc22669"/>
      <w:r>
        <w:rPr>
          <w:rStyle w:val="28"/>
          <w:rFonts w:hint="eastAsia" w:ascii="仿宋" w:hAnsi="仿宋" w:eastAsia="仿宋"/>
          <w:b w:val="0"/>
          <w:bCs w:val="0"/>
        </w:rPr>
        <w:t>五、</w:t>
      </w:r>
      <w:r>
        <w:rPr>
          <w:rFonts w:hint="eastAsia" w:ascii="仿宋" w:hAnsi="仿宋" w:eastAsia="仿宋"/>
          <w:b w:val="0"/>
        </w:rPr>
        <w:t>财</w:t>
      </w:r>
      <w:r>
        <w:rPr>
          <w:rStyle w:val="28"/>
          <w:rFonts w:hint="eastAsia" w:ascii="仿宋" w:hAnsi="仿宋" w:eastAsia="仿宋"/>
          <w:b w:val="0"/>
          <w:bCs w:val="0"/>
        </w:rPr>
        <w:t>政拨款支出决算明细表</w:t>
      </w:r>
      <w:bookmarkEnd w:id="105"/>
      <w:bookmarkEnd w:id="106"/>
      <w:bookmarkEnd w:id="107"/>
      <w:bookmarkStart w:id="108" w:name="_Toc15396624"/>
    </w:p>
    <w:p>
      <w:pPr>
        <w:pStyle w:val="5"/>
        <w:pageBreakBefore w:val="0"/>
        <w:kinsoku/>
        <w:wordWrap/>
        <w:overflowPunct/>
        <w:topLinePunct w:val="0"/>
        <w:bidi w:val="0"/>
        <w:spacing w:line="560" w:lineRule="exact"/>
        <w:textAlignment w:val="auto"/>
        <w:rPr>
          <w:rFonts w:ascii="仿宋" w:hAnsi="仿宋" w:eastAsia="仿宋"/>
        </w:rPr>
      </w:pPr>
      <w:bookmarkStart w:id="109" w:name="_Toc28657"/>
      <w:bookmarkStart w:id="110" w:name="_Toc13876"/>
      <w:r>
        <w:rPr>
          <w:rStyle w:val="28"/>
          <w:rFonts w:hint="eastAsia" w:ascii="仿宋" w:hAnsi="仿宋" w:eastAsia="仿宋"/>
          <w:b w:val="0"/>
          <w:bCs w:val="0"/>
        </w:rPr>
        <w:t>六、</w:t>
      </w:r>
      <w:r>
        <w:rPr>
          <w:rFonts w:hint="eastAsia" w:ascii="仿宋" w:hAnsi="仿宋" w:eastAsia="仿宋"/>
          <w:b w:val="0"/>
        </w:rPr>
        <w:t>一</w:t>
      </w:r>
      <w:r>
        <w:rPr>
          <w:rStyle w:val="28"/>
          <w:rFonts w:hint="eastAsia" w:ascii="仿宋" w:hAnsi="仿宋" w:eastAsia="仿宋"/>
          <w:b w:val="0"/>
          <w:bCs w:val="0"/>
        </w:rPr>
        <w:t>般公共预算财政拨款支出决算表</w:t>
      </w:r>
      <w:bookmarkEnd w:id="108"/>
      <w:bookmarkEnd w:id="109"/>
      <w:bookmarkEnd w:id="110"/>
    </w:p>
    <w:p>
      <w:pPr>
        <w:pStyle w:val="5"/>
        <w:pageBreakBefore w:val="0"/>
        <w:kinsoku/>
        <w:wordWrap/>
        <w:overflowPunct/>
        <w:topLinePunct w:val="0"/>
        <w:bidi w:val="0"/>
        <w:spacing w:line="560" w:lineRule="exact"/>
        <w:textAlignment w:val="auto"/>
        <w:rPr>
          <w:rFonts w:ascii="仿宋" w:hAnsi="仿宋" w:eastAsia="仿宋"/>
        </w:rPr>
      </w:pPr>
      <w:bookmarkStart w:id="111" w:name="_Toc32443"/>
      <w:bookmarkStart w:id="112" w:name="_Toc15396625"/>
      <w:bookmarkStart w:id="113" w:name="_Toc18937"/>
      <w:r>
        <w:rPr>
          <w:rStyle w:val="28"/>
          <w:rFonts w:hint="eastAsia" w:ascii="仿宋" w:hAnsi="仿宋" w:eastAsia="仿宋"/>
          <w:b w:val="0"/>
          <w:bCs w:val="0"/>
        </w:rPr>
        <w:t>七、</w:t>
      </w:r>
      <w:r>
        <w:rPr>
          <w:rFonts w:hint="eastAsia" w:ascii="仿宋" w:hAnsi="仿宋" w:eastAsia="仿宋"/>
          <w:b w:val="0"/>
        </w:rPr>
        <w:t>一</w:t>
      </w:r>
      <w:r>
        <w:rPr>
          <w:rStyle w:val="28"/>
          <w:rFonts w:hint="eastAsia" w:ascii="仿宋" w:hAnsi="仿宋" w:eastAsia="仿宋"/>
          <w:b w:val="0"/>
          <w:bCs w:val="0"/>
        </w:rPr>
        <w:t>般公共预算财政拨款支出决算明细表</w:t>
      </w:r>
      <w:bookmarkEnd w:id="111"/>
      <w:bookmarkEnd w:id="112"/>
      <w:bookmarkEnd w:id="113"/>
    </w:p>
    <w:p>
      <w:pPr>
        <w:pStyle w:val="5"/>
        <w:pageBreakBefore w:val="0"/>
        <w:kinsoku/>
        <w:wordWrap/>
        <w:overflowPunct/>
        <w:topLinePunct w:val="0"/>
        <w:bidi w:val="0"/>
        <w:spacing w:line="560" w:lineRule="exact"/>
        <w:textAlignment w:val="auto"/>
        <w:rPr>
          <w:rFonts w:ascii="仿宋" w:hAnsi="仿宋" w:eastAsia="仿宋"/>
        </w:rPr>
      </w:pPr>
      <w:bookmarkStart w:id="114" w:name="_Toc15396626"/>
      <w:bookmarkStart w:id="115" w:name="_Toc11791"/>
      <w:bookmarkStart w:id="116" w:name="_Toc26427"/>
      <w:r>
        <w:rPr>
          <w:rStyle w:val="28"/>
          <w:rFonts w:hint="eastAsia" w:ascii="仿宋" w:hAnsi="仿宋" w:eastAsia="仿宋"/>
          <w:b w:val="0"/>
          <w:bCs w:val="0"/>
        </w:rPr>
        <w:t>八、</w:t>
      </w:r>
      <w:r>
        <w:rPr>
          <w:rFonts w:hint="eastAsia" w:ascii="仿宋" w:hAnsi="仿宋" w:eastAsia="仿宋"/>
          <w:b w:val="0"/>
        </w:rPr>
        <w:t>一</w:t>
      </w:r>
      <w:r>
        <w:rPr>
          <w:rStyle w:val="28"/>
          <w:rFonts w:hint="eastAsia" w:ascii="仿宋" w:hAnsi="仿宋" w:eastAsia="仿宋"/>
          <w:b w:val="0"/>
          <w:bCs w:val="0"/>
        </w:rPr>
        <w:t>般公共预算财政拨款基本支出决算表</w:t>
      </w:r>
      <w:bookmarkEnd w:id="114"/>
      <w:bookmarkEnd w:id="115"/>
      <w:bookmarkEnd w:id="116"/>
    </w:p>
    <w:p>
      <w:pPr>
        <w:pStyle w:val="5"/>
        <w:pageBreakBefore w:val="0"/>
        <w:kinsoku/>
        <w:wordWrap/>
        <w:overflowPunct/>
        <w:topLinePunct w:val="0"/>
        <w:bidi w:val="0"/>
        <w:spacing w:line="560" w:lineRule="exact"/>
        <w:textAlignment w:val="auto"/>
        <w:rPr>
          <w:rFonts w:ascii="仿宋" w:hAnsi="仿宋" w:eastAsia="仿宋"/>
        </w:rPr>
      </w:pPr>
      <w:bookmarkStart w:id="117" w:name="_Toc12935"/>
      <w:bookmarkStart w:id="118" w:name="_Toc10647"/>
      <w:bookmarkStart w:id="119" w:name="_Toc15396627"/>
      <w:r>
        <w:rPr>
          <w:rStyle w:val="28"/>
          <w:rFonts w:hint="eastAsia" w:ascii="仿宋" w:hAnsi="仿宋" w:eastAsia="仿宋"/>
          <w:b w:val="0"/>
          <w:bCs w:val="0"/>
        </w:rPr>
        <w:t>九、</w:t>
      </w:r>
      <w:r>
        <w:rPr>
          <w:rFonts w:hint="eastAsia" w:ascii="仿宋" w:hAnsi="仿宋" w:eastAsia="仿宋"/>
          <w:b w:val="0"/>
        </w:rPr>
        <w:t>一</w:t>
      </w:r>
      <w:r>
        <w:rPr>
          <w:rStyle w:val="28"/>
          <w:rFonts w:hint="eastAsia" w:ascii="仿宋" w:hAnsi="仿宋" w:eastAsia="仿宋"/>
          <w:b w:val="0"/>
          <w:bCs w:val="0"/>
        </w:rPr>
        <w:t>般公共预算财政拨款项目支出决算表</w:t>
      </w:r>
      <w:bookmarkEnd w:id="117"/>
      <w:bookmarkEnd w:id="118"/>
      <w:bookmarkEnd w:id="119"/>
    </w:p>
    <w:p>
      <w:pPr>
        <w:pStyle w:val="5"/>
        <w:pageBreakBefore w:val="0"/>
        <w:kinsoku/>
        <w:wordWrap/>
        <w:overflowPunct/>
        <w:topLinePunct w:val="0"/>
        <w:bidi w:val="0"/>
        <w:spacing w:line="560" w:lineRule="exact"/>
        <w:textAlignment w:val="auto"/>
        <w:rPr>
          <w:rFonts w:ascii="仿宋" w:hAnsi="仿宋" w:eastAsia="仿宋"/>
        </w:rPr>
      </w:pPr>
      <w:bookmarkStart w:id="120" w:name="_Toc15396628"/>
      <w:bookmarkStart w:id="121" w:name="_Toc32646"/>
      <w:bookmarkStart w:id="122" w:name="_Toc9782"/>
      <w:r>
        <w:rPr>
          <w:rStyle w:val="28"/>
          <w:rFonts w:hint="eastAsia" w:ascii="仿宋" w:hAnsi="仿宋" w:eastAsia="仿宋"/>
          <w:b w:val="0"/>
          <w:bCs w:val="0"/>
        </w:rPr>
        <w:t>十、</w:t>
      </w:r>
      <w:bookmarkEnd w:id="120"/>
      <w:r>
        <w:rPr>
          <w:rFonts w:hint="eastAsia" w:ascii="仿宋" w:hAnsi="仿宋" w:eastAsia="仿宋"/>
          <w:b w:val="0"/>
        </w:rPr>
        <w:t>政</w:t>
      </w:r>
      <w:r>
        <w:rPr>
          <w:rStyle w:val="28"/>
          <w:rFonts w:hint="eastAsia" w:ascii="仿宋" w:hAnsi="仿宋" w:eastAsia="仿宋"/>
          <w:b w:val="0"/>
          <w:bCs w:val="0"/>
        </w:rPr>
        <w:t>府性基金预算财政拨款收入支出决算表</w:t>
      </w:r>
      <w:bookmarkEnd w:id="121"/>
      <w:bookmarkEnd w:id="122"/>
    </w:p>
    <w:p>
      <w:pPr>
        <w:pStyle w:val="5"/>
        <w:pageBreakBefore w:val="0"/>
        <w:kinsoku/>
        <w:wordWrap/>
        <w:overflowPunct/>
        <w:topLinePunct w:val="0"/>
        <w:bidi w:val="0"/>
        <w:spacing w:line="560" w:lineRule="exact"/>
        <w:textAlignment w:val="auto"/>
        <w:rPr>
          <w:rFonts w:ascii="仿宋" w:hAnsi="仿宋" w:eastAsia="仿宋"/>
        </w:rPr>
      </w:pPr>
      <w:bookmarkStart w:id="123" w:name="_Toc15396629"/>
      <w:bookmarkStart w:id="124" w:name="_Toc9310"/>
      <w:bookmarkStart w:id="125" w:name="_Toc24215"/>
      <w:r>
        <w:rPr>
          <w:rStyle w:val="28"/>
          <w:rFonts w:hint="eastAsia" w:ascii="仿宋" w:hAnsi="仿宋" w:eastAsia="仿宋"/>
          <w:b w:val="0"/>
          <w:bCs w:val="0"/>
        </w:rPr>
        <w:t>十一、</w:t>
      </w:r>
      <w:bookmarkEnd w:id="123"/>
      <w:r>
        <w:rPr>
          <w:rFonts w:hint="eastAsia" w:ascii="仿宋" w:hAnsi="仿宋" w:eastAsia="仿宋"/>
          <w:b w:val="0"/>
        </w:rPr>
        <w:t>国</w:t>
      </w:r>
      <w:r>
        <w:rPr>
          <w:rStyle w:val="28"/>
          <w:rFonts w:hint="eastAsia" w:ascii="仿宋" w:hAnsi="仿宋" w:eastAsia="仿宋"/>
          <w:b w:val="0"/>
          <w:bCs w:val="0"/>
        </w:rPr>
        <w:t>有资本经营预算财政拨款收入支出决算表</w:t>
      </w:r>
      <w:bookmarkEnd w:id="124"/>
      <w:bookmarkEnd w:id="125"/>
    </w:p>
    <w:p>
      <w:pPr>
        <w:pStyle w:val="5"/>
        <w:pageBreakBefore w:val="0"/>
        <w:kinsoku/>
        <w:wordWrap/>
        <w:overflowPunct/>
        <w:topLinePunct w:val="0"/>
        <w:bidi w:val="0"/>
        <w:spacing w:line="560" w:lineRule="exact"/>
        <w:textAlignment w:val="auto"/>
        <w:rPr>
          <w:rFonts w:ascii="仿宋" w:hAnsi="仿宋" w:eastAsia="仿宋"/>
        </w:rPr>
      </w:pPr>
      <w:bookmarkStart w:id="126" w:name="_Toc15396630"/>
      <w:bookmarkStart w:id="127" w:name="_Toc2264"/>
      <w:bookmarkStart w:id="128" w:name="_Toc30490"/>
      <w:r>
        <w:rPr>
          <w:rStyle w:val="28"/>
          <w:rFonts w:hint="eastAsia" w:ascii="仿宋" w:hAnsi="仿宋" w:eastAsia="仿宋"/>
          <w:b w:val="0"/>
          <w:bCs w:val="0"/>
        </w:rPr>
        <w:t>十二、</w:t>
      </w:r>
      <w:bookmarkEnd w:id="126"/>
      <w:r>
        <w:rPr>
          <w:rStyle w:val="28"/>
          <w:rFonts w:hint="eastAsia" w:ascii="仿宋" w:hAnsi="仿宋" w:eastAsia="仿宋"/>
          <w:b w:val="0"/>
          <w:bCs w:val="0"/>
        </w:rPr>
        <w:t>国有资本经营预算财政拨款支出决算表</w:t>
      </w:r>
      <w:bookmarkEnd w:id="127"/>
      <w:bookmarkEnd w:id="128"/>
    </w:p>
    <w:p>
      <w:pPr>
        <w:pStyle w:val="5"/>
        <w:pageBreakBefore w:val="0"/>
        <w:kinsoku/>
        <w:wordWrap/>
        <w:overflowPunct/>
        <w:topLinePunct w:val="0"/>
        <w:bidi w:val="0"/>
        <w:spacing w:line="560" w:lineRule="exact"/>
        <w:textAlignment w:val="auto"/>
        <w:rPr>
          <w:rFonts w:eastAsia="仿宋"/>
        </w:rPr>
      </w:pPr>
      <w:bookmarkStart w:id="129" w:name="_Toc15396631"/>
      <w:bookmarkStart w:id="130" w:name="_Toc13520"/>
      <w:bookmarkStart w:id="131" w:name="_Toc19864"/>
      <w:r>
        <w:rPr>
          <w:rStyle w:val="28"/>
          <w:rFonts w:hint="eastAsia" w:ascii="仿宋" w:hAnsi="仿宋" w:eastAsia="仿宋"/>
          <w:b w:val="0"/>
          <w:bCs w:val="0"/>
        </w:rPr>
        <w:t>十三、</w:t>
      </w:r>
      <w:bookmarkEnd w:id="129"/>
      <w:r>
        <w:rPr>
          <w:rStyle w:val="28"/>
          <w:rFonts w:hint="eastAsia" w:ascii="仿宋" w:hAnsi="仿宋" w:eastAsia="仿宋"/>
          <w:b w:val="0"/>
          <w:bCs w:val="0"/>
        </w:rPr>
        <w:t>财政拨款“三公”经费支出决算表</w:t>
      </w:r>
      <w:bookmarkEnd w:id="130"/>
      <w:bookmarkEnd w:id="131"/>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SimSun-ExtB">
    <w:altName w:val="新宋体"/>
    <w:panose1 w:val="02010609060101010101"/>
    <w:charset w:val="86"/>
    <w:family w:val="auto"/>
    <w:pitch w:val="default"/>
    <w:sig w:usb0="00000000" w:usb1="00000000" w:usb2="00000000"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E602A"/>
    <w:multiLevelType w:val="singleLevel"/>
    <w:tmpl w:val="B2DE602A"/>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4866FF8"/>
    <w:rsid w:val="04AC476F"/>
    <w:rsid w:val="065344DE"/>
    <w:rsid w:val="081B5E94"/>
    <w:rsid w:val="0A2032A3"/>
    <w:rsid w:val="0B8A37D8"/>
    <w:rsid w:val="0F5FFB2F"/>
    <w:rsid w:val="0FD74E90"/>
    <w:rsid w:val="0FFFCF60"/>
    <w:rsid w:val="102167CD"/>
    <w:rsid w:val="10774DD3"/>
    <w:rsid w:val="10C055FF"/>
    <w:rsid w:val="118107EC"/>
    <w:rsid w:val="11DD6519"/>
    <w:rsid w:val="141242A1"/>
    <w:rsid w:val="16BB723D"/>
    <w:rsid w:val="17D10540"/>
    <w:rsid w:val="18015F3F"/>
    <w:rsid w:val="1BE8440E"/>
    <w:rsid w:val="1D155CEE"/>
    <w:rsid w:val="1F971165"/>
    <w:rsid w:val="1FDBBF84"/>
    <w:rsid w:val="20F57F95"/>
    <w:rsid w:val="21C70708"/>
    <w:rsid w:val="240371BF"/>
    <w:rsid w:val="25711CC6"/>
    <w:rsid w:val="25C741E6"/>
    <w:rsid w:val="276F80C0"/>
    <w:rsid w:val="27842671"/>
    <w:rsid w:val="29FD04D3"/>
    <w:rsid w:val="2ABE7A3E"/>
    <w:rsid w:val="2AFF09B6"/>
    <w:rsid w:val="2CA234A8"/>
    <w:rsid w:val="2EFA178C"/>
    <w:rsid w:val="2EFDF86C"/>
    <w:rsid w:val="2F9D17E1"/>
    <w:rsid w:val="30B46D73"/>
    <w:rsid w:val="319F7F4E"/>
    <w:rsid w:val="32F50C84"/>
    <w:rsid w:val="32F56F60"/>
    <w:rsid w:val="34C81A39"/>
    <w:rsid w:val="35301D0A"/>
    <w:rsid w:val="356A28F1"/>
    <w:rsid w:val="357C035A"/>
    <w:rsid w:val="368E000D"/>
    <w:rsid w:val="383D272C"/>
    <w:rsid w:val="39345AA4"/>
    <w:rsid w:val="39AE70AB"/>
    <w:rsid w:val="3A4DCE41"/>
    <w:rsid w:val="3BCB56FA"/>
    <w:rsid w:val="3C0C0783"/>
    <w:rsid w:val="3DEB4413"/>
    <w:rsid w:val="3EE7C2F4"/>
    <w:rsid w:val="3F371B56"/>
    <w:rsid w:val="3F792ED8"/>
    <w:rsid w:val="3F9F3A96"/>
    <w:rsid w:val="3FDF9A16"/>
    <w:rsid w:val="3FECA4B2"/>
    <w:rsid w:val="3FF58C48"/>
    <w:rsid w:val="42FF6694"/>
    <w:rsid w:val="462C10ED"/>
    <w:rsid w:val="47250321"/>
    <w:rsid w:val="48BF60AB"/>
    <w:rsid w:val="493C27E9"/>
    <w:rsid w:val="496F39ED"/>
    <w:rsid w:val="49FF41D3"/>
    <w:rsid w:val="4BE068DB"/>
    <w:rsid w:val="4BF6002B"/>
    <w:rsid w:val="4BFFC6BE"/>
    <w:rsid w:val="4ECE2238"/>
    <w:rsid w:val="4F4F6ECD"/>
    <w:rsid w:val="51DB4B86"/>
    <w:rsid w:val="51F64DB0"/>
    <w:rsid w:val="55333C3E"/>
    <w:rsid w:val="5E661D57"/>
    <w:rsid w:val="5F67802D"/>
    <w:rsid w:val="5F7DC4F2"/>
    <w:rsid w:val="5FB36814"/>
    <w:rsid w:val="5FBB8E56"/>
    <w:rsid w:val="5FFB5535"/>
    <w:rsid w:val="61B7198D"/>
    <w:rsid w:val="64CA39A1"/>
    <w:rsid w:val="6545060B"/>
    <w:rsid w:val="65CE587A"/>
    <w:rsid w:val="69630ADE"/>
    <w:rsid w:val="69BD5F13"/>
    <w:rsid w:val="69FB0B4B"/>
    <w:rsid w:val="6BFFE1FB"/>
    <w:rsid w:val="6C4A05C8"/>
    <w:rsid w:val="6D3B1A89"/>
    <w:rsid w:val="6DB7D8A3"/>
    <w:rsid w:val="6EC78701"/>
    <w:rsid w:val="6F7A5481"/>
    <w:rsid w:val="6F9C1E6F"/>
    <w:rsid w:val="6FAD74D8"/>
    <w:rsid w:val="6FFE07A9"/>
    <w:rsid w:val="71BF4EC2"/>
    <w:rsid w:val="72734D90"/>
    <w:rsid w:val="737678F4"/>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2C3626"/>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D87159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DE77B7"/>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1"/>
    <w:qFormat/>
    <w:uiPriority w:val="0"/>
    <w:pPr>
      <w:spacing w:after="120"/>
      <w:ind w:left="200" w:leftChars="200"/>
    </w:pPr>
    <w:rPr>
      <w:rFonts w:ascii="仿宋_GB2312"/>
      <w:szCs w:val="32"/>
    </w:rPr>
  </w:style>
  <w:style w:type="paragraph" w:styleId="7">
    <w:name w:val="Body Text"/>
    <w:basedOn w:val="1"/>
    <w:link w:val="24"/>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paragraph" w:customStyle="1" w:styleId="18">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19">
    <w:name w:val="Header Char"/>
    <w:basedOn w:val="15"/>
    <w:semiHidden/>
    <w:qFormat/>
    <w:uiPriority w:val="99"/>
    <w:rPr>
      <w:rFonts w:ascii="Times New Roman" w:hAnsi="Times New Roman"/>
      <w:sz w:val="18"/>
      <w:szCs w:val="18"/>
    </w:rPr>
  </w:style>
  <w:style w:type="character" w:customStyle="1" w:styleId="20">
    <w:name w:val="页眉 字符"/>
    <w:link w:val="11"/>
    <w:semiHidden/>
    <w:qFormat/>
    <w:locked/>
    <w:uiPriority w:val="99"/>
    <w:rPr>
      <w:sz w:val="18"/>
    </w:rPr>
  </w:style>
  <w:style w:type="character" w:customStyle="1" w:styleId="21">
    <w:name w:val="Footer Char"/>
    <w:basedOn w:val="15"/>
    <w:semiHidden/>
    <w:qFormat/>
    <w:uiPriority w:val="99"/>
    <w:rPr>
      <w:rFonts w:ascii="Times New Roman" w:hAnsi="Times New Roman"/>
      <w:sz w:val="18"/>
      <w:szCs w:val="18"/>
    </w:rPr>
  </w:style>
  <w:style w:type="character" w:customStyle="1" w:styleId="22">
    <w:name w:val="页脚 字符"/>
    <w:link w:val="10"/>
    <w:qFormat/>
    <w:locked/>
    <w:uiPriority w:val="99"/>
    <w:rPr>
      <w:sz w:val="18"/>
    </w:rPr>
  </w:style>
  <w:style w:type="character" w:customStyle="1" w:styleId="23">
    <w:name w:val="Body Text Char"/>
    <w:basedOn w:val="15"/>
    <w:semiHidden/>
    <w:qFormat/>
    <w:uiPriority w:val="99"/>
    <w:rPr>
      <w:rFonts w:ascii="Times New Roman" w:hAnsi="Times New Roman"/>
      <w:szCs w:val="24"/>
    </w:rPr>
  </w:style>
  <w:style w:type="character" w:customStyle="1" w:styleId="24">
    <w:name w:val="正文文本 字符"/>
    <w:link w:val="7"/>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字符"/>
    <w:basedOn w:val="15"/>
    <w:link w:val="4"/>
    <w:qFormat/>
    <w:uiPriority w:val="9"/>
    <w:rPr>
      <w:rFonts w:ascii="Times New Roman" w:hAnsi="Times New Roman"/>
      <w:b/>
      <w:bCs/>
      <w:kern w:val="44"/>
      <w:sz w:val="44"/>
      <w:szCs w:val="44"/>
    </w:rPr>
  </w:style>
  <w:style w:type="character" w:customStyle="1" w:styleId="28">
    <w:name w:val="标题 2 字符"/>
    <w:basedOn w:val="15"/>
    <w:link w:val="5"/>
    <w:qFormat/>
    <w:uiPriority w:val="9"/>
    <w:rPr>
      <w:rFonts w:asciiTheme="majorHAnsi" w:hAnsiTheme="majorHAnsi" w:eastAsiaTheme="majorEastAsia" w:cstheme="majorBidi"/>
      <w:b/>
      <w:bCs/>
      <w:kern w:val="2"/>
      <w:sz w:val="32"/>
      <w:szCs w:val="32"/>
    </w:rPr>
  </w:style>
  <w:style w:type="paragraph" w:customStyle="1" w:styleId="29">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字符"/>
    <w:basedOn w:val="15"/>
    <w:link w:val="9"/>
    <w:semiHidden/>
    <w:qFormat/>
    <w:uiPriority w:val="99"/>
    <w:rPr>
      <w:rFonts w:ascii="Times New Roman" w:hAnsi="Times New Roman"/>
      <w:kern w:val="2"/>
      <w:sz w:val="18"/>
      <w:szCs w:val="18"/>
    </w:rPr>
  </w:style>
  <w:style w:type="character" w:customStyle="1" w:styleId="31">
    <w:name w:val="标题 3 字符"/>
    <w:basedOn w:val="15"/>
    <w:link w:val="6"/>
    <w:qFormat/>
    <w:uiPriority w:val="9"/>
    <w:rPr>
      <w:rFonts w:ascii="Times New Roman" w:hAnsi="Times New Roman"/>
      <w:b/>
      <w:bCs/>
      <w:kern w:val="2"/>
      <w:sz w:val="32"/>
      <w:szCs w:val="32"/>
    </w:rPr>
  </w:style>
  <w:style w:type="paragraph" w:customStyle="1" w:styleId="32">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 w:type="paragraph" w:customStyle="1" w:styleId="34">
    <w:name w:val="WPSOffice手动目录 2"/>
    <w:qFormat/>
    <w:uiPriority w:val="0"/>
    <w:pPr>
      <w:ind w:leftChars="200"/>
    </w:pPr>
    <w:rPr>
      <w:rFonts w:ascii="Times New Roman" w:hAnsi="Times New Roman" w:eastAsia="宋体" w:cs="Times New Roman"/>
      <w:sz w:val="20"/>
      <w:szCs w:val="20"/>
    </w:rPr>
  </w:style>
  <w:style w:type="character" w:customStyle="1" w:styleId="35">
    <w:name w:val="font51"/>
    <w:basedOn w:val="15"/>
    <w:qFormat/>
    <w:uiPriority w:val="0"/>
    <w:rPr>
      <w:rFonts w:ascii="宋体" w:hAnsi="宋体" w:eastAsia="宋体" w:cs="宋体"/>
      <w:color w:val="000000"/>
      <w:sz w:val="18"/>
      <w:szCs w:val="18"/>
      <w:u w:val="none"/>
    </w:rPr>
  </w:style>
  <w:style w:type="character" w:customStyle="1" w:styleId="36">
    <w:name w:val="font31"/>
    <w:basedOn w:val="15"/>
    <w:qFormat/>
    <w:uiPriority w:val="0"/>
    <w:rPr>
      <w:rFonts w:hint="eastAsia" w:ascii="SimSun-ExtB" w:hAnsi="SimSun-ExtB" w:eastAsia="SimSun-ExtB" w:cs="SimSun-ExtB"/>
      <w:color w:val="000000"/>
      <w:sz w:val="18"/>
      <w:szCs w:val="18"/>
      <w:u w:val="none"/>
    </w:rPr>
  </w:style>
  <w:style w:type="character" w:customStyle="1" w:styleId="37">
    <w:name w:val="font61"/>
    <w:basedOn w:val="15"/>
    <w:qFormat/>
    <w:uiPriority w:val="0"/>
    <w:rPr>
      <w:rFonts w:ascii="微软雅黑" w:hAnsi="微软雅黑" w:eastAsia="微软雅黑" w:cs="微软雅黑"/>
      <w:color w:val="000000"/>
      <w:sz w:val="18"/>
      <w:szCs w:val="18"/>
      <w:u w:val="none"/>
    </w:rPr>
  </w:style>
  <w:style w:type="character" w:customStyle="1" w:styleId="38">
    <w:name w:val="font71"/>
    <w:basedOn w:val="15"/>
    <w:qFormat/>
    <w:uiPriority w:val="0"/>
    <w:rPr>
      <w:rFonts w:ascii="黑体" w:hAnsi="黑体" w:eastAsia="黑体" w:cs="黑体"/>
      <w:color w:val="000000"/>
      <w:sz w:val="18"/>
      <w:szCs w:val="18"/>
      <w:u w:val="none"/>
    </w:rPr>
  </w:style>
  <w:style w:type="character" w:customStyle="1" w:styleId="39">
    <w:name w:val="font81"/>
    <w:basedOn w:val="15"/>
    <w:qFormat/>
    <w:uiPriority w:val="0"/>
    <w:rPr>
      <w:rFonts w:ascii="宋体" w:hAnsi="宋体" w:eastAsia="宋体" w:cs="宋体"/>
      <w:color w:val="000000"/>
      <w:sz w:val="18"/>
      <w:szCs w:val="18"/>
      <w:u w:val="none"/>
    </w:rPr>
  </w:style>
  <w:style w:type="character" w:customStyle="1" w:styleId="40">
    <w:name w:val="font41"/>
    <w:basedOn w:val="15"/>
    <w:qFormat/>
    <w:uiPriority w:val="0"/>
    <w:rPr>
      <w:rFonts w:hint="eastAsia" w:ascii="SimSun-ExtB" w:hAnsi="SimSun-ExtB" w:eastAsia="SimSun-ExtB" w:cs="SimSun-ExtB"/>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E:\2024\8&#39044;&#20915;&#31639;\2023&#24180;&#20915;&#31639;\2023&#24180;&#20915;&#31639;&#20844;&#24320;\&#35745;&#31639;&#22270;&#3492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E:\2024\8&#39044;&#20915;&#31639;\2023&#24180;&#20915;&#31639;\2023&#24180;&#20915;&#31639;&#20844;&#24320;\&#35745;&#31639;&#22270;&#3492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024\8&#39044;&#20915;&#31639;\2023&#24180;&#20915;&#31639;\2023&#24180;&#20915;&#31639;&#20844;&#24320;\&#35745;&#31639;&#22270;&#349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E:\2024\8&#39044;&#20915;&#31639;\2023&#24180;&#20915;&#31639;\2023&#24180;&#20915;&#31639;&#20844;&#24320;\&#35745;&#31639;&#22270;&#349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E:\2024\8&#39044;&#20915;&#31639;\2023&#24180;&#20915;&#31639;\2023&#24180;&#20915;&#31639;&#20844;&#24320;\&#35745;&#31639;&#22270;&#34920;.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E:\2024\8&#39044;&#20915;&#31639;\2023&#24180;&#20915;&#31639;\2023&#24180;&#20915;&#31639;&#20844;&#24320;\&#35745;&#31639;&#22270;&#34920;.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H:\&#26381;&#21153;&#20013;&#24515;\&#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年度收支变动</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elete val="true"/>
          </c:dLbls>
          <c:cat>
            <c:strRef>
              <c:f>[计算图表.xls]Sheet1!$A$6:$A$7</c:f>
              <c:strCache>
                <c:ptCount val="2"/>
                <c:pt idx="0">
                  <c:v>2022年度</c:v>
                </c:pt>
                <c:pt idx="1">
                  <c:v>2023年度</c:v>
                </c:pt>
              </c:strCache>
            </c:strRef>
          </c:cat>
          <c:val>
            <c:numRef>
              <c:f>[计算图表.xls]Sheet1!$B$6:$B$7</c:f>
              <c:numCache>
                <c:formatCode>#,##0.00</c:formatCode>
                <c:ptCount val="2"/>
                <c:pt idx="0">
                  <c:v>3609.73</c:v>
                </c:pt>
                <c:pt idx="1">
                  <c:v>2614.08</c:v>
                </c:pt>
              </c:numCache>
            </c:numRef>
          </c:val>
        </c:ser>
        <c:dLbls>
          <c:showLegendKey val="false"/>
          <c:showVal val="false"/>
          <c:showCatName val="false"/>
          <c:showSerName val="false"/>
          <c:showPercent val="false"/>
          <c:showBubbleSize val="false"/>
        </c:dLbls>
        <c:gapWidth val="246"/>
        <c:overlap val="-28"/>
        <c:axId val="922455424"/>
        <c:axId val="142113075"/>
      </c:barChart>
      <c:catAx>
        <c:axId val="92245542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2113075"/>
        <c:crosses val="autoZero"/>
        <c:auto val="true"/>
        <c:lblAlgn val="ctr"/>
        <c:lblOffset val="100"/>
        <c:noMultiLvlLbl val="false"/>
      </c:catAx>
      <c:valAx>
        <c:axId val="142113075"/>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2245542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19474677930422"/>
          <c:y val="0.127396077659714"/>
          <c:w val="0.531010526315789"/>
          <c:h val="0.720657142857143"/>
        </c:manualLayout>
      </c:layout>
      <c:pieChart>
        <c:varyColors val="true"/>
        <c:ser>
          <c:idx val="0"/>
          <c:order val="0"/>
          <c:spPr/>
          <c:explosion val="0"/>
          <c:dPt>
            <c:idx val="0"/>
            <c:bubble3D val="false"/>
            <c:spPr>
              <a:solidFill>
                <a:schemeClr val="accent1"/>
              </a:solidFill>
              <a:ln w="19050">
                <a:solidFill>
                  <a:schemeClr val="lt1"/>
                </a:solidFill>
              </a:ln>
              <a:effectLst>
                <a:outerShdw blurRad="63500" sx="102000" sy="102000" algn="ctr" rotWithShape="0">
                  <a:schemeClr val="accent1">
                    <a:alpha val="40000"/>
                  </a:schemeClr>
                </a:outerShdw>
              </a:effectLst>
            </c:spPr>
          </c:dPt>
          <c:dPt>
            <c:idx val="1"/>
            <c:bubble3D val="false"/>
            <c:explosion val="8"/>
            <c:spPr>
              <a:solidFill>
                <a:schemeClr val="accent2"/>
              </a:solidFill>
              <a:ln w="19050">
                <a:solidFill>
                  <a:schemeClr val="lt1"/>
                </a:solidFill>
              </a:ln>
              <a:effectLst>
                <a:outerShdw blurRad="63500" sx="102000" sy="102000" algn="ctr" rotWithShape="0">
                  <a:schemeClr val="accent2">
                    <a:alpha val="40000"/>
                  </a:schemeClr>
                </a:outerShdw>
              </a:effectLst>
            </c:spPr>
          </c:dPt>
          <c:dLbls>
            <c:dLbl>
              <c:idx val="0"/>
              <c:layout>
                <c:manualLayout>
                  <c:x val="-0.141578818337828"/>
                  <c:y val="-0.285583103764922"/>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bg1"/>
                        </a:solidFill>
                        <a:latin typeface="+mn-lt"/>
                        <a:ea typeface="+mn-ea"/>
                        <a:cs typeface="+mn-cs"/>
                      </a:defRPr>
                    </a:pPr>
                    <a:r>
                      <a:rPr>
                        <a:solidFill>
                          <a:schemeClr val="bg1"/>
                        </a:solidFill>
                      </a:rPr>
                      <a:t>一般公共预算财政拨款收入2554.22</a:t>
                    </a:r>
                    <a:endParaRPr>
                      <a:solidFill>
                        <a:schemeClr val="bg1"/>
                      </a:solidFill>
                    </a:endParaRP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130656210382664"/>
                  <c:y val="0.189744350585087"/>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bg1"/>
                        </a:solidFill>
                        <a:latin typeface="+mn-lt"/>
                        <a:ea typeface="+mn-ea"/>
                        <a:cs typeface="+mn-cs"/>
                      </a:defRPr>
                    </a:pPr>
                    <a:r>
                      <a:rPr>
                        <a:solidFill>
                          <a:schemeClr val="bg1"/>
                        </a:solidFill>
                      </a:rPr>
                      <a:t>其他收入59.86</a:t>
                    </a:r>
                    <a:endParaRPr>
                      <a:solidFill>
                        <a:schemeClr val="bg1"/>
                      </a:solidFill>
                    </a:endParaRP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bg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[计算图表.xls]Sheet1!$A$22:$A$23</c:f>
              <c:strCache>
                <c:ptCount val="2"/>
                <c:pt idx="0">
                  <c:v>一般公共预算财政拨款收入</c:v>
                </c:pt>
                <c:pt idx="1">
                  <c:v>其他收入</c:v>
                </c:pt>
              </c:strCache>
            </c:strRef>
          </c:cat>
          <c:val>
            <c:numRef>
              <c:f>[计算图表.xls]Sheet1!$B$22:$B$23</c:f>
              <c:numCache>
                <c:formatCode>General</c:formatCode>
                <c:ptCount val="2"/>
                <c:pt idx="0">
                  <c:v>2554.22</c:v>
                </c:pt>
                <c:pt idx="1">
                  <c:v>59.86</c:v>
                </c:pt>
              </c:numCache>
            </c:numRef>
          </c:val>
        </c:ser>
        <c:dLbls>
          <c:showLegendKey val="false"/>
          <c:showVal val="true"/>
          <c:showCatName val="false"/>
          <c:showSerName val="false"/>
          <c:showPercent val="false"/>
          <c:showBubbleSize val="false"/>
          <c:showLeaderLines val="true"/>
        </c:dLbls>
        <c:firstSliceAng val="332"/>
      </c:pieChart>
      <c:spPr>
        <a:noFill/>
        <a:ln>
          <a:noFill/>
        </a:ln>
        <a:effectLst/>
      </c:spPr>
    </c:plotArea>
    <c:legend>
      <c:legendPos val="r"/>
      <c:layout>
        <c:manualLayout>
          <c:xMode val="edge"/>
          <c:yMode val="edge"/>
          <c:x val="0.662263320123294"/>
          <c:y val="0.356383636019186"/>
        </c:manualLayou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本年支出结构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[计算图表.xls]Sheet1!$A$34:$A$35</c:f>
              <c:strCache>
                <c:ptCount val="2"/>
                <c:pt idx="0">
                  <c:v>基本支出</c:v>
                </c:pt>
                <c:pt idx="1">
                  <c:v>项目支出</c:v>
                </c:pt>
              </c:strCache>
            </c:strRef>
          </c:cat>
          <c:val>
            <c:numRef>
              <c:f>[计算图表.xls]Sheet1!$B$34:$B$35</c:f>
              <c:numCache>
                <c:formatCode>#,##0.00</c:formatCode>
                <c:ptCount val="2"/>
                <c:pt idx="0">
                  <c:v>1116.02</c:v>
                </c:pt>
                <c:pt idx="1">
                  <c:v>1498.06</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财政拨款收支变动</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[计算图表.xls]Sheet1!$A$47:$A$48</c:f>
              <c:strCache>
                <c:ptCount val="2"/>
                <c:pt idx="0">
                  <c:v>2022年度</c:v>
                </c:pt>
                <c:pt idx="1">
                  <c:v>2023年度</c:v>
                </c:pt>
              </c:strCache>
            </c:strRef>
          </c:cat>
          <c:val>
            <c:numRef>
              <c:f>[计算图表.xls]Sheet1!$B$47:$B$48</c:f>
              <c:numCache>
                <c:formatCode>#,##0.00</c:formatCode>
                <c:ptCount val="2"/>
                <c:pt idx="0">
                  <c:v>3594.74</c:v>
                </c:pt>
                <c:pt idx="1">
                  <c:v>2554.22</c:v>
                </c:pt>
              </c:numCache>
            </c:numRef>
          </c:val>
        </c:ser>
        <c:dLbls>
          <c:showLegendKey val="false"/>
          <c:showVal val="true"/>
          <c:showCatName val="false"/>
          <c:showSerName val="false"/>
          <c:showPercent val="false"/>
          <c:showBubbleSize val="false"/>
        </c:dLbls>
        <c:gapWidth val="246"/>
        <c:overlap val="-28"/>
        <c:axId val="514705971"/>
        <c:axId val="768559121"/>
      </c:barChart>
      <c:catAx>
        <c:axId val="51470597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68559121"/>
        <c:crosses val="autoZero"/>
        <c:auto val="true"/>
        <c:lblAlgn val="ctr"/>
        <c:lblOffset val="100"/>
        <c:noMultiLvlLbl val="false"/>
      </c:catAx>
      <c:valAx>
        <c:axId val="768559121"/>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1470597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财政拨款支出变动</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[计算图表.xls]Sheet1!$A$62:$A$63</c:f>
              <c:strCache>
                <c:ptCount val="2"/>
                <c:pt idx="0">
                  <c:v>2022年度</c:v>
                </c:pt>
                <c:pt idx="1">
                  <c:v>2023年度</c:v>
                </c:pt>
              </c:strCache>
            </c:strRef>
          </c:cat>
          <c:val>
            <c:numRef>
              <c:f>[计算图表.xls]Sheet1!$B$62:$B$63</c:f>
              <c:numCache>
                <c:formatCode>#,##0.00</c:formatCode>
                <c:ptCount val="2"/>
                <c:pt idx="0">
                  <c:v>3344.74</c:v>
                </c:pt>
                <c:pt idx="1" c:formatCode="General">
                  <c:v>2554.22</c:v>
                </c:pt>
              </c:numCache>
            </c:numRef>
          </c:val>
        </c:ser>
        <c:dLbls>
          <c:showLegendKey val="false"/>
          <c:showVal val="true"/>
          <c:showCatName val="false"/>
          <c:showSerName val="false"/>
          <c:showPercent val="false"/>
          <c:showBubbleSize val="false"/>
        </c:dLbls>
        <c:gapWidth val="246"/>
        <c:overlap val="-28"/>
        <c:axId val="853526584"/>
        <c:axId val="231919939"/>
      </c:barChart>
      <c:catAx>
        <c:axId val="85352658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31919939"/>
        <c:crosses val="autoZero"/>
        <c:auto val="true"/>
        <c:lblAlgn val="ctr"/>
        <c:lblOffset val="100"/>
        <c:noMultiLvlLbl val="false"/>
      </c:catAx>
      <c:valAx>
        <c:axId val="231919939"/>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5352658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[计算图表.xls]Sheet1!$A$74:$A$80</c:f>
              <c:strCache>
                <c:ptCount val="7"/>
                <c:pt idx="0">
                  <c:v>一般公共服务支出</c:v>
                </c:pt>
                <c:pt idx="1">
                  <c:v>教育支出</c:v>
                </c:pt>
                <c:pt idx="2">
                  <c:v>文化旅游体育与传媒支出</c:v>
                </c:pt>
                <c:pt idx="3">
                  <c:v>社会保障和就业支出</c:v>
                </c:pt>
                <c:pt idx="4">
                  <c:v>卫生健康支出</c:v>
                </c:pt>
                <c:pt idx="5">
                  <c:v>住房保障支出</c:v>
                </c:pt>
                <c:pt idx="6">
                  <c:v>其他支出</c:v>
                </c:pt>
              </c:strCache>
            </c:strRef>
          </c:cat>
          <c:val>
            <c:numRef>
              <c:f>[计算图表.xls]Sheet1!$B$74:$B$80</c:f>
              <c:numCache>
                <c:formatCode>General</c:formatCode>
                <c:ptCount val="7"/>
                <c:pt idx="0">
                  <c:v>0.07</c:v>
                </c:pt>
                <c:pt idx="1" c:formatCode="#,##0.00">
                  <c:v>1896.89</c:v>
                </c:pt>
                <c:pt idx="2">
                  <c:v>1.4</c:v>
                </c:pt>
                <c:pt idx="3">
                  <c:v>125.73</c:v>
                </c:pt>
                <c:pt idx="4">
                  <c:v>29.45</c:v>
                </c:pt>
                <c:pt idx="5">
                  <c:v>72.68</c:v>
                </c:pt>
                <c:pt idx="6">
                  <c:v>428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754241156184819"/>
          <c:y val="0.082914211812042"/>
          <c:w val="0.799127906976744"/>
          <c:h val="0.720362120994396"/>
        </c:manualLayout>
      </c:layout>
      <c:pieChart>
        <c:varyColors val="true"/>
        <c:ser>
          <c:idx val="0"/>
          <c:order val="0"/>
          <c:explosion val="0"/>
          <c:dPt>
            <c:idx val="0"/>
            <c:bubble3D val="false"/>
            <c:spPr>
              <a:solidFill>
                <a:schemeClr val="accent1"/>
              </a:solidFill>
              <a:ln w="25400">
                <a:solidFill>
                  <a:schemeClr val="lt1"/>
                </a:solidFill>
              </a:ln>
              <a:effectLst/>
            </c:spPr>
          </c:dPt>
          <c:dPt>
            <c:idx val="1"/>
            <c:bubble3D val="false"/>
            <c:spPr>
              <a:solidFill>
                <a:schemeClr val="accent2"/>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'[图表.xlsx]6'!$K$1:$K$2</c:f>
              <c:strCache>
                <c:ptCount val="2"/>
                <c:pt idx="0">
                  <c:v>公务用车购置及运行维护费支出</c:v>
                </c:pt>
                <c:pt idx="1">
                  <c:v>公务接待费支出</c:v>
                </c:pt>
              </c:strCache>
            </c:strRef>
          </c:cat>
          <c:val>
            <c:numRef>
              <c:f>'[图表.xlsx]6'!$L$1:$L$2</c:f>
              <c:numCache>
                <c:formatCode>General</c:formatCode>
                <c:ptCount val="2"/>
                <c:pt idx="0">
                  <c:v>4.49</c:v>
                </c:pt>
                <c:pt idx="1">
                  <c:v>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00514462101291871"/>
          <c:y val="0.854025919800458"/>
          <c:w val="0.981365039442094"/>
          <c:h val="0.108586243709013"/>
        </c:manualLayout>
      </c:layout>
      <c:overlay val="false"/>
      <c:spPr>
        <a:noFill/>
        <a:ln>
          <a:noFill/>
        </a:ln>
        <a:effectLst/>
      </c:spPr>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75</Pages>
  <Words>35796</Words>
  <Characters>40738</Characters>
  <Lines>54</Lines>
  <Paragraphs>15</Paragraphs>
  <TotalTime>7</TotalTime>
  <ScaleCrop>false</ScaleCrop>
  <LinksUpToDate>false</LinksUpToDate>
  <CharactersWithSpaces>40920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2020-08-08T17:49:00Z</dcterms:created>
  <dc:creator>曹颖</dc:creator>
  <cp:lastModifiedBy> </cp:lastModifiedBy>
  <cp:lastPrinted>2023-08-03T18:35:00Z</cp:lastPrinted>
  <dcterms:modified xsi:type="dcterms:W3CDTF">2024-10-14T17:54:48Z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A586DCBBEB9741D7867A8F0ED73A3D3B_12</vt:lpwstr>
  </property>
</Properties>
</file>