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hint="eastAsia" w:ascii="方正小标宋简体" w:hAnsi="宋体" w:eastAsia="方正小标宋简体"/>
          <w:color w:val="000000" w:themeColor="text1"/>
          <w:sz w:val="72"/>
          <w:szCs w:val="72"/>
          <w14:textFill>
            <w14:solidFill>
              <w14:schemeClr w14:val="tx1"/>
            </w14:solidFill>
          </w14:textFill>
        </w:rPr>
      </w:pPr>
      <w:bookmarkStart w:id="0" w:name="_Toc15396597"/>
      <w:bookmarkStart w:id="1" w:name="_Toc15377193"/>
      <w:bookmarkStart w:id="2" w:name="_Toc15396475"/>
      <w:bookmarkStart w:id="3" w:name="_Toc15377425"/>
      <w:bookmarkStart w:id="4" w:name="_Toc15378441"/>
      <w:bookmarkStart w:id="5" w:name="_Toc15306267"/>
    </w:p>
    <w:p>
      <w:pPr>
        <w:spacing w:line="600" w:lineRule="exact"/>
        <w:jc w:val="center"/>
        <w:outlineLvl w:val="9"/>
        <w:rPr>
          <w:rFonts w:ascii="方正小标宋简体" w:hAnsi="宋体" w:eastAsia="方正小标宋简体"/>
          <w:color w:val="000000" w:themeColor="text1"/>
          <w:sz w:val="72"/>
          <w:szCs w:val="72"/>
          <w14:textFill>
            <w14:solidFill>
              <w14:schemeClr w14:val="tx1"/>
            </w14:solidFill>
          </w14:textFill>
        </w:rPr>
      </w:pPr>
    </w:p>
    <w:p>
      <w:pPr>
        <w:pStyle w:val="19"/>
        <w:ind w:left="420" w:firstLine="1440"/>
        <w:rPr>
          <w:rFonts w:ascii="方正小标宋简体" w:hAnsi="宋体" w:eastAsia="方正小标宋简体"/>
          <w:color w:val="000000" w:themeColor="text1"/>
          <w:sz w:val="72"/>
          <w:szCs w:val="72"/>
          <w14:textFill>
            <w14:solidFill>
              <w14:schemeClr w14:val="tx1"/>
            </w14:solidFill>
          </w14:textFill>
        </w:rPr>
      </w:pPr>
    </w:p>
    <w:p>
      <w:pPr>
        <w:adjustRightInd w:val="0"/>
        <w:snapToGrid w:val="0"/>
        <w:jc w:val="center"/>
        <w:outlineLvl w:val="0"/>
        <w:rPr>
          <w:rFonts w:ascii="方正小标宋简体" w:hAnsi="方正小标宋简体" w:eastAsia="方正小标宋简体" w:cs="方正小标宋简体"/>
          <w:color w:val="000000" w:themeColor="text1"/>
          <w:sz w:val="56"/>
          <w:szCs w:val="56"/>
          <w14:textFill>
            <w14:solidFill>
              <w14:schemeClr w14:val="tx1"/>
            </w14:solidFill>
          </w14:textFill>
        </w:rPr>
      </w:pPr>
      <w:bookmarkStart w:id="6" w:name="_Toc1723"/>
      <w:r>
        <w:rPr>
          <w:rFonts w:hint="eastAsia" w:ascii="方正小标宋简体" w:hAnsi="方正小标宋简体" w:eastAsia="方正小标宋简体" w:cs="方正小标宋简体"/>
          <w:color w:val="000000" w:themeColor="text1"/>
          <w:spacing w:val="64"/>
          <w:kern w:val="0"/>
          <w:sz w:val="56"/>
          <w:szCs w:val="56"/>
          <w:fitText w:val="2800" w:id="1181044356"/>
          <w14:textFill>
            <w14:solidFill>
              <w14:schemeClr w14:val="tx1"/>
            </w14:solidFill>
          </w14:textFill>
        </w:rPr>
        <w:t>2023年</w:t>
      </w:r>
      <w:r>
        <w:rPr>
          <w:rFonts w:hint="eastAsia" w:ascii="方正小标宋简体" w:hAnsi="方正小标宋简体" w:eastAsia="方正小标宋简体" w:cs="方正小标宋简体"/>
          <w:color w:val="000000" w:themeColor="text1"/>
          <w:spacing w:val="2"/>
          <w:kern w:val="0"/>
          <w:sz w:val="56"/>
          <w:szCs w:val="56"/>
          <w:fitText w:val="2800" w:id="1181044356"/>
          <w14:textFill>
            <w14:solidFill>
              <w14:schemeClr w14:val="tx1"/>
            </w14:solidFill>
          </w14:textFill>
        </w:rPr>
        <w:t>度</w:t>
      </w:r>
      <w:bookmarkEnd w:id="0"/>
      <w:bookmarkEnd w:id="1"/>
      <w:bookmarkEnd w:id="2"/>
      <w:bookmarkEnd w:id="3"/>
      <w:bookmarkEnd w:id="4"/>
      <w:bookmarkEnd w:id="6"/>
      <w:bookmarkStart w:id="7" w:name="_Toc15377194"/>
      <w:bookmarkStart w:id="8" w:name="_Toc15377426"/>
      <w:bookmarkStart w:id="9" w:name="_Toc15378442"/>
      <w:bookmarkStart w:id="10" w:name="_Toc15396598"/>
      <w:bookmarkStart w:id="11" w:name="_Toc15396476"/>
    </w:p>
    <w:p>
      <w:pPr>
        <w:adjustRightInd w:val="0"/>
        <w:snapToGrid w:val="0"/>
        <w:jc w:val="center"/>
        <w:outlineLvl w:val="0"/>
        <w:rPr>
          <w:rFonts w:ascii="方正小标宋简体" w:hAnsi="方正小标宋简体" w:eastAsia="方正小标宋简体" w:cs="方正小标宋简体"/>
          <w:color w:val="000000" w:themeColor="text1"/>
          <w:sz w:val="56"/>
          <w:szCs w:val="56"/>
          <w14:textFill>
            <w14:solidFill>
              <w14:schemeClr w14:val="tx1"/>
            </w14:solidFill>
          </w14:textFill>
        </w:rPr>
      </w:pPr>
      <w:bookmarkStart w:id="12" w:name="_Toc91"/>
      <w:r>
        <w:rPr>
          <w:rFonts w:hint="eastAsia" w:ascii="方正小标宋简体" w:hAnsi="方正小标宋简体" w:eastAsia="方正小标宋简体" w:cs="方正小标宋简体"/>
          <w:color w:val="000000" w:themeColor="text1"/>
          <w:sz w:val="56"/>
          <w:szCs w:val="56"/>
          <w14:textFill>
            <w14:solidFill>
              <w14:schemeClr w14:val="tx1"/>
            </w14:solidFill>
          </w14:textFill>
        </w:rPr>
        <w:t>广元市</w:t>
      </w:r>
      <w:bookmarkEnd w:id="5"/>
      <w:bookmarkStart w:id="13" w:name="_Toc15306268"/>
      <w:r>
        <w:rPr>
          <w:rFonts w:hint="eastAsia" w:ascii="方正小标宋简体" w:hAnsi="方正小标宋简体" w:eastAsia="方正小标宋简体" w:cs="方正小标宋简体"/>
          <w:color w:val="000000" w:themeColor="text1"/>
          <w:sz w:val="56"/>
          <w:szCs w:val="56"/>
          <w14:textFill>
            <w14:solidFill>
              <w14:schemeClr w14:val="tx1"/>
            </w14:solidFill>
          </w14:textFill>
        </w:rPr>
        <w:t>医疗保障局</w:t>
      </w:r>
      <w:r>
        <w:rPr>
          <w:rFonts w:hint="eastAsia" w:ascii="方正小标宋简体" w:hAnsi="方正小标宋简体" w:eastAsia="方正小标宋简体" w:cs="方正小标宋简体"/>
          <w:color w:val="000000" w:themeColor="text1"/>
          <w:sz w:val="56"/>
          <w:szCs w:val="56"/>
          <w:lang w:eastAsia="zh-CN"/>
          <w14:textFill>
            <w14:solidFill>
              <w14:schemeClr w14:val="tx1"/>
            </w14:solidFill>
          </w14:textFill>
        </w:rPr>
        <w:t>单位</w:t>
      </w:r>
      <w:r>
        <w:rPr>
          <w:rFonts w:hint="eastAsia" w:ascii="方正小标宋简体" w:hAnsi="方正小标宋简体" w:eastAsia="方正小标宋简体" w:cs="方正小标宋简体"/>
          <w:color w:val="000000" w:themeColor="text1"/>
          <w:sz w:val="56"/>
          <w:szCs w:val="56"/>
          <w14:textFill>
            <w14:solidFill>
              <w14:schemeClr w14:val="tx1"/>
            </w14:solidFill>
          </w14:textFill>
        </w:rPr>
        <w:t>决算</w:t>
      </w:r>
      <w:bookmarkEnd w:id="7"/>
      <w:bookmarkEnd w:id="8"/>
      <w:bookmarkEnd w:id="9"/>
      <w:bookmarkEnd w:id="10"/>
      <w:bookmarkEnd w:id="11"/>
      <w:bookmarkEnd w:id="12"/>
      <w:bookmarkEnd w:id="13"/>
    </w:p>
    <w:p>
      <w:pPr>
        <w:widowControl/>
        <w:jc w:val="center"/>
        <w:rPr>
          <w:rFonts w:ascii="黑体" w:hAnsi="黑体" w:eastAsia="黑体"/>
          <w:color w:val="000000" w:themeColor="text1"/>
          <w:sz w:val="48"/>
          <w:szCs w:val="48"/>
          <w14:textFill>
            <w14:solidFill>
              <w14:schemeClr w14:val="tx1"/>
            </w14:solidFill>
          </w14:textFill>
        </w:rPr>
      </w:pPr>
      <w:r>
        <w:rPr>
          <w:color w:val="000000" w:themeColor="text1"/>
          <w:sz w:val="36"/>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4489450</wp:posOffset>
                </wp:positionH>
                <wp:positionV relativeFrom="paragraph">
                  <wp:posOffset>5514975</wp:posOffset>
                </wp:positionV>
                <wp:extent cx="1403985" cy="630555"/>
                <wp:effectExtent l="0" t="0" r="5715" b="17145"/>
                <wp:wrapNone/>
                <wp:docPr id="14" name="矩形 14"/>
                <wp:cNvGraphicFramePr/>
                <a:graphic xmlns:a="http://schemas.openxmlformats.org/drawingml/2006/main">
                  <a:graphicData uri="http://schemas.microsoft.com/office/word/2010/wordprocessingShape">
                    <wps:wsp>
                      <wps:cNvSpPr/>
                      <wps:spPr>
                        <a:xfrm>
                          <a:off x="6221095" y="9543415"/>
                          <a:ext cx="1403985" cy="6305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353.5pt;margin-top:434.25pt;height:49.65pt;width:110.55pt;z-index:251665408;v-text-anchor:middle;mso-width-relative:page;mso-height-relative:page;" fillcolor="#FFFFFF [3212]" filled="t" stroked="f" coordsize="21600,21600" o:gfxdata="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BYAAABkcnMv&#10;UEsBAhQAFAAAAAgAh07iQHRdZkTXAAAACwEAAA8AAAAAAAAAAQAgAAAAOAAAAGRycy9kb3ducmV2&#10;LnhtbFBLAQIUABQAAAAIAIdO4kAiOYbmWQIAAIMEAAAOAAAAAAAAAAEAIAAAADwBAABkcnMvZTJv&#10;RG9jLnhtbFBLBQYAAAAABgAGAFkBAAAHBgAAAAA=&#10;">
                <v:fill on="t" focussize="0,0"/>
                <v:stroke on="f" weight="2pt"/>
                <v:imagedata o:title=""/>
                <o:lock v:ext="edit" aspectratio="f"/>
              </v:rect>
            </w:pict>
          </mc:Fallback>
        </mc:AlternateContent>
      </w:r>
      <w:r>
        <w:rPr>
          <w:color w:val="000000" w:themeColor="text1"/>
          <w:sz w:val="36"/>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5390515</wp:posOffset>
                </wp:positionH>
                <wp:positionV relativeFrom="paragraph">
                  <wp:posOffset>4685030</wp:posOffset>
                </wp:positionV>
                <wp:extent cx="448945" cy="394335"/>
                <wp:effectExtent l="0" t="0" r="8255" b="5715"/>
                <wp:wrapNone/>
                <wp:docPr id="13" name="矩形 13"/>
                <wp:cNvGraphicFramePr/>
                <a:graphic xmlns:a="http://schemas.openxmlformats.org/drawingml/2006/main">
                  <a:graphicData uri="http://schemas.microsoft.com/office/word/2010/wordprocessingShape">
                    <wps:wsp>
                      <wps:cNvSpPr/>
                      <wps:spPr>
                        <a:xfrm>
                          <a:off x="6398895" y="9603740"/>
                          <a:ext cx="448945" cy="39433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424.45pt;margin-top:368.9pt;height:31.05pt;width:35.35pt;z-index:251664384;v-text-anchor:middle;mso-width-relative:page;mso-height-relative:page;" fillcolor="#FFFFFF [3212]" filled="t" stroked="f" coordsize="21600,21600" o:gfxdata="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FgAAAGRycy9QSwEC&#10;FAAUAAAACACHTuJAxuXD0NYAAAALAQAADwAAAAAAAAABACAAAAA4AAAAZHJzL2Rvd25yZXYueG1s&#10;UEsBAhQAFAAAAAgAh07iQIWXcMFWAgAAggQAAA4AAAAAAAAAAQAgAAAAOwEAAGRycy9lMm9Eb2Mu&#10;eG1sUEsFBgAAAAAGAAYAWQEAAAMGAAAAAA==&#10;">
                <v:fill on="t" focussize="0,0"/>
                <v:stroke on="f" weight="2pt"/>
                <v:imagedata o:title=""/>
                <o:lock v:ext="edit" aspectratio="f"/>
              </v:rect>
            </w:pict>
          </mc:Fallback>
        </mc:AlternateContent>
      </w:r>
      <w:r>
        <w:rPr>
          <w:rFonts w:ascii="方正小标宋简体" w:hAnsi="宋体" w:eastAsia="方正小标宋简体"/>
          <w:color w:val="000000" w:themeColor="text1"/>
          <w:sz w:val="36"/>
          <w:szCs w:val="36"/>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目      录</w:t>
      </w:r>
    </w:p>
    <w:p>
      <w:pPr>
        <w:pStyle w:val="15"/>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公开时间：2024年10月</w:t>
      </w:r>
      <w:r>
        <w:rPr>
          <w:rFonts w:hint="eastAsia" w:ascii="仿宋_GB2312" w:hAnsi="仿宋_GB2312" w:eastAsia="仿宋_GB2312" w:cs="仿宋_GB2312"/>
          <w:color w:val="auto"/>
          <w:sz w:val="32"/>
          <w:szCs w:val="32"/>
          <w:lang w:val="en-US" w:eastAsia="zh-CN"/>
        </w:rPr>
        <w:t>14</w:t>
      </w:r>
      <w:r>
        <w:rPr>
          <w:rFonts w:hint="eastAsia" w:ascii="仿宋_GB2312" w:hAnsi="仿宋_GB2312" w:eastAsia="仿宋_GB2312" w:cs="仿宋_GB2312"/>
          <w:color w:val="000000" w:themeColor="text1"/>
          <w:sz w:val="32"/>
          <w:szCs w:val="32"/>
          <w14:textFill>
            <w14:solidFill>
              <w14:schemeClr w14:val="tx1"/>
            </w14:solidFill>
          </w14:textFill>
        </w:rPr>
        <w:t>日</w:t>
      </w:r>
    </w:p>
    <w:sdt>
      <w:sdtPr>
        <w:rPr>
          <w:rFonts w:ascii="宋体" w:hAnsi="宋体" w:eastAsia="宋体" w:cs="Times New Roman"/>
          <w:kern w:val="2"/>
          <w:sz w:val="21"/>
          <w:szCs w:val="24"/>
          <w:lang w:val="en-US" w:eastAsia="zh-CN" w:bidi="ar-SA"/>
        </w:rPr>
        <w:id w:val="147459980"/>
        <w15:color w:val="DBDBDB"/>
        <w:docPartObj>
          <w:docPartGallery w:val="Table of Contents"/>
          <w:docPartUnique/>
        </w:docPartObj>
      </w:sdtPr>
      <w:sdtEndPr>
        <w:rPr>
          <w:rFonts w:ascii="Times New Roman" w:hAnsi="Times New Roman"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rPr>
          </w:pPr>
          <w:bookmarkStart w:id="106" w:name="_GoBack"/>
          <w:bookmarkEnd w:id="106"/>
          <w:r>
            <w:fldChar w:fldCharType="begin"/>
          </w:r>
          <w:r>
            <w:instrText xml:space="preserve">TOC \o "1-2" \h \u </w:instrText>
          </w:r>
          <w:r>
            <w:fldChar w:fldCharType="separate"/>
          </w:r>
        </w:p>
        <w:p>
          <w:pPr>
            <w:pStyle w:val="57"/>
            <w:tabs>
              <w:tab w:val="right" w:leader="dot" w:pos="8845"/>
            </w:tabs>
            <w:rPr>
              <w:b/>
            </w:rPr>
          </w:pPr>
          <w:r>
            <w:rPr>
              <w:b/>
            </w:rPr>
            <w:fldChar w:fldCharType="begin"/>
          </w:r>
          <w:r>
            <w:rPr>
              <w:b/>
            </w:rPr>
            <w:instrText xml:space="preserve"> HYPERLINK \l _Toc4056 </w:instrText>
          </w:r>
          <w:r>
            <w:rPr>
              <w:b/>
            </w:rPr>
            <w:fldChar w:fldCharType="separate"/>
          </w:r>
          <w:r>
            <w:rPr>
              <w:rFonts w:hint="eastAsia" w:ascii="黑体" w:hAnsi="黑体" w:eastAsia="黑体"/>
              <w:b/>
            </w:rPr>
            <w:t xml:space="preserve">第一部分 </w:t>
          </w:r>
          <w:r>
            <w:rPr>
              <w:rFonts w:hint="eastAsia" w:ascii="黑体" w:hAnsi="黑体" w:eastAsia="黑体"/>
              <w:b/>
              <w:bCs w:val="0"/>
              <w:lang w:eastAsia="zh-CN"/>
            </w:rPr>
            <w:t>单位</w:t>
          </w:r>
          <w:r>
            <w:rPr>
              <w:rFonts w:hint="eastAsia" w:ascii="黑体" w:hAnsi="黑体" w:eastAsia="黑体"/>
              <w:b/>
              <w:bCs w:val="0"/>
            </w:rPr>
            <w:t>概况</w:t>
          </w:r>
          <w:r>
            <w:rPr>
              <w:b/>
            </w:rPr>
            <w:tab/>
          </w:r>
          <w:r>
            <w:rPr>
              <w:b/>
            </w:rPr>
            <w:fldChar w:fldCharType="begin"/>
          </w:r>
          <w:r>
            <w:rPr>
              <w:b/>
            </w:rPr>
            <w:instrText xml:space="preserve"> PAGEREF _Toc4056 \h </w:instrText>
          </w:r>
          <w:r>
            <w:rPr>
              <w:b/>
            </w:rPr>
            <w:fldChar w:fldCharType="separate"/>
          </w:r>
          <w:r>
            <w:rPr>
              <w:b/>
            </w:rPr>
            <w:t>1</w:t>
          </w:r>
          <w:r>
            <w:rPr>
              <w:b/>
            </w:rPr>
            <w:fldChar w:fldCharType="end"/>
          </w:r>
          <w:r>
            <w:rPr>
              <w:b/>
            </w:rPr>
            <w:fldChar w:fldCharType="end"/>
          </w:r>
        </w:p>
        <w:p>
          <w:pPr>
            <w:pStyle w:val="58"/>
            <w:tabs>
              <w:tab w:val="right" w:leader="dot" w:pos="8845"/>
            </w:tabs>
          </w:pPr>
          <w:r>
            <w:fldChar w:fldCharType="begin"/>
          </w:r>
          <w:r>
            <w:instrText xml:space="preserve"> HYPERLINK \l _Toc6264 </w:instrText>
          </w:r>
          <w:r>
            <w:fldChar w:fldCharType="separate"/>
          </w:r>
          <w:r>
            <w:rPr>
              <w:rFonts w:hint="eastAsia" w:ascii="黑体" w:hAnsi="黑体" w:eastAsia="黑体"/>
            </w:rPr>
            <w:t>一、</w:t>
          </w:r>
          <w:r>
            <w:rPr>
              <w:rFonts w:hint="eastAsia" w:ascii="黑体" w:hAnsi="黑体" w:eastAsia="黑体"/>
              <w:lang w:eastAsia="zh-CN"/>
            </w:rPr>
            <w:t>主要</w:t>
          </w:r>
          <w:r>
            <w:rPr>
              <w:rFonts w:hint="eastAsia" w:ascii="黑体" w:hAnsi="黑体" w:eastAsia="黑体"/>
            </w:rPr>
            <w:t>职责</w:t>
          </w:r>
          <w:r>
            <w:tab/>
          </w:r>
          <w:r>
            <w:fldChar w:fldCharType="begin"/>
          </w:r>
          <w:r>
            <w:instrText xml:space="preserve"> PAGEREF _Toc6264 \h </w:instrText>
          </w:r>
          <w:r>
            <w:fldChar w:fldCharType="separate"/>
          </w:r>
          <w:r>
            <w:t>1</w:t>
          </w:r>
          <w:r>
            <w:fldChar w:fldCharType="end"/>
          </w:r>
          <w:r>
            <w:fldChar w:fldCharType="end"/>
          </w:r>
        </w:p>
        <w:p>
          <w:pPr>
            <w:pStyle w:val="58"/>
            <w:tabs>
              <w:tab w:val="right" w:leader="dot" w:pos="8845"/>
            </w:tabs>
          </w:pPr>
          <w:r>
            <w:fldChar w:fldCharType="begin"/>
          </w:r>
          <w:r>
            <w:instrText xml:space="preserve"> HYPERLINK \l _Toc5311 </w:instrText>
          </w:r>
          <w:r>
            <w:fldChar w:fldCharType="separate"/>
          </w:r>
          <w:r>
            <w:rPr>
              <w:rFonts w:hint="eastAsia" w:ascii="黑体" w:eastAsia="黑体"/>
            </w:rPr>
            <w:t>二、</w:t>
          </w:r>
          <w:r>
            <w:rPr>
              <w:rFonts w:hint="eastAsia" w:ascii="黑体" w:hAnsi="黑体" w:eastAsia="黑体"/>
            </w:rPr>
            <w:t>机</w:t>
          </w:r>
          <w:r>
            <w:rPr>
              <w:rFonts w:hint="eastAsia" w:ascii="黑体" w:hAnsi="黑体" w:eastAsia="黑体"/>
              <w:bCs w:val="0"/>
            </w:rPr>
            <w:t>构设置</w:t>
          </w:r>
          <w:r>
            <w:tab/>
          </w:r>
          <w:r>
            <w:fldChar w:fldCharType="begin"/>
          </w:r>
          <w:r>
            <w:instrText xml:space="preserve"> PAGEREF _Toc5311 \h </w:instrText>
          </w:r>
          <w:r>
            <w:fldChar w:fldCharType="separate"/>
          </w:r>
          <w:r>
            <w:t>3</w:t>
          </w:r>
          <w:r>
            <w:fldChar w:fldCharType="end"/>
          </w:r>
          <w:r>
            <w:fldChar w:fldCharType="end"/>
          </w:r>
        </w:p>
        <w:p>
          <w:pPr>
            <w:pStyle w:val="57"/>
            <w:tabs>
              <w:tab w:val="right" w:leader="dot" w:pos="8845"/>
            </w:tabs>
            <w:rPr>
              <w:b/>
            </w:rPr>
          </w:pPr>
          <w:r>
            <w:rPr>
              <w:b/>
            </w:rPr>
            <w:fldChar w:fldCharType="begin"/>
          </w:r>
          <w:r>
            <w:rPr>
              <w:b/>
            </w:rPr>
            <w:instrText xml:space="preserve"> HYPERLINK \l _Toc27427 </w:instrText>
          </w:r>
          <w:r>
            <w:rPr>
              <w:b/>
            </w:rPr>
            <w:fldChar w:fldCharType="separate"/>
          </w:r>
          <w:r>
            <w:rPr>
              <w:rFonts w:hint="eastAsia" w:ascii="黑体" w:hAnsi="黑体" w:eastAsia="黑体"/>
              <w:b/>
            </w:rPr>
            <w:t>第二部分 2023年度</w:t>
          </w:r>
          <w:r>
            <w:rPr>
              <w:rFonts w:hint="eastAsia" w:ascii="黑体" w:hAnsi="黑体" w:eastAsia="黑体"/>
              <w:b/>
              <w:bCs/>
              <w:lang w:eastAsia="zh-CN"/>
            </w:rPr>
            <w:t>单位</w:t>
          </w:r>
          <w:r>
            <w:rPr>
              <w:rFonts w:hint="eastAsia" w:ascii="黑体" w:hAnsi="黑体" w:eastAsia="黑体"/>
              <w:b/>
              <w:bCs/>
            </w:rPr>
            <w:t>决算情况说明</w:t>
          </w:r>
          <w:r>
            <w:rPr>
              <w:b/>
            </w:rPr>
            <w:tab/>
          </w:r>
          <w:r>
            <w:rPr>
              <w:b/>
            </w:rPr>
            <w:fldChar w:fldCharType="begin"/>
          </w:r>
          <w:r>
            <w:rPr>
              <w:b/>
            </w:rPr>
            <w:instrText xml:space="preserve"> PAGEREF _Toc27427 \h </w:instrText>
          </w:r>
          <w:r>
            <w:rPr>
              <w:b/>
            </w:rPr>
            <w:fldChar w:fldCharType="separate"/>
          </w:r>
          <w:r>
            <w:rPr>
              <w:b/>
            </w:rPr>
            <w:t>4</w:t>
          </w:r>
          <w:r>
            <w:rPr>
              <w:b/>
            </w:rPr>
            <w:fldChar w:fldCharType="end"/>
          </w:r>
          <w:r>
            <w:rPr>
              <w:b/>
            </w:rPr>
            <w:fldChar w:fldCharType="end"/>
          </w:r>
        </w:p>
        <w:p>
          <w:pPr>
            <w:pStyle w:val="58"/>
            <w:tabs>
              <w:tab w:val="right" w:leader="dot" w:pos="8845"/>
            </w:tabs>
          </w:pPr>
          <w:r>
            <w:fldChar w:fldCharType="begin"/>
          </w:r>
          <w:r>
            <w:instrText xml:space="preserve"> HYPERLINK \l _Toc7485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_Toc7485 \h </w:instrText>
          </w:r>
          <w:r>
            <w:fldChar w:fldCharType="separate"/>
          </w:r>
          <w:r>
            <w:t>4</w:t>
          </w:r>
          <w:r>
            <w:fldChar w:fldCharType="end"/>
          </w:r>
          <w:r>
            <w:fldChar w:fldCharType="end"/>
          </w:r>
        </w:p>
        <w:p>
          <w:pPr>
            <w:pStyle w:val="58"/>
            <w:tabs>
              <w:tab w:val="right" w:leader="dot" w:pos="8845"/>
            </w:tabs>
          </w:pPr>
          <w:r>
            <w:fldChar w:fldCharType="begin"/>
          </w:r>
          <w:r>
            <w:instrText xml:space="preserve"> HYPERLINK \l _Toc25167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_Toc25167 \h </w:instrText>
          </w:r>
          <w:r>
            <w:fldChar w:fldCharType="separate"/>
          </w:r>
          <w:r>
            <w:t>4</w:t>
          </w:r>
          <w:r>
            <w:fldChar w:fldCharType="end"/>
          </w:r>
          <w:r>
            <w:fldChar w:fldCharType="end"/>
          </w:r>
        </w:p>
        <w:p>
          <w:pPr>
            <w:pStyle w:val="58"/>
            <w:tabs>
              <w:tab w:val="right" w:leader="dot" w:pos="8845"/>
            </w:tabs>
          </w:pPr>
          <w:r>
            <w:fldChar w:fldCharType="begin"/>
          </w:r>
          <w:r>
            <w:instrText xml:space="preserve"> HYPERLINK \l _Toc20327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_Toc20327 \h </w:instrText>
          </w:r>
          <w:r>
            <w:fldChar w:fldCharType="separate"/>
          </w:r>
          <w:r>
            <w:t>5</w:t>
          </w:r>
          <w:r>
            <w:fldChar w:fldCharType="end"/>
          </w:r>
          <w:r>
            <w:fldChar w:fldCharType="end"/>
          </w:r>
        </w:p>
        <w:p>
          <w:pPr>
            <w:pStyle w:val="58"/>
            <w:tabs>
              <w:tab w:val="right" w:leader="dot" w:pos="8845"/>
            </w:tabs>
          </w:pPr>
          <w:r>
            <w:fldChar w:fldCharType="begin"/>
          </w:r>
          <w:r>
            <w:instrText xml:space="preserve"> HYPERLINK \l _Toc18468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_Toc18468 \h </w:instrText>
          </w:r>
          <w:r>
            <w:fldChar w:fldCharType="separate"/>
          </w:r>
          <w:r>
            <w:t>6</w:t>
          </w:r>
          <w:r>
            <w:fldChar w:fldCharType="end"/>
          </w:r>
          <w:r>
            <w:fldChar w:fldCharType="end"/>
          </w:r>
        </w:p>
        <w:p>
          <w:pPr>
            <w:pStyle w:val="58"/>
            <w:tabs>
              <w:tab w:val="right" w:leader="dot" w:pos="8845"/>
            </w:tabs>
          </w:pPr>
          <w:r>
            <w:fldChar w:fldCharType="begin"/>
          </w:r>
          <w:r>
            <w:instrText xml:space="preserve"> HYPERLINK \l _Toc19693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_Toc19693 \h </w:instrText>
          </w:r>
          <w:r>
            <w:fldChar w:fldCharType="separate"/>
          </w:r>
          <w:r>
            <w:t>6</w:t>
          </w:r>
          <w:r>
            <w:fldChar w:fldCharType="end"/>
          </w:r>
          <w:r>
            <w:fldChar w:fldCharType="end"/>
          </w:r>
        </w:p>
        <w:p>
          <w:pPr>
            <w:pStyle w:val="58"/>
            <w:tabs>
              <w:tab w:val="right" w:leader="dot" w:pos="8845"/>
            </w:tabs>
          </w:pPr>
          <w:r>
            <w:fldChar w:fldCharType="begin"/>
          </w:r>
          <w:r>
            <w:instrText xml:space="preserve"> HYPERLINK \l _Toc5592 </w:instrText>
          </w:r>
          <w:r>
            <w:fldChar w:fldCharType="separate"/>
          </w:r>
          <w:r>
            <w:rPr>
              <w:rFonts w:hint="eastAsia" w:ascii="黑体" w:hAnsi="黑体" w:eastAsia="黑体" w:cs="黑体"/>
              <w:bCs/>
              <w:szCs w:val="32"/>
            </w:rPr>
            <w:t>六、一</w:t>
          </w:r>
          <w:r>
            <w:rPr>
              <w:rFonts w:hint="eastAsia" w:ascii="黑体" w:hAnsi="黑体" w:eastAsia="黑体" w:cs="黑体"/>
            </w:rPr>
            <w:t>般公共预算财政拨款基本支出决算情况说明</w:t>
          </w:r>
          <w:r>
            <w:tab/>
          </w:r>
          <w:r>
            <w:fldChar w:fldCharType="begin"/>
          </w:r>
          <w:r>
            <w:instrText xml:space="preserve"> PAGEREF _Toc5592 \h </w:instrText>
          </w:r>
          <w:r>
            <w:fldChar w:fldCharType="separate"/>
          </w:r>
          <w:r>
            <w:t>9</w:t>
          </w:r>
          <w:r>
            <w:fldChar w:fldCharType="end"/>
          </w:r>
          <w:r>
            <w:fldChar w:fldCharType="end"/>
          </w:r>
        </w:p>
        <w:p>
          <w:pPr>
            <w:pStyle w:val="58"/>
            <w:tabs>
              <w:tab w:val="right" w:leader="dot" w:pos="8845"/>
            </w:tabs>
          </w:pPr>
          <w:r>
            <w:fldChar w:fldCharType="begin"/>
          </w:r>
          <w:r>
            <w:instrText xml:space="preserve"> HYPERLINK \l _Toc32193 </w:instrText>
          </w:r>
          <w:r>
            <w:fldChar w:fldCharType="separate"/>
          </w:r>
          <w:r>
            <w:rPr>
              <w:rFonts w:hint="eastAsia" w:ascii="黑体" w:hAnsi="黑体" w:eastAsia="黑体" w:cs="黑体"/>
              <w:bCs/>
              <w:szCs w:val="32"/>
            </w:rPr>
            <w:t>七、</w:t>
          </w:r>
          <w:r>
            <w:rPr>
              <w:rFonts w:hint="eastAsia" w:ascii="黑体" w:hAnsi="黑体" w:eastAsia="黑体" w:cs="黑体"/>
            </w:rPr>
            <w:t>财政拨款“三公”经费支出决算情况说明</w:t>
          </w:r>
          <w:r>
            <w:tab/>
          </w:r>
          <w:r>
            <w:fldChar w:fldCharType="begin"/>
          </w:r>
          <w:r>
            <w:instrText xml:space="preserve"> PAGEREF _Toc32193 \h </w:instrText>
          </w:r>
          <w:r>
            <w:fldChar w:fldCharType="separate"/>
          </w:r>
          <w:r>
            <w:t>10</w:t>
          </w:r>
          <w:r>
            <w:fldChar w:fldCharType="end"/>
          </w:r>
          <w:r>
            <w:fldChar w:fldCharType="end"/>
          </w:r>
        </w:p>
        <w:p>
          <w:pPr>
            <w:pStyle w:val="58"/>
            <w:tabs>
              <w:tab w:val="right" w:leader="dot" w:pos="8845"/>
            </w:tabs>
          </w:pPr>
          <w:r>
            <w:fldChar w:fldCharType="begin"/>
          </w:r>
          <w:r>
            <w:instrText xml:space="preserve"> HYPERLINK \l _Toc26051 </w:instrText>
          </w:r>
          <w:r>
            <w:fldChar w:fldCharType="separate"/>
          </w:r>
          <w:r>
            <w:rPr>
              <w:rFonts w:hint="eastAsia" w:ascii="黑体" w:hAnsi="黑体" w:eastAsia="黑体" w:cs="黑体"/>
              <w:bCs/>
              <w:szCs w:val="32"/>
            </w:rPr>
            <w:t>八、</w:t>
          </w:r>
          <w:r>
            <w:rPr>
              <w:rFonts w:hint="eastAsia" w:ascii="黑体" w:hAnsi="黑体" w:eastAsia="黑体" w:cs="黑体"/>
            </w:rPr>
            <w:t>政府性基金预算支出决算情况说明</w:t>
          </w:r>
          <w:r>
            <w:tab/>
          </w:r>
          <w:r>
            <w:fldChar w:fldCharType="begin"/>
          </w:r>
          <w:r>
            <w:instrText xml:space="preserve"> PAGEREF _Toc26051 \h </w:instrText>
          </w:r>
          <w:r>
            <w:fldChar w:fldCharType="separate"/>
          </w:r>
          <w:r>
            <w:t>11</w:t>
          </w:r>
          <w:r>
            <w:fldChar w:fldCharType="end"/>
          </w:r>
          <w:r>
            <w:fldChar w:fldCharType="end"/>
          </w:r>
        </w:p>
        <w:p>
          <w:pPr>
            <w:pStyle w:val="58"/>
            <w:tabs>
              <w:tab w:val="right" w:leader="dot" w:pos="8845"/>
            </w:tabs>
          </w:pPr>
          <w:r>
            <w:fldChar w:fldCharType="begin"/>
          </w:r>
          <w:r>
            <w:instrText xml:space="preserve"> HYPERLINK \l _Toc16695 </w:instrText>
          </w:r>
          <w:r>
            <w:fldChar w:fldCharType="separate"/>
          </w:r>
          <w:r>
            <w:rPr>
              <w:rFonts w:hint="eastAsia" w:ascii="黑体" w:hAnsi="黑体" w:eastAsia="黑体" w:cs="黑体"/>
            </w:rPr>
            <w:t>九、 国有资本经营预算支出决算情况说明</w:t>
          </w:r>
          <w:r>
            <w:tab/>
          </w:r>
          <w:r>
            <w:fldChar w:fldCharType="begin"/>
          </w:r>
          <w:r>
            <w:instrText xml:space="preserve"> PAGEREF _Toc16695 \h </w:instrText>
          </w:r>
          <w:r>
            <w:fldChar w:fldCharType="separate"/>
          </w:r>
          <w:r>
            <w:t>11</w:t>
          </w:r>
          <w:r>
            <w:fldChar w:fldCharType="end"/>
          </w:r>
          <w:r>
            <w:fldChar w:fldCharType="end"/>
          </w:r>
        </w:p>
        <w:p>
          <w:pPr>
            <w:pStyle w:val="58"/>
            <w:tabs>
              <w:tab w:val="right" w:leader="dot" w:pos="8845"/>
            </w:tabs>
          </w:pPr>
          <w:r>
            <w:fldChar w:fldCharType="begin"/>
          </w:r>
          <w:r>
            <w:instrText xml:space="preserve"> HYPERLINK \l _Toc23647 </w:instrText>
          </w:r>
          <w:r>
            <w:fldChar w:fldCharType="separate"/>
          </w:r>
          <w:r>
            <w:rPr>
              <w:rFonts w:hint="eastAsia" w:ascii="黑体" w:hAnsi="黑体" w:eastAsia="黑体" w:cs="黑体"/>
            </w:rPr>
            <w:t>十、 其他重要事项的情况说明</w:t>
          </w:r>
          <w:r>
            <w:tab/>
          </w:r>
          <w:r>
            <w:fldChar w:fldCharType="begin"/>
          </w:r>
          <w:r>
            <w:instrText xml:space="preserve"> PAGEREF _Toc23647 \h </w:instrText>
          </w:r>
          <w:r>
            <w:fldChar w:fldCharType="separate"/>
          </w:r>
          <w:r>
            <w:t>11</w:t>
          </w:r>
          <w:r>
            <w:fldChar w:fldCharType="end"/>
          </w:r>
          <w:r>
            <w:fldChar w:fldCharType="end"/>
          </w:r>
        </w:p>
        <w:p>
          <w:pPr>
            <w:pStyle w:val="57"/>
            <w:tabs>
              <w:tab w:val="right" w:leader="dot" w:pos="8845"/>
            </w:tabs>
            <w:rPr>
              <w:b/>
            </w:rPr>
          </w:pPr>
          <w:r>
            <w:rPr>
              <w:b/>
            </w:rPr>
            <w:fldChar w:fldCharType="begin"/>
          </w:r>
          <w:r>
            <w:rPr>
              <w:b/>
            </w:rPr>
            <w:instrText xml:space="preserve"> HYPERLINK \l _Toc2698 </w:instrText>
          </w:r>
          <w:r>
            <w:rPr>
              <w:b/>
            </w:rPr>
            <w:fldChar w:fldCharType="separate"/>
          </w:r>
          <w:r>
            <w:rPr>
              <w:rFonts w:hint="eastAsia" w:ascii="黑体" w:hAnsi="黑体" w:eastAsia="黑体"/>
              <w:b/>
            </w:rPr>
            <w:t xml:space="preserve">第三部分 </w:t>
          </w:r>
          <w:r>
            <w:rPr>
              <w:rFonts w:hint="eastAsia" w:ascii="黑体" w:hAnsi="黑体" w:eastAsia="黑体"/>
              <w:b/>
              <w:szCs w:val="44"/>
            </w:rPr>
            <w:t>名</w:t>
          </w:r>
          <w:r>
            <w:rPr>
              <w:rFonts w:hint="eastAsia" w:ascii="黑体" w:hAnsi="黑体" w:eastAsia="黑体"/>
              <w:b/>
            </w:rPr>
            <w:t>词解释</w:t>
          </w:r>
          <w:r>
            <w:rPr>
              <w:b/>
            </w:rPr>
            <w:tab/>
          </w:r>
          <w:r>
            <w:rPr>
              <w:b/>
            </w:rPr>
            <w:fldChar w:fldCharType="begin"/>
          </w:r>
          <w:r>
            <w:rPr>
              <w:b/>
            </w:rPr>
            <w:instrText xml:space="preserve"> PAGEREF _Toc2698 \h </w:instrText>
          </w:r>
          <w:r>
            <w:rPr>
              <w:b/>
            </w:rPr>
            <w:fldChar w:fldCharType="separate"/>
          </w:r>
          <w:r>
            <w:rPr>
              <w:b/>
            </w:rPr>
            <w:t>13</w:t>
          </w:r>
          <w:r>
            <w:rPr>
              <w:b/>
            </w:rPr>
            <w:fldChar w:fldCharType="end"/>
          </w:r>
          <w:r>
            <w:rPr>
              <w:b/>
            </w:rPr>
            <w:fldChar w:fldCharType="end"/>
          </w:r>
        </w:p>
        <w:p>
          <w:pPr>
            <w:pStyle w:val="57"/>
            <w:tabs>
              <w:tab w:val="right" w:leader="dot" w:pos="8845"/>
            </w:tabs>
            <w:rPr>
              <w:b/>
            </w:rPr>
          </w:pPr>
          <w:r>
            <w:rPr>
              <w:b/>
            </w:rPr>
            <w:fldChar w:fldCharType="begin"/>
          </w:r>
          <w:r>
            <w:rPr>
              <w:b/>
            </w:rPr>
            <w:instrText xml:space="preserve"> HYPERLINK \l _Toc7836 </w:instrText>
          </w:r>
          <w:r>
            <w:rPr>
              <w:b/>
            </w:rPr>
            <w:fldChar w:fldCharType="separate"/>
          </w:r>
          <w:r>
            <w:rPr>
              <w:rFonts w:hint="eastAsia" w:ascii="黑体" w:hAnsi="黑体" w:eastAsia="黑体"/>
              <w:b/>
            </w:rPr>
            <w:t>第四部分 附</w:t>
          </w:r>
          <w:r>
            <w:rPr>
              <w:rFonts w:ascii="黑体" w:hAnsi="黑体" w:eastAsia="黑体"/>
              <w:b/>
            </w:rPr>
            <w:t xml:space="preserve">  </w:t>
          </w:r>
          <w:r>
            <w:rPr>
              <w:rFonts w:hint="eastAsia" w:ascii="黑体" w:hAnsi="黑体" w:eastAsia="黑体"/>
              <w:b/>
            </w:rPr>
            <w:t>件</w:t>
          </w:r>
          <w:r>
            <w:rPr>
              <w:b/>
            </w:rPr>
            <w:tab/>
          </w:r>
          <w:r>
            <w:rPr>
              <w:b/>
            </w:rPr>
            <w:fldChar w:fldCharType="begin"/>
          </w:r>
          <w:r>
            <w:rPr>
              <w:b/>
            </w:rPr>
            <w:instrText xml:space="preserve"> PAGEREF _Toc7836 \h </w:instrText>
          </w:r>
          <w:r>
            <w:rPr>
              <w:b/>
            </w:rPr>
            <w:fldChar w:fldCharType="separate"/>
          </w:r>
          <w:r>
            <w:rPr>
              <w:b/>
            </w:rPr>
            <w:t>16</w:t>
          </w:r>
          <w:r>
            <w:rPr>
              <w:b/>
            </w:rPr>
            <w:fldChar w:fldCharType="end"/>
          </w:r>
          <w:r>
            <w:rPr>
              <w:b/>
            </w:rPr>
            <w:fldChar w:fldCharType="end"/>
          </w:r>
        </w:p>
        <w:p>
          <w:pPr>
            <w:pStyle w:val="57"/>
            <w:tabs>
              <w:tab w:val="right" w:leader="dot" w:pos="8845"/>
            </w:tabs>
            <w:rPr>
              <w:b/>
            </w:rPr>
          </w:pPr>
          <w:r>
            <w:rPr>
              <w:b/>
            </w:rPr>
            <w:fldChar w:fldCharType="begin"/>
          </w:r>
          <w:r>
            <w:rPr>
              <w:b/>
            </w:rPr>
            <w:instrText xml:space="preserve"> HYPERLINK \l _Toc15630 </w:instrText>
          </w:r>
          <w:r>
            <w:rPr>
              <w:b/>
            </w:rPr>
            <w:fldChar w:fldCharType="separate"/>
          </w:r>
          <w:r>
            <w:rPr>
              <w:rFonts w:hint="eastAsia" w:ascii="黑体" w:hAnsi="黑体" w:eastAsia="黑体"/>
              <w:b/>
              <w:szCs w:val="44"/>
            </w:rPr>
            <w:t>第</w:t>
          </w:r>
          <w:r>
            <w:rPr>
              <w:rFonts w:hint="eastAsia" w:ascii="黑体" w:hAnsi="黑体" w:eastAsia="黑体"/>
              <w:b/>
            </w:rPr>
            <w:t>五部分</w:t>
          </w:r>
          <w:r>
            <w:rPr>
              <w:rFonts w:ascii="黑体" w:hAnsi="黑体" w:eastAsia="黑体"/>
              <w:b/>
            </w:rPr>
            <w:t xml:space="preserve">  </w:t>
          </w:r>
          <w:r>
            <w:rPr>
              <w:rFonts w:hint="eastAsia" w:ascii="黑体" w:hAnsi="黑体" w:eastAsia="黑体"/>
              <w:b/>
            </w:rPr>
            <w:t>附</w:t>
          </w:r>
          <w:r>
            <w:rPr>
              <w:rFonts w:ascii="黑体" w:hAnsi="黑体" w:eastAsia="黑体"/>
              <w:b/>
            </w:rPr>
            <w:t xml:space="preserve">  </w:t>
          </w:r>
          <w:r>
            <w:rPr>
              <w:rFonts w:hint="eastAsia" w:ascii="黑体" w:hAnsi="黑体" w:eastAsia="黑体"/>
              <w:b/>
            </w:rPr>
            <w:t>表</w:t>
          </w:r>
          <w:r>
            <w:rPr>
              <w:b/>
            </w:rPr>
            <w:tab/>
          </w:r>
          <w:r>
            <w:rPr>
              <w:b/>
            </w:rPr>
            <w:fldChar w:fldCharType="begin"/>
          </w:r>
          <w:r>
            <w:rPr>
              <w:b/>
            </w:rPr>
            <w:instrText xml:space="preserve"> PAGEREF _Toc15630 \h </w:instrText>
          </w:r>
          <w:r>
            <w:rPr>
              <w:b/>
            </w:rPr>
            <w:fldChar w:fldCharType="separate"/>
          </w:r>
          <w:r>
            <w:rPr>
              <w:b/>
            </w:rPr>
            <w:t>17</w:t>
          </w:r>
          <w:r>
            <w:rPr>
              <w:b/>
            </w:rPr>
            <w:fldChar w:fldCharType="end"/>
          </w:r>
          <w:r>
            <w:rPr>
              <w:b/>
            </w:rPr>
            <w:fldChar w:fldCharType="end"/>
          </w:r>
        </w:p>
        <w:p>
          <w:pPr>
            <w:pStyle w:val="58"/>
            <w:tabs>
              <w:tab w:val="right" w:leader="dot" w:pos="8845"/>
            </w:tabs>
          </w:pPr>
          <w:r>
            <w:fldChar w:fldCharType="begin"/>
          </w:r>
          <w:r>
            <w:instrText xml:space="preserve"> HYPERLINK \l _Toc20341 </w:instrText>
          </w:r>
          <w:r>
            <w:fldChar w:fldCharType="separate"/>
          </w:r>
          <w:r>
            <w:rPr>
              <w:rFonts w:hint="eastAsia" w:ascii="仿宋_GB2312" w:hAnsi="仿宋_GB2312" w:eastAsia="仿宋_GB2312" w:cs="仿宋_GB2312"/>
            </w:rPr>
            <w:t>一、收</w:t>
          </w:r>
          <w:r>
            <w:rPr>
              <w:rFonts w:hint="eastAsia" w:ascii="仿宋_GB2312" w:hAnsi="仿宋_GB2312" w:eastAsia="仿宋_GB2312" w:cs="仿宋_GB2312"/>
              <w:bCs w:val="0"/>
            </w:rPr>
            <w:t>入支出决算总表</w:t>
          </w:r>
          <w:r>
            <w:tab/>
          </w:r>
          <w:r>
            <w:fldChar w:fldCharType="begin"/>
          </w:r>
          <w:r>
            <w:instrText xml:space="preserve"> PAGEREF _Toc20341 \h </w:instrText>
          </w:r>
          <w:r>
            <w:fldChar w:fldCharType="separate"/>
          </w:r>
          <w:r>
            <w:t>17</w:t>
          </w:r>
          <w:r>
            <w:fldChar w:fldCharType="end"/>
          </w:r>
          <w:r>
            <w:fldChar w:fldCharType="end"/>
          </w:r>
        </w:p>
        <w:p>
          <w:pPr>
            <w:pStyle w:val="58"/>
            <w:tabs>
              <w:tab w:val="right" w:leader="dot" w:pos="8845"/>
            </w:tabs>
          </w:pPr>
          <w:r>
            <w:fldChar w:fldCharType="begin"/>
          </w:r>
          <w:r>
            <w:instrText xml:space="preserve"> HYPERLINK \l _Toc13276 </w:instrText>
          </w:r>
          <w:r>
            <w:fldChar w:fldCharType="separate"/>
          </w:r>
          <w:r>
            <w:rPr>
              <w:rFonts w:hint="eastAsia" w:ascii="仿宋_GB2312" w:hAnsi="仿宋_GB2312" w:eastAsia="仿宋_GB2312" w:cs="仿宋_GB2312"/>
            </w:rPr>
            <w:t>二、收</w:t>
          </w:r>
          <w:r>
            <w:rPr>
              <w:rFonts w:hint="eastAsia" w:ascii="仿宋_GB2312" w:hAnsi="仿宋_GB2312" w:eastAsia="仿宋_GB2312" w:cs="仿宋_GB2312"/>
              <w:bCs w:val="0"/>
            </w:rPr>
            <w:t>入决算表</w:t>
          </w:r>
          <w:r>
            <w:tab/>
          </w:r>
          <w:r>
            <w:fldChar w:fldCharType="begin"/>
          </w:r>
          <w:r>
            <w:instrText xml:space="preserve"> PAGEREF _Toc13276 \h </w:instrText>
          </w:r>
          <w:r>
            <w:fldChar w:fldCharType="separate"/>
          </w:r>
          <w:r>
            <w:t>17</w:t>
          </w:r>
          <w:r>
            <w:fldChar w:fldCharType="end"/>
          </w:r>
          <w:r>
            <w:fldChar w:fldCharType="end"/>
          </w:r>
        </w:p>
        <w:p>
          <w:pPr>
            <w:pStyle w:val="58"/>
            <w:tabs>
              <w:tab w:val="right" w:leader="dot" w:pos="8845"/>
            </w:tabs>
          </w:pPr>
          <w:r>
            <w:fldChar w:fldCharType="begin"/>
          </w:r>
          <w:r>
            <w:instrText xml:space="preserve"> HYPERLINK \l _Toc453 </w:instrText>
          </w:r>
          <w:r>
            <w:fldChar w:fldCharType="separate"/>
          </w:r>
          <w:r>
            <w:rPr>
              <w:rFonts w:hint="eastAsia" w:ascii="仿宋_GB2312" w:hAnsi="仿宋_GB2312" w:eastAsia="仿宋_GB2312" w:cs="仿宋_GB2312"/>
              <w:bCs w:val="0"/>
            </w:rPr>
            <w:t>三、</w:t>
          </w:r>
          <w:r>
            <w:rPr>
              <w:rFonts w:hint="eastAsia" w:ascii="仿宋_GB2312" w:hAnsi="仿宋_GB2312" w:eastAsia="仿宋_GB2312" w:cs="仿宋_GB2312"/>
            </w:rPr>
            <w:t>支</w:t>
          </w:r>
          <w:r>
            <w:rPr>
              <w:rFonts w:hint="eastAsia" w:ascii="仿宋_GB2312" w:hAnsi="仿宋_GB2312" w:eastAsia="仿宋_GB2312" w:cs="仿宋_GB2312"/>
              <w:bCs w:val="0"/>
            </w:rPr>
            <w:t>出决算表</w:t>
          </w:r>
          <w:r>
            <w:tab/>
          </w:r>
          <w:r>
            <w:fldChar w:fldCharType="begin"/>
          </w:r>
          <w:r>
            <w:instrText xml:space="preserve"> PAGEREF _Toc453 \h </w:instrText>
          </w:r>
          <w:r>
            <w:fldChar w:fldCharType="separate"/>
          </w:r>
          <w:r>
            <w:t>17</w:t>
          </w:r>
          <w:r>
            <w:fldChar w:fldCharType="end"/>
          </w:r>
          <w:r>
            <w:fldChar w:fldCharType="end"/>
          </w:r>
        </w:p>
        <w:p>
          <w:pPr>
            <w:pStyle w:val="58"/>
            <w:tabs>
              <w:tab w:val="right" w:leader="dot" w:pos="8845"/>
            </w:tabs>
          </w:pPr>
          <w:r>
            <w:fldChar w:fldCharType="begin"/>
          </w:r>
          <w:r>
            <w:instrText xml:space="preserve"> HYPERLINK \l _Toc31964 </w:instrText>
          </w:r>
          <w:r>
            <w:fldChar w:fldCharType="separate"/>
          </w:r>
          <w:r>
            <w:rPr>
              <w:rFonts w:hint="eastAsia" w:ascii="仿宋_GB2312" w:hAnsi="仿宋_GB2312" w:eastAsia="仿宋_GB2312" w:cs="仿宋_GB2312"/>
              <w:bCs w:val="0"/>
            </w:rPr>
            <w:t>四、</w:t>
          </w:r>
          <w:r>
            <w:rPr>
              <w:rFonts w:hint="eastAsia" w:ascii="仿宋_GB2312" w:hAnsi="仿宋_GB2312" w:eastAsia="仿宋_GB2312" w:cs="仿宋_GB2312"/>
            </w:rPr>
            <w:t>财</w:t>
          </w:r>
          <w:r>
            <w:rPr>
              <w:rFonts w:hint="eastAsia" w:ascii="仿宋_GB2312" w:hAnsi="仿宋_GB2312" w:eastAsia="仿宋_GB2312" w:cs="仿宋_GB2312"/>
              <w:bCs w:val="0"/>
            </w:rPr>
            <w:t>政拨款收入支出决算总表</w:t>
          </w:r>
          <w:r>
            <w:tab/>
          </w:r>
          <w:r>
            <w:fldChar w:fldCharType="begin"/>
          </w:r>
          <w:r>
            <w:instrText xml:space="preserve"> PAGEREF _Toc31964 \h </w:instrText>
          </w:r>
          <w:r>
            <w:fldChar w:fldCharType="separate"/>
          </w:r>
          <w:r>
            <w:t>17</w:t>
          </w:r>
          <w:r>
            <w:fldChar w:fldCharType="end"/>
          </w:r>
          <w:r>
            <w:fldChar w:fldCharType="end"/>
          </w:r>
        </w:p>
        <w:p>
          <w:pPr>
            <w:pStyle w:val="58"/>
            <w:tabs>
              <w:tab w:val="right" w:leader="dot" w:pos="8845"/>
            </w:tabs>
          </w:pPr>
          <w:r>
            <w:fldChar w:fldCharType="begin"/>
          </w:r>
          <w:r>
            <w:instrText xml:space="preserve"> HYPERLINK \l _Toc6804 </w:instrText>
          </w:r>
          <w:r>
            <w:fldChar w:fldCharType="separate"/>
          </w:r>
          <w:r>
            <w:rPr>
              <w:rFonts w:hint="eastAsia" w:ascii="仿宋_GB2312" w:hAnsi="仿宋_GB2312" w:eastAsia="仿宋_GB2312" w:cs="仿宋_GB2312"/>
              <w:bCs w:val="0"/>
            </w:rPr>
            <w:t>五、</w:t>
          </w:r>
          <w:r>
            <w:rPr>
              <w:rFonts w:hint="eastAsia" w:ascii="仿宋_GB2312" w:hAnsi="仿宋_GB2312" w:eastAsia="仿宋_GB2312" w:cs="仿宋_GB2312"/>
            </w:rPr>
            <w:t>财</w:t>
          </w:r>
          <w:r>
            <w:rPr>
              <w:rFonts w:hint="eastAsia" w:ascii="仿宋_GB2312" w:hAnsi="仿宋_GB2312" w:eastAsia="仿宋_GB2312" w:cs="仿宋_GB2312"/>
              <w:bCs w:val="0"/>
            </w:rPr>
            <w:t>政拨款支出决算明细表</w:t>
          </w:r>
          <w:r>
            <w:tab/>
          </w:r>
          <w:r>
            <w:fldChar w:fldCharType="begin"/>
          </w:r>
          <w:r>
            <w:instrText xml:space="preserve"> PAGEREF _Toc6804 \h </w:instrText>
          </w:r>
          <w:r>
            <w:fldChar w:fldCharType="separate"/>
          </w:r>
          <w:r>
            <w:t>17</w:t>
          </w:r>
          <w:r>
            <w:fldChar w:fldCharType="end"/>
          </w:r>
          <w:r>
            <w:fldChar w:fldCharType="end"/>
          </w:r>
        </w:p>
        <w:p>
          <w:pPr>
            <w:pStyle w:val="58"/>
            <w:tabs>
              <w:tab w:val="right" w:leader="dot" w:pos="8845"/>
            </w:tabs>
          </w:pPr>
          <w:r>
            <w:fldChar w:fldCharType="begin"/>
          </w:r>
          <w:r>
            <w:instrText xml:space="preserve"> HYPERLINK \l _Toc7202 </w:instrText>
          </w:r>
          <w:r>
            <w:fldChar w:fldCharType="separate"/>
          </w:r>
          <w:r>
            <w:rPr>
              <w:rFonts w:hint="eastAsia" w:ascii="仿宋_GB2312" w:hAnsi="仿宋_GB2312" w:eastAsia="仿宋_GB2312" w:cs="仿宋_GB2312"/>
              <w:bCs w:val="0"/>
            </w:rPr>
            <w:t>六、</w:t>
          </w:r>
          <w:r>
            <w:rPr>
              <w:rFonts w:hint="eastAsia" w:ascii="仿宋_GB2312" w:hAnsi="仿宋_GB2312" w:eastAsia="仿宋_GB2312" w:cs="仿宋_GB2312"/>
            </w:rPr>
            <w:t>一</w:t>
          </w:r>
          <w:r>
            <w:rPr>
              <w:rFonts w:hint="eastAsia" w:ascii="仿宋_GB2312" w:hAnsi="仿宋_GB2312" w:eastAsia="仿宋_GB2312" w:cs="仿宋_GB2312"/>
              <w:bCs w:val="0"/>
            </w:rPr>
            <w:t>般公共预算财政拨款支出决算表</w:t>
          </w:r>
          <w:r>
            <w:tab/>
          </w:r>
          <w:r>
            <w:fldChar w:fldCharType="begin"/>
          </w:r>
          <w:r>
            <w:instrText xml:space="preserve"> PAGEREF _Toc7202 \h </w:instrText>
          </w:r>
          <w:r>
            <w:fldChar w:fldCharType="separate"/>
          </w:r>
          <w:r>
            <w:t>17</w:t>
          </w:r>
          <w:r>
            <w:fldChar w:fldCharType="end"/>
          </w:r>
          <w:r>
            <w:fldChar w:fldCharType="end"/>
          </w:r>
        </w:p>
        <w:p>
          <w:pPr>
            <w:pStyle w:val="58"/>
            <w:tabs>
              <w:tab w:val="right" w:leader="dot" w:pos="8845"/>
            </w:tabs>
          </w:pPr>
          <w:r>
            <w:fldChar w:fldCharType="begin"/>
          </w:r>
          <w:r>
            <w:instrText xml:space="preserve"> HYPERLINK \l _Toc12360 </w:instrText>
          </w:r>
          <w:r>
            <w:fldChar w:fldCharType="separate"/>
          </w:r>
          <w:r>
            <w:rPr>
              <w:rFonts w:hint="eastAsia" w:ascii="仿宋_GB2312" w:hAnsi="仿宋_GB2312" w:eastAsia="仿宋_GB2312" w:cs="仿宋_GB2312"/>
              <w:bCs w:val="0"/>
            </w:rPr>
            <w:t>七、</w:t>
          </w:r>
          <w:r>
            <w:rPr>
              <w:rFonts w:hint="eastAsia" w:ascii="仿宋_GB2312" w:hAnsi="仿宋_GB2312" w:eastAsia="仿宋_GB2312" w:cs="仿宋_GB2312"/>
            </w:rPr>
            <w:t>一</w:t>
          </w:r>
          <w:r>
            <w:rPr>
              <w:rFonts w:hint="eastAsia" w:ascii="仿宋_GB2312" w:hAnsi="仿宋_GB2312" w:eastAsia="仿宋_GB2312" w:cs="仿宋_GB2312"/>
              <w:bCs w:val="0"/>
            </w:rPr>
            <w:t>般公共预算财政拨款支出决算明细表</w:t>
          </w:r>
          <w:r>
            <w:tab/>
          </w:r>
          <w:r>
            <w:fldChar w:fldCharType="begin"/>
          </w:r>
          <w:r>
            <w:instrText xml:space="preserve"> PAGEREF _Toc12360 \h </w:instrText>
          </w:r>
          <w:r>
            <w:fldChar w:fldCharType="separate"/>
          </w:r>
          <w:r>
            <w:t>17</w:t>
          </w:r>
          <w:r>
            <w:fldChar w:fldCharType="end"/>
          </w:r>
          <w:r>
            <w:fldChar w:fldCharType="end"/>
          </w:r>
        </w:p>
        <w:p>
          <w:pPr>
            <w:pStyle w:val="58"/>
            <w:tabs>
              <w:tab w:val="right" w:leader="dot" w:pos="8845"/>
            </w:tabs>
          </w:pPr>
          <w:r>
            <w:fldChar w:fldCharType="begin"/>
          </w:r>
          <w:r>
            <w:instrText xml:space="preserve"> HYPERLINK \l _Toc28312 </w:instrText>
          </w:r>
          <w:r>
            <w:fldChar w:fldCharType="separate"/>
          </w:r>
          <w:r>
            <w:rPr>
              <w:rFonts w:hint="eastAsia" w:ascii="仿宋_GB2312" w:hAnsi="仿宋_GB2312" w:eastAsia="仿宋_GB2312" w:cs="仿宋_GB2312"/>
              <w:bCs w:val="0"/>
            </w:rPr>
            <w:t>八、</w:t>
          </w:r>
          <w:r>
            <w:rPr>
              <w:rFonts w:hint="eastAsia" w:ascii="仿宋_GB2312" w:hAnsi="仿宋_GB2312" w:eastAsia="仿宋_GB2312" w:cs="仿宋_GB2312"/>
            </w:rPr>
            <w:t>一</w:t>
          </w:r>
          <w:r>
            <w:rPr>
              <w:rFonts w:hint="eastAsia" w:ascii="仿宋_GB2312" w:hAnsi="仿宋_GB2312" w:eastAsia="仿宋_GB2312" w:cs="仿宋_GB2312"/>
              <w:bCs w:val="0"/>
            </w:rPr>
            <w:t>般公共预算财政拨款基本支出决算表</w:t>
          </w:r>
          <w:r>
            <w:tab/>
          </w:r>
          <w:r>
            <w:fldChar w:fldCharType="begin"/>
          </w:r>
          <w:r>
            <w:instrText xml:space="preserve"> PAGEREF _Toc28312 \h </w:instrText>
          </w:r>
          <w:r>
            <w:fldChar w:fldCharType="separate"/>
          </w:r>
          <w:r>
            <w:t>17</w:t>
          </w:r>
          <w:r>
            <w:fldChar w:fldCharType="end"/>
          </w:r>
          <w:r>
            <w:fldChar w:fldCharType="end"/>
          </w:r>
        </w:p>
        <w:p>
          <w:pPr>
            <w:pStyle w:val="58"/>
            <w:tabs>
              <w:tab w:val="right" w:leader="dot" w:pos="8845"/>
            </w:tabs>
          </w:pPr>
          <w:r>
            <w:fldChar w:fldCharType="begin"/>
          </w:r>
          <w:r>
            <w:instrText xml:space="preserve"> HYPERLINK \l _Toc13267 </w:instrText>
          </w:r>
          <w:r>
            <w:fldChar w:fldCharType="separate"/>
          </w:r>
          <w:r>
            <w:rPr>
              <w:rFonts w:hint="eastAsia" w:ascii="仿宋_GB2312" w:hAnsi="仿宋_GB2312" w:eastAsia="仿宋_GB2312" w:cs="仿宋_GB2312"/>
              <w:bCs w:val="0"/>
            </w:rPr>
            <w:t>九、</w:t>
          </w:r>
          <w:r>
            <w:rPr>
              <w:rFonts w:hint="eastAsia" w:ascii="仿宋_GB2312" w:hAnsi="仿宋_GB2312" w:eastAsia="仿宋_GB2312" w:cs="仿宋_GB2312"/>
            </w:rPr>
            <w:t>一</w:t>
          </w:r>
          <w:r>
            <w:rPr>
              <w:rFonts w:hint="eastAsia" w:ascii="仿宋_GB2312" w:hAnsi="仿宋_GB2312" w:eastAsia="仿宋_GB2312" w:cs="仿宋_GB2312"/>
              <w:bCs w:val="0"/>
            </w:rPr>
            <w:t>般公共预算财政拨款项目支出决算表</w:t>
          </w:r>
          <w:r>
            <w:tab/>
          </w:r>
          <w:r>
            <w:fldChar w:fldCharType="begin"/>
          </w:r>
          <w:r>
            <w:instrText xml:space="preserve"> PAGEREF _Toc13267 \h </w:instrText>
          </w:r>
          <w:r>
            <w:fldChar w:fldCharType="separate"/>
          </w:r>
          <w:r>
            <w:t>17</w:t>
          </w:r>
          <w:r>
            <w:fldChar w:fldCharType="end"/>
          </w:r>
          <w:r>
            <w:fldChar w:fldCharType="end"/>
          </w:r>
        </w:p>
        <w:p>
          <w:pPr>
            <w:pStyle w:val="58"/>
            <w:tabs>
              <w:tab w:val="right" w:leader="dot" w:pos="8845"/>
            </w:tabs>
          </w:pPr>
          <w:r>
            <w:fldChar w:fldCharType="begin"/>
          </w:r>
          <w:r>
            <w:instrText xml:space="preserve"> HYPERLINK \l _Toc21071 </w:instrText>
          </w:r>
          <w:r>
            <w:fldChar w:fldCharType="separate"/>
          </w:r>
          <w:r>
            <w:rPr>
              <w:rFonts w:hint="eastAsia" w:ascii="仿宋_GB2312" w:hAnsi="仿宋_GB2312" w:eastAsia="仿宋_GB2312" w:cs="仿宋_GB2312"/>
              <w:bCs w:val="0"/>
            </w:rPr>
            <w:t>十、</w:t>
          </w:r>
          <w:r>
            <w:rPr>
              <w:rFonts w:hint="eastAsia" w:ascii="仿宋_GB2312" w:hAnsi="仿宋_GB2312" w:eastAsia="仿宋_GB2312" w:cs="仿宋_GB2312"/>
            </w:rPr>
            <w:t>政</w:t>
          </w:r>
          <w:r>
            <w:rPr>
              <w:rFonts w:hint="eastAsia" w:ascii="仿宋_GB2312" w:hAnsi="仿宋_GB2312" w:eastAsia="仿宋_GB2312" w:cs="仿宋_GB2312"/>
              <w:bCs w:val="0"/>
            </w:rPr>
            <w:t>府性基金预算财政拨款收入支出决算表</w:t>
          </w:r>
          <w:r>
            <w:tab/>
          </w:r>
          <w:r>
            <w:fldChar w:fldCharType="begin"/>
          </w:r>
          <w:r>
            <w:instrText xml:space="preserve"> PAGEREF _Toc21071 \h </w:instrText>
          </w:r>
          <w:r>
            <w:fldChar w:fldCharType="separate"/>
          </w:r>
          <w:r>
            <w:t>17</w:t>
          </w:r>
          <w:r>
            <w:fldChar w:fldCharType="end"/>
          </w:r>
          <w:r>
            <w:fldChar w:fldCharType="end"/>
          </w:r>
        </w:p>
        <w:p>
          <w:pPr>
            <w:pStyle w:val="58"/>
            <w:tabs>
              <w:tab w:val="right" w:leader="dot" w:pos="8845"/>
            </w:tabs>
          </w:pPr>
          <w:r>
            <w:fldChar w:fldCharType="begin"/>
          </w:r>
          <w:r>
            <w:instrText xml:space="preserve"> HYPERLINK \l _Toc8262 </w:instrText>
          </w:r>
          <w:r>
            <w:fldChar w:fldCharType="separate"/>
          </w:r>
          <w:r>
            <w:rPr>
              <w:rFonts w:hint="eastAsia" w:ascii="仿宋_GB2312" w:hAnsi="仿宋_GB2312" w:eastAsia="仿宋_GB2312" w:cs="仿宋_GB2312"/>
              <w:bCs w:val="0"/>
            </w:rPr>
            <w:t>十一、</w:t>
          </w:r>
          <w:r>
            <w:rPr>
              <w:rFonts w:hint="eastAsia" w:ascii="仿宋_GB2312" w:hAnsi="仿宋_GB2312" w:eastAsia="仿宋_GB2312" w:cs="仿宋_GB2312"/>
            </w:rPr>
            <w:t>国</w:t>
          </w:r>
          <w:r>
            <w:rPr>
              <w:rFonts w:hint="eastAsia" w:ascii="仿宋_GB2312" w:hAnsi="仿宋_GB2312" w:eastAsia="仿宋_GB2312" w:cs="仿宋_GB2312"/>
              <w:bCs w:val="0"/>
            </w:rPr>
            <w:t>有资本经营预算财政拨款收入支出决算表</w:t>
          </w:r>
          <w:r>
            <w:tab/>
          </w:r>
          <w:r>
            <w:fldChar w:fldCharType="begin"/>
          </w:r>
          <w:r>
            <w:instrText xml:space="preserve"> PAGEREF _Toc8262 \h </w:instrText>
          </w:r>
          <w:r>
            <w:fldChar w:fldCharType="separate"/>
          </w:r>
          <w:r>
            <w:t>17</w:t>
          </w:r>
          <w:r>
            <w:fldChar w:fldCharType="end"/>
          </w:r>
          <w:r>
            <w:fldChar w:fldCharType="end"/>
          </w:r>
        </w:p>
        <w:p>
          <w:pPr>
            <w:pStyle w:val="58"/>
            <w:tabs>
              <w:tab w:val="right" w:leader="dot" w:pos="8845"/>
            </w:tabs>
          </w:pPr>
          <w:r>
            <w:fldChar w:fldCharType="begin"/>
          </w:r>
          <w:r>
            <w:instrText xml:space="preserve"> HYPERLINK \l _Toc7758 </w:instrText>
          </w:r>
          <w:r>
            <w:fldChar w:fldCharType="separate"/>
          </w:r>
          <w:r>
            <w:rPr>
              <w:rFonts w:hint="eastAsia" w:ascii="仿宋_GB2312" w:hAnsi="仿宋_GB2312" w:eastAsia="仿宋_GB2312" w:cs="仿宋_GB2312"/>
              <w:bCs w:val="0"/>
            </w:rPr>
            <w:t>十二、国有资本经营预算财政拨款支出决算表</w:t>
          </w:r>
          <w:r>
            <w:tab/>
          </w:r>
          <w:r>
            <w:fldChar w:fldCharType="begin"/>
          </w:r>
          <w:r>
            <w:instrText xml:space="preserve"> PAGEREF _Toc7758 \h </w:instrText>
          </w:r>
          <w:r>
            <w:fldChar w:fldCharType="separate"/>
          </w:r>
          <w:r>
            <w:t>17</w:t>
          </w:r>
          <w:r>
            <w:fldChar w:fldCharType="end"/>
          </w:r>
          <w:r>
            <w:fldChar w:fldCharType="end"/>
          </w:r>
        </w:p>
        <w:p>
          <w:pPr>
            <w:pStyle w:val="58"/>
            <w:tabs>
              <w:tab w:val="right" w:leader="dot" w:pos="8845"/>
            </w:tabs>
          </w:pPr>
          <w:r>
            <w:fldChar w:fldCharType="begin"/>
          </w:r>
          <w:r>
            <w:instrText xml:space="preserve"> HYPERLINK \l _Toc32733 </w:instrText>
          </w:r>
          <w:r>
            <w:fldChar w:fldCharType="separate"/>
          </w:r>
          <w:r>
            <w:rPr>
              <w:rFonts w:hint="eastAsia" w:ascii="仿宋_GB2312" w:hAnsi="仿宋_GB2312" w:eastAsia="仿宋_GB2312" w:cs="仿宋_GB2312"/>
              <w:bCs w:val="0"/>
            </w:rPr>
            <w:t>十三、财政拨款“三公”经费支出决算表</w:t>
          </w:r>
          <w:r>
            <w:tab/>
          </w:r>
          <w:r>
            <w:fldChar w:fldCharType="begin"/>
          </w:r>
          <w:r>
            <w:instrText xml:space="preserve"> PAGEREF _Toc32733 \h </w:instrText>
          </w:r>
          <w:r>
            <w:fldChar w:fldCharType="separate"/>
          </w:r>
          <w:r>
            <w:t>17</w:t>
          </w:r>
          <w:r>
            <w:fldChar w:fldCharType="end"/>
          </w:r>
          <w:r>
            <w:fldChar w:fldCharType="end"/>
          </w:r>
        </w:p>
        <w:p>
          <w:pPr>
            <w:rPr>
              <w:rFonts w:ascii="Times New Roman" w:hAnsi="Times New Roman" w:eastAsia="宋体" w:cs="Times New Roman"/>
              <w:b/>
              <w:kern w:val="2"/>
              <w:sz w:val="21"/>
              <w:szCs w:val="24"/>
              <w:lang w:val="en-US" w:eastAsia="zh-CN" w:bidi="ar-SA"/>
            </w:rPr>
          </w:pPr>
          <w:r>
            <w:rPr>
              <w:b/>
            </w:rPr>
            <w:fldChar w:fldCharType="end"/>
          </w:r>
        </w:p>
      </w:sdtContent>
    </w:sdt>
    <w:p>
      <w:pPr>
        <w:pStyle w:val="2"/>
      </w:pPr>
    </w:p>
    <w:p>
      <w:pPr>
        <w:pStyle w:val="3"/>
        <w:spacing w:before="0" w:after="0" w:line="640" w:lineRule="exact"/>
        <w:jc w:val="center"/>
        <w:outlineLvl w:val="9"/>
        <w:rPr>
          <w:rFonts w:hint="eastAsia" w:ascii="黑体" w:hAnsi="黑体" w:eastAsia="黑体"/>
          <w:b w:val="0"/>
          <w:color w:val="000000" w:themeColor="text1"/>
          <w14:textFill>
            <w14:solidFill>
              <w14:schemeClr w14:val="tx1"/>
            </w14:solidFill>
          </w14:textFill>
        </w:rPr>
        <w:sectPr>
          <w:headerReference r:id="rId4" w:type="first"/>
          <w:footerReference r:id="rId6" w:type="first"/>
          <w:headerReference r:id="rId3" w:type="default"/>
          <w:footerReference r:id="rId5" w:type="default"/>
          <w:pgSz w:w="11906" w:h="16838"/>
          <w:pgMar w:top="2098" w:right="1474" w:bottom="1984" w:left="1587" w:header="851" w:footer="1417" w:gutter="0"/>
          <w:cols w:space="0" w:num="1"/>
          <w:rtlGutter w:val="0"/>
          <w:docGrid w:type="lines" w:linePitch="319" w:charSpace="0"/>
        </w:sectPr>
      </w:pPr>
      <w:bookmarkStart w:id="14" w:name="_Toc15396599"/>
      <w:bookmarkStart w:id="15" w:name="_Toc15377196"/>
    </w:p>
    <w:p>
      <w:pPr>
        <w:pStyle w:val="3"/>
        <w:spacing w:before="0" w:after="0" w:line="640" w:lineRule="exact"/>
        <w:jc w:val="center"/>
        <w:rPr>
          <w:rStyle w:val="25"/>
          <w:rFonts w:ascii="黑体" w:hAnsi="黑体" w:eastAsia="黑体"/>
          <w:b/>
          <w:bCs w:val="0"/>
          <w:color w:val="000000" w:themeColor="text1"/>
          <w14:textFill>
            <w14:solidFill>
              <w14:schemeClr w14:val="tx1"/>
            </w14:solidFill>
          </w14:textFill>
        </w:rPr>
      </w:pPr>
      <w:bookmarkStart w:id="16" w:name="_Toc4056"/>
      <w:r>
        <w:rPr>
          <w:rFonts w:hint="eastAsia" w:ascii="黑体" w:hAnsi="黑体" w:eastAsia="黑体"/>
          <w:b w:val="0"/>
          <w:color w:val="000000" w:themeColor="text1"/>
          <w14:textFill>
            <w14:solidFill>
              <w14:schemeClr w14:val="tx1"/>
            </w14:solidFill>
          </w14:textFill>
        </w:rPr>
        <w:t xml:space="preserve">第一部分 </w:t>
      </w:r>
      <w:r>
        <w:rPr>
          <w:rStyle w:val="25"/>
          <w:rFonts w:hint="eastAsia" w:ascii="黑体" w:hAnsi="黑体" w:eastAsia="黑体"/>
          <w:b w:val="0"/>
          <w:bCs w:val="0"/>
          <w:color w:val="000000" w:themeColor="text1"/>
          <w:lang w:eastAsia="zh-CN"/>
          <w14:textFill>
            <w14:solidFill>
              <w14:schemeClr w14:val="tx1"/>
            </w14:solidFill>
          </w14:textFill>
        </w:rPr>
        <w:t>单位</w:t>
      </w:r>
      <w:r>
        <w:rPr>
          <w:rStyle w:val="25"/>
          <w:rFonts w:hint="eastAsia" w:ascii="黑体" w:hAnsi="黑体" w:eastAsia="黑体"/>
          <w:b w:val="0"/>
          <w:bCs w:val="0"/>
          <w:color w:val="000000" w:themeColor="text1"/>
          <w14:textFill>
            <w14:solidFill>
              <w14:schemeClr w14:val="tx1"/>
            </w14:solidFill>
          </w14:textFill>
        </w:rPr>
        <w:t>概况</w:t>
      </w:r>
      <w:bookmarkEnd w:id="14"/>
      <w:bookmarkEnd w:id="15"/>
      <w:bookmarkEnd w:id="16"/>
    </w:p>
    <w:p>
      <w:pPr>
        <w:adjustRightInd w:val="0"/>
        <w:snapToGrid w:val="0"/>
        <w:spacing w:line="576" w:lineRule="exact"/>
        <w:ind w:firstLine="640" w:firstLineChars="200"/>
        <w:rPr>
          <w:rFonts w:ascii="黑体" w:eastAsia="黑体"/>
          <w:color w:val="000000" w:themeColor="text1"/>
          <w:sz w:val="32"/>
          <w:szCs w:val="32"/>
          <w14:textFill>
            <w14:solidFill>
              <w14:schemeClr w14:val="tx1"/>
            </w14:solidFill>
          </w14:textFill>
        </w:rPr>
      </w:pPr>
    </w:p>
    <w:p>
      <w:pPr>
        <w:pStyle w:val="4"/>
        <w:keepNext w:val="0"/>
        <w:keepLines w:val="0"/>
        <w:adjustRightInd w:val="0"/>
        <w:snapToGrid w:val="0"/>
        <w:spacing w:before="0" w:after="0" w:line="576" w:lineRule="exact"/>
        <w:ind w:firstLine="640" w:firstLineChars="200"/>
        <w:rPr>
          <w:rFonts w:ascii="黑体" w:hAnsi="黑体" w:eastAsia="黑体"/>
          <w:b w:val="0"/>
          <w:color w:val="000000" w:themeColor="text1"/>
          <w14:textFill>
            <w14:solidFill>
              <w14:schemeClr w14:val="tx1"/>
            </w14:solidFill>
          </w14:textFill>
        </w:rPr>
      </w:pPr>
      <w:bookmarkStart w:id="17" w:name="_Toc15396600"/>
      <w:bookmarkStart w:id="18" w:name="_Toc15377197"/>
      <w:bookmarkStart w:id="19" w:name="_Toc6264"/>
      <w:r>
        <w:rPr>
          <w:rFonts w:hint="eastAsia" w:ascii="黑体" w:hAnsi="黑体" w:eastAsia="黑体"/>
          <w:b w:val="0"/>
          <w:color w:val="000000" w:themeColor="text1"/>
          <w14:textFill>
            <w14:solidFill>
              <w14:schemeClr w14:val="tx1"/>
            </w14:solidFill>
          </w14:textFill>
        </w:rPr>
        <w:t>一、</w:t>
      </w:r>
      <w:bookmarkEnd w:id="17"/>
      <w:bookmarkEnd w:id="18"/>
      <w:r>
        <w:rPr>
          <w:rFonts w:hint="eastAsia" w:ascii="黑体" w:hAnsi="黑体" w:eastAsia="黑体"/>
          <w:b w:val="0"/>
          <w:color w:val="000000" w:themeColor="text1"/>
          <w:lang w:eastAsia="zh-CN"/>
          <w14:textFill>
            <w14:solidFill>
              <w14:schemeClr w14:val="tx1"/>
            </w14:solidFill>
          </w14:textFill>
        </w:rPr>
        <w:t>主要</w:t>
      </w:r>
      <w:r>
        <w:rPr>
          <w:rFonts w:hint="eastAsia" w:ascii="黑体" w:hAnsi="黑体" w:eastAsia="黑体"/>
          <w:b w:val="0"/>
          <w:color w:val="000000" w:themeColor="text1"/>
          <w14:textFill>
            <w14:solidFill>
              <w14:schemeClr w14:val="tx1"/>
            </w14:solidFill>
          </w14:textFill>
        </w:rPr>
        <w:t>职责</w:t>
      </w:r>
      <w:bookmarkEnd w:id="19"/>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（一）负责贯彻执行国家、省、市有关医疗保险、生育保险、医疗救助、长期护理保险等医疗保障政策制度。</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（二）组织起草有关地方性法规和规章，草案。负责拟订全市医疗保障事业发展规划、政策和标准，并组织实施和监督检查。</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（三）</w:t>
      </w:r>
      <w:r>
        <w:rPr>
          <w:rFonts w:hint="eastAsia" w:ascii="仿宋_GB2312" w:eastAsia="仿宋_GB2312" w:cs="仿宋_GB2312"/>
          <w:color w:val="000000" w:themeColor="text1"/>
          <w:spacing w:val="-6"/>
          <w:sz w:val="32"/>
          <w:szCs w:val="32"/>
          <w14:textFill>
            <w14:solidFill>
              <w14:schemeClr w14:val="tx1"/>
            </w14:solidFill>
          </w14:textFill>
        </w:rPr>
        <w:t>组织拟订并实施医疗保障基金监督管理制度，建立健全医疗保障基金安全防控机制，监督强化全市医疗保障基金运行管理。</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四）组织拟订医疗保障筹资和待遇政策，负责医疗保障基金归集，拟订医疗保障基金年度收支计划，按政策和标准支付医疗待遇；完善动态调整和区域调剂平衡机制，统筹城乡医疗保障待遇标准，建立健全与筹资水平相适应的待遇调整机制。</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（五）</w:t>
      </w:r>
      <w:r>
        <w:rPr>
          <w:rFonts w:hint="eastAsia" w:ascii="仿宋_GB2312" w:eastAsia="仿宋_GB2312" w:cs="仿宋_GB2312"/>
          <w:color w:val="000000" w:themeColor="text1"/>
          <w:spacing w:val="-6"/>
          <w:sz w:val="32"/>
          <w:szCs w:val="32"/>
          <w14:textFill>
            <w14:solidFill>
              <w14:schemeClr w14:val="tx1"/>
            </w14:solidFill>
          </w14:textFill>
        </w:rPr>
        <w:t>贯彻执行上级药品目录、医用耗材、医疗服务项目、医疗服务设施等医疗保障目录和支付标准政策。拟订全市药品目录、医用耗材、医疗服务项目、医疗服务设施等医疗保障目录和支付标准政策。拟订全市有关医保目录准入谈判规则并组织实施。</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六）贯彻执行上级药品、医用耗材价格和医疗服务项目、医疗服务设施收费等政策，负责拟订全市医用耗材价格和医疗服务项目、医疗服务设施收费等政策。建立医保支付医药服务价格合理确定和动态调整机制。推动建立市场主导的社会医药服务价格形成机制；建立价格信息监测和信息发布制度。</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（七）贯彻执行上级药品、医用耗材的招标采购政策并监督实施。负责全市药品、医用耗材招标采购平台建设。组织实施大病保险招标准入和业务指导。</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（八）推进医疗保障基金支付方式改革，拟订全市定点医药机构协议和支付管理办法并组织实施。负责全市医疗保障定点机构管理和考核工作。</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九）建立健全医疗保障信用评价体系和信息披露制度。推进协议服务机构标准化建设，建立协议服务机构准入和退出机制。监督管理纳入医保范围内的医疗服务行为和医疗费用，依法查处医疗保障领域违法违规行为。</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（十）负责全市医疗保障经办管理、公共服务体系建设。组织拟订和完善异地就医管理和费用结算政策。建立健全医疗保障关系转移接续制度。监督管理全市医保经办服务工作；开展医疗保障领域对外合作交流。</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（十一）负责推进实施全市医疗保障信息化建设，组织开展医疗保障大数据管理和应用。</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（十二）负责职责范围内的安全生产和职业健康、生态环境保护、审批服务便民化等工作。</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（十三）完成市委和市政府交办的其他任务。</w:t>
      </w:r>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四）职能转变。完善统一的城乡居民基本医疗保险制度和大病保险制度，不断提高医疗保障水平，建立健全覆盖全民、城乡统筹的多层次医疗保障体系，确保医保资金合理使用、安全可控，推进医疗、医保、医药“三医联动”改革，更好保障人民群众就医需求、减轻医药费用负担。</w:t>
      </w:r>
    </w:p>
    <w:p>
      <w:pPr>
        <w:adjustRightInd w:val="0"/>
        <w:snapToGrid w:val="0"/>
        <w:spacing w:line="576" w:lineRule="exact"/>
        <w:ind w:firstLine="640" w:firstLineChars="200"/>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十五）有关职责分工。市卫生健康委员会、市医疗保障局和市市场监督管理局等部门在医疗、医保、医药等方面加强制度、政策衔接，建立沟通协商机制，协同推进改革，提高医疗资源使用效率和医疗保障水平。</w:t>
      </w:r>
    </w:p>
    <w:p>
      <w:pPr>
        <w:pStyle w:val="4"/>
        <w:keepNext w:val="0"/>
        <w:keepLines w:val="0"/>
        <w:adjustRightInd w:val="0"/>
        <w:snapToGrid w:val="0"/>
        <w:spacing w:before="0" w:after="0" w:line="576" w:lineRule="exact"/>
        <w:ind w:firstLine="640" w:firstLineChars="200"/>
        <w:rPr>
          <w:rFonts w:hint="eastAsia" w:ascii="仿宋_GB2312" w:hAnsi="仿宋_GB2312" w:eastAsia="仿宋_GB2312" w:cs="仿宋_GB2312"/>
          <w:sz w:val="32"/>
          <w:szCs w:val="32"/>
          <w:lang w:val="en-US" w:eastAsia="zh-CN"/>
        </w:rPr>
      </w:pPr>
      <w:bookmarkStart w:id="20" w:name="_Toc15377200"/>
      <w:bookmarkStart w:id="21" w:name="_Toc5311"/>
      <w:bookmarkStart w:id="22" w:name="_Toc15396601"/>
      <w:r>
        <w:rPr>
          <w:rFonts w:hint="eastAsia" w:ascii="黑体" w:eastAsia="黑体"/>
          <w:b w:val="0"/>
          <w:color w:val="000000" w:themeColor="text1"/>
          <w14:textFill>
            <w14:solidFill>
              <w14:schemeClr w14:val="tx1"/>
            </w14:solidFill>
          </w14:textFill>
        </w:rPr>
        <w:t>二、</w:t>
      </w:r>
      <w:r>
        <w:rPr>
          <w:rFonts w:hint="eastAsia" w:ascii="黑体" w:hAnsi="黑体" w:eastAsia="黑体"/>
          <w:b w:val="0"/>
          <w:color w:val="000000" w:themeColor="text1"/>
          <w14:textFill>
            <w14:solidFill>
              <w14:schemeClr w14:val="tx1"/>
            </w14:solidFill>
          </w14:textFill>
        </w:rPr>
        <w:t>机</w:t>
      </w:r>
      <w:r>
        <w:rPr>
          <w:rStyle w:val="26"/>
          <w:rFonts w:hint="eastAsia" w:ascii="黑体" w:hAnsi="黑体" w:eastAsia="黑体"/>
          <w:b w:val="0"/>
          <w:bCs w:val="0"/>
          <w:color w:val="000000" w:themeColor="text1"/>
          <w14:textFill>
            <w14:solidFill>
              <w14:schemeClr w14:val="tx1"/>
            </w14:solidFill>
          </w14:textFill>
        </w:rPr>
        <w:t>构设置</w:t>
      </w:r>
      <w:bookmarkEnd w:id="20"/>
      <w:bookmarkEnd w:id="21"/>
      <w:bookmarkEnd w:id="22"/>
    </w:p>
    <w:p>
      <w:pPr>
        <w:adjustRightInd w:val="0"/>
        <w:snapToGrid w:val="0"/>
        <w:spacing w:line="576" w:lineRule="exact"/>
        <w:ind w:firstLine="640" w:firstLineChars="200"/>
        <w:rPr>
          <w:color w:val="000000" w:themeColor="text1"/>
          <w14:textFill>
            <w14:solidFill>
              <w14:schemeClr w14:val="tx1"/>
            </w14:solidFill>
          </w14:textFill>
        </w:rPr>
      </w:pPr>
      <w:r>
        <w:rPr>
          <w:rFonts w:hint="eastAsia" w:ascii="仿宋_GB2312" w:hAnsi="仿宋_GB2312" w:eastAsia="仿宋_GB2312" w:cs="仿宋_GB2312"/>
          <w:sz w:val="32"/>
          <w:szCs w:val="32"/>
          <w:lang w:val="en-US" w:eastAsia="zh-CN"/>
        </w:rPr>
        <w:t>我单位为广元市医疗保障局部门下属二级预算单位</w:t>
      </w:r>
      <w:r>
        <w:rPr>
          <w:rFonts w:ascii="仿宋_GB2312" w:hAnsi="仿宋" w:eastAsia="仿宋_GB2312" w:cs="仿宋_GB2312"/>
          <w:color w:val="000000" w:themeColor="text1"/>
          <w:sz w:val="32"/>
          <w:szCs w:val="32"/>
          <w14:textFill>
            <w14:solidFill>
              <w14:schemeClr w14:val="tx1"/>
            </w14:solidFill>
          </w14:textFill>
        </w:rPr>
        <w:t>，</w:t>
      </w:r>
      <w:r>
        <w:rPr>
          <w:rFonts w:hint="eastAsia" w:ascii="仿宋_GB2312" w:hAnsi="仿宋" w:eastAsia="仿宋_GB2312" w:cs="仿宋_GB2312"/>
          <w:color w:val="000000" w:themeColor="text1"/>
          <w:sz w:val="32"/>
          <w:szCs w:val="32"/>
          <w14:textFill>
            <w14:solidFill>
              <w14:schemeClr w14:val="tx1"/>
            </w14:solidFill>
          </w14:textFill>
        </w:rPr>
        <w:t>下属二级单位</w:t>
      </w:r>
      <w:r>
        <w:rPr>
          <w:rFonts w:ascii="仿宋_GB2312" w:hAnsi="仿宋" w:eastAsia="仿宋_GB2312" w:cs="仿宋_GB2312"/>
          <w:color w:val="000000" w:themeColor="text1"/>
          <w:sz w:val="32"/>
          <w:szCs w:val="32"/>
          <w14:textFill>
            <w14:solidFill>
              <w14:schemeClr w14:val="tx1"/>
            </w14:solidFill>
          </w14:textFill>
        </w:rPr>
        <w:t>2</w:t>
      </w:r>
      <w:r>
        <w:rPr>
          <w:rFonts w:hint="eastAsia" w:ascii="仿宋_GB2312" w:hAnsi="仿宋" w:eastAsia="仿宋_GB2312" w:cs="仿宋_GB2312"/>
          <w:color w:val="000000" w:themeColor="text1"/>
          <w:sz w:val="32"/>
          <w:szCs w:val="32"/>
          <w14:textFill>
            <w14:solidFill>
              <w14:schemeClr w14:val="tx1"/>
            </w14:solidFill>
          </w14:textFill>
        </w:rPr>
        <w:t>个，其中参照公务员法管理的事业单位</w:t>
      </w:r>
      <w:r>
        <w:rPr>
          <w:rFonts w:ascii="仿宋_GB2312" w:hAnsi="仿宋" w:eastAsia="仿宋_GB2312" w:cs="仿宋_GB2312"/>
          <w:color w:val="000000" w:themeColor="text1"/>
          <w:sz w:val="32"/>
          <w:szCs w:val="32"/>
          <w14:textFill>
            <w14:solidFill>
              <w14:schemeClr w14:val="tx1"/>
            </w14:solidFill>
          </w14:textFill>
        </w:rPr>
        <w:t>1</w:t>
      </w:r>
      <w:r>
        <w:rPr>
          <w:rFonts w:hint="eastAsia" w:ascii="仿宋_GB2312" w:hAnsi="仿宋" w:eastAsia="仿宋_GB2312" w:cs="仿宋_GB2312"/>
          <w:color w:val="000000" w:themeColor="text1"/>
          <w:sz w:val="32"/>
          <w:szCs w:val="32"/>
          <w14:textFill>
            <w14:solidFill>
              <w14:schemeClr w14:val="tx1"/>
            </w14:solidFill>
          </w14:textFill>
        </w:rPr>
        <w:t>个，其他事业单位</w:t>
      </w:r>
      <w:r>
        <w:rPr>
          <w:rFonts w:ascii="仿宋_GB2312" w:hAnsi="仿宋" w:eastAsia="仿宋_GB2312" w:cs="仿宋_GB2312"/>
          <w:color w:val="000000" w:themeColor="text1"/>
          <w:sz w:val="32"/>
          <w:szCs w:val="32"/>
          <w14:textFill>
            <w14:solidFill>
              <w14:schemeClr w14:val="tx1"/>
            </w14:solidFill>
          </w14:textFill>
        </w:rPr>
        <w:t>1</w:t>
      </w:r>
      <w:r>
        <w:rPr>
          <w:rFonts w:hint="eastAsia" w:ascii="仿宋_GB2312" w:hAnsi="仿宋" w:eastAsia="仿宋_GB2312" w:cs="仿宋_GB2312"/>
          <w:color w:val="000000" w:themeColor="text1"/>
          <w:sz w:val="32"/>
          <w:szCs w:val="32"/>
          <w14:textFill>
            <w14:solidFill>
              <w14:schemeClr w14:val="tx1"/>
            </w14:solidFill>
          </w14:textFill>
        </w:rPr>
        <w:t>个。</w:t>
      </w:r>
    </w:p>
    <w:p>
      <w:pPr>
        <w:pStyle w:val="2"/>
        <w:adjustRightInd w:val="0"/>
        <w:snapToGrid w:val="0"/>
        <w:spacing w:before="93" w:line="600" w:lineRule="exact"/>
        <w:ind w:firstLine="672" w:firstLineChars="210"/>
        <w:rPr>
          <w:rFonts w:hAnsi="仿宋" w:cs="仿宋_GB2312"/>
          <w:color w:val="000000" w:themeColor="text1"/>
          <w:kern w:val="2"/>
          <w:sz w:val="32"/>
          <w:szCs w:val="32"/>
          <w14:textFill>
            <w14:solidFill>
              <w14:schemeClr w14:val="tx1"/>
            </w14:solidFill>
          </w14:textFill>
        </w:rPr>
      </w:pPr>
      <w:bookmarkStart w:id="23" w:name="_Toc15377204"/>
      <w:bookmarkStart w:id="24" w:name="_Toc15396602"/>
      <w:r>
        <w:rPr>
          <w:rFonts w:hint="eastAsia" w:hAnsi="仿宋" w:cs="仿宋_GB2312"/>
          <w:color w:val="000000" w:themeColor="text1"/>
          <w:kern w:val="2"/>
          <w:sz w:val="32"/>
          <w:szCs w:val="32"/>
          <w14:textFill>
            <w14:solidFill>
              <w14:schemeClr w14:val="tx1"/>
            </w14:solidFill>
          </w14:textFill>
        </w:rPr>
        <w:t>纳入广元市医疗保障局2023年度</w:t>
      </w:r>
      <w:r>
        <w:rPr>
          <w:rFonts w:hint="eastAsia" w:hAnsi="仿宋" w:cs="仿宋_GB2312"/>
          <w:color w:val="000000" w:themeColor="text1"/>
          <w:kern w:val="2"/>
          <w:sz w:val="32"/>
          <w:szCs w:val="32"/>
          <w:lang w:eastAsia="zh-CN"/>
          <w14:textFill>
            <w14:solidFill>
              <w14:schemeClr w14:val="tx1"/>
            </w14:solidFill>
          </w14:textFill>
        </w:rPr>
        <w:t>单位</w:t>
      </w:r>
      <w:r>
        <w:rPr>
          <w:rFonts w:hint="eastAsia" w:hAnsi="仿宋" w:cs="仿宋_GB2312"/>
          <w:color w:val="000000" w:themeColor="text1"/>
          <w:kern w:val="2"/>
          <w:sz w:val="32"/>
          <w:szCs w:val="32"/>
          <w14:textFill>
            <w14:solidFill>
              <w14:schemeClr w14:val="tx1"/>
            </w14:solidFill>
          </w14:textFill>
        </w:rPr>
        <w:t>决算编制范围的二级单位包括：</w:t>
      </w:r>
    </w:p>
    <w:p>
      <w:pPr>
        <w:numPr>
          <w:ilvl w:val="0"/>
          <w:numId w:val="1"/>
        </w:numPr>
        <w:rPr>
          <w:rFonts w:ascii="仿宋_GB2312" w:hAnsi="仿宋" w:eastAsia="仿宋_GB2312" w:cs="仿宋_GB2312"/>
          <w:color w:val="000000" w:themeColor="text1"/>
          <w:sz w:val="32"/>
          <w:szCs w:val="32"/>
          <w14:textFill>
            <w14:solidFill>
              <w14:schemeClr w14:val="tx1"/>
            </w14:solidFill>
          </w14:textFill>
        </w:rPr>
      </w:pPr>
      <w:r>
        <w:rPr>
          <w:rFonts w:hint="eastAsia" w:ascii="仿宋_GB2312" w:hAnsi="仿宋" w:eastAsia="仿宋_GB2312" w:cs="仿宋_GB2312"/>
          <w:color w:val="000000" w:themeColor="text1"/>
          <w:sz w:val="32"/>
          <w:szCs w:val="32"/>
          <w14:textFill>
            <w14:solidFill>
              <w14:schemeClr w14:val="tx1"/>
            </w14:solidFill>
          </w14:textFill>
        </w:rPr>
        <w:t>广元市医疗保障事务中心（未独立核算）</w:t>
      </w:r>
    </w:p>
    <w:p>
      <w:pPr>
        <w:numPr>
          <w:ilvl w:val="0"/>
          <w:numId w:val="1"/>
        </w:numPr>
        <w:rPr>
          <w:rFonts w:ascii="仿宋_GB2312" w:hAnsi="仿宋" w:eastAsia="仿宋_GB2312" w:cs="仿宋_GB2312"/>
          <w:color w:val="000000" w:themeColor="text1"/>
          <w:sz w:val="32"/>
          <w:szCs w:val="32"/>
          <w14:textFill>
            <w14:solidFill>
              <w14:schemeClr w14:val="tx1"/>
            </w14:solidFill>
          </w14:textFill>
        </w:rPr>
      </w:pPr>
      <w:r>
        <w:rPr>
          <w:rFonts w:hint="eastAsia" w:ascii="仿宋_GB2312" w:hAnsi="仿宋" w:eastAsia="仿宋_GB2312" w:cs="仿宋_GB2312"/>
          <w:color w:val="000000" w:themeColor="text1"/>
          <w:sz w:val="32"/>
          <w:szCs w:val="32"/>
          <w14:textFill>
            <w14:solidFill>
              <w14:schemeClr w14:val="tx1"/>
            </w14:solidFill>
          </w14:textFill>
        </w:rPr>
        <w:t>广元市医保信息中心（未独立核算）</w:t>
      </w:r>
    </w:p>
    <w:p>
      <w:pPr>
        <w:pStyle w:val="3"/>
        <w:ind w:right="440" w:firstLine="880" w:firstLineChars="200"/>
        <w:outlineLvl w:val="9"/>
        <w:rPr>
          <w:rFonts w:ascii="黑体" w:hAnsi="黑体" w:eastAsia="黑体"/>
          <w:b w:val="0"/>
          <w:color w:val="000000" w:themeColor="text1"/>
          <w14:textFill>
            <w14:solidFill>
              <w14:schemeClr w14:val="tx1"/>
            </w14:solidFill>
          </w14:textFill>
        </w:rPr>
      </w:pPr>
    </w:p>
    <w:p>
      <w:pPr>
        <w:pStyle w:val="3"/>
        <w:ind w:right="440"/>
        <w:outlineLvl w:val="9"/>
        <w:rPr>
          <w:rFonts w:ascii="黑体" w:hAnsi="黑体" w:eastAsia="黑体"/>
          <w:b w:val="0"/>
          <w:color w:val="000000" w:themeColor="text1"/>
          <w14:textFill>
            <w14:solidFill>
              <w14:schemeClr w14:val="tx1"/>
            </w14:solidFill>
          </w14:textFill>
        </w:rPr>
      </w:pPr>
    </w:p>
    <w:p/>
    <w:p>
      <w:pP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br w:type="page"/>
      </w:r>
    </w:p>
    <w:p>
      <w:pPr>
        <w:pStyle w:val="3"/>
        <w:ind w:right="440" w:firstLine="880" w:firstLineChars="200"/>
        <w:rPr>
          <w:color w:val="000000" w:themeColor="text1"/>
          <w14:textFill>
            <w14:solidFill>
              <w14:schemeClr w14:val="tx1"/>
            </w14:solidFill>
          </w14:textFill>
        </w:rPr>
      </w:pPr>
      <w:bookmarkStart w:id="25" w:name="_Toc27427"/>
      <w:r>
        <w:rPr>
          <w:rFonts w:hint="eastAsia" w:ascii="黑体" w:hAnsi="黑体" w:eastAsia="黑体"/>
          <w:b w:val="0"/>
          <w:color w:val="000000" w:themeColor="text1"/>
          <w14:textFill>
            <w14:solidFill>
              <w14:schemeClr w14:val="tx1"/>
            </w14:solidFill>
          </w14:textFill>
        </w:rPr>
        <w:t>第二部分 2023年度</w:t>
      </w:r>
      <w:r>
        <w:rPr>
          <w:rStyle w:val="25"/>
          <w:rFonts w:hint="eastAsia" w:ascii="黑体" w:hAnsi="黑体" w:eastAsia="黑体"/>
          <w:b w:val="0"/>
          <w:bCs/>
          <w:color w:val="000000" w:themeColor="text1"/>
          <w:lang w:eastAsia="zh-CN"/>
          <w14:textFill>
            <w14:solidFill>
              <w14:schemeClr w14:val="tx1"/>
            </w14:solidFill>
          </w14:textFill>
        </w:rPr>
        <w:t>单位</w:t>
      </w:r>
      <w:r>
        <w:rPr>
          <w:rStyle w:val="25"/>
          <w:rFonts w:hint="eastAsia" w:ascii="黑体" w:hAnsi="黑体" w:eastAsia="黑体"/>
          <w:b w:val="0"/>
          <w:bCs/>
          <w:color w:val="000000" w:themeColor="text1"/>
          <w14:textFill>
            <w14:solidFill>
              <w14:schemeClr w14:val="tx1"/>
            </w14:solidFill>
          </w14:textFill>
        </w:rPr>
        <w:t>决算情况说明</w:t>
      </w:r>
      <w:bookmarkEnd w:id="23"/>
      <w:bookmarkEnd w:id="24"/>
      <w:bookmarkEnd w:id="25"/>
    </w:p>
    <w:p>
      <w:pPr>
        <w:pStyle w:val="37"/>
        <w:numPr>
          <w:ilvl w:val="0"/>
          <w:numId w:val="2"/>
        </w:numPr>
        <w:spacing w:line="600" w:lineRule="exact"/>
        <w:ind w:firstLineChars="0"/>
        <w:outlineLvl w:val="1"/>
        <w:rPr>
          <w:rStyle w:val="26"/>
          <w:rFonts w:ascii="黑体" w:hAnsi="黑体" w:eastAsia="黑体"/>
          <w:b w:val="0"/>
          <w:color w:val="000000" w:themeColor="text1"/>
          <w14:textFill>
            <w14:solidFill>
              <w14:schemeClr w14:val="tx1"/>
            </w14:solidFill>
          </w14:textFill>
        </w:rPr>
      </w:pPr>
      <w:bookmarkStart w:id="26" w:name="_Toc7485"/>
      <w:bookmarkStart w:id="27" w:name="_Toc15396603"/>
      <w:bookmarkStart w:id="28" w:name="_Toc15377205"/>
      <w:r>
        <w:rPr>
          <w:rFonts w:hint="eastAsia" w:ascii="黑体" w:hAnsi="黑体" w:eastAsia="黑体"/>
          <w:color w:val="000000" w:themeColor="text1"/>
          <w:sz w:val="32"/>
          <w:szCs w:val="32"/>
          <w14:textFill>
            <w14:solidFill>
              <w14:schemeClr w14:val="tx1"/>
            </w14:solidFill>
          </w14:textFill>
        </w:rPr>
        <w:t>收</w:t>
      </w:r>
      <w:r>
        <w:rPr>
          <w:rStyle w:val="26"/>
          <w:rFonts w:hint="eastAsia" w:ascii="黑体" w:hAnsi="黑体" w:eastAsia="黑体"/>
          <w:b w:val="0"/>
          <w:color w:val="000000" w:themeColor="text1"/>
          <w14:textFill>
            <w14:solidFill>
              <w14:schemeClr w14:val="tx1"/>
            </w14:solidFill>
          </w14:textFill>
        </w:rPr>
        <w:t>入支出决算总体情况说明</w:t>
      </w:r>
      <w:bookmarkEnd w:id="26"/>
      <w:bookmarkEnd w:id="27"/>
      <w:bookmarkEnd w:id="28"/>
    </w:p>
    <w:p>
      <w:pPr>
        <w:spacing w:line="600" w:lineRule="exact"/>
        <w:ind w:firstLine="684" w:firstLineChars="200"/>
        <w:rPr>
          <w:rFonts w:hint="eastAsia" w:ascii="仿宋_GB2312" w:hAnsi="仿宋_GB2312" w:eastAsia="仿宋_GB2312" w:cs="仿宋_GB2312"/>
          <w:color w:val="000000" w:themeColor="text1"/>
          <w:spacing w:val="11"/>
          <w:sz w:val="32"/>
          <w:szCs w:val="32"/>
          <w14:textFill>
            <w14:solidFill>
              <w14:schemeClr w14:val="tx1"/>
            </w14:solidFill>
          </w14:textFill>
        </w:rPr>
      </w:pPr>
      <w:r>
        <w:rPr>
          <w:rFonts w:hint="eastAsia" w:ascii="仿宋_GB2312" w:hAnsi="仿宋_GB2312" w:eastAsia="仿宋_GB2312" w:cs="仿宋_GB2312"/>
          <w:color w:val="000000" w:themeColor="text1"/>
          <w:spacing w:val="11"/>
          <w:sz w:val="32"/>
          <w:szCs w:val="32"/>
          <w14:textFill>
            <w14:solidFill>
              <w14:schemeClr w14:val="tx1"/>
            </w14:solidFill>
          </w14:textFill>
        </w:rPr>
        <w:t>2023年度收、支总计2499.57万元。与2022年相比，收、支总计各增加785.24万元，增长45.8%。主要变动原因是2023年将离休干部医疗费用基金及大病医疗救助费用基金纳入决算。</w:t>
      </w:r>
    </w:p>
    <w:p>
      <w:pPr>
        <w:pStyle w:val="9"/>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drawing>
          <wp:anchor distT="0" distB="0" distL="114300" distR="114300" simplePos="0" relativeHeight="251659264" behindDoc="0" locked="0" layoutInCell="1" allowOverlap="1">
            <wp:simplePos x="0" y="0"/>
            <wp:positionH relativeFrom="column">
              <wp:posOffset>417830</wp:posOffset>
            </wp:positionH>
            <wp:positionV relativeFrom="paragraph">
              <wp:posOffset>155575</wp:posOffset>
            </wp:positionV>
            <wp:extent cx="4954905" cy="2435225"/>
            <wp:effectExtent l="5080" t="4445" r="5715" b="11430"/>
            <wp:wrapSquare wrapText="bothSides"/>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rPr>
          <w:rFonts w:ascii="仿宋" w:hAnsi="仿宋" w:eastAsia="仿宋"/>
          <w:color w:val="000000" w:themeColor="text1"/>
          <w:sz w:val="32"/>
          <w:szCs w:val="32"/>
          <w14:textFill>
            <w14:solidFill>
              <w14:schemeClr w14:val="tx1"/>
            </w14:solidFill>
          </w14:textFill>
        </w:rPr>
      </w:pPr>
    </w:p>
    <w:p>
      <w:pPr>
        <w:spacing w:line="600" w:lineRule="exact"/>
        <w:ind w:firstLine="1600" w:firstLineChars="5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图1：收、支决算总计变动情况图</w:t>
      </w:r>
    </w:p>
    <w:p>
      <w:pPr>
        <w:pStyle w:val="9"/>
      </w:pPr>
    </w:p>
    <w:p>
      <w:pPr>
        <w:pStyle w:val="37"/>
        <w:numPr>
          <w:ilvl w:val="0"/>
          <w:numId w:val="2"/>
        </w:numPr>
        <w:spacing w:line="600" w:lineRule="exact"/>
        <w:ind w:firstLineChars="0"/>
        <w:outlineLvl w:val="1"/>
        <w:rPr>
          <w:rStyle w:val="26"/>
          <w:rFonts w:ascii="黑体" w:hAnsi="黑体" w:eastAsia="黑体"/>
          <w:b w:val="0"/>
          <w:color w:val="000000" w:themeColor="text1"/>
          <w14:textFill>
            <w14:solidFill>
              <w14:schemeClr w14:val="tx1"/>
            </w14:solidFill>
          </w14:textFill>
        </w:rPr>
      </w:pPr>
      <w:bookmarkStart w:id="29" w:name="_Toc25167"/>
      <w:bookmarkStart w:id="30" w:name="_Toc15377206"/>
      <w:bookmarkStart w:id="31" w:name="_Toc15396604"/>
      <w:r>
        <w:rPr>
          <w:rFonts w:hint="eastAsia" w:ascii="黑体" w:hAnsi="黑体" w:eastAsia="黑体"/>
          <w:color w:val="000000" w:themeColor="text1"/>
          <w:sz w:val="32"/>
          <w:szCs w:val="32"/>
          <w14:textFill>
            <w14:solidFill>
              <w14:schemeClr w14:val="tx1"/>
            </w14:solidFill>
          </w14:textFill>
        </w:rPr>
        <w:t>收</w:t>
      </w:r>
      <w:r>
        <w:rPr>
          <w:rStyle w:val="26"/>
          <w:rFonts w:hint="eastAsia" w:ascii="黑体" w:hAnsi="黑体" w:eastAsia="黑体"/>
          <w:b w:val="0"/>
          <w:color w:val="000000" w:themeColor="text1"/>
          <w14:textFill>
            <w14:solidFill>
              <w14:schemeClr w14:val="tx1"/>
            </w14:solidFill>
          </w14:textFill>
        </w:rPr>
        <w:t>入决算情况说明</w:t>
      </w:r>
      <w:bookmarkEnd w:id="29"/>
      <w:bookmarkEnd w:id="30"/>
      <w:bookmarkEnd w:id="31"/>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2023年本年收入合计2499.42万元，其中：一般公共预算财政拨款收入2499.4万元，占100%，</w:t>
      </w:r>
      <w:r>
        <w:rPr>
          <w:rFonts w:hint="eastAsia" w:ascii="仿宋_GB2312" w:hAnsi="仿宋_GB2312" w:eastAsia="仿宋_GB2312" w:cs="仿宋_GB2312"/>
          <w:sz w:val="32"/>
          <w:szCs w:val="32"/>
        </w:rPr>
        <w:t>其他收入0.01万元，占0%。</w:t>
      </w:r>
    </w:p>
    <w:p>
      <w:pPr>
        <w:pStyle w:val="2"/>
        <w:spacing w:before="93"/>
        <w:rPr>
          <w:rFonts w:hAnsi="仿宋_GB2312" w:cs="仿宋_GB2312"/>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drawing>
          <wp:inline distT="0" distB="0" distL="114300" distR="114300">
            <wp:extent cx="4895850" cy="3150235"/>
            <wp:effectExtent l="4445" t="4445" r="14605" b="7620"/>
            <wp:docPr id="2" name="图表 2" descr="7b0a202020202263686172745265734964223a20223230343638343938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图2：收入决算结构图</w:t>
      </w:r>
    </w:p>
    <w:p>
      <w:pPr>
        <w:pStyle w:val="37"/>
        <w:numPr>
          <w:ilvl w:val="0"/>
          <w:numId w:val="2"/>
        </w:numPr>
        <w:spacing w:line="600" w:lineRule="exact"/>
        <w:ind w:firstLineChars="0"/>
        <w:outlineLvl w:val="1"/>
        <w:rPr>
          <w:rStyle w:val="26"/>
          <w:rFonts w:ascii="黑体" w:hAnsi="黑体" w:eastAsia="黑体"/>
          <w:b w:val="0"/>
          <w:color w:val="000000" w:themeColor="text1"/>
          <w14:textFill>
            <w14:solidFill>
              <w14:schemeClr w14:val="tx1"/>
            </w14:solidFill>
          </w14:textFill>
        </w:rPr>
      </w:pPr>
      <w:bookmarkStart w:id="32" w:name="_Toc20327"/>
      <w:bookmarkStart w:id="33" w:name="_Toc15396605"/>
      <w:bookmarkStart w:id="34" w:name="_Toc15377207"/>
      <w:r>
        <w:rPr>
          <w:rFonts w:hint="eastAsia" w:ascii="黑体" w:hAnsi="黑体" w:eastAsia="黑体"/>
          <w:color w:val="000000" w:themeColor="text1"/>
          <w:sz w:val="32"/>
          <w:szCs w:val="32"/>
          <w14:textFill>
            <w14:solidFill>
              <w14:schemeClr w14:val="tx1"/>
            </w14:solidFill>
          </w14:textFill>
        </w:rPr>
        <w:t>支</w:t>
      </w:r>
      <w:r>
        <w:rPr>
          <w:rStyle w:val="26"/>
          <w:rFonts w:hint="eastAsia" w:ascii="黑体" w:hAnsi="黑体" w:eastAsia="黑体"/>
          <w:b w:val="0"/>
          <w:color w:val="000000" w:themeColor="text1"/>
          <w14:textFill>
            <w14:solidFill>
              <w14:schemeClr w14:val="tx1"/>
            </w14:solidFill>
          </w14:textFill>
        </w:rPr>
        <w:t>出决算情况说明</w:t>
      </w:r>
      <w:bookmarkEnd w:id="32"/>
      <w:bookmarkEnd w:id="33"/>
      <w:bookmarkEnd w:id="34"/>
    </w:p>
    <w:p>
      <w:pPr>
        <w:spacing w:line="600" w:lineRule="exact"/>
        <w:ind w:firstLine="640" w:firstLineChars="200"/>
        <w:outlineLvl w:val="1"/>
        <w:rPr>
          <w:rFonts w:ascii="仿宋_GB2312" w:hAnsi="仿宋_GB2312" w:eastAsia="仿宋_GB2312" w:cs="仿宋_GB2312"/>
          <w:color w:val="000000" w:themeColor="text1"/>
          <w:sz w:val="32"/>
          <w:szCs w:val="32"/>
          <w14:textFill>
            <w14:solidFill>
              <w14:schemeClr w14:val="tx1"/>
            </w14:solidFill>
          </w14:textFill>
        </w:rPr>
      </w:pPr>
      <w:bookmarkStart w:id="35" w:name="_Toc10216"/>
      <w:r>
        <w:rPr>
          <w:rFonts w:hint="eastAsia" w:ascii="仿宋_GB2312" w:hAnsi="仿宋_GB2312" w:eastAsia="仿宋_GB2312" w:cs="仿宋_GB2312"/>
          <w:color w:val="000000" w:themeColor="text1"/>
          <w:sz w:val="32"/>
          <w:szCs w:val="32"/>
          <w14:textFill>
            <w14:solidFill>
              <w14:schemeClr w14:val="tx1"/>
            </w14:solidFill>
          </w14:textFill>
        </w:rPr>
        <w:t>2023年本年支出合计2499.4万元，其中：基本支出817.32万元，占32.7%；项目支出1682.09万元，占67.3%。</w:t>
      </w:r>
      <w:bookmarkEnd w:id="35"/>
    </w:p>
    <w:p>
      <w:pPr>
        <w:spacing w:line="600" w:lineRule="exact"/>
        <w:ind w:firstLine="640"/>
        <w:rPr>
          <w:rFonts w:ascii="仿宋" w:hAnsi="仿宋" w:eastAsia="仿宋"/>
          <w:color w:val="000000" w:themeColor="text1"/>
          <w:sz w:val="32"/>
          <w:szCs w:val="32"/>
          <w:shd w:val="pct10" w:color="auto" w:fill="FFFFFF"/>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drawing>
          <wp:anchor distT="0" distB="0" distL="114300" distR="114300" simplePos="0" relativeHeight="251660288" behindDoc="1" locked="0" layoutInCell="1" allowOverlap="1">
            <wp:simplePos x="0" y="0"/>
            <wp:positionH relativeFrom="column">
              <wp:posOffset>536575</wp:posOffset>
            </wp:positionH>
            <wp:positionV relativeFrom="paragraph">
              <wp:posOffset>16510</wp:posOffset>
            </wp:positionV>
            <wp:extent cx="4470400" cy="2595880"/>
            <wp:effectExtent l="4445" t="4445" r="20955" b="66675"/>
            <wp:wrapTight wrapText="bothSides">
              <wp:wrapPolygon>
                <wp:start x="-21" y="-37"/>
                <wp:lineTo x="-21" y="21521"/>
                <wp:lineTo x="21517" y="21521"/>
                <wp:lineTo x="21517" y="-37"/>
                <wp:lineTo x="-21" y="-37"/>
              </wp:wrapPolygon>
            </wp:wrapTight>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p>
    <w:p>
      <w:pPr>
        <w:spacing w:line="600" w:lineRule="exact"/>
        <w:ind w:firstLine="2240" w:firstLineChars="700"/>
        <w:outlineLvl w:val="1"/>
        <w:rPr>
          <w:rFonts w:ascii="仿宋_GB2312" w:hAnsi="仿宋_GB2312" w:eastAsia="仿宋_GB2312" w:cs="仿宋_GB2312"/>
          <w:color w:val="000000" w:themeColor="text1"/>
          <w:sz w:val="32"/>
          <w:szCs w:val="32"/>
          <w14:textFill>
            <w14:solidFill>
              <w14:schemeClr w14:val="tx1"/>
            </w14:solidFill>
          </w14:textFill>
        </w:rPr>
      </w:pPr>
      <w:bookmarkStart w:id="36" w:name="_Toc253"/>
      <w:r>
        <w:rPr>
          <w:rFonts w:hint="eastAsia" w:ascii="仿宋_GB2312" w:hAnsi="仿宋_GB2312" w:eastAsia="仿宋_GB2312" w:cs="仿宋_GB2312"/>
          <w:color w:val="000000" w:themeColor="text1"/>
          <w:sz w:val="32"/>
          <w:szCs w:val="32"/>
          <w14:textFill>
            <w14:solidFill>
              <w14:schemeClr w14:val="tx1"/>
            </w14:solidFill>
          </w14:textFill>
        </w:rPr>
        <w:t>图3：支出决算结构图</w:t>
      </w:r>
      <w:bookmarkEnd w:id="36"/>
    </w:p>
    <w:p>
      <w:pPr>
        <w:spacing w:line="600" w:lineRule="exact"/>
        <w:ind w:firstLine="640" w:firstLineChars="200"/>
        <w:outlineLvl w:val="1"/>
        <w:rPr>
          <w:rStyle w:val="26"/>
          <w:rFonts w:ascii="黑体" w:hAnsi="黑体" w:eastAsia="黑体"/>
          <w:b w:val="0"/>
          <w:color w:val="000000" w:themeColor="text1"/>
          <w14:textFill>
            <w14:solidFill>
              <w14:schemeClr w14:val="tx1"/>
            </w14:solidFill>
          </w14:textFill>
        </w:rPr>
      </w:pPr>
      <w:bookmarkStart w:id="37" w:name="_Toc18468"/>
      <w:bookmarkStart w:id="38" w:name="_Toc15396606"/>
      <w:bookmarkStart w:id="39" w:name="_Toc15377208"/>
      <w:r>
        <w:rPr>
          <w:rFonts w:hint="eastAsia" w:ascii="黑体" w:hAnsi="黑体" w:eastAsia="黑体"/>
          <w:color w:val="000000" w:themeColor="text1"/>
          <w:sz w:val="32"/>
          <w:szCs w:val="32"/>
          <w14:textFill>
            <w14:solidFill>
              <w14:schemeClr w14:val="tx1"/>
            </w14:solidFill>
          </w14:textFill>
        </w:rPr>
        <w:t>四、财</w:t>
      </w:r>
      <w:r>
        <w:rPr>
          <w:rStyle w:val="26"/>
          <w:rFonts w:hint="eastAsia" w:ascii="黑体" w:hAnsi="黑体" w:eastAsia="黑体"/>
          <w:b w:val="0"/>
          <w:color w:val="000000" w:themeColor="text1"/>
          <w14:textFill>
            <w14:solidFill>
              <w14:schemeClr w14:val="tx1"/>
            </w14:solidFill>
          </w14:textFill>
        </w:rPr>
        <w:t>政拨款收入支出决算总体情况说明</w:t>
      </w:r>
      <w:bookmarkEnd w:id="37"/>
      <w:bookmarkEnd w:id="38"/>
      <w:bookmarkEnd w:id="39"/>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2023年财政拨款收、支总计2499.4万元。与2022年相比，财政拨款收、支总计各增加785.07万元，增长45.79%。主要变动原因是2023年将离休干部医疗费用基金及大病医疗救助费用基金纳入决算。</w:t>
      </w:r>
    </w:p>
    <w:p>
      <w:pPr>
        <w:spacing w:line="200" w:lineRule="exact"/>
        <w:ind w:firstLine="616" w:firstLineChars="200"/>
        <w:rPr>
          <w:rFonts w:ascii="仿宋_GB2312" w:hAnsi="仿宋_GB2312" w:eastAsia="仿宋_GB2312" w:cs="仿宋_GB2312"/>
          <w:color w:val="000000" w:themeColor="text1"/>
          <w:spacing w:val="-6"/>
          <w:sz w:val="32"/>
          <w:szCs w:val="32"/>
          <w14:textFill>
            <w14:solidFill>
              <w14:schemeClr w14:val="tx1"/>
            </w14:solidFill>
          </w14:textFill>
        </w:rPr>
      </w:pPr>
    </w:p>
    <w:p>
      <w:pPr>
        <w:spacing w:line="600" w:lineRule="exact"/>
        <w:jc w:val="center"/>
        <w:rPr>
          <w:rFonts w:ascii="仿宋" w:hAnsi="仿宋" w:eastAsia="仿宋"/>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drawing>
          <wp:anchor distT="0" distB="0" distL="114300" distR="114300" simplePos="0" relativeHeight="251661312" behindDoc="0" locked="0" layoutInCell="1" allowOverlap="1">
            <wp:simplePos x="0" y="0"/>
            <wp:positionH relativeFrom="column">
              <wp:posOffset>340995</wp:posOffset>
            </wp:positionH>
            <wp:positionV relativeFrom="paragraph">
              <wp:posOffset>300990</wp:posOffset>
            </wp:positionV>
            <wp:extent cx="4986655" cy="2509520"/>
            <wp:effectExtent l="4445" t="4445" r="12700" b="13335"/>
            <wp:wrapSquare wrapText="bothSides"/>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_GB2312" w:hAnsi="仿宋_GB2312" w:eastAsia="仿宋_GB2312" w:cs="仿宋_GB2312"/>
          <w:color w:val="000000" w:themeColor="text1"/>
          <w:sz w:val="32"/>
          <w:szCs w:val="32"/>
          <w14:textFill>
            <w14:solidFill>
              <w14:schemeClr w14:val="tx1"/>
            </w14:solidFill>
          </w14:textFill>
        </w:rPr>
        <w:t>图4：财政拨款收、支决算总计变动情况</w:t>
      </w:r>
    </w:p>
    <w:p>
      <w:pPr>
        <w:spacing w:line="600" w:lineRule="exact"/>
        <w:ind w:firstLine="640"/>
        <w:rPr>
          <w:rFonts w:ascii="仿宋" w:hAnsi="仿宋" w:eastAsia="仿宋"/>
          <w:b/>
          <w:color w:val="000000" w:themeColor="text1"/>
          <w:sz w:val="32"/>
          <w:szCs w:val="32"/>
          <w14:textFill>
            <w14:solidFill>
              <w14:schemeClr w14:val="tx1"/>
            </w14:solidFill>
          </w14:textFill>
        </w:rPr>
      </w:pPr>
    </w:p>
    <w:p>
      <w:pPr>
        <w:spacing w:line="600" w:lineRule="exact"/>
        <w:ind w:firstLine="640" w:firstLineChars="200"/>
        <w:outlineLvl w:val="1"/>
        <w:rPr>
          <w:rStyle w:val="26"/>
          <w:rFonts w:ascii="黑体" w:hAnsi="黑体" w:eastAsia="黑体"/>
          <w:b w:val="0"/>
          <w:color w:val="000000" w:themeColor="text1"/>
          <w14:textFill>
            <w14:solidFill>
              <w14:schemeClr w14:val="tx1"/>
            </w14:solidFill>
          </w14:textFill>
        </w:rPr>
      </w:pPr>
      <w:bookmarkStart w:id="40" w:name="_Toc15396607"/>
      <w:bookmarkStart w:id="41" w:name="_Toc15377209"/>
      <w:bookmarkStart w:id="42" w:name="_Toc19693"/>
      <w:r>
        <w:rPr>
          <w:rFonts w:hint="eastAsia" w:ascii="黑体" w:hAnsi="黑体" w:eastAsia="黑体"/>
          <w:color w:val="000000" w:themeColor="text1"/>
          <w:sz w:val="32"/>
          <w:szCs w:val="32"/>
          <w14:textFill>
            <w14:solidFill>
              <w14:schemeClr w14:val="tx1"/>
            </w14:solidFill>
          </w14:textFill>
        </w:rPr>
        <w:t>五、</w:t>
      </w:r>
      <w:r>
        <w:rPr>
          <w:rFonts w:hint="eastAsia" w:ascii="黑体" w:hAnsi="黑体" w:eastAsia="黑体"/>
          <w:b/>
          <w:color w:val="000000" w:themeColor="text1"/>
          <w:sz w:val="32"/>
          <w:szCs w:val="32"/>
          <w14:textFill>
            <w14:solidFill>
              <w14:schemeClr w14:val="tx1"/>
            </w14:solidFill>
          </w14:textFill>
        </w:rPr>
        <w:t>一</w:t>
      </w:r>
      <w:r>
        <w:rPr>
          <w:rStyle w:val="26"/>
          <w:rFonts w:hint="eastAsia" w:ascii="黑体" w:hAnsi="黑体" w:eastAsia="黑体"/>
          <w:b w:val="0"/>
          <w:color w:val="000000" w:themeColor="text1"/>
          <w14:textFill>
            <w14:solidFill>
              <w14:schemeClr w14:val="tx1"/>
            </w14:solidFill>
          </w14:textFill>
        </w:rPr>
        <w:t>般公共预算财政拨款支出决算情况说明</w:t>
      </w:r>
      <w:bookmarkEnd w:id="40"/>
      <w:bookmarkEnd w:id="41"/>
      <w:bookmarkEnd w:id="42"/>
    </w:p>
    <w:p>
      <w:pPr>
        <w:spacing w:line="600"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43" w:name="_Toc15377210"/>
      <w:r>
        <w:rPr>
          <w:rFonts w:hint="eastAsia" w:ascii="楷体_GB2312" w:hAnsi="楷体_GB2312" w:eastAsia="楷体_GB2312" w:cs="楷体_GB2312"/>
          <w:bCs/>
          <w:color w:val="000000" w:themeColor="text1"/>
          <w:sz w:val="32"/>
          <w:szCs w:val="32"/>
          <w14:textFill>
            <w14:solidFill>
              <w14:schemeClr w14:val="tx1"/>
            </w14:solidFill>
          </w14:textFill>
        </w:rPr>
        <w:t>（一）一般公共预算财政拨款支出决算总体情况</w:t>
      </w:r>
      <w:bookmarkEnd w:id="43"/>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2023年一般公共预算财政拨款支出2499.4万元，占本年支出合计的100%。与2022年相比，一般公共预算财政拨款支出增加785.07万元，增长45.79%。主要变动原因是2023年将离休干部医疗费用基金及大病医疗救助费用基金纳入决算。</w:t>
      </w:r>
    </w:p>
    <w:p>
      <w:pPr>
        <w:spacing w:line="6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drawing>
          <wp:anchor distT="0" distB="0" distL="114300" distR="114300" simplePos="0" relativeHeight="251666432" behindDoc="0" locked="0" layoutInCell="1" allowOverlap="1">
            <wp:simplePos x="0" y="0"/>
            <wp:positionH relativeFrom="column">
              <wp:posOffset>616585</wp:posOffset>
            </wp:positionH>
            <wp:positionV relativeFrom="paragraph">
              <wp:posOffset>155575</wp:posOffset>
            </wp:positionV>
            <wp:extent cx="4756150" cy="2166620"/>
            <wp:effectExtent l="4445" t="5080" r="20955" b="19050"/>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p>
    <w:p>
      <w:pPr>
        <w:pStyle w:val="2"/>
        <w:spacing w:before="93"/>
        <w:rPr>
          <w:rFonts w:ascii="仿宋" w:hAnsi="仿宋" w:eastAsia="仿宋"/>
          <w:color w:val="000000" w:themeColor="text1"/>
          <w:sz w:val="32"/>
          <w:szCs w:val="32"/>
          <w14:textFill>
            <w14:solidFill>
              <w14:schemeClr w14:val="tx1"/>
            </w14:solidFill>
          </w14:textFill>
        </w:rPr>
      </w:pPr>
    </w:p>
    <w:p>
      <w:pPr>
        <w:pStyle w:val="2"/>
        <w:spacing w:before="93"/>
        <w:rPr>
          <w:rFonts w:ascii="仿宋" w:hAnsi="仿宋" w:eastAsia="仿宋"/>
          <w:color w:val="000000" w:themeColor="text1"/>
          <w:sz w:val="32"/>
          <w:szCs w:val="32"/>
          <w14:textFill>
            <w14:solidFill>
              <w14:schemeClr w14:val="tx1"/>
            </w14:solidFill>
          </w14:textFill>
        </w:rPr>
      </w:pPr>
    </w:p>
    <w:p>
      <w:pPr>
        <w:pStyle w:val="2"/>
        <w:spacing w:before="93"/>
        <w:rPr>
          <w:rFonts w:ascii="仿宋" w:hAnsi="仿宋" w:eastAsia="仿宋"/>
          <w:color w:val="000000" w:themeColor="text1"/>
          <w:sz w:val="32"/>
          <w:szCs w:val="32"/>
          <w14:textFill>
            <w14:solidFill>
              <w14:schemeClr w14:val="tx1"/>
            </w14:solidFill>
          </w14:textFill>
        </w:rPr>
      </w:pPr>
    </w:p>
    <w:p>
      <w:pPr>
        <w:pStyle w:val="2"/>
        <w:spacing w:before="93"/>
        <w:rPr>
          <w:rFonts w:ascii="仿宋" w:hAnsi="仿宋" w:eastAsia="仿宋"/>
          <w:color w:val="000000" w:themeColor="text1"/>
          <w:sz w:val="32"/>
          <w:szCs w:val="32"/>
          <w14:textFill>
            <w14:solidFill>
              <w14:schemeClr w14:val="tx1"/>
            </w14:solidFill>
          </w14:textFill>
        </w:rPr>
      </w:pPr>
    </w:p>
    <w:p>
      <w:pPr>
        <w:spacing w:line="60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图5：一般公共预算财政拨款支出决算变动情况</w:t>
      </w:r>
    </w:p>
    <w:p>
      <w:pPr>
        <w:spacing w:line="600"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44" w:name="_Toc15377211"/>
      <w:r>
        <w:rPr>
          <w:rFonts w:hint="eastAsia" w:ascii="楷体_GB2312" w:hAnsi="楷体_GB2312" w:eastAsia="楷体_GB2312" w:cs="楷体_GB2312"/>
          <w:bCs/>
          <w:color w:val="000000" w:themeColor="text1"/>
          <w:sz w:val="32"/>
          <w:szCs w:val="32"/>
          <w14:textFill>
            <w14:solidFill>
              <w14:schemeClr w14:val="tx1"/>
            </w14:solidFill>
          </w14:textFill>
        </w:rPr>
        <w:t>（二）一般公共预算财政拨款支出决算结构情况</w:t>
      </w:r>
      <w:bookmarkEnd w:id="44"/>
    </w:p>
    <w:p>
      <w:pPr>
        <w:spacing w:line="600" w:lineRule="exact"/>
        <w:ind w:firstLine="64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2023年一般公共预算财政拨款支出2499.4万元，主要用于以下方面：社会保障和就业支出142.92万元，占5.72%；卫生健康支出2297.22万元，占91.91%；住房保障支出59.26万元，占2.37%。</w:t>
      </w:r>
    </w:p>
    <w:p>
      <w:pPr>
        <w:spacing w:line="600" w:lineRule="exact"/>
        <w:ind w:firstLine="640"/>
        <w:rPr>
          <w:rFonts w:ascii="仿宋" w:hAnsi="仿宋" w:eastAsia="仿宋"/>
          <w:color w:val="000000" w:themeColor="text1"/>
          <w:sz w:val="32"/>
          <w:szCs w:val="32"/>
          <w14:textFill>
            <w14:solidFill>
              <w14:schemeClr w14:val="tx1"/>
            </w14:solidFill>
          </w14:textFill>
        </w:rPr>
      </w:pPr>
      <w:r>
        <w:rPr>
          <w:rFonts w:hint="eastAsia" w:ascii="仿宋_GB2312" w:hAnsi="仿宋" w:eastAsia="仿宋_GB2312" w:cs="仿宋_GB2312"/>
          <w:color w:val="000000" w:themeColor="text1"/>
          <w:spacing w:val="-8"/>
          <w:sz w:val="32"/>
          <w:szCs w:val="32"/>
          <w14:textFill>
            <w14:solidFill>
              <w14:schemeClr w14:val="tx1"/>
            </w14:solidFill>
          </w14:textFill>
        </w:rPr>
        <w:drawing>
          <wp:anchor distT="0" distB="0" distL="114300" distR="114300" simplePos="0" relativeHeight="251662336" behindDoc="1" locked="0" layoutInCell="1" allowOverlap="1">
            <wp:simplePos x="0" y="0"/>
            <wp:positionH relativeFrom="column">
              <wp:posOffset>462915</wp:posOffset>
            </wp:positionH>
            <wp:positionV relativeFrom="paragraph">
              <wp:posOffset>58420</wp:posOffset>
            </wp:positionV>
            <wp:extent cx="4563745" cy="2408555"/>
            <wp:effectExtent l="4445" t="4445" r="16510" b="12700"/>
            <wp:wrapTight wrapText="bothSides">
              <wp:wrapPolygon>
                <wp:start x="-21" y="-40"/>
                <wp:lineTo x="-21" y="21486"/>
                <wp:lineTo x="21558" y="21486"/>
                <wp:lineTo x="21558" y="-40"/>
                <wp:lineTo x="-21" y="-40"/>
              </wp:wrapPolygon>
            </wp:wrapTight>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pStyle w:val="2"/>
        <w:spacing w:before="93"/>
        <w:rPr>
          <w:rFonts w:ascii="仿宋" w:hAnsi="仿宋" w:eastAsia="仿宋"/>
          <w:color w:val="000000" w:themeColor="text1"/>
          <w:sz w:val="32"/>
          <w:szCs w:val="32"/>
          <w14:textFill>
            <w14:solidFill>
              <w14:schemeClr w14:val="tx1"/>
            </w14:solidFill>
          </w14:textFill>
        </w:rPr>
      </w:pPr>
    </w:p>
    <w:p>
      <w:pPr>
        <w:pStyle w:val="2"/>
        <w:spacing w:before="93"/>
        <w:rPr>
          <w:rFonts w:ascii="仿宋" w:hAnsi="仿宋" w:eastAsia="仿宋"/>
          <w:color w:val="000000" w:themeColor="text1"/>
          <w:sz w:val="32"/>
          <w:szCs w:val="32"/>
          <w14:textFill>
            <w14:solidFill>
              <w14:schemeClr w14:val="tx1"/>
            </w14:solidFill>
          </w14:textFill>
        </w:rPr>
      </w:pPr>
    </w:p>
    <w:p>
      <w:pPr>
        <w:spacing w:line="600" w:lineRule="exact"/>
        <w:rPr>
          <w:rFonts w:ascii="仿宋_GB2312" w:hAnsi="仿宋_GB2312" w:eastAsia="仿宋_GB2312" w:cs="仿宋_GB2312"/>
          <w:color w:val="000000" w:themeColor="text1"/>
          <w:sz w:val="32"/>
          <w:szCs w:val="32"/>
          <w14:textFill>
            <w14:solidFill>
              <w14:schemeClr w14:val="tx1"/>
            </w14:solidFill>
          </w14:textFill>
        </w:rPr>
      </w:pPr>
    </w:p>
    <w:p>
      <w:pPr>
        <w:spacing w:line="600" w:lineRule="exact"/>
        <w:rPr>
          <w:rFonts w:ascii="仿宋_GB2312" w:hAnsi="仿宋_GB2312" w:eastAsia="仿宋_GB2312" w:cs="仿宋_GB2312"/>
          <w:color w:val="000000" w:themeColor="text1"/>
          <w:sz w:val="32"/>
          <w:szCs w:val="32"/>
          <w14:textFill>
            <w14:solidFill>
              <w14:schemeClr w14:val="tx1"/>
            </w14:solidFill>
          </w14:textFill>
        </w:rPr>
      </w:pPr>
    </w:p>
    <w:p>
      <w:pPr>
        <w:spacing w:line="600" w:lineRule="exact"/>
        <w:rPr>
          <w:rFonts w:ascii="仿宋_GB2312" w:hAnsi="仿宋_GB2312" w:eastAsia="仿宋_GB2312" w:cs="仿宋_GB2312"/>
          <w:color w:val="000000" w:themeColor="text1"/>
          <w:sz w:val="32"/>
          <w:szCs w:val="32"/>
          <w14:textFill>
            <w14:solidFill>
              <w14:schemeClr w14:val="tx1"/>
            </w14:solidFill>
          </w14:textFill>
        </w:rPr>
      </w:pPr>
    </w:p>
    <w:p>
      <w:pPr>
        <w:spacing w:line="60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图6：一般公共预算财政拨款支出决算结构</w:t>
      </w:r>
    </w:p>
    <w:p>
      <w:pPr>
        <w:spacing w:line="57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45" w:name="_Toc15377212"/>
      <w:r>
        <w:rPr>
          <w:rFonts w:hint="eastAsia" w:ascii="楷体_GB2312" w:hAnsi="楷体_GB2312" w:eastAsia="楷体_GB2312" w:cs="楷体_GB2312"/>
          <w:bCs/>
          <w:color w:val="000000" w:themeColor="text1"/>
          <w:sz w:val="32"/>
          <w:szCs w:val="32"/>
          <w14:textFill>
            <w14:solidFill>
              <w14:schemeClr w14:val="tx1"/>
            </w14:solidFill>
          </w14:textFill>
        </w:rPr>
        <w:t>（三）一般公共预算财政拨款支出决算具体情况</w:t>
      </w:r>
      <w:bookmarkEnd w:id="45"/>
    </w:p>
    <w:p>
      <w:pPr>
        <w:spacing w:line="576" w:lineRule="exact"/>
        <w:ind w:firstLine="640" w:firstLineChars="200"/>
        <w:outlineLvl w:val="1"/>
        <w:rPr>
          <w:rFonts w:ascii="仿宋_GB2312" w:hAnsi="仿宋_GB2312" w:eastAsia="仿宋_GB2312" w:cs="仿宋_GB2312"/>
          <w:bCs/>
          <w:color w:val="000000" w:themeColor="text1"/>
          <w:sz w:val="32"/>
          <w:szCs w:val="32"/>
          <w14:textFill>
            <w14:solidFill>
              <w14:schemeClr w14:val="tx1"/>
            </w14:solidFill>
          </w14:textFill>
        </w:rPr>
      </w:pPr>
      <w:bookmarkStart w:id="46" w:name="_Toc31620"/>
      <w:bookmarkStart w:id="47" w:name="_Toc15377213"/>
      <w:bookmarkStart w:id="48" w:name="_Toc15377444"/>
      <w:bookmarkStart w:id="49" w:name="_Toc15378460"/>
      <w:r>
        <w:rPr>
          <w:rFonts w:hint="eastAsia" w:ascii="仿宋_GB2312" w:hAnsi="仿宋_GB2312" w:eastAsia="仿宋_GB2312" w:cs="仿宋_GB2312"/>
          <w:bCs/>
          <w:color w:val="000000" w:themeColor="text1"/>
          <w:sz w:val="32"/>
          <w:szCs w:val="32"/>
          <w14:textFill>
            <w14:solidFill>
              <w14:schemeClr w14:val="tx1"/>
            </w14:solidFill>
          </w14:textFill>
        </w:rPr>
        <w:t>2023年一般公共预算支出决算数为2499.4</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万元</w:t>
      </w:r>
      <w:r>
        <w:rPr>
          <w:rFonts w:hint="eastAsia" w:ascii="仿宋_GB2312" w:hAnsi="仿宋_GB2312" w:eastAsia="仿宋_GB2312" w:cs="仿宋_GB2312"/>
          <w:bCs/>
          <w:color w:val="000000" w:themeColor="text1"/>
          <w:sz w:val="32"/>
          <w:szCs w:val="32"/>
          <w14:textFill>
            <w14:solidFill>
              <w14:schemeClr w14:val="tx1"/>
            </w14:solidFill>
          </w14:textFill>
        </w:rPr>
        <w:t>，</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完成预算</w:t>
      </w:r>
      <w:r>
        <w:rPr>
          <w:rFonts w:hint="eastAsia" w:ascii="仿宋_GB2312" w:hAnsi="仿宋_GB2312" w:eastAsia="仿宋_GB2312" w:cs="仿宋_GB2312"/>
          <w:bCs/>
          <w:color w:val="000000" w:themeColor="text1"/>
          <w:sz w:val="32"/>
          <w:szCs w:val="32"/>
          <w14:textFill>
            <w14:solidFill>
              <w14:schemeClr w14:val="tx1"/>
            </w14:solidFill>
          </w14:textFill>
        </w:rPr>
        <w:t>100%。其中：</w:t>
      </w:r>
      <w:bookmarkEnd w:id="46"/>
      <w:bookmarkEnd w:id="47"/>
      <w:bookmarkEnd w:id="48"/>
      <w:bookmarkEnd w:id="49"/>
    </w:p>
    <w:p>
      <w:pPr>
        <w:spacing w:line="576" w:lineRule="exact"/>
        <w:ind w:firstLine="640" w:firstLineChars="200"/>
        <w:outlineLvl w:val="2"/>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1.</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社会保障和就业（类）人力资源和社会保障管理事务（款） 其他人力资源和社会保障管理事务支出（项）：支出决算为0.96万元，完成预算100%</w:t>
      </w:r>
      <w:r>
        <w:rPr>
          <w:rStyle w:val="22"/>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2.</w:t>
      </w:r>
      <w:r>
        <w:rPr>
          <w:rStyle w:val="22"/>
          <w:rFonts w:ascii="仿宋_GB2312" w:hAnsi="仿宋_GB2312" w:eastAsia="仿宋_GB2312" w:cs="仿宋_GB2312"/>
          <w:b w:val="0"/>
          <w:bCs/>
          <w:color w:val="000000" w:themeColor="text1"/>
          <w:sz w:val="32"/>
          <w:szCs w:val="32"/>
          <w14:textFill>
            <w14:solidFill>
              <w14:schemeClr w14:val="tx1"/>
            </w14:solidFill>
          </w14:textFill>
        </w:rPr>
        <w:t xml:space="preserve"> </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社会保障和就业（类）行政事业单位养老支出（款） 机关事业单位基本养老保险缴费支出（项）： 支出决算为80.95万元，完成预算100%。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3.</w:t>
      </w:r>
      <w:r>
        <w:rPr>
          <w:rStyle w:val="22"/>
          <w:rFonts w:ascii="仿宋_GB2312" w:hAnsi="仿宋_GB2312" w:eastAsia="仿宋_GB2312" w:cs="仿宋_GB2312"/>
          <w:b w:val="0"/>
          <w:bCs/>
          <w:color w:val="000000" w:themeColor="text1"/>
          <w:sz w:val="32"/>
          <w:szCs w:val="32"/>
          <w14:textFill>
            <w14:solidFill>
              <w14:schemeClr w14:val="tx1"/>
            </w14:solidFill>
          </w14:textFill>
        </w:rPr>
        <w:t xml:space="preserve"> </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社会保障和就业（类）行政事业单位养老支出（款） 机关事业单位职业年金缴费支出（项）： 支出决算为6.50万元，完成预算100%。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4.社会保障和就业（类）退役安置（款） 军队转业干部安置（项）：支出决算为51.99万元，完成预算100%。</w:t>
      </w:r>
    </w:p>
    <w:p>
      <w:pPr>
        <w:spacing w:line="576" w:lineRule="exact"/>
        <w:ind w:firstLine="640" w:firstLineChars="200"/>
        <w:rPr>
          <w:rStyle w:val="22"/>
          <w:rFonts w:ascii="仿宋_GB2312" w:hAnsi="仿宋_GB2312" w:eastAsia="仿宋_GB2312" w:cs="仿宋_GB2312"/>
          <w:b w:val="0"/>
          <w:bCs/>
          <w:color w:val="000000" w:themeColor="text1"/>
          <w:spacing w:val="6"/>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5.</w:t>
      </w:r>
      <w:r>
        <w:rPr>
          <w:rStyle w:val="22"/>
          <w:rFonts w:hint="eastAsia" w:ascii="仿宋_GB2312" w:hAnsi="仿宋_GB2312" w:eastAsia="仿宋_GB2312" w:cs="仿宋_GB2312"/>
          <w:b w:val="0"/>
          <w:bCs/>
          <w:color w:val="000000" w:themeColor="text1"/>
          <w:spacing w:val="6"/>
          <w:sz w:val="32"/>
          <w:szCs w:val="32"/>
          <w14:textFill>
            <w14:solidFill>
              <w14:schemeClr w14:val="tx1"/>
            </w14:solidFill>
          </w14:textFill>
        </w:rPr>
        <w:t>社会保障和就业（类）其他社会保障和就业支出（款） 其他社会保障和就业支出（项）：支出决算为2.52万元，完成预算100%。</w:t>
      </w:r>
    </w:p>
    <w:p>
      <w:pPr>
        <w:pStyle w:val="2"/>
        <w:spacing w:beforeLines="0" w:line="576" w:lineRule="exact"/>
        <w:ind w:firstLine="640" w:firstLineChars="200"/>
        <w:rPr>
          <w:rFonts w:hAnsi="仿宋_GB2312" w:cs="仿宋_GB2312"/>
          <w:bCs/>
          <w:color w:val="000000" w:themeColor="text1"/>
          <w:sz w:val="32"/>
          <w:szCs w:val="32"/>
          <w14:textFill>
            <w14:solidFill>
              <w14:schemeClr w14:val="tx1"/>
            </w14:solidFill>
          </w14:textFill>
        </w:rPr>
      </w:pPr>
      <w:r>
        <w:rPr>
          <w:rStyle w:val="22"/>
          <w:rFonts w:hint="eastAsia" w:hAnsi="仿宋_GB2312" w:cs="仿宋_GB2312"/>
          <w:b w:val="0"/>
          <w:bCs/>
          <w:color w:val="000000" w:themeColor="text1"/>
          <w:sz w:val="32"/>
          <w:szCs w:val="32"/>
          <w14:textFill>
            <w14:solidFill>
              <w14:schemeClr w14:val="tx1"/>
            </w14:solidFill>
          </w14:textFill>
        </w:rPr>
        <w:t>6. 卫生健康（类）行政事业单位医疗（款）行政单位医疗（项）：支出决算为563.99万元，完成预算100%。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7. 卫生健康（类）医疗救助（款）其他医疗救助支出（项）：支出决算数为155.61万元，完成预算100%。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8. 卫生健康（类）医疗保障管理事务（款）行政运行（项）：支出决算数为603.26万元，完成预算100%。</w:t>
      </w:r>
    </w:p>
    <w:p>
      <w:pPr>
        <w:pStyle w:val="2"/>
        <w:spacing w:beforeLines="0" w:line="576" w:lineRule="exact"/>
        <w:ind w:firstLine="640" w:firstLineChars="200"/>
        <w:rPr>
          <w:rStyle w:val="22"/>
          <w:rFonts w:hAnsi="仿宋_GB2312" w:cs="仿宋_GB2312"/>
          <w:b w:val="0"/>
          <w:bCs/>
          <w:color w:val="000000" w:themeColor="text1"/>
          <w:sz w:val="32"/>
          <w:szCs w:val="32"/>
          <w14:textFill>
            <w14:solidFill>
              <w14:schemeClr w14:val="tx1"/>
            </w14:solidFill>
          </w14:textFill>
        </w:rPr>
      </w:pPr>
      <w:r>
        <w:rPr>
          <w:rStyle w:val="22"/>
          <w:rFonts w:hint="eastAsia" w:hAnsi="仿宋_GB2312" w:cs="仿宋_GB2312"/>
          <w:b w:val="0"/>
          <w:bCs/>
          <w:color w:val="000000" w:themeColor="text1"/>
          <w:sz w:val="32"/>
          <w:szCs w:val="32"/>
          <w14:textFill>
            <w14:solidFill>
              <w14:schemeClr w14:val="tx1"/>
            </w14:solidFill>
          </w14:textFill>
        </w:rPr>
        <w:t>9. 卫生健康（类）医疗保障管理事务（款）一般行政管理事务（项）：支出决算数为18.23万元，完成预算100%。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10. 卫生健康（类）医疗保障管理事务（款）信息化建设（项）：支出决算数为</w:t>
      </w:r>
      <w:r>
        <w:rPr>
          <w:rStyle w:val="22"/>
          <w:rFonts w:ascii="仿宋_GB2312" w:hAnsi="仿宋_GB2312" w:eastAsia="仿宋_GB2312" w:cs="仿宋_GB2312"/>
          <w:b w:val="0"/>
          <w:bCs/>
          <w:color w:val="000000" w:themeColor="text1"/>
          <w:sz w:val="32"/>
          <w:szCs w:val="32"/>
          <w14:textFill>
            <w14:solidFill>
              <w14:schemeClr w14:val="tx1"/>
            </w14:solidFill>
          </w14:textFill>
        </w:rPr>
        <w:t>29.</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7万元，完成预算100%。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11. 卫生健康（类）医疗保障管理事务（款）医疗保障政策管理（项）：支出决算数为308.2万元，完成预算100%。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12. 卫生健康（类）医疗保障管理事务（款）医疗保障经办事务（项）：支出决算数为22万元，完成预算100%。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13. 卫生健康（类）医疗保障管理事务（款）事业运行（项）：支出决算数为31.19万元，完成预算100%。</w:t>
      </w:r>
    </w:p>
    <w:p>
      <w:pPr>
        <w:spacing w:line="576" w:lineRule="exact"/>
        <w:ind w:firstLine="640" w:firstLineChars="200"/>
        <w:rPr>
          <w:rStyle w:val="22"/>
          <w:rFonts w:ascii="仿宋_GB2312" w:hAnsi="仿宋_GB2312" w:eastAsia="仿宋_GB2312" w:cs="仿宋_GB2312"/>
          <w:b w:val="0"/>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14. 卫生健康（类）医疗保障管理事务（款）其他医疗保障管理事务支出（项）：支出决算数为565.04万元，完成预算100%。</w:t>
      </w:r>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15. 住房保障支出（类）住房改革支出（款）住房公积金（项）：支出决算为59.26万元，完成预算100%。</w:t>
      </w:r>
    </w:p>
    <w:p>
      <w:pPr>
        <w:tabs>
          <w:tab w:val="right" w:pos="8306"/>
        </w:tabs>
        <w:spacing w:line="576" w:lineRule="exact"/>
        <w:ind w:firstLine="640" w:firstLineChars="200"/>
        <w:outlineLvl w:val="1"/>
        <w:rPr>
          <w:rStyle w:val="26"/>
          <w:rFonts w:ascii="黑体" w:hAnsi="黑体" w:eastAsia="黑体" w:cs="黑体"/>
          <w:b w:val="0"/>
          <w:color w:val="000000" w:themeColor="text1"/>
          <w14:textFill>
            <w14:solidFill>
              <w14:schemeClr w14:val="tx1"/>
            </w14:solidFill>
          </w14:textFill>
        </w:rPr>
      </w:pPr>
      <w:bookmarkStart w:id="50" w:name="_Toc15396608"/>
      <w:bookmarkStart w:id="51" w:name="_Toc15377214"/>
      <w:bookmarkStart w:id="52" w:name="_Toc5592"/>
      <w:r>
        <w:rPr>
          <w:rFonts w:hint="eastAsia" w:ascii="黑体" w:hAnsi="黑体" w:eastAsia="黑体" w:cs="黑体"/>
          <w:bCs/>
          <w:color w:val="000000" w:themeColor="text1"/>
          <w:sz w:val="32"/>
          <w:szCs w:val="32"/>
          <w14:textFill>
            <w14:solidFill>
              <w14:schemeClr w14:val="tx1"/>
            </w14:solidFill>
          </w14:textFill>
        </w:rPr>
        <w:t>六、一</w:t>
      </w:r>
      <w:r>
        <w:rPr>
          <w:rStyle w:val="26"/>
          <w:rFonts w:hint="eastAsia" w:ascii="黑体" w:hAnsi="黑体" w:eastAsia="黑体" w:cs="黑体"/>
          <w:b w:val="0"/>
          <w:color w:val="000000" w:themeColor="text1"/>
          <w14:textFill>
            <w14:solidFill>
              <w14:schemeClr w14:val="tx1"/>
            </w14:solidFill>
          </w14:textFill>
        </w:rPr>
        <w:t>般公共预算财政拨款基本支出决算情况说明</w:t>
      </w:r>
      <w:bookmarkEnd w:id="50"/>
      <w:bookmarkEnd w:id="51"/>
      <w:bookmarkEnd w:id="52"/>
      <w:r>
        <w:rPr>
          <w:rStyle w:val="26"/>
          <w:rFonts w:hint="eastAsia" w:ascii="黑体" w:hAnsi="黑体" w:eastAsia="黑体" w:cs="黑体"/>
          <w:b w:val="0"/>
          <w:color w:val="000000" w:themeColor="text1"/>
          <w14:textFill>
            <w14:solidFill>
              <w14:schemeClr w14:val="tx1"/>
            </w14:solidFill>
          </w14:textFill>
        </w:rPr>
        <w:tab/>
      </w:r>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2023年一般公共预算财政拨款基本支出817.32万元，其中：</w:t>
      </w:r>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人员经费707.46万元，主要包括：基本工资、津贴补贴、奖金、绩效工资、机关事业单位基本养老保险缴费、职业年金缴费、职工基本医疗保险缴费、其他社会保障缴费、住房公积金</w:t>
      </w:r>
      <w:r>
        <w:rPr>
          <w:rFonts w:ascii="仿宋_GB2312" w:hAnsi="仿宋_GB2312" w:eastAsia="仿宋_GB2312" w:cs="仿宋_GB2312"/>
          <w:bCs/>
          <w:color w:val="000000" w:themeColor="text1"/>
          <w:sz w:val="32"/>
          <w:szCs w:val="32"/>
          <w14:textFill>
            <w14:solidFill>
              <w14:schemeClr w14:val="tx1"/>
            </w14:solidFill>
          </w14:textFill>
        </w:rPr>
        <w:t>、</w:t>
      </w:r>
      <w:r>
        <w:rPr>
          <w:rFonts w:hint="eastAsia" w:ascii="仿宋_GB2312" w:hAnsi="仿宋_GB2312" w:eastAsia="仿宋_GB2312" w:cs="仿宋_GB2312"/>
          <w:bCs/>
          <w:color w:val="000000" w:themeColor="text1"/>
          <w:sz w:val="32"/>
          <w:szCs w:val="32"/>
          <w14:textFill>
            <w14:solidFill>
              <w14:schemeClr w14:val="tx1"/>
            </w14:solidFill>
          </w14:textFill>
        </w:rPr>
        <w:t>其他工资福利支出、生活补助、</w:t>
      </w:r>
      <w:r>
        <w:rPr>
          <w:rFonts w:hint="eastAsia" w:ascii="仿宋_GB2312" w:hAnsi="仿宋_GB2312" w:eastAsia="仿宋_GB2312" w:cs="仿宋_GB2312"/>
          <w:sz w:val="32"/>
          <w:szCs w:val="32"/>
        </w:rPr>
        <w:t>其他对个人和家庭的补助支出。</w:t>
      </w:r>
    </w:p>
    <w:p>
      <w:pPr>
        <w:spacing w:line="55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公用经费109.86万元，主要包括：办公费、印刷费、水费、电费、邮电费、差旅费、维修（护）费、会议费、培训费、公务接待费、劳务费、工会经费、福利费、其他交通费用、其他商品和服务支出。</w:t>
      </w:r>
    </w:p>
    <w:p>
      <w:pPr>
        <w:spacing w:line="556" w:lineRule="exact"/>
        <w:ind w:firstLine="640" w:firstLineChars="200"/>
        <w:outlineLvl w:val="1"/>
        <w:rPr>
          <w:rStyle w:val="26"/>
          <w:rFonts w:ascii="黑体" w:hAnsi="黑体" w:eastAsia="黑体" w:cs="黑体"/>
          <w:b w:val="0"/>
          <w:color w:val="000000" w:themeColor="text1"/>
          <w14:textFill>
            <w14:solidFill>
              <w14:schemeClr w14:val="tx1"/>
            </w14:solidFill>
          </w14:textFill>
        </w:rPr>
      </w:pPr>
      <w:bookmarkStart w:id="53" w:name="_Toc15377215"/>
      <w:bookmarkStart w:id="54" w:name="_Toc32193"/>
      <w:bookmarkStart w:id="55" w:name="_Toc15396609"/>
      <w:r>
        <w:rPr>
          <w:rFonts w:hint="eastAsia" w:ascii="黑体" w:hAnsi="黑体" w:eastAsia="黑体" w:cs="黑体"/>
          <w:bCs/>
          <w:color w:val="000000" w:themeColor="text1"/>
          <w:sz w:val="32"/>
          <w:szCs w:val="32"/>
          <w14:textFill>
            <w14:solidFill>
              <w14:schemeClr w14:val="tx1"/>
            </w14:solidFill>
          </w14:textFill>
        </w:rPr>
        <w:t>七、</w:t>
      </w:r>
      <w:r>
        <w:rPr>
          <w:rStyle w:val="26"/>
          <w:rFonts w:hint="eastAsia" w:ascii="黑体" w:hAnsi="黑体" w:eastAsia="黑体" w:cs="黑体"/>
          <w:b w:val="0"/>
          <w:color w:val="000000" w:themeColor="text1"/>
          <w14:textFill>
            <w14:solidFill>
              <w14:schemeClr w14:val="tx1"/>
            </w14:solidFill>
          </w14:textFill>
        </w:rPr>
        <w:t>财政拨款“三公”经费支出决算情况说明</w:t>
      </w:r>
      <w:bookmarkEnd w:id="53"/>
      <w:bookmarkEnd w:id="54"/>
      <w:bookmarkEnd w:id="55"/>
    </w:p>
    <w:p>
      <w:pPr>
        <w:spacing w:line="55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56" w:name="_Toc15377216"/>
      <w:r>
        <w:rPr>
          <w:rFonts w:hint="eastAsia" w:ascii="楷体_GB2312" w:hAnsi="楷体_GB2312" w:eastAsia="楷体_GB2312" w:cs="楷体_GB2312"/>
          <w:bCs/>
          <w:color w:val="000000" w:themeColor="text1"/>
          <w:sz w:val="32"/>
          <w:szCs w:val="32"/>
          <w14:textFill>
            <w14:solidFill>
              <w14:schemeClr w14:val="tx1"/>
            </w14:solidFill>
          </w14:textFill>
        </w:rPr>
        <w:t>（一）“三公”经费财政拨款支出决算总体情况说明</w:t>
      </w:r>
      <w:bookmarkEnd w:id="56"/>
    </w:p>
    <w:p>
      <w:pPr>
        <w:spacing w:line="55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2023年“三公”经费财政拨款支出决算为3.53万元，完成预算88.25%，</w:t>
      </w:r>
      <w:r>
        <w:rPr>
          <w:rFonts w:hint="eastAsia" w:ascii="仿宋_GB2312" w:hAnsi="仿宋_GB2312" w:eastAsia="仿宋_GB2312" w:cs="仿宋_GB2312"/>
          <w:sz w:val="32"/>
          <w:szCs w:val="32"/>
        </w:rPr>
        <w:t>较上年度增加2.73万元，增长341.25%。</w:t>
      </w:r>
      <w:r>
        <w:rPr>
          <w:rFonts w:hint="eastAsia" w:ascii="仿宋_GB2312" w:hAnsi="仿宋_GB2312" w:eastAsia="仿宋_GB2312" w:cs="仿宋_GB2312"/>
          <w:bCs/>
          <w:sz w:val="32"/>
          <w:szCs w:val="32"/>
        </w:rPr>
        <w:t>决算数小于预算数，主要原因</w:t>
      </w:r>
      <w:r>
        <w:rPr>
          <w:rFonts w:ascii="仿宋_GB2312" w:hAnsi="宋体" w:eastAsia="仿宋_GB2312" w:cs="仿宋_GB2312"/>
          <w:color w:val="000000"/>
          <w:sz w:val="32"/>
          <w:szCs w:val="32"/>
        </w:rPr>
        <w:t>是切实落实“过紧日子”要求，减少非必要的接待，严控“三公经费”支出。</w:t>
      </w:r>
    </w:p>
    <w:p>
      <w:pPr>
        <w:spacing w:line="55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57" w:name="_Toc15377217"/>
      <w:r>
        <w:rPr>
          <w:rFonts w:hint="eastAsia" w:ascii="楷体_GB2312" w:hAnsi="楷体_GB2312" w:eastAsia="楷体_GB2312" w:cs="楷体_GB2312"/>
          <w:bCs/>
          <w:color w:val="000000" w:themeColor="text1"/>
          <w:sz w:val="32"/>
          <w:szCs w:val="32"/>
          <w14:textFill>
            <w14:solidFill>
              <w14:schemeClr w14:val="tx1"/>
            </w14:solidFill>
          </w14:textFill>
        </w:rPr>
        <w:t>（二）“三公”经费财政拨款支出决算具体情况说明</w:t>
      </w:r>
      <w:bookmarkEnd w:id="57"/>
    </w:p>
    <w:p>
      <w:pPr>
        <w:spacing w:line="55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2023年“三公”经费财政拨款支出决算中，因公出国（境）费支出决算0万元，占0%；公务用车购置及运行维护费支出决算0万元，占0%；公务接待费支出决算3.53万元，占100%。具体情况如下：</w:t>
      </w:r>
    </w:p>
    <w:p>
      <w:pPr>
        <w:pStyle w:val="19"/>
        <w:ind w:left="420" w:firstLine="640"/>
        <w:rPr>
          <w:rFonts w:ascii="仿宋" w:hAnsi="仿宋" w:eastAsia="仿宋"/>
          <w:color w:val="000000" w:themeColor="text1"/>
          <w:sz w:val="32"/>
          <w14:textFill>
            <w14:solidFill>
              <w14:schemeClr w14:val="tx1"/>
            </w14:solidFill>
          </w14:textFill>
        </w:rPr>
      </w:pPr>
      <w:r>
        <w:rPr>
          <w:rFonts w:hint="eastAsia" w:hAnsi="仿宋" w:eastAsia="仿宋_GB2312"/>
          <w:color w:val="000000" w:themeColor="text1"/>
          <w:sz w:val="32"/>
          <w14:textFill>
            <w14:solidFill>
              <w14:schemeClr w14:val="tx1"/>
            </w14:solidFill>
          </w14:textFill>
        </w:rPr>
        <w:drawing>
          <wp:anchor distT="0" distB="0" distL="114300" distR="114300" simplePos="0" relativeHeight="251663360" behindDoc="1" locked="0" layoutInCell="1" allowOverlap="1">
            <wp:simplePos x="0" y="0"/>
            <wp:positionH relativeFrom="column">
              <wp:posOffset>1005840</wp:posOffset>
            </wp:positionH>
            <wp:positionV relativeFrom="paragraph">
              <wp:posOffset>234315</wp:posOffset>
            </wp:positionV>
            <wp:extent cx="3757295" cy="2033270"/>
            <wp:effectExtent l="4445" t="4445" r="10160" b="19685"/>
            <wp:wrapTight wrapText="bothSides">
              <wp:wrapPolygon>
                <wp:start x="-26" y="-47"/>
                <wp:lineTo x="-26" y="21404"/>
                <wp:lineTo x="21549" y="21404"/>
                <wp:lineTo x="21549" y="-47"/>
                <wp:lineTo x="-26" y="-47"/>
              </wp:wrapPolygon>
            </wp:wrapTight>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600" w:lineRule="exact"/>
        <w:ind w:firstLine="640"/>
        <w:rPr>
          <w:rFonts w:ascii="仿宋" w:hAnsi="仿宋" w:eastAsia="仿宋"/>
          <w:color w:val="000000" w:themeColor="text1"/>
          <w:sz w:val="32"/>
          <w:szCs w:val="32"/>
          <w14:textFill>
            <w14:solidFill>
              <w14:schemeClr w14:val="tx1"/>
            </w14:solidFill>
          </w14:textFill>
        </w:rPr>
      </w:pPr>
    </w:p>
    <w:p>
      <w:pPr>
        <w:spacing w:line="550" w:lineRule="exact"/>
        <w:ind w:firstLine="1929" w:firstLineChars="603"/>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图7：“三公”经费财政拨款支出结构</w:t>
      </w:r>
    </w:p>
    <w:p>
      <w:pPr>
        <w:spacing w:line="550"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1.</w:t>
      </w:r>
      <w:r>
        <w:rPr>
          <w:rFonts w:ascii="仿宋_GB2312" w:hAnsi="仿宋_GB2312" w:eastAsia="仿宋_GB2312" w:cs="仿宋_GB2312"/>
          <w:bCs/>
          <w:color w:val="000000" w:themeColor="text1"/>
          <w:sz w:val="32"/>
          <w:szCs w:val="32"/>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14:textFill>
            <w14:solidFill>
              <w14:schemeClr w14:val="tx1"/>
            </w14:solidFill>
          </w14:textFill>
        </w:rPr>
        <w:t>因公出国（境）经费支出0万元，年初未安排预算，支出决算较2022年无变化。</w:t>
      </w:r>
    </w:p>
    <w:p>
      <w:pPr>
        <w:spacing w:line="550"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 我局2023年公务用车购置及公务用车维护费年初无预算安排，较2022年无变化，</w:t>
      </w:r>
      <w:r>
        <w:rPr>
          <w:rFonts w:hint="eastAsia" w:ascii="仿宋_GB2312" w:hAnsi="仿宋_GB2312" w:eastAsia="仿宋_GB2312" w:cs="仿宋_GB2312"/>
          <w:sz w:val="32"/>
          <w:szCs w:val="32"/>
        </w:rPr>
        <w:t>截至2023年12月31日</w:t>
      </w:r>
      <w:r>
        <w:rPr>
          <w:rFonts w:hint="eastAsia" w:ascii="仿宋_GB2312" w:hAnsi="仿宋_GB2312" w:eastAsia="仿宋_GB2312" w:cs="仿宋_GB2312"/>
          <w:bCs/>
          <w:color w:val="000000" w:themeColor="text1"/>
          <w:sz w:val="32"/>
          <w:szCs w:val="32"/>
          <w14:textFill>
            <w14:solidFill>
              <w14:schemeClr w14:val="tx1"/>
            </w14:solidFill>
          </w14:textFill>
        </w:rPr>
        <w:t>无公务用车保有量。</w:t>
      </w:r>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3.</w:t>
      </w:r>
      <w:r>
        <w:rPr>
          <w:rFonts w:ascii="仿宋_GB2312" w:hAnsi="仿宋_GB2312" w:eastAsia="仿宋_GB2312" w:cs="仿宋_GB2312"/>
          <w:bCs/>
          <w:color w:val="000000" w:themeColor="text1"/>
          <w:sz w:val="32"/>
          <w:szCs w:val="32"/>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14:textFill>
            <w14:solidFill>
              <w14:schemeClr w14:val="tx1"/>
            </w14:solidFill>
          </w14:textFill>
        </w:rPr>
        <w:t>公务接待费支出3.53万元，</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完成预算88.25%。</w:t>
      </w:r>
      <w:r>
        <w:rPr>
          <w:rFonts w:hint="eastAsia" w:ascii="仿宋_GB2312" w:hAnsi="仿宋_GB2312" w:eastAsia="仿宋_GB2312" w:cs="仿宋_GB2312"/>
          <w:bCs/>
          <w:color w:val="000000" w:themeColor="text1"/>
          <w:sz w:val="32"/>
          <w:szCs w:val="32"/>
          <w14:textFill>
            <w14:solidFill>
              <w14:schemeClr w14:val="tx1"/>
            </w14:solidFill>
          </w14:textFill>
        </w:rPr>
        <w:t>公务接待费支出决算比2022年增加2.73万元，增加341.25%。主要原因是</w:t>
      </w:r>
      <w:r>
        <w:rPr>
          <w:rFonts w:hint="eastAsia" w:ascii="仿宋_GB2312" w:hAnsi="仿宋_GB2312" w:eastAsia="仿宋_GB2312" w:cs="仿宋_GB2312"/>
          <w:spacing w:val="-6"/>
          <w:sz w:val="32"/>
          <w:szCs w:val="32"/>
          <w:shd w:val="clear" w:color="auto" w:fill="FFFFFF"/>
        </w:rPr>
        <w:t>我局承担了大量省级改革试点工作，</w:t>
      </w:r>
      <w:r>
        <w:rPr>
          <w:rFonts w:hint="eastAsia" w:ascii="仿宋_GB2312" w:hAnsi="仿宋_GB2312" w:eastAsia="仿宋_GB2312" w:cs="仿宋_GB2312"/>
          <w:bCs/>
          <w:color w:val="000000"/>
          <w:spacing w:val="-6"/>
          <w:sz w:val="32"/>
          <w:szCs w:val="32"/>
        </w:rPr>
        <w:t>省局及市州到我局调研、督查指导、考察学习等公务活动增加</w:t>
      </w:r>
      <w:r>
        <w:rPr>
          <w:rFonts w:hint="eastAsia" w:ascii="仿宋_GB2312" w:hAnsi="仿宋_GB2312" w:eastAsia="仿宋_GB2312" w:cs="仿宋_GB2312"/>
          <w:bCs/>
          <w:color w:val="000000" w:themeColor="text1"/>
          <w:sz w:val="32"/>
          <w:szCs w:val="32"/>
          <w14:textFill>
            <w14:solidFill>
              <w14:schemeClr w14:val="tx1"/>
            </w14:solidFill>
          </w14:textFill>
        </w:rPr>
        <w:t>。</w:t>
      </w:r>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国内公务接待支出3.53万元，主要用于执行公务、开展业务活动开支的用餐费。国内公务接待27批次，320人次（不包括陪同人员），共计支出3.53万元，主要用于省局领导到广元调研和其他地市州到广元考察学习。</w:t>
      </w:r>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外事接待支出0万元，较2022年无变化。</w:t>
      </w:r>
      <w:bookmarkStart w:id="58" w:name="_Toc15396610"/>
      <w:bookmarkStart w:id="59" w:name="_Toc15377218"/>
    </w:p>
    <w:p>
      <w:pPr>
        <w:spacing w:line="576" w:lineRule="exact"/>
        <w:ind w:firstLine="640" w:firstLineChars="200"/>
        <w:outlineLvl w:val="1"/>
        <w:rPr>
          <w:rStyle w:val="26"/>
          <w:rFonts w:ascii="黑体" w:hAnsi="黑体" w:eastAsia="黑体" w:cs="黑体"/>
          <w:b w:val="0"/>
          <w:color w:val="000000" w:themeColor="text1"/>
          <w14:textFill>
            <w14:solidFill>
              <w14:schemeClr w14:val="tx1"/>
            </w14:solidFill>
          </w14:textFill>
        </w:rPr>
      </w:pPr>
      <w:bookmarkStart w:id="60" w:name="_Toc26051"/>
      <w:r>
        <w:rPr>
          <w:rFonts w:hint="eastAsia" w:ascii="黑体" w:hAnsi="黑体" w:eastAsia="黑体" w:cs="黑体"/>
          <w:bCs/>
          <w:color w:val="000000" w:themeColor="text1"/>
          <w:sz w:val="32"/>
          <w:szCs w:val="32"/>
          <w14:textFill>
            <w14:solidFill>
              <w14:schemeClr w14:val="tx1"/>
            </w14:solidFill>
          </w14:textFill>
        </w:rPr>
        <w:t>八、</w:t>
      </w:r>
      <w:r>
        <w:rPr>
          <w:rStyle w:val="26"/>
          <w:rFonts w:hint="eastAsia" w:ascii="黑体" w:hAnsi="黑体" w:eastAsia="黑体" w:cs="黑体"/>
          <w:b w:val="0"/>
          <w:color w:val="000000" w:themeColor="text1"/>
          <w14:textFill>
            <w14:solidFill>
              <w14:schemeClr w14:val="tx1"/>
            </w14:solidFill>
          </w14:textFill>
        </w:rPr>
        <w:t>政府性基金预算支出决算情况说明</w:t>
      </w:r>
      <w:bookmarkEnd w:id="58"/>
      <w:bookmarkEnd w:id="59"/>
      <w:bookmarkEnd w:id="60"/>
    </w:p>
    <w:p>
      <w:pPr>
        <w:pStyle w:val="2"/>
        <w:spacing w:beforeLines="0" w:line="576" w:lineRule="exact"/>
        <w:ind w:firstLine="640" w:firstLineChars="200"/>
        <w:rPr>
          <w:rFonts w:hAnsi="仿宋_GB2312" w:cs="仿宋_GB2312"/>
          <w:bCs/>
          <w:color w:val="000000" w:themeColor="text1"/>
          <w:sz w:val="32"/>
          <w:szCs w:val="32"/>
          <w14:textFill>
            <w14:solidFill>
              <w14:schemeClr w14:val="tx1"/>
            </w14:solidFill>
          </w14:textFill>
        </w:rPr>
      </w:pPr>
      <w:r>
        <w:rPr>
          <w:rFonts w:hint="eastAsia" w:hAnsi="仿宋_GB2312" w:cs="仿宋_GB2312"/>
          <w:bCs/>
          <w:color w:val="000000" w:themeColor="text1"/>
          <w:sz w:val="32"/>
          <w:szCs w:val="32"/>
          <w14:textFill>
            <w14:solidFill>
              <w14:schemeClr w14:val="tx1"/>
            </w14:solidFill>
          </w14:textFill>
        </w:rPr>
        <w:t>广元市医疗保障局2023年无政府性基金预算拨款支出。</w:t>
      </w:r>
    </w:p>
    <w:p>
      <w:pPr>
        <w:numPr>
          <w:ilvl w:val="0"/>
          <w:numId w:val="3"/>
        </w:numPr>
        <w:spacing w:line="576" w:lineRule="exact"/>
        <w:ind w:firstLine="640" w:firstLineChars="200"/>
        <w:outlineLvl w:val="1"/>
        <w:rPr>
          <w:rStyle w:val="26"/>
          <w:rFonts w:ascii="黑体" w:hAnsi="黑体" w:eastAsia="黑体" w:cs="黑体"/>
          <w:b w:val="0"/>
          <w:color w:val="000000" w:themeColor="text1"/>
          <w14:textFill>
            <w14:solidFill>
              <w14:schemeClr w14:val="tx1"/>
            </w14:solidFill>
          </w14:textFill>
        </w:rPr>
      </w:pPr>
      <w:bookmarkStart w:id="61" w:name="_Toc15396611"/>
      <w:bookmarkStart w:id="62" w:name="_Toc16695"/>
      <w:bookmarkStart w:id="63" w:name="_Toc15377219"/>
      <w:r>
        <w:rPr>
          <w:rStyle w:val="26"/>
          <w:rFonts w:hint="eastAsia" w:ascii="黑体" w:hAnsi="黑体" w:eastAsia="黑体" w:cs="黑体"/>
          <w:b w:val="0"/>
          <w:color w:val="000000" w:themeColor="text1"/>
          <w14:textFill>
            <w14:solidFill>
              <w14:schemeClr w14:val="tx1"/>
            </w14:solidFill>
          </w14:textFill>
        </w:rPr>
        <w:t>国有资本经营预算支出决算情况说明</w:t>
      </w:r>
      <w:bookmarkEnd w:id="61"/>
      <w:bookmarkEnd w:id="62"/>
      <w:bookmarkEnd w:id="63"/>
    </w:p>
    <w:p>
      <w:pPr>
        <w:pStyle w:val="2"/>
        <w:spacing w:beforeLines="0" w:line="576" w:lineRule="exact"/>
        <w:ind w:firstLine="640" w:firstLineChars="200"/>
        <w:rPr>
          <w:rFonts w:hAnsi="仿宋_GB2312" w:cs="仿宋_GB2312"/>
          <w:bCs/>
          <w:color w:val="000000" w:themeColor="text1"/>
          <w:sz w:val="32"/>
          <w:szCs w:val="32"/>
          <w14:textFill>
            <w14:solidFill>
              <w14:schemeClr w14:val="tx1"/>
            </w14:solidFill>
          </w14:textFill>
        </w:rPr>
      </w:pPr>
      <w:r>
        <w:rPr>
          <w:rFonts w:hint="eastAsia" w:hAnsi="仿宋_GB2312" w:cs="仿宋_GB2312"/>
          <w:bCs/>
          <w:color w:val="000000" w:themeColor="text1"/>
          <w:sz w:val="32"/>
          <w:szCs w:val="32"/>
          <w14:textFill>
            <w14:solidFill>
              <w14:schemeClr w14:val="tx1"/>
            </w14:solidFill>
          </w14:textFill>
        </w:rPr>
        <w:t>广元市医疗保障局2023年无国有资本经营预算拨款支出。</w:t>
      </w:r>
    </w:p>
    <w:p>
      <w:pPr>
        <w:numPr>
          <w:ilvl w:val="0"/>
          <w:numId w:val="3"/>
        </w:numPr>
        <w:spacing w:line="576" w:lineRule="exact"/>
        <w:ind w:firstLine="640" w:firstLineChars="200"/>
        <w:outlineLvl w:val="1"/>
        <w:rPr>
          <w:rStyle w:val="26"/>
          <w:rFonts w:ascii="黑体" w:hAnsi="黑体" w:eastAsia="黑体" w:cs="黑体"/>
          <w:b w:val="0"/>
          <w:color w:val="000000" w:themeColor="text1"/>
          <w14:textFill>
            <w14:solidFill>
              <w14:schemeClr w14:val="tx1"/>
            </w14:solidFill>
          </w14:textFill>
        </w:rPr>
      </w:pPr>
      <w:bookmarkStart w:id="64" w:name="_Toc23647"/>
      <w:bookmarkStart w:id="65" w:name="_Toc15377221"/>
      <w:bookmarkStart w:id="66" w:name="_Toc15396612"/>
      <w:r>
        <w:rPr>
          <w:rStyle w:val="26"/>
          <w:rFonts w:hint="eastAsia" w:ascii="黑体" w:hAnsi="黑体" w:eastAsia="黑体" w:cs="黑体"/>
          <w:b w:val="0"/>
          <w:color w:val="000000" w:themeColor="text1"/>
          <w14:textFill>
            <w14:solidFill>
              <w14:schemeClr w14:val="tx1"/>
            </w14:solidFill>
          </w14:textFill>
        </w:rPr>
        <w:t>其他重要事项的情况说明</w:t>
      </w:r>
      <w:bookmarkEnd w:id="64"/>
      <w:bookmarkEnd w:id="65"/>
      <w:bookmarkEnd w:id="66"/>
    </w:p>
    <w:p>
      <w:pPr>
        <w:spacing w:line="57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67" w:name="_Toc15377222"/>
      <w:r>
        <w:rPr>
          <w:rFonts w:hint="eastAsia" w:ascii="楷体_GB2312" w:hAnsi="楷体_GB2312" w:eastAsia="楷体_GB2312" w:cs="楷体_GB2312"/>
          <w:bCs/>
          <w:color w:val="000000" w:themeColor="text1"/>
          <w:sz w:val="32"/>
          <w:szCs w:val="32"/>
          <w14:textFill>
            <w14:solidFill>
              <w14:schemeClr w14:val="tx1"/>
            </w14:solidFill>
          </w14:textFill>
        </w:rPr>
        <w:t>（一）机关运行经费支出情况</w:t>
      </w:r>
      <w:bookmarkEnd w:id="67"/>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2023年，广元市医疗保障局机关运行经费支出109.86万元，比2022年增加10.11万元，增长10.13%，主要原因是在编人员增加。</w:t>
      </w:r>
    </w:p>
    <w:p>
      <w:pPr>
        <w:autoSpaceDE w:val="0"/>
        <w:autoSpaceDN w:val="0"/>
        <w:adjustRightInd w:val="0"/>
        <w:spacing w:line="57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68" w:name="_Toc15377223"/>
      <w:r>
        <w:rPr>
          <w:rFonts w:hint="eastAsia" w:ascii="楷体_GB2312" w:hAnsi="楷体_GB2312" w:eastAsia="楷体_GB2312" w:cs="楷体_GB2312"/>
          <w:bCs/>
          <w:color w:val="000000" w:themeColor="text1"/>
          <w:sz w:val="32"/>
          <w:szCs w:val="32"/>
          <w14:textFill>
            <w14:solidFill>
              <w14:schemeClr w14:val="tx1"/>
            </w14:solidFill>
          </w14:textFill>
        </w:rPr>
        <w:t>（二）政府采购支出情况</w:t>
      </w:r>
      <w:bookmarkEnd w:id="68"/>
    </w:p>
    <w:p>
      <w:pPr>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2023年，广元市医疗保障局政府采购支出总额240.14万元，其中：政府采购货物支出49.03万元、政府采购服务支出191.11万元。主要用于空调、LED屏、医保智能场景监控设备购置及第三方基金监管购买服务、医保数据资源共享建设服务、医保业务系统技术支撑服务支出。授予中小企业合同金额 49.03万元，占政府采购支出总额的20.42%，其中：授予小微企业合同金额10.93万元，占政府采购支出总额的4.55%。</w:t>
      </w:r>
    </w:p>
    <w:p>
      <w:pPr>
        <w:autoSpaceDE w:val="0"/>
        <w:autoSpaceDN w:val="0"/>
        <w:adjustRightInd w:val="0"/>
        <w:spacing w:line="57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bookmarkStart w:id="69" w:name="_Toc15377224"/>
      <w:r>
        <w:rPr>
          <w:rFonts w:hint="eastAsia" w:ascii="楷体_GB2312" w:hAnsi="楷体_GB2312" w:eastAsia="楷体_GB2312" w:cs="楷体_GB2312"/>
          <w:bCs/>
          <w:color w:val="000000" w:themeColor="text1"/>
          <w:sz w:val="32"/>
          <w:szCs w:val="32"/>
          <w14:textFill>
            <w14:solidFill>
              <w14:schemeClr w14:val="tx1"/>
            </w14:solidFill>
          </w14:textFill>
        </w:rPr>
        <w:t>（三）国有资产占有使用情况</w:t>
      </w:r>
      <w:bookmarkEnd w:id="69"/>
    </w:p>
    <w:p>
      <w:pPr>
        <w:autoSpaceDE w:val="0"/>
        <w:autoSpaceDN w:val="0"/>
        <w:adjustRightInd w:val="0"/>
        <w:spacing w:line="576" w:lineRule="exact"/>
        <w:ind w:firstLine="640" w:firstLineChars="200"/>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截至2023年12月31日，广元市医疗保障局共有车辆0辆。单价100万元以上专用设备0台（套）。</w:t>
      </w:r>
    </w:p>
    <w:p>
      <w:pPr>
        <w:autoSpaceDE w:val="0"/>
        <w:autoSpaceDN w:val="0"/>
        <w:adjustRightInd w:val="0"/>
        <w:spacing w:line="576" w:lineRule="exact"/>
        <w:ind w:firstLine="640" w:firstLineChars="200"/>
        <w:outlineLvl w:val="2"/>
        <w:rPr>
          <w:rFonts w:ascii="楷体_GB2312" w:hAnsi="楷体_GB2312" w:eastAsia="楷体_GB2312" w:cs="楷体_GB2312"/>
          <w:bCs/>
          <w:color w:val="000000" w:themeColor="text1"/>
          <w:sz w:val="32"/>
          <w:szCs w:val="32"/>
          <w14:textFill>
            <w14:solidFill>
              <w14:schemeClr w14:val="tx1"/>
            </w14:solidFill>
          </w14:textFill>
        </w:rPr>
      </w:pPr>
      <w:r>
        <w:rPr>
          <w:rFonts w:hint="eastAsia" w:ascii="楷体_GB2312" w:hAnsi="楷体_GB2312" w:eastAsia="楷体_GB2312" w:cs="楷体_GB2312"/>
          <w:bCs/>
          <w:color w:val="000000" w:themeColor="text1"/>
          <w:sz w:val="32"/>
          <w:szCs w:val="32"/>
          <w14:textFill>
            <w14:solidFill>
              <w14:schemeClr w14:val="tx1"/>
            </w14:solidFill>
          </w14:textFill>
        </w:rPr>
        <w:t>（四）预算绩效管理情况</w:t>
      </w:r>
    </w:p>
    <w:p>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rPr>
        <w:t>根据预算绩效管理要求，本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在2023年度预算编制阶段，组织对</w:t>
      </w:r>
      <w:r>
        <w:rPr>
          <w:rFonts w:hint="eastAsia" w:ascii="仿宋_GB2312" w:eastAsia="仿宋_GB2312" w:cs="仿宋_GB2312"/>
          <w:color w:val="000000" w:themeColor="text1"/>
          <w:sz w:val="32"/>
          <w:szCs w:val="32"/>
          <w14:textFill>
            <w14:solidFill>
              <w14:schemeClr w14:val="tx1"/>
            </w14:solidFill>
          </w14:textFill>
        </w:rPr>
        <w:t>定点医疗机构监管工作经费</w:t>
      </w:r>
      <w:r>
        <w:rPr>
          <w:rFonts w:hint="eastAsia" w:ascii="仿宋_GB2312" w:hAnsi="仿宋_GB2312" w:eastAsia="仿宋_GB2312" w:cs="仿宋_GB2312"/>
          <w:sz w:val="32"/>
          <w:szCs w:val="32"/>
        </w:rPr>
        <w:t>项目等3个项目开展了预算事前绩效评估，对</w:t>
      </w:r>
      <w:r>
        <w:rPr>
          <w:rFonts w:hint="default" w:ascii="仿宋_GB2312" w:hAnsi="仿宋_GB2312" w:eastAsia="仿宋_GB2312" w:cs="仿宋_GB2312"/>
          <w:sz w:val="32"/>
          <w:szCs w:val="32"/>
          <w:lang w:val="en-US"/>
        </w:rPr>
        <w:t>19</w:t>
      </w:r>
      <w:r>
        <w:rPr>
          <w:rFonts w:hint="eastAsia" w:ascii="仿宋_GB2312" w:hAnsi="仿宋_GB2312" w:eastAsia="仿宋_GB2312" w:cs="仿宋_GB2312"/>
          <w:sz w:val="32"/>
          <w:szCs w:val="32"/>
        </w:rPr>
        <w:t>个项目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不含基本支出类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编制了绩效目标，预算执行过程中，选取</w:t>
      </w:r>
      <w:r>
        <w:rPr>
          <w:rFonts w:hint="default" w:ascii="仿宋_GB2312" w:hAnsi="仿宋_GB2312" w:eastAsia="仿宋_GB2312" w:cs="仿宋_GB2312"/>
          <w:sz w:val="32"/>
          <w:szCs w:val="32"/>
          <w:lang w:val="en-US"/>
        </w:rPr>
        <w:t>19</w:t>
      </w:r>
      <w:r>
        <w:rPr>
          <w:rFonts w:hint="eastAsia" w:ascii="仿宋_GB2312" w:hAnsi="仿宋_GB2312" w:eastAsia="仿宋_GB2312" w:cs="仿宋_GB2312"/>
          <w:sz w:val="32"/>
          <w:szCs w:val="32"/>
        </w:rPr>
        <w:t>个项目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不含基本支出类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开展绩效监控</w:t>
      </w:r>
      <w:r>
        <w:rPr>
          <w:rFonts w:hint="eastAsia" w:ascii="仿宋_GB2312" w:hAnsi="仿宋_GB2312" w:eastAsia="仿宋_GB2312" w:cs="仿宋_GB2312"/>
          <w:sz w:val="32"/>
          <w:szCs w:val="32"/>
          <w:lang w:eastAsia="zh-CN"/>
        </w:rPr>
        <w:t>，</w:t>
      </w:r>
      <w:r>
        <w:rPr>
          <w:rFonts w:hint="eastAsia" w:ascii="仿宋_GB2312" w:hAnsi="Times New Roman" w:eastAsia="仿宋_GB2312" w:cs="Times New Roman"/>
          <w:color w:val="auto"/>
          <w:sz w:val="32"/>
          <w:szCs w:val="32"/>
          <w:highlight w:val="none"/>
          <w:lang w:eastAsia="zh-CN"/>
        </w:rPr>
        <w:t>组织对</w:t>
      </w:r>
      <w:r>
        <w:rPr>
          <w:rFonts w:hint="eastAsia" w:ascii="仿宋_GB2312" w:hAnsi="Times New Roman" w:eastAsia="仿宋_GB2312" w:cs="Times New Roman"/>
          <w:color w:val="auto"/>
          <w:sz w:val="32"/>
          <w:szCs w:val="32"/>
          <w:highlight w:val="none"/>
          <w:lang w:val="en-US" w:eastAsia="zh-CN"/>
        </w:rPr>
        <w:t>19个项目开展绩效自评，绩效自评表详见第四部分附件。</w:t>
      </w:r>
    </w:p>
    <w:p>
      <w:pPr>
        <w:widowControl/>
        <w:ind w:firstLine="642" w:firstLineChars="200"/>
        <w:jc w:val="left"/>
        <w:rPr>
          <w:rFonts w:ascii="仿宋_GB2312" w:eastAsia="仿宋_GB2312" w:cs="仿宋_GB2312"/>
          <w:sz w:val="32"/>
          <w:szCs w:val="32"/>
        </w:rPr>
      </w:pPr>
      <w:r>
        <w:rPr>
          <w:rFonts w:ascii="仿宋_GB2312" w:eastAsia="仿宋_GB2312"/>
          <w:b/>
          <w:color w:val="000000" w:themeColor="text1"/>
          <w:sz w:val="32"/>
          <w:szCs w:val="32"/>
          <w14:textFill>
            <w14:solidFill>
              <w14:schemeClr w14:val="tx1"/>
            </w14:solidFill>
          </w14:textFill>
        </w:rPr>
        <w:br w:type="page"/>
      </w:r>
    </w:p>
    <w:p>
      <w:pPr>
        <w:numPr>
          <w:ilvl w:val="0"/>
          <w:numId w:val="4"/>
        </w:numPr>
        <w:spacing w:line="600" w:lineRule="exact"/>
        <w:ind w:firstLine="660" w:firstLineChars="150"/>
        <w:jc w:val="center"/>
        <w:outlineLvl w:val="0"/>
        <w:rPr>
          <w:rStyle w:val="25"/>
          <w:rFonts w:ascii="黑体" w:hAnsi="黑体" w:eastAsia="黑体"/>
          <w:b w:val="0"/>
          <w:color w:val="000000" w:themeColor="text1"/>
          <w14:textFill>
            <w14:solidFill>
              <w14:schemeClr w14:val="tx1"/>
            </w14:solidFill>
          </w14:textFill>
        </w:rPr>
      </w:pPr>
      <w:bookmarkStart w:id="70" w:name="_Toc15377225"/>
      <w:bookmarkStart w:id="71" w:name="_Toc15396613"/>
      <w:r>
        <w:rPr>
          <w:rFonts w:ascii="黑体" w:hAnsi="黑体" w:eastAsia="黑体"/>
          <w:color w:val="000000" w:themeColor="text1"/>
          <w:sz w:val="44"/>
          <w:szCs w:val="44"/>
          <w14:textFill>
            <w14:solidFill>
              <w14:schemeClr w14:val="tx1"/>
            </w14:solidFill>
          </w14:textFill>
        </w:rPr>
        <w:t xml:space="preserve"> </w:t>
      </w:r>
      <w:bookmarkStart w:id="72" w:name="_Toc2698"/>
      <w:r>
        <w:rPr>
          <w:rFonts w:hint="eastAsia" w:ascii="黑体" w:hAnsi="黑体" w:eastAsia="黑体"/>
          <w:color w:val="000000" w:themeColor="text1"/>
          <w:sz w:val="44"/>
          <w:szCs w:val="44"/>
          <w14:textFill>
            <w14:solidFill>
              <w14:schemeClr w14:val="tx1"/>
            </w14:solidFill>
          </w14:textFill>
        </w:rPr>
        <w:t>名</w:t>
      </w:r>
      <w:r>
        <w:rPr>
          <w:rStyle w:val="25"/>
          <w:rFonts w:hint="eastAsia" w:ascii="黑体" w:hAnsi="黑体" w:eastAsia="黑体"/>
          <w:b w:val="0"/>
          <w:color w:val="000000" w:themeColor="text1"/>
          <w14:textFill>
            <w14:solidFill>
              <w14:schemeClr w14:val="tx1"/>
            </w14:solidFill>
          </w14:textFill>
        </w:rPr>
        <w:t>词解释</w:t>
      </w:r>
      <w:bookmarkEnd w:id="70"/>
      <w:bookmarkEnd w:id="71"/>
      <w:bookmarkEnd w:id="72"/>
    </w:p>
    <w:p>
      <w:pPr>
        <w:pStyle w:val="36"/>
        <w:spacing w:line="566" w:lineRule="exact"/>
        <w:ind w:firstLine="640" w:firstLineChars="200"/>
        <w:rPr>
          <w:rFonts w:ascii="仿宋_GB2312" w:eastAsia="仿宋_GB2312" w:cs="仿宋_GB2312"/>
          <w:color w:val="000000" w:themeColor="text1"/>
          <w:sz w:val="32"/>
          <w:szCs w:val="32"/>
          <w14:textFill>
            <w14:solidFill>
              <w14:schemeClr w14:val="tx1"/>
            </w14:solidFill>
          </w14:textFill>
        </w:rPr>
      </w:pPr>
    </w:p>
    <w:p>
      <w:pPr>
        <w:pStyle w:val="36"/>
        <w:spacing w:line="550" w:lineRule="exact"/>
        <w:ind w:firstLine="640" w:firstLineChars="200"/>
        <w:jc w:val="both"/>
        <w:outlineLvl w:val="1"/>
        <w:rPr>
          <w:rFonts w:ascii="仿宋_GB2312" w:eastAsia="仿宋_GB2312" w:cs="仿宋_GB2312"/>
          <w:color w:val="000000" w:themeColor="text1"/>
          <w:spacing w:val="-12"/>
          <w:sz w:val="32"/>
          <w:szCs w:val="32"/>
          <w14:textFill>
            <w14:solidFill>
              <w14:schemeClr w14:val="tx1"/>
            </w14:solidFill>
          </w14:textFill>
        </w:rPr>
      </w:pPr>
      <w:bookmarkStart w:id="73" w:name="_Toc10383"/>
      <w:r>
        <w:rPr>
          <w:rFonts w:ascii="仿宋_GB2312" w:eastAsia="仿宋_GB2312" w:cs="仿宋_GB2312"/>
          <w:color w:val="000000" w:themeColor="text1"/>
          <w:sz w:val="32"/>
          <w:szCs w:val="32"/>
          <w14:textFill>
            <w14:solidFill>
              <w14:schemeClr w14:val="tx1"/>
            </w14:solidFill>
          </w14:textFill>
        </w:rPr>
        <w:t xml:space="preserve">1. </w:t>
      </w:r>
      <w:r>
        <w:rPr>
          <w:rFonts w:hint="eastAsia" w:ascii="仿宋_GB2312" w:eastAsia="仿宋_GB2312" w:cs="仿宋_GB2312"/>
          <w:color w:val="000000" w:themeColor="text1"/>
          <w:spacing w:val="-12"/>
          <w:sz w:val="32"/>
          <w:szCs w:val="32"/>
          <w14:textFill>
            <w14:solidFill>
              <w14:schemeClr w14:val="tx1"/>
            </w14:solidFill>
          </w14:textFill>
        </w:rPr>
        <w:t>财政拨款收入：指单位从同级财政部门取得的财政预算资金。</w:t>
      </w:r>
      <w:bookmarkEnd w:id="73"/>
    </w:p>
    <w:p>
      <w:pPr>
        <w:pStyle w:val="36"/>
        <w:spacing w:line="550" w:lineRule="exact"/>
        <w:ind w:firstLine="640" w:firstLineChars="200"/>
        <w:jc w:val="both"/>
        <w:rPr>
          <w:rFonts w:ascii="仿宋_GB2312" w:eastAsia="仿宋_GB2312" w:cs="仿宋_GB2312"/>
          <w:color w:val="000000" w:themeColor="text1"/>
          <w:spacing w:val="-12"/>
          <w:sz w:val="32"/>
          <w:szCs w:val="32"/>
          <w14:textFill>
            <w14:solidFill>
              <w14:schemeClr w14:val="tx1"/>
            </w14:solidFill>
          </w14:textFill>
        </w:rPr>
      </w:pPr>
      <w:r>
        <w:rPr>
          <w:rFonts w:hint="eastAsia" w:ascii="仿宋_GB2312" w:hAnsi="宋体" w:eastAsia="仿宋_GB2312" w:cs="仿宋_GB2312"/>
          <w:sz w:val="32"/>
          <w:szCs w:val="32"/>
        </w:rPr>
        <w:t>2.</w:t>
      </w:r>
      <w:r>
        <w:rPr>
          <w:rFonts w:hint="default" w:ascii="仿宋_GB2312" w:hAnsi="宋体" w:eastAsia="仿宋_GB2312" w:cs="仿宋_GB2312"/>
          <w:sz w:val="32"/>
          <w:szCs w:val="32"/>
          <w:lang w:val="en-US"/>
        </w:rPr>
        <w:t xml:space="preserve"> </w:t>
      </w:r>
      <w:r>
        <w:rPr>
          <w:rFonts w:hint="eastAsia" w:ascii="仿宋_GB2312" w:hAnsi="宋体" w:eastAsia="仿宋_GB2312" w:cs="仿宋_GB2312"/>
          <w:sz w:val="32"/>
          <w:szCs w:val="32"/>
        </w:rPr>
        <w:t>其他收入：反映单位取得的除上述收入以外的各项收入。主要是利息收入。</w:t>
      </w:r>
    </w:p>
    <w:p>
      <w:pPr>
        <w:pStyle w:val="36"/>
        <w:spacing w:line="550" w:lineRule="exact"/>
        <w:ind w:firstLine="640" w:firstLineChars="200"/>
        <w:jc w:val="both"/>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3</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年初结转和结余：指以前年度尚未完成、结转到本年按有关规定继续使用的资金。</w:t>
      </w:r>
    </w:p>
    <w:p>
      <w:pPr>
        <w:pStyle w:val="36"/>
        <w:spacing w:line="560" w:lineRule="exact"/>
        <w:ind w:firstLine="640" w:firstLineChars="200"/>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olor w:val="auto"/>
          <w:sz w:val="32"/>
          <w:szCs w:val="32"/>
        </w:rPr>
        <w:t>4.</w:t>
      </w:r>
      <w:r>
        <w:rPr>
          <w:rFonts w:hint="default" w:ascii="仿宋_GB2312" w:eastAsia="仿宋_GB2312"/>
          <w:color w:val="auto"/>
          <w:sz w:val="32"/>
          <w:szCs w:val="32"/>
          <w:lang w:val="en-US"/>
        </w:rPr>
        <w:t xml:space="preserve"> </w:t>
      </w:r>
      <w:r>
        <w:rPr>
          <w:rFonts w:hint="eastAsia" w:ascii="仿宋_GB2312" w:eastAsia="仿宋_GB2312"/>
          <w:color w:val="auto"/>
          <w:sz w:val="32"/>
          <w:szCs w:val="32"/>
        </w:rPr>
        <w:t>年末结转和结余：指单位按有关规定结转到下年或以后年度继续使用的资金。</w:t>
      </w:r>
    </w:p>
    <w:p>
      <w:pPr>
        <w:pStyle w:val="36"/>
        <w:spacing w:line="550" w:lineRule="exact"/>
        <w:ind w:firstLine="640" w:firstLineChars="200"/>
        <w:jc w:val="both"/>
        <w:rPr>
          <w:rFonts w:ascii="仿宋_GB2312" w:eastAsia="仿宋_GB2312" w:cs="仿宋_GB2312"/>
          <w:color w:val="0000FF"/>
          <w:sz w:val="32"/>
          <w:szCs w:val="32"/>
        </w:rPr>
      </w:pPr>
      <w:r>
        <w:rPr>
          <w:rFonts w:hint="eastAsia" w:ascii="仿宋_GB2312" w:hAnsi="仿宋_GB2312" w:eastAsia="仿宋_GB2312" w:cs="仿宋_GB2312"/>
          <w:bCs/>
          <w:color w:val="auto"/>
          <w:sz w:val="32"/>
          <w:szCs w:val="32"/>
        </w:rPr>
        <w:t>5.</w:t>
      </w:r>
      <w:r>
        <w:rPr>
          <w:rFonts w:hint="default" w:ascii="仿宋_GB2312" w:hAnsi="仿宋_GB2312" w:eastAsia="仿宋_GB2312" w:cs="仿宋_GB2312"/>
          <w:bCs/>
          <w:color w:val="auto"/>
          <w:sz w:val="32"/>
          <w:szCs w:val="32"/>
          <w:lang w:val="en-US"/>
        </w:rPr>
        <w:t xml:space="preserve"> </w:t>
      </w:r>
      <w:r>
        <w:rPr>
          <w:rStyle w:val="22"/>
          <w:rFonts w:hint="eastAsia" w:ascii="仿宋_GB2312" w:hAnsi="仿宋_GB2312" w:eastAsia="仿宋_GB2312" w:cs="仿宋_GB2312"/>
          <w:b w:val="0"/>
          <w:bCs/>
          <w:color w:val="auto"/>
          <w:sz w:val="32"/>
          <w:szCs w:val="32"/>
        </w:rPr>
        <w:t>社会保障和就业（类）人力资源和社会保障管理事务（款） 其他人力资源和社会保障管理事务支出（项）：</w:t>
      </w:r>
      <w:r>
        <w:rPr>
          <w:rFonts w:ascii="仿宋_GB2312" w:hAnsi="宋体" w:eastAsia="仿宋_GB2312" w:cs="仿宋_GB2312"/>
          <w:sz w:val="32"/>
          <w:szCs w:val="32"/>
        </w:rPr>
        <w:t>反映除上述项目以外其他人力资源和社会保障管理事务方面的支出。</w:t>
      </w:r>
    </w:p>
    <w:p>
      <w:pPr>
        <w:adjustRightInd w:val="0"/>
        <w:spacing w:line="55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6</w:t>
      </w:r>
      <w:r>
        <w:rPr>
          <w:rFonts w:ascii="仿宋_GB2312" w:eastAsia="仿宋_GB2312" w:cs="仿宋_GB2312"/>
          <w:color w:val="000000" w:themeColor="text1"/>
          <w:sz w:val="32"/>
          <w:szCs w:val="32"/>
          <w14:textFill>
            <w14:solidFill>
              <w14:schemeClr w14:val="tx1"/>
            </w14:solidFill>
          </w14:textFill>
        </w:rPr>
        <w:t xml:space="preserve">. </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社会保障和就业（类）行政事业单位养老支出（款） 机关事业单位基本养老保险缴费支出（项）</w:t>
      </w:r>
      <w:r>
        <w:rPr>
          <w:rFonts w:hint="eastAsia" w:ascii="仿宋_GB2312" w:eastAsia="仿宋_GB2312" w:cs="仿宋_GB2312"/>
          <w:color w:val="000000" w:themeColor="text1"/>
          <w:sz w:val="32"/>
          <w:szCs w:val="32"/>
          <w14:textFill>
            <w14:solidFill>
              <w14:schemeClr w14:val="tx1"/>
            </w14:solidFill>
          </w14:textFill>
        </w:rPr>
        <w:t>：指反映部门实施养老保险制度由单位缴纳的养老保险费的支出。</w:t>
      </w:r>
    </w:p>
    <w:p>
      <w:pPr>
        <w:adjustRightInd w:val="0"/>
        <w:spacing w:line="550" w:lineRule="exact"/>
        <w:ind w:firstLine="640" w:firstLineChars="200"/>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7</w:t>
      </w:r>
      <w:r>
        <w:rPr>
          <w:rFonts w:ascii="仿宋_GB2312" w:eastAsia="仿宋_GB2312" w:cs="仿宋_GB2312"/>
          <w:color w:val="000000" w:themeColor="text1"/>
          <w:sz w:val="32"/>
          <w:szCs w:val="32"/>
          <w14:textFill>
            <w14:solidFill>
              <w14:schemeClr w14:val="tx1"/>
            </w14:solidFill>
          </w14:textFill>
        </w:rPr>
        <w:t xml:space="preserve">. </w:t>
      </w: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社会保障和就业（类）行政事业单位养老支出（款） 机关事业单位职业年金缴费支出（项）</w:t>
      </w:r>
      <w:r>
        <w:rPr>
          <w:rFonts w:hint="eastAsia" w:ascii="仿宋_GB2312" w:eastAsia="仿宋_GB2312" w:cs="仿宋_GB2312"/>
          <w:color w:val="000000" w:themeColor="text1"/>
          <w:sz w:val="32"/>
          <w:szCs w:val="32"/>
          <w14:textFill>
            <w14:solidFill>
              <w14:schemeClr w14:val="tx1"/>
            </w14:solidFill>
          </w14:textFill>
        </w:rPr>
        <w:t>：指反映部门实施职业年金制度由单位缴纳的职业年金的支出。</w:t>
      </w:r>
    </w:p>
    <w:p>
      <w:pPr>
        <w:pStyle w:val="2"/>
        <w:spacing w:before="93"/>
        <w:ind w:firstLine="640" w:firstLineChars="200"/>
        <w:rPr>
          <w:rStyle w:val="22"/>
          <w:rFonts w:hAnsi="仿宋_GB2312" w:cs="仿宋_GB2312"/>
          <w:b w:val="0"/>
          <w:bCs/>
          <w:color w:val="000000" w:themeColor="text1"/>
          <w:sz w:val="32"/>
          <w:szCs w:val="32"/>
          <w14:textFill>
            <w14:solidFill>
              <w14:schemeClr w14:val="tx1"/>
            </w14:solidFill>
          </w14:textFill>
        </w:rPr>
      </w:pPr>
      <w:r>
        <w:rPr>
          <w:rStyle w:val="22"/>
          <w:rFonts w:hint="eastAsia" w:hAnsi="仿宋_GB2312" w:cs="仿宋_GB2312"/>
          <w:b w:val="0"/>
          <w:bCs/>
          <w:color w:val="000000" w:themeColor="text1"/>
          <w:sz w:val="32"/>
          <w:szCs w:val="32"/>
          <w14:textFill>
            <w14:solidFill>
              <w14:schemeClr w14:val="tx1"/>
            </w14:solidFill>
          </w14:textFill>
        </w:rPr>
        <w:t>8.</w:t>
      </w:r>
      <w:r>
        <w:rPr>
          <w:rStyle w:val="22"/>
          <w:rFonts w:hint="default" w:hAnsi="仿宋_GB2312" w:cs="仿宋_GB2312"/>
          <w:b w:val="0"/>
          <w:bCs/>
          <w:color w:val="000000" w:themeColor="text1"/>
          <w:sz w:val="32"/>
          <w:szCs w:val="32"/>
          <w:lang w:val="en-US"/>
          <w14:textFill>
            <w14:solidFill>
              <w14:schemeClr w14:val="tx1"/>
            </w14:solidFill>
          </w14:textFill>
        </w:rPr>
        <w:t xml:space="preserve"> </w:t>
      </w:r>
      <w:r>
        <w:rPr>
          <w:rStyle w:val="22"/>
          <w:rFonts w:hint="eastAsia" w:hAnsi="仿宋_GB2312" w:cs="仿宋_GB2312"/>
          <w:b w:val="0"/>
          <w:bCs/>
          <w:color w:val="000000" w:themeColor="text1"/>
          <w:sz w:val="32"/>
          <w:szCs w:val="32"/>
          <w14:textFill>
            <w14:solidFill>
              <w14:schemeClr w14:val="tx1"/>
            </w14:solidFill>
          </w14:textFill>
        </w:rPr>
        <w:t>社会保障和就业（类）退役安置（款）军队转业干部安置（项）：反映军队转业干部教育培训、管理服务、退役金等方面的支出。</w:t>
      </w:r>
    </w:p>
    <w:p>
      <w:pPr>
        <w:pStyle w:val="2"/>
        <w:spacing w:before="93"/>
        <w:ind w:firstLine="640" w:firstLineChars="200"/>
        <w:rPr>
          <w:rStyle w:val="22"/>
          <w:rFonts w:hAnsi="仿宋_GB2312" w:cs="仿宋_GB2312"/>
          <w:b w:val="0"/>
          <w:bCs/>
          <w:color w:val="000000" w:themeColor="text1"/>
          <w:sz w:val="32"/>
          <w:szCs w:val="32"/>
          <w14:textFill>
            <w14:solidFill>
              <w14:schemeClr w14:val="tx1"/>
            </w14:solidFill>
          </w14:textFill>
        </w:rPr>
      </w:pPr>
      <w:r>
        <w:rPr>
          <w:rStyle w:val="22"/>
          <w:rFonts w:hint="eastAsia" w:hAnsi="仿宋_GB2312" w:cs="仿宋_GB2312"/>
          <w:b w:val="0"/>
          <w:bCs/>
          <w:color w:val="000000" w:themeColor="text1"/>
          <w:sz w:val="32"/>
          <w:szCs w:val="32"/>
          <w14:textFill>
            <w14:solidFill>
              <w14:schemeClr w14:val="tx1"/>
            </w14:solidFill>
          </w14:textFill>
        </w:rPr>
        <w:t>9.</w:t>
      </w:r>
      <w:r>
        <w:rPr>
          <w:rStyle w:val="22"/>
          <w:rFonts w:hint="default" w:hAnsi="仿宋_GB2312" w:cs="仿宋_GB2312"/>
          <w:b w:val="0"/>
          <w:bCs/>
          <w:color w:val="000000" w:themeColor="text1"/>
          <w:sz w:val="32"/>
          <w:szCs w:val="32"/>
          <w:lang w:val="en-US"/>
          <w14:textFill>
            <w14:solidFill>
              <w14:schemeClr w14:val="tx1"/>
            </w14:solidFill>
          </w14:textFill>
        </w:rPr>
        <w:t xml:space="preserve"> </w:t>
      </w:r>
      <w:r>
        <w:rPr>
          <w:rStyle w:val="22"/>
          <w:rFonts w:hint="eastAsia" w:hAnsi="仿宋_GB2312" w:cs="仿宋_GB2312"/>
          <w:b w:val="0"/>
          <w:bCs/>
          <w:color w:val="000000" w:themeColor="text1"/>
          <w:sz w:val="32"/>
          <w:szCs w:val="32"/>
          <w14:textFill>
            <w14:solidFill>
              <w14:schemeClr w14:val="tx1"/>
            </w14:solidFill>
          </w14:textFill>
        </w:rPr>
        <w:t>社</w:t>
      </w:r>
      <w:r>
        <w:rPr>
          <w:rStyle w:val="22"/>
          <w:rFonts w:hint="eastAsia" w:hAnsi="仿宋_GB2312" w:cs="仿宋_GB2312"/>
          <w:b w:val="0"/>
          <w:bCs/>
          <w:color w:val="000000" w:themeColor="text1"/>
          <w:spacing w:val="-11"/>
          <w:sz w:val="32"/>
          <w:szCs w:val="32"/>
          <w14:textFill>
            <w14:solidFill>
              <w14:schemeClr w14:val="tx1"/>
            </w14:solidFill>
          </w14:textFill>
        </w:rPr>
        <w:t>会保障和就业（类）其他社会保障和就业支出（款）其他社会保障和就业支出（项）：反映除上述项目以外其他用于社会保障和就业方面的支出。</w:t>
      </w:r>
    </w:p>
    <w:p>
      <w:pPr>
        <w:adjustRightInd w:val="0"/>
        <w:spacing w:line="550" w:lineRule="exact"/>
        <w:ind w:firstLine="640" w:firstLineChars="200"/>
        <w:rPr>
          <w:rFonts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10</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卫生健康支出（类）行政事业单位医疗（款）行政单位医疗（项）：反映行政机关及参公管理事业单位用于缴纳单位基本医疗保险经费支出。</w:t>
      </w:r>
    </w:p>
    <w:p>
      <w:pPr>
        <w:pStyle w:val="19"/>
        <w:adjustRightInd w:val="0"/>
        <w:spacing w:after="0" w:line="550" w:lineRule="exact"/>
        <w:ind w:left="0" w:leftChars="0" w:firstLine="640"/>
        <w:rPr>
          <w:rStyle w:val="22"/>
          <w:rFonts w:hAnsi="仿宋_GB2312" w:eastAsia="仿宋_GB2312" w:cs="仿宋_GB2312"/>
          <w:b w:val="0"/>
          <w:bCs/>
          <w:color w:val="000000" w:themeColor="text1"/>
          <w:sz w:val="32"/>
          <w14:textFill>
            <w14:solidFill>
              <w14:schemeClr w14:val="tx1"/>
            </w14:solidFill>
          </w14:textFill>
        </w:rPr>
      </w:pPr>
      <w:r>
        <w:rPr>
          <w:rStyle w:val="22"/>
          <w:rFonts w:hint="eastAsia" w:hAnsi="仿宋_GB2312" w:eastAsia="仿宋_GB2312" w:cs="仿宋_GB2312"/>
          <w:b w:val="0"/>
          <w:bCs/>
          <w:color w:val="000000" w:themeColor="text1"/>
          <w:sz w:val="32"/>
          <w14:textFill>
            <w14:solidFill>
              <w14:schemeClr w14:val="tx1"/>
            </w14:solidFill>
          </w14:textFill>
        </w:rPr>
        <w:t>11.</w:t>
      </w:r>
      <w:r>
        <w:rPr>
          <w:rStyle w:val="22"/>
          <w:rFonts w:hint="default" w:hAnsi="仿宋_GB2312" w:eastAsia="仿宋_GB2312" w:cs="仿宋_GB2312"/>
          <w:b w:val="0"/>
          <w:bCs/>
          <w:color w:val="000000" w:themeColor="text1"/>
          <w:sz w:val="32"/>
          <w:lang w:val="en-US"/>
          <w14:textFill>
            <w14:solidFill>
              <w14:schemeClr w14:val="tx1"/>
            </w14:solidFill>
          </w14:textFill>
        </w:rPr>
        <w:t xml:space="preserve"> </w:t>
      </w:r>
      <w:r>
        <w:rPr>
          <w:rStyle w:val="22"/>
          <w:rFonts w:hint="eastAsia" w:hAnsi="仿宋_GB2312" w:eastAsia="仿宋_GB2312" w:cs="仿宋_GB2312"/>
          <w:b w:val="0"/>
          <w:bCs/>
          <w:color w:val="000000" w:themeColor="text1"/>
          <w:sz w:val="32"/>
          <w14:textFill>
            <w14:solidFill>
              <w14:schemeClr w14:val="tx1"/>
            </w14:solidFill>
          </w14:textFill>
        </w:rPr>
        <w:t>卫生健康支出（类）医疗救助（款）其他医疗救助支出（项）：指本部门建国初期退休老干部医疗照顾金支出。</w:t>
      </w:r>
    </w:p>
    <w:p>
      <w:pPr>
        <w:pStyle w:val="19"/>
        <w:adjustRightInd w:val="0"/>
        <w:spacing w:after="0" w:line="550" w:lineRule="exact"/>
        <w:ind w:left="0" w:leftChars="0" w:firstLine="640"/>
        <w:rPr>
          <w:rFonts w:eastAsia="仿宋_GB2312"/>
          <w:color w:val="000000" w:themeColor="text1"/>
          <w14:textFill>
            <w14:solidFill>
              <w14:schemeClr w14:val="tx1"/>
            </w14:solidFill>
          </w14:textFill>
        </w:rPr>
      </w:pPr>
      <w:r>
        <w:rPr>
          <w:rStyle w:val="22"/>
          <w:rFonts w:hint="eastAsia" w:hAnsi="仿宋_GB2312" w:eastAsia="仿宋_GB2312" w:cs="仿宋_GB2312"/>
          <w:b w:val="0"/>
          <w:bCs/>
          <w:color w:val="000000" w:themeColor="text1"/>
          <w:sz w:val="32"/>
          <w14:textFill>
            <w14:solidFill>
              <w14:schemeClr w14:val="tx1"/>
            </w14:solidFill>
          </w14:textFill>
        </w:rPr>
        <w:t>12.</w:t>
      </w:r>
      <w:r>
        <w:rPr>
          <w:rStyle w:val="22"/>
          <w:rFonts w:hint="default" w:hAnsi="仿宋_GB2312" w:eastAsia="仿宋_GB2312" w:cs="仿宋_GB2312"/>
          <w:b w:val="0"/>
          <w:bCs/>
          <w:color w:val="000000" w:themeColor="text1"/>
          <w:sz w:val="32"/>
          <w:lang w:val="en-US"/>
          <w14:textFill>
            <w14:solidFill>
              <w14:schemeClr w14:val="tx1"/>
            </w14:solidFill>
          </w14:textFill>
        </w:rPr>
        <w:t xml:space="preserve"> </w:t>
      </w:r>
      <w:r>
        <w:rPr>
          <w:rStyle w:val="22"/>
          <w:rFonts w:hint="eastAsia" w:hAnsi="仿宋_GB2312" w:eastAsia="仿宋_GB2312" w:cs="仿宋_GB2312"/>
          <w:b w:val="0"/>
          <w:bCs/>
          <w:color w:val="000000" w:themeColor="text1"/>
          <w:spacing w:val="-11"/>
          <w:sz w:val="32"/>
          <w14:textFill>
            <w14:solidFill>
              <w14:schemeClr w14:val="tx1"/>
            </w14:solidFill>
          </w14:textFill>
        </w:rPr>
        <w:t>卫生健康支出（类）医疗保障管理事务（款）行政运行（项）：反映行政单位（包括实行公务员管理的事业单位）的基本支出。</w:t>
      </w:r>
    </w:p>
    <w:p>
      <w:pPr>
        <w:adjustRightInd w:val="0"/>
        <w:spacing w:line="550" w:lineRule="exact"/>
        <w:ind w:firstLine="640" w:firstLineChars="200"/>
        <w:rPr>
          <w:rFonts w:ascii="仿宋_GB2312" w:eastAsia="仿宋_GB2312" w:cs="仿宋_GB2312"/>
          <w:color w:val="000000" w:themeColor="text1"/>
          <w:sz w:val="32"/>
          <w:szCs w:val="32"/>
          <w14:textFill>
            <w14:solidFill>
              <w14:schemeClr w14:val="tx1"/>
            </w14:solidFill>
          </w14:textFill>
        </w:rPr>
      </w:pPr>
      <w:r>
        <w:rPr>
          <w:rStyle w:val="22"/>
          <w:rFonts w:hint="eastAsia" w:ascii="仿宋_GB2312" w:hAnsi="仿宋_GB2312" w:eastAsia="仿宋_GB2312" w:cs="仿宋_GB2312"/>
          <w:b w:val="0"/>
          <w:bCs/>
          <w:color w:val="000000" w:themeColor="text1"/>
          <w:sz w:val="32"/>
          <w:szCs w:val="32"/>
          <w14:textFill>
            <w14:solidFill>
              <w14:schemeClr w14:val="tx1"/>
            </w14:solidFill>
          </w14:textFill>
        </w:rPr>
        <w:t>13. 卫生健康支出（类）医疗保障管理事务（款）一般行政管理事务（项）：指本部门未单独设置项级科目的其他支出。</w:t>
      </w:r>
    </w:p>
    <w:p>
      <w:pPr>
        <w:pStyle w:val="19"/>
        <w:adjustRightInd w:val="0"/>
        <w:spacing w:after="0" w:line="550" w:lineRule="exact"/>
        <w:ind w:left="0" w:leftChars="0" w:firstLine="640"/>
        <w:rPr>
          <w:rStyle w:val="22"/>
          <w:rFonts w:hAnsi="仿宋_GB2312" w:eastAsia="仿宋_GB2312" w:cs="仿宋_GB2312"/>
          <w:b w:val="0"/>
          <w:bCs/>
          <w:color w:val="000000" w:themeColor="text1"/>
          <w:sz w:val="32"/>
          <w14:textFill>
            <w14:solidFill>
              <w14:schemeClr w14:val="tx1"/>
            </w14:solidFill>
          </w14:textFill>
        </w:rPr>
      </w:pPr>
      <w:r>
        <w:rPr>
          <w:rStyle w:val="22"/>
          <w:rFonts w:hint="eastAsia" w:hAnsi="仿宋_GB2312" w:eastAsia="仿宋_GB2312" w:cs="仿宋_GB2312"/>
          <w:b w:val="0"/>
          <w:bCs/>
          <w:color w:val="000000" w:themeColor="text1"/>
          <w:sz w:val="32"/>
          <w14:textFill>
            <w14:solidFill>
              <w14:schemeClr w14:val="tx1"/>
            </w14:solidFill>
          </w14:textFill>
        </w:rPr>
        <w:t>14. 卫生健康支出（类）医疗保障管理事务（款）信息化建设（项）：反映本部门用于信息化建设、开发、运行维护和数据分析等方面的支出。</w:t>
      </w:r>
    </w:p>
    <w:p>
      <w:pPr>
        <w:pStyle w:val="7"/>
        <w:adjustRightInd w:val="0"/>
        <w:spacing w:after="0" w:line="576" w:lineRule="exact"/>
        <w:ind w:leftChars="0" w:firstLine="640" w:firstLineChars="200"/>
        <w:rPr>
          <w:rStyle w:val="22"/>
          <w:rFonts w:hAnsi="仿宋_GB2312" w:eastAsia="仿宋_GB2312" w:cs="仿宋_GB2312"/>
          <w:b w:val="0"/>
          <w:bCs/>
          <w:color w:val="000000" w:themeColor="text1"/>
          <w:sz w:val="32"/>
          <w14:textFill>
            <w14:solidFill>
              <w14:schemeClr w14:val="tx1"/>
            </w14:solidFill>
          </w14:textFill>
        </w:rPr>
      </w:pPr>
      <w:r>
        <w:rPr>
          <w:rStyle w:val="22"/>
          <w:rFonts w:hint="eastAsia" w:hAnsi="仿宋_GB2312" w:eastAsia="仿宋_GB2312" w:cs="仿宋_GB2312"/>
          <w:b w:val="0"/>
          <w:bCs/>
          <w:color w:val="000000" w:themeColor="text1"/>
          <w:sz w:val="32"/>
          <w14:textFill>
            <w14:solidFill>
              <w14:schemeClr w14:val="tx1"/>
            </w14:solidFill>
          </w14:textFill>
        </w:rPr>
        <w:t>15. 卫生健康支出（类）医疗保障管理事务（款）医疗保障政策管理（项）：反映医疗保障待遇管理、医药服务管理、医药价格和招标采购管理、医疗保障基金监管等支出。</w:t>
      </w:r>
    </w:p>
    <w:p>
      <w:pPr>
        <w:pStyle w:val="7"/>
        <w:adjustRightInd w:val="0"/>
        <w:spacing w:after="0" w:line="576" w:lineRule="exact"/>
        <w:ind w:leftChars="0" w:firstLine="640" w:firstLineChars="200"/>
        <w:rPr>
          <w:rStyle w:val="22"/>
          <w:rFonts w:hAnsi="仿宋_GB2312" w:eastAsia="仿宋_GB2312" w:cs="仿宋_GB2312"/>
          <w:b w:val="0"/>
          <w:bCs/>
          <w:color w:val="000000" w:themeColor="text1"/>
          <w:sz w:val="32"/>
          <w14:textFill>
            <w14:solidFill>
              <w14:schemeClr w14:val="tx1"/>
            </w14:solidFill>
          </w14:textFill>
        </w:rPr>
      </w:pPr>
      <w:r>
        <w:rPr>
          <w:rStyle w:val="22"/>
          <w:rFonts w:hint="eastAsia" w:hAnsi="仿宋_GB2312" w:eastAsia="仿宋_GB2312" w:cs="仿宋_GB2312"/>
          <w:b w:val="0"/>
          <w:bCs/>
          <w:color w:val="000000" w:themeColor="text1"/>
          <w:sz w:val="32"/>
          <w14:textFill>
            <w14:solidFill>
              <w14:schemeClr w14:val="tx1"/>
            </w14:solidFill>
          </w14:textFill>
        </w:rPr>
        <w:t>16. 卫生健康支出（类）医疗保障管理事务（款）医疗保障经办事务（项）：反映医保基金核算、精算、参保登记、权益记录、转移接续等医疗保障经办支出。</w:t>
      </w:r>
    </w:p>
    <w:p>
      <w:pPr>
        <w:pStyle w:val="7"/>
        <w:adjustRightInd w:val="0"/>
        <w:spacing w:after="0" w:line="576" w:lineRule="exact"/>
        <w:ind w:leftChars="0" w:firstLine="640" w:firstLineChars="200"/>
        <w:rPr>
          <w:rStyle w:val="22"/>
          <w:rFonts w:hAnsi="仿宋_GB2312" w:eastAsia="仿宋_GB2312" w:cs="仿宋_GB2312"/>
          <w:b w:val="0"/>
          <w:bCs/>
          <w:color w:val="000000" w:themeColor="text1"/>
          <w:sz w:val="32"/>
          <w14:textFill>
            <w14:solidFill>
              <w14:schemeClr w14:val="tx1"/>
            </w14:solidFill>
          </w14:textFill>
        </w:rPr>
      </w:pPr>
      <w:r>
        <w:rPr>
          <w:rStyle w:val="22"/>
          <w:rFonts w:hint="eastAsia" w:hAnsi="仿宋_GB2312" w:eastAsia="仿宋_GB2312" w:cs="仿宋_GB2312"/>
          <w:b w:val="0"/>
          <w:bCs/>
          <w:color w:val="000000" w:themeColor="text1"/>
          <w:sz w:val="32"/>
          <w14:textFill>
            <w14:solidFill>
              <w14:schemeClr w14:val="tx1"/>
            </w14:solidFill>
          </w14:textFill>
        </w:rPr>
        <w:t>17. 卫生健康支出（类）医疗保障管理事务（款）事业运行（项）：反映事业单位的基本支出。</w:t>
      </w:r>
    </w:p>
    <w:p>
      <w:pPr>
        <w:adjustRightInd w:val="0"/>
        <w:spacing w:line="550" w:lineRule="exact"/>
        <w:ind w:firstLine="640" w:firstLineChars="200"/>
        <w:rPr>
          <w:rStyle w:val="22"/>
          <w:rFonts w:hAnsi="仿宋_GB2312" w:eastAsia="仿宋_GB2312" w:cs="仿宋_GB2312"/>
          <w:b w:val="0"/>
          <w:bCs/>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18</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卫生健康支出（类）医疗保障管理事务（款）其他医疗保障管理事务支出</w:t>
      </w:r>
      <w:r>
        <w:rPr>
          <w:rFonts w:hint="eastAsia" w:ascii="仿宋_GB2312" w:eastAsia="仿宋_GB2312"/>
          <w:color w:val="000000" w:themeColor="text1"/>
          <w:sz w:val="32"/>
          <w:szCs w:val="32"/>
          <w14:textFill>
            <w14:solidFill>
              <w14:schemeClr w14:val="tx1"/>
            </w14:solidFill>
          </w14:textFill>
        </w:rPr>
        <w:t>（项）：</w:t>
      </w:r>
      <w:r>
        <w:rPr>
          <w:rFonts w:hint="eastAsia" w:ascii="仿宋_GB2312" w:eastAsia="仿宋_GB2312" w:cs="仿宋_GB2312"/>
          <w:color w:val="000000" w:themeColor="text1"/>
          <w:sz w:val="32"/>
          <w:szCs w:val="32"/>
          <w14:textFill>
            <w14:solidFill>
              <w14:schemeClr w14:val="tx1"/>
            </w14:solidFill>
          </w14:textFill>
        </w:rPr>
        <w:t>反映除上述项目以外的其他用于医疗保障管理事务方面的支出。</w:t>
      </w:r>
    </w:p>
    <w:p>
      <w:pPr>
        <w:pStyle w:val="7"/>
        <w:adjustRightInd w:val="0"/>
        <w:spacing w:after="0" w:line="550" w:lineRule="exact"/>
        <w:ind w:leftChars="0" w:firstLine="640" w:firstLineChars="200"/>
        <w:rPr>
          <w:rStyle w:val="22"/>
          <w:rFonts w:hAnsi="仿宋_GB2312" w:eastAsia="仿宋_GB2312" w:cs="仿宋_GB2312"/>
          <w:b w:val="0"/>
          <w:bCs/>
          <w:color w:val="000000" w:themeColor="text1"/>
          <w:sz w:val="32"/>
          <w14:textFill>
            <w14:solidFill>
              <w14:schemeClr w14:val="tx1"/>
            </w14:solidFill>
          </w14:textFill>
        </w:rPr>
      </w:pPr>
      <w:r>
        <w:rPr>
          <w:rStyle w:val="22"/>
          <w:rFonts w:hint="eastAsia" w:hAnsi="仿宋_GB2312" w:eastAsia="仿宋_GB2312" w:cs="仿宋_GB2312"/>
          <w:b w:val="0"/>
          <w:bCs/>
          <w:color w:val="000000" w:themeColor="text1"/>
          <w:sz w:val="32"/>
          <w14:textFill>
            <w14:solidFill>
              <w14:schemeClr w14:val="tx1"/>
            </w14:solidFill>
          </w14:textFill>
        </w:rPr>
        <w:t>19.</w:t>
      </w:r>
      <w:r>
        <w:rPr>
          <w:rStyle w:val="22"/>
          <w:rFonts w:hAnsi="仿宋_GB2312" w:eastAsia="仿宋_GB2312" w:cs="仿宋_GB2312"/>
          <w:b w:val="0"/>
          <w:bCs/>
          <w:color w:val="000000" w:themeColor="text1"/>
          <w:sz w:val="32"/>
          <w14:textFill>
            <w14:solidFill>
              <w14:schemeClr w14:val="tx1"/>
            </w14:solidFill>
          </w14:textFill>
        </w:rPr>
        <w:t xml:space="preserve"> </w:t>
      </w:r>
      <w:r>
        <w:rPr>
          <w:rStyle w:val="22"/>
          <w:rFonts w:hint="eastAsia" w:hAnsi="仿宋_GB2312" w:eastAsia="仿宋_GB2312" w:cs="仿宋_GB2312"/>
          <w:b w:val="0"/>
          <w:bCs/>
          <w:color w:val="000000" w:themeColor="text1"/>
          <w:sz w:val="32"/>
          <w14:textFill>
            <w14:solidFill>
              <w14:schemeClr w14:val="tx1"/>
            </w14:solidFill>
          </w14:textFill>
        </w:rPr>
        <w:t>住房保障支出（类）住房改革支出（款）住房公积金（项）：反映行政事业单位按人力资源和社会保障部、财政部规定的基本工资和津贴补贴以及规定比例为职工缴纳的住房公积金。</w:t>
      </w:r>
    </w:p>
    <w:p>
      <w:pPr>
        <w:adjustRightInd w:val="0"/>
        <w:spacing w:line="55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20</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基本支出：指为保障机构正常运转、完成日常工作任务而发生的人员支出和公用支出。</w:t>
      </w:r>
    </w:p>
    <w:p>
      <w:pPr>
        <w:adjustRightInd w:val="0"/>
        <w:spacing w:line="55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21</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项目支出：指在基本支出之外为完成特定行政任务和事业发展目标所发生的支出。</w:t>
      </w:r>
    </w:p>
    <w:p>
      <w:pPr>
        <w:pStyle w:val="36"/>
        <w:spacing w:line="550" w:lineRule="exact"/>
        <w:ind w:firstLine="640" w:firstLineChars="200"/>
        <w:jc w:val="both"/>
        <w:rPr>
          <w:rFonts w:ascii="仿宋_GB2312" w:eastAsia="仿宋_GB2312" w:cs="Times New Roman"/>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22</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6"/>
        <w:spacing w:line="550" w:lineRule="exact"/>
        <w:ind w:firstLine="640" w:firstLineChars="20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23</w:t>
      </w:r>
      <w:r>
        <w:rPr>
          <w:rFonts w:ascii="仿宋_GB2312" w:eastAsia="仿宋_GB2312" w:cs="仿宋_GB2312"/>
          <w:color w:val="000000" w:themeColor="text1"/>
          <w:sz w:val="32"/>
          <w:szCs w:val="32"/>
          <w14:textFill>
            <w14:solidFill>
              <w14:schemeClr w14:val="tx1"/>
            </w14:solidFill>
          </w14:textFill>
        </w:rPr>
        <w:t xml:space="preserve">. </w:t>
      </w:r>
      <w:r>
        <w:rPr>
          <w:rFonts w:hint="eastAsia" w:ascii="仿宋_GB2312" w:eastAsia="仿宋_GB2312" w:cs="仿宋_GB2312"/>
          <w:color w:val="000000" w:themeColor="text1"/>
          <w:sz w:val="32"/>
          <w:szCs w:val="32"/>
          <w14:textFill>
            <w14:solidFill>
              <w14:schemeClr w14:val="tx1"/>
            </w14:solidFill>
          </w14:textFill>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74" w:name="_Toc15396614"/>
      <w:bookmarkStart w:id="75" w:name="_Toc15377226"/>
    </w:p>
    <w:p>
      <w:pPr>
        <w:rPr>
          <w:rFonts w:hint="eastAsia" w:ascii="黑体" w:hAnsi="黑体" w:eastAsia="黑体"/>
          <w:color w:val="000000" w:themeColor="text1"/>
          <w:sz w:val="44"/>
          <w:szCs w:val="44"/>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br w:type="page"/>
      </w:r>
    </w:p>
    <w:p>
      <w:pPr>
        <w:numPr>
          <w:ilvl w:val="0"/>
          <w:numId w:val="4"/>
        </w:numPr>
        <w:spacing w:line="600" w:lineRule="exact"/>
        <w:ind w:left="0" w:leftChars="0" w:firstLine="660" w:firstLineChars="150"/>
        <w:jc w:val="center"/>
        <w:outlineLvl w:val="0"/>
        <w:rPr>
          <w:rStyle w:val="25"/>
          <w:rFonts w:hint="eastAsia" w:ascii="黑体" w:hAnsi="黑体" w:eastAsia="黑体"/>
          <w:b w:val="0"/>
          <w:color w:val="000000" w:themeColor="text1"/>
          <w14:textFill>
            <w14:solidFill>
              <w14:schemeClr w14:val="tx1"/>
            </w14:solidFill>
          </w14:textFill>
        </w:rPr>
      </w:pPr>
      <w:r>
        <w:rPr>
          <w:rStyle w:val="25"/>
          <w:rFonts w:ascii="黑体" w:hAnsi="黑体" w:eastAsia="黑体"/>
          <w:b w:val="0"/>
          <w:color w:val="000000" w:themeColor="text1"/>
          <w14:textFill>
            <w14:solidFill>
              <w14:schemeClr w14:val="tx1"/>
            </w14:solidFill>
          </w14:textFill>
        </w:rPr>
        <w:t xml:space="preserve">  </w:t>
      </w:r>
      <w:bookmarkStart w:id="76" w:name="_Toc7836"/>
      <w:r>
        <w:rPr>
          <w:rStyle w:val="25"/>
          <w:rFonts w:hint="eastAsia" w:ascii="黑体" w:hAnsi="黑体" w:eastAsia="黑体"/>
          <w:b w:val="0"/>
          <w:color w:val="000000" w:themeColor="text1"/>
          <w14:textFill>
            <w14:solidFill>
              <w14:schemeClr w14:val="tx1"/>
            </w14:solidFill>
          </w14:textFill>
        </w:rPr>
        <w:t>附</w:t>
      </w:r>
      <w:r>
        <w:rPr>
          <w:rStyle w:val="25"/>
          <w:rFonts w:ascii="黑体" w:hAnsi="黑体" w:eastAsia="黑体"/>
          <w:b w:val="0"/>
          <w:color w:val="000000" w:themeColor="text1"/>
          <w14:textFill>
            <w14:solidFill>
              <w14:schemeClr w14:val="tx1"/>
            </w14:solidFill>
          </w14:textFill>
        </w:rPr>
        <w:t xml:space="preserve">  </w:t>
      </w:r>
      <w:r>
        <w:rPr>
          <w:rStyle w:val="25"/>
          <w:rFonts w:hint="eastAsia" w:ascii="黑体" w:hAnsi="黑体" w:eastAsia="黑体"/>
          <w:b w:val="0"/>
          <w:color w:val="000000" w:themeColor="text1"/>
          <w14:textFill>
            <w14:solidFill>
              <w14:schemeClr w14:val="tx1"/>
            </w14:solidFill>
          </w14:textFill>
        </w:rPr>
        <w:t>件</w:t>
      </w:r>
      <w:bookmarkEnd w:id="74"/>
      <w:bookmarkEnd w:id="76"/>
    </w:p>
    <w:p>
      <w:pPr>
        <w:spacing w:line="600" w:lineRule="exact"/>
        <w:jc w:val="center"/>
        <w:outlineLvl w:val="9"/>
        <w:rPr>
          <w:rFonts w:hint="eastAsia" w:hAnsi="Times New Roman" w:cs="Times New Roman"/>
          <w:sz w:val="32"/>
          <w:szCs w:val="32"/>
          <w:highlight w:val="none"/>
          <w:lang w:val="en-US" w:eastAsia="zh-CN"/>
        </w:rPr>
      </w:pPr>
    </w:p>
    <w:p>
      <w:pPr>
        <w:spacing w:line="600" w:lineRule="exact"/>
        <w:jc w:val="center"/>
        <w:outlineLvl w:val="1"/>
        <w:rPr>
          <w:rFonts w:hint="eastAsia" w:ascii="黑体" w:hAnsi="黑体" w:eastAsia="黑体"/>
          <w:color w:val="FF0000"/>
          <w:sz w:val="44"/>
          <w:szCs w:val="44"/>
          <w:highlight w:val="none"/>
        </w:rPr>
      </w:pPr>
      <w:bookmarkStart w:id="77" w:name="_Toc12050"/>
      <w:r>
        <w:rPr>
          <w:rFonts w:hint="eastAsia" w:hAnsi="Times New Roman" w:cs="Times New Roman"/>
          <w:sz w:val="32"/>
          <w:szCs w:val="32"/>
          <w:highlight w:val="none"/>
          <w:lang w:val="en-US" w:eastAsia="zh-CN"/>
        </w:rPr>
        <w:t>部门预算项目支出绩效自评表（202</w:t>
      </w:r>
      <w:r>
        <w:rPr>
          <w:rFonts w:hint="eastAsia" w:cs="Times New Roman"/>
          <w:sz w:val="32"/>
          <w:szCs w:val="32"/>
          <w:highlight w:val="none"/>
          <w:lang w:val="en-US" w:eastAsia="zh-CN"/>
        </w:rPr>
        <w:t>3</w:t>
      </w:r>
      <w:r>
        <w:rPr>
          <w:rFonts w:hint="eastAsia" w:hAnsi="Times New Roman" w:cs="Times New Roman"/>
          <w:sz w:val="32"/>
          <w:szCs w:val="32"/>
          <w:highlight w:val="none"/>
          <w:lang w:val="en-US" w:eastAsia="zh-CN"/>
        </w:rPr>
        <w:t>年度）</w:t>
      </w:r>
      <w:bookmarkEnd w:id="77"/>
    </w:p>
    <w:p>
      <w:pPr>
        <w:pStyle w:val="2"/>
        <w:numPr>
          <w:ilvl w:val="0"/>
          <w:numId w:val="0"/>
        </w:numPr>
        <w:ind w:leftChars="150"/>
      </w:pPr>
    </w:p>
    <w:p>
      <w:pPr>
        <w:spacing w:line="40" w:lineRule="exact"/>
        <w:rPr>
          <w:rFonts w:ascii="方正楷体简体" w:hAnsi="宋体" w:eastAsia="方正楷体简体" w:cs="宋体"/>
          <w:color w:val="000000" w:themeColor="text1"/>
          <w:sz w:val="32"/>
          <w:szCs w:val="32"/>
          <w14:textFill>
            <w14:solidFill>
              <w14:schemeClr w14:val="tx1"/>
            </w14:solidFill>
          </w14:textFill>
        </w:rPr>
      </w:pPr>
      <w:bookmarkStart w:id="78" w:name="_Toc15396618"/>
    </w:p>
    <w:p>
      <w:pPr>
        <w:spacing w:line="40" w:lineRule="exact"/>
        <w:rPr>
          <w:rFonts w:ascii="方正楷体简体" w:hAnsi="宋体" w:eastAsia="方正楷体简体" w:cs="宋体"/>
          <w:color w:val="000000" w:themeColor="text1"/>
          <w:sz w:val="32"/>
          <w:szCs w:val="32"/>
          <w14:textFill>
            <w14:solidFill>
              <w14:schemeClr w14:val="tx1"/>
            </w14:solidFill>
          </w14:textFill>
        </w:rPr>
      </w:pPr>
    </w:p>
    <w:p>
      <w:pPr>
        <w:spacing w:line="600" w:lineRule="exact"/>
        <w:jc w:val="center"/>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center"/>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center"/>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center"/>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center"/>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center"/>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center"/>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center"/>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center"/>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center"/>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center"/>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center"/>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center"/>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center"/>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center"/>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both"/>
        <w:outlineLvl w:val="9"/>
        <w:rPr>
          <w:rFonts w:hint="eastAsia" w:ascii="黑体" w:hAnsi="黑体" w:eastAsia="黑体"/>
          <w:color w:val="000000" w:themeColor="text1"/>
          <w:sz w:val="44"/>
          <w:szCs w:val="44"/>
          <w14:textFill>
            <w14:solidFill>
              <w14:schemeClr w14:val="tx1"/>
            </w14:solidFill>
          </w14:textFill>
        </w:rPr>
      </w:pPr>
    </w:p>
    <w:p>
      <w:pPr>
        <w:spacing w:line="600" w:lineRule="exact"/>
        <w:jc w:val="center"/>
        <w:outlineLvl w:val="0"/>
        <w:rPr>
          <w:rFonts w:ascii="仿宋" w:hAnsi="仿宋" w:eastAsia="仿宋"/>
          <w:color w:val="000000" w:themeColor="text1"/>
          <w14:textFill>
            <w14:solidFill>
              <w14:schemeClr w14:val="tx1"/>
            </w14:solidFill>
          </w14:textFill>
        </w:rPr>
      </w:pPr>
      <w:bookmarkStart w:id="79" w:name="_Toc15630"/>
      <w:r>
        <w:rPr>
          <w:rFonts w:hint="eastAsia" w:ascii="黑体" w:hAnsi="黑体" w:eastAsia="黑体"/>
          <w:color w:val="000000" w:themeColor="text1"/>
          <w:sz w:val="44"/>
          <w:szCs w:val="44"/>
          <w14:textFill>
            <w14:solidFill>
              <w14:schemeClr w14:val="tx1"/>
            </w14:solidFill>
          </w14:textFill>
        </w:rPr>
        <w:t>第</w:t>
      </w:r>
      <w:r>
        <w:rPr>
          <w:rStyle w:val="25"/>
          <w:rFonts w:hint="eastAsia" w:ascii="黑体" w:hAnsi="黑体" w:eastAsia="黑体"/>
          <w:b w:val="0"/>
          <w:color w:val="000000" w:themeColor="text1"/>
          <w14:textFill>
            <w14:solidFill>
              <w14:schemeClr w14:val="tx1"/>
            </w14:solidFill>
          </w14:textFill>
        </w:rPr>
        <w:t>五部分</w:t>
      </w:r>
      <w:r>
        <w:rPr>
          <w:rStyle w:val="25"/>
          <w:rFonts w:ascii="黑体" w:hAnsi="黑体" w:eastAsia="黑体"/>
          <w:b w:val="0"/>
          <w:color w:val="000000" w:themeColor="text1"/>
          <w14:textFill>
            <w14:solidFill>
              <w14:schemeClr w14:val="tx1"/>
            </w14:solidFill>
          </w14:textFill>
        </w:rPr>
        <w:t xml:space="preserve">  </w:t>
      </w:r>
      <w:r>
        <w:rPr>
          <w:rStyle w:val="25"/>
          <w:rFonts w:hint="eastAsia" w:ascii="黑体" w:hAnsi="黑体" w:eastAsia="黑体"/>
          <w:b w:val="0"/>
          <w:color w:val="000000" w:themeColor="text1"/>
          <w14:textFill>
            <w14:solidFill>
              <w14:schemeClr w14:val="tx1"/>
            </w14:solidFill>
          </w14:textFill>
        </w:rPr>
        <w:t>附</w:t>
      </w:r>
      <w:r>
        <w:rPr>
          <w:rStyle w:val="25"/>
          <w:rFonts w:ascii="黑体" w:hAnsi="黑体" w:eastAsia="黑体"/>
          <w:b w:val="0"/>
          <w:color w:val="000000" w:themeColor="text1"/>
          <w14:textFill>
            <w14:solidFill>
              <w14:schemeClr w14:val="tx1"/>
            </w14:solidFill>
          </w14:textFill>
        </w:rPr>
        <w:t xml:space="preserve">  </w:t>
      </w:r>
      <w:r>
        <w:rPr>
          <w:rStyle w:val="25"/>
          <w:rFonts w:hint="eastAsia" w:ascii="黑体" w:hAnsi="黑体" w:eastAsia="黑体"/>
          <w:b w:val="0"/>
          <w:color w:val="000000" w:themeColor="text1"/>
          <w14:textFill>
            <w14:solidFill>
              <w14:schemeClr w14:val="tx1"/>
            </w14:solidFill>
          </w14:textFill>
        </w:rPr>
        <w:t>表</w:t>
      </w:r>
      <w:bookmarkEnd w:id="75"/>
      <w:bookmarkEnd w:id="78"/>
      <w:bookmarkEnd w:id="79"/>
      <w:bookmarkStart w:id="80" w:name="_Toc15396619"/>
    </w:p>
    <w:p>
      <w:pPr>
        <w:pStyle w:val="4"/>
        <w:keepNext w:val="0"/>
        <w:keepLines w:val="0"/>
        <w:spacing w:before="0" w:after="0" w:line="576" w:lineRule="exact"/>
        <w:ind w:firstLine="640" w:firstLineChars="200"/>
        <w:outlineLvl w:val="9"/>
        <w:rPr>
          <w:rFonts w:ascii="仿宋_GB2312" w:hAnsi="仿宋_GB2312" w:eastAsia="仿宋_GB2312" w:cs="仿宋_GB2312"/>
          <w:b w:val="0"/>
          <w:color w:val="000000" w:themeColor="text1"/>
          <w14:textFill>
            <w14:solidFill>
              <w14:schemeClr w14:val="tx1"/>
            </w14:solidFill>
          </w14:textFill>
        </w:rPr>
      </w:pPr>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81" w:name="_Toc20341"/>
      <w:r>
        <w:rPr>
          <w:rFonts w:hint="eastAsia" w:ascii="仿宋_GB2312" w:hAnsi="仿宋_GB2312" w:eastAsia="仿宋_GB2312" w:cs="仿宋_GB2312"/>
          <w:b w:val="0"/>
          <w:color w:val="000000" w:themeColor="text1"/>
          <w14:textFill>
            <w14:solidFill>
              <w14:schemeClr w14:val="tx1"/>
            </w14:solidFill>
          </w14:textFill>
        </w:rPr>
        <w:t>一、收</w:t>
      </w:r>
      <w:r>
        <w:rPr>
          <w:rStyle w:val="26"/>
          <w:rFonts w:hint="eastAsia" w:ascii="仿宋_GB2312" w:hAnsi="仿宋_GB2312" w:eastAsia="仿宋_GB2312" w:cs="仿宋_GB2312"/>
          <w:b w:val="0"/>
          <w:bCs w:val="0"/>
          <w:color w:val="000000" w:themeColor="text1"/>
          <w14:textFill>
            <w14:solidFill>
              <w14:schemeClr w14:val="tx1"/>
            </w14:solidFill>
          </w14:textFill>
        </w:rPr>
        <w:t>入支出决算总表</w:t>
      </w:r>
      <w:bookmarkEnd w:id="80"/>
      <w:bookmarkEnd w:id="81"/>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82" w:name="_Toc13276"/>
      <w:bookmarkStart w:id="83" w:name="_Toc15396620"/>
      <w:r>
        <w:rPr>
          <w:rFonts w:hint="eastAsia" w:ascii="仿宋_GB2312" w:hAnsi="仿宋_GB2312" w:eastAsia="仿宋_GB2312" w:cs="仿宋_GB2312"/>
          <w:b w:val="0"/>
          <w:color w:val="000000" w:themeColor="text1"/>
          <w14:textFill>
            <w14:solidFill>
              <w14:schemeClr w14:val="tx1"/>
            </w14:solidFill>
          </w14:textFill>
        </w:rPr>
        <w:t>二、收</w:t>
      </w:r>
      <w:r>
        <w:rPr>
          <w:rStyle w:val="26"/>
          <w:rFonts w:hint="eastAsia" w:ascii="仿宋_GB2312" w:hAnsi="仿宋_GB2312" w:eastAsia="仿宋_GB2312" w:cs="仿宋_GB2312"/>
          <w:b w:val="0"/>
          <w:bCs w:val="0"/>
          <w:color w:val="000000" w:themeColor="text1"/>
          <w14:textFill>
            <w14:solidFill>
              <w14:schemeClr w14:val="tx1"/>
            </w14:solidFill>
          </w14:textFill>
        </w:rPr>
        <w:t>入决算表</w:t>
      </w:r>
      <w:bookmarkEnd w:id="82"/>
      <w:bookmarkEnd w:id="83"/>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84" w:name="_Toc15396621"/>
      <w:bookmarkStart w:id="85" w:name="_Toc453"/>
      <w:r>
        <w:rPr>
          <w:rStyle w:val="26"/>
          <w:rFonts w:hint="eastAsia" w:ascii="仿宋_GB2312" w:hAnsi="仿宋_GB2312" w:eastAsia="仿宋_GB2312" w:cs="仿宋_GB2312"/>
          <w:b w:val="0"/>
          <w:bCs w:val="0"/>
          <w:color w:val="000000" w:themeColor="text1"/>
          <w14:textFill>
            <w14:solidFill>
              <w14:schemeClr w14:val="tx1"/>
            </w14:solidFill>
          </w14:textFill>
        </w:rPr>
        <w:t>三、</w:t>
      </w:r>
      <w:r>
        <w:rPr>
          <w:rFonts w:hint="eastAsia" w:ascii="仿宋_GB2312" w:hAnsi="仿宋_GB2312" w:eastAsia="仿宋_GB2312" w:cs="仿宋_GB2312"/>
          <w:b w:val="0"/>
          <w:color w:val="000000" w:themeColor="text1"/>
          <w14:textFill>
            <w14:solidFill>
              <w14:schemeClr w14:val="tx1"/>
            </w14:solidFill>
          </w14:textFill>
        </w:rPr>
        <w:t>支</w:t>
      </w:r>
      <w:r>
        <w:rPr>
          <w:rStyle w:val="26"/>
          <w:rFonts w:hint="eastAsia" w:ascii="仿宋_GB2312" w:hAnsi="仿宋_GB2312" w:eastAsia="仿宋_GB2312" w:cs="仿宋_GB2312"/>
          <w:b w:val="0"/>
          <w:bCs w:val="0"/>
          <w:color w:val="000000" w:themeColor="text1"/>
          <w14:textFill>
            <w14:solidFill>
              <w14:schemeClr w14:val="tx1"/>
            </w14:solidFill>
          </w14:textFill>
        </w:rPr>
        <w:t>出决算表</w:t>
      </w:r>
      <w:bookmarkEnd w:id="84"/>
      <w:bookmarkEnd w:id="85"/>
    </w:p>
    <w:p>
      <w:pPr>
        <w:pStyle w:val="4"/>
        <w:keepNext w:val="0"/>
        <w:keepLines w:val="0"/>
        <w:spacing w:before="0" w:after="0" w:line="576" w:lineRule="exact"/>
        <w:ind w:firstLine="640" w:firstLineChars="200"/>
        <w:rPr>
          <w:rFonts w:ascii="仿宋_GB2312" w:hAnsi="仿宋_GB2312" w:eastAsia="仿宋_GB2312" w:cs="仿宋_GB2312"/>
          <w:b w:val="0"/>
          <w:color w:val="000000" w:themeColor="text1"/>
          <w14:textFill>
            <w14:solidFill>
              <w14:schemeClr w14:val="tx1"/>
            </w14:solidFill>
          </w14:textFill>
        </w:rPr>
      </w:pPr>
      <w:bookmarkStart w:id="86" w:name="_Toc31964"/>
      <w:bookmarkStart w:id="87" w:name="_Toc15396622"/>
      <w:r>
        <w:rPr>
          <w:rStyle w:val="26"/>
          <w:rFonts w:hint="eastAsia" w:ascii="仿宋_GB2312" w:hAnsi="仿宋_GB2312" w:eastAsia="仿宋_GB2312" w:cs="仿宋_GB2312"/>
          <w:b w:val="0"/>
          <w:bCs w:val="0"/>
          <w:color w:val="000000" w:themeColor="text1"/>
          <w14:textFill>
            <w14:solidFill>
              <w14:schemeClr w14:val="tx1"/>
            </w14:solidFill>
          </w14:textFill>
        </w:rPr>
        <w:t>四、</w:t>
      </w:r>
      <w:r>
        <w:rPr>
          <w:rFonts w:hint="eastAsia" w:ascii="仿宋_GB2312" w:hAnsi="仿宋_GB2312" w:eastAsia="仿宋_GB2312" w:cs="仿宋_GB2312"/>
          <w:b w:val="0"/>
          <w:color w:val="000000" w:themeColor="text1"/>
          <w14:textFill>
            <w14:solidFill>
              <w14:schemeClr w14:val="tx1"/>
            </w14:solidFill>
          </w14:textFill>
        </w:rPr>
        <w:t>财</w:t>
      </w:r>
      <w:r>
        <w:rPr>
          <w:rStyle w:val="26"/>
          <w:rFonts w:hint="eastAsia" w:ascii="仿宋_GB2312" w:hAnsi="仿宋_GB2312" w:eastAsia="仿宋_GB2312" w:cs="仿宋_GB2312"/>
          <w:b w:val="0"/>
          <w:bCs w:val="0"/>
          <w:color w:val="000000" w:themeColor="text1"/>
          <w14:textFill>
            <w14:solidFill>
              <w14:schemeClr w14:val="tx1"/>
            </w14:solidFill>
          </w14:textFill>
        </w:rPr>
        <w:t>政拨款收入支出决算总表</w:t>
      </w:r>
      <w:bookmarkEnd w:id="86"/>
      <w:bookmarkEnd w:id="87"/>
    </w:p>
    <w:p>
      <w:pPr>
        <w:pStyle w:val="4"/>
        <w:keepNext w:val="0"/>
        <w:keepLines w:val="0"/>
        <w:spacing w:before="0" w:after="0" w:line="576" w:lineRule="exact"/>
        <w:ind w:firstLine="640" w:firstLineChars="200"/>
        <w:rPr>
          <w:rStyle w:val="26"/>
          <w:rFonts w:ascii="仿宋_GB2312" w:hAnsi="仿宋_GB2312" w:eastAsia="仿宋_GB2312" w:cs="仿宋_GB2312"/>
          <w:b w:val="0"/>
          <w:bCs w:val="0"/>
          <w:color w:val="000000" w:themeColor="text1"/>
          <w14:textFill>
            <w14:solidFill>
              <w14:schemeClr w14:val="tx1"/>
            </w14:solidFill>
          </w14:textFill>
        </w:rPr>
      </w:pPr>
      <w:bookmarkStart w:id="88" w:name="_Toc6804"/>
      <w:bookmarkStart w:id="89" w:name="_Toc15396623"/>
      <w:r>
        <w:rPr>
          <w:rStyle w:val="26"/>
          <w:rFonts w:hint="eastAsia" w:ascii="仿宋_GB2312" w:hAnsi="仿宋_GB2312" w:eastAsia="仿宋_GB2312" w:cs="仿宋_GB2312"/>
          <w:b w:val="0"/>
          <w:bCs w:val="0"/>
          <w:color w:val="000000" w:themeColor="text1"/>
          <w14:textFill>
            <w14:solidFill>
              <w14:schemeClr w14:val="tx1"/>
            </w14:solidFill>
          </w14:textFill>
        </w:rPr>
        <w:t>五、</w:t>
      </w:r>
      <w:r>
        <w:rPr>
          <w:rFonts w:hint="eastAsia" w:ascii="仿宋_GB2312" w:hAnsi="仿宋_GB2312" w:eastAsia="仿宋_GB2312" w:cs="仿宋_GB2312"/>
          <w:b w:val="0"/>
          <w:color w:val="000000" w:themeColor="text1"/>
          <w14:textFill>
            <w14:solidFill>
              <w14:schemeClr w14:val="tx1"/>
            </w14:solidFill>
          </w14:textFill>
        </w:rPr>
        <w:t>财</w:t>
      </w:r>
      <w:r>
        <w:rPr>
          <w:rStyle w:val="26"/>
          <w:rFonts w:hint="eastAsia" w:ascii="仿宋_GB2312" w:hAnsi="仿宋_GB2312" w:eastAsia="仿宋_GB2312" w:cs="仿宋_GB2312"/>
          <w:b w:val="0"/>
          <w:bCs w:val="0"/>
          <w:color w:val="000000" w:themeColor="text1"/>
          <w14:textFill>
            <w14:solidFill>
              <w14:schemeClr w14:val="tx1"/>
            </w14:solidFill>
          </w14:textFill>
        </w:rPr>
        <w:t>政拨款支出决算明细表</w:t>
      </w:r>
      <w:bookmarkEnd w:id="88"/>
      <w:bookmarkEnd w:id="89"/>
      <w:bookmarkStart w:id="90" w:name="_Toc15396624"/>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91" w:name="_Toc7202"/>
      <w:r>
        <w:rPr>
          <w:rStyle w:val="26"/>
          <w:rFonts w:hint="eastAsia" w:ascii="仿宋_GB2312" w:hAnsi="仿宋_GB2312" w:eastAsia="仿宋_GB2312" w:cs="仿宋_GB2312"/>
          <w:b w:val="0"/>
          <w:bCs w:val="0"/>
          <w:color w:val="000000" w:themeColor="text1"/>
          <w14:textFill>
            <w14:solidFill>
              <w14:schemeClr w14:val="tx1"/>
            </w14:solidFill>
          </w14:textFill>
        </w:rPr>
        <w:t>六、</w:t>
      </w:r>
      <w:r>
        <w:rPr>
          <w:rFonts w:hint="eastAsia" w:ascii="仿宋_GB2312" w:hAnsi="仿宋_GB2312" w:eastAsia="仿宋_GB2312" w:cs="仿宋_GB2312"/>
          <w:b w:val="0"/>
          <w:color w:val="000000" w:themeColor="text1"/>
          <w14:textFill>
            <w14:solidFill>
              <w14:schemeClr w14:val="tx1"/>
            </w14:solidFill>
          </w14:textFill>
        </w:rPr>
        <w:t>一</w:t>
      </w:r>
      <w:r>
        <w:rPr>
          <w:rStyle w:val="26"/>
          <w:rFonts w:hint="eastAsia" w:ascii="仿宋_GB2312" w:hAnsi="仿宋_GB2312" w:eastAsia="仿宋_GB2312" w:cs="仿宋_GB2312"/>
          <w:b w:val="0"/>
          <w:bCs w:val="0"/>
          <w:color w:val="000000" w:themeColor="text1"/>
          <w14:textFill>
            <w14:solidFill>
              <w14:schemeClr w14:val="tx1"/>
            </w14:solidFill>
          </w14:textFill>
        </w:rPr>
        <w:t>般公共预算财政拨款支出决算表</w:t>
      </w:r>
      <w:bookmarkEnd w:id="90"/>
      <w:bookmarkEnd w:id="91"/>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92" w:name="_Toc12360"/>
      <w:bookmarkStart w:id="93" w:name="_Toc15396625"/>
      <w:r>
        <w:rPr>
          <w:rStyle w:val="26"/>
          <w:rFonts w:hint="eastAsia" w:ascii="仿宋_GB2312" w:hAnsi="仿宋_GB2312" w:eastAsia="仿宋_GB2312" w:cs="仿宋_GB2312"/>
          <w:b w:val="0"/>
          <w:bCs w:val="0"/>
          <w:color w:val="000000" w:themeColor="text1"/>
          <w14:textFill>
            <w14:solidFill>
              <w14:schemeClr w14:val="tx1"/>
            </w14:solidFill>
          </w14:textFill>
        </w:rPr>
        <w:t>七、</w:t>
      </w:r>
      <w:r>
        <w:rPr>
          <w:rFonts w:hint="eastAsia" w:ascii="仿宋_GB2312" w:hAnsi="仿宋_GB2312" w:eastAsia="仿宋_GB2312" w:cs="仿宋_GB2312"/>
          <w:b w:val="0"/>
          <w:color w:val="000000" w:themeColor="text1"/>
          <w14:textFill>
            <w14:solidFill>
              <w14:schemeClr w14:val="tx1"/>
            </w14:solidFill>
          </w14:textFill>
        </w:rPr>
        <w:t>一</w:t>
      </w:r>
      <w:r>
        <w:rPr>
          <w:rStyle w:val="26"/>
          <w:rFonts w:hint="eastAsia" w:ascii="仿宋_GB2312" w:hAnsi="仿宋_GB2312" w:eastAsia="仿宋_GB2312" w:cs="仿宋_GB2312"/>
          <w:b w:val="0"/>
          <w:bCs w:val="0"/>
          <w:color w:val="000000" w:themeColor="text1"/>
          <w14:textFill>
            <w14:solidFill>
              <w14:schemeClr w14:val="tx1"/>
            </w14:solidFill>
          </w14:textFill>
        </w:rPr>
        <w:t>般公共预算财政拨款支出决算明细表</w:t>
      </w:r>
      <w:bookmarkEnd w:id="92"/>
      <w:bookmarkEnd w:id="93"/>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94" w:name="_Toc15396626"/>
      <w:bookmarkStart w:id="95" w:name="_Toc28312"/>
      <w:r>
        <w:rPr>
          <w:rStyle w:val="26"/>
          <w:rFonts w:hint="eastAsia" w:ascii="仿宋_GB2312" w:hAnsi="仿宋_GB2312" w:eastAsia="仿宋_GB2312" w:cs="仿宋_GB2312"/>
          <w:b w:val="0"/>
          <w:bCs w:val="0"/>
          <w:color w:val="000000" w:themeColor="text1"/>
          <w14:textFill>
            <w14:solidFill>
              <w14:schemeClr w14:val="tx1"/>
            </w14:solidFill>
          </w14:textFill>
        </w:rPr>
        <w:t>八、</w:t>
      </w:r>
      <w:r>
        <w:rPr>
          <w:rFonts w:hint="eastAsia" w:ascii="仿宋_GB2312" w:hAnsi="仿宋_GB2312" w:eastAsia="仿宋_GB2312" w:cs="仿宋_GB2312"/>
          <w:b w:val="0"/>
          <w:color w:val="000000" w:themeColor="text1"/>
          <w14:textFill>
            <w14:solidFill>
              <w14:schemeClr w14:val="tx1"/>
            </w14:solidFill>
          </w14:textFill>
        </w:rPr>
        <w:t>一</w:t>
      </w:r>
      <w:r>
        <w:rPr>
          <w:rStyle w:val="26"/>
          <w:rFonts w:hint="eastAsia" w:ascii="仿宋_GB2312" w:hAnsi="仿宋_GB2312" w:eastAsia="仿宋_GB2312" w:cs="仿宋_GB2312"/>
          <w:b w:val="0"/>
          <w:bCs w:val="0"/>
          <w:color w:val="000000" w:themeColor="text1"/>
          <w14:textFill>
            <w14:solidFill>
              <w14:schemeClr w14:val="tx1"/>
            </w14:solidFill>
          </w14:textFill>
        </w:rPr>
        <w:t>般公共预算财政拨款基本支出决算表</w:t>
      </w:r>
      <w:bookmarkEnd w:id="94"/>
      <w:bookmarkEnd w:id="95"/>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96" w:name="_Toc15396627"/>
      <w:bookmarkStart w:id="97" w:name="_Toc13267"/>
      <w:r>
        <w:rPr>
          <w:rStyle w:val="26"/>
          <w:rFonts w:hint="eastAsia" w:ascii="仿宋_GB2312" w:hAnsi="仿宋_GB2312" w:eastAsia="仿宋_GB2312" w:cs="仿宋_GB2312"/>
          <w:b w:val="0"/>
          <w:bCs w:val="0"/>
          <w:color w:val="000000" w:themeColor="text1"/>
          <w14:textFill>
            <w14:solidFill>
              <w14:schemeClr w14:val="tx1"/>
            </w14:solidFill>
          </w14:textFill>
        </w:rPr>
        <w:t>九、</w:t>
      </w:r>
      <w:r>
        <w:rPr>
          <w:rFonts w:hint="eastAsia" w:ascii="仿宋_GB2312" w:hAnsi="仿宋_GB2312" w:eastAsia="仿宋_GB2312" w:cs="仿宋_GB2312"/>
          <w:b w:val="0"/>
          <w:color w:val="000000" w:themeColor="text1"/>
          <w14:textFill>
            <w14:solidFill>
              <w14:schemeClr w14:val="tx1"/>
            </w14:solidFill>
          </w14:textFill>
        </w:rPr>
        <w:t>一</w:t>
      </w:r>
      <w:r>
        <w:rPr>
          <w:rStyle w:val="26"/>
          <w:rFonts w:hint="eastAsia" w:ascii="仿宋_GB2312" w:hAnsi="仿宋_GB2312" w:eastAsia="仿宋_GB2312" w:cs="仿宋_GB2312"/>
          <w:b w:val="0"/>
          <w:bCs w:val="0"/>
          <w:color w:val="000000" w:themeColor="text1"/>
          <w14:textFill>
            <w14:solidFill>
              <w14:schemeClr w14:val="tx1"/>
            </w14:solidFill>
          </w14:textFill>
        </w:rPr>
        <w:t>般公共预算财政拨款项目支出决算表</w:t>
      </w:r>
      <w:bookmarkEnd w:id="96"/>
      <w:bookmarkEnd w:id="97"/>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98" w:name="_Toc15396628"/>
      <w:bookmarkStart w:id="99" w:name="_Toc21071"/>
      <w:r>
        <w:rPr>
          <w:rStyle w:val="26"/>
          <w:rFonts w:hint="eastAsia" w:ascii="仿宋_GB2312" w:hAnsi="仿宋_GB2312" w:eastAsia="仿宋_GB2312" w:cs="仿宋_GB2312"/>
          <w:b w:val="0"/>
          <w:bCs w:val="0"/>
          <w:color w:val="000000" w:themeColor="text1"/>
          <w14:textFill>
            <w14:solidFill>
              <w14:schemeClr w14:val="tx1"/>
            </w14:solidFill>
          </w14:textFill>
        </w:rPr>
        <w:t>十、</w:t>
      </w:r>
      <w:bookmarkEnd w:id="98"/>
      <w:r>
        <w:rPr>
          <w:rFonts w:hint="eastAsia" w:ascii="仿宋_GB2312" w:hAnsi="仿宋_GB2312" w:eastAsia="仿宋_GB2312" w:cs="仿宋_GB2312"/>
          <w:b w:val="0"/>
          <w:color w:val="000000" w:themeColor="text1"/>
          <w14:textFill>
            <w14:solidFill>
              <w14:schemeClr w14:val="tx1"/>
            </w14:solidFill>
          </w14:textFill>
        </w:rPr>
        <w:t>政</w:t>
      </w:r>
      <w:r>
        <w:rPr>
          <w:rStyle w:val="26"/>
          <w:rFonts w:hint="eastAsia" w:ascii="仿宋_GB2312" w:hAnsi="仿宋_GB2312" w:eastAsia="仿宋_GB2312" w:cs="仿宋_GB2312"/>
          <w:b w:val="0"/>
          <w:bCs w:val="0"/>
          <w:color w:val="000000" w:themeColor="text1"/>
          <w14:textFill>
            <w14:solidFill>
              <w14:schemeClr w14:val="tx1"/>
            </w14:solidFill>
          </w14:textFill>
        </w:rPr>
        <w:t>府性基金预算财政拨款收入支出决算表</w:t>
      </w:r>
      <w:bookmarkEnd w:id="99"/>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100" w:name="_Toc15396629"/>
      <w:bookmarkStart w:id="101" w:name="_Toc8262"/>
      <w:r>
        <w:rPr>
          <w:rStyle w:val="26"/>
          <w:rFonts w:hint="eastAsia" w:ascii="仿宋_GB2312" w:hAnsi="仿宋_GB2312" w:eastAsia="仿宋_GB2312" w:cs="仿宋_GB2312"/>
          <w:b w:val="0"/>
          <w:bCs w:val="0"/>
          <w:color w:val="000000" w:themeColor="text1"/>
          <w14:textFill>
            <w14:solidFill>
              <w14:schemeClr w14:val="tx1"/>
            </w14:solidFill>
          </w14:textFill>
        </w:rPr>
        <w:t>十一、</w:t>
      </w:r>
      <w:bookmarkEnd w:id="100"/>
      <w:r>
        <w:rPr>
          <w:rFonts w:hint="eastAsia" w:ascii="仿宋_GB2312" w:hAnsi="仿宋_GB2312" w:eastAsia="仿宋_GB2312" w:cs="仿宋_GB2312"/>
          <w:b w:val="0"/>
          <w:color w:val="000000" w:themeColor="text1"/>
          <w14:textFill>
            <w14:solidFill>
              <w14:schemeClr w14:val="tx1"/>
            </w14:solidFill>
          </w14:textFill>
        </w:rPr>
        <w:t>国</w:t>
      </w:r>
      <w:r>
        <w:rPr>
          <w:rStyle w:val="26"/>
          <w:rFonts w:hint="eastAsia" w:ascii="仿宋_GB2312" w:hAnsi="仿宋_GB2312" w:eastAsia="仿宋_GB2312" w:cs="仿宋_GB2312"/>
          <w:b w:val="0"/>
          <w:bCs w:val="0"/>
          <w:color w:val="000000" w:themeColor="text1"/>
          <w14:textFill>
            <w14:solidFill>
              <w14:schemeClr w14:val="tx1"/>
            </w14:solidFill>
          </w14:textFill>
        </w:rPr>
        <w:t>有资本经营预算财政拨款收入支出决算表</w:t>
      </w:r>
      <w:bookmarkEnd w:id="101"/>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102" w:name="_Toc15396630"/>
      <w:bookmarkStart w:id="103" w:name="_Toc7758"/>
      <w:r>
        <w:rPr>
          <w:rStyle w:val="26"/>
          <w:rFonts w:hint="eastAsia" w:ascii="仿宋_GB2312" w:hAnsi="仿宋_GB2312" w:eastAsia="仿宋_GB2312" w:cs="仿宋_GB2312"/>
          <w:b w:val="0"/>
          <w:bCs w:val="0"/>
          <w:color w:val="000000" w:themeColor="text1"/>
          <w14:textFill>
            <w14:solidFill>
              <w14:schemeClr w14:val="tx1"/>
            </w14:solidFill>
          </w14:textFill>
        </w:rPr>
        <w:t>十二、</w:t>
      </w:r>
      <w:bookmarkEnd w:id="102"/>
      <w:r>
        <w:rPr>
          <w:rStyle w:val="26"/>
          <w:rFonts w:hint="eastAsia" w:ascii="仿宋_GB2312" w:hAnsi="仿宋_GB2312" w:eastAsia="仿宋_GB2312" w:cs="仿宋_GB2312"/>
          <w:b w:val="0"/>
          <w:bCs w:val="0"/>
          <w:color w:val="000000" w:themeColor="text1"/>
          <w14:textFill>
            <w14:solidFill>
              <w14:schemeClr w14:val="tx1"/>
            </w14:solidFill>
          </w14:textFill>
        </w:rPr>
        <w:t>国有资本经营预算财政拨款支出决算表</w:t>
      </w:r>
      <w:bookmarkEnd w:id="103"/>
    </w:p>
    <w:p>
      <w:pPr>
        <w:pStyle w:val="4"/>
        <w:keepNext w:val="0"/>
        <w:keepLines w:val="0"/>
        <w:spacing w:before="0" w:after="0" w:line="576" w:lineRule="exact"/>
        <w:ind w:firstLine="640" w:firstLineChars="200"/>
        <w:rPr>
          <w:rFonts w:ascii="仿宋_GB2312" w:hAnsi="仿宋_GB2312" w:eastAsia="仿宋_GB2312" w:cs="仿宋_GB2312"/>
          <w:color w:val="000000" w:themeColor="text1"/>
          <w14:textFill>
            <w14:solidFill>
              <w14:schemeClr w14:val="tx1"/>
            </w14:solidFill>
          </w14:textFill>
        </w:rPr>
      </w:pPr>
      <w:bookmarkStart w:id="104" w:name="_Toc15396631"/>
      <w:bookmarkStart w:id="105" w:name="_Toc32733"/>
      <w:r>
        <w:rPr>
          <w:rStyle w:val="26"/>
          <w:rFonts w:hint="eastAsia" w:ascii="仿宋_GB2312" w:hAnsi="仿宋_GB2312" w:eastAsia="仿宋_GB2312" w:cs="仿宋_GB2312"/>
          <w:b w:val="0"/>
          <w:bCs w:val="0"/>
          <w:color w:val="000000" w:themeColor="text1"/>
          <w14:textFill>
            <w14:solidFill>
              <w14:schemeClr w14:val="tx1"/>
            </w14:solidFill>
          </w14:textFill>
        </w:rPr>
        <w:t>十三、</w:t>
      </w:r>
      <w:bookmarkEnd w:id="104"/>
      <w:r>
        <w:rPr>
          <w:rStyle w:val="26"/>
          <w:rFonts w:hint="eastAsia" w:ascii="仿宋_GB2312" w:hAnsi="仿宋_GB2312" w:eastAsia="仿宋_GB2312" w:cs="仿宋_GB2312"/>
          <w:b w:val="0"/>
          <w:bCs w:val="0"/>
          <w:color w:val="000000" w:themeColor="text1"/>
          <w14:textFill>
            <w14:solidFill>
              <w14:schemeClr w14:val="tx1"/>
            </w14:solidFill>
          </w14:textFill>
        </w:rPr>
        <w:t>财政拨款“三公”经费支出决算表</w:t>
      </w:r>
      <w:bookmarkEnd w:id="105"/>
    </w:p>
    <w:sectPr>
      <w:footerReference r:id="rId7" w:type="default"/>
      <w:pgSz w:w="11906" w:h="16838"/>
      <w:pgMar w:top="2098" w:right="1474" w:bottom="1984" w:left="1587" w:header="851" w:footer="1417" w:gutter="0"/>
      <w:pgNumType w:fmt="decimal" w:start="1"/>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Liberation Sans">
    <w:altName w:val="Arial"/>
    <w:panose1 w:val="00000000000000000000"/>
    <w:charset w:val="01"/>
    <w:family w:val="swiss"/>
    <w:pitch w:val="default"/>
    <w:sig w:usb0="00000000" w:usb1="00000000" w:usb2="00000000" w:usb3="00000000" w:csb0="00040001" w:csb1="00000000"/>
  </w:font>
  <w:font w:name="Noto Sans CJK SC Regular">
    <w:panose1 w:val="020B0500000000000000"/>
    <w:charset w:val="86"/>
    <w:family w:val="auto"/>
    <w:pitch w:val="default"/>
    <w:sig w:usb0="30000003" w:usb1="2BDF3C10" w:usb2="00000016" w:usb3="00000000" w:csb0="602E0107" w:csb1="00000000"/>
  </w:font>
  <w:font w:name="Arial Unicode MS">
    <w:altName w:val="Times New Roman"/>
    <w:panose1 w:val="020B0604020202020204"/>
    <w:charset w:val="86"/>
    <w:family w:val="swiss"/>
    <w:pitch w:val="default"/>
    <w:sig w:usb0="00000000" w:usb1="00000000"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楷体简体">
    <w:altName w:val="楷体_GB2312"/>
    <w:panose1 w:val="02010601030101010101"/>
    <w:charset w:val="86"/>
    <w:family w:val="auto"/>
    <w:pitch w:val="default"/>
    <w:sig w:usb0="00000000" w:usb1="0000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152</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q+O8FQIAABkEAAAOAAAAAAAAAAEAIAAAADUBAABkcnMvZTJvRG9jLnhtbFBLBQYAAAAABgAG&#10;AFkBAAC8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152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w:t>
                    </w:r>
                    <w:r>
                      <w:fldChar w:fldCharType="end"/>
                    </w:r>
                  </w:p>
                </w:txbxContent>
              </v:textbox>
            </v:shape>
          </w:pict>
        </mc:Fallback>
      </mc:AlternateContent>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2621CDC"/>
    <w:multiLevelType w:val="multilevel"/>
    <w:tmpl w:val="62621CDC"/>
    <w:lvl w:ilvl="0" w:tentative="0">
      <w:start w:val="1"/>
      <w:numFmt w:val="decimal"/>
      <w:lvlText w:val="%1."/>
      <w:lvlJc w:val="left"/>
      <w:pPr>
        <w:ind w:left="1152" w:hanging="480"/>
      </w:pPr>
      <w:rPr>
        <w:rFonts w:hint="default"/>
      </w:rPr>
    </w:lvl>
    <w:lvl w:ilvl="1" w:tentative="0">
      <w:start w:val="1"/>
      <w:numFmt w:val="lowerLetter"/>
      <w:lvlText w:val="%2)"/>
      <w:lvlJc w:val="left"/>
      <w:pPr>
        <w:ind w:left="1512" w:hanging="420"/>
      </w:pPr>
    </w:lvl>
    <w:lvl w:ilvl="2" w:tentative="0">
      <w:start w:val="1"/>
      <w:numFmt w:val="lowerRoman"/>
      <w:lvlText w:val="%3."/>
      <w:lvlJc w:val="right"/>
      <w:pPr>
        <w:ind w:left="1932" w:hanging="420"/>
      </w:pPr>
    </w:lvl>
    <w:lvl w:ilvl="3" w:tentative="0">
      <w:start w:val="1"/>
      <w:numFmt w:val="decimal"/>
      <w:lvlText w:val="%4."/>
      <w:lvlJc w:val="left"/>
      <w:pPr>
        <w:ind w:left="2352" w:hanging="420"/>
      </w:pPr>
    </w:lvl>
    <w:lvl w:ilvl="4" w:tentative="0">
      <w:start w:val="1"/>
      <w:numFmt w:val="lowerLetter"/>
      <w:lvlText w:val="%5)"/>
      <w:lvlJc w:val="left"/>
      <w:pPr>
        <w:ind w:left="2772" w:hanging="420"/>
      </w:pPr>
    </w:lvl>
    <w:lvl w:ilvl="5" w:tentative="0">
      <w:start w:val="1"/>
      <w:numFmt w:val="lowerRoman"/>
      <w:lvlText w:val="%6."/>
      <w:lvlJc w:val="right"/>
      <w:pPr>
        <w:ind w:left="3192" w:hanging="420"/>
      </w:pPr>
    </w:lvl>
    <w:lvl w:ilvl="6" w:tentative="0">
      <w:start w:val="1"/>
      <w:numFmt w:val="decimal"/>
      <w:lvlText w:val="%7."/>
      <w:lvlJc w:val="left"/>
      <w:pPr>
        <w:ind w:left="3612" w:hanging="420"/>
      </w:pPr>
    </w:lvl>
    <w:lvl w:ilvl="7" w:tentative="0">
      <w:start w:val="1"/>
      <w:numFmt w:val="lowerLetter"/>
      <w:lvlText w:val="%8)"/>
      <w:lvlJc w:val="left"/>
      <w:pPr>
        <w:ind w:left="4032" w:hanging="420"/>
      </w:pPr>
    </w:lvl>
    <w:lvl w:ilvl="8" w:tentative="0">
      <w:start w:val="1"/>
      <w:numFmt w:val="lowerRoman"/>
      <w:lvlText w:val="%9."/>
      <w:lvlJc w:val="right"/>
      <w:pPr>
        <w:ind w:left="4452"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hideSpellingErrors/>
  <w:documentProtection w:enforcement="0"/>
  <w:defaultTabStop w:val="420"/>
  <w:drawingGridHorizontalSpacing w:val="105"/>
  <w:drawingGridVerticalSpacing w:val="159"/>
  <w:displayVerticalDrawingGridEvery w:val="2"/>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2B81"/>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56181"/>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2AF9"/>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41569"/>
    <w:rsid w:val="00D51276"/>
    <w:rsid w:val="00D7035F"/>
    <w:rsid w:val="00D97E43"/>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0105B3"/>
    <w:rsid w:val="015975B8"/>
    <w:rsid w:val="02143E91"/>
    <w:rsid w:val="066E0107"/>
    <w:rsid w:val="07996F6E"/>
    <w:rsid w:val="09D73678"/>
    <w:rsid w:val="0A2032A3"/>
    <w:rsid w:val="0A8C0C42"/>
    <w:rsid w:val="0C841217"/>
    <w:rsid w:val="0D376F80"/>
    <w:rsid w:val="0EF56552"/>
    <w:rsid w:val="0F98263C"/>
    <w:rsid w:val="0FF938D1"/>
    <w:rsid w:val="101860EC"/>
    <w:rsid w:val="108F5D13"/>
    <w:rsid w:val="10C055FF"/>
    <w:rsid w:val="118107EC"/>
    <w:rsid w:val="12274B45"/>
    <w:rsid w:val="127A0B46"/>
    <w:rsid w:val="13066EC4"/>
    <w:rsid w:val="137B0AA6"/>
    <w:rsid w:val="138C2CC1"/>
    <w:rsid w:val="13D50BC4"/>
    <w:rsid w:val="1448764C"/>
    <w:rsid w:val="14532F0C"/>
    <w:rsid w:val="15046C6E"/>
    <w:rsid w:val="16BB723D"/>
    <w:rsid w:val="1AD71B4C"/>
    <w:rsid w:val="1ADE13F6"/>
    <w:rsid w:val="1BE8440E"/>
    <w:rsid w:val="1BEB0537"/>
    <w:rsid w:val="1D155CEE"/>
    <w:rsid w:val="1DFE1FA0"/>
    <w:rsid w:val="1EC361A4"/>
    <w:rsid w:val="1FF35744"/>
    <w:rsid w:val="21CC5486"/>
    <w:rsid w:val="22307384"/>
    <w:rsid w:val="23860B96"/>
    <w:rsid w:val="240371BF"/>
    <w:rsid w:val="240E5CC6"/>
    <w:rsid w:val="2538775C"/>
    <w:rsid w:val="26C26CF7"/>
    <w:rsid w:val="28397CDC"/>
    <w:rsid w:val="29813F30"/>
    <w:rsid w:val="29FD04D3"/>
    <w:rsid w:val="2A1262DA"/>
    <w:rsid w:val="2C8A61B5"/>
    <w:rsid w:val="2DF04E50"/>
    <w:rsid w:val="2E5A3799"/>
    <w:rsid w:val="2ECB74BA"/>
    <w:rsid w:val="2F040D46"/>
    <w:rsid w:val="2FE30054"/>
    <w:rsid w:val="306D4B10"/>
    <w:rsid w:val="319F7F4E"/>
    <w:rsid w:val="31A54284"/>
    <w:rsid w:val="323D70D2"/>
    <w:rsid w:val="325D030E"/>
    <w:rsid w:val="32A9493D"/>
    <w:rsid w:val="3304709D"/>
    <w:rsid w:val="330B1E75"/>
    <w:rsid w:val="33A66308"/>
    <w:rsid w:val="34B777B3"/>
    <w:rsid w:val="34EC77A1"/>
    <w:rsid w:val="35375618"/>
    <w:rsid w:val="36AA5135"/>
    <w:rsid w:val="37306987"/>
    <w:rsid w:val="376D39B2"/>
    <w:rsid w:val="37E16F03"/>
    <w:rsid w:val="37FF41CE"/>
    <w:rsid w:val="38D469F0"/>
    <w:rsid w:val="39FF76E6"/>
    <w:rsid w:val="3A265085"/>
    <w:rsid w:val="3A9B4763"/>
    <w:rsid w:val="3D98207C"/>
    <w:rsid w:val="3E78745D"/>
    <w:rsid w:val="3F82710F"/>
    <w:rsid w:val="43BC62B5"/>
    <w:rsid w:val="44E268DA"/>
    <w:rsid w:val="4583699D"/>
    <w:rsid w:val="45B2087F"/>
    <w:rsid w:val="467B618C"/>
    <w:rsid w:val="488D7D82"/>
    <w:rsid w:val="4A627F82"/>
    <w:rsid w:val="4ABE2AF3"/>
    <w:rsid w:val="4B0E749A"/>
    <w:rsid w:val="4B4F25DA"/>
    <w:rsid w:val="4BE068DB"/>
    <w:rsid w:val="4C351649"/>
    <w:rsid w:val="4D577224"/>
    <w:rsid w:val="4DA07F9C"/>
    <w:rsid w:val="4EAB630A"/>
    <w:rsid w:val="4ECE2238"/>
    <w:rsid w:val="4EEA6C06"/>
    <w:rsid w:val="4F992E4A"/>
    <w:rsid w:val="527A4985"/>
    <w:rsid w:val="52885D6E"/>
    <w:rsid w:val="537E6D0A"/>
    <w:rsid w:val="539B0015"/>
    <w:rsid w:val="54EB51E8"/>
    <w:rsid w:val="576956F6"/>
    <w:rsid w:val="58AC0BF6"/>
    <w:rsid w:val="58EE582A"/>
    <w:rsid w:val="59096793"/>
    <w:rsid w:val="5AF92295"/>
    <w:rsid w:val="5BA466A3"/>
    <w:rsid w:val="5C3A23F1"/>
    <w:rsid w:val="5CD71FC4"/>
    <w:rsid w:val="5CF175E5"/>
    <w:rsid w:val="5DB37829"/>
    <w:rsid w:val="5E3BD9D7"/>
    <w:rsid w:val="5E7B17AF"/>
    <w:rsid w:val="5EF03B48"/>
    <w:rsid w:val="5FFE692D"/>
    <w:rsid w:val="610832EF"/>
    <w:rsid w:val="63487723"/>
    <w:rsid w:val="666E37D5"/>
    <w:rsid w:val="6697005E"/>
    <w:rsid w:val="679A2115"/>
    <w:rsid w:val="67C61CAF"/>
    <w:rsid w:val="687A1573"/>
    <w:rsid w:val="68EF365D"/>
    <w:rsid w:val="6AD434B1"/>
    <w:rsid w:val="6ADF69B9"/>
    <w:rsid w:val="6B6E6959"/>
    <w:rsid w:val="6BBF87A5"/>
    <w:rsid w:val="6C4A05C8"/>
    <w:rsid w:val="6CC80F39"/>
    <w:rsid w:val="6E5E34F1"/>
    <w:rsid w:val="6E7E3605"/>
    <w:rsid w:val="6E8864BA"/>
    <w:rsid w:val="6FF5CC65"/>
    <w:rsid w:val="6FFF5162"/>
    <w:rsid w:val="71302AFD"/>
    <w:rsid w:val="715C0E4B"/>
    <w:rsid w:val="72734D90"/>
    <w:rsid w:val="72C232B3"/>
    <w:rsid w:val="72CFEC3E"/>
    <w:rsid w:val="733DFF5E"/>
    <w:rsid w:val="73AD73D5"/>
    <w:rsid w:val="73B6EB34"/>
    <w:rsid w:val="744731E5"/>
    <w:rsid w:val="767E397C"/>
    <w:rsid w:val="76B822CB"/>
    <w:rsid w:val="76E3355F"/>
    <w:rsid w:val="778769C8"/>
    <w:rsid w:val="792E27DA"/>
    <w:rsid w:val="79EE5BA4"/>
    <w:rsid w:val="7A894339"/>
    <w:rsid w:val="7AFC3BC9"/>
    <w:rsid w:val="7BAFB79F"/>
    <w:rsid w:val="7BEB053E"/>
    <w:rsid w:val="7BFE6AF1"/>
    <w:rsid w:val="7CD750DF"/>
    <w:rsid w:val="7D0211AE"/>
    <w:rsid w:val="7DBC785F"/>
    <w:rsid w:val="7E52017D"/>
    <w:rsid w:val="7EBD0EA6"/>
    <w:rsid w:val="7EDE4CA2"/>
    <w:rsid w:val="7EEF11D3"/>
    <w:rsid w:val="7F2B555A"/>
    <w:rsid w:val="7FA30C79"/>
    <w:rsid w:val="7FB7269E"/>
    <w:rsid w:val="7FC96657"/>
    <w:rsid w:val="7FD3250E"/>
    <w:rsid w:val="B4CFAE34"/>
    <w:rsid w:val="B7E51D1A"/>
    <w:rsid w:val="D8D6DB89"/>
    <w:rsid w:val="DB6F4CAB"/>
    <w:rsid w:val="DDEF9212"/>
    <w:rsid w:val="DF6F9789"/>
    <w:rsid w:val="E87FDFFA"/>
    <w:rsid w:val="EB2DB28E"/>
    <w:rsid w:val="F3CF1C9A"/>
    <w:rsid w:val="FE3A5065"/>
    <w:rsid w:val="FE7DB59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7"/>
    <w:unhideWhenUsed/>
    <w:qFormat/>
    <w:uiPriority w:val="9"/>
    <w:pPr>
      <w:keepNext/>
      <w:keepLines/>
      <w:spacing w:before="260" w:after="260" w:line="416" w:lineRule="auto"/>
      <w:outlineLvl w:val="2"/>
    </w:pPr>
    <w:rPr>
      <w:b/>
      <w:bCs/>
      <w:sz w:val="32"/>
      <w:szCs w:val="3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5"/>
    <w:qFormat/>
    <w:uiPriority w:val="99"/>
    <w:pPr>
      <w:spacing w:beforeLines="30"/>
    </w:pPr>
    <w:rPr>
      <w:rFonts w:ascii="仿宋_GB2312" w:eastAsia="仿宋_GB2312"/>
      <w:kern w:val="0"/>
      <w:sz w:val="30"/>
    </w:rPr>
  </w:style>
  <w:style w:type="paragraph" w:styleId="6">
    <w:name w:val="annotation text"/>
    <w:basedOn w:val="1"/>
    <w:qFormat/>
    <w:uiPriority w:val="0"/>
    <w:pPr>
      <w:jc w:val="left"/>
    </w:pPr>
    <w:rPr>
      <w:rFonts w:ascii="Calibri" w:hAnsi="Calibri" w:cs="Calibri"/>
      <w:szCs w:val="21"/>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Plain Text"/>
    <w:next w:val="1"/>
    <w:qFormat/>
    <w:uiPriority w:val="0"/>
    <w:pPr>
      <w:widowControl w:val="0"/>
      <w:suppressAutoHyphens/>
      <w:jc w:val="both"/>
    </w:pPr>
    <w:rPr>
      <w:rFonts w:ascii="宋体" w:hAnsi="Times New Roman" w:eastAsia="宋体" w:cs="Courier New"/>
      <w:kern w:val="2"/>
      <w:sz w:val="21"/>
      <w:szCs w:val="21"/>
      <w:lang w:val="en-US" w:eastAsia="zh-CN" w:bidi="ar-SA"/>
    </w:rPr>
  </w:style>
  <w:style w:type="paragraph" w:styleId="10">
    <w:name w:val="Body Text Indent 2"/>
    <w:basedOn w:val="1"/>
    <w:qFormat/>
    <w:uiPriority w:val="99"/>
    <w:pPr>
      <w:spacing w:after="120" w:line="480" w:lineRule="auto"/>
      <w:ind w:left="420"/>
    </w:pPr>
  </w:style>
  <w:style w:type="paragraph" w:styleId="11">
    <w:name w:val="Balloon Text"/>
    <w:basedOn w:val="1"/>
    <w:link w:val="39"/>
    <w:semiHidden/>
    <w:unhideWhenUsed/>
    <w:qFormat/>
    <w:uiPriority w:val="99"/>
    <w:rPr>
      <w:sz w:val="18"/>
      <w:szCs w:val="18"/>
    </w:rPr>
  </w:style>
  <w:style w:type="paragraph" w:styleId="12">
    <w:name w:val="footer"/>
    <w:basedOn w:val="1"/>
    <w:next w:val="13"/>
    <w:link w:val="33"/>
    <w:qFormat/>
    <w:uiPriority w:val="99"/>
    <w:pPr>
      <w:tabs>
        <w:tab w:val="center" w:pos="4153"/>
        <w:tab w:val="right" w:pos="8306"/>
      </w:tabs>
      <w:snapToGrid w:val="0"/>
      <w:jc w:val="left"/>
    </w:pPr>
    <w:rPr>
      <w:rFonts w:ascii="Calibri" w:hAnsi="Calibri"/>
      <w:kern w:val="0"/>
      <w:sz w:val="18"/>
      <w:szCs w:val="18"/>
    </w:rPr>
  </w:style>
  <w:style w:type="paragraph" w:styleId="13">
    <w:name w:val="Normal (Web)"/>
    <w:basedOn w:val="1"/>
    <w:next w:val="12"/>
    <w:unhideWhenUsed/>
    <w:qFormat/>
    <w:uiPriority w:val="0"/>
    <w:pPr>
      <w:widowControl/>
      <w:spacing w:before="100" w:beforeAutospacing="1" w:after="100" w:afterAutospacing="1"/>
      <w:jc w:val="left"/>
    </w:pPr>
    <w:rPr>
      <w:rFonts w:ascii="宋体" w:hAnsi="宋体" w:cs="宋体"/>
      <w:kern w:val="0"/>
      <w:sz w:val="24"/>
    </w:rPr>
  </w:style>
  <w:style w:type="paragraph" w:styleId="14">
    <w:name w:val="header"/>
    <w:basedOn w:val="1"/>
    <w:link w:val="3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5">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6">
    <w:name w:val="table of figures"/>
    <w:basedOn w:val="1"/>
    <w:next w:val="1"/>
    <w:qFormat/>
    <w:uiPriority w:val="0"/>
    <w:pPr>
      <w:ind w:left="400" w:leftChars="200" w:hanging="200" w:hangingChars="200"/>
    </w:pPr>
    <w:rPr>
      <w:rFonts w:ascii="Calibri" w:hAnsi="Calibri" w:cs="Calibri"/>
      <w:szCs w:val="21"/>
    </w:rPr>
  </w:style>
  <w:style w:type="paragraph" w:styleId="17">
    <w:name w:val="toc 2"/>
    <w:basedOn w:val="1"/>
    <w:next w:val="1"/>
    <w:unhideWhenUsed/>
    <w:qFormat/>
    <w:uiPriority w:val="39"/>
    <w:pPr>
      <w:tabs>
        <w:tab w:val="right" w:leader="dot" w:pos="8296"/>
      </w:tabs>
      <w:ind w:left="420" w:leftChars="200"/>
    </w:pPr>
  </w:style>
  <w:style w:type="paragraph" w:styleId="18">
    <w:name w:val="annotation subject"/>
    <w:basedOn w:val="6"/>
    <w:next w:val="6"/>
    <w:qFormat/>
    <w:uiPriority w:val="0"/>
    <w:rPr>
      <w:b/>
      <w:bCs/>
    </w:rPr>
  </w:style>
  <w:style w:type="paragraph" w:styleId="19">
    <w:name w:val="Body Text First Indent 2"/>
    <w:basedOn w:val="7"/>
    <w:next w:val="7"/>
    <w:unhideWhenUsed/>
    <w:qFormat/>
    <w:uiPriority w:val="99"/>
    <w:pPr>
      <w:ind w:firstLine="420" w:firstLineChars="200"/>
    </w:pPr>
  </w:style>
  <w:style w:type="character" w:styleId="22">
    <w:name w:val="Strong"/>
    <w:basedOn w:val="21"/>
    <w:qFormat/>
    <w:uiPriority w:val="99"/>
    <w:rPr>
      <w:b/>
    </w:rPr>
  </w:style>
  <w:style w:type="character" w:styleId="23">
    <w:name w:val="page number"/>
    <w:basedOn w:val="21"/>
    <w:qFormat/>
    <w:uiPriority w:val="99"/>
  </w:style>
  <w:style w:type="character" w:styleId="24">
    <w:name w:val="Hyperlink"/>
    <w:basedOn w:val="21"/>
    <w:unhideWhenUsed/>
    <w:qFormat/>
    <w:uiPriority w:val="99"/>
    <w:rPr>
      <w:color w:val="0000FF" w:themeColor="hyperlink"/>
      <w:u w:val="single"/>
      <w14:textFill>
        <w14:solidFill>
          <w14:schemeClr w14:val="hlink"/>
        </w14:solidFill>
      </w14:textFill>
    </w:rPr>
  </w:style>
  <w:style w:type="character" w:customStyle="1" w:styleId="25">
    <w:name w:val="标题 1 Char"/>
    <w:basedOn w:val="21"/>
    <w:link w:val="3"/>
    <w:qFormat/>
    <w:uiPriority w:val="9"/>
    <w:rPr>
      <w:rFonts w:ascii="Times New Roman" w:hAnsi="Times New Roman"/>
      <w:b/>
      <w:bCs/>
      <w:kern w:val="44"/>
      <w:sz w:val="44"/>
      <w:szCs w:val="44"/>
    </w:rPr>
  </w:style>
  <w:style w:type="character" w:customStyle="1" w:styleId="26">
    <w:name w:val="标题 2 Char"/>
    <w:basedOn w:val="21"/>
    <w:link w:val="4"/>
    <w:qFormat/>
    <w:uiPriority w:val="9"/>
    <w:rPr>
      <w:rFonts w:asciiTheme="majorHAnsi" w:hAnsiTheme="majorHAnsi" w:eastAsiaTheme="majorEastAsia" w:cstheme="majorBidi"/>
      <w:b/>
      <w:bCs/>
      <w:kern w:val="2"/>
      <w:sz w:val="32"/>
      <w:szCs w:val="32"/>
    </w:rPr>
  </w:style>
  <w:style w:type="character" w:customStyle="1" w:styleId="27">
    <w:name w:val="标题 3 Char"/>
    <w:basedOn w:val="21"/>
    <w:link w:val="5"/>
    <w:qFormat/>
    <w:uiPriority w:val="9"/>
    <w:rPr>
      <w:rFonts w:ascii="Times New Roman" w:hAnsi="Times New Roman"/>
      <w:b/>
      <w:bCs/>
      <w:kern w:val="2"/>
      <w:sz w:val="32"/>
      <w:szCs w:val="32"/>
    </w:rPr>
  </w:style>
  <w:style w:type="paragraph" w:customStyle="1" w:styleId="28">
    <w:name w:val="BodyTextIndent2"/>
    <w:basedOn w:val="1"/>
    <w:qFormat/>
    <w:uiPriority w:val="0"/>
    <w:pPr>
      <w:spacing w:after="120" w:line="480" w:lineRule="auto"/>
      <w:ind w:left="420"/>
      <w:textAlignment w:val="baseline"/>
    </w:pPr>
  </w:style>
  <w:style w:type="paragraph" w:customStyle="1" w:styleId="2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30">
    <w:name w:val="Header Char"/>
    <w:basedOn w:val="21"/>
    <w:semiHidden/>
    <w:qFormat/>
    <w:uiPriority w:val="99"/>
    <w:rPr>
      <w:rFonts w:ascii="Times New Roman" w:hAnsi="Times New Roman"/>
      <w:sz w:val="18"/>
      <w:szCs w:val="18"/>
    </w:rPr>
  </w:style>
  <w:style w:type="character" w:customStyle="1" w:styleId="31">
    <w:name w:val="页眉 Char"/>
    <w:link w:val="14"/>
    <w:semiHidden/>
    <w:qFormat/>
    <w:locked/>
    <w:uiPriority w:val="99"/>
    <w:rPr>
      <w:sz w:val="18"/>
    </w:rPr>
  </w:style>
  <w:style w:type="character" w:customStyle="1" w:styleId="32">
    <w:name w:val="Footer Char"/>
    <w:basedOn w:val="21"/>
    <w:semiHidden/>
    <w:qFormat/>
    <w:uiPriority w:val="99"/>
    <w:rPr>
      <w:rFonts w:ascii="Times New Roman" w:hAnsi="Times New Roman"/>
      <w:sz w:val="18"/>
      <w:szCs w:val="18"/>
    </w:rPr>
  </w:style>
  <w:style w:type="character" w:customStyle="1" w:styleId="33">
    <w:name w:val="页脚 Char"/>
    <w:link w:val="12"/>
    <w:qFormat/>
    <w:locked/>
    <w:uiPriority w:val="99"/>
    <w:rPr>
      <w:sz w:val="18"/>
    </w:rPr>
  </w:style>
  <w:style w:type="character" w:customStyle="1" w:styleId="34">
    <w:name w:val="Body Text Char"/>
    <w:basedOn w:val="21"/>
    <w:semiHidden/>
    <w:qFormat/>
    <w:uiPriority w:val="99"/>
    <w:rPr>
      <w:rFonts w:ascii="Times New Roman" w:hAnsi="Times New Roman"/>
      <w:szCs w:val="24"/>
    </w:rPr>
  </w:style>
  <w:style w:type="character" w:customStyle="1" w:styleId="35">
    <w:name w:val="正文文本 Char"/>
    <w:link w:val="2"/>
    <w:qFormat/>
    <w:locked/>
    <w:uiPriority w:val="99"/>
    <w:rPr>
      <w:rFonts w:ascii="仿宋_GB2312" w:hAnsi="Times New Roman" w:eastAsia="仿宋_GB2312"/>
      <w:sz w:val="24"/>
    </w:rPr>
  </w:style>
  <w:style w:type="paragraph" w:customStyle="1" w:styleId="3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7">
    <w:name w:val="List Paragraph"/>
    <w:basedOn w:val="1"/>
    <w:qFormat/>
    <w:uiPriority w:val="34"/>
    <w:pPr>
      <w:ind w:firstLine="420" w:firstLineChars="200"/>
    </w:pPr>
  </w:style>
  <w:style w:type="paragraph" w:customStyle="1" w:styleId="3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9">
    <w:name w:val="批注框文本 Char"/>
    <w:basedOn w:val="21"/>
    <w:link w:val="11"/>
    <w:semiHidden/>
    <w:qFormat/>
    <w:uiPriority w:val="99"/>
    <w:rPr>
      <w:rFonts w:ascii="Times New Roman" w:hAnsi="Times New Roman"/>
      <w:kern w:val="2"/>
      <w:sz w:val="18"/>
      <w:szCs w:val="18"/>
    </w:rPr>
  </w:style>
  <w:style w:type="paragraph" w:customStyle="1" w:styleId="40">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41">
    <w:name w:val="四号正文"/>
    <w:basedOn w:val="1"/>
    <w:qFormat/>
    <w:uiPriority w:val="0"/>
    <w:pPr>
      <w:spacing w:line="360" w:lineRule="auto"/>
    </w:pPr>
    <w:rPr>
      <w:rFonts w:ascii="??" w:hAnsi="??"/>
      <w:color w:val="000000"/>
      <w:kern w:val="0"/>
      <w:sz w:val="28"/>
      <w:szCs w:val="21"/>
      <w:lang w:val="zh-CN"/>
    </w:rPr>
  </w:style>
  <w:style w:type="character" w:customStyle="1" w:styleId="42">
    <w:name w:val="NormalCharacter"/>
    <w:qFormat/>
    <w:uiPriority w:val="0"/>
    <w:rPr>
      <w:kern w:val="2"/>
      <w:sz w:val="21"/>
      <w:szCs w:val="24"/>
      <w:lang w:val="en-US" w:eastAsia="zh-CN" w:bidi="ar-SA"/>
    </w:rPr>
  </w:style>
  <w:style w:type="paragraph" w:customStyle="1" w:styleId="43">
    <w:name w:val="样式 行距: 固定值 28.9 磅"/>
    <w:basedOn w:val="1"/>
    <w:next w:val="44"/>
    <w:qFormat/>
    <w:uiPriority w:val="0"/>
    <w:pPr>
      <w:spacing w:line="578" w:lineRule="exact"/>
    </w:pPr>
    <w:rPr>
      <w:rFonts w:cs="宋体"/>
      <w:szCs w:val="20"/>
    </w:rPr>
  </w:style>
  <w:style w:type="paragraph" w:customStyle="1" w:styleId="44">
    <w:name w:val="Heading"/>
    <w:basedOn w:val="1"/>
    <w:next w:val="2"/>
    <w:qFormat/>
    <w:uiPriority w:val="0"/>
    <w:pPr>
      <w:keepNext/>
      <w:suppressAutoHyphens/>
      <w:spacing w:before="240" w:after="120"/>
    </w:pPr>
    <w:rPr>
      <w:rFonts w:ascii="Liberation Sans" w:hAnsi="Liberation Sans" w:eastAsia="Noto Sans CJK SC Regular" w:cs="Noto Sans CJK SC Regular"/>
      <w:sz w:val="28"/>
      <w:szCs w:val="28"/>
    </w:rPr>
  </w:style>
  <w:style w:type="character" w:customStyle="1" w:styleId="45">
    <w:name w:val="font61"/>
    <w:basedOn w:val="21"/>
    <w:qFormat/>
    <w:uiPriority w:val="0"/>
    <w:rPr>
      <w:rFonts w:hint="eastAsia" w:ascii="宋体" w:hAnsi="宋体" w:eastAsia="宋体" w:cs="宋体"/>
      <w:color w:val="000000"/>
      <w:sz w:val="18"/>
      <w:szCs w:val="18"/>
      <w:u w:val="none"/>
    </w:rPr>
  </w:style>
  <w:style w:type="character" w:customStyle="1" w:styleId="46">
    <w:name w:val="font51"/>
    <w:basedOn w:val="21"/>
    <w:qFormat/>
    <w:uiPriority w:val="0"/>
    <w:rPr>
      <w:rFonts w:hint="eastAsia" w:ascii="宋体" w:hAnsi="宋体" w:eastAsia="宋体" w:cs="宋体"/>
      <w:color w:val="000000"/>
      <w:sz w:val="18"/>
      <w:szCs w:val="18"/>
      <w:u w:val="none"/>
    </w:rPr>
  </w:style>
  <w:style w:type="character" w:customStyle="1" w:styleId="47">
    <w:name w:val="font71"/>
    <w:basedOn w:val="21"/>
    <w:qFormat/>
    <w:uiPriority w:val="0"/>
    <w:rPr>
      <w:rFonts w:hint="eastAsia" w:ascii="宋体" w:hAnsi="宋体" w:eastAsia="宋体" w:cs="宋体"/>
      <w:color w:val="000000"/>
      <w:sz w:val="18"/>
      <w:szCs w:val="18"/>
      <w:u w:val="none"/>
    </w:rPr>
  </w:style>
  <w:style w:type="paragraph" w:customStyle="1" w:styleId="48">
    <w:name w:val="Char"/>
    <w:basedOn w:val="1"/>
    <w:qFormat/>
    <w:uiPriority w:val="99"/>
    <w:pPr>
      <w:widowControl/>
      <w:spacing w:after="160" w:line="240" w:lineRule="exact"/>
      <w:jc w:val="left"/>
    </w:pPr>
  </w:style>
  <w:style w:type="character" w:customStyle="1" w:styleId="49">
    <w:name w:val="font11"/>
    <w:basedOn w:val="21"/>
    <w:qFormat/>
    <w:uiPriority w:val="0"/>
    <w:rPr>
      <w:rFonts w:hint="eastAsia" w:ascii="宋体" w:hAnsi="宋体" w:eastAsia="宋体" w:cs="宋体"/>
      <w:b/>
      <w:bCs/>
      <w:color w:val="000000"/>
      <w:sz w:val="32"/>
      <w:szCs w:val="32"/>
      <w:u w:val="none"/>
    </w:rPr>
  </w:style>
  <w:style w:type="character" w:customStyle="1" w:styleId="50">
    <w:name w:val="font21"/>
    <w:basedOn w:val="21"/>
    <w:qFormat/>
    <w:uiPriority w:val="0"/>
    <w:rPr>
      <w:rFonts w:hint="eastAsia" w:ascii="宋体" w:hAnsi="宋体" w:eastAsia="宋体" w:cs="宋体"/>
      <w:color w:val="000000"/>
      <w:sz w:val="20"/>
      <w:szCs w:val="20"/>
      <w:u w:val="none"/>
    </w:rPr>
  </w:style>
  <w:style w:type="paragraph" w:customStyle="1" w:styleId="51">
    <w:name w:val="正文 A"/>
    <w:qFormat/>
    <w:uiPriority w:val="0"/>
    <w:pPr>
      <w:framePr w:wrap="around" w:vAnchor="margin" w:hAnchor="text" w:y="1"/>
      <w:widowControl w:val="0"/>
      <w:jc w:val="both"/>
    </w:pPr>
    <w:rPr>
      <w:rFonts w:ascii="Times New Roman" w:hAnsi="Times New Roman" w:eastAsia="宋体" w:cs="Arial Unicode MS"/>
      <w:color w:val="000000"/>
      <w:kern w:val="2"/>
      <w:sz w:val="21"/>
      <w:szCs w:val="21"/>
      <w:u w:color="000000"/>
      <w:lang w:val="en-US" w:eastAsia="zh-CN" w:bidi="ar-SA"/>
    </w:rPr>
  </w:style>
  <w:style w:type="character" w:customStyle="1" w:styleId="52">
    <w:name w:val="font81"/>
    <w:basedOn w:val="21"/>
    <w:qFormat/>
    <w:uiPriority w:val="0"/>
    <w:rPr>
      <w:rFonts w:hint="eastAsia" w:ascii="方正小标宋简体" w:hAnsi="方正小标宋简体" w:eastAsia="方正小标宋简体" w:cs="方正小标宋简体"/>
      <w:color w:val="000000"/>
      <w:sz w:val="32"/>
      <w:szCs w:val="32"/>
      <w:u w:val="none"/>
    </w:rPr>
  </w:style>
  <w:style w:type="character" w:customStyle="1" w:styleId="53">
    <w:name w:val="font01"/>
    <w:basedOn w:val="21"/>
    <w:qFormat/>
    <w:uiPriority w:val="0"/>
    <w:rPr>
      <w:rFonts w:hint="eastAsia" w:ascii="宋体" w:hAnsi="宋体" w:eastAsia="宋体" w:cs="宋体"/>
      <w:color w:val="000000"/>
      <w:sz w:val="22"/>
      <w:szCs w:val="22"/>
      <w:u w:val="none"/>
    </w:rPr>
  </w:style>
  <w:style w:type="character" w:customStyle="1" w:styleId="54">
    <w:name w:val="font91"/>
    <w:basedOn w:val="21"/>
    <w:qFormat/>
    <w:uiPriority w:val="0"/>
    <w:rPr>
      <w:rFonts w:ascii="Arial" w:hAnsi="Arial" w:cs="Arial"/>
      <w:color w:val="000000"/>
      <w:sz w:val="20"/>
      <w:szCs w:val="20"/>
      <w:u w:val="none"/>
    </w:rPr>
  </w:style>
  <w:style w:type="character" w:customStyle="1" w:styleId="55">
    <w:name w:val="font171"/>
    <w:basedOn w:val="21"/>
    <w:qFormat/>
    <w:uiPriority w:val="0"/>
    <w:rPr>
      <w:rFonts w:hint="eastAsia" w:ascii="宋体" w:hAnsi="宋体" w:eastAsia="宋体" w:cs="宋体"/>
      <w:color w:val="000000"/>
      <w:sz w:val="20"/>
      <w:szCs w:val="20"/>
      <w:u w:val="none"/>
    </w:rPr>
  </w:style>
  <w:style w:type="character" w:customStyle="1" w:styleId="56">
    <w:name w:val="font181"/>
    <w:basedOn w:val="21"/>
    <w:qFormat/>
    <w:uiPriority w:val="0"/>
    <w:rPr>
      <w:rFonts w:hint="eastAsia" w:ascii="宋体" w:hAnsi="宋体" w:eastAsia="宋体" w:cs="宋体"/>
      <w:color w:val="000000"/>
      <w:sz w:val="20"/>
      <w:szCs w:val="20"/>
      <w:u w:val="none"/>
    </w:rPr>
  </w:style>
  <w:style w:type="paragraph" w:customStyle="1" w:styleId="57">
    <w:name w:val="WPSOffice手动目录 1"/>
    <w:qFormat/>
    <w:uiPriority w:val="0"/>
    <w:pPr>
      <w:ind w:leftChars="0"/>
    </w:pPr>
    <w:rPr>
      <w:rFonts w:ascii="Times New Roman" w:hAnsi="Times New Roman" w:eastAsia="宋体" w:cs="Times New Roman"/>
      <w:sz w:val="20"/>
      <w:szCs w:val="20"/>
    </w:rPr>
  </w:style>
  <w:style w:type="paragraph" w:customStyle="1" w:styleId="5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05036524413687"/>
          <c:y val="0.106910039113429"/>
          <c:w val="0.891118800461361"/>
          <c:h val="0.816531942633638"/>
        </c:manualLayout>
      </c:layout>
      <c:barChart>
        <c:barDir val="col"/>
        <c:grouping val="stacked"/>
        <c:varyColors val="false"/>
        <c:ser>
          <c:idx val="0"/>
          <c:order val="0"/>
          <c:tx>
            <c:strRef>
              <c:f>Sheet1!$B$1</c:f>
              <c:strCache>
                <c:ptCount val="1"/>
                <c:pt idx="0">
                  <c:v>收、支决算总计</c:v>
                </c:pt>
              </c:strCache>
            </c:strRef>
          </c:tx>
          <c:spPr>
            <a:solidFill>
              <a:schemeClr val="accent1"/>
            </a:solidFill>
            <a:ln>
              <a:noFill/>
            </a:ln>
            <a:effectLst/>
          </c:spPr>
          <c:invertIfNegative val="false"/>
          <c:dLbls>
            <c:dLbl>
              <c:idx val="0"/>
              <c:layout>
                <c:manualLayout>
                  <c:x val="0.451493015506856"/>
                  <c:y val="-0.50586701434159"/>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a:t>2499.57</a:t>
                    </a:r>
                    <a:r>
                      <a:rPr lang="zh-CN" altLang="en-US"/>
                      <a:t>万元</a:t>
                    </a:r>
                    <a:endParaRPr lang="zh-CN" altLang="en-US"/>
                  </a:p>
                </c:rich>
              </c:tx>
              <c:dLblPos val="ctr"/>
              <c:showLegendKey val="false"/>
              <c:showVal val="true"/>
              <c:showCatName val="false"/>
              <c:showSerName val="false"/>
              <c:showPercent val="false"/>
              <c:showBubbleSize val="false"/>
              <c:extLst>
                <c:ext xmlns:c15="http://schemas.microsoft.com/office/drawing/2012/chart" uri="{CE6537A1-D6FC-4f65-9D91-7224C49458BB}">
                  <c15:layout>
                    <c:manualLayout>
                      <c:w val="0.142765602973215"/>
                      <c:h val="0.13142112125163"/>
                    </c:manualLayout>
                  </c15:layout>
                </c:ext>
              </c:extLst>
            </c:dLbl>
            <c:dLbl>
              <c:idx val="1"/>
              <c:layout>
                <c:manualLayout>
                  <c:x val="-0.447135717031911"/>
                  <c:y val="-0.211734028683181"/>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a:t>1714.33</a:t>
                    </a:r>
                    <a:r>
                      <a:rPr lang="zh-CN" altLang="en-US"/>
                      <a:t>万元</a:t>
                    </a:r>
                    <a:endParaRPr lang="zh-CN" altLang="en-US"/>
                  </a:p>
                </c:rich>
              </c:tx>
              <c:dLblPos val="ctr"/>
              <c:showLegendKey val="false"/>
              <c:showVal val="true"/>
              <c:showCatName val="false"/>
              <c:showSerName val="false"/>
              <c:showPercent val="false"/>
              <c:showBubbleSize val="false"/>
              <c:extLst>
                <c:ext xmlns:c15="http://schemas.microsoft.com/office/drawing/2012/chart" uri="{CE6537A1-D6FC-4f65-9D91-7224C49458BB}">
                  <c15:layout>
                    <c:manualLayout>
                      <c:w val="0.141355888760733"/>
                      <c:h val="0.156975228161669"/>
                    </c:manualLayout>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1714.33</c:v>
                </c:pt>
                <c:pt idx="1">
                  <c:v>2499.57</c:v>
                </c:pt>
              </c:numCache>
            </c:numRef>
          </c:val>
        </c:ser>
        <c:dLbls>
          <c:showLegendKey val="false"/>
          <c:showVal val="true"/>
          <c:showCatName val="false"/>
          <c:showSerName val="false"/>
          <c:showPercent val="false"/>
          <c:showBubbleSize val="false"/>
        </c:dLbls>
        <c:gapWidth val="150"/>
        <c:overlap val="100"/>
        <c:axId val="102998016"/>
        <c:axId val="103000704"/>
      </c:barChart>
      <c:catAx>
        <c:axId val="102998016"/>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3000704"/>
        <c:crosses val="autoZero"/>
        <c:auto val="true"/>
        <c:lblAlgn val="ctr"/>
        <c:lblOffset val="100"/>
        <c:noMultiLvlLbl val="false"/>
      </c:catAx>
      <c:valAx>
        <c:axId val="103000704"/>
        <c:scaling>
          <c:orientation val="minMax"/>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2998016"/>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286516103167179"/>
          <c:y val="0.198483496877788"/>
          <c:w val="0.412935988240011"/>
          <c:h val="0.689116859946476"/>
        </c:manualLayout>
      </c:layout>
      <c:pieChart>
        <c:varyColors val="true"/>
        <c:ser>
          <c:idx val="0"/>
          <c:order val="0"/>
          <c:tx>
            <c:strRef>
              <c:f>Sheet1!$B$1</c:f>
              <c:strCache>
                <c:ptCount val="1"/>
                <c:pt idx="0">
                  <c:v>销售额</c:v>
                </c:pt>
              </c:strCache>
            </c:strRef>
          </c:tx>
          <c:explosion val="0"/>
          <c:dPt>
            <c:idx val="0"/>
            <c:bubble3D val="false"/>
            <c:explosion val="15"/>
            <c:spPr>
              <a:gradFill>
                <a:gsLst>
                  <a:gs pos="0">
                    <a:schemeClr val="accent1">
                      <a:lumMod val="40000"/>
                      <a:lumOff val="60000"/>
                    </a:schemeClr>
                  </a:gs>
                  <a:gs pos="90000">
                    <a:schemeClr val="accent1"/>
                  </a:gs>
                </a:gsLst>
                <a:lin ang="5400000" scaled="false"/>
              </a:gradFill>
              <a:ln>
                <a:gradFill>
                  <a:gsLst>
                    <a:gs pos="0">
                      <a:schemeClr val="accent1"/>
                    </a:gs>
                    <a:gs pos="100000">
                      <a:schemeClr val="accent1">
                        <a:lumMod val="75000"/>
                      </a:schemeClr>
                    </a:gs>
                  </a:gsLst>
                  <a:lin ang="5400000" scaled="true"/>
                </a:gradFill>
              </a:ln>
              <a:effectLst>
                <a:outerShdw blurRad="76200" dist="25400" dir="2700000" algn="tl" rotWithShape="0">
                  <a:schemeClr val="accent1">
                    <a:lumMod val="50000"/>
                    <a:alpha val="30000"/>
                  </a:schemeClr>
                </a:outerShdw>
              </a:effectLst>
            </c:spPr>
          </c:dPt>
          <c:dPt>
            <c:idx val="1"/>
            <c:bubble3D val="false"/>
            <c:explosion val="6"/>
            <c:spPr>
              <a:gradFill>
                <a:gsLst>
                  <a:gs pos="0">
                    <a:schemeClr val="accent2">
                      <a:lumMod val="40000"/>
                      <a:lumOff val="60000"/>
                    </a:schemeClr>
                  </a:gs>
                  <a:gs pos="90000">
                    <a:schemeClr val="accent2"/>
                  </a:gs>
                </a:gsLst>
                <a:lin ang="5400000" scaled="false"/>
              </a:gradFill>
              <a:ln>
                <a:gradFill>
                  <a:gsLst>
                    <a:gs pos="0">
                      <a:schemeClr val="accent2"/>
                    </a:gs>
                    <a:gs pos="100000">
                      <a:schemeClr val="accent2">
                        <a:lumMod val="75000"/>
                      </a:schemeClr>
                    </a:gs>
                  </a:gsLst>
                  <a:lin ang="5400000" scaled="true"/>
                </a:gradFill>
              </a:ln>
              <a:effectLst>
                <a:outerShdw blurRad="76200" dist="25400" dir="2700000" algn="tl" rotWithShape="0">
                  <a:schemeClr val="accent2">
                    <a:lumMod val="50000"/>
                    <a:alpha val="30000"/>
                  </a:schemeClr>
                </a:outerShdw>
              </a:effectLst>
            </c:spPr>
          </c:dPt>
          <c:dPt>
            <c:idx val="2"/>
            <c:bubble3D val="false"/>
            <c:explosion val="12"/>
            <c:spPr>
              <a:gradFill>
                <a:gsLst>
                  <a:gs pos="0">
                    <a:schemeClr val="accent3">
                      <a:lumMod val="40000"/>
                      <a:lumOff val="60000"/>
                    </a:schemeClr>
                  </a:gs>
                  <a:gs pos="90000">
                    <a:schemeClr val="accent3"/>
                  </a:gs>
                </a:gsLst>
                <a:lin ang="5400000" scaled="false"/>
              </a:gradFill>
              <a:ln>
                <a:gradFill>
                  <a:gsLst>
                    <a:gs pos="0">
                      <a:schemeClr val="accent3"/>
                    </a:gs>
                    <a:gs pos="100000">
                      <a:schemeClr val="accent3">
                        <a:lumMod val="75000"/>
                      </a:schemeClr>
                    </a:gs>
                  </a:gsLst>
                  <a:lin ang="5400000" scaled="true"/>
                </a:gradFill>
              </a:ln>
              <a:effectLst>
                <a:outerShdw blurRad="76200" dist="25400" dir="2700000" algn="tl" rotWithShape="0">
                  <a:schemeClr val="accent3">
                    <a:lumMod val="50000"/>
                    <a:alpha val="30000"/>
                  </a:schemeClr>
                </a:outerShdw>
              </a:effectLst>
            </c:spPr>
          </c:dPt>
          <c:dPt>
            <c:idx val="3"/>
            <c:bubble3D val="false"/>
            <c:explosion val="3"/>
            <c:spPr>
              <a:gradFill>
                <a:gsLst>
                  <a:gs pos="0">
                    <a:schemeClr val="accent4">
                      <a:lumMod val="40000"/>
                      <a:lumOff val="60000"/>
                    </a:schemeClr>
                  </a:gs>
                  <a:gs pos="90000">
                    <a:schemeClr val="accent4"/>
                  </a:gs>
                </a:gsLst>
                <a:lin ang="5400000" scaled="false"/>
              </a:gradFill>
              <a:ln>
                <a:gradFill>
                  <a:gsLst>
                    <a:gs pos="0">
                      <a:schemeClr val="accent4"/>
                    </a:gs>
                    <a:gs pos="100000">
                      <a:schemeClr val="accent4">
                        <a:lumMod val="75000"/>
                      </a:schemeClr>
                    </a:gs>
                  </a:gsLst>
                  <a:lin ang="5400000" scaled="true"/>
                </a:gradFill>
              </a:ln>
              <a:effectLst>
                <a:outerShdw blurRad="76200" dist="25400" dir="2700000" algn="tl" rotWithShape="0">
                  <a:schemeClr val="accent4">
                    <a:lumMod val="50000"/>
                    <a:alpha val="30000"/>
                  </a:schemeClr>
                </a:outerShdw>
              </a:effectLst>
            </c:spPr>
          </c:dPt>
          <c:dLbls>
            <c:dLbl>
              <c:idx val="0"/>
              <c:layout>
                <c:manualLayout>
                  <c:x val="-0.00411586632988031"/>
                  <c:y val="-0.182403162039049"/>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99.99</a:t>
                    </a:r>
                    <a:r>
                      <a:rPr lang="en-US"/>
                      <a:t>%</a:t>
                    </a:r>
                    <a:endParaRPr lang="en-US"/>
                  </a:p>
                </c:rich>
              </c:tx>
              <c:numFmt formatCode="General" sourceLinked="tru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extLst>
                <c:ext xmlns:c15="http://schemas.microsoft.com/office/drawing/2012/chart" uri="{CE6537A1-D6FC-4f65-9D91-7224C49458BB}">
                  <c15:layout>
                    <c:manualLayout>
                      <c:w val="0.185732814526589"/>
                      <c:h val="0.133037694013304"/>
                    </c:manualLayout>
                  </c15:layout>
                </c:ext>
              </c:extLst>
            </c:dLbl>
            <c:dLbl>
              <c:idx val="1"/>
              <c:layout/>
              <c:tx>
                <c:rich>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r>
                      <a:rPr lang="en-US" altLang="zh-CN"/>
                      <a:t>0.01</a:t>
                    </a:r>
                    <a:r>
                      <a:rPr lang="en-US"/>
                      <a:t>%</a:t>
                    </a:r>
                    <a:endParaRPr lang="en-US"/>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Sheet1!$A$2:$A$5</c:f>
              <c:strCache>
                <c:ptCount val="4"/>
                <c:pt idx="0">
                  <c:v>一般公共预算财政拨款收入</c:v>
                </c:pt>
                <c:pt idx="1">
                  <c:v>其他收入</c:v>
                </c:pt>
              </c:strCache>
            </c:strRef>
          </c:cat>
          <c:val>
            <c:numRef>
              <c:f>Sheet1!$B$2:$B$5</c:f>
              <c:numCache>
                <c:formatCode>General</c:formatCode>
                <c:ptCount val="4"/>
                <c:pt idx="0">
                  <c:v>2499.4</c:v>
                </c:pt>
                <c:pt idx="1">
                  <c:v>0.2</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egendEntry>
        <c:idx val="2"/>
        <c:delete val="true"/>
      </c:legendEntry>
      <c:legendEntry>
        <c:idx val="3"/>
        <c:delete val="true"/>
      </c:legendEntry>
      <c:layout>
        <c:manualLayout>
          <c:xMode val="edge"/>
          <c:yMode val="edge"/>
          <c:x val="0.0638145315487572"/>
          <c:y val="0.868628121792679"/>
          <c:w val="0.718809751434034"/>
          <c:h val="0.11170030790284"/>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金额</c:v>
                </c:pt>
              </c:strCache>
            </c:strRef>
          </c:tx>
          <c:explosion val="0"/>
          <c:dPt>
            <c:idx val="0"/>
            <c:bubble3D val="false"/>
            <c:spPr>
              <a:solidFill>
                <a:schemeClr val="accent1"/>
              </a:solidFill>
              <a:ln w="19050">
                <a:solidFill>
                  <a:schemeClr val="lt1"/>
                </a:solidFill>
              </a:ln>
              <a:effectLst/>
            </c:spPr>
          </c:dPt>
          <c:dPt>
            <c:idx val="1"/>
            <c:bubble3D val="false"/>
            <c:spPr>
              <a:solidFill>
                <a:schemeClr val="accent3"/>
              </a:solidFill>
              <a:ln w="19050">
                <a:solidFill>
                  <a:schemeClr val="lt1"/>
                </a:solidFill>
              </a:ln>
              <a:effectLst/>
            </c:spPr>
          </c:dPt>
          <c:dLbls>
            <c:dLbl>
              <c:idx val="0"/>
              <c:layout>
                <c:manualLayout>
                  <c:x val="-0.197853198926498"/>
                  <c:y val="0.0901771349979187"/>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sz="1050">
                        <a:solidFill>
                          <a:schemeClr val="bg1"/>
                        </a:solidFill>
                      </a:rPr>
                      <a:t>817.32</a:t>
                    </a:r>
                    <a:r>
                      <a:rPr lang="zh-CN" altLang="en-US" sz="1050">
                        <a:solidFill>
                          <a:schemeClr val="bg1"/>
                        </a:solidFill>
                      </a:rPr>
                      <a:t>万元</a:t>
                    </a:r>
                    <a:endParaRPr lang="zh-CN" altLang="en-US" sz="1050">
                      <a:solidFill>
                        <a:schemeClr val="bg1"/>
                      </a:solidFill>
                    </a:endParaRPr>
                  </a:p>
                  <a:p>
                    <a:pPr>
                      <a:defRPr lang="zh-CN" sz="900" b="0" i="0" u="none" strike="noStrike" kern="1200" baseline="0">
                        <a:solidFill>
                          <a:schemeClr val="tx1">
                            <a:lumMod val="75000"/>
                            <a:lumOff val="25000"/>
                          </a:schemeClr>
                        </a:solidFill>
                        <a:latin typeface="+mn-lt"/>
                        <a:ea typeface="+mn-ea"/>
                        <a:cs typeface="+mn-cs"/>
                      </a:defRPr>
                    </a:pPr>
                    <a:r>
                      <a:rPr lang="zh-CN" altLang="en-US" sz="1050">
                        <a:solidFill>
                          <a:schemeClr val="bg1"/>
                        </a:solidFill>
                      </a:rPr>
                      <a:t>占</a:t>
                    </a:r>
                    <a:r>
                      <a:rPr lang="en-US" altLang="zh-CN" sz="1050">
                        <a:solidFill>
                          <a:schemeClr val="bg1"/>
                        </a:solidFill>
                      </a:rPr>
                      <a:t>32.7%</a:t>
                    </a:r>
                    <a:endParaRPr lang="en-US" altLang="zh-CN" sz="1050">
                      <a:solidFill>
                        <a:schemeClr val="bg1"/>
                      </a:solidFill>
                    </a:endParaRPr>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manualLayout>
                      <c:w val="0.225142045454545"/>
                      <c:h val="0.221624266144814"/>
                    </c:manualLayout>
                  </c15:layout>
                </c:ext>
              </c:extLst>
            </c:dLbl>
            <c:dLbl>
              <c:idx val="1"/>
              <c:layout>
                <c:manualLayout>
                  <c:x val="0.193978981253046"/>
                  <c:y val="-0.0769656030068193"/>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sz="1050">
                        <a:solidFill>
                          <a:schemeClr val="bg1"/>
                        </a:solidFill>
                      </a:rPr>
                      <a:t>1682.09</a:t>
                    </a:r>
                    <a:r>
                      <a:rPr lang="zh-CN" altLang="en-US" sz="1050">
                        <a:solidFill>
                          <a:schemeClr val="bg1"/>
                        </a:solidFill>
                      </a:rPr>
                      <a:t>万元</a:t>
                    </a:r>
                    <a:endParaRPr lang="zh-CN" altLang="en-US" sz="1050">
                      <a:solidFill>
                        <a:schemeClr val="bg1"/>
                      </a:solidFill>
                    </a:endParaRPr>
                  </a:p>
                  <a:p>
                    <a:pPr>
                      <a:defRPr lang="zh-CN" sz="900" b="0" i="0" u="none" strike="noStrike" kern="1200" baseline="0">
                        <a:solidFill>
                          <a:schemeClr val="tx1">
                            <a:lumMod val="75000"/>
                            <a:lumOff val="25000"/>
                          </a:schemeClr>
                        </a:solidFill>
                        <a:latin typeface="+mn-lt"/>
                        <a:ea typeface="+mn-ea"/>
                        <a:cs typeface="+mn-cs"/>
                      </a:defRPr>
                    </a:pPr>
                    <a:r>
                      <a:rPr lang="zh-CN" altLang="en-US" sz="1050">
                        <a:solidFill>
                          <a:schemeClr val="bg1"/>
                        </a:solidFill>
                      </a:rPr>
                      <a:t>占</a:t>
                    </a:r>
                    <a:r>
                      <a:rPr lang="en-US" altLang="zh-CN" sz="1050">
                        <a:solidFill>
                          <a:schemeClr val="bg1"/>
                        </a:solidFill>
                      </a:rPr>
                      <a:t>67.3%</a:t>
                    </a:r>
                    <a:endParaRPr lang="en-US" altLang="zh-CN" sz="1050">
                      <a:solidFill>
                        <a:schemeClr val="bg1"/>
                      </a:solidFill>
                    </a:endParaRPr>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817.32</c:v>
                </c:pt>
                <c:pt idx="1">
                  <c:v>1682.09</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293974358974359"/>
          <c:y val="0.84675440553201"/>
          <c:w val="0.391025641025641"/>
          <c:h val="0.126477805041267"/>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04367757544887"/>
          <c:y val="0.0351720647773279"/>
          <c:w val="0.891812046351713"/>
          <c:h val="0.789524291497976"/>
        </c:manualLayout>
      </c:layout>
      <c:barChart>
        <c:barDir val="col"/>
        <c:grouping val="stacked"/>
        <c:varyColors val="false"/>
        <c:ser>
          <c:idx val="0"/>
          <c:order val="0"/>
          <c:tx>
            <c:strRef>
              <c:f>Sheet1!$B$1</c:f>
              <c:strCache>
                <c:ptCount val="1"/>
                <c:pt idx="0">
                  <c:v>收、支决算总计</c:v>
                </c:pt>
              </c:strCache>
            </c:strRef>
          </c:tx>
          <c:spPr>
            <a:solidFill>
              <a:schemeClr val="accent1"/>
            </a:solidFill>
            <a:ln>
              <a:noFill/>
            </a:ln>
            <a:effectLst/>
          </c:spPr>
          <c:invertIfNegative val="false"/>
          <c:dLbls>
            <c:dLbl>
              <c:idx val="0"/>
              <c:layout>
                <c:manualLayout>
                  <c:x val="0.000382019610339997"/>
                  <c:y val="-0.260627530364373"/>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a:t>1714.33</a:t>
                    </a:r>
                    <a:r>
                      <a:t>万元</a:t>
                    </a:r>
                  </a:p>
                </c:rich>
              </c:tx>
              <c:dLblPos val="ctr"/>
              <c:showLegendKey val="false"/>
              <c:showVal val="true"/>
              <c:showCatName val="false"/>
              <c:showSerName val="false"/>
              <c:showPercent val="false"/>
              <c:showBubbleSize val="false"/>
              <c:extLst>
                <c:ext xmlns:c15="http://schemas.microsoft.com/office/drawing/2012/chart" uri="{CE6537A1-D6FC-4f65-9D91-7224C49458BB}">
                  <c15:layout>
                    <c:manualLayout>
                      <c:w val="0.152553164395772"/>
                      <c:h val="0.0594635627530364"/>
                    </c:manualLayout>
                  </c15:layout>
                </c:ext>
              </c:extLst>
            </c:dLbl>
            <c:dLbl>
              <c:idx val="1"/>
              <c:layout>
                <c:manualLayout>
                  <c:x val="0.000764039220679995"/>
                  <c:y val="-0.364878542510122"/>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a:t>2499.4</a:t>
                    </a:r>
                    <a:r>
                      <a:t>万元</a:t>
                    </a:r>
                  </a:p>
                </c:rich>
              </c:tx>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1714.33</c:v>
                </c:pt>
                <c:pt idx="1">
                  <c:v>2499.4</c:v>
                </c:pt>
              </c:numCache>
            </c:numRef>
          </c:val>
        </c:ser>
        <c:dLbls>
          <c:showLegendKey val="false"/>
          <c:showVal val="true"/>
          <c:showCatName val="false"/>
          <c:showSerName val="false"/>
          <c:showPercent val="false"/>
          <c:showBubbleSize val="false"/>
        </c:dLbls>
        <c:gapWidth val="150"/>
        <c:overlap val="100"/>
        <c:axId val="405210624"/>
        <c:axId val="405221760"/>
      </c:barChart>
      <c:catAx>
        <c:axId val="405210624"/>
        <c:scaling>
          <c:orientation val="minMax"/>
        </c:scaling>
        <c:delete val="false"/>
        <c:axPos val="b"/>
        <c:majorTickMark val="out"/>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1200" b="0" i="0" u="none" strike="noStrike" kern="1200" cap="none" spc="0" normalizeH="0" baseline="0">
                <a:solidFill>
                  <a:schemeClr val="tx1">
                    <a:lumMod val="65000"/>
                    <a:lumOff val="35000"/>
                  </a:schemeClr>
                </a:solidFill>
                <a:uFill>
                  <a:solidFill>
                    <a:schemeClr val="tx1">
                      <a:lumMod val="65000"/>
                      <a:lumOff val="35000"/>
                    </a:schemeClr>
                  </a:solidFill>
                </a:uFill>
                <a:latin typeface="+mn-lt"/>
                <a:ea typeface="+mn-ea"/>
                <a:cs typeface="+mn-cs"/>
              </a:defRPr>
            </a:pPr>
          </a:p>
        </c:txPr>
        <c:crossAx val="405221760"/>
        <c:crosses val="autoZero"/>
        <c:auto val="true"/>
        <c:lblAlgn val="ctr"/>
        <c:lblOffset val="100"/>
        <c:noMultiLvlLbl val="false"/>
      </c:catAx>
      <c:valAx>
        <c:axId val="405221760"/>
        <c:scaling>
          <c:orientation val="minMax"/>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out"/>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0521062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05036524413687"/>
          <c:y val="0.106910039113429"/>
          <c:w val="0.891118800461361"/>
          <c:h val="0.816531942633638"/>
        </c:manualLayout>
      </c:layout>
      <c:barChart>
        <c:barDir val="col"/>
        <c:grouping val="stacked"/>
        <c:varyColors val="false"/>
        <c:ser>
          <c:idx val="0"/>
          <c:order val="0"/>
          <c:tx>
            <c:strRef>
              <c:f>Sheet1!$B$1</c:f>
              <c:strCache>
                <c:ptCount val="1"/>
                <c:pt idx="0">
                  <c:v>收、支决算总计</c:v>
                </c:pt>
              </c:strCache>
            </c:strRef>
          </c:tx>
          <c:spPr>
            <a:solidFill>
              <a:schemeClr val="accent1"/>
            </a:solidFill>
            <a:ln>
              <a:noFill/>
            </a:ln>
            <a:effectLst/>
          </c:spPr>
          <c:invertIfNegative val="false"/>
          <c:dLbls>
            <c:dLbl>
              <c:idx val="0"/>
              <c:layout>
                <c:manualLayout>
                  <c:x val="0.451493015506856"/>
                  <c:y val="-0.50586701434159"/>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a:t>2499.4</a:t>
                    </a:r>
                    <a:r>
                      <a:t>万元</a:t>
                    </a:r>
                  </a:p>
                </c:rich>
              </c:tx>
              <c:dLblPos val="ctr"/>
              <c:showLegendKey val="false"/>
              <c:showVal val="true"/>
              <c:showCatName val="false"/>
              <c:showSerName val="false"/>
              <c:showPercent val="false"/>
              <c:showBubbleSize val="false"/>
              <c:extLst>
                <c:ext xmlns:c15="http://schemas.microsoft.com/office/drawing/2012/chart" uri="{CE6537A1-D6FC-4f65-9D91-7224C49458BB}">
                  <c15:layout>
                    <c:manualLayout>
                      <c:w val="0.142765602973215"/>
                      <c:h val="0.13142112125163"/>
                    </c:manualLayout>
                  </c15:layout>
                </c:ext>
              </c:extLst>
            </c:dLbl>
            <c:dLbl>
              <c:idx val="1"/>
              <c:layout>
                <c:manualLayout>
                  <c:x val="-0.447135717031911"/>
                  <c:y val="-0.211734028683181"/>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t>1714.33万元</a:t>
                    </a:r>
                  </a:p>
                </c:rich>
              </c:tx>
              <c:dLblPos val="ctr"/>
              <c:showLegendKey val="false"/>
              <c:showVal val="true"/>
              <c:showCatName val="false"/>
              <c:showSerName val="false"/>
              <c:showPercent val="false"/>
              <c:showBubbleSize val="false"/>
              <c:extLst>
                <c:ext xmlns:c15="http://schemas.microsoft.com/office/drawing/2012/chart" uri="{CE6537A1-D6FC-4f65-9D91-7224C49458BB}">
                  <c15:layout>
                    <c:manualLayout>
                      <c:w val="0.141355888760733"/>
                      <c:h val="0.156975228161669"/>
                    </c:manualLayout>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1714.33</c:v>
                </c:pt>
                <c:pt idx="1">
                  <c:v>2499.4</c:v>
                </c:pt>
              </c:numCache>
            </c:numRef>
          </c:val>
        </c:ser>
        <c:dLbls>
          <c:showLegendKey val="false"/>
          <c:showVal val="true"/>
          <c:showCatName val="false"/>
          <c:showSerName val="false"/>
          <c:showPercent val="false"/>
          <c:showBubbleSize val="false"/>
        </c:dLbls>
        <c:gapWidth val="150"/>
        <c:overlap val="100"/>
        <c:axId val="405232256"/>
        <c:axId val="405235200"/>
      </c:barChart>
      <c:catAx>
        <c:axId val="405232256"/>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05235200"/>
        <c:crosses val="autoZero"/>
        <c:auto val="true"/>
        <c:lblAlgn val="ctr"/>
        <c:lblOffset val="100"/>
        <c:noMultiLvlLbl val="false"/>
      </c:catAx>
      <c:valAx>
        <c:axId val="405235200"/>
        <c:scaling>
          <c:orientation val="minMax"/>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05232256"/>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313010809385711"/>
          <c:y val="0.00810153929246557"/>
          <c:w val="0.430134458212497"/>
          <c:h val="0.881177423710505"/>
        </c:manualLayout>
      </c:layout>
      <c:pieChart>
        <c:varyColors val="true"/>
        <c:ser>
          <c:idx val="0"/>
          <c:order val="0"/>
          <c:tx>
            <c:strRef>
              <c:f>Sheet1!$B$1</c:f>
              <c:strCache>
                <c:ptCount val="1"/>
                <c:pt idx="0">
                  <c:v>销售额</c:v>
                </c:pt>
              </c:strCache>
            </c:strRef>
          </c:tx>
          <c:explosion val="0"/>
          <c:dPt>
            <c:idx val="0"/>
            <c:bubble3D val="false"/>
            <c:spPr>
              <a:solidFill>
                <a:schemeClr val="accent6"/>
              </a:solidFill>
              <a:ln w="19050">
                <a:solidFill>
                  <a:schemeClr val="lt1"/>
                </a:solidFill>
              </a:ln>
              <a:effectLst/>
            </c:spPr>
          </c:dPt>
          <c:dPt>
            <c:idx val="1"/>
            <c:bubble3D val="false"/>
            <c:spPr>
              <a:solidFill>
                <a:schemeClr val="accent5"/>
              </a:solidFill>
              <a:ln w="19050">
                <a:solidFill>
                  <a:schemeClr val="lt1"/>
                </a:solidFill>
              </a:ln>
              <a:effectLst/>
            </c:spPr>
          </c:dPt>
          <c:dPt>
            <c:idx val="2"/>
            <c:bubble3D val="false"/>
            <c:spPr>
              <a:solidFill>
                <a:schemeClr val="accent4"/>
              </a:solidFill>
              <a:ln w="19050">
                <a:solidFill>
                  <a:schemeClr val="lt1"/>
                </a:solidFill>
              </a:ln>
              <a:effectLst/>
            </c:spPr>
          </c:dPt>
          <c:dLbls>
            <c:dLbl>
              <c:idx val="0"/>
              <c:layout>
                <c:manualLayout>
                  <c:x val="0.111031617924398"/>
                  <c:y val="0.12233060901661"/>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a:t>142.92</a:t>
                    </a:r>
                    <a:r>
                      <a:t>万元,占</a:t>
                    </a:r>
                    <a:r>
                      <a:rPr lang="en-US" altLang="zh-CN"/>
                      <a:t>5.72</a:t>
                    </a:r>
                    <a:r>
                      <a:t>%</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manualLayout>
                      <c:w val="0.249060804229859"/>
                      <c:h val="0.0738201950962299"/>
                    </c:manualLayout>
                  </c15:layout>
                </c:ext>
              </c:extLst>
            </c:dLbl>
            <c:dLbl>
              <c:idx val="1"/>
              <c:layout>
                <c:manualLayout>
                  <c:x val="0.00292979462639836"/>
                  <c:y val="-0.27274345326375"/>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a:t>2297.22</a:t>
                    </a:r>
                    <a:r>
                      <a:t>万元,        </a:t>
                    </a:r>
                  </a:p>
                  <a:p>
                    <a:pPr>
                      <a:defRPr lang="zh-CN" sz="900" b="0" i="0" u="none" strike="noStrike" kern="1200" baseline="0">
                        <a:solidFill>
                          <a:schemeClr val="tx1">
                            <a:lumMod val="75000"/>
                            <a:lumOff val="25000"/>
                          </a:schemeClr>
                        </a:solidFill>
                        <a:latin typeface="+mn-lt"/>
                        <a:ea typeface="+mn-ea"/>
                        <a:cs typeface="+mn-cs"/>
                      </a:defRPr>
                    </a:pPr>
                    <a:r>
                      <a:t> 占</a:t>
                    </a:r>
                    <a:r>
                      <a:rPr lang="en-US" altLang="zh-CN"/>
                      <a:t>91.91</a:t>
                    </a:r>
                    <a:r>
                      <a:t>%</a:t>
                    </a:r>
                  </a:p>
                </c:rich>
              </c:tx>
              <c:numFmt formatCode="General" sourceLinked="true"/>
              <c:spPr>
                <a:solidFill>
                  <a:schemeClr val="accent5"/>
                </a:solid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true"/>
              <c:showBubbleSize val="false"/>
              <c:extLst>
                <c:ext xmlns:c15="http://schemas.microsoft.com/office/drawing/2012/chart" uri="{CE6537A1-D6FC-4f65-9D91-7224C49458BB}">
                  <c15:layout>
                    <c:manualLayout>
                      <c:w val="0.211492973424238"/>
                      <c:h val="0.211969417347746"/>
                    </c:manualLayout>
                  </c15:layout>
                </c:ext>
              </c:extLst>
            </c:dLbl>
            <c:dLbl>
              <c:idx val="2"/>
              <c:layout>
                <c:manualLayout>
                  <c:x val="-0.105441577587693"/>
                  <c:y val="0.152649617716847"/>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a:t>59.26</a:t>
                    </a:r>
                    <a:r>
                      <a:t>万元, 占</a:t>
                    </a:r>
                    <a:r>
                      <a:rPr lang="en-US" altLang="zh-CN"/>
                      <a:t>2.37</a:t>
                    </a:r>
                    <a:r>
                      <a:t>%</a:t>
                    </a:r>
                  </a:p>
                </c:rich>
              </c:tx>
              <c:numFmt formatCode="General" sourceLinked="true"/>
              <c:spPr>
                <a:solidFill>
                  <a:schemeClr val="accent4"/>
                </a:solid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true"/>
              <c:showBubbleSize val="false"/>
              <c:extLst>
                <c:ext xmlns:c15="http://schemas.microsoft.com/office/drawing/2012/chart" uri="{CE6537A1-D6FC-4f65-9D91-7224C49458BB}">
                  <c15:layout>
                    <c:manualLayout>
                      <c:w val="0.243912620008348"/>
                      <c:h val="0.0904297389928816"/>
                    </c:manualLayout>
                  </c15:layout>
                </c:ext>
              </c:extLst>
            </c:dLbl>
            <c:spPr>
              <a:solidFill>
                <a:schemeClr val="accent6"/>
              </a:solid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社会保障和就业（类）支出</c:v>
                </c:pt>
                <c:pt idx="1">
                  <c:v>卫生健康支出</c:v>
                </c:pt>
                <c:pt idx="2">
                  <c:v>住房保障支出</c:v>
                </c:pt>
              </c:strCache>
            </c:strRef>
          </c:cat>
          <c:val>
            <c:numRef>
              <c:f>Sheet1!$B$2:$B$4</c:f>
              <c:numCache>
                <c:formatCode>General</c:formatCode>
                <c:ptCount val="3"/>
                <c:pt idx="0">
                  <c:v>142.92</c:v>
                </c:pt>
                <c:pt idx="1">
                  <c:v>2297.22</c:v>
                </c:pt>
                <c:pt idx="2">
                  <c:v>59.26</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dk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“三公”经费</c:v>
                </c:pt>
              </c:strCache>
            </c:strRef>
          </c:tx>
          <c:explosion val="0"/>
          <c:dPt>
            <c:idx val="0"/>
            <c:bubble3D val="false"/>
            <c:spPr>
              <a:solidFill>
                <a:schemeClr val="accent1"/>
              </a:solidFill>
              <a:ln>
                <a:solidFill>
                  <a:schemeClr val="bg1"/>
                </a:solidFill>
              </a:ln>
              <a:effectLst/>
            </c:spPr>
          </c:dPt>
          <c:dLbls>
            <c:delete val="true"/>
          </c:dLbls>
          <c:cat>
            <c:strRef>
              <c:f>Sheet1!$A$2</c:f>
              <c:strCache>
                <c:ptCount val="1"/>
                <c:pt idx="0">
                  <c:v>公务接待支出</c:v>
                </c:pt>
              </c:strCache>
            </c:strRef>
          </c:cat>
          <c:val>
            <c:numRef>
              <c:f>Sheet1!$B$2</c:f>
              <c:numCache>
                <c:formatCode>General</c:formatCode>
                <c:ptCount val="1"/>
                <c:pt idx="0">
                  <c:v>100</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21</Pages>
  <Words>7310</Words>
  <Characters>7870</Characters>
  <Lines>523</Lines>
  <Paragraphs>147</Paragraphs>
  <TotalTime>1</TotalTime>
  <ScaleCrop>false</ScaleCrop>
  <LinksUpToDate>false</LinksUpToDate>
  <CharactersWithSpaces>7944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2013-01-01T09:39:00Z</dcterms:created>
  <dc:creator>曹颖</dc:creator>
  <cp:lastModifiedBy> </cp:lastModifiedBy>
  <cp:lastPrinted>2024-09-26T10:22:00Z</cp:lastPrinted>
  <dcterms:modified xsi:type="dcterms:W3CDTF">2024-10-16T19:18:21Z</dcterms:modified>
  <dc:title>四川省***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644A702E44014D29BC73E2FE3E5E4C51</vt:lpwstr>
  </property>
</Properties>
</file>