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1CA0FE">
      <w:pPr>
        <w:keepNext w:val="0"/>
        <w:keepLines w:val="0"/>
        <w:pageBreakBefore w:val="0"/>
        <w:kinsoku/>
        <w:wordWrap/>
        <w:overflowPunct/>
        <w:topLinePunct w:val="0"/>
        <w:autoSpaceDE/>
        <w:autoSpaceDN/>
        <w:bidi w:val="0"/>
        <w:adjustRightInd/>
        <w:snapToGrid/>
        <w:spacing w:line="600" w:lineRule="exact"/>
        <w:jc w:val="left"/>
        <w:textAlignment w:val="auto"/>
        <w:outlineLvl w:val="9"/>
        <w:rPr>
          <w:rFonts w:ascii="方正小标宋简体" w:hAnsi="宋体" w:eastAsia="方正小标宋简体"/>
          <w:szCs w:val="21"/>
        </w:rPr>
      </w:pPr>
      <w:bookmarkStart w:id="0" w:name="_Toc15306267"/>
    </w:p>
    <w:p w14:paraId="252C1C36">
      <w:pPr>
        <w:keepNext w:val="0"/>
        <w:keepLines w:val="0"/>
        <w:pageBreakBefore w:val="0"/>
        <w:kinsoku/>
        <w:wordWrap/>
        <w:overflowPunct/>
        <w:topLinePunct w:val="0"/>
        <w:autoSpaceDE/>
        <w:autoSpaceDN/>
        <w:bidi w:val="0"/>
        <w:adjustRightInd/>
        <w:snapToGrid/>
        <w:spacing w:line="600" w:lineRule="exact"/>
        <w:jc w:val="center"/>
        <w:textAlignment w:val="auto"/>
        <w:outlineLvl w:val="9"/>
        <w:rPr>
          <w:rFonts w:ascii="方正小标宋简体" w:hAnsi="宋体" w:eastAsia="方正小标宋简体"/>
          <w:sz w:val="72"/>
          <w:szCs w:val="72"/>
        </w:rPr>
      </w:pPr>
    </w:p>
    <w:p w14:paraId="2009FFD8">
      <w:pPr>
        <w:keepNext w:val="0"/>
        <w:keepLines w:val="0"/>
        <w:pageBreakBefore w:val="0"/>
        <w:kinsoku/>
        <w:wordWrap/>
        <w:overflowPunct/>
        <w:topLinePunct w:val="0"/>
        <w:autoSpaceDE/>
        <w:autoSpaceDN/>
        <w:bidi w:val="0"/>
        <w:adjustRightInd/>
        <w:snapToGrid/>
        <w:spacing w:line="600" w:lineRule="exact"/>
        <w:jc w:val="center"/>
        <w:textAlignment w:val="auto"/>
        <w:outlineLvl w:val="9"/>
        <w:rPr>
          <w:rFonts w:ascii="方正小标宋简体" w:hAnsi="宋体" w:eastAsia="方正小标宋简体"/>
          <w:sz w:val="72"/>
          <w:szCs w:val="72"/>
        </w:rPr>
      </w:pPr>
    </w:p>
    <w:bookmarkEnd w:id="0"/>
    <w:p w14:paraId="24B548D1">
      <w:pPr>
        <w:keepNext w:val="0"/>
        <w:keepLines w:val="0"/>
        <w:pageBreakBefore w:val="0"/>
        <w:kinsoku/>
        <w:wordWrap/>
        <w:overflowPunct/>
        <w:topLinePunct w:val="0"/>
        <w:autoSpaceDE/>
        <w:autoSpaceDN/>
        <w:bidi w:val="0"/>
        <w:adjustRightInd/>
        <w:snapToGrid/>
        <w:spacing w:line="1320" w:lineRule="exact"/>
        <w:jc w:val="center"/>
        <w:textAlignment w:val="auto"/>
        <w:outlineLvl w:val="9"/>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2023年度</w:t>
      </w:r>
    </w:p>
    <w:p w14:paraId="55696898">
      <w:pPr>
        <w:keepNext w:val="0"/>
        <w:keepLines w:val="0"/>
        <w:pageBreakBefore w:val="0"/>
        <w:kinsoku/>
        <w:wordWrap/>
        <w:overflowPunct/>
        <w:topLinePunct w:val="0"/>
        <w:autoSpaceDE/>
        <w:autoSpaceDN/>
        <w:bidi w:val="0"/>
        <w:adjustRightInd/>
        <w:snapToGrid/>
        <w:spacing w:line="1320" w:lineRule="exact"/>
        <w:jc w:val="center"/>
        <w:textAlignment w:val="auto"/>
        <w:outlineLvl w:val="0"/>
        <w:rPr>
          <w:rFonts w:hint="eastAsia" w:ascii="方正小标宋简体" w:hAnsi="方正小标宋简体" w:eastAsia="方正小标宋简体" w:cs="方正小标宋简体"/>
          <w:sz w:val="52"/>
          <w:szCs w:val="52"/>
        </w:rPr>
      </w:pPr>
      <w:bookmarkStart w:id="1" w:name="_Toc21886"/>
      <w:r>
        <w:rPr>
          <w:rFonts w:hint="eastAsia" w:ascii="方正小标宋简体" w:hAnsi="方正小标宋简体" w:eastAsia="方正小标宋简体" w:cs="方正小标宋简体"/>
          <w:sz w:val="52"/>
          <w:szCs w:val="52"/>
        </w:rPr>
        <w:t>广元市食品药品检验检测中心</w:t>
      </w:r>
      <w:bookmarkEnd w:id="1"/>
    </w:p>
    <w:p w14:paraId="63B1A37A">
      <w:pPr>
        <w:keepNext w:val="0"/>
        <w:keepLines w:val="0"/>
        <w:pageBreakBefore w:val="0"/>
        <w:kinsoku/>
        <w:wordWrap/>
        <w:overflowPunct/>
        <w:topLinePunct w:val="0"/>
        <w:autoSpaceDE/>
        <w:autoSpaceDN/>
        <w:bidi w:val="0"/>
        <w:adjustRightInd/>
        <w:snapToGrid/>
        <w:spacing w:line="1320" w:lineRule="exact"/>
        <w:jc w:val="center"/>
        <w:textAlignment w:val="auto"/>
        <w:outlineLvl w:val="9"/>
        <w:rPr>
          <w:rFonts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单位决算</w:t>
      </w:r>
    </w:p>
    <w:p w14:paraId="13800427">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ascii="仿宋" w:hAnsi="仿宋" w:eastAsia="仿宋"/>
          <w:b/>
          <w:sz w:val="24"/>
        </w:rPr>
        <w:sectPr>
          <w:headerReference r:id="rId3" w:type="default"/>
          <w:footerReference r:id="rId4" w:type="default"/>
          <w:pgSz w:w="11906" w:h="16838"/>
          <w:pgMar w:top="1440" w:right="1800" w:bottom="1440" w:left="1800" w:header="851" w:footer="992" w:gutter="0"/>
          <w:pgNumType w:fmt="numberInDash"/>
          <w:cols w:space="425" w:num="1"/>
          <w:titlePg/>
          <w:docGrid w:type="lines" w:linePitch="312" w:charSpace="0"/>
        </w:sectPr>
      </w:pPr>
    </w:p>
    <w:sdt>
      <w:sdtPr>
        <w:rPr>
          <w:rFonts w:ascii="宋体" w:hAnsi="宋体" w:eastAsia="宋体" w:cs="Times New Roman"/>
          <w:kern w:val="2"/>
          <w:sz w:val="52"/>
          <w:szCs w:val="52"/>
          <w:lang w:val="en-US" w:eastAsia="zh-CN" w:bidi="ar-SA"/>
        </w:rPr>
        <w:id w:val="147463700"/>
        <w15:color w:val="DBDBDB"/>
        <w:docPartObj>
          <w:docPartGallery w:val="Table of Contents"/>
          <w:docPartUnique/>
        </w:docPartObj>
      </w:sdtPr>
      <w:sdtEndPr>
        <w:rPr>
          <w:rFonts w:ascii="宋体" w:hAnsi="宋体" w:eastAsia="宋体" w:cs="Times New Roman"/>
          <w:b/>
          <w:kern w:val="2"/>
          <w:sz w:val="52"/>
          <w:szCs w:val="52"/>
          <w:lang w:val="en-US" w:eastAsia="zh-CN" w:bidi="ar-SA"/>
        </w:rPr>
      </w:sdtEndPr>
      <w:sdtContent>
        <w:p w14:paraId="78B3EFE4">
          <w:pPr>
            <w:spacing w:before="0" w:beforeLines="0" w:after="0" w:afterLines="0" w:line="240" w:lineRule="auto"/>
            <w:ind w:left="0" w:leftChars="0" w:right="0" w:rightChars="0" w:firstLine="0" w:firstLineChars="0"/>
            <w:jc w:val="center"/>
            <w:rPr>
              <w:rFonts w:ascii="宋体" w:hAnsi="宋体" w:eastAsia="宋体"/>
              <w:sz w:val="52"/>
              <w:szCs w:val="52"/>
            </w:rPr>
          </w:pPr>
          <w:bookmarkStart w:id="85" w:name="_GoBack"/>
          <w:bookmarkEnd w:id="85"/>
          <w:r>
            <w:rPr>
              <w:rFonts w:ascii="宋体" w:hAnsi="宋体" w:eastAsia="宋体"/>
              <w:sz w:val="52"/>
              <w:szCs w:val="52"/>
            </w:rPr>
            <w:t>目录</w:t>
          </w:r>
        </w:p>
        <w:p w14:paraId="5C7A29F0">
          <w:pPr>
            <w:spacing w:before="0" w:beforeLines="0" w:after="0" w:afterLines="0" w:line="240" w:lineRule="auto"/>
            <w:ind w:left="0" w:leftChars="0" w:right="0" w:rightChars="0" w:firstLine="0" w:firstLineChars="0"/>
            <w:jc w:val="center"/>
            <w:rPr>
              <w:rFonts w:hint="default" w:ascii="宋体" w:hAnsi="宋体" w:eastAsia="宋体"/>
              <w:sz w:val="32"/>
              <w:szCs w:val="32"/>
              <w:lang w:val="en-US" w:eastAsia="zh-CN"/>
            </w:rPr>
          </w:pPr>
          <w:r>
            <w:rPr>
              <w:rFonts w:hint="eastAsia" w:ascii="宋体" w:hAnsi="宋体" w:eastAsia="宋体"/>
              <w:sz w:val="32"/>
              <w:szCs w:val="32"/>
              <w:lang w:val="en-US" w:eastAsia="zh-CN"/>
            </w:rPr>
            <w:t>公开时间2024年10月14日</w:t>
          </w:r>
        </w:p>
        <w:p w14:paraId="5BA9F458">
          <w:pPr>
            <w:pStyle w:val="30"/>
            <w:tabs>
              <w:tab w:val="right" w:leader="dot" w:pos="8845"/>
            </w:tabs>
            <w:rPr>
              <w:b/>
            </w:rPr>
          </w:pPr>
          <w:r>
            <w:fldChar w:fldCharType="begin"/>
          </w:r>
          <w:r>
            <w:instrText xml:space="preserve">TOC \o "1-2" \h \u </w:instrText>
          </w:r>
          <w:r>
            <w:fldChar w:fldCharType="separate"/>
          </w:r>
          <w:r>
            <w:rPr>
              <w:b/>
            </w:rPr>
            <w:fldChar w:fldCharType="begin"/>
          </w:r>
          <w:r>
            <w:rPr>
              <w:b/>
            </w:rPr>
            <w:instrText xml:space="preserve"> HYPERLINK \l _Toc21886 </w:instrText>
          </w:r>
          <w:r>
            <w:rPr>
              <w:b/>
            </w:rPr>
            <w:fldChar w:fldCharType="separate"/>
          </w:r>
          <w:r>
            <w:rPr>
              <w:rFonts w:hint="eastAsia" w:ascii="方正小标宋简体" w:hAnsi="方正小标宋简体" w:eastAsia="方正小标宋简体" w:cs="方正小标宋简体"/>
              <w:b/>
              <w:szCs w:val="52"/>
            </w:rPr>
            <w:t>广元市食品药品检验检测中心</w:t>
          </w:r>
          <w:r>
            <w:rPr>
              <w:b/>
            </w:rPr>
            <w:tab/>
          </w:r>
          <w:r>
            <w:rPr>
              <w:b/>
            </w:rPr>
            <w:fldChar w:fldCharType="begin"/>
          </w:r>
          <w:r>
            <w:rPr>
              <w:b/>
            </w:rPr>
            <w:instrText xml:space="preserve"> PAGEREF _Toc21886 \h </w:instrText>
          </w:r>
          <w:r>
            <w:rPr>
              <w:b/>
            </w:rPr>
            <w:fldChar w:fldCharType="separate"/>
          </w:r>
          <w:r>
            <w:rPr>
              <w:b/>
            </w:rPr>
            <w:t>- 1 -</w:t>
          </w:r>
          <w:r>
            <w:rPr>
              <w:b/>
            </w:rPr>
            <w:fldChar w:fldCharType="end"/>
          </w:r>
          <w:r>
            <w:rPr>
              <w:b/>
            </w:rPr>
            <w:fldChar w:fldCharType="end"/>
          </w:r>
        </w:p>
        <w:p w14:paraId="65334B82">
          <w:pPr>
            <w:pStyle w:val="30"/>
            <w:tabs>
              <w:tab w:val="right" w:leader="dot" w:pos="8845"/>
            </w:tabs>
            <w:rPr>
              <w:b/>
            </w:rPr>
          </w:pPr>
          <w:r>
            <w:rPr>
              <w:b/>
            </w:rPr>
            <w:fldChar w:fldCharType="begin"/>
          </w:r>
          <w:r>
            <w:rPr>
              <w:b/>
            </w:rPr>
            <w:instrText xml:space="preserve"> HYPERLINK \l _Toc14730 </w:instrText>
          </w:r>
          <w:r>
            <w:rPr>
              <w:b/>
            </w:rPr>
            <w:fldChar w:fldCharType="separate"/>
          </w:r>
          <w:r>
            <w:rPr>
              <w:rFonts w:hint="eastAsia" w:ascii="方正小标宋简体" w:hAnsi="方正小标宋简体" w:eastAsia="方正小标宋简体" w:cs="方正小标宋简体"/>
              <w:b/>
              <w:bCs w:val="0"/>
              <w:szCs w:val="44"/>
            </w:rPr>
            <w:t>第一部分 单位概况</w:t>
          </w:r>
          <w:r>
            <w:rPr>
              <w:b/>
            </w:rPr>
            <w:tab/>
          </w:r>
          <w:r>
            <w:rPr>
              <w:b/>
            </w:rPr>
            <w:fldChar w:fldCharType="begin"/>
          </w:r>
          <w:r>
            <w:rPr>
              <w:b/>
            </w:rPr>
            <w:instrText xml:space="preserve"> PAGEREF _Toc14730 \h </w:instrText>
          </w:r>
          <w:r>
            <w:rPr>
              <w:b/>
            </w:rPr>
            <w:fldChar w:fldCharType="separate"/>
          </w:r>
          <w:r>
            <w:rPr>
              <w:b/>
            </w:rPr>
            <w:t>- 2 -</w:t>
          </w:r>
          <w:r>
            <w:rPr>
              <w:b/>
            </w:rPr>
            <w:fldChar w:fldCharType="end"/>
          </w:r>
          <w:r>
            <w:rPr>
              <w:b/>
            </w:rPr>
            <w:fldChar w:fldCharType="end"/>
          </w:r>
        </w:p>
        <w:p w14:paraId="7A67DA20">
          <w:pPr>
            <w:pStyle w:val="31"/>
            <w:tabs>
              <w:tab w:val="right" w:leader="dot" w:pos="8845"/>
            </w:tabs>
          </w:pPr>
          <w:r>
            <w:fldChar w:fldCharType="begin"/>
          </w:r>
          <w:r>
            <w:instrText xml:space="preserve"> HYPERLINK \l _Toc26173 </w:instrText>
          </w:r>
          <w:r>
            <w:fldChar w:fldCharType="separate"/>
          </w:r>
          <w:r>
            <w:rPr>
              <w:rFonts w:hint="eastAsia"/>
              <w:lang w:val="en-US" w:eastAsia="zh-CN"/>
            </w:rPr>
            <w:t>一、</w:t>
          </w:r>
          <w:r>
            <w:rPr>
              <w:rFonts w:hint="eastAsia"/>
            </w:rPr>
            <w:t>主要职责</w:t>
          </w:r>
          <w:r>
            <w:tab/>
          </w:r>
          <w:r>
            <w:fldChar w:fldCharType="begin"/>
          </w:r>
          <w:r>
            <w:instrText xml:space="preserve"> PAGEREF _Toc26173 \h </w:instrText>
          </w:r>
          <w:r>
            <w:fldChar w:fldCharType="separate"/>
          </w:r>
          <w:r>
            <w:t>- 2 -</w:t>
          </w:r>
          <w:r>
            <w:fldChar w:fldCharType="end"/>
          </w:r>
          <w:r>
            <w:fldChar w:fldCharType="end"/>
          </w:r>
        </w:p>
        <w:p w14:paraId="18CCDF0A">
          <w:pPr>
            <w:pStyle w:val="31"/>
            <w:tabs>
              <w:tab w:val="right" w:leader="dot" w:pos="8845"/>
            </w:tabs>
          </w:pPr>
          <w:r>
            <w:fldChar w:fldCharType="begin"/>
          </w:r>
          <w:r>
            <w:instrText xml:space="preserve"> HYPERLINK \l _Toc14410 </w:instrText>
          </w:r>
          <w:r>
            <w:fldChar w:fldCharType="separate"/>
          </w:r>
          <w:r>
            <w:rPr>
              <w:rFonts w:hint="eastAsia"/>
            </w:rPr>
            <w:t>二、机构设置</w:t>
          </w:r>
          <w:r>
            <w:tab/>
          </w:r>
          <w:r>
            <w:fldChar w:fldCharType="begin"/>
          </w:r>
          <w:r>
            <w:instrText xml:space="preserve"> PAGEREF _Toc14410 \h </w:instrText>
          </w:r>
          <w:r>
            <w:fldChar w:fldCharType="separate"/>
          </w:r>
          <w:r>
            <w:t>- 2 -</w:t>
          </w:r>
          <w:r>
            <w:fldChar w:fldCharType="end"/>
          </w:r>
          <w:r>
            <w:fldChar w:fldCharType="end"/>
          </w:r>
        </w:p>
        <w:p w14:paraId="3AE31581">
          <w:pPr>
            <w:pStyle w:val="31"/>
            <w:tabs>
              <w:tab w:val="right" w:leader="dot" w:pos="8845"/>
            </w:tabs>
            <w:ind w:left="0" w:leftChars="0" w:firstLine="0" w:firstLineChars="0"/>
          </w:pPr>
          <w:r>
            <w:fldChar w:fldCharType="begin"/>
          </w:r>
          <w:r>
            <w:instrText xml:space="preserve"> HYPERLINK \l _Toc20901 </w:instrText>
          </w:r>
          <w:r>
            <w:fldChar w:fldCharType="separate"/>
          </w:r>
          <w:r>
            <w:rPr>
              <w:rFonts w:hint="eastAsia" w:ascii="方正小标宋简体" w:hAnsi="方正小标宋简体" w:eastAsia="方正小标宋简体" w:cs="方正小标宋简体"/>
              <w:szCs w:val="44"/>
            </w:rPr>
            <w:t>第二部分 202</w:t>
          </w:r>
          <w:r>
            <w:rPr>
              <w:rFonts w:hint="eastAsia" w:ascii="方正小标宋简体" w:hAnsi="方正小标宋简体" w:eastAsia="方正小标宋简体" w:cs="方正小标宋简体"/>
              <w:szCs w:val="44"/>
              <w:lang w:val="en-US" w:eastAsia="zh-CN"/>
            </w:rPr>
            <w:t>3</w:t>
          </w:r>
          <w:r>
            <w:rPr>
              <w:rFonts w:hint="eastAsia" w:ascii="方正小标宋简体" w:hAnsi="方正小标宋简体" w:eastAsia="方正小标宋简体" w:cs="方正小标宋简体"/>
              <w:szCs w:val="44"/>
            </w:rPr>
            <w:t>年度单位决算情况说明</w:t>
          </w:r>
          <w:r>
            <w:tab/>
          </w:r>
          <w:r>
            <w:fldChar w:fldCharType="begin"/>
          </w:r>
          <w:r>
            <w:instrText xml:space="preserve"> PAGEREF _Toc20901 \h </w:instrText>
          </w:r>
          <w:r>
            <w:fldChar w:fldCharType="separate"/>
          </w:r>
          <w:r>
            <w:t>- 2 -</w:t>
          </w:r>
          <w:r>
            <w:fldChar w:fldCharType="end"/>
          </w:r>
          <w:r>
            <w:fldChar w:fldCharType="end"/>
          </w:r>
        </w:p>
        <w:p w14:paraId="28C95A0F">
          <w:pPr>
            <w:pStyle w:val="31"/>
            <w:tabs>
              <w:tab w:val="right" w:leader="dot" w:pos="8845"/>
            </w:tabs>
          </w:pPr>
          <w:r>
            <w:fldChar w:fldCharType="begin"/>
          </w:r>
          <w:r>
            <w:instrText xml:space="preserve"> HYPERLINK \l _Toc20291 </w:instrText>
          </w:r>
          <w:r>
            <w:fldChar w:fldCharType="separate"/>
          </w:r>
          <w:r>
            <w:rPr>
              <w:rFonts w:hint="eastAsia"/>
            </w:rPr>
            <w:t>一、 收入支出决算总体情况说明</w:t>
          </w:r>
          <w:r>
            <w:tab/>
          </w:r>
          <w:r>
            <w:fldChar w:fldCharType="begin"/>
          </w:r>
          <w:r>
            <w:instrText xml:space="preserve"> PAGEREF _Toc20291 \h </w:instrText>
          </w:r>
          <w:r>
            <w:fldChar w:fldCharType="separate"/>
          </w:r>
          <w:r>
            <w:t>- 3 -</w:t>
          </w:r>
          <w:r>
            <w:fldChar w:fldCharType="end"/>
          </w:r>
          <w:r>
            <w:fldChar w:fldCharType="end"/>
          </w:r>
        </w:p>
        <w:p w14:paraId="320A7C08">
          <w:pPr>
            <w:pStyle w:val="31"/>
            <w:tabs>
              <w:tab w:val="right" w:leader="dot" w:pos="8845"/>
            </w:tabs>
          </w:pPr>
          <w:r>
            <w:fldChar w:fldCharType="begin"/>
          </w:r>
          <w:r>
            <w:instrText xml:space="preserve"> HYPERLINK \l _Toc20683 </w:instrText>
          </w:r>
          <w:r>
            <w:fldChar w:fldCharType="separate"/>
          </w:r>
          <w:r>
            <w:rPr>
              <w:rFonts w:hint="eastAsia"/>
            </w:rPr>
            <w:t>二、 收入决算情况说明</w:t>
          </w:r>
          <w:r>
            <w:tab/>
          </w:r>
          <w:r>
            <w:fldChar w:fldCharType="begin"/>
          </w:r>
          <w:r>
            <w:instrText xml:space="preserve"> PAGEREF _Toc20683 \h </w:instrText>
          </w:r>
          <w:r>
            <w:fldChar w:fldCharType="separate"/>
          </w:r>
          <w:r>
            <w:t>- 3 -</w:t>
          </w:r>
          <w:r>
            <w:fldChar w:fldCharType="end"/>
          </w:r>
          <w:r>
            <w:fldChar w:fldCharType="end"/>
          </w:r>
        </w:p>
        <w:p w14:paraId="45D72DBE">
          <w:pPr>
            <w:pStyle w:val="31"/>
            <w:tabs>
              <w:tab w:val="right" w:leader="dot" w:pos="8845"/>
            </w:tabs>
          </w:pPr>
          <w:r>
            <w:fldChar w:fldCharType="begin"/>
          </w:r>
          <w:r>
            <w:instrText xml:space="preserve"> HYPERLINK \l _Toc5817 </w:instrText>
          </w:r>
          <w:r>
            <w:fldChar w:fldCharType="separate"/>
          </w:r>
          <w:r>
            <w:rPr>
              <w:rFonts w:hint="eastAsia"/>
            </w:rPr>
            <w:t>三、 支出决算情况说明</w:t>
          </w:r>
          <w:r>
            <w:tab/>
          </w:r>
          <w:r>
            <w:fldChar w:fldCharType="begin"/>
          </w:r>
          <w:r>
            <w:instrText xml:space="preserve"> PAGEREF _Toc5817 \h </w:instrText>
          </w:r>
          <w:r>
            <w:fldChar w:fldCharType="separate"/>
          </w:r>
          <w:r>
            <w:t>- 4 -</w:t>
          </w:r>
          <w:r>
            <w:fldChar w:fldCharType="end"/>
          </w:r>
          <w:r>
            <w:fldChar w:fldCharType="end"/>
          </w:r>
        </w:p>
        <w:p w14:paraId="72996B35">
          <w:pPr>
            <w:pStyle w:val="31"/>
            <w:tabs>
              <w:tab w:val="right" w:leader="dot" w:pos="8845"/>
            </w:tabs>
          </w:pPr>
          <w:r>
            <w:fldChar w:fldCharType="begin"/>
          </w:r>
          <w:r>
            <w:instrText xml:space="preserve"> HYPERLINK \l _Toc30792 </w:instrText>
          </w:r>
          <w:r>
            <w:fldChar w:fldCharType="separate"/>
          </w:r>
          <w:r>
            <w:rPr>
              <w:rFonts w:hint="eastAsia"/>
            </w:rPr>
            <w:t>四、 财政拨款收入支出决算总体情况说明</w:t>
          </w:r>
          <w:r>
            <w:tab/>
          </w:r>
          <w:r>
            <w:fldChar w:fldCharType="begin"/>
          </w:r>
          <w:r>
            <w:instrText xml:space="preserve"> PAGEREF _Toc30792 \h </w:instrText>
          </w:r>
          <w:r>
            <w:fldChar w:fldCharType="separate"/>
          </w:r>
          <w:r>
            <w:t>- 4 -</w:t>
          </w:r>
          <w:r>
            <w:fldChar w:fldCharType="end"/>
          </w:r>
          <w:r>
            <w:fldChar w:fldCharType="end"/>
          </w:r>
        </w:p>
        <w:p w14:paraId="79D0FDA8">
          <w:pPr>
            <w:pStyle w:val="31"/>
            <w:tabs>
              <w:tab w:val="right" w:leader="dot" w:pos="8845"/>
            </w:tabs>
          </w:pPr>
          <w:r>
            <w:fldChar w:fldCharType="begin"/>
          </w:r>
          <w:r>
            <w:instrText xml:space="preserve"> HYPERLINK \l _Toc16581 </w:instrText>
          </w:r>
          <w:r>
            <w:fldChar w:fldCharType="separate"/>
          </w:r>
          <w:r>
            <w:rPr>
              <w:rFonts w:hint="eastAsia"/>
            </w:rPr>
            <w:t>五、 一般公共预算财政拨款支出决算情况说明</w:t>
          </w:r>
          <w:r>
            <w:tab/>
          </w:r>
          <w:r>
            <w:fldChar w:fldCharType="begin"/>
          </w:r>
          <w:r>
            <w:instrText xml:space="preserve"> PAGEREF _Toc16581 \h </w:instrText>
          </w:r>
          <w:r>
            <w:fldChar w:fldCharType="separate"/>
          </w:r>
          <w:r>
            <w:t>- 5 -</w:t>
          </w:r>
          <w:r>
            <w:fldChar w:fldCharType="end"/>
          </w:r>
          <w:r>
            <w:fldChar w:fldCharType="end"/>
          </w:r>
        </w:p>
        <w:p w14:paraId="13DABE01">
          <w:pPr>
            <w:pStyle w:val="31"/>
            <w:tabs>
              <w:tab w:val="right" w:leader="dot" w:pos="8845"/>
            </w:tabs>
          </w:pPr>
          <w:r>
            <w:fldChar w:fldCharType="begin"/>
          </w:r>
          <w:r>
            <w:instrText xml:space="preserve"> HYPERLINK \l _Toc19013 </w:instrText>
          </w:r>
          <w:r>
            <w:fldChar w:fldCharType="separate"/>
          </w:r>
          <w:r>
            <w:rPr>
              <w:rFonts w:hint="eastAsia"/>
            </w:rPr>
            <w:t>六、 一般公共预算财政拨款基本支出决算情况说明</w:t>
          </w:r>
          <w:r>
            <w:tab/>
          </w:r>
          <w:r>
            <w:fldChar w:fldCharType="begin"/>
          </w:r>
          <w:r>
            <w:instrText xml:space="preserve"> PAGEREF _Toc19013 \h </w:instrText>
          </w:r>
          <w:r>
            <w:fldChar w:fldCharType="separate"/>
          </w:r>
          <w:r>
            <w:t>- 7 -</w:t>
          </w:r>
          <w:r>
            <w:fldChar w:fldCharType="end"/>
          </w:r>
          <w:r>
            <w:fldChar w:fldCharType="end"/>
          </w:r>
        </w:p>
        <w:p w14:paraId="1B5DEEB2">
          <w:pPr>
            <w:pStyle w:val="31"/>
            <w:tabs>
              <w:tab w:val="right" w:leader="dot" w:pos="8845"/>
            </w:tabs>
          </w:pPr>
          <w:r>
            <w:fldChar w:fldCharType="begin"/>
          </w:r>
          <w:r>
            <w:instrText xml:space="preserve"> HYPERLINK \l _Toc17805 </w:instrText>
          </w:r>
          <w:r>
            <w:fldChar w:fldCharType="separate"/>
          </w:r>
          <w:r>
            <w:rPr>
              <w:rFonts w:hint="eastAsia"/>
            </w:rPr>
            <w:t>七、 财政拨款“三公”经费支出决算情况说明</w:t>
          </w:r>
          <w:r>
            <w:tab/>
          </w:r>
          <w:r>
            <w:fldChar w:fldCharType="begin"/>
          </w:r>
          <w:r>
            <w:instrText xml:space="preserve"> PAGEREF _Toc17805 \h </w:instrText>
          </w:r>
          <w:r>
            <w:fldChar w:fldCharType="separate"/>
          </w:r>
          <w:r>
            <w:t>- 7 -</w:t>
          </w:r>
          <w:r>
            <w:fldChar w:fldCharType="end"/>
          </w:r>
          <w:r>
            <w:fldChar w:fldCharType="end"/>
          </w:r>
        </w:p>
        <w:p w14:paraId="2234BC8A">
          <w:pPr>
            <w:pStyle w:val="31"/>
            <w:tabs>
              <w:tab w:val="right" w:leader="dot" w:pos="8845"/>
            </w:tabs>
          </w:pPr>
          <w:r>
            <w:fldChar w:fldCharType="begin"/>
          </w:r>
          <w:r>
            <w:instrText xml:space="preserve"> HYPERLINK \l _Toc2639 </w:instrText>
          </w:r>
          <w:r>
            <w:fldChar w:fldCharType="separate"/>
          </w:r>
          <w:r>
            <w:rPr>
              <w:rFonts w:hint="eastAsia"/>
            </w:rPr>
            <w:t>八、 政府性基金预算支出决算情况说明</w:t>
          </w:r>
          <w:r>
            <w:tab/>
          </w:r>
          <w:r>
            <w:fldChar w:fldCharType="begin"/>
          </w:r>
          <w:r>
            <w:instrText xml:space="preserve"> PAGEREF _Toc2639 \h </w:instrText>
          </w:r>
          <w:r>
            <w:fldChar w:fldCharType="separate"/>
          </w:r>
          <w:r>
            <w:t>- 9 -</w:t>
          </w:r>
          <w:r>
            <w:fldChar w:fldCharType="end"/>
          </w:r>
          <w:r>
            <w:fldChar w:fldCharType="end"/>
          </w:r>
        </w:p>
        <w:p w14:paraId="17D51FF2">
          <w:pPr>
            <w:pStyle w:val="31"/>
            <w:tabs>
              <w:tab w:val="right" w:leader="dot" w:pos="8845"/>
            </w:tabs>
          </w:pPr>
          <w:r>
            <w:fldChar w:fldCharType="begin"/>
          </w:r>
          <w:r>
            <w:instrText xml:space="preserve"> HYPERLINK \l _Toc24165 </w:instrText>
          </w:r>
          <w:r>
            <w:fldChar w:fldCharType="separate"/>
          </w:r>
          <w:r>
            <w:rPr>
              <w:rFonts w:hint="eastAsia"/>
            </w:rPr>
            <w:t>九、 国有资本经营预算支出决算情况说明</w:t>
          </w:r>
          <w:r>
            <w:tab/>
          </w:r>
          <w:r>
            <w:fldChar w:fldCharType="begin"/>
          </w:r>
          <w:r>
            <w:instrText xml:space="preserve"> PAGEREF _Toc24165 \h </w:instrText>
          </w:r>
          <w:r>
            <w:fldChar w:fldCharType="separate"/>
          </w:r>
          <w:r>
            <w:t>- 9 -</w:t>
          </w:r>
          <w:r>
            <w:fldChar w:fldCharType="end"/>
          </w:r>
          <w:r>
            <w:fldChar w:fldCharType="end"/>
          </w:r>
        </w:p>
        <w:p w14:paraId="551EDE1B">
          <w:pPr>
            <w:pStyle w:val="31"/>
            <w:tabs>
              <w:tab w:val="right" w:leader="dot" w:pos="8845"/>
            </w:tabs>
          </w:pPr>
          <w:r>
            <w:fldChar w:fldCharType="begin"/>
          </w:r>
          <w:r>
            <w:instrText xml:space="preserve"> HYPERLINK \l _Toc26750 </w:instrText>
          </w:r>
          <w:r>
            <w:fldChar w:fldCharType="separate"/>
          </w:r>
          <w:r>
            <w:rPr>
              <w:rFonts w:hint="eastAsia"/>
            </w:rPr>
            <w:t>十、 其他重要事项的情况说明</w:t>
          </w:r>
          <w:r>
            <w:tab/>
          </w:r>
          <w:r>
            <w:fldChar w:fldCharType="begin"/>
          </w:r>
          <w:r>
            <w:instrText xml:space="preserve"> PAGEREF _Toc26750 \h </w:instrText>
          </w:r>
          <w:r>
            <w:fldChar w:fldCharType="separate"/>
          </w:r>
          <w:r>
            <w:t>- 9 -</w:t>
          </w:r>
          <w:r>
            <w:fldChar w:fldCharType="end"/>
          </w:r>
          <w:r>
            <w:fldChar w:fldCharType="end"/>
          </w:r>
        </w:p>
        <w:p w14:paraId="48EBE234">
          <w:pPr>
            <w:pStyle w:val="30"/>
            <w:tabs>
              <w:tab w:val="right" w:leader="dot" w:pos="8845"/>
            </w:tabs>
            <w:rPr>
              <w:b/>
            </w:rPr>
          </w:pPr>
          <w:r>
            <w:rPr>
              <w:b/>
            </w:rPr>
            <w:fldChar w:fldCharType="begin"/>
          </w:r>
          <w:r>
            <w:rPr>
              <w:b/>
            </w:rPr>
            <w:instrText xml:space="preserve"> HYPERLINK \l _Toc11988 </w:instrText>
          </w:r>
          <w:r>
            <w:rPr>
              <w:b/>
            </w:rPr>
            <w:fldChar w:fldCharType="separate"/>
          </w:r>
          <w:r>
            <w:rPr>
              <w:rFonts w:hint="eastAsia" w:ascii="方正小标宋简体" w:hAnsi="方正小标宋简体" w:eastAsia="方正小标宋简体" w:cs="方正小标宋简体"/>
              <w:b/>
              <w:szCs w:val="44"/>
              <w:lang w:val="en-US" w:eastAsia="zh-CN"/>
            </w:rPr>
            <w:t xml:space="preserve">第三部分 </w:t>
          </w:r>
          <w:r>
            <w:rPr>
              <w:rFonts w:hint="eastAsia" w:ascii="方正小标宋简体" w:hAnsi="方正小标宋简体" w:eastAsia="方正小标宋简体" w:cs="方正小标宋简体"/>
              <w:b/>
              <w:szCs w:val="44"/>
            </w:rPr>
            <w:t>名词解释</w:t>
          </w:r>
          <w:r>
            <w:rPr>
              <w:b/>
            </w:rPr>
            <w:tab/>
          </w:r>
          <w:r>
            <w:rPr>
              <w:b/>
            </w:rPr>
            <w:fldChar w:fldCharType="begin"/>
          </w:r>
          <w:r>
            <w:rPr>
              <w:b/>
            </w:rPr>
            <w:instrText xml:space="preserve"> PAGEREF _Toc11988 \h </w:instrText>
          </w:r>
          <w:r>
            <w:rPr>
              <w:b/>
            </w:rPr>
            <w:fldChar w:fldCharType="separate"/>
          </w:r>
          <w:r>
            <w:rPr>
              <w:b/>
            </w:rPr>
            <w:t>- 11 -</w:t>
          </w:r>
          <w:r>
            <w:rPr>
              <w:b/>
            </w:rPr>
            <w:fldChar w:fldCharType="end"/>
          </w:r>
          <w:r>
            <w:rPr>
              <w:b/>
            </w:rPr>
            <w:fldChar w:fldCharType="end"/>
          </w:r>
        </w:p>
        <w:p w14:paraId="6C0E1562">
          <w:pPr>
            <w:pStyle w:val="30"/>
            <w:tabs>
              <w:tab w:val="right" w:leader="dot" w:pos="8845"/>
            </w:tabs>
            <w:rPr>
              <w:b/>
            </w:rPr>
          </w:pPr>
          <w:r>
            <w:rPr>
              <w:b/>
            </w:rPr>
            <w:fldChar w:fldCharType="begin"/>
          </w:r>
          <w:r>
            <w:rPr>
              <w:b/>
            </w:rPr>
            <w:instrText xml:space="preserve"> HYPERLINK \l _Toc13002 </w:instrText>
          </w:r>
          <w:r>
            <w:rPr>
              <w:b/>
            </w:rPr>
            <w:fldChar w:fldCharType="separate"/>
          </w:r>
          <w:r>
            <w:rPr>
              <w:rFonts w:hint="eastAsia"/>
              <w:b/>
            </w:rPr>
            <w:t>第四部分 附件</w:t>
          </w:r>
          <w:r>
            <w:rPr>
              <w:b/>
            </w:rPr>
            <w:tab/>
          </w:r>
          <w:r>
            <w:rPr>
              <w:b/>
            </w:rPr>
            <w:fldChar w:fldCharType="begin"/>
          </w:r>
          <w:r>
            <w:rPr>
              <w:b/>
            </w:rPr>
            <w:instrText xml:space="preserve"> PAGEREF _Toc13002 \h </w:instrText>
          </w:r>
          <w:r>
            <w:rPr>
              <w:b/>
            </w:rPr>
            <w:fldChar w:fldCharType="separate"/>
          </w:r>
          <w:r>
            <w:rPr>
              <w:b/>
            </w:rPr>
            <w:t>- 13 -</w:t>
          </w:r>
          <w:r>
            <w:rPr>
              <w:b/>
            </w:rPr>
            <w:fldChar w:fldCharType="end"/>
          </w:r>
          <w:r>
            <w:rPr>
              <w:b/>
            </w:rPr>
            <w:fldChar w:fldCharType="end"/>
          </w:r>
        </w:p>
        <w:p w14:paraId="324D638E">
          <w:pPr>
            <w:pStyle w:val="30"/>
            <w:tabs>
              <w:tab w:val="right" w:leader="dot" w:pos="8845"/>
            </w:tabs>
            <w:rPr>
              <w:b/>
            </w:rPr>
          </w:pPr>
          <w:r>
            <w:rPr>
              <w:b/>
            </w:rPr>
            <w:fldChar w:fldCharType="begin"/>
          </w:r>
          <w:r>
            <w:rPr>
              <w:b/>
            </w:rPr>
            <w:instrText xml:space="preserve"> HYPERLINK \l _Toc13138 </w:instrText>
          </w:r>
          <w:r>
            <w:rPr>
              <w:b/>
            </w:rPr>
            <w:fldChar w:fldCharType="separate"/>
          </w:r>
          <w:r>
            <w:rPr>
              <w:rFonts w:hint="eastAsia" w:ascii="方正小标宋简体" w:hAnsi="方正小标宋简体" w:eastAsia="方正小标宋简体" w:cs="方正小标宋简体"/>
              <w:b/>
              <w:bCs w:val="0"/>
            </w:rPr>
            <w:t>第五部分 附表</w:t>
          </w:r>
          <w:r>
            <w:rPr>
              <w:b/>
            </w:rPr>
            <w:tab/>
          </w:r>
          <w:r>
            <w:rPr>
              <w:b/>
            </w:rPr>
            <w:fldChar w:fldCharType="begin"/>
          </w:r>
          <w:r>
            <w:rPr>
              <w:b/>
            </w:rPr>
            <w:instrText xml:space="preserve"> PAGEREF _Toc13138 \h </w:instrText>
          </w:r>
          <w:r>
            <w:rPr>
              <w:b/>
            </w:rPr>
            <w:fldChar w:fldCharType="separate"/>
          </w:r>
          <w:r>
            <w:rPr>
              <w:b/>
            </w:rPr>
            <w:t>- 33 -</w:t>
          </w:r>
          <w:r>
            <w:rPr>
              <w:b/>
            </w:rPr>
            <w:fldChar w:fldCharType="end"/>
          </w:r>
          <w:r>
            <w:rPr>
              <w:b/>
            </w:rPr>
            <w:fldChar w:fldCharType="end"/>
          </w:r>
        </w:p>
        <w:p w14:paraId="7B9544C7">
          <w:pPr>
            <w:pStyle w:val="31"/>
            <w:tabs>
              <w:tab w:val="right" w:leader="dot" w:pos="8845"/>
            </w:tabs>
          </w:pPr>
          <w:r>
            <w:fldChar w:fldCharType="begin"/>
          </w:r>
          <w:r>
            <w:instrText xml:space="preserve"> HYPERLINK \l _Toc915 </w:instrText>
          </w:r>
          <w:r>
            <w:fldChar w:fldCharType="separate"/>
          </w:r>
          <w:r>
            <w:rPr>
              <w:rFonts w:hint="eastAsia" w:ascii="仿宋_GB2312" w:hAnsi="仿宋_GB2312" w:eastAsia="仿宋_GB2312" w:cs="仿宋_GB2312"/>
              <w:szCs w:val="32"/>
            </w:rPr>
            <w:t>一、收入支出决算总表</w:t>
          </w:r>
          <w:r>
            <w:tab/>
          </w:r>
          <w:r>
            <w:fldChar w:fldCharType="begin"/>
          </w:r>
          <w:r>
            <w:instrText xml:space="preserve"> PAGEREF _Toc915 \h </w:instrText>
          </w:r>
          <w:r>
            <w:fldChar w:fldCharType="separate"/>
          </w:r>
          <w:r>
            <w:t>- 33 -</w:t>
          </w:r>
          <w:r>
            <w:fldChar w:fldCharType="end"/>
          </w:r>
          <w:r>
            <w:fldChar w:fldCharType="end"/>
          </w:r>
        </w:p>
        <w:p w14:paraId="52F00B6C">
          <w:pPr>
            <w:pStyle w:val="31"/>
            <w:tabs>
              <w:tab w:val="right" w:leader="dot" w:pos="8845"/>
            </w:tabs>
          </w:pPr>
          <w:r>
            <w:fldChar w:fldCharType="begin"/>
          </w:r>
          <w:r>
            <w:instrText xml:space="preserve"> HYPERLINK \l _Toc16695 </w:instrText>
          </w:r>
          <w:r>
            <w:fldChar w:fldCharType="separate"/>
          </w:r>
          <w:r>
            <w:rPr>
              <w:rFonts w:hint="eastAsia" w:ascii="仿宋_GB2312" w:hAnsi="仿宋_GB2312" w:eastAsia="仿宋_GB2312" w:cs="仿宋_GB2312"/>
              <w:szCs w:val="32"/>
            </w:rPr>
            <w:t>二、收入决算表</w:t>
          </w:r>
          <w:r>
            <w:tab/>
          </w:r>
          <w:r>
            <w:fldChar w:fldCharType="begin"/>
          </w:r>
          <w:r>
            <w:instrText xml:space="preserve"> PAGEREF _Toc16695 \h </w:instrText>
          </w:r>
          <w:r>
            <w:fldChar w:fldCharType="separate"/>
          </w:r>
          <w:r>
            <w:t>- 33 -</w:t>
          </w:r>
          <w:r>
            <w:fldChar w:fldCharType="end"/>
          </w:r>
          <w:r>
            <w:fldChar w:fldCharType="end"/>
          </w:r>
        </w:p>
        <w:p w14:paraId="297B76A1">
          <w:pPr>
            <w:pStyle w:val="31"/>
            <w:tabs>
              <w:tab w:val="right" w:leader="dot" w:pos="8845"/>
            </w:tabs>
          </w:pPr>
          <w:r>
            <w:fldChar w:fldCharType="begin"/>
          </w:r>
          <w:r>
            <w:instrText xml:space="preserve"> HYPERLINK \l _Toc20804 </w:instrText>
          </w:r>
          <w:r>
            <w:fldChar w:fldCharType="separate"/>
          </w:r>
          <w:r>
            <w:rPr>
              <w:rFonts w:hint="eastAsia" w:ascii="仿宋_GB2312" w:hAnsi="仿宋_GB2312" w:eastAsia="仿宋_GB2312" w:cs="仿宋_GB2312"/>
              <w:szCs w:val="32"/>
            </w:rPr>
            <w:t>三、支出决算表</w:t>
          </w:r>
          <w:r>
            <w:tab/>
          </w:r>
          <w:r>
            <w:fldChar w:fldCharType="begin"/>
          </w:r>
          <w:r>
            <w:instrText xml:space="preserve"> PAGEREF _Toc20804 \h </w:instrText>
          </w:r>
          <w:r>
            <w:fldChar w:fldCharType="separate"/>
          </w:r>
          <w:r>
            <w:t>- 33 -</w:t>
          </w:r>
          <w:r>
            <w:fldChar w:fldCharType="end"/>
          </w:r>
          <w:r>
            <w:fldChar w:fldCharType="end"/>
          </w:r>
        </w:p>
        <w:p w14:paraId="0ACDFB0D">
          <w:pPr>
            <w:pStyle w:val="31"/>
            <w:tabs>
              <w:tab w:val="right" w:leader="dot" w:pos="8845"/>
            </w:tabs>
          </w:pPr>
          <w:r>
            <w:fldChar w:fldCharType="begin"/>
          </w:r>
          <w:r>
            <w:instrText xml:space="preserve"> HYPERLINK \l _Toc2463 </w:instrText>
          </w:r>
          <w:r>
            <w:fldChar w:fldCharType="separate"/>
          </w:r>
          <w:r>
            <w:rPr>
              <w:rFonts w:hint="eastAsia" w:ascii="仿宋_GB2312" w:hAnsi="仿宋_GB2312" w:eastAsia="仿宋_GB2312" w:cs="仿宋_GB2312"/>
              <w:szCs w:val="32"/>
            </w:rPr>
            <w:t>四、财政拨款收入支出决算总表</w:t>
          </w:r>
          <w:r>
            <w:tab/>
          </w:r>
          <w:r>
            <w:fldChar w:fldCharType="begin"/>
          </w:r>
          <w:r>
            <w:instrText xml:space="preserve"> PAGEREF _Toc2463 \h </w:instrText>
          </w:r>
          <w:r>
            <w:fldChar w:fldCharType="separate"/>
          </w:r>
          <w:r>
            <w:t>- 33 -</w:t>
          </w:r>
          <w:r>
            <w:fldChar w:fldCharType="end"/>
          </w:r>
          <w:r>
            <w:fldChar w:fldCharType="end"/>
          </w:r>
        </w:p>
        <w:p w14:paraId="2844E050">
          <w:pPr>
            <w:pStyle w:val="31"/>
            <w:tabs>
              <w:tab w:val="right" w:leader="dot" w:pos="8845"/>
            </w:tabs>
          </w:pPr>
          <w:r>
            <w:fldChar w:fldCharType="begin"/>
          </w:r>
          <w:r>
            <w:instrText xml:space="preserve"> HYPERLINK \l _Toc7354 </w:instrText>
          </w:r>
          <w:r>
            <w:fldChar w:fldCharType="separate"/>
          </w:r>
          <w:r>
            <w:rPr>
              <w:rFonts w:hint="eastAsia" w:ascii="仿宋_GB2312" w:hAnsi="仿宋_GB2312" w:eastAsia="仿宋_GB2312" w:cs="仿宋_GB2312"/>
              <w:szCs w:val="32"/>
            </w:rPr>
            <w:t>五、财政拨款支出决算明细表</w:t>
          </w:r>
          <w:r>
            <w:tab/>
          </w:r>
          <w:r>
            <w:fldChar w:fldCharType="begin"/>
          </w:r>
          <w:r>
            <w:instrText xml:space="preserve"> PAGEREF _Toc7354 \h </w:instrText>
          </w:r>
          <w:r>
            <w:fldChar w:fldCharType="separate"/>
          </w:r>
          <w:r>
            <w:t>- 33 -</w:t>
          </w:r>
          <w:r>
            <w:fldChar w:fldCharType="end"/>
          </w:r>
          <w:r>
            <w:fldChar w:fldCharType="end"/>
          </w:r>
        </w:p>
        <w:p w14:paraId="5F15CD68">
          <w:pPr>
            <w:pStyle w:val="31"/>
            <w:tabs>
              <w:tab w:val="right" w:leader="dot" w:pos="8845"/>
            </w:tabs>
          </w:pPr>
          <w:r>
            <w:fldChar w:fldCharType="begin"/>
          </w:r>
          <w:r>
            <w:instrText xml:space="preserve"> HYPERLINK \l _Toc3544 </w:instrText>
          </w:r>
          <w:r>
            <w:fldChar w:fldCharType="separate"/>
          </w:r>
          <w:r>
            <w:rPr>
              <w:rFonts w:hint="eastAsia" w:ascii="仿宋_GB2312" w:hAnsi="仿宋_GB2312" w:eastAsia="仿宋_GB2312" w:cs="仿宋_GB2312"/>
              <w:szCs w:val="32"/>
            </w:rPr>
            <w:t>六、一般公共预算财政拨款支出决算表</w:t>
          </w:r>
          <w:r>
            <w:tab/>
          </w:r>
          <w:r>
            <w:fldChar w:fldCharType="begin"/>
          </w:r>
          <w:r>
            <w:instrText xml:space="preserve"> PAGEREF _Toc3544 \h </w:instrText>
          </w:r>
          <w:r>
            <w:fldChar w:fldCharType="separate"/>
          </w:r>
          <w:r>
            <w:t>- 33 -</w:t>
          </w:r>
          <w:r>
            <w:fldChar w:fldCharType="end"/>
          </w:r>
          <w:r>
            <w:fldChar w:fldCharType="end"/>
          </w:r>
        </w:p>
        <w:p w14:paraId="76A1EBC0">
          <w:pPr>
            <w:pStyle w:val="31"/>
            <w:tabs>
              <w:tab w:val="right" w:leader="dot" w:pos="8845"/>
            </w:tabs>
          </w:pPr>
          <w:r>
            <w:fldChar w:fldCharType="begin"/>
          </w:r>
          <w:r>
            <w:instrText xml:space="preserve"> HYPERLINK \l _Toc24159 </w:instrText>
          </w:r>
          <w:r>
            <w:fldChar w:fldCharType="separate"/>
          </w:r>
          <w:r>
            <w:rPr>
              <w:rFonts w:hint="eastAsia" w:ascii="仿宋_GB2312" w:hAnsi="仿宋_GB2312" w:eastAsia="仿宋_GB2312" w:cs="仿宋_GB2312"/>
              <w:szCs w:val="32"/>
            </w:rPr>
            <w:t>七、一般公共预算财政拨款支出决算明细表</w:t>
          </w:r>
          <w:r>
            <w:tab/>
          </w:r>
          <w:r>
            <w:fldChar w:fldCharType="begin"/>
          </w:r>
          <w:r>
            <w:instrText xml:space="preserve"> PAGEREF _Toc24159 \h </w:instrText>
          </w:r>
          <w:r>
            <w:fldChar w:fldCharType="separate"/>
          </w:r>
          <w:r>
            <w:t>- 33 -</w:t>
          </w:r>
          <w:r>
            <w:fldChar w:fldCharType="end"/>
          </w:r>
          <w:r>
            <w:fldChar w:fldCharType="end"/>
          </w:r>
        </w:p>
        <w:p w14:paraId="6272B03B">
          <w:pPr>
            <w:pStyle w:val="31"/>
            <w:tabs>
              <w:tab w:val="right" w:leader="dot" w:pos="8845"/>
            </w:tabs>
          </w:pPr>
          <w:r>
            <w:fldChar w:fldCharType="begin"/>
          </w:r>
          <w:r>
            <w:instrText xml:space="preserve"> HYPERLINK \l _Toc22417 </w:instrText>
          </w:r>
          <w:r>
            <w:fldChar w:fldCharType="separate"/>
          </w:r>
          <w:r>
            <w:rPr>
              <w:rFonts w:hint="eastAsia" w:ascii="仿宋_GB2312" w:hAnsi="仿宋_GB2312" w:eastAsia="仿宋_GB2312" w:cs="仿宋_GB2312"/>
              <w:szCs w:val="32"/>
            </w:rPr>
            <w:t>八、一般公共预算财政拨款基本支出决算表</w:t>
          </w:r>
          <w:r>
            <w:tab/>
          </w:r>
          <w:r>
            <w:fldChar w:fldCharType="begin"/>
          </w:r>
          <w:r>
            <w:instrText xml:space="preserve"> PAGEREF _Toc22417 \h </w:instrText>
          </w:r>
          <w:r>
            <w:fldChar w:fldCharType="separate"/>
          </w:r>
          <w:r>
            <w:t>- 33 -</w:t>
          </w:r>
          <w:r>
            <w:fldChar w:fldCharType="end"/>
          </w:r>
          <w:r>
            <w:fldChar w:fldCharType="end"/>
          </w:r>
        </w:p>
        <w:p w14:paraId="67D02912">
          <w:pPr>
            <w:pStyle w:val="31"/>
            <w:tabs>
              <w:tab w:val="right" w:leader="dot" w:pos="8845"/>
            </w:tabs>
          </w:pPr>
          <w:r>
            <w:fldChar w:fldCharType="begin"/>
          </w:r>
          <w:r>
            <w:instrText xml:space="preserve"> HYPERLINK \l _Toc26710 </w:instrText>
          </w:r>
          <w:r>
            <w:fldChar w:fldCharType="separate"/>
          </w:r>
          <w:r>
            <w:rPr>
              <w:rFonts w:hint="eastAsia" w:ascii="仿宋_GB2312" w:hAnsi="仿宋_GB2312" w:eastAsia="仿宋_GB2312" w:cs="仿宋_GB2312"/>
              <w:szCs w:val="32"/>
            </w:rPr>
            <w:t>九、一般公共预算财政拨款项目支出决算表</w:t>
          </w:r>
          <w:r>
            <w:tab/>
          </w:r>
          <w:r>
            <w:fldChar w:fldCharType="begin"/>
          </w:r>
          <w:r>
            <w:instrText xml:space="preserve"> PAGEREF _Toc26710 \h </w:instrText>
          </w:r>
          <w:r>
            <w:fldChar w:fldCharType="separate"/>
          </w:r>
          <w:r>
            <w:t>- 33 -</w:t>
          </w:r>
          <w:r>
            <w:fldChar w:fldCharType="end"/>
          </w:r>
          <w:r>
            <w:fldChar w:fldCharType="end"/>
          </w:r>
        </w:p>
        <w:p w14:paraId="576231C2">
          <w:pPr>
            <w:pStyle w:val="31"/>
            <w:tabs>
              <w:tab w:val="right" w:leader="dot" w:pos="8845"/>
            </w:tabs>
          </w:pPr>
          <w:r>
            <w:fldChar w:fldCharType="begin"/>
          </w:r>
          <w:r>
            <w:instrText xml:space="preserve"> HYPERLINK \l _Toc19177 </w:instrText>
          </w:r>
          <w:r>
            <w:fldChar w:fldCharType="separate"/>
          </w:r>
          <w:r>
            <w:rPr>
              <w:rFonts w:hint="eastAsia" w:ascii="仿宋_GB2312" w:hAnsi="仿宋_GB2312" w:eastAsia="仿宋_GB2312" w:cs="仿宋_GB2312"/>
              <w:szCs w:val="32"/>
            </w:rPr>
            <w:t>十、政府性基金预算财政拨款收入支出决算表</w:t>
          </w:r>
          <w:r>
            <w:tab/>
          </w:r>
          <w:r>
            <w:fldChar w:fldCharType="begin"/>
          </w:r>
          <w:r>
            <w:instrText xml:space="preserve"> PAGEREF _Toc19177 \h </w:instrText>
          </w:r>
          <w:r>
            <w:fldChar w:fldCharType="separate"/>
          </w:r>
          <w:r>
            <w:t>- 33 -</w:t>
          </w:r>
          <w:r>
            <w:fldChar w:fldCharType="end"/>
          </w:r>
          <w:r>
            <w:fldChar w:fldCharType="end"/>
          </w:r>
        </w:p>
        <w:p w14:paraId="07A8CA0C">
          <w:pPr>
            <w:pStyle w:val="31"/>
            <w:tabs>
              <w:tab w:val="right" w:leader="dot" w:pos="8845"/>
            </w:tabs>
          </w:pPr>
          <w:r>
            <w:fldChar w:fldCharType="begin"/>
          </w:r>
          <w:r>
            <w:instrText xml:space="preserve"> HYPERLINK \l _Toc1721 </w:instrText>
          </w:r>
          <w:r>
            <w:fldChar w:fldCharType="separate"/>
          </w:r>
          <w:r>
            <w:rPr>
              <w:rFonts w:hint="eastAsia" w:ascii="仿宋_GB2312" w:hAnsi="仿宋_GB2312" w:eastAsia="仿宋_GB2312" w:cs="仿宋_GB2312"/>
              <w:szCs w:val="32"/>
            </w:rPr>
            <w:t>十一、国有资本经营预算财政拨款收入支出决算表</w:t>
          </w:r>
          <w:r>
            <w:tab/>
          </w:r>
          <w:r>
            <w:fldChar w:fldCharType="begin"/>
          </w:r>
          <w:r>
            <w:instrText xml:space="preserve"> PAGEREF _Toc1721 \h </w:instrText>
          </w:r>
          <w:r>
            <w:fldChar w:fldCharType="separate"/>
          </w:r>
          <w:r>
            <w:t>- 33 -</w:t>
          </w:r>
          <w:r>
            <w:fldChar w:fldCharType="end"/>
          </w:r>
          <w:r>
            <w:fldChar w:fldCharType="end"/>
          </w:r>
        </w:p>
        <w:p w14:paraId="62E5D378">
          <w:pPr>
            <w:pStyle w:val="31"/>
            <w:tabs>
              <w:tab w:val="right" w:leader="dot" w:pos="8845"/>
            </w:tabs>
          </w:pPr>
          <w:r>
            <w:fldChar w:fldCharType="begin"/>
          </w:r>
          <w:r>
            <w:instrText xml:space="preserve"> HYPERLINK \l _Toc547 </w:instrText>
          </w:r>
          <w:r>
            <w:fldChar w:fldCharType="separate"/>
          </w:r>
          <w:r>
            <w:rPr>
              <w:rFonts w:hint="eastAsia" w:ascii="仿宋_GB2312" w:hAnsi="仿宋_GB2312" w:eastAsia="仿宋_GB2312" w:cs="仿宋_GB2312"/>
              <w:szCs w:val="32"/>
            </w:rPr>
            <w:t>十二、国有资本经营预算财政拨款支出决算表</w:t>
          </w:r>
          <w:r>
            <w:tab/>
          </w:r>
          <w:r>
            <w:fldChar w:fldCharType="begin"/>
          </w:r>
          <w:r>
            <w:instrText xml:space="preserve"> PAGEREF _Toc547 \h </w:instrText>
          </w:r>
          <w:r>
            <w:fldChar w:fldCharType="separate"/>
          </w:r>
          <w:r>
            <w:t>- 33 -</w:t>
          </w:r>
          <w:r>
            <w:fldChar w:fldCharType="end"/>
          </w:r>
          <w:r>
            <w:fldChar w:fldCharType="end"/>
          </w:r>
        </w:p>
        <w:p w14:paraId="56D5C506">
          <w:pPr>
            <w:pStyle w:val="31"/>
            <w:tabs>
              <w:tab w:val="right" w:leader="dot" w:pos="8845"/>
            </w:tabs>
          </w:pPr>
          <w:r>
            <w:fldChar w:fldCharType="begin"/>
          </w:r>
          <w:r>
            <w:instrText xml:space="preserve"> HYPERLINK \l _Toc14089 </w:instrText>
          </w:r>
          <w:r>
            <w:fldChar w:fldCharType="separate"/>
          </w:r>
          <w:r>
            <w:rPr>
              <w:rFonts w:hint="eastAsia" w:ascii="仿宋_GB2312" w:hAnsi="仿宋_GB2312" w:eastAsia="仿宋_GB2312" w:cs="仿宋_GB2312"/>
              <w:szCs w:val="32"/>
            </w:rPr>
            <w:t>十三、财政拨款“三公”经费支出决算表</w:t>
          </w:r>
          <w:r>
            <w:tab/>
          </w:r>
          <w:r>
            <w:fldChar w:fldCharType="begin"/>
          </w:r>
          <w:r>
            <w:instrText xml:space="preserve"> PAGEREF _Toc14089 \h </w:instrText>
          </w:r>
          <w:r>
            <w:fldChar w:fldCharType="separate"/>
          </w:r>
          <w:r>
            <w:t>- 33 -</w:t>
          </w:r>
          <w:r>
            <w:fldChar w:fldCharType="end"/>
          </w:r>
          <w:r>
            <w:fldChar w:fldCharType="end"/>
          </w:r>
        </w:p>
        <w:p w14:paraId="4A2C08D6">
          <w:pPr>
            <w:rPr>
              <w:b/>
            </w:rPr>
          </w:pPr>
          <w:r>
            <w:rPr>
              <w:b/>
            </w:rPr>
            <w:fldChar w:fldCharType="end"/>
          </w:r>
        </w:p>
      </w:sdtContent>
    </w:sdt>
    <w:p w14:paraId="740D31C8">
      <w:pPr>
        <w:rPr>
          <w:b/>
        </w:rPr>
      </w:pPr>
    </w:p>
    <w:p w14:paraId="5AE665C9">
      <w:pPr>
        <w:rPr>
          <w:b/>
        </w:rPr>
      </w:pPr>
      <w:r>
        <w:rPr>
          <w:b/>
        </w:rPr>
        <w:br w:type="page"/>
      </w:r>
    </w:p>
    <w:p w14:paraId="3F57448C">
      <w:pPr>
        <w:rPr>
          <w:b/>
        </w:rPr>
      </w:pPr>
    </w:p>
    <w:p w14:paraId="51B2E800">
      <w:pPr>
        <w:pStyle w:val="2"/>
        <w:numPr>
          <w:ilvl w:val="0"/>
          <w:numId w:val="1"/>
        </w:numPr>
        <w:bidi w:val="0"/>
        <w:jc w:val="center"/>
        <w:rPr>
          <w:rFonts w:hint="eastAsia" w:ascii="方正小标宋简体" w:hAnsi="方正小标宋简体" w:eastAsia="方正小标宋简体" w:cs="方正小标宋简体"/>
          <w:b w:val="0"/>
          <w:bCs w:val="0"/>
          <w:sz w:val="44"/>
          <w:szCs w:val="44"/>
        </w:rPr>
      </w:pPr>
      <w:bookmarkStart w:id="2" w:name="_Toc14730"/>
      <w:r>
        <w:rPr>
          <w:rFonts w:hint="eastAsia" w:ascii="方正小标宋简体" w:hAnsi="方正小标宋简体" w:eastAsia="方正小标宋简体" w:cs="方正小标宋简体"/>
          <w:b w:val="0"/>
          <w:bCs w:val="0"/>
          <w:sz w:val="44"/>
          <w:szCs w:val="44"/>
        </w:rPr>
        <w:t>单位概况</w:t>
      </w:r>
      <w:bookmarkEnd w:id="2"/>
    </w:p>
    <w:p w14:paraId="6F3509E2">
      <w:pPr>
        <w:numPr>
          <w:ilvl w:val="0"/>
          <w:numId w:val="0"/>
        </w:numPr>
        <w:rPr>
          <w:rFonts w:hint="eastAsia"/>
        </w:rPr>
      </w:pPr>
    </w:p>
    <w:p w14:paraId="27B92F72">
      <w:pPr>
        <w:pStyle w:val="3"/>
        <w:pageBreakBefore w:val="0"/>
        <w:widowControl w:val="0"/>
        <w:kinsoku/>
        <w:wordWrap/>
        <w:overflowPunct/>
        <w:topLinePunct w:val="0"/>
        <w:autoSpaceDE/>
        <w:autoSpaceDN/>
        <w:bidi w:val="0"/>
        <w:adjustRightInd/>
        <w:snapToGrid/>
        <w:textAlignment w:val="auto"/>
      </w:pPr>
      <w:bookmarkStart w:id="3" w:name="_Toc22415"/>
      <w:bookmarkStart w:id="4" w:name="_Toc26173"/>
      <w:bookmarkStart w:id="5" w:name="_Toc15377197"/>
      <w:bookmarkStart w:id="6" w:name="_Toc15396600"/>
      <w:r>
        <w:rPr>
          <w:rFonts w:hint="eastAsia"/>
          <w:lang w:val="en-US" w:eastAsia="zh-CN"/>
        </w:rPr>
        <w:t>一、</w:t>
      </w:r>
      <w:r>
        <w:rPr>
          <w:rFonts w:hint="eastAsia"/>
        </w:rPr>
        <w:t>主要职责</w:t>
      </w:r>
      <w:bookmarkEnd w:id="3"/>
      <w:bookmarkEnd w:id="4"/>
    </w:p>
    <w:p w14:paraId="157D25FE">
      <w:pPr>
        <w:keepNext w:val="0"/>
        <w:keepLines w:val="0"/>
        <w:pageBreakBefore w:val="0"/>
        <w:widowControl w:val="0"/>
        <w:kinsoku/>
        <w:wordWrap/>
        <w:overflowPunct/>
        <w:topLinePunct w:val="0"/>
        <w:autoSpaceDE/>
        <w:autoSpaceDN/>
        <w:bidi w:val="0"/>
        <w:adjustRightInd/>
        <w:snapToGrid/>
        <w:spacing w:line="576" w:lineRule="exact"/>
        <w:ind w:firstLine="616" w:firstLineChars="200"/>
        <w:textAlignment w:val="auto"/>
        <w:rPr>
          <w:rFonts w:hint="eastAsia" w:eastAsia="仿宋_GB2312"/>
          <w:spacing w:val="-6"/>
          <w:sz w:val="32"/>
        </w:rPr>
      </w:pPr>
      <w:r>
        <w:rPr>
          <w:rFonts w:hint="eastAsia" w:eastAsia="仿宋_GB2312"/>
          <w:spacing w:val="-6"/>
          <w:sz w:val="32"/>
          <w:lang w:eastAsia="zh-CN"/>
        </w:rPr>
        <w:t>（一）</w:t>
      </w:r>
      <w:r>
        <w:rPr>
          <w:rFonts w:hint="eastAsia" w:eastAsia="仿宋_GB2312"/>
          <w:spacing w:val="-6"/>
          <w:sz w:val="32"/>
        </w:rPr>
        <w:t>负责辖区内食品（含保健食品）、药品、化妆品的检验。</w:t>
      </w:r>
    </w:p>
    <w:p w14:paraId="53E97C5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eastAsia="仿宋_GB2312"/>
          <w:sz w:val="32"/>
        </w:rPr>
      </w:pPr>
      <w:r>
        <w:rPr>
          <w:rFonts w:hint="eastAsia" w:eastAsia="仿宋_GB2312"/>
          <w:sz w:val="32"/>
          <w:lang w:eastAsia="zh-CN"/>
        </w:rPr>
        <w:t>（二）</w:t>
      </w:r>
      <w:r>
        <w:rPr>
          <w:rFonts w:hint="eastAsia" w:eastAsia="仿宋_GB2312"/>
          <w:sz w:val="32"/>
        </w:rPr>
        <w:t>承担上级下达的抽检任务和社会范围内的委托检验。</w:t>
      </w:r>
    </w:p>
    <w:p w14:paraId="0EFE718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eastAsia="仿宋_GB2312"/>
          <w:sz w:val="32"/>
        </w:rPr>
      </w:pPr>
      <w:r>
        <w:rPr>
          <w:rFonts w:hint="eastAsia" w:eastAsia="仿宋_GB2312"/>
          <w:sz w:val="32"/>
          <w:lang w:eastAsia="zh-CN"/>
        </w:rPr>
        <w:t>（三）</w:t>
      </w:r>
      <w:r>
        <w:rPr>
          <w:rFonts w:hint="eastAsia" w:eastAsia="仿宋_GB2312"/>
          <w:sz w:val="32"/>
        </w:rPr>
        <w:t>负责辖区内规定的医疗机构制剂品种注册审批所需的检验工作。</w:t>
      </w:r>
    </w:p>
    <w:p w14:paraId="41D9E5C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eastAsia="仿宋_GB2312"/>
          <w:spacing w:val="-6"/>
          <w:sz w:val="32"/>
        </w:rPr>
      </w:pPr>
      <w:r>
        <w:rPr>
          <w:rFonts w:hint="eastAsia" w:eastAsia="仿宋_GB2312"/>
          <w:sz w:val="32"/>
          <w:lang w:eastAsia="zh-CN"/>
        </w:rPr>
        <w:t>（四）</w:t>
      </w:r>
      <w:r>
        <w:rPr>
          <w:rFonts w:hint="eastAsia" w:eastAsia="仿宋_GB2312"/>
          <w:sz w:val="32"/>
        </w:rPr>
        <w:t>指</w:t>
      </w:r>
      <w:r>
        <w:rPr>
          <w:rFonts w:hint="eastAsia" w:eastAsia="仿宋_GB2312"/>
          <w:spacing w:val="-6"/>
          <w:sz w:val="32"/>
        </w:rPr>
        <w:t>导辖区内食品药品生产、经营、使用单位质量检验机构的业务技术工作，协调解决技术难题，培训有关技术管理人员。</w:t>
      </w:r>
    </w:p>
    <w:p w14:paraId="319FB17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eastAsia="仿宋_GB2312"/>
          <w:sz w:val="32"/>
        </w:rPr>
      </w:pPr>
      <w:r>
        <w:rPr>
          <w:rFonts w:hint="eastAsia" w:eastAsia="仿宋_GB2312"/>
          <w:sz w:val="32"/>
          <w:lang w:eastAsia="zh-CN"/>
        </w:rPr>
        <w:t>（五）</w:t>
      </w:r>
      <w:r>
        <w:rPr>
          <w:rFonts w:hint="eastAsia" w:eastAsia="仿宋_GB2312"/>
          <w:sz w:val="32"/>
        </w:rPr>
        <w:t>开展食品药品检验等科研工作。</w:t>
      </w:r>
    </w:p>
    <w:p w14:paraId="016A478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eastAsia="仿宋_GB2312"/>
          <w:sz w:val="32"/>
        </w:rPr>
      </w:pPr>
      <w:r>
        <w:rPr>
          <w:rFonts w:hint="eastAsia" w:eastAsia="仿宋_GB2312"/>
          <w:sz w:val="32"/>
          <w:lang w:eastAsia="zh-CN"/>
        </w:rPr>
        <w:t>（六）</w:t>
      </w:r>
      <w:r>
        <w:rPr>
          <w:rFonts w:hint="eastAsia" w:eastAsia="仿宋_GB2312"/>
          <w:sz w:val="32"/>
        </w:rPr>
        <w:t>综合上报和反馈辖区内食品药品质量情况信息。</w:t>
      </w:r>
    </w:p>
    <w:p w14:paraId="3A262A10">
      <w:pPr>
        <w:pStyle w:val="3"/>
        <w:pageBreakBefore w:val="0"/>
        <w:widowControl w:val="0"/>
        <w:kinsoku/>
        <w:wordWrap/>
        <w:overflowPunct/>
        <w:topLinePunct w:val="0"/>
        <w:autoSpaceDE/>
        <w:autoSpaceDN/>
        <w:bidi w:val="0"/>
        <w:adjustRightInd/>
        <w:snapToGrid/>
        <w:textAlignment w:val="auto"/>
        <w:rPr>
          <w:rFonts w:hint="eastAsia"/>
        </w:rPr>
      </w:pPr>
      <w:bookmarkStart w:id="7" w:name="_Toc14410"/>
      <w:bookmarkStart w:id="8" w:name="_Toc9739"/>
      <w:r>
        <w:rPr>
          <w:rFonts w:hint="eastAsia"/>
        </w:rPr>
        <w:t>二、机构设置</w:t>
      </w:r>
      <w:bookmarkEnd w:id="5"/>
      <w:bookmarkEnd w:id="6"/>
      <w:bookmarkEnd w:id="7"/>
      <w:bookmarkEnd w:id="8"/>
    </w:p>
    <w:p w14:paraId="1FD298CC">
      <w:pPr>
        <w:pStyle w:val="3"/>
        <w:pageBreakBefore w:val="0"/>
        <w:widowControl w:val="0"/>
        <w:kinsoku/>
        <w:wordWrap/>
        <w:overflowPunct/>
        <w:topLinePunct w:val="0"/>
        <w:autoSpaceDE/>
        <w:autoSpaceDN/>
        <w:bidi w:val="0"/>
        <w:adjustRightInd/>
        <w:snapToGrid/>
        <w:textAlignment w:val="auto"/>
        <w:rPr>
          <w:rFonts w:hint="eastAsia" w:ascii="方正小标宋简体" w:hAnsi="方正小标宋简体" w:eastAsia="方正小标宋简体" w:cs="方正小标宋简体"/>
          <w:sz w:val="44"/>
          <w:szCs w:val="44"/>
        </w:rPr>
      </w:pPr>
      <w:bookmarkStart w:id="9" w:name="_Toc20901"/>
      <w:r>
        <w:rPr>
          <w:rFonts w:hint="eastAsia" w:ascii="Times New Roman" w:hAnsi="Times New Roman" w:eastAsia="仿宋_GB2312" w:cs="Times New Roman"/>
          <w:b w:val="0"/>
          <w:bCs w:val="0"/>
          <w:kern w:val="2"/>
          <w:sz w:val="32"/>
          <w:szCs w:val="24"/>
          <w:lang w:val="en-US" w:eastAsia="zh-CN" w:bidi="ar-SA"/>
        </w:rPr>
        <w:t>广元市食品药品检验检测中心为广元市市场监督管理局的直属技术机构，独立核算的公益一类全额拨款事业单位。</w:t>
      </w:r>
      <w:r>
        <w:rPr>
          <w:rFonts w:ascii="Times New Roman" w:hAnsi="Times New Roman" w:eastAsia="仿宋_GB2312" w:cs="Times New Roman"/>
          <w:sz w:val="32"/>
        </w:rPr>
        <w:br w:type="page"/>
      </w:r>
      <w:bookmarkStart w:id="10" w:name="_Toc15377204"/>
      <w:bookmarkStart w:id="11" w:name="_Toc15396602"/>
      <w:bookmarkStart w:id="12" w:name="_Toc6989"/>
      <w:r>
        <w:rPr>
          <w:rFonts w:hint="eastAsia" w:ascii="方正小标宋简体" w:hAnsi="方正小标宋简体" w:eastAsia="方正小标宋简体" w:cs="方正小标宋简体"/>
          <w:sz w:val="44"/>
          <w:szCs w:val="44"/>
        </w:rPr>
        <w:t>第二部分 202</w:t>
      </w:r>
      <w:r>
        <w:rPr>
          <w:rFonts w:hint="eastAsia" w:ascii="方正小标宋简体" w:hAnsi="方正小标宋简体" w:eastAsia="方正小标宋简体" w:cs="方正小标宋简体"/>
          <w:sz w:val="44"/>
          <w:szCs w:val="44"/>
          <w:lang w:val="en-US" w:eastAsia="zh-CN"/>
        </w:rPr>
        <w:t>3</w:t>
      </w:r>
      <w:r>
        <w:rPr>
          <w:rFonts w:hint="eastAsia" w:ascii="方正小标宋简体" w:hAnsi="方正小标宋简体" w:eastAsia="方正小标宋简体" w:cs="方正小标宋简体"/>
          <w:sz w:val="44"/>
          <w:szCs w:val="44"/>
        </w:rPr>
        <w:t>年度单位决算情况说明</w:t>
      </w:r>
      <w:bookmarkEnd w:id="9"/>
      <w:bookmarkEnd w:id="10"/>
      <w:bookmarkEnd w:id="11"/>
      <w:bookmarkEnd w:id="12"/>
    </w:p>
    <w:p w14:paraId="00A4CF84">
      <w:pPr>
        <w:keepNext w:val="0"/>
        <w:keepLines w:val="0"/>
        <w:pageBreakBefore w:val="0"/>
        <w:widowControl w:val="0"/>
        <w:kinsoku/>
        <w:wordWrap/>
        <w:overflowPunct/>
        <w:topLinePunct w:val="0"/>
        <w:autoSpaceDE/>
        <w:autoSpaceDN/>
        <w:bidi w:val="0"/>
        <w:adjustRightInd/>
        <w:snapToGrid/>
        <w:spacing w:line="576" w:lineRule="exact"/>
        <w:ind w:firstLine="880" w:firstLineChars="200"/>
        <w:jc w:val="center"/>
        <w:textAlignment w:val="auto"/>
        <w:rPr>
          <w:rFonts w:hint="eastAsia" w:ascii="方正小标宋简体" w:hAnsi="方正小标宋简体" w:eastAsia="方正小标宋简体" w:cs="方正小标宋简体"/>
          <w:sz w:val="44"/>
          <w:szCs w:val="44"/>
        </w:rPr>
      </w:pPr>
    </w:p>
    <w:p w14:paraId="137FF356">
      <w:pPr>
        <w:pStyle w:val="3"/>
        <w:pageBreakBefore w:val="0"/>
        <w:widowControl w:val="0"/>
        <w:numPr>
          <w:ilvl w:val="0"/>
          <w:numId w:val="2"/>
        </w:numPr>
        <w:kinsoku/>
        <w:wordWrap/>
        <w:overflowPunct/>
        <w:topLinePunct w:val="0"/>
        <w:autoSpaceDE/>
        <w:autoSpaceDN/>
        <w:bidi w:val="0"/>
        <w:adjustRightInd/>
        <w:snapToGrid/>
        <w:textAlignment w:val="auto"/>
      </w:pPr>
      <w:bookmarkStart w:id="13" w:name="_Toc15377205"/>
      <w:bookmarkStart w:id="14" w:name="_Toc20291"/>
      <w:bookmarkStart w:id="15" w:name="_Toc15396603"/>
      <w:bookmarkStart w:id="16" w:name="_Toc29016"/>
      <w:r>
        <w:rPr>
          <w:rFonts w:hint="eastAsia"/>
        </w:rPr>
        <w:t>收入支出决算总体情况说明</w:t>
      </w:r>
      <w:bookmarkEnd w:id="13"/>
      <w:bookmarkEnd w:id="14"/>
      <w:bookmarkEnd w:id="15"/>
      <w:bookmarkEnd w:id="16"/>
    </w:p>
    <w:p w14:paraId="60017CF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hint="eastAsia" w:ascii="Times New Roman" w:hAnsi="Times New Roman" w:eastAsia="仿宋_GB2312" w:cs="Times New Roman"/>
          <w:sz w:val="32"/>
        </w:rPr>
        <w:t>2023年度收、支总计均为1266.34万元。与2022年度相比，收、支总计各增加185.68万元，增长17.18%。主要变动原因是人员经费和项目经费预算数增加。</w:t>
      </w:r>
    </w:p>
    <w:p w14:paraId="7A5AE78F">
      <w:pPr>
        <w:jc w:val="center"/>
      </w:pPr>
      <w:r>
        <w:drawing>
          <wp:inline distT="0" distB="0" distL="114300" distR="114300">
            <wp:extent cx="5039995" cy="2520315"/>
            <wp:effectExtent l="4445" t="4445" r="22860" b="8890"/>
            <wp:docPr id="10"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CC11D48">
      <w:pPr>
        <w:jc w:val="center"/>
        <w:rPr>
          <w:rFonts w:hint="eastAsia" w:ascii="Times New Roman" w:hAnsi="Times New Roman" w:cs="Times New Roman"/>
          <w:sz w:val="24"/>
        </w:rPr>
      </w:pPr>
      <w:r>
        <w:rPr>
          <w:rFonts w:hint="eastAsia" w:ascii="Times New Roman" w:hAnsi="Times New Roman" w:cs="Times New Roman"/>
          <w:sz w:val="24"/>
        </w:rPr>
        <w:t>（图1：收、支决算总计变动情况图）（柱状图）</w:t>
      </w:r>
    </w:p>
    <w:p w14:paraId="1B3CB6D6">
      <w:pPr>
        <w:pStyle w:val="3"/>
        <w:numPr>
          <w:ilvl w:val="0"/>
          <w:numId w:val="2"/>
        </w:numPr>
        <w:bidi w:val="0"/>
      </w:pPr>
      <w:bookmarkStart w:id="17" w:name="_Toc15396604"/>
      <w:bookmarkStart w:id="18" w:name="_Toc15377206"/>
      <w:bookmarkStart w:id="19" w:name="_Toc20683"/>
      <w:bookmarkStart w:id="20" w:name="_Toc1526"/>
      <w:r>
        <w:rPr>
          <w:rFonts w:hint="eastAsia"/>
        </w:rPr>
        <w:t>收入决算情况说明</w:t>
      </w:r>
      <w:bookmarkEnd w:id="17"/>
      <w:bookmarkEnd w:id="18"/>
      <w:bookmarkEnd w:id="19"/>
      <w:bookmarkEnd w:id="20"/>
    </w:p>
    <w:p w14:paraId="4A02E6F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hint="eastAsia" w:ascii="Times New Roman" w:hAnsi="Times New Roman" w:eastAsia="仿宋_GB2312" w:cs="Times New Roman"/>
          <w:sz w:val="32"/>
        </w:rPr>
        <w:t>2023年度本年收入合计1265.68万元，其中：一般公共预算财政拨款收入1155.15万元，占91.27%；其他收入110.53万元，占8.73%。</w:t>
      </w:r>
    </w:p>
    <w:p w14:paraId="61D97B49">
      <w:pPr>
        <w:jc w:val="center"/>
      </w:pPr>
      <w:r>
        <w:drawing>
          <wp:inline distT="0" distB="0" distL="114300" distR="114300">
            <wp:extent cx="5039995" cy="2520315"/>
            <wp:effectExtent l="4445" t="4445" r="22860" b="46990"/>
            <wp:docPr id="3" name="图表 2" descr="7b0a202020202263686172745265734964223a20223230343732323037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48B8F8F">
      <w:pPr>
        <w:jc w:val="center"/>
        <w:rPr>
          <w:sz w:val="24"/>
        </w:rPr>
      </w:pPr>
      <w:r>
        <w:rPr>
          <w:rFonts w:hint="eastAsia"/>
          <w:sz w:val="24"/>
        </w:rPr>
        <w:t>（图2：收入决算结构图）（饼状图）</w:t>
      </w:r>
    </w:p>
    <w:p w14:paraId="1EC5F419">
      <w:pPr>
        <w:pStyle w:val="3"/>
        <w:numPr>
          <w:ilvl w:val="0"/>
          <w:numId w:val="2"/>
        </w:numPr>
        <w:bidi w:val="0"/>
      </w:pPr>
      <w:bookmarkStart w:id="21" w:name="_Toc5817"/>
      <w:bookmarkStart w:id="22" w:name="_Toc6991"/>
      <w:bookmarkStart w:id="23" w:name="_Toc15396605"/>
      <w:bookmarkStart w:id="24" w:name="_Toc15377207"/>
      <w:r>
        <w:rPr>
          <w:rFonts w:hint="eastAsia"/>
        </w:rPr>
        <w:t>支出决算情况说明</w:t>
      </w:r>
      <w:bookmarkEnd w:id="21"/>
      <w:bookmarkEnd w:id="22"/>
      <w:bookmarkEnd w:id="23"/>
      <w:bookmarkEnd w:id="24"/>
    </w:p>
    <w:p w14:paraId="3DA5D7E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hint="eastAsia" w:ascii="Times New Roman" w:hAnsi="Times New Roman" w:eastAsia="仿宋_GB2312" w:cs="Times New Roman"/>
          <w:sz w:val="32"/>
        </w:rPr>
        <w:t>2023年度本年支出合计1263.64万元，其中：基本支出1009.56万元，占79.89%；项目支出254.08万元，占20.11%。</w:t>
      </w:r>
    </w:p>
    <w:p w14:paraId="243952C4">
      <w:pPr>
        <w:jc w:val="center"/>
      </w:pPr>
      <w:r>
        <w:drawing>
          <wp:inline distT="0" distB="0" distL="114300" distR="114300">
            <wp:extent cx="5039995" cy="2520315"/>
            <wp:effectExtent l="4445" t="4445" r="22860" b="46990"/>
            <wp:docPr id="11" name="图表 2" descr="7b0a202020202263686172745265734964223a20223230343732323037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BDB5F73">
      <w:pPr>
        <w:jc w:val="center"/>
        <w:rPr>
          <w:rFonts w:hint="eastAsia" w:ascii="Times New Roman" w:hAnsi="Times New Roman" w:cs="Times New Roman"/>
          <w:sz w:val="24"/>
        </w:rPr>
      </w:pPr>
      <w:r>
        <w:rPr>
          <w:rFonts w:hint="eastAsia" w:ascii="Times New Roman" w:hAnsi="Times New Roman" w:cs="Times New Roman"/>
          <w:sz w:val="24"/>
        </w:rPr>
        <w:t>（图3：支出决算结构图）（饼状图）</w:t>
      </w:r>
    </w:p>
    <w:p w14:paraId="3EE5A2ED">
      <w:pPr>
        <w:pStyle w:val="3"/>
        <w:numPr>
          <w:ilvl w:val="0"/>
          <w:numId w:val="2"/>
        </w:numPr>
        <w:bidi w:val="0"/>
      </w:pPr>
      <w:bookmarkStart w:id="25" w:name="_Toc15377208"/>
      <w:bookmarkStart w:id="26" w:name="_Toc30792"/>
      <w:bookmarkStart w:id="27" w:name="_Toc15396606"/>
      <w:bookmarkStart w:id="28" w:name="_Toc23388"/>
      <w:r>
        <w:rPr>
          <w:rFonts w:hint="eastAsia"/>
        </w:rPr>
        <w:t>财政拨款收入支出决算总体情况说明</w:t>
      </w:r>
      <w:bookmarkEnd w:id="25"/>
      <w:bookmarkEnd w:id="26"/>
      <w:bookmarkEnd w:id="27"/>
      <w:bookmarkEnd w:id="28"/>
    </w:p>
    <w:p w14:paraId="4A00ABE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hint="eastAsia" w:ascii="Times New Roman" w:hAnsi="Times New Roman" w:eastAsia="仿宋_GB2312" w:cs="Times New Roman"/>
          <w:sz w:val="32"/>
        </w:rPr>
        <w:t>2023年度财政拨款收、支总计均为1155.15万元。与2022年度相比，财政拨款收、支总计各增加76.27万元，增长7.07%。主要变动原因是人员经费和项目经费预算数增加。</w:t>
      </w:r>
    </w:p>
    <w:p w14:paraId="262231F5">
      <w:pPr>
        <w:jc w:val="center"/>
      </w:pPr>
      <w:r>
        <w:drawing>
          <wp:inline distT="0" distB="0" distL="114300" distR="114300">
            <wp:extent cx="5039995" cy="2520315"/>
            <wp:effectExtent l="4445" t="4445" r="22860" b="889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E998D55">
      <w:pPr>
        <w:jc w:val="center"/>
        <w:rPr>
          <w:rFonts w:hint="eastAsia" w:ascii="Times New Roman" w:hAnsi="Times New Roman" w:cs="Times New Roman"/>
          <w:sz w:val="24"/>
        </w:rPr>
      </w:pPr>
      <w:r>
        <w:rPr>
          <w:rFonts w:hint="eastAsia" w:ascii="Times New Roman" w:hAnsi="Times New Roman" w:cs="Times New Roman"/>
          <w:sz w:val="24"/>
        </w:rPr>
        <w:t>（图4：财政拨款收、支决算总计变动情况）（柱状图）</w:t>
      </w:r>
    </w:p>
    <w:p w14:paraId="01C475F0">
      <w:pPr>
        <w:pStyle w:val="3"/>
        <w:numPr>
          <w:ilvl w:val="0"/>
          <w:numId w:val="2"/>
        </w:numPr>
        <w:bidi w:val="0"/>
      </w:pPr>
      <w:bookmarkStart w:id="29" w:name="_Toc28123"/>
      <w:bookmarkStart w:id="30" w:name="_Toc15377209"/>
      <w:bookmarkStart w:id="31" w:name="_Toc16581"/>
      <w:bookmarkStart w:id="32" w:name="_Toc15396607"/>
      <w:r>
        <w:rPr>
          <w:rFonts w:hint="eastAsia"/>
        </w:rPr>
        <w:t>一般公共预算财政拨款支出决算情况说明</w:t>
      </w:r>
      <w:bookmarkEnd w:id="29"/>
      <w:bookmarkEnd w:id="30"/>
      <w:bookmarkEnd w:id="31"/>
      <w:bookmarkEnd w:id="32"/>
    </w:p>
    <w:p w14:paraId="7AC0E091">
      <w:pPr>
        <w:keepNext w:val="0"/>
        <w:keepLines w:val="0"/>
        <w:pageBreakBefore w:val="0"/>
        <w:kinsoku/>
        <w:wordWrap/>
        <w:overflowPunct/>
        <w:autoSpaceDE/>
        <w:autoSpaceDN/>
        <w:bidi w:val="0"/>
        <w:adjustRightInd/>
        <w:snapToGrid/>
        <w:spacing w:line="576" w:lineRule="exact"/>
        <w:ind w:firstLine="640" w:firstLineChars="200"/>
        <w:textAlignment w:val="auto"/>
        <w:rPr>
          <w:rFonts w:hint="eastAsia" w:ascii="楷体" w:hAnsi="楷体" w:eastAsia="楷体" w:cs="楷体"/>
          <w:sz w:val="32"/>
          <w:szCs w:val="32"/>
        </w:rPr>
      </w:pPr>
      <w:bookmarkStart w:id="33" w:name="_Toc15377210"/>
      <w:r>
        <w:rPr>
          <w:rFonts w:hint="eastAsia" w:ascii="楷体" w:hAnsi="楷体" w:eastAsia="楷体" w:cs="楷体"/>
          <w:sz w:val="32"/>
          <w:szCs w:val="32"/>
        </w:rPr>
        <w:t>（一）一般公共预算财政拨款支出决算总体情况</w:t>
      </w:r>
      <w:bookmarkEnd w:id="33"/>
    </w:p>
    <w:p w14:paraId="33494FF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hint="eastAsia" w:ascii="Times New Roman" w:hAnsi="Times New Roman" w:eastAsia="仿宋_GB2312" w:cs="Times New Roman"/>
          <w:sz w:val="32"/>
        </w:rPr>
        <w:t>2023年度一般公共预算财政拨款支出1155.15万元，占本年支出合计的91.41%。与2022年度相比，一般公共预算财政拨款支出增加76.27万元，增长7.07%。主要变动原因是人员经费预算数增加。</w:t>
      </w:r>
    </w:p>
    <w:p w14:paraId="1D4E35E2">
      <w:pPr>
        <w:jc w:val="center"/>
      </w:pPr>
      <w:r>
        <w:drawing>
          <wp:inline distT="0" distB="0" distL="114300" distR="114300">
            <wp:extent cx="5219700" cy="2520315"/>
            <wp:effectExtent l="4445" t="4445" r="14605" b="8890"/>
            <wp:docPr id="1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6B2264A">
      <w:pPr>
        <w:jc w:val="center"/>
        <w:rPr>
          <w:rFonts w:hint="eastAsia" w:ascii="Times New Roman" w:hAnsi="Times New Roman" w:cs="Times New Roman"/>
          <w:sz w:val="24"/>
        </w:rPr>
      </w:pPr>
      <w:r>
        <w:rPr>
          <w:rFonts w:hint="eastAsia" w:ascii="Times New Roman" w:hAnsi="Times New Roman" w:cs="Times New Roman"/>
          <w:sz w:val="24"/>
        </w:rPr>
        <w:t>（图5：一般公共预算财政拨款支出决算变动情况）（柱状图）</w:t>
      </w:r>
    </w:p>
    <w:p w14:paraId="4603C752">
      <w:pPr>
        <w:keepNext w:val="0"/>
        <w:keepLines w:val="0"/>
        <w:pageBreakBefore w:val="0"/>
        <w:kinsoku/>
        <w:wordWrap/>
        <w:overflowPunct/>
        <w:autoSpaceDE/>
        <w:autoSpaceDN/>
        <w:bidi w:val="0"/>
        <w:adjustRightInd/>
        <w:snapToGrid/>
        <w:spacing w:line="576" w:lineRule="exact"/>
        <w:ind w:firstLine="640" w:firstLineChars="200"/>
        <w:textAlignment w:val="auto"/>
        <w:rPr>
          <w:rFonts w:hint="eastAsia" w:ascii="楷体" w:hAnsi="楷体" w:eastAsia="楷体" w:cs="楷体"/>
          <w:sz w:val="32"/>
          <w:szCs w:val="32"/>
        </w:rPr>
      </w:pPr>
      <w:bookmarkStart w:id="34" w:name="_Toc15377211"/>
      <w:r>
        <w:rPr>
          <w:rFonts w:hint="eastAsia" w:ascii="楷体" w:hAnsi="楷体" w:eastAsia="楷体" w:cs="楷体"/>
          <w:sz w:val="32"/>
          <w:szCs w:val="32"/>
        </w:rPr>
        <w:t>（二）一般公共预算财政拨款支出决算结构情况</w:t>
      </w:r>
      <w:bookmarkEnd w:id="34"/>
    </w:p>
    <w:p w14:paraId="6365D5D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hint="eastAsia" w:ascii="Times New Roman" w:hAnsi="Times New Roman" w:eastAsia="仿宋_GB2312" w:cs="Times New Roman"/>
          <w:sz w:val="32"/>
        </w:rPr>
        <w:t>2023年度一般公共预算财政拨款支出1155.15万元，主要用于以下方面</w:t>
      </w:r>
      <w:r>
        <w:rPr>
          <w:rFonts w:hint="eastAsia" w:eastAsia="仿宋_GB2312" w:cs="Times New Roman"/>
          <w:sz w:val="32"/>
          <w:lang w:eastAsia="zh-CN"/>
        </w:rPr>
        <w:t>：</w:t>
      </w:r>
      <w:r>
        <w:rPr>
          <w:rFonts w:hint="eastAsia" w:ascii="Times New Roman" w:hAnsi="Times New Roman" w:eastAsia="仿宋_GB2312" w:cs="Times New Roman"/>
          <w:sz w:val="32"/>
        </w:rPr>
        <w:t>一般公共服务支出941.59万元，占81.51%；社会保障和就业支出105.80万元，占9.16%；卫生健康支出30.82万元，占2.67%；住房保障支出76.94万元，占6.66%。</w:t>
      </w:r>
    </w:p>
    <w:p w14:paraId="329D0BEC">
      <w:pPr>
        <w:jc w:val="center"/>
      </w:pPr>
      <w:r>
        <w:drawing>
          <wp:inline distT="0" distB="0" distL="114300" distR="114300">
            <wp:extent cx="5039995" cy="2520315"/>
            <wp:effectExtent l="4445" t="4445" r="22860" b="46990"/>
            <wp:docPr id="13" name="图表 2" descr="7b0a202020202263686172745265734964223a20223230343732323037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87EB208">
      <w:pPr>
        <w:jc w:val="center"/>
        <w:rPr>
          <w:rFonts w:hint="eastAsia" w:ascii="Times New Roman" w:hAnsi="Times New Roman" w:cs="Times New Roman"/>
          <w:sz w:val="24"/>
        </w:rPr>
      </w:pPr>
      <w:r>
        <w:rPr>
          <w:rFonts w:hint="eastAsia" w:ascii="Times New Roman" w:hAnsi="Times New Roman" w:cs="Times New Roman"/>
          <w:sz w:val="24"/>
        </w:rPr>
        <w:t>（图6：一般公共预算财政拨款支出决算结构）（饼状图）</w:t>
      </w:r>
    </w:p>
    <w:p w14:paraId="45200EEC">
      <w:pPr>
        <w:keepNext w:val="0"/>
        <w:keepLines w:val="0"/>
        <w:pageBreakBefore w:val="0"/>
        <w:kinsoku/>
        <w:wordWrap/>
        <w:overflowPunct/>
        <w:autoSpaceDE/>
        <w:autoSpaceDN/>
        <w:bidi w:val="0"/>
        <w:adjustRightInd/>
        <w:snapToGrid/>
        <w:spacing w:line="576" w:lineRule="exact"/>
        <w:ind w:firstLine="640" w:firstLineChars="200"/>
        <w:textAlignment w:val="auto"/>
        <w:rPr>
          <w:rFonts w:hint="eastAsia" w:ascii="楷体" w:hAnsi="楷体" w:eastAsia="楷体" w:cs="楷体"/>
          <w:sz w:val="32"/>
          <w:szCs w:val="32"/>
        </w:rPr>
      </w:pPr>
      <w:bookmarkStart w:id="35" w:name="_Toc15377212"/>
      <w:r>
        <w:rPr>
          <w:rFonts w:hint="eastAsia" w:ascii="楷体" w:hAnsi="楷体" w:eastAsia="楷体" w:cs="楷体"/>
          <w:sz w:val="32"/>
          <w:szCs w:val="32"/>
        </w:rPr>
        <w:t>（三）一般公共预算财政拨款支出决算具体情况</w:t>
      </w:r>
      <w:bookmarkEnd w:id="35"/>
    </w:p>
    <w:p w14:paraId="07BCF5C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2023年度一般公共预算支出决算数为1155.15，完成预算100%。其中：</w:t>
      </w:r>
    </w:p>
    <w:p w14:paraId="7F81A4A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1.一般公共服务支出（类）市场监督管理事务（款）药品事务（项）： 支出决算为87.32万元，完成预算100%。</w:t>
      </w:r>
    </w:p>
    <w:p w14:paraId="0A17745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2.一般公共服务支出（类）市场监督管理事务（款）事业运行（项）： 支出决算数为795.01万元，完成预算100%。</w:t>
      </w:r>
    </w:p>
    <w:p w14:paraId="01610F0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3.一般公共服务支出（类）市场监督管理事务（款）其他市场监督管理事务（项）： 支出决算数为59.26万元，完成预算100%。</w:t>
      </w:r>
    </w:p>
    <w:p w14:paraId="3E16AAA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4.社会保障和就业支出（类）行政事业单位养老支出（款）机关事业单位基本养老保险缴费支出（项）： 支出决算数为104.53万元，完成预算100%。</w:t>
      </w:r>
    </w:p>
    <w:p w14:paraId="2FCD4DB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5.社会保障和就业支出（类）行政事业单位养老支出（款）机关事业单位职业年金缴费支出（项）： 支出决算数为1.27万元，完成预算100%。</w:t>
      </w:r>
    </w:p>
    <w:p w14:paraId="5C23C68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6.卫生健康支出（类）行政事业单位医疗（款）事业单位医疗（项）：支出决算数为30.82万元，完成预算100%。</w:t>
      </w:r>
    </w:p>
    <w:p w14:paraId="23BEBCC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7.住房保障支出（类）住房改革支出（款）住房公积金（项）：支出决算数为76.94万元，完成预算100%。</w:t>
      </w:r>
    </w:p>
    <w:p w14:paraId="2116E234">
      <w:pPr>
        <w:pStyle w:val="3"/>
        <w:numPr>
          <w:ilvl w:val="0"/>
          <w:numId w:val="2"/>
        </w:numPr>
        <w:bidi w:val="0"/>
      </w:pPr>
      <w:bookmarkStart w:id="36" w:name="_Toc19013"/>
      <w:bookmarkStart w:id="37" w:name="_Toc1429"/>
      <w:bookmarkStart w:id="38" w:name="_Toc15377214"/>
      <w:bookmarkStart w:id="39" w:name="_Toc15396608"/>
      <w:r>
        <w:rPr>
          <w:rFonts w:hint="eastAsia"/>
        </w:rPr>
        <w:t>一般公共预算财政拨款基本支出决算情况说明</w:t>
      </w:r>
      <w:bookmarkEnd w:id="36"/>
      <w:bookmarkEnd w:id="37"/>
      <w:bookmarkEnd w:id="38"/>
      <w:bookmarkEnd w:id="39"/>
      <w:r>
        <w:tab/>
      </w:r>
    </w:p>
    <w:p w14:paraId="45765120">
      <w:pPr>
        <w:keepNext w:val="0"/>
        <w:keepLines w:val="0"/>
        <w:pageBreakBefore w:val="0"/>
        <w:widowControl w:val="0"/>
        <w:kinsoku/>
        <w:wordWrap/>
        <w:overflowPunct/>
        <w:topLinePunct w:val="0"/>
        <w:autoSpaceDE/>
        <w:autoSpaceDN/>
        <w:bidi w:val="0"/>
        <w:adjustRightInd/>
        <w:snapToGrid/>
        <w:spacing w:line="576" w:lineRule="exact"/>
        <w:ind w:firstLine="616" w:firstLineChars="200"/>
        <w:textAlignment w:val="auto"/>
        <w:rPr>
          <w:rFonts w:hint="eastAsia" w:ascii="Times New Roman" w:hAnsi="Times New Roman" w:eastAsia="仿宋_GB2312" w:cs="Times New Roman"/>
          <w:spacing w:val="-6"/>
          <w:sz w:val="32"/>
        </w:rPr>
      </w:pPr>
      <w:r>
        <w:rPr>
          <w:rFonts w:hint="eastAsia" w:ascii="Times New Roman" w:hAnsi="Times New Roman" w:eastAsia="仿宋_GB2312" w:cs="Times New Roman"/>
          <w:spacing w:val="-6"/>
          <w:sz w:val="32"/>
        </w:rPr>
        <w:t>2023年度一般公共预算财政拨款基本支出1008.57万元，其中：</w:t>
      </w:r>
    </w:p>
    <w:p w14:paraId="434F7DE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人员经费909.30万元，主要包括：基本工资、津贴补贴、奖金、绩效工资、机关事业单位基本养老保险缴费、职业年金缴费、 职工基本医疗保险缴费、其他社会保障缴费、住房公积金</w:t>
      </w:r>
      <w:r>
        <w:rPr>
          <w:rFonts w:hint="eastAsia" w:eastAsia="仿宋_GB2312" w:cs="Times New Roman"/>
          <w:sz w:val="32"/>
          <w:lang w:eastAsia="zh-CN"/>
        </w:rPr>
        <w:t>、</w:t>
      </w:r>
      <w:r>
        <w:rPr>
          <w:rFonts w:hint="eastAsia" w:ascii="Times New Roman" w:hAnsi="Times New Roman" w:eastAsia="仿宋_GB2312" w:cs="Times New Roman"/>
          <w:sz w:val="32"/>
        </w:rPr>
        <w:t>其他工资福利支出、生活补助、奖励金。</w:t>
      </w:r>
    </w:p>
    <w:p w14:paraId="0ED28FF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hint="eastAsia" w:ascii="Times New Roman" w:hAnsi="Times New Roman" w:eastAsia="仿宋_GB2312" w:cs="Times New Roman"/>
          <w:sz w:val="32"/>
        </w:rPr>
        <w:t>公用经费99.27万元，主要包括：办公费、印刷费、咨询费、水费、电费、邮电费、差旅费、维修（护）费、培训费、公务接待费、劳务费、工会经费、福利费、其他交通费</w:t>
      </w:r>
      <w:r>
        <w:rPr>
          <w:rFonts w:hint="eastAsia" w:eastAsia="仿宋_GB2312" w:cs="Times New Roman"/>
          <w:sz w:val="32"/>
          <w:lang w:val="en-US" w:eastAsia="zh-CN"/>
        </w:rPr>
        <w:t>用</w:t>
      </w:r>
      <w:r>
        <w:rPr>
          <w:rFonts w:hint="eastAsia" w:ascii="Times New Roman" w:hAnsi="Times New Roman" w:eastAsia="仿宋_GB2312" w:cs="Times New Roman"/>
          <w:sz w:val="32"/>
        </w:rPr>
        <w:t>、其他商品和服务支出。</w:t>
      </w:r>
    </w:p>
    <w:p w14:paraId="4F217CAE">
      <w:pPr>
        <w:pStyle w:val="3"/>
        <w:numPr>
          <w:ilvl w:val="0"/>
          <w:numId w:val="2"/>
        </w:numPr>
        <w:bidi w:val="0"/>
      </w:pPr>
      <w:bookmarkStart w:id="40" w:name="_Toc15377215"/>
      <w:bookmarkStart w:id="41" w:name="_Toc15396609"/>
      <w:bookmarkStart w:id="42" w:name="_Toc17805"/>
      <w:bookmarkStart w:id="43" w:name="_Toc15152"/>
      <w:r>
        <w:rPr>
          <w:rFonts w:hint="eastAsia"/>
        </w:rPr>
        <w:t>财政拨款“三公”经费支出决算情况说明</w:t>
      </w:r>
      <w:bookmarkEnd w:id="40"/>
      <w:bookmarkEnd w:id="41"/>
      <w:bookmarkEnd w:id="42"/>
      <w:bookmarkEnd w:id="43"/>
    </w:p>
    <w:p w14:paraId="5B0A9402">
      <w:pPr>
        <w:keepNext w:val="0"/>
        <w:keepLines w:val="0"/>
        <w:pageBreakBefore w:val="0"/>
        <w:kinsoku/>
        <w:wordWrap/>
        <w:overflowPunct/>
        <w:autoSpaceDE/>
        <w:autoSpaceDN/>
        <w:bidi w:val="0"/>
        <w:adjustRightInd/>
        <w:snapToGrid/>
        <w:spacing w:line="576" w:lineRule="exact"/>
        <w:ind w:firstLine="640" w:firstLineChars="200"/>
        <w:textAlignment w:val="auto"/>
        <w:rPr>
          <w:rFonts w:hint="eastAsia" w:ascii="楷体" w:hAnsi="楷体" w:eastAsia="楷体" w:cs="楷体"/>
          <w:sz w:val="32"/>
          <w:szCs w:val="32"/>
        </w:rPr>
      </w:pPr>
      <w:bookmarkStart w:id="44" w:name="_Toc15377216"/>
      <w:r>
        <w:rPr>
          <w:rFonts w:hint="eastAsia" w:ascii="楷体" w:hAnsi="楷体" w:eastAsia="楷体" w:cs="楷体"/>
          <w:sz w:val="32"/>
          <w:szCs w:val="32"/>
        </w:rPr>
        <w:t>（一）“三公”经费财政拨款支出决算总体情况说明</w:t>
      </w:r>
      <w:bookmarkEnd w:id="44"/>
    </w:p>
    <w:p w14:paraId="7C5D4BF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pPr>
      <w:r>
        <w:rPr>
          <w:rFonts w:hint="eastAsia" w:ascii="Times New Roman" w:hAnsi="Times New Roman" w:eastAsia="仿宋_GB2312" w:cs="Times New Roman"/>
          <w:sz w:val="32"/>
        </w:rPr>
        <w:t>2023年度“三公”经费财政拨款支出决算为0.51万元，完成预算70.83%，较上年度减少0.01万元，下降1.92%。决算数小于预算数的主要原因是厉行节约，压减支出。</w:t>
      </w:r>
    </w:p>
    <w:p w14:paraId="58DBA6F5">
      <w:pPr>
        <w:keepNext w:val="0"/>
        <w:keepLines w:val="0"/>
        <w:pageBreakBefore w:val="0"/>
        <w:kinsoku/>
        <w:wordWrap/>
        <w:overflowPunct/>
        <w:autoSpaceDE/>
        <w:autoSpaceDN/>
        <w:bidi w:val="0"/>
        <w:adjustRightInd/>
        <w:snapToGrid/>
        <w:spacing w:line="576" w:lineRule="exact"/>
        <w:ind w:firstLine="640" w:firstLineChars="200"/>
        <w:textAlignment w:val="auto"/>
        <w:rPr>
          <w:rFonts w:hint="eastAsia" w:ascii="楷体" w:hAnsi="楷体" w:eastAsia="楷体" w:cs="楷体"/>
          <w:sz w:val="32"/>
          <w:szCs w:val="32"/>
        </w:rPr>
      </w:pPr>
      <w:bookmarkStart w:id="45" w:name="_Toc15377217"/>
      <w:r>
        <w:rPr>
          <w:rFonts w:hint="eastAsia" w:ascii="楷体" w:hAnsi="楷体" w:eastAsia="楷体" w:cs="楷体"/>
          <w:sz w:val="32"/>
          <w:szCs w:val="32"/>
        </w:rPr>
        <w:t>（二）“三公”经费财政拨款支出决算具体情况说明</w:t>
      </w:r>
      <w:bookmarkEnd w:id="45"/>
    </w:p>
    <w:p w14:paraId="31DDF21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hint="eastAsia" w:ascii="Times New Roman" w:hAnsi="Times New Roman" w:eastAsia="仿宋_GB2312" w:cs="Times New Roman"/>
          <w:sz w:val="32"/>
        </w:rPr>
        <w:t>2023年度“三公”经费财政拨款支出决算中，因公出国（境）费支出决算0万元，占0%；公务用车购置及运行维护费支出决算0万元，占0%；公务接待费支出决算0.51万元，占100%。具体情况如下：</w:t>
      </w:r>
    </w:p>
    <w:p w14:paraId="354B8AF6">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default" w:ascii="Times New Roman" w:hAnsi="Times New Roman" w:cs="Times New Roman" w:eastAsiaTheme="minorEastAsia"/>
          <w:sz w:val="24"/>
          <w:szCs w:val="24"/>
          <w:lang w:eastAsia="zh-CN"/>
        </w:rPr>
      </w:pPr>
      <w:bookmarkStart w:id="46" w:name="_Toc15377218"/>
      <w:bookmarkStart w:id="47" w:name="_Toc15396610"/>
      <w:r>
        <w:rPr>
          <w:rFonts w:hint="default" w:ascii="Times New Roman" w:hAnsi="Times New Roman" w:cs="Times New Roman" w:eastAsiaTheme="minorEastAsia"/>
          <w:sz w:val="24"/>
          <w:szCs w:val="24"/>
        </w:rPr>
        <w:drawing>
          <wp:anchor distT="0" distB="0" distL="114300" distR="114300" simplePos="0" relativeHeight="251659264" behindDoc="0" locked="0" layoutInCell="1" allowOverlap="1">
            <wp:simplePos x="0" y="0"/>
            <wp:positionH relativeFrom="column">
              <wp:posOffset>50800</wp:posOffset>
            </wp:positionH>
            <wp:positionV relativeFrom="paragraph">
              <wp:posOffset>107950</wp:posOffset>
            </wp:positionV>
            <wp:extent cx="5400040" cy="2520315"/>
            <wp:effectExtent l="4445" t="4445" r="5715" b="15240"/>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Pr>
          <w:rFonts w:hint="default" w:ascii="Times New Roman" w:hAnsi="Times New Roman" w:cs="Times New Roman" w:eastAsiaTheme="minorEastAsia"/>
          <w:sz w:val="24"/>
          <w:szCs w:val="24"/>
          <w:lang w:val="en-US" w:eastAsia="zh-CN"/>
        </w:rPr>
        <w:t>（图</w:t>
      </w:r>
      <w:r>
        <w:rPr>
          <w:rFonts w:hint="eastAsia" w:cs="Times New Roman" w:eastAsiaTheme="minorEastAsia"/>
          <w:sz w:val="24"/>
          <w:szCs w:val="24"/>
          <w:lang w:val="en-US" w:eastAsia="zh-CN"/>
        </w:rPr>
        <w:t>7</w:t>
      </w:r>
      <w:r>
        <w:rPr>
          <w:rFonts w:hint="default" w:ascii="Times New Roman" w:hAnsi="Times New Roman" w:cs="Times New Roman" w:eastAsiaTheme="minorEastAsia"/>
          <w:sz w:val="24"/>
          <w:szCs w:val="24"/>
          <w:lang w:val="en-US" w:eastAsia="zh-CN"/>
        </w:rPr>
        <w:t>：</w:t>
      </w:r>
      <w:r>
        <w:rPr>
          <w:rFonts w:hint="default" w:ascii="Times New Roman" w:hAnsi="Times New Roman" w:cs="Times New Roman" w:eastAsiaTheme="minorEastAsia"/>
          <w:sz w:val="24"/>
          <w:szCs w:val="24"/>
        </w:rPr>
        <w:t>“三公”经费财政拨款支出决算具体情况</w:t>
      </w:r>
      <w:r>
        <w:rPr>
          <w:rFonts w:hint="default" w:ascii="Times New Roman" w:hAnsi="Times New Roman" w:cs="Times New Roman" w:eastAsiaTheme="minorEastAsia"/>
          <w:sz w:val="24"/>
          <w:szCs w:val="24"/>
          <w:lang w:val="en-US" w:eastAsia="zh-CN"/>
        </w:rPr>
        <w:t>）</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饼状图</w:t>
      </w:r>
      <w:r>
        <w:rPr>
          <w:rFonts w:hint="default" w:ascii="Times New Roman" w:hAnsi="Times New Roman" w:cs="Times New Roman" w:eastAsiaTheme="minorEastAsia"/>
          <w:sz w:val="24"/>
          <w:szCs w:val="24"/>
          <w:lang w:eastAsia="zh-CN"/>
        </w:rPr>
        <w:t>）</w:t>
      </w:r>
    </w:p>
    <w:p w14:paraId="043A7E4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1.</w:t>
      </w:r>
      <w:r>
        <w:rPr>
          <w:rFonts w:hint="eastAsia" w:ascii="Times New Roman" w:hAnsi="Times New Roman" w:eastAsia="仿宋_GB2312" w:cs="Times New Roman"/>
          <w:sz w:val="32"/>
        </w:rPr>
        <w:t>因公出国（境）经费支出0万元，年初未安排预算。全年安排因公出国（境）团组0次，出国（境）0人。因公出国（境）支出决算较2022年无变化。</w:t>
      </w:r>
    </w:p>
    <w:p w14:paraId="33D61BE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2.</w:t>
      </w:r>
      <w:r>
        <w:rPr>
          <w:rFonts w:hint="eastAsia" w:ascii="Times New Roman" w:hAnsi="Times New Roman" w:eastAsia="仿宋_GB2312" w:cs="Times New Roman"/>
          <w:sz w:val="32"/>
        </w:rPr>
        <w:t>公务用车购置及运行维护费支出0万元</w:t>
      </w:r>
      <w:r>
        <w:rPr>
          <w:rFonts w:hint="eastAsia" w:eastAsia="仿宋_GB2312" w:cs="Times New Roman"/>
          <w:sz w:val="32"/>
          <w:lang w:eastAsia="zh-CN"/>
        </w:rPr>
        <w:t>，</w:t>
      </w:r>
      <w:r>
        <w:rPr>
          <w:rFonts w:hint="eastAsia" w:ascii="Times New Roman" w:hAnsi="Times New Roman" w:eastAsia="仿宋_GB2312" w:cs="Times New Roman"/>
          <w:sz w:val="32"/>
        </w:rPr>
        <w:t>年初未安排预算。公务用车购置及运行维护费支出决算较2022年度无变化。</w:t>
      </w:r>
    </w:p>
    <w:p w14:paraId="4CA3E5B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其中：公务用车购置支出0万元。全年未购置公务用车。截至2023年12月31日，单位共有公务用车0辆。</w:t>
      </w:r>
    </w:p>
    <w:p w14:paraId="7745E11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hint="eastAsia" w:ascii="Times New Roman" w:hAnsi="Times New Roman" w:eastAsia="仿宋_GB2312" w:cs="Times New Roman"/>
          <w:sz w:val="32"/>
        </w:rPr>
        <w:t>公务用车运行维护费支出0万元。</w:t>
      </w:r>
    </w:p>
    <w:p w14:paraId="4DACB5C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3.公务接待费支出0.51万元，完成预算70.83%。公务接待费支出决算比2022年度减少0.01万元，下降1.92%。主要原因是厉行节约，压减支出。</w:t>
      </w:r>
    </w:p>
    <w:p w14:paraId="497E568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国内公务接待支出0.51万元，主要用于开展接待食品药品业务工作及商议乡村振兴工作用餐费。国内公务接待5批次，34人次（不包括陪同人员），共计支出0.51万元，具体内容包括：县区食品药品检验工作交流学习0.21万元、成都医学院药学院交流学习0.09万元、商议乡村振兴工作0.21万元。</w:t>
      </w:r>
    </w:p>
    <w:p w14:paraId="3C3AFBD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cs="Times New Roman" w:eastAsiaTheme="minorEastAsia"/>
          <w:sz w:val="24"/>
          <w:szCs w:val="24"/>
          <w:lang w:val="en-US" w:eastAsia="zh-CN"/>
        </w:rPr>
      </w:pPr>
      <w:r>
        <w:rPr>
          <w:rFonts w:hint="eastAsia" w:ascii="Times New Roman" w:hAnsi="Times New Roman" w:eastAsia="仿宋_GB2312" w:cs="Times New Roman"/>
          <w:sz w:val="32"/>
        </w:rPr>
        <w:t>外事接待支出0万元。</w:t>
      </w:r>
    </w:p>
    <w:p w14:paraId="4965F9C5">
      <w:pPr>
        <w:pStyle w:val="3"/>
        <w:numPr>
          <w:ilvl w:val="0"/>
          <w:numId w:val="2"/>
        </w:numPr>
        <w:bidi w:val="0"/>
      </w:pPr>
      <w:bookmarkStart w:id="48" w:name="_Toc9398"/>
      <w:bookmarkStart w:id="49" w:name="_Toc2639"/>
      <w:r>
        <w:rPr>
          <w:rFonts w:hint="eastAsia"/>
        </w:rPr>
        <w:t>政府性基金预算支出决算情况说明</w:t>
      </w:r>
      <w:bookmarkEnd w:id="46"/>
      <w:bookmarkEnd w:id="47"/>
      <w:bookmarkEnd w:id="48"/>
      <w:bookmarkEnd w:id="49"/>
    </w:p>
    <w:p w14:paraId="5ED014A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20</w:t>
      </w:r>
      <w:r>
        <w:rPr>
          <w:rFonts w:hint="eastAsia" w:ascii="Times New Roman" w:hAnsi="Times New Roman" w:eastAsia="仿宋_GB2312" w:cs="Times New Roman"/>
          <w:sz w:val="32"/>
        </w:rPr>
        <w:t>2</w:t>
      </w:r>
      <w:r>
        <w:rPr>
          <w:rFonts w:hint="eastAsia" w:eastAsia="仿宋_GB2312" w:cs="Times New Roman"/>
          <w:sz w:val="32"/>
          <w:lang w:val="en-US" w:eastAsia="zh-CN"/>
        </w:rPr>
        <w:t>3</w:t>
      </w:r>
      <w:r>
        <w:rPr>
          <w:rFonts w:hint="eastAsia" w:ascii="Times New Roman" w:hAnsi="Times New Roman" w:eastAsia="仿宋_GB2312" w:cs="Times New Roman"/>
          <w:sz w:val="32"/>
        </w:rPr>
        <w:t>年政府性基金预算财政拨款支出0万元。</w:t>
      </w:r>
    </w:p>
    <w:p w14:paraId="26DD723C">
      <w:pPr>
        <w:pStyle w:val="3"/>
        <w:numPr>
          <w:ilvl w:val="0"/>
          <w:numId w:val="2"/>
        </w:numPr>
        <w:bidi w:val="0"/>
        <w:rPr>
          <w:rFonts w:hint="eastAsia"/>
        </w:rPr>
      </w:pPr>
      <w:bookmarkStart w:id="50" w:name="_Toc24165"/>
      <w:bookmarkStart w:id="51" w:name="_Toc1807"/>
      <w:bookmarkStart w:id="52" w:name="_Toc15377219"/>
      <w:bookmarkStart w:id="53" w:name="_Toc15396611"/>
      <w:r>
        <w:rPr>
          <w:rFonts w:hint="eastAsia"/>
        </w:rPr>
        <w:t>国有资本经营预算支出决算情况说明</w:t>
      </w:r>
      <w:bookmarkEnd w:id="50"/>
      <w:bookmarkEnd w:id="51"/>
      <w:bookmarkEnd w:id="52"/>
      <w:bookmarkEnd w:id="53"/>
    </w:p>
    <w:p w14:paraId="412167F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cs="Times New Roman"/>
          <w:sz w:val="32"/>
        </w:rPr>
      </w:pPr>
      <w:r>
        <w:rPr>
          <w:rFonts w:ascii="Times New Roman" w:hAnsi="Times New Roman" w:eastAsia="仿宋_GB2312" w:cs="Times New Roman"/>
          <w:sz w:val="32"/>
        </w:rPr>
        <w:t>20</w:t>
      </w:r>
      <w:r>
        <w:rPr>
          <w:rFonts w:hint="eastAsia" w:ascii="Times New Roman" w:hAnsi="Times New Roman" w:eastAsia="仿宋_GB2312" w:cs="Times New Roman"/>
          <w:sz w:val="32"/>
        </w:rPr>
        <w:t>2</w:t>
      </w:r>
      <w:r>
        <w:rPr>
          <w:rFonts w:hint="eastAsia" w:eastAsia="仿宋_GB2312" w:cs="Times New Roman"/>
          <w:sz w:val="32"/>
          <w:lang w:val="en-US" w:eastAsia="zh-CN"/>
        </w:rPr>
        <w:t>3</w:t>
      </w:r>
      <w:r>
        <w:rPr>
          <w:rFonts w:hint="eastAsia" w:ascii="Times New Roman" w:hAnsi="Times New Roman" w:eastAsia="仿宋_GB2312" w:cs="Times New Roman"/>
          <w:sz w:val="32"/>
        </w:rPr>
        <w:t>年国有资本经营预算财政拨款支出0万元。</w:t>
      </w:r>
    </w:p>
    <w:p w14:paraId="2AF6A2C7">
      <w:pPr>
        <w:pStyle w:val="3"/>
        <w:numPr>
          <w:ilvl w:val="0"/>
          <w:numId w:val="2"/>
        </w:numPr>
        <w:bidi w:val="0"/>
        <w:rPr>
          <w:rFonts w:hint="eastAsia"/>
        </w:rPr>
      </w:pPr>
      <w:bookmarkStart w:id="54" w:name="_Toc26750"/>
      <w:bookmarkStart w:id="55" w:name="_Toc15396612"/>
      <w:bookmarkStart w:id="56" w:name="_Toc2417"/>
      <w:bookmarkStart w:id="57" w:name="_Toc15377221"/>
      <w:r>
        <w:rPr>
          <w:rFonts w:hint="eastAsia"/>
        </w:rPr>
        <w:t>其他重要事项的情况说明</w:t>
      </w:r>
      <w:bookmarkEnd w:id="54"/>
      <w:bookmarkEnd w:id="55"/>
      <w:bookmarkEnd w:id="56"/>
      <w:bookmarkEnd w:id="57"/>
    </w:p>
    <w:p w14:paraId="611CF428">
      <w:pPr>
        <w:keepNext w:val="0"/>
        <w:keepLines w:val="0"/>
        <w:pageBreakBefore w:val="0"/>
        <w:kinsoku/>
        <w:wordWrap/>
        <w:overflowPunct/>
        <w:autoSpaceDE/>
        <w:autoSpaceDN/>
        <w:bidi w:val="0"/>
        <w:adjustRightInd/>
        <w:snapToGrid/>
        <w:spacing w:line="576" w:lineRule="exact"/>
        <w:ind w:firstLine="640" w:firstLineChars="200"/>
        <w:textAlignment w:val="auto"/>
        <w:rPr>
          <w:rFonts w:hint="eastAsia" w:ascii="楷体" w:hAnsi="楷体" w:eastAsia="楷体" w:cs="楷体"/>
          <w:sz w:val="32"/>
          <w:szCs w:val="32"/>
        </w:rPr>
      </w:pPr>
      <w:bookmarkStart w:id="58" w:name="_Toc15377222"/>
      <w:r>
        <w:rPr>
          <w:rFonts w:hint="eastAsia" w:ascii="楷体" w:hAnsi="楷体" w:eastAsia="楷体" w:cs="楷体"/>
          <w:sz w:val="32"/>
          <w:szCs w:val="32"/>
        </w:rPr>
        <w:t>（一）机关运行经费支出情况</w:t>
      </w:r>
      <w:bookmarkEnd w:id="58"/>
    </w:p>
    <w:p w14:paraId="6BDA57A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2023年度，广元市食品药品检验检测中心未发生机关运行经费支出，与2022年决算数持平。</w:t>
      </w:r>
    </w:p>
    <w:p w14:paraId="625A4F9C">
      <w:pPr>
        <w:keepNext w:val="0"/>
        <w:keepLines w:val="0"/>
        <w:pageBreakBefore w:val="0"/>
        <w:kinsoku/>
        <w:wordWrap/>
        <w:overflowPunct/>
        <w:autoSpaceDE/>
        <w:autoSpaceDN/>
        <w:bidi w:val="0"/>
        <w:adjustRightInd/>
        <w:snapToGrid/>
        <w:spacing w:line="576" w:lineRule="exact"/>
        <w:ind w:firstLine="640" w:firstLineChars="200"/>
        <w:textAlignment w:val="auto"/>
        <w:rPr>
          <w:rFonts w:hint="eastAsia" w:ascii="楷体" w:hAnsi="楷体" w:eastAsia="楷体" w:cs="楷体"/>
          <w:sz w:val="32"/>
          <w:szCs w:val="32"/>
        </w:rPr>
      </w:pPr>
      <w:bookmarkStart w:id="59" w:name="_Toc15377223"/>
      <w:r>
        <w:rPr>
          <w:rFonts w:hint="eastAsia" w:ascii="楷体" w:hAnsi="楷体" w:eastAsia="楷体" w:cs="楷体"/>
          <w:sz w:val="32"/>
          <w:szCs w:val="32"/>
        </w:rPr>
        <w:t>（二）政府采购支出情况</w:t>
      </w:r>
      <w:bookmarkEnd w:id="59"/>
    </w:p>
    <w:p w14:paraId="4325AF2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2023年度，广元市食品药品检验检测中心政府采购支出总额0.66万元，其中：政府采购货物支出0.66万元，主要用于开展化妆品抽检工作。授予中小企业合同金额0万元，占政府采购支出总额的100%。</w:t>
      </w:r>
    </w:p>
    <w:p w14:paraId="0A77679E">
      <w:pPr>
        <w:keepNext w:val="0"/>
        <w:keepLines w:val="0"/>
        <w:pageBreakBefore w:val="0"/>
        <w:kinsoku/>
        <w:wordWrap/>
        <w:overflowPunct/>
        <w:autoSpaceDE/>
        <w:autoSpaceDN/>
        <w:bidi w:val="0"/>
        <w:adjustRightInd/>
        <w:snapToGrid/>
        <w:spacing w:line="576" w:lineRule="exact"/>
        <w:ind w:firstLine="640" w:firstLineChars="200"/>
        <w:textAlignment w:val="auto"/>
        <w:rPr>
          <w:rFonts w:hint="eastAsia" w:ascii="楷体" w:hAnsi="楷体" w:eastAsia="楷体" w:cs="楷体"/>
          <w:sz w:val="32"/>
          <w:szCs w:val="32"/>
        </w:rPr>
      </w:pPr>
      <w:bookmarkStart w:id="60" w:name="_Toc15377224"/>
      <w:r>
        <w:rPr>
          <w:rFonts w:hint="eastAsia" w:ascii="楷体" w:hAnsi="楷体" w:eastAsia="楷体" w:cs="楷体"/>
          <w:sz w:val="32"/>
          <w:szCs w:val="32"/>
        </w:rPr>
        <w:t>（三）国有资产占有使用情况</w:t>
      </w:r>
      <w:bookmarkEnd w:id="60"/>
    </w:p>
    <w:p w14:paraId="68F5AED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截至2023年12月31日，广元市食品药品检验检测中心共有车辆0辆，单价100万元以上设备（不含车辆）2台（套）。</w:t>
      </w:r>
    </w:p>
    <w:p w14:paraId="4F35689D">
      <w:pPr>
        <w:keepNext w:val="0"/>
        <w:keepLines w:val="0"/>
        <w:pageBreakBefore w:val="0"/>
        <w:kinsoku/>
        <w:wordWrap/>
        <w:overflowPunct/>
        <w:autoSpaceDE/>
        <w:autoSpaceDN/>
        <w:bidi w:val="0"/>
        <w:adjustRightInd/>
        <w:snapToGrid/>
        <w:spacing w:line="576"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（四）预算绩效管理情况</w:t>
      </w:r>
    </w:p>
    <w:p w14:paraId="64928BBB">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Times New Roman" w:hAnsi="Times New Roman" w:eastAsia="仿宋_GB2312" w:cs="Times New Roman"/>
          <w:sz w:val="32"/>
        </w:rPr>
      </w:pPr>
      <w:r>
        <w:rPr>
          <w:rFonts w:hint="eastAsia" w:ascii="仿宋_GB2312" w:hAnsi="仿宋_GB2312" w:eastAsia="仿宋_GB2312" w:cs="仿宋_GB2312"/>
          <w:sz w:val="32"/>
          <w:szCs w:val="32"/>
        </w:rPr>
        <w:t>根据预算绩效管理要求，本单位在2023年度预算编制阶段，组织对</w:t>
      </w:r>
      <w:r>
        <w:rPr>
          <w:rFonts w:hint="eastAsia" w:ascii="仿宋_GB2312" w:hAnsi="仿宋_GB2312" w:eastAsia="仿宋_GB2312" w:cs="仿宋_GB2312"/>
          <w:sz w:val="32"/>
          <w:szCs w:val="32"/>
          <w:lang w:val="en-US" w:eastAsia="zh-CN"/>
        </w:rPr>
        <w:t>药品检验和实验室维护经费</w:t>
      </w:r>
      <w:r>
        <w:rPr>
          <w:rFonts w:hint="eastAsia" w:ascii="仿宋_GB2312" w:hAnsi="仿宋_GB2312" w:eastAsia="仿宋_GB2312" w:cs="仿宋_GB2312"/>
          <w:sz w:val="32"/>
          <w:szCs w:val="32"/>
        </w:rPr>
        <w:t>等17个项目开展了预算事前绩效评估，对17个项目编制了绩效目标，预算执行过程中，选取17个项目开展绩效监控，组织对17个项目开展绩效自评，绩效自评表详见第四部分附件。</w:t>
      </w:r>
      <w:r>
        <w:rPr>
          <w:rFonts w:hint="eastAsia" w:ascii="Times New Roman" w:hAnsi="Times New Roman" w:eastAsia="仿宋_GB2312" w:cs="Times New Roman"/>
          <w:sz w:val="32"/>
        </w:rPr>
        <w:br w:type="page"/>
      </w:r>
      <w:bookmarkStart w:id="61" w:name="_Toc15396613"/>
      <w:bookmarkStart w:id="62" w:name="_Toc15377225"/>
      <w:bookmarkStart w:id="63" w:name="_Toc13173"/>
    </w:p>
    <w:p w14:paraId="3F7DBBE1">
      <w:pPr>
        <w:keepNext w:val="0"/>
        <w:keepLines w:val="0"/>
        <w:pageBreakBefore w:val="0"/>
        <w:widowControl w:val="0"/>
        <w:kinsoku/>
        <w:wordWrap/>
        <w:overflowPunct/>
        <w:topLinePunct w:val="0"/>
        <w:autoSpaceDE/>
        <w:autoSpaceDN/>
        <w:bidi w:val="0"/>
        <w:adjustRightInd/>
        <w:snapToGrid/>
        <w:spacing w:line="576" w:lineRule="exact"/>
        <w:ind w:firstLine="2640" w:firstLineChars="600"/>
        <w:jc w:val="left"/>
        <w:textAlignment w:val="auto"/>
        <w:outlineLvl w:val="0"/>
        <w:rPr>
          <w:rFonts w:hint="eastAsia" w:ascii="方正小标宋简体" w:hAnsi="方正小标宋简体" w:eastAsia="方正小标宋简体" w:cs="方正小标宋简体"/>
          <w:sz w:val="44"/>
          <w:szCs w:val="44"/>
        </w:rPr>
      </w:pPr>
      <w:bookmarkStart w:id="64" w:name="_Toc11988"/>
      <w:r>
        <w:rPr>
          <w:rFonts w:hint="eastAsia" w:ascii="方正小标宋简体" w:hAnsi="方正小标宋简体" w:eastAsia="方正小标宋简体" w:cs="方正小标宋简体"/>
          <w:sz w:val="44"/>
          <w:szCs w:val="44"/>
          <w:lang w:val="en-US" w:eastAsia="zh-CN"/>
        </w:rPr>
        <w:t xml:space="preserve">第三部分 </w:t>
      </w:r>
      <w:r>
        <w:rPr>
          <w:rFonts w:hint="eastAsia" w:ascii="方正小标宋简体" w:hAnsi="方正小标宋简体" w:eastAsia="方正小标宋简体" w:cs="方正小标宋简体"/>
          <w:sz w:val="44"/>
          <w:szCs w:val="44"/>
        </w:rPr>
        <w:t>名词解释</w:t>
      </w:r>
      <w:bookmarkEnd w:id="61"/>
      <w:bookmarkEnd w:id="62"/>
      <w:bookmarkEnd w:id="63"/>
      <w:bookmarkEnd w:id="64"/>
    </w:p>
    <w:p w14:paraId="56CAE01F">
      <w:pPr>
        <w:pStyle w:val="3"/>
        <w:outlineLvl w:val="9"/>
      </w:pPr>
    </w:p>
    <w:p w14:paraId="3FB709CC">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0" w:leftChars="0" w:firstLine="400" w:firstLineChars="0"/>
        <w:textAlignment w:val="auto"/>
        <w:outlineLvl w:val="1"/>
        <w:rPr>
          <w:rFonts w:hint="eastAsia" w:ascii="Times New Roman" w:hAnsi="Times New Roman" w:eastAsia="仿宋_GB2312" w:cs="Times New Roman"/>
          <w:sz w:val="32"/>
        </w:rPr>
      </w:pPr>
      <w:bookmarkStart w:id="65" w:name="_Toc1759"/>
      <w:r>
        <w:rPr>
          <w:rFonts w:hint="eastAsia" w:ascii="Times New Roman" w:hAnsi="Times New Roman" w:eastAsia="仿宋_GB2312" w:cs="Times New Roman"/>
          <w:sz w:val="32"/>
        </w:rPr>
        <w:t>财政拨款收入：指单位从同级财政部门取得的财政预算资金。</w:t>
      </w:r>
      <w:bookmarkEnd w:id="65"/>
    </w:p>
    <w:p w14:paraId="0C8B99E6">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0" w:leftChars="0" w:firstLine="400" w:firstLineChars="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 xml:space="preserve">其他收入：指单位取得的除上述收入以外的各项收入。主要是市市场监管局拨食品药品抽验项目经费及返拨党费、银行利息收入等。 </w:t>
      </w:r>
    </w:p>
    <w:p w14:paraId="3747A5AA">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0" w:leftChars="0" w:firstLine="400" w:firstLineChars="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使用非财政拨款结余（含专用结余）：指事业单位使用以前年度积累的非财政拨款结余弥补当年收支差额的金额。</w:t>
      </w:r>
    </w:p>
    <w:p w14:paraId="186AA5B2">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0" w:leftChars="0" w:firstLine="400" w:firstLineChars="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年末结转和结余：指单位按有关规定结转到下年或以后年度继续使用的资金。</w:t>
      </w:r>
    </w:p>
    <w:p w14:paraId="3FE4B05C">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0" w:leftChars="0" w:firstLine="400" w:firstLineChars="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一般公共服务（类）市场监督管理事务（款）药品事务（项）：指单位用于药品监管、药品抽验及药品开展科研项目工作等方面的支出。</w:t>
      </w:r>
    </w:p>
    <w:p w14:paraId="29CB805B">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0" w:leftChars="0" w:firstLine="400" w:firstLineChars="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一般公共服务（类）市场监督管理事务（款）事业运行（项）：指单位用于工资福利、对个人及家庭补助和公用经费等基本支出。</w:t>
      </w:r>
    </w:p>
    <w:p w14:paraId="107DF1BF">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0" w:leftChars="0" w:firstLine="400" w:firstLineChars="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一般公共服务（类）市场监督管理事务（款）其他市场监督管理事务（项）：指单位用于食品抽验、药品委托检验、乡村振兴、仪器设备维修维护、实验室危废处置等支出。</w:t>
      </w:r>
    </w:p>
    <w:p w14:paraId="3379FC50">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0" w:leftChars="0" w:firstLine="400" w:firstLineChars="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 xml:space="preserve">社会保障和就业支出（类）行政事业单位养老支出（款）机关事业单位基本养老保险缴费支出（项）：指单位用于实施养老保险制度由单位缴纳的基本养老保险费支出。 </w:t>
      </w:r>
    </w:p>
    <w:p w14:paraId="534B270D">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0" w:leftChars="0" w:firstLine="400" w:firstLineChars="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 xml:space="preserve">社会保障和就业支出（类）行政事业单位养老支出（款）机关事业单位职业年金缴费支出（项）：指单位用于职工实际缴纳的职业年金支出。 </w:t>
      </w:r>
    </w:p>
    <w:p w14:paraId="3BFC43CB">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0" w:leftChars="0" w:firstLine="400" w:firstLineChars="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卫生健康支出（类）行政事业单位医疗（款）事业单位医疗（项）：指单位用于事业单位基本医疗保险缴费。</w:t>
      </w:r>
    </w:p>
    <w:p w14:paraId="1AEA42AD">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0" w:leftChars="0" w:firstLine="400" w:firstLineChars="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 xml:space="preserve">住房保障支出（类）住房改革支出（款）住房公积金（项）：指单位用于按规定的工资基数以及规定比例为职工缴纳的住房公积金。 </w:t>
      </w:r>
    </w:p>
    <w:p w14:paraId="007B8D08">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0" w:leftChars="0" w:firstLine="400" w:firstLineChars="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基本支出：指为保障机构正常运转、完成日常工作任务而发生的人员支出和公用支出。</w:t>
      </w:r>
    </w:p>
    <w:p w14:paraId="7B1ABA8E">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0" w:leftChars="0" w:firstLine="400" w:firstLineChars="0"/>
        <w:textAlignment w:val="auto"/>
        <w:rPr>
          <w:rFonts w:hint="eastAsia" w:ascii="Times New Roman" w:hAnsi="Times New Roman" w:eastAsia="仿宋_GB2312" w:cs="Times New Roman"/>
          <w:sz w:val="32"/>
        </w:rPr>
      </w:pPr>
      <w:r>
        <w:rPr>
          <w:rFonts w:hint="eastAsia" w:ascii="Times New Roman" w:hAnsi="Times New Roman" w:eastAsia="仿宋_GB2312" w:cs="Times New Roman"/>
          <w:sz w:val="32"/>
        </w:rPr>
        <w:t xml:space="preserve">项目支出：指在基本支出之外为完成特定行政任务和事业发展目标所发生的支出。 </w:t>
      </w:r>
    </w:p>
    <w:p w14:paraId="7BF8FE59">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0" w:leftChars="0" w:firstLine="400" w:firstLineChars="0"/>
        <w:textAlignment w:val="auto"/>
        <w:rPr>
          <w:rFonts w:hint="eastAsia" w:ascii="Times New Roman" w:hAnsi="Times New Roman" w:eastAsia="仿宋_GB2312" w:cs="Times New Roman"/>
          <w:sz w:val="32"/>
        </w:rPr>
        <w:sectPr>
          <w:footerReference r:id="rId6" w:type="first"/>
          <w:footerReference r:id="rId5" w:type="default"/>
          <w:pgSz w:w="11906" w:h="16838"/>
          <w:pgMar w:top="2098" w:right="1474" w:bottom="1984" w:left="1587" w:header="851" w:footer="992" w:gutter="0"/>
          <w:pgNumType w:fmt="numberInDash" w:start="1"/>
          <w:cols w:space="425" w:num="1"/>
          <w:docGrid w:type="lines" w:linePitch="312" w:charSpace="0"/>
        </w:sectPr>
      </w:pPr>
      <w:r>
        <w:rPr>
          <w:rFonts w:hint="eastAsia" w:ascii="Times New Roman" w:hAnsi="Times New Roman" w:eastAsia="仿宋_GB2312" w:cs="Times New Roman"/>
          <w:sz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09041BCC">
      <w:pPr>
        <w:pStyle w:val="2"/>
        <w:bidi w:val="0"/>
        <w:jc w:val="center"/>
        <w:rPr>
          <w:rFonts w:hint="eastAsia"/>
        </w:rPr>
      </w:pPr>
      <w:bookmarkStart w:id="66" w:name="_Toc13002"/>
      <w:r>
        <w:rPr>
          <w:rFonts w:hint="eastAsia"/>
        </w:rPr>
        <w:t>第四部分 附件</w:t>
      </w:r>
      <w:bookmarkEnd w:id="66"/>
    </w:p>
    <w:tbl>
      <w:tblPr>
        <w:tblStyle w:val="12"/>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54"/>
        <w:gridCol w:w="1412"/>
        <w:gridCol w:w="1694"/>
        <w:gridCol w:w="462"/>
        <w:gridCol w:w="997"/>
        <w:gridCol w:w="463"/>
        <w:gridCol w:w="978"/>
        <w:gridCol w:w="486"/>
        <w:gridCol w:w="508"/>
        <w:gridCol w:w="2048"/>
      </w:tblGrid>
      <w:tr w14:paraId="4F141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2206" w:type="pct"/>
            <w:gridSpan w:val="4"/>
            <w:tcBorders>
              <w:top w:val="nil"/>
              <w:left w:val="nil"/>
              <w:bottom w:val="nil"/>
              <w:right w:val="nil"/>
            </w:tcBorders>
            <w:shd w:val="clear" w:color="auto" w:fill="auto"/>
            <w:vAlign w:val="center"/>
          </w:tcPr>
          <w:p w14:paraId="3C03A8D3">
            <w:pPr>
              <w:keepNext w:val="0"/>
              <w:keepLines w:val="0"/>
              <w:widowControl/>
              <w:suppressLineNumbers w:val="0"/>
              <w:jc w:val="left"/>
              <w:textAlignment w:val="center"/>
              <w:rPr>
                <w:rFonts w:ascii="宋体" w:hAnsi="宋体" w:eastAsia="宋体" w:cs="宋体"/>
                <w:i w:val="0"/>
                <w:iCs w:val="0"/>
                <w:color w:val="C0C0C0"/>
                <w:sz w:val="20"/>
                <w:szCs w:val="20"/>
                <w:u w:val="none"/>
              </w:rPr>
            </w:pPr>
            <w:r>
              <w:rPr>
                <w:rFonts w:ascii="宋体" w:hAnsi="宋体" w:eastAsia="宋体" w:cs="宋体"/>
                <w:i w:val="0"/>
                <w:iCs w:val="0"/>
                <w:color w:val="C0C0C0"/>
                <w:kern w:val="0"/>
                <w:sz w:val="20"/>
                <w:szCs w:val="20"/>
                <w:u w:val="none"/>
                <w:lang w:val="en-US" w:eastAsia="zh-CN" w:bidi="ar"/>
              </w:rPr>
              <w:t>报表编号：510000_0013zp</w:t>
            </w:r>
          </w:p>
        </w:tc>
        <w:tc>
          <w:tcPr>
            <w:tcW w:w="221" w:type="pct"/>
            <w:tcBorders>
              <w:top w:val="nil"/>
              <w:left w:val="nil"/>
              <w:bottom w:val="nil"/>
              <w:right w:val="nil"/>
            </w:tcBorders>
            <w:shd w:val="clear" w:color="auto" w:fill="auto"/>
            <w:noWrap/>
            <w:vAlign w:val="center"/>
          </w:tcPr>
          <w:p w14:paraId="4466BAF4">
            <w:pPr>
              <w:rPr>
                <w:rFonts w:hint="eastAsia" w:ascii="宋体" w:hAnsi="宋体" w:eastAsia="宋体" w:cs="宋体"/>
                <w:i w:val="0"/>
                <w:iCs w:val="0"/>
                <w:color w:val="000000"/>
                <w:sz w:val="22"/>
                <w:szCs w:val="22"/>
                <w:u w:val="none"/>
              </w:rPr>
            </w:pPr>
          </w:p>
        </w:tc>
        <w:tc>
          <w:tcPr>
            <w:tcW w:w="1152" w:type="pct"/>
            <w:gridSpan w:val="3"/>
            <w:tcBorders>
              <w:top w:val="nil"/>
              <w:left w:val="nil"/>
              <w:bottom w:val="nil"/>
              <w:right w:val="nil"/>
            </w:tcBorders>
            <w:shd w:val="clear" w:color="auto" w:fill="auto"/>
            <w:vAlign w:val="center"/>
          </w:tcPr>
          <w:p w14:paraId="6F377CE6">
            <w:pPr>
              <w:rPr>
                <w:rFonts w:hint="eastAsia" w:ascii="宋体" w:hAnsi="宋体" w:eastAsia="宋体" w:cs="宋体"/>
                <w:i w:val="0"/>
                <w:iCs w:val="0"/>
                <w:color w:val="000000"/>
                <w:sz w:val="20"/>
                <w:szCs w:val="20"/>
                <w:u w:val="none"/>
              </w:rPr>
            </w:pPr>
          </w:p>
        </w:tc>
        <w:tc>
          <w:tcPr>
            <w:tcW w:w="214" w:type="pct"/>
            <w:tcBorders>
              <w:top w:val="nil"/>
              <w:left w:val="nil"/>
              <w:bottom w:val="nil"/>
              <w:right w:val="nil"/>
            </w:tcBorders>
            <w:shd w:val="clear" w:color="auto" w:fill="auto"/>
            <w:noWrap/>
            <w:vAlign w:val="center"/>
          </w:tcPr>
          <w:p w14:paraId="067E58E3">
            <w:pPr>
              <w:rPr>
                <w:rFonts w:hint="eastAsia" w:ascii="宋体" w:hAnsi="宋体" w:eastAsia="宋体" w:cs="宋体"/>
                <w:i w:val="0"/>
                <w:iCs w:val="0"/>
                <w:color w:val="000000"/>
                <w:sz w:val="22"/>
                <w:szCs w:val="22"/>
                <w:u w:val="none"/>
              </w:rPr>
            </w:pPr>
          </w:p>
        </w:tc>
        <w:tc>
          <w:tcPr>
            <w:tcW w:w="242" w:type="pct"/>
            <w:tcBorders>
              <w:top w:val="nil"/>
              <w:left w:val="nil"/>
              <w:bottom w:val="nil"/>
              <w:right w:val="nil"/>
            </w:tcBorders>
            <w:shd w:val="clear" w:color="auto" w:fill="auto"/>
            <w:noWrap/>
            <w:vAlign w:val="center"/>
          </w:tcPr>
          <w:p w14:paraId="3B8A57B8">
            <w:pPr>
              <w:rPr>
                <w:rFonts w:hint="eastAsia" w:ascii="宋体" w:hAnsi="宋体" w:eastAsia="宋体" w:cs="宋体"/>
                <w:i w:val="0"/>
                <w:iCs w:val="0"/>
                <w:color w:val="000000"/>
                <w:sz w:val="22"/>
                <w:szCs w:val="22"/>
                <w:u w:val="none"/>
              </w:rPr>
            </w:pPr>
          </w:p>
        </w:tc>
        <w:tc>
          <w:tcPr>
            <w:tcW w:w="963" w:type="pct"/>
            <w:tcBorders>
              <w:top w:val="nil"/>
              <w:left w:val="nil"/>
              <w:bottom w:val="nil"/>
              <w:right w:val="nil"/>
            </w:tcBorders>
            <w:shd w:val="clear" w:color="auto" w:fill="auto"/>
            <w:noWrap/>
            <w:vAlign w:val="center"/>
          </w:tcPr>
          <w:p w14:paraId="4F5F072F">
            <w:pPr>
              <w:rPr>
                <w:rFonts w:hint="eastAsia" w:ascii="宋体" w:hAnsi="宋体" w:eastAsia="宋体" w:cs="宋体"/>
                <w:i w:val="0"/>
                <w:iCs w:val="0"/>
                <w:color w:val="000000"/>
                <w:sz w:val="22"/>
                <w:szCs w:val="22"/>
                <w:u w:val="none"/>
              </w:rPr>
            </w:pPr>
          </w:p>
        </w:tc>
      </w:tr>
      <w:tr w14:paraId="53127E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6D8557F8">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val="0"/>
                <w:bCs w:val="0"/>
                <w:i w:val="0"/>
                <w:iCs w:val="0"/>
                <w:color w:val="000000"/>
                <w:kern w:val="0"/>
                <w:sz w:val="30"/>
                <w:szCs w:val="30"/>
                <w:u w:val="none"/>
                <w:lang w:val="en-US" w:eastAsia="zh-CN" w:bidi="ar"/>
              </w:rPr>
              <w:t>部门预算项目支出绩效自评表（2023年度）</w:t>
            </w:r>
          </w:p>
        </w:tc>
      </w:tr>
      <w:tr w14:paraId="4C49D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28F7F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5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13D052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51000021R000000019951-工资性支出</w:t>
            </w:r>
          </w:p>
        </w:tc>
      </w:tr>
      <w:tr w14:paraId="2859F5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D7736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13F972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广元市市场监督管理局部门</w:t>
            </w:r>
          </w:p>
        </w:tc>
        <w:tc>
          <w:tcPr>
            <w:tcW w:w="461" w:type="pct"/>
            <w:tcBorders>
              <w:top w:val="nil"/>
              <w:left w:val="nil"/>
              <w:bottom w:val="nil"/>
              <w:right w:val="nil"/>
            </w:tcBorders>
            <w:shd w:val="clear" w:color="auto" w:fill="auto"/>
            <w:vAlign w:val="center"/>
          </w:tcPr>
          <w:p w14:paraId="76BE3135">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41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B043B0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广元市食品药品检验检测中心</w:t>
            </w:r>
          </w:p>
        </w:tc>
      </w:tr>
      <w:tr w14:paraId="18223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8A7E9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9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DABB7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CF69C5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88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BBF02D0">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5382B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C0CB22">
            <w:pPr>
              <w:rPr>
                <w:rFonts w:hint="eastAsia" w:ascii="宋体" w:hAnsi="宋体" w:eastAsia="宋体" w:cs="宋体"/>
                <w:i w:val="0"/>
                <w:iCs w:val="0"/>
                <w:color w:val="000000"/>
                <w:sz w:val="18"/>
                <w:szCs w:val="18"/>
                <w:u w:val="none"/>
              </w:rPr>
            </w:pPr>
          </w:p>
        </w:tc>
        <w:tc>
          <w:tcPr>
            <w:tcW w:w="4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0D751C">
            <w:pPr>
              <w:rPr>
                <w:rFonts w:hint="eastAsia" w:ascii="宋体" w:hAnsi="宋体" w:eastAsia="宋体" w:cs="宋体"/>
                <w:i w:val="0"/>
                <w:iCs w:val="0"/>
                <w:color w:val="000000"/>
                <w:sz w:val="18"/>
                <w:szCs w:val="18"/>
                <w:u w:val="none"/>
              </w:rPr>
            </w:pPr>
          </w:p>
        </w:tc>
        <w:tc>
          <w:tcPr>
            <w:tcW w:w="23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60E61C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88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7A0648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2023年，我中心严格执行相关政策，保障工资及时发放、足额发放，预算编制科学合理，无结余资金。</w:t>
            </w:r>
          </w:p>
        </w:tc>
      </w:tr>
      <w:tr w14:paraId="60825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2654CA">
            <w:pPr>
              <w:rPr>
                <w:rFonts w:hint="eastAsia" w:ascii="宋体" w:hAnsi="宋体" w:eastAsia="宋体" w:cs="宋体"/>
                <w:i w:val="0"/>
                <w:iCs w:val="0"/>
                <w:color w:val="000000"/>
                <w:sz w:val="18"/>
                <w:szCs w:val="18"/>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9480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5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0D181D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“工资性支出”项目由办公室负责组织实施，通过制定专项工作计划方案、确定工作目标、明确组织实施措施和策略，有效地指导工作的正常有序开展。</w:t>
            </w:r>
          </w:p>
        </w:tc>
      </w:tr>
      <w:tr w14:paraId="3705B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26FD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F6D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154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702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1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4DE31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08D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6EF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790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63" w:type="pct"/>
            <w:tcBorders>
              <w:top w:val="single" w:color="000000" w:sz="4" w:space="0"/>
              <w:left w:val="single" w:color="000000" w:sz="4" w:space="0"/>
              <w:bottom w:val="nil"/>
              <w:right w:val="single" w:color="000000" w:sz="4" w:space="0"/>
            </w:tcBorders>
            <w:shd w:val="clear" w:color="auto" w:fill="auto"/>
            <w:vAlign w:val="center"/>
          </w:tcPr>
          <w:p w14:paraId="721E64D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6298C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8667AB">
            <w:pPr>
              <w:jc w:val="center"/>
              <w:rPr>
                <w:rFonts w:hint="eastAsia" w:ascii="宋体" w:hAnsi="宋体" w:eastAsia="宋体" w:cs="宋体"/>
                <w:i w:val="0"/>
                <w:iCs w:val="0"/>
                <w:color w:val="000000"/>
                <w:sz w:val="18"/>
                <w:szCs w:val="18"/>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6B9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BB5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398.57</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AFE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415.12</w:t>
            </w:r>
          </w:p>
        </w:tc>
        <w:tc>
          <w:tcPr>
            <w:tcW w:w="91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D2F2E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415.12</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9387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406B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42" w:type="pct"/>
            <w:tcBorders>
              <w:top w:val="single" w:color="000000" w:sz="4" w:space="0"/>
              <w:left w:val="single" w:color="000000" w:sz="4" w:space="0"/>
              <w:bottom w:val="single" w:color="000000" w:sz="4" w:space="0"/>
              <w:right w:val="nil"/>
            </w:tcBorders>
            <w:shd w:val="clear" w:color="auto" w:fill="auto"/>
            <w:vAlign w:val="center"/>
          </w:tcPr>
          <w:p w14:paraId="35C3AF9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63"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11A132D6">
            <w:pPr>
              <w:keepNext w:val="0"/>
              <w:keepLines w:val="0"/>
              <w:widowControl/>
              <w:suppressLineNumbers w:val="0"/>
              <w:jc w:val="left"/>
              <w:textAlignment w:val="top"/>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调整追加预算16.55万元为人员清算追加指标。</w:t>
            </w:r>
          </w:p>
        </w:tc>
      </w:tr>
      <w:tr w14:paraId="671AE1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jc w:val="center"/>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046805">
            <w:pPr>
              <w:jc w:val="center"/>
              <w:rPr>
                <w:rFonts w:hint="eastAsia" w:ascii="宋体" w:hAnsi="宋体" w:eastAsia="宋体" w:cs="宋体"/>
                <w:i w:val="0"/>
                <w:iCs w:val="0"/>
                <w:color w:val="000000"/>
                <w:sz w:val="18"/>
                <w:szCs w:val="18"/>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A43A5">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其中：</w:t>
            </w:r>
          </w:p>
          <w:p w14:paraId="54DD18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财政资金</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CED3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398.57</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214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415.12</w:t>
            </w:r>
          </w:p>
        </w:tc>
        <w:tc>
          <w:tcPr>
            <w:tcW w:w="91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D3E1B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415.12</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EEF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EB17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2" w:type="pct"/>
            <w:tcBorders>
              <w:top w:val="single" w:color="000000" w:sz="4" w:space="0"/>
              <w:left w:val="single" w:color="000000" w:sz="4" w:space="0"/>
              <w:bottom w:val="single" w:color="000000" w:sz="4" w:space="0"/>
              <w:right w:val="nil"/>
            </w:tcBorders>
            <w:shd w:val="clear" w:color="auto" w:fill="auto"/>
            <w:vAlign w:val="center"/>
          </w:tcPr>
          <w:p w14:paraId="1A3C2F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6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59578AC">
            <w:pPr>
              <w:jc w:val="left"/>
              <w:rPr>
                <w:rFonts w:hint="eastAsia" w:ascii="宋体" w:hAnsi="宋体" w:eastAsia="宋体" w:cs="宋体"/>
                <w:i w:val="0"/>
                <w:iCs w:val="0"/>
                <w:color w:val="000000"/>
                <w:sz w:val="18"/>
                <w:szCs w:val="18"/>
                <w:u w:val="none"/>
              </w:rPr>
            </w:pPr>
          </w:p>
        </w:tc>
      </w:tr>
      <w:tr w14:paraId="2E4A3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F9B28F">
            <w:pPr>
              <w:jc w:val="center"/>
              <w:rPr>
                <w:rFonts w:hint="eastAsia" w:ascii="宋体" w:hAnsi="宋体" w:eastAsia="宋体" w:cs="宋体"/>
                <w:i w:val="0"/>
                <w:iCs w:val="0"/>
                <w:color w:val="000000"/>
                <w:sz w:val="18"/>
                <w:szCs w:val="18"/>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3C6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284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CF8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1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C3B240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DE0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F70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2" w:type="pct"/>
            <w:tcBorders>
              <w:top w:val="single" w:color="000000" w:sz="4" w:space="0"/>
              <w:left w:val="single" w:color="000000" w:sz="4" w:space="0"/>
              <w:bottom w:val="single" w:color="000000" w:sz="4" w:space="0"/>
              <w:right w:val="nil"/>
            </w:tcBorders>
            <w:shd w:val="clear" w:color="auto" w:fill="auto"/>
            <w:vAlign w:val="center"/>
          </w:tcPr>
          <w:p w14:paraId="32C6D9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6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B99E4A9">
            <w:pPr>
              <w:jc w:val="left"/>
              <w:rPr>
                <w:rFonts w:hint="eastAsia" w:ascii="宋体" w:hAnsi="宋体" w:eastAsia="宋体" w:cs="宋体"/>
                <w:i w:val="0"/>
                <w:iCs w:val="0"/>
                <w:color w:val="000000"/>
                <w:sz w:val="18"/>
                <w:szCs w:val="18"/>
                <w:u w:val="none"/>
              </w:rPr>
            </w:pPr>
          </w:p>
        </w:tc>
      </w:tr>
      <w:tr w14:paraId="0EA5B2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E5BA70">
            <w:pPr>
              <w:jc w:val="center"/>
              <w:rPr>
                <w:rFonts w:hint="eastAsia" w:ascii="宋体" w:hAnsi="宋体" w:eastAsia="宋体" w:cs="宋体"/>
                <w:i w:val="0"/>
                <w:iCs w:val="0"/>
                <w:color w:val="000000"/>
                <w:sz w:val="18"/>
                <w:szCs w:val="18"/>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2F45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8D0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432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1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B1C90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5D6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694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2" w:type="pct"/>
            <w:tcBorders>
              <w:top w:val="single" w:color="000000" w:sz="4" w:space="0"/>
              <w:left w:val="single" w:color="000000" w:sz="4" w:space="0"/>
              <w:bottom w:val="single" w:color="000000" w:sz="4" w:space="0"/>
              <w:right w:val="nil"/>
            </w:tcBorders>
            <w:shd w:val="clear" w:color="auto" w:fill="auto"/>
            <w:vAlign w:val="center"/>
          </w:tcPr>
          <w:p w14:paraId="6DD748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6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280F46A">
            <w:pPr>
              <w:jc w:val="left"/>
              <w:rPr>
                <w:rFonts w:hint="eastAsia" w:ascii="宋体" w:hAnsi="宋体" w:eastAsia="宋体" w:cs="宋体"/>
                <w:i w:val="0"/>
                <w:iCs w:val="0"/>
                <w:color w:val="000000"/>
                <w:sz w:val="18"/>
                <w:szCs w:val="18"/>
                <w:u w:val="none"/>
              </w:rPr>
            </w:pPr>
          </w:p>
        </w:tc>
      </w:tr>
      <w:tr w14:paraId="0F805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17EBF6">
            <w:pPr>
              <w:jc w:val="center"/>
              <w:rPr>
                <w:rFonts w:hint="eastAsia" w:ascii="宋体" w:hAnsi="宋体" w:eastAsia="宋体" w:cs="宋体"/>
                <w:i w:val="0"/>
                <w:iCs w:val="0"/>
                <w:color w:val="000000"/>
                <w:sz w:val="18"/>
                <w:szCs w:val="18"/>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10D1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B0A59">
            <w:pPr>
              <w:jc w:val="center"/>
              <w:rPr>
                <w:rFonts w:hint="eastAsia" w:ascii="微软雅黑" w:hAnsi="微软雅黑" w:eastAsia="微软雅黑" w:cs="微软雅黑"/>
                <w:i/>
                <w:iCs/>
                <w:color w:val="000000"/>
                <w:sz w:val="16"/>
                <w:szCs w:val="16"/>
                <w:u w:val="none"/>
              </w:rPr>
            </w:pP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03DD4">
            <w:pPr>
              <w:jc w:val="center"/>
              <w:rPr>
                <w:rFonts w:hint="eastAsia" w:ascii="微软雅黑" w:hAnsi="微软雅黑" w:eastAsia="微软雅黑" w:cs="微软雅黑"/>
                <w:i/>
                <w:iCs/>
                <w:color w:val="000000"/>
                <w:sz w:val="16"/>
                <w:szCs w:val="16"/>
                <w:u w:val="none"/>
              </w:rPr>
            </w:pPr>
          </w:p>
        </w:tc>
        <w:tc>
          <w:tcPr>
            <w:tcW w:w="91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CF8493E">
            <w:pPr>
              <w:jc w:val="center"/>
              <w:rPr>
                <w:rFonts w:hint="eastAsia" w:ascii="微软雅黑" w:hAnsi="微软雅黑" w:eastAsia="微软雅黑" w:cs="微软雅黑"/>
                <w:i/>
                <w:iCs/>
                <w:color w:val="000000"/>
                <w:sz w:val="16"/>
                <w:szCs w:val="16"/>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EF642">
            <w:pPr>
              <w:jc w:val="center"/>
              <w:rPr>
                <w:rFonts w:hint="eastAsia" w:ascii="微软雅黑" w:hAnsi="微软雅黑" w:eastAsia="微软雅黑" w:cs="微软雅黑"/>
                <w:i/>
                <w:iCs/>
                <w:color w:val="000000"/>
                <w:sz w:val="16"/>
                <w:szCs w:val="16"/>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582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2" w:type="pct"/>
            <w:tcBorders>
              <w:top w:val="single" w:color="000000" w:sz="4" w:space="0"/>
              <w:left w:val="single" w:color="000000" w:sz="4" w:space="0"/>
              <w:bottom w:val="single" w:color="000000" w:sz="4" w:space="0"/>
              <w:right w:val="nil"/>
            </w:tcBorders>
            <w:shd w:val="clear" w:color="auto" w:fill="auto"/>
            <w:vAlign w:val="center"/>
          </w:tcPr>
          <w:p w14:paraId="0D09A8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6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E8E8DA3">
            <w:pPr>
              <w:jc w:val="left"/>
              <w:rPr>
                <w:rFonts w:hint="eastAsia" w:ascii="宋体" w:hAnsi="宋体" w:eastAsia="宋体" w:cs="宋体"/>
                <w:i w:val="0"/>
                <w:iCs w:val="0"/>
                <w:color w:val="000000"/>
                <w:sz w:val="18"/>
                <w:szCs w:val="18"/>
                <w:u w:val="none"/>
              </w:rPr>
            </w:pPr>
          </w:p>
        </w:tc>
      </w:tr>
      <w:tr w14:paraId="6E50B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6A0BB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6B9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650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B13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229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49A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C65C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A6C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221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0CF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63" w:type="pct"/>
            <w:tcBorders>
              <w:top w:val="nil"/>
              <w:left w:val="single" w:color="000000" w:sz="4" w:space="0"/>
              <w:bottom w:val="single" w:color="000000" w:sz="4" w:space="0"/>
              <w:right w:val="single" w:color="000000" w:sz="4" w:space="0"/>
            </w:tcBorders>
            <w:shd w:val="clear" w:color="auto" w:fill="auto"/>
            <w:vAlign w:val="center"/>
          </w:tcPr>
          <w:p w14:paraId="323CE5B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6069A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8BAFF7">
            <w:pPr>
              <w:jc w:val="center"/>
              <w:rPr>
                <w:rFonts w:hint="eastAsia" w:ascii="宋体" w:hAnsi="宋体" w:eastAsia="宋体" w:cs="宋体"/>
                <w:i w:val="0"/>
                <w:iCs w:val="0"/>
                <w:color w:val="000000"/>
                <w:sz w:val="18"/>
                <w:szCs w:val="18"/>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B39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20B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23F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7F4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E9B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F58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A0A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570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8BD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246A9">
            <w:pPr>
              <w:jc w:val="center"/>
              <w:rPr>
                <w:rFonts w:hint="eastAsia" w:ascii="微软雅黑" w:hAnsi="微软雅黑" w:eastAsia="微软雅黑" w:cs="微软雅黑"/>
                <w:i/>
                <w:iCs/>
                <w:color w:val="000000"/>
                <w:sz w:val="16"/>
                <w:szCs w:val="16"/>
                <w:u w:val="none"/>
              </w:rPr>
            </w:pPr>
          </w:p>
        </w:tc>
      </w:tr>
      <w:tr w14:paraId="6CE445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11AA3B">
            <w:pPr>
              <w:jc w:val="center"/>
              <w:rPr>
                <w:rFonts w:hint="eastAsia" w:ascii="宋体" w:hAnsi="宋体" w:eastAsia="宋体" w:cs="宋体"/>
                <w:i w:val="0"/>
                <w:iCs w:val="0"/>
                <w:color w:val="000000"/>
                <w:sz w:val="18"/>
                <w:szCs w:val="18"/>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B73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6F9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56E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C20D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2FA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591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793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B47C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31E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29BFB">
            <w:pPr>
              <w:jc w:val="center"/>
              <w:rPr>
                <w:rFonts w:hint="eastAsia" w:ascii="微软雅黑" w:hAnsi="微软雅黑" w:eastAsia="微软雅黑" w:cs="微软雅黑"/>
                <w:i/>
                <w:iCs/>
                <w:color w:val="000000"/>
                <w:sz w:val="16"/>
                <w:szCs w:val="16"/>
                <w:u w:val="none"/>
              </w:rPr>
            </w:pPr>
          </w:p>
        </w:tc>
      </w:tr>
      <w:tr w14:paraId="12FD6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358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2010AF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316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5C46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EBBA7">
            <w:pPr>
              <w:rPr>
                <w:rFonts w:hint="eastAsia" w:ascii="宋体" w:hAnsi="宋体" w:eastAsia="宋体" w:cs="宋体"/>
                <w:i w:val="0"/>
                <w:iCs w:val="0"/>
                <w:color w:val="000000"/>
                <w:sz w:val="18"/>
                <w:szCs w:val="18"/>
                <w:u w:val="none"/>
              </w:rPr>
            </w:pPr>
          </w:p>
        </w:tc>
      </w:tr>
      <w:tr w14:paraId="6D1E1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969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1B8397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“工资性支出”项目自评得分100分，该项目按时顺利开展，保障了人员工资、保险、绩效及时足额发放。</w:t>
            </w:r>
          </w:p>
        </w:tc>
      </w:tr>
      <w:tr w14:paraId="564A2F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3470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D6323A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14:paraId="3888F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5CD1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D31BE9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14:paraId="2C910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242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B2C9FFD">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项目负责人：张慧萍</w:t>
            </w:r>
          </w:p>
        </w:tc>
        <w:tc>
          <w:tcPr>
            <w:tcW w:w="257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374DDD3">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财务负责人：辜炯益</w:t>
            </w:r>
          </w:p>
        </w:tc>
      </w:tr>
    </w:tbl>
    <w:p w14:paraId="2FAE5426">
      <w:r>
        <w:br w:type="page"/>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56"/>
        <w:gridCol w:w="1419"/>
        <w:gridCol w:w="1702"/>
        <w:gridCol w:w="463"/>
        <w:gridCol w:w="1002"/>
        <w:gridCol w:w="463"/>
        <w:gridCol w:w="980"/>
        <w:gridCol w:w="486"/>
        <w:gridCol w:w="506"/>
        <w:gridCol w:w="2029"/>
      </w:tblGrid>
      <w:tr w14:paraId="42DA0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4E84FBF8">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val="0"/>
                <w:bCs w:val="0"/>
                <w:i w:val="0"/>
                <w:iCs w:val="0"/>
                <w:color w:val="000000"/>
                <w:kern w:val="0"/>
                <w:sz w:val="30"/>
                <w:szCs w:val="30"/>
                <w:u w:val="none"/>
                <w:lang w:val="en-US" w:eastAsia="zh-CN" w:bidi="ar"/>
              </w:rPr>
              <w:t>部门预算项目支出绩效自评表（2023年度）</w:t>
            </w:r>
          </w:p>
        </w:tc>
      </w:tr>
      <w:tr w14:paraId="428DF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495BC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5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E1E96C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51000021R000000019956-离退休费支出</w:t>
            </w:r>
          </w:p>
        </w:tc>
      </w:tr>
      <w:tr w14:paraId="2AD17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5D8EE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8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15B5AC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广元市市场监督管理局部门</w:t>
            </w:r>
          </w:p>
        </w:tc>
        <w:tc>
          <w:tcPr>
            <w:tcW w:w="461" w:type="pct"/>
            <w:tcBorders>
              <w:top w:val="nil"/>
              <w:left w:val="nil"/>
              <w:bottom w:val="nil"/>
              <w:right w:val="nil"/>
            </w:tcBorders>
            <w:shd w:val="clear" w:color="auto" w:fill="auto"/>
            <w:vAlign w:val="center"/>
          </w:tcPr>
          <w:p w14:paraId="216F9B64">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40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093AA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广元市食品药品检验检测中心</w:t>
            </w:r>
          </w:p>
        </w:tc>
      </w:tr>
      <w:tr w14:paraId="3E3D6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9F83E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B2524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8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D71E5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87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148C594">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27209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025501">
            <w:pPr>
              <w:rPr>
                <w:rFonts w:hint="eastAsia" w:ascii="宋体" w:hAnsi="宋体" w:eastAsia="宋体" w:cs="宋体"/>
                <w:i w:val="0"/>
                <w:iCs w:val="0"/>
                <w:color w:val="000000"/>
                <w:sz w:val="18"/>
                <w:szCs w:val="18"/>
                <w:u w:val="none"/>
              </w:rPr>
            </w:pPr>
          </w:p>
        </w:tc>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5C9FA7">
            <w:pPr>
              <w:rPr>
                <w:rFonts w:hint="eastAsia" w:ascii="宋体" w:hAnsi="宋体" w:eastAsia="宋体" w:cs="宋体"/>
                <w:i w:val="0"/>
                <w:iCs w:val="0"/>
                <w:color w:val="000000"/>
                <w:sz w:val="18"/>
                <w:szCs w:val="18"/>
                <w:u w:val="none"/>
              </w:rPr>
            </w:pPr>
          </w:p>
        </w:tc>
        <w:tc>
          <w:tcPr>
            <w:tcW w:w="238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ACE228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87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960E62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2023年，我中心按时、足额发放了12名退休人员的生活补助。</w:t>
            </w:r>
          </w:p>
        </w:tc>
      </w:tr>
      <w:tr w14:paraId="322EB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499513">
            <w:pP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8CE3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5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ECA305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“离退休费支出”项目由办公室负责组织实施，通过制定专项工作计划方案、确定工作目标、明确组织实施措施和策略，有效地指导工作的正常有序开展。</w:t>
            </w:r>
          </w:p>
        </w:tc>
      </w:tr>
      <w:tr w14:paraId="5BB10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D88D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2F2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D99C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C7D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D86B4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1267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2BF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D49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0C9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3851A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3E33D4">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5B6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257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32.76</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4CD0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32.76</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E82FF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32.76</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AA9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8B0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54B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52"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6E5D0D9D">
            <w:pPr>
              <w:keepNext w:val="0"/>
              <w:keepLines w:val="0"/>
              <w:widowControl/>
              <w:suppressLineNumbers w:val="0"/>
              <w:jc w:val="left"/>
              <w:textAlignment w:val="top"/>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14:paraId="6342A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52A998">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78923">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其中：</w:t>
            </w:r>
          </w:p>
          <w:p w14:paraId="76A48CD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财政资金</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31B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32.76</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61D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32.76</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C6B67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32.76</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975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00D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4C0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3CB1453">
            <w:pPr>
              <w:jc w:val="left"/>
              <w:rPr>
                <w:rFonts w:hint="eastAsia" w:ascii="宋体" w:hAnsi="宋体" w:eastAsia="宋体" w:cs="宋体"/>
                <w:i w:val="0"/>
                <w:iCs w:val="0"/>
                <w:color w:val="000000"/>
                <w:sz w:val="18"/>
                <w:szCs w:val="18"/>
                <w:u w:val="none"/>
              </w:rPr>
            </w:pPr>
          </w:p>
        </w:tc>
      </w:tr>
      <w:tr w14:paraId="2FE5A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7CBB83">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4C5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230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552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06178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9C2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E96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BF09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14E2B3B">
            <w:pPr>
              <w:jc w:val="left"/>
              <w:rPr>
                <w:rFonts w:hint="eastAsia" w:ascii="宋体" w:hAnsi="宋体" w:eastAsia="宋体" w:cs="宋体"/>
                <w:i w:val="0"/>
                <w:iCs w:val="0"/>
                <w:color w:val="000000"/>
                <w:sz w:val="18"/>
                <w:szCs w:val="18"/>
                <w:u w:val="none"/>
              </w:rPr>
            </w:pPr>
          </w:p>
        </w:tc>
      </w:tr>
      <w:tr w14:paraId="0F59F2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E3C781">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F55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97B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563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C4D85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BD2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B6E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F12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F083657">
            <w:pPr>
              <w:jc w:val="left"/>
              <w:rPr>
                <w:rFonts w:hint="eastAsia" w:ascii="宋体" w:hAnsi="宋体" w:eastAsia="宋体" w:cs="宋体"/>
                <w:i w:val="0"/>
                <w:iCs w:val="0"/>
                <w:color w:val="000000"/>
                <w:sz w:val="18"/>
                <w:szCs w:val="18"/>
                <w:u w:val="none"/>
              </w:rPr>
            </w:pPr>
          </w:p>
        </w:tc>
      </w:tr>
      <w:tr w14:paraId="10E99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2CE4C0">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B26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A801D">
            <w:pPr>
              <w:jc w:val="center"/>
              <w:rPr>
                <w:rFonts w:hint="eastAsia" w:ascii="微软雅黑" w:hAnsi="微软雅黑" w:eastAsia="微软雅黑" w:cs="微软雅黑"/>
                <w:i/>
                <w:iCs/>
                <w:color w:val="000000"/>
                <w:sz w:val="16"/>
                <w:szCs w:val="16"/>
                <w:u w:val="none"/>
              </w:rPr>
            </w:pP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ABC30">
            <w:pPr>
              <w:jc w:val="center"/>
              <w:rPr>
                <w:rFonts w:hint="eastAsia" w:ascii="微软雅黑" w:hAnsi="微软雅黑" w:eastAsia="微软雅黑" w:cs="微软雅黑"/>
                <w:i/>
                <w:iCs/>
                <w:color w:val="000000"/>
                <w:sz w:val="16"/>
                <w:szCs w:val="16"/>
                <w:u w:val="none"/>
              </w:rPr>
            </w:pP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CC4BD1E">
            <w:pPr>
              <w:jc w:val="center"/>
              <w:rPr>
                <w:rFonts w:hint="eastAsia" w:ascii="微软雅黑" w:hAnsi="微软雅黑" w:eastAsia="微软雅黑" w:cs="微软雅黑"/>
                <w:i/>
                <w:iCs/>
                <w:color w:val="000000"/>
                <w:sz w:val="16"/>
                <w:szCs w:val="16"/>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09D14">
            <w:pPr>
              <w:jc w:val="center"/>
              <w:rPr>
                <w:rFonts w:hint="eastAsia" w:ascii="微软雅黑" w:hAnsi="微软雅黑" w:eastAsia="微软雅黑" w:cs="微软雅黑"/>
                <w:i/>
                <w:iCs/>
                <w:color w:val="000000"/>
                <w:sz w:val="16"/>
                <w:szCs w:val="16"/>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7DC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49A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7B3CAE7">
            <w:pPr>
              <w:jc w:val="left"/>
              <w:rPr>
                <w:rFonts w:hint="eastAsia" w:ascii="宋体" w:hAnsi="宋体" w:eastAsia="宋体" w:cs="宋体"/>
                <w:i w:val="0"/>
                <w:iCs w:val="0"/>
                <w:color w:val="000000"/>
                <w:sz w:val="18"/>
                <w:szCs w:val="18"/>
                <w:u w:val="none"/>
              </w:rPr>
            </w:pPr>
          </w:p>
        </w:tc>
      </w:tr>
      <w:tr w14:paraId="5EE7D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2ED4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CA3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5A2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FC81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931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07A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6043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48E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F44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7D8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633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094CB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C219C0">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A50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B3E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4FE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EC0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D7D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695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87B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9D5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7C4C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9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DBC0C">
            <w:pPr>
              <w:jc w:val="center"/>
              <w:rPr>
                <w:rFonts w:hint="eastAsia" w:ascii="微软雅黑" w:hAnsi="微软雅黑" w:eastAsia="微软雅黑" w:cs="微软雅黑"/>
                <w:i/>
                <w:iCs/>
                <w:color w:val="000000"/>
                <w:sz w:val="16"/>
                <w:szCs w:val="16"/>
                <w:u w:val="none"/>
              </w:rPr>
            </w:pPr>
          </w:p>
        </w:tc>
      </w:tr>
      <w:tr w14:paraId="2A9EB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DF64E6">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5ED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733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49C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BE3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CCA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630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CDF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7B1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B69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9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48DDB">
            <w:pPr>
              <w:jc w:val="center"/>
              <w:rPr>
                <w:rFonts w:hint="eastAsia" w:ascii="微软雅黑" w:hAnsi="微软雅黑" w:eastAsia="微软雅黑" w:cs="微软雅黑"/>
                <w:i/>
                <w:iCs/>
                <w:color w:val="000000"/>
                <w:sz w:val="16"/>
                <w:szCs w:val="16"/>
                <w:u w:val="none"/>
              </w:rPr>
            </w:pPr>
          </w:p>
        </w:tc>
      </w:tr>
      <w:tr w14:paraId="10DA4B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91"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B9159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8CD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773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2D0E0">
            <w:pPr>
              <w:rPr>
                <w:rFonts w:hint="eastAsia" w:ascii="宋体" w:hAnsi="宋体" w:eastAsia="宋体" w:cs="宋体"/>
                <w:i w:val="0"/>
                <w:iCs w:val="0"/>
                <w:color w:val="000000"/>
                <w:sz w:val="18"/>
                <w:szCs w:val="18"/>
                <w:u w:val="none"/>
              </w:rPr>
            </w:pPr>
          </w:p>
        </w:tc>
      </w:tr>
      <w:tr w14:paraId="23E93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7EB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095A19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“离退休费支出”项目按时顺利开展，保障了12名退休人员的生活补助按时足额发放，自评得分100分。</w:t>
            </w:r>
          </w:p>
        </w:tc>
      </w:tr>
      <w:tr w14:paraId="4164A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134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038442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14:paraId="50856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B9C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C742ED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14:paraId="464FE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3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AE9546A">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项目负责人：张慧萍</w:t>
            </w:r>
          </w:p>
        </w:tc>
        <w:tc>
          <w:tcPr>
            <w:tcW w:w="256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D6A70C7">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财务负责人：辜炯益</w:t>
            </w:r>
          </w:p>
        </w:tc>
      </w:tr>
    </w:tbl>
    <w:p w14:paraId="25CD1FB6">
      <w:r>
        <w:br w:type="page"/>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56"/>
        <w:gridCol w:w="1417"/>
        <w:gridCol w:w="1700"/>
        <w:gridCol w:w="467"/>
        <w:gridCol w:w="1002"/>
        <w:gridCol w:w="463"/>
        <w:gridCol w:w="980"/>
        <w:gridCol w:w="486"/>
        <w:gridCol w:w="506"/>
        <w:gridCol w:w="2029"/>
      </w:tblGrid>
      <w:tr w14:paraId="73AFC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48BBC384">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val="0"/>
                <w:bCs w:val="0"/>
                <w:i w:val="0"/>
                <w:iCs w:val="0"/>
                <w:color w:val="000000"/>
                <w:kern w:val="0"/>
                <w:sz w:val="30"/>
                <w:szCs w:val="30"/>
                <w:u w:val="none"/>
                <w:lang w:val="en-US" w:eastAsia="zh-CN" w:bidi="ar"/>
              </w:rPr>
              <w:t>部门预算项目支出绩效自评表（2023年度）</w:t>
            </w:r>
          </w:p>
        </w:tc>
      </w:tr>
      <w:tr w14:paraId="7177B6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5EA2D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5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43ABFB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51000021R000000019958-其他支出</w:t>
            </w:r>
          </w:p>
        </w:tc>
      </w:tr>
      <w:tr w14:paraId="5878C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A7D2C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8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922EE2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广元市市场监督管理局部门</w:t>
            </w:r>
          </w:p>
        </w:tc>
        <w:tc>
          <w:tcPr>
            <w:tcW w:w="461" w:type="pct"/>
            <w:tcBorders>
              <w:top w:val="nil"/>
              <w:left w:val="nil"/>
              <w:bottom w:val="nil"/>
              <w:right w:val="nil"/>
            </w:tcBorders>
            <w:shd w:val="clear" w:color="auto" w:fill="auto"/>
            <w:vAlign w:val="center"/>
          </w:tcPr>
          <w:p w14:paraId="14952A98">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40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794AA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广元市食品药品检验检测中心</w:t>
            </w:r>
          </w:p>
        </w:tc>
      </w:tr>
      <w:tr w14:paraId="0F1A3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7B510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5CE39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8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27A8A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87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76655A8">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05B374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63DB3F">
            <w:pPr>
              <w:rPr>
                <w:rFonts w:hint="eastAsia" w:ascii="宋体" w:hAnsi="宋体" w:eastAsia="宋体" w:cs="宋体"/>
                <w:i w:val="0"/>
                <w:iCs w:val="0"/>
                <w:color w:val="000000"/>
                <w:sz w:val="18"/>
                <w:szCs w:val="18"/>
                <w:u w:val="none"/>
              </w:rPr>
            </w:pPr>
          </w:p>
        </w:tc>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240738">
            <w:pPr>
              <w:rPr>
                <w:rFonts w:hint="eastAsia" w:ascii="宋体" w:hAnsi="宋体" w:eastAsia="宋体" w:cs="宋体"/>
                <w:i w:val="0"/>
                <w:iCs w:val="0"/>
                <w:color w:val="000000"/>
                <w:sz w:val="18"/>
                <w:szCs w:val="18"/>
                <w:u w:val="none"/>
              </w:rPr>
            </w:pPr>
          </w:p>
        </w:tc>
        <w:tc>
          <w:tcPr>
            <w:tcW w:w="238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7B0EFE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87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BA215C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2023年，我中心保障了2名遗属人员的生活补助及时足额发放。</w:t>
            </w:r>
          </w:p>
        </w:tc>
      </w:tr>
      <w:tr w14:paraId="1A4D4C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4F417D">
            <w:pP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221A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5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F10242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“其他支出”项目由办公室负责组织实施，通过制定专项工作计划方案、确定工作目标、明确组织实施措施和策略，有效地指导工作的正常有序开展。</w:t>
            </w:r>
          </w:p>
        </w:tc>
      </w:tr>
      <w:tr w14:paraId="18BBA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C84D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491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0F63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EEE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41722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E1E0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FFFB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B9F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D57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20BCD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677812">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505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A353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2.04</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6E9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2.04</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93B97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2.04</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373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A5E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9D6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53"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37C39361">
            <w:pPr>
              <w:keepNext w:val="0"/>
              <w:keepLines w:val="0"/>
              <w:widowControl/>
              <w:suppressLineNumbers w:val="0"/>
              <w:jc w:val="left"/>
              <w:textAlignment w:val="top"/>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14:paraId="58217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A1EE1A">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6683F">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其中：</w:t>
            </w:r>
          </w:p>
          <w:p w14:paraId="0E0B1B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财政资金</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437E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2.04</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370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2.04</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98EB6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2.04</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3CC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460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291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2EE4E53">
            <w:pPr>
              <w:jc w:val="left"/>
              <w:rPr>
                <w:rFonts w:hint="eastAsia" w:ascii="宋体" w:hAnsi="宋体" w:eastAsia="宋体" w:cs="宋体"/>
                <w:i w:val="0"/>
                <w:iCs w:val="0"/>
                <w:color w:val="000000"/>
                <w:sz w:val="18"/>
                <w:szCs w:val="18"/>
                <w:u w:val="none"/>
              </w:rPr>
            </w:pPr>
          </w:p>
        </w:tc>
      </w:tr>
      <w:tr w14:paraId="19351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349BA4">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1823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8DC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EAB2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5D274E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2A2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C8F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303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F3ACEF9">
            <w:pPr>
              <w:jc w:val="left"/>
              <w:rPr>
                <w:rFonts w:hint="eastAsia" w:ascii="宋体" w:hAnsi="宋体" w:eastAsia="宋体" w:cs="宋体"/>
                <w:i w:val="0"/>
                <w:iCs w:val="0"/>
                <w:color w:val="000000"/>
                <w:sz w:val="18"/>
                <w:szCs w:val="18"/>
                <w:u w:val="none"/>
              </w:rPr>
            </w:pPr>
          </w:p>
        </w:tc>
      </w:tr>
      <w:tr w14:paraId="23503A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4FD433">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598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3E0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65C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6A1F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1EE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57F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E38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45504C5">
            <w:pPr>
              <w:jc w:val="left"/>
              <w:rPr>
                <w:rFonts w:hint="eastAsia" w:ascii="宋体" w:hAnsi="宋体" w:eastAsia="宋体" w:cs="宋体"/>
                <w:i w:val="0"/>
                <w:iCs w:val="0"/>
                <w:color w:val="000000"/>
                <w:sz w:val="18"/>
                <w:szCs w:val="18"/>
                <w:u w:val="none"/>
              </w:rPr>
            </w:pPr>
          </w:p>
        </w:tc>
      </w:tr>
      <w:tr w14:paraId="1E72A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2655DC">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98C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B8334">
            <w:pPr>
              <w:jc w:val="center"/>
              <w:rPr>
                <w:rFonts w:hint="eastAsia" w:ascii="微软雅黑" w:hAnsi="微软雅黑" w:eastAsia="微软雅黑" w:cs="微软雅黑"/>
                <w:i/>
                <w:iCs/>
                <w:color w:val="000000"/>
                <w:sz w:val="16"/>
                <w:szCs w:val="16"/>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D01FB">
            <w:pPr>
              <w:jc w:val="center"/>
              <w:rPr>
                <w:rFonts w:hint="eastAsia" w:ascii="微软雅黑" w:hAnsi="微软雅黑" w:eastAsia="微软雅黑" w:cs="微软雅黑"/>
                <w:i/>
                <w:iCs/>
                <w:color w:val="000000"/>
                <w:sz w:val="16"/>
                <w:szCs w:val="16"/>
                <w:u w:val="none"/>
              </w:rPr>
            </w:pP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CE13EE1">
            <w:pPr>
              <w:jc w:val="center"/>
              <w:rPr>
                <w:rFonts w:hint="eastAsia" w:ascii="微软雅黑" w:hAnsi="微软雅黑" w:eastAsia="微软雅黑" w:cs="微软雅黑"/>
                <w:i/>
                <w:iCs/>
                <w:color w:val="000000"/>
                <w:sz w:val="16"/>
                <w:szCs w:val="16"/>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9CEBA">
            <w:pPr>
              <w:jc w:val="center"/>
              <w:rPr>
                <w:rFonts w:hint="eastAsia" w:ascii="微软雅黑" w:hAnsi="微软雅黑" w:eastAsia="微软雅黑" w:cs="微软雅黑"/>
                <w:i/>
                <w:iCs/>
                <w:color w:val="000000"/>
                <w:sz w:val="16"/>
                <w:szCs w:val="16"/>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575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B4D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4C8338A">
            <w:pPr>
              <w:jc w:val="left"/>
              <w:rPr>
                <w:rFonts w:hint="eastAsia" w:ascii="宋体" w:hAnsi="宋体" w:eastAsia="宋体" w:cs="宋体"/>
                <w:i w:val="0"/>
                <w:iCs w:val="0"/>
                <w:color w:val="000000"/>
                <w:sz w:val="18"/>
                <w:szCs w:val="18"/>
                <w:u w:val="none"/>
              </w:rPr>
            </w:pPr>
          </w:p>
        </w:tc>
      </w:tr>
      <w:tr w14:paraId="3CA2D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7905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FC5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5D1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092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929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14F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47F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DAA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FD8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672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63F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2813A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412C8D">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840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7AA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273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2D5F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92A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657C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09B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64D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8509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76F1D">
            <w:pPr>
              <w:jc w:val="center"/>
              <w:rPr>
                <w:rFonts w:hint="eastAsia" w:ascii="微软雅黑" w:hAnsi="微软雅黑" w:eastAsia="微软雅黑" w:cs="微软雅黑"/>
                <w:i/>
                <w:iCs/>
                <w:color w:val="000000"/>
                <w:sz w:val="16"/>
                <w:szCs w:val="16"/>
                <w:u w:val="none"/>
              </w:rPr>
            </w:pPr>
          </w:p>
        </w:tc>
      </w:tr>
      <w:tr w14:paraId="4783A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6DC5C6">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C86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5B3C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D359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6E9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038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3E6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BE5B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276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6EF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67EC5">
            <w:pPr>
              <w:jc w:val="center"/>
              <w:rPr>
                <w:rFonts w:hint="eastAsia" w:ascii="微软雅黑" w:hAnsi="微软雅黑" w:eastAsia="微软雅黑" w:cs="微软雅黑"/>
                <w:i/>
                <w:iCs/>
                <w:color w:val="000000"/>
                <w:sz w:val="16"/>
                <w:szCs w:val="16"/>
                <w:u w:val="none"/>
              </w:rPr>
            </w:pPr>
          </w:p>
        </w:tc>
      </w:tr>
      <w:tr w14:paraId="53521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91"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92230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9C2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0F5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41810">
            <w:pPr>
              <w:rPr>
                <w:rFonts w:hint="eastAsia" w:ascii="宋体" w:hAnsi="宋体" w:eastAsia="宋体" w:cs="宋体"/>
                <w:i w:val="0"/>
                <w:iCs w:val="0"/>
                <w:color w:val="000000"/>
                <w:sz w:val="18"/>
                <w:szCs w:val="18"/>
                <w:u w:val="none"/>
              </w:rPr>
            </w:pPr>
          </w:p>
        </w:tc>
      </w:tr>
      <w:tr w14:paraId="0E3B37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EE5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9361B3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“其他支出”项目按时顺利开展，保障了3名遗属人员的生活补助及时足额发放，自评得分100分。</w:t>
            </w:r>
          </w:p>
        </w:tc>
      </w:tr>
      <w:tr w14:paraId="064DD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24E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48F863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14:paraId="312FA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5C2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254B58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14:paraId="758631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3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734DBF9">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项目负责人：张慧萍</w:t>
            </w:r>
          </w:p>
        </w:tc>
        <w:tc>
          <w:tcPr>
            <w:tcW w:w="256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129D18C">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财务负责人：辜炯益</w:t>
            </w:r>
          </w:p>
        </w:tc>
      </w:tr>
    </w:tbl>
    <w:p w14:paraId="0269B4D6">
      <w:r>
        <w:br w:type="page"/>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25"/>
        <w:gridCol w:w="1374"/>
        <w:gridCol w:w="1643"/>
        <w:gridCol w:w="449"/>
        <w:gridCol w:w="966"/>
        <w:gridCol w:w="756"/>
        <w:gridCol w:w="962"/>
        <w:gridCol w:w="486"/>
        <w:gridCol w:w="494"/>
        <w:gridCol w:w="1951"/>
      </w:tblGrid>
      <w:tr w14:paraId="71774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10FB2EB2">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val="0"/>
                <w:bCs w:val="0"/>
                <w:i w:val="0"/>
                <w:iCs w:val="0"/>
                <w:color w:val="000000"/>
                <w:kern w:val="0"/>
                <w:sz w:val="30"/>
                <w:szCs w:val="30"/>
                <w:u w:val="none"/>
                <w:lang w:val="en-US" w:eastAsia="zh-CN" w:bidi="ar"/>
              </w:rPr>
              <w:t>部门预算项目支出绩效自评表（2023年度）</w:t>
            </w:r>
          </w:p>
        </w:tc>
      </w:tr>
      <w:tr w14:paraId="13A9B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EF11A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6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14CA2F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51080021T000000072237-市场监管项目</w:t>
            </w:r>
          </w:p>
        </w:tc>
      </w:tr>
      <w:tr w14:paraId="3405D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7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DF3F7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43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C62F67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广元市市场监督管理局部门</w:t>
            </w:r>
          </w:p>
        </w:tc>
        <w:tc>
          <w:tcPr>
            <w:tcW w:w="457" w:type="pct"/>
            <w:tcBorders>
              <w:top w:val="nil"/>
              <w:left w:val="nil"/>
              <w:bottom w:val="nil"/>
              <w:right w:val="nil"/>
            </w:tcBorders>
            <w:shd w:val="clear" w:color="auto" w:fill="auto"/>
            <w:vAlign w:val="center"/>
          </w:tcPr>
          <w:p w14:paraId="67FE2886">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3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3D0ED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广元市食品药品检验检测中心</w:t>
            </w:r>
          </w:p>
        </w:tc>
      </w:tr>
      <w:tr w14:paraId="7EBE19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EE868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244D2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43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1EC18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83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C93944E">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51595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389A17">
            <w:pPr>
              <w:rPr>
                <w:rFonts w:hint="eastAsia" w:ascii="宋体" w:hAnsi="宋体" w:eastAsia="宋体" w:cs="宋体"/>
                <w:i w:val="0"/>
                <w:iCs w:val="0"/>
                <w:color w:val="000000"/>
                <w:sz w:val="18"/>
                <w:szCs w:val="18"/>
                <w:u w:val="none"/>
              </w:rPr>
            </w:pPr>
          </w:p>
        </w:tc>
        <w:tc>
          <w:tcPr>
            <w:tcW w:w="4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B319EA">
            <w:pPr>
              <w:rPr>
                <w:rFonts w:hint="eastAsia" w:ascii="宋体" w:hAnsi="宋体" w:eastAsia="宋体" w:cs="宋体"/>
                <w:i w:val="0"/>
                <w:iCs w:val="0"/>
                <w:color w:val="000000"/>
                <w:sz w:val="18"/>
                <w:szCs w:val="18"/>
                <w:u w:val="none"/>
              </w:rPr>
            </w:pPr>
          </w:p>
        </w:tc>
        <w:tc>
          <w:tcPr>
            <w:tcW w:w="243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D94401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涉及中心食品党政同责考核符合要求；2.为食品生产、行政执法部门提供技术指导，培训食品检验人员，提高企业技术把关能力和产品质量；3.开展食品检验参数扩项，提高中心食品检验检测能力；4.食品检验检测人才队伍进一步优化，能力进一步提升；5.食品安全指标检测仪器得到维护正常使用。</w:t>
            </w:r>
          </w:p>
        </w:tc>
        <w:tc>
          <w:tcPr>
            <w:tcW w:w="183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36E063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本年度为食品生产、行政执法部门提供技术指导4批次，培训食品检验人员40学时，提高企业技术把关能力和产品质量；开展食品检验参数扩项80项，提高中心食品检验检测能力。</w:t>
            </w:r>
          </w:p>
        </w:tc>
      </w:tr>
      <w:tr w14:paraId="198DF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40481A">
            <w:pPr>
              <w:rPr>
                <w:rFonts w:hint="eastAsia" w:ascii="宋体" w:hAnsi="宋体" w:eastAsia="宋体" w:cs="宋体"/>
                <w:i w:val="0"/>
                <w:iCs w:val="0"/>
                <w:color w:val="000000"/>
                <w:sz w:val="18"/>
                <w:szCs w:val="18"/>
                <w:u w:val="none"/>
              </w:rPr>
            </w:pP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9DC3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6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605811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过开展食品委托检验和指导企业检验工作，能够为行政执法部门提供了检测技术支持，提高企业对自身产品质量把关能力，从而提高企业自身检测能力和产品质量。项目由中心食品业务分管领导负责项目实施，食品检验由食品检验科室实施，食品业务科负责食品抽样、样品登记和出具报告。</w:t>
            </w:r>
          </w:p>
        </w:tc>
      </w:tr>
      <w:tr w14:paraId="57FAD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904E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28E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A2A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2CC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00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D689B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492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09D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047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9F5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2D8CF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2963E1">
            <w:pPr>
              <w:jc w:val="center"/>
              <w:rPr>
                <w:rFonts w:hint="eastAsia" w:ascii="宋体" w:hAnsi="宋体" w:eastAsia="宋体" w:cs="宋体"/>
                <w:i w:val="0"/>
                <w:iCs w:val="0"/>
                <w:color w:val="000000"/>
                <w:sz w:val="18"/>
                <w:szCs w:val="18"/>
                <w:u w:val="none"/>
              </w:rPr>
            </w:pP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253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632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7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6BC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100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7C6C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0B8F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91A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D72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21"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7A73FCFF">
            <w:pPr>
              <w:keepNext w:val="0"/>
              <w:keepLines w:val="0"/>
              <w:widowControl/>
              <w:suppressLineNumbers w:val="0"/>
              <w:jc w:val="left"/>
              <w:textAlignment w:val="top"/>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14:paraId="28CA6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F5781D">
            <w:pPr>
              <w:jc w:val="center"/>
              <w:rPr>
                <w:rFonts w:hint="eastAsia" w:ascii="宋体" w:hAnsi="宋体" w:eastAsia="宋体" w:cs="宋体"/>
                <w:i w:val="0"/>
                <w:iCs w:val="0"/>
                <w:color w:val="000000"/>
                <w:sz w:val="18"/>
                <w:szCs w:val="18"/>
                <w:u w:val="none"/>
              </w:rPr>
            </w:pP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0536D">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其中：</w:t>
            </w:r>
          </w:p>
          <w:p w14:paraId="7AE1A1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财政资金</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155F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7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60B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100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F4E6D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D74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2B8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4E7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1"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6AD808E">
            <w:pPr>
              <w:jc w:val="left"/>
              <w:rPr>
                <w:rFonts w:hint="eastAsia" w:ascii="宋体" w:hAnsi="宋体" w:eastAsia="宋体" w:cs="宋体"/>
                <w:i w:val="0"/>
                <w:iCs w:val="0"/>
                <w:color w:val="000000"/>
                <w:sz w:val="18"/>
                <w:szCs w:val="18"/>
                <w:u w:val="none"/>
              </w:rPr>
            </w:pPr>
          </w:p>
        </w:tc>
      </w:tr>
      <w:tr w14:paraId="65F5D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99847D">
            <w:pPr>
              <w:jc w:val="center"/>
              <w:rPr>
                <w:rFonts w:hint="eastAsia" w:ascii="宋体" w:hAnsi="宋体" w:eastAsia="宋体" w:cs="宋体"/>
                <w:i w:val="0"/>
                <w:iCs w:val="0"/>
                <w:color w:val="000000"/>
                <w:sz w:val="18"/>
                <w:szCs w:val="18"/>
                <w:u w:val="none"/>
              </w:rPr>
            </w:pP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89E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69D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476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0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68CF5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6971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BB8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687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1"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75C2439">
            <w:pPr>
              <w:jc w:val="left"/>
              <w:rPr>
                <w:rFonts w:hint="eastAsia" w:ascii="宋体" w:hAnsi="宋体" w:eastAsia="宋体" w:cs="宋体"/>
                <w:i w:val="0"/>
                <w:iCs w:val="0"/>
                <w:color w:val="000000"/>
                <w:sz w:val="18"/>
                <w:szCs w:val="18"/>
                <w:u w:val="none"/>
              </w:rPr>
            </w:pPr>
          </w:p>
        </w:tc>
      </w:tr>
      <w:tr w14:paraId="4B3A45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6ED4C0">
            <w:pPr>
              <w:jc w:val="center"/>
              <w:rPr>
                <w:rFonts w:hint="eastAsia" w:ascii="宋体" w:hAnsi="宋体" w:eastAsia="宋体" w:cs="宋体"/>
                <w:i w:val="0"/>
                <w:iCs w:val="0"/>
                <w:color w:val="000000"/>
                <w:sz w:val="18"/>
                <w:szCs w:val="18"/>
                <w:u w:val="none"/>
              </w:rPr>
            </w:pP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D76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B9A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1882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0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00339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3CE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5E20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806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1"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CC67DEE">
            <w:pPr>
              <w:jc w:val="left"/>
              <w:rPr>
                <w:rFonts w:hint="eastAsia" w:ascii="宋体" w:hAnsi="宋体" w:eastAsia="宋体" w:cs="宋体"/>
                <w:i w:val="0"/>
                <w:iCs w:val="0"/>
                <w:color w:val="000000"/>
                <w:sz w:val="18"/>
                <w:szCs w:val="18"/>
                <w:u w:val="none"/>
              </w:rPr>
            </w:pPr>
          </w:p>
        </w:tc>
      </w:tr>
      <w:tr w14:paraId="124E1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EB4158">
            <w:pPr>
              <w:jc w:val="center"/>
              <w:rPr>
                <w:rFonts w:hint="eastAsia" w:ascii="宋体" w:hAnsi="宋体" w:eastAsia="宋体" w:cs="宋体"/>
                <w:i w:val="0"/>
                <w:iCs w:val="0"/>
                <w:color w:val="000000"/>
                <w:sz w:val="18"/>
                <w:szCs w:val="18"/>
                <w:u w:val="none"/>
              </w:rPr>
            </w:pP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518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B7B2E">
            <w:pPr>
              <w:jc w:val="center"/>
              <w:rPr>
                <w:rFonts w:hint="eastAsia" w:ascii="微软雅黑" w:hAnsi="微软雅黑" w:eastAsia="微软雅黑" w:cs="微软雅黑"/>
                <w:i/>
                <w:iCs/>
                <w:color w:val="000000"/>
                <w:sz w:val="16"/>
                <w:szCs w:val="16"/>
                <w:u w:val="none"/>
              </w:rPr>
            </w:pPr>
          </w:p>
        </w:tc>
        <w:tc>
          <w:tcPr>
            <w:tcW w:w="7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914CB">
            <w:pPr>
              <w:jc w:val="center"/>
              <w:rPr>
                <w:rFonts w:hint="eastAsia" w:ascii="微软雅黑" w:hAnsi="微软雅黑" w:eastAsia="微软雅黑" w:cs="微软雅黑"/>
                <w:i/>
                <w:iCs/>
                <w:color w:val="000000"/>
                <w:sz w:val="16"/>
                <w:szCs w:val="16"/>
                <w:u w:val="none"/>
              </w:rPr>
            </w:pPr>
          </w:p>
        </w:tc>
        <w:tc>
          <w:tcPr>
            <w:tcW w:w="100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7F066A3">
            <w:pPr>
              <w:jc w:val="center"/>
              <w:rPr>
                <w:rFonts w:hint="eastAsia" w:ascii="微软雅黑" w:hAnsi="微软雅黑" w:eastAsia="微软雅黑" w:cs="微软雅黑"/>
                <w:i/>
                <w:iCs/>
                <w:color w:val="000000"/>
                <w:sz w:val="16"/>
                <w:szCs w:val="16"/>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23951">
            <w:pPr>
              <w:jc w:val="center"/>
              <w:rPr>
                <w:rFonts w:hint="eastAsia" w:ascii="微软雅黑" w:hAnsi="微软雅黑" w:eastAsia="微软雅黑" w:cs="微软雅黑"/>
                <w:i/>
                <w:iCs/>
                <w:color w:val="000000"/>
                <w:sz w:val="16"/>
                <w:szCs w:val="16"/>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2A1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7BA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1"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C22B0A3">
            <w:pPr>
              <w:jc w:val="left"/>
              <w:rPr>
                <w:rFonts w:hint="eastAsia" w:ascii="宋体" w:hAnsi="宋体" w:eastAsia="宋体" w:cs="宋体"/>
                <w:i w:val="0"/>
                <w:iCs w:val="0"/>
                <w:color w:val="000000"/>
                <w:sz w:val="18"/>
                <w:szCs w:val="18"/>
                <w:u w:val="none"/>
              </w:rPr>
            </w:pPr>
          </w:p>
        </w:tc>
      </w:tr>
      <w:tr w14:paraId="56C8E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4DD3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C31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AD6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66E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6E5F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2FF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8E6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114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1FC7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40" w:type="pct"/>
            <w:tcBorders>
              <w:top w:val="single" w:color="000000" w:sz="4" w:space="0"/>
              <w:left w:val="single" w:color="000000" w:sz="4" w:space="0"/>
              <w:bottom w:val="nil"/>
              <w:right w:val="single" w:color="000000" w:sz="4" w:space="0"/>
            </w:tcBorders>
            <w:shd w:val="clear" w:color="auto" w:fill="auto"/>
            <w:vAlign w:val="center"/>
          </w:tcPr>
          <w:p w14:paraId="658DD8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21" w:type="pct"/>
            <w:tcBorders>
              <w:top w:val="single" w:color="000000" w:sz="4" w:space="0"/>
              <w:left w:val="single" w:color="000000" w:sz="4" w:space="0"/>
              <w:bottom w:val="nil"/>
              <w:right w:val="single" w:color="000000" w:sz="4" w:space="0"/>
            </w:tcBorders>
            <w:shd w:val="clear" w:color="auto" w:fill="auto"/>
            <w:vAlign w:val="center"/>
          </w:tcPr>
          <w:p w14:paraId="295305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7025E0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1A2186">
            <w:pPr>
              <w:jc w:val="center"/>
              <w:rPr>
                <w:rFonts w:hint="eastAsia" w:ascii="宋体" w:hAnsi="宋体" w:eastAsia="宋体" w:cs="宋体"/>
                <w:i w:val="0"/>
                <w:iCs w:val="0"/>
                <w:color w:val="000000"/>
                <w:sz w:val="18"/>
                <w:szCs w:val="18"/>
                <w:u w:val="none"/>
              </w:rPr>
            </w:pPr>
          </w:p>
        </w:tc>
        <w:tc>
          <w:tcPr>
            <w:tcW w:w="4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CFBB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5B7C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AF8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为行政执法部门、生产企业提供技术支撑</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EB2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188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89E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批次</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EF0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13" w:type="pct"/>
            <w:tcBorders>
              <w:top w:val="single" w:color="000000" w:sz="4" w:space="0"/>
              <w:left w:val="single" w:color="000000" w:sz="4" w:space="0"/>
              <w:bottom w:val="single" w:color="000000" w:sz="4" w:space="0"/>
              <w:right w:val="nil"/>
            </w:tcBorders>
            <w:shd w:val="clear" w:color="auto" w:fill="auto"/>
            <w:vAlign w:val="center"/>
          </w:tcPr>
          <w:p w14:paraId="2B0099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8060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E55B7">
            <w:pPr>
              <w:jc w:val="center"/>
              <w:rPr>
                <w:rFonts w:hint="eastAsia" w:ascii="微软雅黑" w:hAnsi="微软雅黑" w:eastAsia="微软雅黑" w:cs="微软雅黑"/>
                <w:i/>
                <w:iCs/>
                <w:color w:val="000000"/>
                <w:sz w:val="16"/>
                <w:szCs w:val="16"/>
                <w:u w:val="none"/>
              </w:rPr>
            </w:pPr>
          </w:p>
        </w:tc>
      </w:tr>
      <w:tr w14:paraId="79E37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4F2DEA">
            <w:pPr>
              <w:jc w:val="center"/>
              <w:rPr>
                <w:rFonts w:hint="eastAsia" w:ascii="宋体" w:hAnsi="宋体" w:eastAsia="宋体" w:cs="宋体"/>
                <w:i w:val="0"/>
                <w:iCs w:val="0"/>
                <w:color w:val="000000"/>
                <w:sz w:val="18"/>
                <w:szCs w:val="18"/>
                <w:u w:val="none"/>
              </w:rPr>
            </w:pPr>
          </w:p>
        </w:tc>
        <w:tc>
          <w:tcPr>
            <w:tcW w:w="4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FEB59E">
            <w:pPr>
              <w:jc w:val="center"/>
              <w:rPr>
                <w:rFonts w:hint="eastAsia" w:ascii="宋体" w:hAnsi="宋体" w:eastAsia="宋体" w:cs="宋体"/>
                <w:i w:val="0"/>
                <w:iCs w:val="0"/>
                <w:color w:val="000000"/>
                <w:sz w:val="18"/>
                <w:szCs w:val="18"/>
                <w:u w:val="none"/>
              </w:rPr>
            </w:pPr>
          </w:p>
        </w:tc>
        <w:tc>
          <w:tcPr>
            <w:tcW w:w="6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09B313">
            <w:pPr>
              <w:jc w:val="center"/>
              <w:rPr>
                <w:rFonts w:hint="eastAsia" w:ascii="宋体" w:hAnsi="宋体" w:eastAsia="宋体" w:cs="宋体"/>
                <w:i w:val="0"/>
                <w:iCs w:val="0"/>
                <w:color w:val="000000"/>
                <w:sz w:val="18"/>
                <w:szCs w:val="18"/>
                <w:u w:val="none"/>
              </w:rPr>
            </w:pPr>
          </w:p>
        </w:tc>
        <w:tc>
          <w:tcPr>
            <w:tcW w:w="7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AF7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食品检测能力得到提升，检测参数增加</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304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57EB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08B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50D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213" w:type="pct"/>
            <w:tcBorders>
              <w:top w:val="single" w:color="000000" w:sz="4" w:space="0"/>
              <w:left w:val="single" w:color="000000" w:sz="4" w:space="0"/>
              <w:bottom w:val="single" w:color="000000" w:sz="4" w:space="0"/>
              <w:right w:val="nil"/>
            </w:tcBorders>
            <w:shd w:val="clear" w:color="auto" w:fill="auto"/>
            <w:vAlign w:val="center"/>
          </w:tcPr>
          <w:p w14:paraId="2F0191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BD96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w:t>
            </w:r>
          </w:p>
        </w:tc>
        <w:tc>
          <w:tcPr>
            <w:tcW w:w="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05D81">
            <w:pPr>
              <w:jc w:val="center"/>
              <w:rPr>
                <w:rFonts w:hint="eastAsia" w:ascii="微软雅黑" w:hAnsi="微软雅黑" w:eastAsia="微软雅黑" w:cs="微软雅黑"/>
                <w:i/>
                <w:iCs/>
                <w:color w:val="000000"/>
                <w:sz w:val="16"/>
                <w:szCs w:val="16"/>
                <w:u w:val="none"/>
              </w:rPr>
            </w:pPr>
          </w:p>
        </w:tc>
      </w:tr>
      <w:tr w14:paraId="07F26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2F0DF5">
            <w:pPr>
              <w:jc w:val="center"/>
              <w:rPr>
                <w:rFonts w:hint="eastAsia" w:ascii="宋体" w:hAnsi="宋体" w:eastAsia="宋体" w:cs="宋体"/>
                <w:i w:val="0"/>
                <w:iCs w:val="0"/>
                <w:color w:val="000000"/>
                <w:sz w:val="18"/>
                <w:szCs w:val="18"/>
                <w:u w:val="none"/>
              </w:rPr>
            </w:pPr>
          </w:p>
        </w:tc>
        <w:tc>
          <w:tcPr>
            <w:tcW w:w="4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D1BD25">
            <w:pPr>
              <w:jc w:val="center"/>
              <w:rPr>
                <w:rFonts w:hint="eastAsia" w:ascii="宋体" w:hAnsi="宋体" w:eastAsia="宋体" w:cs="宋体"/>
                <w:i w:val="0"/>
                <w:iCs w:val="0"/>
                <w:color w:val="000000"/>
                <w:sz w:val="18"/>
                <w:szCs w:val="18"/>
                <w:u w:val="none"/>
              </w:rPr>
            </w:pPr>
          </w:p>
        </w:tc>
        <w:tc>
          <w:tcPr>
            <w:tcW w:w="6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25D7D4">
            <w:pPr>
              <w:jc w:val="center"/>
              <w:rPr>
                <w:rFonts w:hint="eastAsia" w:ascii="宋体" w:hAnsi="宋体" w:eastAsia="宋体" w:cs="宋体"/>
                <w:i w:val="0"/>
                <w:iCs w:val="0"/>
                <w:color w:val="000000"/>
                <w:sz w:val="18"/>
                <w:szCs w:val="18"/>
                <w:u w:val="none"/>
              </w:rPr>
            </w:pPr>
          </w:p>
        </w:tc>
        <w:tc>
          <w:tcPr>
            <w:tcW w:w="7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0169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食品安全指标检测设备维护数量</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1732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1DD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8F2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台（套）</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B65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w:t>
            </w:r>
          </w:p>
        </w:tc>
        <w:tc>
          <w:tcPr>
            <w:tcW w:w="213" w:type="pct"/>
            <w:tcBorders>
              <w:top w:val="single" w:color="000000" w:sz="4" w:space="0"/>
              <w:left w:val="single" w:color="000000" w:sz="4" w:space="0"/>
              <w:bottom w:val="single" w:color="000000" w:sz="4" w:space="0"/>
              <w:right w:val="nil"/>
            </w:tcBorders>
            <w:shd w:val="clear" w:color="auto" w:fill="auto"/>
            <w:vAlign w:val="center"/>
          </w:tcPr>
          <w:p w14:paraId="7FF6F5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961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A71F6">
            <w:pPr>
              <w:jc w:val="center"/>
              <w:rPr>
                <w:rFonts w:hint="eastAsia" w:ascii="微软雅黑" w:hAnsi="微软雅黑" w:eastAsia="微软雅黑" w:cs="微软雅黑"/>
                <w:i/>
                <w:iCs/>
                <w:color w:val="000000"/>
                <w:sz w:val="16"/>
                <w:szCs w:val="16"/>
                <w:u w:val="none"/>
              </w:rPr>
            </w:pPr>
          </w:p>
        </w:tc>
      </w:tr>
      <w:tr w14:paraId="41A4A8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F451B8">
            <w:pPr>
              <w:jc w:val="center"/>
              <w:rPr>
                <w:rFonts w:hint="eastAsia" w:ascii="宋体" w:hAnsi="宋体" w:eastAsia="宋体" w:cs="宋体"/>
                <w:i w:val="0"/>
                <w:iCs w:val="0"/>
                <w:color w:val="000000"/>
                <w:sz w:val="18"/>
                <w:szCs w:val="18"/>
                <w:u w:val="none"/>
              </w:rPr>
            </w:pPr>
          </w:p>
        </w:tc>
        <w:tc>
          <w:tcPr>
            <w:tcW w:w="4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2051F6">
            <w:pPr>
              <w:jc w:val="center"/>
              <w:rPr>
                <w:rFonts w:hint="eastAsia" w:ascii="宋体" w:hAnsi="宋体" w:eastAsia="宋体" w:cs="宋体"/>
                <w:i w:val="0"/>
                <w:iCs w:val="0"/>
                <w:color w:val="000000"/>
                <w:sz w:val="18"/>
                <w:szCs w:val="18"/>
                <w:u w:val="none"/>
              </w:rPr>
            </w:pPr>
          </w:p>
        </w:tc>
        <w:tc>
          <w:tcPr>
            <w:tcW w:w="6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87E241">
            <w:pPr>
              <w:jc w:val="center"/>
              <w:rPr>
                <w:rFonts w:hint="eastAsia" w:ascii="宋体" w:hAnsi="宋体" w:eastAsia="宋体" w:cs="宋体"/>
                <w:i w:val="0"/>
                <w:iCs w:val="0"/>
                <w:color w:val="000000"/>
                <w:sz w:val="18"/>
                <w:szCs w:val="18"/>
                <w:u w:val="none"/>
              </w:rPr>
            </w:pPr>
          </w:p>
        </w:tc>
        <w:tc>
          <w:tcPr>
            <w:tcW w:w="7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DA5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食品检测人员培训</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788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B83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4F5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学时</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4F5D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213" w:type="pct"/>
            <w:tcBorders>
              <w:top w:val="single" w:color="000000" w:sz="4" w:space="0"/>
              <w:left w:val="single" w:color="000000" w:sz="4" w:space="0"/>
              <w:bottom w:val="single" w:color="000000" w:sz="4" w:space="0"/>
              <w:right w:val="nil"/>
            </w:tcBorders>
            <w:shd w:val="clear" w:color="auto" w:fill="auto"/>
            <w:vAlign w:val="center"/>
          </w:tcPr>
          <w:p w14:paraId="168DBF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4F2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1B2F8">
            <w:pPr>
              <w:jc w:val="center"/>
              <w:rPr>
                <w:rFonts w:hint="eastAsia" w:ascii="微软雅黑" w:hAnsi="微软雅黑" w:eastAsia="微软雅黑" w:cs="微软雅黑"/>
                <w:i/>
                <w:iCs/>
                <w:color w:val="000000"/>
                <w:sz w:val="16"/>
                <w:szCs w:val="16"/>
                <w:u w:val="none"/>
              </w:rPr>
            </w:pPr>
          </w:p>
        </w:tc>
      </w:tr>
      <w:tr w14:paraId="6898A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B383F7">
            <w:pPr>
              <w:jc w:val="center"/>
              <w:rPr>
                <w:rFonts w:hint="eastAsia" w:ascii="宋体" w:hAnsi="宋体" w:eastAsia="宋体" w:cs="宋体"/>
                <w:i w:val="0"/>
                <w:iCs w:val="0"/>
                <w:color w:val="000000"/>
                <w:sz w:val="18"/>
                <w:szCs w:val="18"/>
                <w:u w:val="none"/>
              </w:rPr>
            </w:pPr>
          </w:p>
        </w:tc>
        <w:tc>
          <w:tcPr>
            <w:tcW w:w="4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8595C3">
            <w:pPr>
              <w:jc w:val="center"/>
              <w:rPr>
                <w:rFonts w:hint="eastAsia" w:ascii="宋体" w:hAnsi="宋体" w:eastAsia="宋体" w:cs="宋体"/>
                <w:i w:val="0"/>
                <w:iCs w:val="0"/>
                <w:color w:val="000000"/>
                <w:sz w:val="18"/>
                <w:szCs w:val="18"/>
                <w:u w:val="none"/>
              </w:rPr>
            </w:pPr>
          </w:p>
        </w:tc>
        <w:tc>
          <w:tcPr>
            <w:tcW w:w="6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ED843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2C5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食品报告准确率</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B7BA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EA6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501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B8D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213" w:type="pct"/>
            <w:tcBorders>
              <w:top w:val="single" w:color="000000" w:sz="4" w:space="0"/>
              <w:left w:val="single" w:color="000000" w:sz="4" w:space="0"/>
              <w:bottom w:val="single" w:color="000000" w:sz="4" w:space="0"/>
              <w:right w:val="nil"/>
            </w:tcBorders>
            <w:shd w:val="clear" w:color="auto" w:fill="auto"/>
            <w:vAlign w:val="center"/>
          </w:tcPr>
          <w:p w14:paraId="6441EB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DE0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BC66B">
            <w:pPr>
              <w:jc w:val="center"/>
              <w:rPr>
                <w:rFonts w:hint="eastAsia" w:ascii="微软雅黑" w:hAnsi="微软雅黑" w:eastAsia="微软雅黑" w:cs="微软雅黑"/>
                <w:i/>
                <w:iCs/>
                <w:color w:val="000000"/>
                <w:sz w:val="16"/>
                <w:szCs w:val="16"/>
                <w:u w:val="none"/>
              </w:rPr>
            </w:pPr>
          </w:p>
        </w:tc>
      </w:tr>
      <w:tr w14:paraId="1B5DE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F0FE5C">
            <w:pPr>
              <w:jc w:val="center"/>
              <w:rPr>
                <w:rFonts w:hint="eastAsia" w:ascii="宋体" w:hAnsi="宋体" w:eastAsia="宋体" w:cs="宋体"/>
                <w:i w:val="0"/>
                <w:iCs w:val="0"/>
                <w:color w:val="000000"/>
                <w:sz w:val="18"/>
                <w:szCs w:val="18"/>
                <w:u w:val="none"/>
              </w:rPr>
            </w:pPr>
          </w:p>
        </w:tc>
        <w:tc>
          <w:tcPr>
            <w:tcW w:w="4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67A6D3">
            <w:pPr>
              <w:jc w:val="center"/>
              <w:rPr>
                <w:rFonts w:hint="eastAsia" w:ascii="宋体" w:hAnsi="宋体" w:eastAsia="宋体" w:cs="宋体"/>
                <w:i w:val="0"/>
                <w:iCs w:val="0"/>
                <w:color w:val="000000"/>
                <w:sz w:val="18"/>
                <w:szCs w:val="18"/>
                <w:u w:val="none"/>
              </w:rPr>
            </w:pPr>
          </w:p>
        </w:tc>
        <w:tc>
          <w:tcPr>
            <w:tcW w:w="6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047F7C">
            <w:pPr>
              <w:jc w:val="center"/>
              <w:rPr>
                <w:rFonts w:hint="eastAsia" w:ascii="宋体" w:hAnsi="宋体" w:eastAsia="宋体" w:cs="宋体"/>
                <w:i w:val="0"/>
                <w:iCs w:val="0"/>
                <w:color w:val="000000"/>
                <w:sz w:val="18"/>
                <w:szCs w:val="18"/>
                <w:u w:val="none"/>
              </w:rPr>
            </w:pPr>
          </w:p>
        </w:tc>
        <w:tc>
          <w:tcPr>
            <w:tcW w:w="7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477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食品安全检测能力得到提高</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08AE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FEC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逐渐提升</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7EE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FCB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逐渐提升</w:t>
            </w:r>
          </w:p>
        </w:tc>
        <w:tc>
          <w:tcPr>
            <w:tcW w:w="213" w:type="pct"/>
            <w:tcBorders>
              <w:top w:val="single" w:color="000000" w:sz="4" w:space="0"/>
              <w:left w:val="single" w:color="000000" w:sz="4" w:space="0"/>
              <w:bottom w:val="single" w:color="000000" w:sz="4" w:space="0"/>
              <w:right w:val="nil"/>
            </w:tcBorders>
            <w:shd w:val="clear" w:color="auto" w:fill="auto"/>
            <w:vAlign w:val="center"/>
          </w:tcPr>
          <w:p w14:paraId="15C372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A20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ACF28">
            <w:pPr>
              <w:jc w:val="center"/>
              <w:rPr>
                <w:rFonts w:hint="eastAsia" w:ascii="微软雅黑" w:hAnsi="微软雅黑" w:eastAsia="微软雅黑" w:cs="微软雅黑"/>
                <w:i/>
                <w:iCs/>
                <w:color w:val="000000"/>
                <w:sz w:val="16"/>
                <w:szCs w:val="16"/>
                <w:u w:val="none"/>
              </w:rPr>
            </w:pPr>
          </w:p>
        </w:tc>
      </w:tr>
      <w:tr w14:paraId="32B6B2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44E1B6">
            <w:pPr>
              <w:jc w:val="center"/>
              <w:rPr>
                <w:rFonts w:hint="eastAsia" w:ascii="宋体" w:hAnsi="宋体" w:eastAsia="宋体" w:cs="宋体"/>
                <w:i w:val="0"/>
                <w:iCs w:val="0"/>
                <w:color w:val="000000"/>
                <w:sz w:val="18"/>
                <w:szCs w:val="18"/>
                <w:u w:val="none"/>
              </w:rPr>
            </w:pPr>
          </w:p>
        </w:tc>
        <w:tc>
          <w:tcPr>
            <w:tcW w:w="4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1FAE2">
            <w:pPr>
              <w:jc w:val="center"/>
              <w:rPr>
                <w:rFonts w:hint="eastAsia" w:ascii="宋体" w:hAnsi="宋体" w:eastAsia="宋体" w:cs="宋体"/>
                <w:i w:val="0"/>
                <w:iCs w:val="0"/>
                <w:color w:val="000000"/>
                <w:sz w:val="18"/>
                <w:szCs w:val="18"/>
                <w:u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6E1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453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任务完成时间</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A7A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1F4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9BE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CEB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213" w:type="pct"/>
            <w:tcBorders>
              <w:top w:val="single" w:color="000000" w:sz="4" w:space="0"/>
              <w:left w:val="single" w:color="000000" w:sz="4" w:space="0"/>
              <w:bottom w:val="single" w:color="000000" w:sz="4" w:space="0"/>
              <w:right w:val="nil"/>
            </w:tcBorders>
            <w:shd w:val="clear" w:color="auto" w:fill="auto"/>
            <w:vAlign w:val="center"/>
          </w:tcPr>
          <w:p w14:paraId="159A0ED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41E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B18AE">
            <w:pPr>
              <w:jc w:val="center"/>
              <w:rPr>
                <w:rFonts w:hint="eastAsia" w:ascii="微软雅黑" w:hAnsi="微软雅黑" w:eastAsia="微软雅黑" w:cs="微软雅黑"/>
                <w:i/>
                <w:iCs/>
                <w:color w:val="000000"/>
                <w:sz w:val="16"/>
                <w:szCs w:val="16"/>
                <w:u w:val="none"/>
              </w:rPr>
            </w:pPr>
          </w:p>
        </w:tc>
      </w:tr>
      <w:tr w14:paraId="7F16F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D7EF41">
            <w:pPr>
              <w:jc w:val="center"/>
              <w:rPr>
                <w:rFonts w:hint="eastAsia" w:ascii="宋体" w:hAnsi="宋体" w:eastAsia="宋体" w:cs="宋体"/>
                <w:i w:val="0"/>
                <w:iCs w:val="0"/>
                <w:color w:val="000000"/>
                <w:sz w:val="18"/>
                <w:szCs w:val="18"/>
                <w:u w:val="none"/>
              </w:rPr>
            </w:pPr>
          </w:p>
        </w:tc>
        <w:tc>
          <w:tcPr>
            <w:tcW w:w="4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8A185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5B2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FFE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食品安全质量状况</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3EB4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C5D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逐渐提升</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8E8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898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逐渐提升</w:t>
            </w:r>
          </w:p>
        </w:tc>
        <w:tc>
          <w:tcPr>
            <w:tcW w:w="213" w:type="pct"/>
            <w:tcBorders>
              <w:top w:val="single" w:color="000000" w:sz="4" w:space="0"/>
              <w:left w:val="single" w:color="000000" w:sz="4" w:space="0"/>
              <w:bottom w:val="single" w:color="000000" w:sz="4" w:space="0"/>
              <w:right w:val="nil"/>
            </w:tcBorders>
            <w:shd w:val="clear" w:color="auto" w:fill="auto"/>
            <w:vAlign w:val="center"/>
          </w:tcPr>
          <w:p w14:paraId="4AA6A0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13F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653EE">
            <w:pPr>
              <w:jc w:val="center"/>
              <w:rPr>
                <w:rFonts w:hint="eastAsia" w:ascii="微软雅黑" w:hAnsi="微软雅黑" w:eastAsia="微软雅黑" w:cs="微软雅黑"/>
                <w:i/>
                <w:iCs/>
                <w:color w:val="000000"/>
                <w:sz w:val="16"/>
                <w:szCs w:val="16"/>
                <w:u w:val="none"/>
              </w:rPr>
            </w:pPr>
          </w:p>
        </w:tc>
      </w:tr>
      <w:tr w14:paraId="6ABED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BA7292">
            <w:pPr>
              <w:jc w:val="center"/>
              <w:rPr>
                <w:rFonts w:hint="eastAsia" w:ascii="宋体" w:hAnsi="宋体" w:eastAsia="宋体" w:cs="宋体"/>
                <w:i w:val="0"/>
                <w:iCs w:val="0"/>
                <w:color w:val="000000"/>
                <w:sz w:val="18"/>
                <w:szCs w:val="18"/>
                <w:u w:val="none"/>
              </w:rPr>
            </w:pPr>
          </w:p>
        </w:tc>
        <w:tc>
          <w:tcPr>
            <w:tcW w:w="4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792CC2">
            <w:pPr>
              <w:jc w:val="center"/>
              <w:rPr>
                <w:rFonts w:hint="eastAsia" w:ascii="宋体" w:hAnsi="宋体" w:eastAsia="宋体" w:cs="宋体"/>
                <w:i w:val="0"/>
                <w:iCs w:val="0"/>
                <w:color w:val="000000"/>
                <w:sz w:val="18"/>
                <w:szCs w:val="18"/>
                <w:u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3AE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7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FF6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提高企业产品质量</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B43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EEB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不断提高</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EA47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20A3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不断提高</w:t>
            </w:r>
          </w:p>
        </w:tc>
        <w:tc>
          <w:tcPr>
            <w:tcW w:w="213" w:type="pct"/>
            <w:tcBorders>
              <w:top w:val="single" w:color="000000" w:sz="4" w:space="0"/>
              <w:left w:val="single" w:color="000000" w:sz="4" w:space="0"/>
              <w:bottom w:val="single" w:color="000000" w:sz="4" w:space="0"/>
              <w:right w:val="nil"/>
            </w:tcBorders>
            <w:shd w:val="clear" w:color="auto" w:fill="auto"/>
            <w:vAlign w:val="center"/>
          </w:tcPr>
          <w:p w14:paraId="389028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7CA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4EF0B">
            <w:pPr>
              <w:jc w:val="center"/>
              <w:rPr>
                <w:rFonts w:hint="eastAsia" w:ascii="微软雅黑" w:hAnsi="微软雅黑" w:eastAsia="微软雅黑" w:cs="微软雅黑"/>
                <w:i/>
                <w:iCs/>
                <w:color w:val="000000"/>
                <w:sz w:val="16"/>
                <w:szCs w:val="16"/>
                <w:u w:val="none"/>
              </w:rPr>
            </w:pPr>
          </w:p>
        </w:tc>
      </w:tr>
      <w:tr w14:paraId="784E9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D77157">
            <w:pPr>
              <w:jc w:val="center"/>
              <w:rPr>
                <w:rFonts w:hint="eastAsia" w:ascii="宋体" w:hAnsi="宋体" w:eastAsia="宋体" w:cs="宋体"/>
                <w:i w:val="0"/>
                <w:iCs w:val="0"/>
                <w:color w:val="000000"/>
                <w:sz w:val="18"/>
                <w:szCs w:val="18"/>
                <w:u w:val="none"/>
              </w:rPr>
            </w:pP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E23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77F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7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BF51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D03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D81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A33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EC4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213" w:type="pct"/>
            <w:tcBorders>
              <w:top w:val="single" w:color="000000" w:sz="4" w:space="0"/>
              <w:left w:val="single" w:color="000000" w:sz="4" w:space="0"/>
              <w:bottom w:val="single" w:color="000000" w:sz="4" w:space="0"/>
              <w:right w:val="nil"/>
            </w:tcBorders>
            <w:shd w:val="clear" w:color="auto" w:fill="auto"/>
            <w:vAlign w:val="center"/>
          </w:tcPr>
          <w:p w14:paraId="181DB2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D3E0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08FC5">
            <w:pPr>
              <w:jc w:val="center"/>
              <w:rPr>
                <w:rFonts w:hint="eastAsia" w:ascii="微软雅黑" w:hAnsi="微软雅黑" w:eastAsia="微软雅黑" w:cs="微软雅黑"/>
                <w:i/>
                <w:iCs/>
                <w:color w:val="000000"/>
                <w:sz w:val="16"/>
                <w:szCs w:val="16"/>
                <w:u w:val="none"/>
              </w:rPr>
            </w:pPr>
          </w:p>
        </w:tc>
      </w:tr>
      <w:tr w14:paraId="36876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088D03">
            <w:pPr>
              <w:jc w:val="center"/>
              <w:rPr>
                <w:rFonts w:hint="eastAsia" w:ascii="宋体" w:hAnsi="宋体" w:eastAsia="宋体" w:cs="宋体"/>
                <w:i w:val="0"/>
                <w:iCs w:val="0"/>
                <w:color w:val="000000"/>
                <w:sz w:val="18"/>
                <w:szCs w:val="18"/>
                <w:u w:val="none"/>
              </w:rPr>
            </w:pPr>
          </w:p>
        </w:tc>
        <w:tc>
          <w:tcPr>
            <w:tcW w:w="4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5A6D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6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8676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7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FEDE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劳务费及其他</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B5BB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A3C5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D31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C42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4.72</w:t>
            </w:r>
          </w:p>
        </w:tc>
        <w:tc>
          <w:tcPr>
            <w:tcW w:w="213" w:type="pct"/>
            <w:tcBorders>
              <w:top w:val="single" w:color="000000" w:sz="4" w:space="0"/>
              <w:left w:val="single" w:color="000000" w:sz="4" w:space="0"/>
              <w:bottom w:val="single" w:color="000000" w:sz="4" w:space="0"/>
              <w:right w:val="nil"/>
            </w:tcBorders>
            <w:shd w:val="clear" w:color="auto" w:fill="auto"/>
            <w:vAlign w:val="center"/>
          </w:tcPr>
          <w:p w14:paraId="60839F0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534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72C7E">
            <w:pPr>
              <w:jc w:val="center"/>
              <w:rPr>
                <w:rFonts w:hint="eastAsia" w:ascii="微软雅黑" w:hAnsi="微软雅黑" w:eastAsia="微软雅黑" w:cs="微软雅黑"/>
                <w:i/>
                <w:iCs/>
                <w:color w:val="000000"/>
                <w:sz w:val="16"/>
                <w:szCs w:val="16"/>
                <w:u w:val="none"/>
              </w:rPr>
            </w:pPr>
          </w:p>
        </w:tc>
      </w:tr>
      <w:tr w14:paraId="7930E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A09CF4">
            <w:pPr>
              <w:jc w:val="center"/>
              <w:rPr>
                <w:rFonts w:hint="eastAsia" w:ascii="宋体" w:hAnsi="宋体" w:eastAsia="宋体" w:cs="宋体"/>
                <w:i w:val="0"/>
                <w:iCs w:val="0"/>
                <w:color w:val="000000"/>
                <w:sz w:val="18"/>
                <w:szCs w:val="18"/>
                <w:u w:val="none"/>
              </w:rPr>
            </w:pPr>
          </w:p>
        </w:tc>
        <w:tc>
          <w:tcPr>
            <w:tcW w:w="4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80D896">
            <w:pPr>
              <w:jc w:val="center"/>
              <w:rPr>
                <w:rFonts w:hint="eastAsia" w:ascii="宋体" w:hAnsi="宋体" w:eastAsia="宋体" w:cs="宋体"/>
                <w:i w:val="0"/>
                <w:iCs w:val="0"/>
                <w:color w:val="000000"/>
                <w:sz w:val="18"/>
                <w:szCs w:val="18"/>
                <w:u w:val="none"/>
              </w:rPr>
            </w:pPr>
          </w:p>
        </w:tc>
        <w:tc>
          <w:tcPr>
            <w:tcW w:w="6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E60423">
            <w:pPr>
              <w:jc w:val="center"/>
              <w:rPr>
                <w:rFonts w:hint="eastAsia" w:ascii="宋体" w:hAnsi="宋体" w:eastAsia="宋体" w:cs="宋体"/>
                <w:i w:val="0"/>
                <w:iCs w:val="0"/>
                <w:color w:val="000000"/>
                <w:sz w:val="18"/>
                <w:szCs w:val="18"/>
                <w:u w:val="none"/>
              </w:rPr>
            </w:pPr>
          </w:p>
        </w:tc>
        <w:tc>
          <w:tcPr>
            <w:tcW w:w="7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7E3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差旅费</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BA2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D21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99E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5945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4.44</w:t>
            </w:r>
          </w:p>
        </w:tc>
        <w:tc>
          <w:tcPr>
            <w:tcW w:w="213" w:type="pct"/>
            <w:tcBorders>
              <w:top w:val="single" w:color="000000" w:sz="4" w:space="0"/>
              <w:left w:val="single" w:color="000000" w:sz="4" w:space="0"/>
              <w:bottom w:val="single" w:color="000000" w:sz="4" w:space="0"/>
              <w:right w:val="nil"/>
            </w:tcBorders>
            <w:shd w:val="clear" w:color="auto" w:fill="auto"/>
            <w:vAlign w:val="center"/>
          </w:tcPr>
          <w:p w14:paraId="40DDCB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AE1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w:t>
            </w:r>
          </w:p>
        </w:tc>
        <w:tc>
          <w:tcPr>
            <w:tcW w:w="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928E2">
            <w:pPr>
              <w:jc w:val="center"/>
              <w:rPr>
                <w:rFonts w:hint="eastAsia" w:ascii="微软雅黑" w:hAnsi="微软雅黑" w:eastAsia="微软雅黑" w:cs="微软雅黑"/>
                <w:i/>
                <w:iCs/>
                <w:color w:val="000000"/>
                <w:sz w:val="16"/>
                <w:szCs w:val="16"/>
                <w:u w:val="none"/>
              </w:rPr>
            </w:pPr>
          </w:p>
        </w:tc>
      </w:tr>
      <w:tr w14:paraId="1D053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4F56C2">
            <w:pPr>
              <w:jc w:val="center"/>
              <w:rPr>
                <w:rFonts w:hint="eastAsia" w:ascii="宋体" w:hAnsi="宋体" w:eastAsia="宋体" w:cs="宋体"/>
                <w:i w:val="0"/>
                <w:iCs w:val="0"/>
                <w:color w:val="000000"/>
                <w:sz w:val="18"/>
                <w:szCs w:val="18"/>
                <w:u w:val="none"/>
              </w:rPr>
            </w:pPr>
          </w:p>
        </w:tc>
        <w:tc>
          <w:tcPr>
            <w:tcW w:w="4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E9B098">
            <w:pPr>
              <w:jc w:val="center"/>
              <w:rPr>
                <w:rFonts w:hint="eastAsia" w:ascii="宋体" w:hAnsi="宋体" w:eastAsia="宋体" w:cs="宋体"/>
                <w:i w:val="0"/>
                <w:iCs w:val="0"/>
                <w:color w:val="000000"/>
                <w:sz w:val="18"/>
                <w:szCs w:val="18"/>
                <w:u w:val="none"/>
              </w:rPr>
            </w:pPr>
          </w:p>
        </w:tc>
        <w:tc>
          <w:tcPr>
            <w:tcW w:w="6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78706A">
            <w:pPr>
              <w:jc w:val="center"/>
              <w:rPr>
                <w:rFonts w:hint="eastAsia" w:ascii="宋体" w:hAnsi="宋体" w:eastAsia="宋体" w:cs="宋体"/>
                <w:i w:val="0"/>
                <w:iCs w:val="0"/>
                <w:color w:val="000000"/>
                <w:sz w:val="18"/>
                <w:szCs w:val="18"/>
                <w:u w:val="none"/>
              </w:rPr>
            </w:pPr>
          </w:p>
        </w:tc>
        <w:tc>
          <w:tcPr>
            <w:tcW w:w="7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328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专用材料费</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54F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72D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F9CC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EB5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7.38</w:t>
            </w:r>
          </w:p>
        </w:tc>
        <w:tc>
          <w:tcPr>
            <w:tcW w:w="213" w:type="pct"/>
            <w:tcBorders>
              <w:top w:val="single" w:color="000000" w:sz="4" w:space="0"/>
              <w:left w:val="single" w:color="000000" w:sz="4" w:space="0"/>
              <w:bottom w:val="single" w:color="000000" w:sz="4" w:space="0"/>
              <w:right w:val="nil"/>
            </w:tcBorders>
            <w:shd w:val="clear" w:color="auto" w:fill="auto"/>
            <w:vAlign w:val="center"/>
          </w:tcPr>
          <w:p w14:paraId="40D5D25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1A4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w:t>
            </w:r>
          </w:p>
        </w:tc>
        <w:tc>
          <w:tcPr>
            <w:tcW w:w="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DF984">
            <w:pPr>
              <w:jc w:val="center"/>
              <w:rPr>
                <w:rFonts w:hint="eastAsia" w:ascii="微软雅黑" w:hAnsi="微软雅黑" w:eastAsia="微软雅黑" w:cs="微软雅黑"/>
                <w:i/>
                <w:iCs/>
                <w:color w:val="000000"/>
                <w:sz w:val="16"/>
                <w:szCs w:val="16"/>
                <w:u w:val="none"/>
              </w:rPr>
            </w:pPr>
          </w:p>
        </w:tc>
      </w:tr>
      <w:tr w14:paraId="32F99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35D146">
            <w:pPr>
              <w:jc w:val="center"/>
              <w:rPr>
                <w:rFonts w:hint="eastAsia" w:ascii="宋体" w:hAnsi="宋体" w:eastAsia="宋体" w:cs="宋体"/>
                <w:i w:val="0"/>
                <w:iCs w:val="0"/>
                <w:color w:val="000000"/>
                <w:sz w:val="18"/>
                <w:szCs w:val="18"/>
                <w:u w:val="none"/>
              </w:rPr>
            </w:pPr>
          </w:p>
        </w:tc>
        <w:tc>
          <w:tcPr>
            <w:tcW w:w="4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A441B2">
            <w:pPr>
              <w:jc w:val="center"/>
              <w:rPr>
                <w:rFonts w:hint="eastAsia" w:ascii="宋体" w:hAnsi="宋体" w:eastAsia="宋体" w:cs="宋体"/>
                <w:i w:val="0"/>
                <w:iCs w:val="0"/>
                <w:color w:val="000000"/>
                <w:sz w:val="18"/>
                <w:szCs w:val="18"/>
                <w:u w:val="none"/>
              </w:rPr>
            </w:pPr>
          </w:p>
        </w:tc>
        <w:tc>
          <w:tcPr>
            <w:tcW w:w="6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331F25">
            <w:pPr>
              <w:jc w:val="center"/>
              <w:rPr>
                <w:rFonts w:hint="eastAsia" w:ascii="宋体" w:hAnsi="宋体" w:eastAsia="宋体" w:cs="宋体"/>
                <w:i w:val="0"/>
                <w:iCs w:val="0"/>
                <w:color w:val="000000"/>
                <w:sz w:val="18"/>
                <w:szCs w:val="18"/>
                <w:u w:val="none"/>
              </w:rPr>
            </w:pPr>
          </w:p>
        </w:tc>
        <w:tc>
          <w:tcPr>
            <w:tcW w:w="7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4DA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办公费、水费、电费</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5B5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71B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958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B39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w:t>
            </w:r>
          </w:p>
        </w:tc>
        <w:tc>
          <w:tcPr>
            <w:tcW w:w="213" w:type="pct"/>
            <w:tcBorders>
              <w:top w:val="single" w:color="000000" w:sz="4" w:space="0"/>
              <w:left w:val="single" w:color="000000" w:sz="4" w:space="0"/>
              <w:bottom w:val="single" w:color="000000" w:sz="4" w:space="0"/>
              <w:right w:val="nil"/>
            </w:tcBorders>
            <w:shd w:val="clear" w:color="auto" w:fill="auto"/>
            <w:vAlign w:val="center"/>
          </w:tcPr>
          <w:p w14:paraId="79C01A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44F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05CB4">
            <w:pPr>
              <w:jc w:val="center"/>
              <w:rPr>
                <w:rFonts w:hint="eastAsia" w:ascii="微软雅黑" w:hAnsi="微软雅黑" w:eastAsia="微软雅黑" w:cs="微软雅黑"/>
                <w:i/>
                <w:iCs/>
                <w:color w:val="000000"/>
                <w:sz w:val="16"/>
                <w:szCs w:val="16"/>
                <w:u w:val="none"/>
              </w:rPr>
            </w:pPr>
          </w:p>
        </w:tc>
      </w:tr>
      <w:tr w14:paraId="40562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A2BBB1">
            <w:pPr>
              <w:jc w:val="center"/>
              <w:rPr>
                <w:rFonts w:hint="eastAsia" w:ascii="宋体" w:hAnsi="宋体" w:eastAsia="宋体" w:cs="宋体"/>
                <w:i w:val="0"/>
                <w:iCs w:val="0"/>
                <w:color w:val="000000"/>
                <w:sz w:val="18"/>
                <w:szCs w:val="18"/>
                <w:u w:val="none"/>
              </w:rPr>
            </w:pPr>
          </w:p>
        </w:tc>
        <w:tc>
          <w:tcPr>
            <w:tcW w:w="4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C7E7ED">
            <w:pPr>
              <w:jc w:val="center"/>
              <w:rPr>
                <w:rFonts w:hint="eastAsia" w:ascii="宋体" w:hAnsi="宋体" w:eastAsia="宋体" w:cs="宋体"/>
                <w:i w:val="0"/>
                <w:iCs w:val="0"/>
                <w:color w:val="000000"/>
                <w:sz w:val="18"/>
                <w:szCs w:val="18"/>
                <w:u w:val="none"/>
              </w:rPr>
            </w:pPr>
          </w:p>
        </w:tc>
        <w:tc>
          <w:tcPr>
            <w:tcW w:w="6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3CB2BA">
            <w:pPr>
              <w:jc w:val="center"/>
              <w:rPr>
                <w:rFonts w:hint="eastAsia" w:ascii="宋体" w:hAnsi="宋体" w:eastAsia="宋体" w:cs="宋体"/>
                <w:i w:val="0"/>
                <w:iCs w:val="0"/>
                <w:color w:val="000000"/>
                <w:sz w:val="18"/>
                <w:szCs w:val="18"/>
                <w:u w:val="none"/>
              </w:rPr>
            </w:pPr>
          </w:p>
        </w:tc>
        <w:tc>
          <w:tcPr>
            <w:tcW w:w="7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5CE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其他交通费</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D3A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538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80BD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C07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1.06</w:t>
            </w:r>
          </w:p>
        </w:tc>
        <w:tc>
          <w:tcPr>
            <w:tcW w:w="213" w:type="pct"/>
            <w:tcBorders>
              <w:top w:val="single" w:color="000000" w:sz="4" w:space="0"/>
              <w:left w:val="single" w:color="000000" w:sz="4" w:space="0"/>
              <w:bottom w:val="single" w:color="000000" w:sz="4" w:space="0"/>
              <w:right w:val="nil"/>
            </w:tcBorders>
            <w:shd w:val="clear" w:color="auto" w:fill="auto"/>
            <w:vAlign w:val="center"/>
          </w:tcPr>
          <w:p w14:paraId="678984F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FA3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7AA47">
            <w:pPr>
              <w:jc w:val="center"/>
              <w:rPr>
                <w:rFonts w:hint="eastAsia" w:ascii="微软雅黑" w:hAnsi="微软雅黑" w:eastAsia="微软雅黑" w:cs="微软雅黑"/>
                <w:i/>
                <w:iCs/>
                <w:color w:val="000000"/>
                <w:sz w:val="16"/>
                <w:szCs w:val="16"/>
                <w:u w:val="none"/>
              </w:rPr>
            </w:pPr>
          </w:p>
        </w:tc>
      </w:tr>
      <w:tr w14:paraId="5204E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24"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3B987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5E5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40" w:type="pct"/>
            <w:tcBorders>
              <w:top w:val="nil"/>
              <w:left w:val="single" w:color="000000" w:sz="4" w:space="0"/>
              <w:bottom w:val="single" w:color="000000" w:sz="4" w:space="0"/>
              <w:right w:val="single" w:color="000000" w:sz="4" w:space="0"/>
            </w:tcBorders>
            <w:shd w:val="clear" w:color="auto" w:fill="auto"/>
            <w:vAlign w:val="center"/>
          </w:tcPr>
          <w:p w14:paraId="20FF99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w:t>
            </w:r>
          </w:p>
        </w:tc>
        <w:tc>
          <w:tcPr>
            <w:tcW w:w="921" w:type="pct"/>
            <w:tcBorders>
              <w:top w:val="nil"/>
              <w:left w:val="single" w:color="000000" w:sz="4" w:space="0"/>
              <w:bottom w:val="single" w:color="000000" w:sz="4" w:space="0"/>
              <w:right w:val="single" w:color="000000" w:sz="4" w:space="0"/>
            </w:tcBorders>
            <w:shd w:val="clear" w:color="auto" w:fill="auto"/>
            <w:vAlign w:val="center"/>
          </w:tcPr>
          <w:p w14:paraId="26291794">
            <w:pPr>
              <w:rPr>
                <w:rFonts w:hint="eastAsia" w:ascii="宋体" w:hAnsi="宋体" w:eastAsia="宋体" w:cs="宋体"/>
                <w:i w:val="0"/>
                <w:iCs w:val="0"/>
                <w:color w:val="000000"/>
                <w:sz w:val="18"/>
                <w:szCs w:val="18"/>
                <w:u w:val="none"/>
              </w:rPr>
            </w:pPr>
          </w:p>
        </w:tc>
      </w:tr>
      <w:tr w14:paraId="6E2C7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F4A5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50487B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心通过开展食品委托检验和指导企业检验工作，为行政执法部门提供了检测技术支持，同时提高了企业对自身产品质量把关能力，对食品企业产品质量提升起到了技术保障作用，对于我市食品饮料产业发展起到了积极的推动作用，为食品安全提供了技术支撑。自评得分97分。</w:t>
            </w:r>
          </w:p>
        </w:tc>
      </w:tr>
      <w:tr w14:paraId="41055F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3EC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E895EE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预算执行过程中部分月份执行较慢。</w:t>
            </w:r>
          </w:p>
        </w:tc>
      </w:tr>
      <w:tr w14:paraId="76A308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036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C6B8F3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下一步改进措施，仔细测算各项指标，严格控制各项支出，合理规划项目实施进度，确保绩效指标按照目标完成。</w:t>
            </w:r>
          </w:p>
        </w:tc>
      </w:tr>
      <w:tr w14:paraId="0E5ED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8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4D492EE">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项目负责人：张勇</w:t>
            </w:r>
          </w:p>
        </w:tc>
        <w:tc>
          <w:tcPr>
            <w:tcW w:w="261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A97B155">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财务负责人：辜炯益</w:t>
            </w:r>
          </w:p>
        </w:tc>
      </w:tr>
    </w:tbl>
    <w:p w14:paraId="47C9C84E">
      <w:r>
        <w:br w:type="page"/>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56"/>
        <w:gridCol w:w="1417"/>
        <w:gridCol w:w="1709"/>
        <w:gridCol w:w="463"/>
        <w:gridCol w:w="999"/>
        <w:gridCol w:w="465"/>
        <w:gridCol w:w="982"/>
        <w:gridCol w:w="486"/>
        <w:gridCol w:w="506"/>
        <w:gridCol w:w="2023"/>
      </w:tblGrid>
      <w:tr w14:paraId="3ECE5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69A36CBB">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val="0"/>
                <w:bCs w:val="0"/>
                <w:i w:val="0"/>
                <w:iCs w:val="0"/>
                <w:color w:val="000000"/>
                <w:kern w:val="0"/>
                <w:sz w:val="30"/>
                <w:szCs w:val="30"/>
                <w:u w:val="none"/>
                <w:lang w:val="en-US" w:eastAsia="zh-CN" w:bidi="ar"/>
              </w:rPr>
              <w:t>部门预算项目支出绩效自评表（2023年度）</w:t>
            </w:r>
          </w:p>
        </w:tc>
      </w:tr>
      <w:tr w14:paraId="27F2B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CC134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5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B4B5E8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51080021Y000000176770-其他公用经费（福利、工会、公车补贴、党建、退休活动）</w:t>
            </w:r>
          </w:p>
        </w:tc>
      </w:tr>
      <w:tr w14:paraId="461F9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9875B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8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586F8D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广元市市场监督管理局部门</w:t>
            </w:r>
          </w:p>
        </w:tc>
        <w:tc>
          <w:tcPr>
            <w:tcW w:w="461" w:type="pct"/>
            <w:tcBorders>
              <w:top w:val="nil"/>
              <w:left w:val="nil"/>
              <w:bottom w:val="nil"/>
              <w:right w:val="nil"/>
            </w:tcBorders>
            <w:shd w:val="clear" w:color="auto" w:fill="auto"/>
            <w:vAlign w:val="center"/>
          </w:tcPr>
          <w:p w14:paraId="12B1010E">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40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E0CFD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广元市食品药品检验检测中心</w:t>
            </w:r>
          </w:p>
        </w:tc>
      </w:tr>
      <w:tr w14:paraId="35B734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5E858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ECEB1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8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C8D05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86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69373E0">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3781E1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468936">
            <w:pPr>
              <w:rPr>
                <w:rFonts w:hint="eastAsia" w:ascii="宋体" w:hAnsi="宋体" w:eastAsia="宋体" w:cs="宋体"/>
                <w:i w:val="0"/>
                <w:iCs w:val="0"/>
                <w:color w:val="000000"/>
                <w:sz w:val="18"/>
                <w:szCs w:val="18"/>
                <w:u w:val="none"/>
              </w:rPr>
            </w:pPr>
          </w:p>
        </w:tc>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79B753">
            <w:pPr>
              <w:rPr>
                <w:rFonts w:hint="eastAsia" w:ascii="宋体" w:hAnsi="宋体" w:eastAsia="宋体" w:cs="宋体"/>
                <w:i w:val="0"/>
                <w:iCs w:val="0"/>
                <w:color w:val="000000"/>
                <w:sz w:val="18"/>
                <w:szCs w:val="18"/>
                <w:u w:val="none"/>
              </w:rPr>
            </w:pPr>
          </w:p>
        </w:tc>
        <w:tc>
          <w:tcPr>
            <w:tcW w:w="238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5EF542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186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A3C740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2022年，我中心严格执行预算，保障单位日常运转。</w:t>
            </w:r>
          </w:p>
        </w:tc>
      </w:tr>
      <w:tr w14:paraId="37BA8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629DA4">
            <w:pP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8FCB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5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2904183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“其他公用经费（福利、工会、公车补贴、党建、退休活动）”项目由办公室负责组织实施，通过制定专项工作计划方案、确定工作目标、明确组织实施措施和策略，有效地指导工作的正常有序开展。</w:t>
            </w:r>
          </w:p>
        </w:tc>
      </w:tr>
      <w:tr w14:paraId="41E378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1D12C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444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6C7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69F4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200DD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347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B6D0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4EC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2DA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0C2A4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21878B">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2A53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895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21.63</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80F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21.63</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7A97AD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21.63</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0BD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BFF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57C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51"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425EDD4A">
            <w:pPr>
              <w:keepNext w:val="0"/>
              <w:keepLines w:val="0"/>
              <w:widowControl/>
              <w:suppressLineNumbers w:val="0"/>
              <w:jc w:val="left"/>
              <w:textAlignment w:val="top"/>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14:paraId="2E34B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7E67AB">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A3C3D">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其中：</w:t>
            </w:r>
          </w:p>
          <w:p w14:paraId="78B6374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财政资金</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0BA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21.63</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AE4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21.63</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81586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21.63</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872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504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346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1"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5EEF07B">
            <w:pPr>
              <w:jc w:val="left"/>
              <w:rPr>
                <w:rFonts w:hint="eastAsia" w:ascii="宋体" w:hAnsi="宋体" w:eastAsia="宋体" w:cs="宋体"/>
                <w:i w:val="0"/>
                <w:iCs w:val="0"/>
                <w:color w:val="000000"/>
                <w:sz w:val="18"/>
                <w:szCs w:val="18"/>
                <w:u w:val="none"/>
              </w:rPr>
            </w:pPr>
          </w:p>
        </w:tc>
      </w:tr>
      <w:tr w14:paraId="29B05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6D1EC3">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D18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162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53B5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38349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7BA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E9D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102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1"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8E83A3E">
            <w:pPr>
              <w:jc w:val="left"/>
              <w:rPr>
                <w:rFonts w:hint="eastAsia" w:ascii="宋体" w:hAnsi="宋体" w:eastAsia="宋体" w:cs="宋体"/>
                <w:i w:val="0"/>
                <w:iCs w:val="0"/>
                <w:color w:val="000000"/>
                <w:sz w:val="18"/>
                <w:szCs w:val="18"/>
                <w:u w:val="none"/>
              </w:rPr>
            </w:pPr>
          </w:p>
        </w:tc>
      </w:tr>
      <w:tr w14:paraId="4240F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7ADCBA">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E14D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A36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726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FCDE9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AE7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DB3F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237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1"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2747769">
            <w:pPr>
              <w:jc w:val="left"/>
              <w:rPr>
                <w:rFonts w:hint="eastAsia" w:ascii="宋体" w:hAnsi="宋体" w:eastAsia="宋体" w:cs="宋体"/>
                <w:i w:val="0"/>
                <w:iCs w:val="0"/>
                <w:color w:val="000000"/>
                <w:sz w:val="18"/>
                <w:szCs w:val="18"/>
                <w:u w:val="none"/>
              </w:rPr>
            </w:pPr>
          </w:p>
        </w:tc>
      </w:tr>
      <w:tr w14:paraId="71B4A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8F1B5C">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362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6889F">
            <w:pPr>
              <w:jc w:val="center"/>
              <w:rPr>
                <w:rFonts w:hint="eastAsia" w:ascii="微软雅黑" w:hAnsi="微软雅黑" w:eastAsia="微软雅黑" w:cs="微软雅黑"/>
                <w:i/>
                <w:iCs/>
                <w:color w:val="000000"/>
                <w:sz w:val="16"/>
                <w:szCs w:val="16"/>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907AB">
            <w:pPr>
              <w:jc w:val="center"/>
              <w:rPr>
                <w:rFonts w:hint="eastAsia" w:ascii="微软雅黑" w:hAnsi="微软雅黑" w:eastAsia="微软雅黑" w:cs="微软雅黑"/>
                <w:i/>
                <w:iCs/>
                <w:color w:val="000000"/>
                <w:sz w:val="16"/>
                <w:szCs w:val="16"/>
                <w:u w:val="none"/>
              </w:rPr>
            </w:pP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E94C937">
            <w:pPr>
              <w:jc w:val="center"/>
              <w:rPr>
                <w:rFonts w:hint="eastAsia" w:ascii="微软雅黑" w:hAnsi="微软雅黑" w:eastAsia="微软雅黑" w:cs="微软雅黑"/>
                <w:i/>
                <w:iCs/>
                <w:color w:val="000000"/>
                <w:sz w:val="16"/>
                <w:szCs w:val="16"/>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35957">
            <w:pPr>
              <w:jc w:val="center"/>
              <w:rPr>
                <w:rFonts w:hint="eastAsia" w:ascii="微软雅黑" w:hAnsi="微软雅黑" w:eastAsia="微软雅黑" w:cs="微软雅黑"/>
                <w:i/>
                <w:iCs/>
                <w:color w:val="000000"/>
                <w:sz w:val="16"/>
                <w:szCs w:val="16"/>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41A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60E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1"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5C0BC90">
            <w:pPr>
              <w:jc w:val="left"/>
              <w:rPr>
                <w:rFonts w:hint="eastAsia" w:ascii="宋体" w:hAnsi="宋体" w:eastAsia="宋体" w:cs="宋体"/>
                <w:i w:val="0"/>
                <w:iCs w:val="0"/>
                <w:color w:val="000000"/>
                <w:sz w:val="18"/>
                <w:szCs w:val="18"/>
                <w:u w:val="none"/>
              </w:rPr>
            </w:pPr>
          </w:p>
        </w:tc>
      </w:tr>
      <w:tr w14:paraId="5CCB7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E553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D75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FA9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6C1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923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F19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CC1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040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1E96C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0DF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B6D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0A484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49F251">
            <w:pPr>
              <w:jc w:val="center"/>
              <w:rPr>
                <w:rFonts w:hint="eastAsia" w:ascii="宋体" w:hAnsi="宋体" w:eastAsia="宋体" w:cs="宋体"/>
                <w:i w:val="0"/>
                <w:iCs w:val="0"/>
                <w:color w:val="000000"/>
                <w:sz w:val="18"/>
                <w:szCs w:val="18"/>
                <w:u w:val="none"/>
              </w:rPr>
            </w:pPr>
          </w:p>
        </w:tc>
        <w:tc>
          <w:tcPr>
            <w:tcW w:w="4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B9DF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F83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3F1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81C0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E5E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967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282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BDC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A5EF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9680E">
            <w:pPr>
              <w:jc w:val="center"/>
              <w:rPr>
                <w:rFonts w:hint="eastAsia" w:ascii="微软雅黑" w:hAnsi="微软雅黑" w:eastAsia="微软雅黑" w:cs="微软雅黑"/>
                <w:i/>
                <w:iCs/>
                <w:color w:val="000000"/>
                <w:sz w:val="16"/>
                <w:szCs w:val="16"/>
                <w:u w:val="none"/>
              </w:rPr>
            </w:pPr>
          </w:p>
        </w:tc>
      </w:tr>
      <w:tr w14:paraId="72A1E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04F9F3">
            <w:pPr>
              <w:jc w:val="center"/>
              <w:rPr>
                <w:rFonts w:hint="eastAsia" w:ascii="宋体" w:hAnsi="宋体" w:eastAsia="宋体" w:cs="宋体"/>
                <w:i w:val="0"/>
                <w:iCs w:val="0"/>
                <w:color w:val="000000"/>
                <w:sz w:val="18"/>
                <w:szCs w:val="18"/>
                <w:u w:val="none"/>
              </w:rPr>
            </w:pPr>
          </w:p>
        </w:tc>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A30CF3">
            <w:pPr>
              <w:jc w:val="center"/>
              <w:rPr>
                <w:rFonts w:hint="eastAsia" w:ascii="宋体" w:hAnsi="宋体" w:eastAsia="宋体" w:cs="宋体"/>
                <w:i w:val="0"/>
                <w:iCs w:val="0"/>
                <w:color w:val="000000"/>
                <w:sz w:val="18"/>
                <w:szCs w:val="18"/>
                <w:u w:val="none"/>
              </w:rPr>
            </w:pP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651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28AD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492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2E6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B72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1AEF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536D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83C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9B443">
            <w:pPr>
              <w:jc w:val="center"/>
              <w:rPr>
                <w:rFonts w:hint="eastAsia" w:ascii="微软雅黑" w:hAnsi="微软雅黑" w:eastAsia="微软雅黑" w:cs="微软雅黑"/>
                <w:i/>
                <w:iCs/>
                <w:color w:val="000000"/>
                <w:sz w:val="16"/>
                <w:szCs w:val="16"/>
                <w:u w:val="none"/>
              </w:rPr>
            </w:pPr>
          </w:p>
        </w:tc>
      </w:tr>
      <w:tr w14:paraId="45A0D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04F6FD">
            <w:pPr>
              <w:jc w:val="center"/>
              <w:rPr>
                <w:rFonts w:hint="eastAsia" w:ascii="宋体" w:hAnsi="宋体" w:eastAsia="宋体" w:cs="宋体"/>
                <w:i w:val="0"/>
                <w:iCs w:val="0"/>
                <w:color w:val="000000"/>
                <w:sz w:val="18"/>
                <w:szCs w:val="18"/>
                <w:u w:val="none"/>
              </w:rPr>
            </w:pPr>
          </w:p>
        </w:tc>
        <w:tc>
          <w:tcPr>
            <w:tcW w:w="4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E589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4E2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04B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188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73A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B90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24D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70.58</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62D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B285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9C5B0">
            <w:pPr>
              <w:jc w:val="center"/>
              <w:rPr>
                <w:rFonts w:hint="eastAsia" w:ascii="微软雅黑" w:hAnsi="微软雅黑" w:eastAsia="微软雅黑" w:cs="微软雅黑"/>
                <w:i/>
                <w:iCs/>
                <w:color w:val="000000"/>
                <w:sz w:val="16"/>
                <w:szCs w:val="16"/>
                <w:u w:val="none"/>
              </w:rPr>
            </w:pPr>
          </w:p>
        </w:tc>
      </w:tr>
      <w:tr w14:paraId="20EAA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42B154">
            <w:pPr>
              <w:jc w:val="center"/>
              <w:rPr>
                <w:rFonts w:hint="eastAsia" w:ascii="宋体" w:hAnsi="宋体" w:eastAsia="宋体" w:cs="宋体"/>
                <w:i w:val="0"/>
                <w:iCs w:val="0"/>
                <w:color w:val="000000"/>
                <w:sz w:val="18"/>
                <w:szCs w:val="18"/>
                <w:u w:val="none"/>
              </w:rPr>
            </w:pPr>
          </w:p>
        </w:tc>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CC9570">
            <w:pPr>
              <w:jc w:val="center"/>
              <w:rPr>
                <w:rFonts w:hint="eastAsia" w:ascii="宋体" w:hAnsi="宋体" w:eastAsia="宋体" w:cs="宋体"/>
                <w:i w:val="0"/>
                <w:iCs w:val="0"/>
                <w:color w:val="000000"/>
                <w:sz w:val="18"/>
                <w:szCs w:val="18"/>
                <w:u w:val="none"/>
              </w:rPr>
            </w:pP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265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36B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192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168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D0E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F0DF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87B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2CA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9B735">
            <w:pPr>
              <w:jc w:val="center"/>
              <w:rPr>
                <w:rFonts w:hint="eastAsia" w:ascii="微软雅黑" w:hAnsi="微软雅黑" w:eastAsia="微软雅黑" w:cs="微软雅黑"/>
                <w:i/>
                <w:iCs/>
                <w:color w:val="000000"/>
                <w:sz w:val="16"/>
                <w:szCs w:val="16"/>
                <w:u w:val="none"/>
              </w:rPr>
            </w:pPr>
          </w:p>
        </w:tc>
      </w:tr>
      <w:tr w14:paraId="65C79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9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2AE38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E0E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959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90AC4">
            <w:pPr>
              <w:rPr>
                <w:rFonts w:hint="eastAsia" w:ascii="宋体" w:hAnsi="宋体" w:eastAsia="宋体" w:cs="宋体"/>
                <w:i w:val="0"/>
                <w:iCs w:val="0"/>
                <w:color w:val="000000"/>
                <w:sz w:val="18"/>
                <w:szCs w:val="18"/>
                <w:u w:val="none"/>
              </w:rPr>
            </w:pPr>
          </w:p>
        </w:tc>
      </w:tr>
      <w:tr w14:paraId="1EB6A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F0A4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05C689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该项目保障了52名在职人员工会经费、职工福利费、其他交通费等所需的支出，保障了12名退休职工所需的活动费等支出，自评得分100分。</w:t>
            </w:r>
          </w:p>
        </w:tc>
      </w:tr>
      <w:tr w14:paraId="1F2F5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5CF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D14F3B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14:paraId="5CAD5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D6F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1F937E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14:paraId="566B1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375DDDE">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项目负责人：张慧萍</w:t>
            </w:r>
          </w:p>
        </w:tc>
        <w:tc>
          <w:tcPr>
            <w:tcW w:w="256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2E3B54F">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财务负责人：辜炯益</w:t>
            </w:r>
          </w:p>
        </w:tc>
      </w:tr>
    </w:tbl>
    <w:p w14:paraId="0A96DB5E">
      <w:r>
        <w:br w:type="page"/>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56"/>
        <w:gridCol w:w="1419"/>
        <w:gridCol w:w="1702"/>
        <w:gridCol w:w="465"/>
        <w:gridCol w:w="1002"/>
        <w:gridCol w:w="463"/>
        <w:gridCol w:w="980"/>
        <w:gridCol w:w="486"/>
        <w:gridCol w:w="506"/>
        <w:gridCol w:w="2027"/>
      </w:tblGrid>
      <w:tr w14:paraId="4BC59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007BF7E">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val="0"/>
                <w:bCs w:val="0"/>
                <w:i w:val="0"/>
                <w:iCs w:val="0"/>
                <w:color w:val="000000"/>
                <w:kern w:val="0"/>
                <w:sz w:val="30"/>
                <w:szCs w:val="30"/>
                <w:u w:val="none"/>
                <w:lang w:val="en-US" w:eastAsia="zh-CN" w:bidi="ar"/>
              </w:rPr>
              <w:t>部门预算项目支出绩效自评表（2023年度）</w:t>
            </w:r>
          </w:p>
        </w:tc>
      </w:tr>
      <w:tr w14:paraId="6226A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926BD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5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9D6CBB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51080022R000000267546-工资性支出（事业）</w:t>
            </w:r>
          </w:p>
        </w:tc>
      </w:tr>
      <w:tr w14:paraId="14421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3AEB7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2DC4DB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广元市市场监督管理局部门</w:t>
            </w:r>
          </w:p>
        </w:tc>
        <w:tc>
          <w:tcPr>
            <w:tcW w:w="461" w:type="pct"/>
            <w:tcBorders>
              <w:top w:val="nil"/>
              <w:left w:val="nil"/>
              <w:bottom w:val="nil"/>
              <w:right w:val="nil"/>
            </w:tcBorders>
            <w:shd w:val="clear" w:color="auto" w:fill="auto"/>
            <w:vAlign w:val="center"/>
          </w:tcPr>
          <w:p w14:paraId="7DB98029">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40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0FD0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广元市食品药品检验检测中心</w:t>
            </w:r>
          </w:p>
        </w:tc>
      </w:tr>
      <w:tr w14:paraId="7DBE1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72A53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627D9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064C22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86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41A7C1B">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73A1B8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48D00B">
            <w:pPr>
              <w:rPr>
                <w:rFonts w:hint="eastAsia" w:ascii="宋体" w:hAnsi="宋体" w:eastAsia="宋体" w:cs="宋体"/>
                <w:i w:val="0"/>
                <w:iCs w:val="0"/>
                <w:color w:val="000000"/>
                <w:sz w:val="18"/>
                <w:szCs w:val="18"/>
                <w:u w:val="none"/>
              </w:rPr>
            </w:pPr>
          </w:p>
        </w:tc>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919712">
            <w:pPr>
              <w:rPr>
                <w:rFonts w:hint="eastAsia" w:ascii="宋体" w:hAnsi="宋体" w:eastAsia="宋体" w:cs="宋体"/>
                <w:i w:val="0"/>
                <w:iCs w:val="0"/>
                <w:color w:val="000000"/>
                <w:sz w:val="18"/>
                <w:szCs w:val="18"/>
                <w:u w:val="none"/>
              </w:rPr>
            </w:pPr>
          </w:p>
        </w:tc>
        <w:tc>
          <w:tcPr>
            <w:tcW w:w="238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40BCDE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86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999964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保障了人员工资、保险、绩效及时足额发放。</w:t>
            </w:r>
          </w:p>
        </w:tc>
      </w:tr>
      <w:tr w14:paraId="245A9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1DC6B6">
            <w:pP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F779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5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E4BE1C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该项目由办公室负责组织实施，通过制定专项工作计划方案、确定工作目标、明确组织实施措施和策略，有效地指导工作的正常有序开展。</w:t>
            </w:r>
          </w:p>
        </w:tc>
      </w:tr>
      <w:tr w14:paraId="17F15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89E5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78A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257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BD1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DB8CB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879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FDB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DA6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AF06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20F7B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CDF3F7">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403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466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384.43</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6C1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385.65</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90D29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385.65</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0DA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205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A589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52"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1D152082">
            <w:pPr>
              <w:keepNext w:val="0"/>
              <w:keepLines w:val="0"/>
              <w:widowControl/>
              <w:suppressLineNumbers w:val="0"/>
              <w:jc w:val="left"/>
              <w:textAlignment w:val="top"/>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调整追加预算1.22万元，主要是由于追加职业年金缴费。</w:t>
            </w:r>
          </w:p>
        </w:tc>
      </w:tr>
      <w:tr w14:paraId="31E147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587CFC">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15A95">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其中：</w:t>
            </w:r>
          </w:p>
          <w:p w14:paraId="6D3567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财政资金</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64C7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384.43</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284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385.65</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9CF52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385.65</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A4F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D6A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D28F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62B97E6">
            <w:pPr>
              <w:rPr>
                <w:rFonts w:hint="eastAsia" w:ascii="宋体" w:hAnsi="宋体" w:eastAsia="宋体" w:cs="宋体"/>
                <w:i w:val="0"/>
                <w:iCs w:val="0"/>
                <w:color w:val="000000"/>
                <w:sz w:val="18"/>
                <w:szCs w:val="18"/>
                <w:u w:val="none"/>
              </w:rPr>
            </w:pPr>
          </w:p>
        </w:tc>
      </w:tr>
      <w:tr w14:paraId="1CB23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469C0C">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885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04E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8DE9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49F79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FCC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DB3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AF6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7194D8F">
            <w:pPr>
              <w:rPr>
                <w:rFonts w:hint="eastAsia" w:ascii="宋体" w:hAnsi="宋体" w:eastAsia="宋体" w:cs="宋体"/>
                <w:i w:val="0"/>
                <w:iCs w:val="0"/>
                <w:color w:val="000000"/>
                <w:sz w:val="18"/>
                <w:szCs w:val="18"/>
                <w:u w:val="none"/>
              </w:rPr>
            </w:pPr>
          </w:p>
        </w:tc>
      </w:tr>
      <w:tr w14:paraId="7B5C7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CB756A">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75C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D86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03F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D1EA0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299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910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549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489FF1F">
            <w:pPr>
              <w:rPr>
                <w:rFonts w:hint="eastAsia" w:ascii="宋体" w:hAnsi="宋体" w:eastAsia="宋体" w:cs="宋体"/>
                <w:i w:val="0"/>
                <w:iCs w:val="0"/>
                <w:color w:val="000000"/>
                <w:sz w:val="18"/>
                <w:szCs w:val="18"/>
                <w:u w:val="none"/>
              </w:rPr>
            </w:pPr>
          </w:p>
        </w:tc>
      </w:tr>
      <w:tr w14:paraId="3DB956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D28C4D">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B82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89F0B">
            <w:pPr>
              <w:jc w:val="center"/>
              <w:rPr>
                <w:rFonts w:hint="eastAsia" w:ascii="微软雅黑" w:hAnsi="微软雅黑" w:eastAsia="微软雅黑" w:cs="微软雅黑"/>
                <w:i/>
                <w:iCs/>
                <w:color w:val="000000"/>
                <w:sz w:val="16"/>
                <w:szCs w:val="16"/>
                <w:u w:val="none"/>
              </w:rPr>
            </w:pP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5A683">
            <w:pPr>
              <w:jc w:val="center"/>
              <w:rPr>
                <w:rFonts w:hint="eastAsia" w:ascii="微软雅黑" w:hAnsi="微软雅黑" w:eastAsia="微软雅黑" w:cs="微软雅黑"/>
                <w:i/>
                <w:iCs/>
                <w:color w:val="000000"/>
                <w:sz w:val="16"/>
                <w:szCs w:val="16"/>
                <w:u w:val="none"/>
              </w:rPr>
            </w:pP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F2E3993">
            <w:pPr>
              <w:jc w:val="center"/>
              <w:rPr>
                <w:rFonts w:hint="eastAsia" w:ascii="微软雅黑" w:hAnsi="微软雅黑" w:eastAsia="微软雅黑" w:cs="微软雅黑"/>
                <w:i/>
                <w:iCs/>
                <w:color w:val="000000"/>
                <w:sz w:val="16"/>
                <w:szCs w:val="16"/>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7D22D">
            <w:pPr>
              <w:jc w:val="center"/>
              <w:rPr>
                <w:rFonts w:hint="eastAsia" w:ascii="微软雅黑" w:hAnsi="微软雅黑" w:eastAsia="微软雅黑" w:cs="微软雅黑"/>
                <w:i/>
                <w:iCs/>
                <w:color w:val="000000"/>
                <w:sz w:val="16"/>
                <w:szCs w:val="16"/>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2E0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CA8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096052C">
            <w:pPr>
              <w:rPr>
                <w:rFonts w:hint="eastAsia" w:ascii="宋体" w:hAnsi="宋体" w:eastAsia="宋体" w:cs="宋体"/>
                <w:i w:val="0"/>
                <w:iCs w:val="0"/>
                <w:color w:val="000000"/>
                <w:sz w:val="18"/>
                <w:szCs w:val="18"/>
                <w:u w:val="none"/>
              </w:rPr>
            </w:pPr>
          </w:p>
        </w:tc>
      </w:tr>
      <w:tr w14:paraId="5063E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64538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7DEC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A95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57C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C007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8A2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D27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7BFF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ED0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7BA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FB5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48AC9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354D21">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AA6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D85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1239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46E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34B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5F85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E69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200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35B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9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DEF5B">
            <w:pPr>
              <w:jc w:val="center"/>
              <w:rPr>
                <w:rFonts w:hint="eastAsia" w:ascii="微软雅黑" w:hAnsi="微软雅黑" w:eastAsia="微软雅黑" w:cs="微软雅黑"/>
                <w:i/>
                <w:iCs/>
                <w:color w:val="000000"/>
                <w:sz w:val="16"/>
                <w:szCs w:val="16"/>
                <w:u w:val="none"/>
              </w:rPr>
            </w:pPr>
          </w:p>
        </w:tc>
      </w:tr>
      <w:tr w14:paraId="50A78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0B1B8D">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946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B26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648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260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C8D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60D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0549B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46E9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162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9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9203E">
            <w:pPr>
              <w:jc w:val="center"/>
              <w:rPr>
                <w:rFonts w:hint="eastAsia" w:ascii="微软雅黑" w:hAnsi="微软雅黑" w:eastAsia="微软雅黑" w:cs="微软雅黑"/>
                <w:i/>
                <w:iCs/>
                <w:color w:val="000000"/>
                <w:sz w:val="16"/>
                <w:szCs w:val="16"/>
                <w:u w:val="none"/>
              </w:rPr>
            </w:pPr>
          </w:p>
        </w:tc>
      </w:tr>
      <w:tr w14:paraId="40067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9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CBD1B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E8FA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FB20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BD39B">
            <w:pPr>
              <w:rPr>
                <w:rFonts w:hint="eastAsia" w:ascii="宋体" w:hAnsi="宋体" w:eastAsia="宋体" w:cs="宋体"/>
                <w:i w:val="0"/>
                <w:iCs w:val="0"/>
                <w:color w:val="000000"/>
                <w:sz w:val="18"/>
                <w:szCs w:val="18"/>
                <w:u w:val="none"/>
              </w:rPr>
            </w:pPr>
          </w:p>
        </w:tc>
      </w:tr>
      <w:tr w14:paraId="28DC4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93E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C02290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“工资性支出”项目按时顺利开展，保障了人员工资、保险、绩效及时足额发放，自评得分100分。</w:t>
            </w:r>
          </w:p>
        </w:tc>
      </w:tr>
      <w:tr w14:paraId="3D2A3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C37F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3E9BBF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14:paraId="2EB9B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AB6D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95214B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14:paraId="1FC844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43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E4C046C">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项目负责人：张慧萍</w:t>
            </w:r>
          </w:p>
        </w:tc>
        <w:tc>
          <w:tcPr>
            <w:tcW w:w="25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6881EB5">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财务负责人：辜炯益</w:t>
            </w:r>
          </w:p>
        </w:tc>
      </w:tr>
    </w:tbl>
    <w:p w14:paraId="16F5F7B8">
      <w:r>
        <w:br w:type="page"/>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48"/>
        <w:gridCol w:w="1409"/>
        <w:gridCol w:w="1690"/>
        <w:gridCol w:w="457"/>
        <w:gridCol w:w="996"/>
        <w:gridCol w:w="455"/>
        <w:gridCol w:w="970"/>
        <w:gridCol w:w="486"/>
        <w:gridCol w:w="576"/>
        <w:gridCol w:w="2019"/>
      </w:tblGrid>
      <w:tr w14:paraId="197A1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40C501FA">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val="0"/>
                <w:bCs w:val="0"/>
                <w:i w:val="0"/>
                <w:iCs w:val="0"/>
                <w:color w:val="000000"/>
                <w:kern w:val="0"/>
                <w:sz w:val="30"/>
                <w:szCs w:val="30"/>
                <w:u w:val="none"/>
                <w:lang w:val="en-US" w:eastAsia="zh-CN" w:bidi="ar"/>
              </w:rPr>
              <w:t>部门预算项目支出绩效自评表（2023年度）</w:t>
            </w:r>
          </w:p>
        </w:tc>
      </w:tr>
      <w:tr w14:paraId="2BD73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83F41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5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75D857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51080022T000000352727-药品检验和实验室运行维护经费</w:t>
            </w:r>
          </w:p>
        </w:tc>
      </w:tr>
      <w:tr w14:paraId="2BB93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EDA4D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8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EE177A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广元市市场监督管理局部门</w:t>
            </w:r>
          </w:p>
        </w:tc>
        <w:tc>
          <w:tcPr>
            <w:tcW w:w="461" w:type="pct"/>
            <w:tcBorders>
              <w:top w:val="nil"/>
              <w:left w:val="nil"/>
              <w:bottom w:val="nil"/>
              <w:right w:val="nil"/>
            </w:tcBorders>
            <w:shd w:val="clear" w:color="auto" w:fill="auto"/>
            <w:vAlign w:val="center"/>
          </w:tcPr>
          <w:p w14:paraId="10DA982B">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4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F48D8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广元市食品药品检验检测中心</w:t>
            </w:r>
          </w:p>
        </w:tc>
      </w:tr>
      <w:tr w14:paraId="5A077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6B3A7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04021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8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375AB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87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975F554">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7278F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0"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E4890E">
            <w:pPr>
              <w:rPr>
                <w:rFonts w:hint="eastAsia" w:ascii="宋体" w:hAnsi="宋体" w:eastAsia="宋体" w:cs="宋体"/>
                <w:i w:val="0"/>
                <w:iCs w:val="0"/>
                <w:color w:val="000000"/>
                <w:sz w:val="18"/>
                <w:szCs w:val="18"/>
                <w:u w:val="none"/>
              </w:rPr>
            </w:pPr>
          </w:p>
        </w:tc>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E70F8B">
            <w:pPr>
              <w:rPr>
                <w:rFonts w:hint="eastAsia" w:ascii="宋体" w:hAnsi="宋体" w:eastAsia="宋体" w:cs="宋体"/>
                <w:i w:val="0"/>
                <w:iCs w:val="0"/>
                <w:color w:val="000000"/>
                <w:sz w:val="18"/>
                <w:szCs w:val="18"/>
                <w:u w:val="none"/>
              </w:rPr>
            </w:pPr>
          </w:p>
        </w:tc>
        <w:tc>
          <w:tcPr>
            <w:tcW w:w="238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968814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完成药品生产企业、药品经营企业、医疗机构、社会第三方委托检验需求；2.完成年度辖区内药品零售、使用单位药品质量抽查检验150批，确保全市人民用药安全；3.完成年度在用仪器设备检定/校准、期间核查及维护，确保数值溯源，运行正常；4.实现实验室固液危废物、污水集中无害化处置；5.确保实验环境、工作环境安全；防止工作区域环境污染事故的发生；6.完成药品（化妆品）扩项认证；7.药品检验检测人才队伍进一步优化，能力进一步提升。</w:t>
            </w:r>
          </w:p>
        </w:tc>
        <w:tc>
          <w:tcPr>
            <w:tcW w:w="187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1B4A6C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本年度完成药品委托检验65批次；完成本市辖区内药品零售、使用单位药品质量抽查检验150批，确保全市人民用药安全；完成在用仪器设备检定/校准、期间核查及维护，确保数值溯源，运行正常；实现实验室固液危废物、污水集中无害化处置；药品检验检测人才队伍进一步优化，能力进一步提升。</w:t>
            </w:r>
          </w:p>
        </w:tc>
      </w:tr>
      <w:tr w14:paraId="6133F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20"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05F10F">
            <w:pP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43F3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5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2BFD53F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由中心药品分管领导负责项目实施，具体抽检工作由中心药品业务科牵头，相关科室配合落实。抽检工作按照《药品质量监督抽验管理规定》及《四川省药品抽验工作绩效考核标准》（2023年）、中心制定的《抽检实施细则》、项目绩效目标要求，药品业务科抽样和支付购样费、样品登记管理、检测科室开展检测、药品业务科出具报告和汇总上报抽检情况。实验室运行维护项目工作由中心质量技术室牵头，相关科室配合落实，具体实施流程为：设备检定/校准由质量技术室依据中心设备年度检定/校准情况，联系有资质的部门开展检定/校准工作，设备使用部门配合开展检定/校准工作，设备维护由设备使用部门依据设备实际运行状态，开展必要的维护/维修工作；人员培训及能力验证依据省局文件要求、部门检测需求，由质量技术室牵头，具体部门实施培训和实施能力验证工作；实验室危废处置工作由办公室牵头，相关科室具体实施。按照业务分管领导要求，各相关科室做好实验室危废品的定点集中收集，办公室安排人员集中废液室集中保管，危废处置人员开展申报和联系危废处置公司处置。</w:t>
            </w:r>
          </w:p>
        </w:tc>
      </w:tr>
      <w:tr w14:paraId="5A1FB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C0E2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BA7C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24D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B1D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1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2B6B5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504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A9A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EF5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3023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704C4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5787B5">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76C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35F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35.62</w:t>
            </w: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A23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35.62</w:t>
            </w:r>
          </w:p>
        </w:tc>
        <w:tc>
          <w:tcPr>
            <w:tcW w:w="91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50B9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35.62</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7F6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8F7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658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51"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3FEFE877">
            <w:pPr>
              <w:keepNext w:val="0"/>
              <w:keepLines w:val="0"/>
              <w:widowControl/>
              <w:suppressLineNumbers w:val="0"/>
              <w:jc w:val="left"/>
              <w:textAlignment w:val="top"/>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14:paraId="71FBB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256C68">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CB424">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其中：</w:t>
            </w:r>
          </w:p>
          <w:p w14:paraId="6B4B7D0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财政资金</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7A7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35.62</w:t>
            </w: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58C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35.62</w:t>
            </w:r>
          </w:p>
        </w:tc>
        <w:tc>
          <w:tcPr>
            <w:tcW w:w="91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B3A72D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35.62</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D65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929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722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1"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9A41A5A">
            <w:pPr>
              <w:rPr>
                <w:rFonts w:hint="eastAsia" w:ascii="宋体" w:hAnsi="宋体" w:eastAsia="宋体" w:cs="宋体"/>
                <w:i w:val="0"/>
                <w:iCs w:val="0"/>
                <w:color w:val="000000"/>
                <w:sz w:val="18"/>
                <w:szCs w:val="18"/>
                <w:u w:val="none"/>
              </w:rPr>
            </w:pPr>
          </w:p>
        </w:tc>
      </w:tr>
      <w:tr w14:paraId="60A51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BE3239">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BBF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31C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19ED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1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EBC5F7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92B7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7C4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70D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1"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1DE8D50">
            <w:pPr>
              <w:rPr>
                <w:rFonts w:hint="eastAsia" w:ascii="宋体" w:hAnsi="宋体" w:eastAsia="宋体" w:cs="宋体"/>
                <w:i w:val="0"/>
                <w:iCs w:val="0"/>
                <w:color w:val="000000"/>
                <w:sz w:val="18"/>
                <w:szCs w:val="18"/>
                <w:u w:val="none"/>
              </w:rPr>
            </w:pPr>
          </w:p>
        </w:tc>
      </w:tr>
      <w:tr w14:paraId="72A7C1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7D9989">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C3C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EE7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533D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1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C576C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541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4EF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292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1"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F5A06A9">
            <w:pPr>
              <w:rPr>
                <w:rFonts w:hint="eastAsia" w:ascii="宋体" w:hAnsi="宋体" w:eastAsia="宋体" w:cs="宋体"/>
                <w:i w:val="0"/>
                <w:iCs w:val="0"/>
                <w:color w:val="000000"/>
                <w:sz w:val="18"/>
                <w:szCs w:val="18"/>
                <w:u w:val="none"/>
              </w:rPr>
            </w:pPr>
          </w:p>
        </w:tc>
      </w:tr>
      <w:tr w14:paraId="7003F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1E2DBA">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474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6FE12">
            <w:pPr>
              <w:jc w:val="center"/>
              <w:rPr>
                <w:rFonts w:hint="eastAsia" w:ascii="微软雅黑" w:hAnsi="微软雅黑" w:eastAsia="微软雅黑" w:cs="微软雅黑"/>
                <w:i/>
                <w:iCs/>
                <w:color w:val="000000"/>
                <w:sz w:val="16"/>
                <w:szCs w:val="16"/>
                <w:u w:val="none"/>
              </w:rPr>
            </w:pP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791ED">
            <w:pPr>
              <w:jc w:val="center"/>
              <w:rPr>
                <w:rFonts w:hint="eastAsia" w:ascii="微软雅黑" w:hAnsi="微软雅黑" w:eastAsia="微软雅黑" w:cs="微软雅黑"/>
                <w:i/>
                <w:iCs/>
                <w:color w:val="000000"/>
                <w:sz w:val="16"/>
                <w:szCs w:val="16"/>
                <w:u w:val="none"/>
              </w:rPr>
            </w:pPr>
          </w:p>
        </w:tc>
        <w:tc>
          <w:tcPr>
            <w:tcW w:w="91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AFB9876">
            <w:pPr>
              <w:jc w:val="center"/>
              <w:rPr>
                <w:rFonts w:hint="eastAsia" w:ascii="微软雅黑" w:hAnsi="微软雅黑" w:eastAsia="微软雅黑" w:cs="微软雅黑"/>
                <w:i/>
                <w:iCs/>
                <w:color w:val="000000"/>
                <w:sz w:val="16"/>
                <w:szCs w:val="16"/>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14FCD">
            <w:pPr>
              <w:jc w:val="center"/>
              <w:rPr>
                <w:rFonts w:hint="eastAsia" w:ascii="微软雅黑" w:hAnsi="微软雅黑" w:eastAsia="微软雅黑" w:cs="微软雅黑"/>
                <w:i/>
                <w:iCs/>
                <w:color w:val="000000"/>
                <w:sz w:val="16"/>
                <w:szCs w:val="16"/>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9BA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CC8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1"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C543A2C">
            <w:pPr>
              <w:rPr>
                <w:rFonts w:hint="eastAsia" w:ascii="宋体" w:hAnsi="宋体" w:eastAsia="宋体" w:cs="宋体"/>
                <w:i w:val="0"/>
                <w:iCs w:val="0"/>
                <w:color w:val="000000"/>
                <w:sz w:val="18"/>
                <w:szCs w:val="18"/>
                <w:u w:val="none"/>
              </w:rPr>
            </w:pPr>
          </w:p>
        </w:tc>
      </w:tr>
      <w:tr w14:paraId="4B491E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0D35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D70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AFA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960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389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1F4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5AB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E7D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A2A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F04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33D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6E3F6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3DFF59">
            <w:pPr>
              <w:jc w:val="center"/>
              <w:rPr>
                <w:rFonts w:hint="eastAsia" w:ascii="宋体" w:hAnsi="宋体" w:eastAsia="宋体" w:cs="宋体"/>
                <w:i w:val="0"/>
                <w:iCs w:val="0"/>
                <w:color w:val="000000"/>
                <w:sz w:val="18"/>
                <w:szCs w:val="18"/>
                <w:u w:val="none"/>
              </w:rPr>
            </w:pPr>
          </w:p>
        </w:tc>
        <w:tc>
          <w:tcPr>
            <w:tcW w:w="4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D4296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8E1B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87A5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实验室污水处理</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430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BA2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FA6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吨</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A88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A0A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73B4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916BF">
            <w:pPr>
              <w:jc w:val="center"/>
              <w:rPr>
                <w:rFonts w:hint="eastAsia" w:ascii="微软雅黑" w:hAnsi="微软雅黑" w:eastAsia="微软雅黑" w:cs="微软雅黑"/>
                <w:i/>
                <w:iCs/>
                <w:color w:val="000000"/>
                <w:sz w:val="16"/>
                <w:szCs w:val="16"/>
                <w:u w:val="none"/>
              </w:rPr>
            </w:pPr>
          </w:p>
        </w:tc>
      </w:tr>
      <w:tr w14:paraId="23D109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639973">
            <w:pPr>
              <w:jc w:val="center"/>
              <w:rPr>
                <w:rFonts w:hint="eastAsia" w:ascii="宋体" w:hAnsi="宋体" w:eastAsia="宋体" w:cs="宋体"/>
                <w:i w:val="0"/>
                <w:iCs w:val="0"/>
                <w:color w:val="000000"/>
                <w:sz w:val="18"/>
                <w:szCs w:val="18"/>
                <w:u w:val="none"/>
              </w:rPr>
            </w:pPr>
          </w:p>
        </w:tc>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BC7EDD">
            <w:pPr>
              <w:jc w:val="center"/>
              <w:rPr>
                <w:rFonts w:hint="eastAsia" w:ascii="宋体" w:hAnsi="宋体" w:eastAsia="宋体" w:cs="宋体"/>
                <w:i w:val="0"/>
                <w:iCs w:val="0"/>
                <w:color w:val="000000"/>
                <w:sz w:val="18"/>
                <w:szCs w:val="18"/>
                <w:u w:val="none"/>
              </w:rPr>
            </w:pPr>
          </w:p>
        </w:tc>
        <w:tc>
          <w:tcPr>
            <w:tcW w:w="6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ABB08D">
            <w:pPr>
              <w:jc w:val="center"/>
              <w:rPr>
                <w:rFonts w:hint="eastAsia" w:ascii="宋体" w:hAnsi="宋体" w:eastAsia="宋体" w:cs="宋体"/>
                <w:i w:val="0"/>
                <w:iCs w:val="0"/>
                <w:color w:val="000000"/>
                <w:sz w:val="18"/>
                <w:szCs w:val="18"/>
                <w:u w:val="none"/>
              </w:rPr>
            </w:pP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D4AB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完成年度辖区药品抽样</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EF5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5749F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55B2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批次</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969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5F6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7DAB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9DB86">
            <w:pPr>
              <w:jc w:val="center"/>
              <w:rPr>
                <w:rFonts w:hint="eastAsia" w:ascii="微软雅黑" w:hAnsi="微软雅黑" w:eastAsia="微软雅黑" w:cs="微软雅黑"/>
                <w:i/>
                <w:iCs/>
                <w:color w:val="000000"/>
                <w:sz w:val="16"/>
                <w:szCs w:val="16"/>
                <w:u w:val="none"/>
              </w:rPr>
            </w:pPr>
          </w:p>
        </w:tc>
      </w:tr>
      <w:tr w14:paraId="071923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F91E95">
            <w:pPr>
              <w:jc w:val="center"/>
              <w:rPr>
                <w:rFonts w:hint="eastAsia" w:ascii="宋体" w:hAnsi="宋体" w:eastAsia="宋体" w:cs="宋体"/>
                <w:i w:val="0"/>
                <w:iCs w:val="0"/>
                <w:color w:val="000000"/>
                <w:sz w:val="18"/>
                <w:szCs w:val="18"/>
                <w:u w:val="none"/>
              </w:rPr>
            </w:pPr>
          </w:p>
        </w:tc>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3B86E6">
            <w:pPr>
              <w:jc w:val="center"/>
              <w:rPr>
                <w:rFonts w:hint="eastAsia" w:ascii="宋体" w:hAnsi="宋体" w:eastAsia="宋体" w:cs="宋体"/>
                <w:i w:val="0"/>
                <w:iCs w:val="0"/>
                <w:color w:val="000000"/>
                <w:sz w:val="18"/>
                <w:szCs w:val="18"/>
                <w:u w:val="none"/>
              </w:rPr>
            </w:pPr>
          </w:p>
        </w:tc>
        <w:tc>
          <w:tcPr>
            <w:tcW w:w="6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05DA3D">
            <w:pPr>
              <w:jc w:val="center"/>
              <w:rPr>
                <w:rFonts w:hint="eastAsia" w:ascii="宋体" w:hAnsi="宋体" w:eastAsia="宋体" w:cs="宋体"/>
                <w:i w:val="0"/>
                <w:iCs w:val="0"/>
                <w:color w:val="000000"/>
                <w:sz w:val="18"/>
                <w:szCs w:val="18"/>
                <w:u w:val="none"/>
              </w:rPr>
            </w:pP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ACE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仪器设备维护数量</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8036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885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A47D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C16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285</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EDD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591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BBC6D">
            <w:pPr>
              <w:jc w:val="center"/>
              <w:rPr>
                <w:rFonts w:hint="eastAsia" w:ascii="微软雅黑" w:hAnsi="微软雅黑" w:eastAsia="微软雅黑" w:cs="微软雅黑"/>
                <w:i/>
                <w:iCs/>
                <w:color w:val="000000"/>
                <w:sz w:val="16"/>
                <w:szCs w:val="16"/>
                <w:u w:val="none"/>
              </w:rPr>
            </w:pPr>
          </w:p>
        </w:tc>
      </w:tr>
      <w:tr w14:paraId="00FFF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11AC0E">
            <w:pPr>
              <w:jc w:val="center"/>
              <w:rPr>
                <w:rFonts w:hint="eastAsia" w:ascii="宋体" w:hAnsi="宋体" w:eastAsia="宋体" w:cs="宋体"/>
                <w:i w:val="0"/>
                <w:iCs w:val="0"/>
                <w:color w:val="000000"/>
                <w:sz w:val="18"/>
                <w:szCs w:val="18"/>
                <w:u w:val="none"/>
              </w:rPr>
            </w:pPr>
          </w:p>
        </w:tc>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7726C1">
            <w:pPr>
              <w:jc w:val="center"/>
              <w:rPr>
                <w:rFonts w:hint="eastAsia" w:ascii="宋体" w:hAnsi="宋体" w:eastAsia="宋体" w:cs="宋体"/>
                <w:i w:val="0"/>
                <w:iCs w:val="0"/>
                <w:color w:val="000000"/>
                <w:sz w:val="18"/>
                <w:szCs w:val="18"/>
                <w:u w:val="none"/>
              </w:rPr>
            </w:pPr>
          </w:p>
        </w:tc>
        <w:tc>
          <w:tcPr>
            <w:tcW w:w="6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C47E55">
            <w:pPr>
              <w:jc w:val="center"/>
              <w:rPr>
                <w:rFonts w:hint="eastAsia" w:ascii="宋体" w:hAnsi="宋体" w:eastAsia="宋体" w:cs="宋体"/>
                <w:i w:val="0"/>
                <w:iCs w:val="0"/>
                <w:color w:val="000000"/>
                <w:sz w:val="18"/>
                <w:szCs w:val="18"/>
                <w:u w:val="none"/>
              </w:rPr>
            </w:pP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456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仪器设备检定/校准数量</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17A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6F0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6F3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CB1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C9CF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339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69C48">
            <w:pPr>
              <w:jc w:val="center"/>
              <w:rPr>
                <w:rFonts w:hint="eastAsia" w:ascii="微软雅黑" w:hAnsi="微软雅黑" w:eastAsia="微软雅黑" w:cs="微软雅黑"/>
                <w:i/>
                <w:iCs/>
                <w:color w:val="000000"/>
                <w:sz w:val="16"/>
                <w:szCs w:val="16"/>
                <w:u w:val="none"/>
              </w:rPr>
            </w:pPr>
          </w:p>
        </w:tc>
      </w:tr>
      <w:tr w14:paraId="7E3C6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A41BE">
            <w:pPr>
              <w:jc w:val="center"/>
              <w:rPr>
                <w:rFonts w:hint="eastAsia" w:ascii="宋体" w:hAnsi="宋体" w:eastAsia="宋体" w:cs="宋体"/>
                <w:i w:val="0"/>
                <w:iCs w:val="0"/>
                <w:color w:val="000000"/>
                <w:sz w:val="18"/>
                <w:szCs w:val="18"/>
                <w:u w:val="none"/>
              </w:rPr>
            </w:pPr>
          </w:p>
        </w:tc>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2AC9EF">
            <w:pPr>
              <w:jc w:val="center"/>
              <w:rPr>
                <w:rFonts w:hint="eastAsia" w:ascii="宋体" w:hAnsi="宋体" w:eastAsia="宋体" w:cs="宋体"/>
                <w:i w:val="0"/>
                <w:iCs w:val="0"/>
                <w:color w:val="000000"/>
                <w:sz w:val="18"/>
                <w:szCs w:val="18"/>
                <w:u w:val="none"/>
              </w:rPr>
            </w:pPr>
          </w:p>
        </w:tc>
        <w:tc>
          <w:tcPr>
            <w:tcW w:w="6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C07F7A">
            <w:pPr>
              <w:jc w:val="center"/>
              <w:rPr>
                <w:rFonts w:hint="eastAsia" w:ascii="宋体" w:hAnsi="宋体" w:eastAsia="宋体" w:cs="宋体"/>
                <w:i w:val="0"/>
                <w:iCs w:val="0"/>
                <w:color w:val="000000"/>
                <w:sz w:val="18"/>
                <w:szCs w:val="18"/>
                <w:u w:val="none"/>
              </w:rPr>
            </w:pP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BCE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人员培训</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D6F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2D4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6AD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学时</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BF5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C01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071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ED2DA">
            <w:pPr>
              <w:jc w:val="center"/>
              <w:rPr>
                <w:rFonts w:hint="eastAsia" w:ascii="微软雅黑" w:hAnsi="微软雅黑" w:eastAsia="微软雅黑" w:cs="微软雅黑"/>
                <w:i/>
                <w:iCs/>
                <w:color w:val="000000"/>
                <w:sz w:val="16"/>
                <w:szCs w:val="16"/>
                <w:u w:val="none"/>
              </w:rPr>
            </w:pPr>
          </w:p>
        </w:tc>
      </w:tr>
      <w:tr w14:paraId="18F71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E77FB2">
            <w:pPr>
              <w:jc w:val="center"/>
              <w:rPr>
                <w:rFonts w:hint="eastAsia" w:ascii="宋体" w:hAnsi="宋体" w:eastAsia="宋体" w:cs="宋体"/>
                <w:i w:val="0"/>
                <w:iCs w:val="0"/>
                <w:color w:val="000000"/>
                <w:sz w:val="18"/>
                <w:szCs w:val="18"/>
                <w:u w:val="none"/>
              </w:rPr>
            </w:pPr>
          </w:p>
        </w:tc>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D5A90B">
            <w:pPr>
              <w:jc w:val="center"/>
              <w:rPr>
                <w:rFonts w:hint="eastAsia" w:ascii="宋体" w:hAnsi="宋体" w:eastAsia="宋体" w:cs="宋体"/>
                <w:i w:val="0"/>
                <w:iCs w:val="0"/>
                <w:color w:val="000000"/>
                <w:sz w:val="18"/>
                <w:szCs w:val="18"/>
                <w:u w:val="none"/>
              </w:rPr>
            </w:pPr>
          </w:p>
        </w:tc>
        <w:tc>
          <w:tcPr>
            <w:tcW w:w="6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C0EE46">
            <w:pPr>
              <w:jc w:val="center"/>
              <w:rPr>
                <w:rFonts w:hint="eastAsia" w:ascii="宋体" w:hAnsi="宋体" w:eastAsia="宋体" w:cs="宋体"/>
                <w:i w:val="0"/>
                <w:iCs w:val="0"/>
                <w:color w:val="000000"/>
                <w:sz w:val="18"/>
                <w:szCs w:val="18"/>
                <w:u w:val="none"/>
              </w:rPr>
            </w:pP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E4A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药品扩项认证</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A60F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F23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87F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3B45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B18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4BA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EB599">
            <w:pPr>
              <w:jc w:val="center"/>
              <w:rPr>
                <w:rFonts w:hint="eastAsia" w:ascii="微软雅黑" w:hAnsi="微软雅黑" w:eastAsia="微软雅黑" w:cs="微软雅黑"/>
                <w:i/>
                <w:iCs/>
                <w:color w:val="000000"/>
                <w:sz w:val="16"/>
                <w:szCs w:val="16"/>
                <w:u w:val="none"/>
              </w:rPr>
            </w:pPr>
          </w:p>
        </w:tc>
      </w:tr>
      <w:tr w14:paraId="0BD82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E7E645">
            <w:pPr>
              <w:jc w:val="center"/>
              <w:rPr>
                <w:rFonts w:hint="eastAsia" w:ascii="宋体" w:hAnsi="宋体" w:eastAsia="宋体" w:cs="宋体"/>
                <w:i w:val="0"/>
                <w:iCs w:val="0"/>
                <w:color w:val="000000"/>
                <w:sz w:val="18"/>
                <w:szCs w:val="18"/>
                <w:u w:val="none"/>
              </w:rPr>
            </w:pPr>
          </w:p>
        </w:tc>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2965A4">
            <w:pPr>
              <w:jc w:val="center"/>
              <w:rPr>
                <w:rFonts w:hint="eastAsia" w:ascii="宋体" w:hAnsi="宋体" w:eastAsia="宋体" w:cs="宋体"/>
                <w:i w:val="0"/>
                <w:iCs w:val="0"/>
                <w:color w:val="000000"/>
                <w:sz w:val="18"/>
                <w:szCs w:val="18"/>
                <w:u w:val="none"/>
              </w:rPr>
            </w:pPr>
          </w:p>
        </w:tc>
        <w:tc>
          <w:tcPr>
            <w:tcW w:w="6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D24038">
            <w:pPr>
              <w:jc w:val="center"/>
              <w:rPr>
                <w:rFonts w:hint="eastAsia" w:ascii="宋体" w:hAnsi="宋体" w:eastAsia="宋体" w:cs="宋体"/>
                <w:i w:val="0"/>
                <w:iCs w:val="0"/>
                <w:color w:val="000000"/>
                <w:sz w:val="18"/>
                <w:szCs w:val="18"/>
                <w:u w:val="none"/>
              </w:rPr>
            </w:pP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1AF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药品委托检验批次</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D56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42D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535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批次</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1BE1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65</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786D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428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33D71">
            <w:pPr>
              <w:jc w:val="center"/>
              <w:rPr>
                <w:rFonts w:hint="eastAsia" w:ascii="微软雅黑" w:hAnsi="微软雅黑" w:eastAsia="微软雅黑" w:cs="微软雅黑"/>
                <w:i/>
                <w:iCs/>
                <w:color w:val="000000"/>
                <w:sz w:val="16"/>
                <w:szCs w:val="16"/>
                <w:u w:val="none"/>
              </w:rPr>
            </w:pPr>
          </w:p>
        </w:tc>
      </w:tr>
      <w:tr w14:paraId="2123F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4CBCA1">
            <w:pPr>
              <w:jc w:val="center"/>
              <w:rPr>
                <w:rFonts w:hint="eastAsia" w:ascii="宋体" w:hAnsi="宋体" w:eastAsia="宋体" w:cs="宋体"/>
                <w:i w:val="0"/>
                <w:iCs w:val="0"/>
                <w:color w:val="000000"/>
                <w:sz w:val="18"/>
                <w:szCs w:val="18"/>
                <w:u w:val="none"/>
              </w:rPr>
            </w:pPr>
          </w:p>
        </w:tc>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AB7C6E">
            <w:pPr>
              <w:jc w:val="center"/>
              <w:rPr>
                <w:rFonts w:hint="eastAsia" w:ascii="宋体" w:hAnsi="宋体" w:eastAsia="宋体" w:cs="宋体"/>
                <w:i w:val="0"/>
                <w:iCs w:val="0"/>
                <w:color w:val="000000"/>
                <w:sz w:val="18"/>
                <w:szCs w:val="18"/>
                <w:u w:val="none"/>
              </w:rPr>
            </w:pPr>
          </w:p>
        </w:tc>
        <w:tc>
          <w:tcPr>
            <w:tcW w:w="6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6CC01A">
            <w:pPr>
              <w:jc w:val="center"/>
              <w:rPr>
                <w:rFonts w:hint="eastAsia" w:ascii="宋体" w:hAnsi="宋体" w:eastAsia="宋体" w:cs="宋体"/>
                <w:i w:val="0"/>
                <w:iCs w:val="0"/>
                <w:color w:val="000000"/>
                <w:sz w:val="18"/>
                <w:szCs w:val="18"/>
                <w:u w:val="none"/>
              </w:rPr>
            </w:pP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083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实验室固液体危废物</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4F49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D25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CE6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公斤</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FBE7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2888.4</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6D3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766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12CA1">
            <w:pPr>
              <w:jc w:val="center"/>
              <w:rPr>
                <w:rFonts w:hint="eastAsia" w:ascii="微软雅黑" w:hAnsi="微软雅黑" w:eastAsia="微软雅黑" w:cs="微软雅黑"/>
                <w:i/>
                <w:iCs/>
                <w:color w:val="000000"/>
                <w:sz w:val="16"/>
                <w:szCs w:val="16"/>
                <w:u w:val="none"/>
              </w:rPr>
            </w:pPr>
          </w:p>
        </w:tc>
      </w:tr>
      <w:tr w14:paraId="224CB1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513AEA">
            <w:pPr>
              <w:jc w:val="center"/>
              <w:rPr>
                <w:rFonts w:hint="eastAsia" w:ascii="宋体" w:hAnsi="宋体" w:eastAsia="宋体" w:cs="宋体"/>
                <w:i w:val="0"/>
                <w:iCs w:val="0"/>
                <w:color w:val="000000"/>
                <w:sz w:val="18"/>
                <w:szCs w:val="18"/>
                <w:u w:val="none"/>
              </w:rPr>
            </w:pPr>
          </w:p>
        </w:tc>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0CA8EA">
            <w:pPr>
              <w:jc w:val="center"/>
              <w:rPr>
                <w:rFonts w:hint="eastAsia" w:ascii="宋体" w:hAnsi="宋体" w:eastAsia="宋体" w:cs="宋体"/>
                <w:i w:val="0"/>
                <w:iCs w:val="0"/>
                <w:color w:val="000000"/>
                <w:sz w:val="18"/>
                <w:szCs w:val="18"/>
                <w:u w:val="none"/>
              </w:rPr>
            </w:pPr>
          </w:p>
        </w:tc>
        <w:tc>
          <w:tcPr>
            <w:tcW w:w="6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D1579F">
            <w:pPr>
              <w:jc w:val="center"/>
              <w:rPr>
                <w:rFonts w:hint="eastAsia" w:ascii="宋体" w:hAnsi="宋体" w:eastAsia="宋体" w:cs="宋体"/>
                <w:i w:val="0"/>
                <w:iCs w:val="0"/>
                <w:color w:val="000000"/>
                <w:sz w:val="18"/>
                <w:szCs w:val="18"/>
                <w:u w:val="none"/>
              </w:rPr>
            </w:pP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C6C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外部能力验证</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8D8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9B3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B4E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ED1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F55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4DF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879B6">
            <w:pPr>
              <w:jc w:val="center"/>
              <w:rPr>
                <w:rFonts w:hint="eastAsia" w:ascii="微软雅黑" w:hAnsi="微软雅黑" w:eastAsia="微软雅黑" w:cs="微软雅黑"/>
                <w:i/>
                <w:iCs/>
                <w:color w:val="000000"/>
                <w:sz w:val="16"/>
                <w:szCs w:val="16"/>
                <w:u w:val="none"/>
              </w:rPr>
            </w:pPr>
          </w:p>
        </w:tc>
      </w:tr>
      <w:tr w14:paraId="0DA59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E7FF2A">
            <w:pPr>
              <w:jc w:val="center"/>
              <w:rPr>
                <w:rFonts w:hint="eastAsia" w:ascii="宋体" w:hAnsi="宋体" w:eastAsia="宋体" w:cs="宋体"/>
                <w:i w:val="0"/>
                <w:iCs w:val="0"/>
                <w:color w:val="000000"/>
                <w:sz w:val="18"/>
                <w:szCs w:val="18"/>
                <w:u w:val="none"/>
              </w:rPr>
            </w:pPr>
          </w:p>
        </w:tc>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950DCB">
            <w:pPr>
              <w:jc w:val="center"/>
              <w:rPr>
                <w:rFonts w:hint="eastAsia" w:ascii="宋体" w:hAnsi="宋体" w:eastAsia="宋体" w:cs="宋体"/>
                <w:i w:val="0"/>
                <w:iCs w:val="0"/>
                <w:color w:val="000000"/>
                <w:sz w:val="18"/>
                <w:szCs w:val="18"/>
                <w:u w:val="none"/>
              </w:rPr>
            </w:pPr>
          </w:p>
        </w:tc>
        <w:tc>
          <w:tcPr>
            <w:tcW w:w="6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8D818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B2C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实验室固体、液体危废物处置率</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314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49A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2625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216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E92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BD4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F6521">
            <w:pPr>
              <w:jc w:val="center"/>
              <w:rPr>
                <w:rFonts w:hint="eastAsia" w:ascii="微软雅黑" w:hAnsi="微软雅黑" w:eastAsia="微软雅黑" w:cs="微软雅黑"/>
                <w:i/>
                <w:iCs/>
                <w:color w:val="000000"/>
                <w:sz w:val="16"/>
                <w:szCs w:val="16"/>
                <w:u w:val="none"/>
              </w:rPr>
            </w:pPr>
          </w:p>
        </w:tc>
      </w:tr>
      <w:tr w14:paraId="0B098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45ADE4">
            <w:pPr>
              <w:jc w:val="center"/>
              <w:rPr>
                <w:rFonts w:hint="eastAsia" w:ascii="宋体" w:hAnsi="宋体" w:eastAsia="宋体" w:cs="宋体"/>
                <w:i w:val="0"/>
                <w:iCs w:val="0"/>
                <w:color w:val="000000"/>
                <w:sz w:val="18"/>
                <w:szCs w:val="18"/>
                <w:u w:val="none"/>
              </w:rPr>
            </w:pPr>
          </w:p>
        </w:tc>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832867">
            <w:pPr>
              <w:jc w:val="center"/>
              <w:rPr>
                <w:rFonts w:hint="eastAsia" w:ascii="宋体" w:hAnsi="宋体" w:eastAsia="宋体" w:cs="宋体"/>
                <w:i w:val="0"/>
                <w:iCs w:val="0"/>
                <w:color w:val="000000"/>
                <w:sz w:val="18"/>
                <w:szCs w:val="18"/>
                <w:u w:val="none"/>
              </w:rPr>
            </w:pPr>
          </w:p>
        </w:tc>
        <w:tc>
          <w:tcPr>
            <w:tcW w:w="6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272752">
            <w:pPr>
              <w:jc w:val="center"/>
              <w:rPr>
                <w:rFonts w:hint="eastAsia" w:ascii="宋体" w:hAnsi="宋体" w:eastAsia="宋体" w:cs="宋体"/>
                <w:i w:val="0"/>
                <w:iCs w:val="0"/>
                <w:color w:val="000000"/>
                <w:sz w:val="18"/>
                <w:szCs w:val="18"/>
                <w:u w:val="none"/>
              </w:rPr>
            </w:pP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D01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仪器设备检定/校准、维护合格率</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E775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F51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501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51D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2CE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7AA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97132">
            <w:pPr>
              <w:jc w:val="center"/>
              <w:rPr>
                <w:rFonts w:hint="eastAsia" w:ascii="微软雅黑" w:hAnsi="微软雅黑" w:eastAsia="微软雅黑" w:cs="微软雅黑"/>
                <w:i/>
                <w:iCs/>
                <w:color w:val="000000"/>
                <w:sz w:val="16"/>
                <w:szCs w:val="16"/>
                <w:u w:val="none"/>
              </w:rPr>
            </w:pPr>
          </w:p>
        </w:tc>
      </w:tr>
      <w:tr w14:paraId="70BAF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35E4BB">
            <w:pPr>
              <w:jc w:val="center"/>
              <w:rPr>
                <w:rFonts w:hint="eastAsia" w:ascii="宋体" w:hAnsi="宋体" w:eastAsia="宋体" w:cs="宋体"/>
                <w:i w:val="0"/>
                <w:iCs w:val="0"/>
                <w:color w:val="000000"/>
                <w:sz w:val="18"/>
                <w:szCs w:val="18"/>
                <w:u w:val="none"/>
              </w:rPr>
            </w:pPr>
          </w:p>
        </w:tc>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317A15">
            <w:pPr>
              <w:jc w:val="center"/>
              <w:rPr>
                <w:rFonts w:hint="eastAsia" w:ascii="宋体" w:hAnsi="宋体" w:eastAsia="宋体" w:cs="宋体"/>
                <w:i w:val="0"/>
                <w:iCs w:val="0"/>
                <w:color w:val="000000"/>
                <w:sz w:val="18"/>
                <w:szCs w:val="18"/>
                <w:u w:val="none"/>
              </w:rPr>
            </w:pP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858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058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任务完成时间</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08FD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DF1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E5C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BB5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ECE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651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33A52">
            <w:pPr>
              <w:jc w:val="center"/>
              <w:rPr>
                <w:rFonts w:hint="eastAsia" w:ascii="微软雅黑" w:hAnsi="微软雅黑" w:eastAsia="微软雅黑" w:cs="微软雅黑"/>
                <w:i/>
                <w:iCs/>
                <w:color w:val="000000"/>
                <w:sz w:val="16"/>
                <w:szCs w:val="16"/>
                <w:u w:val="none"/>
              </w:rPr>
            </w:pPr>
          </w:p>
        </w:tc>
      </w:tr>
      <w:tr w14:paraId="23FA7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F5AB47">
            <w:pPr>
              <w:jc w:val="center"/>
              <w:rPr>
                <w:rFonts w:hint="eastAsia" w:ascii="宋体" w:hAnsi="宋体" w:eastAsia="宋体" w:cs="宋体"/>
                <w:i w:val="0"/>
                <w:iCs w:val="0"/>
                <w:color w:val="000000"/>
                <w:sz w:val="18"/>
                <w:szCs w:val="18"/>
                <w:u w:val="none"/>
              </w:rPr>
            </w:pPr>
          </w:p>
        </w:tc>
        <w:tc>
          <w:tcPr>
            <w:tcW w:w="4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D4D1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BE83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147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为药品安全监管提供技术支撑</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328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7CE1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药品不合格2批</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327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批次</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696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药品无不合格</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A3B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6C2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E4133">
            <w:pPr>
              <w:jc w:val="center"/>
              <w:rPr>
                <w:rFonts w:hint="eastAsia" w:ascii="微软雅黑" w:hAnsi="微软雅黑" w:eastAsia="微软雅黑" w:cs="微软雅黑"/>
                <w:i/>
                <w:iCs/>
                <w:color w:val="000000"/>
                <w:sz w:val="16"/>
                <w:szCs w:val="16"/>
                <w:u w:val="none"/>
              </w:rPr>
            </w:pPr>
          </w:p>
        </w:tc>
      </w:tr>
      <w:tr w14:paraId="0937C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BB7628">
            <w:pPr>
              <w:jc w:val="center"/>
              <w:rPr>
                <w:rFonts w:hint="eastAsia" w:ascii="宋体" w:hAnsi="宋体" w:eastAsia="宋体" w:cs="宋体"/>
                <w:i w:val="0"/>
                <w:iCs w:val="0"/>
                <w:color w:val="000000"/>
                <w:sz w:val="18"/>
                <w:szCs w:val="18"/>
                <w:u w:val="none"/>
              </w:rPr>
            </w:pPr>
          </w:p>
        </w:tc>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1580C1">
            <w:pPr>
              <w:jc w:val="center"/>
              <w:rPr>
                <w:rFonts w:hint="eastAsia" w:ascii="宋体" w:hAnsi="宋体" w:eastAsia="宋体" w:cs="宋体"/>
                <w:i w:val="0"/>
                <w:iCs w:val="0"/>
                <w:color w:val="000000"/>
                <w:sz w:val="18"/>
                <w:szCs w:val="18"/>
                <w:u w:val="none"/>
              </w:rPr>
            </w:pP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71E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83BF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可持续提升药品检验能力，减少环境污染的持续影响</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3C5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2C64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逐渐提升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2E1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4C08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逐渐提升</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ED8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4AF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0434C">
            <w:pPr>
              <w:jc w:val="center"/>
              <w:rPr>
                <w:rFonts w:hint="eastAsia" w:ascii="微软雅黑" w:hAnsi="微软雅黑" w:eastAsia="微软雅黑" w:cs="微软雅黑"/>
                <w:i/>
                <w:iCs/>
                <w:color w:val="000000"/>
                <w:sz w:val="16"/>
                <w:szCs w:val="16"/>
                <w:u w:val="none"/>
              </w:rPr>
            </w:pPr>
          </w:p>
        </w:tc>
      </w:tr>
      <w:tr w14:paraId="1FF37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4B912B">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DAE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3EF7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EF0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第三方对委托检验满意度</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1E07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2CF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7F1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C0E48">
            <w:pPr>
              <w:jc w:val="center"/>
              <w:rPr>
                <w:rFonts w:hint="eastAsia" w:ascii="宋体" w:hAnsi="宋体" w:eastAsia="宋体" w:cs="宋体"/>
                <w:i w:val="0"/>
                <w:iCs w:val="0"/>
                <w:color w:val="000000"/>
                <w:sz w:val="18"/>
                <w:szCs w:val="18"/>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175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8CD8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AE5F1">
            <w:pPr>
              <w:jc w:val="center"/>
              <w:rPr>
                <w:rFonts w:hint="eastAsia" w:ascii="微软雅黑" w:hAnsi="微软雅黑" w:eastAsia="微软雅黑" w:cs="微软雅黑"/>
                <w:i/>
                <w:iCs/>
                <w:color w:val="000000"/>
                <w:sz w:val="16"/>
                <w:szCs w:val="16"/>
                <w:u w:val="none"/>
              </w:rPr>
            </w:pPr>
          </w:p>
        </w:tc>
      </w:tr>
      <w:tr w14:paraId="079B5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2B55C0">
            <w:pPr>
              <w:jc w:val="center"/>
              <w:rPr>
                <w:rFonts w:hint="eastAsia" w:ascii="宋体" w:hAnsi="宋体" w:eastAsia="宋体" w:cs="宋体"/>
                <w:i w:val="0"/>
                <w:iCs w:val="0"/>
                <w:color w:val="000000"/>
                <w:sz w:val="18"/>
                <w:szCs w:val="18"/>
                <w:u w:val="none"/>
              </w:rPr>
            </w:pPr>
          </w:p>
        </w:tc>
        <w:tc>
          <w:tcPr>
            <w:tcW w:w="4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5EB9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6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42A2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9BE9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其他交通费</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74E7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6AAAF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0A7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335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0.73</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171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CDD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42415">
            <w:pPr>
              <w:jc w:val="center"/>
              <w:rPr>
                <w:rFonts w:hint="eastAsia" w:ascii="微软雅黑" w:hAnsi="微软雅黑" w:eastAsia="微软雅黑" w:cs="微软雅黑"/>
                <w:i/>
                <w:iCs/>
                <w:color w:val="000000"/>
                <w:sz w:val="16"/>
                <w:szCs w:val="16"/>
                <w:u w:val="none"/>
              </w:rPr>
            </w:pPr>
          </w:p>
        </w:tc>
      </w:tr>
      <w:tr w14:paraId="790FD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FF75C6">
            <w:pPr>
              <w:jc w:val="center"/>
              <w:rPr>
                <w:rFonts w:hint="eastAsia" w:ascii="宋体" w:hAnsi="宋体" w:eastAsia="宋体" w:cs="宋体"/>
                <w:i w:val="0"/>
                <w:iCs w:val="0"/>
                <w:color w:val="000000"/>
                <w:sz w:val="18"/>
                <w:szCs w:val="18"/>
                <w:u w:val="none"/>
              </w:rPr>
            </w:pPr>
          </w:p>
        </w:tc>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4CCD43">
            <w:pPr>
              <w:jc w:val="center"/>
              <w:rPr>
                <w:rFonts w:hint="eastAsia" w:ascii="宋体" w:hAnsi="宋体" w:eastAsia="宋体" w:cs="宋体"/>
                <w:i w:val="0"/>
                <w:iCs w:val="0"/>
                <w:color w:val="000000"/>
                <w:sz w:val="18"/>
                <w:szCs w:val="18"/>
                <w:u w:val="none"/>
              </w:rPr>
            </w:pPr>
          </w:p>
        </w:tc>
        <w:tc>
          <w:tcPr>
            <w:tcW w:w="6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F94F4C">
            <w:pPr>
              <w:jc w:val="center"/>
              <w:rPr>
                <w:rFonts w:hint="eastAsia" w:ascii="宋体" w:hAnsi="宋体" w:eastAsia="宋体" w:cs="宋体"/>
                <w:i w:val="0"/>
                <w:iCs w:val="0"/>
                <w:color w:val="000000"/>
                <w:sz w:val="18"/>
                <w:szCs w:val="18"/>
                <w:u w:val="none"/>
              </w:rPr>
            </w:pP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242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劳务费</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7D14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DB1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15.52</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354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BA7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12.48</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99B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55CB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5F391">
            <w:pPr>
              <w:jc w:val="center"/>
              <w:rPr>
                <w:rFonts w:hint="eastAsia" w:ascii="微软雅黑" w:hAnsi="微软雅黑" w:eastAsia="微软雅黑" w:cs="微软雅黑"/>
                <w:i/>
                <w:iCs/>
                <w:color w:val="000000"/>
                <w:sz w:val="16"/>
                <w:szCs w:val="16"/>
                <w:u w:val="none"/>
              </w:rPr>
            </w:pPr>
          </w:p>
        </w:tc>
      </w:tr>
      <w:tr w14:paraId="237117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7FBC96">
            <w:pPr>
              <w:jc w:val="center"/>
              <w:rPr>
                <w:rFonts w:hint="eastAsia" w:ascii="宋体" w:hAnsi="宋体" w:eastAsia="宋体" w:cs="宋体"/>
                <w:i w:val="0"/>
                <w:iCs w:val="0"/>
                <w:color w:val="000000"/>
                <w:sz w:val="18"/>
                <w:szCs w:val="18"/>
                <w:u w:val="none"/>
              </w:rPr>
            </w:pPr>
          </w:p>
        </w:tc>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6C6C3A">
            <w:pPr>
              <w:jc w:val="center"/>
              <w:rPr>
                <w:rFonts w:hint="eastAsia" w:ascii="宋体" w:hAnsi="宋体" w:eastAsia="宋体" w:cs="宋体"/>
                <w:i w:val="0"/>
                <w:iCs w:val="0"/>
                <w:color w:val="000000"/>
                <w:sz w:val="18"/>
                <w:szCs w:val="18"/>
                <w:u w:val="none"/>
              </w:rPr>
            </w:pPr>
          </w:p>
        </w:tc>
        <w:tc>
          <w:tcPr>
            <w:tcW w:w="6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BB95A7">
            <w:pPr>
              <w:jc w:val="center"/>
              <w:rPr>
                <w:rFonts w:hint="eastAsia" w:ascii="宋体" w:hAnsi="宋体" w:eastAsia="宋体" w:cs="宋体"/>
                <w:i w:val="0"/>
                <w:iCs w:val="0"/>
                <w:color w:val="000000"/>
                <w:sz w:val="18"/>
                <w:szCs w:val="18"/>
                <w:u w:val="none"/>
              </w:rPr>
            </w:pP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376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办公费、水电费、差旅费等</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0688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FEA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5.6</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F2A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531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5.02</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2A0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DA9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FF5E7">
            <w:pPr>
              <w:jc w:val="center"/>
              <w:rPr>
                <w:rFonts w:hint="eastAsia" w:ascii="微软雅黑" w:hAnsi="微软雅黑" w:eastAsia="微软雅黑" w:cs="微软雅黑"/>
                <w:i/>
                <w:iCs/>
                <w:color w:val="000000"/>
                <w:sz w:val="16"/>
                <w:szCs w:val="16"/>
                <w:u w:val="none"/>
              </w:rPr>
            </w:pPr>
          </w:p>
        </w:tc>
      </w:tr>
      <w:tr w14:paraId="6EE73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12C5F8">
            <w:pPr>
              <w:jc w:val="center"/>
              <w:rPr>
                <w:rFonts w:hint="eastAsia" w:ascii="宋体" w:hAnsi="宋体" w:eastAsia="宋体" w:cs="宋体"/>
                <w:i w:val="0"/>
                <w:iCs w:val="0"/>
                <w:color w:val="000000"/>
                <w:sz w:val="18"/>
                <w:szCs w:val="18"/>
                <w:u w:val="none"/>
              </w:rPr>
            </w:pPr>
          </w:p>
        </w:tc>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925862">
            <w:pPr>
              <w:jc w:val="center"/>
              <w:rPr>
                <w:rFonts w:hint="eastAsia" w:ascii="宋体" w:hAnsi="宋体" w:eastAsia="宋体" w:cs="宋体"/>
                <w:i w:val="0"/>
                <w:iCs w:val="0"/>
                <w:color w:val="000000"/>
                <w:sz w:val="18"/>
                <w:szCs w:val="18"/>
                <w:u w:val="none"/>
              </w:rPr>
            </w:pPr>
          </w:p>
        </w:tc>
        <w:tc>
          <w:tcPr>
            <w:tcW w:w="6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FDB792">
            <w:pPr>
              <w:jc w:val="center"/>
              <w:rPr>
                <w:rFonts w:hint="eastAsia" w:ascii="宋体" w:hAnsi="宋体" w:eastAsia="宋体" w:cs="宋体"/>
                <w:i w:val="0"/>
                <w:iCs w:val="0"/>
                <w:color w:val="000000"/>
                <w:sz w:val="18"/>
                <w:szCs w:val="18"/>
                <w:u w:val="none"/>
              </w:rPr>
            </w:pP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A93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其他商品服务支出</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86F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18C5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1C8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330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1.31</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B76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C28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A3599">
            <w:pPr>
              <w:jc w:val="center"/>
              <w:rPr>
                <w:rFonts w:hint="eastAsia" w:ascii="微软雅黑" w:hAnsi="微软雅黑" w:eastAsia="微软雅黑" w:cs="微软雅黑"/>
                <w:i/>
                <w:iCs/>
                <w:color w:val="000000"/>
                <w:sz w:val="16"/>
                <w:szCs w:val="16"/>
                <w:u w:val="none"/>
              </w:rPr>
            </w:pPr>
          </w:p>
        </w:tc>
      </w:tr>
      <w:tr w14:paraId="32573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F0C6D8">
            <w:pPr>
              <w:jc w:val="center"/>
              <w:rPr>
                <w:rFonts w:hint="eastAsia" w:ascii="宋体" w:hAnsi="宋体" w:eastAsia="宋体" w:cs="宋体"/>
                <w:i w:val="0"/>
                <w:iCs w:val="0"/>
                <w:color w:val="000000"/>
                <w:sz w:val="18"/>
                <w:szCs w:val="18"/>
                <w:u w:val="none"/>
              </w:rPr>
            </w:pPr>
          </w:p>
        </w:tc>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425E2E">
            <w:pPr>
              <w:jc w:val="center"/>
              <w:rPr>
                <w:rFonts w:hint="eastAsia" w:ascii="宋体" w:hAnsi="宋体" w:eastAsia="宋体" w:cs="宋体"/>
                <w:i w:val="0"/>
                <w:iCs w:val="0"/>
                <w:color w:val="000000"/>
                <w:sz w:val="18"/>
                <w:szCs w:val="18"/>
                <w:u w:val="none"/>
              </w:rPr>
            </w:pPr>
          </w:p>
        </w:tc>
        <w:tc>
          <w:tcPr>
            <w:tcW w:w="6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5061AC">
            <w:pPr>
              <w:jc w:val="center"/>
              <w:rPr>
                <w:rFonts w:hint="eastAsia" w:ascii="宋体" w:hAnsi="宋体" w:eastAsia="宋体" w:cs="宋体"/>
                <w:i w:val="0"/>
                <w:iCs w:val="0"/>
                <w:color w:val="000000"/>
                <w:sz w:val="18"/>
                <w:szCs w:val="18"/>
                <w:u w:val="none"/>
              </w:rPr>
            </w:pP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989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培训费</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1B68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084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6D8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574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878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58CF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0DCE1">
            <w:pPr>
              <w:jc w:val="center"/>
              <w:rPr>
                <w:rFonts w:hint="eastAsia" w:ascii="微软雅黑" w:hAnsi="微软雅黑" w:eastAsia="微软雅黑" w:cs="微软雅黑"/>
                <w:i/>
                <w:iCs/>
                <w:color w:val="000000"/>
                <w:sz w:val="16"/>
                <w:szCs w:val="16"/>
                <w:u w:val="none"/>
              </w:rPr>
            </w:pPr>
          </w:p>
        </w:tc>
      </w:tr>
      <w:tr w14:paraId="0C559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0DE14F">
            <w:pPr>
              <w:jc w:val="center"/>
              <w:rPr>
                <w:rFonts w:hint="eastAsia" w:ascii="宋体" w:hAnsi="宋体" w:eastAsia="宋体" w:cs="宋体"/>
                <w:i w:val="0"/>
                <w:iCs w:val="0"/>
                <w:color w:val="000000"/>
                <w:sz w:val="18"/>
                <w:szCs w:val="18"/>
                <w:u w:val="none"/>
              </w:rPr>
            </w:pPr>
          </w:p>
        </w:tc>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AF9701">
            <w:pPr>
              <w:jc w:val="center"/>
              <w:rPr>
                <w:rFonts w:hint="eastAsia" w:ascii="宋体" w:hAnsi="宋体" w:eastAsia="宋体" w:cs="宋体"/>
                <w:i w:val="0"/>
                <w:iCs w:val="0"/>
                <w:color w:val="000000"/>
                <w:sz w:val="18"/>
                <w:szCs w:val="18"/>
                <w:u w:val="none"/>
              </w:rPr>
            </w:pPr>
          </w:p>
        </w:tc>
        <w:tc>
          <w:tcPr>
            <w:tcW w:w="6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5163A0">
            <w:pPr>
              <w:jc w:val="center"/>
              <w:rPr>
                <w:rFonts w:hint="eastAsia" w:ascii="宋体" w:hAnsi="宋体" w:eastAsia="宋体" w:cs="宋体"/>
                <w:i w:val="0"/>
                <w:iCs w:val="0"/>
                <w:color w:val="000000"/>
                <w:sz w:val="18"/>
                <w:szCs w:val="18"/>
                <w:u w:val="none"/>
              </w:rPr>
            </w:pP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F8F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维修费</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732B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73E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5B4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F4E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3.77</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834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8DE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8CF68">
            <w:pPr>
              <w:jc w:val="center"/>
              <w:rPr>
                <w:rFonts w:hint="eastAsia" w:ascii="微软雅黑" w:hAnsi="微软雅黑" w:eastAsia="微软雅黑" w:cs="微软雅黑"/>
                <w:i/>
                <w:iCs/>
                <w:color w:val="000000"/>
                <w:sz w:val="16"/>
                <w:szCs w:val="16"/>
                <w:u w:val="none"/>
              </w:rPr>
            </w:pPr>
          </w:p>
        </w:tc>
      </w:tr>
      <w:tr w14:paraId="754CF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B7A366">
            <w:pPr>
              <w:jc w:val="center"/>
              <w:rPr>
                <w:rFonts w:hint="eastAsia" w:ascii="宋体" w:hAnsi="宋体" w:eastAsia="宋体" w:cs="宋体"/>
                <w:i w:val="0"/>
                <w:iCs w:val="0"/>
                <w:color w:val="000000"/>
                <w:sz w:val="18"/>
                <w:szCs w:val="18"/>
                <w:u w:val="none"/>
              </w:rPr>
            </w:pPr>
          </w:p>
        </w:tc>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B8F350">
            <w:pPr>
              <w:jc w:val="center"/>
              <w:rPr>
                <w:rFonts w:hint="eastAsia" w:ascii="宋体" w:hAnsi="宋体" w:eastAsia="宋体" w:cs="宋体"/>
                <w:i w:val="0"/>
                <w:iCs w:val="0"/>
                <w:color w:val="000000"/>
                <w:sz w:val="18"/>
                <w:szCs w:val="18"/>
                <w:u w:val="none"/>
              </w:rPr>
            </w:pPr>
          </w:p>
        </w:tc>
        <w:tc>
          <w:tcPr>
            <w:tcW w:w="6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9B6279">
            <w:pPr>
              <w:jc w:val="center"/>
              <w:rPr>
                <w:rFonts w:hint="eastAsia" w:ascii="宋体" w:hAnsi="宋体" w:eastAsia="宋体" w:cs="宋体"/>
                <w:i w:val="0"/>
                <w:iCs w:val="0"/>
                <w:color w:val="000000"/>
                <w:sz w:val="18"/>
                <w:szCs w:val="18"/>
                <w:u w:val="none"/>
              </w:rPr>
            </w:pP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8E7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专用耗材费</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488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EF4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EFF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E9CE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9.31</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620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46E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7F3FC">
            <w:pPr>
              <w:jc w:val="center"/>
              <w:rPr>
                <w:rFonts w:hint="eastAsia" w:ascii="微软雅黑" w:hAnsi="微软雅黑" w:eastAsia="微软雅黑" w:cs="微软雅黑"/>
                <w:i/>
                <w:iCs/>
                <w:color w:val="000000"/>
                <w:sz w:val="16"/>
                <w:szCs w:val="16"/>
                <w:u w:val="none"/>
              </w:rPr>
            </w:pPr>
          </w:p>
        </w:tc>
      </w:tr>
      <w:tr w14:paraId="6B658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8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E2EFE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466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1CBC8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96.5</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26284">
            <w:pPr>
              <w:rPr>
                <w:rFonts w:hint="eastAsia" w:ascii="宋体" w:hAnsi="宋体" w:eastAsia="宋体" w:cs="宋体"/>
                <w:i w:val="0"/>
                <w:iCs w:val="0"/>
                <w:color w:val="000000"/>
                <w:sz w:val="18"/>
                <w:szCs w:val="18"/>
                <w:u w:val="none"/>
              </w:rPr>
            </w:pPr>
          </w:p>
        </w:tc>
      </w:tr>
      <w:tr w14:paraId="52C25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AF0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B01569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过该项目的实施，提升了中心检验检测能力和人员队伍素质，为开展药品检测、危废物处置提供了保障，确保了废物排放环境安全，中心通过药品检验，有效地保障了用药安全，为药品安全提供了技术保障。绩效自评得分96.5分。</w:t>
            </w:r>
          </w:p>
        </w:tc>
      </w:tr>
      <w:tr w14:paraId="63933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70C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20AF8E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主要是经济成本指标中维修费、专用材料费超出了绩效指标，主要是检测任务增加，其中药品委托检验批次指标值为50批次，实际完成65批次。</w:t>
            </w:r>
          </w:p>
        </w:tc>
      </w:tr>
      <w:tr w14:paraId="6C57D4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AB6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E6D89B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下一步改进措施，按照上年度各项工作和各项指标完成情况，仔细测算下年度各项指标，按照实际情况合理调整，严格控制各项支出。</w:t>
            </w:r>
          </w:p>
        </w:tc>
      </w:tr>
      <w:tr w14:paraId="0B6E1C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3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9CA7110">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项目负责人：赵扬</w:t>
            </w:r>
          </w:p>
        </w:tc>
        <w:tc>
          <w:tcPr>
            <w:tcW w:w="256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9EF9F34">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财务负责人：辜炯益</w:t>
            </w:r>
          </w:p>
        </w:tc>
      </w:tr>
    </w:tbl>
    <w:p w14:paraId="72379F7B">
      <w:r>
        <w:br w:type="page"/>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428"/>
        <w:gridCol w:w="619"/>
        <w:gridCol w:w="1405"/>
        <w:gridCol w:w="1690"/>
        <w:gridCol w:w="459"/>
        <w:gridCol w:w="993"/>
        <w:gridCol w:w="457"/>
        <w:gridCol w:w="974"/>
        <w:gridCol w:w="486"/>
        <w:gridCol w:w="576"/>
        <w:gridCol w:w="2019"/>
      </w:tblGrid>
      <w:tr w14:paraId="4EFB2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32D02708">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val="0"/>
                <w:bCs w:val="0"/>
                <w:i w:val="0"/>
                <w:iCs w:val="0"/>
                <w:color w:val="000000"/>
                <w:kern w:val="0"/>
                <w:sz w:val="30"/>
                <w:szCs w:val="30"/>
                <w:u w:val="none"/>
                <w:lang w:val="en-US" w:eastAsia="zh-CN" w:bidi="ar"/>
              </w:rPr>
              <w:t>部门预算项目支出绩效自评表（2023年度）</w:t>
            </w:r>
          </w:p>
        </w:tc>
      </w:tr>
      <w:tr w14:paraId="67914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1B66C5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3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18C662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51080022T000000354993-乡村振兴经费</w:t>
            </w:r>
          </w:p>
        </w:tc>
      </w:tr>
      <w:tr w14:paraId="02D0A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7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05E259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4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847AAF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广元市市场监督管理局部门</w:t>
            </w:r>
          </w:p>
        </w:tc>
        <w:tc>
          <w:tcPr>
            <w:tcW w:w="454" w:type="pct"/>
            <w:tcBorders>
              <w:top w:val="nil"/>
              <w:left w:val="nil"/>
              <w:bottom w:val="nil"/>
              <w:right w:val="nil"/>
            </w:tcBorders>
            <w:shd w:val="clear" w:color="auto" w:fill="auto"/>
            <w:vAlign w:val="center"/>
          </w:tcPr>
          <w:p w14:paraId="6A11B0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44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10CDB8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广元市食品药品检验检测中心</w:t>
            </w:r>
          </w:p>
        </w:tc>
      </w:tr>
      <w:tr w14:paraId="76AF8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BF578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9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8A7B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4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9C8B3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89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8F48E1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072C1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261319">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8"/>
                <w:szCs w:val="18"/>
                <w:u w:val="none"/>
              </w:rPr>
            </w:pPr>
          </w:p>
        </w:tc>
        <w:tc>
          <w:tcPr>
            <w:tcW w:w="49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8BE015">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8"/>
                <w:szCs w:val="18"/>
                <w:u w:val="none"/>
              </w:rPr>
            </w:pPr>
          </w:p>
        </w:tc>
        <w:tc>
          <w:tcPr>
            <w:tcW w:w="234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678A41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完成苍溪民主村巩固提升规划、防止返贫，促进帮扶村集体经济发展。</w:t>
            </w:r>
          </w:p>
        </w:tc>
        <w:tc>
          <w:tcPr>
            <w:tcW w:w="189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9C6933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本年度，完成产业发展1个，撂荒地整治50亩。</w:t>
            </w:r>
          </w:p>
        </w:tc>
      </w:tr>
      <w:tr w14:paraId="24D66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18B9FB">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8"/>
                <w:szCs w:val="18"/>
                <w:u w:val="none"/>
              </w:rPr>
            </w:pP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1CB8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3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53BE30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按照全市乡村振兴工作要求，继续巩固脱贫成果，严禁已脱贫人员返贫，大力发展产业，抓好招商引资，不断壮大村社集体经济，提高农民人均收入。</w:t>
            </w:r>
          </w:p>
        </w:tc>
      </w:tr>
      <w:tr w14:paraId="4A0CCE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EB09C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5DCE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545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0CA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89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D5BF2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22B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618B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19C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0D6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3EB4E1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FF4A3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97634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8D0F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3.64</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C16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3.64</w:t>
            </w:r>
          </w:p>
        </w:tc>
        <w:tc>
          <w:tcPr>
            <w:tcW w:w="89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54A56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3.64</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6B0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EE7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51FA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44"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62F3F81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top"/>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14:paraId="649F8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6C991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D64E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其中：</w:t>
            </w:r>
          </w:p>
          <w:p w14:paraId="40C7086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财政资金</w:t>
            </w:r>
          </w:p>
        </w:tc>
        <w:tc>
          <w:tcPr>
            <w:tcW w:w="6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D00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3.64</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ACD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3.64</w:t>
            </w:r>
          </w:p>
        </w:tc>
        <w:tc>
          <w:tcPr>
            <w:tcW w:w="89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90296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3.64</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2A6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608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45CB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44"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A5A2CDA">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8"/>
                <w:szCs w:val="18"/>
                <w:u w:val="none"/>
              </w:rPr>
            </w:pPr>
          </w:p>
        </w:tc>
      </w:tr>
      <w:tr w14:paraId="3FA56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5B610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2D4A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717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630F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9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48AB7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D52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F0B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9EA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44"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CC37F05">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8"/>
                <w:szCs w:val="18"/>
                <w:u w:val="none"/>
              </w:rPr>
            </w:pPr>
          </w:p>
        </w:tc>
      </w:tr>
      <w:tr w14:paraId="4440D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FEBBA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6225B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8BD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FE8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9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8D541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3C87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B0B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F8D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44"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4AF1583">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8"/>
                <w:szCs w:val="18"/>
                <w:u w:val="none"/>
              </w:rPr>
            </w:pPr>
          </w:p>
        </w:tc>
      </w:tr>
      <w:tr w14:paraId="2FF3B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BE708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DFE2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16F77">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iCs/>
                <w:color w:val="000000"/>
                <w:sz w:val="16"/>
                <w:szCs w:val="16"/>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510BB">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iCs/>
                <w:color w:val="000000"/>
                <w:sz w:val="16"/>
                <w:szCs w:val="16"/>
                <w:u w:val="none"/>
              </w:rPr>
            </w:pPr>
          </w:p>
        </w:tc>
        <w:tc>
          <w:tcPr>
            <w:tcW w:w="89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6B8416B">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iCs/>
                <w:color w:val="000000"/>
                <w:sz w:val="16"/>
                <w:szCs w:val="16"/>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B532E">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iCs/>
                <w:color w:val="000000"/>
                <w:sz w:val="16"/>
                <w:szCs w:val="16"/>
                <w:u w:val="none"/>
              </w:rPr>
            </w:pP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ABB4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0618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44"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DC80DA0">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8"/>
                <w:szCs w:val="18"/>
                <w:u w:val="none"/>
              </w:rPr>
            </w:pPr>
          </w:p>
        </w:tc>
      </w:tr>
      <w:tr w14:paraId="56CF1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8A15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E9FE0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6887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0EC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5E9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F1C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4FE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3C9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75C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3C2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968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1CD95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18064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49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7B67B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D28F5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25E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产业发展（个）</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99C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957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A97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A87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E704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A125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26B55">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iCs/>
                <w:color w:val="000000"/>
                <w:sz w:val="16"/>
                <w:szCs w:val="16"/>
                <w:u w:val="none"/>
              </w:rPr>
            </w:pPr>
          </w:p>
        </w:tc>
      </w:tr>
      <w:tr w14:paraId="3E640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B0462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49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87538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6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35E64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6F9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拓垦荒地整治（亩）</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C63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16FB5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27D7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亩</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EBE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487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7578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4687D">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iCs/>
                <w:color w:val="000000"/>
                <w:sz w:val="16"/>
                <w:szCs w:val="16"/>
                <w:u w:val="none"/>
              </w:rPr>
            </w:pPr>
          </w:p>
        </w:tc>
      </w:tr>
      <w:tr w14:paraId="3DF82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76F04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49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C62BE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6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A315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7A8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拓垦荒地整治完成率</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AB2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F48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EE6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0EF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C24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8AD0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CE973">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iCs/>
                <w:color w:val="000000"/>
                <w:sz w:val="16"/>
                <w:szCs w:val="16"/>
                <w:u w:val="none"/>
              </w:rPr>
            </w:pPr>
          </w:p>
        </w:tc>
      </w:tr>
      <w:tr w14:paraId="01293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4236E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49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0F926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6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4C30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9E7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任务完成时间</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B71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34A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84C1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379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0FD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851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E47D8">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iCs/>
                <w:color w:val="000000"/>
                <w:sz w:val="16"/>
                <w:szCs w:val="16"/>
                <w:u w:val="none"/>
              </w:rPr>
            </w:pPr>
          </w:p>
        </w:tc>
      </w:tr>
      <w:tr w14:paraId="48FE2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05C41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49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B69A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40B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C17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农民收入提高</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DB56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4819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0A20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9820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AA4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B025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63273">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iCs/>
                <w:color w:val="000000"/>
                <w:sz w:val="16"/>
                <w:szCs w:val="16"/>
                <w:u w:val="none"/>
              </w:rPr>
            </w:pPr>
          </w:p>
        </w:tc>
      </w:tr>
      <w:tr w14:paraId="30B14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2BC98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49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BD6DF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6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E51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E32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村陈地建设硬化面积</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BC7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E1D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B84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平方米</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73E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75A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874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B14C1">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iCs/>
                <w:color w:val="000000"/>
                <w:sz w:val="16"/>
                <w:szCs w:val="16"/>
                <w:u w:val="none"/>
              </w:rPr>
            </w:pPr>
          </w:p>
        </w:tc>
      </w:tr>
      <w:tr w14:paraId="592693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327DE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46029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6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4CA9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帮扶对象满意度指标</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5278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老百姓满意度</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85E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BF9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6FAD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81AF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C9F3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ECC2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F6C69">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iCs/>
                <w:color w:val="000000"/>
                <w:sz w:val="16"/>
                <w:szCs w:val="16"/>
                <w:u w:val="none"/>
              </w:rPr>
            </w:pPr>
          </w:p>
        </w:tc>
      </w:tr>
      <w:tr w14:paraId="397377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03543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49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2B09A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6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D5C3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F67E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生活补助</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12BB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7A8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2.64</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052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9B7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0.18</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0BA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724D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8CE2F">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iCs/>
                <w:color w:val="000000"/>
                <w:sz w:val="16"/>
                <w:szCs w:val="16"/>
                <w:u w:val="none"/>
              </w:rPr>
            </w:pPr>
          </w:p>
        </w:tc>
      </w:tr>
      <w:tr w14:paraId="65AAA2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B72A3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49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CCFB2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6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F36C3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58A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差旅费</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858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7C8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5308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47E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3.46</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E7C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81F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03F06">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iCs/>
                <w:color w:val="000000"/>
                <w:sz w:val="16"/>
                <w:szCs w:val="16"/>
                <w:u w:val="none"/>
              </w:rPr>
            </w:pPr>
          </w:p>
        </w:tc>
      </w:tr>
      <w:tr w14:paraId="2844E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5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C090D1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837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14E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98.5</w:t>
            </w:r>
          </w:p>
        </w:tc>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8B51A">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8"/>
                <w:szCs w:val="18"/>
                <w:u w:val="none"/>
              </w:rPr>
            </w:pPr>
          </w:p>
        </w:tc>
      </w:tr>
      <w:tr w14:paraId="6BEC7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4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CED5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52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1FAEF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该项目为帮扶工作队提供了保障。中心通过帮扶民主村撂荒地整治、发展种植、养殖产业，有效提高农户的收入。自评98.5分。</w:t>
            </w:r>
          </w:p>
        </w:tc>
      </w:tr>
      <w:tr w14:paraId="25C21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4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6875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52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FCAEE2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帮扶村发展集体经济等方法不多，经费保障渠道不多。</w:t>
            </w:r>
          </w:p>
        </w:tc>
      </w:tr>
      <w:tr w14:paraId="5A13D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4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05B3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52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6C453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建议提高乡村振兴支出保障水平，推动帮扶村经济发展再上新台阶。</w:t>
            </w:r>
          </w:p>
        </w:tc>
      </w:tr>
      <w:tr w14:paraId="30154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2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97D2E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项目负责人：肖明理</w:t>
            </w:r>
          </w:p>
        </w:tc>
        <w:tc>
          <w:tcPr>
            <w:tcW w:w="257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3BFF08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财务负责人：辜炯益</w:t>
            </w:r>
          </w:p>
        </w:tc>
      </w:tr>
    </w:tbl>
    <w:p w14:paraId="5560661C">
      <w:r>
        <w:br w:type="page"/>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56"/>
        <w:gridCol w:w="1417"/>
        <w:gridCol w:w="1708"/>
        <w:gridCol w:w="463"/>
        <w:gridCol w:w="1002"/>
        <w:gridCol w:w="465"/>
        <w:gridCol w:w="978"/>
        <w:gridCol w:w="486"/>
        <w:gridCol w:w="506"/>
        <w:gridCol w:w="2025"/>
      </w:tblGrid>
      <w:tr w14:paraId="3420C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50F2BC08">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val="0"/>
                <w:bCs w:val="0"/>
                <w:i w:val="0"/>
                <w:iCs w:val="0"/>
                <w:color w:val="000000"/>
                <w:kern w:val="0"/>
                <w:sz w:val="30"/>
                <w:szCs w:val="30"/>
                <w:u w:val="none"/>
                <w:lang w:val="en-US" w:eastAsia="zh-CN" w:bidi="ar"/>
              </w:rPr>
              <w:t>部门预算项目支出绩效自评表（2023年度）</w:t>
            </w:r>
          </w:p>
        </w:tc>
      </w:tr>
      <w:tr w14:paraId="22EE3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60C09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5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EF1B91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51080022Y000000267568-定额公用经费（事业）</w:t>
            </w:r>
          </w:p>
        </w:tc>
      </w:tr>
      <w:tr w14:paraId="12C338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0591E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8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2498AA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广元市市场监督管理局部门</w:t>
            </w:r>
          </w:p>
        </w:tc>
        <w:tc>
          <w:tcPr>
            <w:tcW w:w="461" w:type="pct"/>
            <w:tcBorders>
              <w:top w:val="nil"/>
              <w:left w:val="nil"/>
              <w:bottom w:val="nil"/>
              <w:right w:val="nil"/>
            </w:tcBorders>
            <w:shd w:val="clear" w:color="auto" w:fill="auto"/>
            <w:vAlign w:val="center"/>
          </w:tcPr>
          <w:p w14:paraId="157DA8DE">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40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B8638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广元市食品药品检验检测中心</w:t>
            </w:r>
          </w:p>
        </w:tc>
      </w:tr>
      <w:tr w14:paraId="71B76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110EF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8A5D1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8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224F5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86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45E63A8">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4AE46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FCA394">
            <w:pPr>
              <w:rPr>
                <w:rFonts w:hint="eastAsia" w:ascii="宋体" w:hAnsi="宋体" w:eastAsia="宋体" w:cs="宋体"/>
                <w:i w:val="0"/>
                <w:iCs w:val="0"/>
                <w:color w:val="000000"/>
                <w:sz w:val="18"/>
                <w:szCs w:val="18"/>
                <w:u w:val="none"/>
              </w:rPr>
            </w:pPr>
          </w:p>
        </w:tc>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EDD1FF">
            <w:pPr>
              <w:rPr>
                <w:rFonts w:hint="eastAsia" w:ascii="宋体" w:hAnsi="宋体" w:eastAsia="宋体" w:cs="宋体"/>
                <w:i w:val="0"/>
                <w:iCs w:val="0"/>
                <w:color w:val="000000"/>
                <w:sz w:val="18"/>
                <w:szCs w:val="18"/>
                <w:u w:val="none"/>
              </w:rPr>
            </w:pPr>
          </w:p>
        </w:tc>
        <w:tc>
          <w:tcPr>
            <w:tcW w:w="238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92421A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186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DF97D2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保障单位日常办公正常运转。</w:t>
            </w:r>
          </w:p>
        </w:tc>
      </w:tr>
      <w:tr w14:paraId="0E62D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374E78">
            <w:pP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6DC9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5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B13E59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“定额公用经费（事业）”项目由办公室负责组织实施，通过制定专项工作计划方案、确定工作目标、明确组织实施措施和策略，有效地指导工作的正常有序开展。</w:t>
            </w:r>
          </w:p>
        </w:tc>
      </w:tr>
      <w:tr w14:paraId="5A607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42AA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96B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3E7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928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C0FCE0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7F4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F2BB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388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A69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16C7A5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4C28AD">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E8E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BDA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76.50</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03F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76.50</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1A6D32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76.43</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1BD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99.90%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B60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7A0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51"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032B5D9F">
            <w:pPr>
              <w:keepNext w:val="0"/>
              <w:keepLines w:val="0"/>
              <w:widowControl/>
              <w:suppressLineNumbers w:val="0"/>
              <w:jc w:val="left"/>
              <w:textAlignment w:val="top"/>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14:paraId="5AA18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CB406D">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86C4C">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其中：</w:t>
            </w:r>
          </w:p>
          <w:p w14:paraId="291D30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财政资金</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B22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76.50</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FBD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76.50</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57B74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76.43</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C7B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99.90%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0F8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990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1"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B88C9D4">
            <w:pPr>
              <w:rPr>
                <w:rFonts w:hint="eastAsia" w:ascii="宋体" w:hAnsi="宋体" w:eastAsia="宋体" w:cs="宋体"/>
                <w:i w:val="0"/>
                <w:iCs w:val="0"/>
                <w:color w:val="000000"/>
                <w:sz w:val="18"/>
                <w:szCs w:val="18"/>
                <w:u w:val="none"/>
              </w:rPr>
            </w:pPr>
          </w:p>
        </w:tc>
      </w:tr>
      <w:tr w14:paraId="78426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99C01C">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C74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75A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315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43275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852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04D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F7E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1"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08BB6A9">
            <w:pPr>
              <w:rPr>
                <w:rFonts w:hint="eastAsia" w:ascii="宋体" w:hAnsi="宋体" w:eastAsia="宋体" w:cs="宋体"/>
                <w:i w:val="0"/>
                <w:iCs w:val="0"/>
                <w:color w:val="000000"/>
                <w:sz w:val="18"/>
                <w:szCs w:val="18"/>
                <w:u w:val="none"/>
              </w:rPr>
            </w:pPr>
          </w:p>
        </w:tc>
      </w:tr>
      <w:tr w14:paraId="3BB47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EC17EC">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BE8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0AC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075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C08DC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BBA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82C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1C6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1"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020D15F">
            <w:pPr>
              <w:rPr>
                <w:rFonts w:hint="eastAsia" w:ascii="宋体" w:hAnsi="宋体" w:eastAsia="宋体" w:cs="宋体"/>
                <w:i w:val="0"/>
                <w:iCs w:val="0"/>
                <w:color w:val="000000"/>
                <w:sz w:val="18"/>
                <w:szCs w:val="18"/>
                <w:u w:val="none"/>
              </w:rPr>
            </w:pPr>
          </w:p>
        </w:tc>
      </w:tr>
      <w:tr w14:paraId="08992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6F713D">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FF0A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68325">
            <w:pPr>
              <w:jc w:val="center"/>
              <w:rPr>
                <w:rFonts w:hint="eastAsia" w:ascii="微软雅黑" w:hAnsi="微软雅黑" w:eastAsia="微软雅黑" w:cs="微软雅黑"/>
                <w:i/>
                <w:iCs/>
                <w:color w:val="000000"/>
                <w:sz w:val="16"/>
                <w:szCs w:val="16"/>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239AD">
            <w:pPr>
              <w:jc w:val="center"/>
              <w:rPr>
                <w:rFonts w:hint="eastAsia" w:ascii="微软雅黑" w:hAnsi="微软雅黑" w:eastAsia="微软雅黑" w:cs="微软雅黑"/>
                <w:i/>
                <w:iCs/>
                <w:color w:val="000000"/>
                <w:sz w:val="16"/>
                <w:szCs w:val="16"/>
                <w:u w:val="none"/>
              </w:rPr>
            </w:pP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F295B68">
            <w:pPr>
              <w:jc w:val="center"/>
              <w:rPr>
                <w:rFonts w:hint="eastAsia" w:ascii="微软雅黑" w:hAnsi="微软雅黑" w:eastAsia="微软雅黑" w:cs="微软雅黑"/>
                <w:i/>
                <w:iCs/>
                <w:color w:val="000000"/>
                <w:sz w:val="16"/>
                <w:szCs w:val="16"/>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22051">
            <w:pPr>
              <w:jc w:val="center"/>
              <w:rPr>
                <w:rFonts w:hint="eastAsia" w:ascii="微软雅黑" w:hAnsi="微软雅黑" w:eastAsia="微软雅黑" w:cs="微软雅黑"/>
                <w:i/>
                <w:iCs/>
                <w:color w:val="000000"/>
                <w:sz w:val="16"/>
                <w:szCs w:val="16"/>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0AC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D0F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1"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1A686DF">
            <w:pPr>
              <w:rPr>
                <w:rFonts w:hint="eastAsia" w:ascii="宋体" w:hAnsi="宋体" w:eastAsia="宋体" w:cs="宋体"/>
                <w:i w:val="0"/>
                <w:iCs w:val="0"/>
                <w:color w:val="000000"/>
                <w:sz w:val="18"/>
                <w:szCs w:val="18"/>
                <w:u w:val="none"/>
              </w:rPr>
            </w:pPr>
          </w:p>
        </w:tc>
      </w:tr>
      <w:tr w14:paraId="68FF3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50C6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C69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3E7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6E3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437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1F3D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3B25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98A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6B3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EEE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853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4FD8C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BD79A5">
            <w:pPr>
              <w:jc w:val="center"/>
              <w:rPr>
                <w:rFonts w:hint="eastAsia" w:ascii="宋体" w:hAnsi="宋体" w:eastAsia="宋体" w:cs="宋体"/>
                <w:i w:val="0"/>
                <w:iCs w:val="0"/>
                <w:color w:val="000000"/>
                <w:sz w:val="18"/>
                <w:szCs w:val="18"/>
                <w:u w:val="none"/>
              </w:rPr>
            </w:pPr>
          </w:p>
        </w:tc>
        <w:tc>
          <w:tcPr>
            <w:tcW w:w="4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63AE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261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E70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317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021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50D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C07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4F57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078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2DD15">
            <w:pPr>
              <w:jc w:val="center"/>
              <w:rPr>
                <w:rFonts w:hint="eastAsia" w:ascii="微软雅黑" w:hAnsi="微软雅黑" w:eastAsia="微软雅黑" w:cs="微软雅黑"/>
                <w:i/>
                <w:iCs/>
                <w:color w:val="000000"/>
                <w:sz w:val="16"/>
                <w:szCs w:val="16"/>
                <w:u w:val="none"/>
              </w:rPr>
            </w:pPr>
          </w:p>
        </w:tc>
      </w:tr>
      <w:tr w14:paraId="5AC25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B688CB">
            <w:pPr>
              <w:jc w:val="center"/>
              <w:rPr>
                <w:rFonts w:hint="eastAsia" w:ascii="宋体" w:hAnsi="宋体" w:eastAsia="宋体" w:cs="宋体"/>
                <w:i w:val="0"/>
                <w:iCs w:val="0"/>
                <w:color w:val="000000"/>
                <w:sz w:val="18"/>
                <w:szCs w:val="18"/>
                <w:u w:val="none"/>
              </w:rPr>
            </w:pPr>
          </w:p>
        </w:tc>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0280D8">
            <w:pPr>
              <w:jc w:val="center"/>
              <w:rPr>
                <w:rFonts w:hint="eastAsia" w:ascii="宋体" w:hAnsi="宋体" w:eastAsia="宋体" w:cs="宋体"/>
                <w:i w:val="0"/>
                <w:iCs w:val="0"/>
                <w:color w:val="000000"/>
                <w:sz w:val="18"/>
                <w:szCs w:val="18"/>
                <w:u w:val="none"/>
              </w:rPr>
            </w:pP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736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3990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0FA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BC1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D7D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D23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0.09</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2D4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BEB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71DEA">
            <w:pPr>
              <w:jc w:val="center"/>
              <w:rPr>
                <w:rFonts w:hint="eastAsia" w:ascii="微软雅黑" w:hAnsi="微软雅黑" w:eastAsia="微软雅黑" w:cs="微软雅黑"/>
                <w:i/>
                <w:iCs/>
                <w:color w:val="000000"/>
                <w:sz w:val="16"/>
                <w:szCs w:val="16"/>
                <w:u w:val="none"/>
              </w:rPr>
            </w:pPr>
          </w:p>
        </w:tc>
      </w:tr>
      <w:tr w14:paraId="593EA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AF8D76">
            <w:pPr>
              <w:jc w:val="center"/>
              <w:rPr>
                <w:rFonts w:hint="eastAsia" w:ascii="宋体" w:hAnsi="宋体" w:eastAsia="宋体" w:cs="宋体"/>
                <w:i w:val="0"/>
                <w:iCs w:val="0"/>
                <w:color w:val="000000"/>
                <w:sz w:val="18"/>
                <w:szCs w:val="18"/>
                <w:u w:val="none"/>
              </w:rPr>
            </w:pPr>
          </w:p>
        </w:tc>
        <w:tc>
          <w:tcPr>
            <w:tcW w:w="4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3613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A783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774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514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CC5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6AA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B78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70.58</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E84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72D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02A8C">
            <w:pPr>
              <w:jc w:val="center"/>
              <w:rPr>
                <w:rFonts w:hint="eastAsia" w:ascii="微软雅黑" w:hAnsi="微软雅黑" w:eastAsia="微软雅黑" w:cs="微软雅黑"/>
                <w:i/>
                <w:iCs/>
                <w:color w:val="000000"/>
                <w:sz w:val="16"/>
                <w:szCs w:val="16"/>
                <w:u w:val="none"/>
              </w:rPr>
            </w:pPr>
          </w:p>
        </w:tc>
      </w:tr>
      <w:tr w14:paraId="4BE4D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AE4802">
            <w:pPr>
              <w:jc w:val="center"/>
              <w:rPr>
                <w:rFonts w:hint="eastAsia" w:ascii="宋体" w:hAnsi="宋体" w:eastAsia="宋体" w:cs="宋体"/>
                <w:i w:val="0"/>
                <w:iCs w:val="0"/>
                <w:color w:val="000000"/>
                <w:sz w:val="18"/>
                <w:szCs w:val="18"/>
                <w:u w:val="none"/>
              </w:rPr>
            </w:pPr>
          </w:p>
        </w:tc>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106928">
            <w:pPr>
              <w:jc w:val="center"/>
              <w:rPr>
                <w:rFonts w:hint="eastAsia" w:ascii="宋体" w:hAnsi="宋体" w:eastAsia="宋体" w:cs="宋体"/>
                <w:i w:val="0"/>
                <w:iCs w:val="0"/>
                <w:color w:val="000000"/>
                <w:sz w:val="18"/>
                <w:szCs w:val="18"/>
                <w:u w:val="none"/>
              </w:rPr>
            </w:pP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691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57A9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93F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2DF8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2C2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0E2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910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8B4D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97BD6">
            <w:pPr>
              <w:jc w:val="center"/>
              <w:rPr>
                <w:rFonts w:hint="eastAsia" w:ascii="微软雅黑" w:hAnsi="微软雅黑" w:eastAsia="微软雅黑" w:cs="微软雅黑"/>
                <w:i/>
                <w:iCs/>
                <w:color w:val="000000"/>
                <w:sz w:val="16"/>
                <w:szCs w:val="16"/>
                <w:u w:val="none"/>
              </w:rPr>
            </w:pPr>
          </w:p>
        </w:tc>
      </w:tr>
      <w:tr w14:paraId="5198B4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9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E7FB7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BDB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D16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C1B4E">
            <w:pPr>
              <w:rPr>
                <w:rFonts w:hint="eastAsia" w:ascii="宋体" w:hAnsi="宋体" w:eastAsia="宋体" w:cs="宋体"/>
                <w:i w:val="0"/>
                <w:iCs w:val="0"/>
                <w:color w:val="000000"/>
                <w:sz w:val="18"/>
                <w:szCs w:val="18"/>
                <w:u w:val="none"/>
              </w:rPr>
            </w:pPr>
          </w:p>
        </w:tc>
      </w:tr>
      <w:tr w14:paraId="4BF0A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0F9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4B6284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保障了单位正常办公运行支出，项目自评得分为100分。</w:t>
            </w:r>
          </w:p>
        </w:tc>
      </w:tr>
      <w:tr w14:paraId="67EC92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1AD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8C0C37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14:paraId="2DB71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41C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250087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14:paraId="4A617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C9055E9">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项目负责人：张慧萍</w:t>
            </w:r>
          </w:p>
        </w:tc>
        <w:tc>
          <w:tcPr>
            <w:tcW w:w="256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347A3BC">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财务负责人：辜炯益</w:t>
            </w:r>
          </w:p>
        </w:tc>
      </w:tr>
    </w:tbl>
    <w:p w14:paraId="4609312B">
      <w:r>
        <w:br w:type="page"/>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56"/>
        <w:gridCol w:w="1417"/>
        <w:gridCol w:w="1702"/>
        <w:gridCol w:w="465"/>
        <w:gridCol w:w="1002"/>
        <w:gridCol w:w="463"/>
        <w:gridCol w:w="978"/>
        <w:gridCol w:w="486"/>
        <w:gridCol w:w="506"/>
        <w:gridCol w:w="2031"/>
      </w:tblGrid>
      <w:tr w14:paraId="7FD59E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03AADBB3">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val="0"/>
                <w:bCs w:val="0"/>
                <w:i w:val="0"/>
                <w:iCs w:val="0"/>
                <w:color w:val="000000"/>
                <w:kern w:val="0"/>
                <w:sz w:val="30"/>
                <w:szCs w:val="30"/>
                <w:u w:val="none"/>
                <w:lang w:val="en-US" w:eastAsia="zh-CN" w:bidi="ar"/>
              </w:rPr>
              <w:t>部门预算项目支出绩效自评表（2023年度）</w:t>
            </w:r>
          </w:p>
        </w:tc>
      </w:tr>
      <w:tr w14:paraId="7F56D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96021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5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75513F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51080023R000009698970-单位年度考核奖</w:t>
            </w:r>
          </w:p>
        </w:tc>
      </w:tr>
      <w:tr w14:paraId="225EEF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23840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8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E4B5D7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广元市市场监督管理局部门</w:t>
            </w:r>
          </w:p>
        </w:tc>
        <w:tc>
          <w:tcPr>
            <w:tcW w:w="461" w:type="pct"/>
            <w:tcBorders>
              <w:top w:val="nil"/>
              <w:left w:val="nil"/>
              <w:bottom w:val="nil"/>
              <w:right w:val="nil"/>
            </w:tcBorders>
            <w:shd w:val="clear" w:color="auto" w:fill="auto"/>
            <w:vAlign w:val="center"/>
          </w:tcPr>
          <w:p w14:paraId="4011B69D">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4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7BB798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广元市食品药品检验检测中心</w:t>
            </w:r>
          </w:p>
        </w:tc>
      </w:tr>
      <w:tr w14:paraId="6E8D8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28210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478EC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8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DA1DE2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87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BC0FB58">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28F5CF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B8AAD8">
            <w:pPr>
              <w:rPr>
                <w:rFonts w:hint="eastAsia" w:ascii="宋体" w:hAnsi="宋体" w:eastAsia="宋体" w:cs="宋体"/>
                <w:i w:val="0"/>
                <w:iCs w:val="0"/>
                <w:color w:val="000000"/>
                <w:sz w:val="18"/>
                <w:szCs w:val="18"/>
                <w:u w:val="none"/>
              </w:rPr>
            </w:pPr>
          </w:p>
        </w:tc>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5A3553">
            <w:pPr>
              <w:rPr>
                <w:rFonts w:hint="eastAsia" w:ascii="宋体" w:hAnsi="宋体" w:eastAsia="宋体" w:cs="宋体"/>
                <w:i w:val="0"/>
                <w:iCs w:val="0"/>
                <w:color w:val="000000"/>
                <w:sz w:val="18"/>
                <w:szCs w:val="18"/>
                <w:u w:val="none"/>
              </w:rPr>
            </w:pPr>
          </w:p>
        </w:tc>
        <w:tc>
          <w:tcPr>
            <w:tcW w:w="238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71D897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87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2C8BA6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保障了单位在职职工绩效补助的足额发放。</w:t>
            </w:r>
          </w:p>
        </w:tc>
      </w:tr>
      <w:tr w14:paraId="397B31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540E49">
            <w:pP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9283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5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9B58A0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该项目由办公室负责组织实施，通过制定专项工作计划方案、确定工作目标、明确组织实施措施和策略，有效地指导工作的正常有序开展。</w:t>
            </w:r>
          </w:p>
        </w:tc>
      </w:tr>
      <w:tr w14:paraId="4DA9B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C774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4007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637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2B74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7BC77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5FF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D3B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4336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53" w:type="pct"/>
            <w:tcBorders>
              <w:top w:val="single" w:color="000000" w:sz="4" w:space="0"/>
              <w:left w:val="single" w:color="000000" w:sz="4" w:space="0"/>
              <w:bottom w:val="nil"/>
              <w:right w:val="single" w:color="000000" w:sz="4" w:space="0"/>
            </w:tcBorders>
            <w:shd w:val="clear" w:color="auto" w:fill="auto"/>
            <w:vAlign w:val="center"/>
          </w:tcPr>
          <w:p w14:paraId="67028E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79F02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60FCDA">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EB7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E78D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DAB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37.00</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CAAE2F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37.00</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4FD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26E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41" w:type="pct"/>
            <w:tcBorders>
              <w:top w:val="single" w:color="000000" w:sz="4" w:space="0"/>
              <w:left w:val="single" w:color="000000" w:sz="4" w:space="0"/>
              <w:bottom w:val="single" w:color="000000" w:sz="4" w:space="0"/>
              <w:right w:val="nil"/>
            </w:tcBorders>
            <w:shd w:val="clear" w:color="auto" w:fill="auto"/>
            <w:vAlign w:val="center"/>
          </w:tcPr>
          <w:p w14:paraId="6527B5D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53"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254E84FD">
            <w:pPr>
              <w:keepNext w:val="0"/>
              <w:keepLines w:val="0"/>
              <w:widowControl/>
              <w:suppressLineNumbers w:val="0"/>
              <w:jc w:val="left"/>
              <w:textAlignment w:val="top"/>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调整追加预算37.00万元，主要是由于追加绩效奖补助。</w:t>
            </w:r>
          </w:p>
        </w:tc>
      </w:tr>
      <w:tr w14:paraId="55C3E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8A1C86">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F6F8A">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其中：</w:t>
            </w:r>
          </w:p>
          <w:p w14:paraId="3DD725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财政资金</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8FD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66B9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37.00</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6D407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37.00</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62E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E2C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nil"/>
            </w:tcBorders>
            <w:shd w:val="clear" w:color="auto" w:fill="auto"/>
            <w:vAlign w:val="center"/>
          </w:tcPr>
          <w:p w14:paraId="6A3BA9F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90C94AB">
            <w:pPr>
              <w:jc w:val="left"/>
              <w:rPr>
                <w:rFonts w:hint="eastAsia" w:ascii="宋体" w:hAnsi="宋体" w:eastAsia="宋体" w:cs="宋体"/>
                <w:i w:val="0"/>
                <w:iCs w:val="0"/>
                <w:color w:val="000000"/>
                <w:sz w:val="18"/>
                <w:szCs w:val="18"/>
                <w:u w:val="none"/>
              </w:rPr>
            </w:pPr>
          </w:p>
        </w:tc>
      </w:tr>
      <w:tr w14:paraId="4E341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B2E3E5">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151E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DE5D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EEF8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12999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F4C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2F2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nil"/>
            </w:tcBorders>
            <w:shd w:val="clear" w:color="auto" w:fill="auto"/>
            <w:vAlign w:val="center"/>
          </w:tcPr>
          <w:p w14:paraId="14FC42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D60F969">
            <w:pPr>
              <w:jc w:val="left"/>
              <w:rPr>
                <w:rFonts w:hint="eastAsia" w:ascii="宋体" w:hAnsi="宋体" w:eastAsia="宋体" w:cs="宋体"/>
                <w:i w:val="0"/>
                <w:iCs w:val="0"/>
                <w:color w:val="000000"/>
                <w:sz w:val="18"/>
                <w:szCs w:val="18"/>
                <w:u w:val="none"/>
              </w:rPr>
            </w:pPr>
          </w:p>
        </w:tc>
      </w:tr>
      <w:tr w14:paraId="717E8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51C029">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6B7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1FE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774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C13F8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F12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D3E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nil"/>
            </w:tcBorders>
            <w:shd w:val="clear" w:color="auto" w:fill="auto"/>
            <w:vAlign w:val="center"/>
          </w:tcPr>
          <w:p w14:paraId="643DA9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1301921">
            <w:pPr>
              <w:jc w:val="left"/>
              <w:rPr>
                <w:rFonts w:hint="eastAsia" w:ascii="宋体" w:hAnsi="宋体" w:eastAsia="宋体" w:cs="宋体"/>
                <w:i w:val="0"/>
                <w:iCs w:val="0"/>
                <w:color w:val="000000"/>
                <w:sz w:val="18"/>
                <w:szCs w:val="18"/>
                <w:u w:val="none"/>
              </w:rPr>
            </w:pPr>
          </w:p>
        </w:tc>
      </w:tr>
      <w:tr w14:paraId="1FF01A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85D0AB">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21D67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2567C">
            <w:pPr>
              <w:jc w:val="center"/>
              <w:rPr>
                <w:rFonts w:hint="eastAsia" w:ascii="微软雅黑" w:hAnsi="微软雅黑" w:eastAsia="微软雅黑" w:cs="微软雅黑"/>
                <w:i/>
                <w:iCs/>
                <w:color w:val="000000"/>
                <w:sz w:val="16"/>
                <w:szCs w:val="16"/>
                <w:u w:val="none"/>
              </w:rPr>
            </w:pP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AA2B9">
            <w:pPr>
              <w:jc w:val="center"/>
              <w:rPr>
                <w:rFonts w:hint="eastAsia" w:ascii="微软雅黑" w:hAnsi="微软雅黑" w:eastAsia="微软雅黑" w:cs="微软雅黑"/>
                <w:i/>
                <w:iCs/>
                <w:color w:val="000000"/>
                <w:sz w:val="16"/>
                <w:szCs w:val="16"/>
                <w:u w:val="none"/>
              </w:rPr>
            </w:pP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53DD42">
            <w:pPr>
              <w:jc w:val="center"/>
              <w:rPr>
                <w:rFonts w:hint="eastAsia" w:ascii="微软雅黑" w:hAnsi="微软雅黑" w:eastAsia="微软雅黑" w:cs="微软雅黑"/>
                <w:i/>
                <w:iCs/>
                <w:color w:val="000000"/>
                <w:sz w:val="16"/>
                <w:szCs w:val="16"/>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4926F">
            <w:pPr>
              <w:jc w:val="center"/>
              <w:rPr>
                <w:rFonts w:hint="eastAsia" w:ascii="微软雅黑" w:hAnsi="微软雅黑" w:eastAsia="微软雅黑" w:cs="微软雅黑"/>
                <w:i/>
                <w:iCs/>
                <w:color w:val="000000"/>
                <w:sz w:val="16"/>
                <w:szCs w:val="16"/>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179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nil"/>
            </w:tcBorders>
            <w:shd w:val="clear" w:color="auto" w:fill="auto"/>
            <w:vAlign w:val="center"/>
          </w:tcPr>
          <w:p w14:paraId="67B44D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D19F099">
            <w:pPr>
              <w:jc w:val="left"/>
              <w:rPr>
                <w:rFonts w:hint="eastAsia" w:ascii="宋体" w:hAnsi="宋体" w:eastAsia="宋体" w:cs="宋体"/>
                <w:i w:val="0"/>
                <w:iCs w:val="0"/>
                <w:color w:val="000000"/>
                <w:sz w:val="18"/>
                <w:szCs w:val="18"/>
                <w:u w:val="none"/>
              </w:rPr>
            </w:pPr>
          </w:p>
        </w:tc>
      </w:tr>
      <w:tr w14:paraId="1F382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A86A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A2E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4570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B5C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FA0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9211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D6A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9A6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FA9E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F82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53" w:type="pct"/>
            <w:tcBorders>
              <w:top w:val="nil"/>
              <w:left w:val="single" w:color="000000" w:sz="4" w:space="0"/>
              <w:bottom w:val="single" w:color="000000" w:sz="4" w:space="0"/>
              <w:right w:val="single" w:color="000000" w:sz="4" w:space="0"/>
            </w:tcBorders>
            <w:shd w:val="clear" w:color="auto" w:fill="auto"/>
            <w:vAlign w:val="center"/>
          </w:tcPr>
          <w:p w14:paraId="30FE52E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659CC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066FD5">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F0CB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685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5CB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D9C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C23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501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83E4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9D2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2C8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3F275">
            <w:pPr>
              <w:jc w:val="center"/>
              <w:rPr>
                <w:rFonts w:hint="eastAsia" w:ascii="微软雅黑" w:hAnsi="微软雅黑" w:eastAsia="微软雅黑" w:cs="微软雅黑"/>
                <w:i/>
                <w:iCs/>
                <w:color w:val="000000"/>
                <w:sz w:val="16"/>
                <w:szCs w:val="16"/>
                <w:u w:val="none"/>
              </w:rPr>
            </w:pPr>
          </w:p>
        </w:tc>
      </w:tr>
      <w:tr w14:paraId="3FCB0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625FA0">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46B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022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DAC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7DE8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934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3285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CDC0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130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18A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0413E">
            <w:pPr>
              <w:jc w:val="center"/>
              <w:rPr>
                <w:rFonts w:hint="eastAsia" w:ascii="微软雅黑" w:hAnsi="微软雅黑" w:eastAsia="微软雅黑" w:cs="微软雅黑"/>
                <w:i/>
                <w:iCs/>
                <w:color w:val="000000"/>
                <w:sz w:val="16"/>
                <w:szCs w:val="16"/>
                <w:u w:val="none"/>
              </w:rPr>
            </w:pPr>
          </w:p>
        </w:tc>
      </w:tr>
      <w:tr w14:paraId="64891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9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217E7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CDF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74F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228AE">
            <w:pPr>
              <w:rPr>
                <w:rFonts w:hint="eastAsia" w:ascii="宋体" w:hAnsi="宋体" w:eastAsia="宋体" w:cs="宋体"/>
                <w:i w:val="0"/>
                <w:iCs w:val="0"/>
                <w:color w:val="000000"/>
                <w:sz w:val="18"/>
                <w:szCs w:val="18"/>
                <w:u w:val="none"/>
              </w:rPr>
            </w:pPr>
          </w:p>
        </w:tc>
      </w:tr>
      <w:tr w14:paraId="5FC63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F65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6E58DD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保障了单位在职职工绩效奖助的足额发放，项目自评得分为100分。</w:t>
            </w:r>
          </w:p>
        </w:tc>
      </w:tr>
      <w:tr w14:paraId="669902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DF1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58E56E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14:paraId="0FF7F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DFB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B187FE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14:paraId="4C8E4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3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03329E5">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项目负责人：张慧萍</w:t>
            </w:r>
          </w:p>
        </w:tc>
        <w:tc>
          <w:tcPr>
            <w:tcW w:w="256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FF273E6">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财务负责人：辜炯益</w:t>
            </w:r>
          </w:p>
        </w:tc>
      </w:tr>
    </w:tbl>
    <w:p w14:paraId="3D22917B">
      <w:r>
        <w:br w:type="page"/>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413"/>
        <w:gridCol w:w="638"/>
        <w:gridCol w:w="1414"/>
        <w:gridCol w:w="1696"/>
        <w:gridCol w:w="474"/>
        <w:gridCol w:w="1002"/>
        <w:gridCol w:w="464"/>
        <w:gridCol w:w="981"/>
        <w:gridCol w:w="486"/>
        <w:gridCol w:w="502"/>
        <w:gridCol w:w="2036"/>
      </w:tblGrid>
      <w:tr w14:paraId="4F076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3F06F587">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val="0"/>
                <w:bCs w:val="0"/>
                <w:i w:val="0"/>
                <w:iCs w:val="0"/>
                <w:color w:val="000000"/>
                <w:kern w:val="0"/>
                <w:sz w:val="30"/>
                <w:szCs w:val="30"/>
                <w:u w:val="none"/>
                <w:lang w:val="en-US" w:eastAsia="zh-CN" w:bidi="ar"/>
              </w:rPr>
              <w:t>部门预算项目支出绩效自评表（2023年度）</w:t>
            </w:r>
          </w:p>
        </w:tc>
      </w:tr>
      <w:tr w14:paraId="447602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288288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3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2E22F27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51080023T000008525306-引进人才工作补助（代管资金）</w:t>
            </w:r>
          </w:p>
        </w:tc>
      </w:tr>
      <w:tr w14:paraId="74001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7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19116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2AF501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广元市市场监督管理局部门</w:t>
            </w:r>
          </w:p>
        </w:tc>
        <w:tc>
          <w:tcPr>
            <w:tcW w:w="459" w:type="pct"/>
            <w:tcBorders>
              <w:top w:val="nil"/>
              <w:left w:val="nil"/>
              <w:bottom w:val="nil"/>
              <w:right w:val="nil"/>
            </w:tcBorders>
            <w:shd w:val="clear" w:color="auto" w:fill="auto"/>
            <w:vAlign w:val="center"/>
          </w:tcPr>
          <w:p w14:paraId="5C6DF41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41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31044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广元市食品药品检验检测中心</w:t>
            </w:r>
          </w:p>
        </w:tc>
      </w:tr>
      <w:tr w14:paraId="72EE1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0F50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9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87804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4F0C73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87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A9E3C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157AC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F1A06E">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8"/>
                <w:szCs w:val="18"/>
                <w:u w:val="none"/>
              </w:rPr>
            </w:pPr>
          </w:p>
        </w:tc>
        <w:tc>
          <w:tcPr>
            <w:tcW w:w="49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C1E89C">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8"/>
                <w:szCs w:val="18"/>
                <w:u w:val="none"/>
              </w:rPr>
            </w:pPr>
          </w:p>
        </w:tc>
        <w:tc>
          <w:tcPr>
            <w:tcW w:w="23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2EE325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本项目的主要内容是财政代管资金，该经费为待发放的引进高层次人才工作补助，补助标准按照广财行[2019]33号文《广元市财政局关于下达第二批回引人才安家补助和工作补助经费的通知》。</w:t>
            </w:r>
          </w:p>
        </w:tc>
        <w:tc>
          <w:tcPr>
            <w:tcW w:w="187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108280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保障1名引进人才的工作补助足额发放。</w:t>
            </w:r>
          </w:p>
        </w:tc>
      </w:tr>
      <w:tr w14:paraId="5070E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9D2099">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8"/>
                <w:szCs w:val="18"/>
                <w:u w:val="none"/>
              </w:rPr>
            </w:pPr>
          </w:p>
        </w:tc>
        <w:tc>
          <w:tcPr>
            <w:tcW w:w="4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F330D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3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B2C3B4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该项目由办公室负责组织实施，通过制定专项工作计划方案、确定工作目标、明确组织实施措施和策略，有效地指导工作的正常有序开展。</w:t>
            </w:r>
          </w:p>
        </w:tc>
      </w:tr>
      <w:tr w14:paraId="06086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1A39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165E4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F14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2611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0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86DC7E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D59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A4F3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44E0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51" w:type="pct"/>
            <w:tcBorders>
              <w:top w:val="single" w:color="000000" w:sz="4" w:space="0"/>
              <w:left w:val="single" w:color="000000" w:sz="4" w:space="0"/>
              <w:bottom w:val="nil"/>
              <w:right w:val="single" w:color="000000" w:sz="4" w:space="0"/>
            </w:tcBorders>
            <w:shd w:val="clear" w:color="auto" w:fill="auto"/>
            <w:vAlign w:val="center"/>
          </w:tcPr>
          <w:p w14:paraId="7B6C6A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4328F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EF3BA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4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62BB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970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0.80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972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0.80</w:t>
            </w:r>
          </w:p>
        </w:tc>
        <w:tc>
          <w:tcPr>
            <w:tcW w:w="90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8C2F55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0.60</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7F08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75.00%</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9E0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5" w:type="pct"/>
            <w:tcBorders>
              <w:top w:val="single" w:color="000000" w:sz="4" w:space="0"/>
              <w:left w:val="single" w:color="000000" w:sz="4" w:space="0"/>
              <w:bottom w:val="single" w:color="000000" w:sz="4" w:space="0"/>
              <w:right w:val="nil"/>
            </w:tcBorders>
            <w:shd w:val="clear" w:color="auto" w:fill="auto"/>
            <w:vAlign w:val="center"/>
          </w:tcPr>
          <w:p w14:paraId="436CAE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51"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548DD6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top"/>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引进人才工作补助1人每月0.05万元，已发放本年度0.6万元，未发放金额为2024年1-4月份工作补助。</w:t>
            </w:r>
          </w:p>
        </w:tc>
      </w:tr>
      <w:tr w14:paraId="7276C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EB18C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4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4D09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其中：</w:t>
            </w:r>
          </w:p>
          <w:p w14:paraId="15AF97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财政资金</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7B72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78D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0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95021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3430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F73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5" w:type="pct"/>
            <w:tcBorders>
              <w:top w:val="single" w:color="000000" w:sz="4" w:space="0"/>
              <w:left w:val="single" w:color="000000" w:sz="4" w:space="0"/>
              <w:bottom w:val="single" w:color="000000" w:sz="4" w:space="0"/>
              <w:right w:val="nil"/>
            </w:tcBorders>
            <w:shd w:val="clear" w:color="auto" w:fill="auto"/>
            <w:vAlign w:val="center"/>
          </w:tcPr>
          <w:p w14:paraId="0FF47A7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1"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CFB2068">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18"/>
                <w:szCs w:val="18"/>
                <w:u w:val="none"/>
              </w:rPr>
            </w:pPr>
          </w:p>
        </w:tc>
      </w:tr>
      <w:tr w14:paraId="55167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50199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4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BE5CE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61F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716C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0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0FF018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6F46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DD7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5" w:type="pct"/>
            <w:tcBorders>
              <w:top w:val="single" w:color="000000" w:sz="4" w:space="0"/>
              <w:left w:val="single" w:color="000000" w:sz="4" w:space="0"/>
              <w:bottom w:val="single" w:color="000000" w:sz="4" w:space="0"/>
              <w:right w:val="nil"/>
            </w:tcBorders>
            <w:shd w:val="clear" w:color="auto" w:fill="auto"/>
            <w:vAlign w:val="center"/>
          </w:tcPr>
          <w:p w14:paraId="1CAFED8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1"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29B8C2E">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18"/>
                <w:szCs w:val="18"/>
                <w:u w:val="none"/>
              </w:rPr>
            </w:pPr>
          </w:p>
        </w:tc>
      </w:tr>
      <w:tr w14:paraId="59006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04802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4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CBC9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751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0.80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BE26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0.80</w:t>
            </w:r>
          </w:p>
        </w:tc>
        <w:tc>
          <w:tcPr>
            <w:tcW w:w="90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D382C2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0.60</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3A7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75.00%</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EF2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5" w:type="pct"/>
            <w:tcBorders>
              <w:top w:val="single" w:color="000000" w:sz="4" w:space="0"/>
              <w:left w:val="single" w:color="000000" w:sz="4" w:space="0"/>
              <w:bottom w:val="single" w:color="000000" w:sz="4" w:space="0"/>
              <w:right w:val="nil"/>
            </w:tcBorders>
            <w:shd w:val="clear" w:color="auto" w:fill="auto"/>
            <w:vAlign w:val="center"/>
          </w:tcPr>
          <w:p w14:paraId="066458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1"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0A882BE">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18"/>
                <w:szCs w:val="18"/>
                <w:u w:val="none"/>
              </w:rPr>
            </w:pPr>
          </w:p>
        </w:tc>
      </w:tr>
      <w:tr w14:paraId="71D62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A7AFE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4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5ED00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686EE">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iCs/>
                <w:color w:val="000000"/>
                <w:sz w:val="16"/>
                <w:szCs w:val="16"/>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C7608">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iCs/>
                <w:color w:val="000000"/>
                <w:sz w:val="16"/>
                <w:szCs w:val="16"/>
                <w:u w:val="none"/>
              </w:rPr>
            </w:pPr>
          </w:p>
        </w:tc>
        <w:tc>
          <w:tcPr>
            <w:tcW w:w="90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44EA226">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iCs/>
                <w:color w:val="000000"/>
                <w:sz w:val="16"/>
                <w:szCs w:val="16"/>
                <w:u w:val="none"/>
              </w:rPr>
            </w:pP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4E225">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iCs/>
                <w:color w:val="000000"/>
                <w:sz w:val="16"/>
                <w:szCs w:val="16"/>
                <w:u w:val="none"/>
              </w:rPr>
            </w:pP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194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5" w:type="pct"/>
            <w:tcBorders>
              <w:top w:val="single" w:color="000000" w:sz="4" w:space="0"/>
              <w:left w:val="single" w:color="000000" w:sz="4" w:space="0"/>
              <w:bottom w:val="single" w:color="000000" w:sz="4" w:space="0"/>
              <w:right w:val="nil"/>
            </w:tcBorders>
            <w:shd w:val="clear" w:color="auto" w:fill="auto"/>
            <w:vAlign w:val="center"/>
          </w:tcPr>
          <w:p w14:paraId="71B8B3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1"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21CC7A8">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18"/>
                <w:szCs w:val="18"/>
                <w:u w:val="none"/>
              </w:rPr>
            </w:pPr>
          </w:p>
        </w:tc>
      </w:tr>
      <w:tr w14:paraId="5D036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D1B9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86560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CF0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F62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86B0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ACE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2B3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2AD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3B63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1ED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51" w:type="pct"/>
            <w:tcBorders>
              <w:top w:val="nil"/>
              <w:left w:val="single" w:color="000000" w:sz="4" w:space="0"/>
              <w:bottom w:val="single" w:color="000000" w:sz="4" w:space="0"/>
              <w:right w:val="single" w:color="000000" w:sz="4" w:space="0"/>
            </w:tcBorders>
            <w:shd w:val="clear" w:color="auto" w:fill="auto"/>
            <w:vAlign w:val="center"/>
          </w:tcPr>
          <w:p w14:paraId="75D45F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62AFF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72736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49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6A49A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01B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FBF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引进高层次人才工作补助/月</w:t>
            </w:r>
          </w:p>
        </w:tc>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040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43E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0.05</w:t>
            </w:r>
          </w:p>
        </w:tc>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EAA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3F32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0.05</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630F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15A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EE3AA">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iCs/>
                <w:color w:val="000000"/>
                <w:sz w:val="16"/>
                <w:szCs w:val="16"/>
                <w:u w:val="none"/>
              </w:rPr>
            </w:pPr>
          </w:p>
        </w:tc>
      </w:tr>
      <w:tr w14:paraId="6CB85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D9A00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49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EF819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4740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EAF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财政代管资金及时支付完成率</w:t>
            </w:r>
          </w:p>
        </w:tc>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9B93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F55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82A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B46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D53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EC5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609E9">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iCs/>
                <w:color w:val="000000"/>
                <w:sz w:val="16"/>
                <w:szCs w:val="16"/>
                <w:u w:val="none"/>
              </w:rPr>
            </w:pPr>
          </w:p>
        </w:tc>
      </w:tr>
      <w:tr w14:paraId="26401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8C094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49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892BB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EBC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584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任务完成时间</w:t>
            </w:r>
          </w:p>
        </w:tc>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045E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575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E780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659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0EF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1358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55CDE">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iCs/>
                <w:color w:val="000000"/>
                <w:sz w:val="16"/>
                <w:szCs w:val="16"/>
                <w:u w:val="none"/>
              </w:rPr>
            </w:pPr>
          </w:p>
        </w:tc>
      </w:tr>
      <w:tr w14:paraId="432D7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5CB7E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49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6005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7F7A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7D5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营造尊重人才环境，为引进人才提供保障</w:t>
            </w:r>
          </w:p>
        </w:tc>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1494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8C29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促进单位工作水平提高</w:t>
            </w:r>
          </w:p>
        </w:tc>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EFAF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FBA2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促进单位工作水平提高</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EA69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50E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21113">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iCs/>
                <w:color w:val="000000"/>
                <w:sz w:val="16"/>
                <w:szCs w:val="16"/>
                <w:u w:val="none"/>
              </w:rPr>
            </w:pPr>
          </w:p>
        </w:tc>
      </w:tr>
      <w:tr w14:paraId="5BBC6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8B89F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49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4F5CC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AE0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6547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为高层次人才提供必要的经费保障</w:t>
            </w:r>
          </w:p>
        </w:tc>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6D75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EF1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提高引进人才的认可度</w:t>
            </w:r>
          </w:p>
        </w:tc>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005C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EEF0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提高引进人才的认可度</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29D5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AD0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A9284">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iCs/>
                <w:color w:val="000000"/>
                <w:sz w:val="16"/>
                <w:szCs w:val="16"/>
                <w:u w:val="none"/>
              </w:rPr>
            </w:pPr>
          </w:p>
        </w:tc>
      </w:tr>
      <w:tr w14:paraId="1D0B0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73F8D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4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27A73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4422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254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职工对资金支付的满意度</w:t>
            </w:r>
          </w:p>
        </w:tc>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9B7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DA3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E78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D96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AA6B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A201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1FCBF">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iCs/>
                <w:color w:val="000000"/>
                <w:sz w:val="16"/>
                <w:szCs w:val="16"/>
                <w:u w:val="none"/>
              </w:rPr>
            </w:pPr>
          </w:p>
        </w:tc>
      </w:tr>
      <w:tr w14:paraId="31032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E71D0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4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B50F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337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13D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津贴补贴</w:t>
            </w:r>
          </w:p>
        </w:tc>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D19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0BA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0.8</w:t>
            </w:r>
          </w:p>
        </w:tc>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718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E8B7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396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1CD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4B1E0">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iCs/>
                <w:color w:val="000000"/>
                <w:sz w:val="16"/>
                <w:szCs w:val="16"/>
                <w:u w:val="none"/>
              </w:rPr>
            </w:pPr>
          </w:p>
        </w:tc>
      </w:tr>
      <w:tr w14:paraId="298F65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85"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06D99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A01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0F1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615F0">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8"/>
                <w:szCs w:val="18"/>
                <w:u w:val="none"/>
              </w:rPr>
            </w:pPr>
          </w:p>
        </w:tc>
      </w:tr>
      <w:tr w14:paraId="6C1CF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trPr>
        <w:tc>
          <w:tcPr>
            <w:tcW w:w="4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FEE8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53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7860B3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保障1名引进人才的工作补助足额发放，自评得分为100分。</w:t>
            </w:r>
          </w:p>
        </w:tc>
      </w:tr>
      <w:tr w14:paraId="1C800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4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B06C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53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95CEEB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14:paraId="2EB5FC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4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FD4C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53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6BD414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14:paraId="6CE44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4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23486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项目负责人：张慧萍</w:t>
            </w:r>
          </w:p>
        </w:tc>
        <w:tc>
          <w:tcPr>
            <w:tcW w:w="255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8F95B8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财务负责人：辜炯益</w:t>
            </w:r>
          </w:p>
        </w:tc>
      </w:tr>
    </w:tbl>
    <w:p w14:paraId="1AB883F5">
      <w:r>
        <w:br w:type="page"/>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28" w:type="dxa"/>
          <w:bottom w:w="0" w:type="dxa"/>
          <w:right w:w="28" w:type="dxa"/>
        </w:tblCellMar>
      </w:tblPr>
      <w:tblGrid>
        <w:gridCol w:w="511"/>
        <w:gridCol w:w="324"/>
        <w:gridCol w:w="728"/>
        <w:gridCol w:w="1406"/>
        <w:gridCol w:w="1684"/>
        <w:gridCol w:w="467"/>
        <w:gridCol w:w="993"/>
        <w:gridCol w:w="469"/>
        <w:gridCol w:w="979"/>
        <w:gridCol w:w="448"/>
        <w:gridCol w:w="507"/>
        <w:gridCol w:w="2006"/>
      </w:tblGrid>
      <w:tr w14:paraId="42B92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8" w:type="dxa"/>
            <w:bottom w:w="0" w:type="dxa"/>
            <w:right w:w="28" w:type="dxa"/>
          </w:tblCellMar>
        </w:tblPrEx>
        <w:trPr>
          <w:trHeight w:val="850"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3E2B5012">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val="0"/>
                <w:bCs w:val="0"/>
                <w:i w:val="0"/>
                <w:iCs w:val="0"/>
                <w:color w:val="000000"/>
                <w:kern w:val="0"/>
                <w:sz w:val="30"/>
                <w:szCs w:val="30"/>
                <w:u w:val="none"/>
                <w:lang w:val="en-US" w:eastAsia="zh-CN" w:bidi="ar"/>
              </w:rPr>
              <w:t>部门预算项目支出绩效自评表（2023年度）</w:t>
            </w:r>
          </w:p>
        </w:tc>
      </w:tr>
      <w:tr w14:paraId="08498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286" w:hRule="atLeast"/>
        </w:trPr>
        <w:tc>
          <w:tcPr>
            <w:tcW w:w="74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6B7FE2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5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8770A4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51080023T000008755864-药品监管应急资金</w:t>
            </w:r>
          </w:p>
        </w:tc>
      </w:tr>
      <w:tr w14:paraId="7CD36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512" w:hRule="atLeast"/>
        </w:trPr>
        <w:tc>
          <w:tcPr>
            <w:tcW w:w="74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81DE3D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8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59F9F4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广元市市场监督管理局部门</w:t>
            </w:r>
          </w:p>
        </w:tc>
        <w:tc>
          <w:tcPr>
            <w:tcW w:w="462" w:type="pct"/>
            <w:tcBorders>
              <w:top w:val="nil"/>
              <w:left w:val="nil"/>
              <w:bottom w:val="nil"/>
              <w:right w:val="nil"/>
            </w:tcBorders>
            <w:shd w:val="clear" w:color="auto" w:fill="auto"/>
            <w:vAlign w:val="center"/>
          </w:tcPr>
          <w:p w14:paraId="5F77E91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40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A3948E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广元市食品药品检验检测中心</w:t>
            </w:r>
          </w:p>
        </w:tc>
      </w:tr>
      <w:tr w14:paraId="0E749D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286" w:hRule="atLeast"/>
        </w:trPr>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E77FE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9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732EB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8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D920A5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87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8B903D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6CB82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708"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8A624A">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18"/>
                <w:szCs w:val="18"/>
                <w:u w:val="none"/>
              </w:rPr>
            </w:pPr>
          </w:p>
        </w:tc>
        <w:tc>
          <w:tcPr>
            <w:tcW w:w="49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DDA06E">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18"/>
                <w:szCs w:val="18"/>
                <w:u w:val="none"/>
              </w:rPr>
            </w:pPr>
          </w:p>
        </w:tc>
        <w:tc>
          <w:tcPr>
            <w:tcW w:w="238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2DA028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通过该项目的实施，全面完成省市局下达的检验目标任务，推进单位检验能力整体提升。</w:t>
            </w:r>
          </w:p>
        </w:tc>
        <w:tc>
          <w:tcPr>
            <w:tcW w:w="187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B155BE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2023年，我单位完成省市局下达的检验目标任务，推进单位检验能力整体提升。</w:t>
            </w:r>
          </w:p>
        </w:tc>
      </w:tr>
      <w:tr w14:paraId="64A43C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693"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A6AB74">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18"/>
                <w:szCs w:val="18"/>
                <w:u w:val="none"/>
              </w:rPr>
            </w:pP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2EEB4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5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7BD5F4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由中心药品分管领导负责实施，具体抽检工作由中心药品业务科牵头，相关科室配合落实。抽检工作按照《药品质量监督抽验管理规定》及《四川省药品抽验工作绩效考核标准》（2023年）、中心制定的《抽检实施细则》、项目绩效目标要求，药品业务科抽样和支付购样费、样品登记管理、检测科室开展检测、药品业务科出具报告和汇总上报抽检情况。</w:t>
            </w:r>
          </w:p>
        </w:tc>
      </w:tr>
      <w:tr w14:paraId="75495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361" w:hRule="atLeast"/>
        </w:trPr>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70E89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F82AA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4696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4468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1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71D01F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AA32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4AA1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F7BF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53" w:type="pct"/>
            <w:tcBorders>
              <w:top w:val="single" w:color="000000" w:sz="4" w:space="0"/>
              <w:left w:val="single" w:color="000000" w:sz="4" w:space="0"/>
              <w:bottom w:val="nil"/>
              <w:right w:val="single" w:color="000000" w:sz="4" w:space="0"/>
            </w:tcBorders>
            <w:shd w:val="clear" w:color="auto" w:fill="auto"/>
            <w:vAlign w:val="center"/>
          </w:tcPr>
          <w:p w14:paraId="2638403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59827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346"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BC8171">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68EE7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77AE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5A85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w:t>
            </w:r>
          </w:p>
        </w:tc>
        <w:tc>
          <w:tcPr>
            <w:tcW w:w="91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BAC4DF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3.98</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D9B6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99.50%</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8A09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41" w:type="pct"/>
            <w:tcBorders>
              <w:top w:val="single" w:color="000000" w:sz="4" w:space="0"/>
              <w:left w:val="single" w:color="000000" w:sz="4" w:space="0"/>
              <w:bottom w:val="single" w:color="000000" w:sz="4" w:space="0"/>
              <w:right w:val="nil"/>
            </w:tcBorders>
            <w:shd w:val="clear" w:color="auto" w:fill="auto"/>
            <w:vAlign w:val="center"/>
          </w:tcPr>
          <w:p w14:paraId="0A9E542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53"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629D432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14:paraId="322FE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391"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1BEBD1">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5E3E0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42C8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9142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w:t>
            </w:r>
          </w:p>
        </w:tc>
        <w:tc>
          <w:tcPr>
            <w:tcW w:w="91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F727F2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3.98</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B1A7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99.50%</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3F75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nil"/>
            </w:tcBorders>
            <w:shd w:val="clear" w:color="auto" w:fill="auto"/>
            <w:vAlign w:val="center"/>
          </w:tcPr>
          <w:p w14:paraId="1B527C1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F68BED4">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18"/>
                <w:szCs w:val="18"/>
                <w:u w:val="none"/>
              </w:rPr>
            </w:pPr>
          </w:p>
        </w:tc>
      </w:tr>
      <w:tr w14:paraId="2F08F1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407"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A72905">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9B55B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9E05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353E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1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A91D67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4BBB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53A0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nil"/>
            </w:tcBorders>
            <w:shd w:val="clear" w:color="auto" w:fill="auto"/>
            <w:vAlign w:val="center"/>
          </w:tcPr>
          <w:p w14:paraId="4431AD6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43C1A3F">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18"/>
                <w:szCs w:val="18"/>
                <w:u w:val="none"/>
              </w:rPr>
            </w:pPr>
          </w:p>
        </w:tc>
      </w:tr>
      <w:tr w14:paraId="130B6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8" w:type="dxa"/>
            <w:bottom w:w="0" w:type="dxa"/>
            <w:right w:w="28" w:type="dxa"/>
          </w:tblCellMar>
        </w:tblPrEx>
        <w:trPr>
          <w:trHeight w:val="361"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801A55">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EB0A2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A842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218C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1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C1267D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AD0B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1796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nil"/>
            </w:tcBorders>
            <w:shd w:val="clear" w:color="auto" w:fill="auto"/>
            <w:vAlign w:val="center"/>
          </w:tcPr>
          <w:p w14:paraId="0DC123B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5101280">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18"/>
                <w:szCs w:val="18"/>
                <w:u w:val="none"/>
              </w:rPr>
            </w:pPr>
          </w:p>
        </w:tc>
      </w:tr>
      <w:tr w14:paraId="079E5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339"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8D01A1">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961AC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D46C0">
            <w:pPr>
              <w:keepNext w:val="0"/>
              <w:keepLines w:val="0"/>
              <w:pageBreakBefore w:val="0"/>
              <w:widowControl/>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55B6A">
            <w:pPr>
              <w:keepNext w:val="0"/>
              <w:keepLines w:val="0"/>
              <w:pageBreakBefore w:val="0"/>
              <w:widowControl/>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c>
          <w:tcPr>
            <w:tcW w:w="91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5D5BF25">
            <w:pPr>
              <w:keepNext w:val="0"/>
              <w:keepLines w:val="0"/>
              <w:pageBreakBefore w:val="0"/>
              <w:widowControl/>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9A9EF">
            <w:pPr>
              <w:keepNext w:val="0"/>
              <w:keepLines w:val="0"/>
              <w:pageBreakBefore w:val="0"/>
              <w:widowControl/>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CE1D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nil"/>
            </w:tcBorders>
            <w:shd w:val="clear" w:color="auto" w:fill="auto"/>
            <w:vAlign w:val="center"/>
          </w:tcPr>
          <w:p w14:paraId="212A17E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D0D1595">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18"/>
                <w:szCs w:val="18"/>
                <w:u w:val="none"/>
              </w:rPr>
            </w:pPr>
          </w:p>
        </w:tc>
      </w:tr>
      <w:tr w14:paraId="75682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452" w:hRule="atLeast"/>
        </w:trPr>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9D445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AB461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970A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9813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2D6F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7878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7083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6654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5C78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33D6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53" w:type="pct"/>
            <w:tcBorders>
              <w:top w:val="nil"/>
              <w:left w:val="single" w:color="000000" w:sz="4" w:space="0"/>
              <w:bottom w:val="single" w:color="000000" w:sz="4" w:space="0"/>
              <w:right w:val="single" w:color="000000" w:sz="4" w:space="0"/>
            </w:tcBorders>
            <w:shd w:val="clear" w:color="auto" w:fill="auto"/>
            <w:vAlign w:val="center"/>
          </w:tcPr>
          <w:p w14:paraId="72FC277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03003A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339"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7C7DE1">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49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544A7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20354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E567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检验检测用试剂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5828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9BAE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B004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批</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D596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9C1F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3096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29DCE">
            <w:pPr>
              <w:keepNext w:val="0"/>
              <w:keepLines w:val="0"/>
              <w:pageBreakBefore w:val="0"/>
              <w:widowControl/>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r>
      <w:tr w14:paraId="79FC0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8" w:type="dxa"/>
            <w:bottom w:w="0" w:type="dxa"/>
            <w:right w:w="28" w:type="dxa"/>
          </w:tblCellMar>
        </w:tblPrEx>
        <w:trPr>
          <w:trHeight w:val="339"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4F5546">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49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ED1A88">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6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8A0E43">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4FD6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完成应急检验任务</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6788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255C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C2F4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批次</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825A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E51E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9625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8040A">
            <w:pPr>
              <w:keepNext w:val="0"/>
              <w:keepLines w:val="0"/>
              <w:pageBreakBefore w:val="0"/>
              <w:widowControl/>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r>
      <w:tr w14:paraId="3269AB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8" w:type="dxa"/>
            <w:bottom w:w="0" w:type="dxa"/>
            <w:right w:w="28" w:type="dxa"/>
          </w:tblCellMar>
        </w:tblPrEx>
        <w:trPr>
          <w:trHeight w:val="339"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B7ACD5">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49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B29E42">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6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7123DB">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7759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检验检测用对照品</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8E06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5112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8D35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批</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E10B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5302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1A19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B0D02">
            <w:pPr>
              <w:keepNext w:val="0"/>
              <w:keepLines w:val="0"/>
              <w:pageBreakBefore w:val="0"/>
              <w:widowControl/>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r>
      <w:tr w14:paraId="384F76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339"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23E1B4">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49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2BCCA4">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5594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155F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检验任务完成率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6941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6784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CE31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F257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3248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8108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1C75C">
            <w:pPr>
              <w:keepNext w:val="0"/>
              <w:keepLines w:val="0"/>
              <w:pageBreakBefore w:val="0"/>
              <w:widowControl/>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r>
      <w:tr w14:paraId="057D3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339"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854FDF">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49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7CECF4">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9AB7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1070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任务完成时间</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BF51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746E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7E48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F131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C65E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596E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256B6">
            <w:pPr>
              <w:keepNext w:val="0"/>
              <w:keepLines w:val="0"/>
              <w:pageBreakBefore w:val="0"/>
              <w:widowControl/>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r>
      <w:tr w14:paraId="28333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8" w:type="dxa"/>
            <w:bottom w:w="0" w:type="dxa"/>
            <w:right w:w="28" w:type="dxa"/>
          </w:tblCellMar>
        </w:tblPrEx>
        <w:trPr>
          <w:trHeight w:val="339"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388E36">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49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C3C01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C887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BD72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不合格检验报告处置率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88CF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90BF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EFE6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BE6C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DDC8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4C7F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C9604">
            <w:pPr>
              <w:keepNext w:val="0"/>
              <w:keepLines w:val="0"/>
              <w:pageBreakBefore w:val="0"/>
              <w:widowControl/>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r>
      <w:tr w14:paraId="20464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452"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FF7289">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49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AF25EB">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ADD1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D658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健全检验人才队伍建设的持续影响程度</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1566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3A0F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3853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EE4B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4596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BD26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D11B7">
            <w:pPr>
              <w:keepNext w:val="0"/>
              <w:keepLines w:val="0"/>
              <w:pageBreakBefore w:val="0"/>
              <w:widowControl/>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r>
      <w:tr w14:paraId="60507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452"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002CF8">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4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FBA38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82E2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27DC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公众对药品安全满意度</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4D14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4968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A28C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7B7C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08D5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3651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D6488">
            <w:pPr>
              <w:keepNext w:val="0"/>
              <w:keepLines w:val="0"/>
              <w:pageBreakBefore w:val="0"/>
              <w:widowControl/>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r>
      <w:tr w14:paraId="751CC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339"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7310E3">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49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3F3E9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6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1FE3B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5D17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购买试剂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3DE0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EDC6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2D4A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7A06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0.21</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A156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365B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F1402">
            <w:pPr>
              <w:keepNext w:val="0"/>
              <w:keepLines w:val="0"/>
              <w:pageBreakBefore w:val="0"/>
              <w:widowControl/>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r>
      <w:tr w14:paraId="6917F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339"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79B2F3">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49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57F566">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6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A68592">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A0D3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购买对照品</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F7CA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B216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E48A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7533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8D97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9F60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14FC3">
            <w:pPr>
              <w:keepNext w:val="0"/>
              <w:keepLines w:val="0"/>
              <w:pageBreakBefore w:val="0"/>
              <w:widowControl/>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r>
      <w:tr w14:paraId="5213CB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339" w:hRule="atLeast"/>
        </w:trPr>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35C5E0">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49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19FB58">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6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B91B7C">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4570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开展省市局检验任务</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A72A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44E1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47F5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7106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1.67</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6CBC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EE77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98923">
            <w:pPr>
              <w:keepNext w:val="0"/>
              <w:keepLines w:val="0"/>
              <w:pageBreakBefore w:val="0"/>
              <w:widowControl/>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r>
      <w:tr w14:paraId="1732E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286" w:hRule="atLeast"/>
        </w:trPr>
        <w:tc>
          <w:tcPr>
            <w:tcW w:w="359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9D101F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E5FD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8AD2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A219B">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18"/>
                <w:szCs w:val="18"/>
                <w:u w:val="none"/>
              </w:rPr>
            </w:pPr>
          </w:p>
        </w:tc>
      </w:tr>
      <w:tr w14:paraId="14466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397" w:hRule="exact"/>
        </w:trPr>
        <w:tc>
          <w:tcPr>
            <w:tcW w:w="3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DA885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54C979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通过该项目的实施，提升了单位药品检验检测能力。绩效自评得分99分。</w:t>
            </w:r>
          </w:p>
        </w:tc>
      </w:tr>
      <w:tr w14:paraId="15393A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397" w:hRule="exact"/>
        </w:trPr>
        <w:tc>
          <w:tcPr>
            <w:tcW w:w="3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032F2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D8F03E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14:paraId="06C14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28" w:type="dxa"/>
            <w:bottom w:w="0" w:type="dxa"/>
            <w:right w:w="28" w:type="dxa"/>
          </w:tblCellMar>
        </w:tblPrEx>
        <w:trPr>
          <w:trHeight w:val="397" w:hRule="exact"/>
        </w:trPr>
        <w:tc>
          <w:tcPr>
            <w:tcW w:w="3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DBC8D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318CB1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14:paraId="056AC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286" w:hRule="atLeast"/>
        </w:trPr>
        <w:tc>
          <w:tcPr>
            <w:tcW w:w="243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5A19C4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项目负责人：赵扬</w:t>
            </w:r>
          </w:p>
        </w:tc>
        <w:tc>
          <w:tcPr>
            <w:tcW w:w="256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B14FA7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财务负责人：辜炯益</w:t>
            </w:r>
          </w:p>
        </w:tc>
      </w:tr>
    </w:tbl>
    <w:p w14:paraId="7C8E9A72">
      <w:r>
        <w:br w:type="page"/>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56"/>
        <w:gridCol w:w="1419"/>
        <w:gridCol w:w="1702"/>
        <w:gridCol w:w="463"/>
        <w:gridCol w:w="1002"/>
        <w:gridCol w:w="463"/>
        <w:gridCol w:w="980"/>
        <w:gridCol w:w="486"/>
        <w:gridCol w:w="506"/>
        <w:gridCol w:w="2029"/>
      </w:tblGrid>
      <w:tr w14:paraId="58EDE6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5381E57C">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val="0"/>
                <w:bCs w:val="0"/>
                <w:i w:val="0"/>
                <w:iCs w:val="0"/>
                <w:color w:val="000000"/>
                <w:kern w:val="0"/>
                <w:sz w:val="30"/>
                <w:szCs w:val="30"/>
                <w:u w:val="none"/>
                <w:lang w:val="en-US" w:eastAsia="zh-CN" w:bidi="ar"/>
              </w:rPr>
              <w:t>部门预算项目支出绩效自评表（2023年度）</w:t>
            </w:r>
          </w:p>
        </w:tc>
      </w:tr>
      <w:tr w14:paraId="728D4C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CB36B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5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492E6A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51080023T000008949296-年度考核奖</w:t>
            </w:r>
          </w:p>
        </w:tc>
      </w:tr>
      <w:tr w14:paraId="5EECA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57C75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8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FE908A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广元市市场监督管理局部门</w:t>
            </w:r>
          </w:p>
        </w:tc>
        <w:tc>
          <w:tcPr>
            <w:tcW w:w="461" w:type="pct"/>
            <w:tcBorders>
              <w:top w:val="nil"/>
              <w:left w:val="nil"/>
              <w:bottom w:val="nil"/>
              <w:right w:val="nil"/>
            </w:tcBorders>
            <w:shd w:val="clear" w:color="auto" w:fill="auto"/>
            <w:vAlign w:val="center"/>
          </w:tcPr>
          <w:p w14:paraId="45FF73DD">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40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A3D354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广元市食品药品检验检测中心</w:t>
            </w:r>
          </w:p>
        </w:tc>
      </w:tr>
      <w:tr w14:paraId="55821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B7822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1EA43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8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291F9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87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E1DE886">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724E1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509E04">
            <w:pPr>
              <w:rPr>
                <w:rFonts w:hint="eastAsia" w:ascii="宋体" w:hAnsi="宋体" w:eastAsia="宋体" w:cs="宋体"/>
                <w:i w:val="0"/>
                <w:iCs w:val="0"/>
                <w:color w:val="000000"/>
                <w:sz w:val="18"/>
                <w:szCs w:val="18"/>
                <w:u w:val="none"/>
              </w:rPr>
            </w:pPr>
          </w:p>
        </w:tc>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407C9A">
            <w:pPr>
              <w:rPr>
                <w:rFonts w:hint="eastAsia" w:ascii="宋体" w:hAnsi="宋体" w:eastAsia="宋体" w:cs="宋体"/>
                <w:i w:val="0"/>
                <w:iCs w:val="0"/>
                <w:color w:val="000000"/>
                <w:sz w:val="18"/>
                <w:szCs w:val="18"/>
                <w:u w:val="none"/>
              </w:rPr>
            </w:pPr>
          </w:p>
        </w:tc>
        <w:tc>
          <w:tcPr>
            <w:tcW w:w="238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9A8CE3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87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250403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保障了单位在职职工绩效考核奖的足额发放。</w:t>
            </w:r>
          </w:p>
        </w:tc>
      </w:tr>
      <w:tr w14:paraId="44393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147095">
            <w:pP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3416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5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A86CFB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该项目由办公室负责组织实施，通过制定专项工作计划方案、确定工作目标、明确组织实施措施和策略，有效地指导工作的正常有序开展。</w:t>
            </w:r>
          </w:p>
        </w:tc>
      </w:tr>
      <w:tr w14:paraId="7E9BB1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DD1D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7A0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F9E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F5C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14096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0B4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60F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81F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52" w:type="pct"/>
            <w:tcBorders>
              <w:top w:val="single" w:color="000000" w:sz="4" w:space="0"/>
              <w:left w:val="single" w:color="000000" w:sz="4" w:space="0"/>
              <w:bottom w:val="nil"/>
              <w:right w:val="single" w:color="000000" w:sz="4" w:space="0"/>
            </w:tcBorders>
            <w:shd w:val="clear" w:color="auto" w:fill="auto"/>
            <w:vAlign w:val="center"/>
          </w:tcPr>
          <w:p w14:paraId="6EB966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246BD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00D8D9">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550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0B9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35.70</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9DE9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35.70</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3EB90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35.70</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E00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565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41" w:type="pct"/>
            <w:tcBorders>
              <w:top w:val="single" w:color="000000" w:sz="4" w:space="0"/>
              <w:left w:val="single" w:color="000000" w:sz="4" w:space="0"/>
              <w:bottom w:val="single" w:color="000000" w:sz="4" w:space="0"/>
              <w:right w:val="nil"/>
            </w:tcBorders>
            <w:shd w:val="clear" w:color="auto" w:fill="auto"/>
            <w:vAlign w:val="center"/>
          </w:tcPr>
          <w:p w14:paraId="273322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52"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701AB81F">
            <w:pPr>
              <w:keepNext w:val="0"/>
              <w:keepLines w:val="0"/>
              <w:widowControl/>
              <w:suppressLineNumbers w:val="0"/>
              <w:jc w:val="left"/>
              <w:textAlignment w:val="top"/>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14:paraId="152C2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4F0C73">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DFA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928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35.70</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BF6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35.70</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0F625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35.70</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95F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ED0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nil"/>
            </w:tcBorders>
            <w:shd w:val="clear" w:color="auto" w:fill="auto"/>
            <w:vAlign w:val="center"/>
          </w:tcPr>
          <w:p w14:paraId="43B193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5592517">
            <w:pPr>
              <w:jc w:val="left"/>
              <w:rPr>
                <w:rFonts w:hint="eastAsia" w:ascii="宋体" w:hAnsi="宋体" w:eastAsia="宋体" w:cs="宋体"/>
                <w:i w:val="0"/>
                <w:iCs w:val="0"/>
                <w:color w:val="000000"/>
                <w:sz w:val="18"/>
                <w:szCs w:val="18"/>
                <w:u w:val="none"/>
              </w:rPr>
            </w:pPr>
          </w:p>
        </w:tc>
      </w:tr>
      <w:tr w14:paraId="54F58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0AEA83">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E3A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4E8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2C6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79AFD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0C5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1E5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nil"/>
            </w:tcBorders>
            <w:shd w:val="clear" w:color="auto" w:fill="auto"/>
            <w:vAlign w:val="center"/>
          </w:tcPr>
          <w:p w14:paraId="7EA7D9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5643873">
            <w:pPr>
              <w:jc w:val="left"/>
              <w:rPr>
                <w:rFonts w:hint="eastAsia" w:ascii="宋体" w:hAnsi="宋体" w:eastAsia="宋体" w:cs="宋体"/>
                <w:i w:val="0"/>
                <w:iCs w:val="0"/>
                <w:color w:val="000000"/>
                <w:sz w:val="18"/>
                <w:szCs w:val="18"/>
                <w:u w:val="none"/>
              </w:rPr>
            </w:pPr>
          </w:p>
        </w:tc>
      </w:tr>
      <w:tr w14:paraId="62029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8A04E5">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AB0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AAC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260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81862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CAD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E76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nil"/>
            </w:tcBorders>
            <w:shd w:val="clear" w:color="auto" w:fill="auto"/>
            <w:vAlign w:val="center"/>
          </w:tcPr>
          <w:p w14:paraId="7E70E9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7A7B0EF">
            <w:pPr>
              <w:jc w:val="left"/>
              <w:rPr>
                <w:rFonts w:hint="eastAsia" w:ascii="宋体" w:hAnsi="宋体" w:eastAsia="宋体" w:cs="宋体"/>
                <w:i w:val="0"/>
                <w:iCs w:val="0"/>
                <w:color w:val="000000"/>
                <w:sz w:val="18"/>
                <w:szCs w:val="18"/>
                <w:u w:val="none"/>
              </w:rPr>
            </w:pPr>
          </w:p>
        </w:tc>
      </w:tr>
      <w:tr w14:paraId="70B45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094253">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056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59CC3">
            <w:pPr>
              <w:jc w:val="center"/>
              <w:rPr>
                <w:rFonts w:hint="eastAsia" w:ascii="微软雅黑" w:hAnsi="微软雅黑" w:eastAsia="微软雅黑" w:cs="微软雅黑"/>
                <w:i/>
                <w:iCs/>
                <w:color w:val="000000"/>
                <w:sz w:val="16"/>
                <w:szCs w:val="16"/>
                <w:u w:val="none"/>
              </w:rPr>
            </w:pP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173BA">
            <w:pPr>
              <w:jc w:val="center"/>
              <w:rPr>
                <w:rFonts w:hint="eastAsia" w:ascii="微软雅黑" w:hAnsi="微软雅黑" w:eastAsia="微软雅黑" w:cs="微软雅黑"/>
                <w:i/>
                <w:iCs/>
                <w:color w:val="000000"/>
                <w:sz w:val="16"/>
                <w:szCs w:val="16"/>
                <w:u w:val="none"/>
              </w:rPr>
            </w:pP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BC2B4A1">
            <w:pPr>
              <w:jc w:val="center"/>
              <w:rPr>
                <w:rFonts w:hint="eastAsia" w:ascii="微软雅黑" w:hAnsi="微软雅黑" w:eastAsia="微软雅黑" w:cs="微软雅黑"/>
                <w:i/>
                <w:iCs/>
                <w:color w:val="000000"/>
                <w:sz w:val="16"/>
                <w:szCs w:val="16"/>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F63A2">
            <w:pPr>
              <w:jc w:val="center"/>
              <w:rPr>
                <w:rFonts w:hint="eastAsia" w:ascii="微软雅黑" w:hAnsi="微软雅黑" w:eastAsia="微软雅黑" w:cs="微软雅黑"/>
                <w:i/>
                <w:iCs/>
                <w:color w:val="000000"/>
                <w:sz w:val="16"/>
                <w:szCs w:val="16"/>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352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nil"/>
            </w:tcBorders>
            <w:shd w:val="clear" w:color="auto" w:fill="auto"/>
            <w:vAlign w:val="center"/>
          </w:tcPr>
          <w:p w14:paraId="402F35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90E9550">
            <w:pPr>
              <w:jc w:val="left"/>
              <w:rPr>
                <w:rFonts w:hint="eastAsia" w:ascii="宋体" w:hAnsi="宋体" w:eastAsia="宋体" w:cs="宋体"/>
                <w:i w:val="0"/>
                <w:iCs w:val="0"/>
                <w:color w:val="000000"/>
                <w:sz w:val="18"/>
                <w:szCs w:val="18"/>
                <w:u w:val="none"/>
              </w:rPr>
            </w:pPr>
          </w:p>
        </w:tc>
      </w:tr>
      <w:tr w14:paraId="3A11B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F7B99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BAF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9F2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B768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1A6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3C5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DCF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3FA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9FE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191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52" w:type="pct"/>
            <w:tcBorders>
              <w:top w:val="nil"/>
              <w:left w:val="single" w:color="000000" w:sz="4" w:space="0"/>
              <w:bottom w:val="single" w:color="000000" w:sz="4" w:space="0"/>
              <w:right w:val="single" w:color="000000" w:sz="4" w:space="0"/>
            </w:tcBorders>
            <w:shd w:val="clear" w:color="auto" w:fill="auto"/>
            <w:vAlign w:val="center"/>
          </w:tcPr>
          <w:p w14:paraId="086683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55E5D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60C652">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F2D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9F0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980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3598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CC0B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D6B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17E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2BE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66F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9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BA130">
            <w:pPr>
              <w:jc w:val="center"/>
              <w:rPr>
                <w:rFonts w:hint="eastAsia" w:ascii="微软雅黑" w:hAnsi="微软雅黑" w:eastAsia="微软雅黑" w:cs="微软雅黑"/>
                <w:i/>
                <w:iCs/>
                <w:color w:val="000000"/>
                <w:sz w:val="16"/>
                <w:szCs w:val="16"/>
                <w:u w:val="none"/>
              </w:rPr>
            </w:pPr>
          </w:p>
        </w:tc>
      </w:tr>
      <w:tr w14:paraId="0D2EF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7F7B52">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0FD2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793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D34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505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D66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2A0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342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375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FE45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9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FB8C1">
            <w:pPr>
              <w:jc w:val="center"/>
              <w:rPr>
                <w:rFonts w:hint="eastAsia" w:ascii="微软雅黑" w:hAnsi="微软雅黑" w:eastAsia="微软雅黑" w:cs="微软雅黑"/>
                <w:i/>
                <w:iCs/>
                <w:color w:val="000000"/>
                <w:sz w:val="16"/>
                <w:szCs w:val="16"/>
                <w:u w:val="none"/>
              </w:rPr>
            </w:pPr>
          </w:p>
        </w:tc>
      </w:tr>
      <w:tr w14:paraId="190D8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91"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CE8F1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1A1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235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9FB17">
            <w:pPr>
              <w:rPr>
                <w:rFonts w:hint="eastAsia" w:ascii="宋体" w:hAnsi="宋体" w:eastAsia="宋体" w:cs="宋体"/>
                <w:i w:val="0"/>
                <w:iCs w:val="0"/>
                <w:color w:val="000000"/>
                <w:sz w:val="18"/>
                <w:szCs w:val="18"/>
                <w:u w:val="none"/>
              </w:rPr>
            </w:pPr>
          </w:p>
        </w:tc>
      </w:tr>
      <w:tr w14:paraId="451E4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563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85271B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保障了单位在职职工绩效考核奖的足额发放。项目自评得分为100分。</w:t>
            </w:r>
          </w:p>
        </w:tc>
      </w:tr>
      <w:tr w14:paraId="1680A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33C7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477E27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14:paraId="0C263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491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6E64C1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14:paraId="606C7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3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7E9437E">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项目负责人：张慧萍</w:t>
            </w:r>
          </w:p>
        </w:tc>
        <w:tc>
          <w:tcPr>
            <w:tcW w:w="256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189C4C6">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财务负责人：辜炯益</w:t>
            </w:r>
          </w:p>
        </w:tc>
      </w:tr>
    </w:tbl>
    <w:p w14:paraId="223CD86C">
      <w:r>
        <w:br w:type="page"/>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56"/>
        <w:gridCol w:w="1417"/>
        <w:gridCol w:w="1700"/>
        <w:gridCol w:w="467"/>
        <w:gridCol w:w="1002"/>
        <w:gridCol w:w="463"/>
        <w:gridCol w:w="980"/>
        <w:gridCol w:w="486"/>
        <w:gridCol w:w="506"/>
        <w:gridCol w:w="2029"/>
      </w:tblGrid>
      <w:tr w14:paraId="250FD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7955E6AC">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val="0"/>
                <w:bCs w:val="0"/>
                <w:i w:val="0"/>
                <w:iCs w:val="0"/>
                <w:color w:val="000000"/>
                <w:kern w:val="0"/>
                <w:sz w:val="30"/>
                <w:szCs w:val="30"/>
                <w:u w:val="none"/>
                <w:lang w:val="en-US" w:eastAsia="zh-CN" w:bidi="ar"/>
              </w:rPr>
              <w:t>部门预算项目支出绩效自评表（2023年度）</w:t>
            </w:r>
          </w:p>
        </w:tc>
      </w:tr>
      <w:tr w14:paraId="16FDD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EA6EF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5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C9A7D2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51080023T000009130659-机关事业单位退休人员（中人）一次性待遇资金</w:t>
            </w:r>
          </w:p>
        </w:tc>
      </w:tr>
      <w:tr w14:paraId="3456F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DFEC2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8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9F225C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广元市市场监督管理局部门</w:t>
            </w:r>
          </w:p>
        </w:tc>
        <w:tc>
          <w:tcPr>
            <w:tcW w:w="461" w:type="pct"/>
            <w:tcBorders>
              <w:top w:val="nil"/>
              <w:left w:val="nil"/>
              <w:bottom w:val="nil"/>
              <w:right w:val="nil"/>
            </w:tcBorders>
            <w:shd w:val="clear" w:color="auto" w:fill="auto"/>
            <w:vAlign w:val="center"/>
          </w:tcPr>
          <w:p w14:paraId="00D73057">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40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85E03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广元市食品药品检验检测中心</w:t>
            </w:r>
          </w:p>
        </w:tc>
      </w:tr>
      <w:tr w14:paraId="57EDA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A2026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C0748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8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FCCA1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87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F166985">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48845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BADACA">
            <w:pPr>
              <w:rPr>
                <w:rFonts w:hint="eastAsia" w:ascii="宋体" w:hAnsi="宋体" w:eastAsia="宋体" w:cs="宋体"/>
                <w:i w:val="0"/>
                <w:iCs w:val="0"/>
                <w:color w:val="000000"/>
                <w:sz w:val="18"/>
                <w:szCs w:val="18"/>
                <w:u w:val="none"/>
              </w:rPr>
            </w:pPr>
          </w:p>
        </w:tc>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3B8432">
            <w:pPr>
              <w:rPr>
                <w:rFonts w:hint="eastAsia" w:ascii="宋体" w:hAnsi="宋体" w:eastAsia="宋体" w:cs="宋体"/>
                <w:i w:val="0"/>
                <w:iCs w:val="0"/>
                <w:color w:val="000000"/>
                <w:sz w:val="18"/>
                <w:szCs w:val="18"/>
                <w:u w:val="none"/>
              </w:rPr>
            </w:pPr>
          </w:p>
        </w:tc>
        <w:tc>
          <w:tcPr>
            <w:tcW w:w="238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269E42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严格执行相关政策，保障退休人员一次性待遇及时、足额发放。</w:t>
            </w:r>
          </w:p>
        </w:tc>
        <w:tc>
          <w:tcPr>
            <w:tcW w:w="187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05F39E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我中心保障了1名退休人员“独生子女”奖励金补贴的足额发放。</w:t>
            </w:r>
          </w:p>
        </w:tc>
      </w:tr>
      <w:tr w14:paraId="4EFFB9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63057A">
            <w:pP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1963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5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25120DA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“退休“中人”一次性退休补贴”项目由财务股负责组织实施，通过制定专项工作计划方案、确定工作目标、明确组织实施措施和策略，有效地指导工作的正常有序开展。</w:t>
            </w:r>
          </w:p>
        </w:tc>
      </w:tr>
      <w:tr w14:paraId="53C6E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C92A2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809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A33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307D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28EAA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C3D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7BE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0DB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53" w:type="pct"/>
            <w:tcBorders>
              <w:top w:val="single" w:color="000000" w:sz="4" w:space="0"/>
              <w:left w:val="single" w:color="000000" w:sz="4" w:space="0"/>
              <w:bottom w:val="nil"/>
              <w:right w:val="single" w:color="000000" w:sz="4" w:space="0"/>
            </w:tcBorders>
            <w:shd w:val="clear" w:color="auto" w:fill="auto"/>
            <w:vAlign w:val="center"/>
          </w:tcPr>
          <w:p w14:paraId="73CBC9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4B55C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EC8F6E">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64C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53C5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2.19</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564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2.19</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2B708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2.19</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F34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3F7B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41" w:type="pct"/>
            <w:tcBorders>
              <w:top w:val="single" w:color="000000" w:sz="4" w:space="0"/>
              <w:left w:val="single" w:color="000000" w:sz="4" w:space="0"/>
              <w:bottom w:val="single" w:color="000000" w:sz="4" w:space="0"/>
              <w:right w:val="nil"/>
            </w:tcBorders>
            <w:shd w:val="clear" w:color="auto" w:fill="auto"/>
            <w:vAlign w:val="center"/>
          </w:tcPr>
          <w:p w14:paraId="121EA1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53"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1F48CAE6">
            <w:pPr>
              <w:keepNext w:val="0"/>
              <w:keepLines w:val="0"/>
              <w:widowControl/>
              <w:suppressLineNumbers w:val="0"/>
              <w:jc w:val="left"/>
              <w:textAlignment w:val="top"/>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14:paraId="38AC0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50B532">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DB8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190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2.19</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E0F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2.19</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BAC24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2.19</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F3B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B614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nil"/>
            </w:tcBorders>
            <w:shd w:val="clear" w:color="auto" w:fill="auto"/>
            <w:vAlign w:val="center"/>
          </w:tcPr>
          <w:p w14:paraId="7219E90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C48E6FB">
            <w:pPr>
              <w:jc w:val="left"/>
              <w:rPr>
                <w:rFonts w:hint="eastAsia" w:ascii="宋体" w:hAnsi="宋体" w:eastAsia="宋体" w:cs="宋体"/>
                <w:i w:val="0"/>
                <w:iCs w:val="0"/>
                <w:color w:val="000000"/>
                <w:sz w:val="18"/>
                <w:szCs w:val="18"/>
                <w:u w:val="none"/>
              </w:rPr>
            </w:pPr>
          </w:p>
        </w:tc>
      </w:tr>
      <w:tr w14:paraId="26A00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1E4DE2">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3F5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50C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99C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A0474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02C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BF1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nil"/>
            </w:tcBorders>
            <w:shd w:val="clear" w:color="auto" w:fill="auto"/>
            <w:vAlign w:val="center"/>
          </w:tcPr>
          <w:p w14:paraId="152EAE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6FA6974">
            <w:pPr>
              <w:jc w:val="left"/>
              <w:rPr>
                <w:rFonts w:hint="eastAsia" w:ascii="宋体" w:hAnsi="宋体" w:eastAsia="宋体" w:cs="宋体"/>
                <w:i w:val="0"/>
                <w:iCs w:val="0"/>
                <w:color w:val="000000"/>
                <w:sz w:val="18"/>
                <w:szCs w:val="18"/>
                <w:u w:val="none"/>
              </w:rPr>
            </w:pPr>
          </w:p>
        </w:tc>
      </w:tr>
      <w:tr w14:paraId="7080E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E40EFB">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82A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F1E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092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DAD4E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841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643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nil"/>
            </w:tcBorders>
            <w:shd w:val="clear" w:color="auto" w:fill="auto"/>
            <w:vAlign w:val="center"/>
          </w:tcPr>
          <w:p w14:paraId="57E59C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AD1E34A">
            <w:pPr>
              <w:jc w:val="left"/>
              <w:rPr>
                <w:rFonts w:hint="eastAsia" w:ascii="宋体" w:hAnsi="宋体" w:eastAsia="宋体" w:cs="宋体"/>
                <w:i w:val="0"/>
                <w:iCs w:val="0"/>
                <w:color w:val="000000"/>
                <w:sz w:val="18"/>
                <w:szCs w:val="18"/>
                <w:u w:val="none"/>
              </w:rPr>
            </w:pPr>
          </w:p>
        </w:tc>
      </w:tr>
      <w:tr w14:paraId="42F3A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B238C5">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251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EDADB">
            <w:pPr>
              <w:jc w:val="center"/>
              <w:rPr>
                <w:rFonts w:hint="eastAsia" w:ascii="微软雅黑" w:hAnsi="微软雅黑" w:eastAsia="微软雅黑" w:cs="微软雅黑"/>
                <w:i/>
                <w:iCs/>
                <w:color w:val="000000"/>
                <w:sz w:val="16"/>
                <w:szCs w:val="16"/>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F0584">
            <w:pPr>
              <w:jc w:val="center"/>
              <w:rPr>
                <w:rFonts w:hint="eastAsia" w:ascii="微软雅黑" w:hAnsi="微软雅黑" w:eastAsia="微软雅黑" w:cs="微软雅黑"/>
                <w:i/>
                <w:iCs/>
                <w:color w:val="000000"/>
                <w:sz w:val="16"/>
                <w:szCs w:val="16"/>
                <w:u w:val="none"/>
              </w:rPr>
            </w:pP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6E7BF04">
            <w:pPr>
              <w:jc w:val="center"/>
              <w:rPr>
                <w:rFonts w:hint="eastAsia" w:ascii="微软雅黑" w:hAnsi="微软雅黑" w:eastAsia="微软雅黑" w:cs="微软雅黑"/>
                <w:i/>
                <w:iCs/>
                <w:color w:val="000000"/>
                <w:sz w:val="16"/>
                <w:szCs w:val="16"/>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82CBF">
            <w:pPr>
              <w:jc w:val="center"/>
              <w:rPr>
                <w:rFonts w:hint="eastAsia" w:ascii="微软雅黑" w:hAnsi="微软雅黑" w:eastAsia="微软雅黑" w:cs="微软雅黑"/>
                <w:i/>
                <w:iCs/>
                <w:color w:val="000000"/>
                <w:sz w:val="16"/>
                <w:szCs w:val="16"/>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75C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nil"/>
            </w:tcBorders>
            <w:shd w:val="clear" w:color="auto" w:fill="auto"/>
            <w:vAlign w:val="center"/>
          </w:tcPr>
          <w:p w14:paraId="5290F1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402ED7E">
            <w:pPr>
              <w:jc w:val="left"/>
              <w:rPr>
                <w:rFonts w:hint="eastAsia" w:ascii="宋体" w:hAnsi="宋体" w:eastAsia="宋体" w:cs="宋体"/>
                <w:i w:val="0"/>
                <w:iCs w:val="0"/>
                <w:color w:val="000000"/>
                <w:sz w:val="18"/>
                <w:szCs w:val="18"/>
                <w:u w:val="none"/>
              </w:rPr>
            </w:pPr>
          </w:p>
        </w:tc>
      </w:tr>
      <w:tr w14:paraId="7D617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422A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5AA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FFB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527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36B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E7B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A7E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182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5E9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241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53" w:type="pct"/>
            <w:tcBorders>
              <w:top w:val="nil"/>
              <w:left w:val="single" w:color="000000" w:sz="4" w:space="0"/>
              <w:bottom w:val="single" w:color="000000" w:sz="4" w:space="0"/>
              <w:right w:val="single" w:color="000000" w:sz="4" w:space="0"/>
            </w:tcBorders>
            <w:shd w:val="clear" w:color="auto" w:fill="auto"/>
            <w:vAlign w:val="center"/>
          </w:tcPr>
          <w:p w14:paraId="5AB89F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7540E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AFE4A4">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276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90E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BF1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6E3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682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9875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8BBD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F99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981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7A8CE">
            <w:pPr>
              <w:jc w:val="center"/>
              <w:rPr>
                <w:rFonts w:hint="eastAsia" w:ascii="微软雅黑" w:hAnsi="微软雅黑" w:eastAsia="微软雅黑" w:cs="微软雅黑"/>
                <w:i/>
                <w:iCs/>
                <w:color w:val="000000"/>
                <w:sz w:val="16"/>
                <w:szCs w:val="16"/>
                <w:u w:val="none"/>
              </w:rPr>
            </w:pPr>
          </w:p>
        </w:tc>
      </w:tr>
      <w:tr w14:paraId="75BAB5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657078">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8F4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229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8DB3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A8E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C34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8F4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F992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6AA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F26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FC810">
            <w:pPr>
              <w:jc w:val="center"/>
              <w:rPr>
                <w:rFonts w:hint="eastAsia" w:ascii="微软雅黑" w:hAnsi="微软雅黑" w:eastAsia="微软雅黑" w:cs="微软雅黑"/>
                <w:i/>
                <w:iCs/>
                <w:color w:val="000000"/>
                <w:sz w:val="16"/>
                <w:szCs w:val="16"/>
                <w:u w:val="none"/>
              </w:rPr>
            </w:pPr>
          </w:p>
        </w:tc>
      </w:tr>
      <w:tr w14:paraId="4BF84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91"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4CB07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BC1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B53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03BB4">
            <w:pPr>
              <w:rPr>
                <w:rFonts w:hint="eastAsia" w:ascii="宋体" w:hAnsi="宋体" w:eastAsia="宋体" w:cs="宋体"/>
                <w:i w:val="0"/>
                <w:iCs w:val="0"/>
                <w:color w:val="000000"/>
                <w:sz w:val="18"/>
                <w:szCs w:val="18"/>
                <w:u w:val="none"/>
              </w:rPr>
            </w:pPr>
          </w:p>
        </w:tc>
      </w:tr>
      <w:tr w14:paraId="196D5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4E1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5E3CCC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保障了1名退休人员“独生子女”奖励金补贴的足额发放，自评得分为100分。</w:t>
            </w:r>
          </w:p>
        </w:tc>
      </w:tr>
      <w:tr w14:paraId="0A51C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198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7B064F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14:paraId="7EA82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B80F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FA684A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14:paraId="40257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3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E83FC6B">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项目负责人：张慧萍</w:t>
            </w:r>
          </w:p>
        </w:tc>
        <w:tc>
          <w:tcPr>
            <w:tcW w:w="256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CCF0837">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财务负责人：辜炯益</w:t>
            </w:r>
          </w:p>
        </w:tc>
      </w:tr>
    </w:tbl>
    <w:p w14:paraId="51ED34F4">
      <w:r>
        <w:br w:type="page"/>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56"/>
        <w:gridCol w:w="1417"/>
        <w:gridCol w:w="1700"/>
        <w:gridCol w:w="467"/>
        <w:gridCol w:w="1002"/>
        <w:gridCol w:w="463"/>
        <w:gridCol w:w="980"/>
        <w:gridCol w:w="486"/>
        <w:gridCol w:w="506"/>
        <w:gridCol w:w="2029"/>
      </w:tblGrid>
      <w:tr w14:paraId="3269C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2E1112AF">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val="0"/>
                <w:bCs w:val="0"/>
                <w:i w:val="0"/>
                <w:iCs w:val="0"/>
                <w:color w:val="000000"/>
                <w:kern w:val="0"/>
                <w:sz w:val="30"/>
                <w:szCs w:val="30"/>
                <w:u w:val="none"/>
                <w:lang w:val="en-US" w:eastAsia="zh-CN" w:bidi="ar"/>
              </w:rPr>
              <w:t>部门预算项目支出绩效自评表（2023年度）</w:t>
            </w:r>
          </w:p>
        </w:tc>
      </w:tr>
      <w:tr w14:paraId="299C8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DF634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5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29EAB9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51080023T000009130888-机关事业单位职业年金记实资金</w:t>
            </w:r>
          </w:p>
        </w:tc>
      </w:tr>
      <w:tr w14:paraId="0C77C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35FF0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8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239263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广元市市场监督管理局部门</w:t>
            </w:r>
          </w:p>
        </w:tc>
        <w:tc>
          <w:tcPr>
            <w:tcW w:w="461" w:type="pct"/>
            <w:tcBorders>
              <w:top w:val="nil"/>
              <w:left w:val="nil"/>
              <w:bottom w:val="nil"/>
              <w:right w:val="nil"/>
            </w:tcBorders>
            <w:shd w:val="clear" w:color="auto" w:fill="auto"/>
            <w:vAlign w:val="center"/>
          </w:tcPr>
          <w:p w14:paraId="6A23EF3F">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40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47147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广元市食品药品检验检测中心</w:t>
            </w:r>
          </w:p>
        </w:tc>
      </w:tr>
      <w:tr w14:paraId="43EE7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A2527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E8390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8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35334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87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84BDADA">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26BEE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12C5AE">
            <w:pPr>
              <w:rPr>
                <w:rFonts w:hint="eastAsia" w:ascii="宋体" w:hAnsi="宋体" w:eastAsia="宋体" w:cs="宋体"/>
                <w:i w:val="0"/>
                <w:iCs w:val="0"/>
                <w:color w:val="000000"/>
                <w:sz w:val="18"/>
                <w:szCs w:val="18"/>
                <w:u w:val="none"/>
              </w:rPr>
            </w:pPr>
          </w:p>
        </w:tc>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08F2F7">
            <w:pPr>
              <w:rPr>
                <w:rFonts w:hint="eastAsia" w:ascii="宋体" w:hAnsi="宋体" w:eastAsia="宋体" w:cs="宋体"/>
                <w:i w:val="0"/>
                <w:iCs w:val="0"/>
                <w:color w:val="000000"/>
                <w:sz w:val="18"/>
                <w:szCs w:val="18"/>
                <w:u w:val="none"/>
              </w:rPr>
            </w:pPr>
          </w:p>
        </w:tc>
        <w:tc>
          <w:tcPr>
            <w:tcW w:w="238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F08C1E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87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570FEB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保障1名职工的职业年金及时、足额缴纳。</w:t>
            </w:r>
          </w:p>
        </w:tc>
      </w:tr>
      <w:tr w14:paraId="6F0A76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4DE907">
            <w:pP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BEF8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5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8BE1B7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该项目由财务股负责组织实施，通过制定专项工作计划方案、确定工作目标、明确组织实施措施和策略，有效地指导工作的正常有序开展。</w:t>
            </w:r>
          </w:p>
        </w:tc>
      </w:tr>
      <w:tr w14:paraId="6486C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EF62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FBD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034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A2F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B0889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BC1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EAA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375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263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34C2C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964DE3">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222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0C6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0.05</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8D4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0.05</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00383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0.05</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0AD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2CB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949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53"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1CE748C3">
            <w:pPr>
              <w:keepNext w:val="0"/>
              <w:keepLines w:val="0"/>
              <w:widowControl/>
              <w:suppressLineNumbers w:val="0"/>
              <w:jc w:val="left"/>
              <w:textAlignment w:val="top"/>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14:paraId="59ADA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ACFE1D">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8C0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026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0.05</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C74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0.05</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FECDF0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0.05</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FDD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60D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B5A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15CBAC3">
            <w:pPr>
              <w:jc w:val="left"/>
              <w:rPr>
                <w:rFonts w:hint="eastAsia" w:ascii="宋体" w:hAnsi="宋体" w:eastAsia="宋体" w:cs="宋体"/>
                <w:i w:val="0"/>
                <w:iCs w:val="0"/>
                <w:color w:val="000000"/>
                <w:sz w:val="18"/>
                <w:szCs w:val="18"/>
                <w:u w:val="none"/>
              </w:rPr>
            </w:pPr>
          </w:p>
        </w:tc>
      </w:tr>
      <w:tr w14:paraId="120B3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8C4407">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14A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5AF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BD0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1541E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FAEF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D1F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21C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15C59D9">
            <w:pPr>
              <w:jc w:val="left"/>
              <w:rPr>
                <w:rFonts w:hint="eastAsia" w:ascii="宋体" w:hAnsi="宋体" w:eastAsia="宋体" w:cs="宋体"/>
                <w:i w:val="0"/>
                <w:iCs w:val="0"/>
                <w:color w:val="000000"/>
                <w:sz w:val="18"/>
                <w:szCs w:val="18"/>
                <w:u w:val="none"/>
              </w:rPr>
            </w:pPr>
          </w:p>
        </w:tc>
      </w:tr>
      <w:tr w14:paraId="641BA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557235">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1D1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233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EA5F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DA611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6457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7B1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053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906CD24">
            <w:pPr>
              <w:jc w:val="left"/>
              <w:rPr>
                <w:rFonts w:hint="eastAsia" w:ascii="宋体" w:hAnsi="宋体" w:eastAsia="宋体" w:cs="宋体"/>
                <w:i w:val="0"/>
                <w:iCs w:val="0"/>
                <w:color w:val="000000"/>
                <w:sz w:val="18"/>
                <w:szCs w:val="18"/>
                <w:u w:val="none"/>
              </w:rPr>
            </w:pPr>
          </w:p>
        </w:tc>
      </w:tr>
      <w:tr w14:paraId="69DA6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C61712">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261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10BAF">
            <w:pPr>
              <w:jc w:val="center"/>
              <w:rPr>
                <w:rFonts w:hint="eastAsia" w:ascii="微软雅黑" w:hAnsi="微软雅黑" w:eastAsia="微软雅黑" w:cs="微软雅黑"/>
                <w:i/>
                <w:iCs/>
                <w:color w:val="000000"/>
                <w:sz w:val="16"/>
                <w:szCs w:val="16"/>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E9FA2">
            <w:pPr>
              <w:jc w:val="center"/>
              <w:rPr>
                <w:rFonts w:hint="eastAsia" w:ascii="微软雅黑" w:hAnsi="微软雅黑" w:eastAsia="微软雅黑" w:cs="微软雅黑"/>
                <w:i/>
                <w:iCs/>
                <w:color w:val="000000"/>
                <w:sz w:val="16"/>
                <w:szCs w:val="16"/>
                <w:u w:val="none"/>
              </w:rPr>
            </w:pPr>
          </w:p>
        </w:tc>
        <w:tc>
          <w:tcPr>
            <w:tcW w:w="91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7E63398">
            <w:pPr>
              <w:jc w:val="center"/>
              <w:rPr>
                <w:rFonts w:hint="eastAsia" w:ascii="微软雅黑" w:hAnsi="微软雅黑" w:eastAsia="微软雅黑" w:cs="微软雅黑"/>
                <w:i/>
                <w:iCs/>
                <w:color w:val="000000"/>
                <w:sz w:val="16"/>
                <w:szCs w:val="16"/>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D1F93">
            <w:pPr>
              <w:jc w:val="center"/>
              <w:rPr>
                <w:rFonts w:hint="eastAsia" w:ascii="微软雅黑" w:hAnsi="微软雅黑" w:eastAsia="微软雅黑" w:cs="微软雅黑"/>
                <w:i/>
                <w:iCs/>
                <w:color w:val="000000"/>
                <w:sz w:val="16"/>
                <w:szCs w:val="16"/>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415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840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B5663BF">
            <w:pPr>
              <w:jc w:val="left"/>
              <w:rPr>
                <w:rFonts w:hint="eastAsia" w:ascii="宋体" w:hAnsi="宋体" w:eastAsia="宋体" w:cs="宋体"/>
                <w:i w:val="0"/>
                <w:iCs w:val="0"/>
                <w:color w:val="000000"/>
                <w:sz w:val="18"/>
                <w:szCs w:val="18"/>
                <w:u w:val="none"/>
              </w:rPr>
            </w:pPr>
          </w:p>
        </w:tc>
      </w:tr>
      <w:tr w14:paraId="58D9B2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801D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F41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0BA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BBF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C81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E23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8B7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679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0D1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610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60CD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66465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F31FF0">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15C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5D6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41E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F56E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A01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B6A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C9A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A24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4EE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72344">
            <w:pPr>
              <w:jc w:val="center"/>
              <w:rPr>
                <w:rFonts w:hint="eastAsia" w:ascii="微软雅黑" w:hAnsi="微软雅黑" w:eastAsia="微软雅黑" w:cs="微软雅黑"/>
                <w:i/>
                <w:iCs/>
                <w:color w:val="000000"/>
                <w:sz w:val="16"/>
                <w:szCs w:val="16"/>
                <w:u w:val="none"/>
              </w:rPr>
            </w:pPr>
          </w:p>
        </w:tc>
      </w:tr>
      <w:tr w14:paraId="361BE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59658F">
            <w:pPr>
              <w:jc w:val="center"/>
              <w:rPr>
                <w:rFonts w:hint="eastAsia" w:ascii="宋体" w:hAnsi="宋体" w:eastAsia="宋体" w:cs="宋体"/>
                <w:i w:val="0"/>
                <w:iCs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0EE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B83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EFA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足额报账率（参保率）</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7677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FE8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4EF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060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3170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054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9AB57">
            <w:pPr>
              <w:jc w:val="center"/>
              <w:rPr>
                <w:rFonts w:hint="eastAsia" w:ascii="微软雅黑" w:hAnsi="微软雅黑" w:eastAsia="微软雅黑" w:cs="微软雅黑"/>
                <w:i/>
                <w:iCs/>
                <w:color w:val="000000"/>
                <w:sz w:val="16"/>
                <w:szCs w:val="16"/>
                <w:u w:val="none"/>
              </w:rPr>
            </w:pPr>
          </w:p>
        </w:tc>
      </w:tr>
      <w:tr w14:paraId="090E6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591"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CE054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ADF0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1A2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17928">
            <w:pPr>
              <w:rPr>
                <w:rFonts w:hint="eastAsia" w:ascii="宋体" w:hAnsi="宋体" w:eastAsia="宋体" w:cs="宋体"/>
                <w:i w:val="0"/>
                <w:iCs w:val="0"/>
                <w:color w:val="000000"/>
                <w:sz w:val="18"/>
                <w:szCs w:val="18"/>
                <w:u w:val="none"/>
              </w:rPr>
            </w:pPr>
          </w:p>
        </w:tc>
      </w:tr>
      <w:tr w14:paraId="43BD8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2CC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D4C856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保障1名职工的职业年金及时、足额缴纳。自评得分为100分。</w:t>
            </w:r>
          </w:p>
        </w:tc>
      </w:tr>
      <w:tr w14:paraId="08A5E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CAC9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09C04E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14:paraId="05A5C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E472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B6984E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14:paraId="54C35E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3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593B07D">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项目负责人：张慧萍</w:t>
            </w:r>
          </w:p>
        </w:tc>
        <w:tc>
          <w:tcPr>
            <w:tcW w:w="256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7F6192D">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财务负责人：辜炯益</w:t>
            </w:r>
          </w:p>
        </w:tc>
      </w:tr>
    </w:tbl>
    <w:p w14:paraId="361C5B98">
      <w:r>
        <w:br w:type="page"/>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550"/>
        <w:gridCol w:w="493"/>
        <w:gridCol w:w="1089"/>
        <w:gridCol w:w="2136"/>
        <w:gridCol w:w="549"/>
        <w:gridCol w:w="799"/>
        <w:gridCol w:w="585"/>
        <w:gridCol w:w="870"/>
        <w:gridCol w:w="486"/>
        <w:gridCol w:w="500"/>
        <w:gridCol w:w="2049"/>
      </w:tblGrid>
      <w:tr w14:paraId="7E1C65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7AF8D8E9">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val="0"/>
                <w:bCs w:val="0"/>
                <w:i w:val="0"/>
                <w:iCs w:val="0"/>
                <w:color w:val="000000"/>
                <w:kern w:val="0"/>
                <w:sz w:val="30"/>
                <w:szCs w:val="30"/>
                <w:u w:val="none"/>
                <w:lang w:val="en-US" w:eastAsia="zh-CN" w:bidi="ar"/>
              </w:rPr>
              <w:t>部门预算项目支出绩效自评表（2023年度）</w:t>
            </w:r>
          </w:p>
        </w:tc>
      </w:tr>
      <w:tr w14:paraId="6FB76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BD827B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4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2AE6EA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51080023T000009152210-中央药品监管补助资金</w:t>
            </w:r>
          </w:p>
        </w:tc>
      </w:tr>
      <w:tr w14:paraId="1C032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7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2B7BFC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41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FAC560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广元市市场监督管理局部门</w:t>
            </w:r>
          </w:p>
        </w:tc>
        <w:tc>
          <w:tcPr>
            <w:tcW w:w="405" w:type="pct"/>
            <w:tcBorders>
              <w:top w:val="nil"/>
              <w:left w:val="nil"/>
              <w:bottom w:val="nil"/>
              <w:right w:val="nil"/>
            </w:tcBorders>
            <w:shd w:val="clear" w:color="auto" w:fill="auto"/>
            <w:vAlign w:val="center"/>
          </w:tcPr>
          <w:p w14:paraId="51FD9A2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42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FE5F8A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广元市食品药品检验检测中心</w:t>
            </w:r>
          </w:p>
        </w:tc>
      </w:tr>
      <w:tr w14:paraId="03237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6CD36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8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56946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41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72044D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8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EC0238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3196B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9CD276">
            <w:pPr>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i w:val="0"/>
                <w:iCs w:val="0"/>
                <w:color w:val="000000"/>
                <w:sz w:val="18"/>
                <w:szCs w:val="18"/>
                <w:u w:val="none"/>
              </w:rPr>
            </w:pPr>
          </w:p>
        </w:tc>
        <w:tc>
          <w:tcPr>
            <w:tcW w:w="48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1A8F5C">
            <w:pPr>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i w:val="0"/>
                <w:iCs w:val="0"/>
                <w:color w:val="000000"/>
                <w:sz w:val="18"/>
                <w:szCs w:val="18"/>
                <w:u w:val="none"/>
              </w:rPr>
            </w:pPr>
          </w:p>
        </w:tc>
        <w:tc>
          <w:tcPr>
            <w:tcW w:w="241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6AB49E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帮助药品企业、药品种养殖业开展产品质量分析，培训人员，提高企业药品质量把控能力。</w:t>
            </w:r>
          </w:p>
        </w:tc>
        <w:tc>
          <w:tcPr>
            <w:tcW w:w="18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5D4CA3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2023年，帮助药品企业、药品种养殖业开展产品质量分析，培训人员，提高企业药品质量把控能力。</w:t>
            </w:r>
          </w:p>
        </w:tc>
      </w:tr>
      <w:tr w14:paraId="1D48A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60B373">
            <w:pPr>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i w:val="0"/>
                <w:iCs w:val="0"/>
                <w:color w:val="000000"/>
                <w:sz w:val="18"/>
                <w:szCs w:val="18"/>
                <w:u w:val="none"/>
              </w:rPr>
            </w:pP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195F4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4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10E3B9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该项目由中心药品分管领导负责实施，培训企业管理人员工作由药品业务科牵头，相关科室配合落实。</w:t>
            </w:r>
          </w:p>
        </w:tc>
      </w:tr>
      <w:tr w14:paraId="134AB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68BB7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432C9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45EA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3310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0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23A62A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9B84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BA69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D323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59" w:type="pct"/>
            <w:tcBorders>
              <w:top w:val="single" w:color="000000" w:sz="4" w:space="0"/>
              <w:left w:val="single" w:color="000000" w:sz="4" w:space="0"/>
              <w:bottom w:val="nil"/>
              <w:right w:val="single" w:color="000000" w:sz="4" w:space="0"/>
            </w:tcBorders>
            <w:shd w:val="clear" w:color="auto" w:fill="auto"/>
            <w:vAlign w:val="center"/>
          </w:tcPr>
          <w:p w14:paraId="71AE000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3BF04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E5004E">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467CC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DD01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5116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90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C139C8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1E12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70EC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4" w:type="pct"/>
            <w:tcBorders>
              <w:top w:val="single" w:color="000000" w:sz="4" w:space="0"/>
              <w:left w:val="single" w:color="000000" w:sz="4" w:space="0"/>
              <w:bottom w:val="single" w:color="000000" w:sz="4" w:space="0"/>
              <w:right w:val="nil"/>
            </w:tcBorders>
            <w:shd w:val="clear" w:color="auto" w:fill="auto"/>
            <w:vAlign w:val="center"/>
          </w:tcPr>
          <w:p w14:paraId="41C5515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959"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1837362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14:paraId="68979C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774279">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62B33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F0D8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8B56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90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9DE0D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9556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C9FB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4" w:type="pct"/>
            <w:tcBorders>
              <w:top w:val="single" w:color="000000" w:sz="4" w:space="0"/>
              <w:left w:val="single" w:color="000000" w:sz="4" w:space="0"/>
              <w:bottom w:val="single" w:color="000000" w:sz="4" w:space="0"/>
              <w:right w:val="nil"/>
            </w:tcBorders>
            <w:shd w:val="clear" w:color="auto" w:fill="auto"/>
            <w:vAlign w:val="center"/>
          </w:tcPr>
          <w:p w14:paraId="5D07D78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9"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E5774DA">
            <w:pPr>
              <w:keepNext w:val="0"/>
              <w:keepLines w:val="0"/>
              <w:pageBreakBefore w:val="0"/>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18"/>
                <w:szCs w:val="18"/>
                <w:u w:val="none"/>
              </w:rPr>
            </w:pPr>
          </w:p>
        </w:tc>
      </w:tr>
      <w:tr w14:paraId="3FB9E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F118F1">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2BAE0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FFDF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8BD9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0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3A47AD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E2D9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3413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4" w:type="pct"/>
            <w:tcBorders>
              <w:top w:val="single" w:color="000000" w:sz="4" w:space="0"/>
              <w:left w:val="single" w:color="000000" w:sz="4" w:space="0"/>
              <w:bottom w:val="single" w:color="000000" w:sz="4" w:space="0"/>
              <w:right w:val="nil"/>
            </w:tcBorders>
            <w:shd w:val="clear" w:color="auto" w:fill="auto"/>
            <w:vAlign w:val="center"/>
          </w:tcPr>
          <w:p w14:paraId="16BC656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9"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FDA39A3">
            <w:pPr>
              <w:keepNext w:val="0"/>
              <w:keepLines w:val="0"/>
              <w:pageBreakBefore w:val="0"/>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18"/>
                <w:szCs w:val="18"/>
                <w:u w:val="none"/>
              </w:rPr>
            </w:pPr>
          </w:p>
        </w:tc>
      </w:tr>
      <w:tr w14:paraId="4F437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148DDC">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528DD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2D19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635F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0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B7AF5C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D785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B52D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4" w:type="pct"/>
            <w:tcBorders>
              <w:top w:val="single" w:color="000000" w:sz="4" w:space="0"/>
              <w:left w:val="single" w:color="000000" w:sz="4" w:space="0"/>
              <w:bottom w:val="single" w:color="000000" w:sz="4" w:space="0"/>
              <w:right w:val="nil"/>
            </w:tcBorders>
            <w:shd w:val="clear" w:color="auto" w:fill="auto"/>
            <w:vAlign w:val="center"/>
          </w:tcPr>
          <w:p w14:paraId="3A32FF9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9"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F4B9A1F">
            <w:pPr>
              <w:keepNext w:val="0"/>
              <w:keepLines w:val="0"/>
              <w:pageBreakBefore w:val="0"/>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18"/>
                <w:szCs w:val="18"/>
                <w:u w:val="none"/>
              </w:rPr>
            </w:pPr>
          </w:p>
        </w:tc>
      </w:tr>
      <w:tr w14:paraId="09BB1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9A0676">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F51C0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85981">
            <w:pPr>
              <w:keepNext w:val="0"/>
              <w:keepLines w:val="0"/>
              <w:pageBreakBefore w:val="0"/>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4E2B3">
            <w:pPr>
              <w:keepNext w:val="0"/>
              <w:keepLines w:val="0"/>
              <w:pageBreakBefore w:val="0"/>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c>
          <w:tcPr>
            <w:tcW w:w="90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1E6085A">
            <w:pPr>
              <w:keepNext w:val="0"/>
              <w:keepLines w:val="0"/>
              <w:pageBreakBefore w:val="0"/>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77585">
            <w:pPr>
              <w:keepNext w:val="0"/>
              <w:keepLines w:val="0"/>
              <w:pageBreakBefore w:val="0"/>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DBC3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4" w:type="pct"/>
            <w:tcBorders>
              <w:top w:val="single" w:color="000000" w:sz="4" w:space="0"/>
              <w:left w:val="single" w:color="000000" w:sz="4" w:space="0"/>
              <w:bottom w:val="single" w:color="000000" w:sz="4" w:space="0"/>
              <w:right w:val="nil"/>
            </w:tcBorders>
            <w:shd w:val="clear" w:color="auto" w:fill="auto"/>
            <w:vAlign w:val="center"/>
          </w:tcPr>
          <w:p w14:paraId="2D0B8FA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9"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8D28087">
            <w:pPr>
              <w:keepNext w:val="0"/>
              <w:keepLines w:val="0"/>
              <w:pageBreakBefore w:val="0"/>
              <w:kinsoku/>
              <w:wordWrap/>
              <w:overflowPunct/>
              <w:topLinePunct w:val="0"/>
              <w:autoSpaceDE/>
              <w:autoSpaceDN/>
              <w:bidi w:val="0"/>
              <w:adjustRightInd/>
              <w:snapToGrid/>
              <w:spacing w:line="300" w:lineRule="exact"/>
              <w:jc w:val="left"/>
              <w:rPr>
                <w:rFonts w:hint="eastAsia" w:ascii="宋体" w:hAnsi="宋体" w:eastAsia="宋体" w:cs="宋体"/>
                <w:i w:val="0"/>
                <w:iCs w:val="0"/>
                <w:color w:val="000000"/>
                <w:sz w:val="18"/>
                <w:szCs w:val="18"/>
                <w:u w:val="none"/>
              </w:rPr>
            </w:pPr>
          </w:p>
        </w:tc>
      </w:tr>
      <w:tr w14:paraId="6599D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4A7BA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30258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8AE0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3BEC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04A7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4FD9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D7BC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95A5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F440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F0D6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59" w:type="pct"/>
            <w:tcBorders>
              <w:top w:val="nil"/>
              <w:left w:val="single" w:color="000000" w:sz="4" w:space="0"/>
              <w:bottom w:val="single" w:color="000000" w:sz="4" w:space="0"/>
              <w:right w:val="single" w:color="000000" w:sz="4" w:space="0"/>
            </w:tcBorders>
            <w:shd w:val="clear" w:color="auto" w:fill="auto"/>
            <w:vAlign w:val="center"/>
          </w:tcPr>
          <w:p w14:paraId="46A022E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74017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5496F1">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48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07D0E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1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B89F7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A8A6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培训企业质量管理人员</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A692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BEAC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8779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人次</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F65F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43FF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9A04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FA487">
            <w:pPr>
              <w:keepNext w:val="0"/>
              <w:keepLines w:val="0"/>
              <w:pageBreakBefore w:val="0"/>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r>
      <w:tr w14:paraId="7CC6B2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C6C3F3">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48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5C2B64">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5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CA5BC7">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9890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开展质量分析指导</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259B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B8C8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86BD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36D1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8267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E977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8A3A5">
            <w:pPr>
              <w:keepNext w:val="0"/>
              <w:keepLines w:val="0"/>
              <w:pageBreakBefore w:val="0"/>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r>
      <w:tr w14:paraId="6AB6B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BF34CB">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48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1B32C3">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5CB9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490A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培训人员完成率</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0499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7764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7DD7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0EB2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CA4B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54AF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F9A17">
            <w:pPr>
              <w:keepNext w:val="0"/>
              <w:keepLines w:val="0"/>
              <w:pageBreakBefore w:val="0"/>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r>
      <w:tr w14:paraId="708D2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B68483">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48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7CEBAE">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58EC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0DC7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任务完成时间</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D468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4C48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DF6A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C40A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B894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8312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9A77C">
            <w:pPr>
              <w:keepNext w:val="0"/>
              <w:keepLines w:val="0"/>
              <w:pageBreakBefore w:val="0"/>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r>
      <w:tr w14:paraId="12FE7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F149E5">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C9093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38AF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1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4EEF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企业药品质量把控能力</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6D9A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BB87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299FD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5DB7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56B9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2317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9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71EA3">
            <w:pPr>
              <w:keepNext w:val="0"/>
              <w:keepLines w:val="0"/>
              <w:pageBreakBefore w:val="0"/>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r>
      <w:tr w14:paraId="17E83C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02028D">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4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779DB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8F9A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7A0B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公众对药品安全的总体满意度</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B9C0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6597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A2D0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98C9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E6A9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E027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CC250">
            <w:pPr>
              <w:keepNext w:val="0"/>
              <w:keepLines w:val="0"/>
              <w:pageBreakBefore w:val="0"/>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r>
      <w:tr w14:paraId="2F2ED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E9BA20">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48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E2671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51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A1736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5B20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专用材料费、劳务费</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369F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D2AA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995C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77B70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2.55</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0E92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9911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BE632">
            <w:pPr>
              <w:keepNext w:val="0"/>
              <w:keepLines w:val="0"/>
              <w:pageBreakBefore w:val="0"/>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r>
      <w:tr w14:paraId="68B29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34891E">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48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B0AFF3">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5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7DB5F5">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7315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差旅费、维修（护）费</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086F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0296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76C5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F8C2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1.65</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44A4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BC96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9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17F32">
            <w:pPr>
              <w:keepNext w:val="0"/>
              <w:keepLines w:val="0"/>
              <w:pageBreakBefore w:val="0"/>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r>
      <w:tr w14:paraId="7630C0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4DCF65">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48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393F66">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5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8492AE">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18"/>
                <w:szCs w:val="18"/>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4C51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其他交通费及其他商品和服务支出</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B9CE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2624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3A2E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4EFD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0.8</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DE59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1DD8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9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38B9B">
            <w:pPr>
              <w:keepNext w:val="0"/>
              <w:keepLines w:val="0"/>
              <w:pageBreakBefore w:val="0"/>
              <w:kinsoku/>
              <w:wordWrap/>
              <w:overflowPunct/>
              <w:topLinePunct w:val="0"/>
              <w:autoSpaceDE/>
              <w:autoSpaceDN/>
              <w:bidi w:val="0"/>
              <w:adjustRightInd/>
              <w:snapToGrid/>
              <w:spacing w:line="300" w:lineRule="exact"/>
              <w:jc w:val="center"/>
              <w:rPr>
                <w:rFonts w:hint="eastAsia" w:ascii="微软雅黑" w:hAnsi="微软雅黑" w:eastAsia="微软雅黑" w:cs="微软雅黑"/>
                <w:i/>
                <w:iCs/>
                <w:color w:val="000000"/>
                <w:sz w:val="16"/>
                <w:szCs w:val="16"/>
                <w:u w:val="none"/>
              </w:rPr>
            </w:pPr>
          </w:p>
        </w:tc>
      </w:tr>
      <w:tr w14:paraId="1DD97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57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2B21BFC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B790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200E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9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71398">
            <w:pPr>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i w:val="0"/>
                <w:iCs w:val="0"/>
                <w:color w:val="000000"/>
                <w:sz w:val="18"/>
                <w:szCs w:val="18"/>
                <w:u w:val="none"/>
              </w:rPr>
            </w:pPr>
          </w:p>
        </w:tc>
      </w:tr>
      <w:tr w14:paraId="72AAE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5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82CE7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47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DC4E9C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通过该项目的实施，提升企业药品质量把控能力。绩效自评得分99分。</w:t>
            </w:r>
          </w:p>
        </w:tc>
      </w:tr>
      <w:tr w14:paraId="076A6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 w:hRule="atLeast"/>
        </w:trPr>
        <w:tc>
          <w:tcPr>
            <w:tcW w:w="5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14495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47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490B1C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14:paraId="6A3A5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C9F5C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47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B43218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14:paraId="2675A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2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E2C267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项目负责人：赵扬</w:t>
            </w:r>
          </w:p>
        </w:tc>
        <w:tc>
          <w:tcPr>
            <w:tcW w:w="247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3C55E8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财务负责人：辜炯益</w:t>
            </w:r>
          </w:p>
        </w:tc>
      </w:tr>
    </w:tbl>
    <w:p w14:paraId="501C4162">
      <w:pPr>
        <w:keepNext w:val="0"/>
        <w:keepLines w:val="0"/>
        <w:pageBreakBefore w:val="0"/>
        <w:kinsoku/>
        <w:wordWrap/>
        <w:overflowPunct/>
        <w:topLinePunct w:val="0"/>
        <w:autoSpaceDE/>
        <w:autoSpaceDN/>
        <w:bidi w:val="0"/>
        <w:adjustRightInd/>
        <w:snapToGrid/>
        <w:spacing w:line="300" w:lineRule="exact"/>
      </w:pPr>
      <w:r>
        <w:br w:type="page"/>
      </w:r>
    </w:p>
    <w:tbl>
      <w:tblPr>
        <w:tblStyle w:val="12"/>
        <w:tblW w:w="554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
        <w:gridCol w:w="483"/>
        <w:gridCol w:w="1023"/>
        <w:gridCol w:w="1367"/>
        <w:gridCol w:w="1644"/>
        <w:gridCol w:w="452"/>
        <w:gridCol w:w="969"/>
        <w:gridCol w:w="757"/>
        <w:gridCol w:w="958"/>
        <w:gridCol w:w="487"/>
        <w:gridCol w:w="493"/>
        <w:gridCol w:w="1958"/>
        <w:gridCol w:w="1169"/>
      </w:tblGrid>
      <w:tr w14:paraId="3B9D0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93" w:type="pct"/>
          <w:trHeight w:val="904" w:hRule="atLeast"/>
        </w:trPr>
        <w:tc>
          <w:tcPr>
            <w:tcW w:w="4506"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73E8CADD">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val="0"/>
                <w:bCs w:val="0"/>
                <w:i w:val="0"/>
                <w:iCs w:val="0"/>
                <w:color w:val="000000"/>
                <w:kern w:val="0"/>
                <w:sz w:val="30"/>
                <w:szCs w:val="30"/>
                <w:u w:val="none"/>
                <w:lang w:val="en-US" w:eastAsia="zh-CN" w:bidi="ar"/>
              </w:rPr>
              <w:t>部门预算项目支出绩效自评表（2023年度）</w:t>
            </w:r>
          </w:p>
        </w:tc>
      </w:tr>
      <w:tr w14:paraId="22061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93" w:type="pct"/>
          <w:trHeight w:val="286" w:hRule="atLeast"/>
        </w:trPr>
        <w:tc>
          <w:tcPr>
            <w:tcW w:w="67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5CA2A1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383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81E82F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51080023T000009156255-2023年药品监管专项资金</w:t>
            </w:r>
          </w:p>
        </w:tc>
      </w:tr>
      <w:tr w14:paraId="101DD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93" w:type="pct"/>
          <w:trHeight w:val="512" w:hRule="atLeast"/>
        </w:trPr>
        <w:tc>
          <w:tcPr>
            <w:tcW w:w="67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99288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8D8FFE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广元市市场监督管理局部门</w:t>
            </w:r>
          </w:p>
        </w:tc>
        <w:tc>
          <w:tcPr>
            <w:tcW w:w="402" w:type="pct"/>
            <w:tcBorders>
              <w:top w:val="nil"/>
              <w:left w:val="nil"/>
              <w:bottom w:val="nil"/>
              <w:right w:val="nil"/>
            </w:tcBorders>
            <w:shd w:val="clear" w:color="auto" w:fill="auto"/>
            <w:vAlign w:val="center"/>
          </w:tcPr>
          <w:p w14:paraId="004D21AD">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23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FF8A9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广元市食品药品检验检测中心</w:t>
            </w:r>
          </w:p>
        </w:tc>
      </w:tr>
      <w:tr w14:paraId="19DBF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93" w:type="pct"/>
          <w:trHeight w:val="286" w:hRule="atLeast"/>
        </w:trPr>
        <w:tc>
          <w:tcPr>
            <w:tcW w:w="24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B7B92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82F29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D2EA4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64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8E1AAEF">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3DC39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93" w:type="pct"/>
          <w:trHeight w:val="2220" w:hRule="atLeast"/>
        </w:trPr>
        <w:tc>
          <w:tcPr>
            <w:tcW w:w="24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A8BB20">
            <w:pPr>
              <w:rPr>
                <w:rFonts w:hint="eastAsia" w:ascii="宋体" w:hAnsi="宋体" w:eastAsia="宋体" w:cs="宋体"/>
                <w:i w:val="0"/>
                <w:iCs w:val="0"/>
                <w:color w:val="000000"/>
                <w:sz w:val="18"/>
                <w:szCs w:val="18"/>
                <w:u w:val="none"/>
              </w:rPr>
            </w:pPr>
          </w:p>
        </w:tc>
        <w:tc>
          <w:tcPr>
            <w:tcW w:w="4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F03697">
            <w:pPr>
              <w:rPr>
                <w:rFonts w:hint="eastAsia" w:ascii="宋体" w:hAnsi="宋体" w:eastAsia="宋体" w:cs="宋体"/>
                <w:i w:val="0"/>
                <w:iCs w:val="0"/>
                <w:color w:val="000000"/>
                <w:sz w:val="18"/>
                <w:szCs w:val="18"/>
                <w:u w:val="none"/>
              </w:rPr>
            </w:pPr>
          </w:p>
        </w:tc>
        <w:tc>
          <w:tcPr>
            <w:tcW w:w="21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723021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按照省、市局文件要求，进一步加强药品化妆品质量监管，充分发挥药品化妆品抽检工作在风险防控方面的技术支撑作用，加大对假劣药品化妆品的打击力度，确保人民群众用药用妆安全有效。2.在参梅养胃颗粒（有糖型）生产工艺的基础上，探索参梅养胃颗粒（无糖型）的生产工艺，主要研究中药提取、浸膏浓缩工艺、喷干工艺、制剂成型工艺。对参梅养胃颗粒（无糖型）成品进行质量研究：在原国家卫生部药品标准WS3-B-1770-94基础上，依据《中国药典》2020年版第一部、第四部对参梅养胃颗粒质量标准进行提升研究，并起草《参梅养胃颗粒（无糖型）质量标准》。</w:t>
            </w:r>
          </w:p>
        </w:tc>
        <w:tc>
          <w:tcPr>
            <w:tcW w:w="164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E6CAEB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完成药品抽验、化妆品抽样工作。2.在参梅养胃颗粒（有糖型）生产工艺的基础上，探索参梅养胃颗粒（无糖型）的生产工艺，主要研究中药提取、浸膏浓缩工艺、喷干工艺、制剂成型工艺。对参梅养胃颗粒（无糖型）成品进行质量研究：在原国家卫生部药品标准WS3-B-1770-94基础上，依据《中国药典》2020年版第一部、第四部对参梅养胃颗粒质量标准进行提升研究，并起草《参梅养胃颗粒（无糖型）质量标准》。</w:t>
            </w:r>
          </w:p>
        </w:tc>
      </w:tr>
      <w:tr w14:paraId="5D526B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93" w:type="pct"/>
          <w:trHeight w:val="693" w:hRule="atLeast"/>
        </w:trPr>
        <w:tc>
          <w:tcPr>
            <w:tcW w:w="24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402D6A">
            <w:pPr>
              <w:rPr>
                <w:rFonts w:hint="eastAsia" w:ascii="宋体" w:hAnsi="宋体" w:eastAsia="宋体" w:cs="宋体"/>
                <w:i w:val="0"/>
                <w:iCs w:val="0"/>
                <w:color w:val="000000"/>
                <w:sz w:val="18"/>
                <w:szCs w:val="18"/>
                <w:u w:val="none"/>
              </w:rPr>
            </w:pP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5739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383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C90346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由中心药品分管领导负责实施，具体抽检工作由中心药品业务科牵头，相关科室配合落实。抽检工作按照《药品质量监督抽验管理规定》及《四川省药品抽验工作绩效考核标准》（2023年）、中心制定的《抽检实施细则》、项目绩效目标要求，药品业务科抽样和支付购样费、样品登记管理、检测科室开展检测、药品业务科出具报告和汇总上报抽检情况。</w:t>
            </w:r>
          </w:p>
        </w:tc>
      </w:tr>
      <w:tr w14:paraId="659D8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93" w:type="pct"/>
          <w:trHeight w:val="361" w:hRule="atLeast"/>
        </w:trPr>
        <w:tc>
          <w:tcPr>
            <w:tcW w:w="24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B0E0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90EF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B83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C24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1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CDB55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01C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A98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0A8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09D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4E96A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93" w:type="pct"/>
          <w:trHeight w:val="346" w:hRule="atLeast"/>
        </w:trPr>
        <w:tc>
          <w:tcPr>
            <w:tcW w:w="24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1596A9">
            <w:pPr>
              <w:jc w:val="center"/>
              <w:rPr>
                <w:rFonts w:hint="eastAsia" w:ascii="宋体" w:hAnsi="宋体" w:eastAsia="宋体" w:cs="宋体"/>
                <w:i w:val="0"/>
                <w:iCs w:val="0"/>
                <w:color w:val="000000"/>
                <w:sz w:val="18"/>
                <w:szCs w:val="18"/>
                <w:u w:val="none"/>
              </w:rPr>
            </w:pP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DF7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5C6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F64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88.00</w:t>
            </w:r>
          </w:p>
        </w:tc>
        <w:tc>
          <w:tcPr>
            <w:tcW w:w="91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E323A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78.34</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A32C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89.02%</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01D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00B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25" w:type="pct"/>
            <w:vMerge w:val="restart"/>
            <w:tcBorders>
              <w:top w:val="single" w:color="000000" w:sz="4" w:space="0"/>
              <w:left w:val="single" w:color="000000" w:sz="4" w:space="0"/>
              <w:bottom w:val="single" w:color="000000" w:sz="4" w:space="0"/>
              <w:right w:val="nil"/>
            </w:tcBorders>
            <w:shd w:val="clear" w:color="auto" w:fill="auto"/>
            <w:vAlign w:val="top"/>
          </w:tcPr>
          <w:p w14:paraId="69E5BF21">
            <w:pPr>
              <w:keepNext w:val="0"/>
              <w:keepLines w:val="0"/>
              <w:widowControl/>
              <w:suppressLineNumbers w:val="0"/>
              <w:jc w:val="left"/>
              <w:textAlignment w:val="top"/>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调整追加预算88.00万元，为省级药品监管专项资金，主要是省级药品监督抽检工作和科研项目工作。结转项目资金9.66万元为科研项目资金，科研项目工作周期两年，按工作进度，2024年完成该项科研工作。</w:t>
            </w:r>
          </w:p>
        </w:tc>
      </w:tr>
      <w:tr w14:paraId="3CDB7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93" w:type="pct"/>
          <w:trHeight w:val="391" w:hRule="atLeast"/>
        </w:trPr>
        <w:tc>
          <w:tcPr>
            <w:tcW w:w="24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62392C">
            <w:pPr>
              <w:jc w:val="center"/>
              <w:rPr>
                <w:rFonts w:hint="eastAsia" w:ascii="宋体" w:hAnsi="宋体" w:eastAsia="宋体" w:cs="宋体"/>
                <w:i w:val="0"/>
                <w:iCs w:val="0"/>
                <w:color w:val="000000"/>
                <w:sz w:val="18"/>
                <w:szCs w:val="18"/>
                <w:u w:val="none"/>
              </w:rPr>
            </w:pP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972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8D8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0D1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88.00</w:t>
            </w:r>
          </w:p>
        </w:tc>
        <w:tc>
          <w:tcPr>
            <w:tcW w:w="91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84F3D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78.34</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0F5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89.02%</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708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1E5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25" w:type="pct"/>
            <w:vMerge w:val="continue"/>
            <w:tcBorders>
              <w:top w:val="single" w:color="000000" w:sz="4" w:space="0"/>
              <w:left w:val="single" w:color="000000" w:sz="4" w:space="0"/>
              <w:bottom w:val="single" w:color="000000" w:sz="4" w:space="0"/>
              <w:right w:val="nil"/>
            </w:tcBorders>
            <w:shd w:val="clear" w:color="auto" w:fill="auto"/>
            <w:vAlign w:val="top"/>
          </w:tcPr>
          <w:p w14:paraId="7926AAD4">
            <w:pPr>
              <w:jc w:val="left"/>
              <w:rPr>
                <w:rFonts w:hint="eastAsia" w:ascii="宋体" w:hAnsi="宋体" w:eastAsia="宋体" w:cs="宋体"/>
                <w:i w:val="0"/>
                <w:iCs w:val="0"/>
                <w:color w:val="000000"/>
                <w:sz w:val="18"/>
                <w:szCs w:val="18"/>
                <w:u w:val="none"/>
              </w:rPr>
            </w:pPr>
          </w:p>
        </w:tc>
      </w:tr>
      <w:tr w14:paraId="77ADA8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93" w:type="pct"/>
          <w:trHeight w:val="407" w:hRule="atLeast"/>
        </w:trPr>
        <w:tc>
          <w:tcPr>
            <w:tcW w:w="24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F40F1F">
            <w:pPr>
              <w:jc w:val="center"/>
              <w:rPr>
                <w:rFonts w:hint="eastAsia" w:ascii="宋体" w:hAnsi="宋体" w:eastAsia="宋体" w:cs="宋体"/>
                <w:i w:val="0"/>
                <w:iCs w:val="0"/>
                <w:color w:val="000000"/>
                <w:sz w:val="18"/>
                <w:szCs w:val="18"/>
                <w:u w:val="none"/>
              </w:rPr>
            </w:pP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5CB6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BD4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B73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1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99149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AB5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1E8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C1C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25" w:type="pct"/>
            <w:vMerge w:val="continue"/>
            <w:tcBorders>
              <w:top w:val="single" w:color="000000" w:sz="4" w:space="0"/>
              <w:left w:val="single" w:color="000000" w:sz="4" w:space="0"/>
              <w:bottom w:val="single" w:color="000000" w:sz="4" w:space="0"/>
              <w:right w:val="nil"/>
            </w:tcBorders>
            <w:shd w:val="clear" w:color="auto" w:fill="auto"/>
            <w:vAlign w:val="top"/>
          </w:tcPr>
          <w:p w14:paraId="0063D39E">
            <w:pPr>
              <w:jc w:val="left"/>
              <w:rPr>
                <w:rFonts w:hint="eastAsia" w:ascii="宋体" w:hAnsi="宋体" w:eastAsia="宋体" w:cs="宋体"/>
                <w:i w:val="0"/>
                <w:iCs w:val="0"/>
                <w:color w:val="000000"/>
                <w:sz w:val="18"/>
                <w:szCs w:val="18"/>
                <w:u w:val="none"/>
              </w:rPr>
            </w:pPr>
          </w:p>
        </w:tc>
      </w:tr>
      <w:tr w14:paraId="49973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93" w:type="pct"/>
          <w:trHeight w:val="361" w:hRule="atLeast"/>
        </w:trPr>
        <w:tc>
          <w:tcPr>
            <w:tcW w:w="24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AC0255">
            <w:pPr>
              <w:jc w:val="center"/>
              <w:rPr>
                <w:rFonts w:hint="eastAsia" w:ascii="宋体" w:hAnsi="宋体" w:eastAsia="宋体" w:cs="宋体"/>
                <w:i w:val="0"/>
                <w:iCs w:val="0"/>
                <w:color w:val="000000"/>
                <w:sz w:val="18"/>
                <w:szCs w:val="18"/>
                <w:u w:val="none"/>
              </w:rPr>
            </w:pP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C7C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1D07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7D1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1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DE560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079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CAC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9AE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25" w:type="pct"/>
            <w:vMerge w:val="continue"/>
            <w:tcBorders>
              <w:top w:val="single" w:color="000000" w:sz="4" w:space="0"/>
              <w:left w:val="single" w:color="000000" w:sz="4" w:space="0"/>
              <w:bottom w:val="single" w:color="000000" w:sz="4" w:space="0"/>
              <w:right w:val="nil"/>
            </w:tcBorders>
            <w:shd w:val="clear" w:color="auto" w:fill="auto"/>
            <w:vAlign w:val="top"/>
          </w:tcPr>
          <w:p w14:paraId="2A7B5EE3">
            <w:pPr>
              <w:jc w:val="left"/>
              <w:rPr>
                <w:rFonts w:hint="eastAsia" w:ascii="宋体" w:hAnsi="宋体" w:eastAsia="宋体" w:cs="宋体"/>
                <w:i w:val="0"/>
                <w:iCs w:val="0"/>
                <w:color w:val="000000"/>
                <w:sz w:val="18"/>
                <w:szCs w:val="18"/>
                <w:u w:val="none"/>
              </w:rPr>
            </w:pPr>
          </w:p>
        </w:tc>
      </w:tr>
      <w:tr w14:paraId="31DBB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93" w:type="pct"/>
          <w:trHeight w:val="339" w:hRule="atLeast"/>
        </w:trPr>
        <w:tc>
          <w:tcPr>
            <w:tcW w:w="24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099F54">
            <w:pPr>
              <w:jc w:val="center"/>
              <w:rPr>
                <w:rFonts w:hint="eastAsia" w:ascii="宋体" w:hAnsi="宋体" w:eastAsia="宋体" w:cs="宋体"/>
                <w:i w:val="0"/>
                <w:iCs w:val="0"/>
                <w:color w:val="000000"/>
                <w:sz w:val="18"/>
                <w:szCs w:val="18"/>
                <w:u w:val="none"/>
              </w:rPr>
            </w:pP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157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13542">
            <w:pPr>
              <w:jc w:val="center"/>
              <w:rPr>
                <w:rFonts w:hint="eastAsia" w:ascii="微软雅黑" w:hAnsi="微软雅黑" w:eastAsia="微软雅黑" w:cs="微软雅黑"/>
                <w:i/>
                <w:iCs/>
                <w:color w:val="000000"/>
                <w:sz w:val="16"/>
                <w:szCs w:val="16"/>
                <w:u w:val="none"/>
              </w:rPr>
            </w:pP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BB49E">
            <w:pPr>
              <w:jc w:val="center"/>
              <w:rPr>
                <w:rFonts w:hint="eastAsia" w:ascii="微软雅黑" w:hAnsi="微软雅黑" w:eastAsia="微软雅黑" w:cs="微软雅黑"/>
                <w:i/>
                <w:iCs/>
                <w:color w:val="000000"/>
                <w:sz w:val="16"/>
                <w:szCs w:val="16"/>
                <w:u w:val="none"/>
              </w:rPr>
            </w:pPr>
          </w:p>
        </w:tc>
        <w:tc>
          <w:tcPr>
            <w:tcW w:w="91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7236FA4">
            <w:pPr>
              <w:jc w:val="center"/>
              <w:rPr>
                <w:rFonts w:hint="eastAsia" w:ascii="微软雅黑" w:hAnsi="微软雅黑" w:eastAsia="微软雅黑" w:cs="微软雅黑"/>
                <w:i/>
                <w:iCs/>
                <w:color w:val="000000"/>
                <w:sz w:val="16"/>
                <w:szCs w:val="16"/>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B3288">
            <w:pPr>
              <w:jc w:val="center"/>
              <w:rPr>
                <w:rFonts w:hint="eastAsia" w:ascii="微软雅黑" w:hAnsi="微软雅黑" w:eastAsia="微软雅黑" w:cs="微软雅黑"/>
                <w:i/>
                <w:iCs/>
                <w:color w:val="000000"/>
                <w:sz w:val="16"/>
                <w:szCs w:val="16"/>
                <w:u w:val="none"/>
              </w:rPr>
            </w:pP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1EE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70E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25" w:type="pct"/>
            <w:vMerge w:val="continue"/>
            <w:tcBorders>
              <w:top w:val="single" w:color="000000" w:sz="4" w:space="0"/>
              <w:left w:val="single" w:color="000000" w:sz="4" w:space="0"/>
              <w:bottom w:val="single" w:color="000000" w:sz="4" w:space="0"/>
              <w:right w:val="nil"/>
            </w:tcBorders>
            <w:shd w:val="clear" w:color="auto" w:fill="auto"/>
            <w:vAlign w:val="top"/>
          </w:tcPr>
          <w:p w14:paraId="2D8B1E34">
            <w:pPr>
              <w:jc w:val="left"/>
              <w:rPr>
                <w:rFonts w:hint="eastAsia" w:ascii="宋体" w:hAnsi="宋体" w:eastAsia="宋体" w:cs="宋体"/>
                <w:i w:val="0"/>
                <w:iCs w:val="0"/>
                <w:color w:val="000000"/>
                <w:sz w:val="18"/>
                <w:szCs w:val="18"/>
                <w:u w:val="none"/>
              </w:rPr>
            </w:pPr>
          </w:p>
        </w:tc>
      </w:tr>
      <w:tr w14:paraId="4CB26C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93" w:type="pct"/>
          <w:trHeight w:val="452" w:hRule="atLeast"/>
        </w:trPr>
        <w:tc>
          <w:tcPr>
            <w:tcW w:w="24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0862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6D1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CE8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0FE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F16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49F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F59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27B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30E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005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A14B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21520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93" w:type="pct"/>
          <w:trHeight w:val="339" w:hRule="atLeast"/>
        </w:trPr>
        <w:tc>
          <w:tcPr>
            <w:tcW w:w="24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046147">
            <w:pPr>
              <w:jc w:val="center"/>
              <w:rPr>
                <w:rFonts w:hint="eastAsia" w:ascii="宋体" w:hAnsi="宋体" w:eastAsia="宋体" w:cs="宋体"/>
                <w:i w:val="0"/>
                <w:iCs w:val="0"/>
                <w:color w:val="000000"/>
                <w:sz w:val="18"/>
                <w:szCs w:val="18"/>
                <w:u w:val="none"/>
              </w:rPr>
            </w:pPr>
          </w:p>
        </w:tc>
        <w:tc>
          <w:tcPr>
            <w:tcW w:w="4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0D70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B9CB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BC25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制定产品质量标准</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2E45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049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F48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4C7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9B5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EEF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36382">
            <w:pPr>
              <w:jc w:val="center"/>
              <w:rPr>
                <w:rFonts w:hint="eastAsia" w:ascii="微软雅黑" w:hAnsi="微软雅黑" w:eastAsia="微软雅黑" w:cs="微软雅黑"/>
                <w:i/>
                <w:iCs/>
                <w:color w:val="000000"/>
                <w:sz w:val="16"/>
                <w:szCs w:val="16"/>
                <w:u w:val="none"/>
              </w:rPr>
            </w:pPr>
          </w:p>
        </w:tc>
      </w:tr>
      <w:tr w14:paraId="6B3F0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93" w:type="pct"/>
          <w:trHeight w:val="339" w:hRule="atLeast"/>
        </w:trPr>
        <w:tc>
          <w:tcPr>
            <w:tcW w:w="24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1402B5">
            <w:pPr>
              <w:jc w:val="center"/>
              <w:rPr>
                <w:rFonts w:hint="eastAsia" w:ascii="宋体" w:hAnsi="宋体" w:eastAsia="宋体" w:cs="宋体"/>
                <w:i w:val="0"/>
                <w:iCs w:val="0"/>
                <w:color w:val="000000"/>
                <w:sz w:val="18"/>
                <w:szCs w:val="18"/>
                <w:u w:val="none"/>
              </w:rPr>
            </w:pPr>
          </w:p>
        </w:tc>
        <w:tc>
          <w:tcPr>
            <w:tcW w:w="4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D03947">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4C5BDA">
            <w:pPr>
              <w:jc w:val="center"/>
              <w:rPr>
                <w:rFonts w:hint="eastAsia" w:ascii="宋体" w:hAnsi="宋体" w:eastAsia="宋体" w:cs="宋体"/>
                <w:i w:val="0"/>
                <w:iCs w:val="0"/>
                <w:color w:val="000000"/>
                <w:sz w:val="18"/>
                <w:szCs w:val="18"/>
                <w:u w:val="none"/>
              </w:rPr>
            </w:pP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375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完成药品抽验批次</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5FA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070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271</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1F0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批次</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6B5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271</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EC74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4A70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6D8EA">
            <w:pPr>
              <w:jc w:val="center"/>
              <w:rPr>
                <w:rFonts w:hint="eastAsia" w:ascii="微软雅黑" w:hAnsi="微软雅黑" w:eastAsia="微软雅黑" w:cs="微软雅黑"/>
                <w:i/>
                <w:iCs/>
                <w:color w:val="000000"/>
                <w:sz w:val="16"/>
                <w:szCs w:val="16"/>
                <w:u w:val="none"/>
              </w:rPr>
            </w:pPr>
          </w:p>
        </w:tc>
      </w:tr>
      <w:tr w14:paraId="7F636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93" w:type="pct"/>
          <w:trHeight w:val="339" w:hRule="atLeast"/>
        </w:trPr>
        <w:tc>
          <w:tcPr>
            <w:tcW w:w="24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A39BAF">
            <w:pPr>
              <w:jc w:val="center"/>
              <w:rPr>
                <w:rFonts w:hint="eastAsia" w:ascii="宋体" w:hAnsi="宋体" w:eastAsia="宋体" w:cs="宋体"/>
                <w:i w:val="0"/>
                <w:iCs w:val="0"/>
                <w:color w:val="000000"/>
                <w:sz w:val="18"/>
                <w:szCs w:val="18"/>
                <w:u w:val="none"/>
              </w:rPr>
            </w:pPr>
          </w:p>
        </w:tc>
        <w:tc>
          <w:tcPr>
            <w:tcW w:w="4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58B5A">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4DAE61">
            <w:pPr>
              <w:jc w:val="center"/>
              <w:rPr>
                <w:rFonts w:hint="eastAsia" w:ascii="宋体" w:hAnsi="宋体" w:eastAsia="宋体" w:cs="宋体"/>
                <w:i w:val="0"/>
                <w:iCs w:val="0"/>
                <w:color w:val="000000"/>
                <w:sz w:val="18"/>
                <w:szCs w:val="18"/>
                <w:u w:val="none"/>
              </w:rPr>
            </w:pP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A4E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完成化妆品抽验批次</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849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8F5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B859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批次</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EBC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B30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2F0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98982">
            <w:pPr>
              <w:jc w:val="center"/>
              <w:rPr>
                <w:rFonts w:hint="eastAsia" w:ascii="微软雅黑" w:hAnsi="微软雅黑" w:eastAsia="微软雅黑" w:cs="微软雅黑"/>
                <w:i/>
                <w:iCs/>
                <w:color w:val="000000"/>
                <w:sz w:val="16"/>
                <w:szCs w:val="16"/>
                <w:u w:val="none"/>
              </w:rPr>
            </w:pPr>
          </w:p>
        </w:tc>
      </w:tr>
      <w:tr w14:paraId="5CBA8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93" w:type="pct"/>
          <w:trHeight w:val="452" w:hRule="atLeast"/>
        </w:trPr>
        <w:tc>
          <w:tcPr>
            <w:tcW w:w="24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C66C88">
            <w:pPr>
              <w:jc w:val="center"/>
              <w:rPr>
                <w:rFonts w:hint="eastAsia" w:ascii="宋体" w:hAnsi="宋体" w:eastAsia="宋体" w:cs="宋体"/>
                <w:i w:val="0"/>
                <w:iCs w:val="0"/>
                <w:color w:val="000000"/>
                <w:sz w:val="18"/>
                <w:szCs w:val="18"/>
                <w:u w:val="none"/>
              </w:rPr>
            </w:pPr>
          </w:p>
        </w:tc>
        <w:tc>
          <w:tcPr>
            <w:tcW w:w="4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ECB5A0">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020610">
            <w:pPr>
              <w:jc w:val="center"/>
              <w:rPr>
                <w:rFonts w:hint="eastAsia" w:ascii="宋体" w:hAnsi="宋体" w:eastAsia="宋体" w:cs="宋体"/>
                <w:i w:val="0"/>
                <w:iCs w:val="0"/>
                <w:color w:val="000000"/>
                <w:sz w:val="18"/>
                <w:szCs w:val="18"/>
                <w:u w:val="none"/>
              </w:rPr>
            </w:pP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82D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发表国家级论文</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568B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5B7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A84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篇（部）</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73C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F82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C5B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8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29FB8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该项目周期为两年，按工作进度，2024年完成该项科研工作。</w:t>
            </w:r>
          </w:p>
        </w:tc>
      </w:tr>
      <w:tr w14:paraId="2399BB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93" w:type="pct"/>
          <w:trHeight w:val="452" w:hRule="atLeast"/>
        </w:trPr>
        <w:tc>
          <w:tcPr>
            <w:tcW w:w="24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3DBDE5">
            <w:pPr>
              <w:jc w:val="center"/>
              <w:rPr>
                <w:rFonts w:hint="eastAsia" w:ascii="宋体" w:hAnsi="宋体" w:eastAsia="宋体" w:cs="宋体"/>
                <w:i w:val="0"/>
                <w:iCs w:val="0"/>
                <w:color w:val="000000"/>
                <w:sz w:val="18"/>
                <w:szCs w:val="18"/>
                <w:u w:val="none"/>
              </w:rPr>
            </w:pPr>
          </w:p>
        </w:tc>
        <w:tc>
          <w:tcPr>
            <w:tcW w:w="4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AFC88A">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55A6B8">
            <w:pPr>
              <w:jc w:val="center"/>
              <w:rPr>
                <w:rFonts w:hint="eastAsia" w:ascii="宋体" w:hAnsi="宋体" w:eastAsia="宋体" w:cs="宋体"/>
                <w:i w:val="0"/>
                <w:iCs w:val="0"/>
                <w:color w:val="000000"/>
                <w:sz w:val="18"/>
                <w:szCs w:val="18"/>
                <w:u w:val="none"/>
              </w:rPr>
            </w:pP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CDC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新工艺（中药提取浓缩、喷雾干燥、制剂成形）</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264C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4CD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A65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64F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591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9A1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33D7C9">
            <w:pPr>
              <w:jc w:val="left"/>
              <w:rPr>
                <w:rFonts w:hint="eastAsia" w:ascii="宋体" w:hAnsi="宋体" w:eastAsia="宋体" w:cs="宋体"/>
                <w:i w:val="0"/>
                <w:iCs w:val="0"/>
                <w:color w:val="000000"/>
                <w:sz w:val="18"/>
                <w:szCs w:val="18"/>
                <w:u w:val="none"/>
              </w:rPr>
            </w:pPr>
          </w:p>
        </w:tc>
      </w:tr>
      <w:tr w14:paraId="669F52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93" w:type="pct"/>
          <w:trHeight w:val="452" w:hRule="atLeast"/>
        </w:trPr>
        <w:tc>
          <w:tcPr>
            <w:tcW w:w="24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04BF05">
            <w:pPr>
              <w:jc w:val="center"/>
              <w:rPr>
                <w:rFonts w:hint="eastAsia" w:ascii="宋体" w:hAnsi="宋体" w:eastAsia="宋体" w:cs="宋体"/>
                <w:i w:val="0"/>
                <w:iCs w:val="0"/>
                <w:color w:val="000000"/>
                <w:sz w:val="18"/>
                <w:szCs w:val="18"/>
                <w:u w:val="none"/>
              </w:rPr>
            </w:pPr>
          </w:p>
        </w:tc>
        <w:tc>
          <w:tcPr>
            <w:tcW w:w="4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5FE4FC">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220A86">
            <w:pPr>
              <w:jc w:val="center"/>
              <w:rPr>
                <w:rFonts w:hint="eastAsia" w:ascii="宋体" w:hAnsi="宋体" w:eastAsia="宋体" w:cs="宋体"/>
                <w:i w:val="0"/>
                <w:iCs w:val="0"/>
                <w:color w:val="000000"/>
                <w:sz w:val="18"/>
                <w:szCs w:val="18"/>
                <w:u w:val="none"/>
              </w:rPr>
            </w:pP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1C8F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新产品（无糖型参梅养胃颗粒）</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073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DC7F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DB67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74C0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225B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796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4D6C3">
            <w:pPr>
              <w:jc w:val="center"/>
              <w:rPr>
                <w:rFonts w:hint="eastAsia" w:ascii="微软雅黑" w:hAnsi="微软雅黑" w:eastAsia="微软雅黑" w:cs="微软雅黑"/>
                <w:i/>
                <w:iCs/>
                <w:color w:val="000000"/>
                <w:sz w:val="16"/>
                <w:szCs w:val="16"/>
                <w:u w:val="none"/>
              </w:rPr>
            </w:pPr>
          </w:p>
        </w:tc>
      </w:tr>
      <w:tr w14:paraId="1A2AB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93" w:type="pct"/>
          <w:trHeight w:val="678" w:hRule="atLeast"/>
        </w:trPr>
        <w:tc>
          <w:tcPr>
            <w:tcW w:w="24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10CD8F">
            <w:pPr>
              <w:jc w:val="center"/>
              <w:rPr>
                <w:rFonts w:hint="eastAsia" w:ascii="宋体" w:hAnsi="宋体" w:eastAsia="宋体" w:cs="宋体"/>
                <w:i w:val="0"/>
                <w:iCs w:val="0"/>
                <w:color w:val="000000"/>
                <w:sz w:val="18"/>
                <w:szCs w:val="18"/>
                <w:u w:val="none"/>
              </w:rPr>
            </w:pPr>
          </w:p>
        </w:tc>
        <w:tc>
          <w:tcPr>
            <w:tcW w:w="4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0C56B8">
            <w:pPr>
              <w:jc w:val="center"/>
              <w:rPr>
                <w:rFonts w:hint="eastAsia" w:ascii="宋体" w:hAnsi="宋体" w:eastAsia="宋体" w:cs="宋体"/>
                <w:i w:val="0"/>
                <w:iCs w:val="0"/>
                <w:color w:val="000000"/>
                <w:sz w:val="18"/>
                <w:szCs w:val="18"/>
                <w:u w:val="none"/>
              </w:rPr>
            </w:pP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2A6E0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093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应用新的质量标准对上市参梅养胃颗粒进行质量评价</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1CD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1EC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295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1FFD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1D7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06A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04079">
            <w:pPr>
              <w:jc w:val="center"/>
              <w:rPr>
                <w:rFonts w:hint="eastAsia" w:ascii="微软雅黑" w:hAnsi="微软雅黑" w:eastAsia="微软雅黑" w:cs="微软雅黑"/>
                <w:i/>
                <w:iCs/>
                <w:color w:val="000000"/>
                <w:sz w:val="16"/>
                <w:szCs w:val="16"/>
                <w:u w:val="none"/>
              </w:rPr>
            </w:pPr>
          </w:p>
        </w:tc>
      </w:tr>
      <w:tr w14:paraId="157CD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93" w:type="pct"/>
          <w:trHeight w:val="339" w:hRule="atLeast"/>
        </w:trPr>
        <w:tc>
          <w:tcPr>
            <w:tcW w:w="24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6F0CCF">
            <w:pPr>
              <w:jc w:val="center"/>
              <w:rPr>
                <w:rFonts w:hint="eastAsia" w:ascii="宋体" w:hAnsi="宋体" w:eastAsia="宋体" w:cs="宋体"/>
                <w:i w:val="0"/>
                <w:iCs w:val="0"/>
                <w:color w:val="000000"/>
                <w:sz w:val="18"/>
                <w:szCs w:val="18"/>
                <w:u w:val="none"/>
              </w:rPr>
            </w:pPr>
          </w:p>
        </w:tc>
        <w:tc>
          <w:tcPr>
            <w:tcW w:w="4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CEB38C">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3DEC7E">
            <w:pPr>
              <w:jc w:val="center"/>
              <w:rPr>
                <w:rFonts w:hint="eastAsia" w:ascii="宋体" w:hAnsi="宋体" w:eastAsia="宋体" w:cs="宋体"/>
                <w:i w:val="0"/>
                <w:iCs w:val="0"/>
                <w:color w:val="000000"/>
                <w:sz w:val="18"/>
                <w:szCs w:val="18"/>
                <w:u w:val="none"/>
              </w:rPr>
            </w:pP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C18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不合格检验报告处置率</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698F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F60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4DD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3B3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930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8F7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9743C">
            <w:pPr>
              <w:jc w:val="center"/>
              <w:rPr>
                <w:rFonts w:hint="eastAsia" w:ascii="微软雅黑" w:hAnsi="微软雅黑" w:eastAsia="微软雅黑" w:cs="微软雅黑"/>
                <w:i/>
                <w:iCs/>
                <w:color w:val="000000"/>
                <w:sz w:val="16"/>
                <w:szCs w:val="16"/>
                <w:u w:val="none"/>
              </w:rPr>
            </w:pPr>
          </w:p>
        </w:tc>
      </w:tr>
      <w:tr w14:paraId="6F1BA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93" w:type="pct"/>
          <w:trHeight w:val="452" w:hRule="atLeast"/>
        </w:trPr>
        <w:tc>
          <w:tcPr>
            <w:tcW w:w="24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DCE173">
            <w:pPr>
              <w:jc w:val="center"/>
              <w:rPr>
                <w:rFonts w:hint="eastAsia" w:ascii="宋体" w:hAnsi="宋体" w:eastAsia="宋体" w:cs="宋体"/>
                <w:i w:val="0"/>
                <w:iCs w:val="0"/>
                <w:color w:val="000000"/>
                <w:sz w:val="18"/>
                <w:szCs w:val="18"/>
                <w:u w:val="none"/>
              </w:rPr>
            </w:pPr>
          </w:p>
        </w:tc>
        <w:tc>
          <w:tcPr>
            <w:tcW w:w="4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61F213">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439ADB">
            <w:pPr>
              <w:jc w:val="center"/>
              <w:rPr>
                <w:rFonts w:hint="eastAsia" w:ascii="宋体" w:hAnsi="宋体" w:eastAsia="宋体" w:cs="宋体"/>
                <w:i w:val="0"/>
                <w:iCs w:val="0"/>
                <w:color w:val="000000"/>
                <w:sz w:val="18"/>
                <w:szCs w:val="18"/>
                <w:u w:val="none"/>
              </w:rPr>
            </w:pP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1F4B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药品、化妆品抽验任务完成率</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743B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5CB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8C8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1CB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368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B6D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80F3E">
            <w:pPr>
              <w:jc w:val="center"/>
              <w:rPr>
                <w:rFonts w:hint="eastAsia" w:ascii="微软雅黑" w:hAnsi="微软雅黑" w:eastAsia="微软雅黑" w:cs="微软雅黑"/>
                <w:i/>
                <w:iCs/>
                <w:color w:val="000000"/>
                <w:sz w:val="16"/>
                <w:szCs w:val="16"/>
                <w:u w:val="none"/>
              </w:rPr>
            </w:pPr>
          </w:p>
        </w:tc>
      </w:tr>
      <w:tr w14:paraId="45DE9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93" w:type="pct"/>
          <w:trHeight w:val="339" w:hRule="atLeast"/>
        </w:trPr>
        <w:tc>
          <w:tcPr>
            <w:tcW w:w="24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233217">
            <w:pPr>
              <w:jc w:val="center"/>
              <w:rPr>
                <w:rFonts w:hint="eastAsia" w:ascii="宋体" w:hAnsi="宋体" w:eastAsia="宋体" w:cs="宋体"/>
                <w:i w:val="0"/>
                <w:iCs w:val="0"/>
                <w:color w:val="000000"/>
                <w:sz w:val="18"/>
                <w:szCs w:val="18"/>
                <w:u w:val="none"/>
              </w:rPr>
            </w:pPr>
          </w:p>
        </w:tc>
        <w:tc>
          <w:tcPr>
            <w:tcW w:w="4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61A18D">
            <w:pPr>
              <w:jc w:val="center"/>
              <w:rPr>
                <w:rFonts w:hint="eastAsia" w:ascii="宋体" w:hAnsi="宋体" w:eastAsia="宋体" w:cs="宋体"/>
                <w:i w:val="0"/>
                <w:iCs w:val="0"/>
                <w:color w:val="000000"/>
                <w:sz w:val="18"/>
                <w:szCs w:val="18"/>
                <w:u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B13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776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任务完成时间</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AC1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EA3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E59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418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EE45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B95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45A6E">
            <w:pPr>
              <w:jc w:val="center"/>
              <w:rPr>
                <w:rFonts w:hint="eastAsia" w:ascii="微软雅黑" w:hAnsi="微软雅黑" w:eastAsia="微软雅黑" w:cs="微软雅黑"/>
                <w:i/>
                <w:iCs/>
                <w:color w:val="000000"/>
                <w:sz w:val="16"/>
                <w:szCs w:val="16"/>
                <w:u w:val="none"/>
              </w:rPr>
            </w:pPr>
          </w:p>
        </w:tc>
      </w:tr>
      <w:tr w14:paraId="3A06B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93" w:type="pct"/>
          <w:trHeight w:val="678" w:hRule="atLeast"/>
        </w:trPr>
        <w:tc>
          <w:tcPr>
            <w:tcW w:w="24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3A243D">
            <w:pPr>
              <w:jc w:val="center"/>
              <w:rPr>
                <w:rFonts w:hint="eastAsia" w:ascii="宋体" w:hAnsi="宋体" w:eastAsia="宋体" w:cs="宋体"/>
                <w:i w:val="0"/>
                <w:iCs w:val="0"/>
                <w:color w:val="000000"/>
                <w:sz w:val="18"/>
                <w:szCs w:val="18"/>
                <w:u w:val="none"/>
              </w:rPr>
            </w:pPr>
          </w:p>
        </w:tc>
        <w:tc>
          <w:tcPr>
            <w:tcW w:w="4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68C2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BB8B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3F3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该项目成果转换，新产品能更好满足糖尿病人用药需求</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3CA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FE0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投入生产</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8C2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62F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投入生产</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868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E7D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4CC700">
            <w:pPr>
              <w:jc w:val="center"/>
              <w:rPr>
                <w:rFonts w:hint="eastAsia" w:ascii="微软雅黑" w:hAnsi="微软雅黑" w:eastAsia="微软雅黑" w:cs="微软雅黑"/>
                <w:i/>
                <w:iCs/>
                <w:color w:val="000000"/>
                <w:sz w:val="16"/>
                <w:szCs w:val="16"/>
                <w:u w:val="none"/>
              </w:rPr>
            </w:pPr>
          </w:p>
        </w:tc>
      </w:tr>
      <w:tr w14:paraId="3AF66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93" w:type="pct"/>
          <w:trHeight w:val="452" w:hRule="atLeast"/>
        </w:trPr>
        <w:tc>
          <w:tcPr>
            <w:tcW w:w="24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D30AD5">
            <w:pPr>
              <w:jc w:val="center"/>
              <w:rPr>
                <w:rFonts w:hint="eastAsia" w:ascii="宋体" w:hAnsi="宋体" w:eastAsia="宋体" w:cs="宋体"/>
                <w:i w:val="0"/>
                <w:iCs w:val="0"/>
                <w:color w:val="000000"/>
                <w:sz w:val="18"/>
                <w:szCs w:val="18"/>
                <w:u w:val="none"/>
              </w:rPr>
            </w:pPr>
          </w:p>
        </w:tc>
        <w:tc>
          <w:tcPr>
            <w:tcW w:w="4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F47615">
            <w:pPr>
              <w:jc w:val="center"/>
              <w:rPr>
                <w:rFonts w:hint="eastAsia" w:ascii="宋体" w:hAnsi="宋体" w:eastAsia="宋体" w:cs="宋体"/>
                <w:i w:val="0"/>
                <w:iCs w:val="0"/>
                <w:color w:val="000000"/>
                <w:sz w:val="18"/>
                <w:szCs w:val="18"/>
                <w:u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388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ED6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公众对药品、化妆品的认识逐渐提高</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1DC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A2E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良</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A46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75E95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良</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E9B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1D95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8A501">
            <w:pPr>
              <w:jc w:val="center"/>
              <w:rPr>
                <w:rFonts w:hint="eastAsia" w:ascii="微软雅黑" w:hAnsi="微软雅黑" w:eastAsia="微软雅黑" w:cs="微软雅黑"/>
                <w:i/>
                <w:iCs/>
                <w:color w:val="000000"/>
                <w:sz w:val="16"/>
                <w:szCs w:val="16"/>
                <w:u w:val="none"/>
              </w:rPr>
            </w:pPr>
          </w:p>
        </w:tc>
      </w:tr>
      <w:tr w14:paraId="2D854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93" w:type="pct"/>
          <w:trHeight w:val="452" w:hRule="atLeast"/>
        </w:trPr>
        <w:tc>
          <w:tcPr>
            <w:tcW w:w="24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AEC716">
            <w:pPr>
              <w:jc w:val="center"/>
              <w:rPr>
                <w:rFonts w:hint="eastAsia" w:ascii="宋体" w:hAnsi="宋体" w:eastAsia="宋体" w:cs="宋体"/>
                <w:i w:val="0"/>
                <w:iCs w:val="0"/>
                <w:color w:val="000000"/>
                <w:sz w:val="18"/>
                <w:szCs w:val="18"/>
                <w:u w:val="none"/>
              </w:rPr>
            </w:pP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5A5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003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829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公众对药品安全的总体满意度</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DEF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C41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434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7D3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D34F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E04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C0DE6">
            <w:pPr>
              <w:jc w:val="center"/>
              <w:rPr>
                <w:rFonts w:hint="eastAsia" w:ascii="微软雅黑" w:hAnsi="微软雅黑" w:eastAsia="微软雅黑" w:cs="微软雅黑"/>
                <w:i/>
                <w:iCs/>
                <w:color w:val="000000"/>
                <w:sz w:val="16"/>
                <w:szCs w:val="16"/>
                <w:u w:val="none"/>
              </w:rPr>
            </w:pPr>
          </w:p>
        </w:tc>
      </w:tr>
      <w:tr w14:paraId="34F9B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93" w:type="pct"/>
          <w:trHeight w:val="339" w:hRule="atLeast"/>
        </w:trPr>
        <w:tc>
          <w:tcPr>
            <w:tcW w:w="24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046C46">
            <w:pPr>
              <w:jc w:val="center"/>
              <w:rPr>
                <w:rFonts w:hint="eastAsia" w:ascii="宋体" w:hAnsi="宋体" w:eastAsia="宋体" w:cs="宋体"/>
                <w:i w:val="0"/>
                <w:iCs w:val="0"/>
                <w:color w:val="000000"/>
                <w:sz w:val="18"/>
                <w:szCs w:val="18"/>
                <w:u w:val="none"/>
              </w:rPr>
            </w:pPr>
          </w:p>
        </w:tc>
        <w:tc>
          <w:tcPr>
            <w:tcW w:w="4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C2204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090E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05F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邮电费</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7F4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A347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027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19CF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BF6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23AF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E733C">
            <w:pPr>
              <w:jc w:val="center"/>
              <w:rPr>
                <w:rFonts w:hint="eastAsia" w:ascii="微软雅黑" w:hAnsi="微软雅黑" w:eastAsia="微软雅黑" w:cs="微软雅黑"/>
                <w:i/>
                <w:iCs/>
                <w:color w:val="000000"/>
                <w:sz w:val="16"/>
                <w:szCs w:val="16"/>
                <w:u w:val="none"/>
              </w:rPr>
            </w:pPr>
          </w:p>
        </w:tc>
      </w:tr>
      <w:tr w14:paraId="2A2AA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93" w:type="pct"/>
          <w:trHeight w:val="452" w:hRule="atLeast"/>
        </w:trPr>
        <w:tc>
          <w:tcPr>
            <w:tcW w:w="24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2BFDCE">
            <w:pPr>
              <w:jc w:val="center"/>
              <w:rPr>
                <w:rFonts w:hint="eastAsia" w:ascii="宋体" w:hAnsi="宋体" w:eastAsia="宋体" w:cs="宋体"/>
                <w:i w:val="0"/>
                <w:iCs w:val="0"/>
                <w:color w:val="000000"/>
                <w:sz w:val="18"/>
                <w:szCs w:val="18"/>
                <w:u w:val="none"/>
              </w:rPr>
            </w:pPr>
          </w:p>
        </w:tc>
        <w:tc>
          <w:tcPr>
            <w:tcW w:w="4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38691C">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305052">
            <w:pPr>
              <w:jc w:val="center"/>
              <w:rPr>
                <w:rFonts w:hint="eastAsia" w:ascii="宋体" w:hAnsi="宋体" w:eastAsia="宋体" w:cs="宋体"/>
                <w:i w:val="0"/>
                <w:iCs w:val="0"/>
                <w:color w:val="000000"/>
                <w:sz w:val="18"/>
                <w:szCs w:val="18"/>
                <w:u w:val="none"/>
              </w:rPr>
            </w:pP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E4E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差旅费、维修（护）费及培训费</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1FA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6A5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15.1</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CA6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6AD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19.85</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BBA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C00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2A127">
            <w:pPr>
              <w:jc w:val="center"/>
              <w:rPr>
                <w:rFonts w:hint="eastAsia" w:ascii="微软雅黑" w:hAnsi="微软雅黑" w:eastAsia="微软雅黑" w:cs="微软雅黑"/>
                <w:i/>
                <w:iCs/>
                <w:color w:val="000000"/>
                <w:sz w:val="16"/>
                <w:szCs w:val="16"/>
                <w:u w:val="none"/>
              </w:rPr>
            </w:pPr>
          </w:p>
        </w:tc>
      </w:tr>
      <w:tr w14:paraId="752202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93" w:type="pct"/>
          <w:trHeight w:val="339" w:hRule="atLeast"/>
        </w:trPr>
        <w:tc>
          <w:tcPr>
            <w:tcW w:w="24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9574CA">
            <w:pPr>
              <w:jc w:val="center"/>
              <w:rPr>
                <w:rFonts w:hint="eastAsia" w:ascii="宋体" w:hAnsi="宋体" w:eastAsia="宋体" w:cs="宋体"/>
                <w:i w:val="0"/>
                <w:iCs w:val="0"/>
                <w:color w:val="000000"/>
                <w:sz w:val="18"/>
                <w:szCs w:val="18"/>
                <w:u w:val="none"/>
              </w:rPr>
            </w:pPr>
          </w:p>
        </w:tc>
        <w:tc>
          <w:tcPr>
            <w:tcW w:w="4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8B2780">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28F534">
            <w:pPr>
              <w:jc w:val="center"/>
              <w:rPr>
                <w:rFonts w:hint="eastAsia" w:ascii="宋体" w:hAnsi="宋体" w:eastAsia="宋体" w:cs="宋体"/>
                <w:i w:val="0"/>
                <w:iCs w:val="0"/>
                <w:color w:val="000000"/>
                <w:sz w:val="18"/>
                <w:szCs w:val="18"/>
                <w:u w:val="none"/>
              </w:rPr>
            </w:pP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B2D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印刷、水电费</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694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A9A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8.7</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E4D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676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5.58</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1D4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76F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0EB6B">
            <w:pPr>
              <w:jc w:val="center"/>
              <w:rPr>
                <w:rFonts w:hint="eastAsia" w:ascii="微软雅黑" w:hAnsi="微软雅黑" w:eastAsia="微软雅黑" w:cs="微软雅黑"/>
                <w:i/>
                <w:iCs/>
                <w:color w:val="000000"/>
                <w:sz w:val="16"/>
                <w:szCs w:val="16"/>
                <w:u w:val="none"/>
              </w:rPr>
            </w:pPr>
          </w:p>
        </w:tc>
      </w:tr>
      <w:tr w14:paraId="01FB1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93" w:type="pct"/>
          <w:trHeight w:val="339" w:hRule="atLeast"/>
        </w:trPr>
        <w:tc>
          <w:tcPr>
            <w:tcW w:w="24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2A6497">
            <w:pPr>
              <w:jc w:val="center"/>
              <w:rPr>
                <w:rFonts w:hint="eastAsia" w:ascii="宋体" w:hAnsi="宋体" w:eastAsia="宋体" w:cs="宋体"/>
                <w:i w:val="0"/>
                <w:iCs w:val="0"/>
                <w:color w:val="000000"/>
                <w:sz w:val="18"/>
                <w:szCs w:val="18"/>
                <w:u w:val="none"/>
              </w:rPr>
            </w:pPr>
          </w:p>
        </w:tc>
        <w:tc>
          <w:tcPr>
            <w:tcW w:w="4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07D252">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2ED958">
            <w:pPr>
              <w:jc w:val="center"/>
              <w:rPr>
                <w:rFonts w:hint="eastAsia" w:ascii="宋体" w:hAnsi="宋体" w:eastAsia="宋体" w:cs="宋体"/>
                <w:i w:val="0"/>
                <w:iCs w:val="0"/>
                <w:color w:val="000000"/>
                <w:sz w:val="18"/>
                <w:szCs w:val="18"/>
                <w:u w:val="none"/>
              </w:rPr>
            </w:pP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4C4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其他商品和服务支出</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513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BC3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ED9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E44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2.64</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56F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238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D8E8F">
            <w:pPr>
              <w:jc w:val="center"/>
              <w:rPr>
                <w:rFonts w:hint="eastAsia" w:ascii="微软雅黑" w:hAnsi="微软雅黑" w:eastAsia="微软雅黑" w:cs="微软雅黑"/>
                <w:i/>
                <w:iCs/>
                <w:color w:val="000000"/>
                <w:sz w:val="16"/>
                <w:szCs w:val="16"/>
                <w:u w:val="none"/>
              </w:rPr>
            </w:pPr>
          </w:p>
        </w:tc>
      </w:tr>
      <w:tr w14:paraId="0EA13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93" w:type="pct"/>
          <w:trHeight w:val="339" w:hRule="atLeast"/>
        </w:trPr>
        <w:tc>
          <w:tcPr>
            <w:tcW w:w="24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9C8706">
            <w:pPr>
              <w:jc w:val="center"/>
              <w:rPr>
                <w:rFonts w:hint="eastAsia" w:ascii="宋体" w:hAnsi="宋体" w:eastAsia="宋体" w:cs="宋体"/>
                <w:i w:val="0"/>
                <w:iCs w:val="0"/>
                <w:color w:val="000000"/>
                <w:sz w:val="18"/>
                <w:szCs w:val="18"/>
                <w:u w:val="none"/>
              </w:rPr>
            </w:pPr>
          </w:p>
        </w:tc>
        <w:tc>
          <w:tcPr>
            <w:tcW w:w="4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681BDB">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EFA038">
            <w:pPr>
              <w:jc w:val="center"/>
              <w:rPr>
                <w:rFonts w:hint="eastAsia" w:ascii="宋体" w:hAnsi="宋体" w:eastAsia="宋体" w:cs="宋体"/>
                <w:i w:val="0"/>
                <w:iCs w:val="0"/>
                <w:color w:val="000000"/>
                <w:sz w:val="18"/>
                <w:szCs w:val="18"/>
                <w:u w:val="none"/>
              </w:rPr>
            </w:pP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E40F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劳务费、其他交通费</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482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750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28.4</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8F0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5BD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15.52</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8A31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086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7BDFF">
            <w:pPr>
              <w:jc w:val="center"/>
              <w:rPr>
                <w:rFonts w:hint="eastAsia" w:ascii="微软雅黑" w:hAnsi="微软雅黑" w:eastAsia="微软雅黑" w:cs="微软雅黑"/>
                <w:i/>
                <w:iCs/>
                <w:color w:val="000000"/>
                <w:sz w:val="16"/>
                <w:szCs w:val="16"/>
                <w:u w:val="none"/>
              </w:rPr>
            </w:pPr>
          </w:p>
        </w:tc>
      </w:tr>
      <w:tr w14:paraId="448CE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93" w:type="pct"/>
          <w:trHeight w:val="339" w:hRule="atLeast"/>
        </w:trPr>
        <w:tc>
          <w:tcPr>
            <w:tcW w:w="24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7BC25C">
            <w:pPr>
              <w:jc w:val="center"/>
              <w:rPr>
                <w:rFonts w:hint="eastAsia" w:ascii="宋体" w:hAnsi="宋体" w:eastAsia="宋体" w:cs="宋体"/>
                <w:i w:val="0"/>
                <w:iCs w:val="0"/>
                <w:color w:val="000000"/>
                <w:sz w:val="18"/>
                <w:szCs w:val="18"/>
                <w:u w:val="none"/>
              </w:rPr>
            </w:pPr>
          </w:p>
        </w:tc>
        <w:tc>
          <w:tcPr>
            <w:tcW w:w="4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C4034F">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3214A7">
            <w:pPr>
              <w:jc w:val="center"/>
              <w:rPr>
                <w:rFonts w:hint="eastAsia" w:ascii="宋体" w:hAnsi="宋体" w:eastAsia="宋体" w:cs="宋体"/>
                <w:i w:val="0"/>
                <w:iCs w:val="0"/>
                <w:color w:val="000000"/>
                <w:sz w:val="18"/>
                <w:szCs w:val="18"/>
                <w:u w:val="none"/>
              </w:rPr>
            </w:pP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215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专用材料费</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3FB1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3D8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23.5</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052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B930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25.35</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A1B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D6F1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AD646">
            <w:pPr>
              <w:jc w:val="center"/>
              <w:rPr>
                <w:rFonts w:hint="eastAsia" w:ascii="微软雅黑" w:hAnsi="微软雅黑" w:eastAsia="微软雅黑" w:cs="微软雅黑"/>
                <w:i/>
                <w:iCs/>
                <w:color w:val="000000"/>
                <w:sz w:val="16"/>
                <w:szCs w:val="16"/>
                <w:u w:val="none"/>
              </w:rPr>
            </w:pPr>
          </w:p>
        </w:tc>
      </w:tr>
      <w:tr w14:paraId="1C42A6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93" w:type="pct"/>
          <w:trHeight w:val="286" w:hRule="atLeast"/>
        </w:trPr>
        <w:tc>
          <w:tcPr>
            <w:tcW w:w="326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3D0453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7CA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758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9654B">
            <w:pPr>
              <w:rPr>
                <w:rFonts w:hint="eastAsia" w:ascii="宋体" w:hAnsi="宋体" w:eastAsia="宋体" w:cs="宋体"/>
                <w:i w:val="0"/>
                <w:iCs w:val="0"/>
                <w:color w:val="000000"/>
                <w:sz w:val="18"/>
                <w:szCs w:val="18"/>
                <w:u w:val="none"/>
              </w:rPr>
            </w:pPr>
          </w:p>
        </w:tc>
      </w:tr>
      <w:tr w14:paraId="761A0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93" w:type="pct"/>
          <w:trHeight w:val="603" w:hRule="atLeast"/>
        </w:trPr>
        <w:tc>
          <w:tcPr>
            <w:tcW w:w="2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5501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26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5630DA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通过开展药品、化妆品抽样检验工作，保障了人民群众用药安全，提升了中医药企业产品质量，助推地方中医药产业发展。项目自评得分为99分。</w:t>
            </w:r>
          </w:p>
        </w:tc>
      </w:tr>
      <w:tr w14:paraId="72158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93" w:type="pct"/>
          <w:trHeight w:val="572" w:hRule="atLeast"/>
        </w:trPr>
        <w:tc>
          <w:tcPr>
            <w:tcW w:w="2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C4D6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26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2DA4DC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药品抽检仪器设备配置不足。</w:t>
            </w:r>
          </w:p>
        </w:tc>
      </w:tr>
      <w:tr w14:paraId="3949BE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93" w:type="pct"/>
          <w:trHeight w:val="633" w:hRule="atLeast"/>
        </w:trPr>
        <w:tc>
          <w:tcPr>
            <w:tcW w:w="2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F6E8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26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CD2D6B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建议专项资金用于配置药品抽检用仪器设备。</w:t>
            </w:r>
          </w:p>
        </w:tc>
      </w:tr>
      <w:tr w14:paraId="36666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93" w:type="pct"/>
          <w:trHeight w:val="286" w:hRule="atLeast"/>
        </w:trPr>
        <w:tc>
          <w:tcPr>
            <w:tcW w:w="21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911D65A">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项目负责人：赵扬</w:t>
            </w:r>
          </w:p>
        </w:tc>
        <w:tc>
          <w:tcPr>
            <w:tcW w:w="236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489D5E4">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财务负责人：辜炯益</w:t>
            </w:r>
          </w:p>
        </w:tc>
      </w:tr>
      <w:tr w14:paraId="6736D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39" w:type="pct"/>
          <w:trHeight w:val="286" w:hRule="atLeast"/>
        </w:trPr>
        <w:tc>
          <w:tcPr>
            <w:tcW w:w="4960" w:type="pct"/>
            <w:gridSpan w:val="12"/>
            <w:tcBorders>
              <w:top w:val="nil"/>
              <w:left w:val="nil"/>
              <w:bottom w:val="nil"/>
              <w:right w:val="nil"/>
            </w:tcBorders>
            <w:shd w:val="clear" w:color="auto" w:fill="auto"/>
            <w:vAlign w:val="center"/>
          </w:tcPr>
          <w:p w14:paraId="0374503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1、报表说明</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该报表查询项目信息、绩效目标信息、预算及执行情况，用于预算单位查询导出开展项目自评。</w:t>
            </w:r>
          </w:p>
        </w:tc>
      </w:tr>
      <w:tr w14:paraId="6E753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39" w:type="pct"/>
          <w:trHeight w:val="286" w:hRule="atLeast"/>
        </w:trPr>
        <w:tc>
          <w:tcPr>
            <w:tcW w:w="4960" w:type="pct"/>
            <w:gridSpan w:val="12"/>
            <w:tcBorders>
              <w:top w:val="nil"/>
              <w:left w:val="nil"/>
              <w:bottom w:val="nil"/>
              <w:right w:val="nil"/>
            </w:tcBorders>
            <w:shd w:val="clear" w:color="auto" w:fill="auto"/>
            <w:vAlign w:val="center"/>
          </w:tcPr>
          <w:p w14:paraId="4503FB6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2、取数口径：部门项目绩效目标表信息，包括年初预算、追加预算、结转预算和调整预算的绩效目标（以项目的最终绩效目标为准）。</w:t>
            </w:r>
          </w:p>
        </w:tc>
      </w:tr>
      <w:tr w14:paraId="357DB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39" w:type="pct"/>
          <w:trHeight w:val="286" w:hRule="atLeast"/>
        </w:trPr>
        <w:tc>
          <w:tcPr>
            <w:tcW w:w="4960" w:type="pct"/>
            <w:gridSpan w:val="12"/>
            <w:tcBorders>
              <w:top w:val="nil"/>
              <w:left w:val="nil"/>
              <w:bottom w:val="nil"/>
              <w:right w:val="nil"/>
            </w:tcBorders>
            <w:shd w:val="clear" w:color="auto" w:fill="auto"/>
            <w:vAlign w:val="center"/>
          </w:tcPr>
          <w:p w14:paraId="0EB36CF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适用地区：全省范围</w:t>
            </w:r>
          </w:p>
        </w:tc>
      </w:tr>
      <w:tr w14:paraId="2A1F9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39" w:type="pct"/>
          <w:trHeight w:val="286" w:hRule="atLeast"/>
        </w:trPr>
        <w:tc>
          <w:tcPr>
            <w:tcW w:w="4960" w:type="pct"/>
            <w:gridSpan w:val="12"/>
            <w:tcBorders>
              <w:top w:val="nil"/>
              <w:left w:val="nil"/>
              <w:bottom w:val="nil"/>
              <w:right w:val="nil"/>
            </w:tcBorders>
            <w:shd w:val="clear" w:color="auto" w:fill="auto"/>
            <w:vAlign w:val="center"/>
          </w:tcPr>
          <w:p w14:paraId="15AA0B1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适用用户：部门用户、单位用户</w:t>
            </w:r>
          </w:p>
        </w:tc>
      </w:tr>
    </w:tbl>
    <w:p w14:paraId="3E3A26E0">
      <w:pPr>
        <w:sectPr>
          <w:pgSz w:w="11906" w:h="16838"/>
          <w:pgMar w:top="510" w:right="720" w:bottom="510" w:left="720" w:header="851" w:footer="992" w:gutter="0"/>
          <w:pgNumType w:fmt="numberInDash"/>
          <w:cols w:space="425" w:num="1"/>
          <w:docGrid w:type="lines" w:linePitch="312" w:charSpace="0"/>
        </w:sectPr>
      </w:pPr>
    </w:p>
    <w:p w14:paraId="6A76CB0D">
      <w:pPr>
        <w:pStyle w:val="2"/>
        <w:bidi w:val="0"/>
      </w:pPr>
      <w:bookmarkStart w:id="67" w:name="_Toc15377226"/>
      <w:bookmarkStart w:id="68" w:name="_Toc4998"/>
      <w:bookmarkStart w:id="69" w:name="_Toc15396618"/>
      <w:bookmarkStart w:id="70" w:name="_Toc13138"/>
      <w:r>
        <w:rPr>
          <w:rFonts w:hint="eastAsia" w:ascii="方正小标宋简体" w:hAnsi="方正小标宋简体" w:eastAsia="方正小标宋简体" w:cs="方正小标宋简体"/>
          <w:b w:val="0"/>
          <w:bCs w:val="0"/>
        </w:rPr>
        <w:t>第五部分 附表</w:t>
      </w:r>
      <w:bookmarkEnd w:id="67"/>
      <w:bookmarkEnd w:id="68"/>
      <w:bookmarkEnd w:id="69"/>
      <w:bookmarkEnd w:id="70"/>
      <w:bookmarkStart w:id="71" w:name="_Toc15396619"/>
    </w:p>
    <w:bookmarkEnd w:id="71"/>
    <w:p w14:paraId="01240539">
      <w:pPr>
        <w:pStyle w:val="3"/>
        <w:bidi w:val="0"/>
        <w:outlineLvl w:val="9"/>
        <w:rPr>
          <w:rFonts w:hint="eastAsia" w:ascii="仿宋_GB2312" w:hAnsi="仿宋_GB2312" w:eastAsia="仿宋_GB2312" w:cs="仿宋_GB2312"/>
          <w:sz w:val="32"/>
          <w:szCs w:val="32"/>
        </w:rPr>
      </w:pPr>
    </w:p>
    <w:p w14:paraId="540AC068">
      <w:pPr>
        <w:pStyle w:val="3"/>
        <w:bidi w:val="0"/>
        <w:rPr>
          <w:rFonts w:hint="eastAsia" w:ascii="仿宋_GB2312" w:hAnsi="仿宋_GB2312" w:eastAsia="仿宋_GB2312" w:cs="仿宋_GB2312"/>
          <w:sz w:val="32"/>
          <w:szCs w:val="32"/>
        </w:rPr>
      </w:pPr>
      <w:bookmarkStart w:id="72" w:name="_Toc915"/>
      <w:r>
        <w:rPr>
          <w:rFonts w:hint="eastAsia" w:ascii="仿宋_GB2312" w:hAnsi="仿宋_GB2312" w:eastAsia="仿宋_GB2312" w:cs="仿宋_GB2312"/>
          <w:sz w:val="32"/>
          <w:szCs w:val="32"/>
        </w:rPr>
        <w:t>一、收入支出决算总表</w:t>
      </w:r>
      <w:bookmarkEnd w:id="72"/>
    </w:p>
    <w:p w14:paraId="3B8323B5">
      <w:pPr>
        <w:pStyle w:val="3"/>
        <w:bidi w:val="0"/>
        <w:rPr>
          <w:rFonts w:hint="eastAsia" w:ascii="仿宋_GB2312" w:hAnsi="仿宋_GB2312" w:eastAsia="仿宋_GB2312" w:cs="仿宋_GB2312"/>
          <w:sz w:val="32"/>
          <w:szCs w:val="32"/>
        </w:rPr>
      </w:pPr>
      <w:bookmarkStart w:id="73" w:name="_Toc16695"/>
      <w:r>
        <w:rPr>
          <w:rFonts w:hint="eastAsia" w:ascii="仿宋_GB2312" w:hAnsi="仿宋_GB2312" w:eastAsia="仿宋_GB2312" w:cs="仿宋_GB2312"/>
          <w:sz w:val="32"/>
          <w:szCs w:val="32"/>
        </w:rPr>
        <w:t>二、收入决算表</w:t>
      </w:r>
      <w:bookmarkEnd w:id="73"/>
    </w:p>
    <w:p w14:paraId="2CDF2C1A">
      <w:pPr>
        <w:pStyle w:val="3"/>
        <w:bidi w:val="0"/>
        <w:rPr>
          <w:rFonts w:hint="eastAsia" w:ascii="仿宋_GB2312" w:hAnsi="仿宋_GB2312" w:eastAsia="仿宋_GB2312" w:cs="仿宋_GB2312"/>
          <w:sz w:val="32"/>
          <w:szCs w:val="32"/>
        </w:rPr>
      </w:pPr>
      <w:bookmarkStart w:id="74" w:name="_Toc20804"/>
      <w:r>
        <w:rPr>
          <w:rFonts w:hint="eastAsia" w:ascii="仿宋_GB2312" w:hAnsi="仿宋_GB2312" w:eastAsia="仿宋_GB2312" w:cs="仿宋_GB2312"/>
          <w:sz w:val="32"/>
          <w:szCs w:val="32"/>
        </w:rPr>
        <w:t>三、支出决算表</w:t>
      </w:r>
      <w:bookmarkEnd w:id="74"/>
    </w:p>
    <w:p w14:paraId="119CCE74">
      <w:pPr>
        <w:pStyle w:val="3"/>
        <w:bidi w:val="0"/>
        <w:rPr>
          <w:rFonts w:hint="eastAsia" w:ascii="仿宋_GB2312" w:hAnsi="仿宋_GB2312" w:eastAsia="仿宋_GB2312" w:cs="仿宋_GB2312"/>
          <w:sz w:val="32"/>
          <w:szCs w:val="32"/>
        </w:rPr>
      </w:pPr>
      <w:bookmarkStart w:id="75" w:name="_Toc2463"/>
      <w:r>
        <w:rPr>
          <w:rFonts w:hint="eastAsia" w:ascii="仿宋_GB2312" w:hAnsi="仿宋_GB2312" w:eastAsia="仿宋_GB2312" w:cs="仿宋_GB2312"/>
          <w:sz w:val="32"/>
          <w:szCs w:val="32"/>
        </w:rPr>
        <w:t>四、财政拨款收入支出决算总表</w:t>
      </w:r>
      <w:bookmarkEnd w:id="75"/>
    </w:p>
    <w:p w14:paraId="2D5132FD">
      <w:pPr>
        <w:pStyle w:val="3"/>
        <w:bidi w:val="0"/>
        <w:rPr>
          <w:rFonts w:hint="eastAsia" w:ascii="仿宋_GB2312" w:hAnsi="仿宋_GB2312" w:eastAsia="仿宋_GB2312" w:cs="仿宋_GB2312"/>
          <w:sz w:val="32"/>
          <w:szCs w:val="32"/>
        </w:rPr>
      </w:pPr>
      <w:bookmarkStart w:id="76" w:name="_Toc7354"/>
      <w:r>
        <w:rPr>
          <w:rFonts w:hint="eastAsia" w:ascii="仿宋_GB2312" w:hAnsi="仿宋_GB2312" w:eastAsia="仿宋_GB2312" w:cs="仿宋_GB2312"/>
          <w:sz w:val="32"/>
          <w:szCs w:val="32"/>
        </w:rPr>
        <w:t>五、财政拨款支出决算明细表</w:t>
      </w:r>
      <w:bookmarkEnd w:id="76"/>
    </w:p>
    <w:p w14:paraId="11AF639B">
      <w:pPr>
        <w:pStyle w:val="3"/>
        <w:bidi w:val="0"/>
        <w:rPr>
          <w:rFonts w:hint="eastAsia" w:ascii="仿宋_GB2312" w:hAnsi="仿宋_GB2312" w:eastAsia="仿宋_GB2312" w:cs="仿宋_GB2312"/>
          <w:sz w:val="32"/>
          <w:szCs w:val="32"/>
        </w:rPr>
      </w:pPr>
      <w:bookmarkStart w:id="77" w:name="_Toc3544"/>
      <w:r>
        <w:rPr>
          <w:rFonts w:hint="eastAsia" w:ascii="仿宋_GB2312" w:hAnsi="仿宋_GB2312" w:eastAsia="仿宋_GB2312" w:cs="仿宋_GB2312"/>
          <w:sz w:val="32"/>
          <w:szCs w:val="32"/>
        </w:rPr>
        <w:t>六、一般公共预算财政拨款支出决算表</w:t>
      </w:r>
      <w:bookmarkEnd w:id="77"/>
    </w:p>
    <w:p w14:paraId="7606956E">
      <w:pPr>
        <w:pStyle w:val="3"/>
        <w:bidi w:val="0"/>
        <w:rPr>
          <w:rFonts w:hint="eastAsia" w:ascii="仿宋_GB2312" w:hAnsi="仿宋_GB2312" w:eastAsia="仿宋_GB2312" w:cs="仿宋_GB2312"/>
          <w:sz w:val="32"/>
          <w:szCs w:val="32"/>
        </w:rPr>
      </w:pPr>
      <w:bookmarkStart w:id="78" w:name="_Toc24159"/>
      <w:r>
        <w:rPr>
          <w:rFonts w:hint="eastAsia" w:ascii="仿宋_GB2312" w:hAnsi="仿宋_GB2312" w:eastAsia="仿宋_GB2312" w:cs="仿宋_GB2312"/>
          <w:sz w:val="32"/>
          <w:szCs w:val="32"/>
        </w:rPr>
        <w:t>七、一般公共预算财政拨款支出决算明细表</w:t>
      </w:r>
      <w:bookmarkEnd w:id="78"/>
    </w:p>
    <w:p w14:paraId="6A4C5981">
      <w:pPr>
        <w:pStyle w:val="3"/>
        <w:bidi w:val="0"/>
        <w:rPr>
          <w:rFonts w:hint="eastAsia" w:ascii="仿宋_GB2312" w:hAnsi="仿宋_GB2312" w:eastAsia="仿宋_GB2312" w:cs="仿宋_GB2312"/>
          <w:sz w:val="32"/>
          <w:szCs w:val="32"/>
        </w:rPr>
      </w:pPr>
      <w:bookmarkStart w:id="79" w:name="_Toc22417"/>
      <w:r>
        <w:rPr>
          <w:rFonts w:hint="eastAsia" w:ascii="仿宋_GB2312" w:hAnsi="仿宋_GB2312" w:eastAsia="仿宋_GB2312" w:cs="仿宋_GB2312"/>
          <w:sz w:val="32"/>
          <w:szCs w:val="32"/>
        </w:rPr>
        <w:t>八、一般公共预算财政拨款基本支出决算表</w:t>
      </w:r>
      <w:bookmarkEnd w:id="79"/>
    </w:p>
    <w:p w14:paraId="254FE13B">
      <w:pPr>
        <w:pStyle w:val="3"/>
        <w:bidi w:val="0"/>
        <w:rPr>
          <w:rFonts w:hint="eastAsia" w:ascii="仿宋_GB2312" w:hAnsi="仿宋_GB2312" w:eastAsia="仿宋_GB2312" w:cs="仿宋_GB2312"/>
          <w:sz w:val="32"/>
          <w:szCs w:val="32"/>
        </w:rPr>
      </w:pPr>
      <w:bookmarkStart w:id="80" w:name="_Toc26710"/>
      <w:r>
        <w:rPr>
          <w:rFonts w:hint="eastAsia" w:ascii="仿宋_GB2312" w:hAnsi="仿宋_GB2312" w:eastAsia="仿宋_GB2312" w:cs="仿宋_GB2312"/>
          <w:sz w:val="32"/>
          <w:szCs w:val="32"/>
        </w:rPr>
        <w:t>九、一般公共预算财政拨款项目支出决算表</w:t>
      </w:r>
      <w:bookmarkEnd w:id="80"/>
    </w:p>
    <w:p w14:paraId="326FC374">
      <w:pPr>
        <w:pStyle w:val="3"/>
        <w:bidi w:val="0"/>
        <w:rPr>
          <w:rFonts w:hint="eastAsia" w:ascii="仿宋_GB2312" w:hAnsi="仿宋_GB2312" w:eastAsia="仿宋_GB2312" w:cs="仿宋_GB2312"/>
          <w:sz w:val="32"/>
          <w:szCs w:val="32"/>
        </w:rPr>
      </w:pPr>
      <w:bookmarkStart w:id="81" w:name="_Toc19177"/>
      <w:r>
        <w:rPr>
          <w:rFonts w:hint="eastAsia" w:ascii="仿宋_GB2312" w:hAnsi="仿宋_GB2312" w:eastAsia="仿宋_GB2312" w:cs="仿宋_GB2312"/>
          <w:sz w:val="32"/>
          <w:szCs w:val="32"/>
        </w:rPr>
        <w:t>十、政府性基金预算财政拨款收入支出决算表</w:t>
      </w:r>
      <w:bookmarkEnd w:id="81"/>
    </w:p>
    <w:p w14:paraId="5AC8E3A4">
      <w:pPr>
        <w:pStyle w:val="3"/>
        <w:bidi w:val="0"/>
        <w:rPr>
          <w:rFonts w:hint="eastAsia" w:ascii="仿宋_GB2312" w:hAnsi="仿宋_GB2312" w:eastAsia="仿宋_GB2312" w:cs="仿宋_GB2312"/>
          <w:sz w:val="32"/>
          <w:szCs w:val="32"/>
        </w:rPr>
      </w:pPr>
      <w:bookmarkStart w:id="82" w:name="_Toc1721"/>
      <w:r>
        <w:rPr>
          <w:rFonts w:hint="eastAsia" w:ascii="仿宋_GB2312" w:hAnsi="仿宋_GB2312" w:eastAsia="仿宋_GB2312" w:cs="仿宋_GB2312"/>
          <w:sz w:val="32"/>
          <w:szCs w:val="32"/>
        </w:rPr>
        <w:t>十一、国有资本经营预算财政拨款收入支出决算表</w:t>
      </w:r>
      <w:bookmarkEnd w:id="82"/>
    </w:p>
    <w:p w14:paraId="0C5EB0D0">
      <w:pPr>
        <w:pStyle w:val="3"/>
        <w:bidi w:val="0"/>
        <w:rPr>
          <w:rFonts w:hint="eastAsia" w:ascii="仿宋_GB2312" w:hAnsi="仿宋_GB2312" w:eastAsia="仿宋_GB2312" w:cs="仿宋_GB2312"/>
          <w:sz w:val="32"/>
          <w:szCs w:val="32"/>
        </w:rPr>
      </w:pPr>
      <w:bookmarkStart w:id="83" w:name="_Toc547"/>
      <w:r>
        <w:rPr>
          <w:rFonts w:hint="eastAsia" w:ascii="仿宋_GB2312" w:hAnsi="仿宋_GB2312" w:eastAsia="仿宋_GB2312" w:cs="仿宋_GB2312"/>
          <w:sz w:val="32"/>
          <w:szCs w:val="32"/>
        </w:rPr>
        <w:t>十二、国有资本经营预算财政拨款支出决算表</w:t>
      </w:r>
      <w:bookmarkEnd w:id="83"/>
    </w:p>
    <w:p w14:paraId="5891740A">
      <w:pPr>
        <w:pStyle w:val="3"/>
        <w:bidi w:val="0"/>
        <w:rPr>
          <w:rFonts w:hint="eastAsia" w:ascii="仿宋_GB2312" w:hAnsi="仿宋_GB2312" w:eastAsia="仿宋_GB2312" w:cs="仿宋_GB2312"/>
          <w:sz w:val="32"/>
          <w:szCs w:val="32"/>
        </w:rPr>
      </w:pPr>
      <w:bookmarkStart w:id="84" w:name="_Toc14089"/>
      <w:r>
        <w:rPr>
          <w:rFonts w:hint="eastAsia" w:ascii="仿宋_GB2312" w:hAnsi="仿宋_GB2312" w:eastAsia="仿宋_GB2312" w:cs="仿宋_GB2312"/>
          <w:sz w:val="32"/>
          <w:szCs w:val="32"/>
        </w:rPr>
        <w:t>十三、财政拨款“三公”经费支出决算表</w:t>
      </w:r>
      <w:bookmarkEnd w:id="84"/>
    </w:p>
    <w:sectPr>
      <w:pgSz w:w="11906" w:h="16838"/>
      <w:pgMar w:top="2098" w:right="1474" w:bottom="2041"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3574298-E5B2-400C-8CDF-3D92806F99F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FBFF056E-1203-4FB0-925B-04A6A636F587}"/>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10" w:usb3="00000000" w:csb0="00040000" w:csb1="00000000"/>
    <w:embedRegular r:id="rId3" w:fontKey="{DE17090E-75C2-4241-88BF-6714881E37CA}"/>
  </w:font>
  <w:font w:name="仿宋">
    <w:panose1 w:val="02010609060101010101"/>
    <w:charset w:val="86"/>
    <w:family w:val="auto"/>
    <w:pitch w:val="default"/>
    <w:sig w:usb0="800002BF" w:usb1="38CF7CFA" w:usb2="00000016" w:usb3="00000000" w:csb0="00040001" w:csb1="00000000"/>
    <w:embedRegular r:id="rId4" w:fontKey="{082B85E7-63FE-4D9B-A374-F4F7BDCCBA35}"/>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script"/>
    <w:pitch w:val="default"/>
    <w:sig w:usb0="00000001" w:usb1="08000000" w:usb2="00000000" w:usb3="00000000" w:csb0="00040000" w:csb1="00000000"/>
    <w:embedRegular r:id="rId5" w:fontKey="{F1A5D777-3782-4539-BC83-A61AB616CF62}"/>
  </w:font>
  <w:font w:name="微软雅黑">
    <w:panose1 w:val="020B0503020204020204"/>
    <w:charset w:val="86"/>
    <w:family w:val="swiss"/>
    <w:pitch w:val="default"/>
    <w:sig w:usb0="80000287" w:usb1="2ACF3C50" w:usb2="00000016" w:usb3="00000000" w:csb0="0004001F" w:csb1="00000000"/>
    <w:embedRegular r:id="rId6" w:fontKey="{C6CAFD8A-254E-4E0B-8D57-A2FEB11283B7}"/>
  </w:font>
  <w:font w:name="楷体">
    <w:panose1 w:val="02010609060101010101"/>
    <w:charset w:val="86"/>
    <w:family w:val="modern"/>
    <w:pitch w:val="default"/>
    <w:sig w:usb0="800002BF" w:usb1="38CF7CFA" w:usb2="00000016" w:usb3="00000000" w:csb0="00040001" w:csb1="00000000"/>
    <w:embedRegular r:id="rId7" w:fontKey="{2303F862-0ADE-4F43-A9C9-D1F39B718CC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A8B962">
    <w:pPr>
      <w:pStyle w:val="8"/>
      <w:jc w:val="center"/>
    </w:pPr>
  </w:p>
  <w:p w14:paraId="1967EED1">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D263D">
    <w:pPr>
      <w:pStyle w:val="8"/>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2AA2E6">
                          <w:pPr>
                            <w:pStyle w:val="8"/>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462AA2E6">
                    <w:pPr>
                      <w:pStyle w:val="8"/>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p>
                </w:txbxContent>
              </v:textbox>
            </v:shape>
          </w:pict>
        </mc:Fallback>
      </mc:AlternateContent>
    </w:r>
  </w:p>
  <w:p w14:paraId="28D98791">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0EA10">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64D00">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07D653"/>
    <w:multiLevelType w:val="singleLevel"/>
    <w:tmpl w:val="0707D653"/>
    <w:lvl w:ilvl="0" w:tentative="0">
      <w:start w:val="1"/>
      <w:numFmt w:val="decimal"/>
      <w:suff w:val="nothing"/>
      <w:lvlText w:val="%1．"/>
      <w:lvlJc w:val="left"/>
      <w:pPr>
        <w:ind w:left="0" w:firstLine="400"/>
      </w:pPr>
      <w:rPr>
        <w:rFonts w:hint="default"/>
      </w:rPr>
    </w:lvl>
  </w:abstractNum>
  <w:abstractNum w:abstractNumId="1">
    <w:nsid w:val="5BB01DF3"/>
    <w:multiLevelType w:val="singleLevel"/>
    <w:tmpl w:val="5BB01DF3"/>
    <w:lvl w:ilvl="0" w:tentative="0">
      <w:start w:val="1"/>
      <w:numFmt w:val="chineseCounting"/>
      <w:suff w:val="nothing"/>
      <w:lvlText w:val="%1、"/>
      <w:lvlJc w:val="left"/>
      <w:pPr>
        <w:ind w:left="0" w:firstLine="420"/>
      </w:pPr>
      <w:rPr>
        <w:rFonts w:hint="eastAsia"/>
      </w:rPr>
    </w:lvl>
  </w:abstractNum>
  <w:abstractNum w:abstractNumId="2">
    <w:nsid w:val="61C25FA2"/>
    <w:multiLevelType w:val="singleLevel"/>
    <w:tmpl w:val="61C25FA2"/>
    <w:lvl w:ilvl="0" w:tentative="0">
      <w:start w:val="1"/>
      <w:numFmt w:val="chineseCounting"/>
      <w:suff w:val="space"/>
      <w:lvlText w:val="第%1部分"/>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4"/>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F1361C"/>
    <w:rsid w:val="000222C6"/>
    <w:rsid w:val="0002549F"/>
    <w:rsid w:val="000468DB"/>
    <w:rsid w:val="000632AC"/>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05AD"/>
    <w:rsid w:val="001D7531"/>
    <w:rsid w:val="001E737D"/>
    <w:rsid w:val="001F0592"/>
    <w:rsid w:val="001F7506"/>
    <w:rsid w:val="002006CD"/>
    <w:rsid w:val="00202B36"/>
    <w:rsid w:val="00204B7A"/>
    <w:rsid w:val="00204CDE"/>
    <w:rsid w:val="0021101A"/>
    <w:rsid w:val="00220536"/>
    <w:rsid w:val="00235629"/>
    <w:rsid w:val="00252787"/>
    <w:rsid w:val="00260C38"/>
    <w:rsid w:val="002616C0"/>
    <w:rsid w:val="00265372"/>
    <w:rsid w:val="002662AA"/>
    <w:rsid w:val="00280496"/>
    <w:rsid w:val="00294DC9"/>
    <w:rsid w:val="00295495"/>
    <w:rsid w:val="002A31DE"/>
    <w:rsid w:val="002A4CFA"/>
    <w:rsid w:val="002A53C0"/>
    <w:rsid w:val="002B2613"/>
    <w:rsid w:val="002D6D05"/>
    <w:rsid w:val="002F1818"/>
    <w:rsid w:val="002F567B"/>
    <w:rsid w:val="0030032C"/>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06574"/>
    <w:rsid w:val="004223DE"/>
    <w:rsid w:val="004235B1"/>
    <w:rsid w:val="00434489"/>
    <w:rsid w:val="00437085"/>
    <w:rsid w:val="00443880"/>
    <w:rsid w:val="00445D44"/>
    <w:rsid w:val="004464F4"/>
    <w:rsid w:val="00471401"/>
    <w:rsid w:val="00473F31"/>
    <w:rsid w:val="0048263A"/>
    <w:rsid w:val="00487E5D"/>
    <w:rsid w:val="004A711F"/>
    <w:rsid w:val="004B199D"/>
    <w:rsid w:val="004B4690"/>
    <w:rsid w:val="004E0A2D"/>
    <w:rsid w:val="004E1F60"/>
    <w:rsid w:val="004E206B"/>
    <w:rsid w:val="004E6DF7"/>
    <w:rsid w:val="004F0FBD"/>
    <w:rsid w:val="00500B20"/>
    <w:rsid w:val="00505A47"/>
    <w:rsid w:val="00512FDA"/>
    <w:rsid w:val="00520DA0"/>
    <w:rsid w:val="005664BB"/>
    <w:rsid w:val="00566FFA"/>
    <w:rsid w:val="0057481D"/>
    <w:rsid w:val="00577F14"/>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15396"/>
    <w:rsid w:val="0062270A"/>
    <w:rsid w:val="00622830"/>
    <w:rsid w:val="00623DA0"/>
    <w:rsid w:val="006265EC"/>
    <w:rsid w:val="00630AEF"/>
    <w:rsid w:val="006325F8"/>
    <w:rsid w:val="00633463"/>
    <w:rsid w:val="00634C9A"/>
    <w:rsid w:val="006361B1"/>
    <w:rsid w:val="006440E4"/>
    <w:rsid w:val="00644700"/>
    <w:rsid w:val="00654DF1"/>
    <w:rsid w:val="0066343B"/>
    <w:rsid w:val="00664777"/>
    <w:rsid w:val="006748A4"/>
    <w:rsid w:val="00681A31"/>
    <w:rsid w:val="00683E73"/>
    <w:rsid w:val="006A3141"/>
    <w:rsid w:val="006A5E34"/>
    <w:rsid w:val="006B2422"/>
    <w:rsid w:val="006B2B9A"/>
    <w:rsid w:val="006C1937"/>
    <w:rsid w:val="006E58F0"/>
    <w:rsid w:val="006F020C"/>
    <w:rsid w:val="007127B7"/>
    <w:rsid w:val="0071798E"/>
    <w:rsid w:val="00717F91"/>
    <w:rsid w:val="00731A88"/>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7F5D43"/>
    <w:rsid w:val="00800112"/>
    <w:rsid w:val="00813348"/>
    <w:rsid w:val="008227C6"/>
    <w:rsid w:val="008253BB"/>
    <w:rsid w:val="0083706E"/>
    <w:rsid w:val="008408F6"/>
    <w:rsid w:val="008423A5"/>
    <w:rsid w:val="00850625"/>
    <w:rsid w:val="00853718"/>
    <w:rsid w:val="00855221"/>
    <w:rsid w:val="00860645"/>
    <w:rsid w:val="00866927"/>
    <w:rsid w:val="0087045E"/>
    <w:rsid w:val="00871F71"/>
    <w:rsid w:val="00872FD8"/>
    <w:rsid w:val="00885AF4"/>
    <w:rsid w:val="008939CD"/>
    <w:rsid w:val="008B39FE"/>
    <w:rsid w:val="008B768C"/>
    <w:rsid w:val="008C4DB1"/>
    <w:rsid w:val="008C4EAF"/>
    <w:rsid w:val="008C5176"/>
    <w:rsid w:val="008C7FD0"/>
    <w:rsid w:val="008E1DE7"/>
    <w:rsid w:val="008E521A"/>
    <w:rsid w:val="008E707C"/>
    <w:rsid w:val="00900B08"/>
    <w:rsid w:val="00902155"/>
    <w:rsid w:val="00902FA3"/>
    <w:rsid w:val="00923564"/>
    <w:rsid w:val="0092392E"/>
    <w:rsid w:val="00924864"/>
    <w:rsid w:val="009315F9"/>
    <w:rsid w:val="00933499"/>
    <w:rsid w:val="00935C98"/>
    <w:rsid w:val="00942193"/>
    <w:rsid w:val="00946945"/>
    <w:rsid w:val="00951248"/>
    <w:rsid w:val="0095152F"/>
    <w:rsid w:val="00954C49"/>
    <w:rsid w:val="00955E37"/>
    <w:rsid w:val="00966DC1"/>
    <w:rsid w:val="0097099F"/>
    <w:rsid w:val="00971997"/>
    <w:rsid w:val="00971FFC"/>
    <w:rsid w:val="00975C0F"/>
    <w:rsid w:val="0098660A"/>
    <w:rsid w:val="009931C3"/>
    <w:rsid w:val="009B2C43"/>
    <w:rsid w:val="009B4EAE"/>
    <w:rsid w:val="009B7573"/>
    <w:rsid w:val="009C22F4"/>
    <w:rsid w:val="009C2A4B"/>
    <w:rsid w:val="009C2E98"/>
    <w:rsid w:val="009D3447"/>
    <w:rsid w:val="009D4711"/>
    <w:rsid w:val="009E73F0"/>
    <w:rsid w:val="009F1185"/>
    <w:rsid w:val="009F18CD"/>
    <w:rsid w:val="009F2A13"/>
    <w:rsid w:val="009F7527"/>
    <w:rsid w:val="00A04EB0"/>
    <w:rsid w:val="00A11638"/>
    <w:rsid w:val="00A13CC1"/>
    <w:rsid w:val="00A16847"/>
    <w:rsid w:val="00A237D8"/>
    <w:rsid w:val="00A268C4"/>
    <w:rsid w:val="00A307CD"/>
    <w:rsid w:val="00A331C8"/>
    <w:rsid w:val="00A351A7"/>
    <w:rsid w:val="00A40A00"/>
    <w:rsid w:val="00A4142F"/>
    <w:rsid w:val="00A422EB"/>
    <w:rsid w:val="00A45BB7"/>
    <w:rsid w:val="00A55E0F"/>
    <w:rsid w:val="00A56DF2"/>
    <w:rsid w:val="00A56E6E"/>
    <w:rsid w:val="00A66B9F"/>
    <w:rsid w:val="00A67AB5"/>
    <w:rsid w:val="00A733B2"/>
    <w:rsid w:val="00A741C2"/>
    <w:rsid w:val="00A8497D"/>
    <w:rsid w:val="00A91760"/>
    <w:rsid w:val="00A93B00"/>
    <w:rsid w:val="00A93C21"/>
    <w:rsid w:val="00AB64C9"/>
    <w:rsid w:val="00AC2154"/>
    <w:rsid w:val="00AC3C6A"/>
    <w:rsid w:val="00AD5620"/>
    <w:rsid w:val="00AD656B"/>
    <w:rsid w:val="00AD7C1B"/>
    <w:rsid w:val="00AE16BA"/>
    <w:rsid w:val="00AE1EBE"/>
    <w:rsid w:val="00AE7812"/>
    <w:rsid w:val="00B03C9D"/>
    <w:rsid w:val="00B060AE"/>
    <w:rsid w:val="00B10517"/>
    <w:rsid w:val="00B14E76"/>
    <w:rsid w:val="00B161B8"/>
    <w:rsid w:val="00B2048C"/>
    <w:rsid w:val="00B310B9"/>
    <w:rsid w:val="00B35F3F"/>
    <w:rsid w:val="00B36CBB"/>
    <w:rsid w:val="00B425E0"/>
    <w:rsid w:val="00B43B37"/>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0644"/>
    <w:rsid w:val="00C03E31"/>
    <w:rsid w:val="00C33E72"/>
    <w:rsid w:val="00C354B2"/>
    <w:rsid w:val="00C35554"/>
    <w:rsid w:val="00C42709"/>
    <w:rsid w:val="00C43770"/>
    <w:rsid w:val="00C533CC"/>
    <w:rsid w:val="00C5751C"/>
    <w:rsid w:val="00C61BFC"/>
    <w:rsid w:val="00C62B85"/>
    <w:rsid w:val="00C65438"/>
    <w:rsid w:val="00C87FD8"/>
    <w:rsid w:val="00C91381"/>
    <w:rsid w:val="00C91CBB"/>
    <w:rsid w:val="00CA57CA"/>
    <w:rsid w:val="00CB4E70"/>
    <w:rsid w:val="00CC09B6"/>
    <w:rsid w:val="00CC666F"/>
    <w:rsid w:val="00CD1E3F"/>
    <w:rsid w:val="00CE44F6"/>
    <w:rsid w:val="00CE49DA"/>
    <w:rsid w:val="00CE7B61"/>
    <w:rsid w:val="00CF4E36"/>
    <w:rsid w:val="00D00095"/>
    <w:rsid w:val="00D114F0"/>
    <w:rsid w:val="00D20620"/>
    <w:rsid w:val="00D254F7"/>
    <w:rsid w:val="00D26091"/>
    <w:rsid w:val="00D2685C"/>
    <w:rsid w:val="00D34E7C"/>
    <w:rsid w:val="00D35489"/>
    <w:rsid w:val="00D36AFE"/>
    <w:rsid w:val="00D51276"/>
    <w:rsid w:val="00D63D0A"/>
    <w:rsid w:val="00D66A8F"/>
    <w:rsid w:val="00D7035F"/>
    <w:rsid w:val="00D70859"/>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7164F"/>
    <w:rsid w:val="00E82267"/>
    <w:rsid w:val="00E853CE"/>
    <w:rsid w:val="00E867B6"/>
    <w:rsid w:val="00EA010F"/>
    <w:rsid w:val="00ED1B63"/>
    <w:rsid w:val="00ED3C1F"/>
    <w:rsid w:val="00ED4085"/>
    <w:rsid w:val="00ED420E"/>
    <w:rsid w:val="00ED6FBE"/>
    <w:rsid w:val="00EE2F57"/>
    <w:rsid w:val="00EF4C34"/>
    <w:rsid w:val="00EF77C6"/>
    <w:rsid w:val="00F05438"/>
    <w:rsid w:val="00F07799"/>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0FF5B9C"/>
    <w:rsid w:val="02B96468"/>
    <w:rsid w:val="02F96864"/>
    <w:rsid w:val="03140B0F"/>
    <w:rsid w:val="040E4592"/>
    <w:rsid w:val="04194CC7"/>
    <w:rsid w:val="04416CB6"/>
    <w:rsid w:val="05060A94"/>
    <w:rsid w:val="053A62B5"/>
    <w:rsid w:val="05A2642A"/>
    <w:rsid w:val="05CB200E"/>
    <w:rsid w:val="06197A31"/>
    <w:rsid w:val="07760BAA"/>
    <w:rsid w:val="086C2477"/>
    <w:rsid w:val="088B5201"/>
    <w:rsid w:val="08FD3DDF"/>
    <w:rsid w:val="08FF7C67"/>
    <w:rsid w:val="090E1CF4"/>
    <w:rsid w:val="09187C60"/>
    <w:rsid w:val="096133B5"/>
    <w:rsid w:val="0A2032A3"/>
    <w:rsid w:val="0B0C10FF"/>
    <w:rsid w:val="0B432B55"/>
    <w:rsid w:val="0B5A00BC"/>
    <w:rsid w:val="0B8A37D8"/>
    <w:rsid w:val="0D6945E7"/>
    <w:rsid w:val="0EA74791"/>
    <w:rsid w:val="0EC20452"/>
    <w:rsid w:val="0F1B6879"/>
    <w:rsid w:val="0F390664"/>
    <w:rsid w:val="0F492FDF"/>
    <w:rsid w:val="0F6459AD"/>
    <w:rsid w:val="100D3861"/>
    <w:rsid w:val="10C055FF"/>
    <w:rsid w:val="118107EC"/>
    <w:rsid w:val="11DD6519"/>
    <w:rsid w:val="124E53FA"/>
    <w:rsid w:val="125C296C"/>
    <w:rsid w:val="13AB3BAB"/>
    <w:rsid w:val="13E40EDD"/>
    <w:rsid w:val="1449241F"/>
    <w:rsid w:val="151F1FF0"/>
    <w:rsid w:val="15D849FF"/>
    <w:rsid w:val="15F43C00"/>
    <w:rsid w:val="1606331B"/>
    <w:rsid w:val="16BB723D"/>
    <w:rsid w:val="16CD5BE6"/>
    <w:rsid w:val="16D451C7"/>
    <w:rsid w:val="16EC3324"/>
    <w:rsid w:val="172123D6"/>
    <w:rsid w:val="173D3C08"/>
    <w:rsid w:val="17D27359"/>
    <w:rsid w:val="17E31439"/>
    <w:rsid w:val="18015F3F"/>
    <w:rsid w:val="1A0116D6"/>
    <w:rsid w:val="1A9477DB"/>
    <w:rsid w:val="1A9E2B3B"/>
    <w:rsid w:val="1B4F12C0"/>
    <w:rsid w:val="1BD448F7"/>
    <w:rsid w:val="1BE8440E"/>
    <w:rsid w:val="1CB22EFF"/>
    <w:rsid w:val="1D155CEE"/>
    <w:rsid w:val="1E296A58"/>
    <w:rsid w:val="1E8E65A3"/>
    <w:rsid w:val="1F7439FB"/>
    <w:rsid w:val="1FBB7EFD"/>
    <w:rsid w:val="20F57F95"/>
    <w:rsid w:val="22841C30"/>
    <w:rsid w:val="240371BF"/>
    <w:rsid w:val="25355EDB"/>
    <w:rsid w:val="25711CC6"/>
    <w:rsid w:val="258139EB"/>
    <w:rsid w:val="259D215B"/>
    <w:rsid w:val="25C718A8"/>
    <w:rsid w:val="25C741E6"/>
    <w:rsid w:val="25DA16ED"/>
    <w:rsid w:val="25F16828"/>
    <w:rsid w:val="26AD3924"/>
    <w:rsid w:val="26D0702D"/>
    <w:rsid w:val="27327EBB"/>
    <w:rsid w:val="27842671"/>
    <w:rsid w:val="28944843"/>
    <w:rsid w:val="28970A90"/>
    <w:rsid w:val="28B201C4"/>
    <w:rsid w:val="28C12636"/>
    <w:rsid w:val="29620769"/>
    <w:rsid w:val="29FD04D3"/>
    <w:rsid w:val="2A293624"/>
    <w:rsid w:val="2ABE7A3E"/>
    <w:rsid w:val="2B2C29DF"/>
    <w:rsid w:val="2B595843"/>
    <w:rsid w:val="2B744625"/>
    <w:rsid w:val="2BC43604"/>
    <w:rsid w:val="2C8F6DC6"/>
    <w:rsid w:val="2CA234A8"/>
    <w:rsid w:val="2CDD682C"/>
    <w:rsid w:val="2EFA178C"/>
    <w:rsid w:val="2F552934"/>
    <w:rsid w:val="2FE06530"/>
    <w:rsid w:val="304765B2"/>
    <w:rsid w:val="30B46D73"/>
    <w:rsid w:val="314D5E4A"/>
    <w:rsid w:val="319F7F4E"/>
    <w:rsid w:val="31C93D74"/>
    <w:rsid w:val="322D7C32"/>
    <w:rsid w:val="3276166B"/>
    <w:rsid w:val="33B45D0C"/>
    <w:rsid w:val="34B8182C"/>
    <w:rsid w:val="34BD6E42"/>
    <w:rsid w:val="354E42B6"/>
    <w:rsid w:val="37500442"/>
    <w:rsid w:val="37D864DF"/>
    <w:rsid w:val="37FC2378"/>
    <w:rsid w:val="383A485D"/>
    <w:rsid w:val="383D272C"/>
    <w:rsid w:val="39AE70AB"/>
    <w:rsid w:val="39CA501E"/>
    <w:rsid w:val="39FE23D7"/>
    <w:rsid w:val="3A73189E"/>
    <w:rsid w:val="3A881CA1"/>
    <w:rsid w:val="3B2054FE"/>
    <w:rsid w:val="3B8701AA"/>
    <w:rsid w:val="3C0C0783"/>
    <w:rsid w:val="3C3A346E"/>
    <w:rsid w:val="3C3C71E7"/>
    <w:rsid w:val="3C41148C"/>
    <w:rsid w:val="3D4B7426"/>
    <w:rsid w:val="3E1E165A"/>
    <w:rsid w:val="3E3E7246"/>
    <w:rsid w:val="3ED31EBA"/>
    <w:rsid w:val="3F21665F"/>
    <w:rsid w:val="3F4D214D"/>
    <w:rsid w:val="3F9F3A96"/>
    <w:rsid w:val="40015EF1"/>
    <w:rsid w:val="41085755"/>
    <w:rsid w:val="422B7AE1"/>
    <w:rsid w:val="424010B3"/>
    <w:rsid w:val="428E448B"/>
    <w:rsid w:val="429745F7"/>
    <w:rsid w:val="42DA770D"/>
    <w:rsid w:val="42E3216A"/>
    <w:rsid w:val="42FD43C5"/>
    <w:rsid w:val="4414020A"/>
    <w:rsid w:val="45C85A30"/>
    <w:rsid w:val="45E32112"/>
    <w:rsid w:val="474F3DE4"/>
    <w:rsid w:val="47B16CDB"/>
    <w:rsid w:val="48BF60AB"/>
    <w:rsid w:val="493C27E9"/>
    <w:rsid w:val="496F39ED"/>
    <w:rsid w:val="49FF41D3"/>
    <w:rsid w:val="4A0A1EDD"/>
    <w:rsid w:val="4AC46D25"/>
    <w:rsid w:val="4B317F50"/>
    <w:rsid w:val="4BE068DB"/>
    <w:rsid w:val="4BE60DEA"/>
    <w:rsid w:val="4BF6002B"/>
    <w:rsid w:val="4ECE2238"/>
    <w:rsid w:val="4EF179BD"/>
    <w:rsid w:val="4F3D0E54"/>
    <w:rsid w:val="50EC0143"/>
    <w:rsid w:val="51DB4B86"/>
    <w:rsid w:val="52D4309B"/>
    <w:rsid w:val="52D56441"/>
    <w:rsid w:val="52DC2732"/>
    <w:rsid w:val="52E87329"/>
    <w:rsid w:val="53C027A0"/>
    <w:rsid w:val="53E35FEF"/>
    <w:rsid w:val="54013E1E"/>
    <w:rsid w:val="55333C3E"/>
    <w:rsid w:val="56300645"/>
    <w:rsid w:val="563A7E9B"/>
    <w:rsid w:val="575329D5"/>
    <w:rsid w:val="57863262"/>
    <w:rsid w:val="578C0BCA"/>
    <w:rsid w:val="57B04276"/>
    <w:rsid w:val="57BB14B0"/>
    <w:rsid w:val="57BC3348"/>
    <w:rsid w:val="57E427B4"/>
    <w:rsid w:val="57F203CE"/>
    <w:rsid w:val="5813309A"/>
    <w:rsid w:val="587B083D"/>
    <w:rsid w:val="58C148A4"/>
    <w:rsid w:val="59676172"/>
    <w:rsid w:val="59D35957"/>
    <w:rsid w:val="5A1C60FC"/>
    <w:rsid w:val="5A8A25CC"/>
    <w:rsid w:val="5ADC3C17"/>
    <w:rsid w:val="5B050AD8"/>
    <w:rsid w:val="5B101B12"/>
    <w:rsid w:val="5B3D3D26"/>
    <w:rsid w:val="5C4F21C6"/>
    <w:rsid w:val="5D8D744A"/>
    <w:rsid w:val="5EB44D5F"/>
    <w:rsid w:val="5EF37781"/>
    <w:rsid w:val="5F4B1EF6"/>
    <w:rsid w:val="5FB7255D"/>
    <w:rsid w:val="600A6B30"/>
    <w:rsid w:val="60234A74"/>
    <w:rsid w:val="603D030B"/>
    <w:rsid w:val="60883EF9"/>
    <w:rsid w:val="60917251"/>
    <w:rsid w:val="639E415F"/>
    <w:rsid w:val="64CA39A1"/>
    <w:rsid w:val="64F9030A"/>
    <w:rsid w:val="651E6BDA"/>
    <w:rsid w:val="65417C5F"/>
    <w:rsid w:val="65A215B9"/>
    <w:rsid w:val="67BC5BFF"/>
    <w:rsid w:val="69630ADE"/>
    <w:rsid w:val="6985191D"/>
    <w:rsid w:val="6A236173"/>
    <w:rsid w:val="6A5512F0"/>
    <w:rsid w:val="6B407C2A"/>
    <w:rsid w:val="6C20148A"/>
    <w:rsid w:val="6C4A05C8"/>
    <w:rsid w:val="6C5850C7"/>
    <w:rsid w:val="6CE67CE5"/>
    <w:rsid w:val="6D056FFD"/>
    <w:rsid w:val="6D297A7D"/>
    <w:rsid w:val="6D390A55"/>
    <w:rsid w:val="6D3B1A89"/>
    <w:rsid w:val="6E2E4332"/>
    <w:rsid w:val="6E321E77"/>
    <w:rsid w:val="6F416D8D"/>
    <w:rsid w:val="6FED3D79"/>
    <w:rsid w:val="70141305"/>
    <w:rsid w:val="70F73101"/>
    <w:rsid w:val="71BF4EC2"/>
    <w:rsid w:val="72734D90"/>
    <w:rsid w:val="72F52FF4"/>
    <w:rsid w:val="734F6DDC"/>
    <w:rsid w:val="735C724B"/>
    <w:rsid w:val="73D00218"/>
    <w:rsid w:val="7412278C"/>
    <w:rsid w:val="742F1C62"/>
    <w:rsid w:val="7439758C"/>
    <w:rsid w:val="74C52403"/>
    <w:rsid w:val="759C5671"/>
    <w:rsid w:val="75CD2682"/>
    <w:rsid w:val="7774302C"/>
    <w:rsid w:val="7904082E"/>
    <w:rsid w:val="79E7B28D"/>
    <w:rsid w:val="7A5B7925"/>
    <w:rsid w:val="7BF77C2A"/>
    <w:rsid w:val="7CFA2D3B"/>
    <w:rsid w:val="7D692C90"/>
    <w:rsid w:val="7E247357"/>
    <w:rsid w:val="7EDF1943"/>
    <w:rsid w:val="7F9F20EE"/>
    <w:rsid w:val="7FF758CD"/>
    <w:rsid w:val="7FF802FC"/>
    <w:rsid w:val="9E3A10E2"/>
    <w:rsid w:val="F2E1F9D4"/>
    <w:rsid w:val="F788081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9"/>
    <w:pPr>
      <w:keepNext w:val="0"/>
      <w:keepLines w:val="0"/>
      <w:pageBreakBefore w:val="0"/>
      <w:spacing w:before="100" w:beforeLines="100" w:after="50" w:afterLines="50" w:line="576" w:lineRule="exact"/>
      <w:jc w:val="center"/>
      <w:outlineLvl w:val="0"/>
    </w:pPr>
    <w:rPr>
      <w:rFonts w:ascii="Times New Roman" w:hAnsi="Times New Roman" w:eastAsia="宋体"/>
      <w:b/>
      <w:bCs/>
      <w:kern w:val="44"/>
      <w:sz w:val="44"/>
      <w:szCs w:val="44"/>
    </w:rPr>
  </w:style>
  <w:style w:type="paragraph" w:styleId="3">
    <w:name w:val="heading 2"/>
    <w:basedOn w:val="1"/>
    <w:next w:val="1"/>
    <w:link w:val="17"/>
    <w:unhideWhenUsed/>
    <w:qFormat/>
    <w:uiPriority w:val="9"/>
    <w:pPr>
      <w:keepNext/>
      <w:keepLines/>
      <w:spacing w:line="576" w:lineRule="exact"/>
      <w:ind w:firstLine="420" w:firstLineChars="200"/>
      <w:outlineLvl w:val="1"/>
    </w:pPr>
    <w:rPr>
      <w:rFonts w:ascii="黑体" w:hAnsi="黑体" w:eastAsia="黑体" w:cstheme="majorBidi"/>
      <w:bCs/>
      <w:sz w:val="32"/>
      <w:szCs w:val="32"/>
    </w:rPr>
  </w:style>
  <w:style w:type="paragraph" w:styleId="4">
    <w:name w:val="heading 3"/>
    <w:basedOn w:val="1"/>
    <w:next w:val="1"/>
    <w:link w:val="18"/>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4"/>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8"/>
    <w:semiHidden/>
    <w:unhideWhenUsed/>
    <w:qFormat/>
    <w:uiPriority w:val="99"/>
    <w:rPr>
      <w:sz w:val="18"/>
      <w:szCs w:val="18"/>
    </w:rPr>
  </w:style>
  <w:style w:type="paragraph" w:styleId="8">
    <w:name w:val="footer"/>
    <w:basedOn w:val="1"/>
    <w:link w:val="22"/>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20"/>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character" w:styleId="14">
    <w:name w:val="Strong"/>
    <w:basedOn w:val="13"/>
    <w:qFormat/>
    <w:uiPriority w:val="99"/>
    <w:rPr>
      <w:b/>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customStyle="1" w:styleId="16">
    <w:name w:val="标题 1 Char"/>
    <w:basedOn w:val="13"/>
    <w:link w:val="2"/>
    <w:qFormat/>
    <w:uiPriority w:val="9"/>
    <w:rPr>
      <w:rFonts w:ascii="Times New Roman" w:hAnsi="Times New Roman" w:eastAsia="宋体"/>
      <w:b/>
      <w:bCs/>
      <w:kern w:val="44"/>
      <w:sz w:val="44"/>
      <w:szCs w:val="44"/>
    </w:rPr>
  </w:style>
  <w:style w:type="character" w:customStyle="1" w:styleId="17">
    <w:name w:val="标题 2 Char"/>
    <w:basedOn w:val="13"/>
    <w:link w:val="3"/>
    <w:qFormat/>
    <w:uiPriority w:val="9"/>
    <w:rPr>
      <w:rFonts w:ascii="黑体" w:hAnsi="黑体" w:eastAsia="黑体" w:cstheme="majorBidi"/>
      <w:bCs/>
      <w:kern w:val="2"/>
      <w:sz w:val="32"/>
      <w:szCs w:val="32"/>
    </w:rPr>
  </w:style>
  <w:style w:type="character" w:customStyle="1" w:styleId="18">
    <w:name w:val="标题 3 Char"/>
    <w:basedOn w:val="13"/>
    <w:link w:val="4"/>
    <w:qFormat/>
    <w:uiPriority w:val="9"/>
    <w:rPr>
      <w:rFonts w:ascii="Times New Roman" w:hAnsi="Times New Roman"/>
      <w:b/>
      <w:bCs/>
      <w:kern w:val="2"/>
      <w:sz w:val="32"/>
      <w:szCs w:val="32"/>
    </w:rPr>
  </w:style>
  <w:style w:type="character" w:customStyle="1" w:styleId="19">
    <w:name w:val="Header Char"/>
    <w:basedOn w:val="13"/>
    <w:semiHidden/>
    <w:qFormat/>
    <w:uiPriority w:val="99"/>
    <w:rPr>
      <w:rFonts w:ascii="Times New Roman" w:hAnsi="Times New Roman"/>
      <w:sz w:val="18"/>
      <w:szCs w:val="18"/>
    </w:rPr>
  </w:style>
  <w:style w:type="character" w:customStyle="1" w:styleId="20">
    <w:name w:val="页眉 Char"/>
    <w:link w:val="9"/>
    <w:semiHidden/>
    <w:qFormat/>
    <w:locked/>
    <w:uiPriority w:val="99"/>
    <w:rPr>
      <w:sz w:val="18"/>
    </w:rPr>
  </w:style>
  <w:style w:type="character" w:customStyle="1" w:styleId="21">
    <w:name w:val="Footer Char"/>
    <w:basedOn w:val="13"/>
    <w:semiHidden/>
    <w:qFormat/>
    <w:uiPriority w:val="99"/>
    <w:rPr>
      <w:rFonts w:ascii="Times New Roman" w:hAnsi="Times New Roman"/>
      <w:sz w:val="18"/>
      <w:szCs w:val="18"/>
    </w:rPr>
  </w:style>
  <w:style w:type="character" w:customStyle="1" w:styleId="22">
    <w:name w:val="页脚 Char"/>
    <w:link w:val="8"/>
    <w:qFormat/>
    <w:locked/>
    <w:uiPriority w:val="99"/>
    <w:rPr>
      <w:sz w:val="18"/>
    </w:rPr>
  </w:style>
  <w:style w:type="character" w:customStyle="1" w:styleId="23">
    <w:name w:val="Body Text Char"/>
    <w:basedOn w:val="13"/>
    <w:semiHidden/>
    <w:qFormat/>
    <w:uiPriority w:val="99"/>
    <w:rPr>
      <w:rFonts w:ascii="Times New Roman" w:hAnsi="Times New Roman"/>
      <w:szCs w:val="24"/>
    </w:rPr>
  </w:style>
  <w:style w:type="character" w:customStyle="1" w:styleId="24">
    <w:name w:val="正文文本 Char"/>
    <w:link w:val="5"/>
    <w:qFormat/>
    <w:locked/>
    <w:uiPriority w:val="99"/>
    <w:rPr>
      <w:rFonts w:ascii="仿宋_GB2312" w:hAnsi="Times New Roman" w:eastAsia="仿宋_GB2312"/>
      <w:sz w:val="24"/>
    </w:rPr>
  </w:style>
  <w:style w:type="paragraph" w:customStyle="1" w:styleId="25">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6">
    <w:name w:val="List Paragraph"/>
    <w:basedOn w:val="1"/>
    <w:qFormat/>
    <w:uiPriority w:val="34"/>
    <w:pPr>
      <w:ind w:firstLine="420" w:firstLineChars="200"/>
    </w:pPr>
  </w:style>
  <w:style w:type="paragraph" w:customStyle="1" w:styleId="27">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8">
    <w:name w:val="批注框文本 Char"/>
    <w:basedOn w:val="13"/>
    <w:link w:val="7"/>
    <w:semiHidden/>
    <w:qFormat/>
    <w:uiPriority w:val="99"/>
    <w:rPr>
      <w:rFonts w:ascii="Times New Roman" w:hAnsi="Times New Roman"/>
      <w:kern w:val="2"/>
      <w:sz w:val="18"/>
      <w:szCs w:val="18"/>
    </w:rPr>
  </w:style>
  <w:style w:type="paragraph" w:customStyle="1" w:styleId="29">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0">
    <w:name w:val="WPSOffice手动目录 1"/>
    <w:qFormat/>
    <w:uiPriority w:val="0"/>
    <w:pPr>
      <w:ind w:leftChars="0"/>
    </w:pPr>
    <w:rPr>
      <w:rFonts w:asciiTheme="minorHAnsi" w:hAnsiTheme="minorHAnsi" w:eastAsiaTheme="minorEastAsia" w:cstheme="minorBidi"/>
      <w:sz w:val="20"/>
      <w:szCs w:val="20"/>
    </w:rPr>
  </w:style>
  <w:style w:type="paragraph" w:customStyle="1" w:styleId="31">
    <w:name w:val="WPSOffice手动目录 2"/>
    <w:qFormat/>
    <w:uiPriority w:val="0"/>
    <w:pPr>
      <w:ind w:leftChars="2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24037;&#20316;&#31807;1"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24037;&#20316;&#31807;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24037;&#20316;&#31807;1"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24037;&#20316;&#31807;1"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24037;&#20316;&#31807;1"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24037;&#20316;&#31807;1"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24037;&#20316;&#31807;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ysClr val="windowText" lastClr="000000"/>
                </a:solidFill>
                <a:latin typeface="+mn-lt"/>
                <a:ea typeface="+mn-ea"/>
                <a:cs typeface="+mn-cs"/>
              </a:defRPr>
            </a:pPr>
            <a:r>
              <a:rPr>
                <a:solidFill>
                  <a:sysClr val="windowText" lastClr="000000"/>
                </a:solidFill>
              </a:rPr>
              <a:t>收、支情况（万元）</a:t>
            </a:r>
            <a:endParaRPr>
              <a:solidFill>
                <a:sysClr val="windowText" lastClr="000000"/>
              </a:solidFill>
            </a:endParaRPr>
          </a:p>
        </c:rich>
      </c:tx>
      <c:layout>
        <c:manualLayout>
          <c:xMode val="edge"/>
          <c:yMode val="edge"/>
          <c:x val="0.333060350258284"/>
          <c:y val="0.00755857898715042"/>
        </c:manualLayout>
      </c:layout>
      <c:overlay val="0"/>
      <c:spPr>
        <a:noFill/>
        <a:ln>
          <a:noFill/>
        </a:ln>
        <a:effectLst/>
      </c:spPr>
    </c:title>
    <c:autoTitleDeleted val="0"/>
    <c:plotArea>
      <c:layout>
        <c:manualLayout>
          <c:layoutTarget val="inner"/>
          <c:xMode val="edge"/>
          <c:yMode val="edge"/>
          <c:x val="0.266775859896686"/>
          <c:y val="0.191987906273621"/>
          <c:w val="0.719994960312461"/>
          <c:h val="0.597278911564626"/>
        </c:manualLayout>
      </c:layout>
      <c:barChart>
        <c:barDir val="col"/>
        <c:grouping val="clustered"/>
        <c:varyColors val="0"/>
        <c:ser>
          <c:idx val="0"/>
          <c:order val="0"/>
          <c:tx>
            <c:strRef>
              <c:f>[工作簿1]Sheet1!$B$1</c:f>
              <c:strCache>
                <c:ptCount val="1"/>
                <c:pt idx="0">
                  <c:v>收、支情况（万元）</c:v>
                </c:pt>
              </c:strCache>
            </c:strRef>
          </c:tx>
          <c:spPr>
            <a:gradFill>
              <a:gsLst>
                <a:gs pos="100000">
                  <a:schemeClr val="accent1"/>
                </a:gs>
                <a:gs pos="0">
                  <a:schemeClr val="accent1">
                    <a:hueOff val="-1670000"/>
                  </a:schemeClr>
                </a:gs>
              </a:gsLst>
              <a:lin ang="5400000" scaled="0"/>
            </a:gradFill>
            <a:ln>
              <a:gradFill>
                <a:gsLst>
                  <a:gs pos="100000">
                    <a:schemeClr val="accent1">
                      <a:lumMod val="75000"/>
                    </a:schemeClr>
                  </a:gs>
                  <a:gs pos="0">
                    <a:schemeClr val="accent1">
                      <a:lumMod val="75000"/>
                      <a:hueOff val="-1670000"/>
                    </a:schemeClr>
                  </a:gs>
                </a:gsLst>
                <a:lin ang="5280000" scaled="0"/>
              </a:gradFill>
            </a:ln>
            <a:effectLst/>
          </c:spPr>
          <c:invertIfNegative val="0"/>
          <c:dLbls>
            <c:delete val="1"/>
          </c:dLbls>
          <c:cat>
            <c:numRef>
              <c:f>[工作簿1]Sheet1!$A$2:$A$3</c:f>
              <c:numCache>
                <c:formatCode>General</c:formatCode>
                <c:ptCount val="2"/>
                <c:pt idx="0">
                  <c:v>2022</c:v>
                </c:pt>
                <c:pt idx="1">
                  <c:v>2023</c:v>
                </c:pt>
              </c:numCache>
            </c:numRef>
          </c:cat>
          <c:val>
            <c:numRef>
              <c:f>[工作簿1]Sheet1!$B$2:$B$3</c:f>
              <c:numCache>
                <c:formatCode>General</c:formatCode>
                <c:ptCount val="2"/>
                <c:pt idx="0">
                  <c:v>1080.66</c:v>
                </c:pt>
                <c:pt idx="1">
                  <c:v>1266.34</c:v>
                </c:pt>
              </c:numCache>
            </c:numRef>
          </c:val>
        </c:ser>
        <c:dLbls>
          <c:showLegendKey val="0"/>
          <c:showVal val="0"/>
          <c:showCatName val="0"/>
          <c:showSerName val="0"/>
          <c:showPercent val="0"/>
          <c:showBubbleSize val="0"/>
        </c:dLbls>
        <c:gapWidth val="100"/>
        <c:overlap val="-50"/>
        <c:axId val="427146372"/>
        <c:axId val="980822233"/>
      </c:barChart>
      <c:catAx>
        <c:axId val="427146372"/>
        <c:scaling>
          <c:orientation val="minMax"/>
        </c:scaling>
        <c:delete val="0"/>
        <c:axPos val="b"/>
        <c:majorTickMark val="none"/>
        <c:minorTickMark val="none"/>
        <c:tickLblPos val="nextTo"/>
        <c:spPr>
          <a:noFill/>
          <a:ln w="9525" cap="flat" cmpd="sng" algn="ctr">
            <a:solidFill>
              <a:schemeClr val="dk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crossAx val="980822233"/>
        <c:crosses val="autoZero"/>
        <c:auto val="1"/>
        <c:lblAlgn val="ctr"/>
        <c:lblOffset val="100"/>
        <c:noMultiLvlLbl val="0"/>
      </c:catAx>
      <c:valAx>
        <c:axId val="980822233"/>
        <c:scaling>
          <c:orientation val="minMax"/>
        </c:scaling>
        <c:delete val="0"/>
        <c:axPos val="l"/>
        <c:majorGridlines>
          <c:spPr>
            <a:ln w="9525" cap="flat" cmpd="sng" algn="ctr">
              <a:solidFill>
                <a:schemeClr val="lt1">
                  <a:lumMod val="902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ysClr val="windowText" lastClr="000000"/>
                    </a:solidFill>
                    <a:latin typeface="+mn-lt"/>
                    <a:ea typeface="+mn-ea"/>
                    <a:cs typeface="+mn-cs"/>
                  </a:defRPr>
                </a:pPr>
                <a:r>
                  <a:rPr>
                    <a:solidFill>
                      <a:sysClr val="windowText" lastClr="000000"/>
                    </a:solidFill>
                  </a:rPr>
                  <a:t>收、支情况</a:t>
                </a:r>
                <a:endParaRPr>
                  <a:solidFill>
                    <a:sysClr val="windowText" lastClr="000000"/>
                  </a:solidFill>
                </a:endParaRPr>
              </a:p>
              <a:p>
                <a:pPr defTabSz="914400">
                  <a:defRPr lang="zh-CN" sz="1000" b="0" i="0" u="none" strike="noStrike" kern="1200" baseline="0">
                    <a:solidFill>
                      <a:sysClr val="windowText" lastClr="000000"/>
                    </a:solidFill>
                    <a:latin typeface="+mn-lt"/>
                    <a:ea typeface="+mn-ea"/>
                    <a:cs typeface="+mn-cs"/>
                  </a:defRPr>
                </a:pPr>
                <a:r>
                  <a:rPr>
                    <a:solidFill>
                      <a:sysClr val="windowText" lastClr="000000"/>
                    </a:solidFill>
                  </a:rPr>
                  <a:t>（万元）</a:t>
                </a:r>
                <a:endParaRPr>
                  <a:solidFill>
                    <a:sysClr val="windowText" lastClr="000000"/>
                  </a:solidFill>
                </a:endParaRPr>
              </a:p>
            </c:rich>
          </c:tx>
          <c:layout>
            <c:manualLayout>
              <c:xMode val="edge"/>
              <c:yMode val="edge"/>
              <c:x val="0.0799742047571999"/>
              <c:y val="0.35013636936256"/>
            </c:manualLayout>
          </c:layout>
          <c:overlay val="0"/>
          <c:spPr>
            <a:noFill/>
            <a:ln>
              <a:noFill/>
            </a:ln>
            <a:effectLst/>
          </c:sp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crossAx val="427146372"/>
        <c:crosses val="autoZero"/>
        <c:crossBetween val="between"/>
      </c:valAx>
      <c:dTable>
        <c:showHorzBorder val="1"/>
        <c:showVertBorder val="1"/>
        <c:showOutline val="1"/>
        <c:showKeys val="1"/>
        <c:spPr>
          <a:noFill/>
          <a:ln w="9525" cap="flat" cmpd="sng" algn="ctr">
            <a:solidFill>
              <a:schemeClr val="dk1">
                <a:lumMod val="15000"/>
                <a:lumOff val="85000"/>
              </a:schemeClr>
            </a:solidFill>
            <a:round/>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forceAA="0"/>
          <a:lstStyle/>
          <a:p>
            <a:pPr>
              <a:defRPr lang="zh-CN" sz="1400" b="0" i="0" u="none" strike="noStrike" kern="1200" baseline="0">
                <a:solidFill>
                  <a:sysClr val="windowText" lastClr="000000"/>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r>
              <a:rPr b="1">
                <a:solidFill>
                  <a:sysClr val="windowText" lastClr="000000"/>
                </a:solidFill>
                <a:latin typeface="宋体" panose="02010600030101010101" charset="-122"/>
                <a:ea typeface="宋体" panose="02010600030101010101" charset="-122"/>
              </a:rPr>
              <a:t>收入情况</a:t>
            </a:r>
            <a:endParaRPr b="1">
              <a:solidFill>
                <a:sysClr val="windowText" lastClr="000000"/>
              </a:solidFill>
              <a:latin typeface="宋体" panose="02010600030101010101" charset="-122"/>
              <a:ea typeface="宋体" panose="02010600030101010101" charset="-122"/>
            </a:endParaRPr>
          </a:p>
        </c:rich>
      </c:tx>
      <c:layout>
        <c:manualLayout>
          <c:xMode val="edge"/>
          <c:yMode val="edge"/>
          <c:x val="0.418947368421053"/>
          <c:y val="0.0196003401360544"/>
        </c:manualLayout>
      </c:layout>
      <c:overlay val="0"/>
      <c:spPr>
        <a:noFill/>
        <a:ln>
          <a:noFill/>
        </a:ln>
        <a:effectLst/>
      </c:spPr>
    </c:title>
    <c:autoTitleDeleted val="0"/>
    <c:view3D>
      <c:rotX val="50"/>
      <c:rotY val="160"/>
      <c:depthPercent val="170"/>
      <c:rAngAx val="0"/>
    </c:view3D>
    <c:floor>
      <c:thickness val="0"/>
      <c:spPr>
        <a:noFill/>
        <a:effectLst/>
      </c:spPr>
    </c:floor>
    <c:sideWall>
      <c:thickness val="0"/>
      <c:spPr>
        <a:noFill/>
        <a:effectLst/>
      </c:spPr>
    </c:sideWall>
    <c:backWall>
      <c:thickness val="0"/>
      <c:spPr>
        <a:noFill/>
        <a:effectLst/>
      </c:spPr>
    </c:backWall>
    <c:plotArea>
      <c:layout/>
      <c:pie3DChart>
        <c:varyColors val="1"/>
        <c:ser>
          <c:idx val="0"/>
          <c:order val="0"/>
          <c:tx>
            <c:strRef>
              <c:f>[工作簿1]Sheet1!$B$18</c:f>
              <c:strCache>
                <c:ptCount val="1"/>
                <c:pt idx="0">
                  <c:v>收入情况</c:v>
                </c:pt>
              </c:strCache>
            </c:strRef>
          </c:tx>
          <c:spPr>
            <a:scene3d>
              <a:camera prst="orthographicFront"/>
              <a:lightRig rig="threePt" dir="t"/>
            </a:scene3d>
            <a:sp3d contourW="12700"/>
          </c:spPr>
          <c:explosion val="0"/>
          <c:dPt>
            <c:idx val="0"/>
            <c:bubble3D val="0"/>
            <c:spPr>
              <a:solidFill>
                <a:schemeClr val="accent1"/>
              </a:solidFill>
              <a:ln>
                <a:noFill/>
              </a:ln>
              <a:effectLst/>
              <a:scene3d>
                <a:camera prst="orthographicFront"/>
                <a:lightRig rig="threePt" dir="t"/>
              </a:scene3d>
              <a:sp3d contourW="12700"/>
            </c:spPr>
          </c:dPt>
          <c:dPt>
            <c:idx val="1"/>
            <c:bubble3D val="0"/>
            <c:spPr>
              <a:solidFill>
                <a:schemeClr val="accent2"/>
              </a:solidFill>
              <a:ln>
                <a:noFill/>
              </a:ln>
              <a:effectLst/>
              <a:scene3d>
                <a:camera prst="orthographicFront"/>
                <a:lightRig rig="threePt" dir="t"/>
              </a:scene3d>
              <a:sp3d contourW="12700"/>
            </c:spPr>
          </c:dPt>
          <c:dLbls>
            <c:dLbl>
              <c:idx val="0"/>
              <c:layout>
                <c:manualLayout>
                  <c:x val="-0.0422597819903739"/>
                  <c:y val="-0.041714826062285"/>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ysClr val="windowText" lastClr="000000"/>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r>
                      <a:rPr>
                        <a:solidFill>
                          <a:sysClr val="windowText" lastClr="000000"/>
                        </a:solidFill>
                      </a:rPr>
                      <a:t>一般公共预算, 1155.15</a:t>
                    </a:r>
                    <a:endParaRPr>
                      <a:solidFill>
                        <a:sysClr val="windowText" lastClr="000000"/>
                      </a:solidFill>
                    </a:endParaRPr>
                  </a:p>
                </c:rich>
              </c:tx>
              <c:dLblPos val="bestFit"/>
              <c:showLegendKey val="0"/>
              <c:showVal val="1"/>
              <c:showCatName val="1"/>
              <c:showSerName val="0"/>
              <c:showPercent val="0"/>
              <c:showBubbleSize val="0"/>
              <c:extLst>
                <c:ext xmlns:c15="http://schemas.microsoft.com/office/drawing/2012/chart" uri="{CE6537A1-D6FC-4f65-9D91-7224C49458BB}">
                  <c15:layout/>
                </c:ext>
              </c:extLst>
            </c:dLbl>
            <c:dLbl>
              <c:idx val="1"/>
              <c:layout>
                <c:manualLayout>
                  <c:x val="0.0902627069235999"/>
                  <c:y val="-0.0264550264550265"/>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ysClr val="windowText" lastClr="000000"/>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r>
                      <a:rPr>
                        <a:solidFill>
                          <a:sysClr val="windowText" lastClr="000000"/>
                        </a:solidFill>
                      </a:rPr>
                      <a:t>其他收入, 110.53</a:t>
                    </a:r>
                    <a:endParaRPr>
                      <a:solidFill>
                        <a:sysClr val="windowText" lastClr="000000"/>
                      </a:solidFill>
                    </a:endParaRPr>
                  </a:p>
                </c:rich>
              </c:tx>
              <c:dLblPos val="bestFit"/>
              <c:showLegendKey val="0"/>
              <c:showVal val="1"/>
              <c:showCatName val="1"/>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forceAA="0"/>
              <a:lstStyle/>
              <a:p>
                <a:pPr>
                  <a:defRPr lang="zh-CN" sz="1000" b="0" i="0" u="none" strike="noStrike" kern="1200" baseline="0">
                    <a:solidFill>
                      <a:sysClr val="windowText" lastClr="000000"/>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p>
            </c:txPr>
            <c:dLblPos val="inEnd"/>
            <c:showLegendKey val="0"/>
            <c:showVal val="1"/>
            <c:showCatName val="1"/>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[工作簿1]Sheet1!$A$19:$A$20</c:f>
              <c:strCache>
                <c:ptCount val="2"/>
                <c:pt idx="0">
                  <c:v>一般公共预算</c:v>
                </c:pt>
                <c:pt idx="1">
                  <c:v>其他收入</c:v>
                </c:pt>
              </c:strCache>
            </c:strRef>
          </c:cat>
          <c:val>
            <c:numRef>
              <c:f>[工作簿1]Sheet1!$B$19:$B$20</c:f>
              <c:numCache>
                <c:formatCode>General</c:formatCode>
                <c:ptCount val="2"/>
                <c:pt idx="0">
                  <c:v>1155.15</c:v>
                </c:pt>
                <c:pt idx="1">
                  <c:v>110.53</c:v>
                </c:pt>
              </c:numCache>
            </c:numRef>
          </c:val>
        </c:ser>
        <c:dLbls>
          <c:showLegendKey val="0"/>
          <c:showVal val="0"/>
          <c:showCatName val="0"/>
          <c:showSerName val="0"/>
          <c:showPercent val="1"/>
          <c:showBubbleSize val="0"/>
        </c:dLbls>
      </c:pie3DChart>
      <c:spPr>
        <a:noFill/>
        <a:ln>
          <a:noFill/>
        </a:ln>
        <a:effectLst/>
      </c:spPr>
    </c:plotArea>
    <c:legend>
      <c:legendPos val="r"/>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p>
        </c:txPr>
      </c:legendEntry>
      <c:layout>
        <c:manualLayout>
          <c:xMode val="edge"/>
          <c:yMode val="edge"/>
          <c:x val="0.752009708029682"/>
          <c:y val="0.403550265535738"/>
          <c:w val="0.244210526315789"/>
          <c:h val="0.236853541938288"/>
        </c:manualLayout>
      </c:layout>
      <c:overlay val="0"/>
      <c:spPr>
        <a:noFill/>
        <a:ln>
          <a:noFill/>
        </a:ln>
        <a:effectLst/>
      </c:spPr>
      <c:txPr>
        <a:bodyPr rot="0" spcFirstLastPara="0" vertOverflow="ellipsis" vert="horz" wrap="square" anchor="ctr" anchorCtr="1" forceAA="0"/>
        <a:lstStyle/>
        <a:p>
          <a:pPr>
            <a:defRPr lang="zh-CN" sz="900" b="0" i="0" u="none" strike="noStrike" kern="1200" baseline="0">
              <a:solidFill>
                <a:sysClr val="windowText" lastClr="000000"/>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a:outerShdw blurRad="63500" dist="37357" dir="2700000" sx="0" sy="0" rotWithShape="0">
        <a:scrgbClr r="0" g="0" b="0"/>
      </a:outerShdw>
    </a:effectLst>
  </c:spPr>
  <c:txPr>
    <a:bodyPr anchor="ctr" anchorCtr="0"/>
    <a:lstStyle/>
    <a:p>
      <a:pPr>
        <a:defRPr lang="zh-CN">
          <a:solidFill>
            <a:sysClr val="windowText" lastClr="000000"/>
          </a:solidFill>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80" b="1" i="0" u="none" strike="noStrike" kern="1200" baseline="0">
                <a:solidFill>
                  <a:sysClr val="windowText" lastClr="000000"/>
                </a:solidFill>
                <a:latin typeface="+mn-lt"/>
                <a:ea typeface="+mn-ea"/>
                <a:cs typeface="+mn-cs"/>
              </a:defRPr>
            </a:pPr>
            <a:r>
              <a:rPr sz="1400">
                <a:solidFill>
                  <a:sysClr val="windowText" lastClr="000000"/>
                </a:solidFill>
                <a:latin typeface="宋体" panose="02010600030101010101" charset="-122"/>
                <a:ea typeface="宋体" panose="02010600030101010101" charset="-122"/>
              </a:rPr>
              <a:t>支出情况</a:t>
            </a:r>
            <a:endParaRPr sz="1400">
              <a:solidFill>
                <a:sysClr val="windowText" lastClr="000000"/>
              </a:solidFill>
              <a:latin typeface="宋体" panose="02010600030101010101" charset="-122"/>
              <a:ea typeface="宋体" panose="02010600030101010101" charset="-122"/>
            </a:endParaRPr>
          </a:p>
        </c:rich>
      </c:tx>
      <c:layout>
        <c:manualLayout>
          <c:xMode val="edge"/>
          <c:yMode val="edge"/>
          <c:x val="0.424472921626228"/>
          <c:y val="0.00755857898715042"/>
        </c:manualLayout>
      </c:layout>
      <c:overlay val="0"/>
    </c:title>
    <c:autoTitleDeleted val="0"/>
    <c:view3D>
      <c:rotX val="50"/>
      <c:rotY val="172"/>
      <c:depthPercent val="170"/>
      <c:rAngAx val="0"/>
    </c:view3D>
    <c:floor>
      <c:thickness val="0"/>
    </c:floor>
    <c:sideWall>
      <c:thickness val="0"/>
    </c:sideWall>
    <c:backWall>
      <c:thickness val="0"/>
    </c:backWall>
    <c:plotArea>
      <c:layout/>
      <c:pie3DChart>
        <c:varyColors val="1"/>
        <c:ser>
          <c:idx val="0"/>
          <c:order val="0"/>
          <c:tx>
            <c:strRef>
              <c:f>[工作簿1]Sheet1!$B$18</c:f>
              <c:strCache>
                <c:ptCount val="1"/>
                <c:pt idx="0">
                  <c:v>支出情况</c:v>
                </c:pt>
              </c:strCache>
            </c:strRef>
          </c:tx>
          <c:spPr>
            <a:ln w="12700">
              <a:solidFill>
                <a:schemeClr val="bg1">
                  <a:lumMod val="95000"/>
                </a:schemeClr>
              </a:solidFill>
            </a:ln>
            <a:scene3d>
              <a:camera prst="orthographicFront"/>
              <a:lightRig rig="threePt" dir="t"/>
            </a:scene3d>
            <a:sp3d contourW="12700"/>
          </c:spPr>
          <c:explosion val="0"/>
          <c:dPt>
            <c:idx val="0"/>
            <c:bubble3D val="0"/>
            <c:spPr>
              <a:solidFill>
                <a:schemeClr val="accent1"/>
              </a:solidFill>
              <a:ln w="12700">
                <a:solidFill>
                  <a:schemeClr val="bg1">
                    <a:lumMod val="95000"/>
                  </a:schemeClr>
                </a:solidFill>
              </a:ln>
              <a:effectLst/>
              <a:scene3d>
                <a:camera prst="orthographicFront"/>
                <a:lightRig rig="threePt" dir="t"/>
              </a:scene3d>
              <a:sp3d contourW="12700"/>
            </c:spPr>
          </c:dPt>
          <c:dPt>
            <c:idx val="1"/>
            <c:bubble3D val="0"/>
            <c:spPr>
              <a:solidFill>
                <a:schemeClr val="accent2"/>
              </a:solidFill>
              <a:ln w="12700">
                <a:solidFill>
                  <a:schemeClr val="bg1">
                    <a:lumMod val="95000"/>
                  </a:schemeClr>
                </a:solidFill>
              </a:ln>
              <a:effectLst/>
              <a:scene3d>
                <a:camera prst="orthographicFront"/>
                <a:lightRig rig="threePt" dir="t"/>
              </a:scene3d>
              <a:sp3d contourW="12700"/>
            </c:spPr>
          </c:dPt>
          <c:dLbls>
            <c:dLbl>
              <c:idx val="0"/>
              <c:layout>
                <c:manualLayout>
                  <c:x val="-0.0380287985218742"/>
                  <c:y val="0.0111566908750058"/>
                </c:manualLayout>
              </c:layout>
              <c:tx>
                <c:rich>
                  <a:bodyPr rot="0" spcFirstLastPara="0" vertOverflow="ellipsis" vert="horz" wrap="square" lIns="38100" tIns="19050" rIns="38100" bIns="19050" anchor="ctr" anchorCtr="1"/>
                  <a:lstStyle/>
                  <a:p>
                    <a:pPr defTabSz="914400">
                      <a:defRPr lang="zh-CN" sz="1400" b="0" i="0" u="none" strike="noStrike" kern="1200" baseline="0">
                        <a:solidFill>
                          <a:sysClr val="windowText" lastClr="000000"/>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r>
                      <a:rPr sz="1000">
                        <a:solidFill>
                          <a:sysClr val="windowText" lastClr="000000"/>
                        </a:solidFill>
                      </a:rPr>
                      <a:t>基本支出, 1009.56</a:t>
                    </a:r>
                    <a:endParaRPr sz="1000">
                      <a:solidFill>
                        <a:sysClr val="windowText" lastClr="000000"/>
                      </a:solidFill>
                    </a:endParaRPr>
                  </a:p>
                </c:rich>
              </c:tx>
              <c:dLblPos val="bestFit"/>
              <c:showLegendKey val="0"/>
              <c:showVal val="1"/>
              <c:showCatName val="1"/>
              <c:showSerName val="0"/>
              <c:showPercent val="0"/>
              <c:showBubbleSize val="0"/>
              <c:extLst>
                <c:ext xmlns:c15="http://schemas.microsoft.com/office/drawing/2012/chart" uri="{CE6537A1-D6FC-4f65-9D91-7224C49458BB}">
                  <c15:layout/>
                </c:ext>
              </c:extLst>
            </c:dLbl>
            <c:dLbl>
              <c:idx val="1"/>
              <c:layout>
                <c:manualLayout>
                  <c:x val="0.0985301982865039"/>
                  <c:y val="-0.0642479213907785"/>
                </c:manualLayout>
              </c:layout>
              <c:tx>
                <c:rich>
                  <a:bodyPr rot="0" spcFirstLastPara="0" vertOverflow="ellipsis" vert="horz" wrap="square" lIns="38100" tIns="19050" rIns="38100" bIns="19050" anchor="ctr" anchorCtr="1"/>
                  <a:lstStyle/>
                  <a:p>
                    <a:pPr defTabSz="914400">
                      <a:defRPr lang="zh-CN" sz="1400" b="0" i="0" u="none" strike="noStrike" kern="1200" baseline="0">
                        <a:solidFill>
                          <a:sysClr val="windowText" lastClr="000000"/>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r>
                      <a:rPr sz="1000">
                        <a:solidFill>
                          <a:sysClr val="windowText" lastClr="000000"/>
                        </a:solidFill>
                      </a:rPr>
                      <a:t>项目支出, 254.08</a:t>
                    </a:r>
                    <a:endParaRPr sz="1000">
                      <a:solidFill>
                        <a:sysClr val="windowText" lastClr="000000"/>
                      </a:solidFill>
                    </a:endParaRPr>
                  </a:p>
                </c:rich>
              </c:tx>
              <c:dLblPos val="bestFit"/>
              <c:showLegendKey val="0"/>
              <c:showVal val="1"/>
              <c:showCatName val="1"/>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forceAA="0"/>
              <a:lstStyle/>
              <a:p>
                <a:pPr>
                  <a:defRPr lang="zh-CN" sz="1400" b="0" i="0" u="none" strike="noStrike" kern="1200" baseline="0">
                    <a:solidFill>
                      <a:sysClr val="windowText" lastClr="000000"/>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p>
            </c:txPr>
            <c:dLblPos val="inEnd"/>
            <c:showLegendKey val="0"/>
            <c:showVal val="1"/>
            <c:showCatName val="1"/>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[工作簿1]Sheet1!$A$19:$A$20</c:f>
              <c:strCache>
                <c:ptCount val="2"/>
                <c:pt idx="0">
                  <c:v>基本支出</c:v>
                </c:pt>
                <c:pt idx="1">
                  <c:v>项目支出</c:v>
                </c:pt>
              </c:strCache>
            </c:strRef>
          </c:cat>
          <c:val>
            <c:numRef>
              <c:f>[工作簿1]Sheet1!$B$19:$B$20</c:f>
              <c:numCache>
                <c:formatCode>General</c:formatCode>
                <c:ptCount val="2"/>
                <c:pt idx="0">
                  <c:v>1009.56</c:v>
                </c:pt>
                <c:pt idx="1">
                  <c:v>254.08</c:v>
                </c:pt>
              </c:numCache>
            </c:numRef>
          </c:val>
        </c:ser>
        <c:dLbls>
          <c:showLegendKey val="0"/>
          <c:showVal val="0"/>
          <c:showCatName val="0"/>
          <c:showSerName val="0"/>
          <c:showPercent val="1"/>
          <c:showBubbleSize val="0"/>
        </c:dLbls>
      </c:pie3DChart>
      <c:spPr>
        <a:noFill/>
        <a:ln>
          <a:noFill/>
        </a:ln>
        <a:effectLst/>
      </c:spPr>
    </c:plotArea>
    <c:legend>
      <c:legendPos val="r"/>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p>
        </c:txPr>
      </c:legendEntry>
      <c:layout>
        <c:manualLayout>
          <c:xMode val="edge"/>
          <c:yMode val="edge"/>
          <c:x val="0.868464155222376"/>
          <c:y val="0.444566996162003"/>
        </c:manualLayout>
      </c:layout>
      <c:overlay val="0"/>
      <c:txPr>
        <a:bodyPr rot="0" spcFirstLastPara="0" vertOverflow="ellipsis" vert="horz" wrap="square" anchor="ctr" anchorCtr="1" forceAA="0"/>
        <a:lstStyle/>
        <a:p>
          <a:pPr>
            <a:defRPr lang="zh-CN" sz="1400" b="0" i="0" u="none" strike="noStrike" kern="1200" baseline="0">
              <a:solidFill>
                <a:sysClr val="windowText" lastClr="000000"/>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a:outerShdw blurRad="63500" dist="37357" dir="2700000" sx="0" sy="0" rotWithShape="0">
        <a:scrgbClr r="0" g="0" b="0"/>
      </a:outerShdw>
    </a:effectLst>
  </c:spPr>
  <c:txPr>
    <a:bodyPr anchor="ctr" anchorCtr="0"/>
    <a:lstStyle/>
    <a:p>
      <a:pPr>
        <a:defRPr lang="zh-CN" sz="1400">
          <a:solidFill>
            <a:sysClr val="windowText" lastClr="000000"/>
          </a:solidFill>
        </a:defRPr>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298664482802066"/>
          <c:y val="0.00755857898715042"/>
        </c:manualLayout>
      </c:layout>
      <c:overlay val="0"/>
      <c:spPr>
        <a:noFill/>
        <a:ln>
          <a:noFill/>
        </a:ln>
        <a:effectLst/>
      </c:spPr>
      <c:txPr>
        <a:bodyPr rot="0" spcFirstLastPara="0" vertOverflow="ellipsis" vert="horz" wrap="square" anchor="ctr" anchorCtr="1"/>
        <a:lstStyle/>
        <a:p>
          <a:pPr>
            <a:defRPr lang="zh-CN" sz="1400" b="1" i="0" u="none" strike="noStrike" kern="1200" baseline="0">
              <a:solidFill>
                <a:sysClr val="windowText" lastClr="000000"/>
              </a:solidFill>
              <a:latin typeface="+mn-lt"/>
              <a:ea typeface="+mn-ea"/>
              <a:cs typeface="+mn-cs"/>
            </a:defRPr>
          </a:pPr>
        </a:p>
      </c:txPr>
    </c:title>
    <c:autoTitleDeleted val="0"/>
    <c:plotArea>
      <c:layout>
        <c:manualLayout>
          <c:layoutTarget val="inner"/>
          <c:xMode val="edge"/>
          <c:yMode val="edge"/>
          <c:x val="0.329141993196422"/>
          <c:y val="0.17636684303351"/>
          <c:w val="0.667078241149049"/>
          <c:h val="0.614915595867977"/>
        </c:manualLayout>
      </c:layout>
      <c:barChart>
        <c:barDir val="col"/>
        <c:grouping val="clustered"/>
        <c:varyColors val="0"/>
        <c:ser>
          <c:idx val="0"/>
          <c:order val="0"/>
          <c:tx>
            <c:strRef>
              <c:f>[工作簿1]Sheet1!$B$1</c:f>
              <c:strCache>
                <c:ptCount val="1"/>
                <c:pt idx="0">
                  <c:v>财政拨款收支情况（万元）</c:v>
                </c:pt>
              </c:strCache>
            </c:strRef>
          </c:tx>
          <c:spPr>
            <a:gradFill>
              <a:gsLst>
                <a:gs pos="100000">
                  <a:schemeClr val="accent1"/>
                </a:gs>
                <a:gs pos="0">
                  <a:schemeClr val="accent1">
                    <a:hueOff val="-1670000"/>
                  </a:schemeClr>
                </a:gs>
              </a:gsLst>
              <a:lin ang="5400000" scaled="0"/>
            </a:gradFill>
            <a:ln>
              <a:gradFill>
                <a:gsLst>
                  <a:gs pos="100000">
                    <a:schemeClr val="accent1">
                      <a:lumMod val="75000"/>
                    </a:schemeClr>
                  </a:gs>
                  <a:gs pos="0">
                    <a:schemeClr val="accent1">
                      <a:lumMod val="75000"/>
                      <a:hueOff val="-1670000"/>
                    </a:schemeClr>
                  </a:gs>
                </a:gsLst>
                <a:lin ang="5280000" scaled="0"/>
              </a:gradFill>
            </a:ln>
            <a:effectLst/>
          </c:spPr>
          <c:invertIfNegative val="0"/>
          <c:dLbls>
            <c:delete val="1"/>
          </c:dLbls>
          <c:cat>
            <c:numRef>
              <c:f>[工作簿1]Sheet1!$A$2:$A$3</c:f>
              <c:numCache>
                <c:formatCode>General</c:formatCode>
                <c:ptCount val="2"/>
                <c:pt idx="0">
                  <c:v>2022</c:v>
                </c:pt>
                <c:pt idx="1">
                  <c:v>2023</c:v>
                </c:pt>
              </c:numCache>
            </c:numRef>
          </c:cat>
          <c:val>
            <c:numRef>
              <c:f>[工作簿1]Sheet1!$B$2:$B$3</c:f>
              <c:numCache>
                <c:formatCode>General</c:formatCode>
                <c:ptCount val="2"/>
                <c:pt idx="0">
                  <c:v>1078.88</c:v>
                </c:pt>
                <c:pt idx="1">
                  <c:v>1155.15</c:v>
                </c:pt>
              </c:numCache>
            </c:numRef>
          </c:val>
        </c:ser>
        <c:dLbls>
          <c:showLegendKey val="0"/>
          <c:showVal val="0"/>
          <c:showCatName val="0"/>
          <c:showSerName val="0"/>
          <c:showPercent val="0"/>
          <c:showBubbleSize val="0"/>
        </c:dLbls>
        <c:gapWidth val="100"/>
        <c:overlap val="-50"/>
        <c:axId val="427146372"/>
        <c:axId val="980822233"/>
      </c:barChart>
      <c:catAx>
        <c:axId val="427146372"/>
        <c:scaling>
          <c:orientation val="minMax"/>
        </c:scaling>
        <c:delete val="0"/>
        <c:axPos val="b"/>
        <c:majorTickMark val="none"/>
        <c:minorTickMark val="none"/>
        <c:tickLblPos val="nextTo"/>
        <c:spPr>
          <a:noFill/>
          <a:ln w="9525" cap="flat" cmpd="sng" algn="ctr">
            <a:solidFill>
              <a:schemeClr val="dk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crossAx val="980822233"/>
        <c:crosses val="autoZero"/>
        <c:auto val="1"/>
        <c:lblAlgn val="ctr"/>
        <c:lblOffset val="100"/>
        <c:noMultiLvlLbl val="0"/>
      </c:catAx>
      <c:valAx>
        <c:axId val="980822233"/>
        <c:scaling>
          <c:orientation val="minMax"/>
        </c:scaling>
        <c:delete val="0"/>
        <c:axPos val="l"/>
        <c:majorGridlines>
          <c:spPr>
            <a:ln w="9525" cap="flat" cmpd="sng" algn="ctr">
              <a:solidFill>
                <a:schemeClr val="lt1">
                  <a:lumMod val="902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ysClr val="windowText" lastClr="000000"/>
                    </a:solidFill>
                    <a:latin typeface="+mn-lt"/>
                    <a:ea typeface="+mn-ea"/>
                    <a:cs typeface="+mn-cs"/>
                  </a:defRPr>
                </a:pPr>
                <a:r>
                  <a:rPr>
                    <a:solidFill>
                      <a:sysClr val="windowText" lastClr="000000"/>
                    </a:solidFill>
                  </a:rPr>
                  <a:t>财政拨款收支情况</a:t>
                </a:r>
                <a:endParaRPr>
                  <a:solidFill>
                    <a:sysClr val="windowText" lastClr="000000"/>
                  </a:solidFill>
                </a:endParaRPr>
              </a:p>
              <a:p>
                <a:pPr defTabSz="914400">
                  <a:defRPr lang="zh-CN" sz="1000" b="0" i="0" u="none" strike="noStrike" kern="1200" baseline="0">
                    <a:solidFill>
                      <a:sysClr val="windowText" lastClr="000000"/>
                    </a:solidFill>
                    <a:latin typeface="+mn-lt"/>
                    <a:ea typeface="+mn-ea"/>
                    <a:cs typeface="+mn-cs"/>
                  </a:defRPr>
                </a:pPr>
                <a:r>
                  <a:rPr>
                    <a:solidFill>
                      <a:sysClr val="windowText" lastClr="000000"/>
                    </a:solidFill>
                  </a:rPr>
                  <a:t>（万元）</a:t>
                </a:r>
                <a:endParaRPr>
                  <a:solidFill>
                    <a:sysClr val="windowText" lastClr="000000"/>
                  </a:solidFill>
                </a:endParaRPr>
              </a:p>
            </c:rich>
          </c:tx>
          <c:layout>
            <c:manualLayout>
              <c:xMode val="edge"/>
              <c:yMode val="edge"/>
              <c:x val="0.115789473684211"/>
              <c:y val="0.293472222222222"/>
            </c:manualLayout>
          </c:layout>
          <c:overlay val="0"/>
          <c:spPr>
            <a:noFill/>
            <a:ln>
              <a:noFill/>
            </a:ln>
            <a:effectLst/>
          </c:sp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crossAx val="427146372"/>
        <c:crosses val="autoZero"/>
        <c:crossBetween val="between"/>
      </c:valAx>
      <c:dTable>
        <c:showHorzBorder val="1"/>
        <c:showVertBorder val="1"/>
        <c:showOutline val="1"/>
        <c:showKeys val="1"/>
        <c:spPr>
          <a:noFill/>
          <a:ln w="9525" cap="flat" cmpd="sng" algn="ctr">
            <a:solidFill>
              <a:schemeClr val="dk1">
                <a:lumMod val="15000"/>
                <a:lumOff val="85000"/>
              </a:schemeClr>
            </a:solidFill>
            <a:round/>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ysClr val="windowText" lastClr="000000"/>
          </a:solidFill>
        </a:defRPr>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246125740204107"/>
          <c:y val="0.00755857898715042"/>
        </c:manualLayout>
      </c:layout>
      <c:overlay val="0"/>
      <c:spPr>
        <a:noFill/>
        <a:ln>
          <a:noFill/>
        </a:ln>
        <a:effectLst/>
      </c:spPr>
      <c:txPr>
        <a:bodyPr rot="0" spcFirstLastPara="0" vertOverflow="ellipsis" vert="horz" wrap="square" anchor="ctr" anchorCtr="1"/>
        <a:lstStyle/>
        <a:p>
          <a:pPr>
            <a:defRPr lang="zh-CN" sz="1400" b="1" i="0" u="none" strike="noStrike" kern="1200" baseline="0">
              <a:solidFill>
                <a:sysClr val="windowText" lastClr="000000"/>
              </a:solidFill>
              <a:latin typeface="+mn-lt"/>
              <a:ea typeface="+mn-ea"/>
              <a:cs typeface="+mn-cs"/>
            </a:defRPr>
          </a:pPr>
        </a:p>
      </c:txPr>
    </c:title>
    <c:autoTitleDeleted val="0"/>
    <c:plotArea>
      <c:layout>
        <c:manualLayout>
          <c:layoutTarget val="inner"/>
          <c:xMode val="edge"/>
          <c:yMode val="edge"/>
          <c:x val="0.330948905109489"/>
          <c:y val="0.17636684303351"/>
          <c:w val="0.665401459854015"/>
          <c:h val="0.616427311665407"/>
        </c:manualLayout>
      </c:layout>
      <c:barChart>
        <c:barDir val="col"/>
        <c:grouping val="clustered"/>
        <c:varyColors val="0"/>
        <c:ser>
          <c:idx val="0"/>
          <c:order val="0"/>
          <c:tx>
            <c:strRef>
              <c:f>[工作簿1]Sheet1!$B$1</c:f>
              <c:strCache>
                <c:ptCount val="1"/>
                <c:pt idx="0">
                  <c:v>一般公共预算财政拨款支出情况</c:v>
                </c:pt>
              </c:strCache>
            </c:strRef>
          </c:tx>
          <c:spPr>
            <a:gradFill>
              <a:gsLst>
                <a:gs pos="100000">
                  <a:schemeClr val="accent1"/>
                </a:gs>
                <a:gs pos="0">
                  <a:schemeClr val="accent1">
                    <a:hueOff val="-1670000"/>
                  </a:schemeClr>
                </a:gs>
              </a:gsLst>
              <a:lin ang="5400000" scaled="0"/>
            </a:gradFill>
            <a:ln>
              <a:gradFill>
                <a:gsLst>
                  <a:gs pos="100000">
                    <a:schemeClr val="accent1">
                      <a:lumMod val="75000"/>
                    </a:schemeClr>
                  </a:gs>
                  <a:gs pos="0">
                    <a:schemeClr val="accent1">
                      <a:lumMod val="75000"/>
                      <a:hueOff val="-1670000"/>
                    </a:schemeClr>
                  </a:gs>
                </a:gsLst>
                <a:lin ang="5280000" scaled="0"/>
              </a:gradFill>
            </a:ln>
            <a:effectLst/>
          </c:spPr>
          <c:invertIfNegative val="0"/>
          <c:dLbls>
            <c:delete val="1"/>
          </c:dLbls>
          <c:cat>
            <c:numRef>
              <c:f>[工作簿1]Sheet1!$A$2:$A$3</c:f>
              <c:numCache>
                <c:formatCode>General</c:formatCode>
                <c:ptCount val="2"/>
                <c:pt idx="0">
                  <c:v>2022</c:v>
                </c:pt>
                <c:pt idx="1">
                  <c:v>2023</c:v>
                </c:pt>
              </c:numCache>
            </c:numRef>
          </c:cat>
          <c:val>
            <c:numRef>
              <c:f>[工作簿1]Sheet1!$B$2:$B$3</c:f>
              <c:numCache>
                <c:formatCode>General</c:formatCode>
                <c:ptCount val="2"/>
                <c:pt idx="0">
                  <c:v>1078.88</c:v>
                </c:pt>
                <c:pt idx="1">
                  <c:v>1155.15</c:v>
                </c:pt>
              </c:numCache>
            </c:numRef>
          </c:val>
        </c:ser>
        <c:dLbls>
          <c:showLegendKey val="0"/>
          <c:showVal val="0"/>
          <c:showCatName val="0"/>
          <c:showSerName val="0"/>
          <c:showPercent val="0"/>
          <c:showBubbleSize val="0"/>
        </c:dLbls>
        <c:gapWidth val="100"/>
        <c:overlap val="-50"/>
        <c:axId val="427146372"/>
        <c:axId val="980822233"/>
      </c:barChart>
      <c:catAx>
        <c:axId val="427146372"/>
        <c:scaling>
          <c:orientation val="minMax"/>
        </c:scaling>
        <c:delete val="0"/>
        <c:axPos val="b"/>
        <c:majorTickMark val="none"/>
        <c:minorTickMark val="none"/>
        <c:tickLblPos val="nextTo"/>
        <c:spPr>
          <a:noFill/>
          <a:ln w="9525" cap="flat" cmpd="sng" algn="ctr">
            <a:solidFill>
              <a:schemeClr val="dk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crossAx val="980822233"/>
        <c:crosses val="autoZero"/>
        <c:auto val="1"/>
        <c:lblAlgn val="ctr"/>
        <c:lblOffset val="100"/>
        <c:noMultiLvlLbl val="0"/>
      </c:catAx>
      <c:valAx>
        <c:axId val="980822233"/>
        <c:scaling>
          <c:orientation val="minMax"/>
        </c:scaling>
        <c:delete val="0"/>
        <c:axPos val="l"/>
        <c:majorGridlines>
          <c:spPr>
            <a:ln w="9525" cap="flat" cmpd="sng" algn="ctr">
              <a:solidFill>
                <a:schemeClr val="lt1">
                  <a:lumMod val="902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ysClr val="windowText" lastClr="000000"/>
                    </a:solidFill>
                    <a:latin typeface="+mn-lt"/>
                    <a:ea typeface="+mn-ea"/>
                    <a:cs typeface="+mn-cs"/>
                  </a:defRPr>
                </a:pPr>
                <a:r>
                  <a:rPr>
                    <a:solidFill>
                      <a:sysClr val="windowText" lastClr="000000"/>
                    </a:solidFill>
                  </a:rPr>
                  <a:t>一般公共预算财政拨款支出情况</a:t>
                </a:r>
                <a:endParaRPr>
                  <a:solidFill>
                    <a:sysClr val="windowText" lastClr="000000"/>
                  </a:solidFill>
                </a:endParaRPr>
              </a:p>
              <a:p>
                <a:pPr defTabSz="914400">
                  <a:defRPr lang="zh-CN" sz="1000" b="0" i="0" u="none" strike="noStrike" kern="1200" baseline="0">
                    <a:solidFill>
                      <a:sysClr val="windowText" lastClr="000000"/>
                    </a:solidFill>
                    <a:latin typeface="+mn-lt"/>
                    <a:ea typeface="+mn-ea"/>
                    <a:cs typeface="+mn-cs"/>
                  </a:defRPr>
                </a:pPr>
                <a:r>
                  <a:rPr>
                    <a:solidFill>
                      <a:sysClr val="windowText" lastClr="000000"/>
                    </a:solidFill>
                  </a:rPr>
                  <a:t>（万元）</a:t>
                </a:r>
                <a:endParaRPr>
                  <a:solidFill>
                    <a:sysClr val="windowText" lastClr="000000"/>
                  </a:solidFill>
                </a:endParaRPr>
              </a:p>
            </c:rich>
          </c:tx>
          <c:layout>
            <c:manualLayout>
              <c:xMode val="edge"/>
              <c:yMode val="edge"/>
              <c:x val="0.113556473300038"/>
              <c:y val="0.0548113504661123"/>
            </c:manualLayout>
          </c:layout>
          <c:overlay val="0"/>
          <c:spPr>
            <a:noFill/>
            <a:ln>
              <a:noFill/>
            </a:ln>
            <a:effectLst/>
          </c:sp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crossAx val="427146372"/>
        <c:crosses val="autoZero"/>
        <c:crossBetween val="between"/>
      </c:valAx>
      <c:dTable>
        <c:showHorzBorder val="1"/>
        <c:showVertBorder val="1"/>
        <c:showOutline val="1"/>
        <c:showKeys val="1"/>
        <c:spPr>
          <a:noFill/>
          <a:ln w="9525" cap="flat" cmpd="sng" algn="ctr">
            <a:solidFill>
              <a:schemeClr val="dk1">
                <a:lumMod val="15000"/>
                <a:lumOff val="85000"/>
              </a:schemeClr>
            </a:solidFill>
            <a:round/>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ysClr val="windowText" lastClr="000000"/>
          </a:solidFill>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80" b="1" i="0" u="none" strike="noStrike" kern="1200" baseline="0">
                <a:solidFill>
                  <a:sysClr val="windowText" lastClr="000000"/>
                </a:solidFill>
                <a:latin typeface="+mn-lt"/>
                <a:ea typeface="+mn-ea"/>
                <a:cs typeface="+mn-cs"/>
              </a:defRPr>
            </a:pPr>
            <a:r>
              <a:rPr sz="1400">
                <a:latin typeface="宋体" panose="02010600030101010101" charset="-122"/>
                <a:ea typeface="宋体" panose="02010600030101010101" charset="-122"/>
              </a:rPr>
              <a:t>一般公共预算财政拨款支出（万元）</a:t>
            </a:r>
            <a:endParaRPr sz="1400">
              <a:latin typeface="宋体" panose="02010600030101010101" charset="-122"/>
              <a:ea typeface="宋体" panose="02010600030101010101" charset="-122"/>
            </a:endParaRPr>
          </a:p>
        </c:rich>
      </c:tx>
      <c:layout>
        <c:manualLayout>
          <c:xMode val="edge"/>
          <c:yMode val="edge"/>
          <c:x val="0.23100561659914"/>
          <c:y val="0.00755857898715042"/>
        </c:manualLayout>
      </c:layout>
      <c:overlay val="0"/>
    </c:title>
    <c:autoTitleDeleted val="0"/>
    <c:view3D>
      <c:rotX val="50"/>
      <c:rotY val="152"/>
      <c:depthPercent val="170"/>
      <c:rAngAx val="0"/>
    </c:view3D>
    <c:floor>
      <c:thickness val="0"/>
    </c:floor>
    <c:sideWall>
      <c:thickness val="0"/>
    </c:sideWall>
    <c:backWall>
      <c:thickness val="0"/>
    </c:backWall>
    <c:plotArea>
      <c:layout/>
      <c:pie3DChart>
        <c:varyColors val="1"/>
        <c:ser>
          <c:idx val="0"/>
          <c:order val="0"/>
          <c:tx>
            <c:strRef>
              <c:f>[工作簿1]Sheet1!$B$18</c:f>
              <c:strCache>
                <c:ptCount val="1"/>
                <c:pt idx="0">
                  <c:v>一般公共预算财政拨款支出（万元）</c:v>
                </c:pt>
              </c:strCache>
            </c:strRef>
          </c:tx>
          <c:spPr>
            <a:ln w="12700">
              <a:solidFill>
                <a:schemeClr val="bg1">
                  <a:lumMod val="95000"/>
                </a:schemeClr>
              </a:solidFill>
            </a:ln>
            <a:scene3d>
              <a:camera prst="orthographicFront"/>
              <a:lightRig rig="threePt" dir="t"/>
            </a:scene3d>
            <a:sp3d contourW="12700"/>
          </c:spPr>
          <c:explosion val="0"/>
          <c:dPt>
            <c:idx val="0"/>
            <c:bubble3D val="0"/>
            <c:spPr>
              <a:solidFill>
                <a:schemeClr val="accent1"/>
              </a:solidFill>
              <a:ln w="12700">
                <a:solidFill>
                  <a:schemeClr val="bg1">
                    <a:lumMod val="95000"/>
                  </a:schemeClr>
                </a:solidFill>
              </a:ln>
              <a:effectLst/>
              <a:scene3d>
                <a:camera prst="orthographicFront"/>
                <a:lightRig rig="threePt" dir="t"/>
              </a:scene3d>
              <a:sp3d contourW="12700"/>
            </c:spPr>
          </c:dPt>
          <c:dPt>
            <c:idx val="1"/>
            <c:bubble3D val="0"/>
            <c:spPr>
              <a:solidFill>
                <a:schemeClr val="accent2"/>
              </a:solidFill>
              <a:ln w="12700">
                <a:solidFill>
                  <a:schemeClr val="bg1">
                    <a:lumMod val="95000"/>
                  </a:schemeClr>
                </a:solidFill>
              </a:ln>
              <a:effectLst/>
              <a:scene3d>
                <a:camera prst="orthographicFront"/>
                <a:lightRig rig="threePt" dir="t"/>
              </a:scene3d>
              <a:sp3d contourW="12700"/>
            </c:spPr>
          </c:dPt>
          <c:dPt>
            <c:idx val="2"/>
            <c:bubble3D val="0"/>
            <c:spPr>
              <a:solidFill>
                <a:schemeClr val="accent3"/>
              </a:solidFill>
              <a:ln w="12700">
                <a:solidFill>
                  <a:schemeClr val="bg1">
                    <a:lumMod val="95000"/>
                  </a:schemeClr>
                </a:solidFill>
              </a:ln>
              <a:effectLst/>
              <a:scene3d>
                <a:camera prst="orthographicFront"/>
                <a:lightRig rig="threePt" dir="t"/>
              </a:scene3d>
              <a:sp3d contourW="12700"/>
            </c:spPr>
          </c:dPt>
          <c:dPt>
            <c:idx val="3"/>
            <c:bubble3D val="0"/>
            <c:spPr>
              <a:solidFill>
                <a:schemeClr val="accent4"/>
              </a:solidFill>
              <a:ln w="12700">
                <a:solidFill>
                  <a:schemeClr val="bg1">
                    <a:lumMod val="95000"/>
                  </a:schemeClr>
                </a:solidFill>
              </a:ln>
              <a:effectLst/>
              <a:scene3d>
                <a:camera prst="orthographicFront"/>
                <a:lightRig rig="threePt" dir="t"/>
              </a:scene3d>
              <a:sp3d contourW="12700"/>
            </c:spPr>
          </c:dPt>
          <c:dLbls>
            <c:dLbl>
              <c:idx val="0"/>
              <c:layout>
                <c:manualLayout>
                  <c:x val="0.00986842105263158"/>
                  <c:y val="-0.149829721758109"/>
                </c:manualLayout>
              </c:layout>
              <c:dLblPos val="bestFit"/>
              <c:showLegendKey val="0"/>
              <c:showVal val="1"/>
              <c:showCatName val="1"/>
              <c:showSerName val="0"/>
              <c:showPercent val="0"/>
              <c:showBubbleSize val="0"/>
              <c:extLst>
                <c:ext xmlns:c15="http://schemas.microsoft.com/office/drawing/2012/chart" uri="{CE6537A1-D6FC-4f65-9D91-7224C49458BB}">
                  <c15:layout/>
                </c:ext>
              </c:extLst>
            </c:dLbl>
            <c:dLbl>
              <c:idx val="1"/>
              <c:layout>
                <c:manualLayout>
                  <c:x val="0.0390682678209295"/>
                  <c:y val="-0.0113538849040631"/>
                </c:manualLayout>
              </c:layout>
              <c:dLblPos val="bestFit"/>
              <c:showLegendKey val="0"/>
              <c:showVal val="1"/>
              <c:showCatName val="1"/>
              <c:showSerName val="0"/>
              <c:showPercent val="0"/>
              <c:showBubbleSize val="0"/>
              <c:extLst>
                <c:ext xmlns:c15="http://schemas.microsoft.com/office/drawing/2012/chart" uri="{CE6537A1-D6FC-4f65-9D91-7224C49458BB}">
                  <c15:layout>
                    <c:manualLayout>
                      <c:w val="0.363421052631579"/>
                      <c:h val="0.140656565656566"/>
                    </c:manualLayout>
                  </c15:layout>
                </c:ext>
              </c:extLst>
            </c:dLbl>
            <c:dLbl>
              <c:idx val="2"/>
              <c:layout>
                <c:manualLayout>
                  <c:x val="0.0810843120884261"/>
                  <c:y val="-0.0340074162824246"/>
                </c:manualLayout>
              </c:layout>
              <c:dLblPos val="bestFit"/>
              <c:showLegendKey val="0"/>
              <c:showVal val="1"/>
              <c:showCatName val="1"/>
              <c:showSerName val="0"/>
              <c:showPercent val="0"/>
              <c:showBubbleSize val="0"/>
              <c:extLst>
                <c:ext xmlns:c15="http://schemas.microsoft.com/office/drawing/2012/chart" uri="{CE6537A1-D6FC-4f65-9D91-7224C49458BB}">
                  <c15:layout>
                    <c:manualLayout>
                      <c:w val="0.281973684210526"/>
                      <c:h val="0.140656565656566"/>
                    </c:manualLayout>
                  </c15:layout>
                </c:ext>
              </c:extLst>
            </c:dLbl>
            <c:dLbl>
              <c:idx val="3"/>
              <c:layout>
                <c:manualLayout>
                  <c:x val="0.145814147442982"/>
                  <c:y val="0"/>
                </c:manualLayout>
              </c:layout>
              <c:dLblPos val="bestFit"/>
              <c:showLegendKey val="0"/>
              <c:showVal val="1"/>
              <c:showCatName val="1"/>
              <c:showSerName val="0"/>
              <c:showPercent val="0"/>
              <c:showBubbleSize val="0"/>
              <c:extLst>
                <c:ext xmlns:c15="http://schemas.microsoft.com/office/drawing/2012/chart" uri="{CE6537A1-D6FC-4f65-9D91-7224C49458BB}">
                  <c15:layout>
                    <c:manualLayout>
                      <c:w val="0.306710526315789"/>
                      <c:h val="0.140656565656566"/>
                    </c:manualLayout>
                  </c15:layout>
                </c:ext>
              </c:extLst>
            </c:dLbl>
            <c:numFmt formatCode="General" sourceLinked="1"/>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ysClr val="windowText" lastClr="000000"/>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p>
            </c:txPr>
            <c:dLblPos val="inEnd"/>
            <c:showLegendKey val="0"/>
            <c:showVal val="1"/>
            <c:showCatName val="1"/>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[工作簿1]Sheet1!$A$19:$A$22</c:f>
              <c:strCache>
                <c:ptCount val="4"/>
                <c:pt idx="0">
                  <c:v>一般公共服务支出</c:v>
                </c:pt>
                <c:pt idx="1">
                  <c:v>社会保障和就业支出</c:v>
                </c:pt>
                <c:pt idx="2">
                  <c:v>卫生健康支出</c:v>
                </c:pt>
                <c:pt idx="3">
                  <c:v>住房保障支出</c:v>
                </c:pt>
              </c:strCache>
            </c:strRef>
          </c:cat>
          <c:val>
            <c:numRef>
              <c:f>[工作簿1]Sheet1!$B$19:$B$22</c:f>
              <c:numCache>
                <c:formatCode>General</c:formatCode>
                <c:ptCount val="4"/>
                <c:pt idx="0">
                  <c:v>941.59</c:v>
                </c:pt>
                <c:pt idx="1">
                  <c:v>105.8</c:v>
                </c:pt>
                <c:pt idx="2">
                  <c:v>30.82</c:v>
                </c:pt>
                <c:pt idx="3">
                  <c:v>76.94</c:v>
                </c:pt>
              </c:numCache>
            </c:numRef>
          </c:val>
        </c:ser>
        <c:dLbls>
          <c:showLegendKey val="0"/>
          <c:showVal val="0"/>
          <c:showCatName val="0"/>
          <c:showSerName val="0"/>
          <c:showPercent val="1"/>
          <c:showBubbleSize val="0"/>
        </c:dLbls>
      </c:pie3DChart>
      <c:spPr>
        <a:noFill/>
        <a:ln>
          <a:noFill/>
        </a:ln>
        <a:effectLst/>
      </c:spPr>
    </c:plotArea>
    <c:legend>
      <c:legendPos val="r"/>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p>
        </c:txPr>
      </c:legendEntry>
      <c:legendEntry>
        <c:idx val="2"/>
        <c:txPr>
          <a:bodyPr rot="0" spcFirstLastPara="0" vertOverflow="ellipsis" vert="horz" wrap="square" anchor="ctr" anchorCtr="1"/>
          <a:lstStyle/>
          <a:p>
            <a:pPr>
              <a:defRPr lang="zh-CN" sz="900" b="0" i="0" u="none" strike="noStrike" kern="1200" baseline="0">
                <a:solidFill>
                  <a:sysClr val="windowText" lastClr="000000"/>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p>
        </c:txPr>
      </c:legendEntry>
      <c:legendEntry>
        <c:idx val="3"/>
        <c:txPr>
          <a:bodyPr rot="0" spcFirstLastPara="0" vertOverflow="ellipsis" vert="horz" wrap="square" anchor="ctr" anchorCtr="1"/>
          <a:lstStyle/>
          <a:p>
            <a:pPr>
              <a:defRPr lang="zh-CN" sz="900" b="0" i="0" u="none" strike="noStrike" kern="1200" baseline="0">
                <a:solidFill>
                  <a:sysClr val="windowText" lastClr="000000"/>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p>
        </c:txPr>
      </c:legendEntry>
      <c:layout>
        <c:manualLayout>
          <c:xMode val="edge"/>
          <c:yMode val="edge"/>
          <c:x val="0.755071185586494"/>
          <c:y val="0.234197416340274"/>
        </c:manualLayout>
      </c:layout>
      <c:overlay val="0"/>
      <c:txPr>
        <a:bodyPr rot="0" spcFirstLastPara="0" vertOverflow="ellipsis" vert="horz" wrap="square" anchor="ctr" anchorCtr="1" forceAA="0"/>
        <a:lstStyle/>
        <a:p>
          <a:pPr>
            <a:defRPr lang="zh-CN" sz="900" b="0" i="0" u="none" strike="noStrike" kern="1200" baseline="0">
              <a:solidFill>
                <a:sysClr val="windowText" lastClr="000000"/>
              </a:solidFill>
              <a:latin typeface="微软雅黑" panose="020B0503020204020204" pitchFamily="2" charset="-122"/>
              <a:ea typeface="微软雅黑" panose="020B0503020204020204" pitchFamily="2" charset="-122"/>
              <a:cs typeface="微软雅黑" panose="020B0503020204020204" pitchFamily="2" charset="-122"/>
              <a:sym typeface="微软雅黑" panose="020B0503020204020204" pitchFamily="2" charset="-122"/>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a:outerShdw blurRad="63500" dist="37357" dir="2700000" sx="0" sy="0" rotWithShape="0">
        <a:scrgbClr r="0" g="0" b="0"/>
      </a:outerShdw>
    </a:effectLst>
  </c:spPr>
  <c:txPr>
    <a:bodyPr anchor="ctr" anchorCtr="0"/>
    <a:lstStyle/>
    <a:p>
      <a:pPr>
        <a:defRPr lang="zh-CN" sz="900">
          <a:solidFill>
            <a:sysClr val="windowText" lastClr="000000"/>
          </a:solidFill>
        </a:defRPr>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ysClr val="windowText" lastClr="000000"/>
                </a:solidFill>
                <a:latin typeface="+mn-lt"/>
                <a:ea typeface="+mn-ea"/>
                <a:cs typeface="+mn-cs"/>
              </a:defRPr>
            </a:pPr>
            <a:r>
              <a:rPr>
                <a:solidFill>
                  <a:sysClr val="windowText" lastClr="000000"/>
                </a:solidFill>
              </a:rPr>
              <a:t>“三公”经费财政拨款支出决算具体情况</a:t>
            </a:r>
            <a:endParaRPr>
              <a:solidFill>
                <a:sysClr val="windowText" lastClr="000000"/>
              </a:solidFill>
            </a:endParaRPr>
          </a:p>
        </c:rich>
      </c:tx>
      <c:layout>
        <c:manualLayout>
          <c:xMode val="edge"/>
          <c:yMode val="edge"/>
          <c:x val="0.194967074317968"/>
          <c:y val="0.0340136054421769"/>
        </c:manualLayout>
      </c:layout>
      <c:overlay val="0"/>
      <c:spPr>
        <a:noFill/>
        <a:ln>
          <a:noFill/>
        </a:ln>
        <a:effectLst/>
      </c:spPr>
    </c:title>
    <c:autoTitleDeleted val="0"/>
    <c:view3D>
      <c:rotX val="30"/>
      <c:rotY val="303"/>
      <c:depthPercent val="100"/>
      <c:rAngAx val="0"/>
    </c:view3D>
    <c:floor>
      <c:thickness val="0"/>
      <c:spPr>
        <a:noFill/>
        <a:effectLst/>
      </c:spPr>
    </c:floor>
    <c:sideWall>
      <c:thickness val="0"/>
      <c:spPr>
        <a:noFill/>
        <a:effectLst/>
      </c:spPr>
    </c:sideWall>
    <c:backWall>
      <c:thickness val="0"/>
      <c:spPr>
        <a:noFill/>
        <a:effectLst/>
      </c:spPr>
    </c:backWall>
    <c:plotArea>
      <c:layout>
        <c:manualLayout>
          <c:layoutTarget val="inner"/>
          <c:xMode val="edge"/>
          <c:yMode val="edge"/>
          <c:x val="0.0258701787394167"/>
          <c:y val="0.188208616780045"/>
          <c:w val="0.603245531514581"/>
          <c:h val="0.752582514487276"/>
        </c:manualLayout>
      </c:layout>
      <c:pie3DChart>
        <c:varyColors val="1"/>
        <c:ser>
          <c:idx val="0"/>
          <c:order val="0"/>
          <c:spPr>
            <a:scene3d>
              <a:camera prst="orthographicFront"/>
              <a:lightRig rig="threePt" dir="t"/>
            </a:scene3d>
            <a:sp3d contourW="9525"/>
          </c:spPr>
          <c:explosion val="0"/>
          <c:dPt>
            <c:idx val="0"/>
            <c:bubble3D val="0"/>
            <c:spPr>
              <a:solidFill>
                <a:schemeClr val="accent1"/>
              </a:solidFill>
              <a:ln>
                <a:solidFill>
                  <a:schemeClr val="bg1"/>
                </a:solidFill>
              </a:ln>
              <a:effectLst/>
              <a:scene3d>
                <a:camera prst="orthographicFront"/>
                <a:lightRig rig="threePt" dir="t"/>
              </a:scene3d>
              <a:sp3d contourW="9525"/>
            </c:spPr>
          </c:dPt>
          <c:dPt>
            <c:idx val="1"/>
            <c:bubble3D val="0"/>
            <c:spPr>
              <a:solidFill>
                <a:schemeClr val="accent2"/>
              </a:solidFill>
              <a:ln>
                <a:solidFill>
                  <a:schemeClr val="bg1"/>
                </a:solidFill>
              </a:ln>
              <a:effectLst/>
              <a:scene3d>
                <a:camera prst="orthographicFront"/>
                <a:lightRig rig="threePt" dir="t"/>
              </a:scene3d>
              <a:sp3d contourW="9525"/>
            </c:spPr>
          </c:dPt>
          <c:dPt>
            <c:idx val="2"/>
            <c:bubble3D val="0"/>
            <c:spPr>
              <a:solidFill>
                <a:schemeClr val="accent3"/>
              </a:solidFill>
              <a:ln>
                <a:solidFill>
                  <a:schemeClr val="bg1"/>
                </a:solidFill>
              </a:ln>
              <a:effectLst/>
              <a:scene3d>
                <a:camera prst="orthographicFront"/>
                <a:lightRig rig="threePt" dir="t"/>
              </a:scene3d>
              <a:sp3d contourW="9525"/>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ysClr val="windowText" lastClr="000000"/>
                    </a:solidFill>
                    <a:latin typeface="+mn-lt"/>
                    <a:ea typeface="+mn-ea"/>
                    <a:cs typeface="+mn-cs"/>
                  </a:defRPr>
                </a:pPr>
              </a:p>
            </c:txPr>
            <c:dLblPos val="inEnd"/>
            <c:showLegendKey val="0"/>
            <c:showVal val="1"/>
            <c:showCatName val="0"/>
            <c:showSerName val="0"/>
            <c:showPercent val="1"/>
            <c:showBubbleSize val="0"/>
            <c:separator>
</c:separator>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[工作簿1]Sheet1!$A$1:$A$3</c:f>
              <c:strCache>
                <c:ptCount val="3"/>
                <c:pt idx="0">
                  <c:v>因公出国（境）经费支出</c:v>
                </c:pt>
                <c:pt idx="1">
                  <c:v>公务用车购置及运行维护费支出</c:v>
                </c:pt>
                <c:pt idx="2">
                  <c:v>公务接待费支出</c:v>
                </c:pt>
              </c:strCache>
            </c:strRef>
          </c:cat>
          <c:val>
            <c:numRef>
              <c:f>[工作簿1]Sheet1!$B$1:$B$3</c:f>
              <c:numCache>
                <c:formatCode>General</c:formatCode>
                <c:ptCount val="3"/>
                <c:pt idx="0">
                  <c:v>0</c:v>
                </c:pt>
                <c:pt idx="1">
                  <c:v>0</c:v>
                </c:pt>
                <c:pt idx="2">
                  <c:v>0.51</c:v>
                </c:pt>
              </c:numCache>
            </c:numRef>
          </c:val>
        </c:ser>
        <c:dLbls>
          <c:showLegendKey val="0"/>
          <c:showVal val="1"/>
          <c:showCatName val="0"/>
          <c:showSerName val="0"/>
          <c:showPercent val="0"/>
          <c:showBubbleSize val="0"/>
        </c:dLbls>
      </c:pie3DChart>
      <c:spPr>
        <a:noFill/>
        <a:ln>
          <a:noFill/>
        </a:ln>
        <a:effectLst/>
      </c:spPr>
    </c:plotArea>
    <c:legend>
      <c:legendPos val="r"/>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rot="0"/>
    <a:lstStyle/>
    <a:p>
      <a:pPr>
        <a:defRPr lang="zh-CN">
          <a:solidFill>
            <a:sysClr val="windowText" lastClr="000000"/>
          </a:solidFill>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9">
  <cs:axisTitle>
    <cs:lnRef idx="0"/>
    <cs:fillRef idx="0"/>
    <cs:effectRef idx="0"/>
    <cs:fontRef idx="minor">
      <a:schemeClr val="dk1">
        <a:lumMod val="65000"/>
        <a:lumOff val="35000"/>
      </a:schemeClr>
    </cs:fontRef>
    <cs:defRPr sz="1000"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lt1">
          <a:lumMod val="96000"/>
        </a:schemeClr>
      </a:solidFill>
      <a:ln w="9525" cap="flat" cmpd="sng" algn="ctr">
        <a:solidFill>
          <a:schemeClr val="tx1">
            <a:lumMod val="15000"/>
            <a:lumOff val="85000"/>
          </a:schemeClr>
        </a:solidFill>
        <a:round/>
      </a:ln>
    </cs:spPr>
    <cs:defRPr sz="1000" kern="1200"/>
  </cs:chartArea>
  <cs:dataLabel>
    <cs:lnRef idx="0"/>
    <cs:fillRef idx="0"/>
    <cs:effectRef idx="0"/>
    <cs:fontRef idx="minor">
      <a:schemeClr val="dk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100000">
            <a:schemeClr val="phClr"/>
          </a:gs>
          <a:gs pos="0">
            <a:schemeClr val="phClr">
              <a:hueOff val="-1670000"/>
            </a:schemeClr>
          </a:gs>
        </a:gsLst>
        <a:lin ang="5400000" scaled="0"/>
      </a:gradFill>
      <a:ln>
        <a:gradFill>
          <a:gsLst>
            <a:gs pos="100000">
              <a:schemeClr val="phClr">
                <a:lumMod val="75000"/>
              </a:schemeClr>
            </a:gs>
            <a:gs pos="0">
              <a:schemeClr val="phClr">
                <a:lumMod val="75000"/>
                <a:hueOff val="-1670000"/>
              </a:schemeClr>
            </a:gs>
          </a:gsLst>
          <a:lin ang="5280000" scaled="0"/>
        </a:grad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dk1">
            <a:lumMod val="35000"/>
            <a:lumOff val="65000"/>
          </a:schemeClr>
        </a:solidFill>
      </a:ln>
    </cs:spPr>
  </cs:dropLine>
  <cs:errorBar>
    <cs:lnRef idx="0"/>
    <cs:fillRef idx="0"/>
    <cs:effectRef idx="0"/>
    <cs:fontRef idx="minor">
      <a:schemeClr val="tx1"/>
    </cs:fontRef>
    <cs:spPr>
      <a:ln w="9525" cap="flat" cmpd="sng" algn="ctr">
        <a:solidFill>
          <a:schemeClr val="dk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a:solidFill>
          <a:schemeClr val="dk1">
            <a:lumMod val="75000"/>
            <a:lumOff val="25000"/>
          </a:schemeClr>
        </a:solidFill>
      </a:ln>
    </cs:spPr>
  </cs:hiLoLine>
  <cs:leaderLine>
    <cs:lnRef idx="0"/>
    <cs:fillRef idx="0"/>
    <cs:effectRef idx="0"/>
    <cs:fontRef idx="minor">
      <a:schemeClr val="tx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tx1"/>
    </cs:fontRef>
    <cs:spPr>
      <a:ln w="9525">
        <a:solidFill>
          <a:schemeClr val="dk1">
            <a:lumMod val="35000"/>
            <a:lumOff val="65000"/>
          </a:schemeClr>
        </a:solidFill>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9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styleClr val="auto"/>
    </cs:lnRef>
    <cs:fillRef idx="1">
      <cs:styleClr val="auto"/>
    </cs:fillRef>
    <cs:effectRef idx="0"/>
    <cs:fontRef idx="minor">
      <a:schemeClr val="dk1"/>
    </cs:fontRef>
    <cs:spPr>
      <a:ln>
        <a:solidFill>
          <a:schemeClr val="bg1"/>
        </a:solidFill>
      </a:ln>
      <a:effectLst/>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09">
  <cs:axisTitle>
    <cs:lnRef idx="0"/>
    <cs:fillRef idx="0"/>
    <cs:effectRef idx="0"/>
    <cs:fontRef idx="minor">
      <a:schemeClr val="dk1">
        <a:lumMod val="65000"/>
        <a:lumOff val="35000"/>
      </a:schemeClr>
    </cs:fontRef>
    <cs:defRPr sz="1000"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lt1">
          <a:lumMod val="96000"/>
        </a:schemeClr>
      </a:solidFill>
      <a:ln w="9525" cap="flat" cmpd="sng" algn="ctr">
        <a:solidFill>
          <a:schemeClr val="tx1">
            <a:lumMod val="15000"/>
            <a:lumOff val="85000"/>
          </a:schemeClr>
        </a:solidFill>
        <a:round/>
      </a:ln>
    </cs:spPr>
    <cs:defRPr sz="1000" kern="1200"/>
  </cs:chartArea>
  <cs:dataLabel>
    <cs:lnRef idx="0"/>
    <cs:fillRef idx="0"/>
    <cs:effectRef idx="0"/>
    <cs:fontRef idx="minor">
      <a:schemeClr val="dk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100000">
            <a:schemeClr val="phClr"/>
          </a:gs>
          <a:gs pos="0">
            <a:schemeClr val="phClr">
              <a:hueOff val="-1670000"/>
            </a:schemeClr>
          </a:gs>
        </a:gsLst>
        <a:lin ang="5400000" scaled="0"/>
      </a:gradFill>
      <a:ln>
        <a:gradFill>
          <a:gsLst>
            <a:gs pos="100000">
              <a:schemeClr val="phClr">
                <a:lumMod val="75000"/>
              </a:schemeClr>
            </a:gs>
            <a:gs pos="0">
              <a:schemeClr val="phClr">
                <a:lumMod val="75000"/>
                <a:hueOff val="-1670000"/>
              </a:schemeClr>
            </a:gs>
          </a:gsLst>
          <a:lin ang="5280000" scaled="0"/>
        </a:grad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dk1">
            <a:lumMod val="35000"/>
            <a:lumOff val="65000"/>
          </a:schemeClr>
        </a:solidFill>
      </a:ln>
    </cs:spPr>
  </cs:dropLine>
  <cs:errorBar>
    <cs:lnRef idx="0"/>
    <cs:fillRef idx="0"/>
    <cs:effectRef idx="0"/>
    <cs:fontRef idx="minor">
      <a:schemeClr val="tx1"/>
    </cs:fontRef>
    <cs:spPr>
      <a:ln w="9525" cap="flat" cmpd="sng" algn="ctr">
        <a:solidFill>
          <a:schemeClr val="dk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a:solidFill>
          <a:schemeClr val="dk1">
            <a:lumMod val="75000"/>
            <a:lumOff val="25000"/>
          </a:schemeClr>
        </a:solidFill>
      </a:ln>
    </cs:spPr>
  </cs:hiLoLine>
  <cs:leaderLine>
    <cs:lnRef idx="0"/>
    <cs:fillRef idx="0"/>
    <cs:effectRef idx="0"/>
    <cs:fontRef idx="minor">
      <a:schemeClr val="tx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tx1"/>
    </cs:fontRef>
    <cs:spPr>
      <a:ln w="9525">
        <a:solidFill>
          <a:schemeClr val="dk1">
            <a:lumMod val="35000"/>
            <a:lumOff val="65000"/>
          </a:schemeClr>
        </a:solidFill>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9">
  <cs:axisTitle>
    <cs:lnRef idx="0"/>
    <cs:fillRef idx="0"/>
    <cs:effectRef idx="0"/>
    <cs:fontRef idx="minor">
      <a:schemeClr val="dk1">
        <a:lumMod val="65000"/>
        <a:lumOff val="35000"/>
      </a:schemeClr>
    </cs:fontRef>
    <cs:defRPr sz="1000"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lt1">
          <a:lumMod val="96000"/>
        </a:schemeClr>
      </a:solidFill>
      <a:ln w="9525" cap="flat" cmpd="sng" algn="ctr">
        <a:solidFill>
          <a:schemeClr val="tx1">
            <a:lumMod val="15000"/>
            <a:lumOff val="85000"/>
          </a:schemeClr>
        </a:solidFill>
        <a:round/>
      </a:ln>
    </cs:spPr>
    <cs:defRPr sz="1000" kern="1200"/>
  </cs:chartArea>
  <cs:dataLabel>
    <cs:lnRef idx="0"/>
    <cs:fillRef idx="0"/>
    <cs:effectRef idx="0"/>
    <cs:fontRef idx="minor">
      <a:schemeClr val="dk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100000">
            <a:schemeClr val="phClr"/>
          </a:gs>
          <a:gs pos="0">
            <a:schemeClr val="phClr">
              <a:hueOff val="-1670000"/>
            </a:schemeClr>
          </a:gs>
        </a:gsLst>
        <a:lin ang="5400000" scaled="0"/>
      </a:gradFill>
      <a:ln>
        <a:gradFill>
          <a:gsLst>
            <a:gs pos="100000">
              <a:schemeClr val="phClr">
                <a:lumMod val="75000"/>
              </a:schemeClr>
            </a:gs>
            <a:gs pos="0">
              <a:schemeClr val="phClr">
                <a:lumMod val="75000"/>
                <a:hueOff val="-1670000"/>
              </a:schemeClr>
            </a:gs>
          </a:gsLst>
          <a:lin ang="5280000" scaled="0"/>
        </a:grad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dk1">
            <a:lumMod val="35000"/>
            <a:lumOff val="65000"/>
          </a:schemeClr>
        </a:solidFill>
      </a:ln>
    </cs:spPr>
  </cs:dropLine>
  <cs:errorBar>
    <cs:lnRef idx="0"/>
    <cs:fillRef idx="0"/>
    <cs:effectRef idx="0"/>
    <cs:fontRef idx="minor">
      <a:schemeClr val="tx1"/>
    </cs:fontRef>
    <cs:spPr>
      <a:ln w="9525" cap="flat" cmpd="sng" algn="ctr">
        <a:solidFill>
          <a:schemeClr val="dk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a:solidFill>
          <a:schemeClr val="dk1">
            <a:lumMod val="75000"/>
            <a:lumOff val="25000"/>
          </a:schemeClr>
        </a:solidFill>
      </a:ln>
    </cs:spPr>
  </cs:hiLoLine>
  <cs:leaderLine>
    <cs:lnRef idx="0"/>
    <cs:fillRef idx="0"/>
    <cs:effectRef idx="0"/>
    <cs:fontRef idx="minor">
      <a:schemeClr val="tx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tx1"/>
    </cs:fontRef>
    <cs:spPr>
      <a:ln w="9525">
        <a:solidFill>
          <a:schemeClr val="dk1">
            <a:lumMod val="35000"/>
            <a:lumOff val="65000"/>
          </a:schemeClr>
        </a:solidFill>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34</Pages>
  <Words>16855</Words>
  <Characters>19494</Characters>
  <Lines>5</Lines>
  <Paragraphs>9</Paragraphs>
  <TotalTime>7</TotalTime>
  <ScaleCrop>false</ScaleCrop>
  <LinksUpToDate>false</LinksUpToDate>
  <CharactersWithSpaces>19697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玖千余为春秋</cp:lastModifiedBy>
  <cp:lastPrinted>2023-07-31T02:35:00Z</cp:lastPrinted>
  <dcterms:modified xsi:type="dcterms:W3CDTF">2024-10-10T03:24:30Z</dcterms:modified>
  <dc:title>四川省***</dc:title>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45E715E711B64FCAA3CAB3D21B577FCE_13</vt:lpwstr>
  </property>
</Properties>
</file>