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方正小标宋简体" w:hAnsi="宋体" w:eastAsia="方正小标宋简体" w:cs="Times New Roman"/>
          <w:color w:val="auto"/>
          <w:kern w:val="2"/>
          <w:sz w:val="44"/>
          <w:szCs w:val="44"/>
          <w:highlight w:val="none"/>
          <w:lang w:val="en-US" w:eastAsia="zh-CN" w:bidi="ar-SA"/>
        </w:rPr>
      </w:pPr>
    </w:p>
    <w:p>
      <w:pPr>
        <w:pStyle w:val="2"/>
        <w:jc w:val="center"/>
        <w:rPr>
          <w:rFonts w:hint="eastAsia" w:ascii="方正小标宋简体" w:hAnsi="宋体" w:eastAsia="方正小标宋简体" w:cs="Times New Roman"/>
          <w:color w:val="auto"/>
          <w:kern w:val="2"/>
          <w:sz w:val="44"/>
          <w:szCs w:val="44"/>
          <w:highlight w:val="none"/>
          <w:lang w:val="en-US" w:eastAsia="zh-CN" w:bidi="ar-SA"/>
        </w:rPr>
      </w:pPr>
      <w:r>
        <w:rPr>
          <w:rFonts w:hint="eastAsia" w:ascii="方正小标宋简体" w:hAnsi="宋体" w:eastAsia="方正小标宋简体" w:cs="Times New Roman"/>
          <w:color w:val="auto"/>
          <w:kern w:val="2"/>
          <w:sz w:val="44"/>
          <w:szCs w:val="44"/>
          <w:highlight w:val="none"/>
          <w:lang w:val="en-US" w:eastAsia="zh-CN" w:bidi="ar-SA"/>
        </w:rPr>
        <w:t>2023年度广元市中心血站单位决算</w:t>
      </w: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both"/>
        <w:rPr>
          <w:rFonts w:hint="eastAsia" w:ascii="黑体" w:hAnsi="黑体" w:eastAsia="黑体"/>
          <w:color w:val="auto"/>
          <w:sz w:val="48"/>
          <w:szCs w:val="48"/>
          <w:highlight w:val="none"/>
        </w:rPr>
      </w:pPr>
    </w:p>
    <w:p>
      <w:pPr>
        <w:widowControl/>
        <w:jc w:val="center"/>
        <w:rPr>
          <w:rFonts w:ascii="黑体" w:hAnsi="黑体" w:eastAsia="黑体" w:cs="Times New Roman"/>
          <w:color w:val="auto"/>
          <w:sz w:val="28"/>
          <w:szCs w:val="28"/>
          <w:highlight w:val="none"/>
        </w:rPr>
      </w:pPr>
      <w:r>
        <w:rPr>
          <w:rFonts w:hint="eastAsia" w:ascii="黑体" w:hAnsi="黑体" w:eastAsia="黑体"/>
          <w:color w:val="auto"/>
          <w:sz w:val="48"/>
          <w:szCs w:val="48"/>
          <w:highlight w:val="none"/>
        </w:rPr>
        <w:t>目录</w:t>
      </w:r>
    </w:p>
    <w:p>
      <w:pPr>
        <w:pStyle w:val="6"/>
        <w:rPr>
          <w:color w:val="auto"/>
          <w:highlight w:val="none"/>
        </w:rPr>
      </w:pPr>
      <w:r>
        <w:rPr>
          <w:rFonts w:hint="eastAsia"/>
          <w:color w:val="auto"/>
          <w:highlight w:val="none"/>
        </w:rPr>
        <w:t>公开时间：20</w:t>
      </w:r>
      <w:r>
        <w:rPr>
          <w:rFonts w:hint="eastAsia"/>
          <w:color w:val="auto"/>
          <w:highlight w:val="none"/>
          <w:lang w:val="en-US" w:eastAsia="zh-CN"/>
        </w:rPr>
        <w:t>24</w:t>
      </w:r>
      <w:r>
        <w:rPr>
          <w:rFonts w:hint="eastAsia"/>
          <w:color w:val="auto"/>
          <w:highlight w:val="none"/>
        </w:rPr>
        <w:t>年</w:t>
      </w:r>
      <w:r>
        <w:rPr>
          <w:rFonts w:hint="eastAsia"/>
          <w:color w:val="auto"/>
          <w:highlight w:val="none"/>
          <w:lang w:val="en-US" w:eastAsia="zh-CN"/>
        </w:rPr>
        <w:t>10</w:t>
      </w:r>
      <w:r>
        <w:rPr>
          <w:rFonts w:hint="eastAsia"/>
          <w:color w:val="auto"/>
          <w:highlight w:val="none"/>
        </w:rPr>
        <w:t>月</w:t>
      </w:r>
      <w:r>
        <w:rPr>
          <w:rFonts w:hint="eastAsia"/>
          <w:color w:val="auto"/>
          <w:highlight w:val="none"/>
          <w:lang w:val="en-US" w:eastAsia="zh-CN"/>
        </w:rPr>
        <w:t>14</w:t>
      </w:r>
      <w:r>
        <w:rPr>
          <w:rFonts w:hint="eastAsia"/>
          <w:color w:val="auto"/>
          <w:highlight w:val="none"/>
        </w:rPr>
        <w:t>日</w:t>
      </w:r>
    </w:p>
    <w:p>
      <w:pPr>
        <w:pStyle w:val="12"/>
        <w:tabs>
          <w:tab w:val="right" w:leader="dot" w:pos="8306"/>
        </w:tabs>
        <w:rPr>
          <w:sz w:val="28"/>
          <w:szCs w:val="28"/>
        </w:rPr>
      </w:pPr>
      <w:r>
        <w:rPr>
          <w:rFonts w:ascii="仿宋" w:hAnsi="仿宋" w:eastAsia="仿宋"/>
          <w:bCs/>
          <w:color w:val="auto"/>
          <w:kern w:val="44"/>
          <w:sz w:val="24"/>
          <w:highlight w:val="none"/>
        </w:rPr>
        <w:fldChar w:fldCharType="begin"/>
      </w:r>
      <w:r>
        <w:rPr>
          <w:rFonts w:ascii="仿宋" w:hAnsi="仿宋" w:eastAsia="仿宋"/>
          <w:bCs/>
          <w:color w:val="auto"/>
          <w:kern w:val="44"/>
          <w:sz w:val="24"/>
          <w:highlight w:val="none"/>
        </w:rPr>
        <w:instrText xml:space="preserve">TOC \o "1-3" \h \u </w:instrText>
      </w:r>
      <w:r>
        <w:rPr>
          <w:rFonts w:ascii="仿宋" w:hAnsi="仿宋" w:eastAsia="仿宋"/>
          <w:bCs/>
          <w:color w:val="auto"/>
          <w:kern w:val="44"/>
          <w:sz w:val="24"/>
          <w:highlight w:val="none"/>
        </w:rPr>
        <w:fldChar w:fldCharType="separate"/>
      </w:r>
      <w:r>
        <w:rPr>
          <w:rFonts w:ascii="仿宋" w:hAnsi="仿宋" w:eastAsia="仿宋"/>
          <w:bCs/>
          <w:color w:val="auto"/>
          <w:kern w:val="44"/>
          <w:sz w:val="28"/>
          <w:szCs w:val="28"/>
          <w:highlight w:val="none"/>
        </w:rPr>
        <w:fldChar w:fldCharType="begin"/>
      </w:r>
      <w:r>
        <w:rPr>
          <w:rFonts w:ascii="仿宋" w:hAnsi="仿宋" w:eastAsia="仿宋"/>
          <w:bCs/>
          <w:kern w:val="44"/>
          <w:sz w:val="28"/>
          <w:szCs w:val="28"/>
          <w:highlight w:val="none"/>
        </w:rPr>
        <w:instrText xml:space="preserve"> HYPERLINK \l _Toc796 </w:instrText>
      </w:r>
      <w:r>
        <w:rPr>
          <w:rFonts w:ascii="仿宋" w:hAnsi="仿宋" w:eastAsia="仿宋"/>
          <w:bCs/>
          <w:kern w:val="44"/>
          <w:sz w:val="28"/>
          <w:szCs w:val="28"/>
          <w:highlight w:val="none"/>
        </w:rPr>
        <w:fldChar w:fldCharType="separate"/>
      </w:r>
      <w:r>
        <w:rPr>
          <w:rFonts w:hint="eastAsia" w:ascii="黑体" w:hAnsi="黑体" w:eastAsia="黑体"/>
          <w:sz w:val="28"/>
          <w:szCs w:val="28"/>
          <w:highlight w:val="none"/>
        </w:rPr>
        <w:t xml:space="preserve">第一部分 </w:t>
      </w:r>
      <w:r>
        <w:rPr>
          <w:rFonts w:hint="eastAsia" w:ascii="黑体" w:hAnsi="黑体" w:eastAsia="黑体"/>
          <w:sz w:val="28"/>
          <w:szCs w:val="28"/>
          <w:highlight w:val="none"/>
          <w:lang w:eastAsia="zh-CN"/>
        </w:rPr>
        <w:t>单位</w:t>
      </w:r>
      <w:r>
        <w:rPr>
          <w:rFonts w:hint="eastAsia" w:ascii="黑体" w:hAnsi="黑体" w:eastAsia="黑体"/>
          <w:bCs w:val="0"/>
          <w:sz w:val="28"/>
          <w:szCs w:val="28"/>
          <w:highlight w:val="none"/>
        </w:rPr>
        <w:t>概况</w:t>
      </w:r>
      <w:r>
        <w:rPr>
          <w:sz w:val="28"/>
          <w:szCs w:val="28"/>
        </w:rPr>
        <w:tab/>
      </w:r>
      <w:r>
        <w:rPr>
          <w:sz w:val="28"/>
          <w:szCs w:val="28"/>
        </w:rPr>
        <w:fldChar w:fldCharType="begin"/>
      </w:r>
      <w:r>
        <w:rPr>
          <w:sz w:val="28"/>
          <w:szCs w:val="28"/>
        </w:rPr>
        <w:instrText xml:space="preserve"> PAGEREF _Toc796 \h </w:instrText>
      </w:r>
      <w:r>
        <w:rPr>
          <w:sz w:val="28"/>
          <w:szCs w:val="28"/>
        </w:rPr>
        <w:fldChar w:fldCharType="separate"/>
      </w:r>
      <w:r>
        <w:rPr>
          <w:sz w:val="28"/>
          <w:szCs w:val="28"/>
        </w:rPr>
        <w:t>1</w:t>
      </w:r>
      <w:r>
        <w:rPr>
          <w:sz w:val="28"/>
          <w:szCs w:val="28"/>
        </w:rPr>
        <w:fldChar w:fldCharType="end"/>
      </w:r>
      <w:r>
        <w:rPr>
          <w:rFonts w:ascii="仿宋" w:hAnsi="仿宋" w:eastAsia="仿宋"/>
          <w:bCs/>
          <w:color w:val="auto"/>
          <w:kern w:val="44"/>
          <w:sz w:val="28"/>
          <w:szCs w:val="28"/>
          <w:highlight w:val="none"/>
        </w:rPr>
        <w:fldChar w:fldCharType="end"/>
      </w:r>
    </w:p>
    <w:p>
      <w:pPr>
        <w:pStyle w:val="13"/>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bCs/>
          <w:color w:val="auto"/>
          <w:kern w:val="44"/>
          <w:sz w:val="28"/>
          <w:szCs w:val="28"/>
          <w:highlight w:val="none"/>
        </w:rPr>
        <w:fldChar w:fldCharType="begin"/>
      </w:r>
      <w:r>
        <w:rPr>
          <w:rFonts w:hint="eastAsia" w:ascii="仿宋_GB2312" w:hAnsi="仿宋_GB2312" w:eastAsia="仿宋_GB2312" w:cs="仿宋_GB2312"/>
          <w:bCs/>
          <w:kern w:val="44"/>
          <w:sz w:val="28"/>
          <w:szCs w:val="28"/>
          <w:highlight w:val="none"/>
        </w:rPr>
        <w:instrText xml:space="preserve"> HYPERLINK \l _Toc23638 </w:instrText>
      </w:r>
      <w:r>
        <w:rPr>
          <w:rFonts w:hint="eastAsia" w:ascii="仿宋_GB2312" w:hAnsi="仿宋_GB2312" w:eastAsia="仿宋_GB2312" w:cs="仿宋_GB2312"/>
          <w:bCs/>
          <w:kern w:val="44"/>
          <w:sz w:val="28"/>
          <w:szCs w:val="28"/>
          <w:highlight w:val="none"/>
        </w:rPr>
        <w:fldChar w:fldCharType="separate"/>
      </w:r>
      <w:r>
        <w:rPr>
          <w:rFonts w:hint="eastAsia" w:ascii="仿宋_GB2312" w:hAnsi="仿宋_GB2312" w:eastAsia="仿宋_GB2312" w:cs="仿宋_GB2312"/>
          <w:bCs w:val="0"/>
          <w:sz w:val="28"/>
          <w:szCs w:val="28"/>
          <w:lang w:eastAsia="zh-CN"/>
        </w:rPr>
        <w:t xml:space="preserve">一、 </w:t>
      </w:r>
      <w:r>
        <w:rPr>
          <w:rFonts w:hint="eastAsia" w:ascii="仿宋_GB2312" w:hAnsi="仿宋_GB2312" w:eastAsia="仿宋_GB2312" w:cs="仿宋_GB2312"/>
          <w:bCs w:val="0"/>
          <w:sz w:val="28"/>
          <w:szCs w:val="28"/>
          <w:highlight w:val="none"/>
          <w:lang w:eastAsia="zh-CN"/>
        </w:rPr>
        <w:t>主要职责</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_Toc23638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color w:val="auto"/>
          <w:kern w:val="44"/>
          <w:sz w:val="28"/>
          <w:szCs w:val="28"/>
          <w:highlight w:val="none"/>
        </w:rPr>
        <w:fldChar w:fldCharType="end"/>
      </w:r>
    </w:p>
    <w:p>
      <w:pPr>
        <w:pStyle w:val="13"/>
        <w:tabs>
          <w:tab w:val="right" w:leader="dot" w:pos="8306"/>
        </w:tabs>
        <w:rPr>
          <w:sz w:val="28"/>
          <w:szCs w:val="28"/>
        </w:rPr>
      </w:pPr>
      <w:r>
        <w:rPr>
          <w:rFonts w:hint="eastAsia" w:ascii="仿宋_GB2312" w:hAnsi="仿宋_GB2312" w:eastAsia="仿宋_GB2312" w:cs="仿宋_GB2312"/>
          <w:bCs/>
          <w:color w:val="auto"/>
          <w:kern w:val="44"/>
          <w:sz w:val="28"/>
          <w:szCs w:val="28"/>
          <w:highlight w:val="none"/>
        </w:rPr>
        <w:fldChar w:fldCharType="begin"/>
      </w:r>
      <w:r>
        <w:rPr>
          <w:rFonts w:hint="eastAsia" w:ascii="仿宋_GB2312" w:hAnsi="仿宋_GB2312" w:eastAsia="仿宋_GB2312" w:cs="仿宋_GB2312"/>
          <w:bCs/>
          <w:kern w:val="44"/>
          <w:sz w:val="28"/>
          <w:szCs w:val="28"/>
          <w:highlight w:val="none"/>
        </w:rPr>
        <w:instrText xml:space="preserve"> HYPERLINK \l _Toc25446 </w:instrText>
      </w:r>
      <w:r>
        <w:rPr>
          <w:rFonts w:hint="eastAsia" w:ascii="仿宋_GB2312" w:hAnsi="仿宋_GB2312" w:eastAsia="仿宋_GB2312" w:cs="仿宋_GB2312"/>
          <w:bCs/>
          <w:kern w:val="44"/>
          <w:sz w:val="28"/>
          <w:szCs w:val="28"/>
          <w:highlight w:val="none"/>
        </w:rPr>
        <w:fldChar w:fldCharType="separate"/>
      </w:r>
      <w:r>
        <w:rPr>
          <w:rFonts w:hint="eastAsia" w:ascii="仿宋_GB2312" w:hAnsi="仿宋_GB2312" w:eastAsia="仿宋_GB2312" w:cs="仿宋_GB2312"/>
          <w:sz w:val="28"/>
          <w:szCs w:val="28"/>
          <w:lang w:val="en-US" w:eastAsia="zh-CN"/>
        </w:rPr>
        <w:t xml:space="preserve">二、 </w:t>
      </w:r>
      <w:r>
        <w:rPr>
          <w:rFonts w:hint="eastAsia" w:ascii="仿宋_GB2312" w:hAnsi="仿宋_GB2312" w:eastAsia="仿宋_GB2312" w:cs="仿宋_GB2312"/>
          <w:sz w:val="28"/>
          <w:szCs w:val="28"/>
          <w:highlight w:val="none"/>
          <w:lang w:val="en-US" w:eastAsia="zh-CN"/>
        </w:rPr>
        <w:t>机构设置</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_Toc25446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color w:val="auto"/>
          <w:kern w:val="44"/>
          <w:sz w:val="28"/>
          <w:szCs w:val="28"/>
          <w:highlight w:val="none"/>
        </w:rPr>
        <w:fldChar w:fldCharType="end"/>
      </w:r>
    </w:p>
    <w:p>
      <w:pPr>
        <w:pStyle w:val="12"/>
        <w:tabs>
          <w:tab w:val="right" w:leader="dot" w:pos="8306"/>
        </w:tabs>
        <w:rPr>
          <w:sz w:val="28"/>
          <w:szCs w:val="28"/>
        </w:rPr>
      </w:pPr>
      <w:r>
        <w:rPr>
          <w:rFonts w:ascii="仿宋" w:hAnsi="仿宋" w:eastAsia="仿宋"/>
          <w:bCs/>
          <w:color w:val="auto"/>
          <w:kern w:val="44"/>
          <w:sz w:val="28"/>
          <w:szCs w:val="28"/>
          <w:highlight w:val="none"/>
        </w:rPr>
        <w:fldChar w:fldCharType="begin"/>
      </w:r>
      <w:r>
        <w:rPr>
          <w:rFonts w:ascii="仿宋" w:hAnsi="仿宋" w:eastAsia="仿宋"/>
          <w:bCs/>
          <w:kern w:val="44"/>
          <w:sz w:val="28"/>
          <w:szCs w:val="28"/>
          <w:highlight w:val="none"/>
        </w:rPr>
        <w:instrText xml:space="preserve"> HYPERLINK \l _Toc5346 </w:instrText>
      </w:r>
      <w:r>
        <w:rPr>
          <w:rFonts w:ascii="仿宋" w:hAnsi="仿宋" w:eastAsia="仿宋"/>
          <w:bCs/>
          <w:kern w:val="44"/>
          <w:sz w:val="28"/>
          <w:szCs w:val="28"/>
          <w:highlight w:val="none"/>
        </w:rPr>
        <w:fldChar w:fldCharType="separate"/>
      </w:r>
      <w:r>
        <w:rPr>
          <w:rFonts w:hint="eastAsia" w:ascii="黑体" w:hAnsi="黑体" w:eastAsia="黑体"/>
          <w:bCs/>
          <w:sz w:val="28"/>
          <w:szCs w:val="28"/>
          <w:highlight w:val="none"/>
        </w:rPr>
        <w:t xml:space="preserve">第二部分 </w:t>
      </w:r>
      <w:r>
        <w:rPr>
          <w:rFonts w:hint="eastAsia" w:ascii="黑体" w:hAnsi="黑体" w:eastAsia="黑体"/>
          <w:bCs/>
          <w:sz w:val="28"/>
          <w:szCs w:val="28"/>
          <w:highlight w:val="none"/>
          <w:lang w:val="en-US" w:eastAsia="zh-CN"/>
        </w:rPr>
        <w:t>2023年度</w:t>
      </w:r>
      <w:r>
        <w:rPr>
          <w:rFonts w:hint="eastAsia" w:ascii="黑体" w:hAnsi="黑体" w:eastAsia="黑体"/>
          <w:bCs/>
          <w:sz w:val="28"/>
          <w:szCs w:val="28"/>
          <w:highlight w:val="none"/>
          <w:lang w:eastAsia="zh-CN"/>
        </w:rPr>
        <w:t>单位</w:t>
      </w:r>
      <w:r>
        <w:rPr>
          <w:rFonts w:hint="eastAsia" w:ascii="黑体" w:hAnsi="黑体" w:eastAsia="黑体"/>
          <w:bCs/>
          <w:sz w:val="28"/>
          <w:szCs w:val="28"/>
          <w:highlight w:val="none"/>
        </w:rPr>
        <w:t>决算情况说明</w:t>
      </w:r>
      <w:r>
        <w:rPr>
          <w:sz w:val="28"/>
          <w:szCs w:val="28"/>
        </w:rPr>
        <w:tab/>
      </w:r>
      <w:r>
        <w:rPr>
          <w:sz w:val="28"/>
          <w:szCs w:val="28"/>
        </w:rPr>
        <w:fldChar w:fldCharType="begin"/>
      </w:r>
      <w:r>
        <w:rPr>
          <w:sz w:val="28"/>
          <w:szCs w:val="28"/>
        </w:rPr>
        <w:instrText xml:space="preserve"> PAGEREF _Toc5346 \h </w:instrText>
      </w:r>
      <w:r>
        <w:rPr>
          <w:sz w:val="28"/>
          <w:szCs w:val="28"/>
        </w:rPr>
        <w:fldChar w:fldCharType="separate"/>
      </w:r>
      <w:r>
        <w:rPr>
          <w:sz w:val="28"/>
          <w:szCs w:val="28"/>
        </w:rPr>
        <w:t>2</w:t>
      </w:r>
      <w:r>
        <w:rPr>
          <w:sz w:val="28"/>
          <w:szCs w:val="28"/>
        </w:rPr>
        <w:fldChar w:fldCharType="end"/>
      </w:r>
      <w:r>
        <w:rPr>
          <w:rFonts w:ascii="仿宋" w:hAnsi="仿宋" w:eastAsia="仿宋"/>
          <w:bCs/>
          <w:color w:val="auto"/>
          <w:kern w:val="44"/>
          <w:sz w:val="28"/>
          <w:szCs w:val="28"/>
          <w:highlight w:val="none"/>
        </w:rPr>
        <w:fldChar w:fldCharType="end"/>
      </w:r>
    </w:p>
    <w:p>
      <w:pPr>
        <w:pStyle w:val="13"/>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bCs/>
          <w:color w:val="auto"/>
          <w:kern w:val="44"/>
          <w:sz w:val="28"/>
          <w:szCs w:val="28"/>
          <w:highlight w:val="none"/>
        </w:rPr>
        <w:fldChar w:fldCharType="begin"/>
      </w:r>
      <w:r>
        <w:rPr>
          <w:rFonts w:hint="eastAsia" w:ascii="仿宋_GB2312" w:hAnsi="仿宋_GB2312" w:eastAsia="仿宋_GB2312" w:cs="仿宋_GB2312"/>
          <w:bCs/>
          <w:kern w:val="44"/>
          <w:sz w:val="28"/>
          <w:szCs w:val="28"/>
          <w:highlight w:val="none"/>
        </w:rPr>
        <w:instrText xml:space="preserve"> HYPERLINK \l _Toc22720 </w:instrText>
      </w:r>
      <w:r>
        <w:rPr>
          <w:rFonts w:hint="eastAsia" w:ascii="仿宋_GB2312" w:hAnsi="仿宋_GB2312" w:eastAsia="仿宋_GB2312" w:cs="仿宋_GB2312"/>
          <w:bCs/>
          <w:kern w:val="44"/>
          <w:sz w:val="28"/>
          <w:szCs w:val="28"/>
          <w:highlight w:val="none"/>
        </w:rPr>
        <w:fldChar w:fldCharType="separate"/>
      </w:r>
      <w:r>
        <w:rPr>
          <w:rFonts w:hint="eastAsia" w:ascii="仿宋_GB2312" w:hAnsi="仿宋_GB2312" w:eastAsia="仿宋_GB2312" w:cs="仿宋_GB2312"/>
          <w:sz w:val="28"/>
          <w:szCs w:val="28"/>
          <w:highlight w:val="none"/>
          <w:lang w:eastAsia="zh-CN"/>
        </w:rPr>
        <w:t>一、</w:t>
      </w:r>
      <w:r>
        <w:rPr>
          <w:rFonts w:hint="eastAsia" w:ascii="仿宋_GB2312" w:hAnsi="仿宋_GB2312" w:eastAsia="仿宋_GB2312" w:cs="仿宋_GB2312"/>
          <w:sz w:val="28"/>
          <w:szCs w:val="28"/>
          <w:highlight w:val="none"/>
        </w:rPr>
        <w:t>收入支出决算总体情况说明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_Toc22720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color w:val="auto"/>
          <w:kern w:val="44"/>
          <w:sz w:val="28"/>
          <w:szCs w:val="28"/>
          <w:highlight w:val="none"/>
        </w:rPr>
        <w:fldChar w:fldCharType="end"/>
      </w:r>
    </w:p>
    <w:p>
      <w:pPr>
        <w:pStyle w:val="13"/>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bCs/>
          <w:color w:val="auto"/>
          <w:kern w:val="44"/>
          <w:sz w:val="28"/>
          <w:szCs w:val="28"/>
          <w:highlight w:val="none"/>
        </w:rPr>
        <w:fldChar w:fldCharType="begin"/>
      </w:r>
      <w:r>
        <w:rPr>
          <w:rFonts w:hint="eastAsia" w:ascii="仿宋_GB2312" w:hAnsi="仿宋_GB2312" w:eastAsia="仿宋_GB2312" w:cs="仿宋_GB2312"/>
          <w:bCs/>
          <w:kern w:val="44"/>
          <w:sz w:val="28"/>
          <w:szCs w:val="28"/>
          <w:highlight w:val="none"/>
        </w:rPr>
        <w:instrText xml:space="preserve"> HYPERLINK \l _Toc6114 </w:instrText>
      </w:r>
      <w:r>
        <w:rPr>
          <w:rFonts w:hint="eastAsia" w:ascii="仿宋_GB2312" w:hAnsi="仿宋_GB2312" w:eastAsia="仿宋_GB2312" w:cs="仿宋_GB2312"/>
          <w:bCs/>
          <w:kern w:val="44"/>
          <w:sz w:val="28"/>
          <w:szCs w:val="28"/>
          <w:highlight w:val="none"/>
        </w:rPr>
        <w:fldChar w:fldCharType="separate"/>
      </w:r>
      <w:r>
        <w:rPr>
          <w:rFonts w:hint="eastAsia" w:ascii="仿宋_GB2312" w:hAnsi="仿宋_GB2312" w:eastAsia="仿宋_GB2312" w:cs="仿宋_GB2312"/>
          <w:sz w:val="28"/>
          <w:szCs w:val="28"/>
          <w:highlight w:val="none"/>
          <w:lang w:eastAsia="zh-CN"/>
        </w:rPr>
        <w:t>二、</w:t>
      </w:r>
      <w:r>
        <w:rPr>
          <w:rFonts w:hint="eastAsia" w:ascii="仿宋_GB2312" w:hAnsi="仿宋_GB2312" w:eastAsia="仿宋_GB2312" w:cs="仿宋_GB2312"/>
          <w:sz w:val="28"/>
          <w:szCs w:val="28"/>
          <w:highlight w:val="none"/>
        </w:rPr>
        <w:t>收入决算情况说明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_Toc6114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color w:val="auto"/>
          <w:kern w:val="44"/>
          <w:sz w:val="28"/>
          <w:szCs w:val="28"/>
          <w:highlight w:val="none"/>
        </w:rPr>
        <w:fldChar w:fldCharType="end"/>
      </w:r>
    </w:p>
    <w:p>
      <w:pPr>
        <w:pStyle w:val="13"/>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bCs/>
          <w:color w:val="auto"/>
          <w:kern w:val="44"/>
          <w:sz w:val="28"/>
          <w:szCs w:val="28"/>
          <w:highlight w:val="none"/>
        </w:rPr>
        <w:fldChar w:fldCharType="begin"/>
      </w:r>
      <w:r>
        <w:rPr>
          <w:rFonts w:hint="eastAsia" w:ascii="仿宋_GB2312" w:hAnsi="仿宋_GB2312" w:eastAsia="仿宋_GB2312" w:cs="仿宋_GB2312"/>
          <w:bCs/>
          <w:kern w:val="44"/>
          <w:sz w:val="28"/>
          <w:szCs w:val="28"/>
          <w:highlight w:val="none"/>
        </w:rPr>
        <w:instrText xml:space="preserve"> HYPERLINK \l _Toc19513 </w:instrText>
      </w:r>
      <w:r>
        <w:rPr>
          <w:rFonts w:hint="eastAsia" w:ascii="仿宋_GB2312" w:hAnsi="仿宋_GB2312" w:eastAsia="仿宋_GB2312" w:cs="仿宋_GB2312"/>
          <w:bCs/>
          <w:kern w:val="44"/>
          <w:sz w:val="28"/>
          <w:szCs w:val="28"/>
          <w:highlight w:val="none"/>
        </w:rPr>
        <w:fldChar w:fldCharType="separate"/>
      </w:r>
      <w:r>
        <w:rPr>
          <w:rFonts w:hint="eastAsia" w:ascii="仿宋_GB2312" w:hAnsi="仿宋_GB2312" w:eastAsia="仿宋_GB2312" w:cs="仿宋_GB2312"/>
          <w:sz w:val="28"/>
          <w:szCs w:val="28"/>
          <w:highlight w:val="none"/>
          <w:lang w:eastAsia="zh-CN"/>
        </w:rPr>
        <w:t>三、</w:t>
      </w:r>
      <w:r>
        <w:rPr>
          <w:rFonts w:hint="eastAsia" w:ascii="仿宋_GB2312" w:hAnsi="仿宋_GB2312" w:eastAsia="仿宋_GB2312" w:cs="仿宋_GB2312"/>
          <w:sz w:val="28"/>
          <w:szCs w:val="28"/>
          <w:highlight w:val="none"/>
        </w:rPr>
        <w:t>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_Toc19513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color w:val="auto"/>
          <w:kern w:val="44"/>
          <w:sz w:val="28"/>
          <w:szCs w:val="28"/>
          <w:highlight w:val="none"/>
        </w:rPr>
        <w:fldChar w:fldCharType="end"/>
      </w:r>
    </w:p>
    <w:p>
      <w:pPr>
        <w:pStyle w:val="13"/>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bCs/>
          <w:color w:val="auto"/>
          <w:kern w:val="44"/>
          <w:sz w:val="28"/>
          <w:szCs w:val="28"/>
          <w:highlight w:val="none"/>
        </w:rPr>
        <w:fldChar w:fldCharType="begin"/>
      </w:r>
      <w:r>
        <w:rPr>
          <w:rFonts w:hint="eastAsia" w:ascii="仿宋_GB2312" w:hAnsi="仿宋_GB2312" w:eastAsia="仿宋_GB2312" w:cs="仿宋_GB2312"/>
          <w:bCs/>
          <w:kern w:val="44"/>
          <w:sz w:val="28"/>
          <w:szCs w:val="28"/>
          <w:highlight w:val="none"/>
        </w:rPr>
        <w:instrText xml:space="preserve"> HYPERLINK \l _Toc9165 </w:instrText>
      </w:r>
      <w:r>
        <w:rPr>
          <w:rFonts w:hint="eastAsia" w:ascii="仿宋_GB2312" w:hAnsi="仿宋_GB2312" w:eastAsia="仿宋_GB2312" w:cs="仿宋_GB2312"/>
          <w:bCs/>
          <w:kern w:val="44"/>
          <w:sz w:val="28"/>
          <w:szCs w:val="28"/>
          <w:highlight w:val="none"/>
        </w:rPr>
        <w:fldChar w:fldCharType="separate"/>
      </w:r>
      <w:r>
        <w:rPr>
          <w:rFonts w:hint="eastAsia" w:ascii="仿宋_GB2312" w:hAnsi="仿宋_GB2312" w:eastAsia="仿宋_GB2312" w:cs="仿宋_GB2312"/>
          <w:sz w:val="28"/>
          <w:szCs w:val="28"/>
          <w:highlight w:val="none"/>
        </w:rPr>
        <w:t>四、财政拨款收入支出决算总体情况说明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_Toc9165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color w:val="auto"/>
          <w:kern w:val="44"/>
          <w:sz w:val="28"/>
          <w:szCs w:val="28"/>
          <w:highlight w:val="none"/>
        </w:rPr>
        <w:fldChar w:fldCharType="end"/>
      </w:r>
    </w:p>
    <w:p>
      <w:pPr>
        <w:pStyle w:val="13"/>
        <w:tabs>
          <w:tab w:val="right" w:leader="dot" w:pos="8306"/>
        </w:tabs>
        <w:rPr>
          <w:sz w:val="28"/>
          <w:szCs w:val="28"/>
        </w:rPr>
      </w:pPr>
      <w:r>
        <w:rPr>
          <w:rFonts w:hint="eastAsia" w:ascii="仿宋_GB2312" w:hAnsi="仿宋_GB2312" w:eastAsia="仿宋_GB2312" w:cs="仿宋_GB2312"/>
          <w:bCs/>
          <w:color w:val="auto"/>
          <w:kern w:val="44"/>
          <w:sz w:val="28"/>
          <w:szCs w:val="28"/>
          <w:highlight w:val="none"/>
        </w:rPr>
        <w:fldChar w:fldCharType="begin"/>
      </w:r>
      <w:r>
        <w:rPr>
          <w:rFonts w:hint="eastAsia" w:ascii="仿宋_GB2312" w:hAnsi="仿宋_GB2312" w:eastAsia="仿宋_GB2312" w:cs="仿宋_GB2312"/>
          <w:bCs/>
          <w:kern w:val="44"/>
          <w:sz w:val="28"/>
          <w:szCs w:val="28"/>
          <w:highlight w:val="none"/>
        </w:rPr>
        <w:instrText xml:space="preserve"> HYPERLINK \l _Toc12560 </w:instrText>
      </w:r>
      <w:r>
        <w:rPr>
          <w:rFonts w:hint="eastAsia" w:ascii="仿宋_GB2312" w:hAnsi="仿宋_GB2312" w:eastAsia="仿宋_GB2312" w:cs="仿宋_GB2312"/>
          <w:bCs/>
          <w:kern w:val="44"/>
          <w:sz w:val="28"/>
          <w:szCs w:val="28"/>
          <w:highlight w:val="none"/>
        </w:rPr>
        <w:fldChar w:fldCharType="separate"/>
      </w:r>
      <w:r>
        <w:rPr>
          <w:rFonts w:hint="eastAsia" w:ascii="仿宋_GB2312" w:hAnsi="仿宋_GB2312" w:eastAsia="仿宋_GB2312" w:cs="仿宋_GB2312"/>
          <w:sz w:val="28"/>
          <w:szCs w:val="28"/>
          <w:highlight w:val="none"/>
        </w:rPr>
        <w:t>五、一般公共预算财政拨款支出决算情况说明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_Toc12560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color w:val="auto"/>
          <w:kern w:val="44"/>
          <w:sz w:val="28"/>
          <w:szCs w:val="28"/>
          <w:highlight w:val="none"/>
        </w:rPr>
        <w:fldChar w:fldCharType="end"/>
      </w:r>
    </w:p>
    <w:p>
      <w:pPr>
        <w:pStyle w:val="13"/>
        <w:tabs>
          <w:tab w:val="right" w:leader="dot" w:pos="8306"/>
        </w:tabs>
        <w:rPr>
          <w:sz w:val="28"/>
          <w:szCs w:val="28"/>
        </w:rPr>
      </w:pPr>
      <w:r>
        <w:rPr>
          <w:rFonts w:ascii="仿宋" w:hAnsi="仿宋" w:eastAsia="仿宋"/>
          <w:bCs/>
          <w:color w:val="auto"/>
          <w:kern w:val="44"/>
          <w:sz w:val="28"/>
          <w:szCs w:val="28"/>
          <w:highlight w:val="none"/>
        </w:rPr>
        <w:fldChar w:fldCharType="begin"/>
      </w:r>
      <w:r>
        <w:rPr>
          <w:rFonts w:ascii="仿宋" w:hAnsi="仿宋" w:eastAsia="仿宋"/>
          <w:bCs/>
          <w:kern w:val="44"/>
          <w:sz w:val="28"/>
          <w:szCs w:val="28"/>
          <w:highlight w:val="none"/>
        </w:rPr>
        <w:instrText xml:space="preserve"> HYPERLINK \l _Toc5163 </w:instrText>
      </w:r>
      <w:r>
        <w:rPr>
          <w:rFonts w:ascii="仿宋" w:hAnsi="仿宋" w:eastAsia="仿宋"/>
          <w:bCs/>
          <w:kern w:val="44"/>
          <w:sz w:val="28"/>
          <w:szCs w:val="28"/>
          <w:highlight w:val="none"/>
        </w:rPr>
        <w:fldChar w:fldCharType="separate"/>
      </w:r>
      <w:r>
        <w:rPr>
          <w:rFonts w:hint="eastAsia" w:ascii="黑体" w:eastAsia="黑体"/>
          <w:sz w:val="28"/>
          <w:szCs w:val="28"/>
          <w:highlight w:val="none"/>
        </w:rPr>
        <w:t>六、</w:t>
      </w:r>
      <w:r>
        <w:rPr>
          <w:rFonts w:hint="eastAsia" w:ascii="黑体" w:hAnsi="黑体" w:eastAsia="黑体"/>
          <w:sz w:val="28"/>
          <w:szCs w:val="28"/>
          <w:highlight w:val="none"/>
        </w:rPr>
        <w:t>一般公共预算财政拨款基本支出决算情况说明</w:t>
      </w:r>
      <w:r>
        <w:rPr>
          <w:sz w:val="28"/>
          <w:szCs w:val="28"/>
        </w:rPr>
        <w:tab/>
      </w:r>
      <w:r>
        <w:rPr>
          <w:sz w:val="28"/>
          <w:szCs w:val="28"/>
        </w:rPr>
        <w:fldChar w:fldCharType="begin"/>
      </w:r>
      <w:r>
        <w:rPr>
          <w:sz w:val="28"/>
          <w:szCs w:val="28"/>
        </w:rPr>
        <w:instrText xml:space="preserve"> PAGEREF _Toc5163 \h </w:instrText>
      </w:r>
      <w:r>
        <w:rPr>
          <w:sz w:val="28"/>
          <w:szCs w:val="28"/>
        </w:rPr>
        <w:fldChar w:fldCharType="separate"/>
      </w:r>
      <w:r>
        <w:rPr>
          <w:sz w:val="28"/>
          <w:szCs w:val="28"/>
        </w:rPr>
        <w:t>7</w:t>
      </w:r>
      <w:r>
        <w:rPr>
          <w:sz w:val="28"/>
          <w:szCs w:val="28"/>
        </w:rPr>
        <w:fldChar w:fldCharType="end"/>
      </w:r>
      <w:r>
        <w:rPr>
          <w:rFonts w:ascii="仿宋" w:hAnsi="仿宋" w:eastAsia="仿宋"/>
          <w:bCs/>
          <w:color w:val="auto"/>
          <w:kern w:val="44"/>
          <w:sz w:val="28"/>
          <w:szCs w:val="28"/>
          <w:highlight w:val="none"/>
        </w:rPr>
        <w:fldChar w:fldCharType="end"/>
      </w:r>
    </w:p>
    <w:p>
      <w:pPr>
        <w:pStyle w:val="13"/>
        <w:tabs>
          <w:tab w:val="right" w:leader="dot" w:pos="8306"/>
        </w:tabs>
        <w:rPr>
          <w:sz w:val="28"/>
          <w:szCs w:val="28"/>
        </w:rPr>
      </w:pPr>
      <w:r>
        <w:rPr>
          <w:rFonts w:ascii="仿宋" w:hAnsi="仿宋" w:eastAsia="仿宋"/>
          <w:bCs/>
          <w:color w:val="auto"/>
          <w:kern w:val="44"/>
          <w:sz w:val="28"/>
          <w:szCs w:val="28"/>
          <w:highlight w:val="none"/>
        </w:rPr>
        <w:fldChar w:fldCharType="begin"/>
      </w:r>
      <w:r>
        <w:rPr>
          <w:rFonts w:ascii="仿宋" w:hAnsi="仿宋" w:eastAsia="仿宋"/>
          <w:bCs/>
          <w:kern w:val="44"/>
          <w:sz w:val="28"/>
          <w:szCs w:val="28"/>
          <w:highlight w:val="none"/>
        </w:rPr>
        <w:instrText xml:space="preserve"> HYPERLINK \l _Toc15701 </w:instrText>
      </w:r>
      <w:r>
        <w:rPr>
          <w:rFonts w:ascii="仿宋" w:hAnsi="仿宋" w:eastAsia="仿宋"/>
          <w:bCs/>
          <w:kern w:val="44"/>
          <w:sz w:val="28"/>
          <w:szCs w:val="28"/>
          <w:highlight w:val="none"/>
        </w:rPr>
        <w:fldChar w:fldCharType="separate"/>
      </w:r>
      <w:r>
        <w:rPr>
          <w:rFonts w:hint="eastAsia" w:ascii="黑体" w:eastAsia="黑体"/>
          <w:sz w:val="28"/>
          <w:szCs w:val="28"/>
          <w:highlight w:val="none"/>
        </w:rPr>
        <w:t>七、</w:t>
      </w:r>
      <w:r>
        <w:rPr>
          <w:rFonts w:hint="eastAsia" w:ascii="黑体" w:hAnsi="黑体" w:eastAsia="黑体"/>
          <w:sz w:val="28"/>
          <w:szCs w:val="28"/>
          <w:highlight w:val="none"/>
        </w:rPr>
        <w:t>财政拨款“三公”经费支出决算情况说明</w:t>
      </w:r>
      <w:r>
        <w:rPr>
          <w:sz w:val="28"/>
          <w:szCs w:val="28"/>
        </w:rPr>
        <w:tab/>
      </w:r>
      <w:r>
        <w:rPr>
          <w:sz w:val="28"/>
          <w:szCs w:val="28"/>
        </w:rPr>
        <w:fldChar w:fldCharType="begin"/>
      </w:r>
      <w:r>
        <w:rPr>
          <w:sz w:val="28"/>
          <w:szCs w:val="28"/>
        </w:rPr>
        <w:instrText xml:space="preserve"> PAGEREF _Toc15701 \h </w:instrText>
      </w:r>
      <w:r>
        <w:rPr>
          <w:sz w:val="28"/>
          <w:szCs w:val="28"/>
        </w:rPr>
        <w:fldChar w:fldCharType="separate"/>
      </w:r>
      <w:r>
        <w:rPr>
          <w:sz w:val="28"/>
          <w:szCs w:val="28"/>
        </w:rPr>
        <w:t>7</w:t>
      </w:r>
      <w:r>
        <w:rPr>
          <w:sz w:val="28"/>
          <w:szCs w:val="28"/>
        </w:rPr>
        <w:fldChar w:fldCharType="end"/>
      </w:r>
      <w:r>
        <w:rPr>
          <w:rFonts w:ascii="仿宋" w:hAnsi="仿宋" w:eastAsia="仿宋"/>
          <w:bCs/>
          <w:color w:val="auto"/>
          <w:kern w:val="44"/>
          <w:sz w:val="28"/>
          <w:szCs w:val="28"/>
          <w:highlight w:val="none"/>
        </w:rPr>
        <w:fldChar w:fldCharType="end"/>
      </w:r>
    </w:p>
    <w:p>
      <w:pPr>
        <w:pStyle w:val="13"/>
        <w:tabs>
          <w:tab w:val="right" w:leader="dot" w:pos="8306"/>
        </w:tabs>
        <w:rPr>
          <w:sz w:val="28"/>
          <w:szCs w:val="28"/>
        </w:rPr>
      </w:pPr>
      <w:r>
        <w:rPr>
          <w:rFonts w:ascii="仿宋" w:hAnsi="仿宋" w:eastAsia="仿宋"/>
          <w:bCs/>
          <w:color w:val="auto"/>
          <w:kern w:val="44"/>
          <w:sz w:val="28"/>
          <w:szCs w:val="28"/>
          <w:highlight w:val="none"/>
        </w:rPr>
        <w:fldChar w:fldCharType="begin"/>
      </w:r>
      <w:r>
        <w:rPr>
          <w:rFonts w:ascii="仿宋" w:hAnsi="仿宋" w:eastAsia="仿宋"/>
          <w:bCs/>
          <w:kern w:val="44"/>
          <w:sz w:val="28"/>
          <w:szCs w:val="28"/>
          <w:highlight w:val="none"/>
        </w:rPr>
        <w:instrText xml:space="preserve"> HYPERLINK \l _Toc22079 </w:instrText>
      </w:r>
      <w:r>
        <w:rPr>
          <w:rFonts w:ascii="仿宋" w:hAnsi="仿宋" w:eastAsia="仿宋"/>
          <w:bCs/>
          <w:kern w:val="44"/>
          <w:sz w:val="28"/>
          <w:szCs w:val="28"/>
          <w:highlight w:val="none"/>
        </w:rPr>
        <w:fldChar w:fldCharType="separate"/>
      </w:r>
      <w:r>
        <w:rPr>
          <w:rFonts w:hint="eastAsia" w:ascii="黑体" w:eastAsia="黑体"/>
          <w:sz w:val="28"/>
          <w:szCs w:val="28"/>
          <w:highlight w:val="none"/>
        </w:rPr>
        <w:t>八、</w:t>
      </w:r>
      <w:r>
        <w:rPr>
          <w:rFonts w:hint="eastAsia" w:ascii="黑体" w:hAnsi="黑体" w:eastAsia="黑体"/>
          <w:sz w:val="28"/>
          <w:szCs w:val="28"/>
          <w:highlight w:val="none"/>
        </w:rPr>
        <w:t>政府性基金预算支出决算情况说明</w:t>
      </w:r>
      <w:r>
        <w:rPr>
          <w:sz w:val="28"/>
          <w:szCs w:val="28"/>
        </w:rPr>
        <w:tab/>
      </w:r>
      <w:r>
        <w:rPr>
          <w:sz w:val="28"/>
          <w:szCs w:val="28"/>
        </w:rPr>
        <w:fldChar w:fldCharType="begin"/>
      </w:r>
      <w:r>
        <w:rPr>
          <w:sz w:val="28"/>
          <w:szCs w:val="28"/>
        </w:rPr>
        <w:instrText xml:space="preserve"> PAGEREF _Toc22079 \h </w:instrText>
      </w:r>
      <w:r>
        <w:rPr>
          <w:sz w:val="28"/>
          <w:szCs w:val="28"/>
        </w:rPr>
        <w:fldChar w:fldCharType="separate"/>
      </w:r>
      <w:r>
        <w:rPr>
          <w:sz w:val="28"/>
          <w:szCs w:val="28"/>
        </w:rPr>
        <w:t>9</w:t>
      </w:r>
      <w:r>
        <w:rPr>
          <w:sz w:val="28"/>
          <w:szCs w:val="28"/>
        </w:rPr>
        <w:fldChar w:fldCharType="end"/>
      </w:r>
      <w:r>
        <w:rPr>
          <w:rFonts w:ascii="仿宋" w:hAnsi="仿宋" w:eastAsia="仿宋"/>
          <w:bCs/>
          <w:color w:val="auto"/>
          <w:kern w:val="44"/>
          <w:sz w:val="28"/>
          <w:szCs w:val="28"/>
          <w:highlight w:val="none"/>
        </w:rPr>
        <w:fldChar w:fldCharType="end"/>
      </w:r>
    </w:p>
    <w:p>
      <w:pPr>
        <w:pStyle w:val="13"/>
        <w:tabs>
          <w:tab w:val="right" w:leader="dot" w:pos="8306"/>
        </w:tabs>
        <w:rPr>
          <w:sz w:val="28"/>
          <w:szCs w:val="28"/>
        </w:rPr>
      </w:pPr>
      <w:r>
        <w:rPr>
          <w:rFonts w:ascii="仿宋" w:hAnsi="仿宋" w:eastAsia="仿宋"/>
          <w:bCs/>
          <w:color w:val="auto"/>
          <w:kern w:val="44"/>
          <w:sz w:val="28"/>
          <w:szCs w:val="28"/>
          <w:highlight w:val="none"/>
        </w:rPr>
        <w:fldChar w:fldCharType="begin"/>
      </w:r>
      <w:r>
        <w:rPr>
          <w:rFonts w:ascii="仿宋" w:hAnsi="仿宋" w:eastAsia="仿宋"/>
          <w:bCs/>
          <w:kern w:val="44"/>
          <w:sz w:val="28"/>
          <w:szCs w:val="28"/>
          <w:highlight w:val="none"/>
        </w:rPr>
        <w:instrText xml:space="preserve"> HYPERLINK \l _Toc14936 </w:instrText>
      </w:r>
      <w:r>
        <w:rPr>
          <w:rFonts w:ascii="仿宋" w:hAnsi="仿宋" w:eastAsia="仿宋"/>
          <w:bCs/>
          <w:kern w:val="44"/>
          <w:sz w:val="28"/>
          <w:szCs w:val="28"/>
          <w:highlight w:val="none"/>
        </w:rPr>
        <w:fldChar w:fldCharType="separate"/>
      </w:r>
      <w:r>
        <w:rPr>
          <w:rFonts w:hint="eastAsia" w:ascii="黑体" w:hAnsi="黑体" w:eastAsia="黑体"/>
          <w:sz w:val="28"/>
          <w:szCs w:val="28"/>
          <w:highlight w:val="none"/>
          <w:lang w:eastAsia="zh-CN"/>
        </w:rPr>
        <w:t>九、</w:t>
      </w:r>
      <w:r>
        <w:rPr>
          <w:rFonts w:hint="eastAsia" w:ascii="黑体" w:hAnsi="黑体" w:eastAsia="黑体"/>
          <w:sz w:val="28"/>
          <w:szCs w:val="28"/>
          <w:highlight w:val="none"/>
        </w:rPr>
        <w:t>国有资本经营预算支出决算情况说明</w:t>
      </w:r>
      <w:r>
        <w:rPr>
          <w:sz w:val="28"/>
          <w:szCs w:val="28"/>
        </w:rPr>
        <w:tab/>
      </w:r>
      <w:r>
        <w:rPr>
          <w:sz w:val="28"/>
          <w:szCs w:val="28"/>
        </w:rPr>
        <w:fldChar w:fldCharType="begin"/>
      </w:r>
      <w:r>
        <w:rPr>
          <w:sz w:val="28"/>
          <w:szCs w:val="28"/>
        </w:rPr>
        <w:instrText xml:space="preserve"> PAGEREF _Toc14936 \h </w:instrText>
      </w:r>
      <w:r>
        <w:rPr>
          <w:sz w:val="28"/>
          <w:szCs w:val="28"/>
        </w:rPr>
        <w:fldChar w:fldCharType="separate"/>
      </w:r>
      <w:r>
        <w:rPr>
          <w:sz w:val="28"/>
          <w:szCs w:val="28"/>
        </w:rPr>
        <w:t>9</w:t>
      </w:r>
      <w:r>
        <w:rPr>
          <w:sz w:val="28"/>
          <w:szCs w:val="28"/>
        </w:rPr>
        <w:fldChar w:fldCharType="end"/>
      </w:r>
      <w:r>
        <w:rPr>
          <w:rFonts w:ascii="仿宋" w:hAnsi="仿宋" w:eastAsia="仿宋"/>
          <w:bCs/>
          <w:color w:val="auto"/>
          <w:kern w:val="44"/>
          <w:sz w:val="28"/>
          <w:szCs w:val="28"/>
          <w:highlight w:val="none"/>
        </w:rPr>
        <w:fldChar w:fldCharType="end"/>
      </w:r>
    </w:p>
    <w:p>
      <w:pPr>
        <w:pStyle w:val="13"/>
        <w:tabs>
          <w:tab w:val="right" w:leader="dot" w:pos="8306"/>
        </w:tabs>
        <w:rPr>
          <w:sz w:val="28"/>
          <w:szCs w:val="28"/>
        </w:rPr>
      </w:pPr>
      <w:r>
        <w:rPr>
          <w:rFonts w:ascii="仿宋" w:hAnsi="仿宋" w:eastAsia="仿宋"/>
          <w:bCs/>
          <w:color w:val="auto"/>
          <w:kern w:val="44"/>
          <w:sz w:val="28"/>
          <w:szCs w:val="28"/>
          <w:highlight w:val="none"/>
        </w:rPr>
        <w:fldChar w:fldCharType="begin"/>
      </w:r>
      <w:r>
        <w:rPr>
          <w:rFonts w:ascii="仿宋" w:hAnsi="仿宋" w:eastAsia="仿宋"/>
          <w:bCs/>
          <w:kern w:val="44"/>
          <w:sz w:val="28"/>
          <w:szCs w:val="28"/>
          <w:highlight w:val="none"/>
        </w:rPr>
        <w:instrText xml:space="preserve"> HYPERLINK \l _Toc20237 </w:instrText>
      </w:r>
      <w:r>
        <w:rPr>
          <w:rFonts w:ascii="仿宋" w:hAnsi="仿宋" w:eastAsia="仿宋"/>
          <w:bCs/>
          <w:kern w:val="44"/>
          <w:sz w:val="28"/>
          <w:szCs w:val="28"/>
          <w:highlight w:val="none"/>
        </w:rPr>
        <w:fldChar w:fldCharType="separate"/>
      </w:r>
      <w:r>
        <w:rPr>
          <w:rFonts w:hint="eastAsia" w:ascii="黑体" w:hAnsi="黑体" w:eastAsia="黑体"/>
          <w:sz w:val="28"/>
          <w:szCs w:val="28"/>
          <w:highlight w:val="none"/>
          <w:lang w:eastAsia="zh-CN"/>
        </w:rPr>
        <w:t>十、</w:t>
      </w:r>
      <w:r>
        <w:rPr>
          <w:rFonts w:hint="eastAsia" w:ascii="黑体" w:hAnsi="黑体" w:eastAsia="黑体"/>
          <w:sz w:val="28"/>
          <w:szCs w:val="28"/>
          <w:highlight w:val="none"/>
        </w:rPr>
        <w:t>其他重要事项的情况说明</w:t>
      </w:r>
      <w:r>
        <w:rPr>
          <w:sz w:val="28"/>
          <w:szCs w:val="28"/>
        </w:rPr>
        <w:tab/>
      </w:r>
      <w:r>
        <w:rPr>
          <w:sz w:val="28"/>
          <w:szCs w:val="28"/>
        </w:rPr>
        <w:fldChar w:fldCharType="begin"/>
      </w:r>
      <w:r>
        <w:rPr>
          <w:sz w:val="28"/>
          <w:szCs w:val="28"/>
        </w:rPr>
        <w:instrText xml:space="preserve"> PAGEREF _Toc20237 \h </w:instrText>
      </w:r>
      <w:r>
        <w:rPr>
          <w:sz w:val="28"/>
          <w:szCs w:val="28"/>
        </w:rPr>
        <w:fldChar w:fldCharType="separate"/>
      </w:r>
      <w:r>
        <w:rPr>
          <w:sz w:val="28"/>
          <w:szCs w:val="28"/>
        </w:rPr>
        <w:t>9</w:t>
      </w:r>
      <w:r>
        <w:rPr>
          <w:sz w:val="28"/>
          <w:szCs w:val="28"/>
        </w:rPr>
        <w:fldChar w:fldCharType="end"/>
      </w:r>
      <w:r>
        <w:rPr>
          <w:rFonts w:ascii="仿宋" w:hAnsi="仿宋" w:eastAsia="仿宋"/>
          <w:bCs/>
          <w:color w:val="auto"/>
          <w:kern w:val="44"/>
          <w:sz w:val="28"/>
          <w:szCs w:val="28"/>
          <w:highlight w:val="none"/>
        </w:rPr>
        <w:fldChar w:fldCharType="end"/>
      </w:r>
    </w:p>
    <w:p>
      <w:pPr>
        <w:pStyle w:val="12"/>
        <w:tabs>
          <w:tab w:val="right" w:leader="dot" w:pos="8306"/>
        </w:tabs>
        <w:rPr>
          <w:sz w:val="28"/>
          <w:szCs w:val="28"/>
        </w:rPr>
      </w:pPr>
      <w:r>
        <w:rPr>
          <w:rFonts w:ascii="仿宋" w:hAnsi="仿宋" w:eastAsia="仿宋"/>
          <w:bCs/>
          <w:color w:val="auto"/>
          <w:kern w:val="44"/>
          <w:sz w:val="28"/>
          <w:szCs w:val="28"/>
          <w:highlight w:val="none"/>
        </w:rPr>
        <w:fldChar w:fldCharType="begin"/>
      </w:r>
      <w:r>
        <w:rPr>
          <w:rFonts w:ascii="仿宋" w:hAnsi="仿宋" w:eastAsia="仿宋"/>
          <w:bCs/>
          <w:kern w:val="44"/>
          <w:sz w:val="28"/>
          <w:szCs w:val="28"/>
          <w:highlight w:val="none"/>
        </w:rPr>
        <w:instrText xml:space="preserve"> HYPERLINK \l _Toc6085 </w:instrText>
      </w:r>
      <w:r>
        <w:rPr>
          <w:rFonts w:ascii="仿宋" w:hAnsi="仿宋" w:eastAsia="仿宋"/>
          <w:bCs/>
          <w:kern w:val="44"/>
          <w:sz w:val="28"/>
          <w:szCs w:val="28"/>
          <w:highlight w:val="none"/>
        </w:rPr>
        <w:fldChar w:fldCharType="separate"/>
      </w:r>
      <w:r>
        <w:rPr>
          <w:rFonts w:hint="eastAsia" w:ascii="黑体" w:hAnsi="黑体" w:eastAsia="黑体"/>
          <w:sz w:val="28"/>
          <w:szCs w:val="28"/>
          <w:highlight w:val="none"/>
          <w:lang w:eastAsia="zh-CN"/>
        </w:rPr>
        <w:t>第三部分</w:t>
      </w:r>
      <w:r>
        <w:rPr>
          <w:rFonts w:hint="eastAsia" w:ascii="黑体" w:hAnsi="黑体" w:eastAsia="黑体"/>
          <w:sz w:val="28"/>
          <w:szCs w:val="28"/>
          <w:highlight w:val="none"/>
          <w:lang w:val="en-US" w:eastAsia="zh-CN"/>
        </w:rPr>
        <w:t xml:space="preserve">  </w:t>
      </w:r>
      <w:r>
        <w:rPr>
          <w:rFonts w:hint="eastAsia" w:ascii="黑体" w:hAnsi="黑体" w:eastAsia="黑体"/>
          <w:sz w:val="28"/>
          <w:szCs w:val="28"/>
          <w:highlight w:val="none"/>
        </w:rPr>
        <w:t>名词解释</w:t>
      </w:r>
      <w:r>
        <w:rPr>
          <w:sz w:val="28"/>
          <w:szCs w:val="28"/>
        </w:rPr>
        <w:tab/>
      </w:r>
      <w:r>
        <w:rPr>
          <w:sz w:val="28"/>
          <w:szCs w:val="28"/>
        </w:rPr>
        <w:fldChar w:fldCharType="begin"/>
      </w:r>
      <w:r>
        <w:rPr>
          <w:sz w:val="28"/>
          <w:szCs w:val="28"/>
        </w:rPr>
        <w:instrText xml:space="preserve"> PAGEREF _Toc6085 \h </w:instrText>
      </w:r>
      <w:r>
        <w:rPr>
          <w:sz w:val="28"/>
          <w:szCs w:val="28"/>
        </w:rPr>
        <w:fldChar w:fldCharType="separate"/>
      </w:r>
      <w:r>
        <w:rPr>
          <w:sz w:val="28"/>
          <w:szCs w:val="28"/>
        </w:rPr>
        <w:t>11</w:t>
      </w:r>
      <w:r>
        <w:rPr>
          <w:sz w:val="28"/>
          <w:szCs w:val="28"/>
        </w:rPr>
        <w:fldChar w:fldCharType="end"/>
      </w:r>
      <w:r>
        <w:rPr>
          <w:rFonts w:ascii="仿宋" w:hAnsi="仿宋" w:eastAsia="仿宋"/>
          <w:bCs/>
          <w:color w:val="auto"/>
          <w:kern w:val="44"/>
          <w:sz w:val="28"/>
          <w:szCs w:val="28"/>
          <w:highlight w:val="none"/>
        </w:rPr>
        <w:fldChar w:fldCharType="end"/>
      </w:r>
    </w:p>
    <w:p>
      <w:pPr>
        <w:pStyle w:val="12"/>
        <w:tabs>
          <w:tab w:val="right" w:leader="dot" w:pos="8306"/>
        </w:tabs>
        <w:rPr>
          <w:sz w:val="28"/>
          <w:szCs w:val="28"/>
        </w:rPr>
      </w:pPr>
      <w:r>
        <w:rPr>
          <w:rFonts w:ascii="仿宋" w:hAnsi="仿宋" w:eastAsia="仿宋"/>
          <w:bCs/>
          <w:color w:val="auto"/>
          <w:kern w:val="44"/>
          <w:sz w:val="28"/>
          <w:szCs w:val="28"/>
          <w:highlight w:val="none"/>
        </w:rPr>
        <w:fldChar w:fldCharType="begin"/>
      </w:r>
      <w:r>
        <w:rPr>
          <w:rFonts w:ascii="仿宋" w:hAnsi="仿宋" w:eastAsia="仿宋"/>
          <w:bCs/>
          <w:kern w:val="44"/>
          <w:sz w:val="28"/>
          <w:szCs w:val="28"/>
          <w:highlight w:val="none"/>
        </w:rPr>
        <w:instrText xml:space="preserve"> HYPERLINK \l _Toc10507 </w:instrText>
      </w:r>
      <w:r>
        <w:rPr>
          <w:rFonts w:ascii="仿宋" w:hAnsi="仿宋" w:eastAsia="仿宋"/>
          <w:bCs/>
          <w:kern w:val="44"/>
          <w:sz w:val="28"/>
          <w:szCs w:val="28"/>
          <w:highlight w:val="none"/>
        </w:rPr>
        <w:fldChar w:fldCharType="separate"/>
      </w:r>
      <w:r>
        <w:rPr>
          <w:rFonts w:hint="eastAsia" w:ascii="黑体" w:hAnsi="黑体" w:eastAsia="黑体"/>
          <w:sz w:val="28"/>
          <w:szCs w:val="28"/>
          <w:highlight w:val="none"/>
        </w:rPr>
        <w:t>第四部分 附件</w:t>
      </w:r>
      <w:r>
        <w:rPr>
          <w:sz w:val="28"/>
          <w:szCs w:val="28"/>
        </w:rPr>
        <w:tab/>
      </w:r>
      <w:r>
        <w:rPr>
          <w:sz w:val="28"/>
          <w:szCs w:val="28"/>
        </w:rPr>
        <w:fldChar w:fldCharType="begin"/>
      </w:r>
      <w:r>
        <w:rPr>
          <w:sz w:val="28"/>
          <w:szCs w:val="28"/>
        </w:rPr>
        <w:instrText xml:space="preserve"> PAGEREF _Toc10507 \h </w:instrText>
      </w:r>
      <w:r>
        <w:rPr>
          <w:sz w:val="28"/>
          <w:szCs w:val="28"/>
        </w:rPr>
        <w:fldChar w:fldCharType="separate"/>
      </w:r>
      <w:r>
        <w:rPr>
          <w:sz w:val="28"/>
          <w:szCs w:val="28"/>
        </w:rPr>
        <w:t>13</w:t>
      </w:r>
      <w:r>
        <w:rPr>
          <w:sz w:val="28"/>
          <w:szCs w:val="28"/>
        </w:rPr>
        <w:fldChar w:fldCharType="end"/>
      </w:r>
      <w:r>
        <w:rPr>
          <w:rFonts w:ascii="仿宋" w:hAnsi="仿宋" w:eastAsia="仿宋"/>
          <w:bCs/>
          <w:color w:val="auto"/>
          <w:kern w:val="44"/>
          <w:sz w:val="28"/>
          <w:szCs w:val="28"/>
          <w:highlight w:val="none"/>
        </w:rPr>
        <w:fldChar w:fldCharType="end"/>
      </w:r>
    </w:p>
    <w:p>
      <w:pPr>
        <w:pStyle w:val="12"/>
        <w:tabs>
          <w:tab w:val="right" w:leader="dot" w:pos="8306"/>
        </w:tabs>
        <w:rPr>
          <w:sz w:val="28"/>
          <w:szCs w:val="28"/>
        </w:rPr>
      </w:pPr>
      <w:r>
        <w:rPr>
          <w:rFonts w:ascii="仿宋" w:hAnsi="仿宋" w:eastAsia="仿宋"/>
          <w:bCs/>
          <w:color w:val="auto"/>
          <w:kern w:val="44"/>
          <w:sz w:val="28"/>
          <w:szCs w:val="28"/>
          <w:highlight w:val="none"/>
        </w:rPr>
        <w:fldChar w:fldCharType="begin"/>
      </w:r>
      <w:r>
        <w:rPr>
          <w:rFonts w:ascii="仿宋" w:hAnsi="仿宋" w:eastAsia="仿宋"/>
          <w:bCs/>
          <w:kern w:val="44"/>
          <w:sz w:val="28"/>
          <w:szCs w:val="28"/>
          <w:highlight w:val="none"/>
        </w:rPr>
        <w:instrText xml:space="preserve"> HYPERLINK \l _Toc25292 </w:instrText>
      </w:r>
      <w:r>
        <w:rPr>
          <w:rFonts w:ascii="仿宋" w:hAnsi="仿宋" w:eastAsia="仿宋"/>
          <w:bCs/>
          <w:kern w:val="44"/>
          <w:sz w:val="28"/>
          <w:szCs w:val="28"/>
          <w:highlight w:val="none"/>
        </w:rPr>
        <w:fldChar w:fldCharType="separate"/>
      </w:r>
      <w:r>
        <w:rPr>
          <w:rFonts w:hint="eastAsia" w:ascii="黑体" w:hAnsi="黑体" w:eastAsia="黑体"/>
          <w:sz w:val="28"/>
          <w:szCs w:val="28"/>
          <w:highlight w:val="none"/>
        </w:rPr>
        <w:t>第五部分 附表</w:t>
      </w:r>
      <w:r>
        <w:rPr>
          <w:sz w:val="28"/>
          <w:szCs w:val="28"/>
        </w:rPr>
        <w:tab/>
      </w:r>
      <w:r>
        <w:rPr>
          <w:sz w:val="28"/>
          <w:szCs w:val="28"/>
        </w:rPr>
        <w:fldChar w:fldCharType="begin"/>
      </w:r>
      <w:r>
        <w:rPr>
          <w:sz w:val="28"/>
          <w:szCs w:val="28"/>
        </w:rPr>
        <w:instrText xml:space="preserve"> PAGEREF _Toc25292 \h </w:instrText>
      </w:r>
      <w:r>
        <w:rPr>
          <w:sz w:val="28"/>
          <w:szCs w:val="28"/>
        </w:rPr>
        <w:fldChar w:fldCharType="separate"/>
      </w:r>
      <w:r>
        <w:rPr>
          <w:sz w:val="28"/>
          <w:szCs w:val="28"/>
        </w:rPr>
        <w:t>28</w:t>
      </w:r>
      <w:r>
        <w:rPr>
          <w:sz w:val="28"/>
          <w:szCs w:val="28"/>
        </w:rPr>
        <w:fldChar w:fldCharType="end"/>
      </w:r>
      <w:r>
        <w:rPr>
          <w:rFonts w:ascii="仿宋" w:hAnsi="仿宋" w:eastAsia="仿宋"/>
          <w:bCs/>
          <w:color w:val="auto"/>
          <w:kern w:val="44"/>
          <w:sz w:val="28"/>
          <w:szCs w:val="28"/>
          <w:highlight w:val="none"/>
        </w:rPr>
        <w:fldChar w:fldCharType="end"/>
      </w:r>
    </w:p>
    <w:p>
      <w:pPr>
        <w:pStyle w:val="13"/>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bCs/>
          <w:color w:val="auto"/>
          <w:kern w:val="44"/>
          <w:sz w:val="28"/>
          <w:szCs w:val="28"/>
          <w:highlight w:val="none"/>
        </w:rPr>
        <w:fldChar w:fldCharType="begin"/>
      </w:r>
      <w:r>
        <w:rPr>
          <w:rFonts w:hint="eastAsia" w:ascii="仿宋_GB2312" w:hAnsi="仿宋_GB2312" w:eastAsia="仿宋_GB2312" w:cs="仿宋_GB2312"/>
          <w:bCs/>
          <w:kern w:val="44"/>
          <w:sz w:val="28"/>
          <w:szCs w:val="28"/>
          <w:highlight w:val="none"/>
        </w:rPr>
        <w:instrText xml:space="preserve"> HYPERLINK \l _Toc18590 </w:instrText>
      </w:r>
      <w:r>
        <w:rPr>
          <w:rFonts w:hint="eastAsia" w:ascii="仿宋_GB2312" w:hAnsi="仿宋_GB2312" w:eastAsia="仿宋_GB2312" w:cs="仿宋_GB2312"/>
          <w:bCs/>
          <w:kern w:val="44"/>
          <w:sz w:val="28"/>
          <w:szCs w:val="28"/>
          <w:highlight w:val="none"/>
        </w:rPr>
        <w:fldChar w:fldCharType="separate"/>
      </w:r>
      <w:r>
        <w:rPr>
          <w:rFonts w:hint="eastAsia" w:ascii="仿宋_GB2312" w:hAnsi="仿宋_GB2312" w:eastAsia="仿宋_GB2312" w:cs="仿宋_GB2312"/>
          <w:sz w:val="28"/>
          <w:szCs w:val="28"/>
          <w:highlight w:val="none"/>
        </w:rPr>
        <w:t>一、收</w:t>
      </w:r>
      <w:r>
        <w:rPr>
          <w:rFonts w:hint="eastAsia" w:ascii="仿宋_GB2312" w:hAnsi="仿宋_GB2312" w:eastAsia="仿宋_GB2312" w:cs="仿宋_GB2312"/>
          <w:bCs w:val="0"/>
          <w:sz w:val="28"/>
          <w:szCs w:val="28"/>
          <w:highlight w:val="none"/>
        </w:rPr>
        <w:t>入支出决算总表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_Toc18590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28</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color w:val="auto"/>
          <w:kern w:val="44"/>
          <w:sz w:val="28"/>
          <w:szCs w:val="28"/>
          <w:highlight w:val="none"/>
        </w:rPr>
        <w:fldChar w:fldCharType="end"/>
      </w:r>
    </w:p>
    <w:p>
      <w:pPr>
        <w:pStyle w:val="13"/>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bCs/>
          <w:color w:val="auto"/>
          <w:kern w:val="44"/>
          <w:sz w:val="28"/>
          <w:szCs w:val="28"/>
          <w:highlight w:val="none"/>
        </w:rPr>
        <w:fldChar w:fldCharType="begin"/>
      </w:r>
      <w:r>
        <w:rPr>
          <w:rFonts w:hint="eastAsia" w:ascii="仿宋_GB2312" w:hAnsi="仿宋_GB2312" w:eastAsia="仿宋_GB2312" w:cs="仿宋_GB2312"/>
          <w:bCs/>
          <w:kern w:val="44"/>
          <w:sz w:val="28"/>
          <w:szCs w:val="28"/>
          <w:highlight w:val="none"/>
        </w:rPr>
        <w:instrText xml:space="preserve"> HYPERLINK \l _Toc6423 </w:instrText>
      </w:r>
      <w:r>
        <w:rPr>
          <w:rFonts w:hint="eastAsia" w:ascii="仿宋_GB2312" w:hAnsi="仿宋_GB2312" w:eastAsia="仿宋_GB2312" w:cs="仿宋_GB2312"/>
          <w:bCs/>
          <w:kern w:val="44"/>
          <w:sz w:val="28"/>
          <w:szCs w:val="28"/>
          <w:highlight w:val="none"/>
        </w:rPr>
        <w:fldChar w:fldCharType="separate"/>
      </w:r>
      <w:r>
        <w:rPr>
          <w:rFonts w:hint="eastAsia" w:ascii="仿宋_GB2312" w:hAnsi="仿宋_GB2312" w:eastAsia="仿宋_GB2312" w:cs="仿宋_GB2312"/>
          <w:sz w:val="28"/>
          <w:szCs w:val="28"/>
          <w:highlight w:val="none"/>
        </w:rPr>
        <w:t>二、收</w:t>
      </w:r>
      <w:r>
        <w:rPr>
          <w:rFonts w:hint="eastAsia" w:ascii="仿宋_GB2312" w:hAnsi="仿宋_GB2312" w:eastAsia="仿宋_GB2312" w:cs="仿宋_GB2312"/>
          <w:bCs w:val="0"/>
          <w:sz w:val="28"/>
          <w:szCs w:val="28"/>
          <w:highlight w:val="none"/>
        </w:rPr>
        <w:t>入决算表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_Toc6423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28</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color w:val="auto"/>
          <w:kern w:val="44"/>
          <w:sz w:val="28"/>
          <w:szCs w:val="28"/>
          <w:highlight w:val="none"/>
        </w:rPr>
        <w:fldChar w:fldCharType="end"/>
      </w:r>
    </w:p>
    <w:p>
      <w:pPr>
        <w:pStyle w:val="13"/>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bCs/>
          <w:color w:val="auto"/>
          <w:kern w:val="44"/>
          <w:sz w:val="28"/>
          <w:szCs w:val="28"/>
          <w:highlight w:val="none"/>
        </w:rPr>
        <w:fldChar w:fldCharType="begin"/>
      </w:r>
      <w:r>
        <w:rPr>
          <w:rFonts w:hint="eastAsia" w:ascii="仿宋_GB2312" w:hAnsi="仿宋_GB2312" w:eastAsia="仿宋_GB2312" w:cs="仿宋_GB2312"/>
          <w:bCs/>
          <w:kern w:val="44"/>
          <w:sz w:val="28"/>
          <w:szCs w:val="28"/>
          <w:highlight w:val="none"/>
        </w:rPr>
        <w:instrText xml:space="preserve"> HYPERLINK \l _Toc12362 </w:instrText>
      </w:r>
      <w:r>
        <w:rPr>
          <w:rFonts w:hint="eastAsia" w:ascii="仿宋_GB2312" w:hAnsi="仿宋_GB2312" w:eastAsia="仿宋_GB2312" w:cs="仿宋_GB2312"/>
          <w:bCs/>
          <w:kern w:val="44"/>
          <w:sz w:val="28"/>
          <w:szCs w:val="28"/>
          <w:highlight w:val="none"/>
        </w:rPr>
        <w:fldChar w:fldCharType="separate"/>
      </w:r>
      <w:r>
        <w:rPr>
          <w:rFonts w:hint="eastAsia" w:ascii="仿宋_GB2312" w:hAnsi="仿宋_GB2312" w:eastAsia="仿宋_GB2312" w:cs="仿宋_GB2312"/>
          <w:bCs w:val="0"/>
          <w:sz w:val="28"/>
          <w:szCs w:val="28"/>
          <w:highlight w:val="none"/>
        </w:rPr>
        <w:t>三、</w:t>
      </w:r>
      <w:r>
        <w:rPr>
          <w:rFonts w:hint="eastAsia" w:ascii="仿宋_GB2312" w:hAnsi="仿宋_GB2312" w:eastAsia="仿宋_GB2312" w:cs="仿宋_GB2312"/>
          <w:sz w:val="28"/>
          <w:szCs w:val="28"/>
          <w:highlight w:val="none"/>
        </w:rPr>
        <w:t>支</w:t>
      </w:r>
      <w:r>
        <w:rPr>
          <w:rFonts w:hint="eastAsia" w:ascii="仿宋_GB2312" w:hAnsi="仿宋_GB2312" w:eastAsia="仿宋_GB2312" w:cs="仿宋_GB2312"/>
          <w:bCs w:val="0"/>
          <w:sz w:val="28"/>
          <w:szCs w:val="28"/>
          <w:highlight w:val="none"/>
        </w:rPr>
        <w:t>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_Toc12362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28</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color w:val="auto"/>
          <w:kern w:val="44"/>
          <w:sz w:val="28"/>
          <w:szCs w:val="28"/>
          <w:highlight w:val="none"/>
        </w:rPr>
        <w:fldChar w:fldCharType="end"/>
      </w:r>
    </w:p>
    <w:p>
      <w:pPr>
        <w:pStyle w:val="13"/>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bCs/>
          <w:color w:val="auto"/>
          <w:kern w:val="44"/>
          <w:sz w:val="28"/>
          <w:szCs w:val="28"/>
          <w:highlight w:val="none"/>
        </w:rPr>
        <w:fldChar w:fldCharType="begin"/>
      </w:r>
      <w:r>
        <w:rPr>
          <w:rFonts w:hint="eastAsia" w:ascii="仿宋_GB2312" w:hAnsi="仿宋_GB2312" w:eastAsia="仿宋_GB2312" w:cs="仿宋_GB2312"/>
          <w:bCs/>
          <w:kern w:val="44"/>
          <w:sz w:val="28"/>
          <w:szCs w:val="28"/>
          <w:highlight w:val="none"/>
        </w:rPr>
        <w:instrText xml:space="preserve"> HYPERLINK \l _Toc25993 </w:instrText>
      </w:r>
      <w:r>
        <w:rPr>
          <w:rFonts w:hint="eastAsia" w:ascii="仿宋_GB2312" w:hAnsi="仿宋_GB2312" w:eastAsia="仿宋_GB2312" w:cs="仿宋_GB2312"/>
          <w:bCs/>
          <w:kern w:val="44"/>
          <w:sz w:val="28"/>
          <w:szCs w:val="28"/>
          <w:highlight w:val="none"/>
        </w:rPr>
        <w:fldChar w:fldCharType="separate"/>
      </w:r>
      <w:r>
        <w:rPr>
          <w:rFonts w:hint="eastAsia" w:ascii="仿宋_GB2312" w:hAnsi="仿宋_GB2312" w:eastAsia="仿宋_GB2312" w:cs="仿宋_GB2312"/>
          <w:bCs w:val="0"/>
          <w:sz w:val="28"/>
          <w:szCs w:val="28"/>
          <w:highlight w:val="none"/>
        </w:rPr>
        <w:t>四、</w:t>
      </w:r>
      <w:r>
        <w:rPr>
          <w:rFonts w:hint="eastAsia" w:ascii="仿宋_GB2312" w:hAnsi="仿宋_GB2312" w:eastAsia="仿宋_GB2312" w:cs="仿宋_GB2312"/>
          <w:sz w:val="28"/>
          <w:szCs w:val="28"/>
          <w:highlight w:val="none"/>
        </w:rPr>
        <w:t>财</w:t>
      </w:r>
      <w:r>
        <w:rPr>
          <w:rFonts w:hint="eastAsia" w:ascii="仿宋_GB2312" w:hAnsi="仿宋_GB2312" w:eastAsia="仿宋_GB2312" w:cs="仿宋_GB2312"/>
          <w:bCs w:val="0"/>
          <w:sz w:val="28"/>
          <w:szCs w:val="28"/>
          <w:highlight w:val="none"/>
        </w:rPr>
        <w:t>政拨款收入支出决算总表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_Toc25993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28</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color w:val="auto"/>
          <w:kern w:val="44"/>
          <w:sz w:val="28"/>
          <w:szCs w:val="28"/>
          <w:highlight w:val="none"/>
        </w:rPr>
        <w:fldChar w:fldCharType="end"/>
      </w:r>
    </w:p>
    <w:p>
      <w:pPr>
        <w:pStyle w:val="13"/>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bCs/>
          <w:color w:val="auto"/>
          <w:kern w:val="44"/>
          <w:sz w:val="28"/>
          <w:szCs w:val="28"/>
          <w:highlight w:val="none"/>
        </w:rPr>
        <w:fldChar w:fldCharType="begin"/>
      </w:r>
      <w:r>
        <w:rPr>
          <w:rFonts w:hint="eastAsia" w:ascii="仿宋_GB2312" w:hAnsi="仿宋_GB2312" w:eastAsia="仿宋_GB2312" w:cs="仿宋_GB2312"/>
          <w:bCs/>
          <w:kern w:val="44"/>
          <w:sz w:val="28"/>
          <w:szCs w:val="28"/>
          <w:highlight w:val="none"/>
        </w:rPr>
        <w:instrText xml:space="preserve"> HYPERLINK \l _Toc22325 </w:instrText>
      </w:r>
      <w:r>
        <w:rPr>
          <w:rFonts w:hint="eastAsia" w:ascii="仿宋_GB2312" w:hAnsi="仿宋_GB2312" w:eastAsia="仿宋_GB2312" w:cs="仿宋_GB2312"/>
          <w:bCs/>
          <w:kern w:val="44"/>
          <w:sz w:val="28"/>
          <w:szCs w:val="28"/>
          <w:highlight w:val="none"/>
        </w:rPr>
        <w:fldChar w:fldCharType="separate"/>
      </w:r>
      <w:r>
        <w:rPr>
          <w:rFonts w:hint="eastAsia" w:ascii="仿宋_GB2312" w:hAnsi="仿宋_GB2312" w:eastAsia="仿宋_GB2312" w:cs="仿宋_GB2312"/>
          <w:bCs w:val="0"/>
          <w:sz w:val="28"/>
          <w:szCs w:val="28"/>
          <w:highlight w:val="none"/>
        </w:rPr>
        <w:t>五、</w:t>
      </w:r>
      <w:r>
        <w:rPr>
          <w:rFonts w:hint="eastAsia" w:ascii="仿宋_GB2312" w:hAnsi="仿宋_GB2312" w:eastAsia="仿宋_GB2312" w:cs="仿宋_GB2312"/>
          <w:sz w:val="28"/>
          <w:szCs w:val="28"/>
          <w:highlight w:val="none"/>
        </w:rPr>
        <w:t>财</w:t>
      </w:r>
      <w:r>
        <w:rPr>
          <w:rFonts w:hint="eastAsia" w:ascii="仿宋_GB2312" w:hAnsi="仿宋_GB2312" w:eastAsia="仿宋_GB2312" w:cs="仿宋_GB2312"/>
          <w:bCs w:val="0"/>
          <w:sz w:val="28"/>
          <w:szCs w:val="28"/>
          <w:highlight w:val="none"/>
        </w:rPr>
        <w:t>政拨款支出决算明细表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_Toc22325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28</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color w:val="auto"/>
          <w:kern w:val="44"/>
          <w:sz w:val="28"/>
          <w:szCs w:val="28"/>
          <w:highlight w:val="none"/>
        </w:rPr>
        <w:fldChar w:fldCharType="end"/>
      </w:r>
    </w:p>
    <w:p>
      <w:pPr>
        <w:pStyle w:val="13"/>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bCs/>
          <w:color w:val="auto"/>
          <w:kern w:val="44"/>
          <w:sz w:val="28"/>
          <w:szCs w:val="28"/>
          <w:highlight w:val="none"/>
        </w:rPr>
        <w:fldChar w:fldCharType="begin"/>
      </w:r>
      <w:r>
        <w:rPr>
          <w:rFonts w:hint="eastAsia" w:ascii="仿宋_GB2312" w:hAnsi="仿宋_GB2312" w:eastAsia="仿宋_GB2312" w:cs="仿宋_GB2312"/>
          <w:bCs/>
          <w:kern w:val="44"/>
          <w:sz w:val="28"/>
          <w:szCs w:val="28"/>
          <w:highlight w:val="none"/>
        </w:rPr>
        <w:instrText xml:space="preserve"> HYPERLINK \l _Toc2086 </w:instrText>
      </w:r>
      <w:r>
        <w:rPr>
          <w:rFonts w:hint="eastAsia" w:ascii="仿宋_GB2312" w:hAnsi="仿宋_GB2312" w:eastAsia="仿宋_GB2312" w:cs="仿宋_GB2312"/>
          <w:bCs/>
          <w:kern w:val="44"/>
          <w:sz w:val="28"/>
          <w:szCs w:val="28"/>
          <w:highlight w:val="none"/>
        </w:rPr>
        <w:fldChar w:fldCharType="separate"/>
      </w:r>
      <w:r>
        <w:rPr>
          <w:rFonts w:hint="eastAsia" w:ascii="仿宋_GB2312" w:hAnsi="仿宋_GB2312" w:eastAsia="仿宋_GB2312" w:cs="仿宋_GB2312"/>
          <w:bCs w:val="0"/>
          <w:sz w:val="28"/>
          <w:szCs w:val="28"/>
          <w:highlight w:val="none"/>
        </w:rPr>
        <w:t>六、</w:t>
      </w:r>
      <w:r>
        <w:rPr>
          <w:rFonts w:hint="eastAsia" w:ascii="仿宋_GB2312" w:hAnsi="仿宋_GB2312" w:eastAsia="仿宋_GB2312" w:cs="仿宋_GB2312"/>
          <w:sz w:val="28"/>
          <w:szCs w:val="28"/>
          <w:highlight w:val="none"/>
        </w:rPr>
        <w:t>一</w:t>
      </w:r>
      <w:r>
        <w:rPr>
          <w:rFonts w:hint="eastAsia" w:ascii="仿宋_GB2312" w:hAnsi="仿宋_GB2312" w:eastAsia="仿宋_GB2312" w:cs="仿宋_GB2312"/>
          <w:bCs w:val="0"/>
          <w:sz w:val="28"/>
          <w:szCs w:val="28"/>
          <w:highlight w:val="none"/>
        </w:rPr>
        <w:t>般公共预算财政拨款支出决算表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_Toc2086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28</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color w:val="auto"/>
          <w:kern w:val="44"/>
          <w:sz w:val="28"/>
          <w:szCs w:val="28"/>
          <w:highlight w:val="none"/>
        </w:rPr>
        <w:fldChar w:fldCharType="end"/>
      </w:r>
    </w:p>
    <w:p>
      <w:pPr>
        <w:pStyle w:val="13"/>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bCs/>
          <w:color w:val="auto"/>
          <w:kern w:val="44"/>
          <w:sz w:val="28"/>
          <w:szCs w:val="28"/>
          <w:highlight w:val="none"/>
        </w:rPr>
        <w:fldChar w:fldCharType="begin"/>
      </w:r>
      <w:r>
        <w:rPr>
          <w:rFonts w:hint="eastAsia" w:ascii="仿宋_GB2312" w:hAnsi="仿宋_GB2312" w:eastAsia="仿宋_GB2312" w:cs="仿宋_GB2312"/>
          <w:bCs/>
          <w:kern w:val="44"/>
          <w:sz w:val="28"/>
          <w:szCs w:val="28"/>
          <w:highlight w:val="none"/>
        </w:rPr>
        <w:instrText xml:space="preserve"> HYPERLINK \l _Toc29924 </w:instrText>
      </w:r>
      <w:r>
        <w:rPr>
          <w:rFonts w:hint="eastAsia" w:ascii="仿宋_GB2312" w:hAnsi="仿宋_GB2312" w:eastAsia="仿宋_GB2312" w:cs="仿宋_GB2312"/>
          <w:bCs/>
          <w:kern w:val="44"/>
          <w:sz w:val="28"/>
          <w:szCs w:val="28"/>
          <w:highlight w:val="none"/>
        </w:rPr>
        <w:fldChar w:fldCharType="separate"/>
      </w:r>
      <w:r>
        <w:rPr>
          <w:rFonts w:hint="eastAsia" w:ascii="仿宋_GB2312" w:hAnsi="仿宋_GB2312" w:eastAsia="仿宋_GB2312" w:cs="仿宋_GB2312"/>
          <w:bCs w:val="0"/>
          <w:sz w:val="28"/>
          <w:szCs w:val="28"/>
          <w:highlight w:val="none"/>
        </w:rPr>
        <w:t>七、</w:t>
      </w:r>
      <w:r>
        <w:rPr>
          <w:rFonts w:hint="eastAsia" w:ascii="仿宋_GB2312" w:hAnsi="仿宋_GB2312" w:eastAsia="仿宋_GB2312" w:cs="仿宋_GB2312"/>
          <w:sz w:val="28"/>
          <w:szCs w:val="28"/>
          <w:highlight w:val="none"/>
        </w:rPr>
        <w:t>一</w:t>
      </w:r>
      <w:r>
        <w:rPr>
          <w:rFonts w:hint="eastAsia" w:ascii="仿宋_GB2312" w:hAnsi="仿宋_GB2312" w:eastAsia="仿宋_GB2312" w:cs="仿宋_GB2312"/>
          <w:bCs w:val="0"/>
          <w:sz w:val="28"/>
          <w:szCs w:val="28"/>
          <w:highlight w:val="none"/>
        </w:rPr>
        <w:t>般公共预算财政拨款支出决算明细表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_Toc29924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28</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color w:val="auto"/>
          <w:kern w:val="44"/>
          <w:sz w:val="28"/>
          <w:szCs w:val="28"/>
          <w:highlight w:val="none"/>
        </w:rPr>
        <w:fldChar w:fldCharType="end"/>
      </w:r>
    </w:p>
    <w:p>
      <w:pPr>
        <w:pStyle w:val="13"/>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bCs/>
          <w:color w:val="auto"/>
          <w:kern w:val="44"/>
          <w:sz w:val="28"/>
          <w:szCs w:val="28"/>
          <w:highlight w:val="none"/>
        </w:rPr>
        <w:fldChar w:fldCharType="begin"/>
      </w:r>
      <w:r>
        <w:rPr>
          <w:rFonts w:hint="eastAsia" w:ascii="仿宋_GB2312" w:hAnsi="仿宋_GB2312" w:eastAsia="仿宋_GB2312" w:cs="仿宋_GB2312"/>
          <w:bCs/>
          <w:kern w:val="44"/>
          <w:sz w:val="28"/>
          <w:szCs w:val="28"/>
          <w:highlight w:val="none"/>
        </w:rPr>
        <w:instrText xml:space="preserve"> HYPERLINK \l _Toc15276 </w:instrText>
      </w:r>
      <w:r>
        <w:rPr>
          <w:rFonts w:hint="eastAsia" w:ascii="仿宋_GB2312" w:hAnsi="仿宋_GB2312" w:eastAsia="仿宋_GB2312" w:cs="仿宋_GB2312"/>
          <w:bCs/>
          <w:kern w:val="44"/>
          <w:sz w:val="28"/>
          <w:szCs w:val="28"/>
          <w:highlight w:val="none"/>
        </w:rPr>
        <w:fldChar w:fldCharType="separate"/>
      </w:r>
      <w:r>
        <w:rPr>
          <w:rFonts w:hint="eastAsia" w:ascii="仿宋_GB2312" w:hAnsi="仿宋_GB2312" w:eastAsia="仿宋_GB2312" w:cs="仿宋_GB2312"/>
          <w:bCs w:val="0"/>
          <w:sz w:val="28"/>
          <w:szCs w:val="28"/>
          <w:highlight w:val="none"/>
        </w:rPr>
        <w:t>八、</w:t>
      </w:r>
      <w:r>
        <w:rPr>
          <w:rFonts w:hint="eastAsia" w:ascii="仿宋_GB2312" w:hAnsi="仿宋_GB2312" w:eastAsia="仿宋_GB2312" w:cs="仿宋_GB2312"/>
          <w:sz w:val="28"/>
          <w:szCs w:val="28"/>
          <w:highlight w:val="none"/>
        </w:rPr>
        <w:t>一</w:t>
      </w:r>
      <w:r>
        <w:rPr>
          <w:rFonts w:hint="eastAsia" w:ascii="仿宋_GB2312" w:hAnsi="仿宋_GB2312" w:eastAsia="仿宋_GB2312" w:cs="仿宋_GB2312"/>
          <w:bCs w:val="0"/>
          <w:sz w:val="28"/>
          <w:szCs w:val="28"/>
          <w:highlight w:val="none"/>
        </w:rPr>
        <w:t>般公共预算财政拨款基本支出决算表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_Toc15276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28</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color w:val="auto"/>
          <w:kern w:val="44"/>
          <w:sz w:val="28"/>
          <w:szCs w:val="28"/>
          <w:highlight w:val="none"/>
        </w:rPr>
        <w:fldChar w:fldCharType="end"/>
      </w:r>
    </w:p>
    <w:p>
      <w:pPr>
        <w:pStyle w:val="13"/>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bCs/>
          <w:color w:val="auto"/>
          <w:kern w:val="44"/>
          <w:sz w:val="28"/>
          <w:szCs w:val="28"/>
          <w:highlight w:val="none"/>
        </w:rPr>
        <w:fldChar w:fldCharType="begin"/>
      </w:r>
      <w:r>
        <w:rPr>
          <w:rFonts w:hint="eastAsia" w:ascii="仿宋_GB2312" w:hAnsi="仿宋_GB2312" w:eastAsia="仿宋_GB2312" w:cs="仿宋_GB2312"/>
          <w:bCs/>
          <w:kern w:val="44"/>
          <w:sz w:val="28"/>
          <w:szCs w:val="28"/>
          <w:highlight w:val="none"/>
        </w:rPr>
        <w:instrText xml:space="preserve"> HYPERLINK \l _Toc23868 </w:instrText>
      </w:r>
      <w:r>
        <w:rPr>
          <w:rFonts w:hint="eastAsia" w:ascii="仿宋_GB2312" w:hAnsi="仿宋_GB2312" w:eastAsia="仿宋_GB2312" w:cs="仿宋_GB2312"/>
          <w:bCs/>
          <w:kern w:val="44"/>
          <w:sz w:val="28"/>
          <w:szCs w:val="28"/>
          <w:highlight w:val="none"/>
        </w:rPr>
        <w:fldChar w:fldCharType="separate"/>
      </w:r>
      <w:r>
        <w:rPr>
          <w:rFonts w:hint="eastAsia" w:ascii="仿宋_GB2312" w:hAnsi="仿宋_GB2312" w:eastAsia="仿宋_GB2312" w:cs="仿宋_GB2312"/>
          <w:bCs w:val="0"/>
          <w:sz w:val="28"/>
          <w:szCs w:val="28"/>
          <w:highlight w:val="none"/>
        </w:rPr>
        <w:t>九、</w:t>
      </w:r>
      <w:r>
        <w:rPr>
          <w:rFonts w:hint="eastAsia" w:ascii="仿宋_GB2312" w:hAnsi="仿宋_GB2312" w:eastAsia="仿宋_GB2312" w:cs="仿宋_GB2312"/>
          <w:sz w:val="28"/>
          <w:szCs w:val="28"/>
          <w:highlight w:val="none"/>
        </w:rPr>
        <w:t>一</w:t>
      </w:r>
      <w:r>
        <w:rPr>
          <w:rFonts w:hint="eastAsia" w:ascii="仿宋_GB2312" w:hAnsi="仿宋_GB2312" w:eastAsia="仿宋_GB2312" w:cs="仿宋_GB2312"/>
          <w:bCs w:val="0"/>
          <w:sz w:val="28"/>
          <w:szCs w:val="28"/>
          <w:highlight w:val="none"/>
        </w:rPr>
        <w:t>般公共预算财政拨款项目支出决算表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_Toc23868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28</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color w:val="auto"/>
          <w:kern w:val="44"/>
          <w:sz w:val="28"/>
          <w:szCs w:val="28"/>
          <w:highlight w:val="none"/>
        </w:rPr>
        <w:fldChar w:fldCharType="end"/>
      </w:r>
    </w:p>
    <w:p>
      <w:pPr>
        <w:pStyle w:val="13"/>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bCs/>
          <w:color w:val="auto"/>
          <w:kern w:val="44"/>
          <w:sz w:val="28"/>
          <w:szCs w:val="28"/>
          <w:highlight w:val="none"/>
        </w:rPr>
        <w:fldChar w:fldCharType="begin"/>
      </w:r>
      <w:r>
        <w:rPr>
          <w:rFonts w:hint="eastAsia" w:ascii="仿宋_GB2312" w:hAnsi="仿宋_GB2312" w:eastAsia="仿宋_GB2312" w:cs="仿宋_GB2312"/>
          <w:bCs/>
          <w:kern w:val="44"/>
          <w:sz w:val="28"/>
          <w:szCs w:val="28"/>
          <w:highlight w:val="none"/>
        </w:rPr>
        <w:instrText xml:space="preserve"> HYPERLINK \l _Toc4 </w:instrText>
      </w:r>
      <w:r>
        <w:rPr>
          <w:rFonts w:hint="eastAsia" w:ascii="仿宋_GB2312" w:hAnsi="仿宋_GB2312" w:eastAsia="仿宋_GB2312" w:cs="仿宋_GB2312"/>
          <w:bCs/>
          <w:kern w:val="44"/>
          <w:sz w:val="28"/>
          <w:szCs w:val="28"/>
          <w:highlight w:val="none"/>
        </w:rPr>
        <w:fldChar w:fldCharType="separate"/>
      </w:r>
      <w:r>
        <w:rPr>
          <w:rFonts w:hint="eastAsia" w:ascii="仿宋_GB2312" w:hAnsi="仿宋_GB2312" w:eastAsia="仿宋_GB2312" w:cs="仿宋_GB2312"/>
          <w:bCs w:val="0"/>
          <w:sz w:val="28"/>
          <w:szCs w:val="28"/>
          <w:highlight w:val="none"/>
        </w:rPr>
        <w:t>十、</w:t>
      </w:r>
      <w:r>
        <w:rPr>
          <w:rFonts w:hint="eastAsia" w:ascii="仿宋_GB2312" w:hAnsi="仿宋_GB2312" w:eastAsia="仿宋_GB2312" w:cs="仿宋_GB2312"/>
          <w:sz w:val="28"/>
          <w:szCs w:val="28"/>
          <w:highlight w:val="none"/>
        </w:rPr>
        <w:t>政</w:t>
      </w:r>
      <w:r>
        <w:rPr>
          <w:rFonts w:hint="eastAsia" w:ascii="仿宋_GB2312" w:hAnsi="仿宋_GB2312" w:eastAsia="仿宋_GB2312" w:cs="仿宋_GB2312"/>
          <w:bCs w:val="0"/>
          <w:sz w:val="28"/>
          <w:szCs w:val="28"/>
          <w:highlight w:val="none"/>
        </w:rPr>
        <w:t>府性基金预算财政拨款收入支出决算表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28</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color w:val="auto"/>
          <w:kern w:val="44"/>
          <w:sz w:val="28"/>
          <w:szCs w:val="28"/>
          <w:highlight w:val="none"/>
        </w:rPr>
        <w:fldChar w:fldCharType="end"/>
      </w:r>
    </w:p>
    <w:p>
      <w:pPr>
        <w:pStyle w:val="13"/>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bCs/>
          <w:color w:val="auto"/>
          <w:kern w:val="44"/>
          <w:sz w:val="28"/>
          <w:szCs w:val="28"/>
          <w:highlight w:val="none"/>
        </w:rPr>
        <w:fldChar w:fldCharType="begin"/>
      </w:r>
      <w:r>
        <w:rPr>
          <w:rFonts w:hint="eastAsia" w:ascii="仿宋_GB2312" w:hAnsi="仿宋_GB2312" w:eastAsia="仿宋_GB2312" w:cs="仿宋_GB2312"/>
          <w:bCs/>
          <w:kern w:val="44"/>
          <w:sz w:val="28"/>
          <w:szCs w:val="28"/>
          <w:highlight w:val="none"/>
        </w:rPr>
        <w:instrText xml:space="preserve"> HYPERLINK \l _Toc1464 </w:instrText>
      </w:r>
      <w:r>
        <w:rPr>
          <w:rFonts w:hint="eastAsia" w:ascii="仿宋_GB2312" w:hAnsi="仿宋_GB2312" w:eastAsia="仿宋_GB2312" w:cs="仿宋_GB2312"/>
          <w:bCs/>
          <w:kern w:val="44"/>
          <w:sz w:val="28"/>
          <w:szCs w:val="28"/>
          <w:highlight w:val="none"/>
        </w:rPr>
        <w:fldChar w:fldCharType="separate"/>
      </w:r>
      <w:r>
        <w:rPr>
          <w:rFonts w:hint="eastAsia" w:ascii="仿宋_GB2312" w:hAnsi="仿宋_GB2312" w:eastAsia="仿宋_GB2312" w:cs="仿宋_GB2312"/>
          <w:bCs w:val="0"/>
          <w:sz w:val="28"/>
          <w:szCs w:val="28"/>
          <w:highlight w:val="none"/>
        </w:rPr>
        <w:t>十一、</w:t>
      </w:r>
      <w:r>
        <w:rPr>
          <w:rFonts w:hint="eastAsia" w:ascii="仿宋_GB2312" w:hAnsi="仿宋_GB2312" w:eastAsia="仿宋_GB2312" w:cs="仿宋_GB2312"/>
          <w:sz w:val="28"/>
          <w:szCs w:val="28"/>
          <w:highlight w:val="none"/>
        </w:rPr>
        <w:t>国</w:t>
      </w:r>
      <w:r>
        <w:rPr>
          <w:rFonts w:hint="eastAsia" w:ascii="仿宋_GB2312" w:hAnsi="仿宋_GB2312" w:eastAsia="仿宋_GB2312" w:cs="仿宋_GB2312"/>
          <w:bCs w:val="0"/>
          <w:sz w:val="28"/>
          <w:szCs w:val="28"/>
          <w:highlight w:val="none"/>
        </w:rPr>
        <w:t>有资本经营预算</w:t>
      </w:r>
      <w:r>
        <w:rPr>
          <w:rFonts w:hint="eastAsia" w:ascii="仿宋_GB2312" w:hAnsi="仿宋_GB2312" w:eastAsia="仿宋_GB2312" w:cs="仿宋_GB2312"/>
          <w:bCs w:val="0"/>
          <w:sz w:val="28"/>
          <w:szCs w:val="28"/>
          <w:highlight w:val="none"/>
          <w:lang w:eastAsia="zh-CN"/>
        </w:rPr>
        <w:t>财政拨款收入</w:t>
      </w:r>
      <w:r>
        <w:rPr>
          <w:rFonts w:hint="eastAsia" w:ascii="仿宋_GB2312" w:hAnsi="仿宋_GB2312" w:eastAsia="仿宋_GB2312" w:cs="仿宋_GB2312"/>
          <w:bCs w:val="0"/>
          <w:sz w:val="28"/>
          <w:szCs w:val="28"/>
          <w:highlight w:val="none"/>
        </w:rPr>
        <w:t>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_Toc1464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28</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color w:val="auto"/>
          <w:kern w:val="44"/>
          <w:sz w:val="28"/>
          <w:szCs w:val="28"/>
          <w:highlight w:val="none"/>
        </w:rPr>
        <w:fldChar w:fldCharType="end"/>
      </w:r>
    </w:p>
    <w:p>
      <w:pPr>
        <w:pStyle w:val="13"/>
        <w:tabs>
          <w:tab w:val="right" w:leader="dot" w:pos="8306"/>
        </w:tabs>
        <w:rPr>
          <w:rFonts w:hint="eastAsia" w:ascii="仿宋_GB2312" w:hAnsi="仿宋_GB2312" w:eastAsia="仿宋_GB2312" w:cs="仿宋_GB2312"/>
        </w:rPr>
      </w:pPr>
      <w:r>
        <w:rPr>
          <w:rFonts w:hint="eastAsia" w:ascii="仿宋_GB2312" w:hAnsi="仿宋_GB2312" w:eastAsia="仿宋_GB2312" w:cs="仿宋_GB2312"/>
          <w:bCs/>
          <w:color w:val="auto"/>
          <w:kern w:val="44"/>
          <w:sz w:val="28"/>
          <w:szCs w:val="28"/>
          <w:highlight w:val="none"/>
        </w:rPr>
        <w:fldChar w:fldCharType="begin"/>
      </w:r>
      <w:r>
        <w:rPr>
          <w:rFonts w:hint="eastAsia" w:ascii="仿宋_GB2312" w:hAnsi="仿宋_GB2312" w:eastAsia="仿宋_GB2312" w:cs="仿宋_GB2312"/>
          <w:bCs/>
          <w:kern w:val="44"/>
          <w:sz w:val="28"/>
          <w:szCs w:val="28"/>
          <w:highlight w:val="none"/>
        </w:rPr>
        <w:instrText xml:space="preserve"> HYPERLINK \l _Toc23846 </w:instrText>
      </w:r>
      <w:r>
        <w:rPr>
          <w:rFonts w:hint="eastAsia" w:ascii="仿宋_GB2312" w:hAnsi="仿宋_GB2312" w:eastAsia="仿宋_GB2312" w:cs="仿宋_GB2312"/>
          <w:bCs/>
          <w:kern w:val="44"/>
          <w:sz w:val="28"/>
          <w:szCs w:val="28"/>
          <w:highlight w:val="none"/>
        </w:rPr>
        <w:fldChar w:fldCharType="separate"/>
      </w:r>
      <w:r>
        <w:rPr>
          <w:rFonts w:hint="eastAsia" w:ascii="仿宋_GB2312" w:hAnsi="仿宋_GB2312" w:eastAsia="仿宋_GB2312" w:cs="仿宋_GB2312"/>
          <w:bCs w:val="0"/>
          <w:sz w:val="28"/>
          <w:szCs w:val="28"/>
          <w:highlight w:val="none"/>
        </w:rPr>
        <w:t>十二、</w:t>
      </w:r>
      <w:r>
        <w:rPr>
          <w:rFonts w:hint="eastAsia" w:ascii="仿宋_GB2312" w:hAnsi="仿宋_GB2312" w:eastAsia="仿宋_GB2312" w:cs="仿宋_GB2312"/>
          <w:bCs w:val="0"/>
          <w:sz w:val="28"/>
          <w:szCs w:val="28"/>
          <w:highlight w:val="none"/>
          <w:lang w:eastAsia="zh-CN"/>
        </w:rPr>
        <w:t>国有资本经营预算财政拨款支出决算表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_Toc23846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28</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color w:val="auto"/>
          <w:kern w:val="44"/>
          <w:sz w:val="28"/>
          <w:szCs w:val="28"/>
          <w:highlight w:val="none"/>
        </w:rPr>
        <w:fldChar w:fldCharType="end"/>
      </w:r>
    </w:p>
    <w:p>
      <w:pPr>
        <w:pStyle w:val="13"/>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bCs/>
          <w:color w:val="auto"/>
          <w:kern w:val="44"/>
          <w:sz w:val="28"/>
          <w:szCs w:val="28"/>
          <w:highlight w:val="none"/>
        </w:rPr>
        <w:fldChar w:fldCharType="begin"/>
      </w:r>
      <w:r>
        <w:rPr>
          <w:rFonts w:hint="eastAsia" w:ascii="仿宋_GB2312" w:hAnsi="仿宋_GB2312" w:eastAsia="仿宋_GB2312" w:cs="仿宋_GB2312"/>
          <w:bCs/>
          <w:kern w:val="44"/>
          <w:sz w:val="28"/>
          <w:szCs w:val="28"/>
          <w:highlight w:val="none"/>
        </w:rPr>
        <w:instrText xml:space="preserve"> HYPERLINK \l _Toc17712 </w:instrText>
      </w:r>
      <w:r>
        <w:rPr>
          <w:rFonts w:hint="eastAsia" w:ascii="仿宋_GB2312" w:hAnsi="仿宋_GB2312" w:eastAsia="仿宋_GB2312" w:cs="仿宋_GB2312"/>
          <w:bCs/>
          <w:kern w:val="44"/>
          <w:sz w:val="28"/>
          <w:szCs w:val="28"/>
          <w:highlight w:val="none"/>
        </w:rPr>
        <w:fldChar w:fldCharType="separate"/>
      </w:r>
      <w:r>
        <w:rPr>
          <w:rFonts w:hint="eastAsia" w:ascii="仿宋_GB2312" w:hAnsi="仿宋_GB2312" w:eastAsia="仿宋_GB2312" w:cs="仿宋_GB2312"/>
          <w:bCs w:val="0"/>
          <w:sz w:val="28"/>
          <w:szCs w:val="28"/>
          <w:highlight w:val="none"/>
        </w:rPr>
        <w:t>十三、</w:t>
      </w:r>
      <w:r>
        <w:rPr>
          <w:rFonts w:hint="eastAsia" w:ascii="仿宋_GB2312" w:hAnsi="仿宋_GB2312" w:eastAsia="仿宋_GB2312" w:cs="仿宋_GB2312"/>
          <w:bCs w:val="0"/>
          <w:sz w:val="28"/>
          <w:szCs w:val="28"/>
          <w:highlight w:val="none"/>
          <w:lang w:eastAsia="zh-CN"/>
        </w:rPr>
        <w:t>财政拨款“三公”经费支出决算表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_Toc17712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28</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color w:val="auto"/>
          <w:kern w:val="44"/>
          <w:sz w:val="28"/>
          <w:szCs w:val="28"/>
          <w:highlight w:val="none"/>
        </w:rPr>
        <w:fldChar w:fldCharType="end"/>
      </w:r>
    </w:p>
    <w:p>
      <w:pPr>
        <w:pStyle w:val="2"/>
        <w:sectPr>
          <w:pgSz w:w="11906" w:h="16838"/>
          <w:pgMar w:top="1440" w:right="1800" w:bottom="1440" w:left="1800" w:header="720" w:footer="720" w:gutter="0"/>
          <w:pgNumType w:fmt="decimal"/>
          <w:cols w:space="720" w:num="1"/>
          <w:docGrid w:type="lines" w:linePitch="312" w:charSpace="0"/>
        </w:sectPr>
      </w:pPr>
      <w:r>
        <w:rPr>
          <w:rFonts w:ascii="仿宋" w:hAnsi="仿宋" w:eastAsia="仿宋"/>
          <w:bCs/>
          <w:color w:val="auto"/>
          <w:kern w:val="44"/>
          <w:highlight w:val="none"/>
        </w:rPr>
        <w:fldChar w:fldCharType="end"/>
      </w:r>
    </w:p>
    <w:p>
      <w:pPr>
        <w:pStyle w:val="2"/>
      </w:pPr>
    </w:p>
    <w:p>
      <w:pPr>
        <w:pStyle w:val="3"/>
        <w:jc w:val="center"/>
        <w:rPr>
          <w:rFonts w:ascii="黑体" w:eastAsia="黑体"/>
          <w:color w:val="auto"/>
          <w:sz w:val="32"/>
          <w:szCs w:val="32"/>
          <w:highlight w:val="none"/>
        </w:rPr>
      </w:pPr>
      <w:bookmarkStart w:id="0" w:name="_Toc796"/>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0"/>
          <w:rFonts w:hint="eastAsia" w:ascii="黑体" w:hAnsi="黑体" w:eastAsia="黑体"/>
          <w:b w:val="0"/>
          <w:bCs w:val="0"/>
          <w:color w:val="auto"/>
          <w:highlight w:val="none"/>
        </w:rPr>
        <w:t>概况</w:t>
      </w:r>
      <w:bookmarkEnd w:id="0"/>
    </w:p>
    <w:p>
      <w:pPr>
        <w:pStyle w:val="4"/>
        <w:numPr>
          <w:ilvl w:val="0"/>
          <w:numId w:val="1"/>
        </w:numPr>
        <w:rPr>
          <w:rStyle w:val="11"/>
          <w:rFonts w:hint="eastAsia" w:ascii="黑体" w:hAnsi="黑体" w:eastAsia="黑体"/>
          <w:b w:val="0"/>
          <w:bCs w:val="0"/>
          <w:color w:val="auto"/>
          <w:highlight w:val="none"/>
          <w:lang w:eastAsia="zh-CN"/>
        </w:rPr>
      </w:pPr>
      <w:bookmarkStart w:id="1" w:name="_Toc23638"/>
      <w:r>
        <w:rPr>
          <w:rStyle w:val="11"/>
          <w:rFonts w:hint="eastAsia" w:ascii="黑体" w:hAnsi="黑体" w:eastAsia="黑体"/>
          <w:b w:val="0"/>
          <w:bCs w:val="0"/>
          <w:color w:val="auto"/>
          <w:highlight w:val="none"/>
          <w:lang w:eastAsia="zh-CN"/>
        </w:rPr>
        <w:t>主要职责</w:t>
      </w:r>
      <w:bookmarkEnd w:id="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1.依据《中华人民共和国献血法》的规定，保证医疗机构临床用血需要和安全，保障献血者和用血者身体健康，发扬人道主义精神，促进社会主义物质文明和精神文明建设。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在规定范围内开展无偿献血者宣传招募，献血前人员筛查，血液采集、献血后服务，血液制备，临床用血供应以及医疗机构临床用血的业务指导等工作；负责承担供血区域范围内血液储存的质量控制与评价。</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3.负责对所辖行政区域内的储血点进行质量控制和业务培训与技术指导。</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4.负责采供血管理系统业务信息报送、网络信息上传、网站维护及网络建设工作。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5.负责宣传、组织应急献血者队伍建设、志愿者协会联络，临床用血费用报销管理工作。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2"/>
        <w:rPr>
          <w:rFonts w:hint="eastAsia" w:ascii="仿宋_GB2312" w:hAnsi="仿宋_GB2312" w:eastAsia="仿宋_GB2312" w:cs="仿宋_GB2312"/>
          <w:sz w:val="32"/>
          <w:szCs w:val="32"/>
          <w:lang w:val="en-US" w:eastAsia="zh-CN"/>
        </w:rPr>
      </w:pPr>
      <w:bookmarkStart w:id="2" w:name="_Toc26906"/>
      <w:r>
        <w:rPr>
          <w:rFonts w:hint="eastAsia" w:ascii="仿宋_GB2312" w:hAnsi="仿宋_GB2312" w:eastAsia="仿宋_GB2312" w:cs="仿宋_GB2312"/>
          <w:sz w:val="32"/>
          <w:szCs w:val="32"/>
          <w:lang w:val="en-US" w:eastAsia="zh-CN"/>
        </w:rPr>
        <w:t>6.承办</w:t>
      </w:r>
      <w:r>
        <w:rPr>
          <w:rFonts w:hint="eastAsia" w:ascii="仿宋_GB2312" w:hAnsi="仿宋_GB2312" w:eastAsia="仿宋_GB2312" w:cs="仿宋_GB2312"/>
          <w:sz w:val="32"/>
          <w:szCs w:val="32"/>
          <w:lang w:val="zh-CN" w:eastAsia="zh-CN"/>
        </w:rPr>
        <w:t>市委市政府</w:t>
      </w:r>
      <w:r>
        <w:rPr>
          <w:rFonts w:hint="eastAsia" w:ascii="仿宋_GB2312" w:hAnsi="仿宋_GB2312" w:eastAsia="仿宋_GB2312" w:cs="仿宋_GB2312"/>
          <w:sz w:val="32"/>
          <w:szCs w:val="32"/>
          <w:lang w:val="en-US" w:eastAsia="zh-CN"/>
        </w:rPr>
        <w:t>和卫生行政部门交办的其他事项。</w:t>
      </w:r>
      <w:bookmarkEnd w:id="2"/>
    </w:p>
    <w:p>
      <w:pPr>
        <w:pStyle w:val="4"/>
        <w:numPr>
          <w:ilvl w:val="0"/>
          <w:numId w:val="1"/>
        </w:numPr>
        <w:ind w:left="0" w:leftChars="0" w:firstLine="0" w:firstLineChars="0"/>
        <w:rPr>
          <w:rFonts w:hint="eastAsia" w:ascii="黑体" w:hAnsi="黑体" w:eastAsia="黑体"/>
          <w:b w:val="0"/>
          <w:color w:val="auto"/>
          <w:highlight w:val="none"/>
          <w:lang w:val="en-US" w:eastAsia="zh-CN"/>
        </w:rPr>
      </w:pPr>
      <w:bookmarkStart w:id="3" w:name="_Toc25446"/>
      <w:r>
        <w:rPr>
          <w:rFonts w:hint="eastAsia" w:ascii="黑体" w:hAnsi="黑体" w:eastAsia="黑体"/>
          <w:b w:val="0"/>
          <w:color w:val="auto"/>
          <w:highlight w:val="none"/>
          <w:lang w:val="en-US" w:eastAsia="zh-CN"/>
        </w:rPr>
        <w:t>机构设置</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我单位为广元市卫生健康委员会下属二级预算单位，本单位无下属机构，设有内设科室13个。</w:t>
      </w:r>
    </w:p>
    <w:p>
      <w:pPr>
        <w:numPr>
          <w:ilvl w:val="0"/>
          <w:numId w:val="0"/>
        </w:numPr>
        <w:ind w:leftChars="0"/>
        <w:rPr>
          <w:rFonts w:hint="eastAsia"/>
          <w:lang w:val="en-US" w:eastAsia="zh-CN"/>
        </w:rPr>
      </w:pPr>
    </w:p>
    <w:p>
      <w:pPr>
        <w:widowControl/>
        <w:jc w:val="left"/>
        <w:rPr>
          <w:rFonts w:ascii="仿宋" w:hAnsi="仿宋" w:eastAsia="仿宋"/>
          <w:color w:val="auto"/>
          <w:kern w:val="0"/>
          <w:sz w:val="32"/>
          <w:szCs w:val="32"/>
          <w:highlight w:val="none"/>
        </w:rPr>
      </w:pPr>
      <w:r>
        <w:rPr>
          <w:rFonts w:ascii="仿宋" w:hAnsi="仿宋" w:eastAsia="仿宋"/>
          <w:color w:val="auto"/>
          <w:sz w:val="32"/>
          <w:szCs w:val="32"/>
          <w:highlight w:val="none"/>
        </w:rPr>
        <w:br w:type="page"/>
      </w:r>
    </w:p>
    <w:p>
      <w:pPr>
        <w:pStyle w:val="3"/>
        <w:ind w:right="440"/>
        <w:jc w:val="center"/>
        <w:rPr>
          <w:rStyle w:val="10"/>
          <w:rFonts w:ascii="黑体" w:hAnsi="黑体" w:eastAsia="黑体"/>
          <w:b w:val="0"/>
          <w:bCs/>
          <w:color w:val="auto"/>
          <w:highlight w:val="none"/>
        </w:rPr>
      </w:pPr>
      <w:bookmarkStart w:id="4" w:name="_Toc5346"/>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2023年度</w:t>
      </w:r>
      <w:r>
        <w:rPr>
          <w:rStyle w:val="10"/>
          <w:rFonts w:hint="eastAsia" w:ascii="黑体" w:hAnsi="黑体" w:eastAsia="黑体"/>
          <w:b w:val="0"/>
          <w:bCs/>
          <w:color w:val="auto"/>
          <w:highlight w:val="none"/>
          <w:lang w:eastAsia="zh-CN"/>
        </w:rPr>
        <w:t>单位</w:t>
      </w:r>
      <w:r>
        <w:rPr>
          <w:rStyle w:val="10"/>
          <w:rFonts w:hint="eastAsia" w:ascii="黑体" w:hAnsi="黑体" w:eastAsia="黑体"/>
          <w:b w:val="0"/>
          <w:bCs/>
          <w:color w:val="auto"/>
          <w:highlight w:val="none"/>
        </w:rPr>
        <w:t>决算情况说明</w:t>
      </w:r>
      <w:bookmarkEnd w:id="4"/>
    </w:p>
    <w:p>
      <w:pPr>
        <w:rPr>
          <w:color w:val="auto"/>
          <w:highlight w:val="none"/>
        </w:rPr>
      </w:pPr>
    </w:p>
    <w:p>
      <w:pPr>
        <w:pStyle w:val="15"/>
        <w:numPr>
          <w:ilvl w:val="0"/>
          <w:numId w:val="0"/>
        </w:numPr>
        <w:spacing w:line="600" w:lineRule="exact"/>
        <w:ind w:left="640" w:leftChars="0"/>
        <w:outlineLvl w:val="1"/>
        <w:rPr>
          <w:rStyle w:val="11"/>
          <w:rFonts w:ascii="黑体" w:hAnsi="黑体" w:eastAsia="黑体"/>
          <w:b w:val="0"/>
          <w:color w:val="auto"/>
          <w:highlight w:val="none"/>
        </w:rPr>
      </w:pPr>
      <w:bookmarkStart w:id="5" w:name="_Toc22720"/>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收</w:t>
      </w:r>
      <w:r>
        <w:rPr>
          <w:rStyle w:val="11"/>
          <w:rFonts w:hint="eastAsia" w:ascii="黑体" w:hAnsi="黑体" w:eastAsia="黑体"/>
          <w:b w:val="0"/>
          <w:color w:val="auto"/>
          <w:highlight w:val="none"/>
        </w:rPr>
        <w:t>入支出决算总体情况说明</w:t>
      </w:r>
      <w:bookmarkEnd w:id="5"/>
    </w:p>
    <w:p>
      <w:pP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年度收、支总计</w:t>
      </w:r>
      <w:r>
        <w:rPr>
          <w:rFonts w:hint="eastAsia" w:ascii="仿宋_GB2312" w:hAnsi="仿宋_GB2312" w:eastAsia="仿宋_GB2312" w:cs="仿宋_GB2312"/>
          <w:color w:val="auto"/>
          <w:sz w:val="32"/>
          <w:szCs w:val="32"/>
          <w:highlight w:val="none"/>
          <w:lang w:eastAsia="zh-CN"/>
        </w:rPr>
        <w:t>均为</w:t>
      </w:r>
      <w:r>
        <w:rPr>
          <w:rFonts w:hint="eastAsia" w:ascii="仿宋_GB2312" w:hAnsi="仿宋_GB2312" w:eastAsia="仿宋_GB2312" w:cs="仿宋_GB2312"/>
          <w:color w:val="auto"/>
          <w:sz w:val="32"/>
          <w:szCs w:val="32"/>
          <w:highlight w:val="none"/>
          <w:lang w:val="en-US" w:eastAsia="zh-CN"/>
        </w:rPr>
        <w:t>2468.04</w:t>
      </w:r>
      <w:r>
        <w:rPr>
          <w:rFonts w:hint="eastAsia" w:ascii="仿宋_GB2312" w:hAnsi="仿宋_GB2312" w:eastAsia="仿宋_GB2312" w:cs="仿宋_GB2312"/>
          <w:color w:val="auto"/>
          <w:sz w:val="32"/>
          <w:szCs w:val="32"/>
          <w:highlight w:val="none"/>
        </w:rPr>
        <w:t>万元。与</w:t>
      </w:r>
      <w:r>
        <w:rPr>
          <w:rFonts w:hint="eastAsia" w:ascii="仿宋_GB2312" w:hAnsi="仿宋_GB2312" w:eastAsia="仿宋_GB2312" w:cs="仿宋_GB2312"/>
          <w:color w:val="auto"/>
          <w:sz w:val="32"/>
          <w:szCs w:val="32"/>
          <w:highlight w:val="none"/>
          <w:lang w:eastAsia="zh-CN"/>
        </w:rPr>
        <w:t>2022</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相比，收、支总计各增加</w:t>
      </w:r>
      <w:r>
        <w:rPr>
          <w:rFonts w:hint="eastAsia" w:ascii="仿宋_GB2312" w:hAnsi="仿宋_GB2312" w:eastAsia="仿宋_GB2312" w:cs="仿宋_GB2312"/>
          <w:color w:val="auto"/>
          <w:sz w:val="32"/>
          <w:szCs w:val="32"/>
          <w:highlight w:val="none"/>
          <w:lang w:val="en-US" w:eastAsia="zh-CN"/>
        </w:rPr>
        <w:t>215.65</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9.6</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val="en-US" w:eastAsia="zh-CN"/>
        </w:rPr>
        <w:t>为实现收支平衡，财政统筹比例降低，项目资金预算增加</w:t>
      </w:r>
      <w:r>
        <w:rPr>
          <w:rFonts w:hint="eastAsia" w:ascii="仿宋_GB2312" w:hAnsi="仿宋_GB2312" w:eastAsia="仿宋_GB2312" w:cs="仿宋_GB2312"/>
          <w:color w:val="auto"/>
          <w:sz w:val="32"/>
          <w:szCs w:val="32"/>
          <w:highlight w:val="none"/>
          <w:lang w:eastAsia="zh-CN"/>
        </w:rPr>
        <w:t>。</w:t>
      </w:r>
    </w:p>
    <w:p>
      <w:pPr>
        <w:pStyle w:val="2"/>
        <w:jc w:val="center"/>
        <w:rPr>
          <w:rFonts w:hint="eastAsia" w:ascii="仿宋_GB2312" w:hAnsi="仿宋_GB2312" w:eastAsia="仿宋_GB2312" w:cs="仿宋_GB2312"/>
          <w:color w:val="FF0000"/>
          <w:sz w:val="32"/>
          <w:szCs w:val="32"/>
          <w:highlight w:val="none"/>
          <w:lang w:eastAsia="zh-CN"/>
        </w:rPr>
      </w:pPr>
      <w:r>
        <w:rPr>
          <w:rFonts w:hint="eastAsia" w:ascii="仿宋_GB2312" w:hAnsi="仿宋_GB2312" w:eastAsia="仿宋_GB2312" w:cs="仿宋_GB2312"/>
          <w:color w:val="FF0000"/>
          <w:sz w:val="32"/>
          <w:szCs w:val="32"/>
          <w:highlight w:val="none"/>
          <w:lang w:eastAsia="zh-CN"/>
        </w:rPr>
        <w:drawing>
          <wp:inline distT="0" distB="0" distL="114300" distR="114300">
            <wp:extent cx="4968240" cy="2828290"/>
            <wp:effectExtent l="0" t="0" r="3810" b="10160"/>
            <wp:docPr id="7" name="图片 1" descr="图片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7" name="图片 1" descr="图片1"/>
                    <pic:cNvPicPr>
                      <a:picLocks noChangeAspect="true"/>
                    </pic:cNvPicPr>
                  </pic:nvPicPr>
                  <pic:blipFill>
                    <a:blip r:embed="rId5"/>
                    <a:stretch>
                      <a:fillRect/>
                    </a:stretch>
                  </pic:blipFill>
                  <pic:spPr>
                    <a:xfrm>
                      <a:off x="0" y="0"/>
                      <a:ext cx="4968240" cy="2828290"/>
                    </a:xfrm>
                    <a:prstGeom prst="rect">
                      <a:avLst/>
                    </a:prstGeom>
                    <a:noFill/>
                    <a:ln>
                      <a:noFill/>
                    </a:ln>
                  </pic:spPr>
                </pic:pic>
              </a:graphicData>
            </a:graphic>
          </wp:inline>
        </w:drawing>
      </w:r>
    </w:p>
    <w:p>
      <w:pPr>
        <w:rPr>
          <w:rFonts w:hint="eastAsia"/>
          <w:lang w:eastAsia="zh-CN"/>
        </w:rPr>
      </w:pPr>
    </w:p>
    <w:p>
      <w:pPr>
        <w:spacing w:line="600" w:lineRule="exact"/>
        <w:ind w:firstLine="640" w:firstLineChars="20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（图1：收、支决算总计变动情况图）</w:t>
      </w:r>
    </w:p>
    <w:p>
      <w:pPr>
        <w:spacing w:line="600" w:lineRule="exact"/>
        <w:ind w:firstLine="640" w:firstLineChars="200"/>
        <w:jc w:val="left"/>
        <w:rPr>
          <w:rFonts w:hint="eastAsia" w:ascii="仿宋_GB2312" w:hAnsi="仿宋_GB2312" w:eastAsia="仿宋_GB2312" w:cs="仿宋_GB2312"/>
          <w:color w:val="auto"/>
          <w:sz w:val="32"/>
          <w:szCs w:val="32"/>
          <w:highlight w:val="none"/>
        </w:rPr>
      </w:pPr>
    </w:p>
    <w:p>
      <w:pPr>
        <w:pStyle w:val="15"/>
        <w:numPr>
          <w:ilvl w:val="0"/>
          <w:numId w:val="0"/>
        </w:numPr>
        <w:spacing w:line="600" w:lineRule="exact"/>
        <w:ind w:left="640" w:leftChars="0"/>
        <w:outlineLvl w:val="1"/>
        <w:rPr>
          <w:rStyle w:val="11"/>
          <w:rFonts w:ascii="黑体" w:hAnsi="黑体" w:eastAsia="黑体"/>
          <w:b w:val="0"/>
          <w:color w:val="auto"/>
          <w:highlight w:val="none"/>
        </w:rPr>
      </w:pPr>
      <w:bookmarkStart w:id="6" w:name="_Toc6114"/>
      <w:r>
        <w:rPr>
          <w:rFonts w:hint="eastAsia" w:ascii="黑体" w:hAnsi="黑体" w:eastAsia="黑体"/>
          <w:color w:val="auto"/>
          <w:sz w:val="32"/>
          <w:szCs w:val="32"/>
          <w:highlight w:val="none"/>
          <w:lang w:eastAsia="zh-CN"/>
        </w:rPr>
        <w:t>二、</w:t>
      </w:r>
      <w:r>
        <w:rPr>
          <w:rFonts w:hint="eastAsia" w:ascii="黑体" w:hAnsi="黑体" w:eastAsia="黑体"/>
          <w:color w:val="auto"/>
          <w:sz w:val="32"/>
          <w:szCs w:val="32"/>
          <w:highlight w:val="none"/>
        </w:rPr>
        <w:t>收</w:t>
      </w:r>
      <w:r>
        <w:rPr>
          <w:rStyle w:val="11"/>
          <w:rFonts w:hint="eastAsia" w:ascii="黑体" w:hAnsi="黑体" w:eastAsia="黑体"/>
          <w:b w:val="0"/>
          <w:color w:val="auto"/>
          <w:highlight w:val="none"/>
        </w:rPr>
        <w:t>入决算情况说明</w:t>
      </w:r>
      <w:bookmarkEnd w:id="6"/>
    </w:p>
    <w:p>
      <w:pPr>
        <w:spacing w:line="600" w:lineRule="exact"/>
        <w:ind w:firstLine="640" w:firstLineChars="200"/>
        <w:outlineLvl w:val="1"/>
        <w:rPr>
          <w:rFonts w:hint="eastAsia" w:ascii="仿宋_GB2312" w:hAnsi="仿宋_GB2312" w:eastAsia="仿宋_GB2312" w:cs="仿宋_GB2312"/>
          <w:color w:val="auto"/>
          <w:sz w:val="32"/>
          <w:szCs w:val="32"/>
          <w:highlight w:val="none"/>
          <w:lang w:eastAsia="zh-CN"/>
        </w:rPr>
      </w:pPr>
      <w:bookmarkStart w:id="7" w:name="_Toc16183"/>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本年收入合计2,468.04万元，其中：一般公共预算财政拨款收入2,468.04万元，占</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bookmarkEnd w:id="7"/>
    </w:p>
    <w:p>
      <w:pPr>
        <w:spacing w:line="240" w:lineRule="auto"/>
        <w:ind w:firstLine="640" w:firstLineChars="200"/>
        <w:outlineLvl w:val="9"/>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5019675" cy="2933700"/>
            <wp:effectExtent l="0" t="0" r="9525" b="0"/>
            <wp:docPr id="8" name="图片 2" descr="图片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 name="图片 2" descr="图片2"/>
                    <pic:cNvPicPr>
                      <a:picLocks noChangeAspect="true"/>
                    </pic:cNvPicPr>
                  </pic:nvPicPr>
                  <pic:blipFill>
                    <a:blip r:embed="rId6"/>
                    <a:stretch>
                      <a:fillRect/>
                    </a:stretch>
                  </pic:blipFill>
                  <pic:spPr>
                    <a:xfrm>
                      <a:off x="0" y="0"/>
                      <a:ext cx="5019675" cy="2933700"/>
                    </a:xfrm>
                    <a:prstGeom prst="rect">
                      <a:avLst/>
                    </a:prstGeom>
                    <a:noFill/>
                    <a:ln>
                      <a:noFill/>
                    </a:ln>
                  </pic:spPr>
                </pic:pic>
              </a:graphicData>
            </a:graphic>
          </wp:inline>
        </w:drawing>
      </w:r>
    </w:p>
    <w:p>
      <w:pPr>
        <w:spacing w:line="600" w:lineRule="exact"/>
        <w:ind w:firstLine="640" w:firstLineChars="20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（图2：收入决算结构图）</w:t>
      </w:r>
    </w:p>
    <w:p>
      <w:pPr>
        <w:spacing w:line="600" w:lineRule="exact"/>
        <w:ind w:firstLine="640" w:firstLineChars="200"/>
        <w:rPr>
          <w:rFonts w:ascii="仿宋_GB2312" w:eastAsia="仿宋_GB2312"/>
          <w:color w:val="auto"/>
          <w:sz w:val="32"/>
          <w:szCs w:val="32"/>
          <w:highlight w:val="none"/>
        </w:rPr>
      </w:pPr>
    </w:p>
    <w:p>
      <w:pPr>
        <w:pStyle w:val="15"/>
        <w:numPr>
          <w:ilvl w:val="0"/>
          <w:numId w:val="0"/>
        </w:numPr>
        <w:spacing w:line="600" w:lineRule="exact"/>
        <w:ind w:left="640" w:leftChars="0"/>
        <w:outlineLvl w:val="1"/>
        <w:rPr>
          <w:rStyle w:val="11"/>
          <w:rFonts w:ascii="黑体" w:hAnsi="黑体" w:eastAsia="黑体"/>
          <w:b w:val="0"/>
          <w:color w:val="auto"/>
          <w:highlight w:val="none"/>
        </w:rPr>
      </w:pPr>
      <w:bookmarkStart w:id="8" w:name="_Toc19513"/>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11"/>
          <w:rFonts w:hint="eastAsia" w:ascii="黑体" w:hAnsi="黑体" w:eastAsia="黑体"/>
          <w:b w:val="0"/>
          <w:color w:val="auto"/>
          <w:highlight w:val="none"/>
        </w:rPr>
        <w:t>出决算情况说明</w:t>
      </w:r>
      <w:bookmarkEnd w:id="8"/>
    </w:p>
    <w:p>
      <w:pPr>
        <w:spacing w:line="600" w:lineRule="exact"/>
        <w:ind w:firstLine="640" w:firstLineChars="200"/>
        <w:outlineLvl w:val="1"/>
        <w:rPr>
          <w:rFonts w:hint="eastAsia" w:ascii="仿宋" w:hAnsi="仿宋" w:eastAsia="仿宋"/>
          <w:color w:val="auto"/>
          <w:sz w:val="32"/>
          <w:szCs w:val="32"/>
          <w:highlight w:val="none"/>
        </w:rPr>
      </w:pPr>
      <w:bookmarkStart w:id="9" w:name="_Toc18593"/>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本年支出合计</w:t>
      </w:r>
      <w:r>
        <w:rPr>
          <w:rFonts w:hint="eastAsia" w:ascii="仿宋" w:hAnsi="仿宋" w:eastAsia="仿宋"/>
          <w:color w:val="auto"/>
          <w:sz w:val="32"/>
          <w:szCs w:val="32"/>
          <w:highlight w:val="none"/>
          <w:lang w:val="en-US" w:eastAsia="zh-CN"/>
        </w:rPr>
        <w:t>2468.04</w:t>
      </w:r>
      <w:r>
        <w:rPr>
          <w:rFonts w:hint="eastAsia" w:ascii="仿宋" w:hAnsi="仿宋" w:eastAsia="仿宋"/>
          <w:color w:val="auto"/>
          <w:sz w:val="32"/>
          <w:szCs w:val="32"/>
          <w:highlight w:val="none"/>
        </w:rPr>
        <w:t>万元，其中：基本支出618.09万元，占</w:t>
      </w:r>
      <w:r>
        <w:rPr>
          <w:rFonts w:hint="eastAsia" w:ascii="仿宋" w:hAnsi="仿宋" w:eastAsia="仿宋"/>
          <w:color w:val="auto"/>
          <w:sz w:val="32"/>
          <w:szCs w:val="32"/>
          <w:highlight w:val="none"/>
          <w:lang w:val="en-US" w:eastAsia="zh-CN"/>
        </w:rPr>
        <w:t>25</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；项目支出1,849.95万元，占</w:t>
      </w:r>
      <w:r>
        <w:rPr>
          <w:rFonts w:hint="eastAsia" w:ascii="仿宋" w:hAnsi="仿宋" w:eastAsia="仿宋"/>
          <w:color w:val="auto"/>
          <w:sz w:val="32"/>
          <w:szCs w:val="32"/>
          <w:highlight w:val="none"/>
          <w:lang w:val="en-US" w:eastAsia="zh-CN"/>
        </w:rPr>
        <w:t>75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9"/>
    </w:p>
    <w:p>
      <w:pPr>
        <w:pStyle w:val="2"/>
      </w:pPr>
    </w:p>
    <w:p>
      <w:pPr>
        <w:spacing w:line="240" w:lineRule="auto"/>
        <w:ind w:firstLine="640"/>
        <w:jc w:val="center"/>
        <w:rPr>
          <w:rFonts w:hint="eastAsia" w:ascii="仿宋" w:hAnsi="仿宋" w:eastAsia="仿宋"/>
          <w:color w:val="auto"/>
          <w:sz w:val="32"/>
          <w:szCs w:val="32"/>
          <w:highlight w:val="none"/>
          <w:shd w:val="pct10" w:color="auto" w:fill="FFFFFF"/>
          <w:lang w:eastAsia="zh-CN"/>
        </w:rPr>
      </w:pPr>
      <w:r>
        <w:rPr>
          <w:rFonts w:hint="eastAsia" w:ascii="仿宋" w:hAnsi="仿宋" w:eastAsia="仿宋"/>
          <w:color w:val="auto"/>
          <w:sz w:val="32"/>
          <w:szCs w:val="32"/>
          <w:highlight w:val="none"/>
          <w:shd w:val="pct10" w:color="auto" w:fill="FFFFFF"/>
          <w:lang w:eastAsia="zh-CN"/>
        </w:rPr>
        <w:drawing>
          <wp:inline distT="0" distB="0" distL="114300" distR="114300">
            <wp:extent cx="5104130" cy="2905760"/>
            <wp:effectExtent l="0" t="0" r="1270" b="8890"/>
            <wp:docPr id="4" name="图片 3" descr="图片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 name="图片 3" descr="图片3"/>
                    <pic:cNvPicPr>
                      <a:picLocks noChangeAspect="true"/>
                    </pic:cNvPicPr>
                  </pic:nvPicPr>
                  <pic:blipFill>
                    <a:blip r:embed="rId7"/>
                    <a:stretch>
                      <a:fillRect/>
                    </a:stretch>
                  </pic:blipFill>
                  <pic:spPr>
                    <a:xfrm>
                      <a:off x="0" y="0"/>
                      <a:ext cx="5104130" cy="2905760"/>
                    </a:xfrm>
                    <a:prstGeom prst="rect">
                      <a:avLst/>
                    </a:prstGeom>
                    <a:noFill/>
                    <a:ln>
                      <a:noFill/>
                    </a:ln>
                  </pic:spPr>
                </pic:pic>
              </a:graphicData>
            </a:graphic>
          </wp:inline>
        </w:drawing>
      </w:r>
    </w:p>
    <w:p>
      <w:pPr>
        <w:spacing w:line="600" w:lineRule="exact"/>
        <w:jc w:val="center"/>
        <w:rPr>
          <w:rFonts w:ascii="仿宋_GB2312" w:eastAsia="仿宋_GB2312"/>
          <w:color w:val="auto"/>
          <w:sz w:val="32"/>
          <w:szCs w:val="32"/>
          <w:highlight w:val="none"/>
        </w:rPr>
      </w:pPr>
      <w:r>
        <w:rPr>
          <w:rFonts w:hint="eastAsia" w:ascii="仿宋_GB2312" w:hAnsi="仿宋_GB2312" w:eastAsia="仿宋_GB2312" w:cs="仿宋_GB2312"/>
          <w:color w:val="auto"/>
          <w:sz w:val="32"/>
          <w:szCs w:val="32"/>
          <w:highlight w:val="none"/>
        </w:rPr>
        <w:t>（图3：支出决算结构图）</w:t>
      </w:r>
    </w:p>
    <w:p>
      <w:pPr>
        <w:spacing w:line="600" w:lineRule="exact"/>
        <w:ind w:firstLine="640" w:firstLineChars="200"/>
        <w:outlineLvl w:val="1"/>
        <w:rPr>
          <w:rStyle w:val="11"/>
          <w:rFonts w:ascii="黑体" w:hAnsi="黑体" w:eastAsia="黑体"/>
          <w:b w:val="0"/>
          <w:color w:val="auto"/>
          <w:highlight w:val="none"/>
        </w:rPr>
      </w:pPr>
      <w:bookmarkStart w:id="10" w:name="_Toc9165"/>
      <w:r>
        <w:rPr>
          <w:rFonts w:hint="eastAsia" w:ascii="黑体" w:hAnsi="黑体" w:eastAsia="黑体"/>
          <w:color w:val="auto"/>
          <w:sz w:val="32"/>
          <w:szCs w:val="32"/>
          <w:highlight w:val="none"/>
        </w:rPr>
        <w:t>四、财</w:t>
      </w:r>
      <w:r>
        <w:rPr>
          <w:rStyle w:val="11"/>
          <w:rFonts w:hint="eastAsia" w:ascii="黑体" w:hAnsi="黑体" w:eastAsia="黑体"/>
          <w:b w:val="0"/>
          <w:color w:val="auto"/>
          <w:highlight w:val="none"/>
        </w:rPr>
        <w:t>政拨款收入支出决算总体情况说明</w:t>
      </w:r>
      <w:bookmarkEnd w:id="10"/>
    </w:p>
    <w:p>
      <w:pPr>
        <w:spacing w:line="600" w:lineRule="exact"/>
        <w:ind w:firstLine="64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财政拨款收、支总计</w:t>
      </w:r>
      <w:r>
        <w:rPr>
          <w:rFonts w:hint="eastAsia" w:ascii="仿宋_GB2312" w:hAnsi="仿宋_GB2312" w:eastAsia="仿宋_GB2312" w:cs="仿宋_GB2312"/>
          <w:color w:val="auto"/>
          <w:sz w:val="32"/>
          <w:szCs w:val="32"/>
          <w:highlight w:val="none"/>
          <w:lang w:eastAsia="zh-CN"/>
        </w:rPr>
        <w:t>均为</w:t>
      </w:r>
      <w:r>
        <w:rPr>
          <w:rFonts w:hint="eastAsia" w:ascii="仿宋_GB2312" w:hAnsi="仿宋_GB2312" w:eastAsia="仿宋_GB2312" w:cs="仿宋_GB2312"/>
          <w:color w:val="auto"/>
          <w:sz w:val="32"/>
          <w:szCs w:val="32"/>
          <w:highlight w:val="none"/>
          <w:lang w:val="en-US" w:eastAsia="zh-CN"/>
        </w:rPr>
        <w:t>2468.04</w:t>
      </w:r>
      <w:r>
        <w:rPr>
          <w:rFonts w:hint="eastAsia" w:ascii="仿宋_GB2312" w:hAnsi="仿宋_GB2312" w:eastAsia="仿宋_GB2312" w:cs="仿宋_GB2312"/>
          <w:color w:val="auto"/>
          <w:sz w:val="32"/>
          <w:szCs w:val="32"/>
          <w:highlight w:val="none"/>
        </w:rPr>
        <w:t>万元。与</w:t>
      </w:r>
      <w:r>
        <w:rPr>
          <w:rFonts w:hint="eastAsia" w:ascii="仿宋_GB2312" w:hAnsi="仿宋_GB2312" w:eastAsia="仿宋_GB2312" w:cs="仿宋_GB2312"/>
          <w:color w:val="auto"/>
          <w:sz w:val="32"/>
          <w:szCs w:val="32"/>
          <w:highlight w:val="none"/>
          <w:lang w:eastAsia="zh-CN"/>
        </w:rPr>
        <w:t>2022</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相比，财政拨款收、支总计各增加</w:t>
      </w:r>
      <w:r>
        <w:rPr>
          <w:rFonts w:hint="eastAsia" w:ascii="仿宋_GB2312" w:hAnsi="仿宋_GB2312" w:eastAsia="仿宋_GB2312" w:cs="仿宋_GB2312"/>
          <w:color w:val="auto"/>
          <w:sz w:val="32"/>
          <w:szCs w:val="32"/>
          <w:highlight w:val="none"/>
          <w:lang w:val="en-US" w:eastAsia="zh-CN"/>
        </w:rPr>
        <w:t>215.65</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9.6</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val="en-US" w:eastAsia="zh-CN"/>
        </w:rPr>
        <w:t>为实现收支平衡，财政统筹比例降低，项目资金预算增加</w:t>
      </w:r>
      <w:r>
        <w:rPr>
          <w:rFonts w:hint="eastAsia" w:ascii="仿宋_GB2312" w:hAnsi="仿宋_GB2312" w:eastAsia="仿宋_GB2312" w:cs="仿宋_GB2312"/>
          <w:color w:val="auto"/>
          <w:sz w:val="32"/>
          <w:szCs w:val="32"/>
          <w:highlight w:val="none"/>
          <w:lang w:eastAsia="zh-CN"/>
        </w:rPr>
        <w:t>。</w:t>
      </w:r>
    </w:p>
    <w:p>
      <w:pPr>
        <w:pStyle w:val="2"/>
        <w:rPr>
          <w:rFonts w:hint="eastAsia"/>
          <w:lang w:eastAsia="zh-CN"/>
        </w:rPr>
      </w:pPr>
    </w:p>
    <w:p>
      <w:pPr>
        <w:pStyle w:val="2"/>
        <w:rPr>
          <w:rFonts w:ascii="仿宋" w:hAnsi="仿宋" w:eastAsia="仿宋"/>
          <w:color w:val="auto"/>
          <w:sz w:val="32"/>
          <w:szCs w:val="32"/>
          <w:highlight w:val="none"/>
        </w:rPr>
      </w:pPr>
      <w:r>
        <w:rPr>
          <w:rFonts w:hint="eastAsia" w:ascii="仿宋_GB2312" w:hAnsi="仿宋_GB2312" w:eastAsia="仿宋_GB2312" w:cs="仿宋_GB2312"/>
          <w:color w:val="FF0000"/>
          <w:sz w:val="32"/>
          <w:szCs w:val="32"/>
          <w:highlight w:val="none"/>
          <w:lang w:eastAsia="zh-CN"/>
        </w:rPr>
        <w:drawing>
          <wp:inline distT="0" distB="0" distL="114300" distR="114300">
            <wp:extent cx="4839970" cy="2755265"/>
            <wp:effectExtent l="0" t="0" r="17780" b="6985"/>
            <wp:docPr id="5" name="图片 4" descr="图片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5" name="图片 4" descr="图片4"/>
                    <pic:cNvPicPr>
                      <a:picLocks noChangeAspect="true"/>
                    </pic:cNvPicPr>
                  </pic:nvPicPr>
                  <pic:blipFill>
                    <a:blip r:embed="rId8"/>
                    <a:stretch>
                      <a:fillRect/>
                    </a:stretch>
                  </pic:blipFill>
                  <pic:spPr>
                    <a:xfrm>
                      <a:off x="0" y="0"/>
                      <a:ext cx="4839970" cy="2755265"/>
                    </a:xfrm>
                    <a:prstGeom prst="rect">
                      <a:avLst/>
                    </a:prstGeom>
                    <a:noFill/>
                    <a:ln>
                      <a:noFill/>
                    </a:ln>
                  </pic:spPr>
                </pic:pic>
              </a:graphicData>
            </a:graphic>
          </wp:inline>
        </w:drawing>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（图4：财政拨款收、支决算总计变动情况）</w:t>
      </w:r>
    </w:p>
    <w:p>
      <w:pPr>
        <w:spacing w:line="600" w:lineRule="exact"/>
        <w:ind w:firstLine="640"/>
        <w:rPr>
          <w:rFonts w:hint="eastAsia" w:ascii="仿宋_GB2312" w:hAnsi="仿宋_GB2312" w:eastAsia="仿宋_GB2312" w:cs="仿宋_GB2312"/>
          <w:b/>
          <w:color w:val="auto"/>
          <w:sz w:val="32"/>
          <w:szCs w:val="32"/>
          <w:highlight w:val="none"/>
        </w:rPr>
      </w:pPr>
    </w:p>
    <w:p>
      <w:pPr>
        <w:spacing w:line="600" w:lineRule="exact"/>
        <w:ind w:firstLine="640" w:firstLineChars="200"/>
        <w:outlineLvl w:val="1"/>
        <w:rPr>
          <w:rStyle w:val="11"/>
          <w:rFonts w:ascii="黑体" w:hAnsi="黑体" w:eastAsia="黑体"/>
          <w:b w:val="0"/>
          <w:color w:val="auto"/>
          <w:highlight w:val="none"/>
        </w:rPr>
      </w:pPr>
      <w:bookmarkStart w:id="11" w:name="_Toc12560"/>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1"/>
          <w:rFonts w:hint="eastAsia" w:ascii="黑体" w:hAnsi="黑体" w:eastAsia="黑体"/>
          <w:b w:val="0"/>
          <w:color w:val="auto"/>
          <w:highlight w:val="none"/>
        </w:rPr>
        <w:t>般公共预算财政拨款支出决算情况说明</w:t>
      </w:r>
      <w:bookmarkEnd w:id="11"/>
    </w:p>
    <w:p>
      <w:pPr>
        <w:spacing w:line="600" w:lineRule="exact"/>
        <w:ind w:firstLine="642" w:firstLineChars="200"/>
        <w:outlineLvl w:val="2"/>
        <w:rPr>
          <w:rFonts w:hint="eastAsia" w:ascii="仿宋_GB2312" w:hAnsi="仿宋_GB2312" w:eastAsia="仿宋_GB2312" w:cs="仿宋_GB2312"/>
          <w:b/>
          <w:color w:val="auto"/>
          <w:sz w:val="32"/>
          <w:szCs w:val="32"/>
          <w:highlight w:val="none"/>
        </w:rPr>
      </w:pPr>
      <w:bookmarkStart w:id="12" w:name="_Toc15650"/>
      <w:r>
        <w:rPr>
          <w:rFonts w:hint="eastAsia" w:ascii="仿宋_GB2312" w:hAnsi="仿宋_GB2312" w:eastAsia="仿宋_GB2312" w:cs="仿宋_GB2312"/>
          <w:b/>
          <w:color w:val="auto"/>
          <w:sz w:val="32"/>
          <w:szCs w:val="32"/>
          <w:highlight w:val="none"/>
        </w:rPr>
        <w:t>（一）一般公共预算财政拨款支出决算总体情况</w:t>
      </w:r>
      <w:bookmarkEnd w:id="12"/>
    </w:p>
    <w:p>
      <w:pPr>
        <w:spacing w:line="600" w:lineRule="exact"/>
        <w:ind w:firstLine="640" w:firstLineChars="200"/>
        <w:rPr>
          <w:rFonts w:hint="eastAsia" w:ascii="仿宋_GB2312" w:hAnsi="仿宋_GB2312" w:eastAsia="仿宋_GB2312" w:cs="仿宋_GB2312"/>
          <w:color w:val="FF0000"/>
          <w:sz w:val="32"/>
          <w:szCs w:val="32"/>
          <w:highlight w:val="none"/>
          <w:lang w:eastAsia="zh-CN"/>
        </w:rPr>
      </w:pP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一般公共预算财政拨款支出</w:t>
      </w:r>
      <w:r>
        <w:rPr>
          <w:rFonts w:hint="eastAsia" w:ascii="仿宋_GB2312" w:hAnsi="仿宋_GB2312" w:eastAsia="仿宋_GB2312" w:cs="仿宋_GB2312"/>
          <w:color w:val="auto"/>
          <w:sz w:val="32"/>
          <w:szCs w:val="32"/>
          <w:highlight w:val="none"/>
          <w:lang w:val="en-US" w:eastAsia="zh-CN"/>
        </w:rPr>
        <w:t>2468.04</w:t>
      </w:r>
      <w:r>
        <w:rPr>
          <w:rFonts w:hint="eastAsia" w:ascii="仿宋_GB2312" w:hAnsi="仿宋_GB2312" w:eastAsia="仿宋_GB2312" w:cs="仿宋_GB2312"/>
          <w:color w:val="auto"/>
          <w:sz w:val="32"/>
          <w:szCs w:val="32"/>
          <w:highlight w:val="none"/>
        </w:rPr>
        <w:t>万元，占本年支出合计的</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%。与</w:t>
      </w:r>
      <w:r>
        <w:rPr>
          <w:rFonts w:hint="eastAsia" w:ascii="仿宋_GB2312" w:hAnsi="仿宋_GB2312" w:eastAsia="仿宋_GB2312" w:cs="仿宋_GB2312"/>
          <w:color w:val="auto"/>
          <w:sz w:val="32"/>
          <w:szCs w:val="32"/>
          <w:highlight w:val="none"/>
          <w:lang w:eastAsia="zh-CN"/>
        </w:rPr>
        <w:t>2022</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相比，一般公共预算财政拨款</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rPr>
        <w:t>增加</w:t>
      </w:r>
      <w:r>
        <w:rPr>
          <w:rFonts w:hint="eastAsia" w:ascii="仿宋_GB2312" w:hAnsi="仿宋_GB2312" w:eastAsia="仿宋_GB2312" w:cs="仿宋_GB2312"/>
          <w:color w:val="auto"/>
          <w:sz w:val="32"/>
          <w:szCs w:val="32"/>
          <w:highlight w:val="none"/>
          <w:lang w:val="en-US" w:eastAsia="zh-CN"/>
        </w:rPr>
        <w:t>215.65</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9.6</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val="en-US" w:eastAsia="zh-CN"/>
        </w:rPr>
        <w:t>为实现收支平衡，财政统筹比例降低，项目资金预算增加</w:t>
      </w:r>
      <w:r>
        <w:rPr>
          <w:rFonts w:hint="eastAsia" w:ascii="仿宋_GB2312" w:hAnsi="仿宋_GB2312" w:eastAsia="仿宋_GB2312" w:cs="仿宋_GB2312"/>
          <w:color w:val="auto"/>
          <w:sz w:val="32"/>
          <w:szCs w:val="32"/>
          <w:highlight w:val="none"/>
          <w:lang w:eastAsia="zh-CN"/>
        </w:rPr>
        <w:t>。</w:t>
      </w:r>
    </w:p>
    <w:p>
      <w:pPr>
        <w:pStyle w:val="2"/>
        <w:rPr>
          <w:rFonts w:hint="eastAsia"/>
        </w:rPr>
      </w:pPr>
    </w:p>
    <w:p>
      <w:pPr>
        <w:spacing w:line="240" w:lineRule="auto"/>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drawing>
          <wp:inline distT="0" distB="0" distL="114300" distR="114300">
            <wp:extent cx="4839970" cy="2755265"/>
            <wp:effectExtent l="0" t="0" r="17780" b="6985"/>
            <wp:docPr id="1" name="图片 5" descr="图片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5" descr="图片5"/>
                    <pic:cNvPicPr>
                      <a:picLocks noChangeAspect="true"/>
                    </pic:cNvPicPr>
                  </pic:nvPicPr>
                  <pic:blipFill>
                    <a:blip r:embed="rId9"/>
                    <a:stretch>
                      <a:fillRect/>
                    </a:stretch>
                  </pic:blipFill>
                  <pic:spPr>
                    <a:xfrm>
                      <a:off x="0" y="0"/>
                      <a:ext cx="4839970" cy="2755265"/>
                    </a:xfrm>
                    <a:prstGeom prst="rect">
                      <a:avLst/>
                    </a:prstGeom>
                    <a:noFill/>
                    <a:ln>
                      <a:noFill/>
                    </a:ln>
                  </pic:spPr>
                </pic:pic>
              </a:graphicData>
            </a:graphic>
          </wp:inline>
        </w:drawing>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（图5：一般公共预算财政拨款支出决算变动情况）</w:t>
      </w:r>
    </w:p>
    <w:p>
      <w:pPr>
        <w:spacing w:line="600" w:lineRule="exact"/>
        <w:ind w:firstLine="642" w:firstLineChars="200"/>
        <w:outlineLvl w:val="2"/>
        <w:rPr>
          <w:rFonts w:hint="eastAsia" w:ascii="仿宋_GB2312" w:hAnsi="仿宋_GB2312" w:eastAsia="仿宋_GB2312" w:cs="仿宋_GB2312"/>
          <w:b/>
          <w:color w:val="auto"/>
          <w:sz w:val="32"/>
          <w:szCs w:val="32"/>
          <w:highlight w:val="none"/>
        </w:rPr>
      </w:pPr>
      <w:bookmarkStart w:id="13" w:name="_Toc3269"/>
      <w:r>
        <w:rPr>
          <w:rFonts w:hint="eastAsia" w:ascii="仿宋_GB2312" w:hAnsi="仿宋_GB2312" w:eastAsia="仿宋_GB2312" w:cs="仿宋_GB2312"/>
          <w:b/>
          <w:color w:val="auto"/>
          <w:sz w:val="32"/>
          <w:szCs w:val="32"/>
          <w:highlight w:val="none"/>
        </w:rPr>
        <w:t>（二）一般公共预算财政拨款支出决算结构情况</w:t>
      </w:r>
      <w:bookmarkEnd w:id="13"/>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一般公共预算财政拨款支出</w:t>
      </w:r>
      <w:r>
        <w:rPr>
          <w:rFonts w:hint="eastAsia" w:ascii="仿宋_GB2312" w:hAnsi="仿宋_GB2312" w:eastAsia="仿宋_GB2312" w:cs="仿宋_GB2312"/>
          <w:color w:val="auto"/>
          <w:sz w:val="32"/>
          <w:szCs w:val="32"/>
          <w:highlight w:val="none"/>
          <w:lang w:val="en-US" w:eastAsia="zh-CN"/>
        </w:rPr>
        <w:t>2468.04</w:t>
      </w:r>
      <w:r>
        <w:rPr>
          <w:rFonts w:hint="eastAsia" w:ascii="仿宋_GB2312" w:hAnsi="仿宋_GB2312" w:eastAsia="仿宋_GB2312" w:cs="仿宋_GB2312"/>
          <w:color w:val="auto"/>
          <w:sz w:val="32"/>
          <w:szCs w:val="32"/>
          <w:highlight w:val="none"/>
        </w:rPr>
        <w:t>万元，主要用于以下方面</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color w:val="auto"/>
          <w:sz w:val="32"/>
          <w:szCs w:val="32"/>
          <w:highlight w:val="none"/>
        </w:rPr>
        <w:t>社会保障和就业</w:t>
      </w:r>
      <w:r>
        <w:rPr>
          <w:rFonts w:hint="eastAsia" w:ascii="仿宋_GB2312" w:hAnsi="仿宋_GB2312" w:eastAsia="仿宋_GB2312" w:cs="仿宋_GB2312"/>
          <w:b/>
          <w:bCs/>
          <w:color w:val="auto"/>
          <w:sz w:val="32"/>
          <w:szCs w:val="32"/>
          <w:highlight w:val="none"/>
        </w:rPr>
        <w:t>支出</w:t>
      </w:r>
      <w:r>
        <w:rPr>
          <w:rFonts w:hint="eastAsia" w:ascii="仿宋_GB2312" w:hAnsi="仿宋_GB2312" w:eastAsia="仿宋_GB2312" w:cs="仿宋_GB2312"/>
          <w:color w:val="auto"/>
          <w:sz w:val="32"/>
          <w:szCs w:val="32"/>
          <w:highlight w:val="none"/>
          <w:lang w:val="en-US" w:eastAsia="zh-CN"/>
        </w:rPr>
        <w:t>65.29</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2.6</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
          <w:bCs/>
          <w:color w:val="auto"/>
          <w:sz w:val="32"/>
          <w:szCs w:val="32"/>
          <w:highlight w:val="none"/>
        </w:rPr>
        <w:t>卫生健康支出</w:t>
      </w:r>
      <w:r>
        <w:rPr>
          <w:rFonts w:hint="eastAsia" w:ascii="仿宋_GB2312" w:hAnsi="仿宋_GB2312" w:eastAsia="仿宋_GB2312" w:cs="仿宋_GB2312"/>
          <w:color w:val="auto"/>
          <w:sz w:val="32"/>
          <w:szCs w:val="32"/>
          <w:highlight w:val="none"/>
          <w:lang w:val="en-US" w:eastAsia="zh-CN"/>
        </w:rPr>
        <w:t>2358.05</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95.6</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
          <w:bCs/>
          <w:color w:val="auto"/>
          <w:sz w:val="32"/>
          <w:szCs w:val="32"/>
          <w:highlight w:val="none"/>
        </w:rPr>
        <w:t>住房保障支出</w:t>
      </w:r>
      <w:r>
        <w:rPr>
          <w:rFonts w:hint="eastAsia" w:ascii="仿宋_GB2312" w:hAnsi="仿宋_GB2312" w:eastAsia="仿宋_GB2312" w:cs="仿宋_GB2312"/>
          <w:color w:val="auto"/>
          <w:sz w:val="32"/>
          <w:szCs w:val="32"/>
          <w:highlight w:val="none"/>
          <w:lang w:val="en-US" w:eastAsia="zh-CN"/>
        </w:rPr>
        <w:t>44.7</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1.8</w:t>
      </w:r>
      <w:r>
        <w:rPr>
          <w:rFonts w:hint="eastAsia" w:ascii="仿宋_GB2312" w:hAnsi="仿宋_GB2312" w:eastAsia="仿宋_GB2312" w:cs="仿宋_GB2312"/>
          <w:color w:val="auto"/>
          <w:sz w:val="32"/>
          <w:szCs w:val="32"/>
          <w:highlight w:val="none"/>
        </w:rPr>
        <w:t>%。</w:t>
      </w:r>
    </w:p>
    <w:p>
      <w:pPr>
        <w:pStyle w:val="2"/>
        <w:rPr>
          <w:rFonts w:hint="eastAsia"/>
        </w:rPr>
      </w:pPr>
    </w:p>
    <w:p>
      <w:pPr>
        <w:spacing w:line="240" w:lineRule="auto"/>
        <w:ind w:firstLine="64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drawing>
          <wp:inline distT="0" distB="0" distL="114300" distR="114300">
            <wp:extent cx="4839970" cy="2755265"/>
            <wp:effectExtent l="0" t="0" r="17780" b="6985"/>
            <wp:docPr id="2" name="图片 6" descr="图片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6" descr="图片6"/>
                    <pic:cNvPicPr>
                      <a:picLocks noChangeAspect="true"/>
                    </pic:cNvPicPr>
                  </pic:nvPicPr>
                  <pic:blipFill>
                    <a:blip r:embed="rId10"/>
                    <a:stretch>
                      <a:fillRect/>
                    </a:stretch>
                  </pic:blipFill>
                  <pic:spPr>
                    <a:xfrm>
                      <a:off x="0" y="0"/>
                      <a:ext cx="4839970" cy="2755265"/>
                    </a:xfrm>
                    <a:prstGeom prst="rect">
                      <a:avLst/>
                    </a:prstGeom>
                    <a:noFill/>
                    <a:ln>
                      <a:noFill/>
                    </a:ln>
                  </pic:spPr>
                </pic:pic>
              </a:graphicData>
            </a:graphic>
          </wp:inline>
        </w:drawing>
      </w:r>
    </w:p>
    <w:p>
      <w:pPr>
        <w:pStyle w:val="2"/>
        <w:rPr>
          <w:rFonts w:hint="eastAsia"/>
        </w:rPr>
      </w:pP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（图6：一般公共预算财政拨款支出决算结构）</w:t>
      </w:r>
    </w:p>
    <w:p>
      <w:pPr>
        <w:spacing w:line="600" w:lineRule="exact"/>
        <w:ind w:firstLine="640" w:firstLineChars="200"/>
        <w:rPr>
          <w:rFonts w:ascii="仿宋" w:hAnsi="仿宋" w:eastAsia="仿宋"/>
          <w:color w:val="auto"/>
          <w:sz w:val="32"/>
          <w:szCs w:val="32"/>
          <w:highlight w:val="none"/>
        </w:rPr>
      </w:pPr>
    </w:p>
    <w:p>
      <w:pPr>
        <w:spacing w:line="600" w:lineRule="exact"/>
        <w:ind w:firstLine="642" w:firstLineChars="200"/>
        <w:outlineLvl w:val="2"/>
        <w:rPr>
          <w:rFonts w:hint="eastAsia" w:ascii="仿宋_GB2312" w:hAnsi="仿宋_GB2312" w:eastAsia="仿宋_GB2312" w:cs="仿宋_GB2312"/>
          <w:b/>
          <w:color w:val="auto"/>
          <w:sz w:val="32"/>
          <w:szCs w:val="32"/>
          <w:highlight w:val="none"/>
        </w:rPr>
      </w:pPr>
      <w:bookmarkStart w:id="14" w:name="_Toc21506"/>
      <w:r>
        <w:rPr>
          <w:rFonts w:hint="eastAsia" w:ascii="仿宋_GB2312" w:hAnsi="仿宋_GB2312" w:eastAsia="仿宋_GB2312" w:cs="仿宋_GB2312"/>
          <w:b/>
          <w:color w:val="auto"/>
          <w:sz w:val="32"/>
          <w:szCs w:val="32"/>
          <w:highlight w:val="none"/>
        </w:rPr>
        <w:t>（三）一般公共预算财政拨款支出决算具体情况</w:t>
      </w:r>
      <w:bookmarkEnd w:id="14"/>
    </w:p>
    <w:p>
      <w:pPr>
        <w:spacing w:line="600" w:lineRule="exact"/>
        <w:ind w:firstLine="642" w:firstLineChars="200"/>
        <w:outlineLvl w:val="1"/>
        <w:rPr>
          <w:rFonts w:hint="eastAsia" w:ascii="仿宋_GB2312" w:hAnsi="仿宋_GB2312" w:eastAsia="仿宋_GB2312" w:cs="仿宋_GB2312"/>
          <w:color w:val="auto"/>
          <w:sz w:val="32"/>
          <w:szCs w:val="32"/>
          <w:highlight w:val="none"/>
        </w:rPr>
      </w:pPr>
      <w:bookmarkStart w:id="15" w:name="_Toc26313"/>
      <w:r>
        <w:rPr>
          <w:rFonts w:hint="eastAsia" w:ascii="仿宋_GB2312" w:hAnsi="仿宋_GB2312" w:eastAsia="仿宋_GB2312" w:cs="仿宋_GB2312"/>
          <w:b/>
          <w:color w:val="auto"/>
          <w:sz w:val="32"/>
          <w:szCs w:val="32"/>
          <w:highlight w:val="none"/>
          <w:lang w:eastAsia="zh-CN"/>
        </w:rPr>
        <w:t>2023</w:t>
      </w:r>
      <w:r>
        <w:rPr>
          <w:rFonts w:hint="eastAsia" w:ascii="仿宋_GB2312" w:hAnsi="仿宋_GB2312" w:eastAsia="仿宋_GB2312" w:cs="仿宋_GB2312"/>
          <w:b/>
          <w:color w:val="auto"/>
          <w:sz w:val="32"/>
          <w:szCs w:val="32"/>
          <w:highlight w:val="none"/>
        </w:rPr>
        <w:t>年</w:t>
      </w:r>
      <w:r>
        <w:rPr>
          <w:rFonts w:hint="eastAsia" w:ascii="仿宋_GB2312" w:hAnsi="仿宋_GB2312" w:eastAsia="仿宋_GB2312" w:cs="仿宋_GB2312"/>
          <w:b/>
          <w:color w:val="auto"/>
          <w:sz w:val="32"/>
          <w:szCs w:val="32"/>
          <w:highlight w:val="none"/>
          <w:lang w:eastAsia="zh-CN"/>
        </w:rPr>
        <w:t>度一</w:t>
      </w:r>
      <w:r>
        <w:rPr>
          <w:rFonts w:hint="eastAsia" w:ascii="仿宋_GB2312" w:hAnsi="仿宋_GB2312" w:eastAsia="仿宋_GB2312" w:cs="仿宋_GB2312"/>
          <w:b/>
          <w:color w:val="auto"/>
          <w:sz w:val="32"/>
          <w:szCs w:val="32"/>
          <w:highlight w:val="none"/>
        </w:rPr>
        <w:t>般公共预算支出决算数为</w:t>
      </w:r>
      <w:r>
        <w:rPr>
          <w:rFonts w:hint="eastAsia" w:ascii="仿宋_GB2312" w:hAnsi="仿宋_GB2312" w:eastAsia="仿宋_GB2312" w:cs="仿宋_GB2312"/>
          <w:b/>
          <w:color w:val="auto"/>
          <w:sz w:val="32"/>
          <w:szCs w:val="32"/>
          <w:highlight w:val="none"/>
          <w:lang w:val="en-US" w:eastAsia="zh-CN"/>
        </w:rPr>
        <w:t>2468.04</w:t>
      </w:r>
      <w:r>
        <w:rPr>
          <w:rFonts w:hint="eastAsia" w:ascii="仿宋_GB2312" w:hAnsi="仿宋_GB2312" w:eastAsia="仿宋_GB2312" w:cs="仿宋_GB2312"/>
          <w:b/>
          <w:color w:val="auto"/>
          <w:sz w:val="32"/>
          <w:szCs w:val="32"/>
          <w:highlight w:val="none"/>
          <w:lang w:eastAsia="zh-CN"/>
        </w:rPr>
        <w:t>万元</w:t>
      </w:r>
      <w:r>
        <w:rPr>
          <w:rFonts w:hint="eastAsia" w:ascii="仿宋_GB2312" w:hAnsi="仿宋_GB2312" w:eastAsia="仿宋_GB2312" w:cs="仿宋_GB2312"/>
          <w:color w:val="auto"/>
          <w:sz w:val="32"/>
          <w:szCs w:val="32"/>
          <w:highlight w:val="none"/>
        </w:rPr>
        <w:t>，</w:t>
      </w:r>
      <w:r>
        <w:rPr>
          <w:rStyle w:val="9"/>
          <w:rFonts w:hint="eastAsia" w:ascii="仿宋_GB2312" w:hAnsi="仿宋_GB2312" w:eastAsia="仿宋_GB2312" w:cs="仿宋_GB2312"/>
          <w:bCs/>
          <w:color w:val="auto"/>
          <w:sz w:val="32"/>
          <w:szCs w:val="32"/>
          <w:highlight w:val="none"/>
        </w:rPr>
        <w:t>完成预算</w:t>
      </w:r>
      <w:r>
        <w:rPr>
          <w:rStyle w:val="9"/>
          <w:rFonts w:hint="eastAsia" w:ascii="仿宋_GB2312" w:hAnsi="仿宋_GB2312" w:eastAsia="仿宋_GB2312" w:cs="仿宋_GB2312"/>
          <w:bCs/>
          <w:color w:val="auto"/>
          <w:sz w:val="32"/>
          <w:szCs w:val="32"/>
          <w:highlight w:val="none"/>
          <w:lang w:val="en-US" w:eastAsia="zh-CN"/>
        </w:rPr>
        <w:t>100</w:t>
      </w:r>
      <w:r>
        <w:rPr>
          <w:rStyle w:val="9"/>
          <w:rFonts w:hint="eastAsia" w:ascii="仿宋_GB2312" w:hAnsi="仿宋_GB2312" w:eastAsia="仿宋_GB2312" w:cs="仿宋_GB2312"/>
          <w:bCs/>
          <w:color w:val="auto"/>
          <w:sz w:val="32"/>
          <w:szCs w:val="32"/>
          <w:highlight w:val="none"/>
        </w:rPr>
        <w:t>%。其中：</w:t>
      </w:r>
      <w:bookmarkEnd w:id="15"/>
    </w:p>
    <w:p>
      <w:pPr>
        <w:spacing w:line="600" w:lineRule="exact"/>
        <w:ind w:firstLine="642" w:firstLineChars="200"/>
        <w:rPr>
          <w:rFonts w:ascii="仿宋" w:hAnsi="仿宋" w:eastAsia="仿宋"/>
          <w:b/>
          <w:color w:val="000000"/>
          <w:sz w:val="32"/>
          <w:szCs w:val="32"/>
        </w:rPr>
      </w:pPr>
      <w:r>
        <w:rPr>
          <w:rStyle w:val="16"/>
          <w:rFonts w:hint="eastAsia" w:ascii="仿宋" w:hAnsi="仿宋" w:eastAsia="仿宋"/>
          <w:bCs/>
          <w:color w:val="000000"/>
          <w:sz w:val="32"/>
          <w:szCs w:val="32"/>
        </w:rPr>
        <w:t>1. 社会保障和就业支出（类）行政事业单位养老支出（款）机关事业单位基本养老保险缴费支出（项）</w:t>
      </w:r>
      <w:r>
        <w:rPr>
          <w:rStyle w:val="16"/>
          <w:rFonts w:hint="eastAsia" w:ascii="仿宋" w:hAnsi="仿宋" w:eastAsia="仿宋"/>
          <w:bCs/>
          <w:color w:val="000000"/>
          <w:sz w:val="32"/>
          <w:szCs w:val="32"/>
          <w:lang w:eastAsia="zh-CN"/>
        </w:rPr>
        <w:t>：</w:t>
      </w:r>
      <w:r>
        <w:rPr>
          <w:rStyle w:val="16"/>
          <w:rFonts w:hint="eastAsia" w:ascii="仿宋" w:hAnsi="仿宋" w:eastAsia="仿宋"/>
          <w:b w:val="0"/>
          <w:bCs/>
          <w:color w:val="000000"/>
          <w:sz w:val="32"/>
          <w:szCs w:val="32"/>
        </w:rPr>
        <w:t xml:space="preserve"> 支出决算为</w:t>
      </w:r>
      <w:r>
        <w:rPr>
          <w:rStyle w:val="16"/>
          <w:rFonts w:hint="eastAsia" w:ascii="仿宋" w:hAnsi="仿宋" w:eastAsia="仿宋"/>
          <w:b w:val="0"/>
          <w:bCs/>
          <w:color w:val="000000"/>
          <w:sz w:val="32"/>
          <w:szCs w:val="32"/>
          <w:lang w:val="en-US" w:eastAsia="zh-CN"/>
        </w:rPr>
        <w:t>59.7</w:t>
      </w:r>
      <w:r>
        <w:rPr>
          <w:rStyle w:val="16"/>
          <w:rFonts w:hint="eastAsia" w:ascii="仿宋" w:hAnsi="仿宋" w:eastAsia="仿宋"/>
          <w:b w:val="0"/>
          <w:bCs/>
          <w:color w:val="000000"/>
          <w:sz w:val="32"/>
          <w:szCs w:val="32"/>
        </w:rPr>
        <w:t>万元，完成预算100%。</w:t>
      </w:r>
    </w:p>
    <w:p>
      <w:pPr>
        <w:spacing w:line="600" w:lineRule="exact"/>
        <w:ind w:firstLine="642" w:firstLineChars="200"/>
        <w:rPr>
          <w:rStyle w:val="16"/>
          <w:rFonts w:ascii="仿宋" w:hAnsi="仿宋" w:eastAsia="仿宋"/>
          <w:b w:val="0"/>
          <w:bCs/>
          <w:color w:val="000000"/>
          <w:sz w:val="32"/>
          <w:szCs w:val="32"/>
        </w:rPr>
      </w:pPr>
      <w:r>
        <w:rPr>
          <w:rStyle w:val="16"/>
          <w:rFonts w:hint="eastAsia" w:ascii="仿宋" w:hAnsi="仿宋" w:eastAsia="仿宋"/>
          <w:bCs/>
          <w:color w:val="000000"/>
          <w:sz w:val="32"/>
          <w:szCs w:val="32"/>
        </w:rPr>
        <w:t>2. 社会保障和就业支出（类）行政事业单位养老支出（款）机关事业单位职业年金缴费支出（项）</w:t>
      </w:r>
      <w:r>
        <w:rPr>
          <w:rStyle w:val="16"/>
          <w:rFonts w:hint="eastAsia" w:ascii="仿宋" w:hAnsi="仿宋" w:eastAsia="仿宋"/>
          <w:b w:val="0"/>
          <w:bCs/>
          <w:color w:val="000000"/>
          <w:sz w:val="32"/>
          <w:szCs w:val="32"/>
        </w:rPr>
        <w:t xml:space="preserve"> 支出决算为</w:t>
      </w:r>
      <w:r>
        <w:rPr>
          <w:rStyle w:val="16"/>
          <w:rFonts w:hint="eastAsia" w:ascii="仿宋" w:hAnsi="仿宋" w:eastAsia="仿宋"/>
          <w:b w:val="0"/>
          <w:bCs/>
          <w:color w:val="000000"/>
          <w:sz w:val="32"/>
          <w:szCs w:val="32"/>
          <w:lang w:val="en-US" w:eastAsia="zh-CN"/>
        </w:rPr>
        <w:t>5.58</w:t>
      </w:r>
      <w:r>
        <w:rPr>
          <w:rStyle w:val="16"/>
          <w:rFonts w:hint="eastAsia" w:ascii="仿宋" w:hAnsi="仿宋" w:eastAsia="仿宋"/>
          <w:b w:val="0"/>
          <w:bCs/>
          <w:color w:val="000000"/>
          <w:sz w:val="32"/>
          <w:szCs w:val="32"/>
        </w:rPr>
        <w:t>万元，完成预算100%。</w:t>
      </w:r>
    </w:p>
    <w:p>
      <w:pPr>
        <w:ind w:firstLine="642" w:firstLineChars="200"/>
        <w:rPr>
          <w:rFonts w:hint="eastAsia" w:ascii="仿宋" w:hAnsi="仿宋" w:eastAsia="仿宋"/>
          <w:b/>
          <w:bCs/>
          <w:color w:val="000000"/>
          <w:sz w:val="32"/>
          <w:szCs w:val="32"/>
        </w:rPr>
      </w:pPr>
      <w:r>
        <w:rPr>
          <w:rFonts w:hint="eastAsia" w:ascii="仿宋" w:hAnsi="仿宋" w:eastAsia="仿宋"/>
          <w:b/>
          <w:bCs/>
          <w:color w:val="000000"/>
          <w:sz w:val="32"/>
          <w:szCs w:val="32"/>
        </w:rPr>
        <w:t>3.卫生健康支出</w:t>
      </w:r>
      <w:r>
        <w:rPr>
          <w:rStyle w:val="16"/>
          <w:rFonts w:hint="eastAsia" w:ascii="仿宋" w:hAnsi="仿宋" w:eastAsia="仿宋"/>
          <w:bCs/>
          <w:color w:val="000000"/>
          <w:sz w:val="32"/>
          <w:szCs w:val="32"/>
        </w:rPr>
        <w:t>（类）公</w:t>
      </w:r>
      <w:r>
        <w:rPr>
          <w:rStyle w:val="16"/>
          <w:rFonts w:hint="eastAsia" w:ascii="仿宋" w:hAnsi="仿宋" w:eastAsia="仿宋"/>
          <w:bCs/>
          <w:color w:val="000000"/>
          <w:sz w:val="32"/>
          <w:szCs w:val="32"/>
          <w:lang w:val="en-US" w:eastAsia="zh-CN"/>
        </w:rPr>
        <w:t>立医院</w:t>
      </w:r>
      <w:r>
        <w:rPr>
          <w:rStyle w:val="16"/>
          <w:rFonts w:hint="eastAsia" w:ascii="仿宋" w:hAnsi="仿宋" w:eastAsia="仿宋"/>
          <w:bCs/>
          <w:color w:val="000000"/>
          <w:sz w:val="32"/>
          <w:szCs w:val="32"/>
        </w:rPr>
        <w:t>（款）其他公立医院支出（项）</w:t>
      </w:r>
      <w:r>
        <w:rPr>
          <w:rStyle w:val="16"/>
          <w:rFonts w:hint="eastAsia" w:ascii="仿宋" w:hAnsi="仿宋" w:eastAsia="仿宋"/>
          <w:bCs/>
          <w:color w:val="000000"/>
          <w:sz w:val="32"/>
          <w:szCs w:val="32"/>
          <w:lang w:eastAsia="zh-CN"/>
        </w:rPr>
        <w:t>：</w:t>
      </w:r>
      <w:r>
        <w:rPr>
          <w:rStyle w:val="16"/>
          <w:rFonts w:hint="eastAsia" w:ascii="仿宋" w:hAnsi="仿宋" w:eastAsia="仿宋"/>
          <w:b w:val="0"/>
          <w:bCs/>
          <w:color w:val="000000"/>
          <w:sz w:val="32"/>
          <w:szCs w:val="32"/>
        </w:rPr>
        <w:t>支出决算为</w:t>
      </w:r>
      <w:r>
        <w:rPr>
          <w:rStyle w:val="16"/>
          <w:rFonts w:hint="eastAsia" w:ascii="仿宋" w:hAnsi="仿宋" w:eastAsia="仿宋"/>
          <w:b w:val="0"/>
          <w:bCs/>
          <w:color w:val="000000"/>
          <w:sz w:val="32"/>
          <w:szCs w:val="32"/>
          <w:lang w:val="en-US" w:eastAsia="zh-CN"/>
        </w:rPr>
        <w:t>1</w:t>
      </w:r>
      <w:r>
        <w:rPr>
          <w:rStyle w:val="16"/>
          <w:rFonts w:hint="eastAsia" w:ascii="仿宋" w:hAnsi="仿宋" w:eastAsia="仿宋"/>
          <w:b w:val="0"/>
          <w:bCs/>
          <w:color w:val="000000"/>
          <w:sz w:val="32"/>
          <w:szCs w:val="32"/>
        </w:rPr>
        <w:t>万元，完成预算100%。</w:t>
      </w:r>
    </w:p>
    <w:p>
      <w:pPr>
        <w:ind w:firstLine="642" w:firstLineChars="200"/>
        <w:rPr>
          <w:rStyle w:val="16"/>
          <w:rFonts w:hint="eastAsia" w:ascii="仿宋" w:hAnsi="仿宋" w:eastAsia="仿宋"/>
          <w:b w:val="0"/>
          <w:bCs/>
          <w:color w:val="000000"/>
          <w:sz w:val="32"/>
          <w:szCs w:val="32"/>
        </w:rPr>
      </w:pPr>
      <w:r>
        <w:rPr>
          <w:rFonts w:hint="eastAsia" w:ascii="仿宋" w:hAnsi="仿宋" w:eastAsia="仿宋"/>
          <w:b/>
          <w:bCs/>
          <w:color w:val="000000"/>
          <w:sz w:val="32"/>
          <w:szCs w:val="32"/>
          <w:lang w:val="en-US" w:eastAsia="zh-CN"/>
        </w:rPr>
        <w:t>4</w:t>
      </w:r>
      <w:r>
        <w:rPr>
          <w:rFonts w:hint="eastAsia" w:ascii="仿宋" w:hAnsi="仿宋" w:eastAsia="仿宋"/>
          <w:b/>
          <w:bCs/>
          <w:color w:val="000000"/>
          <w:sz w:val="32"/>
          <w:szCs w:val="32"/>
        </w:rPr>
        <w:t>.卫生健康支出</w:t>
      </w:r>
      <w:r>
        <w:rPr>
          <w:rStyle w:val="16"/>
          <w:rFonts w:hint="eastAsia" w:ascii="仿宋" w:hAnsi="仿宋" w:eastAsia="仿宋"/>
          <w:bCs/>
          <w:color w:val="000000"/>
          <w:sz w:val="32"/>
          <w:szCs w:val="32"/>
        </w:rPr>
        <w:t>（类）公共卫生（款）采供血机构（项）</w:t>
      </w:r>
      <w:r>
        <w:rPr>
          <w:rStyle w:val="16"/>
          <w:rFonts w:hint="eastAsia" w:ascii="仿宋" w:hAnsi="仿宋" w:eastAsia="仿宋"/>
          <w:bCs/>
          <w:color w:val="000000"/>
          <w:sz w:val="32"/>
          <w:szCs w:val="32"/>
          <w:lang w:eastAsia="zh-CN"/>
        </w:rPr>
        <w:t>：</w:t>
      </w:r>
      <w:r>
        <w:rPr>
          <w:rStyle w:val="16"/>
          <w:rFonts w:hint="eastAsia" w:ascii="仿宋" w:hAnsi="仿宋" w:eastAsia="仿宋"/>
          <w:b w:val="0"/>
          <w:bCs/>
          <w:color w:val="000000"/>
          <w:sz w:val="32"/>
          <w:szCs w:val="32"/>
        </w:rPr>
        <w:t>支出决算为</w:t>
      </w:r>
      <w:r>
        <w:rPr>
          <w:rStyle w:val="16"/>
          <w:rFonts w:hint="eastAsia" w:ascii="仿宋" w:hAnsi="仿宋" w:eastAsia="仿宋"/>
          <w:b w:val="0"/>
          <w:bCs/>
          <w:color w:val="000000"/>
          <w:sz w:val="32"/>
          <w:szCs w:val="32"/>
          <w:lang w:val="en-US" w:eastAsia="zh-CN"/>
        </w:rPr>
        <w:t>2196.15</w:t>
      </w:r>
      <w:r>
        <w:rPr>
          <w:rStyle w:val="16"/>
          <w:rFonts w:hint="eastAsia" w:ascii="仿宋" w:hAnsi="仿宋" w:eastAsia="仿宋"/>
          <w:b w:val="0"/>
          <w:bCs/>
          <w:color w:val="000000"/>
          <w:sz w:val="32"/>
          <w:szCs w:val="32"/>
        </w:rPr>
        <w:t>万元，完成预算100%。</w:t>
      </w:r>
    </w:p>
    <w:p>
      <w:pPr>
        <w:ind w:firstLine="642" w:firstLineChars="200"/>
        <w:rPr>
          <w:rStyle w:val="16"/>
          <w:rFonts w:hint="eastAsia" w:ascii="仿宋" w:hAnsi="仿宋" w:eastAsia="仿宋"/>
          <w:b w:val="0"/>
          <w:bCs/>
          <w:color w:val="000000"/>
          <w:sz w:val="32"/>
          <w:szCs w:val="32"/>
        </w:rPr>
      </w:pPr>
      <w:r>
        <w:rPr>
          <w:rFonts w:hint="eastAsia" w:ascii="仿宋" w:hAnsi="仿宋" w:eastAsia="仿宋"/>
          <w:b/>
          <w:bCs/>
          <w:color w:val="000000"/>
          <w:sz w:val="32"/>
          <w:szCs w:val="32"/>
          <w:lang w:val="en-US" w:eastAsia="zh-CN"/>
        </w:rPr>
        <w:t>5</w:t>
      </w:r>
      <w:r>
        <w:rPr>
          <w:rFonts w:hint="eastAsia" w:ascii="仿宋" w:hAnsi="仿宋" w:eastAsia="仿宋"/>
          <w:b/>
          <w:bCs/>
          <w:color w:val="000000"/>
          <w:sz w:val="32"/>
          <w:szCs w:val="32"/>
        </w:rPr>
        <w:t>. 卫生健康支出</w:t>
      </w:r>
      <w:r>
        <w:rPr>
          <w:rStyle w:val="16"/>
          <w:rFonts w:hint="eastAsia" w:ascii="仿宋" w:hAnsi="仿宋" w:eastAsia="仿宋"/>
          <w:bCs/>
          <w:color w:val="000000"/>
          <w:sz w:val="32"/>
          <w:szCs w:val="32"/>
        </w:rPr>
        <w:t>（类）公共卫生（款）重大公共卫生服务（项）</w:t>
      </w:r>
      <w:r>
        <w:rPr>
          <w:rStyle w:val="16"/>
          <w:rFonts w:hint="eastAsia" w:ascii="仿宋" w:hAnsi="仿宋" w:eastAsia="仿宋"/>
          <w:bCs/>
          <w:color w:val="000000"/>
          <w:sz w:val="32"/>
          <w:szCs w:val="32"/>
          <w:lang w:eastAsia="zh-CN"/>
        </w:rPr>
        <w:t>：</w:t>
      </w:r>
      <w:r>
        <w:rPr>
          <w:rStyle w:val="16"/>
          <w:rFonts w:hint="eastAsia" w:ascii="仿宋" w:hAnsi="仿宋" w:eastAsia="仿宋"/>
          <w:b w:val="0"/>
          <w:bCs/>
          <w:color w:val="000000"/>
          <w:sz w:val="32"/>
          <w:szCs w:val="32"/>
        </w:rPr>
        <w:t>支出决算为</w:t>
      </w:r>
      <w:r>
        <w:rPr>
          <w:rStyle w:val="16"/>
          <w:rFonts w:hint="eastAsia" w:ascii="仿宋" w:hAnsi="仿宋" w:eastAsia="仿宋"/>
          <w:b w:val="0"/>
          <w:bCs/>
          <w:color w:val="000000"/>
          <w:sz w:val="32"/>
          <w:szCs w:val="32"/>
          <w:lang w:val="en-US" w:eastAsia="zh-CN"/>
        </w:rPr>
        <w:t>121.47</w:t>
      </w:r>
      <w:r>
        <w:rPr>
          <w:rStyle w:val="16"/>
          <w:rFonts w:hint="eastAsia" w:ascii="仿宋" w:hAnsi="仿宋" w:eastAsia="仿宋"/>
          <w:b w:val="0"/>
          <w:bCs/>
          <w:color w:val="000000"/>
          <w:sz w:val="32"/>
          <w:szCs w:val="32"/>
        </w:rPr>
        <w:t>万元，完成预算</w:t>
      </w:r>
      <w:r>
        <w:rPr>
          <w:rStyle w:val="16"/>
          <w:rFonts w:hint="eastAsia" w:ascii="仿宋" w:hAnsi="仿宋" w:eastAsia="仿宋"/>
          <w:b w:val="0"/>
          <w:bCs/>
          <w:color w:val="000000"/>
          <w:sz w:val="32"/>
          <w:szCs w:val="32"/>
          <w:lang w:val="en-US" w:eastAsia="zh-CN"/>
        </w:rPr>
        <w:t>100</w:t>
      </w:r>
      <w:r>
        <w:rPr>
          <w:rStyle w:val="16"/>
          <w:rFonts w:hint="eastAsia" w:ascii="仿宋" w:hAnsi="仿宋" w:eastAsia="仿宋"/>
          <w:b w:val="0"/>
          <w:bCs/>
          <w:color w:val="000000"/>
          <w:sz w:val="32"/>
          <w:szCs w:val="32"/>
        </w:rPr>
        <w:t>%。</w:t>
      </w:r>
    </w:p>
    <w:p>
      <w:pPr>
        <w:ind w:firstLine="420" w:firstLineChars="200"/>
        <w:rPr>
          <w:rStyle w:val="16"/>
          <w:rFonts w:hint="eastAsia" w:ascii="仿宋" w:hAnsi="仿宋" w:eastAsia="仿宋"/>
          <w:b w:val="0"/>
          <w:bCs/>
          <w:color w:val="000000"/>
          <w:sz w:val="32"/>
          <w:szCs w:val="32"/>
        </w:rPr>
      </w:pPr>
      <w:r>
        <w:rPr>
          <w:rFonts w:hint="eastAsia"/>
          <w:lang w:val="en-US" w:eastAsia="zh-CN"/>
        </w:rPr>
        <w:t xml:space="preserve">  </w:t>
      </w:r>
      <w:r>
        <w:rPr>
          <w:rFonts w:hint="eastAsia" w:ascii="仿宋" w:hAnsi="仿宋" w:eastAsia="仿宋"/>
          <w:b/>
          <w:bCs/>
          <w:color w:val="000000"/>
          <w:sz w:val="32"/>
          <w:szCs w:val="32"/>
          <w:lang w:val="en-US" w:eastAsia="zh-CN"/>
        </w:rPr>
        <w:t>6</w:t>
      </w:r>
      <w:r>
        <w:rPr>
          <w:rFonts w:hint="eastAsia" w:ascii="仿宋" w:hAnsi="仿宋" w:eastAsia="仿宋"/>
          <w:b/>
          <w:bCs/>
          <w:color w:val="000000"/>
          <w:sz w:val="32"/>
          <w:szCs w:val="32"/>
        </w:rPr>
        <w:t>.卫生健康支出</w:t>
      </w:r>
      <w:r>
        <w:rPr>
          <w:rStyle w:val="16"/>
          <w:rFonts w:hint="eastAsia" w:ascii="仿宋" w:hAnsi="仿宋" w:eastAsia="仿宋"/>
          <w:bCs/>
          <w:color w:val="000000"/>
          <w:sz w:val="32"/>
          <w:szCs w:val="32"/>
        </w:rPr>
        <w:t>（类）行政事业单位医疗（款）事业单位医疗（项）</w:t>
      </w:r>
      <w:r>
        <w:rPr>
          <w:rStyle w:val="16"/>
          <w:rFonts w:hint="eastAsia" w:ascii="仿宋" w:hAnsi="仿宋" w:eastAsia="仿宋"/>
          <w:bCs/>
          <w:color w:val="000000"/>
          <w:sz w:val="32"/>
          <w:szCs w:val="32"/>
          <w:lang w:eastAsia="zh-CN"/>
        </w:rPr>
        <w:t>：</w:t>
      </w:r>
      <w:r>
        <w:rPr>
          <w:rStyle w:val="16"/>
          <w:rFonts w:hint="eastAsia" w:ascii="仿宋" w:hAnsi="仿宋" w:eastAsia="仿宋"/>
          <w:b w:val="0"/>
          <w:bCs/>
          <w:color w:val="000000"/>
          <w:sz w:val="32"/>
          <w:szCs w:val="32"/>
        </w:rPr>
        <w:t>支出决算为</w:t>
      </w:r>
      <w:r>
        <w:rPr>
          <w:rStyle w:val="16"/>
          <w:rFonts w:hint="eastAsia" w:ascii="仿宋" w:hAnsi="仿宋" w:eastAsia="仿宋"/>
          <w:b w:val="0"/>
          <w:bCs/>
          <w:color w:val="000000"/>
          <w:sz w:val="32"/>
          <w:szCs w:val="32"/>
          <w:lang w:val="en-US" w:eastAsia="zh-CN"/>
        </w:rPr>
        <w:t>23.78</w:t>
      </w:r>
      <w:r>
        <w:rPr>
          <w:rStyle w:val="16"/>
          <w:rFonts w:hint="eastAsia" w:ascii="仿宋" w:hAnsi="仿宋" w:eastAsia="仿宋"/>
          <w:b w:val="0"/>
          <w:bCs/>
          <w:color w:val="000000"/>
          <w:sz w:val="32"/>
          <w:szCs w:val="32"/>
        </w:rPr>
        <w:t>万元，完成预算100%。</w:t>
      </w:r>
    </w:p>
    <w:p>
      <w:pPr>
        <w:ind w:firstLine="642" w:firstLineChars="200"/>
        <w:rPr>
          <w:rFonts w:hint="default" w:eastAsia="宋体"/>
          <w:lang w:val="en-US" w:eastAsia="zh-CN"/>
        </w:rPr>
      </w:pPr>
      <w:r>
        <w:rPr>
          <w:rFonts w:hint="eastAsia" w:ascii="仿宋" w:hAnsi="仿宋" w:eastAsia="仿宋"/>
          <w:b/>
          <w:bCs/>
          <w:color w:val="000000"/>
          <w:sz w:val="32"/>
          <w:szCs w:val="32"/>
          <w:lang w:val="en-US" w:eastAsia="zh-CN"/>
        </w:rPr>
        <w:t>7</w:t>
      </w:r>
      <w:r>
        <w:rPr>
          <w:rFonts w:hint="eastAsia" w:ascii="仿宋" w:hAnsi="仿宋" w:eastAsia="仿宋"/>
          <w:b/>
          <w:bCs/>
          <w:color w:val="000000"/>
          <w:sz w:val="32"/>
          <w:szCs w:val="32"/>
        </w:rPr>
        <w:t>.卫生健康支出</w:t>
      </w:r>
      <w:r>
        <w:rPr>
          <w:rStyle w:val="16"/>
          <w:rFonts w:hint="eastAsia" w:ascii="仿宋" w:hAnsi="仿宋" w:eastAsia="仿宋"/>
          <w:bCs/>
          <w:color w:val="000000"/>
          <w:sz w:val="32"/>
          <w:szCs w:val="32"/>
        </w:rPr>
        <w:t>（类）其他卫生健康支出（款）其他卫生健康支出（项）</w:t>
      </w:r>
      <w:r>
        <w:rPr>
          <w:rStyle w:val="16"/>
          <w:rFonts w:hint="eastAsia" w:ascii="仿宋" w:hAnsi="仿宋" w:eastAsia="仿宋"/>
          <w:bCs/>
          <w:color w:val="000000"/>
          <w:sz w:val="32"/>
          <w:szCs w:val="32"/>
          <w:lang w:eastAsia="zh-CN"/>
        </w:rPr>
        <w:t>：</w:t>
      </w:r>
      <w:r>
        <w:rPr>
          <w:rStyle w:val="16"/>
          <w:rFonts w:hint="eastAsia" w:ascii="仿宋" w:hAnsi="仿宋" w:eastAsia="仿宋"/>
          <w:b w:val="0"/>
          <w:bCs/>
          <w:color w:val="000000"/>
          <w:sz w:val="32"/>
          <w:szCs w:val="32"/>
        </w:rPr>
        <w:t>支出决算为</w:t>
      </w:r>
      <w:r>
        <w:rPr>
          <w:rStyle w:val="16"/>
          <w:rFonts w:hint="eastAsia" w:ascii="仿宋" w:hAnsi="仿宋" w:eastAsia="仿宋"/>
          <w:b w:val="0"/>
          <w:bCs/>
          <w:color w:val="000000"/>
          <w:sz w:val="32"/>
          <w:szCs w:val="32"/>
          <w:lang w:val="en-US" w:eastAsia="zh-CN"/>
        </w:rPr>
        <w:t>15.66</w:t>
      </w:r>
      <w:r>
        <w:rPr>
          <w:rStyle w:val="16"/>
          <w:rFonts w:hint="eastAsia" w:ascii="仿宋" w:hAnsi="仿宋" w:eastAsia="仿宋"/>
          <w:b w:val="0"/>
          <w:bCs/>
          <w:color w:val="000000"/>
          <w:sz w:val="32"/>
          <w:szCs w:val="32"/>
        </w:rPr>
        <w:t>万元，完成预算100%。</w:t>
      </w:r>
    </w:p>
    <w:p>
      <w:pPr>
        <w:rPr>
          <w:rFonts w:ascii="仿宋" w:hAnsi="仿宋" w:eastAsia="仿宋"/>
          <w:b/>
          <w:color w:val="auto"/>
          <w:sz w:val="32"/>
          <w:szCs w:val="32"/>
          <w:highlight w:val="none"/>
        </w:rPr>
      </w:pPr>
      <w:r>
        <w:rPr>
          <w:rFonts w:hint="eastAsia" w:ascii="仿宋" w:hAnsi="仿宋" w:eastAsia="仿宋"/>
          <w:b/>
          <w:bCs/>
          <w:color w:val="000000"/>
          <w:sz w:val="32"/>
          <w:szCs w:val="32"/>
          <w:lang w:val="en-US" w:eastAsia="zh-CN"/>
        </w:rPr>
        <w:t xml:space="preserve">    8</w:t>
      </w:r>
      <w:r>
        <w:rPr>
          <w:rFonts w:hint="eastAsia" w:ascii="仿宋" w:hAnsi="仿宋" w:eastAsia="仿宋"/>
          <w:b/>
          <w:bCs/>
          <w:color w:val="000000"/>
          <w:sz w:val="32"/>
          <w:szCs w:val="32"/>
        </w:rPr>
        <w:t>.住房保障支出</w:t>
      </w:r>
      <w:r>
        <w:rPr>
          <w:rStyle w:val="16"/>
          <w:rFonts w:hint="eastAsia" w:ascii="仿宋" w:hAnsi="仿宋" w:eastAsia="仿宋"/>
          <w:bCs/>
          <w:color w:val="000000"/>
          <w:sz w:val="32"/>
          <w:szCs w:val="32"/>
        </w:rPr>
        <w:t>（类）住房改革支出（款）住房公积金（项）</w:t>
      </w:r>
      <w:r>
        <w:rPr>
          <w:rStyle w:val="16"/>
          <w:rFonts w:hint="eastAsia" w:ascii="仿宋" w:hAnsi="仿宋" w:eastAsia="仿宋"/>
          <w:bCs/>
          <w:color w:val="000000"/>
          <w:sz w:val="32"/>
          <w:szCs w:val="32"/>
          <w:lang w:eastAsia="zh-CN"/>
        </w:rPr>
        <w:t>：</w:t>
      </w:r>
      <w:r>
        <w:rPr>
          <w:rStyle w:val="16"/>
          <w:rFonts w:hint="eastAsia" w:ascii="仿宋" w:hAnsi="仿宋" w:eastAsia="仿宋"/>
          <w:b w:val="0"/>
          <w:bCs/>
          <w:color w:val="000000"/>
          <w:sz w:val="32"/>
          <w:szCs w:val="32"/>
        </w:rPr>
        <w:t>支出决算为</w:t>
      </w:r>
      <w:r>
        <w:rPr>
          <w:rStyle w:val="16"/>
          <w:rFonts w:hint="eastAsia" w:ascii="仿宋" w:hAnsi="仿宋" w:eastAsia="仿宋"/>
          <w:b w:val="0"/>
          <w:bCs/>
          <w:color w:val="000000"/>
          <w:sz w:val="32"/>
          <w:szCs w:val="32"/>
          <w:lang w:val="en-US" w:eastAsia="zh-CN"/>
        </w:rPr>
        <w:t>44.7</w:t>
      </w:r>
      <w:r>
        <w:rPr>
          <w:rStyle w:val="16"/>
          <w:rFonts w:hint="eastAsia" w:ascii="仿宋" w:hAnsi="仿宋" w:eastAsia="仿宋"/>
          <w:b w:val="0"/>
          <w:bCs/>
          <w:color w:val="000000"/>
          <w:sz w:val="32"/>
          <w:szCs w:val="32"/>
        </w:rPr>
        <w:t>万元，完成预算100%。</w:t>
      </w:r>
    </w:p>
    <w:p>
      <w:pPr>
        <w:tabs>
          <w:tab w:val="right" w:pos="8306"/>
        </w:tabs>
        <w:spacing w:line="600" w:lineRule="exact"/>
        <w:ind w:firstLine="640"/>
        <w:outlineLvl w:val="1"/>
        <w:rPr>
          <w:rStyle w:val="11"/>
          <w:color w:val="auto"/>
          <w:highlight w:val="none"/>
        </w:rPr>
      </w:pPr>
      <w:bookmarkStart w:id="16" w:name="_Toc5163"/>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1"/>
          <w:rFonts w:hint="eastAsia" w:ascii="黑体" w:hAnsi="黑体" w:eastAsia="黑体"/>
          <w:b w:val="0"/>
          <w:color w:val="auto"/>
          <w:highlight w:val="none"/>
        </w:rPr>
        <w:t>般公共预算财政拨款基本支出决算情况说明</w:t>
      </w:r>
      <w:bookmarkEnd w:id="16"/>
      <w:r>
        <w:rPr>
          <w:rStyle w:val="11"/>
          <w:rFonts w:ascii="黑体" w:hAnsi="黑体" w:eastAsia="黑体"/>
          <w:b w:val="0"/>
          <w:color w:val="auto"/>
          <w:highlight w:val="none"/>
        </w:rPr>
        <w:tab/>
      </w:r>
    </w:p>
    <w:p>
      <w:pPr>
        <w:spacing w:line="600" w:lineRule="exact"/>
        <w:ind w:firstLine="645"/>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一般公共预算财政拨款基本支出</w:t>
      </w:r>
      <w:r>
        <w:rPr>
          <w:rFonts w:hint="eastAsia" w:ascii="仿宋_GB2312" w:hAnsi="仿宋_GB2312" w:eastAsia="仿宋_GB2312" w:cs="仿宋_GB2312"/>
          <w:color w:val="auto"/>
          <w:sz w:val="32"/>
          <w:szCs w:val="32"/>
          <w:highlight w:val="none"/>
          <w:lang w:val="en-US" w:eastAsia="zh-CN"/>
        </w:rPr>
        <w:t>618.09</w:t>
      </w:r>
      <w:r>
        <w:rPr>
          <w:rFonts w:hint="eastAsia" w:ascii="仿宋_GB2312" w:hAnsi="仿宋_GB2312" w:eastAsia="仿宋_GB2312" w:cs="仿宋_GB2312"/>
          <w:color w:val="auto"/>
          <w:sz w:val="32"/>
          <w:szCs w:val="32"/>
          <w:highlight w:val="none"/>
        </w:rPr>
        <w:t>万元，其中：</w:t>
      </w:r>
    </w:p>
    <w:p>
      <w:pPr>
        <w:spacing w:line="600" w:lineRule="exact"/>
        <w:ind w:firstLine="645"/>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人员经费</w:t>
      </w:r>
      <w:r>
        <w:rPr>
          <w:rFonts w:hint="eastAsia" w:ascii="仿宋_GB2312" w:hAnsi="仿宋_GB2312" w:eastAsia="仿宋_GB2312" w:cs="仿宋_GB2312"/>
          <w:color w:val="auto"/>
          <w:sz w:val="32"/>
          <w:szCs w:val="32"/>
          <w:highlight w:val="none"/>
          <w:lang w:val="en-US" w:eastAsia="zh-CN"/>
        </w:rPr>
        <w:t>539.54</w:t>
      </w:r>
      <w:r>
        <w:rPr>
          <w:rFonts w:hint="eastAsia" w:ascii="仿宋_GB2312" w:hAnsi="仿宋_GB2312" w:eastAsia="仿宋_GB2312" w:cs="仿宋_GB2312"/>
          <w:color w:val="auto"/>
          <w:sz w:val="32"/>
          <w:szCs w:val="32"/>
          <w:highlight w:val="none"/>
        </w:rPr>
        <w:t>万元，主要包括：基本工资、津贴补贴、绩效工资、机关事业单位基本养老保险缴费、职业年金缴费、职工基本医疗保险缴费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其他社会保障缴费、住房公积金、生活补助。</w:t>
      </w:r>
      <w:r>
        <w:rPr>
          <w:rFonts w:hint="eastAsia" w:ascii="仿宋_GB2312" w:hAnsi="仿宋_GB2312" w:eastAsia="仿宋_GB2312" w:cs="仿宋_GB2312"/>
          <w:color w:val="auto"/>
          <w:sz w:val="32"/>
          <w:szCs w:val="32"/>
          <w:highlight w:val="none"/>
        </w:rPr>
        <w:br w:type="textWrapping"/>
      </w:r>
      <w:r>
        <w:rPr>
          <w:rFonts w:hint="eastAsia" w:ascii="仿宋_GB2312" w:hAnsi="仿宋_GB2312" w:eastAsia="仿宋_GB2312" w:cs="仿宋_GB2312"/>
          <w:color w:val="auto"/>
          <w:sz w:val="32"/>
          <w:szCs w:val="32"/>
          <w:highlight w:val="none"/>
        </w:rPr>
        <w:t>　　公用经费</w:t>
      </w:r>
      <w:r>
        <w:rPr>
          <w:rFonts w:hint="eastAsia" w:ascii="仿宋_GB2312" w:hAnsi="仿宋_GB2312" w:eastAsia="仿宋_GB2312" w:cs="仿宋_GB2312"/>
          <w:color w:val="auto"/>
          <w:sz w:val="32"/>
          <w:szCs w:val="32"/>
          <w:highlight w:val="none"/>
          <w:lang w:val="en-US" w:eastAsia="zh-CN"/>
        </w:rPr>
        <w:t>78.55</w:t>
      </w:r>
      <w:r>
        <w:rPr>
          <w:rFonts w:hint="eastAsia" w:ascii="仿宋_GB2312" w:hAnsi="仿宋_GB2312" w:eastAsia="仿宋_GB2312" w:cs="仿宋_GB2312"/>
          <w:color w:val="auto"/>
          <w:sz w:val="32"/>
          <w:szCs w:val="32"/>
          <w:highlight w:val="none"/>
        </w:rPr>
        <w:t>万元，主要包括：办公费、印刷费、咨询费、水费、电费、邮电费、物业管理费、差旅费、维修（护）费、租赁费、会议费、培训费、公务接待费、委托业务费、工会经费、福利费、公务用车运行维护费、其他商品和服务支出。</w:t>
      </w:r>
    </w:p>
    <w:p>
      <w:pPr>
        <w:spacing w:line="600" w:lineRule="exact"/>
        <w:rPr>
          <w:rFonts w:ascii="仿宋" w:hAnsi="仿宋" w:eastAsia="仿宋"/>
          <w:b/>
          <w:color w:val="auto"/>
          <w:sz w:val="32"/>
          <w:szCs w:val="32"/>
          <w:highlight w:val="none"/>
        </w:rPr>
      </w:pPr>
    </w:p>
    <w:p>
      <w:pPr>
        <w:spacing w:line="600" w:lineRule="exact"/>
        <w:ind w:firstLine="640"/>
        <w:outlineLvl w:val="1"/>
        <w:rPr>
          <w:rStyle w:val="11"/>
          <w:rFonts w:ascii="黑体" w:hAnsi="黑体" w:eastAsia="黑体"/>
          <w:b w:val="0"/>
          <w:color w:val="auto"/>
          <w:highlight w:val="none"/>
        </w:rPr>
      </w:pPr>
      <w:bookmarkStart w:id="17" w:name="_Toc15701"/>
      <w:r>
        <w:rPr>
          <w:rFonts w:hint="eastAsia" w:ascii="黑体" w:eastAsia="黑体"/>
          <w:color w:val="auto"/>
          <w:sz w:val="32"/>
          <w:szCs w:val="32"/>
          <w:highlight w:val="none"/>
        </w:rPr>
        <w:t>七、</w:t>
      </w:r>
      <w:r>
        <w:rPr>
          <w:rStyle w:val="11"/>
          <w:rFonts w:hint="eastAsia" w:ascii="黑体" w:hAnsi="黑体" w:eastAsia="黑体"/>
          <w:b w:val="0"/>
          <w:color w:val="auto"/>
          <w:highlight w:val="none"/>
        </w:rPr>
        <w:t>财政拨款</w:t>
      </w:r>
      <w:r>
        <w:rPr>
          <w:rStyle w:val="11"/>
          <w:rFonts w:hint="eastAsia" w:ascii="黑体" w:hAnsi="黑体" w:eastAsia="黑体"/>
          <w:color w:val="auto"/>
          <w:highlight w:val="none"/>
        </w:rPr>
        <w:t>“</w:t>
      </w:r>
      <w:r>
        <w:rPr>
          <w:rStyle w:val="11"/>
          <w:rFonts w:hint="eastAsia" w:ascii="黑体" w:hAnsi="黑体" w:eastAsia="黑体"/>
          <w:b w:val="0"/>
          <w:color w:val="auto"/>
          <w:highlight w:val="none"/>
        </w:rPr>
        <w:t>三公”经费支出决算情况说明</w:t>
      </w:r>
      <w:bookmarkEnd w:id="17"/>
    </w:p>
    <w:p>
      <w:pPr>
        <w:spacing w:line="600" w:lineRule="exact"/>
        <w:ind w:firstLine="640"/>
        <w:outlineLvl w:val="2"/>
        <w:rPr>
          <w:rFonts w:hint="eastAsia" w:ascii="仿宋_GB2312" w:hAnsi="仿宋_GB2312" w:eastAsia="仿宋_GB2312" w:cs="仿宋_GB2312"/>
          <w:b/>
          <w:color w:val="auto"/>
          <w:sz w:val="32"/>
          <w:szCs w:val="32"/>
          <w:highlight w:val="none"/>
        </w:rPr>
      </w:pPr>
      <w:bookmarkStart w:id="18" w:name="_Toc18074"/>
      <w:r>
        <w:rPr>
          <w:rFonts w:hint="eastAsia" w:ascii="仿宋_GB2312" w:hAnsi="仿宋_GB2312" w:eastAsia="仿宋_GB2312" w:cs="仿宋_GB2312"/>
          <w:b/>
          <w:color w:val="auto"/>
          <w:sz w:val="32"/>
          <w:szCs w:val="32"/>
          <w:highlight w:val="none"/>
        </w:rPr>
        <w:t>（一）“三公”经费财政拨款支出决算总体情况说明</w:t>
      </w:r>
      <w:bookmarkEnd w:id="18"/>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“三公”经费财政拨款支出决算为</w:t>
      </w:r>
      <w:r>
        <w:rPr>
          <w:rFonts w:hint="eastAsia" w:ascii="仿宋_GB2312" w:hAnsi="仿宋_GB2312" w:eastAsia="仿宋_GB2312" w:cs="仿宋_GB2312"/>
          <w:color w:val="auto"/>
          <w:sz w:val="32"/>
          <w:szCs w:val="32"/>
          <w:highlight w:val="none"/>
          <w:lang w:val="en-US" w:eastAsia="zh-CN"/>
        </w:rPr>
        <w:t>5.05</w:t>
      </w:r>
      <w:r>
        <w:rPr>
          <w:rFonts w:hint="eastAsia" w:ascii="仿宋_GB2312" w:hAnsi="仿宋_GB2312" w:eastAsia="仿宋_GB2312" w:cs="仿宋_GB2312"/>
          <w:color w:val="auto"/>
          <w:sz w:val="32"/>
          <w:szCs w:val="32"/>
          <w:highlight w:val="none"/>
        </w:rPr>
        <w:t>万元，完成预算</w:t>
      </w:r>
      <w:r>
        <w:rPr>
          <w:rFonts w:hint="eastAsia" w:ascii="仿宋_GB2312" w:hAnsi="仿宋_GB2312" w:eastAsia="仿宋_GB2312" w:cs="仿宋_GB2312"/>
          <w:color w:val="auto"/>
          <w:sz w:val="32"/>
          <w:szCs w:val="32"/>
          <w:highlight w:val="none"/>
          <w:lang w:val="en-US" w:eastAsia="zh-CN"/>
        </w:rPr>
        <w:t>64.33</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较上年度</w:t>
      </w:r>
      <w:r>
        <w:rPr>
          <w:rFonts w:hint="eastAsia" w:ascii="仿宋_GB2312" w:hAnsi="仿宋_GB2312" w:eastAsia="仿宋_GB2312" w:cs="仿宋_GB2312"/>
          <w:color w:val="auto"/>
          <w:sz w:val="32"/>
          <w:szCs w:val="32"/>
          <w:highlight w:val="none"/>
          <w:lang w:val="en-US" w:eastAsia="zh-CN"/>
        </w:rPr>
        <w:t>增加2万元，增长65.6%。</w:t>
      </w:r>
      <w:r>
        <w:rPr>
          <w:rFonts w:hint="eastAsia" w:ascii="仿宋_GB2312" w:hAnsi="仿宋_GB2312" w:eastAsia="仿宋_GB2312" w:cs="仿宋_GB2312"/>
          <w:color w:val="auto"/>
          <w:sz w:val="32"/>
          <w:szCs w:val="32"/>
          <w:highlight w:val="none"/>
        </w:rPr>
        <w:t>决算数小于预算数的主要原因是</w:t>
      </w:r>
      <w:r>
        <w:rPr>
          <w:rFonts w:hint="eastAsia" w:ascii="仿宋_GB2312" w:hAnsi="仿宋_GB2312" w:eastAsia="仿宋_GB2312" w:cs="仿宋_GB2312"/>
          <w:color w:val="auto"/>
          <w:sz w:val="32"/>
          <w:szCs w:val="32"/>
          <w:highlight w:val="none"/>
          <w:lang w:val="en-US" w:eastAsia="zh-CN"/>
        </w:rPr>
        <w:t>认真执行过紧日子的政策，严控“三公经费”支出</w:t>
      </w:r>
      <w:r>
        <w:rPr>
          <w:rFonts w:hint="eastAsia" w:ascii="仿宋_GB2312" w:hAnsi="仿宋_GB2312" w:eastAsia="仿宋_GB2312" w:cs="仿宋_GB2312"/>
          <w:color w:val="auto"/>
          <w:sz w:val="32"/>
          <w:szCs w:val="32"/>
          <w:highlight w:val="none"/>
        </w:rPr>
        <w:t>。</w:t>
      </w:r>
    </w:p>
    <w:p>
      <w:pPr>
        <w:spacing w:line="600" w:lineRule="exact"/>
        <w:ind w:firstLine="640"/>
        <w:outlineLvl w:val="2"/>
        <w:rPr>
          <w:rFonts w:hint="eastAsia" w:ascii="仿宋_GB2312" w:hAnsi="仿宋_GB2312" w:eastAsia="仿宋_GB2312" w:cs="仿宋_GB2312"/>
          <w:b/>
          <w:color w:val="auto"/>
          <w:sz w:val="32"/>
          <w:szCs w:val="32"/>
          <w:highlight w:val="none"/>
        </w:rPr>
      </w:pPr>
      <w:bookmarkStart w:id="19" w:name="_Toc4717"/>
      <w:r>
        <w:rPr>
          <w:rFonts w:hint="eastAsia" w:ascii="仿宋_GB2312" w:hAnsi="仿宋_GB2312" w:eastAsia="仿宋_GB2312" w:cs="仿宋_GB2312"/>
          <w:b/>
          <w:color w:val="auto"/>
          <w:sz w:val="32"/>
          <w:szCs w:val="32"/>
          <w:highlight w:val="none"/>
        </w:rPr>
        <w:t>（二）“三公”经费财政拨款支出决算具体情况说明</w:t>
      </w:r>
      <w:bookmarkEnd w:id="19"/>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“三公”经费财政拨款支出决算中，因公出国（境）费支出决算</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%；公务用车购置及运行维护费支出决算</w:t>
      </w:r>
      <w:r>
        <w:rPr>
          <w:rFonts w:hint="eastAsia" w:ascii="仿宋_GB2312" w:hAnsi="仿宋_GB2312" w:eastAsia="仿宋_GB2312" w:cs="仿宋_GB2312"/>
          <w:color w:val="auto"/>
          <w:sz w:val="32"/>
          <w:szCs w:val="32"/>
          <w:highlight w:val="none"/>
          <w:lang w:val="en-US" w:eastAsia="zh-CN"/>
        </w:rPr>
        <w:t>4.45</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88.1</w:t>
      </w:r>
      <w:r>
        <w:rPr>
          <w:rFonts w:hint="eastAsia" w:ascii="仿宋_GB2312" w:hAnsi="仿宋_GB2312" w:eastAsia="仿宋_GB2312" w:cs="仿宋_GB2312"/>
          <w:color w:val="auto"/>
          <w:sz w:val="32"/>
          <w:szCs w:val="32"/>
          <w:highlight w:val="none"/>
        </w:rPr>
        <w:t>%；公务接待费支出决算</w:t>
      </w:r>
      <w:r>
        <w:rPr>
          <w:rFonts w:hint="eastAsia" w:ascii="仿宋_GB2312" w:hAnsi="仿宋_GB2312" w:eastAsia="仿宋_GB2312" w:cs="仿宋_GB2312"/>
          <w:color w:val="auto"/>
          <w:sz w:val="32"/>
          <w:szCs w:val="32"/>
          <w:highlight w:val="none"/>
          <w:lang w:val="en-US" w:eastAsia="zh-CN"/>
        </w:rPr>
        <w:t>0.6</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11.9</w:t>
      </w:r>
      <w:r>
        <w:rPr>
          <w:rFonts w:hint="eastAsia" w:ascii="仿宋_GB2312" w:hAnsi="仿宋_GB2312" w:eastAsia="仿宋_GB2312" w:cs="仿宋_GB2312"/>
          <w:color w:val="auto"/>
          <w:sz w:val="32"/>
          <w:szCs w:val="32"/>
          <w:highlight w:val="none"/>
        </w:rPr>
        <w:t>%。具体情况如下：</w:t>
      </w:r>
    </w:p>
    <w:p>
      <w:pPr>
        <w:pStyle w:val="2"/>
        <w:rPr>
          <w:rFonts w:hint="eastAsia"/>
        </w:rPr>
      </w:pPr>
    </w:p>
    <w:p>
      <w:pPr>
        <w:pStyle w:val="2"/>
        <w:rPr>
          <w:rFonts w:hint="eastAsia" w:eastAsia="宋体"/>
          <w:lang w:eastAsia="zh-CN"/>
        </w:rPr>
      </w:pPr>
      <w:r>
        <w:rPr>
          <w:rFonts w:hint="eastAsia" w:eastAsia="宋体"/>
          <w:lang w:eastAsia="zh-CN"/>
        </w:rPr>
        <w:drawing>
          <wp:inline distT="0" distB="0" distL="114300" distR="114300">
            <wp:extent cx="4839970" cy="2755265"/>
            <wp:effectExtent l="0" t="0" r="17780" b="6985"/>
            <wp:docPr id="3" name="图片 7" descr="图片7"/>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7" descr="图片7"/>
                    <pic:cNvPicPr>
                      <a:picLocks noChangeAspect="true"/>
                    </pic:cNvPicPr>
                  </pic:nvPicPr>
                  <pic:blipFill>
                    <a:blip r:embed="rId11"/>
                    <a:stretch>
                      <a:fillRect/>
                    </a:stretch>
                  </pic:blipFill>
                  <pic:spPr>
                    <a:xfrm>
                      <a:off x="0" y="0"/>
                      <a:ext cx="4839970" cy="2755265"/>
                    </a:xfrm>
                    <a:prstGeom prst="rect">
                      <a:avLst/>
                    </a:prstGeom>
                    <a:noFill/>
                    <a:ln>
                      <a:noFill/>
                    </a:ln>
                  </pic:spPr>
                </pic:pic>
              </a:graphicData>
            </a:graphic>
          </wp:inline>
        </w:drawing>
      </w:r>
    </w:p>
    <w:p>
      <w:pPr>
        <w:spacing w:line="600" w:lineRule="exact"/>
        <w:ind w:firstLine="64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（图7：“三公”经费财政拨款支出结构）</w:t>
      </w:r>
    </w:p>
    <w:p>
      <w:pPr>
        <w:spacing w:line="600" w:lineRule="exact"/>
        <w:ind w:firstLine="645"/>
        <w:rPr>
          <w:rFonts w:hint="eastAsia"/>
        </w:rPr>
      </w:pPr>
      <w:r>
        <w:rPr>
          <w:rFonts w:hint="eastAsia" w:ascii="仿宋_GB2312" w:hAnsi="仿宋_GB2312" w:eastAsia="仿宋_GB2312" w:cs="仿宋_GB2312"/>
          <w:b/>
          <w:color w:val="auto"/>
          <w:sz w:val="32"/>
          <w:szCs w:val="32"/>
          <w:highlight w:val="none"/>
        </w:rPr>
        <w:t>1.因公出国（境）经费支出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Style w:val="9"/>
          <w:rFonts w:hint="eastAsia" w:ascii="仿宋" w:hAnsi="仿宋" w:eastAsia="仿宋"/>
          <w:b w:val="0"/>
          <w:bCs/>
          <w:color w:val="auto"/>
          <w:sz w:val="32"/>
          <w:szCs w:val="32"/>
          <w:highlight w:val="none"/>
          <w:lang w:val="en-US" w:eastAsia="zh-CN"/>
        </w:rPr>
        <w:t>因公出国（境）经费支出决算</w:t>
      </w:r>
      <w:r>
        <w:rPr>
          <w:rStyle w:val="9"/>
          <w:rFonts w:hint="default" w:ascii="仿宋" w:hAnsi="仿宋" w:eastAsia="仿宋"/>
          <w:b w:val="0"/>
          <w:bCs/>
          <w:color w:val="auto"/>
          <w:sz w:val="32"/>
          <w:szCs w:val="32"/>
          <w:highlight w:val="none"/>
          <w:lang w:eastAsia="zh-CN"/>
        </w:rPr>
        <w:t>较</w:t>
      </w:r>
      <w:r>
        <w:rPr>
          <w:rStyle w:val="9"/>
          <w:rFonts w:hint="eastAsia" w:ascii="仿宋" w:hAnsi="仿宋" w:eastAsia="仿宋"/>
          <w:b w:val="0"/>
          <w:bCs/>
          <w:color w:val="auto"/>
          <w:sz w:val="32"/>
          <w:szCs w:val="32"/>
          <w:highlight w:val="none"/>
          <w:lang w:val="en-US" w:eastAsia="zh-CN"/>
        </w:rPr>
        <w:t>2022年</w:t>
      </w:r>
      <w:r>
        <w:rPr>
          <w:rStyle w:val="9"/>
          <w:rFonts w:hint="default" w:ascii="仿宋" w:hAnsi="仿宋" w:eastAsia="仿宋"/>
          <w:b w:val="0"/>
          <w:bCs/>
          <w:color w:val="auto"/>
          <w:sz w:val="32"/>
          <w:szCs w:val="32"/>
          <w:highlight w:val="none"/>
          <w:lang w:eastAsia="zh-CN"/>
        </w:rPr>
        <w:t>无变化</w:t>
      </w:r>
      <w:r>
        <w:rPr>
          <w:rStyle w:val="9"/>
          <w:rFonts w:hint="eastAsia" w:ascii="仿宋" w:hAnsi="仿宋" w:eastAsia="仿宋"/>
          <w:b w:val="0"/>
          <w:bCs/>
          <w:color w:val="auto"/>
          <w:sz w:val="32"/>
          <w:szCs w:val="32"/>
          <w:highlight w:val="none"/>
          <w:lang w:val="en-US" w:eastAsia="zh-CN"/>
        </w:rPr>
        <w:t>。</w:t>
      </w:r>
    </w:p>
    <w:p>
      <w:pPr>
        <w:spacing w:line="600" w:lineRule="exact"/>
        <w:ind w:firstLine="640"/>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2.公务用车购置及运行维护费支出</w:t>
      </w:r>
      <w:r>
        <w:rPr>
          <w:rFonts w:hint="eastAsia" w:ascii="仿宋_GB2312" w:hAnsi="仿宋_GB2312" w:eastAsia="仿宋_GB2312" w:cs="仿宋_GB2312"/>
          <w:color w:val="auto"/>
          <w:sz w:val="32"/>
          <w:szCs w:val="32"/>
          <w:highlight w:val="none"/>
          <w:lang w:val="en-US" w:eastAsia="zh-CN"/>
        </w:rPr>
        <w:t>4.45</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Style w:val="9"/>
          <w:rFonts w:hint="eastAsia" w:ascii="仿宋_GB2312" w:hAnsi="仿宋_GB2312" w:eastAsia="仿宋_GB2312" w:cs="仿宋_GB2312"/>
          <w:b w:val="0"/>
          <w:bCs/>
          <w:color w:val="auto"/>
          <w:sz w:val="32"/>
          <w:szCs w:val="32"/>
          <w:highlight w:val="none"/>
        </w:rPr>
        <w:t>完成预算</w:t>
      </w:r>
      <w:r>
        <w:rPr>
          <w:rStyle w:val="9"/>
          <w:rFonts w:hint="eastAsia" w:ascii="仿宋_GB2312" w:hAnsi="仿宋_GB2312" w:eastAsia="仿宋_GB2312" w:cs="仿宋_GB2312"/>
          <w:b w:val="0"/>
          <w:bCs/>
          <w:color w:val="auto"/>
          <w:sz w:val="32"/>
          <w:szCs w:val="32"/>
          <w:highlight w:val="none"/>
          <w:lang w:val="en-US" w:eastAsia="zh-CN"/>
        </w:rPr>
        <w:t>100</w:t>
      </w:r>
      <w:r>
        <w:rPr>
          <w:rStyle w:val="9"/>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color w:val="auto"/>
          <w:sz w:val="32"/>
          <w:szCs w:val="32"/>
          <w:highlight w:val="none"/>
        </w:rPr>
        <w:t>公务用车购置及运行维护费支出决算比</w:t>
      </w:r>
      <w:r>
        <w:rPr>
          <w:rFonts w:hint="eastAsia" w:ascii="仿宋_GB2312" w:hAnsi="仿宋_GB2312" w:eastAsia="仿宋_GB2312" w:cs="仿宋_GB2312"/>
          <w:color w:val="auto"/>
          <w:sz w:val="32"/>
          <w:szCs w:val="32"/>
          <w:highlight w:val="none"/>
          <w:lang w:eastAsia="zh-CN"/>
        </w:rPr>
        <w:t>2022</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增加</w:t>
      </w:r>
      <w:r>
        <w:rPr>
          <w:rFonts w:hint="eastAsia" w:ascii="仿宋_GB2312" w:hAnsi="仿宋_GB2312" w:eastAsia="仿宋_GB2312" w:cs="仿宋_GB2312"/>
          <w:color w:val="auto"/>
          <w:sz w:val="32"/>
          <w:szCs w:val="32"/>
          <w:highlight w:val="none"/>
          <w:lang w:val="en-US" w:eastAsia="zh-CN"/>
        </w:rPr>
        <w:t>2.03</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83.9</w:t>
      </w:r>
      <w:r>
        <w:rPr>
          <w:rFonts w:hint="eastAsia" w:ascii="仿宋_GB2312" w:hAnsi="仿宋_GB2312" w:eastAsia="仿宋_GB2312" w:cs="仿宋_GB2312"/>
          <w:color w:val="auto"/>
          <w:sz w:val="32"/>
          <w:szCs w:val="32"/>
          <w:highlight w:val="none"/>
        </w:rPr>
        <w:t>%。主要原因是</w:t>
      </w:r>
      <w:r>
        <w:rPr>
          <w:rFonts w:hint="eastAsia" w:ascii="仿宋_GB2312" w:hAnsi="仿宋_GB2312" w:eastAsia="仿宋_GB2312" w:cs="仿宋_GB2312"/>
          <w:color w:val="auto"/>
          <w:sz w:val="32"/>
          <w:szCs w:val="32"/>
          <w:highlight w:val="none"/>
          <w:lang w:val="en-US" w:eastAsia="zh-CN"/>
        </w:rPr>
        <w:t>公务车老旧已经使用十五年，日常维修保养费用增加</w:t>
      </w:r>
      <w:r>
        <w:rPr>
          <w:rFonts w:hint="eastAsia" w:ascii="仿宋_GB2312" w:hAnsi="仿宋_GB2312" w:eastAsia="仿宋_GB2312" w:cs="仿宋_GB2312"/>
          <w:color w:val="auto"/>
          <w:sz w:val="32"/>
          <w:szCs w:val="32"/>
          <w:highlight w:val="none"/>
        </w:rPr>
        <w:t>。</w:t>
      </w:r>
    </w:p>
    <w:p>
      <w:pPr>
        <w:spacing w:line="600" w:lineRule="exact"/>
        <w:ind w:firstLine="640" w:firstLineChars="200"/>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rPr>
        <w:t>其中：</w:t>
      </w:r>
      <w:r>
        <w:rPr>
          <w:rFonts w:hint="eastAsia" w:ascii="仿宋_GB2312" w:hAnsi="仿宋_GB2312" w:eastAsia="仿宋_GB2312" w:cs="仿宋_GB2312"/>
          <w:b/>
          <w:color w:val="auto"/>
          <w:sz w:val="32"/>
          <w:szCs w:val="32"/>
          <w:highlight w:val="none"/>
        </w:rPr>
        <w:t>公务用车购置支出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万元。全年按规定更新购置公务用车</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辆。截至</w:t>
      </w: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年12月</w:t>
      </w:r>
      <w:r>
        <w:rPr>
          <w:rFonts w:hint="eastAsia" w:ascii="仿宋_GB2312" w:hAnsi="仿宋_GB2312" w:eastAsia="仿宋_GB2312" w:cs="仿宋_GB2312"/>
          <w:color w:val="auto"/>
          <w:sz w:val="32"/>
          <w:szCs w:val="32"/>
          <w:highlight w:val="none"/>
          <w:lang w:val="en-US" w:eastAsia="zh-CN"/>
        </w:rPr>
        <w:t>31日</w:t>
      </w:r>
      <w:r>
        <w:rPr>
          <w:rFonts w:hint="eastAsia" w:ascii="仿宋_GB2312" w:hAnsi="仿宋_GB2312" w:eastAsia="仿宋_GB2312" w:cs="仿宋_GB2312"/>
          <w:color w:val="auto"/>
          <w:sz w:val="32"/>
          <w:szCs w:val="32"/>
          <w:highlight w:val="none"/>
        </w:rPr>
        <w:t>，单位共有公务用车</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辆，其中：轿车</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辆。</w:t>
      </w:r>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公务用车运行维护费支出</w:t>
      </w:r>
      <w:r>
        <w:rPr>
          <w:rFonts w:hint="eastAsia" w:ascii="仿宋_GB2312" w:hAnsi="仿宋_GB2312" w:eastAsia="仿宋_GB2312" w:cs="仿宋_GB2312"/>
          <w:color w:val="auto"/>
          <w:sz w:val="32"/>
          <w:szCs w:val="32"/>
          <w:highlight w:val="none"/>
          <w:lang w:val="en-US" w:eastAsia="zh-CN"/>
        </w:rPr>
        <w:t>4.45</w:t>
      </w:r>
      <w:r>
        <w:rPr>
          <w:rFonts w:hint="eastAsia" w:ascii="仿宋_GB2312" w:hAnsi="仿宋_GB2312" w:eastAsia="仿宋_GB2312" w:cs="仿宋_GB2312"/>
          <w:color w:val="auto"/>
          <w:sz w:val="32"/>
          <w:szCs w:val="32"/>
          <w:highlight w:val="none"/>
        </w:rPr>
        <w:t>万元。主要用于</w:t>
      </w:r>
      <w:r>
        <w:rPr>
          <w:rFonts w:hint="eastAsia" w:ascii="仿宋_GB2312" w:eastAsia="仿宋_GB2312"/>
          <w:color w:val="auto"/>
          <w:sz w:val="32"/>
          <w:szCs w:val="32"/>
        </w:rPr>
        <w:t>采供血机构</w:t>
      </w:r>
      <w:r>
        <w:rPr>
          <w:rFonts w:hint="eastAsia" w:ascii="仿宋_GB2312" w:eastAsia="仿宋_GB2312"/>
          <w:color w:val="auto"/>
          <w:sz w:val="32"/>
          <w:szCs w:val="32"/>
          <w:lang w:val="en-US" w:eastAsia="zh-CN"/>
        </w:rPr>
        <w:t>开展工作</w:t>
      </w:r>
      <w:r>
        <w:rPr>
          <w:rFonts w:hint="eastAsia" w:ascii="仿宋_GB2312" w:hAnsi="仿宋_GB2312" w:eastAsia="仿宋_GB2312" w:cs="仿宋_GB2312"/>
          <w:color w:val="auto"/>
          <w:sz w:val="32"/>
          <w:szCs w:val="32"/>
          <w:highlight w:val="none"/>
        </w:rPr>
        <w:t>等所需的公务用车燃料费、维修费、过路过桥费、保险费等支出。</w:t>
      </w:r>
    </w:p>
    <w:p>
      <w:pPr>
        <w:pStyle w:val="2"/>
      </w:pPr>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3.公务接待费支出</w:t>
      </w:r>
      <w:r>
        <w:rPr>
          <w:rFonts w:hint="eastAsia" w:ascii="仿宋_GB2312" w:hAnsi="仿宋_GB2312" w:eastAsia="仿宋_GB2312" w:cs="仿宋_GB2312"/>
          <w:color w:val="auto"/>
          <w:sz w:val="32"/>
          <w:szCs w:val="32"/>
          <w:highlight w:val="none"/>
          <w:lang w:val="en-US" w:eastAsia="zh-CN"/>
        </w:rPr>
        <w:t>0.6</w:t>
      </w:r>
      <w:r>
        <w:rPr>
          <w:rFonts w:hint="eastAsia" w:ascii="仿宋_GB2312" w:hAnsi="仿宋_GB2312" w:eastAsia="仿宋_GB2312" w:cs="仿宋_GB2312"/>
          <w:color w:val="auto"/>
          <w:sz w:val="32"/>
          <w:szCs w:val="32"/>
          <w:highlight w:val="none"/>
        </w:rPr>
        <w:t>万元，</w:t>
      </w:r>
      <w:r>
        <w:rPr>
          <w:rStyle w:val="9"/>
          <w:rFonts w:hint="eastAsia" w:ascii="仿宋_GB2312" w:hAnsi="仿宋_GB2312" w:eastAsia="仿宋_GB2312" w:cs="仿宋_GB2312"/>
          <w:b w:val="0"/>
          <w:bCs/>
          <w:color w:val="auto"/>
          <w:sz w:val="32"/>
          <w:szCs w:val="32"/>
          <w:highlight w:val="none"/>
        </w:rPr>
        <w:t>完成预算</w:t>
      </w:r>
      <w:r>
        <w:rPr>
          <w:rStyle w:val="9"/>
          <w:rFonts w:hint="eastAsia" w:ascii="仿宋_GB2312" w:hAnsi="仿宋_GB2312" w:eastAsia="仿宋_GB2312" w:cs="仿宋_GB2312"/>
          <w:b w:val="0"/>
          <w:bCs/>
          <w:color w:val="auto"/>
          <w:sz w:val="32"/>
          <w:szCs w:val="32"/>
          <w:highlight w:val="none"/>
          <w:lang w:val="en-US" w:eastAsia="zh-CN"/>
        </w:rPr>
        <w:t>17.6</w:t>
      </w:r>
      <w:r>
        <w:rPr>
          <w:rStyle w:val="9"/>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color w:val="auto"/>
          <w:sz w:val="32"/>
          <w:szCs w:val="32"/>
          <w:highlight w:val="none"/>
        </w:rPr>
        <w:t>公务接待费支出决算比</w:t>
      </w:r>
      <w:r>
        <w:rPr>
          <w:rFonts w:hint="eastAsia" w:ascii="仿宋_GB2312" w:hAnsi="仿宋_GB2312" w:eastAsia="仿宋_GB2312" w:cs="仿宋_GB2312"/>
          <w:color w:val="auto"/>
          <w:sz w:val="32"/>
          <w:szCs w:val="32"/>
          <w:highlight w:val="none"/>
          <w:lang w:eastAsia="zh-CN"/>
        </w:rPr>
        <w:t>2022</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减少</w:t>
      </w:r>
      <w:r>
        <w:rPr>
          <w:rFonts w:hint="eastAsia" w:ascii="仿宋_GB2312" w:hAnsi="仿宋_GB2312" w:eastAsia="仿宋_GB2312" w:cs="仿宋_GB2312"/>
          <w:color w:val="auto"/>
          <w:sz w:val="32"/>
          <w:szCs w:val="32"/>
          <w:highlight w:val="none"/>
          <w:lang w:val="en-US" w:eastAsia="zh-CN"/>
        </w:rPr>
        <w:t>0.03</w:t>
      </w:r>
      <w:r>
        <w:rPr>
          <w:rFonts w:hint="eastAsia" w:ascii="仿宋_GB2312" w:hAnsi="仿宋_GB2312" w:eastAsia="仿宋_GB2312" w:cs="仿宋_GB2312"/>
          <w:color w:val="auto"/>
          <w:sz w:val="32"/>
          <w:szCs w:val="32"/>
          <w:highlight w:val="none"/>
        </w:rPr>
        <w:t>万元，下降</w:t>
      </w:r>
      <w:r>
        <w:rPr>
          <w:rFonts w:hint="eastAsia" w:ascii="仿宋_GB2312" w:hAnsi="仿宋_GB2312" w:eastAsia="仿宋_GB2312" w:cs="仿宋_GB2312"/>
          <w:color w:val="auto"/>
          <w:sz w:val="32"/>
          <w:szCs w:val="32"/>
          <w:highlight w:val="none"/>
          <w:lang w:val="en-US" w:eastAsia="zh-CN"/>
        </w:rPr>
        <w:t>4.8</w:t>
      </w:r>
      <w:r>
        <w:rPr>
          <w:rFonts w:hint="eastAsia" w:ascii="仿宋_GB2312" w:hAnsi="仿宋_GB2312" w:eastAsia="仿宋_GB2312" w:cs="仿宋_GB2312"/>
          <w:color w:val="auto"/>
          <w:sz w:val="32"/>
          <w:szCs w:val="32"/>
          <w:highlight w:val="none"/>
        </w:rPr>
        <w:t>%。主要原因是</w:t>
      </w:r>
      <w:r>
        <w:rPr>
          <w:rFonts w:hint="eastAsia" w:ascii="仿宋_GB2312" w:hAnsi="仿宋_GB2312" w:eastAsia="仿宋_GB2312" w:cs="仿宋_GB2312"/>
          <w:color w:val="auto"/>
          <w:sz w:val="32"/>
          <w:szCs w:val="32"/>
          <w:highlight w:val="none"/>
          <w:lang w:val="en-US" w:eastAsia="zh-CN"/>
        </w:rPr>
        <w:t>认真执行过紧日子的政策，严控“三公经费”支出</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其中：</w:t>
      </w:r>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国内公务接待支出</w:t>
      </w:r>
      <w:r>
        <w:rPr>
          <w:rFonts w:hint="eastAsia" w:ascii="仿宋_GB2312" w:hAnsi="仿宋_GB2312" w:eastAsia="仿宋_GB2312" w:cs="仿宋_GB2312"/>
          <w:color w:val="auto"/>
          <w:sz w:val="32"/>
          <w:szCs w:val="32"/>
          <w:highlight w:val="none"/>
          <w:lang w:val="en-US" w:eastAsia="zh-CN"/>
        </w:rPr>
        <w:t>0.6</w:t>
      </w:r>
      <w:r>
        <w:rPr>
          <w:rFonts w:hint="eastAsia" w:ascii="仿宋_GB2312" w:hAnsi="仿宋_GB2312" w:eastAsia="仿宋_GB2312" w:cs="仿宋_GB2312"/>
          <w:color w:val="auto"/>
          <w:sz w:val="32"/>
          <w:szCs w:val="32"/>
          <w:highlight w:val="none"/>
        </w:rPr>
        <w:t>万元，</w:t>
      </w:r>
      <w:r>
        <w:rPr>
          <w:rFonts w:hint="eastAsia" w:ascii="仿宋_GB2312" w:eastAsia="仿宋_GB2312"/>
          <w:color w:val="auto"/>
          <w:sz w:val="32"/>
          <w:szCs w:val="32"/>
          <w:highlight w:val="none"/>
        </w:rPr>
        <w:t>主要用于执行公务、开展业务活动开支的交通费、住宿费、用餐费等</w:t>
      </w:r>
      <w:r>
        <w:rPr>
          <w:rFonts w:hint="eastAsia" w:ascii="仿宋_GB2312" w:hAnsi="仿宋_GB2312" w:eastAsia="仿宋_GB2312" w:cs="仿宋_GB2312"/>
          <w:color w:val="auto"/>
          <w:sz w:val="32"/>
          <w:szCs w:val="32"/>
          <w:highlight w:val="none"/>
        </w:rPr>
        <w:t>。国内公务接待</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批次，</w:t>
      </w:r>
      <w:r>
        <w:rPr>
          <w:rFonts w:hint="eastAsia" w:ascii="仿宋_GB2312" w:hAnsi="仿宋_GB2312" w:eastAsia="仿宋_GB2312" w:cs="仿宋_GB2312"/>
          <w:color w:val="auto"/>
          <w:sz w:val="32"/>
          <w:szCs w:val="32"/>
          <w:highlight w:val="none"/>
          <w:lang w:val="en-US" w:eastAsia="zh-CN"/>
        </w:rPr>
        <w:t>47</w:t>
      </w:r>
      <w:r>
        <w:rPr>
          <w:rFonts w:hint="eastAsia" w:ascii="仿宋_GB2312" w:hAnsi="仿宋_GB2312" w:eastAsia="仿宋_GB2312" w:cs="仿宋_GB2312"/>
          <w:color w:val="auto"/>
          <w:sz w:val="32"/>
          <w:szCs w:val="32"/>
          <w:highlight w:val="none"/>
        </w:rPr>
        <w:t>人次（不包括陪同人员），共计支出</w:t>
      </w:r>
      <w:r>
        <w:rPr>
          <w:rFonts w:hint="eastAsia" w:ascii="仿宋_GB2312" w:hAnsi="仿宋_GB2312" w:eastAsia="仿宋_GB2312" w:cs="仿宋_GB2312"/>
          <w:color w:val="auto"/>
          <w:sz w:val="32"/>
          <w:szCs w:val="32"/>
          <w:highlight w:val="none"/>
          <w:lang w:val="en-US" w:eastAsia="zh-CN"/>
        </w:rPr>
        <w:t>0.6</w:t>
      </w:r>
      <w:r>
        <w:rPr>
          <w:rFonts w:hint="eastAsia" w:ascii="仿宋_GB2312" w:hAnsi="仿宋_GB2312" w:eastAsia="仿宋_GB2312" w:cs="仿宋_GB2312"/>
          <w:color w:val="auto"/>
          <w:sz w:val="32"/>
          <w:szCs w:val="32"/>
          <w:highlight w:val="none"/>
        </w:rPr>
        <w:t>万元，具体内容包括：</w:t>
      </w:r>
      <w:r>
        <w:rPr>
          <w:rFonts w:hint="eastAsia" w:ascii="仿宋_GB2312" w:hAnsi="仿宋_GB2312" w:eastAsia="仿宋_GB2312" w:cs="仿宋_GB2312"/>
          <w:color w:val="auto"/>
          <w:sz w:val="32"/>
          <w:szCs w:val="32"/>
          <w:highlight w:val="none"/>
          <w:lang w:val="en-US" w:eastAsia="zh-CN"/>
        </w:rPr>
        <w:t>自贡血站来我站交流学习花费0.13万元；</w:t>
      </w:r>
      <w:r>
        <w:rPr>
          <w:rFonts w:hint="eastAsia" w:ascii="仿宋_GB2312" w:eastAsia="仿宋_GB2312"/>
          <w:color w:val="auto"/>
          <w:sz w:val="32"/>
          <w:szCs w:val="32"/>
          <w:highlight w:val="none"/>
          <w:lang w:val="en-US" w:eastAsia="zh-CN"/>
        </w:rPr>
        <w:t>苍溪县运山镇龙井村村委赴我站对接工作花费0.15万元；血站质量体系审核接待花费0.32万元</w:t>
      </w:r>
      <w:r>
        <w:rPr>
          <w:rFonts w:hint="eastAsia" w:ascii="仿宋_GB2312" w:hAnsi="仿宋_GB2312" w:eastAsia="仿宋_GB2312" w:cs="仿宋_GB2312"/>
          <w:color w:val="auto"/>
          <w:sz w:val="32"/>
          <w:szCs w:val="32"/>
          <w:highlight w:val="none"/>
        </w:rPr>
        <w:t>。</w:t>
      </w:r>
    </w:p>
    <w:p>
      <w:pPr>
        <w:spacing w:line="600" w:lineRule="exact"/>
        <w:ind w:firstLine="642"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外事接待支出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p>
    <w:p>
      <w:pPr>
        <w:spacing w:line="600" w:lineRule="exact"/>
        <w:ind w:firstLine="640"/>
        <w:outlineLvl w:val="9"/>
        <w:rPr>
          <w:rFonts w:ascii="黑体" w:eastAsia="黑体"/>
          <w:color w:val="auto"/>
          <w:sz w:val="32"/>
          <w:szCs w:val="32"/>
          <w:highlight w:val="none"/>
        </w:rPr>
      </w:pPr>
    </w:p>
    <w:p>
      <w:pPr>
        <w:spacing w:line="600" w:lineRule="exact"/>
        <w:ind w:firstLine="640"/>
        <w:outlineLvl w:val="1"/>
        <w:rPr>
          <w:rStyle w:val="11"/>
          <w:rFonts w:ascii="黑体" w:hAnsi="黑体" w:eastAsia="黑体"/>
          <w:color w:val="auto"/>
          <w:highlight w:val="none"/>
        </w:rPr>
      </w:pPr>
      <w:bookmarkStart w:id="20" w:name="_Toc22079"/>
      <w:r>
        <w:rPr>
          <w:rFonts w:hint="eastAsia" w:ascii="黑体" w:eastAsia="黑体"/>
          <w:color w:val="auto"/>
          <w:sz w:val="32"/>
          <w:szCs w:val="32"/>
          <w:highlight w:val="none"/>
        </w:rPr>
        <w:t>八、</w:t>
      </w:r>
      <w:r>
        <w:rPr>
          <w:rStyle w:val="11"/>
          <w:rFonts w:hint="eastAsia" w:ascii="黑体" w:hAnsi="黑体" w:eastAsia="黑体"/>
          <w:b w:val="0"/>
          <w:color w:val="auto"/>
          <w:highlight w:val="none"/>
        </w:rPr>
        <w:t>政府性基金预算支出决算情况说明</w:t>
      </w:r>
      <w:bookmarkEnd w:id="20"/>
    </w:p>
    <w:p>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0"/>
        <w:rPr>
          <w:rFonts w:ascii="仿宋_GB2312" w:eastAsia="仿宋_GB2312"/>
          <w:color w:val="auto"/>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11"/>
          <w:rFonts w:ascii="黑体" w:hAnsi="黑体" w:eastAsia="黑体"/>
          <w:b w:val="0"/>
          <w:color w:val="auto"/>
          <w:highlight w:val="none"/>
        </w:rPr>
      </w:pPr>
      <w:bookmarkStart w:id="21" w:name="_Toc14936"/>
      <w:r>
        <w:rPr>
          <w:rStyle w:val="11"/>
          <w:rFonts w:hint="eastAsia" w:ascii="黑体" w:hAnsi="黑体" w:eastAsia="黑体"/>
          <w:b w:val="0"/>
          <w:color w:val="auto"/>
          <w:highlight w:val="none"/>
          <w:lang w:eastAsia="zh-CN"/>
        </w:rPr>
        <w:t>九、</w:t>
      </w:r>
      <w:r>
        <w:rPr>
          <w:rStyle w:val="11"/>
          <w:rFonts w:hint="eastAsia" w:ascii="黑体" w:hAnsi="黑体" w:eastAsia="黑体"/>
          <w:b w:val="0"/>
          <w:color w:val="auto"/>
          <w:highlight w:val="none"/>
        </w:rPr>
        <w:t>国有资本经营预算支出决算情况说明</w:t>
      </w:r>
      <w:bookmarkEnd w:id="21"/>
    </w:p>
    <w:p>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80" w:lineRule="exact"/>
        <w:ind w:firstLine="880" w:firstLineChars="200"/>
        <w:jc w:val="center"/>
        <w:textAlignment w:val="auto"/>
        <w:rPr>
          <w:rFonts w:ascii="方正小标宋简体" w:hAnsi="方正小标宋简体" w:eastAsia="方正小标宋简体" w:cs="方正小标宋简体"/>
          <w:color w:val="auto"/>
          <w:sz w:val="44"/>
          <w:szCs w:val="44"/>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11"/>
          <w:rFonts w:hint="eastAsia" w:ascii="黑体" w:hAnsi="黑体" w:eastAsia="黑体"/>
          <w:b w:val="0"/>
          <w:color w:val="auto"/>
          <w:highlight w:val="none"/>
        </w:rPr>
      </w:pPr>
      <w:bookmarkStart w:id="22" w:name="_Toc20237"/>
      <w:r>
        <w:rPr>
          <w:rStyle w:val="11"/>
          <w:rFonts w:hint="eastAsia" w:ascii="黑体" w:hAnsi="黑体" w:eastAsia="黑体"/>
          <w:b w:val="0"/>
          <w:color w:val="auto"/>
          <w:highlight w:val="none"/>
          <w:lang w:eastAsia="zh-CN"/>
        </w:rPr>
        <w:t>十、</w:t>
      </w:r>
      <w:r>
        <w:rPr>
          <w:rStyle w:val="11"/>
          <w:rFonts w:hint="eastAsia" w:ascii="黑体" w:hAnsi="黑体" w:eastAsia="黑体"/>
          <w:b w:val="0"/>
          <w:color w:val="auto"/>
          <w:highlight w:val="none"/>
        </w:rPr>
        <w:t>其他重要事项的情况说明</w:t>
      </w:r>
      <w:bookmarkEnd w:id="22"/>
    </w:p>
    <w:p>
      <w:pPr>
        <w:spacing w:line="600" w:lineRule="exact"/>
        <w:ind w:firstLine="642" w:firstLineChars="200"/>
        <w:outlineLvl w:val="2"/>
        <w:rPr>
          <w:rFonts w:ascii="仿宋" w:hAnsi="仿宋" w:eastAsia="仿宋"/>
          <w:color w:val="auto"/>
          <w:sz w:val="32"/>
          <w:szCs w:val="32"/>
          <w:highlight w:val="none"/>
        </w:rPr>
      </w:pPr>
      <w:bookmarkStart w:id="23" w:name="_Toc7904"/>
      <w:r>
        <w:rPr>
          <w:rFonts w:hint="eastAsia" w:ascii="仿宋" w:hAnsi="仿宋" w:eastAsia="仿宋"/>
          <w:b/>
          <w:color w:val="auto"/>
          <w:sz w:val="32"/>
          <w:szCs w:val="32"/>
          <w:highlight w:val="none"/>
        </w:rPr>
        <w:t>（一）机关运行经费支出情况</w:t>
      </w:r>
      <w:bookmarkEnd w:id="23"/>
    </w:p>
    <w:p>
      <w:pPr>
        <w:spacing w:line="600" w:lineRule="exact"/>
        <w:ind w:firstLine="640" w:firstLineChars="200"/>
        <w:rPr>
          <w:rFonts w:ascii="仿宋" w:hAnsi="仿宋" w:eastAsia="仿宋"/>
          <w:b/>
          <w:color w:val="auto"/>
          <w:sz w:val="32"/>
          <w:szCs w:val="32"/>
          <w:highlight w:val="none"/>
        </w:rPr>
      </w:pPr>
      <w:r>
        <w:rPr>
          <w:rFonts w:hint="eastAsia" w:ascii="仿宋_GB2312" w:eastAsia="仿宋_GB2312"/>
          <w:color w:val="auto"/>
          <w:sz w:val="32"/>
          <w:szCs w:val="32"/>
          <w:highlight w:val="none"/>
          <w:lang w:val="en-US" w:eastAsia="zh-CN"/>
        </w:rPr>
        <w:t>2023年</w:t>
      </w:r>
      <w:r>
        <w:rPr>
          <w:rFonts w:hint="eastAsia" w:ascii="仿宋_GB2312" w:eastAsia="仿宋_GB2312"/>
          <w:color w:val="auto"/>
          <w:sz w:val="32"/>
          <w:szCs w:val="32"/>
          <w:highlight w:val="none"/>
        </w:rPr>
        <w:t>未发生机关运行经费支出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与2022年决算数持平。</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24" w:name="_Toc21186"/>
      <w:r>
        <w:rPr>
          <w:rFonts w:hint="eastAsia" w:ascii="仿宋" w:hAnsi="仿宋" w:eastAsia="仿宋"/>
          <w:b/>
          <w:color w:val="auto"/>
          <w:sz w:val="32"/>
          <w:szCs w:val="32"/>
          <w:highlight w:val="none"/>
        </w:rPr>
        <w:t>（二）政府采购支出情况</w:t>
      </w:r>
      <w:bookmarkEnd w:id="24"/>
    </w:p>
    <w:p>
      <w:pPr>
        <w:spacing w:line="60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广元市中心血站</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298.13</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298.13</w:t>
      </w:r>
      <w:r>
        <w:rPr>
          <w:rFonts w:hint="eastAsia" w:ascii="仿宋_GB2312" w:eastAsia="仿宋_GB2312"/>
          <w:color w:val="auto"/>
          <w:sz w:val="32"/>
          <w:szCs w:val="32"/>
          <w:highlight w:val="none"/>
        </w:rPr>
        <w:t>万元。</w:t>
      </w:r>
      <w:r>
        <w:rPr>
          <w:rFonts w:hint="eastAsia" w:ascii="仿宋_GB2312" w:eastAsia="仿宋_GB2312" w:cs="Times New Roman"/>
          <w:color w:val="auto"/>
          <w:sz w:val="32"/>
          <w:szCs w:val="32"/>
          <w:highlight w:val="none"/>
        </w:rPr>
        <w:t>主要</w:t>
      </w:r>
      <w:r>
        <w:rPr>
          <w:rFonts w:hint="eastAsia" w:ascii="仿宋_GB2312" w:eastAsia="仿宋_GB2312" w:cs="Times New Roman"/>
          <w:color w:val="auto"/>
          <w:sz w:val="32"/>
          <w:szCs w:val="32"/>
          <w:highlight w:val="none"/>
          <w:lang w:val="en-US" w:eastAsia="zh-CN"/>
        </w:rPr>
        <w:t>是一次性滤白血袋、一次性血小板耗材采购</w:t>
      </w:r>
      <w:r>
        <w:rPr>
          <w:rFonts w:hint="eastAsia" w:ascii="仿宋_GB2312" w:eastAsia="仿宋_GB2312" w:cs="Times New Roman"/>
          <w:color w:val="auto"/>
          <w:sz w:val="32"/>
          <w:szCs w:val="32"/>
          <w:highlight w:val="none"/>
        </w:rPr>
        <w:t>。</w:t>
      </w:r>
      <w:r>
        <w:rPr>
          <w:rFonts w:hint="eastAsia" w:ascii="仿宋_GB2312" w:eastAsia="仿宋_GB2312"/>
          <w:color w:val="auto"/>
          <w:sz w:val="32"/>
          <w:szCs w:val="32"/>
          <w:highlight w:val="none"/>
        </w:rPr>
        <w:t>授予中小企业合同金额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25" w:name="_Toc9593"/>
      <w:r>
        <w:rPr>
          <w:rFonts w:hint="eastAsia" w:ascii="仿宋" w:hAnsi="仿宋" w:eastAsia="仿宋"/>
          <w:b/>
          <w:color w:val="auto"/>
          <w:sz w:val="32"/>
          <w:szCs w:val="32"/>
          <w:highlight w:val="none"/>
        </w:rPr>
        <w:t>（三）国有资产占有使用情况</w:t>
      </w:r>
      <w:bookmarkEnd w:id="25"/>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广元市中心血站</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rPr>
        <w:t>辆，其中：其他用车</w:t>
      </w:r>
      <w:r>
        <w:rPr>
          <w:rFonts w:hint="eastAsia" w:ascii="仿宋_GB2312" w:eastAsia="仿宋_GB2312"/>
          <w:color w:val="auto"/>
          <w:sz w:val="32"/>
          <w:szCs w:val="32"/>
          <w:highlight w:val="none"/>
          <w:lang w:val="en-US" w:eastAsia="zh-CN"/>
        </w:rPr>
        <w:t>9</w:t>
      </w:r>
      <w:bookmarkStart w:id="44" w:name="_GoBack"/>
      <w:bookmarkEnd w:id="44"/>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其他用车主要是用于</w:t>
      </w:r>
      <w:r>
        <w:rPr>
          <w:rFonts w:hint="eastAsia" w:ascii="仿宋_GB2312" w:eastAsia="仿宋_GB2312"/>
          <w:color w:val="auto"/>
          <w:sz w:val="32"/>
          <w:szCs w:val="32"/>
          <w:highlight w:val="none"/>
          <w:lang w:val="en-US" w:eastAsia="zh-CN"/>
        </w:rPr>
        <w:t>接送血和采血</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eastAsia="zh-CN"/>
        </w:rPr>
        <w:t>（不含车辆）</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台（套）。</w:t>
      </w:r>
    </w:p>
    <w:p>
      <w:pPr>
        <w:autoSpaceDE w:val="0"/>
        <w:autoSpaceDN w:val="0"/>
        <w:adjustRightInd w:val="0"/>
        <w:spacing w:line="600" w:lineRule="exact"/>
        <w:ind w:firstLine="642" w:firstLineChars="200"/>
        <w:jc w:val="left"/>
        <w:outlineLvl w:val="2"/>
        <w:rPr>
          <w:rFonts w:hint="eastAsia" w:ascii="仿宋" w:hAnsi="仿宋" w:eastAsia="仿宋"/>
          <w:b/>
          <w:color w:val="auto"/>
          <w:sz w:val="32"/>
          <w:szCs w:val="32"/>
          <w:highlight w:val="none"/>
          <w:lang w:eastAsia="zh-CN"/>
        </w:rPr>
      </w:pPr>
      <w:bookmarkStart w:id="26" w:name="_Toc6378"/>
      <w:r>
        <w:rPr>
          <w:rFonts w:hint="eastAsia" w:ascii="仿宋" w:hAnsi="仿宋" w:eastAsia="仿宋"/>
          <w:b/>
          <w:color w:val="auto"/>
          <w:sz w:val="32"/>
          <w:szCs w:val="32"/>
          <w:highlight w:val="none"/>
        </w:rPr>
        <w:t>（四）预算绩效管理情况</w:t>
      </w:r>
      <w:bookmarkEnd w:id="26"/>
    </w:p>
    <w:p>
      <w:pPr>
        <w:spacing w:line="600" w:lineRule="exact"/>
        <w:ind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eastAsia="zh-CN"/>
        </w:rPr>
        <w:t>根据预算绩效管理要求，本单位在</w:t>
      </w:r>
      <w:r>
        <w:rPr>
          <w:rFonts w:hint="eastAsia" w:ascii="仿宋_GB2312" w:hAnsi="Times New Roman" w:eastAsia="仿宋_GB2312" w:cs="Times New Roman"/>
          <w:color w:val="auto"/>
          <w:sz w:val="32"/>
          <w:szCs w:val="32"/>
          <w:highlight w:val="none"/>
          <w:lang w:val="en-US" w:eastAsia="zh-CN"/>
        </w:rPr>
        <w:t>2023年度</w:t>
      </w:r>
      <w:r>
        <w:rPr>
          <w:rFonts w:hint="eastAsia" w:ascii="仿宋_GB2312" w:hAnsi="Times New Roman" w:eastAsia="仿宋_GB2312" w:cs="Times New Roman"/>
          <w:color w:val="auto"/>
          <w:sz w:val="32"/>
          <w:szCs w:val="32"/>
          <w:highlight w:val="none"/>
          <w:lang w:eastAsia="zh-CN"/>
        </w:rPr>
        <w:t>预算编制阶段，组织对工资性支出、离退休费支出、其他公用经费（福利、工会、公车补贴、党建、退休活动）、工资性支出（事业）、日常采血成本支出、乡村振兴工作经费、医疗服务与保障能力提升补助资金、重大传染病防控补助资金、定额公用经费（事业）、医务人员临时性工作补助资金、疫情防控财政补助资金、人员其他支出等</w:t>
      </w:r>
      <w:r>
        <w:rPr>
          <w:rFonts w:hint="eastAsia" w:ascii="仿宋_GB2312" w:hAnsi="Times New Roman" w:eastAsia="仿宋_GB2312" w:cs="Times New Roman"/>
          <w:color w:val="auto"/>
          <w:sz w:val="32"/>
          <w:szCs w:val="32"/>
          <w:highlight w:val="none"/>
          <w:lang w:val="en-US" w:eastAsia="zh-CN"/>
        </w:rPr>
        <w:t>12个项目</w:t>
      </w:r>
      <w:r>
        <w:rPr>
          <w:rFonts w:hint="eastAsia" w:ascii="仿宋_GB2312" w:hAnsi="Times New Roman" w:eastAsia="仿宋_GB2312" w:cs="Times New Roman"/>
          <w:color w:val="auto"/>
          <w:sz w:val="32"/>
          <w:szCs w:val="32"/>
          <w:highlight w:val="none"/>
          <w:lang w:eastAsia="zh-CN"/>
        </w:rPr>
        <w:t>开展了预算事前绩效评估，对</w:t>
      </w:r>
      <w:r>
        <w:rPr>
          <w:rFonts w:hint="eastAsia" w:ascii="仿宋_GB2312" w:hAnsi="Times New Roman" w:eastAsia="仿宋_GB2312" w:cs="Times New Roman"/>
          <w:color w:val="auto"/>
          <w:sz w:val="32"/>
          <w:szCs w:val="32"/>
          <w:highlight w:val="none"/>
          <w:lang w:val="en-US" w:eastAsia="zh-CN"/>
        </w:rPr>
        <w:t>12</w:t>
      </w:r>
      <w:r>
        <w:rPr>
          <w:rFonts w:hint="eastAsia" w:ascii="仿宋_GB2312" w:hAnsi="Times New Roman" w:eastAsia="仿宋_GB2312" w:cs="Times New Roman"/>
          <w:color w:val="auto"/>
          <w:sz w:val="32"/>
          <w:szCs w:val="32"/>
          <w:highlight w:val="none"/>
          <w:lang w:eastAsia="zh-CN"/>
        </w:rPr>
        <w:t>个项目编制了绩效目标，预算执行过程中，选取</w:t>
      </w:r>
      <w:r>
        <w:rPr>
          <w:rFonts w:hint="eastAsia" w:ascii="仿宋_GB2312" w:hAnsi="Times New Roman" w:eastAsia="仿宋_GB2312" w:cs="Times New Roman"/>
          <w:color w:val="auto"/>
          <w:sz w:val="32"/>
          <w:szCs w:val="32"/>
          <w:highlight w:val="none"/>
          <w:lang w:val="en-US" w:eastAsia="zh-CN"/>
        </w:rPr>
        <w:t>12</w:t>
      </w:r>
      <w:r>
        <w:rPr>
          <w:rFonts w:hint="eastAsia" w:ascii="仿宋_GB2312" w:hAnsi="Times New Roman" w:eastAsia="仿宋_GB2312" w:cs="Times New Roman"/>
          <w:color w:val="auto"/>
          <w:sz w:val="32"/>
          <w:szCs w:val="32"/>
          <w:highlight w:val="none"/>
          <w:lang w:eastAsia="zh-CN"/>
        </w:rPr>
        <w:t>个项目开展绩效监控，组织对</w:t>
      </w:r>
      <w:r>
        <w:rPr>
          <w:rFonts w:hint="eastAsia" w:ascii="仿宋_GB2312" w:hAnsi="Times New Roman" w:eastAsia="仿宋_GB2312" w:cs="Times New Roman"/>
          <w:color w:val="auto"/>
          <w:sz w:val="32"/>
          <w:szCs w:val="32"/>
          <w:highlight w:val="none"/>
          <w:lang w:val="en-US" w:eastAsia="zh-CN"/>
        </w:rPr>
        <w:t>12个项目开展绩效自评，绩效自评表详见第四部分附件。</w:t>
      </w:r>
    </w:p>
    <w:p>
      <w:pPr>
        <w:spacing w:line="600" w:lineRule="exact"/>
        <w:ind w:firstLine="640" w:firstLineChars="200"/>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br w:type="page"/>
      </w:r>
    </w:p>
    <w:p>
      <w:pPr>
        <w:numPr>
          <w:ilvl w:val="0"/>
          <w:numId w:val="0"/>
        </w:numPr>
        <w:spacing w:line="600" w:lineRule="exact"/>
        <w:jc w:val="center"/>
        <w:outlineLvl w:val="0"/>
        <w:rPr>
          <w:rStyle w:val="10"/>
          <w:rFonts w:ascii="黑体" w:hAnsi="黑体" w:eastAsia="黑体"/>
          <w:b w:val="0"/>
          <w:color w:val="auto"/>
          <w:highlight w:val="none"/>
        </w:rPr>
      </w:pPr>
      <w:bookmarkStart w:id="27" w:name="_Toc6085"/>
      <w:r>
        <w:rPr>
          <w:rFonts w:hint="eastAsia" w:ascii="黑体" w:hAnsi="黑体" w:eastAsia="黑体"/>
          <w:color w:val="auto"/>
          <w:sz w:val="44"/>
          <w:szCs w:val="44"/>
          <w:highlight w:val="none"/>
          <w:lang w:eastAsia="zh-CN"/>
        </w:rPr>
        <w:t>第三部分</w:t>
      </w:r>
      <w:r>
        <w:rPr>
          <w:rFonts w:hint="eastAsia" w:ascii="黑体" w:hAnsi="黑体" w:eastAsia="黑体"/>
          <w:color w:val="auto"/>
          <w:sz w:val="44"/>
          <w:szCs w:val="44"/>
          <w:highlight w:val="none"/>
          <w:lang w:val="en-US" w:eastAsia="zh-CN"/>
        </w:rPr>
        <w:t xml:space="preserve">  </w:t>
      </w:r>
      <w:r>
        <w:rPr>
          <w:rFonts w:hint="eastAsia" w:ascii="黑体" w:hAnsi="黑体" w:eastAsia="黑体"/>
          <w:color w:val="auto"/>
          <w:sz w:val="44"/>
          <w:szCs w:val="44"/>
          <w:highlight w:val="none"/>
        </w:rPr>
        <w:t>名</w:t>
      </w:r>
      <w:r>
        <w:rPr>
          <w:rStyle w:val="10"/>
          <w:rFonts w:hint="eastAsia" w:ascii="黑体" w:hAnsi="黑体" w:eastAsia="黑体"/>
          <w:b w:val="0"/>
          <w:color w:val="auto"/>
          <w:highlight w:val="none"/>
        </w:rPr>
        <w:t>词解释</w:t>
      </w:r>
      <w:bookmarkEnd w:id="27"/>
    </w:p>
    <w:p>
      <w:pPr>
        <w:spacing w:line="600" w:lineRule="exact"/>
        <w:jc w:val="left"/>
        <w:rPr>
          <w:rFonts w:ascii="宋体"/>
          <w:b/>
          <w:color w:val="auto"/>
          <w:sz w:val="44"/>
          <w:szCs w:val="44"/>
          <w:highlight w:val="none"/>
        </w:rPr>
      </w:pPr>
    </w:p>
    <w:p>
      <w:pPr>
        <w:pStyle w:val="17"/>
        <w:numPr>
          <w:ilvl w:val="0"/>
          <w:numId w:val="2"/>
        </w:numPr>
        <w:spacing w:line="560" w:lineRule="exact"/>
        <w:ind w:left="0" w:leftChars="0" w:firstLine="400" w:firstLineChars="0"/>
        <w:outlineLvl w:val="1"/>
        <w:rPr>
          <w:rFonts w:hint="eastAsia" w:ascii="仿宋_GB2312" w:eastAsia="仿宋_GB2312"/>
          <w:color w:val="auto"/>
          <w:sz w:val="32"/>
          <w:szCs w:val="32"/>
          <w:highlight w:val="none"/>
        </w:rPr>
      </w:pPr>
      <w:bookmarkStart w:id="28" w:name="_Toc31710"/>
      <w:r>
        <w:rPr>
          <w:rFonts w:hint="eastAsia" w:ascii="仿宋_GB2312" w:eastAsia="仿宋_GB2312"/>
          <w:color w:val="auto"/>
          <w:sz w:val="32"/>
          <w:szCs w:val="32"/>
          <w:highlight w:val="none"/>
        </w:rPr>
        <w:t>财政拨款收入：指单位从同级财政部门取得的财政预算资金。</w:t>
      </w:r>
      <w:bookmarkEnd w:id="28"/>
    </w:p>
    <w:p>
      <w:pPr>
        <w:numPr>
          <w:ilvl w:val="0"/>
          <w:numId w:val="2"/>
        </w:numPr>
        <w:ind w:left="0" w:leftChars="0" w:firstLine="40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社会保障和就业支出（类）</w:t>
      </w:r>
      <w:r>
        <w:rPr>
          <w:rFonts w:hint="default" w:ascii="仿宋_GB2312" w:hAnsi="仿宋_GB2312" w:eastAsia="仿宋_GB2312" w:cs="仿宋_GB2312"/>
          <w:sz w:val="32"/>
          <w:szCs w:val="32"/>
        </w:rPr>
        <w:t>行政事业单位养老支出</w:t>
      </w:r>
      <w:r>
        <w:rPr>
          <w:rFonts w:hint="eastAsia" w:ascii="仿宋_GB2312" w:hAnsi="仿宋_GB2312" w:eastAsia="仿宋_GB2312" w:cs="仿宋_GB2312"/>
          <w:sz w:val="32"/>
          <w:szCs w:val="32"/>
        </w:rPr>
        <w:t>（款）机关事业单位基本养老保险缴费支出（项）20805</w:t>
      </w:r>
      <w:r>
        <w:rPr>
          <w:rFonts w:hint="eastAsia" w:ascii="仿宋_GB2312" w:hAnsi="仿宋_GB2312" w:eastAsia="仿宋_GB2312" w:cs="仿宋_GB2312"/>
          <w:sz w:val="32"/>
          <w:szCs w:val="32"/>
          <w:lang w:val="en-US" w:eastAsia="zh-CN"/>
        </w:rPr>
        <w:t>05</w:t>
      </w:r>
      <w:r>
        <w:rPr>
          <w:rFonts w:hint="eastAsia" w:ascii="仿宋_GB2312" w:hAnsi="仿宋_GB2312" w:eastAsia="仿宋_GB2312" w:cs="仿宋_GB2312"/>
          <w:sz w:val="32"/>
          <w:szCs w:val="32"/>
        </w:rPr>
        <w:t>：指反映机关事业单位实施养老保险制度由单位缴纳的基本养老保险费支出。</w:t>
      </w:r>
    </w:p>
    <w:p>
      <w:pPr>
        <w:pStyle w:val="17"/>
        <w:numPr>
          <w:ilvl w:val="0"/>
          <w:numId w:val="2"/>
        </w:numPr>
        <w:spacing w:line="560" w:lineRule="exact"/>
        <w:ind w:left="0" w:leftChars="0" w:firstLine="400" w:firstLineChars="0"/>
        <w:rPr>
          <w:rFonts w:hint="eastAsia" w:ascii="仿宋_GB2312" w:eastAsia="仿宋_GB2312" w:cs="仿宋_GB2312"/>
          <w:sz w:val="32"/>
          <w:szCs w:val="32"/>
          <w:lang w:bidi="ar-SA"/>
        </w:rPr>
      </w:pPr>
      <w:r>
        <w:rPr>
          <w:rFonts w:hint="eastAsia" w:ascii="仿宋_GB2312" w:eastAsia="仿宋_GB2312" w:cs="仿宋_GB2312"/>
          <w:sz w:val="32"/>
          <w:szCs w:val="32"/>
          <w:lang w:bidi="ar-SA"/>
        </w:rPr>
        <w:t>社会保障和就业支出（类）</w:t>
      </w:r>
      <w:r>
        <w:rPr>
          <w:rFonts w:hint="default" w:ascii="仿宋_GB2312" w:eastAsia="仿宋_GB2312" w:cs="仿宋_GB2312"/>
          <w:sz w:val="32"/>
          <w:szCs w:val="32"/>
          <w:lang w:bidi="ar-SA"/>
        </w:rPr>
        <w:t>行政事业单位养老支出</w:t>
      </w:r>
      <w:r>
        <w:rPr>
          <w:rFonts w:hint="eastAsia" w:ascii="仿宋_GB2312" w:eastAsia="仿宋_GB2312" w:cs="仿宋_GB2312"/>
          <w:sz w:val="32"/>
          <w:szCs w:val="32"/>
          <w:lang w:bidi="ar-SA"/>
        </w:rPr>
        <w:t>（款）机关事业单位职业年金缴费支出（项）2080506：指反映机关事业单位实施养老保险制度由单位实际缴纳的职业年金支出。</w:t>
      </w:r>
    </w:p>
    <w:p>
      <w:pPr>
        <w:pStyle w:val="17"/>
        <w:numPr>
          <w:ilvl w:val="0"/>
          <w:numId w:val="2"/>
        </w:numPr>
        <w:spacing w:line="560" w:lineRule="exact"/>
        <w:ind w:left="0" w:leftChars="0" w:firstLine="400" w:firstLineChars="0"/>
        <w:rPr>
          <w:rFonts w:hint="default" w:ascii="仿宋_GB2312" w:eastAsia="仿宋_GB2312" w:cs="仿宋_GB2312"/>
          <w:sz w:val="32"/>
          <w:szCs w:val="32"/>
          <w:lang w:val="en-US" w:eastAsia="zh-CN" w:bidi="ar-SA"/>
        </w:rPr>
      </w:pPr>
      <w:r>
        <w:rPr>
          <w:rFonts w:hint="eastAsia" w:ascii="仿宋_GB2312" w:eastAsia="仿宋_GB2312" w:cs="仿宋_GB2312"/>
          <w:sz w:val="32"/>
          <w:szCs w:val="32"/>
          <w:lang w:bidi="ar-SA"/>
        </w:rPr>
        <w:t>卫生健康支出（类）公</w:t>
      </w:r>
      <w:r>
        <w:rPr>
          <w:rFonts w:hint="eastAsia" w:ascii="仿宋_GB2312" w:eastAsia="仿宋_GB2312" w:cs="仿宋_GB2312"/>
          <w:sz w:val="32"/>
          <w:szCs w:val="32"/>
          <w:lang w:val="en-US" w:eastAsia="zh-CN" w:bidi="ar-SA"/>
        </w:rPr>
        <w:t>立医院</w:t>
      </w:r>
      <w:r>
        <w:rPr>
          <w:rFonts w:hint="eastAsia" w:ascii="仿宋_GB2312" w:eastAsia="仿宋_GB2312" w:cs="仿宋_GB2312"/>
          <w:sz w:val="32"/>
          <w:szCs w:val="32"/>
          <w:lang w:bidi="ar-SA"/>
        </w:rPr>
        <w:t>（款）其他公立医院支出（项）</w:t>
      </w:r>
      <w:r>
        <w:rPr>
          <w:rFonts w:hint="eastAsia" w:ascii="仿宋_GB2312" w:eastAsia="仿宋_GB2312" w:cs="仿宋_GB2312"/>
          <w:sz w:val="32"/>
          <w:szCs w:val="32"/>
          <w:lang w:val="en-US" w:eastAsia="zh-CN" w:bidi="ar-SA"/>
        </w:rPr>
        <w:t>2100299：指反映除上述项目以外其他用于公立医院方面的支出。</w:t>
      </w:r>
    </w:p>
    <w:p>
      <w:pPr>
        <w:pStyle w:val="17"/>
        <w:numPr>
          <w:ilvl w:val="0"/>
          <w:numId w:val="2"/>
        </w:numPr>
        <w:spacing w:line="560" w:lineRule="exact"/>
        <w:ind w:left="0" w:leftChars="0" w:firstLine="400" w:firstLineChars="0"/>
        <w:rPr>
          <w:rFonts w:hint="eastAsia" w:ascii="仿宋_GB2312" w:eastAsia="仿宋_GB2312" w:cs="仿宋_GB2312"/>
          <w:sz w:val="32"/>
          <w:szCs w:val="32"/>
          <w:lang w:eastAsia="zh-CN" w:bidi="ar-SA"/>
        </w:rPr>
      </w:pPr>
      <w:r>
        <w:rPr>
          <w:rFonts w:hint="eastAsia" w:ascii="仿宋_GB2312" w:eastAsia="仿宋_GB2312" w:cs="仿宋_GB2312"/>
          <w:sz w:val="32"/>
          <w:szCs w:val="32"/>
          <w:lang w:bidi="ar-SA"/>
        </w:rPr>
        <w:t>卫生健康支出（类）公共卫生（款）采供血机构（项）2100406：指反映卫生健康部门所属采供血机构的支出</w:t>
      </w:r>
      <w:r>
        <w:rPr>
          <w:rFonts w:hint="eastAsia" w:ascii="仿宋_GB2312" w:eastAsia="仿宋_GB2312" w:cs="仿宋_GB2312"/>
          <w:sz w:val="32"/>
          <w:szCs w:val="32"/>
          <w:lang w:eastAsia="zh-CN" w:bidi="ar-SA"/>
        </w:rPr>
        <w:t>。</w:t>
      </w:r>
    </w:p>
    <w:p>
      <w:pPr>
        <w:pStyle w:val="17"/>
        <w:numPr>
          <w:ilvl w:val="0"/>
          <w:numId w:val="2"/>
        </w:numPr>
        <w:spacing w:line="560" w:lineRule="exact"/>
        <w:ind w:left="0" w:leftChars="0" w:firstLine="400" w:firstLineChars="0"/>
        <w:rPr>
          <w:rFonts w:hint="eastAsia" w:ascii="仿宋_GB2312" w:hAnsi="仿宋_GB2312" w:eastAsia="仿宋_GB2312" w:cs="仿宋_GB2312"/>
          <w:color w:val="auto"/>
          <w:kern w:val="2"/>
          <w:sz w:val="32"/>
          <w:szCs w:val="32"/>
          <w:lang w:val="en-US" w:eastAsia="zh-CN"/>
        </w:rPr>
      </w:pPr>
      <w:r>
        <w:rPr>
          <w:rFonts w:hint="eastAsia" w:ascii="仿宋_GB2312" w:eastAsia="仿宋_GB2312" w:cs="仿宋_GB2312"/>
          <w:sz w:val="32"/>
          <w:szCs w:val="32"/>
          <w:lang w:bidi="ar-SA"/>
        </w:rPr>
        <w:t>卫生健康支出（类）公共卫生（款）重大公共卫生专项（项）2100409：指反映重大疾病、重大传染病预防控制等重大公共卫生服务项目支出。</w:t>
      </w:r>
    </w:p>
    <w:p>
      <w:pPr>
        <w:numPr>
          <w:ilvl w:val="0"/>
          <w:numId w:val="2"/>
        </w:numPr>
        <w:ind w:left="0" w:leftChars="0" w:firstLine="400" w:firstLineChars="0"/>
        <w:rPr>
          <w:rFonts w:hint="eastAsia" w:ascii="仿宋_GB2312" w:eastAsia="仿宋_GB2312" w:cs="仿宋_GB2312"/>
          <w:sz w:val="32"/>
          <w:szCs w:val="32"/>
          <w:lang w:bidi="ar-SA"/>
        </w:rPr>
      </w:pPr>
      <w:r>
        <w:rPr>
          <w:rFonts w:hint="eastAsia" w:ascii="仿宋_GB2312" w:eastAsia="仿宋_GB2312" w:cs="仿宋_GB2312"/>
          <w:sz w:val="32"/>
          <w:szCs w:val="32"/>
          <w:lang w:bidi="ar-SA"/>
        </w:rPr>
        <w:t>卫生健康支出（类）行政事业单位医疗（款）事业单位医疗（项）2101102：指反映财政部门安排的事业单位基本医疗保险缴费经费，未参加医疗保险的事业单位的公费医疗经费，按国家规定享受离休人员待遇的医疗经费。</w:t>
      </w:r>
    </w:p>
    <w:p>
      <w:pPr>
        <w:pStyle w:val="2"/>
        <w:numPr>
          <w:ilvl w:val="0"/>
          <w:numId w:val="2"/>
        </w:numPr>
        <w:ind w:left="0" w:leftChars="0" w:firstLine="400" w:firstLineChars="0"/>
        <w:rPr>
          <w:rFonts w:hint="default" w:ascii="仿宋_GB2312" w:hAnsi="Calibri" w:eastAsia="仿宋_GB2312" w:cs="仿宋_GB2312"/>
          <w:color w:val="auto"/>
          <w:kern w:val="2"/>
          <w:sz w:val="32"/>
          <w:szCs w:val="32"/>
          <w:lang w:val="en-US" w:eastAsia="zh-CN" w:bidi="ar-SA"/>
        </w:rPr>
      </w:pPr>
      <w:r>
        <w:rPr>
          <w:rFonts w:hint="eastAsia" w:ascii="仿宋_GB2312" w:hAnsi="Calibri" w:eastAsia="仿宋_GB2312" w:cs="仿宋_GB2312"/>
          <w:color w:val="auto"/>
          <w:kern w:val="2"/>
          <w:sz w:val="32"/>
          <w:szCs w:val="32"/>
          <w:lang w:val="en-US" w:eastAsia="zh-CN" w:bidi="ar-SA"/>
        </w:rPr>
        <w:t>卫生健康支出（类）其他卫生健康支出（款）其他卫生健康支出（项）</w:t>
      </w:r>
      <w:r>
        <w:rPr>
          <w:rFonts w:hint="eastAsia" w:ascii="仿宋_GB2312" w:eastAsia="仿宋_GB2312" w:cs="仿宋_GB2312"/>
          <w:color w:val="auto"/>
          <w:kern w:val="2"/>
          <w:sz w:val="32"/>
          <w:szCs w:val="32"/>
          <w:lang w:val="en-US" w:eastAsia="zh-CN" w:bidi="ar-SA"/>
        </w:rPr>
        <w:t>2109999：指反映除上述项目以外其他用于卫生健康方面的支出。</w:t>
      </w:r>
    </w:p>
    <w:p>
      <w:pPr>
        <w:numPr>
          <w:ilvl w:val="0"/>
          <w:numId w:val="2"/>
        </w:numPr>
        <w:ind w:left="0" w:leftChars="0" w:firstLine="400" w:firstLineChars="0"/>
        <w:rPr>
          <w:rFonts w:hint="eastAsia"/>
        </w:rPr>
      </w:pPr>
      <w:r>
        <w:rPr>
          <w:rFonts w:hint="eastAsia" w:ascii="仿宋_GB2312" w:eastAsia="仿宋_GB2312" w:cs="仿宋_GB2312"/>
          <w:sz w:val="32"/>
          <w:szCs w:val="32"/>
          <w:lang w:bidi="ar-SA"/>
        </w:rPr>
        <w:t>住房保障支出（类）住房改革支出（款）住房公积金（项）2210201：指反映行政事业单位按人力资源和社会保障部、财政部规定的基本工资和津贴补贴以及规定比例为职工缴纳的住房公积金。</w:t>
      </w:r>
    </w:p>
    <w:p>
      <w:pPr>
        <w:numPr>
          <w:ilvl w:val="0"/>
          <w:numId w:val="2"/>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基本支出：指为保障机构正常运转、完成日常工作任务而发生的人员支出和公用支出。</w:t>
      </w:r>
    </w:p>
    <w:p>
      <w:pPr>
        <w:pStyle w:val="17"/>
        <w:numPr>
          <w:ilvl w:val="0"/>
          <w:numId w:val="2"/>
        </w:numPr>
        <w:spacing w:line="560" w:lineRule="exact"/>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项目支出：指在基本支出之外为完成特定行政任务和事业发展目标所发生的支出。</w:t>
      </w:r>
    </w:p>
    <w:p>
      <w:pPr>
        <w:pStyle w:val="17"/>
        <w:numPr>
          <w:ilvl w:val="0"/>
          <w:numId w:val="2"/>
        </w:numPr>
        <w:spacing w:line="560" w:lineRule="exact"/>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7"/>
        <w:spacing w:line="560" w:lineRule="exact"/>
        <w:ind w:firstLine="640" w:firstLineChars="200"/>
        <w:rPr>
          <w:rFonts w:ascii="仿宋_GB2312" w:eastAsia="仿宋_GB2312" w:cs="黑体"/>
          <w:color w:val="auto"/>
          <w:sz w:val="32"/>
          <w:szCs w:val="32"/>
          <w:highlight w:val="none"/>
        </w:rPr>
      </w:pPr>
    </w:p>
    <w:p>
      <w:pPr>
        <w:spacing w:line="600" w:lineRule="exact"/>
        <w:jc w:val="center"/>
        <w:outlineLvl w:val="0"/>
        <w:rPr>
          <w:rStyle w:val="10"/>
          <w:rFonts w:ascii="黑体" w:hAnsi="黑体" w:eastAsia="黑体"/>
          <w:b w:val="0"/>
          <w:color w:val="auto"/>
          <w:highlight w:val="none"/>
        </w:rPr>
      </w:pPr>
      <w:r>
        <w:rPr>
          <w:rFonts w:ascii="宋体"/>
          <w:b/>
          <w:color w:val="auto"/>
          <w:sz w:val="44"/>
          <w:szCs w:val="44"/>
          <w:highlight w:val="none"/>
        </w:rPr>
        <w:br w:type="page"/>
      </w:r>
      <w:bookmarkStart w:id="29" w:name="_Toc10507"/>
      <w:r>
        <w:rPr>
          <w:rFonts w:hint="eastAsia" w:ascii="黑体" w:hAnsi="黑体" w:eastAsia="黑体"/>
          <w:color w:val="auto"/>
          <w:sz w:val="44"/>
          <w:szCs w:val="44"/>
          <w:highlight w:val="none"/>
        </w:rPr>
        <w:t>第</w:t>
      </w:r>
      <w:r>
        <w:rPr>
          <w:rStyle w:val="10"/>
          <w:rFonts w:hint="eastAsia" w:ascii="黑体" w:hAnsi="黑体" w:eastAsia="黑体"/>
          <w:b w:val="0"/>
          <w:color w:val="auto"/>
          <w:highlight w:val="none"/>
        </w:rPr>
        <w:t>四部分 附件</w:t>
      </w:r>
      <w:bookmarkEnd w:id="29"/>
    </w:p>
    <w:p>
      <w:pPr>
        <w:keepNext w:val="0"/>
        <w:keepLines w:val="0"/>
        <w:pageBreakBefore w:val="0"/>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tbl>
      <w:tblPr>
        <w:tblStyle w:val="7"/>
        <w:tblW w:w="988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82"/>
        <w:gridCol w:w="1339"/>
        <w:gridCol w:w="1152"/>
        <w:gridCol w:w="1599"/>
        <w:gridCol w:w="519"/>
        <w:gridCol w:w="927"/>
        <w:gridCol w:w="519"/>
        <w:gridCol w:w="1087"/>
        <w:gridCol w:w="505"/>
        <w:gridCol w:w="486"/>
        <w:gridCol w:w="10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885"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864"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1087" w:type="dxa"/>
            <w:tcBorders>
              <w:top w:val="nil"/>
              <w:left w:val="nil"/>
              <w:bottom w:val="nil"/>
              <w:right w:val="nil"/>
            </w:tcBorders>
            <w:noWrap w:val="0"/>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0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广元市中心血站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33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14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314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依据相关政策，工资及时、足额发放，无结余资金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864"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在项目实施过程中，严格执行相关政策，保障工资及时发放、足额发放，财政按照人员情况年初下达预算指标，无结余。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140.77</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140.77</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140.77</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0" w:type="dxa"/>
            <w:vMerge w:val="restart"/>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140.77</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140.77</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140.77</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824"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按照财政下达的指标，依据相关政策，工资及时、足额发放，无结余资金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29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项目负责人：王优</w:t>
            </w:r>
          </w:p>
        </w:tc>
        <w:tc>
          <w:tcPr>
            <w:tcW w:w="459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财务负责人：李澜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2"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33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152"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59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927"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087"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070"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885"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864"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1087" w:type="dxa"/>
            <w:tcBorders>
              <w:top w:val="nil"/>
              <w:left w:val="nil"/>
              <w:bottom w:val="nil"/>
              <w:right w:val="nil"/>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0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广元市中心血站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33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14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314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依据相关政策，离退休费及时、足额发放，无结余资金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864"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在项目实施过程中，严格执行相关政策，保障离退休费及时发放、足额发放，财政按照人员情况年初下达预算指标，无结余。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27.72</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27.72</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27.72</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0" w:type="dxa"/>
            <w:vMerge w:val="restart"/>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27.72</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27.72</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27.72</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824"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按照财政下达的指标，依据相关政策，离退休费及时、足额发放，无结余资金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29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项目负责人：王优</w:t>
            </w:r>
          </w:p>
        </w:tc>
        <w:tc>
          <w:tcPr>
            <w:tcW w:w="459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财务负责人：李澜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2"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33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152"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59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927"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087"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070"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885"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864"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1087" w:type="dxa"/>
            <w:tcBorders>
              <w:top w:val="nil"/>
              <w:left w:val="nil"/>
              <w:bottom w:val="nil"/>
              <w:right w:val="nil"/>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0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广元市中心血站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33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14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314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严格执行预算，单位日常运转得到保障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864"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在项目实施过程中，严格执行预算，保障单位日常运转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20.95</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20.95</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20.95</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0" w:type="dxa"/>
            <w:vMerge w:val="restart"/>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20.95</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20.95</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20.95</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64.30%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824"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严格执行预算，单位日常运转得到保障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29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项目负责人：王优</w:t>
            </w:r>
          </w:p>
        </w:tc>
        <w:tc>
          <w:tcPr>
            <w:tcW w:w="459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财务负责人：李澜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2"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33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152"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59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927"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087"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070"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885"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864"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51080022R000000267546-工资性支出（事业）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1087" w:type="dxa"/>
            <w:tcBorders>
              <w:top w:val="nil"/>
              <w:left w:val="nil"/>
              <w:bottom w:val="nil"/>
              <w:right w:val="nil"/>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0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广元市中心血站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33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14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314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依据相关政策，工资及时、足额发放，无结余资金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864"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在项目实施过程中，严格执行相关政策，保障工资及时发放、足额发放，预算编制科学合理，无结余。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372.51</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365.48</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365.48</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0" w:type="dxa"/>
            <w:vMerge w:val="restart"/>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372.51</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365.48</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365.48</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824"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按照财政下达的指标，依据相关政策，离退休费及时、足额发放，无结余资金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29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项目负责人：王优</w:t>
            </w:r>
          </w:p>
        </w:tc>
        <w:tc>
          <w:tcPr>
            <w:tcW w:w="459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财务负责人：李澜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2"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33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152"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59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927"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087"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070"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885"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864"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51080022T000004936551-日常采血成本支出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1087" w:type="dxa"/>
            <w:tcBorders>
              <w:top w:val="nil"/>
              <w:left w:val="nil"/>
              <w:bottom w:val="nil"/>
              <w:right w:val="nil"/>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0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广元市中心血站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33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14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0"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提供安全有效的血液、保障全市医疗机构临床用血</w:t>
            </w:r>
          </w:p>
        </w:tc>
        <w:tc>
          <w:tcPr>
            <w:tcW w:w="314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全年采血35585人次，向临床供应红细胞类62850U，外调红细胞1800U，血浆366.3万毫升，达到了供需平衡，满足了临床医疗机构用血需求。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864"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围绕省卫健委下达的无偿献血核心指标，开展宣传招募，持续改进完善质量管理体系，提高血液检测能力，持续改进提高服务能力和水平，保障血液供应有效。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1,710.00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1,710.00</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1,710.00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0" w:type="dxa"/>
            <w:vMerge w:val="restart"/>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1,710.00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1,710.00</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1,710.00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采血人数</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38000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人/次</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35585人</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夏季持续高温天气，献血人数减少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保障安全有效的血液</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保障全市医疗机构临床用血</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提供安全有效的血液，保证政府非税收入</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2000万元</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保障输血病人用到安全有效的血液</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按要求处理医废</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提高献血者和用血医疗机构满意度</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99.50%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日常采血成本，包括血袋、试剂耗材款、人工成本等</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1710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1710万元</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824"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0"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我站按照国家政策法规规定，结合本单位工作实际，健全了财务管理制度和约束机制，依法、有效、合理地使用财政资金，完成了年初设定的绩效目标，实现了较高的工作效率和财政资金支出绩效，保障了项目工作有序开展，顺利完成了各项目标任务全年采血35585人次，向临床供应红细胞类62850U，外调红细胞1800U，血浆366.3万毫升，达到了供需平衡，满足了临床医疗机构用血需求。血液安全管理水平不断提高。深化日检查、月通报、年审核制度，严控采供血关键环节质量安全，全年无血液质量安全事件发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资金方面由于财政统筹有一定的缺口，血站是不营利的公益性组织，所有上缴的非税收入都是采血成本，而血液制品价格还是依据2006年省物价局文件的定价标准，为了提升血站的各项指标必须要加大相关的投入。</w:t>
            </w:r>
            <w:r>
              <w:rPr>
                <w:rFonts w:hint="eastAsia" w:ascii="微软雅黑" w:hAnsi="微软雅黑" w:eastAsia="微软雅黑" w:cs="微软雅黑"/>
                <w:i/>
                <w:iCs/>
                <w:color w:val="000000"/>
                <w:kern w:val="0"/>
                <w:sz w:val="16"/>
                <w:szCs w:val="16"/>
                <w:u w:val="none"/>
                <w:lang w:val="en-US" w:eastAsia="zh-CN" w:bidi="ar"/>
              </w:rPr>
              <w:br w:type="textWrapping"/>
            </w:r>
            <w:r>
              <w:rPr>
                <w:rFonts w:hint="eastAsia" w:ascii="微软雅黑" w:hAnsi="微软雅黑" w:eastAsia="微软雅黑" w:cs="微软雅黑"/>
                <w:i/>
                <w:iCs/>
                <w:color w:val="000000"/>
                <w:kern w:val="0"/>
                <w:sz w:val="16"/>
                <w:szCs w:val="16"/>
                <w:u w:val="none"/>
                <w:lang w:val="en-US" w:eastAsia="zh-CN" w:bidi="ar"/>
              </w:rPr>
              <w:t>2.全年采血35585人次，未达到年初设定的目标38000人次，但供需平衡也是是否完成目标的一个方面，临床医疗机构用血需求的满足就是我们的职责，不浪费血液资源也是对我们的要求。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我站会继续强化宣传招募，结合不同时期和不同人群特点分类开展宣传，充分利用媒体等方式提高宣传的针对性和有效性，让无偿献血宣传深入人心，让无偿献血成为广大群众自觉行为；做好主题宣传活动，通过电视电台对典型人物、典型事迹进行系列报道，通过报刊网络等对日常各种节日的活动宣传，持续营造无偿献血的良好氛围；持续巩固医务人员、武警官兵、大学生、企业职工等献血月活动品牌效应，不断发展壮大“五大队伍”，统筹推进个人自愿无偿献血和团体协调发展，全力保障血液供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29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项目负责人：王优</w:t>
            </w:r>
          </w:p>
        </w:tc>
        <w:tc>
          <w:tcPr>
            <w:tcW w:w="459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财务负责人：李澜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2"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33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152"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59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927"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087"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070"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885"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864"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51080022T000004936720-乡村振兴工作经费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1087" w:type="dxa"/>
            <w:tcBorders>
              <w:top w:val="nil"/>
              <w:left w:val="nil"/>
              <w:bottom w:val="nil"/>
              <w:right w:val="nil"/>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0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广元市中心血站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33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14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乡村振兴</w:t>
            </w:r>
          </w:p>
        </w:tc>
        <w:tc>
          <w:tcPr>
            <w:tcW w:w="314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有效防止致贫返贫，巩固脱贫攻坚成果，扎实推动集体经济发展，带动产业兴旺。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864"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围绕“建强村党组织，推进强村富民，提升治理水平，为民办事服务”四项职责，完善管理制度，坚持真帮实扶，推动产业提升，保障帮扶村稳定增收。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0" w:type="dxa"/>
            <w:vMerge w:val="restart"/>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5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村集体经济发展项目</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1项</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脱贫户稳定增收户数</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户</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56户</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村饮用水改善项目</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1项</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应用水改善质量</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脱贫户增收覆盖率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项目完成时间</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1年</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促进村集体经济发展，保障脱贫户增收率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提高村特色产业知名度，提高苍溪雪梨的知名度</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中级</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改善生态环境，打造适宜居住的生活环境</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高级</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帮扶对象满意度指标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提升村民对工作队工作认可度</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工作队经费保障、饮用水改善等</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1.82万元</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824"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本项目在决策、管理。实施和结果方面表现良好，有效推进驻村帮扶工作，基本达到预期目标。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该项目在预算上略显不足，在提升村特色产业知名度上仍需加大力度。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建议该项目增加预算安排，充分发挥驻村帮扶效果，高效推进巩固脱贫攻坚成果暨乡村振兴有效衔接工作。打造帮扶村特色产业品牌，多渠道宣传提升知名度。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29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项目负责人：王优</w:t>
            </w:r>
          </w:p>
        </w:tc>
        <w:tc>
          <w:tcPr>
            <w:tcW w:w="459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财务负责人：李澜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2"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33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152"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59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927"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087"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070"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885"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864"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51080022T000006256953-医疗服务与保障能力提升补助资金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1087" w:type="dxa"/>
            <w:tcBorders>
              <w:top w:val="nil"/>
              <w:left w:val="nil"/>
              <w:bottom w:val="nil"/>
              <w:right w:val="nil"/>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0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广元市中心血站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33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14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提升全市临床输血技术水平，促进科学合理用血，保障医疗用血质量与安全。</w:t>
            </w:r>
          </w:p>
        </w:tc>
        <w:tc>
          <w:tcPr>
            <w:tcW w:w="314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全市临床输血技术水平和科学合理用血水平得到提升，输血质量管理能力明显增强，医疗用血质量与安全保障有力。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864" w:type="dxa"/>
            <w:gridSpan w:val="9"/>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0" w:type="dxa"/>
            <w:vMerge w:val="restart"/>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医疗机构临床输血指导率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医疗机构临床输血质量监督率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临床输血质量安全负性事件上报率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项目完成时间</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1年</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医疗机构科学合理用血率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按要求处理医废</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输血科规范化建设</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临床输血医疗机构满意度</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医疗服务与保障能力提升（公立医院综合改革）中央补助资金</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1万元</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824"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全市临床输血技术水平和科学合理用血水平得到提升，输血质量管理能力明显增强，医疗用血质量与安全保障有力。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29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项目负责人：王优</w:t>
            </w:r>
          </w:p>
        </w:tc>
        <w:tc>
          <w:tcPr>
            <w:tcW w:w="459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财务负责人：李澜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2"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33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152"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59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927"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087"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070"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885"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864"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51080022T000006688445-重大传染病防控补助资金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1087" w:type="dxa"/>
            <w:tcBorders>
              <w:top w:val="nil"/>
              <w:left w:val="nil"/>
              <w:bottom w:val="nil"/>
              <w:right w:val="nil"/>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0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广元市中心血站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33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14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提供安全有效的血液 ，保障全市医疗机构临床用血</w:t>
            </w:r>
          </w:p>
        </w:tc>
        <w:tc>
          <w:tcPr>
            <w:tcW w:w="314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确保了血液检测质量安全，保障了全市医疗机构临床安全用血，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864"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在项目实施过程中，建立健全了质量管理体系，完善了血液检测流程和实验室管理制度，确保血液检测质量安全，保障了全市医疗机构临床安全用血。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121.46</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121.46</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0" w:type="dxa"/>
            <w:vMerge w:val="restart"/>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121.46</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121.46</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血液标本检测率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安全有效的血液的保证率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保障全市医疗机构临床用血率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项目完成时间</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1年</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提供安全有效的血液，保证非税收入</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2000万元</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保证输血病人用到安全有效的血液</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按要求处理医废</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按要求操作，不破坏生态</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未破坏生态</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提供安全有效的血液以保证长期持续发展</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持续满足医疗机构临床用血</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已满足</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提高献血者、用血机构满意度</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99.50%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重大传染病防控</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121.46</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121.46万元</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824"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确保了血液检测质量安全，保障了全市医疗机构临床安全用血，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29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项目负责人：王优</w:t>
            </w:r>
          </w:p>
        </w:tc>
        <w:tc>
          <w:tcPr>
            <w:tcW w:w="459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财务负责人：李澜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2"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33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152"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59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927"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087"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070"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885"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864"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1087" w:type="dxa"/>
            <w:tcBorders>
              <w:top w:val="nil"/>
              <w:left w:val="nil"/>
              <w:bottom w:val="nil"/>
              <w:right w:val="nil"/>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0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广元市中心血站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33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14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314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严格执行预算，单位日常运转得到保障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864"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在项目实施过程中，严格执行预算，保障单位日常运转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57.60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57.60</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57.60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0" w:type="dxa"/>
            <w:vMerge w:val="restart"/>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57.60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57.60</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57.60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0次</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64.30%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824"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严格执行预算，单位日常运转得到保障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29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项目负责人：王优</w:t>
            </w:r>
          </w:p>
        </w:tc>
        <w:tc>
          <w:tcPr>
            <w:tcW w:w="459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财务负责人：李澜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2"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33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152"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59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927"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087"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070"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885"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864"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51080023T000009116023-医务人员临时性工作补助资金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1087" w:type="dxa"/>
            <w:tcBorders>
              <w:top w:val="nil"/>
              <w:left w:val="nil"/>
              <w:bottom w:val="nil"/>
              <w:right w:val="nil"/>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0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广元市中心血站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33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14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提供安全有效的血液，保障全市医疗机构临床用血</w:t>
            </w:r>
          </w:p>
        </w:tc>
        <w:tc>
          <w:tcPr>
            <w:tcW w:w="314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全年采血35585人次，向临床供应红细胞类62850U，外调红细胞1800U，血浆366.3万毫升，达到了供需平衡，满足了临床医疗机构用血需求。并增强了医务人员职业荣誉感和归属感，调动了医务人员工作积极性，保障了医务人员权益，提升了医务人员服务质量和效率，促进了社会和谐稳定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864"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该笔补助资金按时按质的发放到医务人员手中，增强了医务人员职业荣誉感和归属感，调动了医务人员工作积极性，保障了医务人员权益，提升了医务人员服务质量和效率，促进了社会和谐稳定发展。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7.88</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7.88</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70" w:type="dxa"/>
            <w:vMerge w:val="restart"/>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7.88</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7.88</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保障医疗机构了临床用血量</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安全有效德血液的保障率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项目完成时间</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1年</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保障全市医疗机构临床用血率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提供安全有效德血液，保证非税收入</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2000万元</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保障输血病人输到安全有效的血液</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按要求处理医废</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提高献血者和医疗机满意度</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99.50%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医务人员临时性工作补助</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78800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78800元</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824"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血液达到了供需平衡，满足了临床医疗机构用血需求。并增强了医务人员职业荣誉感和归属感，调动了医务人员工作积极性，保障了医务人员权益，提升了医务人员服务质量和效率，促进了社会和谐稳定发展。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29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项目负责人：王优</w:t>
            </w:r>
          </w:p>
        </w:tc>
        <w:tc>
          <w:tcPr>
            <w:tcW w:w="459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财务负责人：李澜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2"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33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152"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59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927"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087"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070"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885"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864"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51080023T000009750445-疫情防控财政补助资金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1087" w:type="dxa"/>
            <w:tcBorders>
              <w:top w:val="nil"/>
              <w:left w:val="nil"/>
              <w:bottom w:val="nil"/>
              <w:right w:val="nil"/>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0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广元市中心血站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33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14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提供安全有效的血液 保障全市医疗机构临床用血</w:t>
            </w:r>
          </w:p>
        </w:tc>
        <w:tc>
          <w:tcPr>
            <w:tcW w:w="314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全年采血35585人次，向临床供应红细胞类62850U，外调红细胞1800U，血浆366.3万毫升，达到了供需平衡，满足了临床医疗机构用血需求。并增强了医务人员职业荣誉感和归属感，调动了医务人员工作积极性，保障了医务人员权益，提升了医务人员服务质量和效率，促进了社会和谐稳定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864"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该笔补助资金按时按质的发放到医务人员手中，增强了医务人员职业荣誉感和归属感，调动了医务人员工作积极性，保障了医务人员权益，提升了医务人员服务质量和效率，促进了社会和谐稳定发展。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7.78</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7.78</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70" w:type="dxa"/>
            <w:vMerge w:val="restart"/>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7.78</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7.78</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保障医疗机构临床用血量</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安全有效的血液的保障率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项目完成时间</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1年</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保障全市医疗机构临床用血率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提供安全有效的血液，保证非税收入</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2000万元</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保障输血病人用到安全有效的血液</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按要求处理医废</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提高献血者和用血医疗机构满意度</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99.50%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疫情防控财政补助资金</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77760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77760元</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824"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血液达到了供需平衡，满足了临床医疗机构用血需求。并增强了医务人员职业荣誉感和归属感，调动了医务人员工作积极性，保障了医务人员权益，提升了医务人员服务质量和效率，促进了社会和谐稳定发展。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29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项目负责人：王优</w:t>
            </w:r>
          </w:p>
        </w:tc>
        <w:tc>
          <w:tcPr>
            <w:tcW w:w="459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财务负责人：李澜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2"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33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152"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59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927"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087"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c>
          <w:tcPr>
            <w:tcW w:w="1070" w:type="dxa"/>
            <w:tcBorders>
              <w:top w:val="nil"/>
              <w:left w:val="nil"/>
              <w:bottom w:val="nil"/>
              <w:right w:val="nil"/>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885"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864"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51080024R000010851755-人员其他支出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1087" w:type="dxa"/>
            <w:tcBorders>
              <w:top w:val="nil"/>
              <w:left w:val="nil"/>
              <w:bottom w:val="nil"/>
              <w:right w:val="nil"/>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0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广元市中心血站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33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14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1339"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471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314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依据相关政策，工资及时、足额发放，无结余资金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864"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在项目实施过程中，严格执行相关政策，保障工资及时发放、足额发放，财政按照人员情况年初下达预算指标，无结余。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5.58</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5.58</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70" w:type="dxa"/>
            <w:vMerge w:val="restart"/>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5.58</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5.58</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824"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7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按照财政下达的指标，依据相关政策，工资及时、足额发放，无结余资金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203"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29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项目负责人：王优</w:t>
            </w:r>
          </w:p>
        </w:tc>
        <w:tc>
          <w:tcPr>
            <w:tcW w:w="459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财务负责人：李澜</w:t>
            </w:r>
          </w:p>
        </w:tc>
      </w:tr>
    </w:tbl>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p>
      <w:pPr>
        <w:spacing w:line="600" w:lineRule="exact"/>
        <w:jc w:val="center"/>
        <w:outlineLvl w:val="0"/>
        <w:rPr>
          <w:rFonts w:hint="eastAsia" w:ascii="仿宋" w:hAnsi="仿宋" w:eastAsia="仿宋"/>
          <w:b w:val="0"/>
          <w:color w:val="auto"/>
          <w:highlight w:val="none"/>
        </w:rPr>
      </w:pPr>
      <w:bookmarkStart w:id="30" w:name="_Toc25292"/>
      <w:r>
        <w:rPr>
          <w:rFonts w:hint="eastAsia" w:ascii="黑体" w:hAnsi="黑体" w:eastAsia="黑体"/>
          <w:color w:val="auto"/>
          <w:sz w:val="44"/>
          <w:szCs w:val="44"/>
          <w:highlight w:val="none"/>
        </w:rPr>
        <w:t>第</w:t>
      </w:r>
      <w:r>
        <w:rPr>
          <w:rStyle w:val="10"/>
          <w:rFonts w:hint="eastAsia" w:ascii="黑体" w:hAnsi="黑体" w:eastAsia="黑体"/>
          <w:b w:val="0"/>
          <w:color w:val="auto"/>
          <w:highlight w:val="none"/>
        </w:rPr>
        <w:t>五部分 附表</w:t>
      </w:r>
      <w:bookmarkEnd w:id="30"/>
    </w:p>
    <w:p>
      <w:pPr>
        <w:pStyle w:val="4"/>
        <w:rPr>
          <w:rFonts w:ascii="仿宋" w:hAnsi="仿宋" w:eastAsia="仿宋"/>
          <w:color w:val="auto"/>
          <w:highlight w:val="none"/>
        </w:rPr>
      </w:pPr>
      <w:bookmarkStart w:id="31" w:name="_Toc18590"/>
      <w:r>
        <w:rPr>
          <w:rFonts w:hint="eastAsia" w:ascii="仿宋" w:hAnsi="仿宋" w:eastAsia="仿宋"/>
          <w:b w:val="0"/>
          <w:color w:val="auto"/>
          <w:highlight w:val="none"/>
        </w:rPr>
        <w:t>一、收</w:t>
      </w:r>
      <w:r>
        <w:rPr>
          <w:rStyle w:val="11"/>
          <w:rFonts w:hint="eastAsia" w:ascii="仿宋" w:hAnsi="仿宋" w:eastAsia="仿宋"/>
          <w:b w:val="0"/>
          <w:bCs w:val="0"/>
          <w:color w:val="auto"/>
          <w:highlight w:val="none"/>
        </w:rPr>
        <w:t>入支出决算总表</w:t>
      </w:r>
      <w:bookmarkEnd w:id="31"/>
    </w:p>
    <w:p>
      <w:pPr>
        <w:pStyle w:val="4"/>
        <w:rPr>
          <w:rFonts w:ascii="仿宋" w:hAnsi="仿宋" w:eastAsia="仿宋"/>
          <w:color w:val="auto"/>
          <w:highlight w:val="none"/>
        </w:rPr>
      </w:pPr>
      <w:bookmarkStart w:id="32" w:name="_Toc6423"/>
      <w:r>
        <w:rPr>
          <w:rFonts w:hint="eastAsia" w:ascii="仿宋" w:hAnsi="仿宋" w:eastAsia="仿宋"/>
          <w:b w:val="0"/>
          <w:color w:val="auto"/>
          <w:highlight w:val="none"/>
        </w:rPr>
        <w:t>二、收</w:t>
      </w:r>
      <w:r>
        <w:rPr>
          <w:rStyle w:val="11"/>
          <w:rFonts w:hint="eastAsia" w:ascii="仿宋" w:hAnsi="仿宋" w:eastAsia="仿宋"/>
          <w:b w:val="0"/>
          <w:bCs w:val="0"/>
          <w:color w:val="auto"/>
          <w:highlight w:val="none"/>
        </w:rPr>
        <w:t>入决算表</w:t>
      </w:r>
      <w:bookmarkEnd w:id="32"/>
    </w:p>
    <w:p>
      <w:pPr>
        <w:pStyle w:val="4"/>
        <w:rPr>
          <w:rFonts w:ascii="仿宋" w:hAnsi="仿宋" w:eastAsia="仿宋"/>
          <w:color w:val="auto"/>
          <w:highlight w:val="none"/>
        </w:rPr>
      </w:pPr>
      <w:bookmarkStart w:id="33" w:name="_Toc12362"/>
      <w:r>
        <w:rPr>
          <w:rStyle w:val="11"/>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1"/>
          <w:rFonts w:hint="eastAsia" w:ascii="仿宋" w:hAnsi="仿宋" w:eastAsia="仿宋"/>
          <w:b w:val="0"/>
          <w:bCs w:val="0"/>
          <w:color w:val="auto"/>
          <w:highlight w:val="none"/>
        </w:rPr>
        <w:t>出决算表</w:t>
      </w:r>
      <w:bookmarkEnd w:id="33"/>
    </w:p>
    <w:p>
      <w:pPr>
        <w:pStyle w:val="4"/>
        <w:rPr>
          <w:rFonts w:ascii="仿宋" w:hAnsi="仿宋" w:eastAsia="仿宋"/>
          <w:b w:val="0"/>
          <w:color w:val="auto"/>
          <w:highlight w:val="none"/>
        </w:rPr>
      </w:pPr>
      <w:bookmarkStart w:id="34" w:name="_Toc25993"/>
      <w:r>
        <w:rPr>
          <w:rStyle w:val="11"/>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1"/>
          <w:rFonts w:hint="eastAsia" w:ascii="仿宋" w:hAnsi="仿宋" w:eastAsia="仿宋"/>
          <w:b w:val="0"/>
          <w:bCs w:val="0"/>
          <w:color w:val="auto"/>
          <w:highlight w:val="none"/>
        </w:rPr>
        <w:t>政拨款收入支出决算总表</w:t>
      </w:r>
      <w:bookmarkEnd w:id="34"/>
    </w:p>
    <w:p>
      <w:pPr>
        <w:pStyle w:val="4"/>
        <w:rPr>
          <w:rStyle w:val="11"/>
          <w:rFonts w:ascii="仿宋" w:hAnsi="仿宋" w:eastAsia="仿宋"/>
          <w:b w:val="0"/>
          <w:bCs w:val="0"/>
          <w:color w:val="auto"/>
          <w:highlight w:val="none"/>
        </w:rPr>
      </w:pPr>
      <w:bookmarkStart w:id="35" w:name="_Toc22325"/>
      <w:r>
        <w:rPr>
          <w:rStyle w:val="11"/>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1"/>
          <w:rFonts w:hint="eastAsia" w:ascii="仿宋" w:hAnsi="仿宋" w:eastAsia="仿宋"/>
          <w:b w:val="0"/>
          <w:bCs w:val="0"/>
          <w:color w:val="auto"/>
          <w:highlight w:val="none"/>
        </w:rPr>
        <w:t>政拨款支出决算明细表</w:t>
      </w:r>
      <w:bookmarkEnd w:id="35"/>
    </w:p>
    <w:p>
      <w:pPr>
        <w:pStyle w:val="4"/>
        <w:rPr>
          <w:rFonts w:ascii="仿宋" w:hAnsi="仿宋" w:eastAsia="仿宋"/>
          <w:color w:val="auto"/>
          <w:highlight w:val="none"/>
        </w:rPr>
      </w:pPr>
      <w:bookmarkStart w:id="36" w:name="_Toc2086"/>
      <w:r>
        <w:rPr>
          <w:rStyle w:val="11"/>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1"/>
          <w:rFonts w:hint="eastAsia" w:ascii="仿宋" w:hAnsi="仿宋" w:eastAsia="仿宋"/>
          <w:b w:val="0"/>
          <w:bCs w:val="0"/>
          <w:color w:val="auto"/>
          <w:highlight w:val="none"/>
        </w:rPr>
        <w:t>般公共预算财政拨款支出决算表</w:t>
      </w:r>
      <w:bookmarkEnd w:id="36"/>
    </w:p>
    <w:p>
      <w:pPr>
        <w:pStyle w:val="4"/>
        <w:rPr>
          <w:rFonts w:ascii="仿宋" w:hAnsi="仿宋" w:eastAsia="仿宋"/>
          <w:color w:val="auto"/>
          <w:highlight w:val="none"/>
        </w:rPr>
      </w:pPr>
      <w:bookmarkStart w:id="37" w:name="_Toc29924"/>
      <w:r>
        <w:rPr>
          <w:rStyle w:val="11"/>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1"/>
          <w:rFonts w:hint="eastAsia" w:ascii="仿宋" w:hAnsi="仿宋" w:eastAsia="仿宋"/>
          <w:b w:val="0"/>
          <w:bCs w:val="0"/>
          <w:color w:val="auto"/>
          <w:highlight w:val="none"/>
        </w:rPr>
        <w:t>般公共预算财政拨款支出决算明细表</w:t>
      </w:r>
      <w:bookmarkEnd w:id="37"/>
    </w:p>
    <w:p>
      <w:pPr>
        <w:pStyle w:val="4"/>
        <w:rPr>
          <w:rFonts w:ascii="仿宋" w:hAnsi="仿宋" w:eastAsia="仿宋"/>
          <w:color w:val="auto"/>
          <w:highlight w:val="none"/>
        </w:rPr>
      </w:pPr>
      <w:bookmarkStart w:id="38" w:name="_Toc15276"/>
      <w:r>
        <w:rPr>
          <w:rStyle w:val="11"/>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1"/>
          <w:rFonts w:hint="eastAsia" w:ascii="仿宋" w:hAnsi="仿宋" w:eastAsia="仿宋"/>
          <w:b w:val="0"/>
          <w:bCs w:val="0"/>
          <w:color w:val="auto"/>
          <w:highlight w:val="none"/>
        </w:rPr>
        <w:t>般公共预算财政拨款基本支出决算表</w:t>
      </w:r>
      <w:bookmarkEnd w:id="38"/>
    </w:p>
    <w:p>
      <w:pPr>
        <w:pStyle w:val="4"/>
        <w:rPr>
          <w:rFonts w:ascii="仿宋" w:hAnsi="仿宋" w:eastAsia="仿宋"/>
          <w:color w:val="auto"/>
          <w:highlight w:val="none"/>
        </w:rPr>
      </w:pPr>
      <w:bookmarkStart w:id="39" w:name="_Toc23868"/>
      <w:r>
        <w:rPr>
          <w:rStyle w:val="11"/>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1"/>
          <w:rFonts w:hint="eastAsia" w:ascii="仿宋" w:hAnsi="仿宋" w:eastAsia="仿宋"/>
          <w:b w:val="0"/>
          <w:bCs w:val="0"/>
          <w:color w:val="auto"/>
          <w:highlight w:val="none"/>
        </w:rPr>
        <w:t>般公共预算财政拨款项目支出决算表</w:t>
      </w:r>
      <w:bookmarkEnd w:id="39"/>
    </w:p>
    <w:p>
      <w:pPr>
        <w:pStyle w:val="4"/>
        <w:rPr>
          <w:rFonts w:ascii="仿宋" w:hAnsi="仿宋" w:eastAsia="仿宋"/>
          <w:color w:val="auto"/>
          <w:highlight w:val="none"/>
        </w:rPr>
      </w:pPr>
      <w:bookmarkStart w:id="40" w:name="_Toc4"/>
      <w:r>
        <w:rPr>
          <w:rStyle w:val="11"/>
          <w:rFonts w:hint="eastAsia" w:ascii="仿宋" w:hAnsi="仿宋" w:eastAsia="仿宋"/>
          <w:b w:val="0"/>
          <w:bCs w:val="0"/>
          <w:color w:val="auto"/>
          <w:highlight w:val="none"/>
        </w:rPr>
        <w:t>十、</w:t>
      </w:r>
      <w:r>
        <w:rPr>
          <w:rFonts w:hint="eastAsia" w:ascii="仿宋" w:hAnsi="仿宋" w:eastAsia="仿宋"/>
          <w:b w:val="0"/>
          <w:color w:val="auto"/>
          <w:highlight w:val="none"/>
        </w:rPr>
        <w:t>政</w:t>
      </w:r>
      <w:r>
        <w:rPr>
          <w:rStyle w:val="11"/>
          <w:rFonts w:hint="eastAsia" w:ascii="仿宋" w:hAnsi="仿宋" w:eastAsia="仿宋"/>
          <w:b w:val="0"/>
          <w:bCs w:val="0"/>
          <w:color w:val="auto"/>
          <w:highlight w:val="none"/>
        </w:rPr>
        <w:t>府性基金预算财政拨款收入支出决算表</w:t>
      </w:r>
      <w:bookmarkEnd w:id="40"/>
    </w:p>
    <w:p>
      <w:pPr>
        <w:pStyle w:val="4"/>
        <w:rPr>
          <w:rFonts w:ascii="仿宋" w:hAnsi="仿宋" w:eastAsia="仿宋"/>
          <w:color w:val="auto"/>
          <w:highlight w:val="none"/>
        </w:rPr>
      </w:pPr>
      <w:bookmarkStart w:id="41" w:name="_Toc1464"/>
      <w:r>
        <w:rPr>
          <w:rStyle w:val="11"/>
          <w:rFonts w:hint="eastAsia" w:ascii="仿宋" w:hAnsi="仿宋" w:eastAsia="仿宋"/>
          <w:b w:val="0"/>
          <w:bCs w:val="0"/>
          <w:color w:val="auto"/>
          <w:highlight w:val="none"/>
        </w:rPr>
        <w:t>十一、</w:t>
      </w:r>
      <w:r>
        <w:rPr>
          <w:rFonts w:hint="eastAsia" w:ascii="仿宋" w:hAnsi="仿宋" w:eastAsia="仿宋"/>
          <w:b w:val="0"/>
          <w:color w:val="auto"/>
          <w:highlight w:val="none"/>
        </w:rPr>
        <w:t>国</w:t>
      </w:r>
      <w:r>
        <w:rPr>
          <w:rStyle w:val="11"/>
          <w:rFonts w:hint="eastAsia" w:ascii="仿宋" w:hAnsi="仿宋" w:eastAsia="仿宋"/>
          <w:b w:val="0"/>
          <w:bCs w:val="0"/>
          <w:color w:val="auto"/>
          <w:highlight w:val="none"/>
        </w:rPr>
        <w:t>有资本经营预算</w:t>
      </w:r>
      <w:r>
        <w:rPr>
          <w:rStyle w:val="11"/>
          <w:rFonts w:hint="eastAsia" w:ascii="仿宋" w:hAnsi="仿宋" w:eastAsia="仿宋"/>
          <w:b w:val="0"/>
          <w:bCs w:val="0"/>
          <w:color w:val="auto"/>
          <w:highlight w:val="none"/>
          <w:lang w:eastAsia="zh-CN"/>
        </w:rPr>
        <w:t>财政拨款收入</w:t>
      </w:r>
      <w:r>
        <w:rPr>
          <w:rStyle w:val="11"/>
          <w:rFonts w:hint="eastAsia" w:ascii="仿宋" w:hAnsi="仿宋" w:eastAsia="仿宋"/>
          <w:b w:val="0"/>
          <w:bCs w:val="0"/>
          <w:color w:val="auto"/>
          <w:highlight w:val="none"/>
        </w:rPr>
        <w:t>支出决算表</w:t>
      </w:r>
      <w:bookmarkEnd w:id="41"/>
    </w:p>
    <w:p>
      <w:pPr>
        <w:pStyle w:val="4"/>
        <w:rPr>
          <w:rFonts w:ascii="仿宋" w:hAnsi="仿宋" w:eastAsia="仿宋"/>
          <w:color w:val="auto"/>
          <w:highlight w:val="none"/>
        </w:rPr>
      </w:pPr>
      <w:bookmarkStart w:id="42" w:name="_Toc23846"/>
      <w:r>
        <w:rPr>
          <w:rStyle w:val="11"/>
          <w:rFonts w:hint="eastAsia" w:ascii="仿宋" w:hAnsi="仿宋" w:eastAsia="仿宋"/>
          <w:b w:val="0"/>
          <w:bCs w:val="0"/>
          <w:color w:val="auto"/>
          <w:highlight w:val="none"/>
        </w:rPr>
        <w:t>十二、</w:t>
      </w:r>
      <w:r>
        <w:rPr>
          <w:rStyle w:val="11"/>
          <w:rFonts w:hint="eastAsia" w:ascii="仿宋" w:hAnsi="仿宋" w:eastAsia="仿宋"/>
          <w:b w:val="0"/>
          <w:bCs w:val="0"/>
          <w:color w:val="auto"/>
          <w:highlight w:val="none"/>
          <w:lang w:eastAsia="zh-CN"/>
        </w:rPr>
        <w:t>国有资本经营预算财政拨款支出决算表</w:t>
      </w:r>
      <w:bookmarkEnd w:id="42"/>
    </w:p>
    <w:p>
      <w:pPr>
        <w:pStyle w:val="4"/>
        <w:rPr>
          <w:rFonts w:hint="eastAsia" w:eastAsia="仿宋"/>
          <w:color w:val="auto"/>
          <w:highlight w:val="none"/>
          <w:lang w:eastAsia="zh-CN"/>
        </w:rPr>
      </w:pPr>
      <w:bookmarkStart w:id="43" w:name="_Toc17712"/>
      <w:r>
        <w:rPr>
          <w:rStyle w:val="11"/>
          <w:rFonts w:hint="eastAsia" w:ascii="仿宋" w:hAnsi="仿宋" w:eastAsia="仿宋"/>
          <w:b w:val="0"/>
          <w:bCs w:val="0"/>
          <w:color w:val="auto"/>
          <w:highlight w:val="none"/>
        </w:rPr>
        <w:t>十三、</w:t>
      </w:r>
      <w:r>
        <w:rPr>
          <w:rStyle w:val="11"/>
          <w:rFonts w:hint="eastAsia" w:ascii="仿宋" w:hAnsi="仿宋" w:eastAsia="仿宋"/>
          <w:b w:val="0"/>
          <w:bCs w:val="0"/>
          <w:color w:val="auto"/>
          <w:highlight w:val="none"/>
          <w:lang w:eastAsia="zh-CN"/>
        </w:rPr>
        <w:t>财政拨款“三公”经费支出决算表</w:t>
      </w:r>
      <w:bookmarkEnd w:id="43"/>
    </w:p>
    <w:p/>
    <w:p/>
    <w:sectPr>
      <w:footerReference r:id="rId3" w:type="default"/>
      <w:pgSz w:w="11906" w:h="16838"/>
      <w:pgMar w:top="1440" w:right="1800" w:bottom="1440" w:left="1800" w:header="720" w:footer="720"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
    <w:altName w:val="宋体"/>
    <w:panose1 w:val="02010609060101010101"/>
    <w:charset w:val="86"/>
    <w:family w:val="modern"/>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5"/>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BYAAABkcnMvUEsB&#10;AhQAFAAAAAgAh07iQM6pebnPAAAABQEAAA8AAAAAAAAAAQAgAAAAOAAAAGRycy9kb3ducmV2Lnht&#10;bFBLAQIUABQAAAAIAIdO4kBlwDkGswEAAFIDAAAOAAAAAAAAAAEAIAAAADQBAABkcnMvZTJvRG9j&#10;LnhtbFBLBQYAAAAABgAGAFkBAABZBQAAAAA=&#10;">
              <v:fill on="f" focussize="0,0"/>
              <v:stroke on="f"/>
              <v:imagedata o:title=""/>
              <o:lock v:ext="edit" aspectratio="f"/>
              <v:textbox inset="0mm,0mm,0mm,0mm" style="mso-fit-shape-to-text:t;">
                <w:txbxContent>
                  <w:p>
                    <w:pPr>
                      <w:pStyle w:val="5"/>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234AFD"/>
    <w:multiLevelType w:val="singleLevel"/>
    <w:tmpl w:val="CD234AFD"/>
    <w:lvl w:ilvl="0" w:tentative="0">
      <w:start w:val="1"/>
      <w:numFmt w:val="decimal"/>
      <w:suff w:val="nothing"/>
      <w:lvlText w:val="%1．"/>
      <w:lvlJc w:val="left"/>
      <w:pPr>
        <w:ind w:left="0" w:firstLine="400"/>
      </w:pPr>
      <w:rPr>
        <w:rFonts w:hint="default"/>
      </w:rPr>
    </w:lvl>
  </w:abstractNum>
  <w:abstractNum w:abstractNumId="1">
    <w:nsid w:val="3818A09A"/>
    <w:multiLevelType w:val="singleLevel"/>
    <w:tmpl w:val="3818A09A"/>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0B655D2E"/>
    <w:rsid w:val="154E5A2F"/>
    <w:rsid w:val="164F7560"/>
    <w:rsid w:val="1FE84133"/>
    <w:rsid w:val="22464F27"/>
    <w:rsid w:val="27C625A9"/>
    <w:rsid w:val="294C6F88"/>
    <w:rsid w:val="31B732C3"/>
    <w:rsid w:val="412344D1"/>
    <w:rsid w:val="4FFC2ABD"/>
    <w:rsid w:val="54AB2576"/>
    <w:rsid w:val="EEFB35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3">
    <w:name w:val="heading 1"/>
    <w:basedOn w:val="1"/>
    <w:next w:val="1"/>
    <w:link w:val="1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1"/>
    <w:unhideWhenUsed/>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character" w:styleId="9">
    <w:name w:val="Strong"/>
    <w:basedOn w:val="8"/>
    <w:qFormat/>
    <w:uiPriority w:val="99"/>
    <w:rPr>
      <w:b/>
    </w:rPr>
  </w:style>
  <w:style w:type="character" w:customStyle="1" w:styleId="10">
    <w:name w:val="标题 1 Char"/>
    <w:basedOn w:val="8"/>
    <w:link w:val="3"/>
    <w:qFormat/>
    <w:uiPriority w:val="9"/>
    <w:rPr>
      <w:b/>
      <w:bCs/>
      <w:kern w:val="44"/>
      <w:sz w:val="44"/>
      <w:szCs w:val="44"/>
    </w:rPr>
  </w:style>
  <w:style w:type="character" w:customStyle="1" w:styleId="11">
    <w:name w:val="标题 2 Char"/>
    <w:basedOn w:val="8"/>
    <w:link w:val="4"/>
    <w:qFormat/>
    <w:uiPriority w:val="9"/>
    <w:rPr>
      <w:rFonts w:ascii="Cambria" w:hAnsi="Cambria" w:eastAsia="宋体" w:cs="Times New Roman"/>
      <w:b/>
      <w:bCs/>
      <w:sz w:val="32"/>
      <w:szCs w:val="32"/>
    </w:rPr>
  </w:style>
  <w:style w:type="paragraph" w:customStyle="1" w:styleId="12">
    <w:name w:val="WPSOffice手动目录 1"/>
    <w:qFormat/>
    <w:uiPriority w:val="0"/>
    <w:pPr>
      <w:ind w:leftChars="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3"/>
    <w:qFormat/>
    <w:uiPriority w:val="0"/>
    <w:pPr>
      <w:ind w:leftChars="400"/>
    </w:pPr>
    <w:rPr>
      <w:rFonts w:ascii="Times New Roman" w:hAnsi="Times New Roman" w:eastAsia="宋体" w:cs="Times New Roman"/>
      <w:sz w:val="20"/>
      <w:szCs w:val="20"/>
    </w:rPr>
  </w:style>
  <w:style w:type="paragraph" w:styleId="15">
    <w:name w:val="List Paragraph"/>
    <w:basedOn w:val="1"/>
    <w:qFormat/>
    <w:uiPriority w:val="34"/>
    <w:pPr>
      <w:ind w:firstLine="420" w:firstLineChars="200"/>
    </w:pPr>
  </w:style>
  <w:style w:type="character" w:customStyle="1" w:styleId="16">
    <w:name w:val="15"/>
    <w:basedOn w:val="8"/>
    <w:qFormat/>
    <w:uiPriority w:val="0"/>
    <w:rPr>
      <w:rFonts w:hint="default" w:ascii="Calibri" w:hAnsi="Calibri" w:cs="Times New Roman"/>
      <w:b/>
    </w:rPr>
  </w:style>
  <w:style w:type="paragraph" w:customStyle="1" w:styleId="1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12706</Words>
  <Characters>14783</Characters>
  <Lines>0</Lines>
  <Paragraphs>0</Paragraphs>
  <TotalTime>21</TotalTime>
  <ScaleCrop>false</ScaleCrop>
  <LinksUpToDate>false</LinksUpToDate>
  <CharactersWithSpaces>14869</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cws</dc:creator>
  <cp:lastModifiedBy> </cp:lastModifiedBy>
  <dcterms:modified xsi:type="dcterms:W3CDTF">2024-10-12T19:25:54Z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C01764201828413F942F182D0E6D25A3_12</vt:lpwstr>
  </property>
</Properties>
</file>