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方正小标宋简体" w:hAnsi="宋体" w:eastAsia="方正小标宋简体"/>
          <w:sz w:val="44"/>
          <w:szCs w:val="44"/>
        </w:rPr>
      </w:pPr>
    </w:p>
    <w:p>
      <w:pPr>
        <w:pStyle w:val="2"/>
        <w:jc w:val="center"/>
        <w:rPr>
          <w:rFonts w:hint="eastAsia"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2023年度</w:t>
      </w:r>
    </w:p>
    <w:p>
      <w:pPr>
        <w:pStyle w:val="2"/>
        <w:jc w:val="center"/>
        <w:rPr>
          <w:rFonts w:hint="eastAsia"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广元市利州中等专业学校</w:t>
      </w:r>
    </w:p>
    <w:p>
      <w:pPr>
        <w:pStyle w:val="2"/>
        <w:jc w:val="center"/>
        <w:rPr>
          <w:rFonts w:ascii="黑体" w:hAnsi="黑体" w:eastAsia="黑体"/>
          <w:sz w:val="28"/>
          <w:szCs w:val="28"/>
        </w:rPr>
      </w:pPr>
      <w:r>
        <w:rPr>
          <w:rFonts w:hint="eastAsia" w:ascii="方正小标宋简体" w:hAnsi="方正小标宋简体" w:eastAsia="方正小标宋简体" w:cs="方正小标宋简体"/>
          <w:sz w:val="72"/>
          <w:szCs w:val="72"/>
        </w:rPr>
        <w:t>单位决算</w:t>
      </w:r>
      <w:r>
        <w:rPr>
          <w:rFonts w:hint="eastAsia" w:ascii="方正小标宋简体" w:hAnsi="方正小标宋简体" w:eastAsia="方正小标宋简体" w:cs="方正小标宋简体"/>
          <w:sz w:val="72"/>
          <w:szCs w:val="72"/>
        </w:rPr>
        <w:br w:type="page"/>
      </w:r>
      <w:r>
        <w:rPr>
          <w:rFonts w:hint="eastAsia" w:ascii="黑体" w:hAnsi="黑体" w:eastAsia="黑体"/>
          <w:sz w:val="48"/>
          <w:szCs w:val="48"/>
        </w:rPr>
        <w:t>目录</w:t>
      </w:r>
    </w:p>
    <w:p>
      <w:pPr>
        <w:jc w:val="center"/>
        <w:rPr>
          <w:rFonts w:ascii="仿宋" w:hAnsi="仿宋" w:eastAsia="仿宋"/>
          <w:sz w:val="28"/>
          <w:szCs w:val="28"/>
        </w:rPr>
      </w:pPr>
      <w:r>
        <w:rPr>
          <w:rFonts w:hint="eastAsia" w:ascii="仿宋" w:hAnsi="仿宋" w:eastAsia="仿宋"/>
          <w:sz w:val="28"/>
          <w:szCs w:val="28"/>
        </w:rPr>
        <w:t>公开时间：2024年10月1</w:t>
      </w:r>
      <w:r>
        <w:rPr>
          <w:rFonts w:hint="eastAsia" w:ascii="仿宋" w:hAnsi="仿宋" w:eastAsia="仿宋"/>
          <w:sz w:val="28"/>
          <w:szCs w:val="28"/>
          <w:lang w:val="en-US" w:eastAsia="zh-CN"/>
        </w:rPr>
        <w:t>4</w:t>
      </w:r>
      <w:r>
        <w:rPr>
          <w:rFonts w:hint="eastAsia" w:ascii="仿宋" w:hAnsi="仿宋" w:eastAsia="仿宋"/>
          <w:sz w:val="28"/>
          <w:szCs w:val="28"/>
        </w:rPr>
        <w:t>日</w:t>
      </w:r>
    </w:p>
    <w:sdt>
      <w:sdtPr>
        <w:rPr>
          <w:rFonts w:ascii="Calibri" w:hAnsi="Calibri" w:eastAsia="宋体" w:cs="Times New Roman"/>
          <w:b w:val="0"/>
          <w:bCs w:val="0"/>
          <w:color w:val="auto"/>
          <w:kern w:val="2"/>
          <w:sz w:val="21"/>
          <w:szCs w:val="24"/>
          <w:lang w:val="zh-CN"/>
        </w:rPr>
        <w:id w:val="529929660"/>
        <w:docPartObj>
          <w:docPartGallery w:val="Table of Contents"/>
          <w:docPartUnique/>
        </w:docPartObj>
      </w:sdtPr>
      <w:sdtEndPr>
        <w:rPr>
          <w:rFonts w:ascii="Calibri" w:hAnsi="Calibri" w:eastAsia="宋体" w:cs="Times New Roman"/>
          <w:b w:val="0"/>
          <w:bCs w:val="0"/>
          <w:color w:val="auto"/>
          <w:kern w:val="2"/>
          <w:sz w:val="21"/>
          <w:szCs w:val="24"/>
          <w:lang w:val="zh-CN"/>
        </w:rPr>
      </w:sdtEndPr>
      <w:sdtContent>
        <w:p>
          <w:pPr>
            <w:pStyle w:val="23"/>
            <w:rPr>
              <w:rFonts w:hint="eastAsia"/>
            </w:rPr>
          </w:pPr>
          <w:bookmarkStart w:id="58" w:name="_GoBack"/>
          <w:bookmarkEnd w:id="58"/>
        </w:p>
        <w:p>
          <w:pPr>
            <w:pStyle w:val="12"/>
            <w:rPr>
              <w:rFonts w:cstheme="minorBidi"/>
              <w:sz w:val="24"/>
              <w:szCs w:val="24"/>
            </w:rPr>
          </w:pPr>
          <w:r>
            <w:rPr>
              <w:rFonts w:ascii="宋体" w:hAnsi="宋体" w:eastAsia="宋体"/>
              <w:sz w:val="24"/>
              <w:szCs w:val="24"/>
            </w:rPr>
            <w:fldChar w:fldCharType="begin"/>
          </w:r>
          <w:r>
            <w:rPr>
              <w:rFonts w:ascii="宋体" w:hAnsi="宋体" w:eastAsia="宋体"/>
              <w:sz w:val="24"/>
              <w:szCs w:val="24"/>
            </w:rPr>
            <w:instrText xml:space="preserve"> TOC \o "1-3" \h \z \u </w:instrText>
          </w:r>
          <w:r>
            <w:rPr>
              <w:rFonts w:ascii="宋体" w:hAnsi="宋体" w:eastAsia="宋体"/>
              <w:sz w:val="24"/>
              <w:szCs w:val="24"/>
            </w:rPr>
            <w:fldChar w:fldCharType="separate"/>
          </w:r>
          <w:r>
            <w:fldChar w:fldCharType="begin"/>
          </w:r>
          <w:r>
            <w:instrText xml:space="preserve"> HYPERLINK \l "_Toc177559194" </w:instrText>
          </w:r>
          <w:r>
            <w:fldChar w:fldCharType="separate"/>
          </w:r>
          <w:r>
            <w:rPr>
              <w:rStyle w:val="17"/>
              <w:rFonts w:hint="eastAsia"/>
              <w:sz w:val="24"/>
              <w:szCs w:val="24"/>
            </w:rPr>
            <w:t>第一部分</w:t>
          </w:r>
          <w:r>
            <w:rPr>
              <w:rStyle w:val="17"/>
              <w:sz w:val="24"/>
              <w:szCs w:val="24"/>
            </w:rPr>
            <w:t xml:space="preserve"> </w:t>
          </w:r>
          <w:r>
            <w:rPr>
              <w:rStyle w:val="17"/>
              <w:rFonts w:hint="eastAsia"/>
              <w:sz w:val="24"/>
              <w:szCs w:val="24"/>
            </w:rPr>
            <w:t>单位概况</w:t>
          </w:r>
          <w:r>
            <w:rPr>
              <w:sz w:val="24"/>
              <w:szCs w:val="24"/>
            </w:rPr>
            <w:tab/>
          </w:r>
          <w:r>
            <w:rPr>
              <w:sz w:val="24"/>
              <w:szCs w:val="24"/>
            </w:rPr>
            <w:fldChar w:fldCharType="begin"/>
          </w:r>
          <w:r>
            <w:rPr>
              <w:sz w:val="24"/>
              <w:szCs w:val="24"/>
            </w:rPr>
            <w:instrText xml:space="preserve"> PAGEREF _Toc177559194 \h </w:instrText>
          </w:r>
          <w:r>
            <w:rPr>
              <w:sz w:val="24"/>
              <w:szCs w:val="24"/>
            </w:rPr>
            <w:fldChar w:fldCharType="separate"/>
          </w:r>
          <w:r>
            <w:rPr>
              <w:sz w:val="24"/>
              <w:szCs w:val="24"/>
            </w:rPr>
            <w:t>1</w:t>
          </w:r>
          <w:r>
            <w:rPr>
              <w:sz w:val="24"/>
              <w:szCs w:val="24"/>
            </w:rPr>
            <w:fldChar w:fldCharType="end"/>
          </w:r>
          <w:r>
            <w:rPr>
              <w:sz w:val="24"/>
              <w:szCs w:val="24"/>
            </w:rPr>
            <w:fldChar w:fldCharType="end"/>
          </w:r>
        </w:p>
        <w:p>
          <w:pPr>
            <w:pStyle w:val="13"/>
            <w:rPr>
              <w:rFonts w:ascii="宋体" w:hAnsi="宋体" w:cstheme="minorBidi"/>
              <w:sz w:val="24"/>
            </w:rPr>
          </w:pPr>
          <w:r>
            <w:fldChar w:fldCharType="begin"/>
          </w:r>
          <w:r>
            <w:instrText xml:space="preserve"> HYPERLINK \l "_Toc177559195" </w:instrText>
          </w:r>
          <w:r>
            <w:fldChar w:fldCharType="separate"/>
          </w:r>
          <w:r>
            <w:rPr>
              <w:rStyle w:val="17"/>
              <w:rFonts w:hint="eastAsia" w:ascii="宋体" w:hAnsi="宋体"/>
              <w:sz w:val="24"/>
            </w:rPr>
            <w:t>一、 主要职责</w:t>
          </w:r>
          <w:r>
            <w:rPr>
              <w:rFonts w:ascii="宋体" w:hAnsi="宋体"/>
              <w:sz w:val="24"/>
            </w:rPr>
            <w:tab/>
          </w:r>
          <w:r>
            <w:rPr>
              <w:rFonts w:ascii="宋体" w:hAnsi="宋体"/>
              <w:sz w:val="24"/>
            </w:rPr>
            <w:fldChar w:fldCharType="begin"/>
          </w:r>
          <w:r>
            <w:rPr>
              <w:rFonts w:ascii="宋体" w:hAnsi="宋体"/>
              <w:sz w:val="24"/>
            </w:rPr>
            <w:instrText xml:space="preserve"> PAGEREF _Toc177559195 \h </w:instrText>
          </w:r>
          <w:r>
            <w:rPr>
              <w:rFonts w:ascii="宋体" w:hAnsi="宋体"/>
              <w:sz w:val="24"/>
            </w:rPr>
            <w:fldChar w:fldCharType="separate"/>
          </w:r>
          <w:r>
            <w:rPr>
              <w:rFonts w:ascii="宋体" w:hAnsi="宋体"/>
              <w:sz w:val="24"/>
            </w:rPr>
            <w:t>1</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"_Toc177559197" </w:instrText>
          </w:r>
          <w:r>
            <w:fldChar w:fldCharType="separate"/>
          </w:r>
          <w:r>
            <w:rPr>
              <w:rStyle w:val="17"/>
              <w:rFonts w:hint="eastAsia" w:ascii="宋体" w:hAnsi="宋体"/>
              <w:sz w:val="24"/>
            </w:rPr>
            <w:t>二、 机构设置</w:t>
          </w:r>
          <w:r>
            <w:rPr>
              <w:rFonts w:ascii="宋体" w:hAnsi="宋体"/>
              <w:sz w:val="24"/>
            </w:rPr>
            <w:tab/>
          </w:r>
          <w:r>
            <w:rPr>
              <w:rFonts w:ascii="宋体" w:hAnsi="宋体"/>
              <w:sz w:val="24"/>
            </w:rPr>
            <w:fldChar w:fldCharType="begin"/>
          </w:r>
          <w:r>
            <w:rPr>
              <w:rFonts w:ascii="宋体" w:hAnsi="宋体"/>
              <w:sz w:val="24"/>
            </w:rPr>
            <w:instrText xml:space="preserve"> PAGEREF _Toc177559197 \h </w:instrText>
          </w:r>
          <w:r>
            <w:rPr>
              <w:rFonts w:ascii="宋体" w:hAnsi="宋体"/>
              <w:sz w:val="24"/>
            </w:rPr>
            <w:fldChar w:fldCharType="separate"/>
          </w:r>
          <w:r>
            <w:rPr>
              <w:rFonts w:ascii="宋体" w:hAnsi="宋体"/>
              <w:sz w:val="24"/>
            </w:rPr>
            <w:t>1</w:t>
          </w:r>
          <w:r>
            <w:rPr>
              <w:rFonts w:ascii="宋体" w:hAnsi="宋体"/>
              <w:sz w:val="24"/>
            </w:rPr>
            <w:fldChar w:fldCharType="end"/>
          </w:r>
          <w:r>
            <w:rPr>
              <w:rFonts w:ascii="宋体" w:hAnsi="宋体"/>
              <w:sz w:val="24"/>
            </w:rPr>
            <w:fldChar w:fldCharType="end"/>
          </w:r>
        </w:p>
        <w:p>
          <w:pPr>
            <w:pStyle w:val="12"/>
            <w:rPr>
              <w:rFonts w:cstheme="minorBidi"/>
              <w:sz w:val="24"/>
              <w:szCs w:val="24"/>
            </w:rPr>
          </w:pPr>
          <w:r>
            <w:fldChar w:fldCharType="begin"/>
          </w:r>
          <w:r>
            <w:instrText xml:space="preserve"> HYPERLINK \l "_Toc177559198" </w:instrText>
          </w:r>
          <w:r>
            <w:fldChar w:fldCharType="separate"/>
          </w:r>
          <w:r>
            <w:rPr>
              <w:rStyle w:val="17"/>
              <w:rFonts w:hint="eastAsia"/>
              <w:sz w:val="24"/>
              <w:szCs w:val="24"/>
            </w:rPr>
            <w:t>第二部分</w:t>
          </w:r>
          <w:r>
            <w:rPr>
              <w:rStyle w:val="17"/>
              <w:sz w:val="24"/>
              <w:szCs w:val="24"/>
            </w:rPr>
            <w:t xml:space="preserve"> 2023</w:t>
          </w:r>
          <w:r>
            <w:rPr>
              <w:rStyle w:val="17"/>
              <w:rFonts w:hint="eastAsia"/>
              <w:sz w:val="24"/>
              <w:szCs w:val="24"/>
            </w:rPr>
            <w:t>年度单位决算情况说明</w:t>
          </w:r>
          <w:r>
            <w:rPr>
              <w:sz w:val="24"/>
              <w:szCs w:val="24"/>
            </w:rPr>
            <w:tab/>
          </w:r>
          <w:r>
            <w:rPr>
              <w:sz w:val="24"/>
              <w:szCs w:val="24"/>
            </w:rPr>
            <w:fldChar w:fldCharType="begin"/>
          </w:r>
          <w:r>
            <w:rPr>
              <w:sz w:val="24"/>
              <w:szCs w:val="24"/>
            </w:rPr>
            <w:instrText xml:space="preserve"> PAGEREF _Toc177559198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3"/>
            <w:rPr>
              <w:rFonts w:ascii="宋体" w:hAnsi="宋体" w:cstheme="minorBidi"/>
              <w:sz w:val="24"/>
            </w:rPr>
          </w:pPr>
          <w:r>
            <w:fldChar w:fldCharType="begin"/>
          </w:r>
          <w:r>
            <w:instrText xml:space="preserve"> HYPERLINK \l "_Toc177559199" </w:instrText>
          </w:r>
          <w:r>
            <w:fldChar w:fldCharType="separate"/>
          </w:r>
          <w:r>
            <w:rPr>
              <w:rStyle w:val="17"/>
              <w:rFonts w:hint="eastAsia" w:ascii="宋体" w:hAnsi="宋体"/>
              <w:sz w:val="24"/>
            </w:rPr>
            <w:t>一、收入支出决算总体情况说明</w:t>
          </w:r>
          <w:r>
            <w:rPr>
              <w:rFonts w:ascii="宋体" w:hAnsi="宋体"/>
              <w:sz w:val="24"/>
            </w:rPr>
            <w:tab/>
          </w:r>
          <w:r>
            <w:rPr>
              <w:rFonts w:ascii="宋体" w:hAnsi="宋体"/>
              <w:sz w:val="24"/>
            </w:rPr>
            <w:fldChar w:fldCharType="begin"/>
          </w:r>
          <w:r>
            <w:rPr>
              <w:rFonts w:ascii="宋体" w:hAnsi="宋体"/>
              <w:sz w:val="24"/>
            </w:rPr>
            <w:instrText xml:space="preserve"> PAGEREF _Toc177559199 \h </w:instrText>
          </w:r>
          <w:r>
            <w:rPr>
              <w:rFonts w:ascii="宋体" w:hAnsi="宋体"/>
              <w:sz w:val="24"/>
            </w:rPr>
            <w:fldChar w:fldCharType="separate"/>
          </w:r>
          <w:r>
            <w:rPr>
              <w:rFonts w:ascii="宋体" w:hAnsi="宋体"/>
              <w:sz w:val="24"/>
            </w:rPr>
            <w:t>2</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"_Toc177559200" </w:instrText>
          </w:r>
          <w:r>
            <w:fldChar w:fldCharType="separate"/>
          </w:r>
          <w:r>
            <w:rPr>
              <w:rStyle w:val="17"/>
              <w:rFonts w:hint="eastAsia" w:ascii="宋体" w:hAnsi="宋体"/>
              <w:sz w:val="24"/>
            </w:rPr>
            <w:t>二、收入决算情况说明</w:t>
          </w:r>
          <w:r>
            <w:rPr>
              <w:rFonts w:ascii="宋体" w:hAnsi="宋体"/>
              <w:sz w:val="24"/>
            </w:rPr>
            <w:tab/>
          </w:r>
          <w:r>
            <w:rPr>
              <w:rFonts w:ascii="宋体" w:hAnsi="宋体"/>
              <w:sz w:val="24"/>
            </w:rPr>
            <w:fldChar w:fldCharType="begin"/>
          </w:r>
          <w:r>
            <w:rPr>
              <w:rFonts w:ascii="宋体" w:hAnsi="宋体"/>
              <w:sz w:val="24"/>
            </w:rPr>
            <w:instrText xml:space="preserve"> PAGEREF _Toc177559200 \h </w:instrText>
          </w:r>
          <w:r>
            <w:rPr>
              <w:rFonts w:ascii="宋体" w:hAnsi="宋体"/>
              <w:sz w:val="24"/>
            </w:rPr>
            <w:fldChar w:fldCharType="separate"/>
          </w:r>
          <w:r>
            <w:rPr>
              <w:rFonts w:ascii="宋体" w:hAnsi="宋体"/>
              <w:sz w:val="24"/>
            </w:rPr>
            <w:t>2</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"_Toc177559202" </w:instrText>
          </w:r>
          <w:r>
            <w:fldChar w:fldCharType="separate"/>
          </w:r>
          <w:r>
            <w:rPr>
              <w:rStyle w:val="17"/>
              <w:rFonts w:hint="eastAsia" w:ascii="宋体" w:hAnsi="宋体"/>
              <w:sz w:val="24"/>
            </w:rPr>
            <w:t>三、支出决算情况说明</w:t>
          </w:r>
          <w:r>
            <w:rPr>
              <w:rFonts w:ascii="宋体" w:hAnsi="宋体"/>
              <w:sz w:val="24"/>
            </w:rPr>
            <w:tab/>
          </w:r>
          <w:r>
            <w:rPr>
              <w:rFonts w:ascii="宋体" w:hAnsi="宋体"/>
              <w:sz w:val="24"/>
            </w:rPr>
            <w:fldChar w:fldCharType="begin"/>
          </w:r>
          <w:r>
            <w:rPr>
              <w:rFonts w:ascii="宋体" w:hAnsi="宋体"/>
              <w:sz w:val="24"/>
            </w:rPr>
            <w:instrText xml:space="preserve"> PAGEREF _Toc177559202 \h </w:instrText>
          </w:r>
          <w:r>
            <w:rPr>
              <w:rFonts w:ascii="宋体" w:hAnsi="宋体"/>
              <w:sz w:val="24"/>
            </w:rPr>
            <w:fldChar w:fldCharType="separate"/>
          </w:r>
          <w:r>
            <w:rPr>
              <w:rFonts w:ascii="宋体" w:hAnsi="宋体"/>
              <w:sz w:val="24"/>
            </w:rPr>
            <w:t>3</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"_Toc177559204" </w:instrText>
          </w:r>
          <w:r>
            <w:fldChar w:fldCharType="separate"/>
          </w:r>
          <w:r>
            <w:rPr>
              <w:rStyle w:val="17"/>
              <w:rFonts w:hint="eastAsia" w:ascii="宋体" w:hAnsi="宋体"/>
              <w:sz w:val="24"/>
            </w:rPr>
            <w:t>四、财政拨款收入支出决算总体情况说明</w:t>
          </w:r>
          <w:r>
            <w:rPr>
              <w:rFonts w:ascii="宋体" w:hAnsi="宋体"/>
              <w:sz w:val="24"/>
            </w:rPr>
            <w:tab/>
          </w:r>
          <w:r>
            <w:rPr>
              <w:rFonts w:ascii="宋体" w:hAnsi="宋体"/>
              <w:sz w:val="24"/>
            </w:rPr>
            <w:fldChar w:fldCharType="begin"/>
          </w:r>
          <w:r>
            <w:rPr>
              <w:rFonts w:ascii="宋体" w:hAnsi="宋体"/>
              <w:sz w:val="24"/>
            </w:rPr>
            <w:instrText xml:space="preserve"> PAGEREF _Toc177559204 \h </w:instrText>
          </w:r>
          <w:r>
            <w:rPr>
              <w:rFonts w:ascii="宋体" w:hAnsi="宋体"/>
              <w:sz w:val="24"/>
            </w:rPr>
            <w:fldChar w:fldCharType="separate"/>
          </w:r>
          <w:r>
            <w:rPr>
              <w:rFonts w:ascii="宋体" w:hAnsi="宋体"/>
              <w:sz w:val="24"/>
            </w:rPr>
            <w:t>3</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"_Toc177559205" </w:instrText>
          </w:r>
          <w:r>
            <w:fldChar w:fldCharType="separate"/>
          </w:r>
          <w:r>
            <w:rPr>
              <w:rStyle w:val="17"/>
              <w:rFonts w:hint="eastAsia" w:ascii="宋体" w:hAnsi="宋体"/>
              <w:sz w:val="24"/>
            </w:rPr>
            <w:t>五、一般公共预算财政拨款支出决算情况说明</w:t>
          </w:r>
          <w:r>
            <w:rPr>
              <w:rFonts w:ascii="宋体" w:hAnsi="宋体"/>
              <w:sz w:val="24"/>
            </w:rPr>
            <w:tab/>
          </w:r>
          <w:r>
            <w:rPr>
              <w:rFonts w:ascii="宋体" w:hAnsi="宋体"/>
              <w:sz w:val="24"/>
            </w:rPr>
            <w:fldChar w:fldCharType="begin"/>
          </w:r>
          <w:r>
            <w:rPr>
              <w:rFonts w:ascii="宋体" w:hAnsi="宋体"/>
              <w:sz w:val="24"/>
            </w:rPr>
            <w:instrText xml:space="preserve"> PAGEREF _Toc177559205 \h </w:instrText>
          </w:r>
          <w:r>
            <w:rPr>
              <w:rFonts w:ascii="宋体" w:hAnsi="宋体"/>
              <w:sz w:val="24"/>
            </w:rPr>
            <w:fldChar w:fldCharType="separate"/>
          </w:r>
          <w:r>
            <w:rPr>
              <w:rFonts w:ascii="宋体" w:hAnsi="宋体"/>
              <w:sz w:val="24"/>
            </w:rPr>
            <w:t>4</w:t>
          </w:r>
          <w:r>
            <w:rPr>
              <w:rFonts w:ascii="宋体" w:hAnsi="宋体"/>
              <w:sz w:val="24"/>
            </w:rPr>
            <w:fldChar w:fldCharType="end"/>
          </w:r>
          <w:r>
            <w:rPr>
              <w:rFonts w:ascii="宋体" w:hAnsi="宋体"/>
              <w:sz w:val="24"/>
            </w:rPr>
            <w:fldChar w:fldCharType="end"/>
          </w:r>
        </w:p>
        <w:p>
          <w:pPr>
            <w:pStyle w:val="8"/>
            <w:tabs>
              <w:tab w:val="right" w:leader="dot" w:pos="8296"/>
            </w:tabs>
            <w:rPr>
              <w:rFonts w:ascii="宋体" w:hAnsi="宋体" w:cstheme="minorBidi"/>
              <w:sz w:val="24"/>
            </w:rPr>
          </w:pPr>
          <w:r>
            <w:fldChar w:fldCharType="begin"/>
          </w:r>
          <w:r>
            <w:instrText xml:space="preserve"> HYPERLINK \l "_Toc177559206" </w:instrText>
          </w:r>
          <w:r>
            <w:fldChar w:fldCharType="separate"/>
          </w:r>
          <w:r>
            <w:rPr>
              <w:rStyle w:val="17"/>
              <w:rFonts w:hint="eastAsia" w:ascii="宋体" w:hAnsi="宋体" w:cs="仿宋_GB2312"/>
              <w:sz w:val="24"/>
            </w:rPr>
            <w:t>（一）一般公共预算财政拨款支出决算总体情况</w:t>
          </w:r>
          <w:r>
            <w:rPr>
              <w:rFonts w:ascii="宋体" w:hAnsi="宋体"/>
              <w:sz w:val="24"/>
            </w:rPr>
            <w:tab/>
          </w:r>
          <w:r>
            <w:rPr>
              <w:rFonts w:ascii="宋体" w:hAnsi="宋体"/>
              <w:sz w:val="24"/>
            </w:rPr>
            <w:fldChar w:fldCharType="begin"/>
          </w:r>
          <w:r>
            <w:rPr>
              <w:rFonts w:ascii="宋体" w:hAnsi="宋体"/>
              <w:sz w:val="24"/>
            </w:rPr>
            <w:instrText xml:space="preserve"> PAGEREF _Toc177559206 \h </w:instrText>
          </w:r>
          <w:r>
            <w:rPr>
              <w:rFonts w:ascii="宋体" w:hAnsi="宋体"/>
              <w:sz w:val="24"/>
            </w:rPr>
            <w:fldChar w:fldCharType="separate"/>
          </w:r>
          <w:r>
            <w:rPr>
              <w:rFonts w:ascii="宋体" w:hAnsi="宋体"/>
              <w:sz w:val="24"/>
            </w:rPr>
            <w:t>4</w:t>
          </w:r>
          <w:r>
            <w:rPr>
              <w:rFonts w:ascii="宋体" w:hAnsi="宋体"/>
              <w:sz w:val="24"/>
            </w:rPr>
            <w:fldChar w:fldCharType="end"/>
          </w:r>
          <w:r>
            <w:rPr>
              <w:rFonts w:ascii="宋体" w:hAnsi="宋体"/>
              <w:sz w:val="24"/>
            </w:rPr>
            <w:fldChar w:fldCharType="end"/>
          </w:r>
        </w:p>
        <w:p>
          <w:pPr>
            <w:pStyle w:val="8"/>
            <w:tabs>
              <w:tab w:val="right" w:leader="dot" w:pos="8296"/>
            </w:tabs>
            <w:rPr>
              <w:rFonts w:ascii="宋体" w:hAnsi="宋体" w:cstheme="minorBidi"/>
              <w:sz w:val="24"/>
            </w:rPr>
          </w:pPr>
          <w:r>
            <w:fldChar w:fldCharType="begin"/>
          </w:r>
          <w:r>
            <w:instrText xml:space="preserve"> HYPERLINK \l "_Toc177559207" </w:instrText>
          </w:r>
          <w:r>
            <w:fldChar w:fldCharType="separate"/>
          </w:r>
          <w:r>
            <w:rPr>
              <w:rStyle w:val="17"/>
              <w:rFonts w:hint="eastAsia" w:ascii="宋体" w:hAnsi="宋体" w:cs="仿宋_GB2312"/>
              <w:sz w:val="24"/>
            </w:rPr>
            <w:t>（二）一般公共预算财政拨款支出决算结构情况</w:t>
          </w:r>
          <w:r>
            <w:rPr>
              <w:rFonts w:ascii="宋体" w:hAnsi="宋体"/>
              <w:sz w:val="24"/>
            </w:rPr>
            <w:tab/>
          </w:r>
          <w:r>
            <w:rPr>
              <w:rFonts w:ascii="宋体" w:hAnsi="宋体"/>
              <w:sz w:val="24"/>
            </w:rPr>
            <w:fldChar w:fldCharType="begin"/>
          </w:r>
          <w:r>
            <w:rPr>
              <w:rFonts w:ascii="宋体" w:hAnsi="宋体"/>
              <w:sz w:val="24"/>
            </w:rPr>
            <w:instrText xml:space="preserve"> PAGEREF _Toc177559207 \h </w:instrText>
          </w:r>
          <w:r>
            <w:rPr>
              <w:rFonts w:ascii="宋体" w:hAnsi="宋体"/>
              <w:sz w:val="24"/>
            </w:rPr>
            <w:fldChar w:fldCharType="separate"/>
          </w:r>
          <w:r>
            <w:rPr>
              <w:rFonts w:ascii="宋体" w:hAnsi="宋体"/>
              <w:sz w:val="24"/>
            </w:rPr>
            <w:t>5</w:t>
          </w:r>
          <w:r>
            <w:rPr>
              <w:rFonts w:ascii="宋体" w:hAnsi="宋体"/>
              <w:sz w:val="24"/>
            </w:rPr>
            <w:fldChar w:fldCharType="end"/>
          </w:r>
          <w:r>
            <w:rPr>
              <w:rFonts w:ascii="宋体" w:hAnsi="宋体"/>
              <w:sz w:val="24"/>
            </w:rPr>
            <w:fldChar w:fldCharType="end"/>
          </w:r>
        </w:p>
        <w:p>
          <w:pPr>
            <w:pStyle w:val="8"/>
            <w:tabs>
              <w:tab w:val="right" w:leader="dot" w:pos="8296"/>
            </w:tabs>
            <w:rPr>
              <w:rFonts w:ascii="宋体" w:hAnsi="宋体" w:cstheme="minorBidi"/>
              <w:sz w:val="24"/>
            </w:rPr>
          </w:pPr>
          <w:r>
            <w:fldChar w:fldCharType="begin"/>
          </w:r>
          <w:r>
            <w:instrText xml:space="preserve"> HYPERLINK \l "_Toc177559208" </w:instrText>
          </w:r>
          <w:r>
            <w:fldChar w:fldCharType="separate"/>
          </w:r>
          <w:r>
            <w:rPr>
              <w:rStyle w:val="17"/>
              <w:rFonts w:hint="eastAsia" w:ascii="宋体" w:hAnsi="宋体" w:cs="仿宋_GB2312"/>
              <w:sz w:val="24"/>
            </w:rPr>
            <w:t>（三）一般公共预算财政拨款支出决算具体情况</w:t>
          </w:r>
          <w:r>
            <w:rPr>
              <w:rFonts w:ascii="宋体" w:hAnsi="宋体"/>
              <w:sz w:val="24"/>
            </w:rPr>
            <w:tab/>
          </w:r>
          <w:r>
            <w:rPr>
              <w:rFonts w:ascii="宋体" w:hAnsi="宋体"/>
              <w:sz w:val="24"/>
            </w:rPr>
            <w:fldChar w:fldCharType="begin"/>
          </w:r>
          <w:r>
            <w:rPr>
              <w:rFonts w:ascii="宋体" w:hAnsi="宋体"/>
              <w:sz w:val="24"/>
            </w:rPr>
            <w:instrText xml:space="preserve"> PAGEREF _Toc177559208 \h </w:instrText>
          </w:r>
          <w:r>
            <w:rPr>
              <w:rFonts w:ascii="宋体" w:hAnsi="宋体"/>
              <w:sz w:val="24"/>
            </w:rPr>
            <w:fldChar w:fldCharType="separate"/>
          </w:r>
          <w:r>
            <w:rPr>
              <w:rFonts w:ascii="宋体" w:hAnsi="宋体"/>
              <w:sz w:val="24"/>
            </w:rPr>
            <w:t>6</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"_Toc177559210" </w:instrText>
          </w:r>
          <w:r>
            <w:fldChar w:fldCharType="separate"/>
          </w:r>
          <w:r>
            <w:rPr>
              <w:rStyle w:val="17"/>
              <w:rFonts w:hint="eastAsia" w:ascii="宋体" w:hAnsi="宋体"/>
              <w:sz w:val="24"/>
            </w:rPr>
            <w:t>六、一般公共预算财政拨款基本支出决算情况说明</w:t>
          </w:r>
          <w:r>
            <w:rPr>
              <w:rFonts w:ascii="宋体" w:hAnsi="宋体"/>
              <w:sz w:val="24"/>
            </w:rPr>
            <w:tab/>
          </w:r>
          <w:r>
            <w:rPr>
              <w:rFonts w:ascii="宋体" w:hAnsi="宋体"/>
              <w:sz w:val="24"/>
            </w:rPr>
            <w:fldChar w:fldCharType="begin"/>
          </w:r>
          <w:r>
            <w:rPr>
              <w:rFonts w:ascii="宋体" w:hAnsi="宋体"/>
              <w:sz w:val="24"/>
            </w:rPr>
            <w:instrText xml:space="preserve"> PAGEREF _Toc177559210 \h </w:instrText>
          </w:r>
          <w:r>
            <w:rPr>
              <w:rFonts w:ascii="宋体" w:hAnsi="宋体"/>
              <w:sz w:val="24"/>
            </w:rPr>
            <w:fldChar w:fldCharType="separate"/>
          </w:r>
          <w:r>
            <w:rPr>
              <w:rFonts w:ascii="宋体" w:hAnsi="宋体"/>
              <w:sz w:val="24"/>
            </w:rPr>
            <w:t>7</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"_Toc177559211" </w:instrText>
          </w:r>
          <w:r>
            <w:fldChar w:fldCharType="separate"/>
          </w:r>
          <w:r>
            <w:rPr>
              <w:rStyle w:val="17"/>
              <w:rFonts w:hint="eastAsia" w:ascii="宋体" w:hAnsi="宋体"/>
              <w:sz w:val="24"/>
            </w:rPr>
            <w:t>七、财政拨款</w:t>
          </w:r>
          <w:r>
            <w:rPr>
              <w:rStyle w:val="17"/>
              <w:rFonts w:ascii="宋体" w:hAnsi="宋体"/>
              <w:sz w:val="24"/>
            </w:rPr>
            <w:t>“</w:t>
          </w:r>
          <w:r>
            <w:rPr>
              <w:rStyle w:val="17"/>
              <w:rFonts w:hint="eastAsia" w:ascii="宋体" w:hAnsi="宋体"/>
              <w:sz w:val="24"/>
            </w:rPr>
            <w:t>三公”经费支出决算情况说明</w:t>
          </w:r>
          <w:r>
            <w:rPr>
              <w:rFonts w:ascii="宋体" w:hAnsi="宋体"/>
              <w:sz w:val="24"/>
            </w:rPr>
            <w:tab/>
          </w:r>
          <w:r>
            <w:rPr>
              <w:rFonts w:ascii="宋体" w:hAnsi="宋体"/>
              <w:sz w:val="24"/>
            </w:rPr>
            <w:fldChar w:fldCharType="begin"/>
          </w:r>
          <w:r>
            <w:rPr>
              <w:rFonts w:ascii="宋体" w:hAnsi="宋体"/>
              <w:sz w:val="24"/>
            </w:rPr>
            <w:instrText xml:space="preserve"> PAGEREF _Toc177559211 \h </w:instrText>
          </w:r>
          <w:r>
            <w:rPr>
              <w:rFonts w:ascii="宋体" w:hAnsi="宋体"/>
              <w:sz w:val="24"/>
            </w:rPr>
            <w:fldChar w:fldCharType="separate"/>
          </w:r>
          <w:r>
            <w:rPr>
              <w:rFonts w:ascii="宋体" w:hAnsi="宋体"/>
              <w:sz w:val="24"/>
            </w:rPr>
            <w:t>8</w:t>
          </w:r>
          <w:r>
            <w:rPr>
              <w:rFonts w:ascii="宋体" w:hAnsi="宋体"/>
              <w:sz w:val="24"/>
            </w:rPr>
            <w:fldChar w:fldCharType="end"/>
          </w:r>
          <w:r>
            <w:rPr>
              <w:rFonts w:ascii="宋体" w:hAnsi="宋体"/>
              <w:sz w:val="24"/>
            </w:rPr>
            <w:fldChar w:fldCharType="end"/>
          </w:r>
        </w:p>
        <w:p>
          <w:pPr>
            <w:pStyle w:val="8"/>
            <w:tabs>
              <w:tab w:val="right" w:leader="dot" w:pos="8296"/>
            </w:tabs>
            <w:rPr>
              <w:rFonts w:ascii="宋体" w:hAnsi="宋体" w:cstheme="minorBidi"/>
              <w:sz w:val="24"/>
            </w:rPr>
          </w:pPr>
          <w:r>
            <w:fldChar w:fldCharType="begin"/>
          </w:r>
          <w:r>
            <w:instrText xml:space="preserve"> HYPERLINK \l "_Toc177559212" </w:instrText>
          </w:r>
          <w:r>
            <w:fldChar w:fldCharType="separate"/>
          </w:r>
          <w:r>
            <w:rPr>
              <w:rStyle w:val="17"/>
              <w:rFonts w:hint="eastAsia" w:ascii="宋体" w:hAnsi="宋体" w:cs="仿宋_GB2312"/>
              <w:sz w:val="24"/>
            </w:rPr>
            <w:t>（一）“三公”经费财政拨款支出决算总体情况说明</w:t>
          </w:r>
          <w:r>
            <w:rPr>
              <w:rFonts w:ascii="宋体" w:hAnsi="宋体"/>
              <w:sz w:val="24"/>
            </w:rPr>
            <w:tab/>
          </w:r>
          <w:r>
            <w:rPr>
              <w:rFonts w:ascii="宋体" w:hAnsi="宋体"/>
              <w:sz w:val="24"/>
            </w:rPr>
            <w:fldChar w:fldCharType="begin"/>
          </w:r>
          <w:r>
            <w:rPr>
              <w:rFonts w:ascii="宋体" w:hAnsi="宋体"/>
              <w:sz w:val="24"/>
            </w:rPr>
            <w:instrText xml:space="preserve"> PAGEREF _Toc177559212 \h </w:instrText>
          </w:r>
          <w:r>
            <w:rPr>
              <w:rFonts w:ascii="宋体" w:hAnsi="宋体"/>
              <w:sz w:val="24"/>
            </w:rPr>
            <w:fldChar w:fldCharType="separate"/>
          </w:r>
          <w:r>
            <w:rPr>
              <w:rFonts w:ascii="宋体" w:hAnsi="宋体"/>
              <w:sz w:val="24"/>
            </w:rPr>
            <w:t>8</w:t>
          </w:r>
          <w:r>
            <w:rPr>
              <w:rFonts w:ascii="宋体" w:hAnsi="宋体"/>
              <w:sz w:val="24"/>
            </w:rPr>
            <w:fldChar w:fldCharType="end"/>
          </w:r>
          <w:r>
            <w:rPr>
              <w:rFonts w:ascii="宋体" w:hAnsi="宋体"/>
              <w:sz w:val="24"/>
            </w:rPr>
            <w:fldChar w:fldCharType="end"/>
          </w:r>
        </w:p>
        <w:p>
          <w:pPr>
            <w:pStyle w:val="8"/>
            <w:tabs>
              <w:tab w:val="right" w:leader="dot" w:pos="8296"/>
            </w:tabs>
            <w:rPr>
              <w:rFonts w:ascii="宋体" w:hAnsi="宋体" w:cstheme="minorBidi"/>
              <w:sz w:val="24"/>
            </w:rPr>
          </w:pPr>
          <w:r>
            <w:fldChar w:fldCharType="begin"/>
          </w:r>
          <w:r>
            <w:instrText xml:space="preserve"> HYPERLINK \l "_Toc177559213" </w:instrText>
          </w:r>
          <w:r>
            <w:fldChar w:fldCharType="separate"/>
          </w:r>
          <w:r>
            <w:rPr>
              <w:rStyle w:val="17"/>
              <w:rFonts w:hint="eastAsia" w:ascii="宋体" w:hAnsi="宋体" w:cs="仿宋_GB2312"/>
              <w:sz w:val="24"/>
            </w:rPr>
            <w:t>（二）“三公”经费财政拨款支出决算具体情况说明</w:t>
          </w:r>
          <w:r>
            <w:rPr>
              <w:rFonts w:ascii="宋体" w:hAnsi="宋体"/>
              <w:sz w:val="24"/>
            </w:rPr>
            <w:tab/>
          </w:r>
          <w:r>
            <w:rPr>
              <w:rFonts w:ascii="宋体" w:hAnsi="宋体"/>
              <w:sz w:val="24"/>
            </w:rPr>
            <w:fldChar w:fldCharType="begin"/>
          </w:r>
          <w:r>
            <w:rPr>
              <w:rFonts w:ascii="宋体" w:hAnsi="宋体"/>
              <w:sz w:val="24"/>
            </w:rPr>
            <w:instrText xml:space="preserve"> PAGEREF _Toc177559213 \h </w:instrText>
          </w:r>
          <w:r>
            <w:rPr>
              <w:rFonts w:ascii="宋体" w:hAnsi="宋体"/>
              <w:sz w:val="24"/>
            </w:rPr>
            <w:fldChar w:fldCharType="separate"/>
          </w:r>
          <w:r>
            <w:rPr>
              <w:rFonts w:ascii="宋体" w:hAnsi="宋体"/>
              <w:sz w:val="24"/>
            </w:rPr>
            <w:t>8</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"_Toc177559214" </w:instrText>
          </w:r>
          <w:r>
            <w:fldChar w:fldCharType="separate"/>
          </w:r>
          <w:r>
            <w:rPr>
              <w:rStyle w:val="17"/>
              <w:rFonts w:hint="eastAsia" w:ascii="宋体" w:hAnsi="宋体"/>
              <w:sz w:val="24"/>
            </w:rPr>
            <w:t>八、政府性基金预算支出决算情况说明</w:t>
          </w:r>
          <w:r>
            <w:rPr>
              <w:rFonts w:ascii="宋体" w:hAnsi="宋体"/>
              <w:sz w:val="24"/>
            </w:rPr>
            <w:tab/>
          </w:r>
          <w:r>
            <w:rPr>
              <w:rFonts w:ascii="宋体" w:hAnsi="宋体"/>
              <w:sz w:val="24"/>
            </w:rPr>
            <w:fldChar w:fldCharType="begin"/>
          </w:r>
          <w:r>
            <w:rPr>
              <w:rFonts w:ascii="宋体" w:hAnsi="宋体"/>
              <w:sz w:val="24"/>
            </w:rPr>
            <w:instrText xml:space="preserve"> PAGEREF _Toc177559214 \h </w:instrText>
          </w:r>
          <w:r>
            <w:rPr>
              <w:rFonts w:ascii="宋体" w:hAnsi="宋体"/>
              <w:sz w:val="24"/>
            </w:rPr>
            <w:fldChar w:fldCharType="separate"/>
          </w:r>
          <w:r>
            <w:rPr>
              <w:rFonts w:ascii="宋体" w:hAnsi="宋体"/>
              <w:sz w:val="24"/>
            </w:rPr>
            <w:t>9</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"_Toc177559215" </w:instrText>
          </w:r>
          <w:r>
            <w:fldChar w:fldCharType="separate"/>
          </w:r>
          <w:r>
            <w:rPr>
              <w:rStyle w:val="17"/>
              <w:rFonts w:hint="eastAsia" w:ascii="宋体" w:hAnsi="宋体"/>
              <w:sz w:val="24"/>
            </w:rPr>
            <w:t>九、国有资本经营预算支出决算情况说明</w:t>
          </w:r>
          <w:r>
            <w:rPr>
              <w:rFonts w:ascii="宋体" w:hAnsi="宋体"/>
              <w:sz w:val="24"/>
            </w:rPr>
            <w:tab/>
          </w:r>
          <w:r>
            <w:rPr>
              <w:rFonts w:ascii="宋体" w:hAnsi="宋体"/>
              <w:sz w:val="24"/>
            </w:rPr>
            <w:fldChar w:fldCharType="begin"/>
          </w:r>
          <w:r>
            <w:rPr>
              <w:rFonts w:ascii="宋体" w:hAnsi="宋体"/>
              <w:sz w:val="24"/>
            </w:rPr>
            <w:instrText xml:space="preserve"> PAGEREF _Toc177559215 \h </w:instrText>
          </w:r>
          <w:r>
            <w:rPr>
              <w:rFonts w:ascii="宋体" w:hAnsi="宋体"/>
              <w:sz w:val="24"/>
            </w:rPr>
            <w:fldChar w:fldCharType="separate"/>
          </w:r>
          <w:r>
            <w:rPr>
              <w:rFonts w:ascii="宋体" w:hAnsi="宋体"/>
              <w:sz w:val="24"/>
            </w:rPr>
            <w:t>9</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"_Toc177559216" </w:instrText>
          </w:r>
          <w:r>
            <w:fldChar w:fldCharType="separate"/>
          </w:r>
          <w:r>
            <w:rPr>
              <w:rStyle w:val="17"/>
              <w:rFonts w:hint="eastAsia" w:ascii="宋体" w:hAnsi="宋体"/>
              <w:sz w:val="24"/>
            </w:rPr>
            <w:t>十、其他重要事项的情况说明</w:t>
          </w:r>
          <w:r>
            <w:rPr>
              <w:rFonts w:ascii="宋体" w:hAnsi="宋体"/>
              <w:sz w:val="24"/>
            </w:rPr>
            <w:tab/>
          </w:r>
          <w:r>
            <w:rPr>
              <w:rFonts w:ascii="宋体" w:hAnsi="宋体"/>
              <w:sz w:val="24"/>
            </w:rPr>
            <w:fldChar w:fldCharType="begin"/>
          </w:r>
          <w:r>
            <w:rPr>
              <w:rFonts w:ascii="宋体" w:hAnsi="宋体"/>
              <w:sz w:val="24"/>
            </w:rPr>
            <w:instrText xml:space="preserve"> PAGEREF _Toc177559216 \h </w:instrText>
          </w:r>
          <w:r>
            <w:rPr>
              <w:rFonts w:ascii="宋体" w:hAnsi="宋体"/>
              <w:sz w:val="24"/>
            </w:rPr>
            <w:fldChar w:fldCharType="separate"/>
          </w:r>
          <w:r>
            <w:rPr>
              <w:rFonts w:ascii="宋体" w:hAnsi="宋体"/>
              <w:sz w:val="24"/>
            </w:rPr>
            <w:t>9</w:t>
          </w:r>
          <w:r>
            <w:rPr>
              <w:rFonts w:ascii="宋体" w:hAnsi="宋体"/>
              <w:sz w:val="24"/>
            </w:rPr>
            <w:fldChar w:fldCharType="end"/>
          </w:r>
          <w:r>
            <w:rPr>
              <w:rFonts w:ascii="宋体" w:hAnsi="宋体"/>
              <w:sz w:val="24"/>
            </w:rPr>
            <w:fldChar w:fldCharType="end"/>
          </w:r>
        </w:p>
        <w:p>
          <w:pPr>
            <w:pStyle w:val="8"/>
            <w:tabs>
              <w:tab w:val="right" w:leader="dot" w:pos="8296"/>
            </w:tabs>
            <w:rPr>
              <w:rFonts w:ascii="宋体" w:hAnsi="宋体" w:cstheme="minorBidi"/>
              <w:sz w:val="24"/>
            </w:rPr>
          </w:pPr>
          <w:r>
            <w:fldChar w:fldCharType="begin"/>
          </w:r>
          <w:r>
            <w:instrText xml:space="preserve"> HYPERLINK \l "_Toc177559217" </w:instrText>
          </w:r>
          <w:r>
            <w:fldChar w:fldCharType="separate"/>
          </w:r>
          <w:r>
            <w:rPr>
              <w:rStyle w:val="17"/>
              <w:rFonts w:hint="eastAsia" w:ascii="宋体" w:hAnsi="宋体"/>
              <w:sz w:val="24"/>
            </w:rPr>
            <w:t>（一）机关运行经费支出情况</w:t>
          </w:r>
          <w:r>
            <w:rPr>
              <w:rFonts w:ascii="宋体" w:hAnsi="宋体"/>
              <w:sz w:val="24"/>
            </w:rPr>
            <w:tab/>
          </w:r>
          <w:r>
            <w:rPr>
              <w:rFonts w:ascii="宋体" w:hAnsi="宋体"/>
              <w:sz w:val="24"/>
            </w:rPr>
            <w:fldChar w:fldCharType="begin"/>
          </w:r>
          <w:r>
            <w:rPr>
              <w:rFonts w:ascii="宋体" w:hAnsi="宋体"/>
              <w:sz w:val="24"/>
            </w:rPr>
            <w:instrText xml:space="preserve"> PAGEREF _Toc177559217 \h </w:instrText>
          </w:r>
          <w:r>
            <w:rPr>
              <w:rFonts w:ascii="宋体" w:hAnsi="宋体"/>
              <w:sz w:val="24"/>
            </w:rPr>
            <w:fldChar w:fldCharType="separate"/>
          </w:r>
          <w:r>
            <w:rPr>
              <w:rFonts w:ascii="宋体" w:hAnsi="宋体"/>
              <w:sz w:val="24"/>
            </w:rPr>
            <w:t>9</w:t>
          </w:r>
          <w:r>
            <w:rPr>
              <w:rFonts w:ascii="宋体" w:hAnsi="宋体"/>
              <w:sz w:val="24"/>
            </w:rPr>
            <w:fldChar w:fldCharType="end"/>
          </w:r>
          <w:r>
            <w:rPr>
              <w:rFonts w:ascii="宋体" w:hAnsi="宋体"/>
              <w:sz w:val="24"/>
            </w:rPr>
            <w:fldChar w:fldCharType="end"/>
          </w:r>
        </w:p>
        <w:p>
          <w:pPr>
            <w:pStyle w:val="8"/>
            <w:tabs>
              <w:tab w:val="right" w:leader="dot" w:pos="8296"/>
            </w:tabs>
            <w:rPr>
              <w:rFonts w:ascii="宋体" w:hAnsi="宋体" w:cstheme="minorBidi"/>
              <w:sz w:val="24"/>
            </w:rPr>
          </w:pPr>
          <w:r>
            <w:fldChar w:fldCharType="begin"/>
          </w:r>
          <w:r>
            <w:instrText xml:space="preserve"> HYPERLINK \l "_Toc177559218" </w:instrText>
          </w:r>
          <w:r>
            <w:fldChar w:fldCharType="separate"/>
          </w:r>
          <w:r>
            <w:rPr>
              <w:rStyle w:val="17"/>
              <w:rFonts w:hint="eastAsia" w:ascii="宋体" w:hAnsi="宋体"/>
              <w:sz w:val="24"/>
            </w:rPr>
            <w:t>（二）政府采购支出情况</w:t>
          </w:r>
          <w:r>
            <w:rPr>
              <w:rFonts w:ascii="宋体" w:hAnsi="宋体"/>
              <w:sz w:val="24"/>
            </w:rPr>
            <w:tab/>
          </w:r>
          <w:r>
            <w:rPr>
              <w:rFonts w:ascii="宋体" w:hAnsi="宋体"/>
              <w:sz w:val="24"/>
            </w:rPr>
            <w:fldChar w:fldCharType="begin"/>
          </w:r>
          <w:r>
            <w:rPr>
              <w:rFonts w:ascii="宋体" w:hAnsi="宋体"/>
              <w:sz w:val="24"/>
            </w:rPr>
            <w:instrText xml:space="preserve"> PAGEREF _Toc177559218 \h </w:instrText>
          </w:r>
          <w:r>
            <w:rPr>
              <w:rFonts w:ascii="宋体" w:hAnsi="宋体"/>
              <w:sz w:val="24"/>
            </w:rPr>
            <w:fldChar w:fldCharType="separate"/>
          </w:r>
          <w:r>
            <w:rPr>
              <w:rFonts w:ascii="宋体" w:hAnsi="宋体"/>
              <w:sz w:val="24"/>
            </w:rPr>
            <w:t>9</w:t>
          </w:r>
          <w:r>
            <w:rPr>
              <w:rFonts w:ascii="宋体" w:hAnsi="宋体"/>
              <w:sz w:val="24"/>
            </w:rPr>
            <w:fldChar w:fldCharType="end"/>
          </w:r>
          <w:r>
            <w:rPr>
              <w:rFonts w:ascii="宋体" w:hAnsi="宋体"/>
              <w:sz w:val="24"/>
            </w:rPr>
            <w:fldChar w:fldCharType="end"/>
          </w:r>
        </w:p>
        <w:p>
          <w:pPr>
            <w:pStyle w:val="8"/>
            <w:tabs>
              <w:tab w:val="right" w:leader="dot" w:pos="8296"/>
            </w:tabs>
            <w:rPr>
              <w:rFonts w:ascii="宋体" w:hAnsi="宋体" w:cstheme="minorBidi"/>
              <w:sz w:val="24"/>
            </w:rPr>
          </w:pPr>
          <w:r>
            <w:fldChar w:fldCharType="begin"/>
          </w:r>
          <w:r>
            <w:instrText xml:space="preserve"> HYPERLINK \l "_Toc177559219" </w:instrText>
          </w:r>
          <w:r>
            <w:fldChar w:fldCharType="separate"/>
          </w:r>
          <w:r>
            <w:rPr>
              <w:rStyle w:val="17"/>
              <w:rFonts w:hint="eastAsia" w:ascii="宋体" w:hAnsi="宋体"/>
              <w:sz w:val="24"/>
            </w:rPr>
            <w:t>（三）国有资产占有使用情况</w:t>
          </w:r>
          <w:r>
            <w:rPr>
              <w:rFonts w:ascii="宋体" w:hAnsi="宋体"/>
              <w:sz w:val="24"/>
            </w:rPr>
            <w:tab/>
          </w:r>
          <w:r>
            <w:rPr>
              <w:rFonts w:ascii="宋体" w:hAnsi="宋体"/>
              <w:sz w:val="24"/>
            </w:rPr>
            <w:fldChar w:fldCharType="begin"/>
          </w:r>
          <w:r>
            <w:rPr>
              <w:rFonts w:ascii="宋体" w:hAnsi="宋体"/>
              <w:sz w:val="24"/>
            </w:rPr>
            <w:instrText xml:space="preserve"> PAGEREF _Toc177559219 \h </w:instrText>
          </w:r>
          <w:r>
            <w:rPr>
              <w:rFonts w:ascii="宋体" w:hAnsi="宋体"/>
              <w:sz w:val="24"/>
            </w:rPr>
            <w:fldChar w:fldCharType="separate"/>
          </w:r>
          <w:r>
            <w:rPr>
              <w:rFonts w:ascii="宋体" w:hAnsi="宋体"/>
              <w:sz w:val="24"/>
            </w:rPr>
            <w:t>9</w:t>
          </w:r>
          <w:r>
            <w:rPr>
              <w:rFonts w:ascii="宋体" w:hAnsi="宋体"/>
              <w:sz w:val="24"/>
            </w:rPr>
            <w:fldChar w:fldCharType="end"/>
          </w:r>
          <w:r>
            <w:rPr>
              <w:rFonts w:ascii="宋体" w:hAnsi="宋体"/>
              <w:sz w:val="24"/>
            </w:rPr>
            <w:fldChar w:fldCharType="end"/>
          </w:r>
        </w:p>
        <w:p>
          <w:pPr>
            <w:pStyle w:val="8"/>
            <w:tabs>
              <w:tab w:val="right" w:leader="dot" w:pos="8296"/>
            </w:tabs>
            <w:rPr>
              <w:rFonts w:ascii="宋体" w:hAnsi="宋体" w:cstheme="minorBidi"/>
              <w:sz w:val="24"/>
            </w:rPr>
          </w:pPr>
          <w:r>
            <w:fldChar w:fldCharType="begin"/>
          </w:r>
          <w:r>
            <w:instrText xml:space="preserve"> HYPERLINK \l "_Toc177559220" </w:instrText>
          </w:r>
          <w:r>
            <w:fldChar w:fldCharType="separate"/>
          </w:r>
          <w:r>
            <w:rPr>
              <w:rStyle w:val="17"/>
              <w:rFonts w:hint="eastAsia" w:ascii="宋体" w:hAnsi="宋体"/>
              <w:sz w:val="24"/>
            </w:rPr>
            <w:t>（四）预算绩效管理情况</w:t>
          </w:r>
          <w:r>
            <w:rPr>
              <w:rFonts w:ascii="宋体" w:hAnsi="宋体"/>
              <w:sz w:val="24"/>
            </w:rPr>
            <w:tab/>
          </w:r>
          <w:r>
            <w:rPr>
              <w:rFonts w:ascii="宋体" w:hAnsi="宋体"/>
              <w:sz w:val="24"/>
            </w:rPr>
            <w:fldChar w:fldCharType="begin"/>
          </w:r>
          <w:r>
            <w:rPr>
              <w:rFonts w:ascii="宋体" w:hAnsi="宋体"/>
              <w:sz w:val="24"/>
            </w:rPr>
            <w:instrText xml:space="preserve"> PAGEREF _Toc177559220 \h </w:instrText>
          </w:r>
          <w:r>
            <w:rPr>
              <w:rFonts w:ascii="宋体" w:hAnsi="宋体"/>
              <w:sz w:val="24"/>
            </w:rPr>
            <w:fldChar w:fldCharType="separate"/>
          </w:r>
          <w:r>
            <w:rPr>
              <w:rFonts w:ascii="宋体" w:hAnsi="宋体"/>
              <w:sz w:val="24"/>
            </w:rPr>
            <w:t>10</w:t>
          </w:r>
          <w:r>
            <w:rPr>
              <w:rFonts w:ascii="宋体" w:hAnsi="宋体"/>
              <w:sz w:val="24"/>
            </w:rPr>
            <w:fldChar w:fldCharType="end"/>
          </w:r>
          <w:r>
            <w:rPr>
              <w:rFonts w:ascii="宋体" w:hAnsi="宋体"/>
              <w:sz w:val="24"/>
            </w:rPr>
            <w:fldChar w:fldCharType="end"/>
          </w:r>
        </w:p>
        <w:p>
          <w:pPr>
            <w:pStyle w:val="12"/>
            <w:rPr>
              <w:rStyle w:val="17"/>
              <w:rFonts w:hint="eastAsia" w:eastAsia="仿宋"/>
              <w:sz w:val="24"/>
              <w:szCs w:val="24"/>
              <w:lang w:val="en-US" w:eastAsia="zh-CN"/>
            </w:rPr>
          </w:pPr>
          <w:r>
            <w:fldChar w:fldCharType="begin"/>
          </w:r>
          <w:r>
            <w:instrText xml:space="preserve"> HYPERLINK \l "_Toc177559221" </w:instrText>
          </w:r>
          <w:r>
            <w:fldChar w:fldCharType="separate"/>
          </w:r>
          <w:r>
            <w:rPr>
              <w:rStyle w:val="17"/>
              <w:rFonts w:hint="eastAsia"/>
              <w:sz w:val="24"/>
              <w:szCs w:val="24"/>
            </w:rPr>
            <w:t>第三部分</w:t>
          </w:r>
          <w:r>
            <w:rPr>
              <w:rStyle w:val="17"/>
              <w:sz w:val="24"/>
              <w:szCs w:val="24"/>
            </w:rPr>
            <w:t xml:space="preserve"> </w:t>
          </w:r>
          <w:r>
            <w:rPr>
              <w:rStyle w:val="17"/>
              <w:rFonts w:hint="eastAsia"/>
              <w:sz w:val="24"/>
              <w:szCs w:val="24"/>
            </w:rPr>
            <w:t>名词解释</w:t>
          </w:r>
          <w:r>
            <w:rPr>
              <w:sz w:val="24"/>
              <w:szCs w:val="24"/>
            </w:rPr>
            <w:tab/>
          </w:r>
          <w:r>
            <w:rPr>
              <w:rFonts w:hint="eastAsia"/>
              <w:sz w:val="24"/>
              <w:szCs w:val="24"/>
              <w:lang w:val="en-US" w:eastAsia="zh-CN"/>
            </w:rPr>
            <w:t>1</w:t>
          </w:r>
          <w:r>
            <w:rPr>
              <w:sz w:val="24"/>
              <w:szCs w:val="24"/>
            </w:rPr>
            <w:fldChar w:fldCharType="end"/>
          </w:r>
          <w:r>
            <w:rPr>
              <w:rFonts w:hint="eastAsia"/>
              <w:sz w:val="24"/>
              <w:szCs w:val="24"/>
              <w:lang w:val="en-US" w:eastAsia="zh-CN"/>
            </w:rPr>
            <w:t>1</w:t>
          </w:r>
        </w:p>
        <w:p>
          <w:pPr>
            <w:pStyle w:val="12"/>
            <w:rPr>
              <w:rFonts w:cstheme="minorBidi"/>
              <w:sz w:val="24"/>
              <w:szCs w:val="24"/>
            </w:rPr>
          </w:pPr>
          <w:r>
            <w:fldChar w:fldCharType="begin"/>
          </w:r>
          <w:r>
            <w:instrText xml:space="preserve"> HYPERLINK \l "_Toc177559221" </w:instrText>
          </w:r>
          <w:r>
            <w:fldChar w:fldCharType="separate"/>
          </w:r>
          <w:r>
            <w:rPr>
              <w:rStyle w:val="17"/>
              <w:rFonts w:hint="eastAsia"/>
              <w:sz w:val="24"/>
              <w:szCs w:val="24"/>
            </w:rPr>
            <w:t>第四部分</w:t>
          </w:r>
          <w:r>
            <w:rPr>
              <w:rStyle w:val="17"/>
              <w:sz w:val="24"/>
              <w:szCs w:val="24"/>
            </w:rPr>
            <w:t xml:space="preserve"> </w:t>
          </w:r>
          <w:r>
            <w:rPr>
              <w:rStyle w:val="17"/>
              <w:rFonts w:hint="eastAsia"/>
              <w:sz w:val="24"/>
              <w:szCs w:val="24"/>
            </w:rPr>
            <w:t>附件</w:t>
          </w:r>
          <w:r>
            <w:rPr>
              <w:sz w:val="24"/>
              <w:szCs w:val="24"/>
            </w:rPr>
            <w:tab/>
          </w:r>
          <w:r>
            <w:rPr>
              <w:rFonts w:hint="eastAsia"/>
              <w:sz w:val="24"/>
              <w:szCs w:val="24"/>
            </w:rPr>
            <w:t>14</w:t>
          </w:r>
          <w:r>
            <w:rPr>
              <w:rFonts w:hint="eastAsia"/>
              <w:sz w:val="24"/>
              <w:szCs w:val="24"/>
            </w:rPr>
            <w:fldChar w:fldCharType="end"/>
          </w:r>
        </w:p>
        <w:p>
          <w:pPr>
            <w:pStyle w:val="12"/>
            <w:rPr>
              <w:rFonts w:cstheme="minorBidi"/>
              <w:sz w:val="24"/>
              <w:szCs w:val="24"/>
            </w:rPr>
          </w:pPr>
          <w:r>
            <w:fldChar w:fldCharType="begin"/>
          </w:r>
          <w:r>
            <w:instrText xml:space="preserve"> HYPERLINK \l "_Toc177559223" </w:instrText>
          </w:r>
          <w:r>
            <w:fldChar w:fldCharType="separate"/>
          </w:r>
          <w:r>
            <w:rPr>
              <w:rStyle w:val="17"/>
              <w:rFonts w:hint="eastAsia"/>
              <w:sz w:val="24"/>
              <w:szCs w:val="24"/>
            </w:rPr>
            <w:t>第五部分</w:t>
          </w:r>
          <w:r>
            <w:rPr>
              <w:rStyle w:val="17"/>
              <w:sz w:val="24"/>
              <w:szCs w:val="24"/>
            </w:rPr>
            <w:t xml:space="preserve"> </w:t>
          </w:r>
          <w:r>
            <w:rPr>
              <w:rStyle w:val="17"/>
              <w:rFonts w:hint="eastAsia"/>
              <w:sz w:val="24"/>
              <w:szCs w:val="24"/>
            </w:rPr>
            <w:t>附表</w:t>
          </w:r>
          <w:r>
            <w:rPr>
              <w:sz w:val="24"/>
              <w:szCs w:val="24"/>
            </w:rPr>
            <w:tab/>
          </w:r>
          <w:r>
            <w:rPr>
              <w:sz w:val="24"/>
              <w:szCs w:val="24"/>
            </w:rPr>
            <w:fldChar w:fldCharType="begin"/>
          </w:r>
          <w:r>
            <w:rPr>
              <w:sz w:val="24"/>
              <w:szCs w:val="24"/>
            </w:rPr>
            <w:instrText xml:space="preserve"> PAGEREF _Toc177559223 \h </w:instrText>
          </w:r>
          <w:r>
            <w:rPr>
              <w:sz w:val="24"/>
              <w:szCs w:val="24"/>
            </w:rPr>
            <w:fldChar w:fldCharType="separate"/>
          </w:r>
          <w:r>
            <w:rPr>
              <w:sz w:val="24"/>
              <w:szCs w:val="24"/>
            </w:rPr>
            <w:t>15</w:t>
          </w:r>
          <w:r>
            <w:rPr>
              <w:sz w:val="24"/>
              <w:szCs w:val="24"/>
            </w:rPr>
            <w:fldChar w:fldCharType="end"/>
          </w:r>
          <w:r>
            <w:rPr>
              <w:sz w:val="24"/>
              <w:szCs w:val="24"/>
            </w:rPr>
            <w:fldChar w:fldCharType="end"/>
          </w:r>
        </w:p>
        <w:p>
          <w:pPr>
            <w:pStyle w:val="13"/>
            <w:rPr>
              <w:rFonts w:ascii="宋体" w:hAnsi="宋体" w:cstheme="minorBidi"/>
              <w:sz w:val="24"/>
            </w:rPr>
          </w:pPr>
          <w:r>
            <w:fldChar w:fldCharType="begin"/>
          </w:r>
          <w:r>
            <w:instrText xml:space="preserve"> HYPERLINK \l "_Toc177559224" </w:instrText>
          </w:r>
          <w:r>
            <w:fldChar w:fldCharType="separate"/>
          </w:r>
          <w:r>
            <w:rPr>
              <w:rStyle w:val="17"/>
              <w:rFonts w:hint="eastAsia" w:ascii="宋体" w:hAnsi="宋体"/>
              <w:sz w:val="24"/>
            </w:rPr>
            <w:t>一、收入支出决算总表</w:t>
          </w:r>
          <w:r>
            <w:rPr>
              <w:rFonts w:ascii="宋体" w:hAnsi="宋体"/>
              <w:sz w:val="24"/>
            </w:rPr>
            <w:tab/>
          </w:r>
          <w:r>
            <w:rPr>
              <w:rFonts w:ascii="宋体" w:hAnsi="宋体"/>
              <w:sz w:val="24"/>
            </w:rPr>
            <w:fldChar w:fldCharType="begin"/>
          </w:r>
          <w:r>
            <w:rPr>
              <w:rFonts w:ascii="宋体" w:hAnsi="宋体"/>
              <w:sz w:val="24"/>
            </w:rPr>
            <w:instrText xml:space="preserve"> PAGEREF _Toc177559224 \h </w:instrText>
          </w:r>
          <w:r>
            <w:rPr>
              <w:rFonts w:ascii="宋体" w:hAnsi="宋体"/>
              <w:sz w:val="24"/>
            </w:rPr>
            <w:fldChar w:fldCharType="separate"/>
          </w:r>
          <w:r>
            <w:rPr>
              <w:rFonts w:ascii="宋体" w:hAnsi="宋体"/>
              <w:sz w:val="24"/>
            </w:rPr>
            <w:t>15</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"_Toc177559225" </w:instrText>
          </w:r>
          <w:r>
            <w:fldChar w:fldCharType="separate"/>
          </w:r>
          <w:r>
            <w:rPr>
              <w:rStyle w:val="17"/>
              <w:rFonts w:hint="eastAsia" w:ascii="宋体" w:hAnsi="宋体"/>
              <w:sz w:val="24"/>
            </w:rPr>
            <w:t>二、收入决算表</w:t>
          </w:r>
          <w:r>
            <w:rPr>
              <w:rFonts w:ascii="宋体" w:hAnsi="宋体"/>
              <w:sz w:val="24"/>
            </w:rPr>
            <w:tab/>
          </w:r>
          <w:r>
            <w:rPr>
              <w:rFonts w:ascii="宋体" w:hAnsi="宋体"/>
              <w:sz w:val="24"/>
            </w:rPr>
            <w:fldChar w:fldCharType="begin"/>
          </w:r>
          <w:r>
            <w:rPr>
              <w:rFonts w:ascii="宋体" w:hAnsi="宋体"/>
              <w:sz w:val="24"/>
            </w:rPr>
            <w:instrText xml:space="preserve"> PAGEREF _Toc177559225 \h </w:instrText>
          </w:r>
          <w:r>
            <w:rPr>
              <w:rFonts w:ascii="宋体" w:hAnsi="宋体"/>
              <w:sz w:val="24"/>
            </w:rPr>
            <w:fldChar w:fldCharType="separate"/>
          </w:r>
          <w:r>
            <w:rPr>
              <w:rFonts w:ascii="宋体" w:hAnsi="宋体"/>
              <w:sz w:val="24"/>
            </w:rPr>
            <w:t>15</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"_Toc177559226" </w:instrText>
          </w:r>
          <w:r>
            <w:fldChar w:fldCharType="separate"/>
          </w:r>
          <w:r>
            <w:rPr>
              <w:rStyle w:val="17"/>
              <w:rFonts w:hint="eastAsia" w:ascii="宋体" w:hAnsi="宋体"/>
              <w:sz w:val="24"/>
            </w:rPr>
            <w:t>三、支出决算表</w:t>
          </w:r>
          <w:r>
            <w:rPr>
              <w:rFonts w:ascii="宋体" w:hAnsi="宋体"/>
              <w:sz w:val="24"/>
            </w:rPr>
            <w:tab/>
          </w:r>
          <w:r>
            <w:rPr>
              <w:rFonts w:ascii="宋体" w:hAnsi="宋体"/>
              <w:sz w:val="24"/>
            </w:rPr>
            <w:fldChar w:fldCharType="begin"/>
          </w:r>
          <w:r>
            <w:rPr>
              <w:rFonts w:ascii="宋体" w:hAnsi="宋体"/>
              <w:sz w:val="24"/>
            </w:rPr>
            <w:instrText xml:space="preserve"> PAGEREF _Toc177559226 \h </w:instrText>
          </w:r>
          <w:r>
            <w:rPr>
              <w:rFonts w:ascii="宋体" w:hAnsi="宋体"/>
              <w:sz w:val="24"/>
            </w:rPr>
            <w:fldChar w:fldCharType="separate"/>
          </w:r>
          <w:r>
            <w:rPr>
              <w:rFonts w:ascii="宋体" w:hAnsi="宋体"/>
              <w:sz w:val="24"/>
            </w:rPr>
            <w:t>15</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"_Toc177559227" </w:instrText>
          </w:r>
          <w:r>
            <w:fldChar w:fldCharType="separate"/>
          </w:r>
          <w:r>
            <w:rPr>
              <w:rStyle w:val="17"/>
              <w:rFonts w:hint="eastAsia" w:ascii="宋体" w:hAnsi="宋体"/>
              <w:sz w:val="24"/>
            </w:rPr>
            <w:t>四、财政拨款收入支出决算总表</w:t>
          </w:r>
          <w:r>
            <w:rPr>
              <w:rFonts w:ascii="宋体" w:hAnsi="宋体"/>
              <w:sz w:val="24"/>
            </w:rPr>
            <w:tab/>
          </w:r>
          <w:r>
            <w:rPr>
              <w:rFonts w:ascii="宋体" w:hAnsi="宋体"/>
              <w:sz w:val="24"/>
            </w:rPr>
            <w:fldChar w:fldCharType="begin"/>
          </w:r>
          <w:r>
            <w:rPr>
              <w:rFonts w:ascii="宋体" w:hAnsi="宋体"/>
              <w:sz w:val="24"/>
            </w:rPr>
            <w:instrText xml:space="preserve"> PAGEREF _Toc177559227 \h </w:instrText>
          </w:r>
          <w:r>
            <w:rPr>
              <w:rFonts w:ascii="宋体" w:hAnsi="宋体"/>
              <w:sz w:val="24"/>
            </w:rPr>
            <w:fldChar w:fldCharType="separate"/>
          </w:r>
          <w:r>
            <w:rPr>
              <w:rFonts w:ascii="宋体" w:hAnsi="宋体"/>
              <w:sz w:val="24"/>
            </w:rPr>
            <w:t>15</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"_Toc177559228" </w:instrText>
          </w:r>
          <w:r>
            <w:fldChar w:fldCharType="separate"/>
          </w:r>
          <w:r>
            <w:rPr>
              <w:rStyle w:val="17"/>
              <w:rFonts w:hint="eastAsia" w:ascii="宋体" w:hAnsi="宋体"/>
              <w:sz w:val="24"/>
            </w:rPr>
            <w:t>五、财政拨款支出决算明细表</w:t>
          </w:r>
          <w:r>
            <w:rPr>
              <w:rFonts w:ascii="宋体" w:hAnsi="宋体"/>
              <w:sz w:val="24"/>
            </w:rPr>
            <w:tab/>
          </w:r>
          <w:r>
            <w:rPr>
              <w:rFonts w:ascii="宋体" w:hAnsi="宋体"/>
              <w:sz w:val="24"/>
            </w:rPr>
            <w:fldChar w:fldCharType="begin"/>
          </w:r>
          <w:r>
            <w:rPr>
              <w:rFonts w:ascii="宋体" w:hAnsi="宋体"/>
              <w:sz w:val="24"/>
            </w:rPr>
            <w:instrText xml:space="preserve"> PAGEREF _Toc177559228 \h </w:instrText>
          </w:r>
          <w:r>
            <w:rPr>
              <w:rFonts w:ascii="宋体" w:hAnsi="宋体"/>
              <w:sz w:val="24"/>
            </w:rPr>
            <w:fldChar w:fldCharType="separate"/>
          </w:r>
          <w:r>
            <w:rPr>
              <w:rFonts w:ascii="宋体" w:hAnsi="宋体"/>
              <w:sz w:val="24"/>
            </w:rPr>
            <w:t>15</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"_Toc177559229" </w:instrText>
          </w:r>
          <w:r>
            <w:fldChar w:fldCharType="separate"/>
          </w:r>
          <w:r>
            <w:rPr>
              <w:rStyle w:val="17"/>
              <w:rFonts w:hint="eastAsia" w:ascii="宋体" w:hAnsi="宋体"/>
              <w:sz w:val="24"/>
            </w:rPr>
            <w:t>六、一般公共预算财政拨款支出决算表</w:t>
          </w:r>
          <w:r>
            <w:rPr>
              <w:rFonts w:ascii="宋体" w:hAnsi="宋体"/>
              <w:sz w:val="24"/>
            </w:rPr>
            <w:tab/>
          </w:r>
          <w:r>
            <w:rPr>
              <w:rFonts w:ascii="宋体" w:hAnsi="宋体"/>
              <w:sz w:val="24"/>
            </w:rPr>
            <w:fldChar w:fldCharType="begin"/>
          </w:r>
          <w:r>
            <w:rPr>
              <w:rFonts w:ascii="宋体" w:hAnsi="宋体"/>
              <w:sz w:val="24"/>
            </w:rPr>
            <w:instrText xml:space="preserve"> PAGEREF _Toc177559229 \h </w:instrText>
          </w:r>
          <w:r>
            <w:rPr>
              <w:rFonts w:ascii="宋体" w:hAnsi="宋体"/>
              <w:sz w:val="24"/>
            </w:rPr>
            <w:fldChar w:fldCharType="separate"/>
          </w:r>
          <w:r>
            <w:rPr>
              <w:rFonts w:ascii="宋体" w:hAnsi="宋体"/>
              <w:sz w:val="24"/>
            </w:rPr>
            <w:t>15</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"_Toc177559230" </w:instrText>
          </w:r>
          <w:r>
            <w:fldChar w:fldCharType="separate"/>
          </w:r>
          <w:r>
            <w:rPr>
              <w:rStyle w:val="17"/>
              <w:rFonts w:hint="eastAsia" w:ascii="宋体" w:hAnsi="宋体"/>
              <w:sz w:val="24"/>
            </w:rPr>
            <w:t>七、一般公共预算财政拨款支出决算明细表</w:t>
          </w:r>
          <w:r>
            <w:rPr>
              <w:rFonts w:ascii="宋体" w:hAnsi="宋体"/>
              <w:sz w:val="24"/>
            </w:rPr>
            <w:tab/>
          </w:r>
          <w:r>
            <w:rPr>
              <w:rFonts w:ascii="宋体" w:hAnsi="宋体"/>
              <w:sz w:val="24"/>
            </w:rPr>
            <w:fldChar w:fldCharType="begin"/>
          </w:r>
          <w:r>
            <w:rPr>
              <w:rFonts w:ascii="宋体" w:hAnsi="宋体"/>
              <w:sz w:val="24"/>
            </w:rPr>
            <w:instrText xml:space="preserve"> PAGEREF _Toc177559230 \h </w:instrText>
          </w:r>
          <w:r>
            <w:rPr>
              <w:rFonts w:ascii="宋体" w:hAnsi="宋体"/>
              <w:sz w:val="24"/>
            </w:rPr>
            <w:fldChar w:fldCharType="separate"/>
          </w:r>
          <w:r>
            <w:rPr>
              <w:rFonts w:ascii="宋体" w:hAnsi="宋体"/>
              <w:sz w:val="24"/>
            </w:rPr>
            <w:t>15</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"_Toc177559231" </w:instrText>
          </w:r>
          <w:r>
            <w:fldChar w:fldCharType="separate"/>
          </w:r>
          <w:r>
            <w:rPr>
              <w:rStyle w:val="17"/>
              <w:rFonts w:hint="eastAsia" w:ascii="宋体" w:hAnsi="宋体"/>
              <w:sz w:val="24"/>
            </w:rPr>
            <w:t>八、一般公共预算财政拨款基本支出决算表</w:t>
          </w:r>
          <w:r>
            <w:rPr>
              <w:rFonts w:ascii="宋体" w:hAnsi="宋体"/>
              <w:sz w:val="24"/>
            </w:rPr>
            <w:tab/>
          </w:r>
          <w:r>
            <w:rPr>
              <w:rFonts w:ascii="宋体" w:hAnsi="宋体"/>
              <w:sz w:val="24"/>
            </w:rPr>
            <w:fldChar w:fldCharType="begin"/>
          </w:r>
          <w:r>
            <w:rPr>
              <w:rFonts w:ascii="宋体" w:hAnsi="宋体"/>
              <w:sz w:val="24"/>
            </w:rPr>
            <w:instrText xml:space="preserve"> PAGEREF _Toc177559231 \h </w:instrText>
          </w:r>
          <w:r>
            <w:rPr>
              <w:rFonts w:ascii="宋体" w:hAnsi="宋体"/>
              <w:sz w:val="24"/>
            </w:rPr>
            <w:fldChar w:fldCharType="separate"/>
          </w:r>
          <w:r>
            <w:rPr>
              <w:rFonts w:ascii="宋体" w:hAnsi="宋体"/>
              <w:sz w:val="24"/>
            </w:rPr>
            <w:t>15</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"_Toc177559232" </w:instrText>
          </w:r>
          <w:r>
            <w:fldChar w:fldCharType="separate"/>
          </w:r>
          <w:r>
            <w:rPr>
              <w:rStyle w:val="17"/>
              <w:rFonts w:hint="eastAsia" w:ascii="宋体" w:hAnsi="宋体"/>
              <w:sz w:val="24"/>
            </w:rPr>
            <w:t>九、一般公共预算财政拨款项目支出决算表</w:t>
          </w:r>
          <w:r>
            <w:rPr>
              <w:rFonts w:ascii="宋体" w:hAnsi="宋体"/>
              <w:sz w:val="24"/>
            </w:rPr>
            <w:tab/>
          </w:r>
          <w:r>
            <w:rPr>
              <w:rFonts w:ascii="宋体" w:hAnsi="宋体"/>
              <w:sz w:val="24"/>
            </w:rPr>
            <w:fldChar w:fldCharType="begin"/>
          </w:r>
          <w:r>
            <w:rPr>
              <w:rFonts w:ascii="宋体" w:hAnsi="宋体"/>
              <w:sz w:val="24"/>
            </w:rPr>
            <w:instrText xml:space="preserve"> PAGEREF _Toc177559232 \h </w:instrText>
          </w:r>
          <w:r>
            <w:rPr>
              <w:rFonts w:ascii="宋体" w:hAnsi="宋体"/>
              <w:sz w:val="24"/>
            </w:rPr>
            <w:fldChar w:fldCharType="separate"/>
          </w:r>
          <w:r>
            <w:rPr>
              <w:rFonts w:ascii="宋体" w:hAnsi="宋体"/>
              <w:sz w:val="24"/>
            </w:rPr>
            <w:t>15</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"_Toc177559233" </w:instrText>
          </w:r>
          <w:r>
            <w:fldChar w:fldCharType="separate"/>
          </w:r>
          <w:r>
            <w:rPr>
              <w:rStyle w:val="17"/>
              <w:rFonts w:hint="eastAsia" w:ascii="宋体" w:hAnsi="宋体"/>
              <w:sz w:val="24"/>
            </w:rPr>
            <w:t>十、政府性基金预算财政拨款收入支出决算表</w:t>
          </w:r>
          <w:r>
            <w:rPr>
              <w:rFonts w:ascii="宋体" w:hAnsi="宋体"/>
              <w:sz w:val="24"/>
            </w:rPr>
            <w:tab/>
          </w:r>
          <w:r>
            <w:rPr>
              <w:rFonts w:ascii="宋体" w:hAnsi="宋体"/>
              <w:sz w:val="24"/>
            </w:rPr>
            <w:fldChar w:fldCharType="begin"/>
          </w:r>
          <w:r>
            <w:rPr>
              <w:rFonts w:ascii="宋体" w:hAnsi="宋体"/>
              <w:sz w:val="24"/>
            </w:rPr>
            <w:instrText xml:space="preserve"> PAGEREF _Toc177559233 \h </w:instrText>
          </w:r>
          <w:r>
            <w:rPr>
              <w:rFonts w:ascii="宋体" w:hAnsi="宋体"/>
              <w:sz w:val="24"/>
            </w:rPr>
            <w:fldChar w:fldCharType="separate"/>
          </w:r>
          <w:r>
            <w:rPr>
              <w:rFonts w:ascii="宋体" w:hAnsi="宋体"/>
              <w:sz w:val="24"/>
            </w:rPr>
            <w:t>15</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"_Toc177559234" </w:instrText>
          </w:r>
          <w:r>
            <w:fldChar w:fldCharType="separate"/>
          </w:r>
          <w:r>
            <w:rPr>
              <w:rStyle w:val="17"/>
              <w:rFonts w:hint="eastAsia" w:ascii="宋体" w:hAnsi="宋体"/>
              <w:sz w:val="24"/>
            </w:rPr>
            <w:t>十一、国有资本经营预算财政拨款收入支出决算表</w:t>
          </w:r>
          <w:r>
            <w:rPr>
              <w:rFonts w:ascii="宋体" w:hAnsi="宋体"/>
              <w:sz w:val="24"/>
            </w:rPr>
            <w:tab/>
          </w:r>
          <w:r>
            <w:rPr>
              <w:rFonts w:ascii="宋体" w:hAnsi="宋体"/>
              <w:sz w:val="24"/>
            </w:rPr>
            <w:fldChar w:fldCharType="begin"/>
          </w:r>
          <w:r>
            <w:rPr>
              <w:rFonts w:ascii="宋体" w:hAnsi="宋体"/>
              <w:sz w:val="24"/>
            </w:rPr>
            <w:instrText xml:space="preserve"> PAGEREF _Toc177559234 \h </w:instrText>
          </w:r>
          <w:r>
            <w:rPr>
              <w:rFonts w:ascii="宋体" w:hAnsi="宋体"/>
              <w:sz w:val="24"/>
            </w:rPr>
            <w:fldChar w:fldCharType="separate"/>
          </w:r>
          <w:r>
            <w:rPr>
              <w:rFonts w:ascii="宋体" w:hAnsi="宋体"/>
              <w:sz w:val="24"/>
            </w:rPr>
            <w:t>15</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"_Toc177559235" </w:instrText>
          </w:r>
          <w:r>
            <w:fldChar w:fldCharType="separate"/>
          </w:r>
          <w:r>
            <w:rPr>
              <w:rStyle w:val="17"/>
              <w:rFonts w:hint="eastAsia" w:ascii="宋体" w:hAnsi="宋体"/>
              <w:sz w:val="24"/>
            </w:rPr>
            <w:t>十二、国有资本经营预算财政拨款支出决算表</w:t>
          </w:r>
          <w:r>
            <w:rPr>
              <w:rFonts w:ascii="宋体" w:hAnsi="宋体"/>
              <w:sz w:val="24"/>
            </w:rPr>
            <w:tab/>
          </w:r>
          <w:r>
            <w:rPr>
              <w:rFonts w:ascii="宋体" w:hAnsi="宋体"/>
              <w:sz w:val="24"/>
            </w:rPr>
            <w:fldChar w:fldCharType="begin"/>
          </w:r>
          <w:r>
            <w:rPr>
              <w:rFonts w:ascii="宋体" w:hAnsi="宋体"/>
              <w:sz w:val="24"/>
            </w:rPr>
            <w:instrText xml:space="preserve"> PAGEREF _Toc177559235 \h </w:instrText>
          </w:r>
          <w:r>
            <w:rPr>
              <w:rFonts w:ascii="宋体" w:hAnsi="宋体"/>
              <w:sz w:val="24"/>
            </w:rPr>
            <w:fldChar w:fldCharType="separate"/>
          </w:r>
          <w:r>
            <w:rPr>
              <w:rFonts w:ascii="宋体" w:hAnsi="宋体"/>
              <w:sz w:val="24"/>
            </w:rPr>
            <w:t>15</w:t>
          </w:r>
          <w:r>
            <w:rPr>
              <w:rFonts w:ascii="宋体" w:hAnsi="宋体"/>
              <w:sz w:val="24"/>
            </w:rPr>
            <w:fldChar w:fldCharType="end"/>
          </w:r>
          <w:r>
            <w:rPr>
              <w:rFonts w:ascii="宋体" w:hAnsi="宋体"/>
              <w:sz w:val="24"/>
            </w:rPr>
            <w:fldChar w:fldCharType="end"/>
          </w:r>
        </w:p>
        <w:p>
          <w:pPr>
            <w:pStyle w:val="13"/>
            <w:rPr>
              <w:rFonts w:ascii="宋体" w:hAnsi="宋体" w:cstheme="minorBidi"/>
              <w:sz w:val="24"/>
            </w:rPr>
          </w:pPr>
          <w:r>
            <w:fldChar w:fldCharType="begin"/>
          </w:r>
          <w:r>
            <w:instrText xml:space="preserve"> HYPERLINK \l "_Toc177559236" </w:instrText>
          </w:r>
          <w:r>
            <w:fldChar w:fldCharType="separate"/>
          </w:r>
          <w:r>
            <w:rPr>
              <w:rStyle w:val="17"/>
              <w:rFonts w:hint="eastAsia" w:ascii="宋体" w:hAnsi="宋体"/>
              <w:sz w:val="24"/>
            </w:rPr>
            <w:t>十三、财政拨款“三公”经费支出决算表</w:t>
          </w:r>
          <w:r>
            <w:rPr>
              <w:rFonts w:ascii="宋体" w:hAnsi="宋体"/>
              <w:sz w:val="24"/>
            </w:rPr>
            <w:tab/>
          </w:r>
          <w:r>
            <w:rPr>
              <w:rFonts w:ascii="宋体" w:hAnsi="宋体"/>
              <w:sz w:val="24"/>
            </w:rPr>
            <w:fldChar w:fldCharType="begin"/>
          </w:r>
          <w:r>
            <w:rPr>
              <w:rFonts w:ascii="宋体" w:hAnsi="宋体"/>
              <w:sz w:val="24"/>
            </w:rPr>
            <w:instrText xml:space="preserve"> PAGEREF _Toc177559236 \h </w:instrText>
          </w:r>
          <w:r>
            <w:rPr>
              <w:rFonts w:ascii="宋体" w:hAnsi="宋体"/>
              <w:sz w:val="24"/>
            </w:rPr>
            <w:fldChar w:fldCharType="separate"/>
          </w:r>
          <w:r>
            <w:rPr>
              <w:rFonts w:ascii="宋体" w:hAnsi="宋体"/>
              <w:sz w:val="24"/>
            </w:rPr>
            <w:t>15</w:t>
          </w:r>
          <w:r>
            <w:rPr>
              <w:rFonts w:ascii="宋体" w:hAnsi="宋体"/>
              <w:sz w:val="24"/>
            </w:rPr>
            <w:fldChar w:fldCharType="end"/>
          </w:r>
          <w:r>
            <w:rPr>
              <w:rFonts w:ascii="宋体" w:hAnsi="宋体"/>
              <w:sz w:val="24"/>
            </w:rPr>
            <w:fldChar w:fldCharType="end"/>
          </w:r>
        </w:p>
        <w:p>
          <w:r>
            <w:rPr>
              <w:rFonts w:ascii="宋体" w:hAnsi="宋体"/>
              <w:bCs/>
              <w:sz w:val="24"/>
              <w:lang w:val="zh-CN"/>
            </w:rPr>
            <w:fldChar w:fldCharType="end"/>
          </w:r>
        </w:p>
      </w:sdtContent>
    </w:sdt>
    <w:p>
      <w:pPr>
        <w:widowControl/>
        <w:spacing w:line="440" w:lineRule="exact"/>
        <w:jc w:val="left"/>
        <w:rPr>
          <w:rFonts w:ascii="仿宋" w:hAnsi="仿宋" w:eastAsia="仿宋"/>
          <w:bCs/>
          <w:kern w:val="44"/>
          <w:sz w:val="24"/>
        </w:rPr>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sectPr>
          <w:footerReference r:id="rId3" w:type="default"/>
          <w:pgSz w:w="11906" w:h="16838"/>
          <w:pgMar w:top="1440" w:right="1800" w:bottom="1440" w:left="1800" w:header="720" w:footer="720" w:gutter="0"/>
          <w:pgNumType w:start="1"/>
          <w:cols w:space="720" w:num="1"/>
          <w:docGrid w:type="lines" w:linePitch="312" w:charSpace="0"/>
        </w:sectPr>
      </w:pPr>
    </w:p>
    <w:p>
      <w:pPr>
        <w:pStyle w:val="2"/>
      </w:pPr>
    </w:p>
    <w:p>
      <w:pPr>
        <w:pStyle w:val="3"/>
      </w:pPr>
      <w:bookmarkStart w:id="0" w:name="_Toc177559194"/>
      <w:r>
        <w:rPr>
          <w:rFonts w:hint="eastAsia"/>
        </w:rPr>
        <w:t>第一部分 单位概况</w:t>
      </w:r>
      <w:bookmarkEnd w:id="0"/>
    </w:p>
    <w:p>
      <w:pPr>
        <w:widowControl/>
        <w:jc w:val="left"/>
        <w:rPr>
          <w:rFonts w:ascii="黑体" w:eastAsia="黑体"/>
          <w:sz w:val="32"/>
          <w:szCs w:val="32"/>
        </w:rPr>
      </w:pPr>
    </w:p>
    <w:p>
      <w:pPr>
        <w:pStyle w:val="4"/>
        <w:numPr>
          <w:ilvl w:val="0"/>
          <w:numId w:val="1"/>
        </w:numPr>
        <w:rPr>
          <w:rFonts w:ascii="黑体" w:hAnsi="黑体"/>
          <w:b w:val="0"/>
          <w:bCs w:val="0"/>
        </w:rPr>
      </w:pPr>
      <w:bookmarkStart w:id="1" w:name="_Toc177559195"/>
      <w:r>
        <w:rPr>
          <w:rFonts w:hint="eastAsia" w:ascii="黑体" w:hAnsi="黑体"/>
          <w:b w:val="0"/>
          <w:bCs w:val="0"/>
        </w:rPr>
        <w:t>主要职责</w:t>
      </w:r>
      <w:bookmarkEnd w:id="1"/>
    </w:p>
    <w:p>
      <w:pPr>
        <w:pStyle w:val="4"/>
        <w:spacing w:line="576" w:lineRule="exact"/>
        <w:ind w:firstLine="640" w:firstLineChars="200"/>
        <w:rPr>
          <w:rFonts w:ascii="仿宋_GB2312" w:hAnsi="仿宋_GB2312" w:eastAsia="仿宋_GB2312" w:cs="仿宋_GB2312"/>
          <w:b w:val="0"/>
          <w:bCs w:val="0"/>
        </w:rPr>
      </w:pPr>
      <w:bookmarkStart w:id="2" w:name="_Toc9665"/>
      <w:bookmarkStart w:id="3" w:name="_Toc177559196"/>
      <w:bookmarkStart w:id="4" w:name="_Toc177558717"/>
      <w:r>
        <w:rPr>
          <w:rFonts w:hint="eastAsia" w:ascii="仿宋_GB2312" w:hAnsi="仿宋_GB2312" w:eastAsia="仿宋_GB2312" w:cs="仿宋_GB2312"/>
          <w:b w:val="0"/>
          <w:bCs w:val="0"/>
        </w:rPr>
        <w:t>广元市利州中等专业学校是经四川省人民政府批准成立的公办全日制普通中等专业学校（简称利州中专），负责培养具有普通中专学历的医药卫生、建筑、汽车运用维修及其他职业技术人才，负责施工现场专业人员、育婴员、家政服务员、健康照护师等的培训工作。</w:t>
      </w:r>
      <w:bookmarkEnd w:id="2"/>
      <w:bookmarkEnd w:id="3"/>
      <w:bookmarkEnd w:id="4"/>
    </w:p>
    <w:p>
      <w:pPr>
        <w:pStyle w:val="4"/>
        <w:numPr>
          <w:ilvl w:val="0"/>
          <w:numId w:val="1"/>
        </w:numPr>
        <w:rPr>
          <w:rFonts w:ascii="黑体" w:hAnsi="黑体"/>
          <w:b w:val="0"/>
        </w:rPr>
      </w:pPr>
      <w:bookmarkStart w:id="5" w:name="_Toc177559197"/>
      <w:r>
        <w:rPr>
          <w:rFonts w:hint="eastAsia" w:ascii="黑体" w:hAnsi="黑体"/>
          <w:b w:val="0"/>
        </w:rPr>
        <w:t>机构设置</w:t>
      </w:r>
      <w:bookmarkEnd w:id="5"/>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为广元市教育局下属二级预算单位，本单位下属机构，设有内设机构12个，为党委办公室、办公室、纪检监察室、教务科、学生科、教科室、实习实训科、招生就业科、培训科、安全保卫科、后勤保障科、总务科。</w:t>
      </w:r>
    </w:p>
    <w:p>
      <w:pPr>
        <w:pStyle w:val="2"/>
      </w:pPr>
    </w:p>
    <w:p>
      <w:pPr>
        <w:pStyle w:val="2"/>
      </w:pPr>
    </w:p>
    <w:p>
      <w:pPr>
        <w:pStyle w:val="2"/>
      </w:pPr>
    </w:p>
    <w:p>
      <w:pPr>
        <w:pStyle w:val="2"/>
      </w:pPr>
    </w:p>
    <w:p>
      <w:pPr>
        <w:pStyle w:val="2"/>
      </w:pPr>
    </w:p>
    <w:p>
      <w:pPr>
        <w:pStyle w:val="2"/>
      </w:pPr>
    </w:p>
    <w:p>
      <w:pPr>
        <w:pStyle w:val="2"/>
      </w:pPr>
    </w:p>
    <w:p>
      <w:pPr>
        <w:pStyle w:val="3"/>
        <w:ind w:right="440"/>
        <w:rPr>
          <w:rFonts w:ascii="黑体" w:hAnsi="黑体"/>
          <w:b w:val="0"/>
          <w:bCs w:val="0"/>
        </w:rPr>
      </w:pPr>
      <w:bookmarkStart w:id="6" w:name="_Toc177559198"/>
      <w:r>
        <w:rPr>
          <w:rFonts w:hint="eastAsia" w:ascii="黑体" w:hAnsi="黑体"/>
          <w:b w:val="0"/>
        </w:rPr>
        <w:t>第二部分 2023年度</w:t>
      </w:r>
      <w:r>
        <w:rPr>
          <w:rFonts w:hint="eastAsia" w:ascii="黑体" w:hAnsi="黑体"/>
          <w:b w:val="0"/>
          <w:bCs w:val="0"/>
        </w:rPr>
        <w:t>单位决算情况说明</w:t>
      </w:r>
      <w:bookmarkEnd w:id="6"/>
    </w:p>
    <w:p>
      <w:pPr>
        <w:pStyle w:val="21"/>
        <w:spacing w:line="600" w:lineRule="exact"/>
        <w:ind w:left="640"/>
        <w:outlineLvl w:val="1"/>
        <w:rPr>
          <w:rFonts w:ascii="黑体" w:hAnsi="黑体" w:eastAsia="黑体"/>
          <w:b w:val="0"/>
          <w:bCs w:val="0"/>
          <w:sz w:val="32"/>
          <w:szCs w:val="32"/>
        </w:rPr>
      </w:pPr>
      <w:bookmarkStart w:id="7" w:name="_Toc177559199"/>
      <w:r>
        <w:rPr>
          <w:rFonts w:hint="eastAsia" w:ascii="黑体" w:hAnsi="黑体" w:eastAsia="黑体"/>
          <w:b w:val="0"/>
          <w:bCs w:val="0"/>
          <w:sz w:val="32"/>
          <w:szCs w:val="32"/>
        </w:rPr>
        <w:t>一、收入支出决算总体情况说明</w:t>
      </w:r>
      <w:bookmarkEnd w:id="7"/>
    </w:p>
    <w:p>
      <w:pPr>
        <w:keepNext/>
        <w:keepLines/>
        <w:spacing w:line="576" w:lineRule="exact"/>
        <w:ind w:firstLine="64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2023年度收、支总计均为9194.32万元。与2022年度相比，收、支总计各增加1761.12万元，增长23.69%。主要变动原因是</w:t>
      </w:r>
      <w:r>
        <w:rPr>
          <w:rFonts w:ascii="仿宋_GB2312" w:hAnsi="仿宋_GB2312" w:eastAsia="仿宋_GB2312" w:cs="仿宋_GB2312"/>
          <w:sz w:val="32"/>
          <w:szCs w:val="32"/>
        </w:rPr>
        <w:t>产教融合建设项目（三江新区）</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zh-CN"/>
        </w:rPr>
        <w:t>。</w:t>
      </w:r>
    </w:p>
    <w:p>
      <w:pPr>
        <w:pStyle w:val="2"/>
        <w:rPr>
          <w:lang w:val="zh-CN"/>
        </w:rPr>
      </w:pPr>
      <w:r>
        <w:drawing>
          <wp:inline distT="0" distB="0" distL="0" distR="0">
            <wp:extent cx="5274310" cy="3076575"/>
            <wp:effectExtent l="0" t="0" r="21590" b="952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（图1：收、支决算总计变动情况图）（柱状图）</w:t>
      </w:r>
    </w:p>
    <w:p>
      <w:pPr>
        <w:pStyle w:val="2"/>
      </w:pPr>
    </w:p>
    <w:p>
      <w:pPr>
        <w:pStyle w:val="21"/>
        <w:spacing w:line="600" w:lineRule="exact"/>
        <w:ind w:left="640"/>
        <w:outlineLvl w:val="1"/>
        <w:rPr>
          <w:rFonts w:ascii="黑体" w:hAnsi="黑体" w:eastAsia="黑体"/>
          <w:b w:val="0"/>
          <w:bCs w:val="0"/>
          <w:sz w:val="32"/>
          <w:szCs w:val="32"/>
        </w:rPr>
      </w:pPr>
      <w:bookmarkStart w:id="8" w:name="_Toc177559200"/>
      <w:r>
        <w:rPr>
          <w:rFonts w:hint="eastAsia" w:ascii="黑体" w:hAnsi="黑体" w:eastAsia="黑体"/>
          <w:b w:val="0"/>
          <w:bCs w:val="0"/>
          <w:sz w:val="32"/>
          <w:szCs w:val="32"/>
        </w:rPr>
        <w:t>二、收入决算情况说明</w:t>
      </w:r>
      <w:bookmarkEnd w:id="8"/>
    </w:p>
    <w:p>
      <w:pPr>
        <w:spacing w:line="600" w:lineRule="exact"/>
        <w:ind w:firstLine="640" w:firstLineChars="200"/>
        <w:outlineLvl w:val="1"/>
        <w:rPr>
          <w:rFonts w:ascii="仿宋_GB2312" w:hAnsi="仿宋_GB2312" w:eastAsia="仿宋_GB2312" w:cs="仿宋_GB2312"/>
          <w:sz w:val="32"/>
          <w:szCs w:val="32"/>
        </w:rPr>
      </w:pPr>
      <w:bookmarkStart w:id="9" w:name="_Toc177559201"/>
      <w:bookmarkStart w:id="10" w:name="_Toc177558722"/>
      <w:r>
        <w:rPr>
          <w:rFonts w:hint="eastAsia" w:ascii="仿宋_GB2312" w:hAnsi="仿宋_GB2312" w:eastAsia="仿宋_GB2312" w:cs="仿宋_GB2312"/>
          <w:sz w:val="32"/>
          <w:szCs w:val="32"/>
        </w:rPr>
        <w:t>2023年度本年收入合计9188.56万元，其中：一般公共预算财政拨款收入6600.13万元，占71.83%；政府性基金预算财政拨款收入2100万元，占22.85%；事业收入488.43万元，占5.32%。</w:t>
      </w:r>
      <w:bookmarkEnd w:id="9"/>
      <w:bookmarkEnd w:id="10"/>
    </w:p>
    <w:p>
      <w:pPr>
        <w:pStyle w:val="2"/>
      </w:pPr>
      <w:r>
        <w:drawing>
          <wp:inline distT="0" distB="0" distL="0" distR="0">
            <wp:extent cx="5274310" cy="3076575"/>
            <wp:effectExtent l="0" t="0" r="21590" b="95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（图2：收入决算结构图）（饼状图）</w:t>
      </w:r>
    </w:p>
    <w:p>
      <w:pPr>
        <w:pStyle w:val="21"/>
        <w:spacing w:line="600" w:lineRule="exact"/>
        <w:ind w:left="640"/>
        <w:outlineLvl w:val="1"/>
        <w:rPr>
          <w:rFonts w:ascii="黑体" w:hAnsi="黑体" w:eastAsia="黑体"/>
          <w:b w:val="0"/>
          <w:bCs w:val="0"/>
          <w:sz w:val="32"/>
          <w:szCs w:val="32"/>
        </w:rPr>
      </w:pPr>
      <w:bookmarkStart w:id="11" w:name="_Toc177559202"/>
      <w:r>
        <w:rPr>
          <w:rFonts w:hint="eastAsia" w:ascii="黑体" w:hAnsi="黑体" w:eastAsia="黑体"/>
          <w:b w:val="0"/>
          <w:bCs w:val="0"/>
          <w:sz w:val="32"/>
          <w:szCs w:val="32"/>
        </w:rPr>
        <w:t>三、支出决算情况说明</w:t>
      </w:r>
      <w:bookmarkEnd w:id="11"/>
    </w:p>
    <w:p>
      <w:pPr>
        <w:spacing w:line="600" w:lineRule="exact"/>
        <w:ind w:firstLine="640" w:firstLineChars="200"/>
        <w:outlineLvl w:val="1"/>
        <w:rPr>
          <w:rFonts w:ascii="仿宋" w:hAnsi="仿宋" w:eastAsia="仿宋"/>
          <w:sz w:val="32"/>
          <w:szCs w:val="32"/>
        </w:rPr>
      </w:pPr>
      <w:bookmarkStart w:id="12" w:name="_Toc177558724"/>
      <w:bookmarkStart w:id="13" w:name="_Toc177559203"/>
      <w:r>
        <w:rPr>
          <w:rFonts w:hint="eastAsia" w:ascii="仿宋" w:hAnsi="仿宋" w:eastAsia="仿宋"/>
          <w:sz w:val="32"/>
          <w:szCs w:val="32"/>
        </w:rPr>
        <w:t>2023年度本年支出合计9194.32万元，其中：基本支出5459.10万元，占59.37</w:t>
      </w:r>
      <w:r>
        <w:rPr>
          <w:rFonts w:ascii="仿宋" w:hAnsi="仿宋" w:eastAsia="仿宋"/>
          <w:sz w:val="32"/>
          <w:szCs w:val="32"/>
        </w:rPr>
        <w:t>%</w:t>
      </w:r>
      <w:r>
        <w:rPr>
          <w:rFonts w:hint="eastAsia" w:ascii="仿宋" w:hAnsi="仿宋" w:eastAsia="仿宋"/>
          <w:sz w:val="32"/>
          <w:szCs w:val="32"/>
        </w:rPr>
        <w:t>；项目支出3735.21万元，占40.63</w:t>
      </w:r>
      <w:r>
        <w:rPr>
          <w:rFonts w:ascii="仿宋" w:hAnsi="仿宋" w:eastAsia="仿宋"/>
          <w:sz w:val="32"/>
          <w:szCs w:val="32"/>
        </w:rPr>
        <w:t>%</w:t>
      </w:r>
      <w:r>
        <w:rPr>
          <w:rFonts w:hint="eastAsia" w:ascii="仿宋" w:hAnsi="仿宋" w:eastAsia="仿宋"/>
          <w:sz w:val="32"/>
          <w:szCs w:val="32"/>
        </w:rPr>
        <w:t>。</w:t>
      </w:r>
      <w:bookmarkEnd w:id="12"/>
      <w:bookmarkEnd w:id="13"/>
    </w:p>
    <w:p>
      <w:pPr>
        <w:pStyle w:val="2"/>
      </w:pPr>
      <w:r>
        <w:drawing>
          <wp:inline distT="0" distB="0" distL="0" distR="0">
            <wp:extent cx="5274310" cy="3076575"/>
            <wp:effectExtent l="0" t="0" r="21590" b="95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（图3：支出决算结构图）（饼状图）</w:t>
      </w:r>
    </w:p>
    <w:p>
      <w:pPr>
        <w:spacing w:line="600" w:lineRule="exact"/>
        <w:ind w:firstLine="640" w:firstLineChars="200"/>
        <w:outlineLvl w:val="1"/>
        <w:rPr>
          <w:rFonts w:ascii="黑体" w:hAnsi="黑体" w:eastAsia="黑体"/>
          <w:sz w:val="32"/>
          <w:szCs w:val="32"/>
        </w:rPr>
      </w:pPr>
      <w:bookmarkStart w:id="14" w:name="_Toc177559204"/>
      <w:r>
        <w:rPr>
          <w:rFonts w:hint="eastAsia" w:ascii="黑体" w:hAnsi="黑体" w:eastAsia="黑体"/>
          <w:sz w:val="32"/>
          <w:szCs w:val="32"/>
        </w:rPr>
        <w:t>四、财政拨款收入支出决算总体情况说明</w:t>
      </w:r>
      <w:bookmarkEnd w:id="14"/>
    </w:p>
    <w:p>
      <w:pPr>
        <w:keepNext/>
        <w:keepLines/>
        <w:spacing w:line="576" w:lineRule="exact"/>
        <w:ind w:firstLine="640"/>
        <w:rPr>
          <w:rFonts w:ascii="仿宋" w:hAnsi="仿宋" w:eastAsia="仿宋"/>
          <w:b/>
          <w:sz w:val="32"/>
          <w:szCs w:val="32"/>
        </w:rPr>
      </w:pPr>
      <w:r>
        <w:rPr>
          <w:rFonts w:hint="eastAsia" w:ascii="仿宋_GB2312" w:hAnsi="仿宋_GB2312" w:eastAsia="仿宋_GB2312" w:cs="仿宋_GB2312"/>
          <w:sz w:val="32"/>
          <w:szCs w:val="32"/>
        </w:rPr>
        <w:t>2023年度财政拨款收、支总计均为8705.89万元。与2022年度相比，财政拨款收、支总计各增加1723.74万元，增长24.69%。</w:t>
      </w:r>
      <w:r>
        <w:rPr>
          <w:rFonts w:hint="eastAsia" w:ascii="仿宋_GB2312" w:hAnsi="仿宋_GB2312" w:eastAsia="仿宋_GB2312" w:cs="仿宋_GB2312"/>
          <w:sz w:val="32"/>
          <w:szCs w:val="32"/>
          <w:lang w:eastAsia="zh-CN"/>
        </w:rPr>
        <w:t>主要变动原因是</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rPr>
        <w:t>产教融合建设项目（三江新区）</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zh-CN"/>
        </w:rPr>
        <w:t>。</w:t>
      </w:r>
    </w:p>
    <w:p>
      <w:pPr>
        <w:pStyle w:val="2"/>
      </w:pPr>
      <w:r>
        <w:rPr>
          <w:rFonts w:hint="eastAsia"/>
        </w:rPr>
        <w:drawing>
          <wp:inline distT="0" distB="0" distL="0" distR="0">
            <wp:extent cx="5274310" cy="3076575"/>
            <wp:effectExtent l="0" t="0" r="21590" b="952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（图4：财政拨款收、支决算总计变动情况）（柱状图）</w:t>
      </w:r>
    </w:p>
    <w:p>
      <w:pPr>
        <w:spacing w:line="600" w:lineRule="exact"/>
        <w:ind w:firstLine="640" w:firstLineChars="200"/>
        <w:outlineLvl w:val="1"/>
        <w:rPr>
          <w:rFonts w:ascii="黑体" w:hAnsi="黑体" w:eastAsia="黑体"/>
          <w:sz w:val="32"/>
          <w:szCs w:val="32"/>
        </w:rPr>
      </w:pPr>
      <w:bookmarkStart w:id="15" w:name="_Toc177559205"/>
      <w:r>
        <w:rPr>
          <w:rFonts w:hint="eastAsia" w:ascii="黑体" w:hAnsi="黑体" w:eastAsia="黑体"/>
          <w:sz w:val="32"/>
          <w:szCs w:val="32"/>
        </w:rPr>
        <w:t>五、一般公共预算财政拨款支出决算情况说明</w:t>
      </w:r>
      <w:bookmarkEnd w:id="15"/>
    </w:p>
    <w:p>
      <w:pPr>
        <w:spacing w:line="600" w:lineRule="exact"/>
        <w:ind w:firstLine="642" w:firstLineChars="200"/>
        <w:outlineLvl w:val="2"/>
        <w:rPr>
          <w:rFonts w:ascii="仿宋_GB2312" w:hAnsi="仿宋_GB2312" w:eastAsia="仿宋_GB2312" w:cs="仿宋_GB2312"/>
          <w:b/>
          <w:sz w:val="32"/>
          <w:szCs w:val="32"/>
        </w:rPr>
      </w:pPr>
      <w:bookmarkStart w:id="16" w:name="_Toc177558727"/>
      <w:bookmarkStart w:id="17" w:name="_Toc177559206"/>
      <w:r>
        <w:rPr>
          <w:rFonts w:hint="eastAsia" w:ascii="仿宋_GB2312" w:hAnsi="仿宋_GB2312" w:eastAsia="仿宋_GB2312" w:cs="仿宋_GB2312"/>
          <w:b/>
          <w:sz w:val="32"/>
          <w:szCs w:val="32"/>
        </w:rPr>
        <w:t>（一）一般公共预算财政拨款支出决算总体情况</w:t>
      </w:r>
      <w:bookmarkEnd w:id="16"/>
      <w:bookmarkEnd w:id="17"/>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2023年度一般公共预算财政拨款支出6605.89万元，占本年支出合计的71.85%。与2022年度相比，一般公共预算财政拨款支出减少376.26万元，下降5.39%。主要变动原因是房屋建筑物构建减少。</w:t>
      </w:r>
    </w:p>
    <w:p>
      <w:pPr>
        <w:pStyle w:val="2"/>
      </w:pPr>
      <w:r>
        <w:drawing>
          <wp:inline distT="0" distB="0" distL="0" distR="0">
            <wp:extent cx="5274310" cy="3076575"/>
            <wp:effectExtent l="0" t="0" r="21590" b="952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（图5：一般公共预算财政拨款支出决算变动情况）（柱状图）</w:t>
      </w:r>
    </w:p>
    <w:p>
      <w:pPr>
        <w:spacing w:line="600" w:lineRule="exact"/>
        <w:ind w:firstLine="642" w:firstLineChars="200"/>
        <w:outlineLvl w:val="2"/>
        <w:rPr>
          <w:rFonts w:ascii="仿宋_GB2312" w:hAnsi="仿宋_GB2312" w:eastAsia="仿宋_GB2312" w:cs="仿宋_GB2312"/>
          <w:b/>
          <w:sz w:val="32"/>
          <w:szCs w:val="32"/>
        </w:rPr>
      </w:pPr>
      <w:bookmarkStart w:id="18" w:name="_Toc177558728"/>
      <w:bookmarkStart w:id="19" w:name="_Toc177559207"/>
      <w:r>
        <w:rPr>
          <w:rFonts w:hint="eastAsia" w:ascii="仿宋_GB2312" w:hAnsi="仿宋_GB2312" w:eastAsia="仿宋_GB2312" w:cs="仿宋_GB2312"/>
          <w:b/>
          <w:sz w:val="32"/>
          <w:szCs w:val="32"/>
        </w:rPr>
        <w:t>（二）一般公共预算财政拨款支出决算结构情况</w:t>
      </w:r>
      <w:bookmarkEnd w:id="18"/>
      <w:bookmarkEnd w:id="19"/>
    </w:p>
    <w:p>
      <w:pPr>
        <w:spacing w:line="600" w:lineRule="exact"/>
        <w:ind w:firstLine="640"/>
        <w:rPr>
          <w:rFonts w:ascii="仿宋_GB2312" w:hAnsi="仿宋_GB2312" w:eastAsia="仿宋_GB2312" w:cs="仿宋_GB2312"/>
          <w:b/>
          <w:sz w:val="32"/>
          <w:szCs w:val="32"/>
        </w:rPr>
      </w:pPr>
      <w:r>
        <w:rPr>
          <w:rFonts w:ascii="仿宋_GB2312" w:hAnsi="仿宋_GB2312" w:eastAsia="仿宋_GB2312" w:cs="仿宋_GB2312"/>
          <w:sz w:val="32"/>
          <w:szCs w:val="32"/>
        </w:rPr>
        <w:drawing>
          <wp:anchor distT="0" distB="0" distL="114300" distR="114300" simplePos="0" relativeHeight="251659264" behindDoc="1" locked="0" layoutInCell="1" allowOverlap="1">
            <wp:simplePos x="0" y="0"/>
            <wp:positionH relativeFrom="column">
              <wp:posOffset>133350</wp:posOffset>
            </wp:positionH>
            <wp:positionV relativeFrom="paragraph">
              <wp:posOffset>1779905</wp:posOffset>
            </wp:positionV>
            <wp:extent cx="5143500" cy="2714625"/>
            <wp:effectExtent l="0" t="0" r="19050" b="9525"/>
            <wp:wrapThrough wrapText="bothSides">
              <wp:wrapPolygon>
                <wp:start x="0" y="0"/>
                <wp:lineTo x="0" y="21524"/>
                <wp:lineTo x="21600" y="21524"/>
                <wp:lineTo x="21600" y="0"/>
                <wp:lineTo x="0" y="0"/>
              </wp:wrapPolygon>
            </wp:wrapThrough>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_GB2312" w:hAnsi="仿宋_GB2312" w:eastAsia="仿宋_GB2312" w:cs="仿宋_GB2312"/>
          <w:sz w:val="32"/>
          <w:szCs w:val="32"/>
        </w:rPr>
        <w:t>2023年度一般公共预算财政拨款支出6605.89万元，主要用于以下方面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sz w:val="32"/>
          <w:szCs w:val="32"/>
        </w:rPr>
        <w:t>教育支出</w:t>
      </w:r>
      <w:r>
        <w:rPr>
          <w:rFonts w:hint="eastAsia" w:ascii="仿宋_GB2312" w:hAnsi="仿宋_GB2312" w:eastAsia="仿宋_GB2312" w:cs="仿宋_GB2312"/>
          <w:sz w:val="32"/>
          <w:szCs w:val="32"/>
        </w:rPr>
        <w:t>5639.62万元，占85.37%；</w:t>
      </w:r>
      <w:r>
        <w:rPr>
          <w:rFonts w:hint="eastAsia" w:ascii="仿宋_GB2312" w:hAnsi="仿宋_GB2312" w:eastAsia="仿宋_GB2312" w:cs="仿宋_GB2312"/>
          <w:b/>
          <w:sz w:val="32"/>
          <w:szCs w:val="32"/>
        </w:rPr>
        <w:t>社会保障和就业</w:t>
      </w:r>
      <w:r>
        <w:rPr>
          <w:rFonts w:hint="eastAsia" w:ascii="仿宋_GB2312" w:hAnsi="仿宋_GB2312" w:eastAsia="仿宋_GB2312" w:cs="仿宋_GB2312"/>
          <w:b/>
          <w:bCs/>
          <w:sz w:val="32"/>
          <w:szCs w:val="32"/>
        </w:rPr>
        <w:t>支出</w:t>
      </w:r>
      <w:r>
        <w:rPr>
          <w:rFonts w:hint="eastAsia" w:ascii="仿宋_GB2312" w:hAnsi="仿宋_GB2312" w:eastAsia="仿宋_GB2312" w:cs="仿宋_GB2312"/>
          <w:sz w:val="32"/>
          <w:szCs w:val="32"/>
        </w:rPr>
        <w:t>553.86万元，占8.38%；</w:t>
      </w:r>
      <w:r>
        <w:rPr>
          <w:rFonts w:hint="eastAsia" w:ascii="仿宋_GB2312" w:hAnsi="仿宋_GB2312" w:eastAsia="仿宋_GB2312" w:cs="仿宋_GB2312"/>
          <w:b/>
          <w:bCs/>
          <w:sz w:val="32"/>
          <w:szCs w:val="32"/>
        </w:rPr>
        <w:t>卫生健康支出</w:t>
      </w:r>
      <w:r>
        <w:rPr>
          <w:rFonts w:hint="eastAsia" w:ascii="仿宋_GB2312" w:hAnsi="仿宋_GB2312" w:eastAsia="仿宋_GB2312" w:cs="仿宋_GB2312"/>
          <w:sz w:val="32"/>
          <w:szCs w:val="32"/>
        </w:rPr>
        <w:t>136.75万元，占2.07%；</w:t>
      </w:r>
      <w:r>
        <w:rPr>
          <w:rFonts w:hint="eastAsia" w:ascii="仿宋_GB2312" w:hAnsi="仿宋_GB2312" w:eastAsia="仿宋_GB2312" w:cs="仿宋_GB2312"/>
          <w:b/>
          <w:bCs/>
          <w:sz w:val="32"/>
          <w:szCs w:val="32"/>
        </w:rPr>
        <w:t>住房保障支出</w:t>
      </w:r>
      <w:r>
        <w:rPr>
          <w:rFonts w:hint="eastAsia" w:ascii="仿宋_GB2312" w:hAnsi="仿宋_GB2312" w:eastAsia="仿宋_GB2312" w:cs="仿宋_GB2312"/>
          <w:sz w:val="32"/>
          <w:szCs w:val="32"/>
        </w:rPr>
        <w:t>275.66万元，占4.17%。</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（图6：一般公共预算财政拨款支出决算结构）（饼状图）</w:t>
      </w:r>
    </w:p>
    <w:p>
      <w:pPr>
        <w:spacing w:line="600" w:lineRule="exact"/>
        <w:ind w:firstLine="642" w:firstLineChars="200"/>
        <w:outlineLvl w:val="2"/>
        <w:rPr>
          <w:rFonts w:ascii="仿宋_GB2312" w:hAnsi="仿宋_GB2312" w:eastAsia="仿宋_GB2312" w:cs="仿宋_GB2312"/>
          <w:b/>
          <w:sz w:val="32"/>
          <w:szCs w:val="32"/>
        </w:rPr>
      </w:pPr>
      <w:bookmarkStart w:id="20" w:name="_Toc177559208"/>
      <w:bookmarkStart w:id="21" w:name="_Toc177558729"/>
      <w:r>
        <w:rPr>
          <w:rFonts w:hint="eastAsia" w:ascii="仿宋_GB2312" w:hAnsi="仿宋_GB2312" w:eastAsia="仿宋_GB2312" w:cs="仿宋_GB2312"/>
          <w:b/>
          <w:sz w:val="32"/>
          <w:szCs w:val="32"/>
        </w:rPr>
        <w:t>（三）一般公共预算财政拨款支出决算具体情况</w:t>
      </w:r>
      <w:bookmarkEnd w:id="20"/>
      <w:bookmarkEnd w:id="21"/>
    </w:p>
    <w:p>
      <w:pPr>
        <w:spacing w:line="600" w:lineRule="exact"/>
        <w:ind w:firstLine="642" w:firstLineChars="200"/>
        <w:outlineLvl w:val="2"/>
        <w:rPr>
          <w:rFonts w:ascii="仿宋_GB2312" w:hAnsi="仿宋_GB2312" w:eastAsia="仿宋_GB2312" w:cs="仿宋_GB2312"/>
          <w:b/>
          <w:sz w:val="32"/>
          <w:szCs w:val="32"/>
        </w:rPr>
      </w:pPr>
      <w:bookmarkStart w:id="22" w:name="_Toc177558730"/>
      <w:bookmarkStart w:id="23" w:name="_Toc177559209"/>
      <w:r>
        <w:rPr>
          <w:rFonts w:hint="eastAsia" w:ascii="仿宋_GB2312" w:hAnsi="仿宋_GB2312" w:eastAsia="仿宋_GB2312" w:cs="仿宋_GB2312"/>
          <w:b/>
          <w:sz w:val="32"/>
          <w:szCs w:val="32"/>
        </w:rPr>
        <w:t>2023年度一般公共预算支出决算数为6605.89万元，完成预算100%。其中：</w:t>
      </w:r>
      <w:bookmarkEnd w:id="22"/>
      <w:bookmarkEnd w:id="23"/>
    </w:p>
    <w:p>
      <w:pPr>
        <w:numPr>
          <w:ilvl w:val="0"/>
          <w:numId w:val="2"/>
        </w:numPr>
        <w:spacing w:line="600"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b/>
          <w:sz w:val="32"/>
          <w:szCs w:val="32"/>
        </w:rPr>
        <w:t>教育（类）普通教育（款）初中教育（项）</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rPr>
        <w:t xml:space="preserve"> </w:t>
      </w:r>
      <w:r>
        <w:rPr>
          <w:rFonts w:hint="eastAsia" w:ascii="仿宋_GB2312" w:hAnsi="仿宋_GB2312" w:eastAsia="仿宋_GB2312" w:cs="仿宋_GB2312"/>
          <w:sz w:val="32"/>
          <w:szCs w:val="32"/>
        </w:rPr>
        <w:t>支出决算为12.58万元，完成预算100%，决算数等于预算数。</w:t>
      </w:r>
    </w:p>
    <w:p>
      <w:pPr>
        <w:pStyle w:val="2"/>
        <w:numPr>
          <w:ilvl w:val="0"/>
          <w:numId w:val="2"/>
        </w:numPr>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b/>
          <w:sz w:val="32"/>
          <w:szCs w:val="32"/>
        </w:rPr>
        <w:t>教育（类）普通教育（款）其他普通教育支出（项）</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sz w:val="32"/>
          <w:szCs w:val="32"/>
        </w:rPr>
        <w:t xml:space="preserve"> 支出决算为4万元，完成预算100%，决算数等于预算数。</w:t>
      </w:r>
    </w:p>
    <w:p>
      <w:pPr>
        <w:numPr>
          <w:ilvl w:val="0"/>
          <w:numId w:val="2"/>
        </w:numPr>
        <w:spacing w:line="600"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b/>
          <w:sz w:val="32"/>
          <w:szCs w:val="32"/>
        </w:rPr>
        <w:t>教育（类）职业教育（款）中等职业教育（项）</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rPr>
        <w:t xml:space="preserve"> </w:t>
      </w:r>
      <w:r>
        <w:rPr>
          <w:rFonts w:hint="eastAsia" w:ascii="仿宋_GB2312" w:hAnsi="仿宋_GB2312" w:eastAsia="仿宋_GB2312" w:cs="仿宋_GB2312"/>
          <w:sz w:val="32"/>
          <w:szCs w:val="32"/>
        </w:rPr>
        <w:t>支出决算为5623.03万元，完成预算100%，决算数等于预算数。</w:t>
      </w:r>
    </w:p>
    <w:p>
      <w:pPr>
        <w:pStyle w:val="2"/>
        <w:numPr>
          <w:ilvl w:val="0"/>
          <w:numId w:val="2"/>
        </w:numPr>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b/>
          <w:sz w:val="32"/>
          <w:szCs w:val="32"/>
        </w:rPr>
        <w:t>社会保障和就业支出（类）人力资源和社会保障管理事务（款）引进人才费用（项）：</w:t>
      </w:r>
      <w:r>
        <w:rPr>
          <w:rFonts w:hint="eastAsia" w:ascii="仿宋_GB2312" w:hAnsi="仿宋_GB2312" w:eastAsia="仿宋_GB2312" w:cs="仿宋_GB2312"/>
          <w:sz w:val="32"/>
          <w:szCs w:val="32"/>
        </w:rPr>
        <w:t>支出决算为24.9万元，完成预算100%，决算数等于预算数。</w:t>
      </w:r>
    </w:p>
    <w:p>
      <w:pPr>
        <w:numPr>
          <w:ilvl w:val="0"/>
          <w:numId w:val="2"/>
        </w:numPr>
        <w:suppressAutoHyphens w:val="0"/>
        <w:autoSpaceDE w:val="0"/>
        <w:autoSpaceDN w:val="0"/>
        <w:adjustRightInd w:val="0"/>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b/>
          <w:sz w:val="32"/>
          <w:szCs w:val="32"/>
        </w:rPr>
        <w:t>社会保障和就业支出（类）人力资源和社会保障管理事务（款）其他人力资源和社会保障管理事务支出（项）：</w:t>
      </w:r>
      <w:r>
        <w:rPr>
          <w:rFonts w:hint="eastAsia" w:ascii="仿宋_GB2312" w:hAnsi="仿宋_GB2312" w:eastAsia="仿宋_GB2312" w:cs="仿宋_GB2312"/>
          <w:sz w:val="32"/>
          <w:szCs w:val="32"/>
        </w:rPr>
        <w:t>支出决算为8万元，完成预算100%，决算数等于预算数。</w:t>
      </w:r>
    </w:p>
    <w:p>
      <w:pPr>
        <w:numPr>
          <w:ilvl w:val="0"/>
          <w:numId w:val="2"/>
        </w:numPr>
        <w:suppressAutoHyphens w:val="0"/>
        <w:autoSpaceDE w:val="0"/>
        <w:autoSpaceDN w:val="0"/>
        <w:adjustRightInd w:val="0"/>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b/>
          <w:sz w:val="32"/>
          <w:szCs w:val="32"/>
        </w:rPr>
        <w:t>社会保障和就业支出（类）行政事业单位养老支出（款）事业单位离退休（项）：</w:t>
      </w:r>
      <w:r>
        <w:rPr>
          <w:rFonts w:hint="eastAsia" w:ascii="仿宋_GB2312" w:hAnsi="仿宋_GB2312" w:eastAsia="仿宋_GB2312" w:cs="仿宋_GB2312"/>
          <w:sz w:val="32"/>
          <w:szCs w:val="32"/>
        </w:rPr>
        <w:t>支出决算为47.96万元，完成预算100%，决算数等于预算数。</w:t>
      </w:r>
    </w:p>
    <w:p>
      <w:pPr>
        <w:numPr>
          <w:ilvl w:val="0"/>
          <w:numId w:val="2"/>
        </w:numPr>
        <w:suppressAutoHyphens w:val="0"/>
        <w:autoSpaceDE w:val="0"/>
        <w:autoSpaceDN w:val="0"/>
        <w:adjustRightInd w:val="0"/>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b/>
          <w:sz w:val="32"/>
          <w:szCs w:val="32"/>
        </w:rPr>
        <w:t>社会保障和就业支出（类）行政事业单位养老支出（款）机关事业单位基本养老保险缴费支出（项）：</w:t>
      </w:r>
      <w:r>
        <w:rPr>
          <w:rFonts w:hint="eastAsia" w:ascii="仿宋_GB2312" w:hAnsi="仿宋_GB2312" w:eastAsia="仿宋_GB2312" w:cs="仿宋_GB2312"/>
          <w:sz w:val="32"/>
          <w:szCs w:val="32"/>
        </w:rPr>
        <w:t>支出决算为367.30万元，完成预算100%，决算数等于预算数。</w:t>
      </w:r>
    </w:p>
    <w:p>
      <w:pPr>
        <w:numPr>
          <w:ilvl w:val="0"/>
          <w:numId w:val="2"/>
        </w:numPr>
        <w:suppressAutoHyphens w:val="0"/>
        <w:autoSpaceDE w:val="0"/>
        <w:autoSpaceDN w:val="0"/>
        <w:adjustRightInd w:val="0"/>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b/>
          <w:sz w:val="32"/>
          <w:szCs w:val="32"/>
        </w:rPr>
        <w:t>社会保障和就业支出（类）行政事业单位养老支出（款）机关事业单位职业年金缴费支出（项）：</w:t>
      </w:r>
      <w:r>
        <w:rPr>
          <w:rFonts w:hint="eastAsia" w:ascii="仿宋_GB2312" w:hAnsi="仿宋_GB2312" w:eastAsia="仿宋_GB2312" w:cs="仿宋_GB2312"/>
          <w:sz w:val="32"/>
          <w:szCs w:val="32"/>
        </w:rPr>
        <w:t>支出决算为87.79万元，完成预算100%，决算数等于预算数，当年退休人员职业年金做实按实际结算。</w:t>
      </w:r>
    </w:p>
    <w:p>
      <w:pPr>
        <w:numPr>
          <w:ilvl w:val="0"/>
          <w:numId w:val="2"/>
        </w:numPr>
        <w:suppressAutoHyphens w:val="0"/>
        <w:autoSpaceDE w:val="0"/>
        <w:autoSpaceDN w:val="0"/>
        <w:adjustRightInd w:val="0"/>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b/>
          <w:sz w:val="32"/>
          <w:szCs w:val="32"/>
        </w:rPr>
        <w:t>社会保障和就业支出（类）其他社会保障和就业支出（款）其他社会保障和就业支出（项）：</w:t>
      </w:r>
      <w:r>
        <w:rPr>
          <w:rFonts w:hint="eastAsia" w:ascii="仿宋_GB2312" w:hAnsi="仿宋_GB2312" w:eastAsia="仿宋_GB2312" w:cs="仿宋_GB2312"/>
          <w:sz w:val="32"/>
          <w:szCs w:val="32"/>
        </w:rPr>
        <w:t>支出决算为17.91万元，完成预算100%，决算数等于预算数。</w:t>
      </w:r>
    </w:p>
    <w:p>
      <w:pPr>
        <w:numPr>
          <w:ilvl w:val="0"/>
          <w:numId w:val="2"/>
        </w:numPr>
        <w:suppressAutoHyphens w:val="0"/>
        <w:autoSpaceDE w:val="0"/>
        <w:autoSpaceDN w:val="0"/>
        <w:adjustRightInd w:val="0"/>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b/>
          <w:sz w:val="32"/>
          <w:szCs w:val="32"/>
        </w:rPr>
        <w:t>卫生健康支出（类）公共卫生（款）基本公共卫生服务（项）：</w:t>
      </w:r>
      <w:r>
        <w:rPr>
          <w:rFonts w:hint="eastAsia" w:ascii="仿宋_GB2312" w:hAnsi="仿宋_GB2312" w:eastAsia="仿宋_GB2312" w:cs="仿宋_GB2312"/>
          <w:sz w:val="32"/>
          <w:szCs w:val="32"/>
        </w:rPr>
        <w:t>支出决算为4.88万元，完成预算100%，决算数等于预算数。</w:t>
      </w:r>
    </w:p>
    <w:p>
      <w:pPr>
        <w:numPr>
          <w:ilvl w:val="0"/>
          <w:numId w:val="2"/>
        </w:numPr>
        <w:suppressAutoHyphens w:val="0"/>
        <w:autoSpaceDE w:val="0"/>
        <w:autoSpaceDN w:val="0"/>
        <w:adjustRightInd w:val="0"/>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b/>
          <w:sz w:val="32"/>
          <w:szCs w:val="32"/>
        </w:rPr>
        <w:t>卫生健康支出（类）公共卫生（款）其他公共卫生支出（项）：</w:t>
      </w:r>
      <w:r>
        <w:rPr>
          <w:rFonts w:hint="eastAsia" w:ascii="仿宋_GB2312" w:hAnsi="仿宋_GB2312" w:eastAsia="仿宋_GB2312" w:cs="仿宋_GB2312"/>
          <w:sz w:val="32"/>
          <w:szCs w:val="32"/>
        </w:rPr>
        <w:t>支出决算为1.63万元，完成预算100%，决算数等于预算数。</w:t>
      </w:r>
    </w:p>
    <w:p>
      <w:pPr>
        <w:numPr>
          <w:ilvl w:val="0"/>
          <w:numId w:val="2"/>
        </w:numPr>
        <w:suppressAutoHyphens w:val="0"/>
        <w:autoSpaceDE w:val="0"/>
        <w:autoSpaceDN w:val="0"/>
        <w:adjustRightInd w:val="0"/>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b/>
          <w:sz w:val="32"/>
          <w:szCs w:val="32"/>
        </w:rPr>
        <w:t>卫生健康支出（类）行政事业单位医疗（款）事业单位医疗（项）：</w:t>
      </w:r>
      <w:r>
        <w:rPr>
          <w:rFonts w:hint="eastAsia" w:ascii="仿宋_GB2312" w:hAnsi="仿宋_GB2312" w:eastAsia="仿宋_GB2312" w:cs="仿宋_GB2312"/>
          <w:sz w:val="32"/>
          <w:szCs w:val="32"/>
        </w:rPr>
        <w:t>支出决算为130.25万元，完成预算100%，决算数等于预算数。</w:t>
      </w:r>
    </w:p>
    <w:p>
      <w:pPr>
        <w:numPr>
          <w:ilvl w:val="0"/>
          <w:numId w:val="2"/>
        </w:numPr>
        <w:suppressAutoHyphens w:val="0"/>
        <w:autoSpaceDE w:val="0"/>
        <w:autoSpaceDN w:val="0"/>
        <w:adjustRightInd w:val="0"/>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b/>
          <w:sz w:val="32"/>
          <w:szCs w:val="32"/>
        </w:rPr>
        <w:t>住房保障支出（类）住房改革支出（款）住房公积金（项）：</w:t>
      </w:r>
      <w:r>
        <w:rPr>
          <w:rFonts w:hint="eastAsia" w:ascii="仿宋_GB2312" w:hAnsi="仿宋_GB2312" w:eastAsia="仿宋_GB2312" w:cs="仿宋_GB2312"/>
          <w:sz w:val="32"/>
          <w:szCs w:val="32"/>
        </w:rPr>
        <w:t>支出决算为275.66万元，完成预算100%，决算数等于预算数。</w:t>
      </w:r>
    </w:p>
    <w:p>
      <w:pPr>
        <w:tabs>
          <w:tab w:val="right" w:pos="8306"/>
        </w:tabs>
        <w:spacing w:line="600" w:lineRule="exact"/>
        <w:ind w:firstLine="640"/>
        <w:outlineLvl w:val="1"/>
        <w:rPr>
          <w:sz w:val="32"/>
          <w:szCs w:val="32"/>
        </w:rPr>
      </w:pPr>
      <w:bookmarkStart w:id="24" w:name="_Toc177559210"/>
      <w:r>
        <w:rPr>
          <w:rFonts w:hint="eastAsia" w:ascii="黑体" w:eastAsia="黑体"/>
          <w:sz w:val="32"/>
          <w:szCs w:val="32"/>
        </w:rPr>
        <w:t>六、</w:t>
      </w:r>
      <w:r>
        <w:rPr>
          <w:rFonts w:hint="eastAsia" w:ascii="黑体" w:hAnsi="黑体" w:eastAsia="黑体"/>
          <w:sz w:val="32"/>
          <w:szCs w:val="32"/>
        </w:rPr>
        <w:t>一般公共预算财政拨款基本支出决算情况说明</w:t>
      </w:r>
      <w:bookmarkEnd w:id="24"/>
      <w:r>
        <w:rPr>
          <w:rFonts w:ascii="黑体" w:hAnsi="黑体" w:eastAsia="黑体"/>
          <w:sz w:val="32"/>
          <w:szCs w:val="32"/>
        </w:rPr>
        <w:tab/>
      </w:r>
    </w:p>
    <w:p>
      <w:pPr>
        <w:spacing w:line="60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2023年度一般公共预算财政拨款基本支出5020.97万元，其中：</w:t>
      </w:r>
    </w:p>
    <w:p>
      <w:pPr>
        <w:spacing w:line="60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人员经费4080.12万元，主要包括：基本工资、津贴补贴、奖金、绩效工资、机关事业单位基本养老保险缴费、职业年金缴费、</w:t>
      </w:r>
      <w:r>
        <w:rPr>
          <w:rFonts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rPr>
        <w:t>、其他社会保障缴费、住房公积金、其他工资福利支出、生活补助、助学金、奖励金、其他对个人和家庭的补助支出。</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940.85万元，主要包括：办公费、印刷费、咨询费、水费、电费、邮电费、物业管理费、差旅费、维修（护）费、租赁费、培训费、专用材料费、劳务费、工会经费、福利费、其他交通费用、其他商品和服务支出、办公设备购置、专用设备购置、其他资本性支出。</w:t>
      </w:r>
    </w:p>
    <w:p>
      <w:pPr>
        <w:spacing w:line="600" w:lineRule="exact"/>
        <w:ind w:firstLine="640"/>
        <w:outlineLvl w:val="1"/>
        <w:rPr>
          <w:rFonts w:ascii="黑体" w:hAnsi="黑体" w:eastAsia="黑体"/>
          <w:sz w:val="32"/>
          <w:szCs w:val="32"/>
        </w:rPr>
      </w:pPr>
      <w:bookmarkStart w:id="25" w:name="_Toc177559211"/>
      <w:r>
        <w:rPr>
          <w:rFonts w:hint="eastAsia" w:ascii="黑体" w:eastAsia="黑体"/>
          <w:sz w:val="32"/>
          <w:szCs w:val="32"/>
        </w:rPr>
        <w:t>七、</w:t>
      </w:r>
      <w:r>
        <w:rPr>
          <w:rFonts w:hint="eastAsia" w:ascii="黑体" w:hAnsi="黑体" w:eastAsia="黑体"/>
          <w:sz w:val="32"/>
          <w:szCs w:val="32"/>
        </w:rPr>
        <w:t>财政拨款“三公”经费支出决算情况说明</w:t>
      </w:r>
      <w:bookmarkEnd w:id="25"/>
    </w:p>
    <w:p>
      <w:pPr>
        <w:spacing w:line="600" w:lineRule="exact"/>
        <w:ind w:firstLine="640"/>
        <w:outlineLvl w:val="2"/>
        <w:rPr>
          <w:rFonts w:ascii="仿宋_GB2312" w:hAnsi="仿宋_GB2312" w:eastAsia="仿宋_GB2312" w:cs="仿宋_GB2312"/>
          <w:b/>
          <w:sz w:val="32"/>
          <w:szCs w:val="32"/>
        </w:rPr>
      </w:pPr>
      <w:bookmarkStart w:id="26" w:name="_Toc177558733"/>
      <w:bookmarkStart w:id="27" w:name="_Toc177559212"/>
      <w:r>
        <w:rPr>
          <w:rFonts w:hint="eastAsia" w:ascii="仿宋_GB2312" w:hAnsi="仿宋_GB2312" w:eastAsia="仿宋_GB2312" w:cs="仿宋_GB2312"/>
          <w:b/>
          <w:sz w:val="32"/>
          <w:szCs w:val="32"/>
        </w:rPr>
        <w:t>（一）“三公”经费财政拨款支出决算总体情况说明</w:t>
      </w:r>
      <w:bookmarkEnd w:id="26"/>
      <w:bookmarkEnd w:id="27"/>
    </w:p>
    <w:p>
      <w:pPr>
        <w:pStyle w:val="2"/>
        <w:spacing w:before="72"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2023年度“三公”经费财政拨款支出决算为0万元，年初未在财政拨款支出中安排预算</w:t>
      </w:r>
      <w:r>
        <w:rPr>
          <w:rFonts w:hint="eastAsia" w:ascii="仿宋_GB2312" w:hAnsi="仿宋_GB2312" w:eastAsia="仿宋_GB2312" w:cs="仿宋_GB2312"/>
          <w:sz w:val="32"/>
          <w:szCs w:val="32"/>
          <w:lang w:eastAsia="zh-CN"/>
        </w:rPr>
        <w:t>，较上年无变化</w:t>
      </w:r>
      <w:r>
        <w:rPr>
          <w:rFonts w:hint="eastAsia" w:ascii="仿宋_GB2312" w:hAnsi="仿宋_GB2312" w:eastAsia="仿宋_GB2312" w:cs="仿宋_GB2312"/>
          <w:sz w:val="32"/>
          <w:szCs w:val="32"/>
        </w:rPr>
        <w:t>。</w:t>
      </w:r>
    </w:p>
    <w:p>
      <w:pPr>
        <w:spacing w:line="600" w:lineRule="exact"/>
        <w:ind w:firstLine="640"/>
        <w:outlineLvl w:val="2"/>
        <w:rPr>
          <w:rFonts w:ascii="仿宋_GB2312" w:hAnsi="仿宋_GB2312" w:eastAsia="仿宋_GB2312" w:cs="仿宋_GB2312"/>
          <w:b/>
          <w:sz w:val="32"/>
          <w:szCs w:val="32"/>
        </w:rPr>
      </w:pPr>
      <w:bookmarkStart w:id="28" w:name="_Toc177559213"/>
      <w:bookmarkStart w:id="29" w:name="_Toc177558734"/>
      <w:r>
        <w:rPr>
          <w:rFonts w:hint="eastAsia" w:ascii="仿宋_GB2312" w:hAnsi="仿宋_GB2312" w:eastAsia="仿宋_GB2312" w:cs="仿宋_GB2312"/>
          <w:b/>
          <w:sz w:val="32"/>
          <w:szCs w:val="32"/>
        </w:rPr>
        <w:t>（二）“三公”经费财政拨款支出决算具体情况说明</w:t>
      </w:r>
      <w:bookmarkEnd w:id="28"/>
      <w:bookmarkEnd w:id="29"/>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2023年度“三公”经费财政拨款支出决算中，因公出国（境）费支出决算0万元，占0%；公务用车购置及运行维护费支出决算0万元，占0%；公务接待费支出决算0万元，占0%。具体情况如下：</w:t>
      </w:r>
    </w:p>
    <w:p>
      <w:pPr>
        <w:spacing w:line="576" w:lineRule="exact"/>
        <w:ind w:firstLine="643"/>
        <w:rPr>
          <w:rFonts w:ascii="仿宋_GB2312" w:hAnsi="仿宋_GB2312" w:eastAsia="仿宋_GB2312"/>
          <w:color w:val="000000"/>
          <w:sz w:val="32"/>
          <w:lang w:val="zh-CN"/>
        </w:rPr>
      </w:pPr>
      <w:r>
        <w:rPr>
          <w:rFonts w:hint="eastAsia" w:ascii="仿宋_GB2312" w:hAnsi="仿宋_GB2312" w:eastAsia="仿宋_GB2312" w:cs="仿宋_GB2312"/>
          <w:b/>
          <w:sz w:val="32"/>
          <w:szCs w:val="32"/>
        </w:rPr>
        <w:t>1.因公出国（境）经费支出</w:t>
      </w:r>
      <w:r>
        <w:rPr>
          <w:rFonts w:hint="eastAsia" w:ascii="仿宋_GB2312" w:hAnsi="仿宋_GB2312" w:eastAsia="仿宋_GB2312" w:cs="仿宋_GB2312"/>
          <w:sz w:val="32"/>
          <w:szCs w:val="32"/>
        </w:rPr>
        <w:t>0万元，</w:t>
      </w:r>
      <w:r>
        <w:rPr>
          <w:rFonts w:hint="eastAsia" w:ascii="仿宋_GB2312" w:hAnsi="仿宋_GB2312" w:eastAsia="仿宋_GB2312"/>
          <w:color w:val="000000"/>
          <w:sz w:val="32"/>
          <w:lang w:val="zh-CN"/>
        </w:rPr>
        <w:t>年初未安排预算</w:t>
      </w:r>
      <w:r>
        <w:rPr>
          <w:rFonts w:hint="eastAsia" w:ascii="仿宋_GB2312" w:hAnsi="仿宋_GB2312" w:eastAsia="仿宋_GB2312"/>
          <w:color w:val="000000"/>
          <w:sz w:val="32"/>
        </w:rPr>
        <w:t>，较上年无变化</w:t>
      </w:r>
      <w:r>
        <w:rPr>
          <w:rFonts w:hint="eastAsia" w:ascii="仿宋_GB2312" w:hAnsi="仿宋_GB2312" w:eastAsia="仿宋_GB2312"/>
          <w:color w:val="000000"/>
          <w:sz w:val="32"/>
          <w:lang w:val="zh-CN"/>
        </w:rPr>
        <w:t>。</w:t>
      </w:r>
    </w:p>
    <w:p>
      <w:pPr>
        <w:spacing w:line="576" w:lineRule="exact"/>
        <w:ind w:firstLine="640"/>
        <w:rPr>
          <w:rFonts w:ascii="仿宋_GB2312" w:hAnsi="仿宋_GB2312" w:eastAsia="仿宋_GB2312"/>
          <w:color w:val="000000"/>
          <w:sz w:val="32"/>
        </w:rPr>
      </w:pPr>
      <w:r>
        <w:rPr>
          <w:rFonts w:hint="eastAsia" w:ascii="仿宋_GB2312" w:hAnsi="仿宋_GB2312" w:eastAsia="仿宋_GB2312" w:cs="仿宋_GB2312"/>
          <w:b/>
          <w:sz w:val="32"/>
          <w:szCs w:val="32"/>
        </w:rPr>
        <w:t>2.公务用车购置及运行维护费支出</w:t>
      </w:r>
      <w:r>
        <w:rPr>
          <w:rFonts w:hint="eastAsia" w:ascii="仿宋_GB2312" w:hAnsi="仿宋_GB2312" w:eastAsia="仿宋_GB2312" w:cs="仿宋_GB2312"/>
          <w:sz w:val="32"/>
          <w:szCs w:val="32"/>
        </w:rPr>
        <w:t>0万元</w:t>
      </w:r>
      <w:r>
        <w:rPr>
          <w:rFonts w:hint="eastAsia" w:ascii="仿宋_GB2312" w:hAnsi="仿宋_GB2312" w:eastAsia="仿宋_GB2312" w:cs="仿宋_GB2312"/>
          <w:sz w:val="32"/>
          <w:szCs w:val="32"/>
          <w:lang w:eastAsia="zh-CN"/>
        </w:rPr>
        <w:t>，</w:t>
      </w:r>
      <w:r>
        <w:rPr>
          <w:rFonts w:hint="eastAsia" w:ascii="仿宋_GB2312" w:hAnsi="仿宋_GB2312" w:eastAsia="仿宋_GB2312"/>
          <w:color w:val="000000"/>
          <w:sz w:val="32"/>
          <w:lang w:val="zh-CN"/>
        </w:rPr>
        <w:t xml:space="preserve"> 年初未在财政拨款支出中安排预算，</w:t>
      </w:r>
      <w:r>
        <w:rPr>
          <w:rFonts w:hint="eastAsia" w:ascii="仿宋_GB2312" w:hAnsi="仿宋_GB2312" w:eastAsia="仿宋_GB2312"/>
          <w:color w:val="000000"/>
          <w:sz w:val="32"/>
        </w:rPr>
        <w:t>较上年无变化。</w:t>
      </w:r>
    </w:p>
    <w:p>
      <w:pPr>
        <w:spacing w:line="600" w:lineRule="exact"/>
        <w:ind w:firstLine="640"/>
        <w:rPr>
          <w:rFonts w:ascii="仿宋_GB2312" w:hAnsi="仿宋_GB2312" w:eastAsia="仿宋_GB2312" w:cs="仿宋_GB2312"/>
          <w:b/>
          <w:sz w:val="32"/>
          <w:szCs w:val="32"/>
        </w:rPr>
      </w:pPr>
      <w:r>
        <w:rPr>
          <w:rFonts w:hint="eastAsia" w:ascii="仿宋_GB2312" w:hAnsi="仿宋_GB2312" w:eastAsia="仿宋_GB2312" w:cs="仿宋_GB2312"/>
          <w:sz w:val="32"/>
          <w:szCs w:val="32"/>
        </w:rPr>
        <w:t>其中：</w:t>
      </w:r>
      <w:r>
        <w:rPr>
          <w:rFonts w:hint="eastAsia" w:ascii="仿宋_GB2312" w:hAnsi="仿宋_GB2312" w:eastAsia="仿宋_GB2312" w:cs="仿宋_GB2312"/>
          <w:b/>
          <w:sz w:val="32"/>
          <w:szCs w:val="32"/>
        </w:rPr>
        <w:t>公务用车购置支出</w:t>
      </w:r>
      <w:r>
        <w:rPr>
          <w:rFonts w:hint="eastAsia" w:ascii="仿宋_GB2312" w:hAnsi="仿宋_GB2312" w:eastAsia="仿宋_GB2312" w:cs="仿宋_GB2312"/>
          <w:sz w:val="32"/>
          <w:szCs w:val="32"/>
        </w:rPr>
        <w:t>0万元</w:t>
      </w:r>
      <w:r>
        <w:rPr>
          <w:rFonts w:hint="eastAsia" w:ascii="仿宋_GB2312" w:hAnsi="仿宋_GB2312" w:eastAsia="仿宋_GB2312" w:cs="仿宋_GB2312"/>
          <w:sz w:val="32"/>
          <w:szCs w:val="32"/>
          <w:lang w:eastAsia="zh-CN"/>
        </w:rPr>
        <w:t>，本年度未购置公务用车</w:t>
      </w:r>
      <w:r>
        <w:rPr>
          <w:rFonts w:hint="eastAsia" w:ascii="仿宋_GB2312" w:hAnsi="仿宋_GB2312" w:eastAsia="仿宋_GB2312" w:cs="仿宋_GB2312"/>
          <w:sz w:val="32"/>
          <w:szCs w:val="32"/>
        </w:rPr>
        <w:t>。截至2023年12月31日，单位共有公务用车1辆，其中：轿车1辆。</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b/>
          <w:sz w:val="32"/>
          <w:szCs w:val="32"/>
        </w:rPr>
        <w:t>公务用车运行维护费支出</w:t>
      </w:r>
      <w:r>
        <w:rPr>
          <w:rFonts w:hint="eastAsia" w:ascii="仿宋_GB2312" w:hAnsi="仿宋_GB2312" w:eastAsia="仿宋_GB2312" w:cs="仿宋_GB2312"/>
          <w:sz w:val="32"/>
          <w:szCs w:val="32"/>
        </w:rPr>
        <w:t>0万元。</w:t>
      </w:r>
    </w:p>
    <w:p>
      <w:pPr>
        <w:spacing w:line="576" w:lineRule="exact"/>
        <w:ind w:firstLine="643"/>
        <w:rPr>
          <w:rFonts w:ascii="仿宋_GB2312" w:hAnsi="仿宋_GB2312" w:eastAsia="仿宋_GB2312" w:cs="仿宋_GB2312"/>
          <w:sz w:val="32"/>
          <w:szCs w:val="32"/>
        </w:rPr>
      </w:pPr>
      <w:r>
        <w:rPr>
          <w:rFonts w:hint="eastAsia" w:ascii="仿宋_GB2312" w:hAnsi="仿宋_GB2312" w:eastAsia="仿宋_GB2312" w:cs="仿宋_GB2312"/>
          <w:b/>
          <w:sz w:val="32"/>
          <w:szCs w:val="32"/>
        </w:rPr>
        <w:t>3.公务接待费支出</w:t>
      </w:r>
      <w:r>
        <w:rPr>
          <w:rFonts w:hint="eastAsia" w:ascii="仿宋_GB2312" w:hAnsi="仿宋_GB2312" w:eastAsia="仿宋_GB2312" w:cs="仿宋_GB2312"/>
          <w:sz w:val="32"/>
          <w:szCs w:val="32"/>
        </w:rPr>
        <w:t>0万元，</w:t>
      </w:r>
      <w:r>
        <w:rPr>
          <w:rFonts w:hint="eastAsia" w:ascii="仿宋_GB2312" w:hAnsi="仿宋_GB2312" w:eastAsia="仿宋_GB2312"/>
          <w:color w:val="000000"/>
          <w:sz w:val="32"/>
          <w:lang w:val="zh-CN"/>
        </w:rPr>
        <w:t>年初未在财政拨款支出中安排预算，较上年无变化</w:t>
      </w:r>
      <w:r>
        <w:rPr>
          <w:rFonts w:hint="eastAsia" w:ascii="仿宋_GB2312" w:hAnsi="仿宋_GB2312" w:eastAsia="仿宋_GB2312"/>
          <w:color w:val="000000"/>
          <w:sz w:val="32"/>
        </w:rPr>
        <w:t>。</w:t>
      </w:r>
    </w:p>
    <w:p>
      <w:pPr>
        <w:spacing w:line="600" w:lineRule="exact"/>
        <w:ind w:firstLine="640"/>
        <w:outlineLvl w:val="1"/>
        <w:rPr>
          <w:rFonts w:ascii="黑体" w:hAnsi="黑体" w:eastAsia="黑体"/>
          <w:sz w:val="32"/>
          <w:szCs w:val="32"/>
        </w:rPr>
      </w:pPr>
      <w:bookmarkStart w:id="30" w:name="_Toc177559214"/>
      <w:r>
        <w:rPr>
          <w:rFonts w:hint="eastAsia" w:ascii="黑体" w:eastAsia="黑体"/>
          <w:sz w:val="32"/>
          <w:szCs w:val="32"/>
        </w:rPr>
        <w:t>八、</w:t>
      </w:r>
      <w:r>
        <w:rPr>
          <w:rFonts w:hint="eastAsia" w:ascii="黑体" w:hAnsi="黑体" w:eastAsia="黑体"/>
          <w:sz w:val="32"/>
          <w:szCs w:val="32"/>
        </w:rPr>
        <w:t>政府性基金预算支出决算情况说明</w:t>
      </w:r>
      <w:bookmarkEnd w:id="30"/>
    </w:p>
    <w:p>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2100万元。2023年10月底，按照项目推进实际进度分别完成65.62亩建设用地征拆费1676.28万元，通信线路迁改费用155.4万元，支付该项目前期设计、人防、环评等待摊费用268.32万元，实际资金支付率100%。</w:t>
      </w:r>
    </w:p>
    <w:p>
      <w:pPr>
        <w:spacing w:line="600" w:lineRule="exact"/>
        <w:ind w:firstLine="640" w:firstLineChars="200"/>
        <w:outlineLvl w:val="1"/>
        <w:rPr>
          <w:rFonts w:ascii="黑体" w:hAnsi="黑体" w:eastAsia="黑体"/>
          <w:sz w:val="32"/>
          <w:szCs w:val="32"/>
        </w:rPr>
      </w:pPr>
      <w:bookmarkStart w:id="31" w:name="_Toc177559215"/>
      <w:r>
        <w:rPr>
          <w:rFonts w:hint="eastAsia" w:ascii="黑体" w:hAnsi="黑体" w:eastAsia="黑体"/>
          <w:sz w:val="32"/>
          <w:szCs w:val="32"/>
        </w:rPr>
        <w:t>九、国有资本经营预算支出决算情况说明</w:t>
      </w:r>
      <w:bookmarkEnd w:id="31"/>
    </w:p>
    <w:p>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2023年度国有资本经营预算财政拨款支出0万元。</w:t>
      </w:r>
    </w:p>
    <w:p>
      <w:pPr>
        <w:spacing w:line="600" w:lineRule="exact"/>
        <w:ind w:firstLine="640" w:firstLineChars="200"/>
        <w:outlineLvl w:val="1"/>
        <w:rPr>
          <w:rFonts w:ascii="黑体" w:hAnsi="黑体" w:eastAsia="黑体"/>
          <w:sz w:val="32"/>
          <w:szCs w:val="32"/>
        </w:rPr>
      </w:pPr>
      <w:bookmarkStart w:id="32" w:name="_Toc177559216"/>
      <w:r>
        <w:rPr>
          <w:rFonts w:hint="eastAsia" w:ascii="黑体" w:hAnsi="黑体" w:eastAsia="黑体"/>
          <w:sz w:val="32"/>
          <w:szCs w:val="32"/>
        </w:rPr>
        <w:t>十、其他重要事项的情况说明</w:t>
      </w:r>
      <w:bookmarkEnd w:id="32"/>
    </w:p>
    <w:p>
      <w:pPr>
        <w:spacing w:line="600" w:lineRule="exact"/>
        <w:ind w:firstLine="642" w:firstLineChars="200"/>
        <w:outlineLvl w:val="2"/>
        <w:rPr>
          <w:rFonts w:ascii="仿宋" w:hAnsi="仿宋" w:eastAsia="仿宋"/>
          <w:sz w:val="32"/>
          <w:szCs w:val="32"/>
        </w:rPr>
      </w:pPr>
      <w:bookmarkStart w:id="33" w:name="_Toc177558738"/>
      <w:bookmarkStart w:id="34" w:name="_Toc177559217"/>
      <w:r>
        <w:rPr>
          <w:rFonts w:hint="eastAsia" w:ascii="仿宋" w:hAnsi="仿宋" w:eastAsia="仿宋"/>
          <w:b/>
          <w:sz w:val="32"/>
          <w:szCs w:val="32"/>
        </w:rPr>
        <w:t>（一）机关运行经费支出情况</w:t>
      </w:r>
      <w:bookmarkEnd w:id="33"/>
      <w:bookmarkEnd w:id="34"/>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2023年未发生机关运行经费支出，与2022年决算数持平。</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35" w:name="_Toc177558739"/>
      <w:bookmarkStart w:id="36" w:name="_Toc177559218"/>
      <w:r>
        <w:rPr>
          <w:rFonts w:hint="eastAsia" w:ascii="仿宋" w:hAnsi="仿宋" w:eastAsia="仿宋"/>
          <w:b/>
          <w:sz w:val="32"/>
          <w:szCs w:val="32"/>
        </w:rPr>
        <w:t>（二）政府采购支出情况</w:t>
      </w:r>
      <w:bookmarkEnd w:id="35"/>
      <w:bookmarkEnd w:id="36"/>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2023年度，广元市利州中等专业学校政府采购支出总额916.20万元，其中：政府采购货物支出529.09万元、政府采购服务支出387.11万元。授予中小企业合同金额916.20万元，占政府采购支出总额的100</w:t>
      </w:r>
      <w:r>
        <w:rPr>
          <w:rFonts w:ascii="仿宋_GB2312" w:eastAsia="仿宋_GB2312"/>
          <w:sz w:val="32"/>
          <w:szCs w:val="32"/>
        </w:rPr>
        <w:t>%</w:t>
      </w:r>
      <w:r>
        <w:rPr>
          <w:rFonts w:hint="eastAsia" w:ascii="仿宋_GB2312" w:eastAsia="仿宋_GB2312"/>
          <w:sz w:val="32"/>
          <w:szCs w:val="32"/>
        </w:rPr>
        <w:t>，其中：授予小微企业合同金额916.20万元，占政府采购支出总额的100</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37" w:name="_Toc177559219"/>
      <w:bookmarkStart w:id="38" w:name="_Toc177558740"/>
      <w:r>
        <w:rPr>
          <w:rFonts w:hint="eastAsia" w:ascii="仿宋" w:hAnsi="仿宋" w:eastAsia="仿宋"/>
          <w:b/>
          <w:sz w:val="32"/>
          <w:szCs w:val="32"/>
        </w:rPr>
        <w:t>（三）国有资产占有使用情况</w:t>
      </w:r>
      <w:bookmarkEnd w:id="37"/>
      <w:bookmarkEnd w:id="38"/>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日，广元市利州中等专业学校共有车辆1辆，其中：其他用车1辆，其他用车主要是用于</w:t>
      </w:r>
      <w:r>
        <w:rPr>
          <w:rFonts w:hint="eastAsia" w:ascii="仿宋_GB2312" w:hAnsi="仿宋_GB2312" w:eastAsia="仿宋_GB2312"/>
          <w:color w:val="000000"/>
          <w:sz w:val="32"/>
          <w:lang w:val="zh-CN"/>
        </w:rPr>
        <w:t>日常开展工作</w:t>
      </w:r>
      <w:r>
        <w:rPr>
          <w:rFonts w:hint="eastAsia" w:ascii="仿宋_GB2312" w:eastAsia="仿宋_GB2312"/>
          <w:sz w:val="32"/>
          <w:szCs w:val="32"/>
        </w:rPr>
        <w:t>。单价</w:t>
      </w:r>
      <w:r>
        <w:rPr>
          <w:rFonts w:ascii="仿宋_GB2312" w:eastAsia="仿宋_GB2312"/>
          <w:sz w:val="32"/>
          <w:szCs w:val="32"/>
        </w:rPr>
        <w:t>50</w:t>
      </w:r>
      <w:r>
        <w:rPr>
          <w:rFonts w:hint="eastAsia" w:ascii="仿宋_GB2312" w:eastAsia="仿宋_GB2312"/>
          <w:sz w:val="32"/>
          <w:szCs w:val="32"/>
        </w:rPr>
        <w:t>万元以上通用设备0台（套），单价</w:t>
      </w:r>
      <w:r>
        <w:rPr>
          <w:rFonts w:ascii="仿宋_GB2312" w:eastAsia="仿宋_GB2312"/>
          <w:sz w:val="32"/>
          <w:szCs w:val="32"/>
        </w:rPr>
        <w:t>100</w:t>
      </w:r>
      <w:r>
        <w:rPr>
          <w:rFonts w:hint="eastAsia" w:ascii="仿宋_GB2312" w:eastAsia="仿宋_GB2312"/>
          <w:sz w:val="32"/>
          <w:szCs w:val="32"/>
        </w:rPr>
        <w:t>万元以上专用设备（不含车辆）0台（套）。</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39" w:name="_Toc177558741"/>
      <w:bookmarkStart w:id="40" w:name="_Toc177559220"/>
      <w:r>
        <w:rPr>
          <w:rFonts w:hint="eastAsia" w:ascii="仿宋" w:hAnsi="仿宋" w:eastAsia="仿宋"/>
          <w:b/>
          <w:sz w:val="32"/>
          <w:szCs w:val="32"/>
        </w:rPr>
        <w:t>（四）预算绩效管理情况</w:t>
      </w:r>
      <w:bookmarkEnd w:id="39"/>
      <w:bookmarkEnd w:id="40"/>
    </w:p>
    <w:p>
      <w:pPr>
        <w:spacing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根据预算绩效管理要求，本单位在2023年度预算编制阶段，组织对名师工作经费项目（项目名称）等16个项目开展了预算事前绩效评估，对16个项目编制了绩效目标，预算执行过程中，选取16个项目开展绩效监控，组织对16个项目开展绩效自评，绩效自评表详见第四部分附件。</w:t>
      </w:r>
    </w:p>
    <w:p>
      <w:pPr>
        <w:spacing w:line="600" w:lineRule="exact"/>
        <w:jc w:val="center"/>
        <w:outlineLvl w:val="0"/>
        <w:rPr>
          <w:rFonts w:hint="eastAsia" w:ascii="黑体" w:hAnsi="黑体" w:eastAsia="黑体"/>
          <w:sz w:val="44"/>
          <w:szCs w:val="44"/>
        </w:rPr>
      </w:pPr>
      <w:bookmarkStart w:id="41" w:name="_Toc177559221"/>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ascii="黑体" w:hAnsi="黑体" w:eastAsia="黑体"/>
          <w:bCs/>
          <w:kern w:val="44"/>
          <w:sz w:val="44"/>
          <w:szCs w:val="44"/>
        </w:rPr>
      </w:pPr>
      <w:r>
        <w:rPr>
          <w:rFonts w:hint="eastAsia" w:ascii="黑体" w:hAnsi="黑体" w:eastAsia="黑体"/>
          <w:sz w:val="44"/>
          <w:szCs w:val="44"/>
        </w:rPr>
        <w:t>第三部分  名词解释</w:t>
      </w:r>
      <w:bookmarkEnd w:id="41"/>
    </w:p>
    <w:p>
      <w:pPr>
        <w:pStyle w:val="9"/>
        <w:numPr>
          <w:ilvl w:val="0"/>
          <w:numId w:val="3"/>
        </w:numPr>
        <w:spacing w:line="560" w:lineRule="exact"/>
        <w:ind w:left="0" w:leftChars="0" w:firstLine="400" w:firstLineChars="0"/>
        <w:rPr>
          <w:rFonts w:ascii="仿宋_GB2312" w:eastAsia="仿宋_GB2312"/>
          <w:sz w:val="32"/>
          <w:szCs w:val="32"/>
        </w:rPr>
      </w:pPr>
      <w:r>
        <w:rPr>
          <w:rFonts w:hint="eastAsia" w:ascii="仿宋_GB2312" w:eastAsia="仿宋_GB2312"/>
          <w:sz w:val="32"/>
          <w:szCs w:val="32"/>
        </w:rPr>
        <w:t>财政拨款收入：指单位从同级财政部门取得的财政预算资金。</w:t>
      </w:r>
    </w:p>
    <w:p>
      <w:pPr>
        <w:pStyle w:val="9"/>
        <w:numPr>
          <w:ilvl w:val="0"/>
          <w:numId w:val="3"/>
        </w:numPr>
        <w:spacing w:line="560" w:lineRule="exact"/>
        <w:ind w:left="0" w:leftChars="0" w:firstLine="400" w:firstLineChars="0"/>
        <w:rPr>
          <w:rFonts w:ascii="仿宋_GB2312" w:eastAsia="仿宋_GB2312"/>
          <w:sz w:val="32"/>
          <w:szCs w:val="32"/>
        </w:rPr>
      </w:pPr>
      <w:r>
        <w:rPr>
          <w:rFonts w:hint="eastAsia" w:ascii="仿宋_GB2312" w:eastAsia="仿宋_GB2312"/>
          <w:sz w:val="32"/>
          <w:szCs w:val="32"/>
        </w:rPr>
        <w:t>事业收入：指事业单位开展专业业务活动及辅助活动取得的收入。</w:t>
      </w:r>
    </w:p>
    <w:p>
      <w:pPr>
        <w:pStyle w:val="9"/>
        <w:numPr>
          <w:ilvl w:val="0"/>
          <w:numId w:val="3"/>
        </w:numPr>
        <w:spacing w:line="560" w:lineRule="exact"/>
        <w:ind w:left="0" w:leftChars="0" w:firstLine="400" w:firstLineChars="0"/>
        <w:rPr>
          <w:rFonts w:ascii="仿宋_GB2312" w:eastAsia="仿宋_GB2312"/>
          <w:sz w:val="32"/>
          <w:szCs w:val="32"/>
        </w:rPr>
      </w:pP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2"/>
        <w:numPr>
          <w:ilvl w:val="0"/>
          <w:numId w:val="3"/>
        </w:numPr>
        <w:ind w:left="0" w:leftChars="0" w:firstLine="400" w:firstLineChars="0"/>
        <w:rPr>
          <w:rFonts w:ascii="仿宋_GB2312" w:eastAsia="仿宋_GB2312"/>
          <w:sz w:val="32"/>
          <w:szCs w:val="32"/>
        </w:rPr>
      </w:pPr>
      <w:r>
        <w:rPr>
          <w:rFonts w:hint="eastAsia" w:ascii="仿宋_GB2312" w:eastAsia="仿宋_GB2312"/>
          <w:sz w:val="32"/>
          <w:szCs w:val="32"/>
        </w:rPr>
        <w:t>教育（类）普通教育（款）初中教育（项）：反映各部门举办的初中教育支出。政府各部门对社会组织等举办的初中的资助，如捐赠、补贴等，也在本科目中反映。</w:t>
      </w:r>
    </w:p>
    <w:p>
      <w:pPr>
        <w:pStyle w:val="2"/>
        <w:numPr>
          <w:ilvl w:val="0"/>
          <w:numId w:val="3"/>
        </w:numPr>
        <w:ind w:left="0" w:leftChars="0" w:firstLine="400" w:firstLineChars="0"/>
      </w:pPr>
      <w:r>
        <w:rPr>
          <w:rFonts w:hint="eastAsia" w:ascii="仿宋_GB2312" w:eastAsia="仿宋_GB2312"/>
          <w:sz w:val="32"/>
          <w:szCs w:val="32"/>
        </w:rPr>
        <w:t>教育（类）普通教育（款）其他普通教育支出（项）：反映除上述项目以外其他用于普通教育方面的支出。</w:t>
      </w:r>
    </w:p>
    <w:p>
      <w:pPr>
        <w:numPr>
          <w:ilvl w:val="0"/>
          <w:numId w:val="3"/>
        </w:numPr>
        <w:suppressAutoHyphens w:val="0"/>
        <w:autoSpaceDE w:val="0"/>
        <w:autoSpaceDN w:val="0"/>
        <w:adjustRightInd w:val="0"/>
        <w:spacing w:line="576" w:lineRule="exact"/>
        <w:ind w:left="0" w:leftChars="0" w:firstLine="400" w:firstLineChars="0"/>
        <w:rPr>
          <w:rFonts w:ascii="仿宋_GB2312" w:hAnsi="仿宋_GB2312" w:eastAsia="仿宋_GB2312" w:cs="仿宋_GB2312"/>
          <w:sz w:val="32"/>
          <w:szCs w:val="32"/>
        </w:rPr>
      </w:pPr>
      <w:r>
        <w:rPr>
          <w:rFonts w:hint="eastAsia" w:ascii="仿宋_GB2312" w:eastAsia="仿宋_GB2312"/>
          <w:sz w:val="32"/>
          <w:szCs w:val="32"/>
        </w:rPr>
        <w:t>教育（类）职业教育（款）中等职业教育（项）：</w:t>
      </w:r>
      <w:r>
        <w:rPr>
          <w:rFonts w:hint="eastAsia" w:ascii="仿宋_GB2312" w:eastAsia="仿宋_GB2312"/>
          <w:sz w:val="32"/>
          <w:szCs w:val="32"/>
          <w:lang w:eastAsia="zh-CN"/>
        </w:rPr>
        <w:t>指</w:t>
      </w:r>
      <w:r>
        <w:rPr>
          <w:rFonts w:hint="eastAsia" w:ascii="仿宋_GB2312" w:hAnsi="仿宋_GB2312" w:eastAsia="仿宋_GB2312" w:cs="仿宋_GB2312"/>
          <w:sz w:val="32"/>
          <w:szCs w:val="32"/>
        </w:rPr>
        <w:t>中专教育支出。</w:t>
      </w:r>
    </w:p>
    <w:p>
      <w:pPr>
        <w:numPr>
          <w:ilvl w:val="0"/>
          <w:numId w:val="3"/>
        </w:numPr>
        <w:ind w:left="0" w:leftChars="0" w:firstLine="400" w:firstLineChars="0"/>
        <w:rPr>
          <w:rFonts w:ascii="仿宋_GB2312" w:eastAsia="仿宋_GB2312"/>
          <w:sz w:val="32"/>
          <w:szCs w:val="32"/>
        </w:rPr>
      </w:pPr>
      <w:r>
        <w:rPr>
          <w:rFonts w:hint="eastAsia" w:ascii="仿宋_GB2312" w:eastAsia="仿宋_GB2312"/>
          <w:sz w:val="32"/>
          <w:szCs w:val="32"/>
        </w:rPr>
        <w:t>社会保障和就业（类）</w:t>
      </w:r>
      <w:r>
        <w:rPr>
          <w:rFonts w:hint="eastAsia" w:ascii="仿宋_GB2312" w:hAnsi="仿宋_GB2312" w:eastAsia="仿宋_GB2312" w:cs="仿宋_GB2312"/>
          <w:sz w:val="32"/>
          <w:szCs w:val="32"/>
        </w:rPr>
        <w:t>人力资源和社会保障管理事务</w:t>
      </w:r>
      <w:r>
        <w:rPr>
          <w:rFonts w:hint="eastAsia" w:ascii="仿宋_GB2312" w:eastAsia="仿宋_GB2312"/>
          <w:sz w:val="32"/>
          <w:szCs w:val="32"/>
        </w:rPr>
        <w:t>（款）引进人才费用（项）：指反映用于引进外国专家补助、引智成果推广等方面的支出。</w:t>
      </w:r>
    </w:p>
    <w:p>
      <w:pPr>
        <w:numPr>
          <w:ilvl w:val="0"/>
          <w:numId w:val="3"/>
        </w:numPr>
        <w:suppressAutoHyphens w:val="0"/>
        <w:autoSpaceDE w:val="0"/>
        <w:autoSpaceDN w:val="0"/>
        <w:adjustRightInd w:val="0"/>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社会保障和就业（类）人力资源和社会保障管理事务（款）其他人力资源和社会保障管理事务（项）：指由单位缴纳工伤、失业保险支出。</w:t>
      </w:r>
    </w:p>
    <w:p>
      <w:pPr>
        <w:numPr>
          <w:ilvl w:val="0"/>
          <w:numId w:val="3"/>
        </w:numPr>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社会保障和就业支出（类）行政事业单位养老支出（款）事业单位离退休（项）：反映各类离退休人员管理机构的支出。</w:t>
      </w:r>
    </w:p>
    <w:p>
      <w:pPr>
        <w:numPr>
          <w:ilvl w:val="0"/>
          <w:numId w:val="3"/>
        </w:numPr>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社会保障和就业支出（类）行政事业单位养老支出（款）机关事业单位基本养老保险缴费支出（项）：指机关事业单位实施养老保险制度由单位缴纳的基本养老保险支出。</w:t>
      </w:r>
    </w:p>
    <w:p>
      <w:pPr>
        <w:numPr>
          <w:ilvl w:val="0"/>
          <w:numId w:val="3"/>
        </w:numPr>
        <w:suppressAutoHyphens w:val="0"/>
        <w:autoSpaceDE w:val="0"/>
        <w:autoSpaceDN w:val="0"/>
        <w:adjustRightInd w:val="0"/>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社会保障和就业支出（类）行政事业单位养老支出（款）机关事业单位职业年金缴费支出（项）：指部门实施养老保险制度由单位缴纳的职业年金的支出。</w:t>
      </w:r>
    </w:p>
    <w:p>
      <w:pPr>
        <w:numPr>
          <w:ilvl w:val="0"/>
          <w:numId w:val="3"/>
        </w:numPr>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社会保障和就业支出（类）其他社会保障和就业支出（款）其他社会保障和就业支出（项）：反映上述项目以外其他用于社会保障和就业方面的支出。</w:t>
      </w:r>
    </w:p>
    <w:p>
      <w:pPr>
        <w:numPr>
          <w:ilvl w:val="0"/>
          <w:numId w:val="3"/>
        </w:numPr>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卫生健康支出（类）公共卫生（款）基本公共卫生服务（项）：反映基本公共卫生服务支出。</w:t>
      </w:r>
    </w:p>
    <w:p>
      <w:pPr>
        <w:numPr>
          <w:ilvl w:val="0"/>
          <w:numId w:val="3"/>
        </w:numPr>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卫生健康支出（类）公共卫生（款）其他公共卫生支出（项）：其他公共卫生支出反映除上述项目以外的其他用于公共卫生方面的支出。</w:t>
      </w:r>
    </w:p>
    <w:p>
      <w:pPr>
        <w:numPr>
          <w:ilvl w:val="0"/>
          <w:numId w:val="3"/>
        </w:numPr>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卫生健康支出（类）行政事业单位医疗（款）事业单位医疗（项）：指财政部门集中安排的事业单位基本医疗保险缴费经费，未参加医疗保险的事业单位的公费医疗经费，按国家规定享受离休人员待遇人员的医疗经费。</w:t>
      </w:r>
    </w:p>
    <w:p>
      <w:pPr>
        <w:numPr>
          <w:ilvl w:val="0"/>
          <w:numId w:val="3"/>
        </w:numPr>
        <w:spacing w:line="576" w:lineRule="exact"/>
        <w:ind w:left="0" w:leftChars="0" w:firstLine="400" w:firstLineChars="0"/>
      </w:pPr>
      <w:r>
        <w:rPr>
          <w:rFonts w:hint="eastAsia" w:ascii="仿宋_GB2312" w:hAnsi="仿宋_GB2312" w:eastAsia="仿宋_GB2312" w:cs="仿宋_GB2312"/>
          <w:sz w:val="32"/>
          <w:szCs w:val="32"/>
        </w:rPr>
        <w:t>住房保障支出（类）住房改革支出（款）住房公积金（项）：指行政事业单位按人力资源和社会保障部、财政部规定的基本工资和津贴补贴以及规定比例为职工缴纳的住房公积金。</w:t>
      </w:r>
    </w:p>
    <w:p>
      <w:pPr>
        <w:numPr>
          <w:ilvl w:val="0"/>
          <w:numId w:val="3"/>
        </w:numPr>
        <w:ind w:left="0" w:leftChars="0" w:firstLine="400" w:firstLineChars="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numPr>
          <w:ilvl w:val="0"/>
          <w:numId w:val="3"/>
        </w:numPr>
        <w:ind w:left="0" w:leftChars="0" w:firstLine="400" w:firstLineChars="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pStyle w:val="9"/>
        <w:numPr>
          <w:ilvl w:val="0"/>
          <w:numId w:val="3"/>
        </w:numPr>
        <w:spacing w:line="560" w:lineRule="exact"/>
        <w:ind w:left="0" w:leftChars="0" w:firstLine="400" w:firstLineChars="0"/>
        <w:rPr>
          <w:rFonts w:ascii="仿宋_GB2312" w:eastAsia="仿宋_GB2312"/>
          <w:sz w:val="32"/>
          <w:szCs w:val="32"/>
        </w:rPr>
      </w:pPr>
      <w:r>
        <w:rPr>
          <w:rFonts w:hint="eastAsia" w:ascii="仿宋_GB2312" w:eastAsia="仿宋_GB2312"/>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9"/>
        <w:numPr>
          <w:ilvl w:val="0"/>
          <w:numId w:val="3"/>
        </w:numPr>
        <w:spacing w:line="560" w:lineRule="exact"/>
        <w:ind w:left="0" w:leftChars="0" w:firstLine="400" w:firstLineChars="0"/>
        <w:rPr>
          <w:rFonts w:ascii="宋体"/>
          <w:b/>
          <w:sz w:val="44"/>
          <w:szCs w:val="44"/>
        </w:rPr>
        <w:sectPr>
          <w:footerReference r:id="rId4" w:type="default"/>
          <w:pgSz w:w="11906" w:h="16838"/>
          <w:pgMar w:top="1440" w:right="1800" w:bottom="1440" w:left="1800" w:header="720" w:footer="720" w:gutter="0"/>
          <w:pgNumType w:start="1"/>
          <w:cols w:space="720" w:num="1"/>
          <w:docGrid w:type="lines" w:linePitch="312" w:charSpace="0"/>
        </w:sect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ascii="宋体"/>
          <w:b/>
          <w:sz w:val="44"/>
          <w:szCs w:val="44"/>
        </w:rPr>
        <w:br w:type="page"/>
      </w:r>
    </w:p>
    <w:p>
      <w:pPr>
        <w:pStyle w:val="9"/>
        <w:spacing w:line="560" w:lineRule="exact"/>
        <w:ind w:firstLine="660" w:firstLineChars="150"/>
        <w:jc w:val="center"/>
        <w:rPr>
          <w:rFonts w:ascii="仿宋_GB2312" w:eastAsia="仿宋_GB2312"/>
          <w:bCs/>
          <w:kern w:val="0"/>
          <w:sz w:val="44"/>
          <w:szCs w:val="44"/>
        </w:rPr>
      </w:pPr>
      <w:r>
        <w:rPr>
          <w:rFonts w:hint="eastAsia" w:ascii="黑体" w:hAnsi="黑体" w:eastAsia="黑体"/>
          <w:sz w:val="44"/>
          <w:szCs w:val="44"/>
        </w:rPr>
        <w:t>第四部分 附件</w:t>
      </w:r>
    </w:p>
    <w:p>
      <w:pPr>
        <w:spacing w:line="572" w:lineRule="exact"/>
        <w:jc w:val="left"/>
        <w:outlineLvl w:val="0"/>
        <w:rPr>
          <w:rFonts w:ascii="仿宋_GB2312" w:hAnsi="仿宋_GB2312" w:eastAsia="仿宋_GB2312" w:cs="仿宋_GB2312"/>
          <w:sz w:val="32"/>
          <w:szCs w:val="32"/>
        </w:rPr>
      </w:pPr>
    </w:p>
    <w:p>
      <w:pPr>
        <w:spacing w:line="600" w:lineRule="exact"/>
        <w:jc w:val="center"/>
        <w:outlineLvl w:val="0"/>
        <w:rPr>
          <w:rFonts w:ascii="黑体" w:hAnsi="黑体" w:eastAsia="黑体"/>
          <w:color w:val="FF0000"/>
          <w:sz w:val="44"/>
          <w:szCs w:val="44"/>
        </w:rPr>
      </w:pPr>
      <w:bookmarkStart w:id="42" w:name="_Toc177558743"/>
      <w:bookmarkStart w:id="43" w:name="_Toc177559222"/>
      <w:r>
        <w:rPr>
          <w:rFonts w:hint="eastAsia" w:hAnsi="Times New Roman"/>
          <w:sz w:val="32"/>
          <w:szCs w:val="32"/>
        </w:rPr>
        <w:t>部门预算项目支出绩效自评表（202</w:t>
      </w:r>
      <w:r>
        <w:rPr>
          <w:rFonts w:hint="eastAsia"/>
          <w:sz w:val="32"/>
          <w:szCs w:val="32"/>
        </w:rPr>
        <w:t>3</w:t>
      </w:r>
      <w:r>
        <w:rPr>
          <w:rFonts w:hint="eastAsia" w:hAnsi="Times New Roman"/>
          <w:sz w:val="32"/>
          <w:szCs w:val="32"/>
        </w:rPr>
        <w:t>年度）</w:t>
      </w:r>
      <w:bookmarkEnd w:id="42"/>
      <w:bookmarkEnd w:id="43"/>
    </w:p>
    <w:p>
      <w:pPr>
        <w:spacing w:line="560" w:lineRule="exact"/>
        <w:ind w:firstLine="640"/>
        <w:rPr>
          <w:rFonts w:hAnsi="Times New Roman"/>
          <w:sz w:val="32"/>
        </w:rPr>
      </w:pPr>
    </w:p>
    <w:p>
      <w:pPr>
        <w:pStyle w:val="2"/>
        <w:rPr>
          <w:rFonts w:ascii="仿宋_GB2312" w:eastAsia="仿宋_GB2312" w:cs="仿宋"/>
          <w:kern w:val="0"/>
          <w:sz w:val="32"/>
          <w:szCs w:val="32"/>
        </w:rPr>
      </w:pPr>
    </w:p>
    <w:p>
      <w:pPr>
        <w:pStyle w:val="2"/>
        <w:rPr>
          <w:rFonts w:ascii="仿宋_GB2312" w:eastAsia="仿宋_GB2312" w:cs="仿宋"/>
          <w:kern w:val="0"/>
          <w:sz w:val="32"/>
          <w:szCs w:val="32"/>
        </w:rPr>
      </w:pPr>
    </w:p>
    <w:p>
      <w:pPr>
        <w:pStyle w:val="2"/>
        <w:rPr>
          <w:rFonts w:ascii="仿宋_GB2312" w:eastAsia="仿宋_GB2312" w:cs="仿宋"/>
          <w:kern w:val="0"/>
          <w:sz w:val="32"/>
          <w:szCs w:val="32"/>
        </w:rPr>
      </w:pPr>
    </w:p>
    <w:p>
      <w:pPr>
        <w:pStyle w:val="2"/>
        <w:rPr>
          <w:rFonts w:ascii="仿宋_GB2312" w:eastAsia="仿宋_GB2312" w:cs="仿宋"/>
          <w:kern w:val="0"/>
          <w:sz w:val="32"/>
          <w:szCs w:val="32"/>
        </w:rPr>
      </w:pPr>
    </w:p>
    <w:p>
      <w:pPr>
        <w:pStyle w:val="2"/>
        <w:rPr>
          <w:rFonts w:ascii="仿宋_GB2312" w:eastAsia="仿宋_GB2312" w:cs="仿宋"/>
          <w:kern w:val="0"/>
          <w:sz w:val="32"/>
          <w:szCs w:val="32"/>
        </w:rPr>
      </w:pPr>
    </w:p>
    <w:p>
      <w:pPr>
        <w:pStyle w:val="2"/>
        <w:rPr>
          <w:rFonts w:ascii="仿宋_GB2312" w:eastAsia="仿宋_GB2312" w:cs="仿宋"/>
          <w:kern w:val="0"/>
          <w:sz w:val="32"/>
          <w:szCs w:val="32"/>
        </w:rPr>
      </w:pPr>
    </w:p>
    <w:p>
      <w:pPr>
        <w:pStyle w:val="2"/>
        <w:rPr>
          <w:rFonts w:ascii="仿宋_GB2312" w:eastAsia="仿宋_GB2312" w:cs="仿宋"/>
          <w:kern w:val="0"/>
          <w:sz w:val="32"/>
          <w:szCs w:val="32"/>
        </w:rPr>
      </w:pPr>
    </w:p>
    <w:p>
      <w:pPr>
        <w:pStyle w:val="2"/>
        <w:rPr>
          <w:rFonts w:ascii="仿宋_GB2312" w:eastAsia="仿宋_GB2312" w:cs="仿宋"/>
          <w:kern w:val="0"/>
          <w:sz w:val="32"/>
          <w:szCs w:val="32"/>
        </w:rPr>
      </w:pPr>
    </w:p>
    <w:p>
      <w:pPr>
        <w:pStyle w:val="2"/>
        <w:rPr>
          <w:rFonts w:ascii="仿宋_GB2312" w:eastAsia="仿宋_GB2312" w:cs="仿宋"/>
          <w:kern w:val="0"/>
          <w:sz w:val="32"/>
          <w:szCs w:val="32"/>
        </w:rPr>
      </w:pPr>
    </w:p>
    <w:p>
      <w:pPr>
        <w:pStyle w:val="2"/>
        <w:rPr>
          <w:rFonts w:ascii="仿宋_GB2312" w:eastAsia="仿宋_GB2312" w:cs="仿宋"/>
          <w:kern w:val="0"/>
          <w:sz w:val="32"/>
          <w:szCs w:val="32"/>
        </w:rPr>
      </w:pPr>
    </w:p>
    <w:p>
      <w:pPr>
        <w:pStyle w:val="2"/>
        <w:rPr>
          <w:rFonts w:ascii="仿宋_GB2312" w:eastAsia="仿宋_GB2312" w:cs="仿宋"/>
          <w:kern w:val="0"/>
          <w:sz w:val="32"/>
          <w:szCs w:val="32"/>
        </w:rPr>
      </w:pPr>
    </w:p>
    <w:p>
      <w:pPr>
        <w:pStyle w:val="2"/>
        <w:rPr>
          <w:rFonts w:ascii="仿宋_GB2312" w:eastAsia="仿宋_GB2312" w:cs="仿宋"/>
          <w:kern w:val="0"/>
          <w:sz w:val="32"/>
          <w:szCs w:val="32"/>
        </w:rPr>
      </w:pPr>
    </w:p>
    <w:p>
      <w:pPr>
        <w:pStyle w:val="2"/>
        <w:rPr>
          <w:rFonts w:ascii="仿宋_GB2312" w:eastAsia="仿宋_GB2312" w:cs="仿宋"/>
          <w:kern w:val="0"/>
          <w:sz w:val="32"/>
          <w:szCs w:val="32"/>
        </w:rPr>
      </w:pPr>
    </w:p>
    <w:p>
      <w:pPr>
        <w:pStyle w:val="2"/>
        <w:rPr>
          <w:rFonts w:ascii="仿宋_GB2312" w:eastAsia="仿宋_GB2312" w:cs="仿宋"/>
          <w:kern w:val="0"/>
          <w:sz w:val="32"/>
          <w:szCs w:val="32"/>
        </w:rPr>
      </w:pPr>
    </w:p>
    <w:p>
      <w:pPr>
        <w:pStyle w:val="2"/>
        <w:rPr>
          <w:rFonts w:ascii="仿宋_GB2312" w:eastAsia="仿宋_GB2312" w:cs="仿宋"/>
          <w:kern w:val="0"/>
          <w:sz w:val="32"/>
          <w:szCs w:val="32"/>
        </w:rPr>
      </w:pPr>
    </w:p>
    <w:p>
      <w:pPr>
        <w:spacing w:line="600" w:lineRule="exact"/>
        <w:jc w:val="center"/>
        <w:outlineLvl w:val="0"/>
        <w:rPr>
          <w:rFonts w:ascii="黑体" w:hAnsi="黑体" w:eastAsia="黑体"/>
          <w:sz w:val="44"/>
          <w:szCs w:val="44"/>
        </w:rPr>
      </w:pPr>
      <w:bookmarkStart w:id="44" w:name="_Toc177559223"/>
      <w:r>
        <w:rPr>
          <w:rFonts w:hint="eastAsia" w:ascii="黑体" w:hAnsi="黑体" w:eastAsia="黑体"/>
          <w:sz w:val="44"/>
          <w:szCs w:val="44"/>
        </w:rPr>
        <w:t>第五部分 附表</w:t>
      </w:r>
      <w:bookmarkEnd w:id="44"/>
    </w:p>
    <w:p>
      <w:pPr>
        <w:pStyle w:val="4"/>
        <w:rPr>
          <w:rFonts w:ascii="仿宋" w:hAnsi="仿宋" w:eastAsia="仿宋"/>
          <w:b w:val="0"/>
        </w:rPr>
      </w:pPr>
      <w:bookmarkStart w:id="45" w:name="_Toc177559224"/>
      <w:r>
        <w:rPr>
          <w:rFonts w:hint="eastAsia" w:ascii="仿宋" w:hAnsi="仿宋" w:eastAsia="仿宋"/>
          <w:b w:val="0"/>
        </w:rPr>
        <w:t>一、收入支出决算总表</w:t>
      </w:r>
      <w:bookmarkEnd w:id="45"/>
    </w:p>
    <w:p>
      <w:pPr>
        <w:pStyle w:val="4"/>
        <w:rPr>
          <w:rFonts w:ascii="仿宋" w:hAnsi="仿宋" w:eastAsia="仿宋"/>
          <w:b w:val="0"/>
        </w:rPr>
      </w:pPr>
      <w:bookmarkStart w:id="46" w:name="_Toc177559225"/>
      <w:r>
        <w:rPr>
          <w:rFonts w:hint="eastAsia" w:ascii="仿宋" w:hAnsi="仿宋" w:eastAsia="仿宋"/>
          <w:b w:val="0"/>
        </w:rPr>
        <w:t>二、收入决算表</w:t>
      </w:r>
      <w:bookmarkEnd w:id="46"/>
    </w:p>
    <w:p>
      <w:pPr>
        <w:pStyle w:val="4"/>
        <w:rPr>
          <w:rFonts w:ascii="仿宋" w:hAnsi="仿宋" w:eastAsia="仿宋"/>
          <w:b w:val="0"/>
        </w:rPr>
      </w:pPr>
      <w:bookmarkStart w:id="47" w:name="_Toc177559226"/>
      <w:r>
        <w:rPr>
          <w:rFonts w:hint="eastAsia" w:ascii="仿宋" w:hAnsi="仿宋" w:eastAsia="仿宋"/>
          <w:b w:val="0"/>
        </w:rPr>
        <w:t>三、支出决算表</w:t>
      </w:r>
      <w:bookmarkEnd w:id="47"/>
    </w:p>
    <w:p>
      <w:pPr>
        <w:pStyle w:val="4"/>
        <w:rPr>
          <w:rFonts w:ascii="仿宋" w:hAnsi="仿宋" w:eastAsia="仿宋"/>
          <w:b w:val="0"/>
        </w:rPr>
      </w:pPr>
      <w:bookmarkStart w:id="48" w:name="_Toc177559227"/>
      <w:r>
        <w:rPr>
          <w:rFonts w:hint="eastAsia" w:ascii="仿宋" w:hAnsi="仿宋" w:eastAsia="仿宋"/>
          <w:b w:val="0"/>
        </w:rPr>
        <w:t>四、财政拨款收入支出决算总表</w:t>
      </w:r>
      <w:bookmarkEnd w:id="48"/>
    </w:p>
    <w:p>
      <w:pPr>
        <w:pStyle w:val="4"/>
        <w:rPr>
          <w:rFonts w:ascii="仿宋" w:hAnsi="仿宋" w:eastAsia="仿宋"/>
          <w:b w:val="0"/>
        </w:rPr>
      </w:pPr>
      <w:bookmarkStart w:id="49" w:name="_Toc177559228"/>
      <w:r>
        <w:rPr>
          <w:rFonts w:hint="eastAsia" w:ascii="仿宋" w:hAnsi="仿宋" w:eastAsia="仿宋"/>
          <w:b w:val="0"/>
        </w:rPr>
        <w:t>五、财政拨款支出决算明细表</w:t>
      </w:r>
      <w:bookmarkEnd w:id="49"/>
    </w:p>
    <w:p>
      <w:pPr>
        <w:pStyle w:val="4"/>
        <w:rPr>
          <w:rFonts w:ascii="仿宋" w:hAnsi="仿宋" w:eastAsia="仿宋"/>
          <w:b w:val="0"/>
        </w:rPr>
      </w:pPr>
      <w:bookmarkStart w:id="50" w:name="_Toc177559229"/>
      <w:r>
        <w:rPr>
          <w:rFonts w:hint="eastAsia" w:ascii="仿宋" w:hAnsi="仿宋" w:eastAsia="仿宋"/>
          <w:b w:val="0"/>
        </w:rPr>
        <w:t>六、一般公共预算财政拨款支出决算表</w:t>
      </w:r>
      <w:bookmarkEnd w:id="50"/>
    </w:p>
    <w:p>
      <w:pPr>
        <w:pStyle w:val="4"/>
        <w:rPr>
          <w:rFonts w:ascii="仿宋" w:hAnsi="仿宋" w:eastAsia="仿宋"/>
          <w:b w:val="0"/>
        </w:rPr>
      </w:pPr>
      <w:bookmarkStart w:id="51" w:name="_Toc177559230"/>
      <w:r>
        <w:rPr>
          <w:rFonts w:hint="eastAsia" w:ascii="仿宋" w:hAnsi="仿宋" w:eastAsia="仿宋"/>
          <w:b w:val="0"/>
        </w:rPr>
        <w:t>七、一般公共预算财政拨款支出决算明细表</w:t>
      </w:r>
      <w:bookmarkEnd w:id="51"/>
    </w:p>
    <w:p>
      <w:pPr>
        <w:pStyle w:val="4"/>
        <w:rPr>
          <w:rFonts w:ascii="仿宋" w:hAnsi="仿宋" w:eastAsia="仿宋"/>
          <w:b w:val="0"/>
        </w:rPr>
      </w:pPr>
      <w:bookmarkStart w:id="52" w:name="_Toc177559231"/>
      <w:r>
        <w:rPr>
          <w:rFonts w:hint="eastAsia" w:ascii="仿宋" w:hAnsi="仿宋" w:eastAsia="仿宋"/>
          <w:b w:val="0"/>
        </w:rPr>
        <w:t>八、一般公共预算财政拨款基本支出决算表</w:t>
      </w:r>
      <w:bookmarkEnd w:id="52"/>
    </w:p>
    <w:p>
      <w:pPr>
        <w:pStyle w:val="4"/>
        <w:rPr>
          <w:rFonts w:ascii="仿宋" w:hAnsi="仿宋" w:eastAsia="仿宋"/>
          <w:b w:val="0"/>
        </w:rPr>
      </w:pPr>
      <w:bookmarkStart w:id="53" w:name="_Toc177559232"/>
      <w:r>
        <w:rPr>
          <w:rFonts w:hint="eastAsia" w:ascii="仿宋" w:hAnsi="仿宋" w:eastAsia="仿宋"/>
          <w:b w:val="0"/>
        </w:rPr>
        <w:t>九、一般公共预算财政拨款项目支出决算表</w:t>
      </w:r>
      <w:bookmarkEnd w:id="53"/>
    </w:p>
    <w:p>
      <w:pPr>
        <w:pStyle w:val="4"/>
        <w:rPr>
          <w:rFonts w:ascii="仿宋" w:hAnsi="仿宋" w:eastAsia="仿宋"/>
          <w:b w:val="0"/>
        </w:rPr>
      </w:pPr>
      <w:bookmarkStart w:id="54" w:name="_Toc177559233"/>
      <w:r>
        <w:rPr>
          <w:rFonts w:hint="eastAsia" w:ascii="仿宋" w:hAnsi="仿宋" w:eastAsia="仿宋"/>
          <w:b w:val="0"/>
        </w:rPr>
        <w:t>十、政府性基金预算财政拨款收入支出决算表</w:t>
      </w:r>
      <w:bookmarkEnd w:id="54"/>
    </w:p>
    <w:p>
      <w:pPr>
        <w:pStyle w:val="4"/>
        <w:rPr>
          <w:rFonts w:ascii="仿宋" w:hAnsi="仿宋" w:eastAsia="仿宋"/>
          <w:b w:val="0"/>
        </w:rPr>
      </w:pPr>
      <w:bookmarkStart w:id="55" w:name="_Toc177559234"/>
      <w:r>
        <w:rPr>
          <w:rFonts w:hint="eastAsia" w:ascii="仿宋" w:hAnsi="仿宋" w:eastAsia="仿宋"/>
          <w:b w:val="0"/>
        </w:rPr>
        <w:t>十一、国有资本经营预算财政拨款收入支出决算表</w:t>
      </w:r>
      <w:bookmarkEnd w:id="55"/>
    </w:p>
    <w:p>
      <w:pPr>
        <w:pStyle w:val="4"/>
        <w:rPr>
          <w:rFonts w:ascii="仿宋" w:hAnsi="仿宋" w:eastAsia="仿宋"/>
          <w:b w:val="0"/>
        </w:rPr>
      </w:pPr>
      <w:bookmarkStart w:id="56" w:name="_Toc177559235"/>
      <w:r>
        <w:rPr>
          <w:rFonts w:hint="eastAsia" w:ascii="仿宋" w:hAnsi="仿宋" w:eastAsia="仿宋"/>
          <w:b w:val="0"/>
        </w:rPr>
        <w:t>十二、国有资本经营预算财政拨款支出决算表</w:t>
      </w:r>
      <w:bookmarkEnd w:id="56"/>
    </w:p>
    <w:p>
      <w:pPr>
        <w:pStyle w:val="4"/>
        <w:rPr>
          <w:rFonts w:ascii="仿宋" w:hAnsi="仿宋" w:eastAsia="仿宋"/>
          <w:b w:val="0"/>
        </w:rPr>
      </w:pPr>
      <w:bookmarkStart w:id="57" w:name="_Toc177559236"/>
      <w:r>
        <w:rPr>
          <w:rFonts w:hint="eastAsia" w:ascii="仿宋" w:hAnsi="仿宋" w:eastAsia="仿宋"/>
          <w:b w:val="0"/>
        </w:rPr>
        <w:t>十三、财政拨款“三公”经费支出决算表</w:t>
      </w:r>
      <w:bookmarkEnd w:id="57"/>
    </w:p>
    <w:p/>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Calibri Light">
    <w:altName w:val="Lucida Sans"/>
    <w:panose1 w:val="020F0302020204030204"/>
    <w:charset w:val="00"/>
    <w:family w:val="roman"/>
    <w:pitch w:val="default"/>
    <w:sig w:usb0="00000000" w:usb1="00000000"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3537916"/>
      <w:docPartObj>
        <w:docPartGallery w:val="autotext"/>
      </w:docPartObj>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4BD6CA"/>
    <w:multiLevelType w:val="singleLevel"/>
    <w:tmpl w:val="F94BD6CA"/>
    <w:lvl w:ilvl="0" w:tentative="0">
      <w:start w:val="1"/>
      <w:numFmt w:val="decimal"/>
      <w:suff w:val="nothing"/>
      <w:lvlText w:val="%1．"/>
      <w:lvlJc w:val="left"/>
      <w:pPr>
        <w:ind w:left="0" w:firstLine="400"/>
      </w:pPr>
      <w:rPr>
        <w:rFonts w:hint="default" w:ascii="宋体" w:hAnsi="宋体" w:eastAsia="宋体" w:cstheme="majorEastAsia"/>
        <w:sz w:val="28"/>
        <w:szCs w:val="28"/>
      </w:rPr>
    </w:lvl>
  </w:abstractNum>
  <w:abstractNum w:abstractNumId="1">
    <w:nsid w:val="3818A09A"/>
    <w:multiLevelType w:val="singleLevel"/>
    <w:tmpl w:val="3818A09A"/>
    <w:lvl w:ilvl="0" w:tentative="0">
      <w:start w:val="1"/>
      <w:numFmt w:val="chineseCounting"/>
      <w:suff w:val="nothing"/>
      <w:lvlText w:val="%1、"/>
      <w:lvlJc w:val="left"/>
      <w:rPr>
        <w:rFonts w:hint="eastAsia"/>
      </w:rPr>
    </w:lvl>
  </w:abstractNum>
  <w:abstractNum w:abstractNumId="2">
    <w:nsid w:val="5E92BDA3"/>
    <w:multiLevelType w:val="singleLevel"/>
    <w:tmpl w:val="5E92BDA3"/>
    <w:lvl w:ilvl="0" w:tentative="0">
      <w:start w:val="1"/>
      <w:numFmt w:val="decimal"/>
      <w:suff w:val="nothing"/>
      <w:lvlText w:val="%1．"/>
      <w:lvlJc w:val="left"/>
      <w:pPr>
        <w:ind w:left="0" w:firstLine="4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52BC3"/>
    <w:rsid w:val="000726F9"/>
    <w:rsid w:val="000773EF"/>
    <w:rsid w:val="000D10F5"/>
    <w:rsid w:val="00106133"/>
    <w:rsid w:val="00141608"/>
    <w:rsid w:val="001B14C1"/>
    <w:rsid w:val="001D2F1F"/>
    <w:rsid w:val="001F02F6"/>
    <w:rsid w:val="00211B36"/>
    <w:rsid w:val="00230926"/>
    <w:rsid w:val="002551EF"/>
    <w:rsid w:val="002A552B"/>
    <w:rsid w:val="002E4283"/>
    <w:rsid w:val="003173F5"/>
    <w:rsid w:val="003250B1"/>
    <w:rsid w:val="00333CB8"/>
    <w:rsid w:val="003432B7"/>
    <w:rsid w:val="003572FA"/>
    <w:rsid w:val="003B01AD"/>
    <w:rsid w:val="003F188A"/>
    <w:rsid w:val="004673B9"/>
    <w:rsid w:val="00481C52"/>
    <w:rsid w:val="00482EF1"/>
    <w:rsid w:val="004D56E8"/>
    <w:rsid w:val="004E1325"/>
    <w:rsid w:val="004F2201"/>
    <w:rsid w:val="00532194"/>
    <w:rsid w:val="00574117"/>
    <w:rsid w:val="005741AA"/>
    <w:rsid w:val="005741F5"/>
    <w:rsid w:val="00592760"/>
    <w:rsid w:val="005B6030"/>
    <w:rsid w:val="005D7C9A"/>
    <w:rsid w:val="005E02DA"/>
    <w:rsid w:val="0069640A"/>
    <w:rsid w:val="006B09BF"/>
    <w:rsid w:val="006E0C1A"/>
    <w:rsid w:val="00715C1A"/>
    <w:rsid w:val="00740D38"/>
    <w:rsid w:val="0075517A"/>
    <w:rsid w:val="00793558"/>
    <w:rsid w:val="007951E1"/>
    <w:rsid w:val="007D3E7E"/>
    <w:rsid w:val="008523CF"/>
    <w:rsid w:val="008C4830"/>
    <w:rsid w:val="00912FCB"/>
    <w:rsid w:val="00970855"/>
    <w:rsid w:val="009A6D7A"/>
    <w:rsid w:val="00A27FF8"/>
    <w:rsid w:val="00B32872"/>
    <w:rsid w:val="00B6186A"/>
    <w:rsid w:val="00B61E40"/>
    <w:rsid w:val="00B918C2"/>
    <w:rsid w:val="00C032F1"/>
    <w:rsid w:val="00C46E7C"/>
    <w:rsid w:val="00C60DCD"/>
    <w:rsid w:val="00C64699"/>
    <w:rsid w:val="00CF19A6"/>
    <w:rsid w:val="00D5617D"/>
    <w:rsid w:val="00D6786F"/>
    <w:rsid w:val="00D83F36"/>
    <w:rsid w:val="00DE43AF"/>
    <w:rsid w:val="00E357E8"/>
    <w:rsid w:val="00E4333C"/>
    <w:rsid w:val="00E90DFE"/>
    <w:rsid w:val="00EA20C8"/>
    <w:rsid w:val="00F164B0"/>
    <w:rsid w:val="00F34B41"/>
    <w:rsid w:val="00F52BC3"/>
    <w:rsid w:val="00F63773"/>
    <w:rsid w:val="00F91D34"/>
    <w:rsid w:val="00FB6F68"/>
    <w:rsid w:val="00FF03C8"/>
    <w:rsid w:val="06854564"/>
    <w:rsid w:val="0C03475A"/>
    <w:rsid w:val="0E7476E7"/>
    <w:rsid w:val="5B8A794E"/>
    <w:rsid w:val="64405523"/>
    <w:rsid w:val="6F5558EE"/>
    <w:rsid w:val="7EF78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3">
    <w:name w:val="heading 1"/>
    <w:basedOn w:val="1"/>
    <w:next w:val="1"/>
    <w:link w:val="18"/>
    <w:qFormat/>
    <w:uiPriority w:val="9"/>
    <w:pPr>
      <w:keepNext/>
      <w:keepLines/>
      <w:spacing w:before="340" w:after="330" w:line="578" w:lineRule="auto"/>
      <w:jc w:val="center"/>
      <w:outlineLvl w:val="0"/>
    </w:pPr>
    <w:rPr>
      <w:rFonts w:eastAsia="黑体"/>
      <w:b/>
      <w:bCs/>
      <w:kern w:val="44"/>
      <w:sz w:val="44"/>
      <w:szCs w:val="44"/>
    </w:rPr>
  </w:style>
  <w:style w:type="paragraph" w:styleId="4">
    <w:name w:val="heading 2"/>
    <w:basedOn w:val="1"/>
    <w:next w:val="1"/>
    <w:link w:val="19"/>
    <w:unhideWhenUsed/>
    <w:qFormat/>
    <w:uiPriority w:val="9"/>
    <w:pPr>
      <w:keepNext/>
      <w:keepLines/>
      <w:spacing w:before="260" w:after="260" w:line="416" w:lineRule="auto"/>
      <w:outlineLvl w:val="1"/>
    </w:pPr>
    <w:rPr>
      <w:rFonts w:ascii="Cambria" w:hAnsi="Cambria" w:eastAsia="黑体"/>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40" w:line="276" w:lineRule="auto"/>
    </w:pPr>
  </w:style>
  <w:style w:type="paragraph" w:styleId="5">
    <w:name w:val="index 6"/>
    <w:basedOn w:val="1"/>
    <w:next w:val="1"/>
    <w:qFormat/>
    <w:uiPriority w:val="0"/>
    <w:pPr>
      <w:ind w:left="2100"/>
      <w:jc w:val="center"/>
    </w:p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next w:val="5"/>
    <w:unhideWhenUsed/>
    <w:qFormat/>
    <w:uiPriority w:val="99"/>
    <w:pPr>
      <w:ind w:firstLine="420" w:firstLineChars="200"/>
    </w:pPr>
  </w:style>
  <w:style w:type="paragraph" w:styleId="8">
    <w:name w:val="toc 3"/>
    <w:basedOn w:val="1"/>
    <w:next w:val="1"/>
    <w:qFormat/>
    <w:uiPriority w:val="39"/>
    <w:pPr>
      <w:ind w:left="840" w:leftChars="400"/>
    </w:pPr>
  </w:style>
  <w:style w:type="paragraph" w:styleId="9">
    <w:name w:val="Balloon Text"/>
    <w:basedOn w:val="1"/>
    <w:link w:val="22"/>
    <w:qFormat/>
    <w:uiPriority w:val="0"/>
    <w:rPr>
      <w:sz w:val="18"/>
      <w:szCs w:val="18"/>
    </w:rPr>
  </w:style>
  <w:style w:type="paragraph" w:styleId="10">
    <w:name w:val="footer"/>
    <w:basedOn w:val="1"/>
    <w:link w:val="25"/>
    <w:qFormat/>
    <w:uiPriority w:val="99"/>
    <w:pPr>
      <w:tabs>
        <w:tab w:val="center" w:pos="4153"/>
        <w:tab w:val="right" w:pos="8306"/>
      </w:tabs>
      <w:snapToGrid w:val="0"/>
      <w:jc w:val="left"/>
    </w:pPr>
    <w:rPr>
      <w:sz w:val="18"/>
      <w:szCs w:val="18"/>
    </w:rPr>
  </w:style>
  <w:style w:type="paragraph" w:styleId="11">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character" w:styleId="16">
    <w:name w:val="Strong"/>
    <w:basedOn w:val="15"/>
    <w:qFormat/>
    <w:uiPriority w:val="99"/>
    <w:rPr>
      <w:b/>
    </w:rPr>
  </w:style>
  <w:style w:type="character" w:styleId="17">
    <w:name w:val="Hyperlink"/>
    <w:basedOn w:val="15"/>
    <w:unhideWhenUsed/>
    <w:qFormat/>
    <w:uiPriority w:val="99"/>
    <w:rPr>
      <w:color w:val="0026E5" w:themeColor="hyperlink"/>
      <w:u w:val="single"/>
      <w14:textFill>
        <w14:solidFill>
          <w14:schemeClr w14:val="hlink"/>
        </w14:solidFill>
      </w14:textFill>
    </w:rPr>
  </w:style>
  <w:style w:type="character" w:customStyle="1" w:styleId="18">
    <w:name w:val="标题 1 Char"/>
    <w:basedOn w:val="15"/>
    <w:link w:val="3"/>
    <w:qFormat/>
    <w:uiPriority w:val="9"/>
    <w:rPr>
      <w:rFonts w:ascii="Calibri" w:hAnsi="Calibri" w:eastAsia="黑体" w:cs="Times New Roman"/>
      <w:b/>
      <w:bCs/>
      <w:kern w:val="44"/>
      <w:sz w:val="44"/>
      <w:szCs w:val="44"/>
    </w:rPr>
  </w:style>
  <w:style w:type="character" w:customStyle="1" w:styleId="19">
    <w:name w:val="标题 2 Char"/>
    <w:basedOn w:val="15"/>
    <w:link w:val="4"/>
    <w:qFormat/>
    <w:uiPriority w:val="9"/>
    <w:rPr>
      <w:rFonts w:ascii="Cambria" w:hAnsi="Cambria" w:eastAsia="黑体" w:cs="Times New Roman"/>
      <w:b/>
      <w:bCs/>
      <w:kern w:val="2"/>
      <w:sz w:val="32"/>
      <w:szCs w:val="32"/>
    </w:rPr>
  </w:style>
  <w:style w:type="paragraph" w:styleId="20">
    <w:name w:val="List Paragraph"/>
    <w:basedOn w:val="1"/>
    <w:qFormat/>
    <w:uiPriority w:val="34"/>
    <w:pPr>
      <w:ind w:firstLine="420" w:firstLineChars="200"/>
    </w:pPr>
  </w:style>
  <w:style w:type="paragraph" w:customStyle="1" w:styleId="21">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2">
    <w:name w:val="批注框文本 Char"/>
    <w:basedOn w:val="15"/>
    <w:link w:val="9"/>
    <w:qFormat/>
    <w:uiPriority w:val="0"/>
    <w:rPr>
      <w:rFonts w:ascii="Calibri" w:hAnsi="Calibri" w:eastAsia="宋体" w:cs="Times New Roman"/>
      <w:kern w:val="2"/>
      <w:sz w:val="18"/>
      <w:szCs w:val="18"/>
    </w:rPr>
  </w:style>
  <w:style w:type="paragraph" w:customStyle="1" w:styleId="23">
    <w:name w:val="TOC Heading"/>
    <w:basedOn w:val="3"/>
    <w:next w:val="1"/>
    <w:unhideWhenUsed/>
    <w:qFormat/>
    <w:uiPriority w:val="39"/>
    <w:pPr>
      <w:widowControl/>
      <w:suppressAutoHyphens w:val="0"/>
      <w:spacing w:before="480" w:after="0" w:line="276" w:lineRule="auto"/>
      <w:jc w:val="left"/>
      <w:outlineLvl w:val="9"/>
    </w:pPr>
    <w:rPr>
      <w:rFonts w:asciiTheme="majorHAnsi" w:hAnsiTheme="majorHAnsi" w:eastAsiaTheme="majorEastAsia" w:cstheme="majorBidi"/>
      <w:color w:val="2E54A1" w:themeColor="accent1" w:themeShade="BF"/>
      <w:kern w:val="0"/>
      <w:sz w:val="28"/>
      <w:szCs w:val="28"/>
    </w:rPr>
  </w:style>
  <w:style w:type="character" w:customStyle="1" w:styleId="24">
    <w:name w:val="页眉 Char"/>
    <w:basedOn w:val="15"/>
    <w:link w:val="11"/>
    <w:qFormat/>
    <w:uiPriority w:val="0"/>
    <w:rPr>
      <w:rFonts w:ascii="Calibri" w:hAnsi="Calibri" w:eastAsia="宋体" w:cs="Times New Roman"/>
      <w:kern w:val="2"/>
      <w:sz w:val="18"/>
      <w:szCs w:val="18"/>
    </w:rPr>
  </w:style>
  <w:style w:type="character" w:customStyle="1" w:styleId="25">
    <w:name w:val="页脚 Char"/>
    <w:basedOn w:val="15"/>
    <w:link w:val="10"/>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p>
      </c:txPr>
    </c:title>
    <c:autoTitleDeleted val="false"/>
    <c:plotArea>
      <c:layout/>
      <c:barChart>
        <c:barDir val="col"/>
        <c:grouping val="clustered"/>
        <c:varyColors val="false"/>
        <c:ser>
          <c:idx val="0"/>
          <c:order val="0"/>
          <c:tx>
            <c:strRef>
              <c:f>Sheet1!$B$1</c:f>
              <c:strCache>
                <c:ptCount val="1"/>
                <c:pt idx="0">
                  <c:v>收、支决算总计变动情况图</c:v>
                </c:pt>
              </c:strCache>
            </c:strRef>
          </c:tx>
          <c:invertIfNegative val="false"/>
          <c:dLbls>
            <c:delete val="true"/>
          </c:dLbls>
          <c:cat>
            <c:strRef>
              <c:f>Sheet1!$A$2:$A$3</c:f>
              <c:strCache>
                <c:ptCount val="2"/>
                <c:pt idx="0">
                  <c:v>2022年</c:v>
                </c:pt>
                <c:pt idx="1">
                  <c:v>2023年</c:v>
                </c:pt>
              </c:strCache>
            </c:strRef>
          </c:cat>
          <c:val>
            <c:numRef>
              <c:f>Sheet1!$B$2:$B$3</c:f>
              <c:numCache>
                <c:formatCode>General</c:formatCode>
                <c:ptCount val="2"/>
                <c:pt idx="0">
                  <c:v>7433.2</c:v>
                </c:pt>
                <c:pt idx="1">
                  <c:v>9194.32</c:v>
                </c:pt>
              </c:numCache>
            </c:numRef>
          </c:val>
        </c:ser>
        <c:dLbls>
          <c:showLegendKey val="false"/>
          <c:showVal val="false"/>
          <c:showCatName val="false"/>
          <c:showSerName val="false"/>
          <c:showPercent val="false"/>
          <c:showBubbleSize val="false"/>
        </c:dLbls>
        <c:gapWidth val="150"/>
        <c:axId val="164489472"/>
        <c:axId val="165962112"/>
      </c:barChart>
      <c:catAx>
        <c:axId val="164489472"/>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65962112"/>
        <c:crosses val="autoZero"/>
        <c:auto val="true"/>
        <c:lblAlgn val="ctr"/>
        <c:lblOffset val="100"/>
        <c:noMultiLvlLbl val="false"/>
      </c:catAx>
      <c:valAx>
        <c:axId val="165962112"/>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64489472"/>
        <c:crosses val="autoZero"/>
        <c:crossBetween val="between"/>
      </c:valAx>
    </c:plotArea>
    <c:plotVisOnly val="true"/>
    <c:dispBlanksAs val="gap"/>
    <c:showDLblsOverMax val="false"/>
  </c:chart>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p>
      </c:txPr>
    </c:title>
    <c:autoTitleDeleted val="false"/>
    <c:plotArea>
      <c:layout/>
      <c:pieChart>
        <c:varyColors val="true"/>
        <c:ser>
          <c:idx val="0"/>
          <c:order val="0"/>
          <c:tx>
            <c:strRef>
              <c:f>Sheet1!$B$1</c:f>
              <c:strCache>
                <c:ptCount val="1"/>
                <c:pt idx="0">
                  <c:v>收入决算结构图</c:v>
                </c:pt>
              </c:strCache>
            </c:strRef>
          </c:tx>
          <c:explosion val="0"/>
          <c:dPt>
            <c:idx val="0"/>
            <c:bubble3D val="false"/>
          </c:dPt>
          <c:dPt>
            <c:idx val="1"/>
            <c:bubble3D val="false"/>
          </c:dPt>
          <c:dPt>
            <c:idx val="2"/>
            <c:bubble3D val="false"/>
          </c:dPt>
          <c:dLbls>
            <c:numFmt formatCode="0.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Sheet1!$A$2:$A$4</c:f>
              <c:strCache>
                <c:ptCount val="3"/>
                <c:pt idx="0">
                  <c:v>一般公共预算财政拨款收入</c:v>
                </c:pt>
                <c:pt idx="1">
                  <c:v>政府性基金预算财政拨款收入</c:v>
                </c:pt>
                <c:pt idx="2">
                  <c:v>事业收入</c:v>
                </c:pt>
              </c:strCache>
            </c:strRef>
          </c:cat>
          <c:val>
            <c:numRef>
              <c:f>Sheet1!$B$2:$B$4</c:f>
              <c:numCache>
                <c:formatCode>General</c:formatCode>
                <c:ptCount val="3"/>
                <c:pt idx="0">
                  <c:v>6600.13</c:v>
                </c:pt>
                <c:pt idx="1">
                  <c:v>2100</c:v>
                </c:pt>
                <c:pt idx="2">
                  <c:v>488.43</c:v>
                </c:pt>
              </c:numCache>
            </c:numRef>
          </c:val>
        </c:ser>
        <c:dLbls>
          <c:showLegendKey val="false"/>
          <c:showVal val="fals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p>
      </c:txPr>
    </c:title>
    <c:autoTitleDeleted val="false"/>
    <c:plotArea>
      <c:layout/>
      <c:pieChart>
        <c:varyColors val="true"/>
        <c:ser>
          <c:idx val="0"/>
          <c:order val="0"/>
          <c:tx>
            <c:strRef>
              <c:f>Sheet1!$B$1</c:f>
              <c:strCache>
                <c:ptCount val="1"/>
                <c:pt idx="0">
                  <c:v>支出决算结构图</c:v>
                </c:pt>
              </c:strCache>
            </c:strRef>
          </c:tx>
          <c:explosion val="0"/>
          <c:dPt>
            <c:idx val="0"/>
            <c:bubble3D val="false"/>
          </c:dPt>
          <c:dPt>
            <c:idx val="1"/>
            <c:bubble3D val="false"/>
          </c:dPt>
          <c:dLbls>
            <c:numFmt formatCode="0.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Sheet1!$A$2:$A$3</c:f>
              <c:strCache>
                <c:ptCount val="2"/>
                <c:pt idx="0">
                  <c:v>基本支出</c:v>
                </c:pt>
                <c:pt idx="1">
                  <c:v>项目支出</c:v>
                </c:pt>
              </c:strCache>
            </c:strRef>
          </c:cat>
          <c:val>
            <c:numRef>
              <c:f>Sheet1!$B$2:$B$3</c:f>
              <c:numCache>
                <c:formatCode>General</c:formatCode>
                <c:ptCount val="2"/>
                <c:pt idx="0">
                  <c:v>5459.1</c:v>
                </c:pt>
                <c:pt idx="1">
                  <c:v>3735.21</c:v>
                </c:pt>
              </c:numCache>
            </c:numRef>
          </c:val>
        </c:ser>
        <c:dLbls>
          <c:showLegendKey val="false"/>
          <c:showVal val="false"/>
          <c:showCatName val="false"/>
          <c:showSerName val="false"/>
          <c:showPercent val="tru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p>
      </c:txPr>
    </c:title>
    <c:autoTitleDeleted val="false"/>
    <c:plotArea>
      <c:layout/>
      <c:barChart>
        <c:barDir val="col"/>
        <c:grouping val="clustered"/>
        <c:varyColors val="false"/>
        <c:ser>
          <c:idx val="0"/>
          <c:order val="0"/>
          <c:tx>
            <c:strRef>
              <c:f>Sheet1!$B$1</c:f>
              <c:strCache>
                <c:ptCount val="1"/>
                <c:pt idx="0">
                  <c:v>财政拨款收、支决算总计变动情况</c:v>
                </c:pt>
              </c:strCache>
            </c:strRef>
          </c:tx>
          <c:invertIfNegative val="false"/>
          <c:dLbls>
            <c:delete val="true"/>
          </c:dLbls>
          <c:cat>
            <c:strRef>
              <c:f>Sheet1!$A$2:$A$3</c:f>
              <c:strCache>
                <c:ptCount val="2"/>
                <c:pt idx="0">
                  <c:v>2022年</c:v>
                </c:pt>
                <c:pt idx="1">
                  <c:v>2023年</c:v>
                </c:pt>
              </c:strCache>
            </c:strRef>
          </c:cat>
          <c:val>
            <c:numRef>
              <c:f>Sheet1!$B$2:$B$3</c:f>
              <c:numCache>
                <c:formatCode>General</c:formatCode>
                <c:ptCount val="2"/>
                <c:pt idx="0">
                  <c:v>6982.15</c:v>
                </c:pt>
                <c:pt idx="1">
                  <c:v>8705.89</c:v>
                </c:pt>
              </c:numCache>
            </c:numRef>
          </c:val>
        </c:ser>
        <c:dLbls>
          <c:showLegendKey val="false"/>
          <c:showVal val="false"/>
          <c:showCatName val="false"/>
          <c:showSerName val="false"/>
          <c:showPercent val="false"/>
          <c:showBubbleSize val="false"/>
        </c:dLbls>
        <c:gapWidth val="150"/>
        <c:axId val="106163584"/>
        <c:axId val="107005056"/>
      </c:barChart>
      <c:catAx>
        <c:axId val="106163584"/>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07005056"/>
        <c:crosses val="autoZero"/>
        <c:auto val="true"/>
        <c:lblAlgn val="ctr"/>
        <c:lblOffset val="100"/>
        <c:noMultiLvlLbl val="false"/>
      </c:catAx>
      <c:valAx>
        <c:axId val="107005056"/>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06163584"/>
        <c:crosses val="autoZero"/>
        <c:crossBetween val="between"/>
      </c:valAx>
    </c:plotArea>
    <c:plotVisOnly val="true"/>
    <c:dispBlanksAs val="gap"/>
    <c:showDLblsOverMax val="false"/>
  </c:chart>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p>
      </c:txPr>
    </c:title>
    <c:autoTitleDeleted val="false"/>
    <c:plotArea>
      <c:layout/>
      <c:barChart>
        <c:barDir val="col"/>
        <c:grouping val="clustered"/>
        <c:varyColors val="false"/>
        <c:ser>
          <c:idx val="0"/>
          <c:order val="0"/>
          <c:tx>
            <c:strRef>
              <c:f>Sheet1!$B$1</c:f>
              <c:strCache>
                <c:ptCount val="1"/>
                <c:pt idx="0">
                  <c:v>一般公共预算财政拨款支出决算变动情况</c:v>
                </c:pt>
              </c:strCache>
            </c:strRef>
          </c:tx>
          <c:invertIfNegative val="false"/>
          <c:dLbls>
            <c:delete val="true"/>
          </c:dLbls>
          <c:cat>
            <c:strRef>
              <c:f>Sheet1!$A$2:$A$3</c:f>
              <c:strCache>
                <c:ptCount val="2"/>
                <c:pt idx="0">
                  <c:v>2022年</c:v>
                </c:pt>
                <c:pt idx="1">
                  <c:v>2023年</c:v>
                </c:pt>
              </c:strCache>
            </c:strRef>
          </c:cat>
          <c:val>
            <c:numRef>
              <c:f>Sheet1!$B$2:$B$3</c:f>
              <c:numCache>
                <c:formatCode>General</c:formatCode>
                <c:ptCount val="2"/>
                <c:pt idx="0">
                  <c:v>6982.15</c:v>
                </c:pt>
                <c:pt idx="1">
                  <c:v>6605.89</c:v>
                </c:pt>
              </c:numCache>
            </c:numRef>
          </c:val>
        </c:ser>
        <c:dLbls>
          <c:showLegendKey val="false"/>
          <c:showVal val="false"/>
          <c:showCatName val="false"/>
          <c:showSerName val="false"/>
          <c:showPercent val="false"/>
          <c:showBubbleSize val="false"/>
        </c:dLbls>
        <c:gapWidth val="150"/>
        <c:axId val="107016960"/>
        <c:axId val="107018496"/>
      </c:barChart>
      <c:catAx>
        <c:axId val="107016960"/>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07018496"/>
        <c:crosses val="autoZero"/>
        <c:auto val="true"/>
        <c:lblAlgn val="ctr"/>
        <c:lblOffset val="100"/>
        <c:noMultiLvlLbl val="false"/>
      </c:catAx>
      <c:valAx>
        <c:axId val="107018496"/>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07016960"/>
        <c:crosses val="autoZero"/>
        <c:crossBetween val="between"/>
      </c:valAx>
    </c:plotArea>
    <c:plotVisOnly val="true"/>
    <c:dispBlanksAs val="gap"/>
    <c:showDLblsOverMax val="false"/>
  </c:chart>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p>
      </c:txPr>
    </c:title>
    <c:autoTitleDeleted val="false"/>
    <c:plotArea>
      <c:layout/>
      <c:pieChart>
        <c:varyColors val="true"/>
        <c:ser>
          <c:idx val="0"/>
          <c:order val="0"/>
          <c:tx>
            <c:strRef>
              <c:f>Sheet1!$B$1</c:f>
              <c:strCache>
                <c:ptCount val="1"/>
                <c:pt idx="0">
                  <c:v>一般公共预算财政拨款支出决算结构</c:v>
                </c:pt>
              </c:strCache>
            </c:strRef>
          </c:tx>
          <c:explosion val="0"/>
          <c:dPt>
            <c:idx val="0"/>
            <c:bubble3D val="false"/>
          </c:dPt>
          <c:dPt>
            <c:idx val="1"/>
            <c:bubble3D val="false"/>
          </c:dPt>
          <c:dPt>
            <c:idx val="2"/>
            <c:bubble3D val="false"/>
          </c:dPt>
          <c:dPt>
            <c:idx val="3"/>
            <c:bubble3D val="false"/>
          </c:dPt>
          <c:dLbls>
            <c:numFmt formatCode="0.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Sheet1!$A$2:$A$5</c:f>
              <c:strCache>
                <c:ptCount val="4"/>
                <c:pt idx="0">
                  <c:v>教育支出</c:v>
                </c:pt>
                <c:pt idx="1">
                  <c:v>社会保障和就业支出</c:v>
                </c:pt>
                <c:pt idx="2">
                  <c:v>卫生健康支出</c:v>
                </c:pt>
                <c:pt idx="3">
                  <c:v>住房保障支出</c:v>
                </c:pt>
              </c:strCache>
            </c:strRef>
          </c:cat>
          <c:val>
            <c:numRef>
              <c:f>Sheet1!$B$2:$B$5</c:f>
              <c:numCache>
                <c:formatCode>General</c:formatCode>
                <c:ptCount val="4"/>
                <c:pt idx="0">
                  <c:v>5639.62</c:v>
                </c:pt>
                <c:pt idx="1">
                  <c:v>553.86</c:v>
                </c:pt>
                <c:pt idx="2">
                  <c:v>136.75</c:v>
                </c:pt>
                <c:pt idx="3">
                  <c:v>275.66</c:v>
                </c:pt>
              </c:numCache>
            </c:numRef>
          </c:val>
        </c:ser>
        <c:dLbls>
          <c:showLegendKey val="false"/>
          <c:showVal val="false"/>
          <c:showCatName val="false"/>
          <c:showSerName val="false"/>
          <c:showPercent val="tru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5302</Words>
  <Characters>5797</Characters>
  <Lines>60</Lines>
  <Paragraphs>17</Paragraphs>
  <TotalTime>31</TotalTime>
  <ScaleCrop>false</ScaleCrop>
  <LinksUpToDate>false</LinksUpToDate>
  <CharactersWithSpaces>5934</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2024-09-10T18:22:00Z</dcterms:created>
  <dc:creator>Administrator</dc:creator>
  <cp:lastModifiedBy> </cp:lastModifiedBy>
  <dcterms:modified xsi:type="dcterms:W3CDTF">2024-10-11T15:51:47Z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62BC6E39409241F49FA44BBD88C81313_13</vt:lpwstr>
  </property>
</Properties>
</file>