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bookmarkStart w:id="0" w:name="_Toc15377194"/>
      <w:bookmarkStart w:id="1" w:name="_Toc15396476"/>
      <w:bookmarkStart w:id="2" w:name="_Toc15378442"/>
      <w:bookmarkStart w:id="3" w:name="_Toc15377426"/>
      <w:bookmarkStart w:id="4" w:name="_Toc15396598"/>
      <w:r>
        <w:rPr>
          <w:rFonts w:hint="eastAsia" w:ascii="方正小标宋简体" w:hAnsi="宋体" w:eastAsia="方正小标宋简体"/>
          <w:sz w:val="44"/>
          <w:szCs w:val="44"/>
        </w:rPr>
        <w:t>2023年度</w:t>
      </w:r>
    </w:p>
    <w:p>
      <w:pPr>
        <w:pStyle w:val="2"/>
        <w:jc w:val="center"/>
        <w:outlineLvl w:val="0"/>
        <w:rPr>
          <w:rFonts w:ascii="方正小标宋简体" w:hAnsi="宋体" w:eastAsia="方正小标宋简体"/>
          <w:sz w:val="44"/>
          <w:szCs w:val="44"/>
        </w:rPr>
      </w:pPr>
      <w:bookmarkStart w:id="5" w:name="_Toc30540"/>
      <w:r>
        <w:rPr>
          <w:rFonts w:hint="eastAsia" w:ascii="方正小标宋简体" w:hAnsi="宋体" w:eastAsia="方正小标宋简体"/>
          <w:sz w:val="44"/>
          <w:szCs w:val="44"/>
        </w:rPr>
        <w:t>广元市</w:t>
      </w:r>
      <w:bookmarkStart w:id="6" w:name="_Toc15306268"/>
      <w:r>
        <w:rPr>
          <w:rFonts w:hint="eastAsia" w:ascii="方正小标宋简体" w:hAnsi="宋体" w:eastAsia="方正小标宋简体"/>
          <w:sz w:val="44"/>
          <w:szCs w:val="44"/>
        </w:rPr>
        <w:t>公安局单位决算</w:t>
      </w:r>
      <w:bookmarkEnd w:id="0"/>
      <w:bookmarkEnd w:id="1"/>
      <w:bookmarkEnd w:id="2"/>
      <w:bookmarkEnd w:id="3"/>
      <w:bookmarkEnd w:id="4"/>
      <w:bookmarkEnd w:id="5"/>
      <w:bookmarkEnd w:id="6"/>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2"/>
      </w:pPr>
      <w:r>
        <w:rPr>
          <w:rFonts w:hint="eastAsia"/>
        </w:rPr>
        <w:t>公开时间：2024年10月1</w:t>
      </w:r>
      <w:r>
        <w:rPr>
          <w:rFonts w:hint="eastAsia"/>
          <w:lang w:val="en-US" w:eastAsia="zh-CN"/>
        </w:rPr>
        <w:t>4</w:t>
      </w:r>
      <w:r>
        <w:rPr>
          <w:rFonts w:hint="eastAsia"/>
        </w:rPr>
        <w:t>日</w:t>
      </w:r>
    </w:p>
    <w:sdt>
      <w:sdtPr>
        <w:rPr>
          <w:rFonts w:ascii="宋体" w:hAnsi="宋体" w:eastAsia="宋体" w:cs="Times New Roman"/>
          <w:kern w:val="2"/>
          <w:sz w:val="21"/>
          <w:szCs w:val="24"/>
          <w:lang w:val="en-US" w:eastAsia="zh-CN" w:bidi="ar-SA"/>
        </w:rPr>
        <w:id w:val="147456481"/>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31"/>
            <w:tabs>
              <w:tab w:val="right" w:leader="dot" w:pos="8306"/>
            </w:tabs>
            <w:rPr>
              <w:b/>
            </w:rPr>
          </w:pPr>
          <w:r>
            <w:fldChar w:fldCharType="begin"/>
          </w:r>
          <w:r>
            <w:instrText xml:space="preserve">TOC \o "1-2" \h \u </w:instrText>
          </w:r>
          <w:r>
            <w:fldChar w:fldCharType="separate"/>
          </w:r>
          <w:r>
            <w:rPr>
              <w:b/>
            </w:rPr>
            <w:fldChar w:fldCharType="begin"/>
          </w:r>
          <w:r>
            <w:rPr>
              <w:b/>
            </w:rPr>
            <w:instrText xml:space="preserve"> HYPERLINK \l _Toc28693 </w:instrText>
          </w:r>
          <w:r>
            <w:rPr>
              <w:b/>
            </w:rPr>
            <w:fldChar w:fldCharType="separate"/>
          </w:r>
          <w:r>
            <w:rPr>
              <w:rFonts w:hint="eastAsia" w:ascii="黑体" w:hAnsi="黑体" w:eastAsia="黑体"/>
              <w:b/>
            </w:rPr>
            <w:t>第一部分 单位</w:t>
          </w:r>
          <w:r>
            <w:rPr>
              <w:rFonts w:hint="eastAsia" w:ascii="黑体" w:hAnsi="黑体" w:eastAsia="黑体"/>
              <w:b/>
              <w:bCs w:val="0"/>
            </w:rPr>
            <w:t>概况</w:t>
          </w:r>
          <w:r>
            <w:rPr>
              <w:b/>
            </w:rPr>
            <w:tab/>
          </w:r>
          <w:r>
            <w:rPr>
              <w:b/>
            </w:rPr>
            <w:fldChar w:fldCharType="begin"/>
          </w:r>
          <w:r>
            <w:rPr>
              <w:b/>
            </w:rPr>
            <w:instrText xml:space="preserve"> PAGEREF _Toc28693 \h </w:instrText>
          </w:r>
          <w:r>
            <w:rPr>
              <w:b/>
            </w:rPr>
            <w:fldChar w:fldCharType="separate"/>
          </w:r>
          <w:r>
            <w:rPr>
              <w:b/>
            </w:rPr>
            <w:t>3</w:t>
          </w:r>
          <w:r>
            <w:rPr>
              <w:b/>
            </w:rPr>
            <w:fldChar w:fldCharType="end"/>
          </w:r>
          <w:r>
            <w:rPr>
              <w:b/>
            </w:rPr>
            <w:fldChar w:fldCharType="end"/>
          </w:r>
        </w:p>
        <w:p>
          <w:pPr>
            <w:pStyle w:val="32"/>
            <w:tabs>
              <w:tab w:val="right" w:leader="dot" w:pos="8306"/>
            </w:tabs>
          </w:pPr>
          <w:r>
            <w:fldChar w:fldCharType="begin"/>
          </w:r>
          <w:r>
            <w:instrText xml:space="preserve"> HYPERLINK \l _Toc28796 </w:instrText>
          </w:r>
          <w:r>
            <w:fldChar w:fldCharType="separate"/>
          </w:r>
          <w:r>
            <w:rPr>
              <w:rFonts w:hint="eastAsia" w:ascii="黑体" w:hAnsi="黑体" w:eastAsia="黑体"/>
              <w:bCs w:val="0"/>
            </w:rPr>
            <w:t>一、 主要职责</w:t>
          </w:r>
          <w:r>
            <w:tab/>
          </w:r>
          <w:r>
            <w:fldChar w:fldCharType="begin"/>
          </w:r>
          <w:r>
            <w:instrText xml:space="preserve"> PAGEREF _Toc28796 \h </w:instrText>
          </w:r>
          <w:r>
            <w:fldChar w:fldCharType="separate"/>
          </w:r>
          <w:r>
            <w:t>3</w:t>
          </w:r>
          <w:r>
            <w:fldChar w:fldCharType="end"/>
          </w:r>
          <w:r>
            <w:fldChar w:fldCharType="end"/>
          </w:r>
        </w:p>
        <w:p>
          <w:pPr>
            <w:pStyle w:val="32"/>
            <w:tabs>
              <w:tab w:val="right" w:leader="dot" w:pos="8306"/>
            </w:tabs>
          </w:pPr>
          <w:r>
            <w:fldChar w:fldCharType="begin"/>
          </w:r>
          <w:r>
            <w:instrText xml:space="preserve"> HYPERLINK \l _Toc2735 </w:instrText>
          </w:r>
          <w:r>
            <w:fldChar w:fldCharType="separate"/>
          </w:r>
          <w:r>
            <w:rPr>
              <w:rFonts w:hint="eastAsia" w:ascii="黑体" w:hAnsi="黑体" w:eastAsia="黑体"/>
            </w:rPr>
            <w:t>二、 机构设置</w:t>
          </w:r>
          <w:r>
            <w:tab/>
          </w:r>
          <w:r>
            <w:fldChar w:fldCharType="begin"/>
          </w:r>
          <w:r>
            <w:instrText xml:space="preserve"> PAGEREF _Toc2735 \h </w:instrText>
          </w:r>
          <w:r>
            <w:fldChar w:fldCharType="separate"/>
          </w:r>
          <w:r>
            <w:t>5</w:t>
          </w:r>
          <w:r>
            <w:fldChar w:fldCharType="end"/>
          </w:r>
          <w:r>
            <w:fldChar w:fldCharType="end"/>
          </w:r>
        </w:p>
        <w:p>
          <w:pPr>
            <w:pStyle w:val="31"/>
            <w:tabs>
              <w:tab w:val="right" w:leader="dot" w:pos="8306"/>
            </w:tabs>
            <w:rPr>
              <w:b/>
            </w:rPr>
          </w:pPr>
          <w:r>
            <w:rPr>
              <w:b/>
            </w:rPr>
            <w:fldChar w:fldCharType="begin"/>
          </w:r>
          <w:r>
            <w:rPr>
              <w:b/>
            </w:rPr>
            <w:instrText xml:space="preserve"> HYPERLINK \l _Toc5841 </w:instrText>
          </w:r>
          <w:r>
            <w:rPr>
              <w:b/>
            </w:rPr>
            <w:fldChar w:fldCharType="separate"/>
          </w:r>
          <w:r>
            <w:rPr>
              <w:rFonts w:hint="eastAsia" w:ascii="黑体" w:hAnsi="黑体" w:eastAsia="黑体"/>
              <w:b/>
            </w:rPr>
            <w:t>第二部分 2023年度</w:t>
          </w:r>
          <w:r>
            <w:rPr>
              <w:rFonts w:hint="eastAsia" w:ascii="黑体" w:hAnsi="黑体" w:eastAsia="黑体"/>
              <w:b/>
              <w:bCs w:val="0"/>
            </w:rPr>
            <w:t>单位决算情况说明</w:t>
          </w:r>
          <w:r>
            <w:rPr>
              <w:b/>
            </w:rPr>
            <w:tab/>
          </w:r>
          <w:r>
            <w:rPr>
              <w:b/>
            </w:rPr>
            <w:fldChar w:fldCharType="begin"/>
          </w:r>
          <w:r>
            <w:rPr>
              <w:b/>
            </w:rPr>
            <w:instrText xml:space="preserve"> PAGEREF _Toc5841 \h </w:instrText>
          </w:r>
          <w:r>
            <w:rPr>
              <w:b/>
            </w:rPr>
            <w:fldChar w:fldCharType="separate"/>
          </w:r>
          <w:r>
            <w:rPr>
              <w:b/>
            </w:rPr>
            <w:t>6</w:t>
          </w:r>
          <w:r>
            <w:rPr>
              <w:b/>
            </w:rPr>
            <w:fldChar w:fldCharType="end"/>
          </w:r>
          <w:r>
            <w:rPr>
              <w:b/>
            </w:rPr>
            <w:fldChar w:fldCharType="end"/>
          </w:r>
        </w:p>
        <w:p>
          <w:pPr>
            <w:pStyle w:val="32"/>
            <w:tabs>
              <w:tab w:val="right" w:leader="dot" w:pos="8306"/>
            </w:tabs>
          </w:pPr>
          <w:r>
            <w:fldChar w:fldCharType="begin"/>
          </w:r>
          <w:r>
            <w:instrText xml:space="preserve"> HYPERLINK \l _Toc7014 </w:instrText>
          </w:r>
          <w:r>
            <w:fldChar w:fldCharType="separate"/>
          </w:r>
          <w:r>
            <w:rPr>
              <w:rFonts w:hint="eastAsia" w:ascii="黑体" w:hAnsi="黑体" w:eastAsia="黑体"/>
              <w:szCs w:val="32"/>
            </w:rPr>
            <w:t>一、收</w:t>
          </w:r>
          <w:r>
            <w:rPr>
              <w:rFonts w:hint="eastAsia" w:ascii="黑体" w:hAnsi="黑体" w:eastAsia="黑体"/>
            </w:rPr>
            <w:t>入支出决算总体情况说明</w:t>
          </w:r>
          <w:r>
            <w:tab/>
          </w:r>
          <w:r>
            <w:fldChar w:fldCharType="begin"/>
          </w:r>
          <w:r>
            <w:instrText xml:space="preserve"> PAGEREF _Toc7014 \h </w:instrText>
          </w:r>
          <w:r>
            <w:fldChar w:fldCharType="separate"/>
          </w:r>
          <w:r>
            <w:t>6</w:t>
          </w:r>
          <w:r>
            <w:fldChar w:fldCharType="end"/>
          </w:r>
          <w:r>
            <w:fldChar w:fldCharType="end"/>
          </w:r>
        </w:p>
        <w:p>
          <w:pPr>
            <w:pStyle w:val="32"/>
            <w:tabs>
              <w:tab w:val="right" w:leader="dot" w:pos="8306"/>
            </w:tabs>
          </w:pPr>
          <w:r>
            <w:fldChar w:fldCharType="begin"/>
          </w:r>
          <w:r>
            <w:instrText xml:space="preserve"> HYPERLINK \l _Toc10025 </w:instrText>
          </w:r>
          <w:r>
            <w:fldChar w:fldCharType="separate"/>
          </w:r>
          <w:r>
            <w:rPr>
              <w:rFonts w:hint="eastAsia" w:ascii="黑体" w:hAnsi="黑体" w:eastAsia="黑体"/>
              <w:szCs w:val="32"/>
            </w:rPr>
            <w:t>二、收</w:t>
          </w:r>
          <w:r>
            <w:rPr>
              <w:rFonts w:hint="eastAsia" w:ascii="黑体" w:hAnsi="黑体" w:eastAsia="黑体"/>
            </w:rPr>
            <w:t>入决算情况说明</w:t>
          </w:r>
          <w:r>
            <w:tab/>
          </w:r>
          <w:r>
            <w:fldChar w:fldCharType="begin"/>
          </w:r>
          <w:r>
            <w:instrText xml:space="preserve"> PAGEREF _Toc10025 \h </w:instrText>
          </w:r>
          <w:r>
            <w:fldChar w:fldCharType="separate"/>
          </w:r>
          <w:r>
            <w:t>6</w:t>
          </w:r>
          <w:r>
            <w:fldChar w:fldCharType="end"/>
          </w:r>
          <w:r>
            <w:fldChar w:fldCharType="end"/>
          </w:r>
        </w:p>
        <w:p>
          <w:pPr>
            <w:pStyle w:val="32"/>
            <w:tabs>
              <w:tab w:val="right" w:leader="dot" w:pos="8306"/>
            </w:tabs>
          </w:pPr>
          <w:r>
            <w:fldChar w:fldCharType="begin"/>
          </w:r>
          <w:r>
            <w:instrText xml:space="preserve"> HYPERLINK \l _Toc5831 </w:instrText>
          </w:r>
          <w:r>
            <w:fldChar w:fldCharType="separate"/>
          </w:r>
          <w:r>
            <w:rPr>
              <w:rFonts w:hint="eastAsia" w:ascii="黑体" w:hAnsi="黑体" w:eastAsia="黑体"/>
              <w:szCs w:val="32"/>
            </w:rPr>
            <w:t>三、支</w:t>
          </w:r>
          <w:r>
            <w:rPr>
              <w:rFonts w:hint="eastAsia" w:ascii="黑体" w:hAnsi="黑体" w:eastAsia="黑体"/>
            </w:rPr>
            <w:t>出决算情况说明</w:t>
          </w:r>
          <w:r>
            <w:tab/>
          </w:r>
          <w:r>
            <w:fldChar w:fldCharType="begin"/>
          </w:r>
          <w:r>
            <w:instrText xml:space="preserve"> PAGEREF _Toc5831 \h </w:instrText>
          </w:r>
          <w:r>
            <w:fldChar w:fldCharType="separate"/>
          </w:r>
          <w:r>
            <w:t>7</w:t>
          </w:r>
          <w:r>
            <w:fldChar w:fldCharType="end"/>
          </w:r>
          <w:r>
            <w:fldChar w:fldCharType="end"/>
          </w:r>
        </w:p>
        <w:p>
          <w:pPr>
            <w:pStyle w:val="32"/>
            <w:tabs>
              <w:tab w:val="right" w:leader="dot" w:pos="8306"/>
            </w:tabs>
          </w:pPr>
          <w:r>
            <w:fldChar w:fldCharType="begin"/>
          </w:r>
          <w:r>
            <w:instrText xml:space="preserve"> HYPERLINK \l _Toc704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_Toc704 \h </w:instrText>
          </w:r>
          <w:r>
            <w:fldChar w:fldCharType="separate"/>
          </w:r>
          <w:r>
            <w:t>8</w:t>
          </w:r>
          <w:r>
            <w:fldChar w:fldCharType="end"/>
          </w:r>
          <w:r>
            <w:fldChar w:fldCharType="end"/>
          </w:r>
        </w:p>
        <w:p>
          <w:pPr>
            <w:pStyle w:val="32"/>
            <w:tabs>
              <w:tab w:val="right" w:leader="dot" w:pos="8306"/>
            </w:tabs>
          </w:pPr>
          <w:r>
            <w:fldChar w:fldCharType="begin"/>
          </w:r>
          <w:r>
            <w:instrText xml:space="preserve"> HYPERLINK \l _Toc3906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_Toc3906 \h </w:instrText>
          </w:r>
          <w:r>
            <w:fldChar w:fldCharType="separate"/>
          </w:r>
          <w:r>
            <w:t>8</w:t>
          </w:r>
          <w:r>
            <w:fldChar w:fldCharType="end"/>
          </w:r>
          <w:r>
            <w:fldChar w:fldCharType="end"/>
          </w:r>
        </w:p>
        <w:p>
          <w:pPr>
            <w:pStyle w:val="32"/>
            <w:tabs>
              <w:tab w:val="right" w:leader="dot" w:pos="8306"/>
            </w:tabs>
          </w:pPr>
          <w:r>
            <w:fldChar w:fldCharType="begin"/>
          </w:r>
          <w:r>
            <w:instrText xml:space="preserve"> HYPERLINK \l _Toc31611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_Toc31611 \h </w:instrText>
          </w:r>
          <w:r>
            <w:fldChar w:fldCharType="separate"/>
          </w:r>
          <w:r>
            <w:t>11</w:t>
          </w:r>
          <w:r>
            <w:fldChar w:fldCharType="end"/>
          </w:r>
          <w:r>
            <w:fldChar w:fldCharType="end"/>
          </w:r>
        </w:p>
        <w:p>
          <w:pPr>
            <w:pStyle w:val="32"/>
            <w:tabs>
              <w:tab w:val="right" w:leader="dot" w:pos="8306"/>
            </w:tabs>
          </w:pPr>
          <w:r>
            <w:fldChar w:fldCharType="begin"/>
          </w:r>
          <w:r>
            <w:instrText xml:space="preserve"> HYPERLINK \l _Toc10433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_Toc10433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_Toc5519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_Toc5519 \h </w:instrText>
          </w:r>
          <w:r>
            <w:fldChar w:fldCharType="separate"/>
          </w:r>
          <w:r>
            <w:t>14</w:t>
          </w:r>
          <w:r>
            <w:fldChar w:fldCharType="end"/>
          </w:r>
          <w:r>
            <w:fldChar w:fldCharType="end"/>
          </w:r>
        </w:p>
        <w:p>
          <w:pPr>
            <w:pStyle w:val="32"/>
            <w:tabs>
              <w:tab w:val="right" w:leader="dot" w:pos="8306"/>
            </w:tabs>
          </w:pPr>
          <w:r>
            <w:fldChar w:fldCharType="begin"/>
          </w:r>
          <w:r>
            <w:instrText xml:space="preserve"> HYPERLINK \l _Toc20979 </w:instrText>
          </w:r>
          <w:r>
            <w:fldChar w:fldCharType="separate"/>
          </w:r>
          <w:r>
            <w:rPr>
              <w:rFonts w:hint="eastAsia" w:ascii="黑体" w:hAnsi="黑体" w:eastAsia="黑体"/>
            </w:rPr>
            <w:t>九、国有资本经营预算支出决算情况说明</w:t>
          </w:r>
          <w:r>
            <w:tab/>
          </w:r>
          <w:r>
            <w:fldChar w:fldCharType="begin"/>
          </w:r>
          <w:r>
            <w:instrText xml:space="preserve"> PAGEREF _Toc20979 \h </w:instrText>
          </w:r>
          <w:r>
            <w:fldChar w:fldCharType="separate"/>
          </w:r>
          <w:r>
            <w:t>14</w:t>
          </w:r>
          <w:r>
            <w:fldChar w:fldCharType="end"/>
          </w:r>
          <w:r>
            <w:fldChar w:fldCharType="end"/>
          </w:r>
        </w:p>
        <w:p>
          <w:pPr>
            <w:pStyle w:val="32"/>
            <w:tabs>
              <w:tab w:val="right" w:leader="dot" w:pos="8306"/>
            </w:tabs>
          </w:pPr>
          <w:r>
            <w:fldChar w:fldCharType="begin"/>
          </w:r>
          <w:r>
            <w:instrText xml:space="preserve"> HYPERLINK \l _Toc12877 </w:instrText>
          </w:r>
          <w:r>
            <w:fldChar w:fldCharType="separate"/>
          </w:r>
          <w:r>
            <w:rPr>
              <w:rFonts w:hint="eastAsia" w:ascii="黑体" w:hAnsi="黑体" w:eastAsia="黑体"/>
            </w:rPr>
            <w:t>十、其他重要事项的情况说明</w:t>
          </w:r>
          <w:r>
            <w:tab/>
          </w:r>
          <w:r>
            <w:fldChar w:fldCharType="begin"/>
          </w:r>
          <w:r>
            <w:instrText xml:space="preserve"> PAGEREF _Toc12877 \h </w:instrText>
          </w:r>
          <w:r>
            <w:fldChar w:fldCharType="separate"/>
          </w:r>
          <w:r>
            <w:t>14</w:t>
          </w:r>
          <w:r>
            <w:fldChar w:fldCharType="end"/>
          </w:r>
          <w:r>
            <w:fldChar w:fldCharType="end"/>
          </w:r>
        </w:p>
        <w:p>
          <w:pPr>
            <w:pStyle w:val="31"/>
            <w:tabs>
              <w:tab w:val="right" w:leader="dot" w:pos="8306"/>
            </w:tabs>
            <w:rPr>
              <w:b/>
            </w:rPr>
          </w:pPr>
          <w:r>
            <w:rPr>
              <w:b/>
            </w:rPr>
            <w:fldChar w:fldCharType="begin"/>
          </w:r>
          <w:r>
            <w:rPr>
              <w:b/>
            </w:rPr>
            <w:instrText xml:space="preserve"> HYPERLINK \l _Toc14050 </w:instrText>
          </w:r>
          <w:r>
            <w:rPr>
              <w:b/>
            </w:rPr>
            <w:fldChar w:fldCharType="separate"/>
          </w:r>
          <w:r>
            <w:rPr>
              <w:rFonts w:hint="eastAsia" w:ascii="黑体" w:hAnsi="黑体" w:eastAsia="黑体"/>
              <w:b/>
              <w:szCs w:val="44"/>
            </w:rPr>
            <w:t>第三部分  名</w:t>
          </w:r>
          <w:r>
            <w:rPr>
              <w:rFonts w:hint="eastAsia" w:ascii="黑体" w:hAnsi="黑体" w:eastAsia="黑体"/>
              <w:b/>
            </w:rPr>
            <w:t>词解释</w:t>
          </w:r>
          <w:r>
            <w:rPr>
              <w:b/>
            </w:rPr>
            <w:tab/>
          </w:r>
          <w:r>
            <w:rPr>
              <w:b/>
            </w:rPr>
            <w:fldChar w:fldCharType="begin"/>
          </w:r>
          <w:r>
            <w:rPr>
              <w:b/>
            </w:rPr>
            <w:instrText xml:space="preserve"> PAGEREF _Toc14050 \h </w:instrText>
          </w:r>
          <w:r>
            <w:rPr>
              <w:b/>
            </w:rPr>
            <w:fldChar w:fldCharType="separate"/>
          </w:r>
          <w:r>
            <w:rPr>
              <w:b/>
            </w:rPr>
            <w:t>16</w:t>
          </w:r>
          <w:r>
            <w:rPr>
              <w:b/>
            </w:rPr>
            <w:fldChar w:fldCharType="end"/>
          </w:r>
          <w:r>
            <w:rPr>
              <w:b/>
            </w:rPr>
            <w:fldChar w:fldCharType="end"/>
          </w:r>
        </w:p>
        <w:p>
          <w:pPr>
            <w:pStyle w:val="31"/>
            <w:tabs>
              <w:tab w:val="right" w:leader="dot" w:pos="8306"/>
            </w:tabs>
            <w:rPr>
              <w:b/>
            </w:rPr>
          </w:pPr>
          <w:r>
            <w:rPr>
              <w:b/>
            </w:rPr>
            <w:fldChar w:fldCharType="begin"/>
          </w:r>
          <w:r>
            <w:rPr>
              <w:b/>
            </w:rPr>
            <w:instrText xml:space="preserve"> HYPERLINK \l _Toc23429 </w:instrText>
          </w:r>
          <w:r>
            <w:rPr>
              <w:b/>
            </w:rPr>
            <w:fldChar w:fldCharType="separate"/>
          </w:r>
          <w:r>
            <w:rPr>
              <w:rFonts w:hint="eastAsia" w:ascii="黑体" w:hAnsi="黑体" w:eastAsia="黑体"/>
              <w:b/>
            </w:rPr>
            <w:t>第四部分 附件</w:t>
          </w:r>
          <w:r>
            <w:rPr>
              <w:b/>
            </w:rPr>
            <w:tab/>
          </w:r>
          <w:r>
            <w:rPr>
              <w:b/>
            </w:rPr>
            <w:fldChar w:fldCharType="begin"/>
          </w:r>
          <w:r>
            <w:rPr>
              <w:b/>
            </w:rPr>
            <w:instrText xml:space="preserve"> PAGEREF _Toc23429 \h </w:instrText>
          </w:r>
          <w:r>
            <w:rPr>
              <w:b/>
            </w:rPr>
            <w:fldChar w:fldCharType="separate"/>
          </w:r>
          <w:r>
            <w:rPr>
              <w:b/>
            </w:rPr>
            <w:t>20</w:t>
          </w:r>
          <w:r>
            <w:rPr>
              <w:b/>
            </w:rPr>
            <w:fldChar w:fldCharType="end"/>
          </w:r>
          <w:r>
            <w:rPr>
              <w:b/>
            </w:rPr>
            <w:fldChar w:fldCharType="end"/>
          </w:r>
        </w:p>
        <w:p>
          <w:pPr>
            <w:pStyle w:val="31"/>
            <w:tabs>
              <w:tab w:val="right" w:leader="dot" w:pos="8306"/>
            </w:tabs>
            <w:rPr>
              <w:b/>
            </w:rPr>
          </w:pPr>
          <w:r>
            <w:rPr>
              <w:b/>
            </w:rPr>
            <w:fldChar w:fldCharType="begin"/>
          </w:r>
          <w:r>
            <w:rPr>
              <w:b/>
            </w:rPr>
            <w:instrText xml:space="preserve"> HYPERLINK \l _Toc19545 </w:instrText>
          </w:r>
          <w:r>
            <w:rPr>
              <w:b/>
            </w:rP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_Toc19545 \h </w:instrText>
          </w:r>
          <w:r>
            <w:rPr>
              <w:b/>
            </w:rPr>
            <w:fldChar w:fldCharType="separate"/>
          </w:r>
          <w:r>
            <w:rPr>
              <w:b/>
            </w:rPr>
            <w:t>68</w:t>
          </w:r>
          <w:r>
            <w:rPr>
              <w:b/>
            </w:rPr>
            <w:fldChar w:fldCharType="end"/>
          </w:r>
          <w:r>
            <w:rPr>
              <w:b/>
            </w:rPr>
            <w:fldChar w:fldCharType="end"/>
          </w:r>
        </w:p>
        <w:p>
          <w:pPr>
            <w:pStyle w:val="32"/>
            <w:tabs>
              <w:tab w:val="right" w:leader="dot" w:pos="8306"/>
            </w:tabs>
          </w:pPr>
          <w:r>
            <w:fldChar w:fldCharType="begin"/>
          </w:r>
          <w:r>
            <w:instrText xml:space="preserve"> HYPERLINK \l _Toc14260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_Toc14260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_Toc31890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_Toc31890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_Toc6104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_Toc6104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_Toc19542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_Toc19542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_Toc4126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_Toc4126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_Toc1134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_Toc1134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_Toc32306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_Toc32306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_Toc3005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_Toc3005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_Toc13766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_Toc13766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_Toc13853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_Toc13853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_Toc5753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_Toc5753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_Toc31534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_Toc31534 \h </w:instrText>
          </w:r>
          <w:r>
            <w:fldChar w:fldCharType="separate"/>
          </w:r>
          <w:r>
            <w:t>68</w:t>
          </w:r>
          <w:r>
            <w:fldChar w:fldCharType="end"/>
          </w:r>
          <w:r>
            <w:fldChar w:fldCharType="end"/>
          </w:r>
        </w:p>
        <w:p>
          <w:pPr>
            <w:pStyle w:val="32"/>
            <w:tabs>
              <w:tab w:val="right" w:leader="dot" w:pos="8306"/>
            </w:tabs>
          </w:pPr>
          <w:r>
            <w:fldChar w:fldCharType="begin"/>
          </w:r>
          <w:r>
            <w:instrText xml:space="preserve"> HYPERLINK \l _Toc32222 </w:instrText>
          </w:r>
          <w:r>
            <w:fldChar w:fldCharType="separate"/>
          </w:r>
          <w:r>
            <w:rPr>
              <w:rFonts w:hint="eastAsia" w:ascii="仿宋" w:hAnsi="仿宋" w:eastAsia="仿宋"/>
              <w:bCs w:val="0"/>
            </w:rPr>
            <w:t>十三、财政拨款“三公”经费支出决算表</w:t>
          </w:r>
          <w:r>
            <w:tab/>
          </w:r>
          <w:r>
            <w:fldChar w:fldCharType="begin"/>
          </w:r>
          <w:r>
            <w:instrText xml:space="preserve"> PAGEREF _Toc32222 \h </w:instrText>
          </w:r>
          <w:r>
            <w:fldChar w:fldCharType="separate"/>
          </w:r>
          <w:r>
            <w:t>68</w:t>
          </w:r>
          <w:r>
            <w:fldChar w:fldCharType="end"/>
          </w:r>
          <w:r>
            <w:fldChar w:fldCharType="end"/>
          </w:r>
        </w:p>
        <w:p>
          <w:pPr>
            <w:rPr>
              <w:b/>
            </w:rPr>
          </w:pPr>
          <w:r>
            <w:rPr>
              <w:b/>
            </w:rPr>
            <w:fldChar w:fldCharType="end"/>
          </w:r>
        </w:p>
      </w:sdtContent>
    </w:sdt>
    <w:p>
      <w:pPr>
        <w:rPr>
          <w:b/>
        </w:rPr>
      </w:pPr>
    </w:p>
    <w:p>
      <w:pPr>
        <w:rPr>
          <w:sz w:val="24"/>
        </w:rPr>
      </w:pPr>
      <w:r>
        <w:rPr>
          <w:sz w:val="24"/>
        </w:rPr>
        <w:br w:type="page"/>
      </w:r>
    </w:p>
    <w:p>
      <w:pPr>
        <w:widowControl/>
        <w:spacing w:line="440" w:lineRule="exact"/>
        <w:jc w:val="left"/>
        <w:rPr>
          <w:rFonts w:ascii="仿宋" w:hAnsi="仿宋" w:eastAsia="仿宋"/>
          <w:bCs/>
          <w:kern w:val="44"/>
          <w:sz w:val="24"/>
        </w:rPr>
      </w:pPr>
    </w:p>
    <w:p>
      <w:pPr>
        <w:pStyle w:val="3"/>
        <w:jc w:val="center"/>
        <w:rPr>
          <w:rStyle w:val="19"/>
          <w:rFonts w:ascii="黑体" w:hAnsi="黑体" w:eastAsia="黑体"/>
          <w:b w:val="0"/>
          <w:bCs w:val="0"/>
        </w:rPr>
      </w:pPr>
      <w:bookmarkStart w:id="7" w:name="_Toc28693"/>
      <w:r>
        <w:rPr>
          <w:rFonts w:hint="eastAsia" w:ascii="黑体" w:hAnsi="黑体" w:eastAsia="黑体"/>
          <w:b w:val="0"/>
        </w:rPr>
        <w:t>第一部分 单位</w:t>
      </w:r>
      <w:r>
        <w:rPr>
          <w:rStyle w:val="19"/>
          <w:rFonts w:hint="eastAsia" w:ascii="黑体" w:hAnsi="黑体" w:eastAsia="黑体"/>
          <w:b w:val="0"/>
          <w:bCs w:val="0"/>
        </w:rPr>
        <w:t>概况</w:t>
      </w:r>
      <w:bookmarkEnd w:id="7"/>
    </w:p>
    <w:p>
      <w:pPr>
        <w:widowControl/>
        <w:jc w:val="left"/>
        <w:rPr>
          <w:rFonts w:ascii="黑体" w:eastAsia="黑体"/>
          <w:sz w:val="32"/>
          <w:szCs w:val="32"/>
        </w:rPr>
      </w:pPr>
    </w:p>
    <w:p>
      <w:pPr>
        <w:pStyle w:val="4"/>
        <w:numPr>
          <w:ilvl w:val="0"/>
          <w:numId w:val="1"/>
        </w:numPr>
        <w:rPr>
          <w:rStyle w:val="20"/>
          <w:rFonts w:ascii="黑体" w:hAnsi="黑体" w:eastAsia="黑体"/>
          <w:b w:val="0"/>
          <w:bCs w:val="0"/>
        </w:rPr>
      </w:pPr>
      <w:bookmarkStart w:id="8" w:name="_Toc28796"/>
      <w:r>
        <w:rPr>
          <w:rStyle w:val="20"/>
          <w:rFonts w:hint="eastAsia" w:ascii="黑体" w:hAnsi="黑体" w:eastAsia="黑体"/>
          <w:b w:val="0"/>
          <w:bCs w:val="0"/>
        </w:rPr>
        <w:t>主要职责</w:t>
      </w:r>
      <w:bookmarkEnd w:id="8"/>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 贯彻执行党和国家公安工作的方针、政策和法律、法规、规章；部署、指导、监督、检查全市公安工作；负责本系统、本部门依法行政工作，落实行政执法责任制。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2.组织、指导、协调全市公安机关应急管理、抢险救援工作和社会公共突发事件的处置工作。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3.组织指导全市公安机关侦查工作，协调或直接侦办全市重大刑事案件、国内危害国家安全的犯罪案件及重大经济犯罪案件。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负责全市治安管理工作并承担相应责任。协调处置全市重大治安案件和群体性事件，指导、监督全市公安机关依法查处破坏社会治安秩序行为，依法开展治安行政管理工作，指导、监督全市公安机关治安保卫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5.负责全市出入境管理有关工作。依法管理国籍，组织、指导全市出境、入境和持普通护照的外国人在广居留、旅行的有关管理工作。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6.负责全市道路交通安全管理工作并承担相应责任。指导、监督全市公安机关维护道路交通安全、交通秩序以及开展机动车辆（不含拖拉机）、驾驶人管理工作。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7.指导、监督全市公安机关对公共信息网络的安全保护工作，负责信息安全等级保护工作的监督、检查、指导。</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8.组织、指导、协调对恐怖活动的情报、防范、侦察和应急处置工作。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指导、监督全市公安机关依法承担的执行刑罚和监督、考察工作；指导、监督全市看守所、拘留所、强制隔离戒毒所、收容教育所、安康医院的管理工作，指导、监督、办理收容教养和劳动教养审批工作。管理广元市看守所、广元市拘留所、广元市强制隔离戒毒所。</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10.指导全市公安警卫业务工作，组织实施对有关的党和国家领导人以及重要外宾在广的安全警卫工作并承担相应责任。</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11.组织实施全市公安科学技术工作，组织、指导、规划全市公安机关的指挥系统、信息技术、刑事技术建设。</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12.拟订全市公安机关装备、被装和经费等警务保障计划及管理制度，组织协调全市公安机关重大任务的警务保障工作。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13.组织开展同市外公安机关、港澳台警方及外国内政警察机构的交往与业务合作。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指导全市公安队伍建设和公安机关党风廉政建设，组织、指导全市公安机关人事管理、民警教育训练和宣传工作，按规定权限管理干部，拟订全市公安队伍监督管理工作规章制度，组织、指导全市公安机关督察、审计、信访工作，指导、监督全市公安机关及人民警察的执法活动，按规定权限实施对干部的监督、查处或督办公安队伍重大违纪案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15.指导市内森林等专门公安机关的业务工作。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16.承担广元市禁毒委员会的具体工作。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17.承担市政府公布的有关行政审批事项。</w:t>
      </w:r>
    </w:p>
    <w:p>
      <w:pPr>
        <w:ind w:firstLine="640" w:firstLineChars="200"/>
        <w:rPr>
          <w:rFonts w:ascii="黑体" w:hAnsi="黑体" w:eastAsia="黑体"/>
        </w:rPr>
      </w:pPr>
      <w:r>
        <w:rPr>
          <w:rFonts w:hint="eastAsia" w:ascii="仿宋_GB2312" w:hAnsi="仿宋_GB2312" w:eastAsia="仿宋_GB2312" w:cs="仿宋_GB2312"/>
          <w:sz w:val="32"/>
          <w:szCs w:val="32"/>
        </w:rPr>
        <w:t>18.承办市政府和省公安厅交办的其他事项。</w:t>
      </w:r>
    </w:p>
    <w:p>
      <w:pPr>
        <w:pStyle w:val="4"/>
        <w:numPr>
          <w:ilvl w:val="0"/>
          <w:numId w:val="1"/>
        </w:numPr>
        <w:rPr>
          <w:rFonts w:ascii="黑体" w:hAnsi="黑体" w:eastAsia="黑体"/>
          <w:b w:val="0"/>
        </w:rPr>
      </w:pPr>
      <w:bookmarkStart w:id="9" w:name="_Toc2735"/>
      <w:r>
        <w:rPr>
          <w:rFonts w:hint="eastAsia" w:ascii="黑体" w:hAnsi="黑体" w:eastAsia="黑体"/>
          <w:b w:val="0"/>
        </w:rPr>
        <w:t>机构设置</w:t>
      </w:r>
      <w:bookmarkEnd w:id="9"/>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广元市公安局单位是行政单位，截至2023年末，在职507人，其中行政人员494人、事业人员13人，下设未独立核算的广元市警务标准化研究中心1个事业单位。</w:t>
      </w:r>
    </w:p>
    <w:p>
      <w:pPr>
        <w:spacing w:line="576" w:lineRule="exact"/>
        <w:ind w:firstLine="640" w:firstLineChars="200"/>
        <w:rPr>
          <w:rFonts w:ascii="仿宋_GB2312" w:hAnsi="仿宋_GB2312" w:eastAsia="仿宋_GB2312" w:cs="仿宋_GB2312"/>
          <w:sz w:val="32"/>
          <w:szCs w:val="32"/>
        </w:rPr>
      </w:pPr>
    </w:p>
    <w:p/>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19"/>
          <w:rFonts w:ascii="黑体" w:hAnsi="黑体" w:eastAsia="黑体"/>
          <w:b w:val="0"/>
          <w:bCs w:val="0"/>
        </w:rPr>
      </w:pPr>
      <w:bookmarkStart w:id="10" w:name="_Toc5841"/>
      <w:r>
        <w:rPr>
          <w:rFonts w:hint="eastAsia" w:ascii="黑体" w:hAnsi="黑体" w:eastAsia="黑体"/>
          <w:b w:val="0"/>
        </w:rPr>
        <w:t>第二部分 2023年度</w:t>
      </w:r>
      <w:r>
        <w:rPr>
          <w:rStyle w:val="19"/>
          <w:rFonts w:hint="eastAsia" w:ascii="黑体" w:hAnsi="黑体" w:eastAsia="黑体"/>
          <w:b w:val="0"/>
          <w:bCs w:val="0"/>
        </w:rPr>
        <w:t>单位决算情况说明</w:t>
      </w:r>
      <w:bookmarkEnd w:id="10"/>
    </w:p>
    <w:p/>
    <w:p>
      <w:pPr>
        <w:pStyle w:val="25"/>
        <w:spacing w:line="600" w:lineRule="exact"/>
        <w:ind w:left="640" w:firstLine="0" w:firstLineChars="0"/>
        <w:outlineLvl w:val="1"/>
        <w:rPr>
          <w:rStyle w:val="20"/>
          <w:rFonts w:ascii="黑体" w:hAnsi="黑体" w:eastAsia="黑体"/>
          <w:b w:val="0"/>
        </w:rPr>
      </w:pPr>
      <w:bookmarkStart w:id="11" w:name="_Toc7014"/>
      <w:r>
        <w:rPr>
          <w:rFonts w:hint="eastAsia" w:ascii="黑体" w:hAnsi="黑体" w:eastAsia="黑体"/>
          <w:sz w:val="32"/>
          <w:szCs w:val="32"/>
        </w:rPr>
        <w:t>一、收</w:t>
      </w:r>
      <w:r>
        <w:rPr>
          <w:rStyle w:val="20"/>
          <w:rFonts w:hint="eastAsia" w:ascii="黑体" w:hAnsi="黑体" w:eastAsia="黑体"/>
          <w:b w:val="0"/>
        </w:rPr>
        <w:t>入支出决算总体情况说明</w:t>
      </w:r>
      <w:bookmarkEnd w:id="11"/>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2023年度收、支总计均为18655.9万元。与2022年度相比，收、支总计各增加187.11万元，增长1.01%。主要变动原因是2023年人员晋档晋级工资及相应的养老保险、职业年金、医疗保险和住房公积金缴费增加 。</w:t>
      </w:r>
    </w:p>
    <w:p>
      <w:pPr>
        <w:pStyle w:val="2"/>
        <w:tabs>
          <w:tab w:val="left" w:pos="843"/>
        </w:tabs>
      </w:pPr>
      <w:r>
        <w:tab/>
      </w:r>
      <w:r>
        <w:drawing>
          <wp:inline distT="0" distB="0" distL="0" distR="0">
            <wp:extent cx="4333875" cy="2657475"/>
            <wp:effectExtent l="19050" t="0" r="9525" b="0"/>
            <wp:docPr id="8" name="对象 1"/>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spacing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（图1：收、支决算总计变动情况图）</w:t>
      </w:r>
    </w:p>
    <w:p>
      <w:pPr>
        <w:pStyle w:val="25"/>
        <w:spacing w:line="600" w:lineRule="exact"/>
        <w:ind w:left="640" w:firstLine="0" w:firstLineChars="0"/>
        <w:outlineLvl w:val="1"/>
        <w:rPr>
          <w:rStyle w:val="20"/>
          <w:rFonts w:ascii="黑体" w:hAnsi="黑体" w:eastAsia="黑体"/>
          <w:b w:val="0"/>
        </w:rPr>
      </w:pPr>
      <w:bookmarkStart w:id="12" w:name="_Toc10025"/>
      <w:r>
        <w:rPr>
          <w:rFonts w:hint="eastAsia" w:ascii="黑体" w:hAnsi="黑体" w:eastAsia="黑体"/>
          <w:sz w:val="32"/>
          <w:szCs w:val="32"/>
        </w:rPr>
        <w:t>二、收</w:t>
      </w:r>
      <w:r>
        <w:rPr>
          <w:rStyle w:val="20"/>
          <w:rFonts w:hint="eastAsia" w:ascii="黑体" w:hAnsi="黑体" w:eastAsia="黑体"/>
          <w:b w:val="0"/>
        </w:rPr>
        <w:t>入决算情况说明</w:t>
      </w:r>
      <w:bookmarkEnd w:id="12"/>
    </w:p>
    <w:p>
      <w:pPr>
        <w:spacing w:line="600" w:lineRule="exact"/>
        <w:ind w:firstLine="640" w:firstLineChars="200"/>
        <w:outlineLvl w:val="1"/>
        <w:rPr>
          <w:rFonts w:ascii="仿宋_GB2312" w:hAnsi="仿宋_GB2312" w:eastAsia="仿宋_GB2312" w:cs="仿宋_GB2312"/>
          <w:sz w:val="32"/>
          <w:szCs w:val="32"/>
        </w:rPr>
      </w:pPr>
      <w:bookmarkStart w:id="13" w:name="_Toc14862"/>
      <w:r>
        <w:rPr>
          <w:rFonts w:hint="eastAsia" w:ascii="仿宋_GB2312" w:hAnsi="仿宋_GB2312" w:eastAsia="仿宋_GB2312" w:cs="仿宋_GB2312"/>
          <w:sz w:val="32"/>
          <w:szCs w:val="32"/>
        </w:rPr>
        <w:t>2023年度本年收入合计18626.6万元，其中：一般公共预算财政拨款收入18287.46万元，占98.18%；政府性基金预算财政拨款收入327.61万元，占1.76%；其他收入11.53万元，占0.06%。</w:t>
      </w:r>
      <w:bookmarkEnd w:id="13"/>
    </w:p>
    <w:p>
      <w:pPr>
        <w:pStyle w:val="2"/>
      </w:pPr>
    </w:p>
    <w:p>
      <w:pPr>
        <w:pStyle w:val="2"/>
      </w:pPr>
      <w:r>
        <w:rPr>
          <w:rFonts w:hint="eastAsia"/>
        </w:rPr>
        <w:drawing>
          <wp:inline distT="0" distB="0" distL="0" distR="0">
            <wp:extent cx="5275580" cy="2976880"/>
            <wp:effectExtent l="19050" t="0" r="20261"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（图2：收入决算结构图）</w:t>
      </w:r>
    </w:p>
    <w:p>
      <w:pPr>
        <w:pStyle w:val="25"/>
        <w:spacing w:line="600" w:lineRule="exact"/>
        <w:ind w:left="640" w:firstLine="0" w:firstLineChars="0"/>
        <w:outlineLvl w:val="1"/>
        <w:rPr>
          <w:rStyle w:val="20"/>
          <w:rFonts w:ascii="黑体" w:hAnsi="黑体" w:eastAsia="黑体"/>
          <w:b w:val="0"/>
        </w:rPr>
      </w:pPr>
      <w:bookmarkStart w:id="14" w:name="_Toc5831"/>
      <w:r>
        <w:rPr>
          <w:rFonts w:hint="eastAsia" w:ascii="黑体" w:hAnsi="黑体" w:eastAsia="黑体"/>
          <w:sz w:val="32"/>
          <w:szCs w:val="32"/>
        </w:rPr>
        <w:t>三、支</w:t>
      </w:r>
      <w:r>
        <w:rPr>
          <w:rStyle w:val="20"/>
          <w:rFonts w:hint="eastAsia" w:ascii="黑体" w:hAnsi="黑体" w:eastAsia="黑体"/>
          <w:b w:val="0"/>
        </w:rPr>
        <w:t>出决算情况说明</w:t>
      </w:r>
      <w:bookmarkEnd w:id="14"/>
    </w:p>
    <w:p>
      <w:pPr>
        <w:spacing w:line="600" w:lineRule="exact"/>
        <w:ind w:firstLine="640" w:firstLineChars="200"/>
        <w:outlineLvl w:val="1"/>
        <w:rPr>
          <w:rFonts w:ascii="仿宋" w:hAnsi="仿宋" w:eastAsia="仿宋"/>
          <w:sz w:val="32"/>
          <w:szCs w:val="32"/>
        </w:rPr>
      </w:pPr>
      <w:bookmarkStart w:id="15" w:name="_Toc22673"/>
      <w:r>
        <w:rPr>
          <w:rFonts w:hint="eastAsia" w:ascii="仿宋" w:hAnsi="仿宋" w:eastAsia="仿宋"/>
          <w:sz w:val="32"/>
          <w:szCs w:val="32"/>
        </w:rPr>
        <w:t>2023年度本年支出合计18476.84万元，其中：基本支出12476.12万元，占67.52</w:t>
      </w:r>
      <w:r>
        <w:rPr>
          <w:rFonts w:ascii="仿宋" w:hAnsi="仿宋" w:eastAsia="仿宋"/>
          <w:sz w:val="32"/>
          <w:szCs w:val="32"/>
        </w:rPr>
        <w:t>%</w:t>
      </w:r>
      <w:r>
        <w:rPr>
          <w:rFonts w:hint="eastAsia" w:ascii="仿宋" w:hAnsi="仿宋" w:eastAsia="仿宋"/>
          <w:sz w:val="32"/>
          <w:szCs w:val="32"/>
        </w:rPr>
        <w:t>；项目支出6000.72万元，占32.48</w:t>
      </w:r>
      <w:r>
        <w:rPr>
          <w:rFonts w:ascii="仿宋" w:hAnsi="仿宋" w:eastAsia="仿宋"/>
          <w:sz w:val="32"/>
          <w:szCs w:val="32"/>
        </w:rPr>
        <w:t>%</w:t>
      </w:r>
      <w:r>
        <w:rPr>
          <w:rFonts w:hint="eastAsia" w:ascii="仿宋" w:hAnsi="仿宋" w:eastAsia="仿宋"/>
          <w:sz w:val="32"/>
          <w:szCs w:val="32"/>
        </w:rPr>
        <w:t>。</w:t>
      </w:r>
      <w:bookmarkEnd w:id="15"/>
    </w:p>
    <w:p>
      <w:pPr>
        <w:pStyle w:val="2"/>
      </w:pPr>
      <w:r>
        <w:rPr>
          <w:rFonts w:hint="eastAsia"/>
        </w:rPr>
        <w:drawing>
          <wp:inline distT="0" distB="0" distL="0" distR="0">
            <wp:extent cx="5302250" cy="2732405"/>
            <wp:effectExtent l="19050" t="0" r="12331"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（图3：支出决算结构图）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0"/>
          <w:rFonts w:ascii="黑体" w:hAnsi="黑体" w:eastAsia="黑体"/>
          <w:b w:val="0"/>
        </w:rPr>
      </w:pPr>
      <w:bookmarkStart w:id="16" w:name="_Toc704"/>
      <w:r>
        <w:rPr>
          <w:rFonts w:hint="eastAsia" w:ascii="黑体" w:hAnsi="黑体" w:eastAsia="黑体"/>
          <w:sz w:val="32"/>
          <w:szCs w:val="32"/>
        </w:rPr>
        <w:t>四、财</w:t>
      </w:r>
      <w:r>
        <w:rPr>
          <w:rStyle w:val="20"/>
          <w:rFonts w:hint="eastAsia" w:ascii="黑体" w:hAnsi="黑体" w:eastAsia="黑体"/>
          <w:b w:val="0"/>
        </w:rPr>
        <w:t>政拨款收入支出决算总体情况说明</w:t>
      </w:r>
      <w:bookmarkEnd w:id="16"/>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收、支总计均为18615.07万元。与2022年度相比，财政拨款收、支总计各增加165.79万元，增长0.9%。主要变动原因是2023年人员晋档晋级工资及相应的养老保险、职业年金、医疗保险和住房公积金缴费增加 。</w:t>
      </w:r>
    </w:p>
    <w:p>
      <w:pPr>
        <w:pStyle w:val="2"/>
      </w:pPr>
      <w:r>
        <w:rPr>
          <w:rFonts w:hint="eastAsia"/>
        </w:rPr>
        <w:drawing>
          <wp:inline distT="0" distB="0" distL="0" distR="0">
            <wp:extent cx="5274310" cy="3076575"/>
            <wp:effectExtent l="19050" t="0" r="2159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（图4：财政拨款收、支决算总计变动情况）</w:t>
      </w:r>
    </w:p>
    <w:p>
      <w:pPr>
        <w:spacing w:line="600" w:lineRule="exact"/>
        <w:ind w:firstLine="640" w:firstLineChars="200"/>
        <w:outlineLvl w:val="1"/>
        <w:rPr>
          <w:rStyle w:val="20"/>
          <w:rFonts w:ascii="黑体" w:hAnsi="黑体" w:eastAsia="黑体"/>
          <w:b w:val="0"/>
        </w:rPr>
      </w:pPr>
      <w:bookmarkStart w:id="17" w:name="_Toc3906"/>
      <w:r>
        <w:rPr>
          <w:rFonts w:hint="eastAsia" w:ascii="黑体" w:hAnsi="黑体" w:eastAsia="黑体"/>
          <w:sz w:val="32"/>
          <w:szCs w:val="32"/>
        </w:rPr>
        <w:t>五、</w:t>
      </w:r>
      <w:r>
        <w:rPr>
          <w:rFonts w:hint="eastAsia" w:ascii="黑体" w:hAnsi="黑体" w:eastAsia="黑体"/>
          <w:b/>
          <w:sz w:val="32"/>
          <w:szCs w:val="32"/>
        </w:rPr>
        <w:t>一</w:t>
      </w:r>
      <w:r>
        <w:rPr>
          <w:rStyle w:val="20"/>
          <w:rFonts w:hint="eastAsia" w:ascii="黑体" w:hAnsi="黑体" w:eastAsia="黑体"/>
          <w:b w:val="0"/>
        </w:rPr>
        <w:t>般公共预算财政拨款支出决算情况说明</w:t>
      </w:r>
      <w:bookmarkEnd w:id="17"/>
    </w:p>
    <w:p>
      <w:pPr>
        <w:spacing w:line="600" w:lineRule="exact"/>
        <w:ind w:firstLine="642" w:firstLineChars="20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（一）一般公共预算财政拨款支出决算总体情况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2023年度一般公共预算财政拨款支出18139.43万元，占本年支出合计的98.17%。与2022年度相比，一般公共预算财政拨款支出减少186.1万元，下降1.02%。主要变动原因是采购的禁毒专用设备跨年度验收支付。</w:t>
      </w:r>
    </w:p>
    <w:p>
      <w:pPr>
        <w:pStyle w:val="2"/>
      </w:pPr>
      <w:r>
        <w:rPr>
          <w:rFonts w:hint="eastAsia"/>
        </w:rPr>
        <w:drawing>
          <wp:inline distT="0" distB="0" distL="0" distR="0">
            <wp:extent cx="5277485" cy="3030220"/>
            <wp:effectExtent l="19050" t="0" r="18356"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（图5：一般公共预算财政拨款支出决算变动情况）</w:t>
      </w:r>
    </w:p>
    <w:p>
      <w:pPr>
        <w:spacing w:line="600" w:lineRule="exact"/>
        <w:ind w:firstLine="642" w:firstLineChars="20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（二）一般公共预算财政拨款支出决算结构情况</w:t>
      </w:r>
    </w:p>
    <w:p>
      <w:pPr>
        <w:spacing w:line="600" w:lineRule="exact"/>
        <w:ind w:firstLine="640"/>
        <w:rPr>
          <w:rFonts w:ascii="仿宋" w:hAnsi="仿宋" w:eastAsia="仿宋"/>
          <w:sz w:val="32"/>
          <w:szCs w:val="32"/>
        </w:rPr>
      </w:pPr>
      <w:r>
        <w:rPr>
          <w:rFonts w:hint="eastAsia" w:ascii="仿宋_GB2312" w:hAnsi="仿宋_GB2312" w:eastAsia="仿宋_GB2312" w:cs="仿宋_GB2312"/>
          <w:sz w:val="32"/>
          <w:szCs w:val="32"/>
        </w:rPr>
        <w:t>2023年度一般公共预算财政拨款支出18139.43万元，主要用于以下方面:</w:t>
      </w:r>
      <w:r>
        <w:rPr>
          <w:rFonts w:hint="eastAsia" w:ascii="仿宋" w:hAnsi="仿宋" w:eastAsia="仿宋"/>
          <w:sz w:val="32"/>
          <w:szCs w:val="32"/>
        </w:rPr>
        <w:t xml:space="preserve"> 公共安全（类）支出13609.11万元，占75.03</w:t>
      </w:r>
      <w:r>
        <w:rPr>
          <w:rFonts w:ascii="仿宋" w:hAnsi="仿宋" w:eastAsia="仿宋"/>
          <w:sz w:val="32"/>
          <w:szCs w:val="32"/>
        </w:rPr>
        <w:t>%</w:t>
      </w:r>
      <w:r>
        <w:rPr>
          <w:rFonts w:hint="eastAsia" w:ascii="仿宋" w:hAnsi="仿宋" w:eastAsia="仿宋"/>
          <w:sz w:val="32"/>
          <w:szCs w:val="32"/>
        </w:rPr>
        <w:t>；社会保障和就业（类）支出2176.94万元，占12</w:t>
      </w:r>
      <w:r>
        <w:rPr>
          <w:rFonts w:ascii="仿宋" w:hAnsi="仿宋" w:eastAsia="仿宋"/>
          <w:sz w:val="32"/>
          <w:szCs w:val="32"/>
        </w:rPr>
        <w:t>%</w:t>
      </w:r>
      <w:r>
        <w:rPr>
          <w:rFonts w:hint="eastAsia" w:ascii="仿宋" w:hAnsi="仿宋" w:eastAsia="仿宋"/>
          <w:sz w:val="32"/>
          <w:szCs w:val="32"/>
        </w:rPr>
        <w:t>；卫生健康（类）支出441.82万元，占2.43</w:t>
      </w:r>
      <w:r>
        <w:rPr>
          <w:rFonts w:ascii="仿宋" w:hAnsi="仿宋" w:eastAsia="仿宋"/>
          <w:sz w:val="32"/>
          <w:szCs w:val="32"/>
        </w:rPr>
        <w:t>%</w:t>
      </w:r>
      <w:r>
        <w:rPr>
          <w:rFonts w:hint="eastAsia" w:ascii="仿宋" w:hAnsi="仿宋" w:eastAsia="仿宋"/>
          <w:sz w:val="32"/>
          <w:szCs w:val="32"/>
        </w:rPr>
        <w:t>；住房保障（类）支出1911.56万元，占10.54</w:t>
      </w:r>
      <w:r>
        <w:rPr>
          <w:rFonts w:ascii="仿宋" w:hAnsi="仿宋" w:eastAsia="仿宋"/>
          <w:sz w:val="32"/>
          <w:szCs w:val="32"/>
        </w:rPr>
        <w:t>%</w:t>
      </w:r>
      <w:r>
        <w:rPr>
          <w:rFonts w:hint="eastAsia" w:ascii="仿宋" w:hAnsi="仿宋" w:eastAsia="仿宋"/>
          <w:sz w:val="32"/>
          <w:szCs w:val="32"/>
        </w:rPr>
        <w:t>。</w:t>
      </w:r>
    </w:p>
    <w:p>
      <w:pPr>
        <w:pStyle w:val="2"/>
      </w:pPr>
      <w:r>
        <w:rPr>
          <w:rFonts w:hint="eastAsia"/>
        </w:rPr>
        <w:drawing>
          <wp:inline distT="0" distB="0" distL="0" distR="0">
            <wp:extent cx="5274310" cy="2879090"/>
            <wp:effectExtent l="19050" t="0" r="21428"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（图6：一般公共预算财政拨款支出决算结构）</w:t>
      </w:r>
    </w:p>
    <w:p>
      <w:pPr>
        <w:spacing w:line="600" w:lineRule="exact"/>
        <w:ind w:firstLine="642" w:firstLineChars="20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（三）一般公共预算财政拨款支出决算具体情况</w:t>
      </w:r>
    </w:p>
    <w:p>
      <w:pPr>
        <w:spacing w:line="600" w:lineRule="exact"/>
        <w:ind w:firstLine="642" w:firstLineChars="200"/>
        <w:outlineLvl w:val="2"/>
        <w:rPr>
          <w:rFonts w:ascii="仿宋_GB2312" w:hAnsi="仿宋_GB2312" w:eastAsia="仿宋_GB2312" w:cs="仿宋_GB2312"/>
          <w:sz w:val="32"/>
          <w:szCs w:val="32"/>
        </w:rPr>
      </w:pPr>
      <w:r>
        <w:rPr>
          <w:rFonts w:hint="eastAsia" w:ascii="仿宋_GB2312" w:hAnsi="仿宋_GB2312" w:eastAsia="仿宋_GB2312" w:cs="仿宋_GB2312"/>
          <w:b/>
          <w:sz w:val="32"/>
          <w:szCs w:val="32"/>
        </w:rPr>
        <w:t>2023年度一般公共预算支出决算数为18139.43万元</w:t>
      </w:r>
      <w:r>
        <w:rPr>
          <w:rFonts w:hint="eastAsia" w:ascii="仿宋_GB2312" w:hAnsi="仿宋_GB2312" w:eastAsia="仿宋_GB2312" w:cs="仿宋_GB2312"/>
          <w:sz w:val="32"/>
          <w:szCs w:val="32"/>
        </w:rPr>
        <w:t>，</w:t>
      </w:r>
      <w:r>
        <w:rPr>
          <w:rStyle w:val="18"/>
          <w:rFonts w:hint="eastAsia" w:ascii="仿宋_GB2312" w:hAnsi="仿宋_GB2312" w:eastAsia="仿宋_GB2312" w:cs="仿宋_GB2312"/>
          <w:bCs/>
          <w:sz w:val="32"/>
          <w:szCs w:val="32"/>
        </w:rPr>
        <w:t>完成预算99.19%。其中：</w:t>
      </w:r>
    </w:p>
    <w:p>
      <w:pPr>
        <w:ind w:firstLine="642" w:firstLineChars="200"/>
        <w:rPr>
          <w:rFonts w:ascii="宋体" w:hAnsi="宋体" w:eastAsia="仿宋" w:cs="Arial"/>
          <w:kern w:val="0"/>
          <w:sz w:val="22"/>
          <w:szCs w:val="22"/>
        </w:rPr>
      </w:pPr>
      <w:r>
        <w:rPr>
          <w:rStyle w:val="18"/>
          <w:rFonts w:hint="eastAsia" w:ascii="仿宋" w:hAnsi="仿宋" w:eastAsia="仿宋"/>
          <w:bCs/>
          <w:sz w:val="32"/>
          <w:szCs w:val="32"/>
        </w:rPr>
        <w:t>1</w:t>
      </w:r>
      <w:r>
        <w:rPr>
          <w:rStyle w:val="18"/>
          <w:rFonts w:ascii="仿宋" w:hAnsi="仿宋" w:eastAsia="仿宋"/>
          <w:bCs/>
          <w:sz w:val="32"/>
          <w:szCs w:val="32"/>
        </w:rPr>
        <w:t>.</w:t>
      </w:r>
      <w:r>
        <w:rPr>
          <w:rStyle w:val="18"/>
          <w:rFonts w:hint="eastAsia" w:ascii="仿宋" w:hAnsi="仿宋" w:eastAsia="仿宋"/>
          <w:bCs/>
          <w:sz w:val="32"/>
          <w:szCs w:val="32"/>
        </w:rPr>
        <w:t>公共安全（类）公安（款）行政运行（项）</w:t>
      </w:r>
      <w:r>
        <w:rPr>
          <w:rStyle w:val="18"/>
          <w:rFonts w:ascii="仿宋" w:hAnsi="仿宋" w:eastAsia="仿宋"/>
          <w:bCs/>
          <w:sz w:val="32"/>
          <w:szCs w:val="32"/>
        </w:rPr>
        <w:t>:</w:t>
      </w:r>
      <w:r>
        <w:rPr>
          <w:rStyle w:val="18"/>
          <w:rFonts w:hint="eastAsia" w:ascii="仿宋" w:hAnsi="仿宋" w:eastAsia="仿宋"/>
          <w:b w:val="0"/>
          <w:bCs/>
          <w:sz w:val="32"/>
          <w:szCs w:val="32"/>
        </w:rPr>
        <w:t>支出决算为7839.74万元，完成预算98.15%，</w:t>
      </w:r>
      <w:r>
        <w:rPr>
          <w:rStyle w:val="18"/>
          <w:rFonts w:hint="eastAsia" w:ascii="仿宋_GB2312" w:hAnsi="仿宋_GB2312" w:eastAsia="仿宋_GB2312" w:cs="仿宋_GB2312"/>
          <w:b w:val="0"/>
          <w:bCs/>
          <w:sz w:val="32"/>
          <w:szCs w:val="32"/>
        </w:rPr>
        <w:t>决算数与预算数基本持平。</w:t>
      </w:r>
    </w:p>
    <w:p>
      <w:pPr>
        <w:rPr>
          <w:rStyle w:val="18"/>
          <w:rFonts w:ascii="仿宋" w:hAnsi="仿宋" w:eastAsia="仿宋"/>
          <w:bCs/>
          <w:sz w:val="32"/>
          <w:szCs w:val="32"/>
        </w:rPr>
      </w:pPr>
      <w:r>
        <w:rPr>
          <w:rStyle w:val="18"/>
          <w:rFonts w:hint="eastAsia" w:ascii="仿宋" w:hAnsi="仿宋" w:eastAsia="仿宋"/>
          <w:bCs/>
          <w:sz w:val="32"/>
          <w:szCs w:val="32"/>
        </w:rPr>
        <w:t xml:space="preserve">    2</w:t>
      </w:r>
      <w:r>
        <w:rPr>
          <w:rStyle w:val="18"/>
          <w:rFonts w:ascii="仿宋" w:hAnsi="仿宋" w:eastAsia="仿宋"/>
          <w:bCs/>
          <w:sz w:val="32"/>
          <w:szCs w:val="32"/>
        </w:rPr>
        <w:t>.</w:t>
      </w:r>
      <w:r>
        <w:rPr>
          <w:rStyle w:val="18"/>
          <w:rFonts w:hint="eastAsia" w:ascii="仿宋" w:hAnsi="仿宋" w:eastAsia="仿宋"/>
          <w:bCs/>
          <w:sz w:val="32"/>
          <w:szCs w:val="32"/>
        </w:rPr>
        <w:t>公共安全（类）公安（款）一般行政管理事务（项）</w:t>
      </w:r>
      <w:r>
        <w:rPr>
          <w:rStyle w:val="18"/>
          <w:rFonts w:ascii="仿宋" w:hAnsi="仿宋" w:eastAsia="仿宋"/>
          <w:bCs/>
          <w:sz w:val="32"/>
          <w:szCs w:val="32"/>
        </w:rPr>
        <w:t>:</w:t>
      </w:r>
      <w:r>
        <w:rPr>
          <w:rStyle w:val="18"/>
          <w:rFonts w:hint="eastAsia" w:ascii="仿宋" w:hAnsi="仿宋" w:eastAsia="仿宋"/>
          <w:b w:val="0"/>
          <w:bCs/>
          <w:sz w:val="32"/>
          <w:szCs w:val="32"/>
        </w:rPr>
        <w:t>支出决算为2896.83万元，完成预算100%。</w:t>
      </w:r>
    </w:p>
    <w:p>
      <w:pPr>
        <w:rPr>
          <w:rFonts w:ascii="仿宋" w:hAnsi="仿宋" w:eastAsia="仿宋"/>
          <w:b/>
          <w:bCs/>
          <w:sz w:val="32"/>
          <w:szCs w:val="32"/>
        </w:rPr>
      </w:pPr>
      <w:r>
        <w:rPr>
          <w:rStyle w:val="18"/>
          <w:rFonts w:hint="eastAsia" w:ascii="仿宋" w:hAnsi="仿宋" w:eastAsia="仿宋"/>
          <w:bCs/>
          <w:sz w:val="32"/>
          <w:szCs w:val="32"/>
        </w:rPr>
        <w:t xml:space="preserve">    3</w:t>
      </w:r>
      <w:r>
        <w:rPr>
          <w:rStyle w:val="18"/>
          <w:rFonts w:ascii="仿宋" w:hAnsi="仿宋" w:eastAsia="仿宋"/>
          <w:bCs/>
          <w:sz w:val="32"/>
          <w:szCs w:val="32"/>
        </w:rPr>
        <w:t>.</w:t>
      </w:r>
      <w:r>
        <w:rPr>
          <w:rStyle w:val="18"/>
          <w:rFonts w:hint="eastAsia" w:ascii="仿宋" w:hAnsi="仿宋" w:eastAsia="仿宋"/>
          <w:bCs/>
          <w:sz w:val="32"/>
          <w:szCs w:val="32"/>
        </w:rPr>
        <w:t>公共安全（类）公安（款）信息化建设（项）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ascii="仿宋" w:hAnsi="仿宋" w:eastAsia="仿宋"/>
          <w:b w:val="0"/>
          <w:bCs/>
          <w:sz w:val="32"/>
          <w:szCs w:val="32"/>
        </w:rPr>
        <w:t>47</w:t>
      </w:r>
      <w:r>
        <w:rPr>
          <w:rStyle w:val="18"/>
          <w:rFonts w:hint="eastAsia" w:ascii="仿宋" w:hAnsi="仿宋" w:eastAsia="仿宋"/>
          <w:b w:val="0"/>
          <w:bCs/>
          <w:sz w:val="32"/>
          <w:szCs w:val="32"/>
        </w:rPr>
        <w:t>2.35万元，完成预算100%。</w:t>
      </w:r>
    </w:p>
    <w:p>
      <w:pPr>
        <w:rPr>
          <w:rFonts w:ascii="宋体" w:hAnsi="宋体" w:cs="Arial"/>
          <w:b/>
          <w:kern w:val="0"/>
          <w:sz w:val="22"/>
          <w:szCs w:val="22"/>
        </w:rPr>
      </w:pPr>
      <w:r>
        <w:rPr>
          <w:rStyle w:val="18"/>
          <w:rFonts w:hint="eastAsia" w:ascii="仿宋" w:hAnsi="仿宋" w:eastAsia="仿宋"/>
          <w:bCs/>
          <w:sz w:val="32"/>
          <w:szCs w:val="32"/>
        </w:rPr>
        <w:t xml:space="preserve">    4</w:t>
      </w:r>
      <w:r>
        <w:rPr>
          <w:rStyle w:val="18"/>
          <w:rFonts w:ascii="仿宋" w:hAnsi="仿宋" w:eastAsia="仿宋"/>
          <w:bCs/>
          <w:sz w:val="32"/>
          <w:szCs w:val="32"/>
        </w:rPr>
        <w:t>.</w:t>
      </w:r>
      <w:r>
        <w:rPr>
          <w:rStyle w:val="18"/>
          <w:rFonts w:hint="eastAsia" w:ascii="仿宋" w:hAnsi="仿宋" w:eastAsia="仿宋"/>
          <w:bCs/>
          <w:sz w:val="32"/>
          <w:szCs w:val="32"/>
        </w:rPr>
        <w:t>公共安全（类）公安（款）执法办案（项）</w:t>
      </w:r>
      <w:r>
        <w:rPr>
          <w:rStyle w:val="18"/>
          <w:rFonts w:ascii="仿宋" w:hAnsi="仿宋" w:eastAsia="仿宋"/>
          <w:bCs/>
          <w:sz w:val="32"/>
          <w:szCs w:val="32"/>
        </w:rPr>
        <w:t>:</w:t>
      </w:r>
      <w:r>
        <w:rPr>
          <w:rStyle w:val="18"/>
          <w:rFonts w:hint="eastAsia" w:ascii="仿宋" w:hAnsi="仿宋" w:eastAsia="仿宋"/>
          <w:b w:val="0"/>
          <w:bCs/>
          <w:sz w:val="32"/>
          <w:szCs w:val="32"/>
        </w:rPr>
        <w:t>支出决算为30万元，完成预算100%。</w:t>
      </w:r>
    </w:p>
    <w:p>
      <w:pPr>
        <w:spacing w:line="600" w:lineRule="exact"/>
        <w:ind w:firstLine="642" w:firstLineChars="200"/>
        <w:rPr>
          <w:rFonts w:ascii="仿宋" w:hAnsi="仿宋" w:eastAsia="仿宋"/>
          <w:b/>
          <w:bCs/>
          <w:sz w:val="32"/>
          <w:szCs w:val="32"/>
        </w:rPr>
      </w:pPr>
      <w:r>
        <w:rPr>
          <w:rStyle w:val="18"/>
          <w:rFonts w:hint="eastAsia" w:ascii="仿宋" w:hAnsi="仿宋" w:eastAsia="仿宋"/>
          <w:bCs/>
          <w:sz w:val="32"/>
          <w:szCs w:val="32"/>
        </w:rPr>
        <w:t>5.公共安全（类）公安（款）</w:t>
      </w:r>
      <w:r>
        <w:rPr>
          <w:rFonts w:hint="eastAsia" w:ascii="仿宋" w:hAnsi="仿宋" w:eastAsia="仿宋"/>
          <w:b/>
          <w:bCs/>
          <w:sz w:val="32"/>
          <w:szCs w:val="32"/>
        </w:rPr>
        <w:t>事业运行</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ascii="仿宋" w:hAnsi="仿宋" w:eastAsia="仿宋"/>
          <w:b w:val="0"/>
          <w:bCs/>
          <w:sz w:val="32"/>
          <w:szCs w:val="32"/>
        </w:rPr>
        <w:t>10</w:t>
      </w:r>
      <w:r>
        <w:rPr>
          <w:rStyle w:val="18"/>
          <w:rFonts w:hint="eastAsia" w:ascii="仿宋" w:hAnsi="仿宋" w:eastAsia="仿宋"/>
          <w:b w:val="0"/>
          <w:bCs/>
          <w:sz w:val="32"/>
          <w:szCs w:val="32"/>
        </w:rPr>
        <w:t>8.06万元，完成预算100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ind w:firstLine="642" w:firstLineChars="200"/>
        <w:rPr>
          <w:rStyle w:val="18"/>
          <w:rFonts w:ascii="仿宋" w:hAnsi="仿宋" w:eastAsia="仿宋"/>
          <w:b w:val="0"/>
          <w:bCs/>
          <w:sz w:val="32"/>
          <w:szCs w:val="32"/>
        </w:rPr>
      </w:pPr>
      <w:r>
        <w:rPr>
          <w:rFonts w:hint="eastAsia" w:ascii="仿宋" w:hAnsi="仿宋" w:eastAsia="仿宋"/>
          <w:b/>
          <w:sz w:val="32"/>
          <w:szCs w:val="32"/>
        </w:rPr>
        <w:t>6</w:t>
      </w:r>
      <w:r>
        <w:rPr>
          <w:rFonts w:hint="eastAsia" w:ascii="仿宋" w:hAnsi="仿宋" w:eastAsia="仿宋"/>
          <w:sz w:val="32"/>
          <w:szCs w:val="32"/>
        </w:rPr>
        <w:t>.</w:t>
      </w:r>
      <w:r>
        <w:rPr>
          <w:rStyle w:val="18"/>
          <w:rFonts w:hint="eastAsia" w:ascii="仿宋" w:hAnsi="仿宋" w:eastAsia="仿宋"/>
          <w:bCs/>
          <w:sz w:val="32"/>
          <w:szCs w:val="32"/>
        </w:rPr>
        <w:t>公共安全（类）公安（款）其他公安支出（项）</w:t>
      </w:r>
      <w:r>
        <w:rPr>
          <w:rStyle w:val="18"/>
          <w:rFonts w:ascii="仿宋" w:hAnsi="仿宋" w:eastAsia="仿宋"/>
          <w:bCs/>
          <w:sz w:val="32"/>
          <w:szCs w:val="32"/>
        </w:rPr>
        <w:t>:</w:t>
      </w:r>
      <w:r>
        <w:rPr>
          <w:rStyle w:val="18"/>
          <w:rFonts w:hint="eastAsia" w:ascii="仿宋" w:hAnsi="仿宋" w:eastAsia="仿宋"/>
          <w:b w:val="0"/>
          <w:bCs/>
          <w:sz w:val="32"/>
          <w:szCs w:val="32"/>
        </w:rPr>
        <w:t>支出决算为2259.12万元，完成预算100%。</w:t>
      </w:r>
    </w:p>
    <w:p>
      <w:pPr>
        <w:ind w:firstLine="642" w:firstLineChars="200"/>
        <w:rPr>
          <w:rStyle w:val="18"/>
          <w:b w:val="0"/>
          <w:bCs/>
          <w:sz w:val="32"/>
          <w:szCs w:val="32"/>
        </w:rPr>
      </w:pPr>
      <w:r>
        <w:rPr>
          <w:rFonts w:hint="eastAsia" w:ascii="仿宋" w:hAnsi="仿宋" w:eastAsia="仿宋"/>
          <w:b/>
          <w:sz w:val="32"/>
          <w:szCs w:val="32"/>
        </w:rPr>
        <w:t>7</w:t>
      </w:r>
      <w:r>
        <w:rPr>
          <w:rFonts w:hint="eastAsia" w:ascii="仿宋" w:hAnsi="仿宋" w:eastAsia="仿宋"/>
          <w:sz w:val="32"/>
          <w:szCs w:val="32"/>
        </w:rPr>
        <w:t>.</w:t>
      </w:r>
      <w:r>
        <w:rPr>
          <w:rStyle w:val="18"/>
          <w:rFonts w:hint="eastAsia" w:ascii="仿宋" w:hAnsi="仿宋" w:eastAsia="仿宋"/>
          <w:bCs/>
          <w:sz w:val="32"/>
          <w:szCs w:val="32"/>
        </w:rPr>
        <w:t>公共安全（类）其他公共安全支出（款）国家司法救助支出（项）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仿宋" w:hAnsi="仿宋" w:eastAsia="仿宋" w:cs="Arial"/>
          <w:kern w:val="0"/>
          <w:sz w:val="32"/>
          <w:szCs w:val="32"/>
        </w:rPr>
        <w:t>3</w:t>
      </w:r>
      <w:r>
        <w:rPr>
          <w:rStyle w:val="18"/>
          <w:rFonts w:hint="eastAsia" w:ascii="仿宋" w:hAnsi="仿宋" w:eastAsia="仿宋"/>
          <w:b w:val="0"/>
          <w:bCs/>
          <w:sz w:val="32"/>
          <w:szCs w:val="32"/>
        </w:rPr>
        <w:t>万元，完成预算</w:t>
      </w:r>
      <w:r>
        <w:rPr>
          <w:rFonts w:hint="eastAsia" w:ascii="仿宋" w:hAnsi="仿宋" w:eastAsia="仿宋" w:cs="Arial"/>
          <w:kern w:val="0"/>
          <w:sz w:val="32"/>
          <w:szCs w:val="32"/>
        </w:rPr>
        <w:t>100%</w:t>
      </w:r>
      <w:r>
        <w:rPr>
          <w:rStyle w:val="18"/>
          <w:rFonts w:hint="eastAsia" w:ascii="仿宋" w:hAnsi="仿宋" w:eastAsia="仿宋"/>
          <w:b w:val="0"/>
          <w:bCs/>
          <w:sz w:val="32"/>
          <w:szCs w:val="32"/>
        </w:rPr>
        <w:t>。</w:t>
      </w:r>
    </w:p>
    <w:p>
      <w:pPr>
        <w:pStyle w:val="2"/>
        <w:ind w:firstLine="629" w:firstLineChars="196"/>
        <w:rPr>
          <w:rStyle w:val="18"/>
          <w:rFonts w:ascii="仿宋" w:hAnsi="仿宋" w:eastAsia="仿宋"/>
          <w:b w:val="0"/>
          <w:bCs/>
          <w:sz w:val="32"/>
          <w:szCs w:val="32"/>
        </w:rPr>
      </w:pPr>
      <w:r>
        <w:rPr>
          <w:rFonts w:hint="eastAsia" w:ascii="仿宋" w:hAnsi="仿宋" w:eastAsia="仿宋"/>
          <w:b/>
          <w:sz w:val="32"/>
          <w:szCs w:val="32"/>
        </w:rPr>
        <w:t>8.</w:t>
      </w:r>
      <w:r>
        <w:rPr>
          <w:rStyle w:val="18"/>
          <w:rFonts w:hint="eastAsia" w:ascii="仿宋" w:hAnsi="仿宋" w:eastAsia="仿宋"/>
          <w:bCs/>
          <w:sz w:val="32"/>
          <w:szCs w:val="32"/>
        </w:rPr>
        <w:t xml:space="preserve"> 社会保障和就业（类）人力资源和社会保障管理事务（款）其他人力资源和社会保障管理事务支出（项）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宋体" w:hAnsi="宋体" w:cs="Arial"/>
          <w:kern w:val="0"/>
          <w:sz w:val="32"/>
          <w:szCs w:val="32"/>
        </w:rPr>
        <w:t>2.16</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ind w:firstLine="642" w:firstLineChars="200"/>
        <w:rPr>
          <w:rFonts w:ascii="仿宋" w:hAnsi="仿宋" w:eastAsia="仿宋"/>
          <w:b/>
          <w:bCs/>
          <w:sz w:val="32"/>
          <w:szCs w:val="32"/>
        </w:rPr>
      </w:pPr>
      <w:r>
        <w:rPr>
          <w:rStyle w:val="18"/>
          <w:rFonts w:hint="eastAsia" w:ascii="仿宋" w:hAnsi="仿宋" w:eastAsia="仿宋"/>
          <w:bCs/>
          <w:sz w:val="32"/>
          <w:szCs w:val="32"/>
        </w:rPr>
        <w:t>9.社会保障和就业（类）行政事业单位养老支出（款）行政单位离退休（项）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宋体" w:hAnsi="宋体" w:cs="Arial"/>
          <w:kern w:val="0"/>
          <w:sz w:val="32"/>
          <w:szCs w:val="32"/>
        </w:rPr>
        <w:t>44.48</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ind w:firstLine="642" w:firstLineChars="200"/>
        <w:rPr>
          <w:rStyle w:val="18"/>
          <w:rFonts w:ascii="仿宋" w:hAnsi="仿宋" w:eastAsia="仿宋"/>
          <w:b w:val="0"/>
          <w:bCs/>
          <w:sz w:val="32"/>
          <w:szCs w:val="32"/>
        </w:rPr>
      </w:pPr>
      <w:r>
        <w:rPr>
          <w:rStyle w:val="18"/>
          <w:rFonts w:hint="eastAsia" w:ascii="仿宋" w:hAnsi="仿宋" w:eastAsia="仿宋"/>
          <w:bCs/>
          <w:sz w:val="32"/>
          <w:szCs w:val="32"/>
        </w:rPr>
        <w:t>10.社会保障和就业（类）行政事业单位养老支出（款）机关事业单位基本养老保险缴费支出（项）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宋体" w:hAnsi="宋体" w:cs="Arial"/>
          <w:kern w:val="0"/>
          <w:sz w:val="32"/>
          <w:szCs w:val="32"/>
        </w:rPr>
        <w:t>1510.96</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ind w:firstLine="660"/>
        <w:rPr>
          <w:rStyle w:val="18"/>
          <w:rFonts w:ascii="仿宋" w:hAnsi="仿宋" w:eastAsia="仿宋"/>
          <w:b w:val="0"/>
          <w:bCs/>
          <w:sz w:val="32"/>
          <w:szCs w:val="32"/>
        </w:rPr>
      </w:pPr>
      <w:r>
        <w:rPr>
          <w:rStyle w:val="18"/>
          <w:rFonts w:hint="eastAsia" w:ascii="仿宋" w:hAnsi="仿宋" w:eastAsia="仿宋"/>
          <w:bCs/>
          <w:sz w:val="32"/>
          <w:szCs w:val="32"/>
        </w:rPr>
        <w:t>11</w:t>
      </w:r>
      <w:r>
        <w:rPr>
          <w:rStyle w:val="18"/>
          <w:rFonts w:ascii="仿宋" w:hAnsi="仿宋" w:eastAsia="仿宋"/>
          <w:bCs/>
          <w:sz w:val="32"/>
          <w:szCs w:val="32"/>
        </w:rPr>
        <w:t>.</w:t>
      </w:r>
      <w:r>
        <w:rPr>
          <w:rStyle w:val="18"/>
          <w:rFonts w:hint="eastAsia" w:ascii="仿宋" w:hAnsi="仿宋" w:eastAsia="仿宋"/>
          <w:bCs/>
          <w:sz w:val="32"/>
          <w:szCs w:val="32"/>
        </w:rPr>
        <w:t>社会保障和就业（类）行政事业单位养老支出（款）机关事业单位职业年金缴费支出（项）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宋体" w:hAnsi="宋体" w:cs="Arial"/>
          <w:kern w:val="0"/>
          <w:sz w:val="32"/>
          <w:szCs w:val="32"/>
        </w:rPr>
        <w:t>448.45</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ind w:firstLine="660"/>
        <w:rPr>
          <w:rFonts w:ascii="仿宋" w:hAnsi="仿宋" w:eastAsia="仿宋"/>
          <w:b/>
          <w:bCs/>
          <w:sz w:val="32"/>
          <w:szCs w:val="32"/>
        </w:rPr>
      </w:pPr>
      <w:r>
        <w:rPr>
          <w:rStyle w:val="18"/>
          <w:rFonts w:hint="eastAsia" w:ascii="仿宋" w:hAnsi="仿宋" w:eastAsia="仿宋"/>
          <w:bCs/>
          <w:sz w:val="32"/>
          <w:szCs w:val="32"/>
        </w:rPr>
        <w:t>12</w:t>
      </w:r>
      <w:r>
        <w:rPr>
          <w:rStyle w:val="18"/>
          <w:rFonts w:ascii="仿宋" w:hAnsi="仿宋" w:eastAsia="仿宋"/>
          <w:bCs/>
          <w:sz w:val="32"/>
          <w:szCs w:val="32"/>
        </w:rPr>
        <w:t>.</w:t>
      </w:r>
      <w:r>
        <w:rPr>
          <w:rStyle w:val="18"/>
          <w:rFonts w:hint="eastAsia" w:ascii="仿宋" w:hAnsi="仿宋" w:eastAsia="仿宋"/>
          <w:bCs/>
          <w:sz w:val="32"/>
          <w:szCs w:val="32"/>
        </w:rPr>
        <w:t>社会保障和就业（类）抚恤（款）死亡抚恤（项）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宋体" w:hAnsi="宋体" w:cs="Arial"/>
          <w:kern w:val="0"/>
          <w:sz w:val="32"/>
          <w:szCs w:val="32"/>
        </w:rPr>
        <w:t>170.88</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ind w:firstLine="660"/>
        <w:rPr>
          <w:rFonts w:ascii="仿宋" w:hAnsi="仿宋" w:eastAsia="仿宋"/>
          <w:bCs/>
          <w:sz w:val="32"/>
          <w:szCs w:val="32"/>
        </w:rPr>
      </w:pPr>
      <w:r>
        <w:rPr>
          <w:rStyle w:val="18"/>
          <w:rFonts w:hint="eastAsia" w:ascii="仿宋" w:hAnsi="仿宋" w:eastAsia="仿宋"/>
          <w:bCs/>
          <w:sz w:val="32"/>
          <w:szCs w:val="32"/>
        </w:rPr>
        <w:t>13</w:t>
      </w:r>
      <w:r>
        <w:rPr>
          <w:rStyle w:val="18"/>
          <w:rFonts w:ascii="仿宋" w:hAnsi="仿宋" w:eastAsia="仿宋"/>
          <w:bCs/>
          <w:sz w:val="32"/>
          <w:szCs w:val="32"/>
        </w:rPr>
        <w:t>.</w:t>
      </w:r>
      <w:r>
        <w:rPr>
          <w:rStyle w:val="18"/>
          <w:rFonts w:hint="eastAsia" w:ascii="仿宋" w:hAnsi="仿宋" w:eastAsia="仿宋"/>
          <w:bCs/>
          <w:sz w:val="32"/>
          <w:szCs w:val="32"/>
        </w:rPr>
        <w:t>卫生健康支出（类）公共卫生（款）重大公共卫生服务（项）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宋体" w:hAnsi="宋体" w:cs="Arial"/>
          <w:kern w:val="0"/>
          <w:sz w:val="32"/>
          <w:szCs w:val="32"/>
        </w:rPr>
        <w:t>2</w:t>
      </w:r>
      <w:r>
        <w:rPr>
          <w:rStyle w:val="18"/>
          <w:rFonts w:hint="eastAsia" w:ascii="仿宋" w:hAnsi="仿宋" w:eastAsia="仿宋"/>
          <w:b w:val="0"/>
          <w:bCs/>
          <w:sz w:val="32"/>
          <w:szCs w:val="32"/>
        </w:rPr>
        <w:t>万元，完成预算</w:t>
      </w:r>
      <w:r>
        <w:rPr>
          <w:rFonts w:hint="eastAsia" w:ascii="宋体" w:hAnsi="宋体" w:cs="Arial"/>
          <w:kern w:val="0"/>
          <w:sz w:val="32"/>
          <w:szCs w:val="32"/>
        </w:rPr>
        <w:t>100%</w:t>
      </w:r>
      <w:r>
        <w:rPr>
          <w:rStyle w:val="18"/>
          <w:rFonts w:hint="eastAsia" w:ascii="仿宋" w:hAnsi="仿宋" w:eastAsia="仿宋"/>
          <w:b w:val="0"/>
          <w:bCs/>
          <w:sz w:val="32"/>
          <w:szCs w:val="32"/>
        </w:rPr>
        <w:t>。</w:t>
      </w:r>
    </w:p>
    <w:p>
      <w:pPr>
        <w:ind w:firstLine="660"/>
        <w:rPr>
          <w:rStyle w:val="18"/>
          <w:rFonts w:ascii="仿宋" w:hAnsi="仿宋" w:eastAsia="仿宋"/>
          <w:b w:val="0"/>
          <w:bCs/>
          <w:sz w:val="32"/>
          <w:szCs w:val="32"/>
        </w:rPr>
      </w:pPr>
      <w:r>
        <w:rPr>
          <w:rStyle w:val="18"/>
          <w:rFonts w:hint="eastAsia" w:ascii="仿宋" w:hAnsi="仿宋" w:eastAsia="仿宋"/>
          <w:bCs/>
          <w:sz w:val="32"/>
          <w:szCs w:val="32"/>
        </w:rPr>
        <w:t>14</w:t>
      </w:r>
      <w:r>
        <w:rPr>
          <w:rStyle w:val="18"/>
          <w:rFonts w:ascii="仿宋" w:hAnsi="仿宋" w:eastAsia="仿宋"/>
          <w:bCs/>
          <w:sz w:val="32"/>
          <w:szCs w:val="32"/>
        </w:rPr>
        <w:t>.</w:t>
      </w:r>
      <w:r>
        <w:rPr>
          <w:rStyle w:val="18"/>
          <w:rFonts w:hint="eastAsia" w:ascii="仿宋" w:hAnsi="仿宋" w:eastAsia="仿宋"/>
          <w:bCs/>
          <w:sz w:val="32"/>
          <w:szCs w:val="32"/>
        </w:rPr>
        <w:t>卫生健康支出（类）行政事业单位医疗（款）行政单位医疗（项）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宋体" w:hAnsi="宋体" w:cs="Arial"/>
          <w:kern w:val="0"/>
          <w:sz w:val="32"/>
          <w:szCs w:val="32"/>
        </w:rPr>
        <w:t>439.82</w:t>
      </w:r>
      <w:r>
        <w:rPr>
          <w:rStyle w:val="18"/>
          <w:rFonts w:hint="eastAsia" w:ascii="仿宋" w:hAnsi="仿宋" w:eastAsia="仿宋"/>
          <w:b w:val="0"/>
          <w:bCs/>
          <w:sz w:val="32"/>
          <w:szCs w:val="32"/>
        </w:rPr>
        <w:t>万元，完成预算</w:t>
      </w:r>
      <w:r>
        <w:rPr>
          <w:rFonts w:hint="eastAsia" w:ascii="宋体" w:hAnsi="宋体" w:cs="Arial"/>
          <w:kern w:val="0"/>
          <w:sz w:val="32"/>
          <w:szCs w:val="32"/>
        </w:rPr>
        <w:t>100%</w:t>
      </w:r>
      <w:r>
        <w:rPr>
          <w:rStyle w:val="18"/>
          <w:rFonts w:hint="eastAsia" w:ascii="仿宋" w:hAnsi="仿宋" w:eastAsia="仿宋"/>
          <w:b w:val="0"/>
          <w:bCs/>
          <w:sz w:val="32"/>
          <w:szCs w:val="32"/>
        </w:rPr>
        <w:t>。</w:t>
      </w:r>
    </w:p>
    <w:p>
      <w:pPr>
        <w:spacing w:line="600" w:lineRule="exact"/>
        <w:ind w:firstLine="642" w:firstLineChars="200"/>
        <w:rPr>
          <w:rFonts w:ascii="仿宋" w:hAnsi="仿宋" w:eastAsia="仿宋"/>
          <w:b/>
          <w:bCs/>
          <w:sz w:val="32"/>
          <w:szCs w:val="32"/>
        </w:rPr>
      </w:pPr>
      <w:r>
        <w:rPr>
          <w:rStyle w:val="18"/>
          <w:rFonts w:hint="eastAsia" w:ascii="仿宋" w:hAnsi="仿宋" w:eastAsia="仿宋"/>
          <w:bCs/>
          <w:sz w:val="32"/>
          <w:szCs w:val="32"/>
        </w:rPr>
        <w:t>15</w:t>
      </w:r>
      <w:r>
        <w:rPr>
          <w:rStyle w:val="18"/>
          <w:rFonts w:ascii="仿宋" w:hAnsi="仿宋" w:eastAsia="仿宋"/>
          <w:bCs/>
          <w:sz w:val="32"/>
          <w:szCs w:val="32"/>
        </w:rPr>
        <w:t>.</w:t>
      </w:r>
      <w:r>
        <w:rPr>
          <w:rStyle w:val="18"/>
          <w:rFonts w:hint="eastAsia" w:ascii="仿宋" w:hAnsi="仿宋" w:eastAsia="仿宋"/>
          <w:bCs/>
          <w:sz w:val="32"/>
          <w:szCs w:val="32"/>
        </w:rPr>
        <w:t>住房保障支出（类）住房改革支出（款）住房公积金（项）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宋体" w:hAnsi="宋体" w:cs="Arial"/>
          <w:kern w:val="0"/>
          <w:sz w:val="32"/>
          <w:szCs w:val="32"/>
        </w:rPr>
        <w:t>1911.56</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tabs>
          <w:tab w:val="right" w:pos="8306"/>
        </w:tabs>
        <w:spacing w:line="600" w:lineRule="exact"/>
        <w:ind w:firstLine="640"/>
        <w:outlineLvl w:val="1"/>
        <w:rPr>
          <w:rStyle w:val="20"/>
        </w:rPr>
      </w:pPr>
      <w:bookmarkStart w:id="18" w:name="_Toc31611"/>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0"/>
          <w:rFonts w:hint="eastAsia" w:ascii="黑体" w:hAnsi="黑体" w:eastAsia="黑体"/>
          <w:b w:val="0"/>
        </w:rPr>
        <w:t>般公共预算财政拨款基本支出决算情况说明</w:t>
      </w:r>
      <w:bookmarkEnd w:id="18"/>
      <w:r>
        <w:rPr>
          <w:rStyle w:val="20"/>
          <w:rFonts w:ascii="黑体" w:hAnsi="黑体" w:eastAsia="黑体"/>
          <w:b w:val="0"/>
        </w:rPr>
        <w:tab/>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2023年度一般公共预算财政拨款基本支出12476.12万元，其中：</w:t>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10837.29万元，主要包括：基本工资、津贴补贴、奖金、绩效工资、机关事业单位基本养老保险缴费、职业年金缴费、职工基本医疗保险缴费、其他社会保障缴费、住房公积金、其他工资福利支出、抚恤金、生活补助、医疗费补助、奖励金、其他对个人和家庭的补助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公用经费1638.83万元，主要包括：办公费、印刷费、咨询费、手续费、水费、电费、邮电费、物业管理费、差旅费、维修（护）费、租赁费、会议费、培训费、公务接待费、专用材料费、被装购置费、劳务费、委托业务费、工会经费、福利费、公务用车运行维护费、其他交通费</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rPr>
        <w:t>、其他商品和服务支出、办公设备购置、专用设备购置。</w:t>
      </w:r>
    </w:p>
    <w:p>
      <w:pPr>
        <w:spacing w:line="600" w:lineRule="exact"/>
        <w:ind w:firstLine="640"/>
        <w:outlineLvl w:val="1"/>
        <w:rPr>
          <w:rStyle w:val="20"/>
          <w:rFonts w:ascii="黑体" w:hAnsi="黑体" w:eastAsia="黑体"/>
          <w:b w:val="0"/>
        </w:rPr>
      </w:pPr>
      <w:bookmarkStart w:id="19" w:name="_Toc10433"/>
      <w:r>
        <w:rPr>
          <w:rFonts w:hint="eastAsia" w:ascii="黑体" w:eastAsia="黑体"/>
          <w:sz w:val="32"/>
          <w:szCs w:val="32"/>
        </w:rPr>
        <w:t>七、</w:t>
      </w:r>
      <w:r>
        <w:rPr>
          <w:rStyle w:val="20"/>
          <w:rFonts w:hint="eastAsia" w:ascii="黑体" w:hAnsi="黑体" w:eastAsia="黑体"/>
          <w:b w:val="0"/>
        </w:rPr>
        <w:t>财政拨款</w:t>
      </w:r>
      <w:r>
        <w:rPr>
          <w:rStyle w:val="20"/>
          <w:rFonts w:hint="eastAsia" w:ascii="黑体" w:hAnsi="黑体" w:eastAsia="黑体"/>
        </w:rPr>
        <w:t>“</w:t>
      </w:r>
      <w:r>
        <w:rPr>
          <w:rStyle w:val="20"/>
          <w:rFonts w:hint="eastAsia" w:ascii="黑体" w:hAnsi="黑体" w:eastAsia="黑体"/>
          <w:b w:val="0"/>
        </w:rPr>
        <w:t>三公”经费支出决算情况说明</w:t>
      </w:r>
      <w:bookmarkEnd w:id="19"/>
    </w:p>
    <w:p>
      <w:pPr>
        <w:spacing w:line="600" w:lineRule="exact"/>
        <w:ind w:firstLine="64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（一）“三公”经费财政拨款支出决算总体情况说明</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2023年度“三公”经费财政拨款支出决算为380.28万元，完成预算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%，较上年度增加306.99万元，增长418.87%。决算数</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持平</w:t>
      </w:r>
      <w:r>
        <w:rPr>
          <w:rFonts w:hint="eastAsia" w:ascii="仿宋_GB2312" w:hAnsi="仿宋_GB2312" w:eastAsia="仿宋_GB2312" w:cs="仿宋_GB2312"/>
          <w:sz w:val="32"/>
          <w:szCs w:val="32"/>
        </w:rPr>
        <w:t>。</w:t>
      </w:r>
    </w:p>
    <w:p>
      <w:pPr>
        <w:spacing w:line="600" w:lineRule="exact"/>
        <w:ind w:firstLine="64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（二）“三公”经费财政拨款支出决算具体情况说明</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2023年度“三公”经费财政拨款支出决算中，因公出国（境）费支出决算0万元，占0%；公务用车购置及运行维护费支出决算378.15万元，占99.44%；公务接待费支出决算2.13万元，占0.56%。具体情况如</w:t>
      </w:r>
      <w:bookmarkStart w:id="40" w:name="_GoBack"/>
      <w:bookmarkEnd w:id="40"/>
      <w:r>
        <w:rPr>
          <w:rFonts w:hint="eastAsia" w:ascii="仿宋_GB2312" w:hAnsi="仿宋_GB2312" w:eastAsia="仿宋_GB2312" w:cs="仿宋_GB2312"/>
          <w:sz w:val="32"/>
          <w:szCs w:val="32"/>
        </w:rPr>
        <w:t>下：</w:t>
      </w:r>
    </w:p>
    <w:p>
      <w:pPr>
        <w:pStyle w:val="2"/>
      </w:pPr>
      <w:r>
        <w:rPr>
          <w:rFonts w:hint="eastAsia"/>
        </w:rPr>
        <w:drawing>
          <wp:inline distT="0" distB="0" distL="0" distR="0">
            <wp:extent cx="5274310" cy="3076575"/>
            <wp:effectExtent l="19050" t="0" r="2159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（图7：“三公”经费财政拨款支出结构）</w:t>
      </w:r>
    </w:p>
    <w:p>
      <w:pPr>
        <w:spacing w:line="600" w:lineRule="exact"/>
        <w:ind w:firstLine="640"/>
        <w:rPr>
          <w:rFonts w:ascii="仿宋" w:hAnsi="仿宋" w:eastAsia="仿宋"/>
          <w:sz w:val="32"/>
          <w:szCs w:val="32"/>
        </w:rPr>
      </w:pPr>
      <w:r>
        <w:rPr>
          <w:rFonts w:hint="eastAsia" w:ascii="仿宋_GB2312" w:hAnsi="仿宋_GB2312" w:eastAsia="仿宋_GB2312" w:cs="仿宋_GB2312"/>
          <w:b/>
          <w:sz w:val="32"/>
          <w:szCs w:val="32"/>
        </w:rPr>
        <w:t>1.</w:t>
      </w:r>
      <w:r>
        <w:rPr>
          <w:rFonts w:hint="eastAsia" w:ascii="仿宋" w:hAnsi="仿宋" w:eastAsia="仿宋"/>
          <w:b/>
          <w:sz w:val="32"/>
          <w:szCs w:val="32"/>
        </w:rPr>
        <w:t>因公出国</w:t>
      </w:r>
      <w:r>
        <w:rPr>
          <w:rFonts w:hint="eastAsia" w:ascii="仿宋_GB2312" w:eastAsia="仿宋_GB2312"/>
          <w:b/>
          <w:sz w:val="32"/>
          <w:szCs w:val="32"/>
        </w:rPr>
        <w:t>（境）</w:t>
      </w:r>
      <w:r>
        <w:rPr>
          <w:rFonts w:hint="eastAsia" w:ascii="仿宋" w:hAnsi="仿宋" w:eastAsia="仿宋"/>
          <w:b/>
          <w:sz w:val="32"/>
          <w:szCs w:val="32"/>
        </w:rPr>
        <w:t>经费支出</w:t>
      </w:r>
      <w:r>
        <w:rPr>
          <w:rFonts w:hint="eastAsia" w:ascii="仿宋" w:hAnsi="仿宋" w:eastAsia="仿宋"/>
          <w:sz w:val="32"/>
          <w:szCs w:val="32"/>
        </w:rPr>
        <w:t>0万元，年初未安排预算，因公出国</w:t>
      </w:r>
      <w:r>
        <w:rPr>
          <w:rFonts w:hint="eastAsia" w:ascii="仿宋_GB2312" w:eastAsia="仿宋_GB2312"/>
          <w:sz w:val="32"/>
          <w:szCs w:val="32"/>
        </w:rPr>
        <w:t>（境）</w:t>
      </w:r>
      <w:r>
        <w:rPr>
          <w:rFonts w:hint="eastAsia" w:ascii="仿宋" w:hAnsi="仿宋" w:eastAsia="仿宋"/>
          <w:sz w:val="32"/>
          <w:szCs w:val="32"/>
        </w:rPr>
        <w:t>支出决算较2022年无变化。</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2.公务用车购置及运行维护费支出</w:t>
      </w:r>
      <w:r>
        <w:rPr>
          <w:rFonts w:hint="eastAsia" w:ascii="仿宋_GB2312" w:hAnsi="仿宋_GB2312" w:eastAsia="仿宋_GB2312" w:cs="仿宋_GB2312"/>
          <w:sz w:val="32"/>
          <w:szCs w:val="32"/>
        </w:rPr>
        <w:t>378.15万元,</w:t>
      </w:r>
      <w:r>
        <w:rPr>
          <w:rStyle w:val="18"/>
          <w:rFonts w:hint="eastAsia" w:ascii="仿宋_GB2312" w:hAnsi="仿宋_GB2312" w:eastAsia="仿宋_GB2312" w:cs="仿宋_GB2312"/>
          <w:b w:val="0"/>
          <w:bCs/>
          <w:sz w:val="32"/>
          <w:szCs w:val="32"/>
        </w:rPr>
        <w:t>完成预算100%。</w:t>
      </w:r>
      <w:r>
        <w:rPr>
          <w:rFonts w:hint="eastAsia" w:ascii="仿宋_GB2312" w:hAnsi="仿宋_GB2312" w:eastAsia="仿宋_GB2312" w:cs="仿宋_GB2312"/>
          <w:sz w:val="32"/>
          <w:szCs w:val="32"/>
        </w:rPr>
        <w:t>公务用车购置及运行维护费支出决算比2022年度增加306.34万元，增长426.6%。主要原因是2023年报废更新购置执法执勤用车13辆。</w:t>
      </w:r>
    </w:p>
    <w:p>
      <w:pPr>
        <w:spacing w:line="600" w:lineRule="exact"/>
        <w:ind w:firstLine="640" w:firstLineChars="200"/>
        <w:rPr>
          <w:rFonts w:ascii="仿宋_GB2312" w:hAnsi="仿宋_GB2312" w:eastAsia="仿宋_GB2312" w:cs="仿宋_GB2312"/>
          <w:b/>
          <w:color w:val="FF0000"/>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293.59万元。全年按规定更新购置公务用车13辆，其中：轿车6辆、金额105.55万元，越野车2辆、金额44.72万元，其他车型5辆、金额143.31万元，主要用于</w:t>
      </w:r>
      <w:r>
        <w:rPr>
          <w:rFonts w:hint="eastAsia" w:ascii="仿宋_GB2312" w:eastAsia="仿宋_GB2312"/>
          <w:sz w:val="32"/>
          <w:szCs w:val="32"/>
        </w:rPr>
        <w:t>刑警、</w:t>
      </w:r>
      <w:r>
        <w:rPr>
          <w:rFonts w:hint="eastAsia" w:ascii="仿宋" w:hAnsi="仿宋" w:eastAsia="仿宋"/>
          <w:sz w:val="32"/>
          <w:szCs w:val="32"/>
        </w:rPr>
        <w:t>巡警执法办案、街面巡防等工作</w:t>
      </w:r>
      <w:r>
        <w:rPr>
          <w:rFonts w:hint="eastAsia" w:ascii="仿宋_GB2312" w:hAnsi="仿宋_GB2312" w:eastAsia="仿宋_GB2312" w:cs="仿宋_GB2312"/>
          <w:sz w:val="32"/>
          <w:szCs w:val="32"/>
        </w:rPr>
        <w:t>。截至2023年12月31日，单位共有公务用车98辆，其中：</w:t>
      </w:r>
      <w:r>
        <w:rPr>
          <w:rFonts w:hint="eastAsia" w:ascii="仿宋_GB2312" w:eastAsia="仿宋_GB2312"/>
          <w:sz w:val="32"/>
          <w:szCs w:val="32"/>
        </w:rPr>
        <w:t>轿车64辆、越野车13辆、载客汽车4辆、其他车型17辆</w:t>
      </w:r>
      <w:r>
        <w:rPr>
          <w:rFonts w:hint="eastAsia" w:ascii="仿宋_GB2312" w:hAnsi="仿宋_GB2312" w:eastAsia="仿宋_GB2312" w:cs="仿宋_GB2312"/>
          <w:sz w:val="32"/>
          <w:szCs w:val="32"/>
        </w:rPr>
        <w:t>。</w:t>
      </w:r>
    </w:p>
    <w:p>
      <w:pPr>
        <w:spacing w:line="600" w:lineRule="exact"/>
        <w:ind w:firstLine="640"/>
        <w:rPr>
          <w:rFonts w:ascii="仿宋_GB2312" w:eastAsia="仿宋_GB2312"/>
          <w:sz w:val="32"/>
          <w:szCs w:val="32"/>
        </w:rPr>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84.57万元。</w:t>
      </w:r>
      <w:r>
        <w:rPr>
          <w:rFonts w:hint="eastAsia" w:ascii="仿宋_GB2312" w:eastAsia="仿宋_GB2312"/>
          <w:sz w:val="32"/>
          <w:szCs w:val="32"/>
        </w:rPr>
        <w:t>主要用于执法办案、治安巡逻、抓捕罪犯、跨区域拉动等所需的</w:t>
      </w:r>
      <w:r>
        <w:rPr>
          <w:rFonts w:hint="eastAsia" w:ascii="仿宋" w:hAnsi="仿宋" w:eastAsia="仿宋"/>
          <w:sz w:val="32"/>
          <w:szCs w:val="32"/>
        </w:rPr>
        <w:t>执法执勤</w:t>
      </w:r>
      <w:r>
        <w:rPr>
          <w:rFonts w:hint="eastAsia" w:ascii="仿宋_GB2312" w:eastAsia="仿宋_GB2312"/>
          <w:sz w:val="32"/>
          <w:szCs w:val="32"/>
        </w:rPr>
        <w:t>用车燃料费、维修费、过路过桥费、保险费等支出。</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3.公务接待费支出</w:t>
      </w:r>
      <w:r>
        <w:rPr>
          <w:rFonts w:hint="eastAsia" w:ascii="仿宋_GB2312" w:hAnsi="仿宋_GB2312" w:eastAsia="仿宋_GB2312" w:cs="仿宋_GB2312"/>
          <w:sz w:val="32"/>
          <w:szCs w:val="32"/>
        </w:rPr>
        <w:t>2.13万元，</w:t>
      </w:r>
      <w:r>
        <w:rPr>
          <w:rStyle w:val="18"/>
          <w:rFonts w:hint="eastAsia" w:ascii="仿宋_GB2312" w:hAnsi="仿宋_GB2312" w:eastAsia="仿宋_GB2312" w:cs="仿宋_GB2312"/>
          <w:b w:val="0"/>
          <w:bCs/>
          <w:sz w:val="32"/>
          <w:szCs w:val="32"/>
        </w:rPr>
        <w:t>完成预算100%。</w:t>
      </w:r>
      <w:r>
        <w:rPr>
          <w:rFonts w:hint="eastAsia" w:ascii="仿宋_GB2312" w:hAnsi="仿宋_GB2312" w:eastAsia="仿宋_GB2312" w:cs="仿宋_GB2312"/>
          <w:sz w:val="32"/>
          <w:szCs w:val="32"/>
        </w:rPr>
        <w:t>公务接待费支出决算比2022年度增加0.65万元，增长43.92%。主要原因是</w:t>
      </w:r>
      <w:r>
        <w:rPr>
          <w:rFonts w:hint="eastAsia" w:ascii="仿宋" w:hAnsi="仿宋" w:eastAsia="仿宋"/>
          <w:sz w:val="32"/>
          <w:szCs w:val="32"/>
        </w:rPr>
        <w:t>疫情结束，来广办案、考察和上级检查的人员增多</w:t>
      </w:r>
      <w:r>
        <w:rPr>
          <w:rFonts w:hint="eastAsia" w:ascii="仿宋_GB2312" w:hAnsi="仿宋_GB2312" w:eastAsia="仿宋_GB2312" w:cs="仿宋_GB2312"/>
          <w:sz w:val="32"/>
          <w:szCs w:val="32"/>
        </w:rPr>
        <w:t>。其中：</w:t>
      </w:r>
    </w:p>
    <w:p>
      <w:pPr>
        <w:spacing w:line="600" w:lineRule="exact"/>
        <w:ind w:firstLine="640"/>
        <w:rPr>
          <w:rFonts w:ascii="仿宋_GB2312" w:hAnsi="仿宋_GB2312" w:eastAsia="仿宋_GB2312" w:cs="仿宋_GB2312"/>
          <w:color w:val="FF0000"/>
          <w:sz w:val="32"/>
          <w:szCs w:val="32"/>
        </w:rPr>
      </w:pPr>
      <w:r>
        <w:rPr>
          <w:rFonts w:hint="eastAsia" w:ascii="仿宋_GB2312" w:hAnsi="仿宋_GB2312" w:eastAsia="仿宋_GB2312" w:cs="仿宋_GB2312"/>
          <w:b/>
          <w:sz w:val="32"/>
          <w:szCs w:val="32"/>
        </w:rPr>
        <w:t>国内公务接待支出</w:t>
      </w:r>
      <w:r>
        <w:rPr>
          <w:rFonts w:hint="eastAsia" w:ascii="仿宋_GB2312" w:hAnsi="仿宋_GB2312" w:eastAsia="仿宋_GB2312" w:cs="仿宋_GB2312"/>
          <w:sz w:val="32"/>
          <w:szCs w:val="32"/>
        </w:rPr>
        <w:t>2.13万元，</w:t>
      </w:r>
      <w:r>
        <w:rPr>
          <w:rFonts w:hint="eastAsia" w:ascii="仿宋_GB2312" w:eastAsia="仿宋_GB2312"/>
          <w:sz w:val="32"/>
          <w:szCs w:val="32"/>
        </w:rPr>
        <w:t>主要用于异地公安机关执行公务、开展学习交流的用餐费</w:t>
      </w:r>
      <w:r>
        <w:rPr>
          <w:rFonts w:hint="eastAsia" w:ascii="仿宋_GB2312" w:hAnsi="仿宋_GB2312" w:eastAsia="仿宋_GB2312" w:cs="仿宋_GB2312"/>
          <w:sz w:val="32"/>
          <w:szCs w:val="32"/>
        </w:rPr>
        <w:t>。国内公务接待22批次，213人次（不包括陪同人员），共计支出2.13万元，具体内容包括：</w:t>
      </w:r>
      <w:r>
        <w:rPr>
          <w:rFonts w:hint="eastAsia" w:ascii="仿宋_GB2312" w:eastAsia="仿宋_GB2312"/>
          <w:sz w:val="32"/>
          <w:szCs w:val="32"/>
        </w:rPr>
        <w:t>上级调研视察1.14万元、其他市州交流考察</w:t>
      </w:r>
      <w:r>
        <w:rPr>
          <w:rFonts w:hint="eastAsia" w:ascii="仿宋_GB2312" w:eastAsia="仿宋_GB2312"/>
          <w:color w:val="000000"/>
          <w:sz w:val="32"/>
          <w:szCs w:val="32"/>
        </w:rPr>
        <w:t>0.77万元、办案单位接待0.22万元</w:t>
      </w:r>
      <w:r>
        <w:rPr>
          <w:rFonts w:hint="eastAsia" w:ascii="仿宋_GB2312" w:eastAsia="仿宋_GB2312"/>
          <w:sz w:val="32"/>
          <w:szCs w:val="32"/>
        </w:rPr>
        <w:t>。</w:t>
      </w:r>
    </w:p>
    <w:p>
      <w:pPr>
        <w:spacing w:line="600" w:lineRule="exact"/>
        <w:ind w:firstLine="642" w:firstLineChars="200"/>
        <w:rPr>
          <w:rFonts w:ascii="黑体" w:eastAsia="黑体"/>
          <w:sz w:val="32"/>
          <w:szCs w:val="32"/>
        </w:rPr>
      </w:pPr>
      <w:r>
        <w:rPr>
          <w:rFonts w:hint="eastAsia" w:ascii="仿宋_GB2312" w:hAnsi="仿宋_GB2312" w:eastAsia="仿宋_GB2312" w:cs="仿宋_GB2312"/>
          <w:b/>
          <w:sz w:val="32"/>
          <w:szCs w:val="32"/>
        </w:rPr>
        <w:t>外事接待支出</w:t>
      </w:r>
      <w:r>
        <w:rPr>
          <w:rFonts w:hint="eastAsia" w:ascii="仿宋_GB2312" w:hAnsi="仿宋_GB2312" w:eastAsia="仿宋_GB2312" w:cs="仿宋_GB2312"/>
          <w:sz w:val="32"/>
          <w:szCs w:val="32"/>
        </w:rPr>
        <w:t>0万元，</w:t>
      </w:r>
      <w:r>
        <w:rPr>
          <w:rFonts w:hint="eastAsia" w:ascii="仿宋_GB2312" w:eastAsia="仿宋_GB2312"/>
          <w:sz w:val="32"/>
          <w:szCs w:val="32"/>
        </w:rPr>
        <w:t>外事接待0批次，0人，共计支出0万元。</w:t>
      </w:r>
    </w:p>
    <w:p>
      <w:pPr>
        <w:spacing w:line="600" w:lineRule="exact"/>
        <w:ind w:firstLine="640"/>
        <w:outlineLvl w:val="1"/>
        <w:rPr>
          <w:rStyle w:val="20"/>
          <w:rFonts w:ascii="黑体" w:hAnsi="黑体" w:eastAsia="黑体"/>
        </w:rPr>
      </w:pPr>
      <w:bookmarkStart w:id="20" w:name="_Toc5519"/>
      <w:r>
        <w:rPr>
          <w:rFonts w:hint="eastAsia" w:ascii="黑体" w:eastAsia="黑体"/>
          <w:sz w:val="32"/>
          <w:szCs w:val="32"/>
        </w:rPr>
        <w:t>八、</w:t>
      </w:r>
      <w:r>
        <w:rPr>
          <w:rStyle w:val="20"/>
          <w:rFonts w:hint="eastAsia" w:ascii="黑体" w:hAnsi="黑体" w:eastAsia="黑体"/>
          <w:b w:val="0"/>
        </w:rPr>
        <w:t>政府性基金预算支出决算情况说明</w:t>
      </w:r>
      <w:bookmarkEnd w:id="20"/>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2023年度政府性基金预算财政拨款支出327.61万元。</w:t>
      </w:r>
    </w:p>
    <w:p>
      <w:pPr>
        <w:spacing w:line="600" w:lineRule="exact"/>
        <w:ind w:firstLine="640" w:firstLineChars="200"/>
        <w:outlineLvl w:val="1"/>
        <w:rPr>
          <w:rStyle w:val="20"/>
          <w:rFonts w:ascii="黑体" w:hAnsi="黑体" w:eastAsia="黑体"/>
          <w:b w:val="0"/>
        </w:rPr>
      </w:pPr>
      <w:bookmarkStart w:id="21" w:name="_Toc20979"/>
      <w:r>
        <w:rPr>
          <w:rStyle w:val="20"/>
          <w:rFonts w:hint="eastAsia" w:ascii="黑体" w:hAnsi="黑体" w:eastAsia="黑体"/>
          <w:b w:val="0"/>
        </w:rPr>
        <w:t>九、国有资本经营预算支出决算情况说明</w:t>
      </w:r>
      <w:bookmarkEnd w:id="21"/>
    </w:p>
    <w:p>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2023年度国有资本经营预算财政拨款支出0万元。</w:t>
      </w:r>
    </w:p>
    <w:p>
      <w:pPr>
        <w:spacing w:line="600" w:lineRule="exact"/>
        <w:ind w:firstLine="640" w:firstLineChars="200"/>
        <w:outlineLvl w:val="1"/>
        <w:rPr>
          <w:rStyle w:val="20"/>
          <w:rFonts w:ascii="黑体" w:hAnsi="黑体" w:eastAsia="黑体"/>
          <w:b w:val="0"/>
        </w:rPr>
      </w:pPr>
      <w:bookmarkStart w:id="22" w:name="_Toc12877"/>
      <w:r>
        <w:rPr>
          <w:rStyle w:val="20"/>
          <w:rFonts w:hint="eastAsia" w:ascii="黑体" w:hAnsi="黑体" w:eastAsia="黑体"/>
          <w:b w:val="0"/>
        </w:rPr>
        <w:t>十、其他重要事项的情况说明</w:t>
      </w:r>
      <w:bookmarkEnd w:id="22"/>
    </w:p>
    <w:p>
      <w:pPr>
        <w:spacing w:line="600" w:lineRule="exact"/>
        <w:ind w:firstLine="642" w:firstLineChars="200"/>
        <w:outlineLvl w:val="2"/>
        <w:rPr>
          <w:rFonts w:ascii="仿宋" w:hAnsi="仿宋" w:eastAsia="仿宋"/>
          <w:sz w:val="32"/>
          <w:szCs w:val="32"/>
        </w:rPr>
      </w:pPr>
      <w:r>
        <w:rPr>
          <w:rFonts w:hint="eastAsia" w:ascii="仿宋" w:hAnsi="仿宋" w:eastAsia="仿宋"/>
          <w:b/>
          <w:sz w:val="32"/>
          <w:szCs w:val="32"/>
        </w:rPr>
        <w:t>（一）机关运行经费支出情况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2023年度，广元市公安局单位机关运行经费支出1638.83万元，比2022年度减少22.72万元，下降1.37</w:t>
      </w:r>
      <w:r>
        <w:rPr>
          <w:rFonts w:ascii="仿宋_GB2312" w:eastAsia="仿宋_GB2312"/>
          <w:sz w:val="32"/>
          <w:szCs w:val="32"/>
        </w:rPr>
        <w:t>%</w:t>
      </w:r>
      <w:r>
        <w:rPr>
          <w:rFonts w:hint="eastAsia" w:ascii="仿宋_GB2312" w:eastAsia="仿宋_GB2312"/>
          <w:sz w:val="32"/>
          <w:szCs w:val="32"/>
        </w:rPr>
        <w:t>。主要原因是坚决落实党中央习惯过紧日子、厉行节约相关要求。疫情防控防疫物资支出减少。</w:t>
      </w:r>
    </w:p>
    <w:p>
      <w:pPr>
        <w:pStyle w:val="2"/>
      </w:pPr>
    </w:p>
    <w:p>
      <w:pPr>
        <w:autoSpaceDE w:val="0"/>
        <w:autoSpaceDN w:val="0"/>
        <w:adjustRightInd w:val="0"/>
        <w:spacing w:line="600" w:lineRule="exact"/>
        <w:ind w:firstLine="642"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广元市公安局单位政府采购支出总额2182.24万元，其中：政府采购货物支出947.71万元、政府采购工程支出0万元、政府采购服务支出1234.53万元。主要用于刑事侦查、禁毒缉毒、网络安全以及物业管理、网络租赁等工作。授予中小企业合同金额2095.4万元，占政府采购支出总额的96.02</w:t>
      </w:r>
      <w:r>
        <w:rPr>
          <w:rFonts w:ascii="仿宋_GB2312" w:eastAsia="仿宋_GB2312"/>
          <w:sz w:val="32"/>
          <w:szCs w:val="32"/>
        </w:rPr>
        <w:t>%</w:t>
      </w:r>
      <w:r>
        <w:rPr>
          <w:rFonts w:hint="eastAsia" w:ascii="仿宋_GB2312" w:eastAsia="仿宋_GB2312"/>
          <w:sz w:val="32"/>
          <w:szCs w:val="32"/>
        </w:rPr>
        <w:t>，其中：授予小微企业合同金额1163.8万元，占政府采购支出总额的53.33</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r>
        <w:rPr>
          <w:rFonts w:hint="eastAsia" w:ascii="仿宋" w:hAnsi="仿宋" w:eastAsia="仿宋"/>
          <w:b/>
          <w:sz w:val="32"/>
          <w:szCs w:val="32"/>
        </w:rPr>
        <w:t>（三）国有资产占有使用情况</w:t>
      </w:r>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日，广元市公安局共有车辆98辆，其中：机要通信用车1辆、执法执勤用车81辆、特种专业技术用车</w:t>
      </w:r>
      <w:r>
        <w:rPr>
          <w:rFonts w:ascii="仿宋_GB2312" w:eastAsia="仿宋_GB2312"/>
          <w:sz w:val="32"/>
          <w:szCs w:val="32"/>
        </w:rPr>
        <w:t>1</w:t>
      </w:r>
      <w:r>
        <w:rPr>
          <w:rFonts w:hint="eastAsia" w:ascii="仿宋_GB2312" w:eastAsia="仿宋_GB2312"/>
          <w:sz w:val="32"/>
          <w:szCs w:val="32"/>
        </w:rPr>
        <w:t>6辆。单价</w:t>
      </w:r>
      <w:r>
        <w:rPr>
          <w:rFonts w:ascii="仿宋_GB2312" w:eastAsia="仿宋_GB2312"/>
          <w:sz w:val="32"/>
          <w:szCs w:val="32"/>
        </w:rPr>
        <w:t>100</w:t>
      </w:r>
      <w:r>
        <w:rPr>
          <w:rFonts w:hint="eastAsia" w:ascii="仿宋_GB2312" w:eastAsia="仿宋_GB2312"/>
          <w:sz w:val="32"/>
          <w:szCs w:val="32"/>
        </w:rPr>
        <w:t>万元以上专用设备10台（套）。</w:t>
      </w:r>
    </w:p>
    <w:p>
      <w:pPr>
        <w:autoSpaceDE w:val="0"/>
        <w:autoSpaceDN w:val="0"/>
        <w:adjustRightInd w:val="0"/>
        <w:spacing w:line="600" w:lineRule="exact"/>
        <w:ind w:firstLine="642"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根据预算绩效管理要求，本单位在2023年度预算编制阶段，组织对市禁毒办专项工作经费、房屋及附属设施运行维护等39个项目开展了预算事前绩效评估，对39个项目编制了绩效目标，预算执行过程中，选取39个项目开展绩效监控，组织对39个项目开展绩效自评，绩效自评表详见第四部分附件。</w:t>
      </w:r>
    </w:p>
    <w:p>
      <w:pPr>
        <w:spacing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br w:type="page"/>
      </w:r>
    </w:p>
    <w:p>
      <w:pPr>
        <w:spacing w:line="600" w:lineRule="exact"/>
        <w:jc w:val="center"/>
        <w:outlineLvl w:val="0"/>
        <w:rPr>
          <w:rStyle w:val="19"/>
          <w:rFonts w:ascii="黑体" w:hAnsi="黑体" w:eastAsia="黑体"/>
          <w:b w:val="0"/>
        </w:rPr>
      </w:pPr>
      <w:bookmarkStart w:id="23" w:name="_Toc14050"/>
      <w:r>
        <w:rPr>
          <w:rFonts w:hint="eastAsia" w:ascii="黑体" w:hAnsi="黑体" w:eastAsia="黑体"/>
          <w:sz w:val="44"/>
          <w:szCs w:val="44"/>
        </w:rPr>
        <w:t>第三部分  名</w:t>
      </w:r>
      <w:r>
        <w:rPr>
          <w:rStyle w:val="19"/>
          <w:rFonts w:hint="eastAsia" w:ascii="黑体" w:hAnsi="黑体" w:eastAsia="黑体"/>
          <w:b w:val="0"/>
        </w:rPr>
        <w:t>词解释</w:t>
      </w:r>
      <w:bookmarkEnd w:id="23"/>
    </w:p>
    <w:p>
      <w:pPr>
        <w:spacing w:line="600" w:lineRule="exact"/>
        <w:jc w:val="left"/>
        <w:rPr>
          <w:rFonts w:ascii="宋体"/>
          <w:b/>
          <w:sz w:val="44"/>
          <w:szCs w:val="44"/>
        </w:rPr>
      </w:pPr>
    </w:p>
    <w:p>
      <w:pPr>
        <w:pStyle w:val="26"/>
        <w:spacing w:line="560" w:lineRule="exact"/>
        <w:ind w:firstLine="640" w:firstLineChars="200"/>
        <w:outlineLvl w:val="1"/>
        <w:rPr>
          <w:rFonts w:ascii="仿宋_GB2312" w:eastAsia="仿宋_GB2312"/>
          <w:color w:val="auto"/>
          <w:sz w:val="32"/>
          <w:szCs w:val="32"/>
        </w:rPr>
      </w:pPr>
      <w:bookmarkStart w:id="24" w:name="_Toc17829"/>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bookmarkEnd w:id="24"/>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其他收入：指单位取得的除上述收入以外的各项收入。主要是上级拨入专项工作经费和利息收入等。</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4.年末结转和结余：指单位按有关规定结转到下年或以后年度继续使用的资金。</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5.公共安全支出（类）公安（款）行政运行（项）:反映行政单位（包括实行公务员管理的事业单位）的基本支出。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6.公共安全支出（类）公安（款）一般行政管理事务（项）：反映行政单位（包括实行公务员管理的事业单位）未单独设置项级科目的其他项目支出。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7.公共安全支出（类）公安（款）信息化建设（项）：反映各级公安机关用于非涉密的信息网络建设和运行维护相关支出。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8.公共安全支出（类）公安（款）执法办案（项）：反映公安机关从事行政执法、刑事司法及侦查办案等相关活动的支出。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9.公共安全支出（类）公安（款）事业运行（项）：反映事业单位的基本支出，不包括行政单位（包括实行公务员管理的事业单位）后勤服务中心、医务室等附属事业单位。</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10.公共安全支出（类）公安（款）其他公安支出（项）：反映除上述项目以外其他用于公安方面的支出。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11.公共安全支出（类）其他公共安全支出（款）国家司法救助支出（项）</w:t>
      </w:r>
      <w:r>
        <w:rPr>
          <w:rFonts w:ascii="仿宋_GB2312" w:eastAsia="仿宋_GB2312"/>
          <w:color w:val="auto"/>
          <w:sz w:val="32"/>
          <w:szCs w:val="32"/>
        </w:rPr>
        <w:t>:</w:t>
      </w:r>
      <w:r>
        <w:rPr>
          <w:rFonts w:hint="eastAsia" w:ascii="仿宋_GB2312" w:eastAsia="仿宋_GB2312"/>
          <w:color w:val="auto"/>
          <w:sz w:val="32"/>
          <w:szCs w:val="32"/>
        </w:rPr>
        <w:t>反映用于国家司法救助方面的支出。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12.社会保障和就业支出（类）</w:t>
      </w:r>
      <w:r>
        <w:rPr>
          <w:rFonts w:ascii="仿宋_GB2312" w:eastAsia="仿宋_GB2312"/>
          <w:color w:val="auto"/>
          <w:sz w:val="32"/>
          <w:szCs w:val="32"/>
        </w:rPr>
        <w:t>人力资源和社会保障管理事务</w:t>
      </w:r>
      <w:r>
        <w:rPr>
          <w:rFonts w:hint="eastAsia" w:ascii="仿宋_GB2312" w:eastAsia="仿宋_GB2312"/>
          <w:color w:val="auto"/>
          <w:sz w:val="32"/>
          <w:szCs w:val="32"/>
        </w:rPr>
        <w:t>（款）</w:t>
      </w:r>
      <w:r>
        <w:rPr>
          <w:rFonts w:ascii="仿宋_GB2312" w:eastAsia="仿宋_GB2312"/>
          <w:color w:val="auto"/>
          <w:sz w:val="32"/>
          <w:szCs w:val="32"/>
        </w:rPr>
        <w:t>其他人力资源和社会保障管理事务支出</w:t>
      </w:r>
      <w:r>
        <w:rPr>
          <w:rFonts w:hint="eastAsia" w:ascii="仿宋_GB2312" w:eastAsia="仿宋_GB2312"/>
          <w:color w:val="auto"/>
          <w:sz w:val="32"/>
          <w:szCs w:val="32"/>
        </w:rPr>
        <w:t>（项）：反映除上述项目以外其他用于</w:t>
      </w:r>
      <w:r>
        <w:rPr>
          <w:rFonts w:ascii="仿宋_GB2312" w:eastAsia="仿宋_GB2312"/>
          <w:color w:val="auto"/>
          <w:sz w:val="32"/>
          <w:szCs w:val="32"/>
        </w:rPr>
        <w:t>人力资源和社会保障管理事务</w:t>
      </w:r>
      <w:r>
        <w:rPr>
          <w:rFonts w:hint="eastAsia" w:ascii="仿宋_GB2312" w:eastAsia="仿宋_GB2312"/>
          <w:color w:val="auto"/>
          <w:sz w:val="32"/>
          <w:szCs w:val="32"/>
        </w:rPr>
        <w:t>方面的支出。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13.社会保障和就业支出（类）行政事业单位养老支出（款）</w:t>
      </w:r>
      <w:r>
        <w:rPr>
          <w:rFonts w:ascii="仿宋_GB2312" w:eastAsia="仿宋_GB2312"/>
          <w:color w:val="auto"/>
          <w:sz w:val="32"/>
          <w:szCs w:val="32"/>
        </w:rPr>
        <w:t>行政单位离退休</w:t>
      </w:r>
      <w:r>
        <w:rPr>
          <w:rFonts w:hint="eastAsia" w:ascii="仿宋_GB2312" w:eastAsia="仿宋_GB2312"/>
          <w:color w:val="auto"/>
          <w:sz w:val="32"/>
          <w:szCs w:val="32"/>
        </w:rPr>
        <w:t>（项）：反映行政单位（包括实行公务员管理的事业单位）开支的离退休经费。</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14.社会保障和就业支出（类）行政事业单位养老支出（款）机关事业单位基本养老保险缴费支出（项）：反映机关事业单位实施养老保险制度由单位缴纳的基本养老保险费支出。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15.社会保障和就业支出（类）行政事业单位养老支出（款）机关事业单位职业年金缴费支出（项）：反映机关事业单位实施养老保险制度由单位实际缴纳的职业年金支出。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16.社会保障和就业（类）抚恤（款）死亡抚恤（项）:反映按规定用于烈士和牺牲、病故人员家属的一次性和定期抚恤金、丧葬补助费以及烈士褒扬金。</w:t>
      </w:r>
    </w:p>
    <w:p>
      <w:pPr>
        <w:ind w:firstLine="660"/>
        <w:rPr>
          <w:rFonts w:ascii="仿宋_GB2312" w:hAnsi="仿宋" w:eastAsia="仿宋_GB2312"/>
          <w:bCs/>
          <w:sz w:val="32"/>
          <w:szCs w:val="32"/>
        </w:rPr>
      </w:pPr>
      <w:r>
        <w:rPr>
          <w:rStyle w:val="18"/>
          <w:rFonts w:hint="eastAsia" w:ascii="仿宋_GB2312" w:hAnsi="仿宋" w:eastAsia="仿宋_GB2312"/>
          <w:b w:val="0"/>
          <w:bCs/>
          <w:sz w:val="32"/>
          <w:szCs w:val="32"/>
        </w:rPr>
        <w:t>17.卫生健康支出（类）公共卫生（款）重大公共卫生服务（项）</w:t>
      </w:r>
      <w:r>
        <w:rPr>
          <w:rStyle w:val="18"/>
          <w:rFonts w:hint="eastAsia" w:ascii="仿宋_GB2312" w:hAnsi="仿宋" w:eastAsia="仿宋_GB2312"/>
          <w:bCs/>
          <w:sz w:val="32"/>
          <w:szCs w:val="32"/>
        </w:rPr>
        <w:t>:</w:t>
      </w:r>
      <w:r>
        <w:rPr>
          <w:rFonts w:hint="eastAsia" w:ascii="仿宋_GB2312" w:hAnsi="仿宋" w:eastAsia="仿宋_GB2312"/>
          <w:bCs/>
          <w:sz w:val="32"/>
          <w:szCs w:val="32"/>
        </w:rPr>
        <w:t>反映重大疾病、重大传染病预防控制等重大公共卫生服务项目支出。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18.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 xml:space="preserve">19.城乡社区支出（类）国有土地使用权出让收入安排的支出（款） </w:t>
      </w:r>
      <w:r>
        <w:rPr>
          <w:rFonts w:ascii="仿宋_GB2312" w:eastAsia="仿宋_GB2312"/>
          <w:color w:val="auto"/>
          <w:sz w:val="32"/>
          <w:szCs w:val="32"/>
        </w:rPr>
        <w:t>征地和拆迁补偿支出</w:t>
      </w:r>
      <w:r>
        <w:rPr>
          <w:rFonts w:hint="eastAsia" w:ascii="仿宋_GB2312" w:eastAsia="仿宋_GB2312"/>
          <w:color w:val="auto"/>
          <w:sz w:val="32"/>
          <w:szCs w:val="32"/>
        </w:rPr>
        <w:t>（项）：反映新疆生产建设兵团和地方政府在征地和收购土地过程中支付的土地补偿费、安置补助费、地上附着和青苗补偿费、拆迁补偿费支出。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20.住房保障支出（类）住房改革支出（款）住房公积金（项）:反映行政事业单位按人力资源和社会保障部、财政部规定的基本工资和津贴补贴以及规定比例为职工缴纳的住房公积金。</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21.基本支出：指为保障机构正常运转、完成日常工作任务而发生的人员支出和公用支出。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22.项目支出：指在基本支出之外为完成特定行政任务和事业发展目标所发生的支出。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23.“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24.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宋体"/>
          <w:b/>
          <w:sz w:val="44"/>
          <w:szCs w:val="44"/>
        </w:rPr>
      </w:pPr>
    </w:p>
    <w:p>
      <w:pPr>
        <w:spacing w:line="600" w:lineRule="exact"/>
        <w:jc w:val="center"/>
        <w:outlineLvl w:val="9"/>
        <w:rPr>
          <w:rFonts w:ascii="黑体" w:hAnsi="黑体" w:eastAsia="黑体"/>
          <w:sz w:val="44"/>
          <w:szCs w:val="44"/>
        </w:rPr>
      </w:pPr>
    </w:p>
    <w:p>
      <w:pPr>
        <w:numPr>
          <w:ilvl w:val="0"/>
          <w:numId w:val="2"/>
        </w:numPr>
        <w:spacing w:line="600" w:lineRule="exact"/>
        <w:jc w:val="center"/>
        <w:outlineLvl w:val="0"/>
        <w:rPr>
          <w:rStyle w:val="19"/>
          <w:rFonts w:ascii="黑体" w:hAnsi="黑体" w:eastAsia="黑体"/>
          <w:b w:val="0"/>
        </w:rPr>
      </w:pPr>
      <w:bookmarkStart w:id="25" w:name="_Toc23429"/>
      <w:r>
        <w:rPr>
          <w:rStyle w:val="19"/>
          <w:rFonts w:hint="eastAsia" w:ascii="黑体" w:hAnsi="黑体" w:eastAsia="黑体"/>
          <w:b w:val="0"/>
        </w:rPr>
        <w:t>附件</w:t>
      </w:r>
      <w:bookmarkEnd w:id="25"/>
    </w:p>
    <w:tbl>
      <w:tblPr>
        <w:tblStyle w:val="16"/>
        <w:tblpPr w:leftFromText="180" w:rightFromText="180" w:vertAnchor="text" w:horzAnchor="page" w:tblpXSpec="center" w:tblpY="470"/>
        <w:tblOverlap w:val="never"/>
        <w:tblW w:w="9638" w:type="dxa"/>
        <w:jc w:val="center"/>
        <w:tblLayout w:type="fixed"/>
        <w:tblCellMar>
          <w:top w:w="0" w:type="dxa"/>
          <w:left w:w="108" w:type="dxa"/>
          <w:bottom w:w="0" w:type="dxa"/>
          <w:right w:w="108" w:type="dxa"/>
        </w:tblCellMar>
      </w:tblPr>
      <w:tblGrid>
        <w:gridCol w:w="668"/>
        <w:gridCol w:w="1207"/>
        <w:gridCol w:w="1348"/>
        <w:gridCol w:w="1688"/>
        <w:gridCol w:w="613"/>
        <w:gridCol w:w="498"/>
        <w:gridCol w:w="582"/>
        <w:gridCol w:w="703"/>
        <w:gridCol w:w="508"/>
        <w:gridCol w:w="437"/>
        <w:gridCol w:w="1386"/>
      </w:tblGrid>
      <w:tr>
        <w:tblPrEx>
          <w:tblCellMar>
            <w:top w:w="0" w:type="dxa"/>
            <w:left w:w="108" w:type="dxa"/>
            <w:bottom w:w="0" w:type="dxa"/>
            <w:right w:w="108" w:type="dxa"/>
          </w:tblCellMar>
        </w:tblPrEx>
        <w:trPr>
          <w:trHeight w:val="390" w:hRule="atLeast"/>
          <w:jc w:val="center"/>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sz w:val="30"/>
                <w:szCs w:val="30"/>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70" w:hRule="atLeast"/>
          <w:jc w:val="center"/>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项目名称</w:t>
            </w:r>
          </w:p>
        </w:tc>
        <w:tc>
          <w:tcPr>
            <w:tcW w:w="7763"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51080023T000009642267-2023年铁路护路经费</w:t>
            </w:r>
          </w:p>
        </w:tc>
      </w:tr>
      <w:tr>
        <w:tblPrEx>
          <w:tblCellMar>
            <w:top w:w="0" w:type="dxa"/>
            <w:left w:w="108" w:type="dxa"/>
            <w:bottom w:w="0" w:type="dxa"/>
            <w:right w:w="108" w:type="dxa"/>
          </w:tblCellMar>
        </w:tblPrEx>
        <w:trPr>
          <w:trHeight w:val="450" w:hRule="atLeast"/>
          <w:jc w:val="center"/>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主管部门</w:t>
            </w:r>
          </w:p>
        </w:tc>
        <w:tc>
          <w:tcPr>
            <w:tcW w:w="4729"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广元市公安局部门</w:t>
            </w:r>
          </w:p>
        </w:tc>
        <w:tc>
          <w:tcPr>
            <w:tcW w:w="703" w:type="dxa"/>
            <w:tcBorders>
              <w:top w:val="nil"/>
              <w:left w:val="nil"/>
              <w:bottom w:val="nil"/>
              <w:right w:val="nil"/>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实施单位 （盖章）</w:t>
            </w: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广元市公安局</w:t>
            </w:r>
          </w:p>
        </w:tc>
      </w:tr>
      <w:tr>
        <w:tblPrEx>
          <w:tblCellMar>
            <w:top w:w="0" w:type="dxa"/>
            <w:left w:w="108" w:type="dxa"/>
            <w:bottom w:w="0" w:type="dxa"/>
            <w:right w:w="108" w:type="dxa"/>
          </w:tblCellMar>
        </w:tblPrEx>
        <w:trPr>
          <w:trHeight w:val="270" w:hRule="atLeast"/>
          <w:jc w:val="center"/>
        </w:trPr>
        <w:tc>
          <w:tcPr>
            <w:tcW w:w="6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项目</w:t>
            </w:r>
            <w:r>
              <w:rPr>
                <w:rFonts w:hint="eastAsia" w:ascii="仿宋_GB2312" w:hAnsi="宋体" w:eastAsia="仿宋_GB2312" w:cs="仿宋_GB2312"/>
                <w:kern w:val="0"/>
                <w:sz w:val="18"/>
                <w:szCs w:val="18"/>
              </w:rPr>
              <w:br w:type="textWrapping"/>
            </w:r>
            <w:r>
              <w:rPr>
                <w:rFonts w:hint="eastAsia" w:ascii="仿宋_GB2312" w:hAnsi="宋体" w:eastAsia="仿宋_GB2312" w:cs="仿宋_GB2312"/>
                <w:kern w:val="0"/>
                <w:sz w:val="18"/>
                <w:szCs w:val="18"/>
              </w:rPr>
              <w:t>基本</w:t>
            </w:r>
            <w:r>
              <w:rPr>
                <w:rFonts w:hint="eastAsia" w:ascii="仿宋_GB2312" w:hAnsi="宋体" w:eastAsia="仿宋_GB2312" w:cs="仿宋_GB2312"/>
                <w:kern w:val="0"/>
                <w:sz w:val="18"/>
                <w:szCs w:val="18"/>
              </w:rPr>
              <w:br w:type="textWrapping"/>
            </w:r>
            <w:r>
              <w:rPr>
                <w:rFonts w:hint="eastAsia" w:ascii="仿宋_GB2312" w:hAnsi="宋体" w:eastAsia="仿宋_GB2312" w:cs="仿宋_GB2312"/>
                <w:kern w:val="0"/>
                <w:sz w:val="18"/>
                <w:szCs w:val="18"/>
              </w:rPr>
              <w:t>情况</w:t>
            </w:r>
          </w:p>
        </w:tc>
        <w:tc>
          <w:tcPr>
            <w:tcW w:w="120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1.项目年度目标完成情况</w:t>
            </w:r>
          </w:p>
        </w:tc>
        <w:tc>
          <w:tcPr>
            <w:tcW w:w="4729"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项目年度目标</w:t>
            </w:r>
          </w:p>
        </w:tc>
        <w:tc>
          <w:tcPr>
            <w:tcW w:w="303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年度目标完成情况</w:t>
            </w:r>
          </w:p>
        </w:tc>
      </w:tr>
      <w:tr>
        <w:tblPrEx>
          <w:tblCellMar>
            <w:top w:w="0" w:type="dxa"/>
            <w:left w:w="108" w:type="dxa"/>
            <w:bottom w:w="0" w:type="dxa"/>
            <w:right w:w="108" w:type="dxa"/>
          </w:tblCellMar>
        </w:tblPrEx>
        <w:trPr>
          <w:trHeight w:val="1422"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sz w:val="18"/>
                <w:szCs w:val="18"/>
              </w:rPr>
            </w:pPr>
          </w:p>
        </w:tc>
        <w:tc>
          <w:tcPr>
            <w:tcW w:w="4729"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用于市本级铁路护路联防队员意外伤害保险、公用经费、铁路护路联防管理系统、重点整治、信息化建设、铁路沿线治安专项整治工作、绩效考核经费等相关支出，加强隐患排查化解、铁路安全“五进”宣传工作，确保辖区内不发生重特大安全事故。</w:t>
            </w:r>
          </w:p>
        </w:tc>
        <w:tc>
          <w:tcPr>
            <w:tcW w:w="303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2023年紧紧围绕铁路护路联防工作目标，做好重点时期安保、强化基层基础建设、扎实隐患排查治理、加强沿线治安防控、深化护路宣传教育，扎实推进各项工作措施的落实，确保了全市境内铁路安全畅通和沿线治安稳定。目标完成率为100%。</w:t>
            </w:r>
          </w:p>
        </w:tc>
      </w:tr>
      <w:tr>
        <w:tblPrEx>
          <w:tblCellMar>
            <w:top w:w="0" w:type="dxa"/>
            <w:left w:w="108" w:type="dxa"/>
            <w:bottom w:w="0" w:type="dxa"/>
            <w:right w:w="108" w:type="dxa"/>
          </w:tblCellMar>
        </w:tblPrEx>
        <w:trPr>
          <w:trHeight w:val="84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sz w:val="18"/>
                <w:szCs w:val="18"/>
              </w:rPr>
            </w:pPr>
          </w:p>
        </w:tc>
        <w:tc>
          <w:tcPr>
            <w:tcW w:w="1207"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2.项目实施内容及过程概述</w:t>
            </w:r>
          </w:p>
        </w:tc>
        <w:tc>
          <w:tcPr>
            <w:tcW w:w="7763"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 xml:space="preserve">   支持全市铁路护路联防工作顺利开展，包括铁路沿线社会综合治理、安全隐患排查整治，涉路矛盾纠纷排查化解，爱路护路宣传，专项重点整治，路地联合完成护路联防等工作，维护铁路治安稳定，确保全省铁路设施设备和运输安全。</w:t>
            </w:r>
          </w:p>
        </w:tc>
      </w:tr>
      <w:tr>
        <w:tblPrEx>
          <w:tblCellMar>
            <w:top w:w="0" w:type="dxa"/>
            <w:left w:w="108" w:type="dxa"/>
            <w:bottom w:w="0" w:type="dxa"/>
            <w:right w:w="108" w:type="dxa"/>
          </w:tblCellMar>
        </w:tblPrEx>
        <w:trPr>
          <w:trHeight w:val="450" w:hRule="atLeast"/>
          <w:jc w:val="center"/>
        </w:trPr>
        <w:tc>
          <w:tcPr>
            <w:tcW w:w="6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预算执行情况（10分）</w:t>
            </w:r>
          </w:p>
        </w:tc>
        <w:tc>
          <w:tcPr>
            <w:tcW w:w="12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年度预算数（万元）</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年初预算</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调整后预算数</w:t>
            </w:r>
          </w:p>
        </w:tc>
        <w:tc>
          <w:tcPr>
            <w:tcW w:w="169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预算执行数</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预算执行率</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权重</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得分</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原因</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总额</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0.00</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77.00</w:t>
            </w:r>
          </w:p>
        </w:tc>
        <w:tc>
          <w:tcPr>
            <w:tcW w:w="169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49.70</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64.55%</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10</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138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剩余资金结转到2024年继续使用</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其中：财政资金</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0.00</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77.00</w:t>
            </w:r>
          </w:p>
        </w:tc>
        <w:tc>
          <w:tcPr>
            <w:tcW w:w="169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49.70</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64.55%</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13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财政专户管理资金</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0.00</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0.00</w:t>
            </w:r>
          </w:p>
        </w:tc>
        <w:tc>
          <w:tcPr>
            <w:tcW w:w="169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0.00</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0.00%</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13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单位资金</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0.00</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0.00</w:t>
            </w:r>
          </w:p>
        </w:tc>
        <w:tc>
          <w:tcPr>
            <w:tcW w:w="169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0.00</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0.00%</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13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其他资金</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c>
          <w:tcPr>
            <w:tcW w:w="169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13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r>
      <w:tr>
        <w:tblPrEx>
          <w:tblCellMar>
            <w:top w:w="0" w:type="dxa"/>
            <w:left w:w="108" w:type="dxa"/>
            <w:bottom w:w="0" w:type="dxa"/>
            <w:right w:w="108" w:type="dxa"/>
          </w:tblCellMar>
        </w:tblPrEx>
        <w:trPr>
          <w:trHeight w:val="450" w:hRule="atLeast"/>
          <w:jc w:val="center"/>
        </w:trPr>
        <w:tc>
          <w:tcPr>
            <w:tcW w:w="6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绩效指标（90分）</w:t>
            </w:r>
          </w:p>
        </w:tc>
        <w:tc>
          <w:tcPr>
            <w:tcW w:w="12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一级指标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二级指标</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三级指标</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指标性质</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指标值</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度量单位</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完成值</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权重</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得分</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未完成原因分析</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产出指标</w:t>
            </w:r>
          </w:p>
        </w:tc>
        <w:tc>
          <w:tcPr>
            <w:tcW w:w="13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数量指标</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宣传次数</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37</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次</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40</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隐患排查</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24</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次</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26</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出动护路人次</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460</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人次</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472</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护路里程</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608</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公里</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608</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质量指标</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安全事故发生率</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护路安全率</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100</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99%</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时效指标</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铁路沿线治安防控</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30</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分钟</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25</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铁路沿线信息收集</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30</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分钟</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25</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处置铁路沿线隐患事故</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30</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分钟</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25</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5</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效益指标</w:t>
            </w:r>
          </w:p>
        </w:tc>
        <w:tc>
          <w:tcPr>
            <w:tcW w:w="13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经济效益指标</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抢劫铁路物资事件</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次</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铁路沿线设施被盗</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次</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社会效益指标</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影响行车安全事故</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次</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0</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可持续影响指标</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沿线治安环境稳定</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定性</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优</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级</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99%</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45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保持铁路沿线人员伤亡事故零发生</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定性</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优</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级</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2次</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持续保持过境铁路安全顺畅</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定性</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优</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级</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100%</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满意度指标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服务对象满意度指标</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乘客满意度</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98</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99%</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满意度指标</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铁路沿线居民满意度</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98</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99%</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护路队员满意度</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98</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99%</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成本指标</w:t>
            </w:r>
          </w:p>
        </w:tc>
        <w:tc>
          <w:tcPr>
            <w:tcW w:w="13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经济成本指标</w:t>
            </w: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办公差旅费</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万元</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3</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2</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27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车辆燃油费</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万元</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i/>
                <w:iCs/>
                <w:sz w:val="18"/>
                <w:szCs w:val="18"/>
              </w:rPr>
            </w:pPr>
            <w:r>
              <w:rPr>
                <w:rFonts w:hint="eastAsia" w:ascii="仿宋_GB2312" w:hAnsi="宋体" w:eastAsia="仿宋_GB2312" w:cs="仿宋_GB2312"/>
                <w:i/>
                <w:iCs/>
                <w:kern w:val="0"/>
                <w:sz w:val="18"/>
                <w:szCs w:val="18"/>
              </w:rPr>
              <w:t>　</w:t>
            </w:r>
          </w:p>
        </w:tc>
      </w:tr>
      <w:tr>
        <w:tblPrEx>
          <w:tblCellMar>
            <w:top w:w="0" w:type="dxa"/>
            <w:left w:w="108" w:type="dxa"/>
            <w:bottom w:w="0" w:type="dxa"/>
            <w:right w:w="108" w:type="dxa"/>
          </w:tblCellMar>
        </w:tblPrEx>
        <w:trPr>
          <w:trHeight w:val="450" w:hRule="atLeast"/>
          <w:jc w:val="center"/>
        </w:trPr>
        <w:tc>
          <w:tcPr>
            <w:tcW w:w="6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20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3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sz w:val="18"/>
                <w:szCs w:val="18"/>
              </w:rPr>
            </w:pPr>
          </w:p>
        </w:tc>
        <w:tc>
          <w:tcPr>
            <w:tcW w:w="1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宣传级各项行动经费</w:t>
            </w:r>
          </w:p>
        </w:tc>
        <w:tc>
          <w:tcPr>
            <w:tcW w:w="6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w:t>
            </w:r>
          </w:p>
        </w:tc>
        <w:tc>
          <w:tcPr>
            <w:tcW w:w="4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73</w:t>
            </w:r>
          </w:p>
        </w:tc>
        <w:tc>
          <w:tcPr>
            <w:tcW w:w="58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万元</w:t>
            </w:r>
          </w:p>
        </w:tc>
        <w:tc>
          <w:tcPr>
            <w:tcW w:w="7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45.7</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17</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12</w:t>
            </w:r>
          </w:p>
        </w:tc>
        <w:tc>
          <w:tcPr>
            <w:tcW w:w="13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剩余资金结转到2024年继续使用</w:t>
            </w:r>
          </w:p>
        </w:tc>
      </w:tr>
      <w:tr>
        <w:tblPrEx>
          <w:tblCellMar>
            <w:top w:w="0" w:type="dxa"/>
            <w:left w:w="108" w:type="dxa"/>
            <w:bottom w:w="0" w:type="dxa"/>
            <w:right w:w="108" w:type="dxa"/>
          </w:tblCellMar>
        </w:tblPrEx>
        <w:trPr>
          <w:trHeight w:val="270" w:hRule="atLeast"/>
          <w:jc w:val="center"/>
        </w:trPr>
        <w:tc>
          <w:tcPr>
            <w:tcW w:w="730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合计</w:t>
            </w:r>
          </w:p>
        </w:tc>
        <w:tc>
          <w:tcPr>
            <w:tcW w:w="5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100</w:t>
            </w:r>
          </w:p>
        </w:tc>
        <w:tc>
          <w:tcPr>
            <w:tcW w:w="437" w:type="dxa"/>
            <w:tcBorders>
              <w:top w:val="nil"/>
              <w:left w:val="nil"/>
              <w:bottom w:val="single" w:color="000000" w:sz="4" w:space="0"/>
              <w:right w:val="single" w:color="000000" w:sz="4" w:space="0"/>
            </w:tcBorders>
            <w:shd w:val="clear" w:color="auto" w:fill="auto"/>
            <w:vAlign w:val="center"/>
          </w:tcPr>
          <w:p>
            <w:pPr>
              <w:widowControl/>
              <w:jc w:val="righ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85</w:t>
            </w:r>
          </w:p>
        </w:tc>
        <w:tc>
          <w:tcPr>
            <w:tcW w:w="1386"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　</w:t>
            </w:r>
          </w:p>
        </w:tc>
      </w:tr>
      <w:tr>
        <w:tblPrEx>
          <w:tblCellMar>
            <w:top w:w="0" w:type="dxa"/>
            <w:left w:w="108" w:type="dxa"/>
            <w:bottom w:w="0" w:type="dxa"/>
            <w:right w:w="108" w:type="dxa"/>
          </w:tblCellMar>
        </w:tblPrEx>
        <w:trPr>
          <w:trHeight w:val="1362" w:hRule="atLeast"/>
          <w:jc w:val="center"/>
        </w:trPr>
        <w:tc>
          <w:tcPr>
            <w:tcW w:w="66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评价</w:t>
            </w:r>
            <w:r>
              <w:rPr>
                <w:rFonts w:hint="eastAsia" w:ascii="仿宋_GB2312" w:hAnsi="宋体" w:eastAsia="仿宋_GB2312" w:cs="仿宋_GB2312"/>
                <w:kern w:val="0"/>
                <w:sz w:val="18"/>
                <w:szCs w:val="18"/>
              </w:rPr>
              <w:br w:type="textWrapping"/>
            </w:r>
            <w:r>
              <w:rPr>
                <w:rFonts w:hint="eastAsia" w:ascii="仿宋_GB2312" w:hAnsi="宋体" w:eastAsia="仿宋_GB2312" w:cs="仿宋_GB2312"/>
                <w:kern w:val="0"/>
                <w:sz w:val="18"/>
                <w:szCs w:val="18"/>
              </w:rPr>
              <w:t>结论</w:t>
            </w:r>
          </w:p>
        </w:tc>
        <w:tc>
          <w:tcPr>
            <w:tcW w:w="897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 xml:space="preserve">    清理责任心不强、身患重病、超龄专（兼）职护路骨干、护路队员11名，先后选派8名护路队员参加全省护路联防培训，分区分片组织护路队员培训33批次轮训516人次，有效提升了基层护路队伍业务能力。深入推进公共安全视频监控建设向铁路沿线延伸覆盖，优化整合167套涉及铁路沿线安全的视频监控资源互联共享。督导及联合检查62次，隐患排查、整治、矛盾纠纷协调化解共计27起。 圆满完成铁路过境重要任务30余件，党的二十大、全国“两会”、成都大运会及重大节假日铁路护路联防工作全胜完胜，确保了进蜀出川铁路大动脉平安畅通。先后在2022年度、2023年度全省铁路护路联防工作会上交流护路工作经验。</w:t>
            </w:r>
          </w:p>
        </w:tc>
      </w:tr>
      <w:tr>
        <w:tblPrEx>
          <w:tblCellMar>
            <w:top w:w="0" w:type="dxa"/>
            <w:left w:w="108" w:type="dxa"/>
            <w:bottom w:w="0" w:type="dxa"/>
            <w:right w:w="108" w:type="dxa"/>
          </w:tblCellMar>
        </w:tblPrEx>
        <w:trPr>
          <w:trHeight w:val="499" w:hRule="atLeast"/>
          <w:jc w:val="center"/>
        </w:trPr>
        <w:tc>
          <w:tcPr>
            <w:tcW w:w="66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存在</w:t>
            </w:r>
            <w:r>
              <w:rPr>
                <w:rFonts w:hint="eastAsia" w:ascii="仿宋_GB2312" w:hAnsi="宋体" w:eastAsia="仿宋_GB2312" w:cs="仿宋_GB2312"/>
                <w:kern w:val="0"/>
                <w:sz w:val="18"/>
                <w:szCs w:val="18"/>
              </w:rPr>
              <w:br w:type="textWrapping"/>
            </w:r>
            <w:r>
              <w:rPr>
                <w:rFonts w:hint="eastAsia" w:ascii="仿宋_GB2312" w:hAnsi="宋体" w:eastAsia="仿宋_GB2312" w:cs="仿宋_GB2312"/>
                <w:kern w:val="0"/>
                <w:sz w:val="18"/>
                <w:szCs w:val="18"/>
              </w:rPr>
              <w:t>问题</w:t>
            </w:r>
          </w:p>
        </w:tc>
        <w:tc>
          <w:tcPr>
            <w:tcW w:w="897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 xml:space="preserve">    尽管项目实施取得了显著成果，但仍然存在一些问题。主要问题包括：一是预算资金安排不够完善；二是部分项目资金使用效率较低；三是政策体系不完善，部分政策实施效果不明显，项目管理不够精细。</w:t>
            </w:r>
          </w:p>
        </w:tc>
      </w:tr>
      <w:tr>
        <w:tblPrEx>
          <w:tblCellMar>
            <w:top w:w="0" w:type="dxa"/>
            <w:left w:w="108" w:type="dxa"/>
            <w:bottom w:w="0" w:type="dxa"/>
            <w:right w:w="108" w:type="dxa"/>
          </w:tblCellMar>
        </w:tblPrEx>
        <w:trPr>
          <w:trHeight w:val="799" w:hRule="atLeast"/>
          <w:jc w:val="center"/>
        </w:trPr>
        <w:tc>
          <w:tcPr>
            <w:tcW w:w="66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改进</w:t>
            </w:r>
            <w:r>
              <w:rPr>
                <w:rFonts w:hint="eastAsia" w:ascii="仿宋_GB2312" w:hAnsi="宋体" w:eastAsia="仿宋_GB2312" w:cs="仿宋_GB2312"/>
                <w:kern w:val="0"/>
                <w:sz w:val="18"/>
                <w:szCs w:val="18"/>
              </w:rPr>
              <w:br w:type="textWrapping"/>
            </w:r>
            <w:r>
              <w:rPr>
                <w:rFonts w:hint="eastAsia" w:ascii="仿宋_GB2312" w:hAnsi="宋体" w:eastAsia="仿宋_GB2312" w:cs="仿宋_GB2312"/>
                <w:kern w:val="0"/>
                <w:sz w:val="18"/>
                <w:szCs w:val="18"/>
              </w:rPr>
              <w:t>措施</w:t>
            </w:r>
          </w:p>
        </w:tc>
        <w:tc>
          <w:tcPr>
            <w:tcW w:w="897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 xml:space="preserve">    针对上述问题，我们提出以下改进措施建议：（1）优化预算资金安排。对铁路护路项目进行精细化管理，确保资金使用效率最大化。（2）加强专项资金使用。加强对铁路护路资金调研和评估，提高政策实施效果，确保专项资金使用时限。（3）改进项目管理。建立健全项目资金监管和评估机制。</w:t>
            </w:r>
          </w:p>
        </w:tc>
      </w:tr>
      <w:tr>
        <w:tblPrEx>
          <w:tblCellMar>
            <w:top w:w="0" w:type="dxa"/>
            <w:left w:w="108" w:type="dxa"/>
            <w:bottom w:w="0" w:type="dxa"/>
            <w:right w:w="108" w:type="dxa"/>
          </w:tblCellMar>
        </w:tblPrEx>
        <w:trPr>
          <w:trHeight w:val="360" w:hRule="atLeast"/>
          <w:jc w:val="center"/>
        </w:trPr>
        <w:tc>
          <w:tcPr>
            <w:tcW w:w="55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项目负责人：李海滨</w:t>
            </w:r>
          </w:p>
        </w:tc>
        <w:tc>
          <w:tcPr>
            <w:tcW w:w="4114"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sz w:val="18"/>
                <w:szCs w:val="18"/>
              </w:rPr>
            </w:pPr>
            <w:r>
              <w:rPr>
                <w:rFonts w:hint="eastAsia" w:ascii="仿宋_GB2312" w:hAnsi="宋体" w:eastAsia="仿宋_GB2312" w:cs="仿宋_GB2312"/>
                <w:kern w:val="0"/>
                <w:sz w:val="18"/>
                <w:szCs w:val="18"/>
              </w:rPr>
              <w:t>财务负责人：李燕成</w:t>
            </w:r>
          </w:p>
        </w:tc>
      </w:tr>
    </w:tbl>
    <w:p>
      <w:pPr>
        <w:pStyle w:val="2"/>
      </w:pPr>
    </w:p>
    <w:tbl>
      <w:tblPr>
        <w:tblStyle w:val="16"/>
        <w:tblpPr w:leftFromText="180" w:rightFromText="180" w:vertAnchor="text" w:horzAnchor="page" w:tblpXSpec="center" w:tblpY="484"/>
        <w:tblOverlap w:val="never"/>
        <w:tblW w:w="9643" w:type="dxa"/>
        <w:jc w:val="center"/>
        <w:tblLayout w:type="fixed"/>
        <w:tblCellMar>
          <w:top w:w="0" w:type="dxa"/>
          <w:left w:w="108" w:type="dxa"/>
          <w:bottom w:w="0" w:type="dxa"/>
          <w:right w:w="108" w:type="dxa"/>
        </w:tblCellMar>
      </w:tblPr>
      <w:tblGrid>
        <w:gridCol w:w="662"/>
        <w:gridCol w:w="1221"/>
        <w:gridCol w:w="1168"/>
        <w:gridCol w:w="1365"/>
        <w:gridCol w:w="736"/>
        <w:gridCol w:w="576"/>
        <w:gridCol w:w="789"/>
        <w:gridCol w:w="844"/>
        <w:gridCol w:w="531"/>
        <w:gridCol w:w="440"/>
        <w:gridCol w:w="1311"/>
      </w:tblGrid>
      <w:tr>
        <w:tblPrEx>
          <w:tblCellMar>
            <w:top w:w="0" w:type="dxa"/>
            <w:left w:w="108" w:type="dxa"/>
            <w:bottom w:w="0" w:type="dxa"/>
            <w:right w:w="108" w:type="dxa"/>
          </w:tblCellMar>
        </w:tblPrEx>
        <w:trPr>
          <w:trHeight w:val="904" w:hRule="atLeast"/>
          <w:jc w:val="center"/>
        </w:trPr>
        <w:tc>
          <w:tcPr>
            <w:tcW w:w="96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jc w:val="center"/>
        </w:trPr>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76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51080021T000000055265-房屋及附属设施运行维护</w:t>
            </w:r>
          </w:p>
        </w:tc>
      </w:tr>
      <w:tr>
        <w:tblPrEx>
          <w:tblCellMar>
            <w:top w:w="0" w:type="dxa"/>
            <w:left w:w="108" w:type="dxa"/>
            <w:bottom w:w="0" w:type="dxa"/>
            <w:right w:w="108" w:type="dxa"/>
          </w:tblCellMar>
        </w:tblPrEx>
        <w:trPr>
          <w:trHeight w:val="514" w:hRule="atLeast"/>
          <w:jc w:val="center"/>
        </w:trPr>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63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844"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2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jc w:val="center"/>
        </w:trPr>
        <w:tc>
          <w:tcPr>
            <w:tcW w:w="6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22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63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12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709"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63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对市局机关房屋及附属设施日常维护，对部分设施保养维修。</w:t>
            </w:r>
          </w:p>
        </w:tc>
        <w:tc>
          <w:tcPr>
            <w:tcW w:w="3126"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市局机关房屋及附属设施日常维护情况良好，严格按要求测算成本价格，通过验收，项目按质按量按时完成。</w:t>
            </w:r>
          </w:p>
        </w:tc>
      </w:tr>
      <w:tr>
        <w:tblPrEx>
          <w:tblCellMar>
            <w:top w:w="0" w:type="dxa"/>
            <w:left w:w="108" w:type="dxa"/>
            <w:bottom w:w="0" w:type="dxa"/>
            <w:right w:w="108" w:type="dxa"/>
          </w:tblCellMar>
        </w:tblPrEx>
        <w:trPr>
          <w:trHeight w:val="694"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221"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76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发现问题上报分管领导审批，待领导审批同意后，寻找维修公司进行施工。维修费用5万以下自行采购评审，5万以上报机关服务中心现场查看，确认项目是否实施。</w:t>
            </w:r>
          </w:p>
        </w:tc>
      </w:tr>
      <w:tr>
        <w:tblPrEx>
          <w:tblCellMar>
            <w:top w:w="0" w:type="dxa"/>
            <w:left w:w="108" w:type="dxa"/>
            <w:bottom w:w="0" w:type="dxa"/>
            <w:right w:w="108" w:type="dxa"/>
          </w:tblCellMar>
        </w:tblPrEx>
        <w:trPr>
          <w:trHeight w:val="360" w:hRule="atLeast"/>
          <w:jc w:val="center"/>
        </w:trPr>
        <w:tc>
          <w:tcPr>
            <w:tcW w:w="6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2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10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50.00</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50.00</w:t>
            </w:r>
          </w:p>
        </w:tc>
        <w:tc>
          <w:tcPr>
            <w:tcW w:w="210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50.00</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31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90"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50.00</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50.00</w:t>
            </w:r>
          </w:p>
        </w:tc>
        <w:tc>
          <w:tcPr>
            <w:tcW w:w="210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50.00</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31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09"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10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31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60"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10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31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10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31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54" w:hRule="atLeast"/>
          <w:jc w:val="center"/>
        </w:trPr>
        <w:tc>
          <w:tcPr>
            <w:tcW w:w="6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2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维修房屋</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座</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维修次数</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次</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检修维修工人次</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250</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人次</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254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合格标准</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检验率</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合格率</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完成时效</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180</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180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坚固实用</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节约维修资金</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安全事故下降</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带动就业率</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提升房屋使用周期</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稳定办公环境</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群众满意度</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民警满意度</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日常设施维护</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16</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墙面维护</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下水道清理</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设施设备保养</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防水处理</w:t>
            </w:r>
          </w:p>
        </w:tc>
        <w:tc>
          <w:tcPr>
            <w:tcW w:w="7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78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jc w:val="center"/>
        </w:trPr>
        <w:tc>
          <w:tcPr>
            <w:tcW w:w="73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440" w:type="dxa"/>
            <w:tcBorders>
              <w:top w:val="nil"/>
              <w:left w:val="nil"/>
              <w:bottom w:val="single" w:color="000000" w:sz="4" w:space="0"/>
              <w:right w:val="single" w:color="000000" w:sz="4" w:space="0"/>
            </w:tcBorders>
            <w:shd w:val="clear" w:color="auto" w:fill="auto"/>
            <w:vAlign w:val="center"/>
          </w:tcPr>
          <w:p>
            <w:pPr>
              <w:widowControl/>
              <w:jc w:val="righ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99</w:t>
            </w:r>
          </w:p>
        </w:tc>
        <w:tc>
          <w:tcPr>
            <w:tcW w:w="1311"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4" w:hRule="atLeast"/>
          <w:jc w:val="center"/>
        </w:trPr>
        <w:tc>
          <w:tcPr>
            <w:tcW w:w="66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81"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项目定质、定量、定时进行施工，解决了问题，得到了广大民警职工好评。经自评，该项目自评得99分。</w:t>
            </w:r>
          </w:p>
        </w:tc>
      </w:tr>
      <w:tr>
        <w:tblPrEx>
          <w:tblCellMar>
            <w:top w:w="0" w:type="dxa"/>
            <w:left w:w="108" w:type="dxa"/>
            <w:bottom w:w="0" w:type="dxa"/>
            <w:right w:w="108" w:type="dxa"/>
          </w:tblCellMar>
        </w:tblPrEx>
        <w:trPr>
          <w:trHeight w:val="574" w:hRule="atLeast"/>
          <w:jc w:val="center"/>
        </w:trPr>
        <w:tc>
          <w:tcPr>
            <w:tcW w:w="66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81"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对设施设备的日常维护保养有待加强</w:t>
            </w:r>
          </w:p>
        </w:tc>
      </w:tr>
      <w:tr>
        <w:tblPrEx>
          <w:tblCellMar>
            <w:top w:w="0" w:type="dxa"/>
            <w:left w:w="108" w:type="dxa"/>
            <w:bottom w:w="0" w:type="dxa"/>
            <w:right w:w="108" w:type="dxa"/>
          </w:tblCellMar>
        </w:tblPrEx>
        <w:trPr>
          <w:trHeight w:val="634" w:hRule="atLeast"/>
          <w:jc w:val="center"/>
        </w:trPr>
        <w:tc>
          <w:tcPr>
            <w:tcW w:w="66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81"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加强日常设施设备保养，定期巡视，节约维修资金。</w:t>
            </w:r>
          </w:p>
        </w:tc>
      </w:tr>
      <w:tr>
        <w:tblPrEx>
          <w:tblCellMar>
            <w:top w:w="0" w:type="dxa"/>
            <w:left w:w="108" w:type="dxa"/>
            <w:bottom w:w="0" w:type="dxa"/>
            <w:right w:w="108" w:type="dxa"/>
          </w:tblCellMar>
        </w:tblPrEx>
        <w:trPr>
          <w:trHeight w:val="285" w:hRule="atLeast"/>
          <w:jc w:val="center"/>
        </w:trPr>
        <w:tc>
          <w:tcPr>
            <w:tcW w:w="51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项目负责人：韩玉杰</w:t>
            </w:r>
          </w:p>
        </w:tc>
        <w:tc>
          <w:tcPr>
            <w:tcW w:w="4491"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szCs w:val="21"/>
        </w:rPr>
      </w:pPr>
    </w:p>
    <w:p>
      <w:pPr>
        <w:pStyle w:val="2"/>
        <w:rPr>
          <w:rFonts w:ascii="仿宋_GB2312" w:hAnsi="仿宋_GB2312" w:eastAsia="仿宋_GB2312" w:cs="仿宋_GB2312"/>
          <w:szCs w:val="21"/>
        </w:rPr>
      </w:pPr>
    </w:p>
    <w:p>
      <w:pPr>
        <w:pStyle w:val="2"/>
        <w:rPr>
          <w:rFonts w:ascii="仿宋_GB2312" w:hAnsi="仿宋_GB2312" w:eastAsia="仿宋_GB2312" w:cs="仿宋_GB2312"/>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658"/>
        <w:gridCol w:w="1134"/>
        <w:gridCol w:w="1172"/>
        <w:gridCol w:w="1340"/>
        <w:gridCol w:w="725"/>
        <w:gridCol w:w="712"/>
        <w:gridCol w:w="683"/>
        <w:gridCol w:w="795"/>
        <w:gridCol w:w="576"/>
        <w:gridCol w:w="741"/>
        <w:gridCol w:w="1102"/>
      </w:tblGrid>
      <w:tr>
        <w:tblPrEx>
          <w:tblCellMar>
            <w:top w:w="0" w:type="dxa"/>
            <w:left w:w="108" w:type="dxa"/>
            <w:bottom w:w="0" w:type="dxa"/>
            <w:right w:w="108" w:type="dxa"/>
          </w:tblCellMar>
        </w:tblPrEx>
        <w:trPr>
          <w:trHeight w:val="904"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499" w:hRule="atLeast"/>
        </w:trPr>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84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51080022T000005197560-公安通讯链路租赁费（单列）</w:t>
            </w:r>
          </w:p>
        </w:tc>
      </w:tr>
      <w:tr>
        <w:tblPrEx>
          <w:tblCellMar>
            <w:top w:w="0" w:type="dxa"/>
            <w:left w:w="108" w:type="dxa"/>
            <w:bottom w:w="0" w:type="dxa"/>
            <w:right w:w="108" w:type="dxa"/>
          </w:tblCellMar>
        </w:tblPrEx>
        <w:trPr>
          <w:trHeight w:val="514" w:hRule="atLeast"/>
        </w:trPr>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63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795"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4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462" w:hRule="atLeast"/>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13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63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21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1759"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63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乙方依照甲方视频专网建设规模，投资光纤电路及路由、交换等设备，达到方案要求，满足甲方业务需要，整体租赁给甲方使用，租赁费用已包括在甲方支付的通信费用中。该项目保障了我市公安通信网络的正常运行。项目内容还有应急指挥平台改造、城市电子监控标清点位改造，交通违法抓拍系统改造、动力系统改造等。本项目提高了城市综合防控能力，提高了城市智能化交通水平，提高了公安科技信息化水平，项目已经建设完成投入使用。</w:t>
            </w:r>
          </w:p>
        </w:tc>
        <w:tc>
          <w:tcPr>
            <w:tcW w:w="321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该项目已投入正常运行，保障了我市公安信息网、互联网、公安视频专网等网络及办公固定电话的正常运行及维护管理。项目内容还包含了应急指挥平台、城市电子监控标清点位，交通违法抓拍系统、动力系统等的运行维护。本项目提高了公安科技信息化水平，提高了城市治安综合防控能力，提高了城市智能交通管理水平。该项目达到合同要求，完成年度目标。</w:t>
            </w:r>
          </w:p>
        </w:tc>
      </w:tr>
      <w:tr>
        <w:tblPrEx>
          <w:tblCellMar>
            <w:top w:w="0" w:type="dxa"/>
            <w:left w:w="108" w:type="dxa"/>
            <w:bottom w:w="0" w:type="dxa"/>
            <w:right w:w="108" w:type="dxa"/>
          </w:tblCellMar>
        </w:tblPrEx>
        <w:trPr>
          <w:trHeight w:val="694"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34"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84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包括市公安局固定语音通话、公安信息网、互联网、公安视频专网以及应急指挥平台、城市电子监控标清点位，交通违法抓拍系统、动力系统等电路和设备的租赁，后期故障处理、每月巡检及应急安保等。</w:t>
            </w:r>
          </w:p>
        </w:tc>
      </w:tr>
      <w:tr>
        <w:tblPrEx>
          <w:tblCellMar>
            <w:top w:w="0" w:type="dxa"/>
            <w:left w:w="108" w:type="dxa"/>
            <w:bottom w:w="0" w:type="dxa"/>
            <w:right w:w="108" w:type="dxa"/>
          </w:tblCellMar>
        </w:tblPrEx>
        <w:trPr>
          <w:trHeight w:val="360" w:hRule="atLeast"/>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1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486.40</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486.40</w:t>
            </w:r>
          </w:p>
        </w:tc>
        <w:tc>
          <w:tcPr>
            <w:tcW w:w="21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472.35</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97.11%</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9.71</w:t>
            </w:r>
          </w:p>
        </w:tc>
        <w:tc>
          <w:tcPr>
            <w:tcW w:w="110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90"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486.40</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486.40</w:t>
            </w:r>
          </w:p>
        </w:tc>
        <w:tc>
          <w:tcPr>
            <w:tcW w:w="21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472.35</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97.11%</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09"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1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60"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1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1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54" w:hRule="atLeast"/>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499"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项目年费</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486.4</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万元/每项目</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472.35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4.86</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其他通信服务内容</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公安的三网通信链路</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54</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条</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54</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其他通信服务运行合格率</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应急联动指挥平台运行合格率</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20"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三网通信畅通运行合格率</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79"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服务响应时间</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小时</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20"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110指挥平台语音通信时间</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24</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小时/天</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24</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79"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网络安全保障时效</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24</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小时/天</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24</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降低公安业务侦查办案成本</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节约自行运维成本</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保障治安防控一体化</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保障智能交通管理</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提高公安科技信息化水平</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交通管理集约化</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服务治安管控长期化</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巡逻防控网格化</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社会公众满意度</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企事业单位满意度</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语音通信使用成本</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87</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87</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网络数据通信成本</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链路租赁运维费用</w:t>
            </w:r>
          </w:p>
        </w:tc>
        <w:tc>
          <w:tcPr>
            <w:tcW w:w="72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300</w:t>
            </w:r>
          </w:p>
        </w:tc>
        <w:tc>
          <w:tcPr>
            <w:tcW w:w="68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9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285.35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trPr>
        <w:tc>
          <w:tcPr>
            <w:tcW w:w="721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99.57</w:t>
            </w:r>
          </w:p>
        </w:tc>
        <w:tc>
          <w:tcPr>
            <w:tcW w:w="1102"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4" w:hRule="atLeast"/>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8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本次项目在预定时间内顺利完成，在目标达成方面，主要指标均已实现。该项目资源利用合理，未出现严重的浪费或短缺情况，整体而言，项目成果显著，为后续工作奠定了良好基础。</w:t>
            </w:r>
          </w:p>
        </w:tc>
      </w:tr>
      <w:tr>
        <w:tblPrEx>
          <w:tblCellMar>
            <w:top w:w="0" w:type="dxa"/>
            <w:left w:w="108" w:type="dxa"/>
            <w:bottom w:w="0" w:type="dxa"/>
            <w:right w:w="108" w:type="dxa"/>
          </w:tblCellMar>
        </w:tblPrEx>
        <w:trPr>
          <w:trHeight w:val="574" w:hRule="atLeast"/>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8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本项目中端设备开始老旧，面临更新换代的问题，保障经费紧张。</w:t>
            </w:r>
          </w:p>
        </w:tc>
      </w:tr>
      <w:tr>
        <w:tblPrEx>
          <w:tblCellMar>
            <w:top w:w="0" w:type="dxa"/>
            <w:left w:w="108" w:type="dxa"/>
            <w:bottom w:w="0" w:type="dxa"/>
            <w:right w:w="108" w:type="dxa"/>
          </w:tblCellMar>
        </w:tblPrEx>
        <w:trPr>
          <w:trHeight w:val="634" w:hRule="atLeast"/>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8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及时规划下一周期项目启动工作，杜绝违反相关程序规定问题的发生。2.加强项目日常运维考核，督促成交供应商按合同高质量履行运维服务。3.建好详细资产管理台帐。4.建议市财政在项目原经费保障的基础上，根据公安业务工作的实际，适度提高项目经费预算。</w:t>
            </w:r>
          </w:p>
        </w:tc>
      </w:tr>
      <w:tr>
        <w:tblPrEx>
          <w:tblCellMar>
            <w:top w:w="0" w:type="dxa"/>
            <w:left w:w="108" w:type="dxa"/>
            <w:bottom w:w="0" w:type="dxa"/>
            <w:right w:w="108" w:type="dxa"/>
          </w:tblCellMar>
        </w:tblPrEx>
        <w:trPr>
          <w:trHeight w:val="90" w:hRule="atLeast"/>
        </w:trPr>
        <w:tc>
          <w:tcPr>
            <w:tcW w:w="50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项目负责人：鲁娟</w:t>
            </w:r>
          </w:p>
        </w:tc>
        <w:tc>
          <w:tcPr>
            <w:tcW w:w="460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szCs w:val="21"/>
        </w:rPr>
      </w:pPr>
    </w:p>
    <w:p>
      <w:pPr>
        <w:pStyle w:val="2"/>
        <w:rPr>
          <w:rFonts w:ascii="仿宋_GB2312" w:hAnsi="仿宋_GB2312" w:eastAsia="仿宋_GB2312" w:cs="仿宋_GB2312"/>
          <w:szCs w:val="21"/>
        </w:rPr>
      </w:pPr>
    </w:p>
    <w:tbl>
      <w:tblPr>
        <w:tblStyle w:val="16"/>
        <w:tblpPr w:leftFromText="180" w:rightFromText="180" w:vertAnchor="text" w:tblpXSpec="center" w:tblpY="1"/>
        <w:tblOverlap w:val="never"/>
        <w:tblW w:w="9638" w:type="dxa"/>
        <w:tblInd w:w="0" w:type="dxa"/>
        <w:tblLayout w:type="autofit"/>
        <w:tblCellMar>
          <w:top w:w="0" w:type="dxa"/>
          <w:left w:w="108" w:type="dxa"/>
          <w:bottom w:w="0" w:type="dxa"/>
          <w:right w:w="108" w:type="dxa"/>
        </w:tblCellMar>
      </w:tblPr>
      <w:tblGrid>
        <w:gridCol w:w="658"/>
        <w:gridCol w:w="1138"/>
        <w:gridCol w:w="1175"/>
        <w:gridCol w:w="1344"/>
        <w:gridCol w:w="684"/>
        <w:gridCol w:w="711"/>
        <w:gridCol w:w="846"/>
        <w:gridCol w:w="935"/>
        <w:gridCol w:w="531"/>
        <w:gridCol w:w="438"/>
        <w:gridCol w:w="1178"/>
      </w:tblGrid>
      <w:tr>
        <w:tblPrEx>
          <w:tblCellMar>
            <w:top w:w="0" w:type="dxa"/>
            <w:left w:w="108" w:type="dxa"/>
            <w:bottom w:w="0" w:type="dxa"/>
            <w:right w:w="108" w:type="dxa"/>
          </w:tblCellMar>
        </w:tblPrEx>
        <w:trPr>
          <w:trHeight w:val="904"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842"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51080023T000008865017-广元市公安局警犬及市消防救援支队搜救犬基地项目养老保险金</w:t>
            </w:r>
          </w:p>
        </w:tc>
      </w:tr>
      <w:tr>
        <w:tblPrEx>
          <w:tblCellMar>
            <w:top w:w="0" w:type="dxa"/>
            <w:left w:w="108" w:type="dxa"/>
            <w:bottom w:w="0" w:type="dxa"/>
            <w:right w:w="108" w:type="dxa"/>
          </w:tblCellMar>
        </w:tblPrEx>
        <w:trPr>
          <w:trHeight w:val="514" w:hRule="atLeast"/>
        </w:trPr>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935"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1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13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082"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709"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3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该项目建设地址位于利州区雪峰片区，用地面积为58.04亩，经利州区社会保险事务中心测算须缴纳养老保险补偿费、失业保险金共计348.057632万元。</w:t>
            </w:r>
          </w:p>
        </w:tc>
        <w:tc>
          <w:tcPr>
            <w:tcW w:w="3082"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按照既定目标，年底完成项目用地失地农民的养老保险补偿费缴纳327.61万元，顺利完成了土地报征组卷工作。</w:t>
            </w:r>
          </w:p>
        </w:tc>
      </w:tr>
      <w:tr>
        <w:tblPrEx>
          <w:tblCellMar>
            <w:top w:w="0" w:type="dxa"/>
            <w:left w:w="108" w:type="dxa"/>
            <w:bottom w:w="0" w:type="dxa"/>
            <w:right w:w="108" w:type="dxa"/>
          </w:tblCellMar>
        </w:tblPrEx>
        <w:trPr>
          <w:trHeight w:val="694"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38"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842"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2023年市公安局向市财政局申请拨付失地农民养老保险金348.06万元，经市政府批准到位348.06万元，到位率100%。资金使用专款专用，资金使用合法合规，严格按照预算进度执行，后因土地范围调整，相应养老保险金也做调整，共支出327.61万元，执行率94.13%。</w:t>
            </w:r>
          </w:p>
        </w:tc>
      </w:tr>
      <w:tr>
        <w:tblPrEx>
          <w:tblCellMar>
            <w:top w:w="0" w:type="dxa"/>
            <w:left w:w="108" w:type="dxa"/>
            <w:bottom w:w="0" w:type="dxa"/>
            <w:right w:w="108" w:type="dxa"/>
          </w:tblCellMar>
        </w:tblPrEx>
        <w:trPr>
          <w:trHeight w:val="360" w:hRule="atLeast"/>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1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24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348.06</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348.06</w:t>
            </w:r>
          </w:p>
        </w:tc>
        <w:tc>
          <w:tcPr>
            <w:tcW w:w="224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327.61</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94.13%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17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90"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348.06</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348.06</w:t>
            </w:r>
          </w:p>
        </w:tc>
        <w:tc>
          <w:tcPr>
            <w:tcW w:w="224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327.61</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94.13%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7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09"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24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7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60"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24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7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24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7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54" w:hRule="atLeast"/>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1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68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454"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完成人员保险缴纳</w:t>
            </w:r>
          </w:p>
        </w:tc>
        <w:tc>
          <w:tcPr>
            <w:tcW w:w="68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31</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人（户）</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31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及时发放率</w:t>
            </w:r>
          </w:p>
        </w:tc>
        <w:tc>
          <w:tcPr>
            <w:tcW w:w="68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609"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按时完成</w:t>
            </w:r>
          </w:p>
        </w:tc>
        <w:tc>
          <w:tcPr>
            <w:tcW w:w="68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提高居民对政府可信度</w:t>
            </w:r>
          </w:p>
        </w:tc>
        <w:tc>
          <w:tcPr>
            <w:tcW w:w="68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生态效益指标</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加固边坡防洪</w:t>
            </w:r>
          </w:p>
        </w:tc>
        <w:tc>
          <w:tcPr>
            <w:tcW w:w="68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90</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89</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还未开工建设</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可持续发展指标</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营商环境提升</w:t>
            </w:r>
          </w:p>
        </w:tc>
        <w:tc>
          <w:tcPr>
            <w:tcW w:w="68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96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保障辖区社会稳定率</w:t>
            </w:r>
          </w:p>
        </w:tc>
        <w:tc>
          <w:tcPr>
            <w:tcW w:w="68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99</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群众满意度</w:t>
            </w:r>
          </w:p>
        </w:tc>
        <w:tc>
          <w:tcPr>
            <w:tcW w:w="68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99</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1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34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养老保险补偿金、失业保险金</w:t>
            </w:r>
          </w:p>
        </w:tc>
        <w:tc>
          <w:tcPr>
            <w:tcW w:w="68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328</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327.61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1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trPr>
        <w:tc>
          <w:tcPr>
            <w:tcW w:w="749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4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99</w:t>
            </w:r>
          </w:p>
        </w:tc>
        <w:tc>
          <w:tcPr>
            <w:tcW w:w="1178"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4" w:hRule="atLeast"/>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8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项目实施确保了市公安局警犬及市消防救援支队搜救犬基地项目的顺利实施，经自评，该项目得99分。</w:t>
            </w:r>
          </w:p>
        </w:tc>
      </w:tr>
      <w:tr>
        <w:tblPrEx>
          <w:tblCellMar>
            <w:top w:w="0" w:type="dxa"/>
            <w:left w:w="108" w:type="dxa"/>
            <w:bottom w:w="0" w:type="dxa"/>
            <w:right w:w="108" w:type="dxa"/>
          </w:tblCellMar>
        </w:tblPrEx>
        <w:trPr>
          <w:trHeight w:val="574" w:hRule="atLeast"/>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8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无。</w:t>
            </w:r>
          </w:p>
        </w:tc>
      </w:tr>
      <w:tr>
        <w:tblPrEx>
          <w:tblCellMar>
            <w:top w:w="0" w:type="dxa"/>
            <w:left w:w="108" w:type="dxa"/>
            <w:bottom w:w="0" w:type="dxa"/>
            <w:right w:w="108" w:type="dxa"/>
          </w:tblCellMar>
        </w:tblPrEx>
        <w:trPr>
          <w:trHeight w:val="634" w:hRule="atLeast"/>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8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无。</w:t>
            </w:r>
          </w:p>
        </w:tc>
      </w:tr>
      <w:tr>
        <w:tblPrEx>
          <w:tblCellMar>
            <w:top w:w="0" w:type="dxa"/>
            <w:left w:w="108" w:type="dxa"/>
            <w:bottom w:w="0" w:type="dxa"/>
            <w:right w:w="108" w:type="dxa"/>
          </w:tblCellMar>
        </w:tblPrEx>
        <w:trPr>
          <w:trHeight w:val="285" w:hRule="atLeast"/>
        </w:trPr>
        <w:tc>
          <w:tcPr>
            <w:tcW w:w="49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项目负责人：蒲霄</w:t>
            </w:r>
          </w:p>
        </w:tc>
        <w:tc>
          <w:tcPr>
            <w:tcW w:w="463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szCs w:val="21"/>
        </w:rPr>
      </w:pPr>
    </w:p>
    <w:p>
      <w:pPr>
        <w:pStyle w:val="2"/>
        <w:rPr>
          <w:rFonts w:ascii="仿宋_GB2312" w:hAnsi="仿宋_GB2312" w:eastAsia="仿宋_GB2312" w:cs="仿宋_GB2312"/>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698"/>
        <w:gridCol w:w="1187"/>
        <w:gridCol w:w="1019"/>
        <w:gridCol w:w="1180"/>
        <w:gridCol w:w="705"/>
        <w:gridCol w:w="971"/>
        <w:gridCol w:w="694"/>
        <w:gridCol w:w="935"/>
        <w:gridCol w:w="531"/>
        <w:gridCol w:w="437"/>
        <w:gridCol w:w="1281"/>
      </w:tblGrid>
      <w:tr>
        <w:tblPrEx>
          <w:tblCellMar>
            <w:top w:w="0" w:type="dxa"/>
            <w:left w:w="108" w:type="dxa"/>
            <w:bottom w:w="0" w:type="dxa"/>
            <w:right w:w="108" w:type="dxa"/>
          </w:tblCellMar>
        </w:tblPrEx>
        <w:trPr>
          <w:trHeight w:val="420"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753"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51080022T000007433591-广元市七盘关公安检查站建设项目</w:t>
            </w:r>
          </w:p>
        </w:tc>
      </w:tr>
      <w:tr>
        <w:tblPrEx>
          <w:tblCellMar>
            <w:top w:w="0" w:type="dxa"/>
            <w:left w:w="108" w:type="dxa"/>
            <w:bottom w:w="0" w:type="dxa"/>
            <w:right w:w="108" w:type="dxa"/>
          </w:tblCellMar>
        </w:tblPrEx>
        <w:trPr>
          <w:trHeight w:val="514" w:hRule="atLeast"/>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569"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935"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2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trPr>
        <w:tc>
          <w:tcPr>
            <w:tcW w:w="69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18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569"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18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1129"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8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569"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建设内容主要为新建建筑面积950平方米及道路、检查场地等附属工程，总投资797万元。该项目2017年1月开工，2018年6月竣工，现已交付使用。2022年4月已完成项目竣工财务决算，已拨付到位资金548.16万元，2022年预算支付资金125.104万元，主要用于工程款10.9753万元（含316982.65元工程质量保证金，质保期已满）和设计费等待摊费4.1287万元。</w:t>
            </w:r>
          </w:p>
        </w:tc>
        <w:tc>
          <w:tcPr>
            <w:tcW w:w="318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xml:space="preserve">    该项目2022年4月已完成项目竣工财务决算，1.34万元为结余资金。建议财政收回。</w:t>
            </w:r>
          </w:p>
        </w:tc>
      </w:tr>
      <w:tr>
        <w:tblPrEx>
          <w:tblCellMar>
            <w:top w:w="0" w:type="dxa"/>
            <w:left w:w="108" w:type="dxa"/>
            <w:bottom w:w="0" w:type="dxa"/>
            <w:right w:w="108" w:type="dxa"/>
          </w:tblCellMar>
        </w:tblPrEx>
        <w:trPr>
          <w:trHeight w:val="375"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87"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753"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2022年4月已完成项目竣工财务决算，项目结余资金1.34万元建议财政收回。</w:t>
            </w:r>
          </w:p>
        </w:tc>
      </w:tr>
      <w:tr>
        <w:tblPrEx>
          <w:tblCellMar>
            <w:top w:w="0" w:type="dxa"/>
            <w:left w:w="108" w:type="dxa"/>
            <w:bottom w:w="0" w:type="dxa"/>
            <w:right w:w="108" w:type="dxa"/>
          </w:tblCellMar>
        </w:tblPrEx>
        <w:trPr>
          <w:trHeight w:val="360" w:hRule="atLeast"/>
        </w:trPr>
        <w:tc>
          <w:tcPr>
            <w:tcW w:w="69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18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0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37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240"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0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1.34</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1.34</w:t>
            </w:r>
          </w:p>
        </w:tc>
        <w:tc>
          <w:tcPr>
            <w:tcW w:w="237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128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xml:space="preserve">    该项目2022年4月已完成项目竣工财务决算，1.34万元为结余资金。建议财政收回。</w:t>
            </w:r>
          </w:p>
        </w:tc>
      </w:tr>
      <w:tr>
        <w:tblPrEx>
          <w:tblCellMar>
            <w:top w:w="0" w:type="dxa"/>
            <w:left w:w="108" w:type="dxa"/>
            <w:bottom w:w="0" w:type="dxa"/>
            <w:right w:w="108" w:type="dxa"/>
          </w:tblCellMar>
        </w:tblPrEx>
        <w:trPr>
          <w:trHeight w:val="300"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0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1.34</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1.34</w:t>
            </w:r>
          </w:p>
        </w:tc>
        <w:tc>
          <w:tcPr>
            <w:tcW w:w="237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81" w:type="dxa"/>
            <w:vMerge w:val="continue"/>
            <w:tcBorders>
              <w:top w:val="nil"/>
              <w:left w:val="single" w:color="000000" w:sz="4" w:space="0"/>
              <w:bottom w:val="single" w:color="000000" w:sz="4" w:space="0"/>
              <w:right w:val="single" w:color="000000" w:sz="4" w:space="0"/>
            </w:tcBorders>
            <w:shd w:val="clear" w:color="auto" w:fill="auto"/>
            <w:vAlign w:val="center"/>
          </w:tcPr>
          <w:p>
            <w:pPr>
              <w:jc w:val="left"/>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345"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0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37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81" w:type="dxa"/>
            <w:vMerge w:val="continue"/>
            <w:tcBorders>
              <w:top w:val="nil"/>
              <w:left w:val="single" w:color="000000" w:sz="4" w:space="0"/>
              <w:bottom w:val="single" w:color="000000" w:sz="4" w:space="0"/>
              <w:right w:val="single" w:color="000000" w:sz="4" w:space="0"/>
            </w:tcBorders>
            <w:shd w:val="clear" w:color="auto" w:fill="auto"/>
            <w:vAlign w:val="center"/>
          </w:tcPr>
          <w:p>
            <w:pPr>
              <w:jc w:val="left"/>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360"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0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37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81" w:type="dxa"/>
            <w:vMerge w:val="continue"/>
            <w:tcBorders>
              <w:top w:val="nil"/>
              <w:left w:val="single" w:color="000000" w:sz="4" w:space="0"/>
              <w:bottom w:val="single" w:color="000000" w:sz="4" w:space="0"/>
              <w:right w:val="single" w:color="000000" w:sz="4" w:space="0"/>
            </w:tcBorders>
            <w:shd w:val="clear" w:color="auto" w:fill="auto"/>
            <w:vAlign w:val="center"/>
          </w:tcPr>
          <w:p>
            <w:pPr>
              <w:jc w:val="left"/>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225"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0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37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81" w:type="dxa"/>
            <w:vMerge w:val="continue"/>
            <w:tcBorders>
              <w:top w:val="nil"/>
              <w:left w:val="single" w:color="000000" w:sz="4" w:space="0"/>
              <w:bottom w:val="single" w:color="000000" w:sz="4" w:space="0"/>
              <w:right w:val="single" w:color="000000" w:sz="4" w:space="0"/>
            </w:tcBorders>
            <w:shd w:val="clear" w:color="auto" w:fill="auto"/>
            <w:vAlign w:val="center"/>
          </w:tcPr>
          <w:p>
            <w:pPr>
              <w:jc w:val="left"/>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360" w:hRule="atLeast"/>
        </w:trPr>
        <w:tc>
          <w:tcPr>
            <w:tcW w:w="69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18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0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345"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0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检查场地</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1200</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平方米</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00"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匝道</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1590</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平方米</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1590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55"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运行使用情况良好率</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建筑合格率</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按进度支付所有预算费用</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0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带动固定资产投资增长额</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0.3</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带动就业率增长</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满足治安查缉反恐需要</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生态效益指标</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绿化达标</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0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业务警种满意度</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周边群众满意度</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0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审计费等待摊费用</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4.1287</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4.1287</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8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工程费用</w:t>
            </w:r>
          </w:p>
        </w:tc>
        <w:tc>
          <w:tcPr>
            <w:tcW w:w="7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120.9753</w:t>
            </w:r>
          </w:p>
        </w:tc>
        <w:tc>
          <w:tcPr>
            <w:tcW w:w="69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9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119.6353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trPr>
        <w:tc>
          <w:tcPr>
            <w:tcW w:w="738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437" w:type="dxa"/>
            <w:tcBorders>
              <w:top w:val="nil"/>
              <w:left w:val="nil"/>
              <w:bottom w:val="single" w:color="000000" w:sz="4" w:space="0"/>
              <w:right w:val="single" w:color="000000" w:sz="4" w:space="0"/>
            </w:tcBorders>
            <w:shd w:val="clear" w:color="auto" w:fill="auto"/>
            <w:vAlign w:val="center"/>
          </w:tcPr>
          <w:p>
            <w:pPr>
              <w:widowControl/>
              <w:jc w:val="righ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90</w:t>
            </w:r>
          </w:p>
        </w:tc>
        <w:tc>
          <w:tcPr>
            <w:tcW w:w="1281"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405" w:hRule="atLeast"/>
        </w:trPr>
        <w:tc>
          <w:tcPr>
            <w:tcW w:w="69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自评90分，预算资金1.34万元为项目结余资金。</w:t>
            </w:r>
          </w:p>
        </w:tc>
      </w:tr>
      <w:tr>
        <w:tblPrEx>
          <w:tblCellMar>
            <w:top w:w="0" w:type="dxa"/>
            <w:left w:w="108" w:type="dxa"/>
            <w:bottom w:w="0" w:type="dxa"/>
            <w:right w:w="108" w:type="dxa"/>
          </w:tblCellMar>
        </w:tblPrEx>
        <w:trPr>
          <w:trHeight w:val="435" w:hRule="atLeast"/>
        </w:trPr>
        <w:tc>
          <w:tcPr>
            <w:tcW w:w="69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无</w:t>
            </w:r>
          </w:p>
        </w:tc>
      </w:tr>
      <w:tr>
        <w:tblPrEx>
          <w:tblCellMar>
            <w:top w:w="0" w:type="dxa"/>
            <w:left w:w="108" w:type="dxa"/>
            <w:bottom w:w="0" w:type="dxa"/>
            <w:right w:w="108" w:type="dxa"/>
          </w:tblCellMar>
        </w:tblPrEx>
        <w:trPr>
          <w:trHeight w:val="405" w:hRule="atLeast"/>
        </w:trPr>
        <w:tc>
          <w:tcPr>
            <w:tcW w:w="69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建议财政收回结余资金。</w:t>
            </w:r>
          </w:p>
        </w:tc>
      </w:tr>
      <w:tr>
        <w:tblPrEx>
          <w:tblCellMar>
            <w:top w:w="0" w:type="dxa"/>
            <w:left w:w="108" w:type="dxa"/>
            <w:bottom w:w="0" w:type="dxa"/>
            <w:right w:w="108" w:type="dxa"/>
          </w:tblCellMar>
        </w:tblPrEx>
        <w:trPr>
          <w:trHeight w:val="285" w:hRule="atLeast"/>
        </w:trPr>
        <w:tc>
          <w:tcPr>
            <w:tcW w:w="47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项目负责人：黄金光</w:t>
            </w:r>
          </w:p>
        </w:tc>
        <w:tc>
          <w:tcPr>
            <w:tcW w:w="484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szCs w:val="21"/>
        </w:rPr>
      </w:pPr>
    </w:p>
    <w:p>
      <w:pPr>
        <w:pStyle w:val="2"/>
        <w:rPr>
          <w:rFonts w:ascii="仿宋_GB2312" w:hAnsi="仿宋_GB2312" w:eastAsia="仿宋_GB2312" w:cs="仿宋_GB2312"/>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819"/>
        <w:gridCol w:w="1030"/>
        <w:gridCol w:w="953"/>
        <w:gridCol w:w="1162"/>
        <w:gridCol w:w="660"/>
        <w:gridCol w:w="1021"/>
        <w:gridCol w:w="846"/>
        <w:gridCol w:w="1068"/>
        <w:gridCol w:w="531"/>
        <w:gridCol w:w="531"/>
        <w:gridCol w:w="1017"/>
      </w:tblGrid>
      <w:tr>
        <w:tblPrEx>
          <w:tblCellMar>
            <w:top w:w="0" w:type="dxa"/>
            <w:left w:w="108" w:type="dxa"/>
            <w:bottom w:w="0" w:type="dxa"/>
            <w:right w:w="108" w:type="dxa"/>
          </w:tblCellMar>
        </w:tblPrEx>
        <w:trPr>
          <w:trHeight w:val="904"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18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789"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51080023T000009767171-监管中心医疗服务及药品费（2023年上半年）</w:t>
            </w:r>
          </w:p>
        </w:tc>
      </w:tr>
      <w:tr>
        <w:tblPrEx>
          <w:tblCellMar>
            <w:top w:w="0" w:type="dxa"/>
            <w:left w:w="108" w:type="dxa"/>
            <w:bottom w:w="0" w:type="dxa"/>
            <w:right w:w="108" w:type="dxa"/>
          </w:tblCellMar>
        </w:tblPrEx>
        <w:trPr>
          <w:trHeight w:val="514" w:hRule="atLeast"/>
        </w:trPr>
        <w:tc>
          <w:tcPr>
            <w:tcW w:w="18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64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1068"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600" w:hRule="atLeast"/>
        </w:trPr>
        <w:tc>
          <w:tcPr>
            <w:tcW w:w="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03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64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147"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1170"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64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提升监所医疗基础保障水平，确保监所医疗工作高效运行，保障在押（拘戒）人员的生命健康，维护监所平安稳定。</w:t>
            </w:r>
          </w:p>
        </w:tc>
        <w:tc>
          <w:tcPr>
            <w:tcW w:w="3147"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2023年上半年切实履行监所医疗职责，提升监所医疗救治能力水平，确保日常检所医疗工作高效运行，保障在押（拘戒）人员的生命健康合法权益。目标完成率100%</w:t>
            </w:r>
          </w:p>
        </w:tc>
      </w:tr>
      <w:tr>
        <w:tblPrEx>
          <w:tblCellMar>
            <w:top w:w="0" w:type="dxa"/>
            <w:left w:w="108" w:type="dxa"/>
            <w:bottom w:w="0" w:type="dxa"/>
            <w:right w:w="108" w:type="dxa"/>
          </w:tblCellMar>
        </w:tblPrEx>
        <w:trPr>
          <w:trHeight w:val="600"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789"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切实履行监所医疗职责，提升监所医疗救治能力水平，确保日常检所医疗工作高效运行，保障在押（拘戒）人员的生命健康合法权益。</w:t>
            </w:r>
          </w:p>
        </w:tc>
      </w:tr>
      <w:tr>
        <w:tblPrEx>
          <w:tblCellMar>
            <w:top w:w="0" w:type="dxa"/>
            <w:left w:w="108" w:type="dxa"/>
            <w:bottom w:w="0" w:type="dxa"/>
            <w:right w:w="108" w:type="dxa"/>
          </w:tblCellMar>
        </w:tblPrEx>
        <w:trPr>
          <w:trHeight w:val="600" w:hRule="atLeast"/>
        </w:trPr>
        <w:tc>
          <w:tcPr>
            <w:tcW w:w="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03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9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52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9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93.50</w:t>
            </w:r>
          </w:p>
        </w:tc>
        <w:tc>
          <w:tcPr>
            <w:tcW w:w="252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93.50</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01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9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93.50</w:t>
            </w:r>
          </w:p>
        </w:tc>
        <w:tc>
          <w:tcPr>
            <w:tcW w:w="252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93.50</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9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52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9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52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9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52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99" w:hRule="atLeast"/>
        </w:trPr>
        <w:tc>
          <w:tcPr>
            <w:tcW w:w="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03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9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9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开展健康宣传</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场次</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派遣医护人员（月人次）</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280</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人次</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330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发药数量（月均）</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万尾（粒）</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诊治在押人数（月人次）</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1165</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人次</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1227</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治愈率</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就医率</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给药率</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就医时限</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分钟</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重大疾病转院时间</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分钟</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日常给药时间</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分钟</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9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减少复吸毒品支出</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260</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260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减轻财政负担</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230</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230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减轻单位送医支出</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维护公平正义</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保护被监管人员合法权益</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生态效益指标</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减少医疗废物</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9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被监管人员家属满意度</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被监管人员满意度</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管教民警满意度</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9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人员工资（治疗服务费）</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65</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门诊检查治疗费用</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59878.7</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元</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59878.7</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药品费</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60068.57</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元</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60068.57</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医疗耗材费用</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16943.5</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元</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16943.5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住院费用</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93089.52</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元</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93089.52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1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设备租赁</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5.5</w:t>
            </w:r>
          </w:p>
        </w:tc>
        <w:tc>
          <w:tcPr>
            <w:tcW w:w="8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0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5.5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01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7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1017"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0" w:hRule="atLeast"/>
        </w:trPr>
        <w:tc>
          <w:tcPr>
            <w:tcW w:w="819"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81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广元市监管中心、广元市看守所、广元市拘留所、广元市强戒所以及广元市第二人民医院的领导支持下，在各位一线民警与医护人员的密切配合下，监管中心医务室2023年上半年的日常监所医疗卫生工作总体运行正常。上半年无特殊不良事件发生。</w:t>
            </w:r>
          </w:p>
        </w:tc>
      </w:tr>
      <w:tr>
        <w:tblPrEx>
          <w:tblCellMar>
            <w:top w:w="0" w:type="dxa"/>
            <w:left w:w="108" w:type="dxa"/>
            <w:bottom w:w="0" w:type="dxa"/>
            <w:right w:w="108" w:type="dxa"/>
          </w:tblCellMar>
        </w:tblPrEx>
        <w:trPr>
          <w:trHeight w:val="600" w:hRule="atLeast"/>
        </w:trPr>
        <w:tc>
          <w:tcPr>
            <w:tcW w:w="819"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81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监管中心医疗救治群体与医院内救治群体对象不同，故而医务人员在工作中的预判能力存在提升空间，高危风险因素估排能力有待提升，医务室规范化、制度和建设有待进一步加强。</w:t>
            </w:r>
          </w:p>
        </w:tc>
      </w:tr>
      <w:tr>
        <w:tblPrEx>
          <w:tblCellMar>
            <w:top w:w="0" w:type="dxa"/>
            <w:left w:w="108" w:type="dxa"/>
            <w:bottom w:w="0" w:type="dxa"/>
            <w:right w:w="108" w:type="dxa"/>
          </w:tblCellMar>
        </w:tblPrEx>
        <w:trPr>
          <w:trHeight w:val="600" w:hRule="atLeast"/>
        </w:trPr>
        <w:tc>
          <w:tcPr>
            <w:tcW w:w="819"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81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组织监管中心医务工作者认真学习相关法律法规、工作纪律，继续实行严格化管理措施，继续保持岗位要求的警惕性，继续加强防范重大风险的责任心，加强医务工作者与警务工作者的配合。</w:t>
            </w:r>
          </w:p>
        </w:tc>
      </w:tr>
      <w:tr>
        <w:tblPrEx>
          <w:tblCellMar>
            <w:top w:w="0" w:type="dxa"/>
            <w:left w:w="108" w:type="dxa"/>
            <w:bottom w:w="0" w:type="dxa"/>
            <w:right w:w="108" w:type="dxa"/>
          </w:tblCellMar>
        </w:tblPrEx>
        <w:trPr>
          <w:trHeight w:val="600" w:hRule="atLeast"/>
        </w:trPr>
        <w:tc>
          <w:tcPr>
            <w:tcW w:w="46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项目负责人：张彦</w:t>
            </w:r>
          </w:p>
        </w:tc>
        <w:tc>
          <w:tcPr>
            <w:tcW w:w="5014"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szCs w:val="21"/>
        </w:rPr>
      </w:pPr>
    </w:p>
    <w:p>
      <w:pPr>
        <w:pStyle w:val="2"/>
        <w:rPr>
          <w:rFonts w:ascii="仿宋_GB2312" w:hAnsi="仿宋_GB2312" w:eastAsia="仿宋_GB2312" w:cs="仿宋_GB2312"/>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787"/>
        <w:gridCol w:w="1001"/>
        <w:gridCol w:w="903"/>
        <w:gridCol w:w="1254"/>
        <w:gridCol w:w="649"/>
        <w:gridCol w:w="1028"/>
        <w:gridCol w:w="942"/>
        <w:gridCol w:w="1161"/>
        <w:gridCol w:w="531"/>
        <w:gridCol w:w="531"/>
        <w:gridCol w:w="851"/>
      </w:tblGrid>
      <w:tr>
        <w:tblPrEx>
          <w:tblCellMar>
            <w:top w:w="0" w:type="dxa"/>
            <w:left w:w="108" w:type="dxa"/>
            <w:bottom w:w="0" w:type="dxa"/>
            <w:right w:w="108" w:type="dxa"/>
          </w:tblCellMar>
        </w:tblPrEx>
        <w:trPr>
          <w:trHeight w:val="904"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85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51080023T000009876317-监管中心医疗服务及药品费（下半年）</w:t>
            </w:r>
          </w:p>
        </w:tc>
      </w:tr>
      <w:tr>
        <w:tblPrEx>
          <w:tblCellMar>
            <w:top w:w="0" w:type="dxa"/>
            <w:left w:w="108" w:type="dxa"/>
            <w:bottom w:w="0" w:type="dxa"/>
            <w:right w:w="108" w:type="dxa"/>
          </w:tblCellMar>
        </w:tblPrEx>
        <w:trPr>
          <w:trHeight w:val="514"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77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1161"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1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trPr>
        <w:tc>
          <w:tcPr>
            <w:tcW w:w="78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00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77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07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1830"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77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根据公通字[2009]60号《公安部 卫生部关于切实加强和改进公安监管场所医疗卫生工作的通知》“积极探索公安监管场所医疗卫生工作社会化模式”和公监管[2015]6号关于贯彻落实《公安部 国家卫生计生委关于印发〈公安监管场所医疗卫生专业化建设工作方案〉的通知》的通知“公安监所根据本所实际妥善合理地安排社会医护力量”。本项目的目的是将监所医疗卫生工作的责任主体转交给社会医院负责，实现公安监管医疗卫生专业化社会化，极大提升监所医疗基础保障水平，确保监所医疗工作安全高效运行，保障在押（拘戒）人员的生命健康合法权益，最大化减少在押（拘戒）人员出所就医脱逃风险，维护监所平安稳定。其中医疗服务费70.5万元，药品费实报实销。</w:t>
            </w:r>
          </w:p>
        </w:tc>
        <w:tc>
          <w:tcPr>
            <w:tcW w:w="307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2023年下半年监所医务室运行情况，提前制定安排下半年工作员，切实履行监所医疗职责，提升监所医疗救治能力水平，确保日常监所医疗工作高效运行，保障在押（拘戒）人员的生命监控合法权益。目标完成率为100%</w:t>
            </w:r>
          </w:p>
        </w:tc>
      </w:tr>
      <w:tr>
        <w:tblPrEx>
          <w:tblCellMar>
            <w:top w:w="0" w:type="dxa"/>
            <w:left w:w="108" w:type="dxa"/>
            <w:bottom w:w="0" w:type="dxa"/>
            <w:right w:w="108" w:type="dxa"/>
          </w:tblCellMar>
        </w:tblPrEx>
        <w:trPr>
          <w:trHeight w:val="600"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01"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85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结合上半年监所医务室运行情况，提前制定安排下半年工作员，切实履行监所医疗职责，提升监所医疗救治能力水平，确保日常监所医疗工作高效运行，保障在押（拘戒）人员的生命监控合法权益。</w:t>
            </w:r>
          </w:p>
        </w:tc>
      </w:tr>
      <w:tr>
        <w:tblPrEx>
          <w:tblCellMar>
            <w:top w:w="0" w:type="dxa"/>
            <w:left w:w="108" w:type="dxa"/>
            <w:bottom w:w="0" w:type="dxa"/>
            <w:right w:w="108" w:type="dxa"/>
          </w:tblCellMar>
        </w:tblPrEx>
        <w:trPr>
          <w:trHeight w:val="559" w:hRule="atLeast"/>
        </w:trPr>
        <w:tc>
          <w:tcPr>
            <w:tcW w:w="78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00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61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120.49</w:t>
            </w:r>
          </w:p>
        </w:tc>
        <w:tc>
          <w:tcPr>
            <w:tcW w:w="261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120.49</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85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120.49</w:t>
            </w:r>
          </w:p>
        </w:tc>
        <w:tc>
          <w:tcPr>
            <w:tcW w:w="261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120.49</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5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61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5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61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5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61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5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559" w:hRule="atLeast"/>
        </w:trPr>
        <w:tc>
          <w:tcPr>
            <w:tcW w:w="78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00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90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发药数量（月均）</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万尾（粒）</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开展健康宣传</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场次</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诊治在押人数（月人次）</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人次</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1868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派遣医护人员（月人次）</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280</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人次</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330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给药率</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就医率</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治愈率</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就医时限</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分钟</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重大疾病转院时间</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分钟</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日常给药时间</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分钟</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减轻单位送医支出</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维护被监管人员合法权益</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生态效益指标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减少医疗废物</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保护在所在押人员身体健康</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90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在押人员家属满意度</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在所在押人员满意度</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90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药品费</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499860.15</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元</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499860.15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设备租赁</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5.5</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8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0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人员工资（治疗服务费）</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65</w:t>
            </w:r>
          </w:p>
        </w:tc>
        <w:tc>
          <w:tcPr>
            <w:tcW w:w="94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559" w:hRule="atLeast"/>
        </w:trPr>
        <w:tc>
          <w:tcPr>
            <w:tcW w:w="77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righ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851"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559" w:hRule="atLeast"/>
        </w:trPr>
        <w:tc>
          <w:tcPr>
            <w:tcW w:w="787"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851"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在各级领导支撑下，在监所工作人员的密切配合下，“早准备、精谋划、细安排、重落实”，监管中心医务室2023年下半年的日常监所医疗卫生工作总体运行正常。下半年无特殊不良事件发生。</w:t>
            </w:r>
          </w:p>
        </w:tc>
      </w:tr>
      <w:tr>
        <w:tblPrEx>
          <w:tblCellMar>
            <w:top w:w="0" w:type="dxa"/>
            <w:left w:w="108" w:type="dxa"/>
            <w:bottom w:w="0" w:type="dxa"/>
            <w:right w:w="108" w:type="dxa"/>
          </w:tblCellMar>
        </w:tblPrEx>
        <w:trPr>
          <w:trHeight w:val="559" w:hRule="atLeast"/>
        </w:trPr>
        <w:tc>
          <w:tcPr>
            <w:tcW w:w="787"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851"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医务室从业医务人员不稳定，在更换轮转期间易出现岗位职责不明确、细节处理不到位的情况发生。在日常医疗工作中，面对就医的复杂人群，预判预估能力不足，高位风险因素估排能力有待提升，医务室规范化和制度化发展还存在一定问题。</w:t>
            </w:r>
          </w:p>
        </w:tc>
      </w:tr>
      <w:tr>
        <w:tblPrEx>
          <w:tblCellMar>
            <w:top w:w="0" w:type="dxa"/>
            <w:left w:w="108" w:type="dxa"/>
            <w:bottom w:w="0" w:type="dxa"/>
            <w:right w:w="108" w:type="dxa"/>
          </w:tblCellMar>
        </w:tblPrEx>
        <w:trPr>
          <w:trHeight w:val="559" w:hRule="atLeast"/>
        </w:trPr>
        <w:tc>
          <w:tcPr>
            <w:tcW w:w="787"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851"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常态化组织全体医务室工作人员认真学习相关工作要求，随时梳理日常工作中存在的问题，按照卫生行业从业标准，参考监所特殊要求，增加监所医疗人员的业务学习培训，制定相关工作预案及处置流程，从思想上、行为上继续实行严格化管理措施。</w:t>
            </w:r>
          </w:p>
        </w:tc>
      </w:tr>
      <w:tr>
        <w:tblPrEx>
          <w:tblCellMar>
            <w:top w:w="0" w:type="dxa"/>
            <w:left w:w="108" w:type="dxa"/>
            <w:bottom w:w="0" w:type="dxa"/>
            <w:right w:w="108" w:type="dxa"/>
          </w:tblCellMar>
        </w:tblPrEx>
        <w:trPr>
          <w:trHeight w:val="600" w:hRule="atLeast"/>
        </w:trPr>
        <w:tc>
          <w:tcPr>
            <w:tcW w:w="45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项目负责人：张彦</w:t>
            </w:r>
          </w:p>
        </w:tc>
        <w:tc>
          <w:tcPr>
            <w:tcW w:w="5044"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szCs w:val="21"/>
        </w:rPr>
      </w:pPr>
    </w:p>
    <w:tbl>
      <w:tblPr>
        <w:tblStyle w:val="16"/>
        <w:tblpPr w:leftFromText="180" w:rightFromText="180" w:vertAnchor="text" w:tblpXSpec="center" w:tblpY="1"/>
        <w:tblOverlap w:val="never"/>
        <w:tblW w:w="9638" w:type="dxa"/>
        <w:jc w:val="center"/>
        <w:tblLayout w:type="autofit"/>
        <w:tblCellMar>
          <w:top w:w="0" w:type="dxa"/>
          <w:left w:w="108" w:type="dxa"/>
          <w:bottom w:w="0" w:type="dxa"/>
          <w:right w:w="108" w:type="dxa"/>
        </w:tblCellMar>
      </w:tblPr>
      <w:tblGrid>
        <w:gridCol w:w="674"/>
        <w:gridCol w:w="1413"/>
        <w:gridCol w:w="1221"/>
        <w:gridCol w:w="1503"/>
        <w:gridCol w:w="683"/>
        <w:gridCol w:w="718"/>
        <w:gridCol w:w="707"/>
        <w:gridCol w:w="682"/>
        <w:gridCol w:w="531"/>
        <w:gridCol w:w="531"/>
        <w:gridCol w:w="975"/>
      </w:tblGrid>
      <w:tr>
        <w:tblPrEx>
          <w:tblCellMar>
            <w:top w:w="0" w:type="dxa"/>
            <w:left w:w="108" w:type="dxa"/>
            <w:bottom w:w="0" w:type="dxa"/>
            <w:right w:w="108" w:type="dxa"/>
          </w:tblCellMar>
        </w:tblPrEx>
        <w:trPr>
          <w:trHeight w:val="904" w:hRule="atLeast"/>
          <w:jc w:val="center"/>
        </w:trPr>
        <w:tc>
          <w:tcPr>
            <w:tcW w:w="963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551"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51080021T000000055267-教育训练经费</w:t>
            </w:r>
          </w:p>
        </w:tc>
      </w:tr>
      <w:tr>
        <w:tblPrEx>
          <w:tblCellMar>
            <w:top w:w="0" w:type="dxa"/>
            <w:left w:w="108" w:type="dxa"/>
            <w:bottom w:w="0" w:type="dxa"/>
            <w:right w:w="108" w:type="dxa"/>
          </w:tblCellMar>
        </w:tblPrEx>
        <w:trPr>
          <w:trHeight w:val="514"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832"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682"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03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390" w:hRule="atLeast"/>
          <w:jc w:val="center"/>
        </w:trPr>
        <w:tc>
          <w:tcPr>
            <w:tcW w:w="67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832"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27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2280"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4832"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民警专项业务技能培训及警衔晋升培训是公安部在公安教育方面所作出的一项重大决策,它对于贯彻党的路线、方针政策，更好地完成公安任务；对于提高公安民警整体素质和公安工作水平，加强公安队伍建设，培养政治合格，纪律严明、作风过硬、业务精通、执法如山的党和人民的忠诚卫士具有重要意义。</w:t>
            </w:r>
          </w:p>
        </w:tc>
        <w:tc>
          <w:tcPr>
            <w:tcW w:w="2719"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培训过程中，很好的贯彻了党的路线、方针政策，更好的完成了公安任务；提高了公安民警整体素质和公安工作水平，加强了公安队伍建设，培养了一批政治合格，纪律严明、作风过硬、业务精通、执法如山的党和人民的忠诚卫士。</w:t>
            </w:r>
          </w:p>
        </w:tc>
      </w:tr>
      <w:tr>
        <w:tblPrEx>
          <w:tblCellMar>
            <w:top w:w="0" w:type="dxa"/>
            <w:left w:w="108" w:type="dxa"/>
            <w:bottom w:w="0" w:type="dxa"/>
            <w:right w:w="108" w:type="dxa"/>
          </w:tblCellMar>
        </w:tblPrEx>
        <w:trPr>
          <w:trHeight w:val="825"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14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551" w:type="dxa"/>
            <w:gridSpan w:val="9"/>
            <w:tcBorders>
              <w:top w:val="single" w:color="auto" w:sz="4" w:space="0"/>
              <w:left w:val="nil"/>
              <w:bottom w:val="single" w:color="auto"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根据市局机关民警训练计划安排，按照训练经费的相关标准，经报局领导同意，划拨年度教育训练经费30万，统筹民警训练经费支出，在实施过程中，严格按照相关财务管理规定，坚持专款专用，确保资金的合理使用。</w:t>
            </w:r>
          </w:p>
        </w:tc>
      </w:tr>
      <w:tr>
        <w:tblPrEx>
          <w:tblCellMar>
            <w:top w:w="0" w:type="dxa"/>
            <w:left w:w="108" w:type="dxa"/>
            <w:bottom w:w="0" w:type="dxa"/>
            <w:right w:w="108" w:type="dxa"/>
          </w:tblCellMar>
        </w:tblPrEx>
        <w:trPr>
          <w:trHeight w:val="720" w:hRule="atLeast"/>
          <w:jc w:val="center"/>
        </w:trPr>
        <w:tc>
          <w:tcPr>
            <w:tcW w:w="67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41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22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10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22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210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9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90"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22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210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5"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409"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22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210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5"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360"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22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210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5"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22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210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75"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454" w:hRule="atLeast"/>
          <w:jc w:val="center"/>
        </w:trPr>
        <w:tc>
          <w:tcPr>
            <w:tcW w:w="67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41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22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2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培训期次</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期</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培训人数</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人次</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合格率</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0.98</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培训率</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培训时间</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180</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180</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2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接处警规范</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增强打击违法犯罪能力</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护航经济环境</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提升实战处置</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增强民警警务能力</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2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群众满意度</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0.95</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民警满意度</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0.95</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参训民警单位满意度</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90</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0.9</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2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伙食费</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18</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18</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课酬费</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41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22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其他运行费</w:t>
            </w:r>
          </w:p>
        </w:tc>
        <w:tc>
          <w:tcPr>
            <w:tcW w:w="68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70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68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285" w:hRule="atLeast"/>
          <w:jc w:val="center"/>
        </w:trPr>
        <w:tc>
          <w:tcPr>
            <w:tcW w:w="760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9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1035" w:hRule="atLeast"/>
          <w:jc w:val="center"/>
        </w:trPr>
        <w:tc>
          <w:tcPr>
            <w:tcW w:w="67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64" w:type="dxa"/>
            <w:gridSpan w:val="10"/>
            <w:tcBorders>
              <w:top w:val="single" w:color="auto" w:sz="4" w:space="0"/>
              <w:left w:val="nil"/>
              <w:bottom w:val="single" w:color="auto"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完成度良好，培训期数大于20次，培训人数大于1000人次，合格率大于98%，培训率100%，培训时间大于180天。提升了实战处置能力，增强民警警务能力。群众满意度、民警满意度及参训民警单位满意度均大于90%。伙食费、课酬费及其他运行费均控制在预算成本之内。经自评，该项自评得100分。</w:t>
            </w:r>
          </w:p>
        </w:tc>
      </w:tr>
      <w:tr>
        <w:tblPrEx>
          <w:tblCellMar>
            <w:top w:w="0" w:type="dxa"/>
            <w:left w:w="108" w:type="dxa"/>
            <w:bottom w:w="0" w:type="dxa"/>
            <w:right w:w="108" w:type="dxa"/>
          </w:tblCellMar>
        </w:tblPrEx>
        <w:trPr>
          <w:trHeight w:val="600" w:hRule="atLeast"/>
          <w:jc w:val="center"/>
        </w:trPr>
        <w:tc>
          <w:tcPr>
            <w:tcW w:w="67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64" w:type="dxa"/>
            <w:gridSpan w:val="10"/>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合格率有待提升。进一步加强管理，提升加强资金的统筹管理，提升资金使用率。</w:t>
            </w:r>
          </w:p>
        </w:tc>
      </w:tr>
      <w:tr>
        <w:tblPrEx>
          <w:tblCellMar>
            <w:top w:w="0" w:type="dxa"/>
            <w:left w:w="108" w:type="dxa"/>
            <w:bottom w:w="0" w:type="dxa"/>
            <w:right w:w="108" w:type="dxa"/>
          </w:tblCellMar>
        </w:tblPrEx>
        <w:trPr>
          <w:trHeight w:val="634" w:hRule="atLeast"/>
          <w:jc w:val="center"/>
        </w:trPr>
        <w:tc>
          <w:tcPr>
            <w:tcW w:w="67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64" w:type="dxa"/>
            <w:gridSpan w:val="10"/>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进一步统筹好资金，合理规划安排，提升资金使用效率。</w:t>
            </w:r>
          </w:p>
        </w:tc>
      </w:tr>
      <w:tr>
        <w:tblPrEx>
          <w:tblCellMar>
            <w:top w:w="0" w:type="dxa"/>
            <w:left w:w="108" w:type="dxa"/>
            <w:bottom w:w="0" w:type="dxa"/>
            <w:right w:w="108" w:type="dxa"/>
          </w:tblCellMar>
        </w:tblPrEx>
        <w:trPr>
          <w:trHeight w:val="315" w:hRule="atLeast"/>
          <w:jc w:val="center"/>
        </w:trPr>
        <w:tc>
          <w:tcPr>
            <w:tcW w:w="549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项目负责人：向碧胜</w:t>
            </w:r>
          </w:p>
        </w:tc>
        <w:tc>
          <w:tcPr>
            <w:tcW w:w="4144"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szCs w:val="21"/>
        </w:rPr>
      </w:pPr>
    </w:p>
    <w:p>
      <w:pPr>
        <w:pStyle w:val="2"/>
        <w:rPr>
          <w:rFonts w:ascii="仿宋_GB2312" w:hAnsi="仿宋_GB2312" w:eastAsia="仿宋_GB2312" w:cs="仿宋_GB2312"/>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659"/>
        <w:gridCol w:w="1159"/>
        <w:gridCol w:w="1190"/>
        <w:gridCol w:w="1367"/>
        <w:gridCol w:w="654"/>
        <w:gridCol w:w="960"/>
        <w:gridCol w:w="660"/>
        <w:gridCol w:w="807"/>
        <w:gridCol w:w="531"/>
        <w:gridCol w:w="439"/>
        <w:gridCol w:w="1212"/>
      </w:tblGrid>
      <w:tr>
        <w:tblPrEx>
          <w:tblCellMar>
            <w:top w:w="0" w:type="dxa"/>
            <w:left w:w="108" w:type="dxa"/>
            <w:bottom w:w="0" w:type="dxa"/>
            <w:right w:w="108" w:type="dxa"/>
          </w:tblCellMar>
        </w:tblPrEx>
        <w:trPr>
          <w:trHeight w:val="904"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82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51080022T000005528625-警务辅助人员经费（含留置看护勤务辅警专项经费100万）</w:t>
            </w:r>
          </w:p>
        </w:tc>
      </w:tr>
      <w:tr>
        <w:tblPrEx>
          <w:tblCellMar>
            <w:top w:w="0" w:type="dxa"/>
            <w:left w:w="108" w:type="dxa"/>
            <w:bottom w:w="0" w:type="dxa"/>
            <w:right w:w="108" w:type="dxa"/>
          </w:tblCellMar>
        </w:tblPrEx>
        <w:trPr>
          <w:trHeight w:val="514"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831"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807"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1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trPr>
        <w:tc>
          <w:tcPr>
            <w:tcW w:w="65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15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831"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298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709"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831"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保障177名辅警人员必需经费，通过辅助开展110接处警、街面巡逻防控、窗口服务、案件侦办、卡点查缉、监管场所值守等工作，更好地维护广元全市的社会治安稳定。</w:t>
            </w:r>
          </w:p>
        </w:tc>
        <w:tc>
          <w:tcPr>
            <w:tcW w:w="298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全年及时完成对全局177名警务辅助人员的工作正常运转保障及工作业务培训，工作合格率、完成率均达到100%。</w:t>
            </w:r>
          </w:p>
        </w:tc>
      </w:tr>
      <w:tr>
        <w:tblPrEx>
          <w:tblCellMar>
            <w:top w:w="0" w:type="dxa"/>
            <w:left w:w="108" w:type="dxa"/>
            <w:bottom w:w="0" w:type="dxa"/>
            <w:right w:w="108" w:type="dxa"/>
          </w:tblCellMar>
        </w:tblPrEx>
        <w:trPr>
          <w:trHeight w:val="694"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59"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82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保障全局90名勤务辅警（含留置看护勤务辅警）和87名文职辅警的工资福利、办公经费、警用服装及社会保险的缴纳，使其更好的公安民警开展好警务工作，更好的服务全市经济社会会发展。</w:t>
            </w:r>
          </w:p>
        </w:tc>
      </w:tr>
      <w:tr>
        <w:tblPrEx>
          <w:tblCellMar>
            <w:top w:w="0" w:type="dxa"/>
            <w:left w:w="108" w:type="dxa"/>
            <w:bottom w:w="0" w:type="dxa"/>
            <w:right w:w="108" w:type="dxa"/>
          </w:tblCellMar>
        </w:tblPrEx>
        <w:trPr>
          <w:trHeight w:val="360" w:hRule="atLeast"/>
        </w:trPr>
        <w:tc>
          <w:tcPr>
            <w:tcW w:w="65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15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1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27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1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841.50</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841.50</w:t>
            </w:r>
          </w:p>
        </w:tc>
        <w:tc>
          <w:tcPr>
            <w:tcW w:w="227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841.50</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21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90"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1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841.50</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841.50</w:t>
            </w:r>
          </w:p>
        </w:tc>
        <w:tc>
          <w:tcPr>
            <w:tcW w:w="227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841.50</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1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09"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1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27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1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60"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1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27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1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1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27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1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54" w:hRule="atLeast"/>
        </w:trPr>
        <w:tc>
          <w:tcPr>
            <w:tcW w:w="65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15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1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19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保障人数</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177</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177</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巡逻次数</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30000</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次</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接处警次数</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5000</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次</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查获违法犯罪嫌疑人数</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218</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218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破获案件数</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200</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案件数</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待遇保障率</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非正常死亡率</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接处警及时率</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发案下降率</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679"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工作时间</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小时/天</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保障时间</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保障频率</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月</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19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巩固“无毒害市”</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监所安全有序</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优化营商环境</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社会治安稳定</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生态效益指标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保护野生动物</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林业资源有效保护</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减少水资源污染</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职业保障</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激励机制</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维护社会稳定</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打击违法犯罪</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9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社会综合评价</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群众满意度</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辅警满意度</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19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工资</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448.56</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448.56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服装装备费</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35.4</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35.4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办公经费、伙食费</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106.2</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106.2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住房公积金</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17.7</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17.7</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6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五险</w:t>
            </w:r>
          </w:p>
        </w:tc>
        <w:tc>
          <w:tcPr>
            <w:tcW w:w="6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233.64</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233.64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trPr>
        <w:tc>
          <w:tcPr>
            <w:tcW w:w="74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439"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1212"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4" w:hRule="atLeast"/>
        </w:trPr>
        <w:tc>
          <w:tcPr>
            <w:tcW w:w="659"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7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有效提升了辅警工作人员的技能，增强了对维护社会治安的辅助作用，带动了就业率，促进了社会和谐稳定及队伍稳定，辅警满意度进一步提高。经自评，该项目自评得分100分。</w:t>
            </w:r>
          </w:p>
        </w:tc>
      </w:tr>
      <w:tr>
        <w:tblPrEx>
          <w:tblCellMar>
            <w:top w:w="0" w:type="dxa"/>
            <w:left w:w="108" w:type="dxa"/>
            <w:bottom w:w="0" w:type="dxa"/>
            <w:right w:w="108" w:type="dxa"/>
          </w:tblCellMar>
        </w:tblPrEx>
        <w:trPr>
          <w:trHeight w:val="574" w:hRule="atLeast"/>
        </w:trPr>
        <w:tc>
          <w:tcPr>
            <w:tcW w:w="659"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7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无。</w:t>
            </w:r>
          </w:p>
        </w:tc>
      </w:tr>
      <w:tr>
        <w:tblPrEx>
          <w:tblCellMar>
            <w:top w:w="0" w:type="dxa"/>
            <w:left w:w="108" w:type="dxa"/>
            <w:bottom w:w="0" w:type="dxa"/>
            <w:right w:w="108" w:type="dxa"/>
          </w:tblCellMar>
        </w:tblPrEx>
        <w:trPr>
          <w:trHeight w:val="634" w:hRule="atLeast"/>
        </w:trPr>
        <w:tc>
          <w:tcPr>
            <w:tcW w:w="659"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7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无。</w:t>
            </w:r>
          </w:p>
        </w:tc>
      </w:tr>
      <w:tr>
        <w:tblPrEx>
          <w:tblCellMar>
            <w:top w:w="0" w:type="dxa"/>
            <w:left w:w="108" w:type="dxa"/>
            <w:bottom w:w="0" w:type="dxa"/>
            <w:right w:w="108" w:type="dxa"/>
          </w:tblCellMar>
        </w:tblPrEx>
        <w:trPr>
          <w:trHeight w:val="285" w:hRule="atLeast"/>
        </w:trPr>
        <w:tc>
          <w:tcPr>
            <w:tcW w:w="50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项目负责人：姚中华</w:t>
            </w:r>
          </w:p>
        </w:tc>
        <w:tc>
          <w:tcPr>
            <w:tcW w:w="460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szCs w:val="21"/>
        </w:rPr>
      </w:pPr>
    </w:p>
    <w:p>
      <w:pPr>
        <w:pStyle w:val="2"/>
        <w:rPr>
          <w:rFonts w:ascii="仿宋_GB2312" w:hAnsi="仿宋_GB2312" w:eastAsia="仿宋_GB2312" w:cs="仿宋_GB2312"/>
          <w:szCs w:val="21"/>
        </w:rPr>
      </w:pPr>
    </w:p>
    <w:tbl>
      <w:tblPr>
        <w:tblStyle w:val="16"/>
        <w:tblW w:w="9638" w:type="dxa"/>
        <w:jc w:val="center"/>
        <w:tblLayout w:type="fixed"/>
        <w:tblCellMar>
          <w:top w:w="0" w:type="dxa"/>
          <w:left w:w="108" w:type="dxa"/>
          <w:bottom w:w="0" w:type="dxa"/>
          <w:right w:w="108" w:type="dxa"/>
        </w:tblCellMar>
      </w:tblPr>
      <w:tblGrid>
        <w:gridCol w:w="658"/>
        <w:gridCol w:w="1128"/>
        <w:gridCol w:w="1169"/>
        <w:gridCol w:w="1335"/>
        <w:gridCol w:w="649"/>
        <w:gridCol w:w="1012"/>
        <w:gridCol w:w="653"/>
        <w:gridCol w:w="808"/>
        <w:gridCol w:w="531"/>
        <w:gridCol w:w="531"/>
        <w:gridCol w:w="1164"/>
      </w:tblGrid>
      <w:tr>
        <w:tblPrEx>
          <w:tblCellMar>
            <w:top w:w="0" w:type="dxa"/>
            <w:left w:w="108" w:type="dxa"/>
            <w:bottom w:w="0" w:type="dxa"/>
            <w:right w:w="108" w:type="dxa"/>
          </w:tblCellMar>
        </w:tblPrEx>
        <w:trPr>
          <w:trHeight w:val="904" w:hRule="atLeast"/>
          <w:jc w:val="center"/>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jc w:val="center"/>
        </w:trPr>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852"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51080023T000008466787-民警法定节假日之外加班补贴</w:t>
            </w:r>
          </w:p>
        </w:tc>
      </w:tr>
      <w:tr>
        <w:tblPrEx>
          <w:tblCellMar>
            <w:top w:w="0" w:type="dxa"/>
            <w:left w:w="108" w:type="dxa"/>
            <w:bottom w:w="0" w:type="dxa"/>
            <w:right w:w="108" w:type="dxa"/>
          </w:tblCellMar>
        </w:tblPrEx>
        <w:trPr>
          <w:trHeight w:val="514" w:hRule="atLeast"/>
          <w:jc w:val="center"/>
        </w:trPr>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81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808"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2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jc w:val="center"/>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12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81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03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904"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81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根据《人力资源社会保障部 财政部关于执行人民警察法定工作日之外加班补贴有关问题的通知》人社部规{2017}19号文件通知，人民警察法定工作日之外加班的，应当给予补助。各级人力资源社会保障、财政部门按照月人均710元和本级各相关单位的国家政法专项编制内人民警察实有人数预算。</w:t>
            </w:r>
          </w:p>
        </w:tc>
        <w:tc>
          <w:tcPr>
            <w:tcW w:w="303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项目的实施保障了全局机关466名警察法定节假日之外加班补贴按时发放，发放率100%。</w:t>
            </w:r>
          </w:p>
        </w:tc>
      </w:tr>
      <w:tr>
        <w:tblPrEx>
          <w:tblCellMar>
            <w:top w:w="0" w:type="dxa"/>
            <w:left w:w="108" w:type="dxa"/>
            <w:bottom w:w="0" w:type="dxa"/>
            <w:right w:w="108" w:type="dxa"/>
          </w:tblCellMar>
        </w:tblPrEx>
        <w:trPr>
          <w:trHeight w:val="694"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28"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852"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市公安局警务保障处、政治部人事处共同对该项目实施进行管理，严格按照相关法律法规核算发放人民警察法定节假日之外加班补贴。市公安局机关纪委、审计处成立项目核查专班，定期核查民警加班补助发放情况，主要核实加班补贴是否发放及时、核算是否准确，是否调动了广大民警的工作积极性。</w:t>
            </w:r>
          </w:p>
        </w:tc>
      </w:tr>
      <w:tr>
        <w:tblPrEx>
          <w:tblCellMar>
            <w:top w:w="0" w:type="dxa"/>
            <w:left w:w="108" w:type="dxa"/>
            <w:bottom w:w="0" w:type="dxa"/>
            <w:right w:w="108" w:type="dxa"/>
          </w:tblCellMar>
        </w:tblPrEx>
        <w:trPr>
          <w:trHeight w:val="360" w:hRule="atLeast"/>
          <w:jc w:val="center"/>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1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16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31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16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397.03</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397.03</w:t>
            </w:r>
          </w:p>
        </w:tc>
        <w:tc>
          <w:tcPr>
            <w:tcW w:w="231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397.03</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16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90"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16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397.03</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397.03</w:t>
            </w:r>
          </w:p>
        </w:tc>
        <w:tc>
          <w:tcPr>
            <w:tcW w:w="231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397.03</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09"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16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31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60"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16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31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16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314"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54" w:hRule="atLeast"/>
          <w:jc w:val="center"/>
        </w:trPr>
        <w:tc>
          <w:tcPr>
            <w:tcW w:w="65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12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16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16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人均加班天数</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72</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民警人数</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466</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人数</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466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加班考核准确率</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补助发放到位率</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2023年</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及时发放</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16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8520</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元</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8520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政治生态稳定</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可持续发展指标</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增强职业荣誉感</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增强执行力</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强</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强</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6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群众满意度</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民警家属满意度</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民警满意度</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16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加班补助标准</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710</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元</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发放加班费总额</w:t>
            </w:r>
          </w:p>
        </w:tc>
        <w:tc>
          <w:tcPr>
            <w:tcW w:w="64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0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397.032</w:t>
            </w:r>
          </w:p>
        </w:tc>
        <w:tc>
          <w:tcPr>
            <w:tcW w:w="6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0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397.032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1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jc w:val="center"/>
        </w:trPr>
        <w:tc>
          <w:tcPr>
            <w:tcW w:w="74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righ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1164"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4" w:hRule="atLeast"/>
          <w:jc w:val="center"/>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8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项目的实施，进一步增强了公安民警的职业认同感和执行力，进一步彰显了对公安民警的关爱，对维护社会治安稳定的常态化继续贡献公安力量，经自评，该项目自评得分99分。</w:t>
            </w:r>
          </w:p>
        </w:tc>
      </w:tr>
      <w:tr>
        <w:tblPrEx>
          <w:tblCellMar>
            <w:top w:w="0" w:type="dxa"/>
            <w:left w:w="108" w:type="dxa"/>
            <w:bottom w:w="0" w:type="dxa"/>
            <w:right w:w="108" w:type="dxa"/>
          </w:tblCellMar>
        </w:tblPrEx>
        <w:trPr>
          <w:trHeight w:val="574" w:hRule="atLeast"/>
          <w:jc w:val="center"/>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8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无。</w:t>
            </w:r>
          </w:p>
        </w:tc>
      </w:tr>
      <w:tr>
        <w:tblPrEx>
          <w:tblCellMar>
            <w:top w:w="0" w:type="dxa"/>
            <w:left w:w="108" w:type="dxa"/>
            <w:bottom w:w="0" w:type="dxa"/>
            <w:right w:w="108" w:type="dxa"/>
          </w:tblCellMar>
        </w:tblPrEx>
        <w:trPr>
          <w:trHeight w:val="634" w:hRule="atLeast"/>
          <w:jc w:val="center"/>
        </w:trPr>
        <w:tc>
          <w:tcPr>
            <w:tcW w:w="65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8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无。</w:t>
            </w:r>
          </w:p>
        </w:tc>
      </w:tr>
      <w:tr>
        <w:tblPrEx>
          <w:tblCellMar>
            <w:top w:w="0" w:type="dxa"/>
            <w:left w:w="108" w:type="dxa"/>
            <w:bottom w:w="0" w:type="dxa"/>
            <w:right w:w="108" w:type="dxa"/>
          </w:tblCellMar>
        </w:tblPrEx>
        <w:trPr>
          <w:trHeight w:val="285" w:hRule="atLeast"/>
          <w:jc w:val="center"/>
        </w:trPr>
        <w:tc>
          <w:tcPr>
            <w:tcW w:w="4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项目负责人：王宇林</w:t>
            </w:r>
          </w:p>
        </w:tc>
        <w:tc>
          <w:tcPr>
            <w:tcW w:w="469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szCs w:val="21"/>
        </w:rPr>
      </w:pPr>
    </w:p>
    <w:p>
      <w:pPr>
        <w:pStyle w:val="2"/>
        <w:rPr>
          <w:rFonts w:ascii="仿宋_GB2312" w:hAnsi="仿宋_GB2312" w:eastAsia="仿宋_GB2312" w:cs="仿宋_GB2312"/>
          <w:szCs w:val="21"/>
        </w:rPr>
      </w:pPr>
    </w:p>
    <w:tbl>
      <w:tblPr>
        <w:tblStyle w:val="16"/>
        <w:tblW w:w="9638" w:type="dxa"/>
        <w:jc w:val="center"/>
        <w:tblLayout w:type="fixed"/>
        <w:tblCellMar>
          <w:top w:w="0" w:type="dxa"/>
          <w:left w:w="108" w:type="dxa"/>
          <w:bottom w:w="0" w:type="dxa"/>
          <w:right w:w="108" w:type="dxa"/>
        </w:tblCellMar>
      </w:tblPr>
      <w:tblGrid>
        <w:gridCol w:w="661"/>
        <w:gridCol w:w="1204"/>
        <w:gridCol w:w="1156"/>
        <w:gridCol w:w="1348"/>
        <w:gridCol w:w="690"/>
        <w:gridCol w:w="764"/>
        <w:gridCol w:w="646"/>
        <w:gridCol w:w="829"/>
        <w:gridCol w:w="531"/>
        <w:gridCol w:w="531"/>
        <w:gridCol w:w="1278"/>
      </w:tblGrid>
      <w:tr>
        <w:tblPrEx>
          <w:tblCellMar>
            <w:top w:w="0" w:type="dxa"/>
            <w:left w:w="108" w:type="dxa"/>
            <w:bottom w:w="0" w:type="dxa"/>
            <w:right w:w="108" w:type="dxa"/>
          </w:tblCellMar>
        </w:tblPrEx>
        <w:trPr>
          <w:trHeight w:val="904" w:hRule="atLeast"/>
          <w:jc w:val="center"/>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jc w:val="center"/>
        </w:trPr>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773"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51080021T000000055321-七盘关公安检查站运维费（单列）</w:t>
            </w:r>
          </w:p>
        </w:tc>
      </w:tr>
      <w:tr>
        <w:tblPrEx>
          <w:tblCellMar>
            <w:top w:w="0" w:type="dxa"/>
            <w:left w:w="108" w:type="dxa"/>
            <w:bottom w:w="0" w:type="dxa"/>
            <w:right w:w="108" w:type="dxa"/>
          </w:tblCellMar>
        </w:tblPrEx>
        <w:trPr>
          <w:trHeight w:val="514" w:hRule="atLeast"/>
          <w:jc w:val="center"/>
        </w:trPr>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60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829"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jc w:val="center"/>
        </w:trPr>
        <w:tc>
          <w:tcPr>
            <w:tcW w:w="66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20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604"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16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1860"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604" w:type="dxa"/>
            <w:gridSpan w:val="5"/>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检查站采取平战结合的模式开展查缉工作，现有有13名驻站民辅警主要任务是：在七盘关公安检查站开展工作。1、反恐，截堵涉恐人员和车辆。2、查缉布控，开展治安检查、毒品检查、交通检查、专项检查；3、应急，驰援周边处置突发事件。4、为民服务，为出入川车辆和人员提供服务。</w:t>
            </w:r>
          </w:p>
        </w:tc>
        <w:tc>
          <w:tcPr>
            <w:tcW w:w="3169" w:type="dxa"/>
            <w:gridSpan w:val="4"/>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七盘关公安检查站按照工作任务需求，采取平战结合的模式开展查缉工作，日常查缉由13名驻站民辅警完成，高等级勤务期间，同分县局、相关警种、武警开展联合检查。工作中，规范使用项目预算资金，支付依据合规合法，资金支付与预算相符，资金执行率100%。为保障人民道路出行安全，提高对毒品犯罪、涉恐涉暴等违法行为的打击力度，确保全市政治稳定、治安良好，人民群众的安全感、获得感、幸福感不断提升。</w:t>
            </w:r>
          </w:p>
        </w:tc>
      </w:tr>
      <w:tr>
        <w:tblPrEx>
          <w:tblCellMar>
            <w:top w:w="0" w:type="dxa"/>
            <w:left w:w="108" w:type="dxa"/>
            <w:bottom w:w="0" w:type="dxa"/>
            <w:right w:w="108" w:type="dxa"/>
          </w:tblCellMar>
        </w:tblPrEx>
        <w:trPr>
          <w:trHeight w:val="1350"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204"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773"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主要用于2023年度广元市公安局七盘关公安检查站运行维护费，用于支付水费、电费、天然气费、劳务费用、基础设施维修费、人证系统升级改造费及购买安全防护装备、购买执法记录仪、购买保障药品、购买查缉查缉专用耗材等工作支出，通过开展治安防控、毒品查缉、反恐防暴等工作，进一步确保全市政治稳定、治安良好，人民群众的安全感、获得感、幸福感进一步提升；有效处置犯罪行为和不稳定因素，防止渉稳风险外溢。</w:t>
            </w:r>
          </w:p>
        </w:tc>
      </w:tr>
      <w:tr>
        <w:tblPrEx>
          <w:tblCellMar>
            <w:top w:w="0" w:type="dxa"/>
            <w:left w:w="108" w:type="dxa"/>
            <w:bottom w:w="0" w:type="dxa"/>
            <w:right w:w="108" w:type="dxa"/>
          </w:tblCellMar>
        </w:tblPrEx>
        <w:trPr>
          <w:trHeight w:val="360" w:hRule="atLeast"/>
          <w:jc w:val="center"/>
        </w:trPr>
        <w:tc>
          <w:tcPr>
            <w:tcW w:w="66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20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1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10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1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21.50</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21.50</w:t>
            </w:r>
          </w:p>
        </w:tc>
        <w:tc>
          <w:tcPr>
            <w:tcW w:w="210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21.50</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27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90"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1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21.50</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21.50</w:t>
            </w:r>
          </w:p>
        </w:tc>
        <w:tc>
          <w:tcPr>
            <w:tcW w:w="210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21.50</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7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09"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1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10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7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60"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1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10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7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1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10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7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54" w:hRule="atLeast"/>
          <w:jc w:val="center"/>
        </w:trPr>
        <w:tc>
          <w:tcPr>
            <w:tcW w:w="66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20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1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15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核查重点人员</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21</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查获行政案件</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件</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22</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查获吸毒人员</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刑事案件破获率</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90</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90</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治安防控率</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贩毒运毒案件破获率</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679"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设卡查缉时长</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24</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小时/天</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24</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78" w:type="dxa"/>
            <w:tcBorders>
              <w:top w:val="nil"/>
              <w:left w:val="nil"/>
              <w:bottom w:val="single" w:color="000000" w:sz="4" w:space="0"/>
              <w:right w:val="single" w:color="000000" w:sz="4" w:space="0"/>
            </w:tcBorders>
            <w:shd w:val="clear" w:color="auto" w:fill="auto"/>
          </w:tcPr>
          <w:p>
            <w:pPr>
              <w:widowControl/>
              <w:jc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平均车辆查缉时长</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分钟</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驰援周边时长</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分钟</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15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开展结对帮扶工作</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服务旅游业</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服务七盘关石材城、中子经济开发区</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打击毒品犯罪行为</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驰援周边</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打击涉恐人员</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逢疑必查，打击犯罪、服务群众</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维护服务区周边治安</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开展涉毒案件查缉布控工作</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5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群众幸福感进一步增强</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群众满意度进一步增强</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群众安全感进一步增强</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15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基础设施维修费</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水电气等日常运行费用</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临时用工费用</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0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4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民警乡镇津补贴</w:t>
            </w:r>
          </w:p>
        </w:tc>
        <w:tc>
          <w:tcPr>
            <w:tcW w:w="69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w:t>
            </w:r>
          </w:p>
        </w:tc>
        <w:tc>
          <w:tcPr>
            <w:tcW w:w="64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7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jc w:val="center"/>
        </w:trPr>
        <w:tc>
          <w:tcPr>
            <w:tcW w:w="72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1278"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4" w:hRule="atLeast"/>
          <w:jc w:val="center"/>
        </w:trPr>
        <w:tc>
          <w:tcPr>
            <w:tcW w:w="661"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77"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经过专项预算项目绩效自评，该项目总体运行实施情况较好，成效较为显著，项目得分100分。</w:t>
            </w:r>
          </w:p>
        </w:tc>
      </w:tr>
      <w:tr>
        <w:tblPrEx>
          <w:tblCellMar>
            <w:top w:w="0" w:type="dxa"/>
            <w:left w:w="108" w:type="dxa"/>
            <w:bottom w:w="0" w:type="dxa"/>
            <w:right w:w="108" w:type="dxa"/>
          </w:tblCellMar>
        </w:tblPrEx>
        <w:trPr>
          <w:trHeight w:val="574" w:hRule="atLeast"/>
          <w:jc w:val="center"/>
        </w:trPr>
        <w:tc>
          <w:tcPr>
            <w:tcW w:w="661"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77"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项目经费实际使用中，未发现问题。</w:t>
            </w:r>
          </w:p>
        </w:tc>
      </w:tr>
      <w:tr>
        <w:tblPrEx>
          <w:tblCellMar>
            <w:top w:w="0" w:type="dxa"/>
            <w:left w:w="108" w:type="dxa"/>
            <w:bottom w:w="0" w:type="dxa"/>
            <w:right w:w="108" w:type="dxa"/>
          </w:tblCellMar>
        </w:tblPrEx>
        <w:trPr>
          <w:trHeight w:val="634" w:hRule="atLeast"/>
          <w:jc w:val="center"/>
        </w:trPr>
        <w:tc>
          <w:tcPr>
            <w:tcW w:w="661"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77"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无</w:t>
            </w:r>
          </w:p>
        </w:tc>
      </w:tr>
      <w:tr>
        <w:tblPrEx>
          <w:tblCellMar>
            <w:top w:w="0" w:type="dxa"/>
            <w:left w:w="108" w:type="dxa"/>
            <w:bottom w:w="0" w:type="dxa"/>
            <w:right w:w="108" w:type="dxa"/>
          </w:tblCellMar>
        </w:tblPrEx>
        <w:trPr>
          <w:trHeight w:val="285" w:hRule="atLeast"/>
          <w:jc w:val="center"/>
        </w:trPr>
        <w:tc>
          <w:tcPr>
            <w:tcW w:w="50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项目负责人：彭俊</w:t>
            </w:r>
          </w:p>
        </w:tc>
        <w:tc>
          <w:tcPr>
            <w:tcW w:w="4579" w:type="dxa"/>
            <w:gridSpan w:val="6"/>
            <w:tcBorders>
              <w:top w:val="single" w:color="000000" w:sz="4" w:space="0"/>
              <w:left w:val="nil"/>
              <w:bottom w:val="single" w:color="000000" w:sz="4" w:space="0"/>
              <w:right w:val="single" w:color="000000" w:sz="4" w:space="0"/>
            </w:tcBorders>
            <w:shd w:val="clear" w:color="000000" w:fill="FFFFFF"/>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tbl>
      <w:tblPr>
        <w:tblStyle w:val="16"/>
        <w:tblpPr w:leftFromText="180" w:rightFromText="180" w:vertAnchor="text" w:horzAnchor="page" w:tblpXSpec="center" w:tblpY="481"/>
        <w:tblOverlap w:val="never"/>
        <w:tblW w:w="9638" w:type="dxa"/>
        <w:jc w:val="center"/>
        <w:tblLayout w:type="fixed"/>
        <w:tblCellMar>
          <w:top w:w="0" w:type="dxa"/>
          <w:left w:w="108" w:type="dxa"/>
          <w:bottom w:w="0" w:type="dxa"/>
          <w:right w:w="108" w:type="dxa"/>
        </w:tblCellMar>
      </w:tblPr>
      <w:tblGrid>
        <w:gridCol w:w="660"/>
        <w:gridCol w:w="1168"/>
        <w:gridCol w:w="1129"/>
        <w:gridCol w:w="1506"/>
        <w:gridCol w:w="656"/>
        <w:gridCol w:w="765"/>
        <w:gridCol w:w="645"/>
        <w:gridCol w:w="823"/>
        <w:gridCol w:w="531"/>
        <w:gridCol w:w="531"/>
        <w:gridCol w:w="1224"/>
      </w:tblGrid>
      <w:tr>
        <w:tblPrEx>
          <w:tblCellMar>
            <w:top w:w="0" w:type="dxa"/>
            <w:left w:w="108" w:type="dxa"/>
            <w:bottom w:w="0" w:type="dxa"/>
            <w:right w:w="108" w:type="dxa"/>
          </w:tblCellMar>
        </w:tblPrEx>
        <w:trPr>
          <w:trHeight w:val="904" w:hRule="atLeast"/>
          <w:jc w:val="center"/>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jc w:val="center"/>
        </w:trPr>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81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51080021T000000054926-市禁毒办专项工作经费</w:t>
            </w:r>
          </w:p>
        </w:tc>
      </w:tr>
      <w:tr>
        <w:tblPrEx>
          <w:tblCellMar>
            <w:top w:w="0" w:type="dxa"/>
            <w:left w:w="108" w:type="dxa"/>
            <w:bottom w:w="0" w:type="dxa"/>
            <w:right w:w="108" w:type="dxa"/>
          </w:tblCellMar>
        </w:tblPrEx>
        <w:trPr>
          <w:trHeight w:val="514" w:hRule="atLeast"/>
          <w:jc w:val="center"/>
        </w:trPr>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701"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823"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2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jc w:val="center"/>
        </w:trPr>
        <w:tc>
          <w:tcPr>
            <w:tcW w:w="6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701"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10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1545"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701"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通过开展多种形式的禁毒宣传，加强毒品预防教育；掌握、分析禁毒工作进展情况、研究制定针对性措施；组织、协调、指导、督查禁毒办成员单位和各社区的工作，对社区戒毒康复人员进行监督；确保全市政治稳定、治安良好，人民群众的安全感、获得感、幸福感进一步提升。</w:t>
            </w:r>
          </w:p>
        </w:tc>
        <w:tc>
          <w:tcPr>
            <w:tcW w:w="310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全年通过开展多种形式的禁毒宣传，加强毒品预防教育；掌握、分析禁毒工作进展情况、研究制定针对性措施；组织、协调、指导、督查禁毒办成员单位和各社区的工作，对社区戒毒康复人员进行监督；确保全市政治稳定、治安良好，人民群众的安全感、获得感、幸福感进一步提升，未发生吸毒人员肇事肇祸案事件。</w:t>
            </w:r>
          </w:p>
        </w:tc>
      </w:tr>
      <w:tr>
        <w:tblPrEx>
          <w:tblCellMar>
            <w:top w:w="0" w:type="dxa"/>
            <w:left w:w="108" w:type="dxa"/>
            <w:bottom w:w="0" w:type="dxa"/>
            <w:right w:w="108" w:type="dxa"/>
          </w:tblCellMar>
        </w:tblPrEx>
        <w:trPr>
          <w:trHeight w:val="694"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68"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81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全民禁毒集中宣传八大主题活动(“拒毒防毒”进万群、“禁毒有我”视频赛、“青春无毒”书画赛、“禁毒卫士”我争当、 “防危毒鉴”图片展、“全民禁毒”大汇演、“百业千行”宣禁毒、“警示标语”齐亮屏),受到一直好评。</w:t>
            </w:r>
          </w:p>
        </w:tc>
      </w:tr>
      <w:tr>
        <w:tblPrEx>
          <w:tblCellMar>
            <w:top w:w="0" w:type="dxa"/>
            <w:left w:w="108" w:type="dxa"/>
            <w:bottom w:w="0" w:type="dxa"/>
            <w:right w:w="108" w:type="dxa"/>
          </w:tblCellMar>
        </w:tblPrEx>
        <w:trPr>
          <w:trHeight w:val="360" w:hRule="atLeast"/>
          <w:jc w:val="center"/>
        </w:trPr>
        <w:tc>
          <w:tcPr>
            <w:tcW w:w="6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1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0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1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36.00</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36.00</w:t>
            </w:r>
          </w:p>
        </w:tc>
        <w:tc>
          <w:tcPr>
            <w:tcW w:w="20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36.00</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22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90"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1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36.00</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36.00</w:t>
            </w:r>
          </w:p>
        </w:tc>
        <w:tc>
          <w:tcPr>
            <w:tcW w:w="20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36.00</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2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09"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1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0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2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60"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1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0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2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1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0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2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54" w:hRule="atLeast"/>
          <w:jc w:val="center"/>
        </w:trPr>
        <w:tc>
          <w:tcPr>
            <w:tcW w:w="6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1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1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12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集中宣传活动次数</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次</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社区戒毒社区康复人数</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60</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人数</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召开全市禁毒工作会议次数</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次</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吸毒人员下降率</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打击毒品犯罪</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吸毒人员帮扶率</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2023年12月底完成各项宣传任务</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次</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2023年12月底前完成禁毒会议</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次</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2023年6月底完成“6.26”禁毒晚会及系列活动</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次</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12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管控吸毒人员其他犯罪行为</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减少毒品消费</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打击毒品犯罪</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社会治安进一步好转</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投资环境进一步优化</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进一步打击毒品犯罪</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生态效益指标</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污水指数持续下降</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吸毒人员管控持续减少</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全市社会治安持续稳定</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2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群众安全感进一步增强</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群众满意度进一步增强</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群众幸福感进一步增强</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12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宣传资料印刷费</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13</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6.26禁毒日宣传</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污水采集</w:t>
            </w:r>
          </w:p>
        </w:tc>
        <w:tc>
          <w:tcPr>
            <w:tcW w:w="6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11</w:t>
            </w:r>
          </w:p>
        </w:tc>
        <w:tc>
          <w:tcPr>
            <w:tcW w:w="6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2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6</w:t>
            </w:r>
          </w:p>
        </w:tc>
        <w:tc>
          <w:tcPr>
            <w:tcW w:w="122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jc w:val="center"/>
        </w:trPr>
        <w:tc>
          <w:tcPr>
            <w:tcW w:w="73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righ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1224"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4" w:hRule="atLeast"/>
          <w:jc w:val="center"/>
        </w:trPr>
        <w:tc>
          <w:tcPr>
            <w:tcW w:w="66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78"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举办了形式更新、覆盖更广、影响更大、氛围更浓、效果更好的一系列体现新时代特点、群众喜闻乐见、富有地方特色的禁毒宣传教育活动，形成了全民参与的良好氛围，禁毒宣传活动刷爆广元朋友圈。经自评，该项目自评得100分。</w:t>
            </w:r>
          </w:p>
        </w:tc>
      </w:tr>
      <w:tr>
        <w:tblPrEx>
          <w:tblCellMar>
            <w:top w:w="0" w:type="dxa"/>
            <w:left w:w="108" w:type="dxa"/>
            <w:bottom w:w="0" w:type="dxa"/>
            <w:right w:w="108" w:type="dxa"/>
          </w:tblCellMar>
        </w:tblPrEx>
        <w:trPr>
          <w:trHeight w:val="574" w:hRule="atLeast"/>
          <w:jc w:val="center"/>
        </w:trPr>
        <w:tc>
          <w:tcPr>
            <w:tcW w:w="66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78"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无</w:t>
            </w:r>
          </w:p>
        </w:tc>
      </w:tr>
      <w:tr>
        <w:tblPrEx>
          <w:tblCellMar>
            <w:top w:w="0" w:type="dxa"/>
            <w:left w:w="108" w:type="dxa"/>
            <w:bottom w:w="0" w:type="dxa"/>
            <w:right w:w="108" w:type="dxa"/>
          </w:tblCellMar>
        </w:tblPrEx>
        <w:trPr>
          <w:trHeight w:val="634" w:hRule="atLeast"/>
          <w:jc w:val="center"/>
        </w:trPr>
        <w:tc>
          <w:tcPr>
            <w:tcW w:w="66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78"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无</w:t>
            </w:r>
          </w:p>
        </w:tc>
      </w:tr>
      <w:tr>
        <w:tblPrEx>
          <w:tblCellMar>
            <w:top w:w="0" w:type="dxa"/>
            <w:left w:w="108" w:type="dxa"/>
            <w:bottom w:w="0" w:type="dxa"/>
            <w:right w:w="108" w:type="dxa"/>
          </w:tblCellMar>
        </w:tblPrEx>
        <w:trPr>
          <w:trHeight w:val="285" w:hRule="atLeast"/>
          <w:jc w:val="center"/>
        </w:trPr>
        <w:tc>
          <w:tcPr>
            <w:tcW w:w="511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项目负责人：刘海军</w:t>
            </w:r>
          </w:p>
        </w:tc>
        <w:tc>
          <w:tcPr>
            <w:tcW w:w="451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szCs w:val="21"/>
        </w:rPr>
      </w:pPr>
    </w:p>
    <w:p>
      <w:pPr>
        <w:pStyle w:val="2"/>
        <w:rPr>
          <w:rFonts w:ascii="仿宋_GB2312" w:hAnsi="仿宋_GB2312" w:eastAsia="仿宋_GB2312" w:cs="仿宋_GB2312"/>
          <w:b/>
          <w:bCs/>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848"/>
        <w:gridCol w:w="1171"/>
        <w:gridCol w:w="1153"/>
        <w:gridCol w:w="1311"/>
        <w:gridCol w:w="756"/>
        <w:gridCol w:w="751"/>
        <w:gridCol w:w="674"/>
        <w:gridCol w:w="713"/>
        <w:gridCol w:w="531"/>
        <w:gridCol w:w="437"/>
        <w:gridCol w:w="1293"/>
      </w:tblGrid>
      <w:tr>
        <w:tblPrEx>
          <w:tblCellMar>
            <w:top w:w="0" w:type="dxa"/>
            <w:left w:w="108" w:type="dxa"/>
            <w:bottom w:w="0" w:type="dxa"/>
            <w:right w:w="108" w:type="dxa"/>
          </w:tblCellMar>
        </w:tblPrEx>
        <w:trPr>
          <w:trHeight w:val="904"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619"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51080022T000005196223-市看守所经费（单列）</w:t>
            </w:r>
          </w:p>
        </w:tc>
      </w:tr>
      <w:tr>
        <w:tblPrEx>
          <w:tblCellMar>
            <w:top w:w="0" w:type="dxa"/>
            <w:left w:w="108" w:type="dxa"/>
            <w:bottom w:w="0" w:type="dxa"/>
            <w:right w:w="108" w:type="dxa"/>
          </w:tblCellMar>
        </w:tblPrEx>
        <w:trPr>
          <w:trHeight w:val="514" w:hRule="atLeast"/>
        </w:trPr>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645"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713"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trPr>
        <w:tc>
          <w:tcPr>
            <w:tcW w:w="8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17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645"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297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70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645"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通过项目的实施，完成了在押人员一日三餐供应，监所环境整治，保障刑事诉讼活动顺利进行，保障在押人员合法权益。</w:t>
            </w:r>
          </w:p>
        </w:tc>
        <w:tc>
          <w:tcPr>
            <w:tcW w:w="297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通过项目的实施，完成了在押人员一日三餐供应，监所环境整治，保障刑事诉讼活动顺利进行，保障在押人员合法权益。目标完成率94.33%</w:t>
            </w:r>
          </w:p>
        </w:tc>
      </w:tr>
      <w:tr>
        <w:tblPrEx>
          <w:tblCellMar>
            <w:top w:w="0" w:type="dxa"/>
            <w:left w:w="108" w:type="dxa"/>
            <w:bottom w:w="0" w:type="dxa"/>
            <w:right w:w="108" w:type="dxa"/>
          </w:tblCellMar>
        </w:tblPrEx>
        <w:trPr>
          <w:trHeight w:val="690"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171"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619"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通过项目的实施，完成了在押人员一日三餐供应，监所环境整治，保障刑事诉讼活动顺利进行，保障在押人员合法权益。</w:t>
            </w:r>
          </w:p>
        </w:tc>
      </w:tr>
      <w:tr>
        <w:tblPrEx>
          <w:tblCellMar>
            <w:top w:w="0" w:type="dxa"/>
            <w:left w:w="108" w:type="dxa"/>
            <w:bottom w:w="0" w:type="dxa"/>
            <w:right w:w="108" w:type="dxa"/>
          </w:tblCellMar>
        </w:tblPrEx>
        <w:trPr>
          <w:trHeight w:val="499" w:hRule="atLeast"/>
        </w:trPr>
        <w:tc>
          <w:tcPr>
            <w:tcW w:w="8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1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1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18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1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432.68</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432.68</w:t>
            </w:r>
          </w:p>
        </w:tc>
        <w:tc>
          <w:tcPr>
            <w:tcW w:w="218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408.13</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94.33%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w:t>
            </w:r>
          </w:p>
        </w:tc>
        <w:tc>
          <w:tcPr>
            <w:tcW w:w="129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1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432.68</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432.68</w:t>
            </w:r>
          </w:p>
        </w:tc>
        <w:tc>
          <w:tcPr>
            <w:tcW w:w="218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408.13</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94.33%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93"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1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18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93"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1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18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93"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1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181"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93"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99" w:hRule="atLeast"/>
        </w:trPr>
        <w:tc>
          <w:tcPr>
            <w:tcW w:w="8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17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1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1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入所教育人次</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人数</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1000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协助破案数</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件</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9</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收押犯罪嫌疑人数量</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550</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人数</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952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在押人员档案管理率</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在押人员食材合格率</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在押人员教育转化率</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80</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新入所人员谈话</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24</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小时</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目标工作保障时限</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疫情防控时间</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1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减轻贫困在押人员经济支出</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减少在押人员衣被支出</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节约设施设备运维费</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树文明监管形象</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保障刑事诉讼活动、维护社会公平正义</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看守所无重大安全事故率</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生态效益指标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监所环境卫生整治率</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在押人员用品循环率</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排污处理率</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群众满意度</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在押人员家属满意度</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在押人员满意度</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15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在押人员公杂费</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18.3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在押人员伙食费</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184.8</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105.8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84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7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水电气费用</w:t>
            </w:r>
          </w:p>
        </w:tc>
        <w:tc>
          <w:tcPr>
            <w:tcW w:w="75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5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78</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1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67.7</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9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99" w:hRule="atLeast"/>
        </w:trPr>
        <w:tc>
          <w:tcPr>
            <w:tcW w:w="73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437" w:type="dxa"/>
            <w:tcBorders>
              <w:top w:val="nil"/>
              <w:left w:val="nil"/>
              <w:bottom w:val="single" w:color="000000" w:sz="4" w:space="0"/>
              <w:right w:val="single" w:color="000000" w:sz="4" w:space="0"/>
            </w:tcBorders>
            <w:shd w:val="clear" w:color="auto" w:fill="auto"/>
            <w:vAlign w:val="center"/>
          </w:tcPr>
          <w:p>
            <w:pPr>
              <w:widowControl/>
              <w:jc w:val="righ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96</w:t>
            </w:r>
          </w:p>
        </w:tc>
        <w:tc>
          <w:tcPr>
            <w:tcW w:w="1293"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499" w:hRule="atLeast"/>
        </w:trPr>
        <w:tc>
          <w:tcPr>
            <w:tcW w:w="84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79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color w:val="000000"/>
                <w:kern w:val="0"/>
                <w:szCs w:val="21"/>
              </w:rPr>
              <w:t>通过项目的实施，完成了在押人员一日三餐供应，改善监所的环境条件，包括卫生、安全等方面，保障刑事诉讼活动顺利进行，保障在押人员合法权益</w:t>
            </w:r>
            <w:r>
              <w:rPr>
                <w:rFonts w:hint="eastAsia" w:ascii="仿宋_GB2312" w:hAnsi="仿宋_GB2312" w:eastAsia="仿宋_GB2312" w:cs="仿宋_GB2312"/>
                <w:i/>
                <w:iCs/>
                <w:color w:val="000000"/>
                <w:kern w:val="0"/>
                <w:szCs w:val="21"/>
              </w:rPr>
              <w:t>。</w:t>
            </w:r>
          </w:p>
        </w:tc>
      </w:tr>
      <w:tr>
        <w:tblPrEx>
          <w:tblCellMar>
            <w:top w:w="0" w:type="dxa"/>
            <w:left w:w="108" w:type="dxa"/>
            <w:bottom w:w="0" w:type="dxa"/>
            <w:right w:w="108" w:type="dxa"/>
          </w:tblCellMar>
        </w:tblPrEx>
        <w:trPr>
          <w:trHeight w:val="499" w:hRule="atLeast"/>
        </w:trPr>
        <w:tc>
          <w:tcPr>
            <w:tcW w:w="84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79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尽管项目实施取得了显著成功，但仍然存在一些问题。主要问题包括：一市预算执行不够完善；二是部分项目资金使用不充分。</w:t>
            </w:r>
          </w:p>
        </w:tc>
      </w:tr>
      <w:tr>
        <w:tblPrEx>
          <w:tblCellMar>
            <w:top w:w="0" w:type="dxa"/>
            <w:left w:w="108" w:type="dxa"/>
            <w:bottom w:w="0" w:type="dxa"/>
            <w:right w:w="108" w:type="dxa"/>
          </w:tblCellMar>
        </w:tblPrEx>
        <w:trPr>
          <w:trHeight w:val="499" w:hRule="atLeast"/>
        </w:trPr>
        <w:tc>
          <w:tcPr>
            <w:tcW w:w="848"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79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针对上述问题，优化预算资金安排，加强专项资金使用。</w:t>
            </w:r>
          </w:p>
        </w:tc>
      </w:tr>
      <w:tr>
        <w:tblPrEx>
          <w:tblCellMar>
            <w:top w:w="0" w:type="dxa"/>
            <w:left w:w="108" w:type="dxa"/>
            <w:bottom w:w="0" w:type="dxa"/>
            <w:right w:w="108" w:type="dxa"/>
          </w:tblCellMar>
        </w:tblPrEx>
        <w:trPr>
          <w:trHeight w:val="499" w:hRule="atLeast"/>
        </w:trPr>
        <w:tc>
          <w:tcPr>
            <w:tcW w:w="52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项目负责人：张宝玉</w:t>
            </w:r>
          </w:p>
        </w:tc>
        <w:tc>
          <w:tcPr>
            <w:tcW w:w="439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b/>
          <w:bCs/>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655"/>
        <w:gridCol w:w="1086"/>
        <w:gridCol w:w="1141"/>
        <w:gridCol w:w="1577"/>
        <w:gridCol w:w="660"/>
        <w:gridCol w:w="834"/>
        <w:gridCol w:w="636"/>
        <w:gridCol w:w="981"/>
        <w:gridCol w:w="531"/>
        <w:gridCol w:w="437"/>
        <w:gridCol w:w="1100"/>
      </w:tblGrid>
      <w:tr>
        <w:tblPrEx>
          <w:tblCellMar>
            <w:top w:w="0" w:type="dxa"/>
            <w:left w:w="108" w:type="dxa"/>
            <w:bottom w:w="0" w:type="dxa"/>
            <w:right w:w="108" w:type="dxa"/>
          </w:tblCellMar>
        </w:tblPrEx>
        <w:trPr>
          <w:trHeight w:val="904"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17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项目名称</w:t>
            </w:r>
          </w:p>
        </w:tc>
        <w:tc>
          <w:tcPr>
            <w:tcW w:w="7897"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51080022T000005196200-市强制隔离戒毒所经费（单列）</w:t>
            </w:r>
          </w:p>
        </w:tc>
      </w:tr>
      <w:tr>
        <w:tblPrEx>
          <w:tblCellMar>
            <w:top w:w="0" w:type="dxa"/>
            <w:left w:w="108" w:type="dxa"/>
            <w:bottom w:w="0" w:type="dxa"/>
            <w:right w:w="108" w:type="dxa"/>
          </w:tblCellMar>
        </w:tblPrEx>
        <w:trPr>
          <w:trHeight w:val="514" w:hRule="atLeast"/>
        </w:trPr>
        <w:tc>
          <w:tcPr>
            <w:tcW w:w="17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主管部门</w:t>
            </w:r>
          </w:p>
        </w:tc>
        <w:tc>
          <w:tcPr>
            <w:tcW w:w="484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广元市公安局部门</w:t>
            </w:r>
          </w:p>
        </w:tc>
        <w:tc>
          <w:tcPr>
            <w:tcW w:w="981"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实施单位 （盖章）</w:t>
            </w:r>
          </w:p>
        </w:tc>
        <w:tc>
          <w:tcPr>
            <w:tcW w:w="20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广元市公安局</w:t>
            </w:r>
          </w:p>
        </w:tc>
      </w:tr>
      <w:tr>
        <w:tblPrEx>
          <w:tblCellMar>
            <w:top w:w="0" w:type="dxa"/>
            <w:left w:w="108" w:type="dxa"/>
            <w:bottom w:w="0" w:type="dxa"/>
            <w:right w:w="108" w:type="dxa"/>
          </w:tblCellMar>
        </w:tblPrEx>
        <w:trPr>
          <w:trHeight w:val="285" w:hRule="atLeast"/>
        </w:trPr>
        <w:tc>
          <w:tcPr>
            <w:tcW w:w="65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项目基本情况</w:t>
            </w:r>
          </w:p>
        </w:tc>
        <w:tc>
          <w:tcPr>
            <w:tcW w:w="108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1.项目年度目标完成情况</w:t>
            </w:r>
          </w:p>
        </w:tc>
        <w:tc>
          <w:tcPr>
            <w:tcW w:w="484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项目年度目标</w:t>
            </w:r>
          </w:p>
        </w:tc>
        <w:tc>
          <w:tcPr>
            <w:tcW w:w="304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年度目标完成情况</w:t>
            </w:r>
          </w:p>
        </w:tc>
      </w:tr>
      <w:tr>
        <w:tblPrEx>
          <w:tblCellMar>
            <w:top w:w="0" w:type="dxa"/>
            <w:left w:w="108" w:type="dxa"/>
            <w:bottom w:w="0" w:type="dxa"/>
            <w:right w:w="108" w:type="dxa"/>
          </w:tblCellMar>
        </w:tblPrEx>
        <w:trPr>
          <w:trHeight w:val="709"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Cs w:val="21"/>
              </w:rPr>
            </w:pPr>
          </w:p>
        </w:tc>
        <w:tc>
          <w:tcPr>
            <w:tcW w:w="4848"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xml:space="preserve"> 落实公安部、财政部及公安厅、财政厅戒毒人员伙食供应标准，省厅规范着装标准，市财政局《关于强制隔离戒毒所被监管人员医疗费用最低保障标准的报告》相关要求，实施规范化执法管理。积极发挥职能作用，打造戒毒康复基地，法制文明窗口，更好服务社会稳定大局。</w:t>
            </w:r>
          </w:p>
        </w:tc>
        <w:tc>
          <w:tcPr>
            <w:tcW w:w="304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项目完成情况较好，实现监所规范化管理，确保了监所安全，较好地服务了社会稳定大局。</w:t>
            </w:r>
          </w:p>
        </w:tc>
      </w:tr>
      <w:tr>
        <w:tblPrEx>
          <w:tblCellMar>
            <w:top w:w="0" w:type="dxa"/>
            <w:left w:w="108" w:type="dxa"/>
            <w:bottom w:w="0" w:type="dxa"/>
            <w:right w:w="108" w:type="dxa"/>
          </w:tblCellMar>
        </w:tblPrEx>
        <w:trPr>
          <w:trHeight w:val="694"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Cs w:val="21"/>
              </w:rPr>
            </w:pPr>
          </w:p>
        </w:tc>
        <w:tc>
          <w:tcPr>
            <w:tcW w:w="1086"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2.项目实施内容及过程概述</w:t>
            </w:r>
          </w:p>
        </w:tc>
        <w:tc>
          <w:tcPr>
            <w:tcW w:w="7897"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保障监所正常运转所需的在押人员脱毒药品费、衣被费、伙食费、公杂费、水电气费、管理教费、维修维护费等，实行逐月报账制。</w:t>
            </w:r>
          </w:p>
        </w:tc>
      </w:tr>
      <w:tr>
        <w:tblPrEx>
          <w:tblCellMar>
            <w:top w:w="0" w:type="dxa"/>
            <w:left w:w="108" w:type="dxa"/>
            <w:bottom w:w="0" w:type="dxa"/>
            <w:right w:w="108" w:type="dxa"/>
          </w:tblCellMar>
        </w:tblPrEx>
        <w:trPr>
          <w:trHeight w:val="360" w:hRule="atLeast"/>
        </w:trPr>
        <w:tc>
          <w:tcPr>
            <w:tcW w:w="65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预算执行情况（10分）</w:t>
            </w:r>
          </w:p>
        </w:tc>
        <w:tc>
          <w:tcPr>
            <w:tcW w:w="10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年度预算数（万元）</w:t>
            </w:r>
          </w:p>
        </w:tc>
        <w:tc>
          <w:tcPr>
            <w:tcW w:w="11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年初预算</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调整后预算数</w:t>
            </w:r>
          </w:p>
        </w:tc>
        <w:tc>
          <w:tcPr>
            <w:tcW w:w="213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预算执行数</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权重</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得分</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原因</w:t>
            </w:r>
          </w:p>
        </w:tc>
      </w:tr>
      <w:tr>
        <w:tblPrEx>
          <w:tblCellMar>
            <w:top w:w="0" w:type="dxa"/>
            <w:left w:w="108" w:type="dxa"/>
            <w:bottom w:w="0" w:type="dxa"/>
            <w:right w:w="108" w:type="dxa"/>
          </w:tblCellMar>
        </w:tblPrEx>
        <w:trPr>
          <w:trHeight w:val="345"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总额</w:t>
            </w:r>
          </w:p>
        </w:tc>
        <w:tc>
          <w:tcPr>
            <w:tcW w:w="11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100.93</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100.93</w:t>
            </w:r>
          </w:p>
        </w:tc>
        <w:tc>
          <w:tcPr>
            <w:tcW w:w="213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100.93</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w:t>
            </w:r>
          </w:p>
        </w:tc>
        <w:tc>
          <w:tcPr>
            <w:tcW w:w="11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90"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其中：财政资金</w:t>
            </w:r>
          </w:p>
        </w:tc>
        <w:tc>
          <w:tcPr>
            <w:tcW w:w="11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100.93</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100.93</w:t>
            </w:r>
          </w:p>
        </w:tc>
        <w:tc>
          <w:tcPr>
            <w:tcW w:w="213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100.93</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110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szCs w:val="21"/>
              </w:rPr>
            </w:pPr>
          </w:p>
        </w:tc>
      </w:tr>
      <w:tr>
        <w:tblPrEx>
          <w:tblCellMar>
            <w:top w:w="0" w:type="dxa"/>
            <w:left w:w="108" w:type="dxa"/>
            <w:bottom w:w="0" w:type="dxa"/>
            <w:right w:w="108" w:type="dxa"/>
          </w:tblCellMar>
        </w:tblPrEx>
        <w:trPr>
          <w:trHeight w:val="409"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财政专户管理资金</w:t>
            </w:r>
          </w:p>
        </w:tc>
        <w:tc>
          <w:tcPr>
            <w:tcW w:w="11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0.00</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0.00</w:t>
            </w:r>
          </w:p>
        </w:tc>
        <w:tc>
          <w:tcPr>
            <w:tcW w:w="213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0.00</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110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szCs w:val="21"/>
              </w:rPr>
            </w:pPr>
          </w:p>
        </w:tc>
      </w:tr>
      <w:tr>
        <w:tblPrEx>
          <w:tblCellMar>
            <w:top w:w="0" w:type="dxa"/>
            <w:left w:w="108" w:type="dxa"/>
            <w:bottom w:w="0" w:type="dxa"/>
            <w:right w:w="108" w:type="dxa"/>
          </w:tblCellMar>
        </w:tblPrEx>
        <w:trPr>
          <w:trHeight w:val="360"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单位资金</w:t>
            </w:r>
          </w:p>
        </w:tc>
        <w:tc>
          <w:tcPr>
            <w:tcW w:w="11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0.00</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0.00</w:t>
            </w:r>
          </w:p>
        </w:tc>
        <w:tc>
          <w:tcPr>
            <w:tcW w:w="213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0.00</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110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szCs w:val="21"/>
              </w:rPr>
            </w:pP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其他资金</w:t>
            </w:r>
          </w:p>
        </w:tc>
        <w:tc>
          <w:tcPr>
            <w:tcW w:w="11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c>
          <w:tcPr>
            <w:tcW w:w="213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110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szCs w:val="21"/>
              </w:rPr>
            </w:pPr>
          </w:p>
        </w:tc>
      </w:tr>
      <w:tr>
        <w:tblPrEx>
          <w:tblCellMar>
            <w:top w:w="0" w:type="dxa"/>
            <w:left w:w="108" w:type="dxa"/>
            <w:bottom w:w="0" w:type="dxa"/>
            <w:right w:w="108" w:type="dxa"/>
          </w:tblCellMar>
        </w:tblPrEx>
        <w:trPr>
          <w:trHeight w:val="454" w:hRule="atLeast"/>
        </w:trPr>
        <w:tc>
          <w:tcPr>
            <w:tcW w:w="65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绩效指标（90分）</w:t>
            </w:r>
          </w:p>
        </w:tc>
        <w:tc>
          <w:tcPr>
            <w:tcW w:w="10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一级指标</w:t>
            </w:r>
          </w:p>
        </w:tc>
        <w:tc>
          <w:tcPr>
            <w:tcW w:w="11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二级指标</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三级指标</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指标性质</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指标值</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度量单位</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权重</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得分</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未完成原因分析</w:t>
            </w:r>
          </w:p>
        </w:tc>
      </w:tr>
      <w:tr>
        <w:tblPrEx>
          <w:tblCellMar>
            <w:top w:w="0" w:type="dxa"/>
            <w:left w:w="108" w:type="dxa"/>
            <w:bottom w:w="0" w:type="dxa"/>
            <w:right w:w="108" w:type="dxa"/>
          </w:tblCellMar>
        </w:tblPrEx>
        <w:trPr>
          <w:trHeight w:val="454"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产出指标</w:t>
            </w:r>
          </w:p>
        </w:tc>
        <w:tc>
          <w:tcPr>
            <w:tcW w:w="114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数量指标</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规范戒毒（拘留）人数着装人数</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200</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人</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210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454"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开展戒毒人员脱毒治疗人数</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人</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103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454"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保障戒毒（拘留）人员伙食人数</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200</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人</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200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454"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质量指标</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戒毒人员药物脱毒治疗效果</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50</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51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679"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戒毒（拘留）人员伙食标准</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280</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元/人*月</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280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8</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7</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监所安全责任事故率</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时效指标</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戒毒人员过渡期管理时间</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15</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天</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15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戒毒人员生理脱毒时间</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90</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天</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90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收戒（拘）量完成时间</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365</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天</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365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效益指标</w:t>
            </w:r>
          </w:p>
        </w:tc>
        <w:tc>
          <w:tcPr>
            <w:tcW w:w="114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经济效益指标</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吸毒人员戒毒消费降低</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定性</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优</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禁毒缉毒成本进一步降低</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定性</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优</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社会效益指标</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社会面吸毒人员减少数</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200</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人</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14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社会投资环境进一步优化</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定性</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优</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社会治安好转进一步提高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定性</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优</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454"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出所戒员社会就业率进一步提高</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定性</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优</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可持续影响指标</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涉毒犯罪持续减少</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定性</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优</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社会环境持续好转</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定性</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优</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吸毒人员数量持续减少</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定性</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优</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成本指标</w:t>
            </w:r>
          </w:p>
        </w:tc>
        <w:tc>
          <w:tcPr>
            <w:tcW w:w="114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经济成本指标</w:t>
            </w: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戒（拘）人员伙房劳务费</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33.25</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25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戒毒人员脱毒药品费</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38.74</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戒（拘）人员衣被费</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10.76</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1.7696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戒（拘）人员伙食费</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67.2</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24.2272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戒（拘）人员公杂费</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8.4</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1.9689</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水电气相关费用</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36</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26.725446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管理、教育相关费用</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17.9</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9.9158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08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4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57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维修维护相关费用</w:t>
            </w:r>
          </w:p>
        </w:tc>
        <w:tc>
          <w:tcPr>
            <w:tcW w:w="6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8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9.65</w:t>
            </w:r>
          </w:p>
        </w:tc>
        <w:tc>
          <w:tcPr>
            <w:tcW w:w="63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98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2.5743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szCs w:val="21"/>
              </w:rPr>
            </w:pPr>
            <w:r>
              <w:rPr>
                <w:rFonts w:hint="eastAsia" w:ascii="仿宋_GB2312" w:hAnsi="仿宋_GB2312" w:eastAsia="仿宋_GB2312" w:cs="仿宋_GB2312"/>
                <w:i/>
                <w:iCs/>
                <w:kern w:val="0"/>
                <w:szCs w:val="21"/>
              </w:rPr>
              <w:t>　</w:t>
            </w:r>
          </w:p>
        </w:tc>
      </w:tr>
      <w:tr>
        <w:tblPrEx>
          <w:tblCellMar>
            <w:top w:w="0" w:type="dxa"/>
            <w:left w:w="108" w:type="dxa"/>
            <w:bottom w:w="0" w:type="dxa"/>
            <w:right w:w="108" w:type="dxa"/>
          </w:tblCellMar>
        </w:tblPrEx>
        <w:trPr>
          <w:trHeight w:val="285" w:hRule="atLeast"/>
        </w:trPr>
        <w:tc>
          <w:tcPr>
            <w:tcW w:w="757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w:t>
            </w:r>
          </w:p>
        </w:tc>
        <w:tc>
          <w:tcPr>
            <w:tcW w:w="43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98</w:t>
            </w:r>
          </w:p>
        </w:tc>
        <w:tc>
          <w:tcPr>
            <w:tcW w:w="110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604" w:hRule="atLeast"/>
        </w:trPr>
        <w:tc>
          <w:tcPr>
            <w:tcW w:w="655"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评价结论</w:t>
            </w:r>
          </w:p>
        </w:tc>
        <w:tc>
          <w:tcPr>
            <w:tcW w:w="898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2023年较好地完成了该项目，自评得分98分。年内关押拘留人员2575人，戒毒人员14人，监所安全稳定，管理规范，无社会负面舆情炒作，无任何安全事故，较好地服务了社会稳定大局。</w:t>
            </w:r>
          </w:p>
        </w:tc>
      </w:tr>
      <w:tr>
        <w:tblPrEx>
          <w:tblCellMar>
            <w:top w:w="0" w:type="dxa"/>
            <w:left w:w="108" w:type="dxa"/>
            <w:bottom w:w="0" w:type="dxa"/>
            <w:right w:w="108" w:type="dxa"/>
          </w:tblCellMar>
        </w:tblPrEx>
        <w:trPr>
          <w:trHeight w:val="574" w:hRule="atLeast"/>
        </w:trPr>
        <w:tc>
          <w:tcPr>
            <w:tcW w:w="655"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存在问题</w:t>
            </w:r>
          </w:p>
        </w:tc>
        <w:tc>
          <w:tcPr>
            <w:tcW w:w="898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由于调整后下达的预算资金不足，没有采购戒毒人员脱毒治疗特殊药品，仍然只能采用“干戒”的方式进行。另外由于社会面吸毒人员大量减少，戒毒人员收押量仅有14人，客观上影响了预算执行。</w:t>
            </w:r>
          </w:p>
        </w:tc>
      </w:tr>
      <w:tr>
        <w:tblPrEx>
          <w:tblCellMar>
            <w:top w:w="0" w:type="dxa"/>
            <w:left w:w="108" w:type="dxa"/>
            <w:bottom w:w="0" w:type="dxa"/>
            <w:right w:w="108" w:type="dxa"/>
          </w:tblCellMar>
        </w:tblPrEx>
        <w:trPr>
          <w:trHeight w:val="634" w:hRule="atLeast"/>
        </w:trPr>
        <w:tc>
          <w:tcPr>
            <w:tcW w:w="655"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改进措施</w:t>
            </w:r>
          </w:p>
        </w:tc>
        <w:tc>
          <w:tcPr>
            <w:tcW w:w="898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下一步，将结合社会经济情况、社会治安情况、吸毒人员大幅下降的实际情况，优化调整年度预算，进一步节约资金，力争有限的资金发挥最大作用。</w:t>
            </w:r>
          </w:p>
        </w:tc>
      </w:tr>
      <w:tr>
        <w:tblPrEx>
          <w:tblCellMar>
            <w:top w:w="0" w:type="dxa"/>
            <w:left w:w="108" w:type="dxa"/>
            <w:bottom w:w="0" w:type="dxa"/>
            <w:right w:w="108" w:type="dxa"/>
          </w:tblCellMar>
        </w:tblPrEx>
        <w:trPr>
          <w:trHeight w:val="285" w:hRule="atLeast"/>
        </w:trPr>
        <w:tc>
          <w:tcPr>
            <w:tcW w:w="511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项目负责人：唐振民</w:t>
            </w:r>
          </w:p>
        </w:tc>
        <w:tc>
          <w:tcPr>
            <w:tcW w:w="451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财务负责人：李燕成</w:t>
            </w:r>
          </w:p>
        </w:tc>
      </w:tr>
    </w:tbl>
    <w:p>
      <w:pPr>
        <w:pStyle w:val="2"/>
        <w:rPr>
          <w:rFonts w:ascii="仿宋_GB2312" w:hAnsi="仿宋_GB2312" w:eastAsia="仿宋_GB2312" w:cs="仿宋_GB2312"/>
          <w:b/>
          <w:bCs/>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636"/>
        <w:gridCol w:w="1172"/>
        <w:gridCol w:w="1415"/>
        <w:gridCol w:w="1652"/>
        <w:gridCol w:w="664"/>
        <w:gridCol w:w="572"/>
        <w:gridCol w:w="763"/>
        <w:gridCol w:w="576"/>
        <w:gridCol w:w="531"/>
        <w:gridCol w:w="531"/>
        <w:gridCol w:w="1126"/>
      </w:tblGrid>
      <w:tr>
        <w:tblPrEx>
          <w:tblCellMar>
            <w:top w:w="0" w:type="dxa"/>
            <w:left w:w="108" w:type="dxa"/>
            <w:bottom w:w="0" w:type="dxa"/>
            <w:right w:w="108" w:type="dxa"/>
          </w:tblCellMar>
        </w:tblPrEx>
        <w:trPr>
          <w:trHeight w:val="642"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项目名称</w:t>
            </w:r>
          </w:p>
        </w:tc>
        <w:tc>
          <w:tcPr>
            <w:tcW w:w="783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51080022T000007134427-铁路护路经费</w:t>
            </w:r>
          </w:p>
        </w:tc>
      </w:tr>
      <w:tr>
        <w:tblPrEx>
          <w:tblCellMar>
            <w:top w:w="0" w:type="dxa"/>
            <w:left w:w="108" w:type="dxa"/>
            <w:bottom w:w="0" w:type="dxa"/>
            <w:right w:w="108" w:type="dxa"/>
          </w:tblCellMar>
        </w:tblPrEx>
        <w:trPr>
          <w:trHeight w:val="514"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主管部门</w:t>
            </w:r>
          </w:p>
        </w:tc>
        <w:tc>
          <w:tcPr>
            <w:tcW w:w="506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广元市公安局部门</w:t>
            </w:r>
          </w:p>
        </w:tc>
        <w:tc>
          <w:tcPr>
            <w:tcW w:w="576"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实施单位 （盖章）</w:t>
            </w:r>
          </w:p>
        </w:tc>
        <w:tc>
          <w:tcPr>
            <w:tcW w:w="21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广元市公安局</w:t>
            </w:r>
          </w:p>
        </w:tc>
      </w:tr>
      <w:tr>
        <w:tblPrEx>
          <w:tblCellMar>
            <w:top w:w="0" w:type="dxa"/>
            <w:left w:w="108" w:type="dxa"/>
            <w:bottom w:w="0" w:type="dxa"/>
            <w:right w:w="108" w:type="dxa"/>
          </w:tblCellMar>
        </w:tblPrEx>
        <w:trPr>
          <w:trHeight w:val="285" w:hRule="atLeast"/>
        </w:trPr>
        <w:tc>
          <w:tcPr>
            <w:tcW w:w="63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项目基本情况</w:t>
            </w: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1.项目年度目标完成情况</w:t>
            </w:r>
          </w:p>
        </w:tc>
        <w:tc>
          <w:tcPr>
            <w:tcW w:w="506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项目年度目标</w:t>
            </w:r>
          </w:p>
        </w:tc>
        <w:tc>
          <w:tcPr>
            <w:tcW w:w="276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年度目标完成情况</w:t>
            </w:r>
          </w:p>
        </w:tc>
      </w:tr>
      <w:tr>
        <w:tblPrEx>
          <w:tblCellMar>
            <w:top w:w="0" w:type="dxa"/>
            <w:left w:w="108" w:type="dxa"/>
            <w:bottom w:w="0" w:type="dxa"/>
            <w:right w:w="108" w:type="dxa"/>
          </w:tblCellMar>
        </w:tblPrEx>
        <w:trPr>
          <w:trHeight w:val="1422"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Cs w:val="21"/>
              </w:rPr>
            </w:pPr>
          </w:p>
        </w:tc>
        <w:tc>
          <w:tcPr>
            <w:tcW w:w="506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用于市本级铁路护路联防相关支出</w:t>
            </w:r>
          </w:p>
        </w:tc>
        <w:tc>
          <w:tcPr>
            <w:tcW w:w="276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xml:space="preserve">  2023年紧紧围绕铁路护路联防工作目标，做好重点时期安保、强化基层基础建设、扎实隐患排查治理、加强沿线治安防控、深化护路宣传教育，扎实推进各项工作措施的落实，确保了全市境内铁路安全畅通和沿线治安稳定。目标完成率为100%。</w:t>
            </w:r>
          </w:p>
        </w:tc>
      </w:tr>
      <w:tr>
        <w:tblPrEx>
          <w:tblCellMar>
            <w:top w:w="0" w:type="dxa"/>
            <w:left w:w="108" w:type="dxa"/>
            <w:bottom w:w="0" w:type="dxa"/>
            <w:right w:w="108" w:type="dxa"/>
          </w:tblCellMar>
        </w:tblPrEx>
        <w:trPr>
          <w:trHeight w:val="694"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Cs w:val="21"/>
              </w:rPr>
            </w:pPr>
          </w:p>
        </w:tc>
        <w:tc>
          <w:tcPr>
            <w:tcW w:w="1172"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2.项目实施内容及过程概述</w:t>
            </w:r>
          </w:p>
        </w:tc>
        <w:tc>
          <w:tcPr>
            <w:tcW w:w="783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xml:space="preserve">   支持全市铁路护路联防工作顺利开展，包括铁路沿线社会综合治理、安全隐患排查整治，涉路矛盾纠纷排查化解，爱路护路宣传，专项重点整治，路地联合完成护路联防等工作，维护铁路治安稳定，确保全省铁路设施设备和运输安全。</w:t>
            </w:r>
          </w:p>
        </w:tc>
      </w:tr>
      <w:tr>
        <w:tblPrEx>
          <w:tblCellMar>
            <w:top w:w="0" w:type="dxa"/>
            <w:left w:w="108" w:type="dxa"/>
            <w:bottom w:w="0" w:type="dxa"/>
            <w:right w:w="108" w:type="dxa"/>
          </w:tblCellMar>
        </w:tblPrEx>
        <w:trPr>
          <w:trHeight w:val="360" w:hRule="atLeast"/>
        </w:trPr>
        <w:tc>
          <w:tcPr>
            <w:tcW w:w="63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预算执行情况（10分）</w:t>
            </w: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年度预算数（万元）</w:t>
            </w:r>
          </w:p>
        </w:tc>
        <w:tc>
          <w:tcPr>
            <w:tcW w:w="141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年初预算</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调整后预算数</w:t>
            </w:r>
          </w:p>
        </w:tc>
        <w:tc>
          <w:tcPr>
            <w:tcW w:w="199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预算执行数</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得分</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原因</w:t>
            </w:r>
          </w:p>
        </w:tc>
      </w:tr>
      <w:tr>
        <w:tblPrEx>
          <w:tblCellMar>
            <w:top w:w="0" w:type="dxa"/>
            <w:left w:w="108" w:type="dxa"/>
            <w:bottom w:w="0" w:type="dxa"/>
            <w:right w:w="108" w:type="dxa"/>
          </w:tblCellMar>
        </w:tblPrEx>
        <w:trPr>
          <w:trHeight w:val="345"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总额</w:t>
            </w:r>
          </w:p>
        </w:tc>
        <w:tc>
          <w:tcPr>
            <w:tcW w:w="141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3.987975</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3.987975</w:t>
            </w:r>
          </w:p>
        </w:tc>
        <w:tc>
          <w:tcPr>
            <w:tcW w:w="199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3.987975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w:t>
            </w:r>
          </w:p>
        </w:tc>
        <w:tc>
          <w:tcPr>
            <w:tcW w:w="112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90"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其中：财政资金</w:t>
            </w:r>
          </w:p>
        </w:tc>
        <w:tc>
          <w:tcPr>
            <w:tcW w:w="141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3.987975</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3.987975</w:t>
            </w:r>
          </w:p>
        </w:tc>
        <w:tc>
          <w:tcPr>
            <w:tcW w:w="199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3.987975</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112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Cs w:val="21"/>
              </w:rPr>
            </w:pPr>
          </w:p>
        </w:tc>
      </w:tr>
      <w:tr>
        <w:tblPrEx>
          <w:tblCellMar>
            <w:top w:w="0" w:type="dxa"/>
            <w:left w:w="108" w:type="dxa"/>
            <w:bottom w:w="0" w:type="dxa"/>
            <w:right w:w="108" w:type="dxa"/>
          </w:tblCellMar>
        </w:tblPrEx>
        <w:trPr>
          <w:trHeight w:val="409"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财政专户管理资金</w:t>
            </w:r>
          </w:p>
        </w:tc>
        <w:tc>
          <w:tcPr>
            <w:tcW w:w="141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199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112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Cs w:val="21"/>
              </w:rPr>
            </w:pPr>
          </w:p>
        </w:tc>
      </w:tr>
      <w:tr>
        <w:tblPrEx>
          <w:tblCellMar>
            <w:top w:w="0" w:type="dxa"/>
            <w:left w:w="108" w:type="dxa"/>
            <w:bottom w:w="0" w:type="dxa"/>
            <w:right w:w="108" w:type="dxa"/>
          </w:tblCellMar>
        </w:tblPrEx>
        <w:trPr>
          <w:trHeight w:val="360"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单位资金</w:t>
            </w:r>
          </w:p>
        </w:tc>
        <w:tc>
          <w:tcPr>
            <w:tcW w:w="141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199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112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Cs w:val="21"/>
              </w:rPr>
            </w:pP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其他资金</w:t>
            </w:r>
          </w:p>
        </w:tc>
        <w:tc>
          <w:tcPr>
            <w:tcW w:w="141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199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112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Cs w:val="21"/>
              </w:rPr>
            </w:pPr>
          </w:p>
        </w:tc>
      </w:tr>
      <w:tr>
        <w:tblPrEx>
          <w:tblCellMar>
            <w:top w:w="0" w:type="dxa"/>
            <w:left w:w="108" w:type="dxa"/>
            <w:bottom w:w="0" w:type="dxa"/>
            <w:right w:w="108" w:type="dxa"/>
          </w:tblCellMar>
        </w:tblPrEx>
        <w:trPr>
          <w:trHeight w:val="454" w:hRule="atLeast"/>
        </w:trPr>
        <w:tc>
          <w:tcPr>
            <w:tcW w:w="63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绩效指标（90分）</w:t>
            </w:r>
          </w:p>
        </w:tc>
        <w:tc>
          <w:tcPr>
            <w:tcW w:w="11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一级指标</w:t>
            </w:r>
          </w:p>
        </w:tc>
        <w:tc>
          <w:tcPr>
            <w:tcW w:w="141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二级指标</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三级指标</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指标性质</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指标值</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度量单位</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得分</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未完成原因分析</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产出指标</w:t>
            </w:r>
          </w:p>
        </w:tc>
        <w:tc>
          <w:tcPr>
            <w:tcW w:w="141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数量指标</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护路里程</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502</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公里</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502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隐患排查</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24</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出动护路人次</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450</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人次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450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宣传次数</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36</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质量指标</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护路安全率</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安全事故发生率</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时效指标</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铁路沿线信息收集</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30</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分钟</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铁路沿线治安防控</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30</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分钟</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处置铁路沿线隐患事故</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30</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分钟</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效益指标</w:t>
            </w:r>
          </w:p>
        </w:tc>
        <w:tc>
          <w:tcPr>
            <w:tcW w:w="141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经济效益指标</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铁路设施被盗</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抢劫铁路物资事件</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社会效益指标</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影响行车安全事故</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危及行车安全事故</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路外伤亡事故</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次</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可持续发展指标</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沿线治安环境稳定</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98</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铁路安全畅通</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98</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满意度指标</w:t>
            </w:r>
          </w:p>
        </w:tc>
        <w:tc>
          <w:tcPr>
            <w:tcW w:w="141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服务对象满意度指标</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铁路沿线居民</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97</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乘客</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97</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成本指标</w:t>
            </w:r>
          </w:p>
        </w:tc>
        <w:tc>
          <w:tcPr>
            <w:tcW w:w="141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经济成本指标</w:t>
            </w: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专项行动经费</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办公差旅费</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338" w:hRule="atLeast"/>
        </w:trPr>
        <w:tc>
          <w:tcPr>
            <w:tcW w:w="6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4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Cs w:val="21"/>
              </w:rPr>
            </w:pPr>
          </w:p>
        </w:tc>
        <w:tc>
          <w:tcPr>
            <w:tcW w:w="1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车辆燃油费</w:t>
            </w:r>
          </w:p>
        </w:tc>
        <w:tc>
          <w:tcPr>
            <w:tcW w:w="6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w:t>
            </w:r>
          </w:p>
        </w:tc>
        <w:tc>
          <w:tcPr>
            <w:tcW w:w="5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76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万元</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12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285" w:hRule="atLeast"/>
        </w:trPr>
        <w:tc>
          <w:tcPr>
            <w:tcW w:w="745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righ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100</w:t>
            </w:r>
          </w:p>
        </w:tc>
        <w:tc>
          <w:tcPr>
            <w:tcW w:w="1126"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w:t>
            </w:r>
          </w:p>
        </w:tc>
      </w:tr>
      <w:tr>
        <w:tblPrEx>
          <w:tblCellMar>
            <w:top w:w="0" w:type="dxa"/>
            <w:left w:w="108" w:type="dxa"/>
            <w:bottom w:w="0" w:type="dxa"/>
            <w:right w:w="108" w:type="dxa"/>
          </w:tblCellMar>
        </w:tblPrEx>
        <w:trPr>
          <w:trHeight w:val="1422" w:hRule="atLeast"/>
        </w:trPr>
        <w:tc>
          <w:tcPr>
            <w:tcW w:w="636"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评价结论</w:t>
            </w:r>
          </w:p>
        </w:tc>
        <w:tc>
          <w:tcPr>
            <w:tcW w:w="9002"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xml:space="preserve">    组织开展铁路护路联防队伍专项清理整顿，清理责任心不强、身患重病、超龄专（兼）职护路骨干、护路队员11名，进一步纯洁、优化了护路联防队伍。先后选派8名护路队员参加全省护路联防培训，分区分片组织护路队员培训33批次轮训516人次，有效提升了基层护路队伍业务能力。深入推进公共安全视频监控建设向铁路沿线延伸覆盖，优化整合167套涉及铁路沿线安全的视频监控资源互联共享。督导及联合检查62次，隐患排查、整治、矛盾纠纷协调化解共计27起。 圆满完成铁路过境重要任务30余件，党的二十大、全国“两会”、成都大运会及重大节假日铁路护路联防工作全胜完胜，确保了进蜀出川铁路大动脉平安畅通。先后在2022年度、2023年度全省铁路护路联防工作会上交流护路工作经验。</w:t>
            </w:r>
          </w:p>
        </w:tc>
      </w:tr>
      <w:tr>
        <w:tblPrEx>
          <w:tblCellMar>
            <w:top w:w="0" w:type="dxa"/>
            <w:left w:w="108" w:type="dxa"/>
            <w:bottom w:w="0" w:type="dxa"/>
            <w:right w:w="108" w:type="dxa"/>
          </w:tblCellMar>
        </w:tblPrEx>
        <w:trPr>
          <w:trHeight w:val="679" w:hRule="atLeast"/>
        </w:trPr>
        <w:tc>
          <w:tcPr>
            <w:tcW w:w="636"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存在问题</w:t>
            </w:r>
          </w:p>
        </w:tc>
        <w:tc>
          <w:tcPr>
            <w:tcW w:w="9002"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xml:space="preserve">    尽管项目实施取得了显著成果，但仍然存在一些问题。主要问题包括：一是预算资金安排不够完善；二是部分项目资金使用效率较低；三是政策体系不完善，部分政策实施效果不明显，项目管理不够精细。</w:t>
            </w:r>
          </w:p>
        </w:tc>
      </w:tr>
      <w:tr>
        <w:tblPrEx>
          <w:tblCellMar>
            <w:top w:w="0" w:type="dxa"/>
            <w:left w:w="108" w:type="dxa"/>
            <w:bottom w:w="0" w:type="dxa"/>
            <w:right w:w="108" w:type="dxa"/>
          </w:tblCellMar>
        </w:tblPrEx>
        <w:trPr>
          <w:trHeight w:val="762" w:hRule="atLeast"/>
        </w:trPr>
        <w:tc>
          <w:tcPr>
            <w:tcW w:w="636"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改进措施</w:t>
            </w:r>
          </w:p>
        </w:tc>
        <w:tc>
          <w:tcPr>
            <w:tcW w:w="9002"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 xml:space="preserve">    针对上述问题，我们提出以下改进措施建议：（1）优化预算资金安排。对铁路护路项目进行精细化管理，确保资金使用效率最大化。（2）加强专项资金使用。加强对铁路护路资金调研和评估，提高政策实施效果，确保专项资金使用时限。（3）改进项目管理。建立健全项目资金监管和评估机制。</w:t>
            </w:r>
          </w:p>
        </w:tc>
      </w:tr>
      <w:tr>
        <w:tblPrEx>
          <w:tblCellMar>
            <w:top w:w="0" w:type="dxa"/>
            <w:left w:w="108" w:type="dxa"/>
            <w:bottom w:w="0" w:type="dxa"/>
            <w:right w:w="108" w:type="dxa"/>
          </w:tblCellMar>
        </w:tblPrEx>
        <w:trPr>
          <w:trHeight w:val="285" w:hRule="atLeast"/>
        </w:trPr>
        <w:tc>
          <w:tcPr>
            <w:tcW w:w="55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项目负责人：李海滨</w:t>
            </w:r>
          </w:p>
        </w:tc>
        <w:tc>
          <w:tcPr>
            <w:tcW w:w="409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财务负责人：李燕成</w:t>
            </w:r>
          </w:p>
        </w:tc>
      </w:tr>
    </w:tbl>
    <w:p>
      <w:pPr>
        <w:pStyle w:val="2"/>
        <w:rPr>
          <w:rFonts w:ascii="仿宋_GB2312" w:hAnsi="仿宋_GB2312" w:eastAsia="仿宋_GB2312" w:cs="仿宋_GB2312"/>
          <w:b/>
          <w:bCs/>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655"/>
        <w:gridCol w:w="1064"/>
        <w:gridCol w:w="998"/>
        <w:gridCol w:w="1254"/>
        <w:gridCol w:w="743"/>
        <w:gridCol w:w="588"/>
        <w:gridCol w:w="657"/>
        <w:gridCol w:w="945"/>
        <w:gridCol w:w="465"/>
        <w:gridCol w:w="450"/>
        <w:gridCol w:w="1819"/>
      </w:tblGrid>
      <w:tr>
        <w:tblPrEx>
          <w:tblCellMar>
            <w:top w:w="0" w:type="dxa"/>
            <w:left w:w="108" w:type="dxa"/>
            <w:bottom w:w="0" w:type="dxa"/>
            <w:right w:w="108" w:type="dxa"/>
          </w:tblCellMar>
        </w:tblPrEx>
        <w:trPr>
          <w:trHeight w:val="904"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919"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51080022T000004925530-乡村振兴工作经费（单列）</w:t>
            </w:r>
          </w:p>
        </w:tc>
      </w:tr>
      <w:tr>
        <w:tblPrEx>
          <w:tblCellMar>
            <w:top w:w="0" w:type="dxa"/>
            <w:left w:w="108" w:type="dxa"/>
            <w:bottom w:w="0" w:type="dxa"/>
            <w:right w:w="108" w:type="dxa"/>
          </w:tblCellMar>
        </w:tblPrEx>
        <w:trPr>
          <w:trHeight w:val="514" w:hRule="atLeast"/>
        </w:trPr>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24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945"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7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trPr>
        <w:tc>
          <w:tcPr>
            <w:tcW w:w="65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06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24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67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709"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24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促进产业发展、使帮扶户生活水平逐年提高，同时保障驻村人员生活和驻村工作的有序运转。</w:t>
            </w:r>
          </w:p>
        </w:tc>
        <w:tc>
          <w:tcPr>
            <w:tcW w:w="3679"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利州区青峰村和剑阁县松林村驻村工作队按照工作任务需求，规范使用项目预算资金，支付依据合规合法，资金支付与预算相符，资金执行率100%。对口帮扶脱贫村民众收益不断增加，集体经济不断壮大，民众幸福感、满意感不断提升。</w:t>
            </w:r>
          </w:p>
        </w:tc>
      </w:tr>
      <w:tr>
        <w:tblPrEx>
          <w:tblCellMar>
            <w:top w:w="0" w:type="dxa"/>
            <w:left w:w="108" w:type="dxa"/>
            <w:bottom w:w="0" w:type="dxa"/>
            <w:right w:w="108" w:type="dxa"/>
          </w:tblCellMar>
        </w:tblPrEx>
        <w:trPr>
          <w:trHeight w:val="694"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64"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919"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主要用于2023年度广元市公安局驻村帮扶工作经费，购买办公用品、印刷乡村振兴宣传资料、公务车辆燃油费、出差差率费、走访慰问脱贫人员、工作队员驻村生活补助等工作支出，不断提升脱贫村脱贫人口家庭年收入，助力村民产业发展，提升村民集体经济收入，提升民众幸福感满意度。</w:t>
            </w:r>
          </w:p>
        </w:tc>
      </w:tr>
      <w:tr>
        <w:tblPrEx>
          <w:tblCellMar>
            <w:top w:w="0" w:type="dxa"/>
            <w:left w:w="108" w:type="dxa"/>
            <w:bottom w:w="0" w:type="dxa"/>
            <w:right w:w="108" w:type="dxa"/>
          </w:tblCellMar>
        </w:tblPrEx>
        <w:trPr>
          <w:trHeight w:val="360" w:hRule="atLeast"/>
        </w:trPr>
        <w:tc>
          <w:tcPr>
            <w:tcW w:w="65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0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9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1988"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9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10.92</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10.92</w:t>
            </w:r>
          </w:p>
        </w:tc>
        <w:tc>
          <w:tcPr>
            <w:tcW w:w="1988"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10.92</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90"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9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10.92</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10.92</w:t>
            </w:r>
          </w:p>
        </w:tc>
        <w:tc>
          <w:tcPr>
            <w:tcW w:w="1988"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10.92</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81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09"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9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988"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81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60"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9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988"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81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9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988"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81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54" w:hRule="atLeast"/>
        </w:trPr>
        <w:tc>
          <w:tcPr>
            <w:tcW w:w="65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06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9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99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帮扶对象</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93</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户</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93</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引进项目</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任务完成达标率</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45"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帮扶对象致富率</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及时帮扶率</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驻村工作时间</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帮扶困难户时长</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99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服务民生大众情况</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推动行业发展</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提升治理水平</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落实国家政策</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持续推动乡村经济振兴</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帮扶脱贫村受地域环境限制，经济发展受限，需进一步寻求突破口</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巩固脱贫攻坚成果</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9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帮扶对象满意度指标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群众满意度调查</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90</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上级机关满意度</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99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办公用品</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走访慰问</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驻村队员工作经费</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5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99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驻村宣传费用</w:t>
            </w:r>
          </w:p>
        </w:tc>
        <w:tc>
          <w:tcPr>
            <w:tcW w:w="74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w:t>
            </w:r>
          </w:p>
        </w:tc>
        <w:tc>
          <w:tcPr>
            <w:tcW w:w="65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9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trPr>
        <w:tc>
          <w:tcPr>
            <w:tcW w:w="69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46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45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96</w:t>
            </w:r>
          </w:p>
        </w:tc>
        <w:tc>
          <w:tcPr>
            <w:tcW w:w="1819"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4" w:hRule="atLeast"/>
        </w:trPr>
        <w:tc>
          <w:tcPr>
            <w:tcW w:w="655"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8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经过专项预算项目绩效自评，该项目总体运行实施情况较好，成效较为显著，项目得分96分。</w:t>
            </w:r>
          </w:p>
        </w:tc>
      </w:tr>
      <w:tr>
        <w:tblPrEx>
          <w:tblCellMar>
            <w:top w:w="0" w:type="dxa"/>
            <w:left w:w="108" w:type="dxa"/>
            <w:bottom w:w="0" w:type="dxa"/>
            <w:right w:w="108" w:type="dxa"/>
          </w:tblCellMar>
        </w:tblPrEx>
        <w:trPr>
          <w:trHeight w:val="574" w:hRule="atLeast"/>
        </w:trPr>
        <w:tc>
          <w:tcPr>
            <w:tcW w:w="655"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8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按照相应项目绩效要求，进一步扩大专项预算项目成效。</w:t>
            </w:r>
          </w:p>
        </w:tc>
      </w:tr>
      <w:tr>
        <w:tblPrEx>
          <w:tblCellMar>
            <w:top w:w="0" w:type="dxa"/>
            <w:left w:w="108" w:type="dxa"/>
            <w:bottom w:w="0" w:type="dxa"/>
            <w:right w:w="108" w:type="dxa"/>
          </w:tblCellMar>
        </w:tblPrEx>
        <w:trPr>
          <w:trHeight w:val="634" w:hRule="atLeast"/>
        </w:trPr>
        <w:tc>
          <w:tcPr>
            <w:tcW w:w="655"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8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进一步加强返贫预防检测，巩固脱贫攻坚成果，壮大村集体经济产业，可以适当增加工作经费，加强对驻村集体经济的帮扶力度。</w:t>
            </w:r>
          </w:p>
        </w:tc>
      </w:tr>
      <w:tr>
        <w:tblPrEx>
          <w:tblCellMar>
            <w:top w:w="0" w:type="dxa"/>
            <w:left w:w="108" w:type="dxa"/>
            <w:bottom w:w="0" w:type="dxa"/>
            <w:right w:w="108" w:type="dxa"/>
          </w:tblCellMar>
        </w:tblPrEx>
        <w:trPr>
          <w:trHeight w:val="285" w:hRule="atLeast"/>
        </w:trPr>
        <w:tc>
          <w:tcPr>
            <w:tcW w:w="47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项目负责人：赵风嘉</w:t>
            </w:r>
          </w:p>
        </w:tc>
        <w:tc>
          <w:tcPr>
            <w:tcW w:w="4924"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b/>
          <w:bCs/>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1059"/>
        <w:gridCol w:w="820"/>
        <w:gridCol w:w="784"/>
        <w:gridCol w:w="1061"/>
        <w:gridCol w:w="645"/>
        <w:gridCol w:w="516"/>
        <w:gridCol w:w="712"/>
        <w:gridCol w:w="1262"/>
        <w:gridCol w:w="705"/>
        <w:gridCol w:w="675"/>
        <w:gridCol w:w="1399"/>
      </w:tblGrid>
      <w:tr>
        <w:tblPrEx>
          <w:tblCellMar>
            <w:top w:w="0" w:type="dxa"/>
            <w:left w:w="108" w:type="dxa"/>
            <w:bottom w:w="0" w:type="dxa"/>
            <w:right w:w="108" w:type="dxa"/>
          </w:tblCellMar>
        </w:tblPrEx>
        <w:trPr>
          <w:trHeight w:val="1050"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70" w:hRule="atLeast"/>
        </w:trPr>
        <w:tc>
          <w:tcPr>
            <w:tcW w:w="187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759"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51080022T000006864514-刑事诉讼大宗涉案财物保管中心运行经费（单列）</w:t>
            </w:r>
          </w:p>
        </w:tc>
      </w:tr>
      <w:tr>
        <w:tblPrEx>
          <w:tblCellMar>
            <w:top w:w="0" w:type="dxa"/>
            <w:left w:w="108" w:type="dxa"/>
            <w:bottom w:w="0" w:type="dxa"/>
            <w:right w:w="108" w:type="dxa"/>
          </w:tblCellMar>
        </w:tblPrEx>
        <w:trPr>
          <w:trHeight w:val="270" w:hRule="atLeast"/>
        </w:trPr>
        <w:tc>
          <w:tcPr>
            <w:tcW w:w="187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3718"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126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77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70"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371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4041"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195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371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建立市区两级政法机关统一的刑事诉讼大宗涉案财物保管中心，保证市区两级政法机关刑事诉讼活动，保证涉案财物绝对安全，积极服务部司法活动，保障当事人合法权益。</w:t>
            </w:r>
          </w:p>
        </w:tc>
        <w:tc>
          <w:tcPr>
            <w:tcW w:w="4041"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2023年，市刑事诉讼大宗涉案财物集中保管中心接收市区两级政法单位各类涉案财物7000余件，无一件丢失、毁损，保证办案单位刑事诉讼活动顺利进行。</w:t>
            </w:r>
          </w:p>
        </w:tc>
      </w:tr>
      <w:tr>
        <w:tblPrEx>
          <w:tblCellMar>
            <w:top w:w="0" w:type="dxa"/>
            <w:left w:w="108" w:type="dxa"/>
            <w:bottom w:w="0" w:type="dxa"/>
            <w:right w:w="108" w:type="dxa"/>
          </w:tblCellMar>
        </w:tblPrEx>
        <w:trPr>
          <w:trHeight w:val="1275"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759"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2023年度，按照市局的统一安排部署，市刑事诉讼大宗涉案财物集中保管中心接收市区两级政法单位和监察机关扣押的各类涉案财物7000余件，整个过程没有出现纰漏，全面完成既定目标任务。</w:t>
            </w:r>
          </w:p>
        </w:tc>
      </w:tr>
      <w:tr>
        <w:tblPrEx>
          <w:tblCellMar>
            <w:top w:w="0" w:type="dxa"/>
            <w:left w:w="108" w:type="dxa"/>
            <w:bottom w:w="0" w:type="dxa"/>
            <w:right w:w="108" w:type="dxa"/>
          </w:tblCellMar>
        </w:tblPrEx>
        <w:trPr>
          <w:trHeight w:val="810"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820"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78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187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27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78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120.1</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383.9</w:t>
            </w:r>
          </w:p>
        </w:tc>
        <w:tc>
          <w:tcPr>
            <w:tcW w:w="187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275.7</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71.82%</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w:t>
            </w:r>
          </w:p>
        </w:tc>
        <w:tc>
          <w:tcPr>
            <w:tcW w:w="13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按照合同约定，2023年度剩余款项结转到2024年继续使用。</w:t>
            </w:r>
          </w:p>
        </w:tc>
      </w:tr>
      <w:tr>
        <w:tblPrEx>
          <w:tblCellMar>
            <w:top w:w="0" w:type="dxa"/>
            <w:left w:w="108" w:type="dxa"/>
            <w:bottom w:w="0" w:type="dxa"/>
            <w:right w:w="108" w:type="dxa"/>
          </w:tblCellMar>
        </w:tblPrEx>
        <w:trPr>
          <w:trHeight w:val="54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78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120.1</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383.9</w:t>
            </w:r>
          </w:p>
        </w:tc>
        <w:tc>
          <w:tcPr>
            <w:tcW w:w="187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275.7</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71.82%</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39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54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78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187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39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27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78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187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39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27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784"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1061"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1873"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1262"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70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675"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39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270"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82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78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93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7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结合县区涉案财物数</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3000</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件</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4800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81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接收监察委涉案财物数</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件</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1500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108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接收市级政法单位涉案财物数</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件</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1300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81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涉案财物保管完好率</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54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涉案财物流转率</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54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涉案财物接收率</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54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移送涉案财物时间</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72</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小时</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54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接收涉案财物时间</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0.8</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81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7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减少办案财物保管成本</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120</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130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81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减少责任单位物流成本</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70</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81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保证刑事诉讼顺利进行</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54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减少当事人的投诉</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81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保护当事人合法权益</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81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提高政法机关公信力</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高</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81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7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社会综合评价满意度</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97%</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54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当事人满意度</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54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政法机关满意度</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96%</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108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7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安保服务费</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144</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跨年度项目，按合同约定，剩余款项结转2024年继续使用。</w:t>
            </w:r>
          </w:p>
        </w:tc>
      </w:tr>
      <w:tr>
        <w:tblPrEx>
          <w:tblCellMar>
            <w:top w:w="0" w:type="dxa"/>
            <w:left w:w="108" w:type="dxa"/>
            <w:bottom w:w="0" w:type="dxa"/>
            <w:right w:w="108" w:type="dxa"/>
          </w:tblCellMar>
        </w:tblPrEx>
        <w:trPr>
          <w:trHeight w:val="540" w:hRule="atLeast"/>
        </w:trPr>
        <w:tc>
          <w:tcPr>
            <w:tcW w:w="1059"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color w:val="000000"/>
                <w:szCs w:val="21"/>
              </w:rPr>
            </w:pPr>
          </w:p>
        </w:tc>
        <w:tc>
          <w:tcPr>
            <w:tcW w:w="82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78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szCs w:val="21"/>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场地租赁费</w:t>
            </w:r>
          </w:p>
        </w:tc>
        <w:tc>
          <w:tcPr>
            <w:tcW w:w="64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1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119.9</w:t>
            </w:r>
          </w:p>
        </w:tc>
        <w:tc>
          <w:tcPr>
            <w:tcW w:w="71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126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119.9</w:t>
            </w:r>
          </w:p>
        </w:tc>
        <w:tc>
          <w:tcPr>
            <w:tcW w:w="70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6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7</w:t>
            </w:r>
          </w:p>
        </w:tc>
        <w:tc>
          <w:tcPr>
            <w:tcW w:w="1399"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270" w:hRule="atLeast"/>
        </w:trPr>
        <w:tc>
          <w:tcPr>
            <w:tcW w:w="6859"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705"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75"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1399"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1155" w:hRule="atLeast"/>
        </w:trPr>
        <w:tc>
          <w:tcPr>
            <w:tcW w:w="1059"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579" w:type="dxa"/>
            <w:gridSpan w:val="10"/>
            <w:tcBorders>
              <w:top w:val="single" w:color="auto" w:sz="4" w:space="0"/>
              <w:left w:val="nil"/>
              <w:bottom w:val="single" w:color="auto"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2023年项目推进较好，按照市局的统一安排部署，市刑事诉讼大宗涉案财物集中保管中心对市区两级政法单位和市区两级监察机关扣押的涉案财物做到应收尽收，全年共接收涉案财物近7000余件。在保管过程中，市公安局要求服务商加强巡逻监控，加强内部管理，每天核对物品和清单，做到物帐一致。全年没有发生一件物品丢失、毁损等情况，全面完成年初设定的工作目标。</w:t>
            </w:r>
          </w:p>
        </w:tc>
      </w:tr>
      <w:tr>
        <w:tblPrEx>
          <w:tblCellMar>
            <w:top w:w="0" w:type="dxa"/>
            <w:left w:w="108" w:type="dxa"/>
            <w:bottom w:w="0" w:type="dxa"/>
            <w:right w:w="108" w:type="dxa"/>
          </w:tblCellMar>
        </w:tblPrEx>
        <w:trPr>
          <w:trHeight w:val="270" w:hRule="atLeast"/>
        </w:trPr>
        <w:tc>
          <w:tcPr>
            <w:tcW w:w="1059"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579" w:type="dxa"/>
            <w:gridSpan w:val="10"/>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无</w:t>
            </w:r>
          </w:p>
        </w:tc>
      </w:tr>
      <w:tr>
        <w:tblPrEx>
          <w:tblCellMar>
            <w:top w:w="0" w:type="dxa"/>
            <w:left w:w="108" w:type="dxa"/>
            <w:bottom w:w="0" w:type="dxa"/>
            <w:right w:w="108" w:type="dxa"/>
          </w:tblCellMar>
        </w:tblPrEx>
        <w:trPr>
          <w:trHeight w:val="270" w:hRule="atLeast"/>
        </w:trPr>
        <w:tc>
          <w:tcPr>
            <w:tcW w:w="1059"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579" w:type="dxa"/>
            <w:gridSpan w:val="10"/>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无</w:t>
            </w:r>
          </w:p>
        </w:tc>
      </w:tr>
      <w:tr>
        <w:tblPrEx>
          <w:tblCellMar>
            <w:top w:w="0" w:type="dxa"/>
            <w:left w:w="108" w:type="dxa"/>
            <w:bottom w:w="0" w:type="dxa"/>
            <w:right w:w="108" w:type="dxa"/>
          </w:tblCellMar>
        </w:tblPrEx>
        <w:trPr>
          <w:trHeight w:val="270" w:hRule="atLeast"/>
        </w:trPr>
        <w:tc>
          <w:tcPr>
            <w:tcW w:w="436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项目负责人：罗勇</w:t>
            </w:r>
          </w:p>
        </w:tc>
        <w:tc>
          <w:tcPr>
            <w:tcW w:w="5269" w:type="dxa"/>
            <w:gridSpan w:val="6"/>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b/>
          <w:bCs/>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662"/>
        <w:gridCol w:w="1210"/>
        <w:gridCol w:w="1160"/>
        <w:gridCol w:w="1353"/>
        <w:gridCol w:w="674"/>
        <w:gridCol w:w="847"/>
        <w:gridCol w:w="668"/>
        <w:gridCol w:w="807"/>
        <w:gridCol w:w="531"/>
        <w:gridCol w:w="440"/>
        <w:gridCol w:w="1286"/>
      </w:tblGrid>
      <w:tr>
        <w:tblPrEx>
          <w:tblCellMar>
            <w:top w:w="0" w:type="dxa"/>
            <w:left w:w="108" w:type="dxa"/>
            <w:bottom w:w="0" w:type="dxa"/>
            <w:right w:w="108" w:type="dxa"/>
          </w:tblCellMar>
        </w:tblPrEx>
        <w:trPr>
          <w:trHeight w:val="904"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76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51080023T000008418543-侦查办案费（含铁路护路和反诈经费）</w:t>
            </w:r>
          </w:p>
        </w:tc>
      </w:tr>
      <w:tr>
        <w:tblPrEx>
          <w:tblCellMar>
            <w:top w:w="0" w:type="dxa"/>
            <w:left w:w="108" w:type="dxa"/>
            <w:bottom w:w="0" w:type="dxa"/>
            <w:right w:w="108" w:type="dxa"/>
          </w:tblCellMar>
        </w:tblPrEx>
        <w:trPr>
          <w:trHeight w:val="514" w:hRule="atLeast"/>
        </w:trPr>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7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807"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2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trPr>
        <w:tc>
          <w:tcPr>
            <w:tcW w:w="6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21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7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06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709"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7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主要按照《公安机关财务管理办法》中办案费的相关范围执行，含纪委、督察、审计、护路办等部门的执法办案，包括办案过程中发生的会议、差旅、材料、劳务、房屋及设备租赁等支出。</w:t>
            </w:r>
          </w:p>
        </w:tc>
        <w:tc>
          <w:tcPr>
            <w:tcW w:w="306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按照年初既定目标任务，使用项目经费完成了安保维稳3000人次，执勤任务1510人次，接处警3960次等任务，对降低犯罪率，维护社会治安稳定起到了举足轻重的作用。</w:t>
            </w:r>
          </w:p>
        </w:tc>
      </w:tr>
      <w:tr>
        <w:tblPrEx>
          <w:tblCellMar>
            <w:top w:w="0" w:type="dxa"/>
            <w:left w:w="108" w:type="dxa"/>
            <w:bottom w:w="0" w:type="dxa"/>
            <w:right w:w="108" w:type="dxa"/>
          </w:tblCellMar>
        </w:tblPrEx>
        <w:trPr>
          <w:trHeight w:val="915"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21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76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由市公安局警务保障处进行综合管理，设立专职会计、出纳等岗位，各部门相关费用支出由其财务人员统一进行报销，做到专人专司财务管理职责，对项目资金严格执行财务管理制度，及时进行财务处理和核算。项目资金使用严格按照财务管理制度要求，实行公务卡结算，不能使用公务卡结算的进行转账，对每一笔资金的使用，严格落实附件、清单、申领、金额审批等要求，每一笔支出都合法合规，每一笔开支都严格按照预算批复执行。</w:t>
            </w:r>
          </w:p>
        </w:tc>
      </w:tr>
      <w:tr>
        <w:tblPrEx>
          <w:tblCellMar>
            <w:top w:w="0" w:type="dxa"/>
            <w:left w:w="108" w:type="dxa"/>
            <w:bottom w:w="0" w:type="dxa"/>
            <w:right w:w="108" w:type="dxa"/>
          </w:tblCellMar>
        </w:tblPrEx>
        <w:trPr>
          <w:trHeight w:val="360" w:hRule="atLeast"/>
        </w:trPr>
        <w:tc>
          <w:tcPr>
            <w:tcW w:w="6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21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1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18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1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89.49</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89.49</w:t>
            </w:r>
          </w:p>
        </w:tc>
        <w:tc>
          <w:tcPr>
            <w:tcW w:w="218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89.49</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28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90"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1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89.49</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89.49</w:t>
            </w:r>
          </w:p>
        </w:tc>
        <w:tc>
          <w:tcPr>
            <w:tcW w:w="218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89.49</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8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09"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1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18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8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60"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1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18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8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1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189"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8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54" w:hRule="atLeast"/>
        </w:trPr>
        <w:tc>
          <w:tcPr>
            <w:tcW w:w="6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21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1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1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完成维稳人次</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2960</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人次</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完成安保执勤任务</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1500</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人次</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1510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完成接处警</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3800</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起</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3960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案件办结率</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90</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92.56</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接处警率</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经费保障率</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完成时间</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180</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180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资金执行</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天</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365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1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经济效益指标</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提高犯罪成本</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降低犯罪率</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对维护社会治安的辅助作用</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社会和谐稳定</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生态效益指标</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维护生态平衡</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中</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政治大局平稳</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持续发展</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社会和谐稳定</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好</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社会满意度</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民警满意度</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1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劳务费</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办案差旅费</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45</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44.49</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353"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专用材料费</w:t>
            </w:r>
          </w:p>
        </w:tc>
        <w:tc>
          <w:tcPr>
            <w:tcW w:w="67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4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25</w:t>
            </w:r>
          </w:p>
        </w:tc>
        <w:tc>
          <w:tcPr>
            <w:tcW w:w="66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80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44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trPr>
        <w:tc>
          <w:tcPr>
            <w:tcW w:w="73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440" w:type="dxa"/>
            <w:tcBorders>
              <w:top w:val="nil"/>
              <w:left w:val="nil"/>
              <w:bottom w:val="single" w:color="000000" w:sz="4" w:space="0"/>
              <w:right w:val="single" w:color="000000" w:sz="4" w:space="0"/>
            </w:tcBorders>
            <w:shd w:val="clear" w:color="auto" w:fill="auto"/>
            <w:vAlign w:val="center"/>
          </w:tcPr>
          <w:p>
            <w:pPr>
              <w:widowControl/>
              <w:jc w:val="righ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99</w:t>
            </w:r>
          </w:p>
        </w:tc>
        <w:tc>
          <w:tcPr>
            <w:tcW w:w="1286"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4" w:hRule="atLeast"/>
        </w:trPr>
        <w:tc>
          <w:tcPr>
            <w:tcW w:w="66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7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项目实施确保了我市安保执勤任务的圆满完成，全年实体性犯罪进一步减少，全年无发生重大刑事治安案件，有效的服务了公安实战需求，入选“全国最安全城市”。经自评，该项目自评得分99分。</w:t>
            </w:r>
          </w:p>
        </w:tc>
      </w:tr>
      <w:tr>
        <w:tblPrEx>
          <w:tblCellMar>
            <w:top w:w="0" w:type="dxa"/>
            <w:left w:w="108" w:type="dxa"/>
            <w:bottom w:w="0" w:type="dxa"/>
            <w:right w:w="108" w:type="dxa"/>
          </w:tblCellMar>
        </w:tblPrEx>
        <w:trPr>
          <w:trHeight w:val="574" w:hRule="atLeast"/>
        </w:trPr>
        <w:tc>
          <w:tcPr>
            <w:tcW w:w="66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7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无。</w:t>
            </w:r>
          </w:p>
        </w:tc>
      </w:tr>
      <w:tr>
        <w:tblPrEx>
          <w:tblCellMar>
            <w:top w:w="0" w:type="dxa"/>
            <w:left w:w="108" w:type="dxa"/>
            <w:bottom w:w="0" w:type="dxa"/>
            <w:right w:w="108" w:type="dxa"/>
          </w:tblCellMar>
        </w:tblPrEx>
        <w:trPr>
          <w:trHeight w:val="634" w:hRule="atLeast"/>
        </w:trPr>
        <w:tc>
          <w:tcPr>
            <w:tcW w:w="66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7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无。</w:t>
            </w:r>
          </w:p>
        </w:tc>
      </w:tr>
      <w:tr>
        <w:tblPrEx>
          <w:tblCellMar>
            <w:top w:w="0" w:type="dxa"/>
            <w:left w:w="108" w:type="dxa"/>
            <w:bottom w:w="0" w:type="dxa"/>
            <w:right w:w="108" w:type="dxa"/>
          </w:tblCellMar>
        </w:tblPrEx>
        <w:trPr>
          <w:trHeight w:val="285" w:hRule="atLeast"/>
        </w:trPr>
        <w:tc>
          <w:tcPr>
            <w:tcW w:w="50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项目负责人：王宇林</w:t>
            </w:r>
          </w:p>
        </w:tc>
        <w:tc>
          <w:tcPr>
            <w:tcW w:w="4579"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仿宋_GB2312" w:hAnsi="仿宋_GB2312" w:eastAsia="仿宋_GB2312" w:cs="仿宋_GB2312"/>
          <w:b/>
          <w:bCs/>
          <w:szCs w:val="21"/>
        </w:rPr>
      </w:pPr>
    </w:p>
    <w:tbl>
      <w:tblPr>
        <w:tblStyle w:val="16"/>
        <w:tblpPr w:leftFromText="180" w:rightFromText="180" w:vertAnchor="text" w:tblpXSpec="center" w:tblpY="1"/>
        <w:tblOverlap w:val="never"/>
        <w:tblW w:w="9638" w:type="dxa"/>
        <w:tblInd w:w="0" w:type="dxa"/>
        <w:tblLayout w:type="fixed"/>
        <w:tblCellMar>
          <w:top w:w="0" w:type="dxa"/>
          <w:left w:w="108" w:type="dxa"/>
          <w:bottom w:w="0" w:type="dxa"/>
          <w:right w:w="108" w:type="dxa"/>
        </w:tblCellMar>
      </w:tblPr>
      <w:tblGrid>
        <w:gridCol w:w="662"/>
        <w:gridCol w:w="1216"/>
        <w:gridCol w:w="1102"/>
        <w:gridCol w:w="1298"/>
        <w:gridCol w:w="706"/>
        <w:gridCol w:w="819"/>
        <w:gridCol w:w="741"/>
        <w:gridCol w:w="735"/>
        <w:gridCol w:w="531"/>
        <w:gridCol w:w="531"/>
        <w:gridCol w:w="1297"/>
      </w:tblGrid>
      <w:tr>
        <w:tblPrEx>
          <w:tblCellMar>
            <w:top w:w="0" w:type="dxa"/>
            <w:left w:w="108" w:type="dxa"/>
            <w:bottom w:w="0" w:type="dxa"/>
            <w:right w:w="108" w:type="dxa"/>
          </w:tblCellMar>
        </w:tblPrEx>
        <w:trPr>
          <w:trHeight w:val="904" w:hRule="atLeast"/>
        </w:trPr>
        <w:tc>
          <w:tcPr>
            <w:tcW w:w="96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黑体" w:hAnsi="黑体" w:eastAsia="黑体" w:cs="黑体"/>
                <w:color w:val="000000"/>
                <w:kern w:val="0"/>
                <w:sz w:val="32"/>
                <w:szCs w:val="32"/>
              </w:rPr>
              <w:t>部门预算项目支出绩效自评表（2023年度）</w:t>
            </w:r>
          </w:p>
        </w:tc>
      </w:tr>
      <w:tr>
        <w:tblPrEx>
          <w:tblCellMar>
            <w:top w:w="0" w:type="dxa"/>
            <w:left w:w="108" w:type="dxa"/>
            <w:bottom w:w="0" w:type="dxa"/>
            <w:right w:w="108" w:type="dxa"/>
          </w:tblCellMar>
        </w:tblPrEx>
        <w:trPr>
          <w:trHeight w:val="285" w:hRule="atLeast"/>
        </w:trPr>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项目名称</w:t>
            </w:r>
          </w:p>
        </w:tc>
        <w:tc>
          <w:tcPr>
            <w:tcW w:w="776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51080022T000006688445-重大传染病防控补助资金</w:t>
            </w:r>
          </w:p>
        </w:tc>
      </w:tr>
      <w:tr>
        <w:tblPrEx>
          <w:tblCellMar>
            <w:top w:w="0" w:type="dxa"/>
            <w:left w:w="108" w:type="dxa"/>
            <w:bottom w:w="0" w:type="dxa"/>
            <w:right w:w="108" w:type="dxa"/>
          </w:tblCellMar>
        </w:tblPrEx>
        <w:trPr>
          <w:trHeight w:val="514" w:hRule="atLeast"/>
        </w:trPr>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主管部门</w:t>
            </w:r>
          </w:p>
        </w:tc>
        <w:tc>
          <w:tcPr>
            <w:tcW w:w="466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广元市公安局部门</w:t>
            </w:r>
          </w:p>
        </w:tc>
        <w:tc>
          <w:tcPr>
            <w:tcW w:w="735" w:type="dxa"/>
            <w:tcBorders>
              <w:top w:val="nil"/>
              <w:left w:val="nil"/>
              <w:bottom w:val="nil"/>
              <w:right w:val="nil"/>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实施单位 （盖章）</w:t>
            </w:r>
          </w:p>
        </w:tc>
        <w:tc>
          <w:tcPr>
            <w:tcW w:w="23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广元市公安局</w:t>
            </w:r>
          </w:p>
        </w:tc>
      </w:tr>
      <w:tr>
        <w:tblPrEx>
          <w:tblCellMar>
            <w:top w:w="0" w:type="dxa"/>
            <w:left w:w="108" w:type="dxa"/>
            <w:bottom w:w="0" w:type="dxa"/>
            <w:right w:w="108" w:type="dxa"/>
          </w:tblCellMar>
        </w:tblPrEx>
        <w:trPr>
          <w:trHeight w:val="285" w:hRule="atLeast"/>
        </w:trPr>
        <w:tc>
          <w:tcPr>
            <w:tcW w:w="6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项目基本情况</w:t>
            </w:r>
          </w:p>
        </w:tc>
        <w:tc>
          <w:tcPr>
            <w:tcW w:w="121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1.项目年度目标完成情况</w:t>
            </w:r>
          </w:p>
        </w:tc>
        <w:tc>
          <w:tcPr>
            <w:tcW w:w="466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项目年度目标</w:t>
            </w:r>
          </w:p>
        </w:tc>
        <w:tc>
          <w:tcPr>
            <w:tcW w:w="30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年度目标完成情况</w:t>
            </w:r>
          </w:p>
        </w:tc>
      </w:tr>
      <w:tr>
        <w:tblPrEx>
          <w:tblCellMar>
            <w:top w:w="0" w:type="dxa"/>
            <w:left w:w="108" w:type="dxa"/>
            <w:bottom w:w="0" w:type="dxa"/>
            <w:right w:w="108" w:type="dxa"/>
          </w:tblCellMar>
        </w:tblPrEx>
        <w:trPr>
          <w:trHeight w:val="709"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4666"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用于市公安局应对重大传染病防控事项相关支出补助资金</w:t>
            </w:r>
          </w:p>
        </w:tc>
        <w:tc>
          <w:tcPr>
            <w:tcW w:w="30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按照年初既定目标任务，使用项目经费建立重点人员信息库.建立本地艾滋病涉黄前科人员信息库，运用大数据分析，精准支撑专项打击行动，对降低犯罪率，维护社会治安稳定起到了举足轻重的作用。</w:t>
            </w:r>
          </w:p>
        </w:tc>
      </w:tr>
      <w:tr>
        <w:tblPrEx>
          <w:tblCellMar>
            <w:top w:w="0" w:type="dxa"/>
            <w:left w:w="108" w:type="dxa"/>
            <w:bottom w:w="0" w:type="dxa"/>
            <w:right w:w="108" w:type="dxa"/>
          </w:tblCellMar>
        </w:tblPrEx>
        <w:trPr>
          <w:trHeight w:val="694"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216"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2.项目实施内容及过程概述</w:t>
            </w:r>
          </w:p>
        </w:tc>
        <w:tc>
          <w:tcPr>
            <w:tcW w:w="776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由市公安局警务保障处进行综合管理，设立专职会计、出纳等岗位，各部门相关费用支出由其财务人员统一进行报销，做到专人专司财务管理职责，对项目资金严格执行财务管理制度，及时进行财务处理和核算。项目资金使用严格按照财务管理制度要求，实行公务卡结算，不能使用公务卡结算的进行转账，对每一笔资金的使用，严格落实附件、清单、申领、金额审批等要求，每一笔支出都合法合规，每一笔开支都严格按照预算批复执行。</w:t>
            </w:r>
          </w:p>
        </w:tc>
      </w:tr>
      <w:tr>
        <w:tblPrEx>
          <w:tblCellMar>
            <w:top w:w="0" w:type="dxa"/>
            <w:left w:w="108" w:type="dxa"/>
            <w:bottom w:w="0" w:type="dxa"/>
            <w:right w:w="108" w:type="dxa"/>
          </w:tblCellMar>
        </w:tblPrEx>
        <w:trPr>
          <w:trHeight w:val="360" w:hRule="atLeast"/>
        </w:trPr>
        <w:tc>
          <w:tcPr>
            <w:tcW w:w="6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预算执行情况（10分）</w:t>
            </w:r>
          </w:p>
        </w:tc>
        <w:tc>
          <w:tcPr>
            <w:tcW w:w="121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年度预算数（万元）</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年初预算</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调整后预算数</w:t>
            </w:r>
          </w:p>
        </w:tc>
        <w:tc>
          <w:tcPr>
            <w:tcW w:w="22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预算执行数</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预算执行率</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原因</w:t>
            </w:r>
          </w:p>
        </w:tc>
      </w:tr>
      <w:tr>
        <w:tblPrEx>
          <w:tblCellMar>
            <w:top w:w="0" w:type="dxa"/>
            <w:left w:w="108" w:type="dxa"/>
            <w:bottom w:w="0" w:type="dxa"/>
            <w:right w:w="108" w:type="dxa"/>
          </w:tblCellMar>
        </w:tblPrEx>
        <w:trPr>
          <w:trHeight w:val="345"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总额</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2.00</w:t>
            </w:r>
          </w:p>
        </w:tc>
        <w:tc>
          <w:tcPr>
            <w:tcW w:w="22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2.00</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w:t>
            </w:r>
          </w:p>
        </w:tc>
        <w:tc>
          <w:tcPr>
            <w:tcW w:w="531" w:type="dxa"/>
            <w:tcBorders>
              <w:top w:val="nil"/>
              <w:left w:val="nil"/>
              <w:bottom w:val="single" w:color="000000" w:sz="4" w:space="0"/>
              <w:right w:val="single" w:color="000000" w:sz="4" w:space="0"/>
            </w:tcBorders>
            <w:shd w:val="clear" w:color="000000"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w:t>
            </w:r>
          </w:p>
        </w:tc>
        <w:tc>
          <w:tcPr>
            <w:tcW w:w="129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90"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其中：财政资金</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2.00</w:t>
            </w:r>
          </w:p>
        </w:tc>
        <w:tc>
          <w:tcPr>
            <w:tcW w:w="22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2.00</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9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09"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财政专户管理资金</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2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9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60"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单位资金</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22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9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其他资金</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226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129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i/>
                <w:iCs/>
                <w:color w:val="000000"/>
                <w:szCs w:val="21"/>
              </w:rPr>
            </w:pPr>
          </w:p>
        </w:tc>
      </w:tr>
      <w:tr>
        <w:tblPrEx>
          <w:tblCellMar>
            <w:top w:w="0" w:type="dxa"/>
            <w:left w:w="108" w:type="dxa"/>
            <w:bottom w:w="0" w:type="dxa"/>
            <w:right w:w="108" w:type="dxa"/>
          </w:tblCellMar>
        </w:tblPrEx>
        <w:trPr>
          <w:trHeight w:val="454" w:hRule="atLeast"/>
        </w:trPr>
        <w:tc>
          <w:tcPr>
            <w:tcW w:w="6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绩效指标（90分）</w:t>
            </w:r>
          </w:p>
        </w:tc>
        <w:tc>
          <w:tcPr>
            <w:tcW w:w="121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一级指标</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二级指标</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三级指标</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指标性质</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指标值</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度量单位</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完成值</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权重</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得分</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未完成原因分析</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产出指标</w:t>
            </w:r>
          </w:p>
        </w:tc>
        <w:tc>
          <w:tcPr>
            <w:tcW w:w="110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数量指标</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人民警察防护物资</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200</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套</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重大传染病防控次数</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次</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出动警力数</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5000</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人次</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5030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质量指标</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社会安全</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重大传染病发生率</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次</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防疫安全</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防控成功率</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重大传染病防控能力</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时效指标</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信息传递时间</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小时</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疫情反应时间</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小时</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效益指标</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社会效益指标</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维护社会稳定</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可持续影响指标</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社会疫情防控持续稳定</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社会秩序稳定</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定性</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级</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优</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8</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454"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10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服务对象满意度指标</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群众满意度</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98</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满意度指标</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防疫人员满意度</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家属满意度</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成本指标</w:t>
            </w:r>
          </w:p>
        </w:tc>
        <w:tc>
          <w:tcPr>
            <w:tcW w:w="110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经济成本指标</w:t>
            </w: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防疫差旅费</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信息化</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0.5</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0.5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338" w:hRule="atLeast"/>
        </w:trPr>
        <w:tc>
          <w:tcPr>
            <w:tcW w:w="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1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10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2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防护物资购买</w:t>
            </w:r>
          </w:p>
        </w:tc>
        <w:tc>
          <w:tcPr>
            <w:tcW w:w="70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w:t>
            </w:r>
          </w:p>
        </w:tc>
        <w:tc>
          <w:tcPr>
            <w:tcW w:w="8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74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万元</w:t>
            </w:r>
          </w:p>
        </w:tc>
        <w:tc>
          <w:tcPr>
            <w:tcW w:w="7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5</w:t>
            </w:r>
          </w:p>
        </w:tc>
        <w:tc>
          <w:tcPr>
            <w:tcW w:w="1297"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　</w:t>
            </w:r>
          </w:p>
        </w:tc>
      </w:tr>
      <w:tr>
        <w:tblPrEx>
          <w:tblCellMar>
            <w:top w:w="0" w:type="dxa"/>
            <w:left w:w="108" w:type="dxa"/>
            <w:bottom w:w="0" w:type="dxa"/>
            <w:right w:w="108" w:type="dxa"/>
          </w:tblCellMar>
        </w:tblPrEx>
        <w:trPr>
          <w:trHeight w:val="285" w:hRule="atLeast"/>
        </w:trPr>
        <w:tc>
          <w:tcPr>
            <w:tcW w:w="727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合计</w:t>
            </w:r>
          </w:p>
        </w:tc>
        <w:tc>
          <w:tcPr>
            <w:tcW w:w="53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531" w:type="dxa"/>
            <w:tcBorders>
              <w:top w:val="nil"/>
              <w:left w:val="nil"/>
              <w:bottom w:val="single" w:color="000000" w:sz="4" w:space="0"/>
              <w:right w:val="single" w:color="000000" w:sz="4" w:space="0"/>
            </w:tcBorders>
            <w:shd w:val="clear" w:color="000000" w:fill="FFFFFF"/>
            <w:vAlign w:val="center"/>
          </w:tcPr>
          <w:p>
            <w:pPr>
              <w:widowControl/>
              <w:jc w:val="righ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100</w:t>
            </w:r>
          </w:p>
        </w:tc>
        <w:tc>
          <w:tcPr>
            <w:tcW w:w="1297"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　</w:t>
            </w:r>
          </w:p>
        </w:tc>
      </w:tr>
      <w:tr>
        <w:tblPrEx>
          <w:tblCellMar>
            <w:top w:w="0" w:type="dxa"/>
            <w:left w:w="108" w:type="dxa"/>
            <w:bottom w:w="0" w:type="dxa"/>
            <w:right w:w="108" w:type="dxa"/>
          </w:tblCellMar>
        </w:tblPrEx>
        <w:trPr>
          <w:trHeight w:val="604" w:hRule="atLeast"/>
        </w:trPr>
        <w:tc>
          <w:tcPr>
            <w:tcW w:w="66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评价结论</w:t>
            </w:r>
          </w:p>
        </w:tc>
        <w:tc>
          <w:tcPr>
            <w:tcW w:w="897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项目实施确保了我市安保执勤任务的圆满完成，全年实体性犯罪进一步减少，全年无发生重大刑事治安案件，有效的服务了公安实战需求，入选“全国最安全城市”。经自评，该项目自评得分99分。</w:t>
            </w:r>
          </w:p>
        </w:tc>
      </w:tr>
      <w:tr>
        <w:tblPrEx>
          <w:tblCellMar>
            <w:top w:w="0" w:type="dxa"/>
            <w:left w:w="108" w:type="dxa"/>
            <w:bottom w:w="0" w:type="dxa"/>
            <w:right w:w="108" w:type="dxa"/>
          </w:tblCellMar>
        </w:tblPrEx>
        <w:trPr>
          <w:trHeight w:val="574" w:hRule="atLeast"/>
        </w:trPr>
        <w:tc>
          <w:tcPr>
            <w:tcW w:w="66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存在问题</w:t>
            </w:r>
          </w:p>
        </w:tc>
        <w:tc>
          <w:tcPr>
            <w:tcW w:w="897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无。</w:t>
            </w:r>
          </w:p>
        </w:tc>
      </w:tr>
      <w:tr>
        <w:tblPrEx>
          <w:tblCellMar>
            <w:top w:w="0" w:type="dxa"/>
            <w:left w:w="108" w:type="dxa"/>
            <w:bottom w:w="0" w:type="dxa"/>
            <w:right w:w="108" w:type="dxa"/>
          </w:tblCellMar>
        </w:tblPrEx>
        <w:trPr>
          <w:trHeight w:val="634" w:hRule="atLeast"/>
        </w:trPr>
        <w:tc>
          <w:tcPr>
            <w:tcW w:w="66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改进措施</w:t>
            </w:r>
          </w:p>
        </w:tc>
        <w:tc>
          <w:tcPr>
            <w:tcW w:w="8976"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i/>
                <w:iCs/>
                <w:color w:val="000000"/>
                <w:szCs w:val="21"/>
              </w:rPr>
            </w:pPr>
            <w:r>
              <w:rPr>
                <w:rFonts w:hint="eastAsia" w:ascii="仿宋_GB2312" w:hAnsi="仿宋_GB2312" w:eastAsia="仿宋_GB2312" w:cs="仿宋_GB2312"/>
                <w:i/>
                <w:iCs/>
                <w:color w:val="000000"/>
                <w:kern w:val="0"/>
                <w:szCs w:val="21"/>
              </w:rPr>
              <w:t>无。</w:t>
            </w:r>
          </w:p>
        </w:tc>
      </w:tr>
      <w:tr>
        <w:tblPrEx>
          <w:tblCellMar>
            <w:top w:w="0" w:type="dxa"/>
            <w:left w:w="108" w:type="dxa"/>
            <w:bottom w:w="0" w:type="dxa"/>
            <w:right w:w="108" w:type="dxa"/>
          </w:tblCellMar>
        </w:tblPrEx>
        <w:trPr>
          <w:trHeight w:val="285" w:hRule="atLeast"/>
        </w:trPr>
        <w:tc>
          <w:tcPr>
            <w:tcW w:w="4984" w:type="dxa"/>
            <w:gridSpan w:val="5"/>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项目负责人：杜冬</w:t>
            </w:r>
          </w:p>
        </w:tc>
        <w:tc>
          <w:tcPr>
            <w:tcW w:w="4654"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财务负责人：李燕成</w:t>
            </w:r>
          </w:p>
        </w:tc>
      </w:tr>
    </w:tbl>
    <w:p>
      <w:pPr>
        <w:pStyle w:val="2"/>
        <w:rPr>
          <w:rFonts w:ascii="黑体" w:hAnsi="黑体" w:eastAsia="黑体"/>
          <w:b/>
          <w:bCs/>
          <w:sz w:val="44"/>
          <w:szCs w:val="44"/>
        </w:rPr>
      </w:pPr>
    </w:p>
    <w:tbl>
      <w:tblPr>
        <w:tblStyle w:val="16"/>
        <w:tblpPr w:leftFromText="180" w:rightFromText="180" w:vertAnchor="text" w:tblpXSpec="center" w:tblpY="1"/>
        <w:tblOverlap w:val="never"/>
        <w:tblW w:w="9639" w:type="dxa"/>
        <w:jc w:val="center"/>
        <w:tblLayout w:type="autofit"/>
        <w:tblCellMar>
          <w:top w:w="0" w:type="dxa"/>
          <w:left w:w="108" w:type="dxa"/>
          <w:bottom w:w="0" w:type="dxa"/>
          <w:right w:w="108" w:type="dxa"/>
        </w:tblCellMar>
      </w:tblPr>
      <w:tblGrid>
        <w:gridCol w:w="576"/>
        <w:gridCol w:w="1284"/>
        <w:gridCol w:w="1096"/>
        <w:gridCol w:w="1423"/>
        <w:gridCol w:w="396"/>
        <w:gridCol w:w="1028"/>
        <w:gridCol w:w="396"/>
        <w:gridCol w:w="846"/>
        <w:gridCol w:w="486"/>
        <w:gridCol w:w="486"/>
        <w:gridCol w:w="1622"/>
      </w:tblGrid>
      <w:tr>
        <w:tblPrEx>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jc w:val="center"/>
        </w:trPr>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4028" w:type="pct"/>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trHeight w:val="514" w:hRule="atLeast"/>
          <w:jc w:val="center"/>
        </w:trPr>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383" w:type="pct"/>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388" w:type="pct"/>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2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CellMar>
            <w:top w:w="0" w:type="dxa"/>
            <w:left w:w="108" w:type="dxa"/>
            <w:bottom w:w="0" w:type="dxa"/>
            <w:right w:w="108" w:type="dxa"/>
          </w:tblCellMar>
        </w:tblPrEx>
        <w:trPr>
          <w:trHeight w:val="285" w:hRule="atLeast"/>
          <w:jc w:val="center"/>
        </w:trPr>
        <w:tc>
          <w:tcPr>
            <w:tcW w:w="247"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25"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383" w:type="pct"/>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645" w:type="pct"/>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jc w:val="center"/>
        </w:trPr>
        <w:tc>
          <w:tcPr>
            <w:tcW w:w="247"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5"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383" w:type="pct"/>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645" w:type="pct"/>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按照工资文件，及时足额发放。</w:t>
            </w:r>
          </w:p>
        </w:tc>
      </w:tr>
      <w:tr>
        <w:tblPrEx>
          <w:tblCellMar>
            <w:top w:w="0" w:type="dxa"/>
            <w:left w:w="108" w:type="dxa"/>
            <w:bottom w:w="0" w:type="dxa"/>
            <w:right w:w="108" w:type="dxa"/>
          </w:tblCellMar>
        </w:tblPrEx>
        <w:trPr>
          <w:trHeight w:val="694" w:hRule="atLeast"/>
          <w:jc w:val="center"/>
        </w:trPr>
        <w:tc>
          <w:tcPr>
            <w:tcW w:w="247"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5"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4028" w:type="pct"/>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按照人事变动文件及职级职务晋升等文件，严格考核，及时足额发放。</w:t>
            </w:r>
          </w:p>
        </w:tc>
      </w:tr>
      <w:tr>
        <w:tblPrEx>
          <w:tblCellMar>
            <w:top w:w="0" w:type="dxa"/>
            <w:left w:w="108" w:type="dxa"/>
            <w:bottom w:w="0" w:type="dxa"/>
            <w:right w:w="108" w:type="dxa"/>
          </w:tblCellMar>
        </w:tblPrEx>
        <w:trPr>
          <w:trHeight w:val="360" w:hRule="atLeast"/>
          <w:jc w:val="center"/>
        </w:trPr>
        <w:tc>
          <w:tcPr>
            <w:tcW w:w="247"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25"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2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9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959" w:type="pct"/>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8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0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jc w:val="center"/>
        </w:trPr>
        <w:tc>
          <w:tcPr>
            <w:tcW w:w="247"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5"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2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9,404.32</w:t>
            </w:r>
          </w:p>
        </w:tc>
        <w:tc>
          <w:tcPr>
            <w:tcW w:w="79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9,488.54</w:t>
            </w:r>
          </w:p>
        </w:tc>
        <w:tc>
          <w:tcPr>
            <w:tcW w:w="959" w:type="pct"/>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9,488.54</w:t>
            </w:r>
          </w:p>
        </w:tc>
        <w:tc>
          <w:tcPr>
            <w:tcW w:w="38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0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390" w:hRule="atLeast"/>
          <w:jc w:val="center"/>
        </w:trPr>
        <w:tc>
          <w:tcPr>
            <w:tcW w:w="247"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5"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2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9,404.32</w:t>
            </w:r>
          </w:p>
        </w:tc>
        <w:tc>
          <w:tcPr>
            <w:tcW w:w="79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9,488.54</w:t>
            </w:r>
          </w:p>
        </w:tc>
        <w:tc>
          <w:tcPr>
            <w:tcW w:w="959" w:type="pct"/>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9,488.54</w:t>
            </w:r>
          </w:p>
        </w:tc>
        <w:tc>
          <w:tcPr>
            <w:tcW w:w="38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0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jc w:val="center"/>
        </w:trPr>
        <w:tc>
          <w:tcPr>
            <w:tcW w:w="247"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5"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2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9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59" w:type="pct"/>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8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0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247"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5"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2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9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59" w:type="pct"/>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8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0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jc w:val="center"/>
        </w:trPr>
        <w:tc>
          <w:tcPr>
            <w:tcW w:w="247"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5"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2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9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59" w:type="pct"/>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38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0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jc w:val="center"/>
        </w:trPr>
        <w:tc>
          <w:tcPr>
            <w:tcW w:w="247"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25"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2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9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59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8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0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jc w:val="center"/>
        </w:trPr>
        <w:tc>
          <w:tcPr>
            <w:tcW w:w="247"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5"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2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9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8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7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90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jc w:val="center"/>
        </w:trPr>
        <w:tc>
          <w:tcPr>
            <w:tcW w:w="247"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5"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2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97"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8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72"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90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jc w:val="center"/>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84"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2" w:type="pct"/>
            <w:tcBorders>
              <w:top w:val="nil"/>
              <w:left w:val="nil"/>
              <w:bottom w:val="single" w:color="000000" w:sz="4" w:space="0"/>
              <w:right w:val="single" w:color="000000" w:sz="4" w:space="0"/>
            </w:tcBorders>
            <w:shd w:val="clear" w:color="auto" w:fill="auto"/>
            <w:vAlign w:val="center"/>
          </w:tcPr>
          <w:p>
            <w:pPr>
              <w:widowControl/>
              <w:suppressAutoHyphens w:val="0"/>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90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jc w:val="center"/>
        </w:trPr>
        <w:tc>
          <w:tcPr>
            <w:tcW w:w="247" w:type="pc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753"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经自评，该项目自评得100分。</w:t>
            </w:r>
          </w:p>
        </w:tc>
      </w:tr>
      <w:tr>
        <w:tblPrEx>
          <w:tblCellMar>
            <w:top w:w="0" w:type="dxa"/>
            <w:left w:w="108" w:type="dxa"/>
            <w:bottom w:w="0" w:type="dxa"/>
            <w:right w:w="108" w:type="dxa"/>
          </w:tblCellMar>
        </w:tblPrEx>
        <w:trPr>
          <w:trHeight w:val="574" w:hRule="atLeast"/>
          <w:jc w:val="center"/>
        </w:trPr>
        <w:tc>
          <w:tcPr>
            <w:tcW w:w="247" w:type="pc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753"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jc w:val="center"/>
        </w:trPr>
        <w:tc>
          <w:tcPr>
            <w:tcW w:w="247" w:type="pc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753"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jc w:val="center"/>
        </w:trPr>
        <w:tc>
          <w:tcPr>
            <w:tcW w:w="25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项目负责人：王宇林</w:t>
            </w:r>
          </w:p>
        </w:tc>
        <w:tc>
          <w:tcPr>
            <w:tcW w:w="242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财务负责人：李燕成</w:t>
            </w:r>
          </w:p>
        </w:tc>
      </w:tr>
    </w:tbl>
    <w:p>
      <w:pPr>
        <w:pStyle w:val="2"/>
        <w:rPr>
          <w:rFonts w:ascii="黑体" w:hAnsi="黑体" w:eastAsia="黑体"/>
          <w:b/>
          <w:bCs/>
          <w:sz w:val="44"/>
          <w:szCs w:val="44"/>
        </w:rPr>
      </w:pPr>
    </w:p>
    <w:tbl>
      <w:tblPr>
        <w:tblStyle w:val="16"/>
        <w:tblpPr w:leftFromText="180" w:rightFromText="180" w:vertAnchor="text" w:tblpXSpec="center" w:tblpY="1"/>
        <w:tblOverlap w:val="never"/>
        <w:tblW w:w="9639" w:type="dxa"/>
        <w:jc w:val="center"/>
        <w:tblLayout w:type="autofit"/>
        <w:tblCellMar>
          <w:top w:w="0" w:type="dxa"/>
          <w:left w:w="108" w:type="dxa"/>
          <w:bottom w:w="0" w:type="dxa"/>
          <w:right w:w="108" w:type="dxa"/>
        </w:tblCellMar>
      </w:tblPr>
      <w:tblGrid>
        <w:gridCol w:w="630"/>
        <w:gridCol w:w="1229"/>
        <w:gridCol w:w="1156"/>
        <w:gridCol w:w="1418"/>
        <w:gridCol w:w="451"/>
        <w:gridCol w:w="1011"/>
        <w:gridCol w:w="451"/>
        <w:gridCol w:w="958"/>
        <w:gridCol w:w="501"/>
        <w:gridCol w:w="486"/>
        <w:gridCol w:w="1348"/>
      </w:tblGrid>
      <w:tr>
        <w:tblPrEx>
          <w:tblCellMar>
            <w:top w:w="0" w:type="dxa"/>
            <w:left w:w="108" w:type="dxa"/>
            <w:bottom w:w="0" w:type="dxa"/>
            <w:right w:w="108" w:type="dxa"/>
          </w:tblCellMar>
        </w:tblPrEx>
        <w:trPr>
          <w:trHeight w:val="904" w:hRule="atLeast"/>
          <w:jc w:val="center"/>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51000021R000000019952-其他人员支出</w:t>
            </w:r>
          </w:p>
        </w:tc>
      </w:tr>
      <w:tr>
        <w:tblPrEx>
          <w:tblCellMar>
            <w:top w:w="0" w:type="dxa"/>
            <w:left w:w="108" w:type="dxa"/>
            <w:bottom w:w="0" w:type="dxa"/>
            <w:right w:w="108" w:type="dxa"/>
          </w:tblCellMar>
        </w:tblPrEx>
        <w:trPr>
          <w:trHeight w:val="514"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110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CellMar>
            <w:top w:w="0" w:type="dxa"/>
            <w:left w:w="108" w:type="dxa"/>
            <w:bottom w:w="0" w:type="dxa"/>
            <w:right w:w="108" w:type="dxa"/>
          </w:tblCellMar>
        </w:tblPrEx>
        <w:trPr>
          <w:trHeight w:val="285"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足额发放或社保及时、足额缴纳，完成了既定年度目标任务。</w:t>
            </w:r>
          </w:p>
        </w:tc>
      </w:tr>
      <w:tr>
        <w:tblPrEx>
          <w:tblCellMar>
            <w:top w:w="0" w:type="dxa"/>
            <w:left w:w="108" w:type="dxa"/>
            <w:bottom w:w="0" w:type="dxa"/>
            <w:right w:w="108" w:type="dxa"/>
          </w:tblCellMar>
        </w:tblPrEx>
        <w:trPr>
          <w:trHeight w:val="69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按照组织部、人社局及市公安局人事处等文件，严格核查，足额缴纳。</w:t>
            </w:r>
          </w:p>
        </w:tc>
      </w:tr>
      <w:tr>
        <w:tblPrEx>
          <w:tblCellMar>
            <w:top w:w="0" w:type="dxa"/>
            <w:left w:w="108" w:type="dxa"/>
            <w:bottom w:w="0" w:type="dxa"/>
            <w:right w:w="108" w:type="dxa"/>
          </w:tblCellMar>
        </w:tblPrEx>
        <w:trPr>
          <w:trHeight w:val="360"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21.26</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122.44</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122.44</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39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21.26</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122.44</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122.44</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jc w:val="center"/>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经自评，该项目自评得100分。</w:t>
            </w:r>
          </w:p>
        </w:tc>
      </w:tr>
      <w:tr>
        <w:tblPrEx>
          <w:tblCellMar>
            <w:top w:w="0" w:type="dxa"/>
            <w:left w:w="108" w:type="dxa"/>
            <w:bottom w:w="0" w:type="dxa"/>
            <w:right w:w="108" w:type="dxa"/>
          </w:tblCellMar>
        </w:tblPrEx>
        <w:trPr>
          <w:trHeight w:val="57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jc w:val="center"/>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项目负责人：王宇林</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财务负责人：李燕成</w:t>
            </w:r>
          </w:p>
        </w:tc>
      </w:tr>
    </w:tbl>
    <w:p>
      <w:pPr>
        <w:pStyle w:val="2"/>
        <w:rPr>
          <w:rFonts w:ascii="黑体" w:hAnsi="黑体" w:eastAsia="黑体"/>
          <w:b/>
          <w:bCs/>
          <w:sz w:val="44"/>
          <w:szCs w:val="44"/>
        </w:rPr>
      </w:pPr>
    </w:p>
    <w:tbl>
      <w:tblPr>
        <w:tblStyle w:val="16"/>
        <w:tblpPr w:leftFromText="180" w:rightFromText="180" w:vertAnchor="text" w:tblpXSpec="center" w:tblpY="1"/>
        <w:tblOverlap w:val="never"/>
        <w:tblW w:w="9639" w:type="dxa"/>
        <w:jc w:val="center"/>
        <w:tblLayout w:type="autofit"/>
        <w:tblCellMar>
          <w:top w:w="0" w:type="dxa"/>
          <w:left w:w="108" w:type="dxa"/>
          <w:bottom w:w="0" w:type="dxa"/>
          <w:right w:w="108" w:type="dxa"/>
        </w:tblCellMar>
      </w:tblPr>
      <w:tblGrid>
        <w:gridCol w:w="629"/>
        <w:gridCol w:w="1220"/>
        <w:gridCol w:w="1200"/>
        <w:gridCol w:w="1408"/>
        <w:gridCol w:w="450"/>
        <w:gridCol w:w="1004"/>
        <w:gridCol w:w="450"/>
        <w:gridCol w:w="956"/>
        <w:gridCol w:w="501"/>
        <w:gridCol w:w="486"/>
        <w:gridCol w:w="1335"/>
      </w:tblGrid>
      <w:tr>
        <w:tblPrEx>
          <w:tblCellMar>
            <w:top w:w="0" w:type="dxa"/>
            <w:left w:w="108" w:type="dxa"/>
            <w:bottom w:w="0" w:type="dxa"/>
            <w:right w:w="108" w:type="dxa"/>
          </w:tblCellMar>
        </w:tblPrEx>
        <w:trPr>
          <w:trHeight w:val="904" w:hRule="atLeast"/>
          <w:jc w:val="center"/>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51000021R000000019956-离退休费支出</w:t>
            </w:r>
          </w:p>
        </w:tc>
      </w:tr>
      <w:tr>
        <w:tblPrEx>
          <w:tblCellMar>
            <w:top w:w="0" w:type="dxa"/>
            <w:left w:w="108" w:type="dxa"/>
            <w:bottom w:w="0" w:type="dxa"/>
            <w:right w:w="108" w:type="dxa"/>
          </w:tblCellMar>
        </w:tblPrEx>
        <w:trPr>
          <w:trHeight w:val="514"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110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CellMar>
            <w:top w:w="0" w:type="dxa"/>
            <w:left w:w="108" w:type="dxa"/>
            <w:bottom w:w="0" w:type="dxa"/>
            <w:right w:w="108" w:type="dxa"/>
          </w:tblCellMar>
        </w:tblPrEx>
        <w:trPr>
          <w:trHeight w:val="285"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及时足额发放离退休人员经费。</w:t>
            </w:r>
          </w:p>
        </w:tc>
      </w:tr>
      <w:tr>
        <w:tblPrEx>
          <w:tblCellMar>
            <w:top w:w="0" w:type="dxa"/>
            <w:left w:w="108" w:type="dxa"/>
            <w:bottom w:w="0" w:type="dxa"/>
            <w:right w:w="108" w:type="dxa"/>
          </w:tblCellMar>
        </w:tblPrEx>
        <w:trPr>
          <w:trHeight w:val="69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按照人事处提供文件，及时足额缴纳及发放。</w:t>
            </w:r>
          </w:p>
        </w:tc>
      </w:tr>
      <w:tr>
        <w:tblPrEx>
          <w:tblCellMar>
            <w:top w:w="0" w:type="dxa"/>
            <w:left w:w="108" w:type="dxa"/>
            <w:bottom w:w="0" w:type="dxa"/>
            <w:right w:w="108" w:type="dxa"/>
          </w:tblCellMar>
        </w:tblPrEx>
        <w:trPr>
          <w:trHeight w:val="360"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504.00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504.00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504.00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39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504.00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504.00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504.00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jc w:val="center"/>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经自评，该项目自评得100分。</w:t>
            </w:r>
          </w:p>
        </w:tc>
      </w:tr>
      <w:tr>
        <w:tblPrEx>
          <w:tblCellMar>
            <w:top w:w="0" w:type="dxa"/>
            <w:left w:w="108" w:type="dxa"/>
            <w:bottom w:w="0" w:type="dxa"/>
            <w:right w:w="108" w:type="dxa"/>
          </w:tblCellMar>
        </w:tblPrEx>
        <w:trPr>
          <w:trHeight w:val="57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jc w:val="center"/>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项目负责人：王宇林</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财务负责人：李燕成</w:t>
            </w:r>
          </w:p>
        </w:tc>
      </w:tr>
    </w:tbl>
    <w:p>
      <w:pPr>
        <w:pStyle w:val="2"/>
        <w:rPr>
          <w:rFonts w:ascii="黑体" w:hAnsi="黑体" w:eastAsia="黑体"/>
          <w:b/>
          <w:bCs/>
          <w:sz w:val="44"/>
          <w:szCs w:val="44"/>
        </w:rPr>
      </w:pPr>
    </w:p>
    <w:tbl>
      <w:tblPr>
        <w:tblStyle w:val="16"/>
        <w:tblpPr w:leftFromText="180" w:rightFromText="180" w:vertAnchor="text" w:tblpXSpec="center" w:tblpY="1"/>
        <w:tblOverlap w:val="never"/>
        <w:tblW w:w="9639" w:type="dxa"/>
        <w:jc w:val="center"/>
        <w:tblLayout w:type="autofit"/>
        <w:tblCellMar>
          <w:top w:w="0" w:type="dxa"/>
          <w:left w:w="108" w:type="dxa"/>
          <w:bottom w:w="0" w:type="dxa"/>
          <w:right w:w="108" w:type="dxa"/>
        </w:tblCellMar>
      </w:tblPr>
      <w:tblGrid>
        <w:gridCol w:w="632"/>
        <w:gridCol w:w="1249"/>
        <w:gridCol w:w="1171"/>
        <w:gridCol w:w="1389"/>
        <w:gridCol w:w="452"/>
        <w:gridCol w:w="1028"/>
        <w:gridCol w:w="452"/>
        <w:gridCol w:w="961"/>
        <w:gridCol w:w="501"/>
        <w:gridCol w:w="425"/>
        <w:gridCol w:w="1379"/>
      </w:tblGrid>
      <w:tr>
        <w:tblPrEx>
          <w:tblCellMar>
            <w:top w:w="0" w:type="dxa"/>
            <w:left w:w="108" w:type="dxa"/>
            <w:bottom w:w="0" w:type="dxa"/>
            <w:right w:w="108" w:type="dxa"/>
          </w:tblCellMar>
        </w:tblPrEx>
        <w:trPr>
          <w:trHeight w:val="904" w:hRule="atLeast"/>
          <w:jc w:val="center"/>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51000021R000000019958-其他支出</w:t>
            </w:r>
          </w:p>
        </w:tc>
      </w:tr>
      <w:tr>
        <w:tblPrEx>
          <w:tblCellMar>
            <w:top w:w="0" w:type="dxa"/>
            <w:left w:w="108" w:type="dxa"/>
            <w:bottom w:w="0" w:type="dxa"/>
            <w:right w:w="108" w:type="dxa"/>
          </w:tblCellMar>
        </w:tblPrEx>
        <w:trPr>
          <w:trHeight w:val="514"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110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CellMar>
            <w:top w:w="0" w:type="dxa"/>
            <w:left w:w="108" w:type="dxa"/>
            <w:bottom w:w="0" w:type="dxa"/>
            <w:right w:w="108" w:type="dxa"/>
          </w:tblCellMar>
        </w:tblPrEx>
        <w:trPr>
          <w:trHeight w:val="285"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按照年初既定任务，及时足额发放遗属生活费。</w:t>
            </w:r>
          </w:p>
        </w:tc>
      </w:tr>
      <w:tr>
        <w:tblPrEx>
          <w:tblCellMar>
            <w:top w:w="0" w:type="dxa"/>
            <w:left w:w="108" w:type="dxa"/>
            <w:bottom w:w="0" w:type="dxa"/>
            <w:right w:w="108" w:type="dxa"/>
          </w:tblCellMar>
        </w:tblPrEx>
        <w:trPr>
          <w:trHeight w:val="69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按照相关文件要求，认真核实，专项支出。</w:t>
            </w:r>
          </w:p>
        </w:tc>
      </w:tr>
      <w:tr>
        <w:tblPrEx>
          <w:tblCellMar>
            <w:top w:w="0" w:type="dxa"/>
            <w:left w:w="108" w:type="dxa"/>
            <w:bottom w:w="0" w:type="dxa"/>
            <w:right w:w="108" w:type="dxa"/>
          </w:tblCellMar>
        </w:tblPrEx>
        <w:trPr>
          <w:trHeight w:val="360"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13.51</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13.51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13.51</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39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13.51</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13.51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13.51</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jc w:val="center"/>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经自评，该项目自评得100分。</w:t>
            </w:r>
          </w:p>
        </w:tc>
      </w:tr>
      <w:tr>
        <w:tblPrEx>
          <w:tblCellMar>
            <w:top w:w="0" w:type="dxa"/>
            <w:left w:w="108" w:type="dxa"/>
            <w:bottom w:w="0" w:type="dxa"/>
            <w:right w:w="108" w:type="dxa"/>
          </w:tblCellMar>
        </w:tblPrEx>
        <w:trPr>
          <w:trHeight w:val="57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jc w:val="center"/>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项目负责人：王宇林</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财务负责人：李燕成</w:t>
            </w:r>
          </w:p>
        </w:tc>
      </w:tr>
    </w:tbl>
    <w:p>
      <w:pPr>
        <w:pStyle w:val="2"/>
        <w:rPr>
          <w:rFonts w:ascii="黑体" w:hAnsi="黑体" w:eastAsia="黑体"/>
          <w:b/>
          <w:bCs/>
          <w:sz w:val="44"/>
          <w:szCs w:val="44"/>
        </w:rPr>
      </w:pPr>
    </w:p>
    <w:tbl>
      <w:tblPr>
        <w:tblStyle w:val="16"/>
        <w:tblpPr w:leftFromText="180" w:rightFromText="180" w:vertAnchor="text" w:tblpXSpec="center" w:tblpY="1"/>
        <w:tblOverlap w:val="never"/>
        <w:tblW w:w="9639" w:type="dxa"/>
        <w:jc w:val="center"/>
        <w:tblLayout w:type="autofit"/>
        <w:tblCellMar>
          <w:top w:w="0" w:type="dxa"/>
          <w:left w:w="108" w:type="dxa"/>
          <w:bottom w:w="0" w:type="dxa"/>
          <w:right w:w="108" w:type="dxa"/>
        </w:tblCellMar>
      </w:tblPr>
      <w:tblGrid>
        <w:gridCol w:w="626"/>
        <w:gridCol w:w="1180"/>
        <w:gridCol w:w="1173"/>
        <w:gridCol w:w="1635"/>
        <w:gridCol w:w="446"/>
        <w:gridCol w:w="972"/>
        <w:gridCol w:w="446"/>
        <w:gridCol w:w="896"/>
        <w:gridCol w:w="500"/>
        <w:gridCol w:w="487"/>
        <w:gridCol w:w="1278"/>
      </w:tblGrid>
      <w:tr>
        <w:tblPrEx>
          <w:tblCellMar>
            <w:top w:w="0" w:type="dxa"/>
            <w:left w:w="108" w:type="dxa"/>
            <w:bottom w:w="0" w:type="dxa"/>
            <w:right w:w="108" w:type="dxa"/>
          </w:tblCellMar>
        </w:tblPrEx>
        <w:trPr>
          <w:trHeight w:val="904" w:hRule="atLeast"/>
          <w:jc w:val="center"/>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51000021Y000000011490-日常公用经费</w:t>
            </w:r>
          </w:p>
        </w:tc>
      </w:tr>
      <w:tr>
        <w:tblPrEx>
          <w:tblCellMar>
            <w:top w:w="0" w:type="dxa"/>
            <w:left w:w="108" w:type="dxa"/>
            <w:bottom w:w="0" w:type="dxa"/>
            <w:right w:w="108" w:type="dxa"/>
          </w:tblCellMar>
        </w:tblPrEx>
        <w:trPr>
          <w:trHeight w:val="514"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110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CellMar>
            <w:top w:w="0" w:type="dxa"/>
            <w:left w:w="108" w:type="dxa"/>
            <w:bottom w:w="0" w:type="dxa"/>
            <w:right w:w="108" w:type="dxa"/>
          </w:tblCellMar>
        </w:tblPrEx>
        <w:trPr>
          <w:trHeight w:val="285"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按照年初预算编制，合理使用，保障了单位的日常运转。</w:t>
            </w:r>
          </w:p>
        </w:tc>
      </w:tr>
      <w:tr>
        <w:tblPrEx>
          <w:tblCellMar>
            <w:top w:w="0" w:type="dxa"/>
            <w:left w:w="108" w:type="dxa"/>
            <w:bottom w:w="0" w:type="dxa"/>
            <w:right w:w="108" w:type="dxa"/>
          </w:tblCellMar>
        </w:tblPrEx>
        <w:trPr>
          <w:trHeight w:val="69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按照公用经费的使用范围，细致审核，合理支出。</w:t>
            </w:r>
          </w:p>
        </w:tc>
      </w:tr>
      <w:tr>
        <w:tblPrEx>
          <w:tblCellMar>
            <w:top w:w="0" w:type="dxa"/>
            <w:left w:w="108" w:type="dxa"/>
            <w:bottom w:w="0" w:type="dxa"/>
            <w:right w:w="108" w:type="dxa"/>
          </w:tblCellMar>
        </w:tblPrEx>
        <w:trPr>
          <w:trHeight w:val="360"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771.66</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771.66</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762.35</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98.79%</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39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771.66</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771.66</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762.35</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98.79%</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jc w:val="center"/>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经自评，该项目自评得100分。</w:t>
            </w:r>
          </w:p>
        </w:tc>
      </w:tr>
      <w:tr>
        <w:tblPrEx>
          <w:tblCellMar>
            <w:top w:w="0" w:type="dxa"/>
            <w:left w:w="108" w:type="dxa"/>
            <w:bottom w:w="0" w:type="dxa"/>
            <w:right w:w="108" w:type="dxa"/>
          </w:tblCellMar>
        </w:tblPrEx>
        <w:trPr>
          <w:trHeight w:val="57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jc w:val="center"/>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项目负责人：王宇林</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财务负责人：李燕成</w:t>
            </w:r>
          </w:p>
        </w:tc>
      </w:tr>
    </w:tbl>
    <w:p>
      <w:pPr>
        <w:pStyle w:val="2"/>
        <w:rPr>
          <w:rFonts w:ascii="黑体" w:hAnsi="黑体" w:eastAsia="黑体"/>
          <w:b/>
          <w:bCs/>
          <w:sz w:val="44"/>
          <w:szCs w:val="44"/>
        </w:rPr>
      </w:pPr>
    </w:p>
    <w:tbl>
      <w:tblPr>
        <w:tblStyle w:val="16"/>
        <w:tblpPr w:leftFromText="180" w:rightFromText="180" w:vertAnchor="text" w:tblpXSpec="center" w:tblpY="1"/>
        <w:tblOverlap w:val="never"/>
        <w:tblW w:w="9639" w:type="dxa"/>
        <w:jc w:val="center"/>
        <w:tblLayout w:type="autofit"/>
        <w:tblCellMar>
          <w:top w:w="0" w:type="dxa"/>
          <w:left w:w="108" w:type="dxa"/>
          <w:bottom w:w="0" w:type="dxa"/>
          <w:right w:w="108" w:type="dxa"/>
        </w:tblCellMar>
      </w:tblPr>
      <w:tblGrid>
        <w:gridCol w:w="625"/>
        <w:gridCol w:w="1169"/>
        <w:gridCol w:w="1165"/>
        <w:gridCol w:w="1628"/>
        <w:gridCol w:w="446"/>
        <w:gridCol w:w="964"/>
        <w:gridCol w:w="446"/>
        <w:gridCol w:w="948"/>
        <w:gridCol w:w="500"/>
        <w:gridCol w:w="486"/>
        <w:gridCol w:w="1262"/>
      </w:tblGrid>
      <w:tr>
        <w:tblPrEx>
          <w:tblCellMar>
            <w:top w:w="0" w:type="dxa"/>
            <w:left w:w="108" w:type="dxa"/>
            <w:bottom w:w="0" w:type="dxa"/>
            <w:right w:w="108" w:type="dxa"/>
          </w:tblCellMar>
        </w:tblPrEx>
        <w:trPr>
          <w:trHeight w:val="904" w:hRule="atLeast"/>
          <w:jc w:val="center"/>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trHeight w:val="514"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110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CellMar>
            <w:top w:w="0" w:type="dxa"/>
            <w:left w:w="108" w:type="dxa"/>
            <w:bottom w:w="0" w:type="dxa"/>
            <w:right w:w="108" w:type="dxa"/>
          </w:tblCellMar>
        </w:tblPrEx>
        <w:trPr>
          <w:trHeight w:val="285"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按照年初预算编制，合理使用，保障了单位的日常运转。</w:t>
            </w:r>
          </w:p>
        </w:tc>
      </w:tr>
      <w:tr>
        <w:tblPrEx>
          <w:tblCellMar>
            <w:top w:w="0" w:type="dxa"/>
            <w:left w:w="108" w:type="dxa"/>
            <w:bottom w:w="0" w:type="dxa"/>
            <w:right w:w="108" w:type="dxa"/>
          </w:tblCellMar>
        </w:tblPrEx>
        <w:trPr>
          <w:trHeight w:val="69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按照文件要求，认真核实，专款专用，主要用于福利、工会、公车补贴、党建、退休活动等。</w:t>
            </w:r>
          </w:p>
        </w:tc>
      </w:tr>
      <w:tr>
        <w:tblPrEx>
          <w:tblCellMar>
            <w:top w:w="0" w:type="dxa"/>
            <w:left w:w="108" w:type="dxa"/>
            <w:bottom w:w="0" w:type="dxa"/>
            <w:right w:w="108" w:type="dxa"/>
          </w:tblCellMar>
        </w:tblPrEx>
        <w:trPr>
          <w:trHeight w:val="360"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675.94</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675.94</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675.94</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39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675.94</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675.94</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675.94</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jc w:val="center"/>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经自评，该项目自评得100分。</w:t>
            </w:r>
          </w:p>
        </w:tc>
      </w:tr>
      <w:tr>
        <w:tblPrEx>
          <w:tblCellMar>
            <w:top w:w="0" w:type="dxa"/>
            <w:left w:w="108" w:type="dxa"/>
            <w:bottom w:w="0" w:type="dxa"/>
            <w:right w:w="108" w:type="dxa"/>
          </w:tblCellMar>
        </w:tblPrEx>
        <w:trPr>
          <w:trHeight w:val="57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jc w:val="center"/>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项目负责人：王宇林</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财务负责人：李燕成</w:t>
            </w:r>
          </w:p>
        </w:tc>
      </w:tr>
    </w:tbl>
    <w:p>
      <w:pPr>
        <w:pStyle w:val="2"/>
        <w:rPr>
          <w:rFonts w:ascii="黑体" w:hAnsi="黑体" w:eastAsia="黑体"/>
          <w:b/>
          <w:bCs/>
          <w:sz w:val="44"/>
          <w:szCs w:val="44"/>
        </w:rPr>
      </w:pPr>
    </w:p>
    <w:tbl>
      <w:tblPr>
        <w:tblStyle w:val="16"/>
        <w:tblpPr w:leftFromText="180" w:rightFromText="180" w:vertAnchor="text" w:tblpXSpec="center" w:tblpY="1"/>
        <w:tblOverlap w:val="never"/>
        <w:tblW w:w="9639" w:type="dxa"/>
        <w:jc w:val="center"/>
        <w:tblLayout w:type="autofit"/>
        <w:tblCellMar>
          <w:top w:w="0" w:type="dxa"/>
          <w:left w:w="108" w:type="dxa"/>
          <w:bottom w:w="0" w:type="dxa"/>
          <w:right w:w="108" w:type="dxa"/>
        </w:tblCellMar>
      </w:tblPr>
      <w:tblGrid>
        <w:gridCol w:w="629"/>
        <w:gridCol w:w="1220"/>
        <w:gridCol w:w="1200"/>
        <w:gridCol w:w="1408"/>
        <w:gridCol w:w="450"/>
        <w:gridCol w:w="1004"/>
        <w:gridCol w:w="450"/>
        <w:gridCol w:w="956"/>
        <w:gridCol w:w="501"/>
        <w:gridCol w:w="486"/>
        <w:gridCol w:w="1335"/>
      </w:tblGrid>
      <w:tr>
        <w:tblPrEx>
          <w:tblCellMar>
            <w:top w:w="0" w:type="dxa"/>
            <w:left w:w="108" w:type="dxa"/>
            <w:bottom w:w="0" w:type="dxa"/>
            <w:right w:w="108" w:type="dxa"/>
          </w:tblCellMar>
        </w:tblPrEx>
        <w:trPr>
          <w:trHeight w:val="904" w:hRule="atLeast"/>
          <w:jc w:val="center"/>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51080022R000000267546-工资性支出（事业）</w:t>
            </w:r>
          </w:p>
        </w:tc>
      </w:tr>
      <w:tr>
        <w:tblPrEx>
          <w:tblCellMar>
            <w:top w:w="0" w:type="dxa"/>
            <w:left w:w="108" w:type="dxa"/>
            <w:bottom w:w="0" w:type="dxa"/>
            <w:right w:w="108" w:type="dxa"/>
          </w:tblCellMar>
        </w:tblPrEx>
        <w:trPr>
          <w:trHeight w:val="514"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110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CellMar>
            <w:top w:w="0" w:type="dxa"/>
            <w:left w:w="108" w:type="dxa"/>
            <w:bottom w:w="0" w:type="dxa"/>
            <w:right w:w="108" w:type="dxa"/>
          </w:tblCellMar>
        </w:tblPrEx>
        <w:trPr>
          <w:trHeight w:val="285"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按照年度既定目标任务，及时足额发放。</w:t>
            </w:r>
          </w:p>
        </w:tc>
      </w:tr>
      <w:tr>
        <w:tblPrEx>
          <w:tblCellMar>
            <w:top w:w="0" w:type="dxa"/>
            <w:left w:w="108" w:type="dxa"/>
            <w:bottom w:w="0" w:type="dxa"/>
            <w:right w:w="108" w:type="dxa"/>
          </w:tblCellMar>
        </w:tblPrEx>
        <w:trPr>
          <w:trHeight w:val="69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按照人事文件，及时足额发放事业人员工资性支出。</w:t>
            </w:r>
          </w:p>
        </w:tc>
      </w:tr>
      <w:tr>
        <w:tblPrEx>
          <w:tblCellMar>
            <w:top w:w="0" w:type="dxa"/>
            <w:left w:w="108" w:type="dxa"/>
            <w:bottom w:w="0" w:type="dxa"/>
            <w:right w:w="108" w:type="dxa"/>
          </w:tblCellMar>
        </w:tblPrEx>
        <w:trPr>
          <w:trHeight w:val="360"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115.91</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115.91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115.91</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39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115.91</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115.91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115.91</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jc w:val="center"/>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经自评，该项目自评得100分。</w:t>
            </w:r>
          </w:p>
        </w:tc>
      </w:tr>
      <w:tr>
        <w:tblPrEx>
          <w:tblCellMar>
            <w:top w:w="0" w:type="dxa"/>
            <w:left w:w="108" w:type="dxa"/>
            <w:bottom w:w="0" w:type="dxa"/>
            <w:right w:w="108" w:type="dxa"/>
          </w:tblCellMar>
        </w:tblPrEx>
        <w:trPr>
          <w:trHeight w:val="57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jc w:val="center"/>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项目负责人：王宇林</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财务负责人：李燕成</w:t>
            </w:r>
          </w:p>
        </w:tc>
      </w:tr>
    </w:tbl>
    <w:p>
      <w:pPr>
        <w:pStyle w:val="2"/>
        <w:rPr>
          <w:rFonts w:ascii="黑体" w:hAnsi="黑体" w:eastAsia="黑体"/>
          <w:b/>
          <w:bCs/>
          <w:sz w:val="44"/>
          <w:szCs w:val="44"/>
        </w:rPr>
      </w:pPr>
    </w:p>
    <w:tbl>
      <w:tblPr>
        <w:tblStyle w:val="16"/>
        <w:tblpPr w:leftFromText="180" w:rightFromText="180" w:vertAnchor="text" w:tblpXSpec="center" w:tblpY="1"/>
        <w:tblOverlap w:val="never"/>
        <w:tblW w:w="9639" w:type="dxa"/>
        <w:jc w:val="center"/>
        <w:tblLayout w:type="autofit"/>
        <w:tblCellMar>
          <w:top w:w="0" w:type="dxa"/>
          <w:left w:w="108" w:type="dxa"/>
          <w:bottom w:w="0" w:type="dxa"/>
          <w:right w:w="108" w:type="dxa"/>
        </w:tblCellMar>
      </w:tblPr>
      <w:tblGrid>
        <w:gridCol w:w="632"/>
        <w:gridCol w:w="1247"/>
        <w:gridCol w:w="1120"/>
        <w:gridCol w:w="1387"/>
        <w:gridCol w:w="452"/>
        <w:gridCol w:w="1026"/>
        <w:gridCol w:w="452"/>
        <w:gridCol w:w="961"/>
        <w:gridCol w:w="501"/>
        <w:gridCol w:w="486"/>
        <w:gridCol w:w="1375"/>
      </w:tblGrid>
      <w:tr>
        <w:tblPrEx>
          <w:tblCellMar>
            <w:top w:w="0" w:type="dxa"/>
            <w:left w:w="108" w:type="dxa"/>
            <w:bottom w:w="0" w:type="dxa"/>
            <w:right w:w="108" w:type="dxa"/>
          </w:tblCellMar>
        </w:tblPrEx>
        <w:trPr>
          <w:trHeight w:val="904" w:hRule="atLeast"/>
          <w:jc w:val="center"/>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51080022R000006844873-退休“中人”一次性退休补贴</w:t>
            </w:r>
          </w:p>
        </w:tc>
      </w:tr>
      <w:tr>
        <w:tblPrEx>
          <w:tblCellMar>
            <w:top w:w="0" w:type="dxa"/>
            <w:left w:w="108" w:type="dxa"/>
            <w:bottom w:w="0" w:type="dxa"/>
            <w:right w:w="108" w:type="dxa"/>
          </w:tblCellMar>
        </w:tblPrEx>
        <w:trPr>
          <w:trHeight w:val="514"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110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CellMar>
            <w:top w:w="0" w:type="dxa"/>
            <w:left w:w="108" w:type="dxa"/>
            <w:bottom w:w="0" w:type="dxa"/>
            <w:right w:w="108" w:type="dxa"/>
          </w:tblCellMar>
        </w:tblPrEx>
        <w:trPr>
          <w:trHeight w:val="285"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按照年初预算安排，及时足额发放，保障了退休人员的权益。</w:t>
            </w:r>
          </w:p>
        </w:tc>
      </w:tr>
      <w:tr>
        <w:tblPrEx>
          <w:tblCellMar>
            <w:top w:w="0" w:type="dxa"/>
            <w:left w:w="108" w:type="dxa"/>
            <w:bottom w:w="0" w:type="dxa"/>
            <w:right w:w="108" w:type="dxa"/>
          </w:tblCellMar>
        </w:tblPrEx>
        <w:trPr>
          <w:trHeight w:val="69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按照文件要求，对应考核，及时足额发放退休“中人”一次性退休补贴。</w:t>
            </w:r>
          </w:p>
        </w:tc>
      </w:tr>
      <w:tr>
        <w:tblPrEx>
          <w:tblCellMar>
            <w:top w:w="0" w:type="dxa"/>
            <w:left w:w="108" w:type="dxa"/>
            <w:bottom w:w="0" w:type="dxa"/>
            <w:right w:w="108" w:type="dxa"/>
          </w:tblCellMar>
        </w:tblPrEx>
        <w:trPr>
          <w:trHeight w:val="360"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44.48</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44.48</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39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44.48</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44.48</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jc w:val="center"/>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经自评，该项目自评得100分。</w:t>
            </w:r>
          </w:p>
        </w:tc>
      </w:tr>
      <w:tr>
        <w:tblPrEx>
          <w:tblCellMar>
            <w:top w:w="0" w:type="dxa"/>
            <w:left w:w="108" w:type="dxa"/>
            <w:bottom w:w="0" w:type="dxa"/>
            <w:right w:w="108" w:type="dxa"/>
          </w:tblCellMar>
        </w:tblPrEx>
        <w:trPr>
          <w:trHeight w:val="57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jc w:val="center"/>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项目负责人：王宇林</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财务负责人：李燕成</w:t>
            </w:r>
          </w:p>
        </w:tc>
      </w:tr>
    </w:tbl>
    <w:p>
      <w:pPr>
        <w:pStyle w:val="2"/>
        <w:rPr>
          <w:rFonts w:ascii="黑体" w:hAnsi="黑体" w:eastAsia="黑体"/>
          <w:b/>
          <w:bCs/>
          <w:sz w:val="44"/>
          <w:szCs w:val="44"/>
        </w:rPr>
      </w:pPr>
    </w:p>
    <w:tbl>
      <w:tblPr>
        <w:tblStyle w:val="16"/>
        <w:tblpPr w:leftFromText="180" w:rightFromText="180" w:vertAnchor="text" w:tblpXSpec="center" w:tblpY="1"/>
        <w:tblOverlap w:val="never"/>
        <w:tblW w:w="9639" w:type="dxa"/>
        <w:jc w:val="center"/>
        <w:tblLayout w:type="autofit"/>
        <w:tblCellMar>
          <w:top w:w="0" w:type="dxa"/>
          <w:left w:w="108" w:type="dxa"/>
          <w:bottom w:w="0" w:type="dxa"/>
          <w:right w:w="108" w:type="dxa"/>
        </w:tblCellMar>
      </w:tblPr>
      <w:tblGrid>
        <w:gridCol w:w="626"/>
        <w:gridCol w:w="1180"/>
        <w:gridCol w:w="1120"/>
        <w:gridCol w:w="1635"/>
        <w:gridCol w:w="446"/>
        <w:gridCol w:w="972"/>
        <w:gridCol w:w="446"/>
        <w:gridCol w:w="949"/>
        <w:gridCol w:w="500"/>
        <w:gridCol w:w="487"/>
        <w:gridCol w:w="1278"/>
      </w:tblGrid>
      <w:tr>
        <w:tblPrEx>
          <w:tblCellMar>
            <w:top w:w="0" w:type="dxa"/>
            <w:left w:w="108" w:type="dxa"/>
            <w:bottom w:w="0" w:type="dxa"/>
            <w:right w:w="108" w:type="dxa"/>
          </w:tblCellMar>
        </w:tblPrEx>
        <w:trPr>
          <w:trHeight w:val="904" w:hRule="atLeast"/>
          <w:jc w:val="center"/>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CellMar>
            <w:top w:w="0" w:type="dxa"/>
            <w:left w:w="108" w:type="dxa"/>
            <w:bottom w:w="0" w:type="dxa"/>
            <w:right w:w="108" w:type="dxa"/>
          </w:tblCellMar>
        </w:tblPrEx>
        <w:trPr>
          <w:trHeight w:val="514"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110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CellMar>
            <w:top w:w="0" w:type="dxa"/>
            <w:left w:w="108" w:type="dxa"/>
            <w:bottom w:w="0" w:type="dxa"/>
            <w:right w:w="108" w:type="dxa"/>
          </w:tblCellMar>
        </w:tblPrEx>
        <w:trPr>
          <w:trHeight w:val="285"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按照年度既定目标任务，及时足额发放。</w:t>
            </w:r>
          </w:p>
        </w:tc>
      </w:tr>
      <w:tr>
        <w:tblPrEx>
          <w:tblCellMar>
            <w:top w:w="0" w:type="dxa"/>
            <w:left w:w="108" w:type="dxa"/>
            <w:bottom w:w="0" w:type="dxa"/>
            <w:right w:w="108" w:type="dxa"/>
          </w:tblCellMar>
        </w:tblPrEx>
        <w:trPr>
          <w:trHeight w:val="69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按照相关文件，保障事业人员的定额公用经费。</w:t>
            </w:r>
          </w:p>
        </w:tc>
      </w:tr>
      <w:tr>
        <w:tblPrEx>
          <w:tblCellMar>
            <w:top w:w="0" w:type="dxa"/>
            <w:left w:w="108" w:type="dxa"/>
            <w:bottom w:w="0" w:type="dxa"/>
            <w:right w:w="108" w:type="dxa"/>
          </w:tblCellMar>
        </w:tblPrEx>
        <w:trPr>
          <w:trHeight w:val="360"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39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jc w:val="center"/>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经自评，该项目自评得100分。</w:t>
            </w:r>
          </w:p>
        </w:tc>
      </w:tr>
      <w:tr>
        <w:tblPrEx>
          <w:tblCellMar>
            <w:top w:w="0" w:type="dxa"/>
            <w:left w:w="108" w:type="dxa"/>
            <w:bottom w:w="0" w:type="dxa"/>
            <w:right w:w="108" w:type="dxa"/>
          </w:tblCellMar>
        </w:tblPrEx>
        <w:trPr>
          <w:trHeight w:val="57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jc w:val="center"/>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项目负责人：王宇林</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财务负责人：李燕成</w:t>
            </w:r>
          </w:p>
        </w:tc>
      </w:tr>
    </w:tbl>
    <w:p>
      <w:pPr>
        <w:pStyle w:val="2"/>
        <w:rPr>
          <w:rFonts w:ascii="黑体" w:hAnsi="黑体" w:eastAsia="黑体"/>
          <w:b/>
          <w:bCs/>
          <w:sz w:val="44"/>
          <w:szCs w:val="44"/>
        </w:rPr>
      </w:pPr>
    </w:p>
    <w:tbl>
      <w:tblPr>
        <w:tblStyle w:val="16"/>
        <w:tblpPr w:leftFromText="180" w:rightFromText="180" w:vertAnchor="text" w:tblpXSpec="center" w:tblpY="1"/>
        <w:tblOverlap w:val="never"/>
        <w:tblW w:w="9639" w:type="dxa"/>
        <w:jc w:val="center"/>
        <w:tblLayout w:type="autofit"/>
        <w:tblCellMar>
          <w:top w:w="0" w:type="dxa"/>
          <w:left w:w="108" w:type="dxa"/>
          <w:bottom w:w="0" w:type="dxa"/>
          <w:right w:w="108" w:type="dxa"/>
        </w:tblCellMar>
      </w:tblPr>
      <w:tblGrid>
        <w:gridCol w:w="631"/>
        <w:gridCol w:w="1238"/>
        <w:gridCol w:w="1113"/>
        <w:gridCol w:w="1427"/>
        <w:gridCol w:w="451"/>
        <w:gridCol w:w="1019"/>
        <w:gridCol w:w="451"/>
        <w:gridCol w:w="959"/>
        <w:gridCol w:w="501"/>
        <w:gridCol w:w="487"/>
        <w:gridCol w:w="1362"/>
      </w:tblGrid>
      <w:tr>
        <w:tblPrEx>
          <w:tblCellMar>
            <w:top w:w="0" w:type="dxa"/>
            <w:left w:w="108" w:type="dxa"/>
            <w:bottom w:w="0" w:type="dxa"/>
            <w:right w:w="108" w:type="dxa"/>
          </w:tblCellMar>
        </w:tblPrEx>
        <w:trPr>
          <w:trHeight w:val="904" w:hRule="atLeast"/>
          <w:jc w:val="center"/>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514" w:hRule="atLeast"/>
          <w:jc w:val="center"/>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广元市公安局部门</w:t>
            </w:r>
          </w:p>
        </w:tc>
        <w:tc>
          <w:tcPr>
            <w:tcW w:w="110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广元市公安局</w:t>
            </w:r>
          </w:p>
        </w:tc>
      </w:tr>
      <w:tr>
        <w:tblPrEx>
          <w:tblCellMar>
            <w:top w:w="0" w:type="dxa"/>
            <w:left w:w="108" w:type="dxa"/>
            <w:bottom w:w="0" w:type="dxa"/>
            <w:right w:w="108" w:type="dxa"/>
          </w:tblCellMar>
        </w:tblPrEx>
        <w:trPr>
          <w:trHeight w:val="285"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按照实有在职人数考核，及时足额发放单位年度考核奖。</w:t>
            </w:r>
          </w:p>
        </w:tc>
      </w:tr>
      <w:tr>
        <w:tblPrEx>
          <w:tblCellMar>
            <w:top w:w="0" w:type="dxa"/>
            <w:left w:w="108" w:type="dxa"/>
            <w:bottom w:w="0" w:type="dxa"/>
            <w:right w:w="108" w:type="dxa"/>
          </w:tblCellMar>
        </w:tblPrEx>
        <w:trPr>
          <w:trHeight w:val="694"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按照人事核定人数，根据部门考核情况，层级化发放，及时足额支付。</w:t>
            </w:r>
          </w:p>
        </w:tc>
      </w:tr>
      <w:tr>
        <w:tblPrEx>
          <w:tblCellMar>
            <w:top w:w="0" w:type="dxa"/>
            <w:left w:w="108" w:type="dxa"/>
            <w:bottom w:w="0" w:type="dxa"/>
            <w:right w:w="108" w:type="dxa"/>
          </w:tblCellMar>
        </w:tblPrEx>
        <w:trPr>
          <w:trHeight w:val="360"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371.40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371.40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trHeight w:val="39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371.40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371.40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jc w:val="center"/>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jc w:val="center"/>
        </w:trPr>
        <w:tc>
          <w:tcPr>
            <w:tcW w:w="7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jc w:val="center"/>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56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经自评，该项目自评得100分。</w:t>
            </w:r>
          </w:p>
        </w:tc>
      </w:tr>
      <w:tr>
        <w:tblPrEx>
          <w:tblCellMar>
            <w:top w:w="0" w:type="dxa"/>
            <w:left w:w="108" w:type="dxa"/>
            <w:bottom w:w="0" w:type="dxa"/>
            <w:right w:w="108" w:type="dxa"/>
          </w:tblCellMar>
        </w:tblPrEx>
        <w:trPr>
          <w:trHeight w:val="57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jc w:val="center"/>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jc w:val="center"/>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项目负责人：王宇林</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财务负责人：李燕成</w:t>
            </w:r>
          </w:p>
        </w:tc>
      </w:tr>
    </w:tbl>
    <w:p>
      <w:pPr>
        <w:rPr>
          <w:rFonts w:ascii="黑体" w:hAnsi="黑体" w:eastAsia="黑体"/>
          <w:b/>
          <w:bCs/>
          <w:sz w:val="44"/>
          <w:szCs w:val="44"/>
        </w:rPr>
      </w:pPr>
      <w:r>
        <w:rPr>
          <w:rFonts w:ascii="黑体" w:hAnsi="黑体" w:eastAsia="黑体"/>
          <w:b/>
          <w:bCs/>
          <w:sz w:val="44"/>
          <w:szCs w:val="44"/>
        </w:rPr>
        <w:br w:type="page"/>
      </w:r>
    </w:p>
    <w:p>
      <w:pPr>
        <w:pStyle w:val="2"/>
        <w:rPr>
          <w:rFonts w:ascii="黑体" w:hAnsi="黑体" w:eastAsia="黑体"/>
          <w:b/>
          <w:bCs/>
          <w:sz w:val="44"/>
          <w:szCs w:val="44"/>
        </w:rPr>
      </w:pPr>
    </w:p>
    <w:p>
      <w:pPr>
        <w:spacing w:line="600" w:lineRule="exact"/>
        <w:jc w:val="center"/>
        <w:outlineLvl w:val="0"/>
        <w:rPr>
          <w:rFonts w:ascii="黑体" w:hAnsi="黑体" w:eastAsia="黑体"/>
          <w:bCs/>
          <w:kern w:val="44"/>
          <w:sz w:val="44"/>
          <w:szCs w:val="44"/>
        </w:rPr>
      </w:pPr>
      <w:bookmarkStart w:id="26" w:name="_Toc19545"/>
      <w:r>
        <w:rPr>
          <w:rFonts w:hint="eastAsia" w:ascii="黑体" w:hAnsi="黑体" w:eastAsia="黑体"/>
          <w:sz w:val="44"/>
          <w:szCs w:val="44"/>
        </w:rPr>
        <w:t>第</w:t>
      </w:r>
      <w:r>
        <w:rPr>
          <w:rStyle w:val="19"/>
          <w:rFonts w:hint="eastAsia" w:ascii="黑体" w:hAnsi="黑体" w:eastAsia="黑体"/>
        </w:rPr>
        <w:t>五部分 附表</w:t>
      </w:r>
      <w:bookmarkEnd w:id="26"/>
    </w:p>
    <w:p>
      <w:pPr>
        <w:pStyle w:val="4"/>
        <w:rPr>
          <w:rFonts w:ascii="仿宋" w:hAnsi="仿宋" w:eastAsia="仿宋"/>
        </w:rPr>
      </w:pPr>
      <w:bookmarkStart w:id="27" w:name="_Toc14260"/>
      <w:r>
        <w:rPr>
          <w:rFonts w:hint="eastAsia" w:ascii="仿宋" w:hAnsi="仿宋" w:eastAsia="仿宋"/>
          <w:b w:val="0"/>
        </w:rPr>
        <w:t>一、收</w:t>
      </w:r>
      <w:r>
        <w:rPr>
          <w:rStyle w:val="20"/>
          <w:rFonts w:hint="eastAsia" w:ascii="仿宋" w:hAnsi="仿宋" w:eastAsia="仿宋"/>
          <w:b w:val="0"/>
          <w:bCs w:val="0"/>
        </w:rPr>
        <w:t>入支出决算总表</w:t>
      </w:r>
      <w:bookmarkEnd w:id="27"/>
    </w:p>
    <w:p>
      <w:pPr>
        <w:pStyle w:val="4"/>
        <w:rPr>
          <w:rFonts w:ascii="仿宋" w:hAnsi="仿宋" w:eastAsia="仿宋"/>
        </w:rPr>
      </w:pPr>
      <w:bookmarkStart w:id="28" w:name="_Toc31890"/>
      <w:r>
        <w:rPr>
          <w:rFonts w:hint="eastAsia" w:ascii="仿宋" w:hAnsi="仿宋" w:eastAsia="仿宋"/>
          <w:b w:val="0"/>
        </w:rPr>
        <w:t>二、收</w:t>
      </w:r>
      <w:r>
        <w:rPr>
          <w:rStyle w:val="20"/>
          <w:rFonts w:hint="eastAsia" w:ascii="仿宋" w:hAnsi="仿宋" w:eastAsia="仿宋"/>
          <w:b w:val="0"/>
          <w:bCs w:val="0"/>
        </w:rPr>
        <w:t>入决算表</w:t>
      </w:r>
      <w:bookmarkEnd w:id="28"/>
    </w:p>
    <w:p>
      <w:pPr>
        <w:pStyle w:val="4"/>
        <w:rPr>
          <w:rFonts w:ascii="仿宋" w:hAnsi="仿宋" w:eastAsia="仿宋"/>
        </w:rPr>
      </w:pPr>
      <w:bookmarkStart w:id="29" w:name="_Toc6104"/>
      <w:r>
        <w:rPr>
          <w:rStyle w:val="20"/>
          <w:rFonts w:hint="eastAsia" w:ascii="仿宋" w:hAnsi="仿宋" w:eastAsia="仿宋"/>
          <w:b w:val="0"/>
          <w:bCs w:val="0"/>
        </w:rPr>
        <w:t>三、</w:t>
      </w:r>
      <w:r>
        <w:rPr>
          <w:rFonts w:hint="eastAsia" w:ascii="仿宋" w:hAnsi="仿宋" w:eastAsia="仿宋"/>
          <w:b w:val="0"/>
        </w:rPr>
        <w:t>支</w:t>
      </w:r>
      <w:r>
        <w:rPr>
          <w:rStyle w:val="20"/>
          <w:rFonts w:hint="eastAsia" w:ascii="仿宋" w:hAnsi="仿宋" w:eastAsia="仿宋"/>
          <w:b w:val="0"/>
          <w:bCs w:val="0"/>
        </w:rPr>
        <w:t>出决算表</w:t>
      </w:r>
      <w:bookmarkEnd w:id="29"/>
    </w:p>
    <w:p>
      <w:pPr>
        <w:pStyle w:val="4"/>
        <w:rPr>
          <w:rFonts w:ascii="仿宋" w:hAnsi="仿宋" w:eastAsia="仿宋"/>
          <w:b w:val="0"/>
        </w:rPr>
      </w:pPr>
      <w:bookmarkStart w:id="30" w:name="_Toc19542"/>
      <w:r>
        <w:rPr>
          <w:rStyle w:val="20"/>
          <w:rFonts w:hint="eastAsia" w:ascii="仿宋" w:hAnsi="仿宋" w:eastAsia="仿宋"/>
          <w:b w:val="0"/>
          <w:bCs w:val="0"/>
        </w:rPr>
        <w:t>四、</w:t>
      </w:r>
      <w:r>
        <w:rPr>
          <w:rFonts w:hint="eastAsia" w:ascii="仿宋" w:hAnsi="仿宋" w:eastAsia="仿宋"/>
          <w:b w:val="0"/>
        </w:rPr>
        <w:t>财</w:t>
      </w:r>
      <w:r>
        <w:rPr>
          <w:rStyle w:val="20"/>
          <w:rFonts w:hint="eastAsia" w:ascii="仿宋" w:hAnsi="仿宋" w:eastAsia="仿宋"/>
          <w:b w:val="0"/>
          <w:bCs w:val="0"/>
        </w:rPr>
        <w:t>政拨款收入支出决算总表</w:t>
      </w:r>
      <w:bookmarkEnd w:id="30"/>
    </w:p>
    <w:p>
      <w:pPr>
        <w:pStyle w:val="4"/>
        <w:rPr>
          <w:rStyle w:val="20"/>
          <w:rFonts w:ascii="仿宋" w:hAnsi="仿宋" w:eastAsia="仿宋"/>
          <w:b w:val="0"/>
          <w:bCs w:val="0"/>
        </w:rPr>
      </w:pPr>
      <w:bookmarkStart w:id="31" w:name="_Toc4126"/>
      <w:r>
        <w:rPr>
          <w:rStyle w:val="20"/>
          <w:rFonts w:hint="eastAsia" w:ascii="仿宋" w:hAnsi="仿宋" w:eastAsia="仿宋"/>
          <w:b w:val="0"/>
          <w:bCs w:val="0"/>
        </w:rPr>
        <w:t>五、</w:t>
      </w:r>
      <w:r>
        <w:rPr>
          <w:rFonts w:hint="eastAsia" w:ascii="仿宋" w:hAnsi="仿宋" w:eastAsia="仿宋"/>
          <w:b w:val="0"/>
        </w:rPr>
        <w:t>财</w:t>
      </w:r>
      <w:r>
        <w:rPr>
          <w:rStyle w:val="20"/>
          <w:rFonts w:hint="eastAsia" w:ascii="仿宋" w:hAnsi="仿宋" w:eastAsia="仿宋"/>
          <w:b w:val="0"/>
          <w:bCs w:val="0"/>
        </w:rPr>
        <w:t>政拨款支出决算明细表</w:t>
      </w:r>
      <w:bookmarkEnd w:id="31"/>
    </w:p>
    <w:p>
      <w:pPr>
        <w:pStyle w:val="4"/>
        <w:rPr>
          <w:rFonts w:ascii="仿宋" w:hAnsi="仿宋" w:eastAsia="仿宋"/>
        </w:rPr>
      </w:pPr>
      <w:bookmarkStart w:id="32" w:name="_Toc1134"/>
      <w:r>
        <w:rPr>
          <w:rStyle w:val="20"/>
          <w:rFonts w:hint="eastAsia" w:ascii="仿宋" w:hAnsi="仿宋" w:eastAsia="仿宋"/>
          <w:b w:val="0"/>
          <w:bCs w:val="0"/>
        </w:rPr>
        <w:t>六、</w:t>
      </w:r>
      <w:r>
        <w:rPr>
          <w:rFonts w:hint="eastAsia" w:ascii="仿宋" w:hAnsi="仿宋" w:eastAsia="仿宋"/>
          <w:b w:val="0"/>
        </w:rPr>
        <w:t>一</w:t>
      </w:r>
      <w:r>
        <w:rPr>
          <w:rStyle w:val="20"/>
          <w:rFonts w:hint="eastAsia" w:ascii="仿宋" w:hAnsi="仿宋" w:eastAsia="仿宋"/>
          <w:b w:val="0"/>
          <w:bCs w:val="0"/>
        </w:rPr>
        <w:t>般公共预算财政拨款支出决算表</w:t>
      </w:r>
      <w:bookmarkEnd w:id="32"/>
    </w:p>
    <w:p>
      <w:pPr>
        <w:pStyle w:val="4"/>
        <w:rPr>
          <w:rFonts w:ascii="仿宋" w:hAnsi="仿宋" w:eastAsia="仿宋"/>
        </w:rPr>
      </w:pPr>
      <w:bookmarkStart w:id="33" w:name="_Toc32306"/>
      <w:r>
        <w:rPr>
          <w:rStyle w:val="20"/>
          <w:rFonts w:hint="eastAsia" w:ascii="仿宋" w:hAnsi="仿宋" w:eastAsia="仿宋"/>
          <w:b w:val="0"/>
          <w:bCs w:val="0"/>
        </w:rPr>
        <w:t>七、</w:t>
      </w:r>
      <w:r>
        <w:rPr>
          <w:rFonts w:hint="eastAsia" w:ascii="仿宋" w:hAnsi="仿宋" w:eastAsia="仿宋"/>
          <w:b w:val="0"/>
        </w:rPr>
        <w:t>一</w:t>
      </w:r>
      <w:r>
        <w:rPr>
          <w:rStyle w:val="20"/>
          <w:rFonts w:hint="eastAsia" w:ascii="仿宋" w:hAnsi="仿宋" w:eastAsia="仿宋"/>
          <w:b w:val="0"/>
          <w:bCs w:val="0"/>
        </w:rPr>
        <w:t>般公共预算财政拨款支出决算明细表</w:t>
      </w:r>
      <w:bookmarkEnd w:id="33"/>
    </w:p>
    <w:p>
      <w:pPr>
        <w:pStyle w:val="4"/>
        <w:rPr>
          <w:rFonts w:ascii="仿宋" w:hAnsi="仿宋" w:eastAsia="仿宋"/>
        </w:rPr>
      </w:pPr>
      <w:bookmarkStart w:id="34" w:name="_Toc3005"/>
      <w:r>
        <w:rPr>
          <w:rStyle w:val="20"/>
          <w:rFonts w:hint="eastAsia" w:ascii="仿宋" w:hAnsi="仿宋" w:eastAsia="仿宋"/>
          <w:b w:val="0"/>
          <w:bCs w:val="0"/>
        </w:rPr>
        <w:t>八、</w:t>
      </w:r>
      <w:r>
        <w:rPr>
          <w:rFonts w:hint="eastAsia" w:ascii="仿宋" w:hAnsi="仿宋" w:eastAsia="仿宋"/>
          <w:b w:val="0"/>
        </w:rPr>
        <w:t>一</w:t>
      </w:r>
      <w:r>
        <w:rPr>
          <w:rStyle w:val="20"/>
          <w:rFonts w:hint="eastAsia" w:ascii="仿宋" w:hAnsi="仿宋" w:eastAsia="仿宋"/>
          <w:b w:val="0"/>
          <w:bCs w:val="0"/>
        </w:rPr>
        <w:t>般公共预算财政拨款基本支出决算表</w:t>
      </w:r>
      <w:bookmarkEnd w:id="34"/>
    </w:p>
    <w:p>
      <w:pPr>
        <w:pStyle w:val="4"/>
        <w:rPr>
          <w:rFonts w:ascii="仿宋" w:hAnsi="仿宋" w:eastAsia="仿宋"/>
        </w:rPr>
      </w:pPr>
      <w:bookmarkStart w:id="35" w:name="_Toc13766"/>
      <w:r>
        <w:rPr>
          <w:rStyle w:val="20"/>
          <w:rFonts w:hint="eastAsia" w:ascii="仿宋" w:hAnsi="仿宋" w:eastAsia="仿宋"/>
          <w:b w:val="0"/>
          <w:bCs w:val="0"/>
        </w:rPr>
        <w:t>九、</w:t>
      </w:r>
      <w:r>
        <w:rPr>
          <w:rFonts w:hint="eastAsia" w:ascii="仿宋" w:hAnsi="仿宋" w:eastAsia="仿宋"/>
          <w:b w:val="0"/>
        </w:rPr>
        <w:t>一</w:t>
      </w:r>
      <w:r>
        <w:rPr>
          <w:rStyle w:val="20"/>
          <w:rFonts w:hint="eastAsia" w:ascii="仿宋" w:hAnsi="仿宋" w:eastAsia="仿宋"/>
          <w:b w:val="0"/>
          <w:bCs w:val="0"/>
        </w:rPr>
        <w:t>般公共预算财政拨款项目支出决算表</w:t>
      </w:r>
      <w:bookmarkEnd w:id="35"/>
    </w:p>
    <w:p>
      <w:pPr>
        <w:pStyle w:val="4"/>
        <w:rPr>
          <w:rFonts w:ascii="仿宋" w:hAnsi="仿宋" w:eastAsia="仿宋"/>
        </w:rPr>
      </w:pPr>
      <w:bookmarkStart w:id="36" w:name="_Toc13853"/>
      <w:r>
        <w:rPr>
          <w:rStyle w:val="20"/>
          <w:rFonts w:hint="eastAsia" w:ascii="仿宋" w:hAnsi="仿宋" w:eastAsia="仿宋"/>
          <w:b w:val="0"/>
          <w:bCs w:val="0"/>
        </w:rPr>
        <w:t>十、</w:t>
      </w:r>
      <w:r>
        <w:rPr>
          <w:rFonts w:hint="eastAsia" w:ascii="仿宋" w:hAnsi="仿宋" w:eastAsia="仿宋"/>
          <w:b w:val="0"/>
        </w:rPr>
        <w:t>政</w:t>
      </w:r>
      <w:r>
        <w:rPr>
          <w:rStyle w:val="20"/>
          <w:rFonts w:hint="eastAsia" w:ascii="仿宋" w:hAnsi="仿宋" w:eastAsia="仿宋"/>
          <w:b w:val="0"/>
          <w:bCs w:val="0"/>
        </w:rPr>
        <w:t>府性基金预算财政拨款收入支出决算表</w:t>
      </w:r>
      <w:bookmarkEnd w:id="36"/>
    </w:p>
    <w:p>
      <w:pPr>
        <w:pStyle w:val="4"/>
        <w:rPr>
          <w:rFonts w:ascii="仿宋" w:hAnsi="仿宋" w:eastAsia="仿宋"/>
        </w:rPr>
      </w:pPr>
      <w:bookmarkStart w:id="37" w:name="_Toc5753"/>
      <w:r>
        <w:rPr>
          <w:rStyle w:val="20"/>
          <w:rFonts w:hint="eastAsia" w:ascii="仿宋" w:hAnsi="仿宋" w:eastAsia="仿宋"/>
          <w:b w:val="0"/>
          <w:bCs w:val="0"/>
        </w:rPr>
        <w:t>十一、</w:t>
      </w:r>
      <w:r>
        <w:rPr>
          <w:rFonts w:hint="eastAsia" w:ascii="仿宋" w:hAnsi="仿宋" w:eastAsia="仿宋"/>
          <w:b w:val="0"/>
        </w:rPr>
        <w:t>国</w:t>
      </w:r>
      <w:r>
        <w:rPr>
          <w:rStyle w:val="20"/>
          <w:rFonts w:hint="eastAsia" w:ascii="仿宋" w:hAnsi="仿宋" w:eastAsia="仿宋"/>
          <w:b w:val="0"/>
          <w:bCs w:val="0"/>
        </w:rPr>
        <w:t>有资本经营预算财政拨款收入支出决算表</w:t>
      </w:r>
      <w:bookmarkEnd w:id="37"/>
    </w:p>
    <w:p>
      <w:pPr>
        <w:pStyle w:val="4"/>
        <w:rPr>
          <w:rFonts w:ascii="仿宋" w:hAnsi="仿宋" w:eastAsia="仿宋"/>
        </w:rPr>
      </w:pPr>
      <w:bookmarkStart w:id="38" w:name="_Toc31534"/>
      <w:r>
        <w:rPr>
          <w:rStyle w:val="20"/>
          <w:rFonts w:hint="eastAsia" w:ascii="仿宋" w:hAnsi="仿宋" w:eastAsia="仿宋"/>
          <w:b w:val="0"/>
          <w:bCs w:val="0"/>
        </w:rPr>
        <w:t>十二、国有资本经营预算财政拨款支出决算表</w:t>
      </w:r>
      <w:bookmarkEnd w:id="38"/>
    </w:p>
    <w:p>
      <w:pPr>
        <w:pStyle w:val="4"/>
        <w:rPr>
          <w:rFonts w:eastAsia="仿宋"/>
        </w:rPr>
      </w:pPr>
      <w:bookmarkStart w:id="39" w:name="_Toc32222"/>
      <w:r>
        <w:rPr>
          <w:rStyle w:val="20"/>
          <w:rFonts w:hint="eastAsia" w:ascii="仿宋" w:hAnsi="仿宋" w:eastAsia="仿宋"/>
          <w:b w:val="0"/>
          <w:bCs w:val="0"/>
        </w:rPr>
        <w:t>十三、财政拨款“三公”经费支出决算表</w:t>
      </w:r>
      <w:bookmarkEnd w:id="39"/>
    </w:p>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iberation Sans">
    <w:altName w:val="华文中宋"/>
    <w:panose1 w:val="00000000000000000000"/>
    <w:charset w:val="00"/>
    <w:family w:val="swiss"/>
    <w:pitch w:val="default"/>
    <w:sig w:usb0="00000000" w:usb1="00000000" w:usb2="00000000" w:usb3="00000000" w:csb0="00040001" w:csb1="00000000"/>
  </w:font>
  <w:font w:name="Noto Sans CJK SC Regular">
    <w:panose1 w:val="020B0500000000000000"/>
    <w:charset w:val="86"/>
    <w:family w:val="auto"/>
    <w:pitch w:val="default"/>
    <w:sig w:usb0="30000003" w:usb1="2BDF3C10" w:usb2="00000016" w:usb3="00000000" w:csb0="602E0107"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6752"/>
      <w:docPartObj>
        <w:docPartGallery w:val="autotext"/>
      </w:docPartObj>
    </w:sdtPr>
    <w:sdtContent>
      <w:p>
        <w:pPr>
          <w:pStyle w:val="10"/>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FD50D2"/>
    <w:multiLevelType w:val="singleLevel"/>
    <w:tmpl w:val="CCFD50D2"/>
    <w:lvl w:ilvl="0" w:tentative="0">
      <w:start w:val="4"/>
      <w:numFmt w:val="chineseCounting"/>
      <w:suff w:val="space"/>
      <w:lvlText w:val="第%1部分"/>
      <w:lvlJc w:val="left"/>
      <w:rPr>
        <w:rFonts w:hint="eastAsia"/>
      </w:rPr>
    </w:lvl>
  </w:abstractNum>
  <w:abstractNum w:abstractNumId="1">
    <w:nsid w:val="3818A09A"/>
    <w:multiLevelType w:val="singleLevel"/>
    <w:tmpl w:val="3818A09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true"/>
  <w:embedTrueTypeFonts/>
  <w:saveSubsetFonts/>
  <w:bordersDoNotSurroundHeader w:val="true"/>
  <w:bordersDoNotSurroundFooter w:val="true"/>
  <w:hideSpellingErrors/>
  <w:documentProtection w:enforcement="0"/>
  <w:defaultTabStop w:val="420"/>
  <w:drawingGridHorizontalSpacing w:val="105"/>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c2ZGZiNzZiNDVlOGViOWVmM2JhOTY0NGJkNjUyYzgifQ=="/>
  </w:docVars>
  <w:rsids>
    <w:rsidRoot w:val="00624019"/>
    <w:rsid w:val="0000796C"/>
    <w:rsid w:val="0003235A"/>
    <w:rsid w:val="000517A9"/>
    <w:rsid w:val="00057908"/>
    <w:rsid w:val="000609FD"/>
    <w:rsid w:val="00072A16"/>
    <w:rsid w:val="0011587F"/>
    <w:rsid w:val="00136690"/>
    <w:rsid w:val="001701A6"/>
    <w:rsid w:val="001B13A6"/>
    <w:rsid w:val="001D335C"/>
    <w:rsid w:val="001E0A4F"/>
    <w:rsid w:val="002362EE"/>
    <w:rsid w:val="00266837"/>
    <w:rsid w:val="002A557F"/>
    <w:rsid w:val="0030455A"/>
    <w:rsid w:val="0032595D"/>
    <w:rsid w:val="00326B4C"/>
    <w:rsid w:val="00333873"/>
    <w:rsid w:val="00360709"/>
    <w:rsid w:val="004057F8"/>
    <w:rsid w:val="00425820"/>
    <w:rsid w:val="0045179C"/>
    <w:rsid w:val="00477357"/>
    <w:rsid w:val="0049349D"/>
    <w:rsid w:val="004E5F9E"/>
    <w:rsid w:val="004F5086"/>
    <w:rsid w:val="00522437"/>
    <w:rsid w:val="00536F45"/>
    <w:rsid w:val="00555BBB"/>
    <w:rsid w:val="00575313"/>
    <w:rsid w:val="00583121"/>
    <w:rsid w:val="00595C51"/>
    <w:rsid w:val="005A7B54"/>
    <w:rsid w:val="005B374B"/>
    <w:rsid w:val="005C227E"/>
    <w:rsid w:val="00624019"/>
    <w:rsid w:val="006353B9"/>
    <w:rsid w:val="006969B3"/>
    <w:rsid w:val="006A3D32"/>
    <w:rsid w:val="0070602F"/>
    <w:rsid w:val="007439FB"/>
    <w:rsid w:val="007467BA"/>
    <w:rsid w:val="00764095"/>
    <w:rsid w:val="0078374B"/>
    <w:rsid w:val="007A0CF6"/>
    <w:rsid w:val="007B5A58"/>
    <w:rsid w:val="00870E56"/>
    <w:rsid w:val="008D0032"/>
    <w:rsid w:val="008D4411"/>
    <w:rsid w:val="008E44D2"/>
    <w:rsid w:val="008E60ED"/>
    <w:rsid w:val="008F6DA2"/>
    <w:rsid w:val="0090700C"/>
    <w:rsid w:val="00914392"/>
    <w:rsid w:val="00992F40"/>
    <w:rsid w:val="00997525"/>
    <w:rsid w:val="009F00C5"/>
    <w:rsid w:val="00AD7B42"/>
    <w:rsid w:val="00AF43C5"/>
    <w:rsid w:val="00B04595"/>
    <w:rsid w:val="00B24487"/>
    <w:rsid w:val="00B46075"/>
    <w:rsid w:val="00B73A8F"/>
    <w:rsid w:val="00BD23B5"/>
    <w:rsid w:val="00BD4096"/>
    <w:rsid w:val="00BE280A"/>
    <w:rsid w:val="00BF10E8"/>
    <w:rsid w:val="00C154A7"/>
    <w:rsid w:val="00C2325C"/>
    <w:rsid w:val="00C243A7"/>
    <w:rsid w:val="00CC45B0"/>
    <w:rsid w:val="00CC50E9"/>
    <w:rsid w:val="00D0166C"/>
    <w:rsid w:val="00D367B0"/>
    <w:rsid w:val="00D52AD7"/>
    <w:rsid w:val="00D652E1"/>
    <w:rsid w:val="00D66330"/>
    <w:rsid w:val="00D82779"/>
    <w:rsid w:val="00DB45D5"/>
    <w:rsid w:val="00E0432F"/>
    <w:rsid w:val="00E369E2"/>
    <w:rsid w:val="00EA1E14"/>
    <w:rsid w:val="00EE4595"/>
    <w:rsid w:val="00F35731"/>
    <w:rsid w:val="00F5449D"/>
    <w:rsid w:val="00F611AB"/>
    <w:rsid w:val="00F81B04"/>
    <w:rsid w:val="00F9242B"/>
    <w:rsid w:val="00FC1C2F"/>
    <w:rsid w:val="054B2F85"/>
    <w:rsid w:val="05DE5AFF"/>
    <w:rsid w:val="06BD229F"/>
    <w:rsid w:val="07935F9B"/>
    <w:rsid w:val="07C136C9"/>
    <w:rsid w:val="085378CF"/>
    <w:rsid w:val="089A1160"/>
    <w:rsid w:val="09815806"/>
    <w:rsid w:val="0A51342A"/>
    <w:rsid w:val="0A5D1DCF"/>
    <w:rsid w:val="0BD87233"/>
    <w:rsid w:val="0DCD2DC7"/>
    <w:rsid w:val="0E465EE5"/>
    <w:rsid w:val="0F1E6866"/>
    <w:rsid w:val="0FE64614"/>
    <w:rsid w:val="12BD50B9"/>
    <w:rsid w:val="134C478E"/>
    <w:rsid w:val="15D60C87"/>
    <w:rsid w:val="16153B1B"/>
    <w:rsid w:val="17556281"/>
    <w:rsid w:val="17AA23CB"/>
    <w:rsid w:val="188822F6"/>
    <w:rsid w:val="18E15979"/>
    <w:rsid w:val="1901426D"/>
    <w:rsid w:val="19246D19"/>
    <w:rsid w:val="195A0A15"/>
    <w:rsid w:val="1C79702B"/>
    <w:rsid w:val="1C9553F8"/>
    <w:rsid w:val="1CCB593A"/>
    <w:rsid w:val="1D9B6A3E"/>
    <w:rsid w:val="1DB3762A"/>
    <w:rsid w:val="1DF04AA7"/>
    <w:rsid w:val="1E763007"/>
    <w:rsid w:val="20CF5E06"/>
    <w:rsid w:val="20FA1CCE"/>
    <w:rsid w:val="23955CDE"/>
    <w:rsid w:val="23C63453"/>
    <w:rsid w:val="24DE652B"/>
    <w:rsid w:val="253B4663"/>
    <w:rsid w:val="26804A23"/>
    <w:rsid w:val="27F59F5C"/>
    <w:rsid w:val="284301C5"/>
    <w:rsid w:val="2A102562"/>
    <w:rsid w:val="2A701253"/>
    <w:rsid w:val="2A742553"/>
    <w:rsid w:val="2AC46EA9"/>
    <w:rsid w:val="2AF07C9E"/>
    <w:rsid w:val="2BB86A0D"/>
    <w:rsid w:val="2C8922FF"/>
    <w:rsid w:val="2CF73565"/>
    <w:rsid w:val="2DB93136"/>
    <w:rsid w:val="2DBC0BAD"/>
    <w:rsid w:val="2F395375"/>
    <w:rsid w:val="31C44710"/>
    <w:rsid w:val="328624A5"/>
    <w:rsid w:val="32963820"/>
    <w:rsid w:val="32F6606D"/>
    <w:rsid w:val="33092244"/>
    <w:rsid w:val="333A0650"/>
    <w:rsid w:val="336B1D55"/>
    <w:rsid w:val="33BD24D6"/>
    <w:rsid w:val="346046F4"/>
    <w:rsid w:val="349F5B4F"/>
    <w:rsid w:val="35075A3D"/>
    <w:rsid w:val="35F66D93"/>
    <w:rsid w:val="35FE7713"/>
    <w:rsid w:val="372322E5"/>
    <w:rsid w:val="373553B6"/>
    <w:rsid w:val="37C30C14"/>
    <w:rsid w:val="39273424"/>
    <w:rsid w:val="3A72739B"/>
    <w:rsid w:val="3AC32FB7"/>
    <w:rsid w:val="3CB60D47"/>
    <w:rsid w:val="3DDFD299"/>
    <w:rsid w:val="3E42660A"/>
    <w:rsid w:val="3F291DC3"/>
    <w:rsid w:val="43BB3A2C"/>
    <w:rsid w:val="457C2402"/>
    <w:rsid w:val="49402663"/>
    <w:rsid w:val="4A6F58B8"/>
    <w:rsid w:val="4AFC24D8"/>
    <w:rsid w:val="4B7E5126"/>
    <w:rsid w:val="4D4D1254"/>
    <w:rsid w:val="4EE51018"/>
    <w:rsid w:val="4F5222C9"/>
    <w:rsid w:val="4FBA24A4"/>
    <w:rsid w:val="53532C6B"/>
    <w:rsid w:val="54271C7C"/>
    <w:rsid w:val="570F43DF"/>
    <w:rsid w:val="572E3F7F"/>
    <w:rsid w:val="57DF0B10"/>
    <w:rsid w:val="59F52DB4"/>
    <w:rsid w:val="5BE34B31"/>
    <w:rsid w:val="5C581780"/>
    <w:rsid w:val="5D936A36"/>
    <w:rsid w:val="5E46309F"/>
    <w:rsid w:val="5F06300F"/>
    <w:rsid w:val="5F65068C"/>
    <w:rsid w:val="5F7A755A"/>
    <w:rsid w:val="5FEB4543"/>
    <w:rsid w:val="608E5A3C"/>
    <w:rsid w:val="60A878D1"/>
    <w:rsid w:val="611D461D"/>
    <w:rsid w:val="6151253D"/>
    <w:rsid w:val="62B2525D"/>
    <w:rsid w:val="653F6B42"/>
    <w:rsid w:val="6618187B"/>
    <w:rsid w:val="68CA3301"/>
    <w:rsid w:val="68D777CC"/>
    <w:rsid w:val="6A815C41"/>
    <w:rsid w:val="6E273271"/>
    <w:rsid w:val="7480340D"/>
    <w:rsid w:val="75226272"/>
    <w:rsid w:val="75BB6B8A"/>
    <w:rsid w:val="765124F0"/>
    <w:rsid w:val="7742600D"/>
    <w:rsid w:val="7A00297D"/>
    <w:rsid w:val="7AA80FC8"/>
    <w:rsid w:val="7AD134BE"/>
    <w:rsid w:val="7ADD5C3E"/>
    <w:rsid w:val="7B06246A"/>
    <w:rsid w:val="7B786BEC"/>
    <w:rsid w:val="7BFFE41D"/>
    <w:rsid w:val="7CB17E02"/>
    <w:rsid w:val="7CE60F2F"/>
    <w:rsid w:val="7CEB7F62"/>
    <w:rsid w:val="7D0A41BC"/>
    <w:rsid w:val="7E0D5D12"/>
    <w:rsid w:val="7EB37C5E"/>
    <w:rsid w:val="7FCF551E"/>
    <w:rsid w:val="BF7BB98C"/>
    <w:rsid w:val="CBFE919C"/>
    <w:rsid w:val="DE6DA011"/>
    <w:rsid w:val="F375EAB6"/>
    <w:rsid w:val="F6FF4A73"/>
    <w:rsid w:val="FF5FD7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9"/>
    <w:pPr>
      <w:keepNext/>
      <w:keepLines/>
      <w:spacing w:before="260" w:after="260" w:line="416" w:lineRule="auto"/>
      <w:outlineLvl w:val="1"/>
    </w:pPr>
    <w:rPr>
      <w:rFonts w:ascii="Cambria" w:hAnsi="Cambria"/>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1"/>
    <w:qFormat/>
    <w:uiPriority w:val="0"/>
    <w:pPr>
      <w:spacing w:after="140" w:line="276" w:lineRule="auto"/>
    </w:pPr>
  </w:style>
  <w:style w:type="paragraph" w:styleId="5">
    <w:name w:val="caption"/>
    <w:basedOn w:val="1"/>
    <w:next w:val="1"/>
    <w:qFormat/>
    <w:uiPriority w:val="0"/>
    <w:pPr>
      <w:suppressLineNumbers/>
      <w:spacing w:before="120" w:after="120"/>
    </w:pPr>
    <w:rPr>
      <w:i/>
      <w:iCs/>
      <w:sz w:val="24"/>
    </w:rPr>
  </w:style>
  <w:style w:type="paragraph" w:styleId="6">
    <w:name w:val="index 6"/>
    <w:basedOn w:val="1"/>
    <w:next w:val="1"/>
    <w:qFormat/>
    <w:uiPriority w:val="0"/>
    <w:pPr>
      <w:ind w:left="2100"/>
      <w:jc w:val="center"/>
    </w:pPr>
  </w:style>
  <w:style w:type="paragraph" w:styleId="7">
    <w:name w:val="Body Text Indent"/>
    <w:basedOn w:val="1"/>
    <w:next w:val="8"/>
    <w:qFormat/>
    <w:uiPriority w:val="0"/>
    <w:pPr>
      <w:spacing w:after="120"/>
      <w:ind w:left="200" w:leftChars="200"/>
    </w:pPr>
    <w:rPr>
      <w:rFonts w:ascii="仿宋_GB2312"/>
      <w:szCs w:val="32"/>
    </w:rPr>
  </w:style>
  <w:style w:type="paragraph" w:styleId="8">
    <w:name w:val="Body Text First Indent 2"/>
    <w:basedOn w:val="7"/>
    <w:next w:val="6"/>
    <w:unhideWhenUsed/>
    <w:qFormat/>
    <w:uiPriority w:val="99"/>
    <w:pPr>
      <w:ind w:firstLine="420" w:firstLineChars="200"/>
    </w:pPr>
  </w:style>
  <w:style w:type="paragraph" w:styleId="9">
    <w:name w:val="Balloon Text"/>
    <w:basedOn w:val="1"/>
    <w:link w:val="29"/>
    <w:qFormat/>
    <w:uiPriority w:val="0"/>
    <w:rPr>
      <w:sz w:val="18"/>
      <w:szCs w:val="18"/>
    </w:rPr>
  </w:style>
  <w:style w:type="paragraph" w:styleId="10">
    <w:name w:val="footer"/>
    <w:basedOn w:val="1"/>
    <w:link w:val="28"/>
    <w:qFormat/>
    <w:uiPriority w:val="99"/>
    <w:pPr>
      <w:tabs>
        <w:tab w:val="center" w:pos="4153"/>
        <w:tab w:val="right" w:pos="8306"/>
      </w:tabs>
      <w:snapToGrid w:val="0"/>
      <w:jc w:val="left"/>
    </w:pPr>
    <w:rPr>
      <w:sz w:val="18"/>
      <w:szCs w:val="18"/>
    </w:rPr>
  </w:style>
  <w:style w:type="paragraph" w:styleId="11">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List"/>
    <w:basedOn w:val="2"/>
    <w:qFormat/>
    <w:uiPriority w:val="0"/>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customStyle="1" w:styleId="19">
    <w:name w:val="标题 1 Char"/>
    <w:basedOn w:val="17"/>
    <w:link w:val="3"/>
    <w:qFormat/>
    <w:uiPriority w:val="9"/>
    <w:rPr>
      <w:b/>
      <w:bCs/>
      <w:kern w:val="44"/>
      <w:sz w:val="44"/>
      <w:szCs w:val="44"/>
    </w:rPr>
  </w:style>
  <w:style w:type="character" w:customStyle="1" w:styleId="20">
    <w:name w:val="标题 2 Char"/>
    <w:basedOn w:val="17"/>
    <w:link w:val="4"/>
    <w:qFormat/>
    <w:uiPriority w:val="9"/>
    <w:rPr>
      <w:rFonts w:ascii="Cambria" w:hAnsi="Cambria" w:eastAsia="宋体" w:cs="Times New Roman"/>
      <w:b/>
      <w:bCs/>
      <w:sz w:val="32"/>
      <w:szCs w:val="32"/>
    </w:rPr>
  </w:style>
  <w:style w:type="character" w:customStyle="1" w:styleId="21">
    <w:name w:val="正文文本 Char"/>
    <w:basedOn w:val="17"/>
    <w:link w:val="2"/>
    <w:qFormat/>
    <w:uiPriority w:val="99"/>
    <w:rPr>
      <w:rFonts w:ascii="Calibri" w:hAnsi="Calibri"/>
      <w:kern w:val="2"/>
      <w:sz w:val="21"/>
      <w:szCs w:val="24"/>
    </w:rPr>
  </w:style>
  <w:style w:type="character" w:customStyle="1" w:styleId="22">
    <w:name w:val="默认段落字体1"/>
    <w:qFormat/>
    <w:uiPriority w:val="0"/>
  </w:style>
  <w:style w:type="paragraph" w:customStyle="1" w:styleId="23">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24">
    <w:name w:val="Index"/>
    <w:basedOn w:val="1"/>
    <w:qFormat/>
    <w:uiPriority w:val="0"/>
    <w:pPr>
      <w:suppressLineNumbers/>
    </w:pPr>
  </w:style>
  <w:style w:type="paragraph" w:styleId="25">
    <w:name w:val="List Paragraph"/>
    <w:basedOn w:val="1"/>
    <w:qFormat/>
    <w:uiPriority w:val="34"/>
    <w:pPr>
      <w:ind w:firstLine="420" w:firstLineChars="200"/>
    </w:p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页眉 Char"/>
    <w:basedOn w:val="17"/>
    <w:link w:val="11"/>
    <w:qFormat/>
    <w:uiPriority w:val="0"/>
    <w:rPr>
      <w:rFonts w:ascii="Calibri" w:hAnsi="Calibri"/>
      <w:kern w:val="2"/>
      <w:sz w:val="18"/>
      <w:szCs w:val="18"/>
    </w:rPr>
  </w:style>
  <w:style w:type="character" w:customStyle="1" w:styleId="28">
    <w:name w:val="页脚 Char"/>
    <w:basedOn w:val="17"/>
    <w:link w:val="10"/>
    <w:qFormat/>
    <w:uiPriority w:val="99"/>
    <w:rPr>
      <w:rFonts w:ascii="Calibri" w:hAnsi="Calibri"/>
      <w:kern w:val="2"/>
      <w:sz w:val="18"/>
      <w:szCs w:val="18"/>
    </w:rPr>
  </w:style>
  <w:style w:type="character" w:customStyle="1" w:styleId="29">
    <w:name w:val="批注框文本 Char"/>
    <w:basedOn w:val="17"/>
    <w:link w:val="9"/>
    <w:qFormat/>
    <w:uiPriority w:val="0"/>
    <w:rPr>
      <w:rFonts w:ascii="Calibri" w:hAnsi="Calibri"/>
      <w:kern w:val="2"/>
      <w:sz w:val="18"/>
      <w:szCs w:val="18"/>
    </w:rPr>
  </w:style>
  <w:style w:type="character" w:customStyle="1" w:styleId="30">
    <w:name w:val="font61"/>
    <w:basedOn w:val="17"/>
    <w:qFormat/>
    <w:uiPriority w:val="0"/>
    <w:rPr>
      <w:rFonts w:hint="eastAsia" w:ascii="微软雅黑" w:hAnsi="微软雅黑" w:eastAsia="微软雅黑" w:cs="微软雅黑"/>
      <w:i/>
      <w:iCs/>
      <w:color w:val="000000"/>
      <w:sz w:val="16"/>
      <w:szCs w:val="16"/>
      <w:u w:val="none"/>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28640766058089"/>
          <c:y val="0.0608694343314614"/>
          <c:w val="0.597087378640777"/>
          <c:h val="0.78695652173913"/>
        </c:manualLayout>
      </c:layout>
      <c:barChart>
        <c:barDir val="col"/>
        <c:grouping val="clustered"/>
        <c:varyColors val="false"/>
        <c:ser>
          <c:idx val="0"/>
          <c:order val="0"/>
          <c:tx>
            <c:strRef>
              <c:f>Sheet1!$A$2</c:f>
              <c:strCache>
                <c:ptCount val="1"/>
                <c:pt idx="0">
                  <c:v>收、支总计</c:v>
                </c:pt>
              </c:strCache>
            </c:strRef>
          </c:tx>
          <c:invertIfNegative val="false"/>
          <c:dLbls>
            <c:dLbl>
              <c:idx val="0"/>
              <c:layout>
                <c:manualLayout>
                  <c:x val="0.0040074900358667"/>
                  <c:y val="-0.125736026802167"/>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8075738053585"/>
                  <c:y val="-0.075345344571526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Sheet1!$B$1:$E$1</c:f>
              <c:strCache>
                <c:ptCount val="2"/>
                <c:pt idx="0">
                  <c:v>2022年</c:v>
                </c:pt>
                <c:pt idx="1">
                  <c:v>2023年</c:v>
                </c:pt>
              </c:strCache>
            </c:strRef>
          </c:cat>
          <c:val>
            <c:numRef>
              <c:f>Sheet1!$B$2:$E$2</c:f>
              <c:numCache>
                <c:formatCode>General</c:formatCode>
                <c:ptCount val="4"/>
                <c:pt idx="0">
                  <c:v>18468.79</c:v>
                </c:pt>
                <c:pt idx="1">
                  <c:v>18655.9</c:v>
                </c:pt>
              </c:numCache>
            </c:numRef>
          </c:val>
        </c:ser>
        <c:dLbls>
          <c:showLegendKey val="false"/>
          <c:showVal val="true"/>
          <c:showCatName val="false"/>
          <c:showSerName val="false"/>
          <c:showPercent val="false"/>
          <c:showBubbleSize val="false"/>
        </c:dLbls>
        <c:gapWidth val="150"/>
        <c:axId val="200288896"/>
        <c:axId val="108138880"/>
      </c:barChart>
      <c:catAx>
        <c:axId val="200288896"/>
        <c:scaling>
          <c:orientation val="minMax"/>
        </c:scaling>
        <c:delete val="false"/>
        <c:axPos val="b"/>
        <c:numFmt formatCode="General" sourceLinked="true"/>
        <c:majorTickMark val="in"/>
        <c:minorTickMark val="none"/>
        <c:tickLblPos val="low"/>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08138880"/>
        <c:crosses val="autoZero"/>
        <c:auto val="true"/>
        <c:lblAlgn val="ctr"/>
        <c:lblOffset val="100"/>
        <c:tickLblSkip val="1"/>
        <c:noMultiLvlLbl val="false"/>
      </c:catAx>
      <c:valAx>
        <c:axId val="108138880"/>
        <c:scaling>
          <c:orientation val="minMax"/>
        </c:scaling>
        <c:delete val="false"/>
        <c:axPos val="l"/>
        <c:majorGridlines/>
        <c:numFmt formatCode="General" sourceLinked="true"/>
        <c:majorTickMark val="in"/>
        <c:minorTickMark val="none"/>
        <c:tickLblPos val="nextTo"/>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00288896"/>
        <c:crosses val="autoZero"/>
        <c:crossBetween val="between"/>
      </c:valAx>
      <c:spPr>
        <a:solidFill>
          <a:schemeClr val="bg1"/>
        </a:solidFill>
        <a:ln>
          <a:noFill/>
        </a:ln>
        <a:effectLst/>
      </c:spPr>
    </c:plotArea>
    <c:legend>
      <c:legendPos val="r"/>
      <c:layout>
        <c:manualLayout>
          <c:xMode val="edge"/>
          <c:yMode val="edge"/>
          <c:x val="0.752427184466019"/>
          <c:y val="0.456521739130435"/>
          <c:w val="0.237864077669903"/>
          <c:h val="0.0913043478260872"/>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本年收入</c:v>
                </c:pt>
              </c:strCache>
            </c:strRef>
          </c:tx>
          <c:explosion val="0"/>
          <c:dPt>
            <c:idx val="0"/>
            <c:bubble3D val="false"/>
          </c:dPt>
          <c:dPt>
            <c:idx val="1"/>
            <c:bubble3D val="false"/>
          </c:dPt>
          <c:dPt>
            <c:idx val="2"/>
            <c:bubble3D val="false"/>
          </c:dPt>
          <c:dLbls>
            <c:dLbl>
              <c:idx val="0"/>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2"/>
              <c:layout>
                <c:manualLayout>
                  <c:x val="0.068610870426653"/>
                  <c:y val="0.013884920731657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Sheet1!$A$2:$A$4</c:f>
              <c:strCache>
                <c:ptCount val="3"/>
                <c:pt idx="0">
                  <c:v>一般公共预算财政拨款收入</c:v>
                </c:pt>
                <c:pt idx="1">
                  <c:v>政府性基金预算财政拨款收入</c:v>
                </c:pt>
                <c:pt idx="2">
                  <c:v>其他收入</c:v>
                </c:pt>
              </c:strCache>
            </c:strRef>
          </c:cat>
          <c:val>
            <c:numRef>
              <c:f>Sheet1!$B$2:$B$4</c:f>
              <c:numCache>
                <c:formatCode>0.00%</c:formatCode>
                <c:ptCount val="3"/>
                <c:pt idx="0">
                  <c:v>0.9818</c:v>
                </c:pt>
                <c:pt idx="1">
                  <c:v>0.0176</c:v>
                </c:pt>
                <c:pt idx="2">
                  <c:v>0.000600000000000001</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本年支出</c:v>
                </c:pt>
              </c:strCache>
            </c:strRef>
          </c:tx>
          <c:explosion val="0"/>
          <c:dPt>
            <c:idx val="0"/>
            <c:bubble3D val="false"/>
          </c:dPt>
          <c:dPt>
            <c:idx val="1"/>
            <c:bubble3D val="false"/>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Sheet1!$A$2:$A$3</c:f>
              <c:strCache>
                <c:ptCount val="2"/>
                <c:pt idx="0">
                  <c:v>基本支出</c:v>
                </c:pt>
                <c:pt idx="1">
                  <c:v>项目支出</c:v>
                </c:pt>
              </c:strCache>
            </c:strRef>
          </c:cat>
          <c:val>
            <c:numRef>
              <c:f>Sheet1!$B$2:$B$3</c:f>
              <c:numCache>
                <c:formatCode>0.00%</c:formatCode>
                <c:ptCount val="2"/>
                <c:pt idx="0">
                  <c:v>0.675200000000001</c:v>
                </c:pt>
                <c:pt idx="1">
                  <c:v>0.3248</c:v>
                </c:pt>
              </c:numCache>
            </c:numRef>
          </c:val>
        </c:ser>
        <c:dLbls>
          <c:showLegendKey val="false"/>
          <c:showVal val="tru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收、支总计</c:v>
                </c:pt>
              </c:strCache>
            </c:strRef>
          </c:tx>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2022年</c:v>
                </c:pt>
                <c:pt idx="1">
                  <c:v>2023年</c:v>
                </c:pt>
              </c:strCache>
            </c:strRef>
          </c:cat>
          <c:val>
            <c:numRef>
              <c:f>Sheet1!$B$2:$B$3</c:f>
              <c:numCache>
                <c:formatCode>General</c:formatCode>
                <c:ptCount val="2"/>
                <c:pt idx="0">
                  <c:v>18449.28</c:v>
                </c:pt>
                <c:pt idx="1">
                  <c:v>18615.07</c:v>
                </c:pt>
              </c:numCache>
            </c:numRef>
          </c:val>
        </c:ser>
        <c:dLbls>
          <c:showLegendKey val="false"/>
          <c:showVal val="true"/>
          <c:showCatName val="false"/>
          <c:showSerName val="false"/>
          <c:showPercent val="false"/>
          <c:showBubbleSize val="false"/>
        </c:dLbls>
        <c:gapWidth val="150"/>
        <c:axId val="108380160"/>
        <c:axId val="108381696"/>
      </c:barChart>
      <c:catAx>
        <c:axId val="108380160"/>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08381696"/>
        <c:crosses val="autoZero"/>
        <c:auto val="true"/>
        <c:lblAlgn val="ctr"/>
        <c:lblOffset val="100"/>
        <c:noMultiLvlLbl val="false"/>
      </c:catAx>
      <c:valAx>
        <c:axId val="108381696"/>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08380160"/>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一般公共预算财政拨款支出</c:v>
                </c:pt>
              </c:strCache>
            </c:strRef>
          </c:tx>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2022年</c:v>
                </c:pt>
                <c:pt idx="1">
                  <c:v>2023年</c:v>
                </c:pt>
              </c:strCache>
            </c:strRef>
          </c:cat>
          <c:val>
            <c:numRef>
              <c:f>Sheet1!$B$2:$B$3</c:f>
              <c:numCache>
                <c:formatCode>General</c:formatCode>
                <c:ptCount val="2"/>
                <c:pt idx="0">
                  <c:v>18325.53</c:v>
                </c:pt>
                <c:pt idx="1">
                  <c:v>18139.43</c:v>
                </c:pt>
              </c:numCache>
            </c:numRef>
          </c:val>
        </c:ser>
        <c:dLbls>
          <c:showLegendKey val="false"/>
          <c:showVal val="true"/>
          <c:showCatName val="false"/>
          <c:showSerName val="false"/>
          <c:showPercent val="false"/>
          <c:showBubbleSize val="false"/>
        </c:dLbls>
        <c:gapWidth val="150"/>
        <c:axId val="108438656"/>
        <c:axId val="108440192"/>
      </c:barChart>
      <c:catAx>
        <c:axId val="108438656"/>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08440192"/>
        <c:crosses val="autoZero"/>
        <c:auto val="true"/>
        <c:lblAlgn val="ctr"/>
        <c:lblOffset val="100"/>
        <c:noMultiLvlLbl val="false"/>
      </c:catAx>
      <c:valAx>
        <c:axId val="108440192"/>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08438656"/>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一般公共预算财政拨款支出</c:v>
                </c:pt>
              </c:strCache>
            </c:strRef>
          </c:tx>
          <c:explosion val="0"/>
          <c:dPt>
            <c:idx val="0"/>
            <c:bubble3D val="false"/>
          </c:dPt>
          <c:dPt>
            <c:idx val="1"/>
            <c:bubble3D val="false"/>
          </c:dPt>
          <c:dPt>
            <c:idx val="2"/>
            <c:bubble3D val="false"/>
          </c:dPt>
          <c:dPt>
            <c:idx val="3"/>
            <c:bubble3D val="false"/>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Sheet1!$A$2:$A$5</c:f>
              <c:strCache>
                <c:ptCount val="4"/>
                <c:pt idx="0">
                  <c:v>公共安全（类）支出</c:v>
                </c:pt>
                <c:pt idx="1">
                  <c:v>社会保障和就业（类）支出</c:v>
                </c:pt>
                <c:pt idx="2">
                  <c:v>卫生健康（类）支出</c:v>
                </c:pt>
                <c:pt idx="3">
                  <c:v>住房保障（类）支出</c:v>
                </c:pt>
              </c:strCache>
            </c:strRef>
          </c:cat>
          <c:val>
            <c:numRef>
              <c:f>Sheet1!$B$2:$B$5</c:f>
              <c:numCache>
                <c:formatCode>0.00%</c:formatCode>
                <c:ptCount val="4"/>
                <c:pt idx="0">
                  <c:v>0.750300000000001</c:v>
                </c:pt>
                <c:pt idx="1" c:formatCode="0%">
                  <c:v>0.12</c:v>
                </c:pt>
                <c:pt idx="2">
                  <c:v>0.0243</c:v>
                </c:pt>
                <c:pt idx="3">
                  <c:v>0.1054</c:v>
                </c:pt>
              </c:numCache>
            </c:numRef>
          </c:val>
        </c:ser>
        <c:dLbls>
          <c:showLegendKey val="false"/>
          <c:showVal val="tru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explosion val="0"/>
          <c:dPt>
            <c:idx val="0"/>
            <c:bubble3D val="false"/>
          </c:dPt>
          <c:dPt>
            <c:idx val="1"/>
            <c:bubble3D val="false"/>
          </c:dPt>
          <c:dPt>
            <c:idx val="2"/>
            <c:bubble3D val="false"/>
          </c:dPt>
          <c:dLbls>
            <c:dLbl>
              <c:idx val="0"/>
              <c:layout>
                <c:manualLayout>
                  <c:x val="0.0351359703923356"/>
                  <c:y val="0.0048375222447039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60697987035271"/>
                  <c:y val="0.0047835661409196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formatCode="0.00%">
                  <c:v>0.9944</c:v>
                </c:pt>
                <c:pt idx="2" c:formatCode="0.00%">
                  <c:v>0.0056</c:v>
                </c:pt>
              </c:numCache>
            </c:numRef>
          </c:val>
        </c:ser>
        <c:dLbls>
          <c:showLegendKey val="false"/>
          <c:showVal val="tru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68</Pages>
  <Words>31822</Words>
  <Characters>36730</Characters>
  <Lines>118</Lines>
  <Paragraphs>91</Paragraphs>
  <TotalTime>13</TotalTime>
  <ScaleCrop>false</ScaleCrop>
  <LinksUpToDate>false</LinksUpToDate>
  <CharactersWithSpaces>37500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2013-01-01T01:06:00Z</dcterms:created>
  <dc:creator>user</dc:creator>
  <cp:lastModifiedBy> </cp:lastModifiedBy>
  <cp:lastPrinted>2024-09-24T09:18:00Z</cp:lastPrinted>
  <dcterms:modified xsi:type="dcterms:W3CDTF">2024-10-09T19:58:08Z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1D2A376126FE45ACBD672EF68C8EFE5E_12</vt:lpwstr>
  </property>
</Properties>
</file>