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pStyle w:val="6"/>
        <w:spacing w:before="93"/>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rPr>
          <w:rFonts w:ascii="方正小标宋简体" w:hAnsi="方正小标宋简体" w:eastAsia="方正小标宋简体" w:cs="方正小标宋简体"/>
          <w:sz w:val="72"/>
          <w:szCs w:val="72"/>
        </w:rPr>
      </w:pPr>
      <w:bookmarkStart w:id="1" w:name="_Toc15396597"/>
      <w:bookmarkStart w:id="2" w:name="_Toc15377425"/>
      <w:bookmarkStart w:id="3" w:name="_Toc15377193"/>
      <w:bookmarkStart w:id="4" w:name="_Toc15378441"/>
      <w:bookmarkStart w:id="5"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bookmarkEnd w:id="0"/>
    <w:p>
      <w:pPr>
        <w:adjustRightInd w:val="0"/>
        <w:snapToGrid w:val="0"/>
        <w:spacing w:line="360" w:lineRule="auto"/>
        <w:jc w:val="center"/>
        <w:rPr>
          <w:rFonts w:ascii="方正小标宋简体" w:hAnsi="方正小标宋简体" w:eastAsia="方正小标宋简体" w:cs="方正小标宋简体"/>
          <w:sz w:val="72"/>
          <w:szCs w:val="72"/>
        </w:rPr>
      </w:pPr>
      <w:bookmarkStart w:id="6" w:name="_Toc15904"/>
      <w:bookmarkStart w:id="7" w:name="_Toc15377194"/>
      <w:bookmarkStart w:id="8" w:name="_Toc15396476"/>
      <w:bookmarkStart w:id="9" w:name="_Toc15306268"/>
      <w:bookmarkStart w:id="10" w:name="_Toc15396598"/>
      <w:bookmarkStart w:id="11" w:name="_Toc15377426"/>
      <w:bookmarkStart w:id="12" w:name="_Toc15378442"/>
      <w:r>
        <w:rPr>
          <w:rFonts w:hint="eastAsia" w:ascii="方正小标宋简体" w:hAnsi="方正小标宋简体" w:eastAsia="方正小标宋简体" w:cs="方正小标宋简体"/>
          <w:sz w:val="72"/>
          <w:szCs w:val="72"/>
        </w:rPr>
        <w:t>广元市人民检察院</w:t>
      </w:r>
      <w:bookmarkEnd w:id="6"/>
    </w:p>
    <w:p>
      <w:pPr>
        <w:adjustRightInd w:val="0"/>
        <w:snapToGrid w:val="0"/>
        <w:spacing w:line="360" w:lineRule="auto"/>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2"/>
        <w:rPr>
          <w:sz w:val="32"/>
          <w:szCs w:val="32"/>
        </w:rPr>
      </w:pPr>
      <w:r>
        <w:rPr>
          <w:rFonts w:hint="eastAsia"/>
          <w:sz w:val="32"/>
          <w:szCs w:val="32"/>
        </w:rPr>
        <w:t>公开时间：2023年</w:t>
      </w:r>
      <w:r>
        <w:rPr>
          <w:sz w:val="32"/>
          <w:szCs w:val="32"/>
        </w:rPr>
        <w:t>10</w:t>
      </w:r>
      <w:r>
        <w:rPr>
          <w:rFonts w:hint="eastAsia"/>
          <w:sz w:val="32"/>
          <w:szCs w:val="32"/>
        </w:rPr>
        <w:t>月</w:t>
      </w:r>
      <w:r>
        <w:rPr>
          <w:sz w:val="32"/>
          <w:szCs w:val="32"/>
        </w:rPr>
        <w:t>14</w:t>
      </w:r>
      <w:r>
        <w:rPr>
          <w:rFonts w:hint="eastAsia"/>
          <w:sz w:val="32"/>
          <w:szCs w:val="32"/>
        </w:rPr>
        <w:t>日</w:t>
      </w:r>
    </w:p>
    <w:sdt>
      <w:sdtPr>
        <w:rPr>
          <w:rFonts w:ascii="宋体" w:hAnsi="宋体"/>
        </w:rPr>
        <w:id w:val="147457468"/>
        <w:docPartObj>
          <w:docPartGallery w:val="Table of Contents"/>
          <w:docPartUnique/>
        </w:docPartObj>
      </w:sdtPr>
      <w:sdtEndPr>
        <w:rPr>
          <w:rFonts w:hint="eastAsia" w:ascii="Times New Roman" w:hAnsi="Times New Roman"/>
        </w:rPr>
      </w:sdtEndPr>
      <w:sdtContent>
        <w:p>
          <w:pPr>
            <w:jc w:val="center"/>
          </w:pPr>
        </w:p>
        <w:p>
          <w:pPr>
            <w:pStyle w:val="12"/>
            <w:tabs>
              <w:tab w:val="right" w:leader="dot" w:pos="8306"/>
              <w:tab w:val="clear" w:pos="8296"/>
            </w:tabs>
          </w:pPr>
          <w:r>
            <w:rPr>
              <w:rFonts w:hint="eastAsia"/>
            </w:rPr>
            <w:fldChar w:fldCharType="begin"/>
          </w:r>
          <w:r>
            <w:rPr>
              <w:rFonts w:hint="eastAsia"/>
            </w:rPr>
            <w:instrText xml:space="preserve">TOC \o "1-3" \h \u </w:instrText>
          </w:r>
          <w:r>
            <w:rPr>
              <w:rFonts w:hint="eastAsia"/>
            </w:rPr>
            <w:fldChar w:fldCharType="separate"/>
          </w:r>
          <w:r>
            <w:fldChar w:fldCharType="begin"/>
          </w:r>
          <w:r>
            <w:instrText xml:space="preserve"> HYPERLINK \l "_Toc16730" </w:instrText>
          </w:r>
          <w:r>
            <w:fldChar w:fldCharType="separate"/>
          </w:r>
          <w:r>
            <w:rPr>
              <w:rFonts w:hint="eastAsia" w:ascii="黑体" w:hAnsi="黑体" w:eastAsia="黑体"/>
            </w:rPr>
            <w:t>第一部分 单位概况</w:t>
          </w:r>
          <w:r>
            <w:tab/>
          </w:r>
          <w:r>
            <w:fldChar w:fldCharType="begin"/>
          </w:r>
          <w:r>
            <w:instrText xml:space="preserve"> PAGEREF _Toc16730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"_Toc16533" </w:instrText>
          </w:r>
          <w:r>
            <w:fldChar w:fldCharType="separate"/>
          </w:r>
          <w:r>
            <w:rPr>
              <w:rFonts w:hint="eastAsia" w:ascii="黑体" w:hAnsi="黑体" w:eastAsia="黑体"/>
            </w:rPr>
            <w:t>一、主要职责</w:t>
          </w:r>
          <w:r>
            <w:tab/>
          </w:r>
          <w:r>
            <w:fldChar w:fldCharType="begin"/>
          </w:r>
          <w:r>
            <w:instrText xml:space="preserve"> PAGEREF _Toc16533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"_Toc11584" </w:instrText>
          </w:r>
          <w:r>
            <w:fldChar w:fldCharType="separate"/>
          </w:r>
          <w:r>
            <w:rPr>
              <w:rFonts w:hint="eastAsia" w:ascii="黑体" w:hAnsi="黑体" w:eastAsia="黑体"/>
            </w:rPr>
            <w:t>二、机构设置</w:t>
          </w:r>
          <w:r>
            <w:tab/>
          </w:r>
          <w:r>
            <w:fldChar w:fldCharType="begin"/>
          </w:r>
          <w:r>
            <w:instrText xml:space="preserve"> PAGEREF _Toc11584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"_Toc6872"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_Toc6872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"_Toc7990" </w:instrText>
          </w:r>
          <w:r>
            <w:fldChar w:fldCharType="separate"/>
          </w:r>
          <w:r>
            <w:rPr>
              <w:rFonts w:ascii="黑体" w:hAnsi="黑体" w:eastAsia="黑体"/>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_Toc7990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"_Toc13023" </w:instrText>
          </w:r>
          <w:r>
            <w:fldChar w:fldCharType="separate"/>
          </w:r>
          <w:r>
            <w:rPr>
              <w:rFonts w:ascii="黑体" w:hAnsi="黑体" w:eastAsia="黑体"/>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_Toc13023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"_Toc15624" </w:instrText>
          </w:r>
          <w:r>
            <w:fldChar w:fldCharType="separate"/>
          </w:r>
          <w:r>
            <w:rPr>
              <w:rFonts w:ascii="黑体" w:hAnsi="黑体" w:eastAsia="黑体"/>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_Toc15624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"_Toc6345"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_Toc6345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"_Toc31171"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_Toc31171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"_Toc4435"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_Toc4435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"_Toc5535"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_Toc5535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"_Toc30836"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_Toc30836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"_Toc20151" </w:instrText>
          </w:r>
          <w:r>
            <w:fldChar w:fldCharType="separate"/>
          </w:r>
          <w:r>
            <w:rPr>
              <w:rFonts w:hint="eastAsia" w:ascii="黑体" w:hAnsi="黑体" w:eastAsia="黑体"/>
            </w:rPr>
            <w:t>九、国有资本经营预算支出决算情况说明</w:t>
          </w:r>
          <w:r>
            <w:tab/>
          </w:r>
          <w:r>
            <w:fldChar w:fldCharType="begin"/>
          </w:r>
          <w:r>
            <w:instrText xml:space="preserve"> PAGEREF _Toc20151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"_Toc9694" </w:instrText>
          </w:r>
          <w:r>
            <w:fldChar w:fldCharType="separate"/>
          </w:r>
          <w:r>
            <w:rPr>
              <w:rFonts w:hint="eastAsia" w:ascii="黑体" w:hAnsi="黑体" w:eastAsia="黑体"/>
            </w:rPr>
            <w:t>十、其他重要事项的情况说明</w:t>
          </w:r>
          <w:r>
            <w:tab/>
          </w:r>
          <w:r>
            <w:fldChar w:fldCharType="begin"/>
          </w:r>
          <w:r>
            <w:instrText xml:space="preserve"> PAGEREF _Toc9694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"_Toc20487"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_Toc20487 \h </w:instrText>
          </w:r>
          <w:r>
            <w:fldChar w:fldCharType="separate"/>
          </w:r>
          <w:r>
            <w:t>11</w:t>
          </w:r>
          <w:r>
            <w:fldChar w:fldCharType="end"/>
          </w:r>
          <w:r>
            <w:fldChar w:fldCharType="end"/>
          </w:r>
        </w:p>
        <w:p>
          <w:pPr>
            <w:pStyle w:val="12"/>
            <w:tabs>
              <w:tab w:val="right" w:leader="dot" w:pos="8306"/>
              <w:tab w:val="clear" w:pos="8296"/>
            </w:tabs>
          </w:pPr>
          <w:r>
            <w:fldChar w:fldCharType="begin"/>
          </w:r>
          <w:r>
            <w:instrText xml:space="preserve"> HYPERLINK \l "_Toc19042"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_Toc19042 \h </w:instrText>
          </w:r>
          <w:r>
            <w:fldChar w:fldCharType="separate"/>
          </w:r>
          <w:r>
            <w:t>14</w:t>
          </w:r>
          <w:r>
            <w:fldChar w:fldCharType="end"/>
          </w:r>
          <w:r>
            <w:fldChar w:fldCharType="end"/>
          </w:r>
        </w:p>
        <w:p>
          <w:pPr>
            <w:pStyle w:val="12"/>
            <w:tabs>
              <w:tab w:val="right" w:leader="dot" w:pos="8306"/>
              <w:tab w:val="clear" w:pos="8296"/>
            </w:tabs>
          </w:pPr>
          <w:r>
            <w:fldChar w:fldCharType="begin"/>
          </w:r>
          <w:r>
            <w:instrText xml:space="preserve"> HYPERLINK \l "_Toc6593"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_Toc6593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"_Toc13701" </w:instrText>
          </w:r>
          <w:r>
            <w:fldChar w:fldCharType="separate"/>
          </w:r>
          <w:r>
            <w:rPr>
              <w:rFonts w:hint="eastAsia" w:ascii="仿宋" w:hAnsi="仿宋" w:eastAsia="仿宋"/>
            </w:rPr>
            <w:t>一、收入支出决算总表</w:t>
          </w:r>
          <w:r>
            <w:tab/>
          </w:r>
          <w:r>
            <w:fldChar w:fldCharType="begin"/>
          </w:r>
          <w:r>
            <w:instrText xml:space="preserve"> PAGEREF _Toc13701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"_Toc13571" </w:instrText>
          </w:r>
          <w:r>
            <w:fldChar w:fldCharType="separate"/>
          </w:r>
          <w:r>
            <w:rPr>
              <w:rFonts w:hint="eastAsia" w:ascii="仿宋" w:hAnsi="仿宋" w:eastAsia="仿宋"/>
            </w:rPr>
            <w:t>二、收入决算表</w:t>
          </w:r>
          <w:r>
            <w:tab/>
          </w:r>
          <w:r>
            <w:fldChar w:fldCharType="begin"/>
          </w:r>
          <w:r>
            <w:instrText xml:space="preserve"> PAGEREF _Toc13571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"_Toc11477" </w:instrText>
          </w:r>
          <w:r>
            <w:fldChar w:fldCharType="separate"/>
          </w:r>
          <w:r>
            <w:rPr>
              <w:rFonts w:hint="eastAsia" w:ascii="仿宋" w:hAnsi="仿宋" w:eastAsia="仿宋"/>
            </w:rPr>
            <w:t>三、支出决算表</w:t>
          </w:r>
          <w:r>
            <w:tab/>
          </w:r>
          <w:r>
            <w:fldChar w:fldCharType="begin"/>
          </w:r>
          <w:r>
            <w:instrText xml:space="preserve"> PAGEREF _Toc11477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"_Toc22124" </w:instrText>
          </w:r>
          <w:r>
            <w:fldChar w:fldCharType="separate"/>
          </w:r>
          <w:r>
            <w:rPr>
              <w:rFonts w:hint="eastAsia" w:ascii="仿宋" w:hAnsi="仿宋" w:eastAsia="仿宋"/>
            </w:rPr>
            <w:t>四、财政拨款收入支出决算总表</w:t>
          </w:r>
          <w:r>
            <w:tab/>
          </w:r>
          <w:r>
            <w:fldChar w:fldCharType="begin"/>
          </w:r>
          <w:r>
            <w:instrText xml:space="preserve"> PAGEREF _Toc22124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"_Toc2740" </w:instrText>
          </w:r>
          <w:r>
            <w:fldChar w:fldCharType="separate"/>
          </w:r>
          <w:r>
            <w:rPr>
              <w:rFonts w:hint="eastAsia" w:ascii="仿宋" w:hAnsi="仿宋" w:eastAsia="仿宋"/>
            </w:rPr>
            <w:t>五、财政拨款支出决算明细表</w:t>
          </w:r>
          <w:r>
            <w:tab/>
          </w:r>
          <w:r>
            <w:fldChar w:fldCharType="begin"/>
          </w:r>
          <w:r>
            <w:instrText xml:space="preserve"> PAGEREF _Toc2740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"_Toc28194" </w:instrText>
          </w:r>
          <w:r>
            <w:fldChar w:fldCharType="separate"/>
          </w:r>
          <w:r>
            <w:rPr>
              <w:rFonts w:hint="eastAsia" w:ascii="仿宋" w:hAnsi="仿宋" w:eastAsia="仿宋"/>
            </w:rPr>
            <w:t>六、一般公共预算财政拨款支出决算表</w:t>
          </w:r>
          <w:r>
            <w:tab/>
          </w:r>
          <w:r>
            <w:fldChar w:fldCharType="begin"/>
          </w:r>
          <w:r>
            <w:instrText xml:space="preserve"> PAGEREF _Toc28194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"_Toc18617" </w:instrText>
          </w:r>
          <w:r>
            <w:fldChar w:fldCharType="separate"/>
          </w:r>
          <w:r>
            <w:rPr>
              <w:rFonts w:hint="eastAsia" w:ascii="仿宋" w:hAnsi="仿宋" w:eastAsia="仿宋"/>
            </w:rPr>
            <w:t>七、一般公共预算财政拨款支出决算明细表</w:t>
          </w:r>
          <w:r>
            <w:tab/>
          </w:r>
          <w:r>
            <w:fldChar w:fldCharType="begin"/>
          </w:r>
          <w:r>
            <w:instrText xml:space="preserve"> PAGEREF _Toc18617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"_Toc22855" </w:instrText>
          </w:r>
          <w:r>
            <w:fldChar w:fldCharType="separate"/>
          </w:r>
          <w:r>
            <w:rPr>
              <w:rFonts w:hint="eastAsia" w:ascii="仿宋" w:hAnsi="仿宋" w:eastAsia="仿宋"/>
            </w:rPr>
            <w:t>八、一般公共预算财政拨款基本支出决算表</w:t>
          </w:r>
          <w:r>
            <w:tab/>
          </w:r>
          <w:r>
            <w:fldChar w:fldCharType="begin"/>
          </w:r>
          <w:r>
            <w:instrText xml:space="preserve"> PAGEREF _Toc22855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"_Toc31187" </w:instrText>
          </w:r>
          <w:r>
            <w:fldChar w:fldCharType="separate"/>
          </w:r>
          <w:r>
            <w:rPr>
              <w:rFonts w:hint="eastAsia" w:ascii="仿宋" w:hAnsi="仿宋" w:eastAsia="仿宋"/>
            </w:rPr>
            <w:t>九、一般公共预算财政拨款项目支出决算表</w:t>
          </w:r>
          <w:r>
            <w:tab/>
          </w:r>
          <w:r>
            <w:fldChar w:fldCharType="begin"/>
          </w:r>
          <w:r>
            <w:instrText xml:space="preserve"> PAGEREF _Toc31187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"_Toc18424" </w:instrText>
          </w:r>
          <w:r>
            <w:fldChar w:fldCharType="separate"/>
          </w:r>
          <w:r>
            <w:rPr>
              <w:rFonts w:hint="eastAsia" w:ascii="仿宋" w:hAnsi="仿宋" w:eastAsia="仿宋"/>
            </w:rPr>
            <w:t>十、政府性基金预算财政拨款收入支出决算表</w:t>
          </w:r>
          <w:r>
            <w:tab/>
          </w:r>
          <w:r>
            <w:fldChar w:fldCharType="begin"/>
          </w:r>
          <w:r>
            <w:instrText xml:space="preserve"> PAGEREF _Toc18424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"_Toc6871" </w:instrText>
          </w:r>
          <w:r>
            <w:fldChar w:fldCharType="separate"/>
          </w:r>
          <w:r>
            <w:rPr>
              <w:rFonts w:hint="eastAsia" w:ascii="仿宋" w:hAnsi="仿宋" w:eastAsia="仿宋"/>
            </w:rPr>
            <w:t>十一、国有资本经营预算财政拨款收入支出决算表</w:t>
          </w:r>
          <w:r>
            <w:tab/>
          </w:r>
          <w:r>
            <w:fldChar w:fldCharType="begin"/>
          </w:r>
          <w:r>
            <w:instrText xml:space="preserve"> PAGEREF _Toc6871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"_Toc17475" </w:instrText>
          </w:r>
          <w:r>
            <w:fldChar w:fldCharType="separate"/>
          </w:r>
          <w:r>
            <w:rPr>
              <w:rFonts w:hint="eastAsia" w:ascii="仿宋" w:hAnsi="仿宋" w:eastAsia="仿宋"/>
            </w:rPr>
            <w:t>十二、国有资本经营预算财政拨款支出决算表</w:t>
          </w:r>
          <w:r>
            <w:tab/>
          </w:r>
          <w:r>
            <w:fldChar w:fldCharType="begin"/>
          </w:r>
          <w:r>
            <w:instrText xml:space="preserve"> PAGEREF _Toc17475 \h </w:instrText>
          </w:r>
          <w:r>
            <w:fldChar w:fldCharType="separate"/>
          </w:r>
          <w:r>
            <w:t>52</w:t>
          </w:r>
          <w:r>
            <w:fldChar w:fldCharType="end"/>
          </w:r>
          <w:r>
            <w:fldChar w:fldCharType="end"/>
          </w:r>
        </w:p>
        <w:p>
          <w:pPr>
            <w:pStyle w:val="13"/>
            <w:tabs>
              <w:tab w:val="right" w:leader="dot" w:pos="8306"/>
              <w:tab w:val="clear" w:pos="8296"/>
            </w:tabs>
          </w:pPr>
          <w:r>
            <w:fldChar w:fldCharType="begin"/>
          </w:r>
          <w:r>
            <w:instrText xml:space="preserve"> HYPERLINK \l "_Toc5147" </w:instrText>
          </w:r>
          <w:r>
            <w:fldChar w:fldCharType="separate"/>
          </w:r>
          <w:r>
            <w:rPr>
              <w:rFonts w:hint="eastAsia" w:ascii="仿宋" w:hAnsi="仿宋" w:eastAsia="仿宋"/>
            </w:rPr>
            <w:t>十三、财政拨款“三公”经费支出决算表</w:t>
          </w:r>
          <w:r>
            <w:tab/>
          </w:r>
          <w:r>
            <w:fldChar w:fldCharType="begin"/>
          </w:r>
          <w:r>
            <w:instrText xml:space="preserve"> PAGEREF _Toc5147 \h </w:instrText>
          </w:r>
          <w:r>
            <w:fldChar w:fldCharType="separate"/>
          </w:r>
          <w:r>
            <w:t>52</w:t>
          </w:r>
          <w:r>
            <w:fldChar w:fldCharType="end"/>
          </w:r>
          <w:r>
            <w:fldChar w:fldCharType="end"/>
          </w:r>
        </w:p>
        <w:p>
          <w:r>
            <w:rPr>
              <w:rFonts w:hint="eastAsia"/>
            </w:rPr>
            <w:fldChar w:fldCharType="end"/>
          </w:r>
        </w:p>
      </w:sdtContent>
    </w:sdt>
    <w:p/>
    <w:p>
      <w:pPr>
        <w:pStyle w:val="3"/>
        <w:jc w:val="center"/>
        <w:rPr>
          <w:rFonts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3" w:name="_Toc15377196"/>
      <w:bookmarkStart w:id="14" w:name="_Toc15396599"/>
    </w:p>
    <w:p>
      <w:pPr>
        <w:pStyle w:val="3"/>
        <w:jc w:val="center"/>
        <w:rPr>
          <w:rStyle w:val="20"/>
          <w:rFonts w:ascii="黑体" w:hAnsi="黑体" w:eastAsia="黑体"/>
          <w:b/>
          <w:bCs w:val="0"/>
        </w:rPr>
      </w:pPr>
      <w:bookmarkStart w:id="15" w:name="_Toc16730"/>
      <w:r>
        <w:rPr>
          <w:rFonts w:hint="eastAsia" w:ascii="黑体" w:hAnsi="黑体" w:eastAsia="黑体"/>
          <w:b w:val="0"/>
        </w:rPr>
        <w:t>第一部分 单位</w:t>
      </w:r>
      <w:r>
        <w:rPr>
          <w:rStyle w:val="20"/>
          <w:rFonts w:hint="eastAsia" w:ascii="黑体" w:hAnsi="黑体" w:eastAsia="黑体"/>
          <w:b w:val="0"/>
          <w:bCs w:val="0"/>
        </w:rPr>
        <w:t>概况</w:t>
      </w:r>
      <w:bookmarkEnd w:id="13"/>
      <w:bookmarkEnd w:id="14"/>
      <w:bookmarkEnd w:id="15"/>
    </w:p>
    <w:p>
      <w:pPr>
        <w:pStyle w:val="4"/>
        <w:numPr>
          <w:ilvl w:val="0"/>
          <w:numId w:val="1"/>
        </w:numPr>
        <w:rPr>
          <w:rStyle w:val="21"/>
          <w:rFonts w:ascii="黑体" w:hAnsi="黑体" w:eastAsia="黑体"/>
          <w:b w:val="0"/>
          <w:bCs w:val="0"/>
        </w:rPr>
      </w:pPr>
      <w:bookmarkStart w:id="16" w:name="_Toc16533"/>
      <w:bookmarkStart w:id="17" w:name="_Toc15377197"/>
      <w:bookmarkStart w:id="18" w:name="_Toc15396600"/>
      <w:r>
        <w:rPr>
          <w:rStyle w:val="21"/>
          <w:rFonts w:hint="eastAsia" w:ascii="黑体" w:hAnsi="黑体" w:eastAsia="黑体"/>
          <w:b w:val="0"/>
          <w:bCs w:val="0"/>
        </w:rPr>
        <w:t>主要职责</w:t>
      </w:r>
      <w:bookmarkEnd w:id="16"/>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广元市人民检察院是国家的法律监督机关，领导全市检察工作，对市人民代表大会及其常务委员会负责并报告工作。其主要职责是：依法行使检察权，按照最高人民检察院和省人民检察院确定的工作方针，部署全市检察工作任务；领导全市人民检察院的侦查工作以及对刑事犯罪案件的审查批捕（决定）逮捕、提起公诉等工作；依法对刑事诉讼、民事审判和行政诉讼实行法律监督，依法向人民法院提起抗诉；受理单位和个人的举报、控告、申诉以及犯罪嫌疑人的自首；研究国家机关工作人员职务犯罪预防和全市检察工作中的具体法律应用问题；规划和指导全市检察机关的检察技术、信息化和计划财务装备工作；负责全市检察机关的队伍建设、思想政治等工作；负责其他应当由市人民检察院承办的事项。</w:t>
      </w:r>
    </w:p>
    <w:p>
      <w:pPr>
        <w:pStyle w:val="4"/>
        <w:rPr>
          <w:rFonts w:ascii="黑体" w:hAnsi="黑体" w:eastAsia="黑体"/>
          <w:b w:val="0"/>
        </w:rPr>
      </w:pPr>
      <w:bookmarkStart w:id="19" w:name="_Toc11584"/>
      <w:r>
        <w:rPr>
          <w:rFonts w:hint="eastAsia" w:ascii="黑体" w:hAnsi="黑体" w:eastAsia="黑体"/>
          <w:b w:val="0"/>
        </w:rPr>
        <w:t>二、机构设置</w:t>
      </w:r>
      <w:bookmarkEnd w:id="19"/>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广元市人民检察院下属二级单位0个，其中：行政单位1个，其他事业单位1个，分别是四川省广元市人民检察院机关，设有内设机构19个；广元市人民检察院检察官培训中心（未独立核算）。</w:t>
      </w:r>
    </w:p>
    <w:bookmarkEnd w:id="17"/>
    <w:bookmarkEnd w:id="18"/>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0"/>
          <w:rFonts w:ascii="黑体" w:hAnsi="黑体" w:eastAsia="黑体"/>
          <w:b w:val="0"/>
          <w:bCs/>
        </w:rPr>
      </w:pPr>
      <w:bookmarkStart w:id="20" w:name="_Toc15396602"/>
      <w:bookmarkStart w:id="21" w:name="_Toc6872"/>
      <w:bookmarkStart w:id="22" w:name="_Toc15377204"/>
      <w:r>
        <w:rPr>
          <w:rFonts w:hint="eastAsia" w:ascii="黑体" w:hAnsi="黑体" w:eastAsia="黑体"/>
          <w:b w:val="0"/>
        </w:rPr>
        <w:t>第二部分 2023年度</w:t>
      </w:r>
      <w:r>
        <w:rPr>
          <w:rStyle w:val="20"/>
          <w:rFonts w:hint="eastAsia" w:ascii="黑体" w:hAnsi="黑体" w:eastAsia="黑体"/>
          <w:b w:val="0"/>
          <w:bCs/>
        </w:rPr>
        <w:t>单位决算情况说明</w:t>
      </w:r>
      <w:bookmarkEnd w:id="20"/>
      <w:bookmarkEnd w:id="21"/>
      <w:bookmarkEnd w:id="22"/>
    </w:p>
    <w:p/>
    <w:p>
      <w:pPr>
        <w:pStyle w:val="31"/>
        <w:numPr>
          <w:ilvl w:val="0"/>
          <w:numId w:val="2"/>
        </w:numPr>
        <w:spacing w:line="600" w:lineRule="exact"/>
        <w:ind w:firstLineChars="0"/>
        <w:outlineLvl w:val="1"/>
        <w:rPr>
          <w:rStyle w:val="21"/>
          <w:rFonts w:ascii="黑体" w:hAnsi="黑体" w:eastAsia="黑体"/>
          <w:b w:val="0"/>
        </w:rPr>
      </w:pPr>
      <w:bookmarkStart w:id="23" w:name="_Toc7990"/>
      <w:bookmarkStart w:id="24" w:name="_Toc15377205"/>
      <w:bookmarkStart w:id="25" w:name="_Toc15396603"/>
      <w:r>
        <w:rPr>
          <w:rFonts w:hint="eastAsia" w:ascii="黑体" w:hAnsi="黑体" w:eastAsia="黑体"/>
          <w:sz w:val="32"/>
          <w:szCs w:val="32"/>
        </w:rPr>
        <w:t>收</w:t>
      </w:r>
      <w:r>
        <w:rPr>
          <w:rStyle w:val="21"/>
          <w:rFonts w:hint="eastAsia" w:ascii="黑体" w:hAnsi="黑体" w:eastAsia="黑体"/>
          <w:b w:val="0"/>
        </w:rPr>
        <w:t>入支出决算总体情况说明</w:t>
      </w:r>
      <w:bookmarkEnd w:id="23"/>
      <w:bookmarkEnd w:id="24"/>
      <w:bookmarkEnd w:id="25"/>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2023年度收、支总计均为3742.15万元。与2022年度相比，收、支总计各减少343.52万元，下降8.4%。主要变动原因是2023年度项目支出减少。</w:t>
      </w:r>
    </w:p>
    <w:p>
      <w:pPr>
        <w:pStyle w:val="2"/>
        <w:outlineLvl w:val="9"/>
      </w:pPr>
      <w:r>
        <w:drawing>
          <wp:inline distT="0" distB="0" distL="0" distR="0">
            <wp:extent cx="4826000" cy="2743200"/>
            <wp:effectExtent l="0" t="0" r="1270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31"/>
        <w:numPr>
          <w:ilvl w:val="0"/>
          <w:numId w:val="2"/>
        </w:numPr>
        <w:spacing w:line="600" w:lineRule="exact"/>
        <w:ind w:firstLineChars="0"/>
        <w:outlineLvl w:val="1"/>
        <w:rPr>
          <w:rStyle w:val="21"/>
          <w:rFonts w:ascii="黑体" w:hAnsi="黑体" w:eastAsia="黑体"/>
          <w:b w:val="0"/>
        </w:rPr>
      </w:pPr>
      <w:bookmarkStart w:id="26" w:name="_Toc15396604"/>
      <w:bookmarkStart w:id="27" w:name="_Toc15377206"/>
      <w:bookmarkStart w:id="28" w:name="_Toc13023"/>
      <w:r>
        <w:rPr>
          <w:rFonts w:hint="eastAsia" w:ascii="黑体" w:hAnsi="黑体" w:eastAsia="黑体"/>
          <w:sz w:val="32"/>
          <w:szCs w:val="32"/>
        </w:rPr>
        <w:t>收</w:t>
      </w:r>
      <w:r>
        <w:rPr>
          <w:rStyle w:val="21"/>
          <w:rFonts w:hint="eastAsia" w:ascii="黑体" w:hAnsi="黑体" w:eastAsia="黑体"/>
          <w:b w:val="0"/>
        </w:rPr>
        <w:t>入决算情况说明</w:t>
      </w:r>
      <w:bookmarkEnd w:id="26"/>
      <w:bookmarkEnd w:id="27"/>
      <w:bookmarkEnd w:id="28"/>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2023年度本年收入合计3731.87万元，其中：一般公共预算财政拨款收入3731.63万元，占100%；其他收入0.24万元，占0%。</w:t>
      </w:r>
    </w:p>
    <w:p>
      <w:pPr>
        <w:pStyle w:val="2"/>
        <w:outlineLvl w:val="9"/>
      </w:pPr>
      <w:r>
        <w:drawing>
          <wp:inline distT="0" distB="0" distL="0" distR="0">
            <wp:extent cx="4826000" cy="2628900"/>
            <wp:effectExtent l="0" t="0" r="1270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w:t>
      </w:r>
    </w:p>
    <w:p>
      <w:pPr>
        <w:pStyle w:val="31"/>
        <w:numPr>
          <w:ilvl w:val="0"/>
          <w:numId w:val="2"/>
        </w:numPr>
        <w:spacing w:line="600" w:lineRule="exact"/>
        <w:ind w:firstLineChars="0"/>
        <w:outlineLvl w:val="1"/>
        <w:rPr>
          <w:rStyle w:val="21"/>
          <w:rFonts w:ascii="黑体" w:hAnsi="黑体" w:eastAsia="黑体"/>
          <w:b w:val="0"/>
        </w:rPr>
      </w:pPr>
      <w:bookmarkStart w:id="29" w:name="_Toc15377207"/>
      <w:bookmarkStart w:id="30" w:name="_Toc15624"/>
      <w:bookmarkStart w:id="31" w:name="_Toc15396605"/>
      <w:r>
        <w:rPr>
          <w:rFonts w:hint="eastAsia" w:ascii="黑体" w:hAnsi="黑体" w:eastAsia="黑体"/>
          <w:sz w:val="32"/>
          <w:szCs w:val="32"/>
        </w:rPr>
        <w:t>支</w:t>
      </w:r>
      <w:r>
        <w:rPr>
          <w:rStyle w:val="21"/>
          <w:rFonts w:hint="eastAsia" w:ascii="黑体" w:hAnsi="黑体" w:eastAsia="黑体"/>
          <w:b w:val="0"/>
        </w:rPr>
        <w:t>出决算情况说明</w:t>
      </w:r>
      <w:bookmarkEnd w:id="29"/>
      <w:bookmarkEnd w:id="30"/>
      <w:bookmarkEnd w:id="31"/>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2023年度本年支出合计3731.63万元，其中：基本支出3118.81万元，占83.6%；项目支出612.82万元，占16.4%。</w:t>
      </w:r>
    </w:p>
    <w:p>
      <w:pPr>
        <w:pStyle w:val="2"/>
        <w:outlineLvl w:val="9"/>
      </w:pPr>
      <w:r>
        <w:drawing>
          <wp:inline distT="0" distB="0" distL="0" distR="0">
            <wp:extent cx="4731385" cy="2743200"/>
            <wp:effectExtent l="0" t="0" r="1206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21"/>
          <w:rFonts w:ascii="黑体" w:hAnsi="黑体" w:eastAsia="黑体"/>
          <w:b w:val="0"/>
        </w:rPr>
      </w:pPr>
      <w:bookmarkStart w:id="32" w:name="_Toc6345"/>
      <w:bookmarkStart w:id="33" w:name="_Toc15377208"/>
      <w:bookmarkStart w:id="34" w:name="_Toc15396606"/>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32"/>
      <w:bookmarkEnd w:id="33"/>
      <w:bookmarkEnd w:id="34"/>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2023年度财政拨款收、支总计均为3731.63万元。与2022年度相比，财政拨款收、支总计各减少343.75万元，下降8.4%。主要变动原因是2023年度项目支出减少。</w:t>
      </w:r>
    </w:p>
    <w:p>
      <w:pPr>
        <w:pStyle w:val="2"/>
        <w:outlineLvl w:val="9"/>
      </w:pPr>
      <w:r>
        <w:drawing>
          <wp:inline distT="0" distB="0" distL="0" distR="0">
            <wp:extent cx="4826000" cy="2743200"/>
            <wp:effectExtent l="0" t="0" r="1270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（图4：财政拨款收、支决算总计变动情况）</w:t>
      </w:r>
    </w:p>
    <w:p>
      <w:pPr>
        <w:spacing w:line="600" w:lineRule="exact"/>
        <w:ind w:firstLine="640" w:firstLineChars="200"/>
        <w:outlineLvl w:val="1"/>
        <w:rPr>
          <w:rStyle w:val="21"/>
          <w:rFonts w:ascii="黑体" w:hAnsi="黑体" w:eastAsia="黑体"/>
          <w:b w:val="0"/>
        </w:rPr>
      </w:pPr>
      <w:bookmarkStart w:id="35" w:name="_Toc31171"/>
      <w:bookmarkStart w:id="36" w:name="_Toc15396607"/>
      <w:bookmarkStart w:id="37" w:name="_Toc15377209"/>
      <w:r>
        <w:rPr>
          <w:rFonts w:hint="eastAsia" w:ascii="黑体" w:hAnsi="黑体" w:eastAsia="黑体"/>
          <w:sz w:val="32"/>
          <w:szCs w:val="32"/>
        </w:rPr>
        <w:t>五、</w:t>
      </w:r>
      <w:r>
        <w:rPr>
          <w:rFonts w:hint="eastAsia" w:ascii="黑体" w:hAnsi="黑体" w:eastAsia="黑体"/>
          <w:b/>
          <w:sz w:val="32"/>
          <w:szCs w:val="32"/>
        </w:rPr>
        <w:t>一</w:t>
      </w:r>
      <w:r>
        <w:rPr>
          <w:rStyle w:val="21"/>
          <w:rFonts w:hint="eastAsia" w:ascii="黑体" w:hAnsi="黑体" w:eastAsia="黑体"/>
          <w:b w:val="0"/>
        </w:rPr>
        <w:t>般公共预算财政拨款支出决算情况说明</w:t>
      </w:r>
      <w:bookmarkEnd w:id="35"/>
      <w:bookmarkEnd w:id="36"/>
      <w:bookmarkEnd w:id="37"/>
    </w:p>
    <w:p>
      <w:pPr>
        <w:spacing w:line="600" w:lineRule="exact"/>
        <w:ind w:firstLine="642" w:firstLineChars="200"/>
        <w:rPr>
          <w:rFonts w:ascii="仿宋" w:hAnsi="仿宋" w:eastAsia="仿宋"/>
          <w:b/>
          <w:sz w:val="32"/>
          <w:szCs w:val="32"/>
        </w:rPr>
      </w:pPr>
      <w:bookmarkStart w:id="38" w:name="_Toc15377210"/>
      <w:r>
        <w:rPr>
          <w:rFonts w:hint="eastAsia" w:ascii="仿宋" w:hAnsi="仿宋" w:eastAsia="仿宋"/>
          <w:b/>
          <w:sz w:val="32"/>
          <w:szCs w:val="32"/>
        </w:rPr>
        <w:t>（一）一般公共预算财政拨款支出决算总体情况</w:t>
      </w:r>
      <w:bookmarkEnd w:id="38"/>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2023年度一般公共预算财政拨款支出3731.63万元，占本年支出合计的100%。与2022年度相比，一般公共预算财政拨款支出减少343.75万元，下降8.4%。主要变动原因是2023年度项目支出减少。</w:t>
      </w:r>
    </w:p>
    <w:p>
      <w:pPr>
        <w:pStyle w:val="2"/>
        <w:outlineLvl w:val="9"/>
      </w:pPr>
      <w:r>
        <w:drawing>
          <wp:inline distT="0" distB="0" distL="0" distR="0">
            <wp:extent cx="4826000" cy="2743200"/>
            <wp:effectExtent l="0" t="0" r="1270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2" w:firstLineChars="200"/>
        <w:rPr>
          <w:rFonts w:ascii="仿宋" w:hAnsi="仿宋" w:eastAsia="仿宋"/>
          <w:b/>
          <w:sz w:val="32"/>
          <w:szCs w:val="32"/>
        </w:rPr>
      </w:pPr>
      <w:bookmarkStart w:id="39" w:name="_Toc15377211"/>
      <w:r>
        <w:rPr>
          <w:rFonts w:hint="eastAsia" w:ascii="仿宋" w:hAnsi="仿宋" w:eastAsia="仿宋"/>
          <w:b/>
          <w:sz w:val="32"/>
          <w:szCs w:val="32"/>
        </w:rPr>
        <w:t>（二）一般公共预算财政拨款支出决算结构情况</w:t>
      </w:r>
      <w:bookmarkEnd w:id="39"/>
    </w:p>
    <w:p>
      <w:pPr>
        <w:spacing w:line="600" w:lineRule="exact"/>
        <w:ind w:firstLine="640"/>
        <w:rPr>
          <w:rFonts w:ascii="仿宋_GB2312" w:hAnsi="Calibri" w:eastAsia="仿宋_GB2312" w:cs="仿宋"/>
          <w:sz w:val="32"/>
          <w:szCs w:val="32"/>
        </w:rPr>
      </w:pPr>
      <w:r>
        <w:rPr>
          <w:rFonts w:hint="eastAsia" w:ascii="仿宋_GB2312" w:hAnsi="Calibri" w:eastAsia="仿宋_GB2312" w:cs="仿宋"/>
          <w:sz w:val="32"/>
          <w:szCs w:val="32"/>
        </w:rPr>
        <w:t>2023年度一般公共预算财政拨款支出3731.63万元，主要用于以下方面</w:t>
      </w:r>
      <w:r>
        <w:rPr>
          <w:rFonts w:hint="eastAsia" w:ascii="仿宋_GB2312" w:hAnsi="Calibri" w:eastAsia="仿宋_GB2312" w:cs="仿宋"/>
          <w:sz w:val="32"/>
          <w:szCs w:val="32"/>
          <w:lang w:eastAsia="zh-CN"/>
        </w:rPr>
        <w:t>：</w:t>
      </w:r>
      <w:r>
        <w:rPr>
          <w:rFonts w:hint="eastAsia" w:ascii="仿宋_GB2312" w:hAnsi="Calibri" w:eastAsia="仿宋_GB2312" w:cs="仿宋"/>
          <w:b/>
          <w:bCs/>
          <w:sz w:val="32"/>
          <w:szCs w:val="32"/>
        </w:rPr>
        <w:t>公共安全支出</w:t>
      </w:r>
      <w:r>
        <w:rPr>
          <w:rFonts w:hint="eastAsia" w:ascii="仿宋_GB2312" w:hAnsi="Calibri" w:eastAsia="仿宋_GB2312" w:cs="仿宋"/>
          <w:sz w:val="32"/>
          <w:szCs w:val="32"/>
        </w:rPr>
        <w:t>3165.92万元，占84.8%；</w:t>
      </w:r>
      <w:r>
        <w:rPr>
          <w:rFonts w:hint="eastAsia" w:ascii="仿宋_GB2312" w:hAnsi="Calibri" w:eastAsia="仿宋_GB2312" w:cs="仿宋"/>
          <w:b/>
          <w:bCs/>
          <w:sz w:val="32"/>
          <w:szCs w:val="32"/>
        </w:rPr>
        <w:t>社会保障和就业支出</w:t>
      </w:r>
      <w:r>
        <w:rPr>
          <w:rFonts w:hint="eastAsia" w:ascii="仿宋_GB2312" w:hAnsi="Calibri" w:eastAsia="仿宋_GB2312" w:cs="仿宋"/>
          <w:sz w:val="32"/>
          <w:szCs w:val="32"/>
        </w:rPr>
        <w:t>280.03万元，占7.5%；</w:t>
      </w:r>
      <w:r>
        <w:rPr>
          <w:rFonts w:hint="eastAsia" w:ascii="仿宋_GB2312" w:hAnsi="Calibri" w:eastAsia="仿宋_GB2312" w:cs="仿宋"/>
          <w:b/>
          <w:bCs/>
          <w:sz w:val="32"/>
          <w:szCs w:val="32"/>
        </w:rPr>
        <w:t>卫生健康支出</w:t>
      </w:r>
      <w:r>
        <w:rPr>
          <w:rFonts w:hint="eastAsia" w:ascii="仿宋_GB2312" w:hAnsi="Calibri" w:eastAsia="仿宋_GB2312" w:cs="仿宋"/>
          <w:sz w:val="32"/>
          <w:szCs w:val="32"/>
        </w:rPr>
        <w:t>76.69万元，占2.1%；</w:t>
      </w:r>
      <w:r>
        <w:rPr>
          <w:rFonts w:hint="eastAsia" w:ascii="仿宋_GB2312" w:hAnsi="Calibri" w:eastAsia="仿宋_GB2312" w:cs="仿宋"/>
          <w:b/>
          <w:bCs/>
          <w:sz w:val="32"/>
          <w:szCs w:val="32"/>
        </w:rPr>
        <w:t>住房保障支出</w:t>
      </w:r>
      <w:r>
        <w:rPr>
          <w:rFonts w:hint="eastAsia" w:ascii="仿宋_GB2312" w:hAnsi="Calibri" w:eastAsia="仿宋_GB2312" w:cs="仿宋"/>
          <w:sz w:val="32"/>
          <w:szCs w:val="32"/>
        </w:rPr>
        <w:t>208.99万元，占5.6%。</w:t>
      </w:r>
    </w:p>
    <w:p>
      <w:pPr>
        <w:pStyle w:val="2"/>
        <w:outlineLvl w:val="9"/>
      </w:pPr>
      <w:r>
        <w:drawing>
          <wp:inline distT="0" distB="0" distL="0" distR="0">
            <wp:extent cx="4572000" cy="2543175"/>
            <wp:effectExtent l="0" t="0" r="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 w:firstLineChars="200"/>
        <w:rPr>
          <w:rFonts w:ascii="仿宋" w:hAnsi="仿宋" w:eastAsia="仿宋"/>
          <w:sz w:val="32"/>
          <w:szCs w:val="32"/>
        </w:rPr>
      </w:pPr>
    </w:p>
    <w:p>
      <w:pPr>
        <w:spacing w:line="600" w:lineRule="exact"/>
        <w:ind w:firstLine="642" w:firstLineChars="200"/>
        <w:rPr>
          <w:rFonts w:ascii="仿宋" w:hAnsi="仿宋" w:eastAsia="仿宋"/>
          <w:b/>
          <w:sz w:val="32"/>
          <w:szCs w:val="32"/>
        </w:rPr>
      </w:pPr>
      <w:bookmarkStart w:id="40" w:name="_Toc15377212"/>
      <w:r>
        <w:rPr>
          <w:rFonts w:hint="eastAsia" w:ascii="仿宋" w:hAnsi="仿宋" w:eastAsia="仿宋"/>
          <w:b/>
          <w:sz w:val="32"/>
          <w:szCs w:val="32"/>
        </w:rPr>
        <w:t>（三）一般公共预算财政拨款支出决算具体情况</w:t>
      </w:r>
      <w:bookmarkEnd w:id="40"/>
    </w:p>
    <w:p>
      <w:pPr>
        <w:spacing w:line="600" w:lineRule="exact"/>
        <w:ind w:firstLine="642" w:firstLineChars="200"/>
        <w:rPr>
          <w:rStyle w:val="18"/>
          <w:rFonts w:ascii="仿宋" w:hAnsi="仿宋" w:eastAsia="仿宋"/>
          <w:bCs/>
          <w:sz w:val="32"/>
          <w:szCs w:val="32"/>
        </w:rPr>
      </w:pPr>
      <w:bookmarkStart w:id="41" w:name="_Toc15377213"/>
      <w:bookmarkStart w:id="42" w:name="_Toc15378460"/>
      <w:bookmarkStart w:id="43" w:name="_Toc15377444"/>
      <w:r>
        <w:rPr>
          <w:rFonts w:hint="eastAsia" w:ascii="仿宋" w:hAnsi="仿宋" w:eastAsia="仿宋"/>
          <w:b/>
          <w:sz w:val="32"/>
          <w:szCs w:val="32"/>
        </w:rPr>
        <w:t>2023年度一般公共预算支出决算数为</w:t>
      </w:r>
      <w:r>
        <w:rPr>
          <w:rFonts w:ascii="仿宋" w:hAnsi="仿宋" w:eastAsia="仿宋"/>
          <w:b/>
          <w:sz w:val="32"/>
          <w:szCs w:val="32"/>
        </w:rPr>
        <w:t>3731.63</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ascii="仿宋" w:hAnsi="仿宋" w:eastAsia="仿宋"/>
          <w:bCs/>
          <w:sz w:val="32"/>
          <w:szCs w:val="32"/>
        </w:rPr>
        <w:t>100%</w:t>
      </w:r>
      <w:r>
        <w:rPr>
          <w:rStyle w:val="18"/>
          <w:rFonts w:hint="eastAsia" w:ascii="仿宋" w:hAnsi="仿宋" w:eastAsia="仿宋"/>
          <w:bCs/>
          <w:sz w:val="32"/>
          <w:szCs w:val="32"/>
        </w:rPr>
        <w:t>。其中：</w:t>
      </w:r>
      <w:bookmarkEnd w:id="41"/>
      <w:bookmarkEnd w:id="42"/>
      <w:bookmarkEnd w:id="43"/>
    </w:p>
    <w:p>
      <w:pPr>
        <w:spacing w:line="580" w:lineRule="exact"/>
        <w:ind w:firstLine="640"/>
        <w:rPr>
          <w:rFonts w:ascii="仿宋" w:hAnsi="仿宋" w:eastAsia="仿宋" w:cstheme="minorEastAsia"/>
          <w:sz w:val="32"/>
          <w:szCs w:val="32"/>
        </w:rPr>
      </w:pPr>
      <w:r>
        <w:rPr>
          <w:rStyle w:val="18"/>
          <w:rFonts w:hint="eastAsia" w:ascii="仿宋" w:hAnsi="仿宋" w:eastAsia="仿宋" w:cstheme="minorEastAsia"/>
          <w:bCs/>
          <w:sz w:val="32"/>
          <w:szCs w:val="32"/>
        </w:rPr>
        <w:t>1.</w:t>
      </w:r>
      <w:r>
        <w:rPr>
          <w:rFonts w:hint="eastAsia" w:ascii="仿宋" w:hAnsi="仿宋" w:eastAsia="仿宋" w:cstheme="minorEastAsia"/>
          <w:b/>
          <w:bCs/>
          <w:sz w:val="32"/>
          <w:szCs w:val="32"/>
        </w:rPr>
        <w:t>公共安全支出（类）国家安全（款）机关服务（项）：</w:t>
      </w:r>
      <w:r>
        <w:rPr>
          <w:rFonts w:hint="eastAsia" w:ascii="仿宋" w:hAnsi="仿宋" w:eastAsia="仿宋" w:cstheme="minorEastAsia"/>
          <w:sz w:val="32"/>
          <w:szCs w:val="32"/>
        </w:rPr>
        <w:t>支出决算为</w:t>
      </w:r>
      <w:r>
        <w:rPr>
          <w:rFonts w:ascii="仿宋" w:hAnsi="仿宋" w:eastAsia="仿宋" w:cstheme="minorEastAsia"/>
          <w:sz w:val="32"/>
          <w:szCs w:val="32"/>
        </w:rPr>
        <w:t>36.71</w:t>
      </w:r>
      <w:r>
        <w:rPr>
          <w:rFonts w:hint="eastAsia" w:ascii="仿宋" w:hAnsi="仿宋" w:eastAsia="仿宋" w:cstheme="minorEastAsia"/>
          <w:sz w:val="32"/>
          <w:szCs w:val="32"/>
        </w:rPr>
        <w:t>万元，完成预算100%。</w:t>
      </w:r>
    </w:p>
    <w:p>
      <w:pPr>
        <w:spacing w:line="580" w:lineRule="exact"/>
        <w:ind w:firstLine="640"/>
        <w:rPr>
          <w:rFonts w:ascii="仿宋" w:hAnsi="仿宋" w:eastAsia="仿宋" w:cstheme="minorEastAsia"/>
          <w:sz w:val="32"/>
          <w:szCs w:val="32"/>
        </w:rPr>
      </w:pPr>
      <w:r>
        <w:rPr>
          <w:rStyle w:val="18"/>
          <w:rFonts w:ascii="仿宋" w:hAnsi="仿宋" w:eastAsia="仿宋" w:cstheme="minorEastAsia"/>
          <w:bCs/>
          <w:sz w:val="32"/>
          <w:szCs w:val="32"/>
        </w:rPr>
        <w:t>2</w:t>
      </w:r>
      <w:r>
        <w:rPr>
          <w:rStyle w:val="18"/>
          <w:rFonts w:hint="eastAsia" w:ascii="仿宋" w:hAnsi="仿宋" w:eastAsia="仿宋" w:cstheme="minorEastAsia"/>
          <w:bCs/>
          <w:sz w:val="32"/>
          <w:szCs w:val="32"/>
        </w:rPr>
        <w:t>.</w:t>
      </w:r>
      <w:r>
        <w:rPr>
          <w:rFonts w:hint="eastAsia" w:ascii="仿宋" w:hAnsi="仿宋" w:eastAsia="仿宋" w:cstheme="minorEastAsia"/>
          <w:b/>
          <w:bCs/>
          <w:sz w:val="32"/>
          <w:szCs w:val="32"/>
        </w:rPr>
        <w:t>公共安全支出（类）检察（款）行政运行（项）：</w:t>
      </w:r>
      <w:r>
        <w:rPr>
          <w:rFonts w:hint="eastAsia" w:ascii="仿宋" w:hAnsi="仿宋" w:eastAsia="仿宋" w:cstheme="minorEastAsia"/>
          <w:sz w:val="32"/>
          <w:szCs w:val="32"/>
        </w:rPr>
        <w:t>支出决算为</w:t>
      </w:r>
      <w:r>
        <w:rPr>
          <w:rFonts w:ascii="仿宋" w:hAnsi="仿宋" w:eastAsia="仿宋" w:cstheme="minorEastAsia"/>
          <w:sz w:val="32"/>
          <w:szCs w:val="32"/>
        </w:rPr>
        <w:t>2482.75</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ascii="仿宋" w:hAnsi="仿宋" w:eastAsia="仿宋" w:cstheme="minorEastAsia"/>
          <w:bCs/>
          <w:sz w:val="32"/>
          <w:szCs w:val="32"/>
        </w:rPr>
        <w:t>3</w:t>
      </w:r>
      <w:r>
        <w:rPr>
          <w:rStyle w:val="18"/>
          <w:rFonts w:hint="eastAsia" w:ascii="仿宋" w:hAnsi="仿宋" w:eastAsia="仿宋" w:cstheme="minorEastAsia"/>
          <w:bCs/>
          <w:sz w:val="32"/>
          <w:szCs w:val="32"/>
        </w:rPr>
        <w:t>.</w:t>
      </w:r>
      <w:r>
        <w:rPr>
          <w:rFonts w:hint="eastAsia" w:ascii="仿宋" w:hAnsi="仿宋" w:eastAsia="仿宋" w:cstheme="minorEastAsia"/>
          <w:b/>
          <w:bCs/>
          <w:sz w:val="32"/>
          <w:szCs w:val="32"/>
        </w:rPr>
        <w:t>公共安全支出（类）检察（款）一般行政管理事务（项）：</w:t>
      </w:r>
      <w:r>
        <w:rPr>
          <w:rFonts w:hint="eastAsia" w:ascii="仿宋" w:hAnsi="仿宋" w:eastAsia="仿宋" w:cstheme="minorEastAsia"/>
          <w:sz w:val="32"/>
          <w:szCs w:val="32"/>
        </w:rPr>
        <w:t>支出决算为</w:t>
      </w:r>
      <w:r>
        <w:rPr>
          <w:rFonts w:ascii="仿宋" w:hAnsi="仿宋" w:eastAsia="仿宋" w:cstheme="minorEastAsia"/>
          <w:sz w:val="32"/>
          <w:szCs w:val="32"/>
        </w:rPr>
        <w:t>30.12</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4.</w:t>
      </w:r>
      <w:r>
        <w:rPr>
          <w:rFonts w:hint="eastAsia" w:ascii="仿宋" w:hAnsi="仿宋" w:eastAsia="仿宋" w:cstheme="minorEastAsia"/>
          <w:b/>
          <w:bCs/>
          <w:sz w:val="32"/>
          <w:szCs w:val="32"/>
        </w:rPr>
        <w:t>公共安全支出（类）检察（款）检察监督（项）：</w:t>
      </w:r>
      <w:r>
        <w:rPr>
          <w:rFonts w:hint="eastAsia" w:ascii="仿宋" w:hAnsi="仿宋" w:eastAsia="仿宋" w:cstheme="minorEastAsia"/>
          <w:sz w:val="32"/>
          <w:szCs w:val="32"/>
        </w:rPr>
        <w:t>支出决算为20</w:t>
      </w:r>
      <w:r>
        <w:rPr>
          <w:rFonts w:ascii="仿宋" w:hAnsi="仿宋" w:eastAsia="仿宋" w:cstheme="minorEastAsia"/>
          <w:sz w:val="32"/>
          <w:szCs w:val="32"/>
        </w:rPr>
        <w:t>3.47</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5.</w:t>
      </w:r>
      <w:r>
        <w:rPr>
          <w:rFonts w:hint="eastAsia" w:ascii="仿宋" w:hAnsi="仿宋" w:eastAsia="仿宋" w:cstheme="minorEastAsia"/>
          <w:b/>
          <w:bCs/>
          <w:sz w:val="32"/>
          <w:szCs w:val="32"/>
        </w:rPr>
        <w:t>公共安全支出（类）检察（款）事业运</w:t>
      </w:r>
      <w:r>
        <w:rPr>
          <w:rFonts w:hint="eastAsia" w:ascii="仿宋" w:hAnsi="仿宋" w:eastAsia="仿宋" w:cstheme="minorEastAsia"/>
          <w:b/>
          <w:bCs/>
          <w:color w:val="000000" w:themeColor="text1"/>
          <w:sz w:val="32"/>
          <w:szCs w:val="32"/>
        </w:rPr>
        <w:t>行（项）</w:t>
      </w:r>
      <w:r>
        <w:rPr>
          <w:rFonts w:hint="eastAsia" w:ascii="仿宋" w:hAnsi="仿宋" w:eastAsia="仿宋" w:cstheme="minorEastAsia"/>
          <w:b/>
          <w:bCs/>
          <w:sz w:val="32"/>
          <w:szCs w:val="32"/>
        </w:rPr>
        <w:t>：</w:t>
      </w:r>
      <w:r>
        <w:rPr>
          <w:rFonts w:hint="eastAsia" w:ascii="仿宋" w:hAnsi="仿宋" w:eastAsia="仿宋" w:cstheme="minorEastAsia"/>
          <w:sz w:val="32"/>
          <w:szCs w:val="32"/>
        </w:rPr>
        <w:t>支出决算为</w:t>
      </w:r>
      <w:r>
        <w:rPr>
          <w:rFonts w:ascii="仿宋" w:hAnsi="仿宋" w:eastAsia="仿宋" w:cstheme="minorEastAsia"/>
          <w:sz w:val="32"/>
          <w:szCs w:val="32"/>
        </w:rPr>
        <w:t>70.35</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6.</w:t>
      </w:r>
      <w:r>
        <w:rPr>
          <w:rFonts w:hint="eastAsia" w:ascii="仿宋" w:hAnsi="仿宋" w:eastAsia="仿宋" w:cstheme="minorEastAsia"/>
          <w:b/>
          <w:bCs/>
          <w:color w:val="000000" w:themeColor="text1"/>
          <w:sz w:val="32"/>
          <w:szCs w:val="32"/>
        </w:rPr>
        <w:t>公共安全支出（类）检察（款）其他检察支出（项）</w:t>
      </w:r>
      <w:r>
        <w:rPr>
          <w:rFonts w:hint="eastAsia" w:ascii="仿宋" w:hAnsi="仿宋" w:eastAsia="仿宋" w:cstheme="minorEastAsia"/>
          <w:b/>
          <w:bCs/>
          <w:sz w:val="32"/>
          <w:szCs w:val="32"/>
        </w:rPr>
        <w:t>：</w:t>
      </w:r>
      <w:r>
        <w:rPr>
          <w:rFonts w:hint="eastAsia" w:ascii="仿宋" w:hAnsi="仿宋" w:eastAsia="仿宋" w:cstheme="minorEastAsia"/>
          <w:sz w:val="32"/>
          <w:szCs w:val="32"/>
        </w:rPr>
        <w:t>支出决算为</w:t>
      </w:r>
      <w:r>
        <w:rPr>
          <w:rFonts w:ascii="仿宋" w:hAnsi="仿宋" w:eastAsia="仿宋" w:cstheme="minorEastAsia"/>
          <w:sz w:val="32"/>
          <w:szCs w:val="32"/>
        </w:rPr>
        <w:t>342.52</w:t>
      </w:r>
      <w:r>
        <w:rPr>
          <w:rFonts w:hint="eastAsia" w:ascii="仿宋" w:hAnsi="仿宋" w:eastAsia="仿宋" w:cstheme="minorEastAsia"/>
          <w:sz w:val="32"/>
          <w:szCs w:val="32"/>
        </w:rPr>
        <w:t>万元，完成预算98.22%，与预算基本持平。</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7.社会保障和就业支出（类）行政事业单位养老支出（款）机关事业单位基本养老保险缴费支出（项）</w:t>
      </w:r>
      <w:r>
        <w:rPr>
          <w:rFonts w:hint="eastAsia" w:ascii="仿宋" w:hAnsi="仿宋" w:eastAsia="仿宋" w:cstheme="minorEastAsia"/>
          <w:b/>
          <w:bCs/>
          <w:sz w:val="32"/>
          <w:szCs w:val="32"/>
        </w:rPr>
        <w:t>：</w:t>
      </w:r>
      <w:r>
        <w:rPr>
          <w:rFonts w:hint="eastAsia" w:ascii="仿宋" w:hAnsi="仿宋" w:eastAsia="仿宋" w:cstheme="minorEastAsia"/>
          <w:sz w:val="32"/>
          <w:szCs w:val="32"/>
        </w:rPr>
        <w:t>支出决算为</w:t>
      </w:r>
      <w:r>
        <w:rPr>
          <w:rFonts w:ascii="仿宋" w:hAnsi="仿宋" w:eastAsia="仿宋" w:cstheme="minorEastAsia"/>
          <w:sz w:val="32"/>
          <w:szCs w:val="32"/>
        </w:rPr>
        <w:t>234.93</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8.社会保障和就业支出（类）行政事业单位养老支出（款）机关事业单位职业年金缴费支出（项）</w:t>
      </w:r>
      <w:r>
        <w:rPr>
          <w:rFonts w:hint="eastAsia" w:ascii="仿宋" w:hAnsi="仿宋" w:eastAsia="仿宋" w:cstheme="minorEastAsia"/>
          <w:b/>
          <w:bCs/>
          <w:sz w:val="32"/>
          <w:szCs w:val="32"/>
        </w:rPr>
        <w:t>：</w:t>
      </w:r>
      <w:r>
        <w:rPr>
          <w:rFonts w:hint="eastAsia" w:ascii="仿宋" w:hAnsi="仿宋" w:eastAsia="仿宋" w:cstheme="minorEastAsia"/>
          <w:sz w:val="32"/>
          <w:szCs w:val="32"/>
        </w:rPr>
        <w:t>支出决算为</w:t>
      </w:r>
      <w:r>
        <w:rPr>
          <w:rFonts w:ascii="仿宋" w:hAnsi="仿宋" w:eastAsia="仿宋" w:cstheme="minorEastAsia"/>
          <w:sz w:val="32"/>
          <w:szCs w:val="32"/>
        </w:rPr>
        <w:t>45.1</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9.卫生健康支出（类）行政事业单位医疗（款）行政单位医疗（项）：</w:t>
      </w:r>
      <w:r>
        <w:rPr>
          <w:rFonts w:hint="eastAsia" w:ascii="仿宋" w:hAnsi="仿宋" w:eastAsia="仿宋" w:cstheme="minorEastAsia"/>
          <w:sz w:val="32"/>
          <w:szCs w:val="32"/>
        </w:rPr>
        <w:t>支出决算为</w:t>
      </w:r>
      <w:r>
        <w:rPr>
          <w:rFonts w:ascii="仿宋" w:hAnsi="仿宋" w:eastAsia="仿宋" w:cstheme="minorEastAsia"/>
          <w:sz w:val="32"/>
          <w:szCs w:val="32"/>
        </w:rPr>
        <w:t>76.69</w:t>
      </w:r>
      <w:r>
        <w:rPr>
          <w:rFonts w:hint="eastAsia" w:ascii="仿宋" w:hAnsi="仿宋" w:eastAsia="仿宋" w:cstheme="minorEastAsia"/>
          <w:sz w:val="32"/>
          <w:szCs w:val="32"/>
        </w:rPr>
        <w:t>万元，完成预算100%。</w:t>
      </w:r>
    </w:p>
    <w:p>
      <w:pPr>
        <w:spacing w:line="580" w:lineRule="exact"/>
        <w:ind w:firstLine="642" w:firstLineChars="200"/>
        <w:rPr>
          <w:rFonts w:ascii="仿宋" w:hAnsi="仿宋" w:eastAsia="仿宋"/>
          <w:b/>
          <w:sz w:val="32"/>
          <w:szCs w:val="32"/>
        </w:rPr>
      </w:pPr>
      <w:r>
        <w:rPr>
          <w:rFonts w:hint="eastAsia" w:ascii="仿宋" w:hAnsi="仿宋" w:eastAsia="仿宋" w:cstheme="minorEastAsia"/>
          <w:b/>
          <w:bCs/>
          <w:color w:val="000000" w:themeColor="text1"/>
          <w:sz w:val="32"/>
          <w:szCs w:val="32"/>
        </w:rPr>
        <w:t>10.住房保障支出（类）住房改革支出（款）住房公积金（项）：</w:t>
      </w:r>
      <w:r>
        <w:rPr>
          <w:rFonts w:ascii="仿宋" w:hAnsi="仿宋" w:eastAsia="仿宋" w:cstheme="minorEastAsia"/>
          <w:sz w:val="32"/>
          <w:szCs w:val="32"/>
        </w:rPr>
        <w:t>208.99</w:t>
      </w:r>
      <w:r>
        <w:rPr>
          <w:rFonts w:hint="eastAsia" w:ascii="仿宋" w:hAnsi="仿宋" w:eastAsia="仿宋" w:cstheme="minorEastAsia"/>
          <w:sz w:val="32"/>
          <w:szCs w:val="32"/>
        </w:rPr>
        <w:t>万元，完成预算100%。</w:t>
      </w:r>
    </w:p>
    <w:p>
      <w:pPr>
        <w:tabs>
          <w:tab w:val="right" w:pos="8306"/>
        </w:tabs>
        <w:spacing w:line="600" w:lineRule="exact"/>
        <w:ind w:firstLine="640"/>
        <w:outlineLvl w:val="1"/>
        <w:rPr>
          <w:rStyle w:val="21"/>
        </w:rPr>
      </w:pPr>
      <w:bookmarkStart w:id="44" w:name="_Toc15377214"/>
      <w:bookmarkStart w:id="45" w:name="_Toc4435"/>
      <w:bookmarkStart w:id="46"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1"/>
          <w:rFonts w:hint="eastAsia" w:ascii="黑体" w:hAnsi="黑体" w:eastAsia="黑体"/>
          <w:b w:val="0"/>
        </w:rPr>
        <w:t>般公共预算财政拨款基本支出决算情况说明</w:t>
      </w:r>
      <w:bookmarkEnd w:id="44"/>
      <w:bookmarkEnd w:id="45"/>
      <w:bookmarkEnd w:id="46"/>
      <w:r>
        <w:rPr>
          <w:rStyle w:val="21"/>
          <w:rFonts w:ascii="黑体" w:hAnsi="黑体" w:eastAsia="黑体"/>
          <w:b w:val="0"/>
        </w:rPr>
        <w:tab/>
      </w:r>
    </w:p>
    <w:p>
      <w:pPr>
        <w:pStyle w:val="14"/>
        <w:spacing w:beforeLines="50" w:afterLines="50" w:line="580" w:lineRule="exact"/>
        <w:ind w:firstLine="640" w:firstLineChars="200"/>
        <w:jc w:val="both"/>
        <w:rPr>
          <w:rFonts w:ascii="仿宋_GB2312" w:hAnsi="Calibri" w:eastAsia="仿宋_GB2312" w:cs="仿宋"/>
          <w:kern w:val="2"/>
          <w:sz w:val="32"/>
          <w:szCs w:val="32"/>
        </w:rPr>
      </w:pPr>
      <w:r>
        <w:rPr>
          <w:rFonts w:hint="eastAsia" w:ascii="仿宋_GB2312" w:hAnsi="Calibri" w:eastAsia="仿宋_GB2312" w:cs="仿宋"/>
          <w:kern w:val="2"/>
          <w:sz w:val="32"/>
          <w:szCs w:val="32"/>
        </w:rPr>
        <w:t>2023年度一般公共预算财政拨款基本支出3118.81万元，其中：</w:t>
      </w:r>
    </w:p>
    <w:p>
      <w:pPr>
        <w:spacing w:beforeLines="0" w:afterLines="0" w:line="600" w:lineRule="exact"/>
        <w:ind w:firstLine="640"/>
        <w:rPr>
          <w:rFonts w:ascii="仿宋_GB2312" w:hAnsi="Calibri" w:eastAsia="仿宋_GB2312" w:cs="仿宋"/>
          <w:kern w:val="2"/>
          <w:sz w:val="32"/>
          <w:szCs w:val="32"/>
        </w:rPr>
      </w:pPr>
      <w:r>
        <w:rPr>
          <w:rFonts w:hint="eastAsia" w:ascii="仿宋_GB2312" w:hAnsi="Calibri" w:eastAsia="仿宋_GB2312" w:cs="仿宋"/>
          <w:kern w:val="0"/>
          <w:sz w:val="32"/>
          <w:szCs w:val="32"/>
        </w:rPr>
        <w:t>人员经费2800.35万元，主要包括：基本工资、津贴补贴、奖金、伙食补助费、绩效工资、机关事业单位基本养老保险缴费、职业年金缴费、职工基本医疗保险缴费、住房公积金、其他工资福利支出、生活补助、其他对个人和家庭的补助支出。</w:t>
      </w:r>
      <w:r>
        <w:rPr>
          <w:rFonts w:hint="eastAsia" w:ascii="仿宋_GB2312" w:hAnsi="Calibri" w:eastAsia="仿宋_GB2312" w:cs="仿宋"/>
          <w:kern w:val="0"/>
          <w:sz w:val="32"/>
          <w:szCs w:val="32"/>
        </w:rPr>
        <w:br w:type="textWrapping"/>
      </w:r>
      <w:r>
        <w:rPr>
          <w:rFonts w:hint="eastAsia" w:ascii="仿宋_GB2312" w:hAnsi="Calibri" w:eastAsia="仿宋_GB2312" w:cs="仿宋"/>
          <w:kern w:val="0"/>
          <w:sz w:val="32"/>
          <w:szCs w:val="32"/>
        </w:rPr>
        <w:t>　　公用经费318.46万元，主要包括：办公费、印刷费、水费、电费、邮电费、差旅费、维修（护）费、租赁费、会议费、培训费、公务接待费、劳务费、工会经费、福利费、公务用车运行维护费、其他交通费用、其他商品和服务支出。</w:t>
      </w:r>
    </w:p>
    <w:p>
      <w:pPr>
        <w:spacing w:line="600" w:lineRule="exact"/>
        <w:ind w:firstLine="640"/>
        <w:outlineLvl w:val="1"/>
        <w:rPr>
          <w:rStyle w:val="21"/>
          <w:rFonts w:ascii="黑体" w:hAnsi="黑体" w:eastAsia="黑体"/>
          <w:b w:val="0"/>
        </w:rPr>
      </w:pPr>
      <w:bookmarkStart w:id="47" w:name="_Toc5535"/>
      <w:bookmarkStart w:id="48" w:name="_Toc15396609"/>
      <w:bookmarkStart w:id="49" w:name="_Toc15377215"/>
      <w:r>
        <w:rPr>
          <w:rFonts w:hint="eastAsia" w:ascii="黑体" w:eastAsia="黑体"/>
          <w:sz w:val="32"/>
          <w:szCs w:val="32"/>
        </w:rPr>
        <w:t>七、</w:t>
      </w:r>
      <w:r>
        <w:rPr>
          <w:rStyle w:val="21"/>
          <w:rFonts w:hint="eastAsia" w:ascii="黑体" w:hAnsi="黑体" w:eastAsia="黑体"/>
          <w:b w:val="0"/>
        </w:rPr>
        <w:t>财政拨款</w:t>
      </w:r>
      <w:r>
        <w:rPr>
          <w:rStyle w:val="21"/>
          <w:rFonts w:hint="eastAsia" w:ascii="黑体" w:hAnsi="黑体" w:eastAsia="黑体"/>
        </w:rPr>
        <w:t>“</w:t>
      </w:r>
      <w:r>
        <w:rPr>
          <w:rStyle w:val="21"/>
          <w:rFonts w:hint="eastAsia" w:ascii="黑体" w:hAnsi="黑体" w:eastAsia="黑体"/>
          <w:b w:val="0"/>
        </w:rPr>
        <w:t>三公”经费支出决算情况说明</w:t>
      </w:r>
      <w:bookmarkEnd w:id="47"/>
      <w:bookmarkEnd w:id="48"/>
      <w:bookmarkEnd w:id="49"/>
    </w:p>
    <w:p>
      <w:pPr>
        <w:autoSpaceDE w:val="0"/>
        <w:autoSpaceDN w:val="0"/>
        <w:spacing w:line="600" w:lineRule="exact"/>
        <w:ind w:firstLine="640"/>
        <w:rPr>
          <w:rFonts w:ascii="仿宋" w:hAnsi="仿宋" w:eastAsia="仿宋"/>
          <w:b/>
          <w:sz w:val="32"/>
          <w:szCs w:val="32"/>
        </w:rPr>
      </w:pPr>
      <w:bookmarkStart w:id="50" w:name="_Toc15377216"/>
      <w:r>
        <w:rPr>
          <w:rFonts w:hint="eastAsia" w:ascii="仿宋" w:hAnsi="仿宋" w:eastAsia="仿宋"/>
          <w:b/>
          <w:sz w:val="32"/>
          <w:szCs w:val="32"/>
        </w:rPr>
        <w:t>（一）“三公”经费财政拨款支出决算总体情况说明</w:t>
      </w:r>
      <w:bookmarkEnd w:id="50"/>
    </w:p>
    <w:p>
      <w:pPr>
        <w:spacing w:line="600" w:lineRule="exact"/>
        <w:ind w:firstLine="640"/>
        <w:rPr>
          <w:rFonts w:ascii="仿宋_GB2312" w:hAnsi="Calibri" w:eastAsia="仿宋_GB2312" w:cs="仿宋"/>
          <w:sz w:val="32"/>
          <w:szCs w:val="32"/>
        </w:rPr>
      </w:pPr>
      <w:r>
        <w:rPr>
          <w:rFonts w:hint="eastAsia" w:ascii="仿宋_GB2312" w:hAnsi="Calibri" w:eastAsia="仿宋_GB2312" w:cs="仿宋"/>
          <w:sz w:val="32"/>
          <w:szCs w:val="32"/>
        </w:rPr>
        <w:t>2023年度“三公”经费财政拨款支出决算为72.61万元，完成预算99.9%，较上年度减少25.98万元，下降26.4%。决算数与预算数基本持平。</w:t>
      </w:r>
    </w:p>
    <w:p>
      <w:pPr>
        <w:autoSpaceDE w:val="0"/>
        <w:autoSpaceDN w:val="0"/>
        <w:spacing w:line="600" w:lineRule="exact"/>
        <w:ind w:firstLine="640"/>
        <w:rPr>
          <w:rFonts w:ascii="仿宋" w:hAnsi="仿宋" w:eastAsia="仿宋"/>
          <w:b/>
          <w:sz w:val="32"/>
          <w:szCs w:val="32"/>
        </w:rPr>
      </w:pPr>
      <w:bookmarkStart w:id="51" w:name="_Toc15377217"/>
      <w:r>
        <w:rPr>
          <w:rFonts w:hint="eastAsia" w:ascii="仿宋" w:hAnsi="仿宋" w:eastAsia="仿宋"/>
          <w:b/>
          <w:sz w:val="32"/>
          <w:szCs w:val="32"/>
        </w:rPr>
        <w:t>（二）“三公”经费财政拨款支出决算具体情况说明</w:t>
      </w:r>
      <w:bookmarkEnd w:id="51"/>
    </w:p>
    <w:p>
      <w:pPr>
        <w:spacing w:line="600" w:lineRule="exact"/>
        <w:ind w:firstLine="640"/>
        <w:rPr>
          <w:rFonts w:ascii="仿宋_GB2312" w:hAnsi="Calibri" w:eastAsia="仿宋_GB2312" w:cs="仿宋"/>
          <w:sz w:val="32"/>
          <w:szCs w:val="32"/>
        </w:rPr>
      </w:pPr>
      <w:r>
        <w:rPr>
          <w:rFonts w:hint="eastAsia" w:ascii="仿宋_GB2312" w:hAnsi="Calibri" w:eastAsia="仿宋_GB2312" w:cs="仿宋"/>
          <w:sz w:val="32"/>
          <w:szCs w:val="32"/>
        </w:rPr>
        <w:t>2023年度“三公”经费财政拨款支出决算中，因公出国（境）费支出决算0万元，占0%；公务用车购置及运行维护费支出决算70.07万元，占96.5%；公务接待费支出决算2.54万元，占3.5%。具体情况如下：</w:t>
      </w:r>
    </w:p>
    <w:p>
      <w:pPr>
        <w:pStyle w:val="2"/>
        <w:outlineLvl w:val="9"/>
      </w:pPr>
      <w:r>
        <w:drawing>
          <wp:inline distT="0" distB="0" distL="0" distR="0">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rPr>
          <w:rFonts w:ascii="仿宋_GB2312" w:eastAsia="仿宋_GB2312"/>
          <w:sz w:val="32"/>
          <w:szCs w:val="32"/>
        </w:rPr>
      </w:pPr>
      <w:bookmarkStart w:id="52" w:name="_Toc15396610"/>
      <w:bookmarkStart w:id="53"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Cs/>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年初未安排预算</w:t>
      </w:r>
      <w:r>
        <w:rPr>
          <w:rStyle w:val="18"/>
          <w:rFonts w:hint="eastAsia" w:ascii="仿宋" w:hAnsi="仿宋" w:eastAsia="仿宋"/>
          <w:b w:val="0"/>
          <w:bCs/>
          <w:sz w:val="32"/>
          <w:szCs w:val="32"/>
          <w:lang w:val="en-US" w:eastAsia="zh-CN"/>
        </w:rPr>
        <w:t>,较上年无变化</w:t>
      </w:r>
      <w:r>
        <w:rPr>
          <w:rStyle w:val="18"/>
          <w:rFonts w:hint="eastAsia" w:ascii="仿宋" w:hAnsi="仿宋" w:eastAsia="仿宋"/>
          <w:b w:val="0"/>
          <w:bCs/>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Cs/>
          <w:sz w:val="32"/>
          <w:szCs w:val="32"/>
        </w:rPr>
        <w:t>70.07</w:t>
      </w:r>
      <w:r>
        <w:rPr>
          <w:rFonts w:hint="eastAsia" w:ascii="仿宋_GB2312" w:eastAsia="仿宋_GB2312"/>
          <w:sz w:val="32"/>
          <w:szCs w:val="32"/>
        </w:rPr>
        <w:t>万元</w:t>
      </w:r>
      <w:r>
        <w:rPr>
          <w:rFonts w:hint="eastAsia" w:ascii="仿宋_GB2312" w:eastAsia="仿宋_GB2312"/>
          <w:sz w:val="32"/>
          <w:szCs w:val="32"/>
          <w:lang w:eastAsia="zh-CN"/>
        </w:rPr>
        <w:t>，</w:t>
      </w:r>
      <w:r>
        <w:rPr>
          <w:rStyle w:val="18"/>
          <w:rFonts w:hint="eastAsia" w:ascii="仿宋" w:hAnsi="仿宋" w:eastAsia="仿宋"/>
          <w:b w:val="0"/>
          <w:bCs/>
          <w:sz w:val="32"/>
          <w:szCs w:val="32"/>
        </w:rPr>
        <w:t>完成预算</w:t>
      </w:r>
      <w:r>
        <w:rPr>
          <w:rStyle w:val="18"/>
          <w:rFonts w:ascii="仿宋" w:hAnsi="仿宋" w:eastAsia="仿宋"/>
          <w:b w:val="0"/>
          <w:bCs/>
          <w:sz w:val="32"/>
          <w:szCs w:val="32"/>
        </w:rPr>
        <w:t>99.9%</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ascii="仿宋_GB2312" w:eastAsia="仿宋_GB2312"/>
          <w:sz w:val="32"/>
          <w:szCs w:val="32"/>
        </w:rPr>
        <w:t>26.11</w:t>
      </w:r>
      <w:r>
        <w:rPr>
          <w:rFonts w:hint="eastAsia" w:ascii="仿宋_GB2312" w:eastAsia="仿宋_GB2312"/>
          <w:sz w:val="32"/>
          <w:szCs w:val="32"/>
        </w:rPr>
        <w:t>万元，下降</w:t>
      </w:r>
      <w:r>
        <w:rPr>
          <w:rFonts w:ascii="仿宋_GB2312" w:eastAsia="仿宋_GB2312"/>
          <w:sz w:val="32"/>
          <w:szCs w:val="32"/>
        </w:rPr>
        <w:t>27.1%</w:t>
      </w:r>
      <w:r>
        <w:rPr>
          <w:rFonts w:hint="eastAsia" w:ascii="仿宋_GB2312" w:eastAsia="仿宋_GB2312"/>
          <w:sz w:val="32"/>
          <w:szCs w:val="32"/>
        </w:rPr>
        <w:t>。主要原因是2</w:t>
      </w:r>
      <w:r>
        <w:rPr>
          <w:rFonts w:ascii="仿宋_GB2312" w:eastAsia="仿宋_GB2312"/>
          <w:sz w:val="32"/>
          <w:szCs w:val="32"/>
        </w:rPr>
        <w:t>022</w:t>
      </w:r>
      <w:r>
        <w:rPr>
          <w:rFonts w:hint="eastAsia" w:ascii="仿宋_GB2312" w:eastAsia="仿宋_GB2312"/>
          <w:sz w:val="32"/>
          <w:szCs w:val="32"/>
        </w:rPr>
        <w:t>年有公务用车购置支出。</w:t>
      </w:r>
    </w:p>
    <w:p>
      <w:pPr>
        <w:spacing w:line="600" w:lineRule="exact"/>
        <w:ind w:firstLine="64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Cs/>
          <w:sz w:val="32"/>
          <w:szCs w:val="32"/>
        </w:rPr>
        <w:t>0</w:t>
      </w:r>
      <w:r>
        <w:rPr>
          <w:rFonts w:hint="eastAsia" w:ascii="仿宋_GB2312" w:eastAsia="仿宋_GB2312"/>
          <w:sz w:val="32"/>
          <w:szCs w:val="32"/>
        </w:rPr>
        <w:t>万元。本年未购置公务用车。</w:t>
      </w:r>
      <w:r>
        <w:rPr>
          <w:rFonts w:hint="eastAsia" w:ascii="仿宋_GB2312" w:hAnsi="Calibri" w:eastAsia="仿宋_GB2312" w:cs="仿宋"/>
          <w:kern w:val="0"/>
          <w:sz w:val="32"/>
          <w:szCs w:val="32"/>
        </w:rPr>
        <w:t>截至</w:t>
      </w:r>
      <w:r>
        <w:rPr>
          <w:rFonts w:hint="eastAsia" w:ascii="仿宋_GB2312" w:hAnsi="Calibri" w:eastAsia="仿宋_GB2312" w:cs="仿宋"/>
          <w:kern w:val="0"/>
          <w:sz w:val="32"/>
          <w:szCs w:val="32"/>
          <w:lang w:eastAsia="zh-CN"/>
        </w:rPr>
        <w:t>2023</w:t>
      </w:r>
      <w:r>
        <w:rPr>
          <w:rFonts w:hint="eastAsia" w:ascii="仿宋_GB2312" w:hAnsi="Calibri" w:eastAsia="仿宋_GB2312" w:cs="仿宋"/>
          <w:kern w:val="0"/>
          <w:sz w:val="32"/>
          <w:szCs w:val="32"/>
        </w:rPr>
        <w:t>年12月</w:t>
      </w:r>
      <w:r>
        <w:rPr>
          <w:rFonts w:hint="eastAsia" w:ascii="仿宋_GB2312" w:hAnsi="Calibri" w:eastAsia="仿宋_GB2312" w:cs="仿宋"/>
          <w:kern w:val="0"/>
          <w:sz w:val="32"/>
          <w:szCs w:val="32"/>
          <w:lang w:val="en-US" w:eastAsia="zh-CN"/>
        </w:rPr>
        <w:t>31日</w:t>
      </w:r>
      <w:r>
        <w:rPr>
          <w:rFonts w:hint="eastAsia" w:ascii="仿宋_GB2312" w:hAnsi="Calibri" w:eastAsia="仿宋_GB2312" w:cs="仿宋"/>
          <w:kern w:val="0"/>
          <w:sz w:val="32"/>
          <w:szCs w:val="32"/>
        </w:rPr>
        <w:t>，单位共有公务用车</w:t>
      </w:r>
      <w:r>
        <w:rPr>
          <w:rFonts w:hint="eastAsia" w:ascii="仿宋_GB2312" w:hAnsi="Calibri" w:eastAsia="仿宋_GB2312" w:cs="仿宋"/>
          <w:kern w:val="0"/>
          <w:sz w:val="32"/>
          <w:szCs w:val="32"/>
          <w:lang w:val="en-US" w:eastAsia="zh-CN"/>
        </w:rPr>
        <w:t>15</w:t>
      </w:r>
      <w:r>
        <w:rPr>
          <w:rFonts w:hint="eastAsia" w:ascii="仿宋_GB2312" w:hAnsi="Calibri" w:eastAsia="仿宋_GB2312" w:cs="仿宋"/>
          <w:kern w:val="0"/>
          <w:sz w:val="32"/>
          <w:szCs w:val="32"/>
        </w:rPr>
        <w:t>辆，其中：轿车</w:t>
      </w:r>
      <w:r>
        <w:rPr>
          <w:rFonts w:hint="eastAsia" w:ascii="仿宋_GB2312" w:hAnsi="Calibri" w:eastAsia="仿宋_GB2312" w:cs="仿宋"/>
          <w:kern w:val="0"/>
          <w:sz w:val="32"/>
          <w:szCs w:val="32"/>
          <w:lang w:val="en-US" w:eastAsia="zh-CN"/>
        </w:rPr>
        <w:t>9</w:t>
      </w:r>
      <w:r>
        <w:rPr>
          <w:rFonts w:hint="eastAsia" w:ascii="仿宋_GB2312" w:hAnsi="Calibri" w:eastAsia="仿宋_GB2312" w:cs="仿宋"/>
          <w:kern w:val="0"/>
          <w:sz w:val="32"/>
          <w:szCs w:val="32"/>
        </w:rPr>
        <w:t>辆、越野车</w:t>
      </w:r>
      <w:r>
        <w:rPr>
          <w:rFonts w:hint="eastAsia" w:ascii="仿宋_GB2312" w:hAnsi="Calibri" w:eastAsia="仿宋_GB2312" w:cs="仿宋"/>
          <w:kern w:val="0"/>
          <w:sz w:val="32"/>
          <w:szCs w:val="32"/>
          <w:lang w:val="en-US" w:eastAsia="zh-CN"/>
        </w:rPr>
        <w:t>4</w:t>
      </w:r>
      <w:r>
        <w:rPr>
          <w:rFonts w:hint="eastAsia" w:ascii="仿宋_GB2312" w:hAnsi="Calibri" w:eastAsia="仿宋_GB2312" w:cs="仿宋"/>
          <w:kern w:val="0"/>
          <w:sz w:val="32"/>
          <w:szCs w:val="32"/>
        </w:rPr>
        <w:t>辆、载客汽车</w:t>
      </w:r>
      <w:r>
        <w:rPr>
          <w:rFonts w:hint="eastAsia" w:ascii="仿宋_GB2312" w:hAnsi="Calibri" w:eastAsia="仿宋_GB2312" w:cs="仿宋"/>
          <w:kern w:val="0"/>
          <w:sz w:val="32"/>
          <w:szCs w:val="32"/>
          <w:lang w:val="en-US" w:eastAsia="zh-CN"/>
        </w:rPr>
        <w:t>2</w:t>
      </w:r>
      <w:r>
        <w:rPr>
          <w:rFonts w:hint="eastAsia" w:ascii="仿宋_GB2312" w:hAnsi="Calibri" w:eastAsia="仿宋_GB2312" w:cs="仿宋"/>
          <w:kern w:val="0"/>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Cs/>
          <w:sz w:val="32"/>
          <w:szCs w:val="32"/>
        </w:rPr>
        <w:t>70.07</w:t>
      </w:r>
      <w:r>
        <w:rPr>
          <w:rFonts w:hint="eastAsia" w:ascii="仿宋_GB2312" w:eastAsia="仿宋_GB2312"/>
          <w:sz w:val="32"/>
          <w:szCs w:val="32"/>
        </w:rPr>
        <w:t>万元。主要用于公益诉讼案件等各类案件调查取证、开展扶贫等工作所需的公务用车燃料费、维修费、过路过桥费、保险费等支出。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Cs/>
          <w:sz w:val="32"/>
          <w:szCs w:val="32"/>
        </w:rPr>
        <w:t>2.54</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100%</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0.13</w:t>
      </w:r>
      <w:r>
        <w:rPr>
          <w:rFonts w:hint="eastAsia" w:ascii="仿宋_GB2312" w:eastAsia="仿宋_GB2312"/>
          <w:sz w:val="32"/>
          <w:szCs w:val="32"/>
        </w:rPr>
        <w:t>万元，增长</w:t>
      </w:r>
      <w:r>
        <w:rPr>
          <w:rFonts w:ascii="仿宋_GB2312" w:eastAsia="仿宋_GB2312"/>
          <w:sz w:val="32"/>
          <w:szCs w:val="32"/>
        </w:rPr>
        <w:t>5.4%</w:t>
      </w:r>
      <w:r>
        <w:rPr>
          <w:rFonts w:hint="eastAsia" w:ascii="仿宋_GB2312" w:eastAsia="仿宋_GB2312"/>
          <w:sz w:val="32"/>
          <w:szCs w:val="32"/>
        </w:rPr>
        <w:t>。主要原因是202</w:t>
      </w:r>
      <w:r>
        <w:rPr>
          <w:rFonts w:ascii="仿宋_GB2312" w:eastAsia="仿宋_GB2312"/>
          <w:sz w:val="32"/>
          <w:szCs w:val="32"/>
        </w:rPr>
        <w:t>3</w:t>
      </w:r>
      <w:r>
        <w:rPr>
          <w:rFonts w:hint="eastAsia" w:ascii="仿宋_GB2312" w:eastAsia="仿宋_GB2312"/>
          <w:sz w:val="32"/>
          <w:szCs w:val="32"/>
        </w:rPr>
        <w:t>年接待工作开展比上年多。其中：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2.54</w:t>
      </w:r>
      <w:r>
        <w:rPr>
          <w:rFonts w:hint="eastAsia" w:ascii="仿宋_GB2312" w:eastAsia="仿宋_GB2312"/>
          <w:sz w:val="32"/>
          <w:szCs w:val="32"/>
        </w:rPr>
        <w:t>万元，主要用于执行公务、接待上级机关检查、指导工作和其他地、市、州院来我院考察调研所需的交通费、住宿费、用餐费等。国内公务接待</w:t>
      </w:r>
      <w:r>
        <w:rPr>
          <w:rFonts w:ascii="仿宋_GB2312" w:eastAsia="仿宋_GB2312"/>
          <w:sz w:val="32"/>
          <w:szCs w:val="32"/>
        </w:rPr>
        <w:t>30</w:t>
      </w:r>
      <w:r>
        <w:rPr>
          <w:rFonts w:hint="eastAsia" w:ascii="仿宋_GB2312" w:eastAsia="仿宋_GB2312"/>
          <w:sz w:val="32"/>
          <w:szCs w:val="32"/>
        </w:rPr>
        <w:t>批次，2</w:t>
      </w:r>
      <w:r>
        <w:rPr>
          <w:rFonts w:ascii="仿宋_GB2312" w:eastAsia="仿宋_GB2312"/>
          <w:sz w:val="32"/>
          <w:szCs w:val="32"/>
        </w:rPr>
        <w:t>30</w:t>
      </w:r>
      <w:r>
        <w:rPr>
          <w:rFonts w:hint="eastAsia" w:ascii="仿宋_GB2312" w:eastAsia="仿宋_GB2312"/>
          <w:sz w:val="32"/>
          <w:szCs w:val="32"/>
        </w:rPr>
        <w:t>人次（不包括陪同人员），共计支出2.</w:t>
      </w:r>
      <w:r>
        <w:rPr>
          <w:rFonts w:ascii="仿宋_GB2312" w:eastAsia="仿宋_GB2312"/>
          <w:sz w:val="32"/>
          <w:szCs w:val="32"/>
        </w:rPr>
        <w:t>54</w:t>
      </w:r>
      <w:r>
        <w:rPr>
          <w:rFonts w:hint="eastAsia" w:ascii="仿宋_GB2312" w:eastAsia="仿宋_GB2312"/>
          <w:sz w:val="32"/>
          <w:szCs w:val="32"/>
        </w:rPr>
        <w:t>万元，具体内容包括接待省院领导调研工作接待费0.</w:t>
      </w:r>
      <w:r>
        <w:rPr>
          <w:rFonts w:ascii="仿宋_GB2312" w:eastAsia="仿宋_GB2312"/>
          <w:sz w:val="32"/>
          <w:szCs w:val="32"/>
        </w:rPr>
        <w:t>54</w:t>
      </w:r>
      <w:r>
        <w:rPr>
          <w:rFonts w:hint="eastAsia" w:ascii="仿宋_GB2312" w:eastAsia="仿宋_GB2312"/>
          <w:sz w:val="32"/>
          <w:szCs w:val="32"/>
        </w:rPr>
        <w:t>万元、多次接待省检察院考察费合计2万元。</w:t>
      </w:r>
    </w:p>
    <w:p>
      <w:pPr>
        <w:spacing w:line="600" w:lineRule="exact"/>
        <w:ind w:firstLine="642"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万元，年初未安排预算。</w:t>
      </w:r>
    </w:p>
    <w:p>
      <w:pPr>
        <w:spacing w:line="600" w:lineRule="exact"/>
        <w:ind w:firstLine="640"/>
        <w:outlineLvl w:val="1"/>
        <w:rPr>
          <w:rStyle w:val="21"/>
          <w:rFonts w:ascii="黑体" w:hAnsi="黑体" w:eastAsia="黑体"/>
        </w:rPr>
      </w:pPr>
      <w:bookmarkStart w:id="54" w:name="_Toc30836"/>
      <w:r>
        <w:rPr>
          <w:rFonts w:hint="eastAsia" w:ascii="黑体" w:eastAsia="黑体"/>
          <w:sz w:val="32"/>
          <w:szCs w:val="32"/>
        </w:rPr>
        <w:t>八、</w:t>
      </w:r>
      <w:r>
        <w:rPr>
          <w:rStyle w:val="21"/>
          <w:rFonts w:hint="eastAsia" w:ascii="黑体" w:hAnsi="黑体" w:eastAsia="黑体"/>
          <w:b w:val="0"/>
        </w:rPr>
        <w:t>政府性基金预算支出决算情况说明</w:t>
      </w:r>
      <w:bookmarkEnd w:id="52"/>
      <w:bookmarkEnd w:id="53"/>
      <w:bookmarkEnd w:id="54"/>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Cs/>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1"/>
          <w:rFonts w:ascii="黑体" w:hAnsi="黑体" w:eastAsia="黑体"/>
          <w:b w:val="0"/>
        </w:rPr>
      </w:pPr>
      <w:bookmarkStart w:id="55" w:name="_Toc20151"/>
      <w:bookmarkStart w:id="56" w:name="_Toc15377219"/>
      <w:bookmarkStart w:id="57" w:name="_Toc15396611"/>
      <w:r>
        <w:rPr>
          <w:rStyle w:val="21"/>
          <w:rFonts w:hint="eastAsia" w:ascii="黑体" w:hAnsi="黑体" w:eastAsia="黑体"/>
          <w:b w:val="0"/>
        </w:rPr>
        <w:t>国有资本经营预算支出决算情况说明</w:t>
      </w:r>
      <w:bookmarkEnd w:id="55"/>
      <w:bookmarkEnd w:id="56"/>
      <w:bookmarkEnd w:id="57"/>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Cs/>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1"/>
          <w:rFonts w:ascii="黑体" w:hAnsi="黑体" w:eastAsia="黑体"/>
          <w:b w:val="0"/>
        </w:rPr>
      </w:pPr>
      <w:bookmarkStart w:id="58" w:name="_Toc15377221"/>
      <w:bookmarkStart w:id="59" w:name="_Toc15396612"/>
      <w:bookmarkStart w:id="60" w:name="_Toc9694"/>
      <w:r>
        <w:rPr>
          <w:rStyle w:val="21"/>
          <w:rFonts w:hint="eastAsia" w:ascii="黑体" w:hAnsi="黑体" w:eastAsia="黑体"/>
          <w:b w:val="0"/>
        </w:rPr>
        <w:t>其他重要事项的情况说明</w:t>
      </w:r>
      <w:bookmarkEnd w:id="58"/>
      <w:bookmarkEnd w:id="59"/>
      <w:bookmarkEnd w:id="60"/>
    </w:p>
    <w:p>
      <w:pPr>
        <w:autoSpaceDE w:val="0"/>
        <w:autoSpaceDN w:val="0"/>
        <w:spacing w:line="600" w:lineRule="exact"/>
        <w:ind w:firstLine="642" w:firstLineChars="200"/>
        <w:rPr>
          <w:rFonts w:ascii="仿宋" w:hAnsi="仿宋" w:eastAsia="仿宋"/>
          <w:sz w:val="32"/>
          <w:szCs w:val="32"/>
        </w:rPr>
      </w:pPr>
      <w:bookmarkStart w:id="61" w:name="_Toc15377222"/>
      <w:r>
        <w:rPr>
          <w:rFonts w:hint="eastAsia" w:ascii="仿宋" w:hAnsi="仿宋" w:eastAsia="仿宋"/>
          <w:b/>
          <w:sz w:val="32"/>
          <w:szCs w:val="32"/>
        </w:rPr>
        <w:t>（一）机关运行经费支出情况</w:t>
      </w:r>
      <w:bookmarkEnd w:id="61"/>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Cs/>
          <w:sz w:val="32"/>
          <w:szCs w:val="32"/>
        </w:rPr>
        <w:t>四川省广元市人民检察院</w:t>
      </w:r>
      <w:r>
        <w:rPr>
          <w:rFonts w:hint="eastAsia" w:ascii="仿宋_GB2312" w:eastAsia="仿宋_GB2312"/>
          <w:sz w:val="32"/>
          <w:szCs w:val="32"/>
        </w:rPr>
        <w:t>机关运行经费支出</w:t>
      </w:r>
      <w:r>
        <w:rPr>
          <w:rFonts w:ascii="仿宋" w:hAnsi="仿宋" w:eastAsia="仿宋"/>
          <w:bCs/>
          <w:sz w:val="32"/>
          <w:szCs w:val="32"/>
        </w:rPr>
        <w:t>318.46</w:t>
      </w:r>
      <w:r>
        <w:rPr>
          <w:rFonts w:hint="eastAsia" w:ascii="仿宋_GB2312" w:eastAsia="仿宋_GB2312"/>
          <w:bCs/>
          <w:sz w:val="32"/>
          <w:szCs w:val="32"/>
        </w:rPr>
        <w:t>万</w:t>
      </w:r>
      <w:r>
        <w:rPr>
          <w:rFonts w:hint="eastAsia" w:ascii="仿宋_GB2312" w:eastAsia="仿宋_GB2312"/>
          <w:sz w:val="32"/>
          <w:szCs w:val="32"/>
        </w:rPr>
        <w:t>元，比2022年度减少</w:t>
      </w:r>
      <w:r>
        <w:rPr>
          <w:rFonts w:ascii="仿宋_GB2312" w:eastAsia="仿宋_GB2312"/>
          <w:sz w:val="32"/>
          <w:szCs w:val="32"/>
        </w:rPr>
        <w:t>12.38</w:t>
      </w:r>
      <w:r>
        <w:rPr>
          <w:rFonts w:hint="eastAsia" w:ascii="仿宋_GB2312" w:eastAsia="仿宋_GB2312"/>
          <w:sz w:val="32"/>
          <w:szCs w:val="32"/>
        </w:rPr>
        <w:t>万元，下降</w:t>
      </w:r>
      <w:r>
        <w:rPr>
          <w:rFonts w:ascii="仿宋_GB2312" w:eastAsia="仿宋_GB2312"/>
          <w:sz w:val="32"/>
          <w:szCs w:val="32"/>
        </w:rPr>
        <w:t>3.7%</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年我院人员减少。</w:t>
      </w:r>
    </w:p>
    <w:p>
      <w:pPr>
        <w:autoSpaceDE w:val="0"/>
        <w:autoSpaceDN w:val="0"/>
        <w:adjustRightInd w:val="0"/>
        <w:spacing w:line="600" w:lineRule="exact"/>
        <w:ind w:firstLine="642" w:firstLineChars="200"/>
        <w:jc w:val="left"/>
        <w:rPr>
          <w:rFonts w:ascii="仿宋" w:hAnsi="仿宋" w:eastAsia="仿宋"/>
          <w:b/>
          <w:sz w:val="32"/>
          <w:szCs w:val="32"/>
        </w:rPr>
      </w:pPr>
      <w:bookmarkStart w:id="62" w:name="_Toc15377223"/>
      <w:r>
        <w:rPr>
          <w:rFonts w:hint="eastAsia" w:ascii="仿宋" w:hAnsi="仿宋" w:eastAsia="仿宋"/>
          <w:b/>
          <w:sz w:val="32"/>
          <w:szCs w:val="32"/>
        </w:rPr>
        <w:t>（二）政府采购支出情况</w:t>
      </w:r>
      <w:bookmarkEnd w:id="62"/>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Cs/>
          <w:sz w:val="32"/>
          <w:szCs w:val="32"/>
        </w:rPr>
        <w:t>四川省广元市人民检察院</w:t>
      </w:r>
      <w:r>
        <w:rPr>
          <w:rFonts w:hint="eastAsia" w:ascii="仿宋_GB2312" w:eastAsia="仿宋_GB2312"/>
          <w:sz w:val="32"/>
          <w:szCs w:val="32"/>
        </w:rPr>
        <w:t>政府采购支出总额</w:t>
      </w:r>
      <w:r>
        <w:rPr>
          <w:rFonts w:ascii="仿宋" w:hAnsi="仿宋" w:eastAsia="仿宋"/>
          <w:bCs/>
          <w:sz w:val="32"/>
          <w:szCs w:val="32"/>
        </w:rPr>
        <w:t>66.6</w:t>
      </w:r>
      <w:r>
        <w:rPr>
          <w:rFonts w:hint="eastAsia" w:ascii="仿宋_GB2312" w:eastAsia="仿宋_GB2312"/>
          <w:sz w:val="32"/>
          <w:szCs w:val="32"/>
        </w:rPr>
        <w:t>万元，其中：政府采购工程支出</w:t>
      </w:r>
      <w:r>
        <w:rPr>
          <w:rFonts w:ascii="仿宋" w:hAnsi="仿宋" w:eastAsia="仿宋"/>
          <w:bCs/>
          <w:sz w:val="32"/>
          <w:szCs w:val="32"/>
        </w:rPr>
        <w:t>66.6</w:t>
      </w:r>
      <w:r>
        <w:rPr>
          <w:rFonts w:hint="eastAsia" w:ascii="仿宋_GB2312" w:eastAsia="仿宋_GB2312"/>
          <w:bCs/>
          <w:sz w:val="32"/>
          <w:szCs w:val="32"/>
        </w:rPr>
        <w:t>万</w:t>
      </w:r>
      <w:r>
        <w:rPr>
          <w:rFonts w:hint="eastAsia" w:ascii="仿宋_GB2312" w:eastAsia="仿宋_GB2312"/>
          <w:sz w:val="32"/>
          <w:szCs w:val="32"/>
        </w:rPr>
        <w:t>元。主要用于物业管理服务费66.6万元。授予中小企业合同金额</w:t>
      </w:r>
      <w:r>
        <w:rPr>
          <w:rFonts w:ascii="仿宋" w:hAnsi="仿宋" w:eastAsia="仿宋"/>
          <w:bCs/>
          <w:sz w:val="32"/>
          <w:szCs w:val="32"/>
        </w:rPr>
        <w:t>0</w:t>
      </w:r>
      <w:r>
        <w:rPr>
          <w:rFonts w:hint="eastAsia" w:ascii="仿宋_GB2312" w:eastAsia="仿宋_GB2312"/>
          <w:bCs/>
          <w:sz w:val="32"/>
          <w:szCs w:val="32"/>
        </w:rPr>
        <w:t>万</w:t>
      </w:r>
      <w:r>
        <w:rPr>
          <w:rFonts w:hint="eastAsia" w:ascii="仿宋_GB2312" w:eastAsia="仿宋_GB2312"/>
          <w:sz w:val="32"/>
          <w:szCs w:val="32"/>
        </w:rPr>
        <w:t>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Cs/>
          <w:sz w:val="32"/>
          <w:szCs w:val="32"/>
        </w:rPr>
        <w:t>0</w:t>
      </w:r>
      <w:r>
        <w:rPr>
          <w:rFonts w:hint="eastAsia" w:ascii="仿宋_GB2312" w:eastAsia="仿宋_GB2312"/>
          <w:sz w:val="32"/>
          <w:szCs w:val="32"/>
        </w:rPr>
        <w:t>万元，占政府采购支出总额的</w:t>
      </w:r>
      <w:r>
        <w:rPr>
          <w:rFonts w:ascii="仿宋_GB2312" w:eastAsia="仿宋_GB2312"/>
          <w:bCs/>
          <w:sz w:val="32"/>
          <w:szCs w:val="32"/>
        </w:rPr>
        <w:t>0%</w:t>
      </w:r>
      <w:r>
        <w:rPr>
          <w:rFonts w:hint="eastAsia" w:ascii="仿宋_GB2312" w:eastAsia="仿宋_GB2312"/>
          <w:sz w:val="32"/>
          <w:szCs w:val="32"/>
        </w:rPr>
        <w:t>。</w:t>
      </w:r>
    </w:p>
    <w:p>
      <w:pPr>
        <w:autoSpaceDE w:val="0"/>
        <w:autoSpaceDN w:val="0"/>
        <w:adjustRightInd w:val="0"/>
        <w:spacing w:line="600" w:lineRule="exact"/>
        <w:ind w:firstLine="642" w:firstLineChars="200"/>
        <w:jc w:val="left"/>
        <w:rPr>
          <w:rFonts w:ascii="仿宋" w:hAnsi="仿宋" w:eastAsia="仿宋"/>
          <w:b/>
          <w:sz w:val="32"/>
          <w:szCs w:val="32"/>
        </w:rPr>
      </w:pPr>
      <w:bookmarkStart w:id="63" w:name="_Toc15377224"/>
      <w:r>
        <w:rPr>
          <w:rFonts w:hint="eastAsia" w:ascii="仿宋" w:hAnsi="仿宋" w:eastAsia="仿宋"/>
          <w:b/>
          <w:sz w:val="32"/>
          <w:szCs w:val="32"/>
        </w:rPr>
        <w:t>（三）国有资产占有使用情况</w:t>
      </w:r>
      <w:bookmarkEnd w:id="63"/>
    </w:p>
    <w:p>
      <w:pPr>
        <w:autoSpaceDE w:val="0"/>
        <w:autoSpaceDN w:val="0"/>
        <w:adjustRightInd w:val="0"/>
        <w:spacing w:line="600" w:lineRule="exact"/>
        <w:ind w:firstLine="640" w:firstLineChars="200"/>
        <w:jc w:val="left"/>
        <w:rPr>
          <w:rFonts w:ascii="仿宋_GB2312" w:eastAsia="仿宋_GB2312"/>
          <w:bCs/>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bookmarkStart w:id="98" w:name="_GoBack"/>
      <w:bookmarkEnd w:id="98"/>
      <w:r>
        <w:rPr>
          <w:rFonts w:ascii="仿宋_GB2312" w:eastAsia="仿宋_GB2312"/>
          <w:bCs/>
          <w:sz w:val="32"/>
          <w:szCs w:val="32"/>
        </w:rPr>
        <w:t>四川省广元市人民检察院</w:t>
      </w:r>
      <w:r>
        <w:rPr>
          <w:rFonts w:hint="eastAsia" w:ascii="仿宋_GB2312" w:eastAsia="仿宋_GB2312"/>
          <w:bCs/>
          <w:sz w:val="32"/>
          <w:szCs w:val="32"/>
        </w:rPr>
        <w:t>共有车辆15辆，其中：一般执法执勤用车10辆、特种专业技术用车5辆。单价</w:t>
      </w:r>
      <w:r>
        <w:rPr>
          <w:rFonts w:ascii="仿宋_GB2312" w:eastAsia="仿宋_GB2312"/>
          <w:bCs/>
          <w:sz w:val="32"/>
          <w:szCs w:val="32"/>
        </w:rPr>
        <w:t>100</w:t>
      </w:r>
      <w:r>
        <w:rPr>
          <w:rFonts w:hint="eastAsia" w:ascii="仿宋_GB2312" w:eastAsia="仿宋_GB2312"/>
          <w:bCs/>
          <w:sz w:val="32"/>
          <w:szCs w:val="32"/>
        </w:rPr>
        <w:t>万元以上设备（不含车辆）</w:t>
      </w:r>
      <w:r>
        <w:rPr>
          <w:rFonts w:ascii="仿宋_GB2312" w:eastAsia="仿宋_GB2312"/>
          <w:bCs/>
          <w:sz w:val="32"/>
          <w:szCs w:val="32"/>
        </w:rPr>
        <w:t>0</w:t>
      </w:r>
      <w:r>
        <w:rPr>
          <w:rFonts w:hint="eastAsia" w:ascii="仿宋_GB2312" w:eastAsia="仿宋_GB2312"/>
          <w:bCs/>
          <w:sz w:val="32"/>
          <w:szCs w:val="32"/>
        </w:rPr>
        <w:t>台（套）。</w:t>
      </w:r>
    </w:p>
    <w:p>
      <w:pPr>
        <w:autoSpaceDE w:val="0"/>
        <w:autoSpaceDN w:val="0"/>
        <w:adjustRightInd w:val="0"/>
        <w:spacing w:line="600" w:lineRule="exact"/>
        <w:ind w:firstLine="642" w:firstLineChars="200"/>
        <w:jc w:val="left"/>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工资性支出、离退休费支出、日常公用经费、国家司法救助、技侦大楼运行维护、其他公用经费（福利、工会、公车补贴、党建、退休活动）、工资性支出（事业）、退休“中人”一次性退休补贴、检察监督、乡村振兴工作经费、定额公用经费（事业）、规范后市级基础绩效奖及生活补助、单位年度考核奖、法警法定工作日之外加班补贴、聘用制书记员经费、聘用人员经费、年度考核奖、机关事业单位职业年金记实资金、2023年特定转移支付、被装购置、一平台三中心项目建设、检察专网涉密信息管理系统项目建设等</w:t>
      </w:r>
      <w:r>
        <w:rPr>
          <w:rFonts w:ascii="仿宋_GB2312" w:eastAsia="仿宋_GB2312"/>
          <w:sz w:val="32"/>
          <w:szCs w:val="32"/>
        </w:rPr>
        <w:t>22</w:t>
      </w:r>
      <w:r>
        <w:rPr>
          <w:rFonts w:hint="eastAsia" w:ascii="仿宋_GB2312" w:eastAsia="仿宋_GB2312"/>
          <w:sz w:val="32"/>
          <w:szCs w:val="32"/>
        </w:rPr>
        <w:t>个项目开展了预算事前绩效评估，对</w:t>
      </w:r>
      <w:r>
        <w:rPr>
          <w:rFonts w:ascii="仿宋_GB2312" w:eastAsia="仿宋_GB2312"/>
          <w:sz w:val="32"/>
          <w:szCs w:val="32"/>
        </w:rPr>
        <w:t>22</w:t>
      </w:r>
      <w:r>
        <w:rPr>
          <w:rFonts w:hint="eastAsia" w:ascii="仿宋_GB2312" w:eastAsia="仿宋_GB2312"/>
          <w:sz w:val="32"/>
          <w:szCs w:val="32"/>
        </w:rPr>
        <w:t>个项目编制了绩效目标，预算执行过程中，选取</w:t>
      </w:r>
      <w:r>
        <w:rPr>
          <w:rFonts w:ascii="仿宋_GB2312" w:eastAsia="仿宋_GB2312"/>
          <w:sz w:val="32"/>
          <w:szCs w:val="32"/>
        </w:rPr>
        <w:t>8</w:t>
      </w:r>
      <w:r>
        <w:rPr>
          <w:rFonts w:hint="eastAsia" w:ascii="仿宋_GB2312" w:eastAsia="仿宋_GB2312"/>
          <w:sz w:val="32"/>
          <w:szCs w:val="32"/>
        </w:rPr>
        <w:t>个项目开展绩效监控，组织对</w:t>
      </w:r>
      <w:r>
        <w:rPr>
          <w:rFonts w:ascii="仿宋_GB2312" w:eastAsia="仿宋_GB2312"/>
          <w:sz w:val="32"/>
          <w:szCs w:val="32"/>
        </w:rPr>
        <w:t>20</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0"/>
          <w:rFonts w:ascii="黑体" w:hAnsi="黑体" w:eastAsia="黑体"/>
          <w:b w:val="0"/>
        </w:rPr>
      </w:pPr>
      <w:bookmarkStart w:id="64" w:name="_Toc20487"/>
      <w:bookmarkStart w:id="65" w:name="_Toc15396613"/>
      <w:bookmarkStart w:id="66" w:name="_Toc15377225"/>
      <w:r>
        <w:rPr>
          <w:rFonts w:hint="eastAsia" w:ascii="黑体" w:hAnsi="黑体" w:eastAsia="黑体"/>
          <w:sz w:val="44"/>
          <w:szCs w:val="44"/>
        </w:rPr>
        <w:t>名</w:t>
      </w:r>
      <w:r>
        <w:rPr>
          <w:rStyle w:val="20"/>
          <w:rFonts w:hint="eastAsia" w:ascii="黑体" w:hAnsi="黑体" w:eastAsia="黑体"/>
          <w:b w:val="0"/>
        </w:rPr>
        <w:t>词解释</w:t>
      </w:r>
      <w:bookmarkEnd w:id="64"/>
      <w:bookmarkEnd w:id="65"/>
      <w:bookmarkEnd w:id="66"/>
    </w:p>
    <w:p>
      <w:pPr>
        <w:spacing w:line="600" w:lineRule="exact"/>
        <w:jc w:val="left"/>
        <w:rPr>
          <w:rFonts w:ascii="宋体"/>
          <w:b/>
          <w:sz w:val="44"/>
          <w:szCs w:val="44"/>
        </w:rPr>
      </w:pPr>
    </w:p>
    <w:p>
      <w:pPr>
        <w:pStyle w:val="3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其他收入：指单位取得的除上述收入以外的各项收入。主要是市直机关返拨的党费等。</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w:t>
      </w:r>
      <w:r>
        <w:rPr>
          <w:rFonts w:ascii="仿宋_GB2312" w:eastAsia="仿宋_GB2312"/>
          <w:color w:val="auto"/>
          <w:sz w:val="32"/>
          <w:szCs w:val="32"/>
        </w:rPr>
        <w:t>.</w:t>
      </w:r>
      <w:r>
        <w:rPr>
          <w:rFonts w:hint="eastAsia" w:ascii="仿宋_GB2312" w:eastAsia="仿宋_GB2312"/>
          <w:color w:val="auto"/>
          <w:sz w:val="32"/>
          <w:szCs w:val="32"/>
        </w:rPr>
        <w:t>年末结转和结余：指单位按有关规定结转到下年或以后年度继续使用的资金。</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w:t>
      </w:r>
      <w:r>
        <w:rPr>
          <w:rFonts w:ascii="仿宋_GB2312" w:eastAsia="仿宋_GB2312"/>
          <w:color w:val="auto"/>
          <w:sz w:val="32"/>
          <w:szCs w:val="32"/>
        </w:rPr>
        <w:t>.</w:t>
      </w:r>
      <w:r>
        <w:rPr>
          <w:rFonts w:hint="eastAsia" w:ascii="仿宋_GB2312" w:eastAsia="仿宋_GB2312"/>
          <w:color w:val="auto"/>
          <w:sz w:val="32"/>
          <w:szCs w:val="32"/>
        </w:rPr>
        <w:t>公共安全支出（类）国家安全（款）机关服务（项）：反映为行政单位（包括实行公务员管理的事业单位）提供各类后勤服务中心等附属事业单位的支出。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6</w:t>
      </w:r>
      <w:r>
        <w:rPr>
          <w:rFonts w:ascii="仿宋_GB2312" w:eastAsia="仿宋_GB2312"/>
          <w:color w:val="auto"/>
          <w:sz w:val="32"/>
          <w:szCs w:val="32"/>
        </w:rPr>
        <w:t>.</w:t>
      </w:r>
      <w:r>
        <w:rPr>
          <w:rFonts w:hint="eastAsia" w:ascii="仿宋_GB2312" w:eastAsia="仿宋_GB2312"/>
          <w:color w:val="auto"/>
          <w:sz w:val="32"/>
          <w:szCs w:val="32"/>
        </w:rPr>
        <w:t>公共安全支出（类）检察（款）行政运行（项）：反映检察机关单位基本支出。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7</w:t>
      </w:r>
      <w:r>
        <w:rPr>
          <w:rFonts w:ascii="仿宋_GB2312" w:eastAsia="仿宋_GB2312"/>
          <w:color w:val="auto"/>
          <w:sz w:val="32"/>
          <w:szCs w:val="32"/>
        </w:rPr>
        <w:t>.</w:t>
      </w:r>
      <w:r>
        <w:rPr>
          <w:rFonts w:hint="eastAsia" w:ascii="仿宋_GB2312" w:eastAsia="仿宋_GB2312"/>
          <w:color w:val="auto"/>
          <w:sz w:val="32"/>
          <w:szCs w:val="32"/>
        </w:rPr>
        <w:t>公共安全支出（类）检察（款）一般行政管理事务（项）：反映检察机关未单独设置项级科目的其他项目支出。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8</w:t>
      </w:r>
      <w:r>
        <w:rPr>
          <w:rFonts w:ascii="仿宋_GB2312" w:eastAsia="仿宋_GB2312"/>
          <w:color w:val="auto"/>
          <w:sz w:val="32"/>
          <w:szCs w:val="32"/>
        </w:rPr>
        <w:t>.</w:t>
      </w:r>
      <w:r>
        <w:rPr>
          <w:rFonts w:hint="eastAsia" w:ascii="仿宋_GB2312" w:eastAsia="仿宋_GB2312"/>
          <w:color w:val="auto"/>
          <w:sz w:val="32"/>
          <w:szCs w:val="32"/>
        </w:rPr>
        <w:t>公共安全支出（类）检察（款）检察监督（项）：反映检察机关依法开展法律监督工作的支出，包括</w:t>
      </w:r>
      <w:r>
        <w:rPr>
          <w:rFonts w:hint="eastAsia" w:ascii="仿宋_GB2312" w:eastAsia="仿宋_GB2312"/>
          <w:color w:val="auto"/>
          <w:sz w:val="32"/>
          <w:szCs w:val="32"/>
          <w:lang w:eastAsia="zh-CN"/>
        </w:rPr>
        <w:t>侦查</w:t>
      </w:r>
      <w:r>
        <w:rPr>
          <w:rFonts w:hint="eastAsia" w:ascii="仿宋_GB2312" w:eastAsia="仿宋_GB2312"/>
          <w:color w:val="auto"/>
          <w:sz w:val="32"/>
          <w:szCs w:val="32"/>
        </w:rPr>
        <w:t>监督、公诉、审判监督、执行监督、民事行政监督、公益诉讼、控告申诉等。</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9</w:t>
      </w:r>
      <w:r>
        <w:rPr>
          <w:rFonts w:ascii="仿宋_GB2312" w:eastAsia="仿宋_GB2312"/>
          <w:color w:val="auto"/>
          <w:sz w:val="32"/>
          <w:szCs w:val="32"/>
        </w:rPr>
        <w:t>.</w:t>
      </w:r>
      <w:r>
        <w:rPr>
          <w:rFonts w:hint="eastAsia" w:ascii="仿宋_GB2312" w:eastAsia="仿宋_GB2312"/>
          <w:color w:val="auto"/>
          <w:sz w:val="32"/>
          <w:szCs w:val="32"/>
        </w:rPr>
        <w:t>公共安全支出（类）检察（款）事业运行（项）：指为保障机构正常运转、完成日常工作任务而发生的事业人员工资支出。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0.</w:t>
      </w:r>
      <w:r>
        <w:rPr>
          <w:rFonts w:hint="eastAsia" w:ascii="仿宋_GB2312" w:eastAsia="仿宋_GB2312"/>
          <w:color w:val="auto"/>
          <w:sz w:val="32"/>
          <w:szCs w:val="32"/>
        </w:rPr>
        <w:t>公共安全支出（类）检察（款）其他检察支出（项）：反映除上述项目以外其他用于检察方面的支出。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1.</w:t>
      </w:r>
      <w:r>
        <w:rPr>
          <w:rFonts w:hint="eastAsia" w:ascii="仿宋_GB2312" w:eastAsia="仿宋_GB2312"/>
          <w:color w:val="auto"/>
          <w:sz w:val="32"/>
          <w:szCs w:val="32"/>
        </w:rPr>
        <w:t>社会保障和就业支出（类）行政事业单位养老支出（款）机关事业单位基本养老保险缴费支出（项）：反映机关事业单位实施养老保险制度由单位实际缴纳的基本养老保险费支出。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2.</w:t>
      </w:r>
      <w:r>
        <w:rPr>
          <w:rFonts w:hint="eastAsia" w:ascii="仿宋_GB2312" w:eastAsia="仿宋_GB2312"/>
          <w:color w:val="auto"/>
          <w:sz w:val="32"/>
          <w:szCs w:val="32"/>
        </w:rPr>
        <w:t>社会保障和就业支出（类）行政事业单位养老支出（款）机关事业单位职业年金缴费支出（项）：反映机关事业单位实施养老保险制度由单位实际缴纳的职业年金支出。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3</w:t>
      </w:r>
      <w:r>
        <w:rPr>
          <w:rFonts w:hint="eastAsia" w:ascii="仿宋_GB2312" w:eastAsia="仿宋_GB2312"/>
          <w:color w:val="auto"/>
          <w:sz w:val="32"/>
          <w:szCs w:val="32"/>
        </w:rPr>
        <w:t>卫生健康支出（类）行政事业单位医疗（款）行政单位医疗（项）：反映财政部门集中安排的行政单位基本医疗保险缴费经费，未参加医疗保险的行政单位的公费医疗费，按国家规定享受离休人员、红军老战士待遇人员的医疗经费。</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4.</w:t>
      </w:r>
      <w:r>
        <w:rPr>
          <w:rFonts w:hint="eastAsia" w:ascii="仿宋_GB2312" w:eastAsia="仿宋_GB2312"/>
          <w:color w:val="auto"/>
          <w:sz w:val="32"/>
          <w:szCs w:val="32"/>
        </w:rPr>
        <w:t>住房保障支出（类）住房改革支出（款）住房公积金（项）：反映单位按人力资源和社会保障部、财政部规定的基本工资和津贴补贴以及规定比例为职工缴纳的住房公积金。</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5.</w:t>
      </w:r>
      <w:r>
        <w:rPr>
          <w:rFonts w:hint="eastAsia" w:ascii="仿宋_GB2312" w:eastAsia="仿宋_GB2312"/>
          <w:color w:val="auto"/>
          <w:sz w:val="32"/>
          <w:szCs w:val="32"/>
        </w:rPr>
        <w:t>基本支出：指为保障机构正常运转、完成日常工作任务而发生的人员支出和公用支出。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6.</w:t>
      </w:r>
      <w:r>
        <w:rPr>
          <w:rFonts w:hint="eastAsia" w:ascii="仿宋_GB2312" w:eastAsia="仿宋_GB2312"/>
          <w:color w:val="auto"/>
          <w:sz w:val="32"/>
          <w:szCs w:val="32"/>
        </w:rPr>
        <w:t>项目支出：指在基本支出之外为完成特定行政任务和事业发展目标所发生的支出。</w:t>
      </w:r>
    </w:p>
    <w:p>
      <w:pPr>
        <w:pStyle w:val="3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7.</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pStyle w:val="30"/>
        <w:spacing w:line="560" w:lineRule="exact"/>
        <w:ind w:firstLine="640" w:firstLineChars="200"/>
        <w:rPr>
          <w:rFonts w:ascii="仿宋_GB2312" w:eastAsia="仿宋_GB2312"/>
          <w:color w:val="auto"/>
          <w:sz w:val="32"/>
          <w:szCs w:val="32"/>
        </w:rPr>
        <w:sectPr>
          <w:footerReference r:id="rId5" w:type="first"/>
          <w:footerReference r:id="rId4" w:type="default"/>
          <w:pgSz w:w="11906" w:h="16838"/>
          <w:pgMar w:top="1440" w:right="1800" w:bottom="1440" w:left="1800" w:header="851" w:footer="992" w:gutter="0"/>
          <w:pgNumType w:start="1"/>
          <w:cols w:space="425" w:num="1"/>
          <w:titlePg/>
          <w:docGrid w:type="lines" w:linePitch="312" w:charSpace="0"/>
        </w:sectPr>
      </w:pPr>
      <w:r>
        <w:rPr>
          <w:rFonts w:hint="eastAsia" w:ascii="仿宋_GB2312" w:eastAsia="仿宋_GB2312"/>
          <w:color w:val="auto"/>
          <w:sz w:val="32"/>
          <w:szCs w:val="32"/>
        </w:rPr>
        <w:t>1</w:t>
      </w:r>
      <w:r>
        <w:rPr>
          <w:rFonts w:ascii="仿宋_GB2312" w:eastAsia="仿宋_GB2312"/>
          <w:color w:val="auto"/>
          <w:sz w:val="32"/>
          <w:szCs w:val="32"/>
        </w:rPr>
        <w:t>8.</w:t>
      </w:r>
      <w:r>
        <w:rPr>
          <w:rFonts w:hint="eastAsia" w:ascii="仿宋_GB2312" w:eastAsia="仿宋_GB2312"/>
          <w:color w:val="auto"/>
          <w:sz w:val="32"/>
          <w:szCs w:val="32"/>
        </w:rPr>
        <w:t>机关运行经费：为保障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600" w:lineRule="exact"/>
        <w:jc w:val="center"/>
        <w:outlineLvl w:val="0"/>
        <w:rPr>
          <w:rStyle w:val="20"/>
          <w:rFonts w:ascii="黑体" w:hAnsi="黑体" w:eastAsia="黑体"/>
          <w:b w:val="0"/>
        </w:rPr>
      </w:pPr>
      <w:bookmarkStart w:id="67" w:name="_Toc19042"/>
      <w:bookmarkStart w:id="68" w:name="_Toc15396614"/>
      <w:bookmarkStart w:id="69" w:name="_Toc15377226"/>
      <w:r>
        <w:rPr>
          <w:rFonts w:hint="eastAsia" w:ascii="黑体" w:hAnsi="黑体" w:eastAsia="黑体"/>
          <w:sz w:val="44"/>
          <w:szCs w:val="44"/>
        </w:rPr>
        <w:t>第</w:t>
      </w:r>
      <w:r>
        <w:rPr>
          <w:rStyle w:val="20"/>
          <w:rFonts w:hint="eastAsia" w:ascii="黑体" w:hAnsi="黑体" w:eastAsia="黑体"/>
          <w:b w:val="0"/>
        </w:rPr>
        <w:t>四部分 附件</w:t>
      </w:r>
      <w:bookmarkEnd w:id="67"/>
      <w:bookmarkEnd w:id="68"/>
    </w:p>
    <w:p>
      <w:pPr>
        <w:spacing w:line="600" w:lineRule="exact"/>
        <w:jc w:val="center"/>
        <w:rPr>
          <w:rFonts w:ascii="黑体" w:hAnsi="黑体" w:eastAsia="黑体"/>
          <w:color w:val="FF0000"/>
          <w:sz w:val="44"/>
          <w:szCs w:val="44"/>
        </w:rPr>
      </w:pPr>
      <w:bookmarkStart w:id="70" w:name="_Toc15396618"/>
      <w:r>
        <w:rPr>
          <w:rFonts w:hint="eastAsia"/>
          <w:sz w:val="32"/>
          <w:szCs w:val="32"/>
        </w:rPr>
        <w:t>部门预算项目支出绩效自评表（2023年度）</w:t>
      </w:r>
    </w:p>
    <w:tbl>
      <w:tblPr>
        <w:tblStyle w:val="16"/>
        <w:tblW w:w="12758" w:type="dxa"/>
        <w:tblInd w:w="108" w:type="dxa"/>
        <w:tblLayout w:type="fixed"/>
        <w:tblCellMar>
          <w:top w:w="0" w:type="dxa"/>
          <w:left w:w="108" w:type="dxa"/>
          <w:bottom w:w="0" w:type="dxa"/>
          <w:right w:w="108" w:type="dxa"/>
        </w:tblCellMar>
      </w:tblPr>
      <w:tblGrid>
        <w:gridCol w:w="993"/>
        <w:gridCol w:w="1134"/>
        <w:gridCol w:w="1417"/>
        <w:gridCol w:w="1418"/>
        <w:gridCol w:w="708"/>
        <w:gridCol w:w="851"/>
        <w:gridCol w:w="709"/>
        <w:gridCol w:w="1701"/>
        <w:gridCol w:w="1253"/>
        <w:gridCol w:w="666"/>
        <w:gridCol w:w="1908"/>
      </w:tblGrid>
      <w:tr>
        <w:tblPrEx>
          <w:tblCellMar>
            <w:top w:w="0" w:type="dxa"/>
            <w:left w:w="108" w:type="dxa"/>
            <w:bottom w:w="0" w:type="dxa"/>
            <w:right w:w="108" w:type="dxa"/>
          </w:tblCellMar>
        </w:tblPrEx>
        <w:trPr>
          <w:trHeight w:val="631"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2,049.65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2,075.82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1,959.73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2,049.65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2,075.82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1,959.73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99.44</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自评分99.44分，评价结果为优秀，通过该项目的实施，保障了职工的合法权益。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自评分100分，评价结果为优秀，通过该项目的实施，保障了离退休职工的合法权益。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自评分100分，评价结果为优秀，通过该项目的实施，保障了单位的正常运转。</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51080021T000000053572-国家司法救助</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司法救助人数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13</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提高人权司法保障率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根据高检院部署持续落实好司法救助责任要求</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救助人员满意度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司法救助经费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84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自评分100分，评价结果为优秀，通过该项目的实施，保障了司法救助活动的正常开展。</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51080021T000000053580-技侦大楼运行维护</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08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确保技侦大楼各项运转正常。1.安保物业费66万元/年； 2.空调维护5万元/年 ；3.消防检测2万元/年； 4.电梯维护3万元/年 ； 5.电力维护4万元/年； 6.大楼维修维护20万元/年； 7.绿植租摆维护3万元/年。</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办公大楼面积达到9600平米；安全等级达到国家安全标准达到高；降低技侦大楼维修率，保障正常运转效果为优；根据市委安排持续加强检察监督力度效果为优；群众满意度为92%；技侦大楼维护费用为66.6万元。</w:t>
            </w:r>
          </w:p>
        </w:tc>
      </w:tr>
      <w:tr>
        <w:tblPrEx>
          <w:tblCellMar>
            <w:top w:w="0" w:type="dxa"/>
            <w:left w:w="108" w:type="dxa"/>
            <w:bottom w:w="0" w:type="dxa"/>
            <w:right w:w="108" w:type="dxa"/>
          </w:tblCellMar>
        </w:tblPrEx>
        <w:trPr>
          <w:trHeight w:val="10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实施内容旨在保障技侦大楼的顺畅运行，具体实施过程如下：首先，确保大楼的安保和物业管理，年预算为66万元；其次，对大楼的空调系统进行定期维护，年预算为5万元；接着，进行消防系统的年度检测，预算为2万元；此外，包括电梯的年度维护，预算为3万元；电力系统的维护预算为4万元；同时，对大楼进行常规维修维护，年预算为20万元；最后，对大楼内的绿植进行租摆和维护，年预算为3万元。以上各项费用将专项用于保障技侦大楼的正常运转和设施良好状态。</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34.21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51.37%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此为政府采购项目，未执行原因是政府采购程序未完成，不能及时支付。</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34.21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51.37%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办公大楼面积</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平方米</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安全等级达到国家安全标准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降低技侦大楼维修率，保障正常运转</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根据市委安排持续加强检察监督力度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技侦大楼维护费用</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34.21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此为政府采购项目，未执行原因是政府采购程序未完成，不能及时支付。</w:t>
            </w:r>
          </w:p>
        </w:tc>
      </w:tr>
      <w:tr>
        <w:tblPrEx>
          <w:tblCellMar>
            <w:top w:w="0" w:type="dxa"/>
            <w:left w:w="108" w:type="dxa"/>
            <w:bottom w:w="0" w:type="dxa"/>
            <w:right w:w="108" w:type="dxa"/>
          </w:tblCellMar>
        </w:tblPrEx>
        <w:trPr>
          <w:trHeight w:val="49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96</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经认真自查，该项目按照市级非专项预算项目支出绩效评价体系得分96分。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51080022R000006844873-退休“中人”一次性退休补贴</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51080022T000004937515-检察监督</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80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叛国案、分裂国家安全以及严重破坏国家政策、法律、法令、政令统一实施的重大案件，依法行使检察权。根据高、省检院确定的工作方针，部署全市检察工作任务。对全市重大刑事犯罪案件依法审查批准逮捕、决定逮捕、提起公诉；依法对刑事诉讼、民事审判和行政诉讼实行法律监督。受理单位和个人的报案、控告、申诉和举报，接受犯罪嫌疑人的自首，规划和指导全市检察机关的检察技术工作和物证检验、鉴定、审查复核工作。上述工作开展所需的办案费含侦缉调查费、协助办案费、技术检验、鉴定和翻译费、特情费、其他办案费。</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案件数量为987件；错误批捕率为5%；监督案件审结时间为2023年12月；执法司法公信力显著提高，人民满意度达94%；按照高检院部署持续落实好“四大检察”“十大业务”各项指标效果为优；群众满意度达97%；检察监督项目经费使用236.37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实施内容涉及对重大案件依法行使检察权，包括叛国、分裂国家安全等，并依据高、省检院方针部署全市检察任务。过程中，将对重大刑事犯罪案件进行审查、批准逮捕、提起公诉，并监督刑事诉讼、民事审判和行政诉讼。同时，项目将处理报案、控告、申诉、举报，接收自首，并指导检察技术工作，包括物证检验、鉴定等。实施中将合理分配办案费用，确保项目高效运行。</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案件数量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错误批捕率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监督案件审结时间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执法司法公信力显著提高，人民满意度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按照高检院部署持续落实好“四大检察”“十大业务”各项指标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检察监督</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231.58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3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51080022T000004937846-乡村振兴工作经费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39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党的十九大提出实施乡村振兴战略，是以习近平同志为核心的党中央着眼党和国家事业全局对“三农”工作作出的重大决策部署，市委、市政府安排，结合我院实际安排三名同志到青川县观音店乡两河村进行乡村振兴工作，包括经济作物和发展养殖业，脱贫不脱政策，每月至少两次到户帮扶。</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xml:space="preserve"> 帮扶贫困户151人；对口帮扶村饮水安全质量有保障效果为优；完成时间为2023年12月底；帮扶对象脱贫增收程度达到高；帮扶村生态林保护达到国家标准为优；帮扶对象满意度达95%；乡村振兴工作经费执行5.46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旨在实施乡村振兴战略，响应党的十九大提出的重大决策部署。项目实施内容如下：根据市委、市政府的安排，结合我院实际情况，选派三名同志前往青川县观音店乡两河村开展乡村振兴工作。实施过程包括推动经济作物种植和养殖业发展，确保脱贫成果持续巩固，政策支持不断档。项目团队将每月至少两次深入农户，提供面对面的帮扶，以促进当地经济社会的全面发展。</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帮扶贫困户</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对口帮扶村饮水安全质量有保障</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帮扶对象脱贫增收</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生态效益指标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帮扶村生态林保护达到国家标准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乡村振兴工作经费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经认真自查，该项目按照市级非专项预算项目支出绩效评价体系得分96分。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51080023R000007612345-规范后市级基础绩效奖及生活补助</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51080023T000008414163-法警法定工作日之外加班补贴</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做好加班记录，保证加班支出的真实性、合理性，司法警察7人，每人每月710元，计6万元；2、按标准、按季度发放加班补贴</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司法警察人数为7人；月标准达到710元/月；完成时间2023年年底；确保检察监督类案件公正办理质量为优；干警满意度达96%；司法警察加班费支出成本控制在6万元.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实施内容涉及加班记录管理及加班补贴的发放，具体过程如下：首先，建立健全加班记录制度，确保每位司法警察的加班时间得到准确记录，以保障加班支出的真实性和合理性。项目团队由7名司法警察组成，每人每月将根据实际加班情况获得710元的加班补贴，总计年度补贴金额为6万元。其次，项目将严格按照国家和单位的相关标准，按季度对加班补贴进行核算和发放，确保补贴的及时性和准确性。</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司法警察人数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710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710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确保检察监督类案件公正办理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干警满意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司法警察加班费支出</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51080023T000008414218-聘用制书记员经费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广编发【2019】99号，聘用制书记员24人按每年每人5万元计算，计120万元。承担案件审理、检察中的记录、庭前准备以及开庭时的准备工作，校对、印制、送达法律文书，整理、装订、归档案卷</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聘用制书记员人数为24人；工资发放及时率达100%；完成时间为2023年12月；保障检察官办案效果为优；书记员的满意率为96%；书记员工作经费为120万元。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将聘用24名书记员，每人年薪为5万元，总计预算为120万元。这些书记员将负责案件审理和检察过程中的记录工作，包括但不限于庭前准备、开庭时的各项准备工作。此外，他们还将承担校对、印制及送达法律文书的任务，以及整理、装订和归档案卷材料，确保司法文书的准确性和案件档案的完整性。</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聘用制书记员人数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工资发放及时率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保障检察官办案</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书记员的满意率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书记员工作经费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经认真自查，该项目按照市级非专项预算项目支出绩效评价体系得分97分。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51080023T000008461278-聘用人员经费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97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校对、印制文书文件，整理、装订、归档案卷材料等；执行派车计划，完成出车任务，认真执行公务用车制度，文明行车，确保行车安全。</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聘用人员经费标准为46.2万元；聘用人员人数为14人；工资发放及时率达100%；完成时间为2023年12月；保障检察官办案效果为优；聘用人员的满意率达100%；聘用人员经费支出46.2万元。</w:t>
            </w:r>
          </w:p>
        </w:tc>
      </w:tr>
      <w:tr>
        <w:tblPrEx>
          <w:tblCellMar>
            <w:top w:w="0" w:type="dxa"/>
            <w:left w:w="108" w:type="dxa"/>
            <w:bottom w:w="0" w:type="dxa"/>
            <w:right w:w="108" w:type="dxa"/>
          </w:tblCellMar>
        </w:tblPrEx>
        <w:trPr>
          <w:trHeight w:val="10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实施内容主要包括文书管理和车辆调度两个部分。在文书管理方面，将执行以下过程：细致校对各类文书文件，确保无误；负责文印工作，保证文件清晰；整理、装订案卷材料，使之规范有序；并将整理好的档案材料进行归档，以便于检索和保存。在车辆调度方面，实施过程如下：遵循派车计划，完成各项出车任务；严格遵守公务用车制度，确保用车合规；在行车过程中，坚持文明驾驶，采取必要措施，保障行车安全。</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工资发放及时率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保障检察官办案</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聘用人员的满意率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聘用人员经费支出</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经认真自查，该项目按照市级非专项预算项目支出绩效评价体系得分99分。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51080023T000009130888-机关事业单位职业年金记实资金</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按照相关政策，及时核算相关支出，经财政部门审核后，予以缴纳。</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14.64</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14.64</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51080023T000009452039-2023年特定转移支付</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该刑罚执行监督系统适用于监狱、看守所、社区矫正机构、公安机关、人民法院等刑罚执行和监管场所，旨在通过信息化手段，对刑罚执行活动进行全面监督，确保刑罚执行的规范性和公正性，维护监管场所秩序稳定，保障刑罚执行和监管工作的顺利进行。</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严格执行相关政策，及时高效开展活动。</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按照相关政策，及时核算相关支出，经财政部门审核后，予以支付。</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270.97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632.00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407.00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eastAsia="等线" w:cs="Courier New"/>
                <w:i/>
                <w:iCs/>
                <w:color w:val="000000"/>
                <w:kern w:val="0"/>
                <w:sz w:val="18"/>
                <w:szCs w:val="18"/>
                <w:lang w:eastAsia="zh-CN"/>
              </w:rPr>
              <w:t>，</w:t>
            </w:r>
            <w:r>
              <w:rPr>
                <w:rFonts w:ascii="Courier New" w:hAnsi="Courier New" w:eastAsia="等线"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632.00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407.00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采购数量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验收合格率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对提升数据共享服务方面的影响程度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信息化系统上线运行后的网络带宽利用率、设备利用率以及应用系统实现率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社会公众或服务对象对项目实施效果的满意程度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84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本项目总预算632万元，2023年预算执行407万元，按照项目预期执行，并且本项目在专项预算执行中取得了显著成效，评价总分为97分。项目实施情况良好，但还有改进的空间：应加快实施进度，积极解决在执行过程中的各种困难，项目实施效促进了区域经济发展。预算资金得到了合理分配和使用，确保了项目的高效运转，实现了预期目标，为今后类似项目的实施提供了宝贵经验。</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一是绩效评价指标设置还有待进一步完善；二是对项目部门负责人在绩效评价方面还需加强业务培训，以利于更好的推进此项工作。</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针对2023年特定转移支付项目评价中发现的问题，建议在预算安排上优化分配，加强监控，以防止资金浪费；在政策层面，完善扶持政策，扩大受益群体；在管理方面，规范流程，更新培训内容，并建立完善的监督评价机制，以提升项目实施效率和效果。</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51080023T000009704549-被装购置</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30.12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83.79%</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8.4</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聘用制书记员的服装暂未支付。</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30.12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83.79%</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着装人数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服装质量合格率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检察机关形象</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司法公信力</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干警满意度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着装成本</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30.12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9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98.4</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聘用制书记员的服装暂未支付。</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经认真自查，该项目按照市级非专项预算项目支出绩效评价体系得分98.4分。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51080024T000010916673-一平台三中心项目建设</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在两级检察机关搭建起智慧管理平台、检察大数据中心、指挥中心、安全监管运维中心，形成横向到边、纵向到底一体协同的智慧检察应用格局。</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2023年12月29日下达的指标，此项目未自评。</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2023年12月29日下达的指标，此项目未自评。</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265.85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2023年12月29日下达的指标，此项目未自评。</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265.85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项目完成时效</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设备验收合格率</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97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召开部门联席会议次数</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次/年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设备购置数量</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500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个（套）</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检察办案效率明细提升</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级</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智慧检察应用格局的形成</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级</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干警满意度</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全年成本控制数</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265.85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2023年12月29日下达的指标，此项目未自评。</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51080024T000010917217-检察专网涉密信息管理系统项目建设</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我市检察机关涉密专网配备电子文档安全管理系统、文档发文信息隐写溯源系统、智能公文交换箱，从而有效保护设计国家秘密和检务工作秘密信息安全，更好管控电子文档流转，实现涉密文档追踪溯源和机要文件数据资源整合利用和公文管理交换。</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2023年12月29日下达的指标，此项目未自评。</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2023年12月29日下达的指标，此项目未自评。</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185.65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185.65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2023年12月29日下达的指标，此项目未自评。</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bl>
    <w:p>
      <w:pPr>
        <w:pStyle w:val="6"/>
        <w:spacing w:before="93"/>
        <w:rPr>
          <w:rFonts w:hAnsi="Calibri" w:cs="仿宋"/>
          <w:sz w:val="32"/>
          <w:szCs w:val="32"/>
        </w:rPr>
      </w:pPr>
    </w:p>
    <w:p>
      <w:pPr>
        <w:pStyle w:val="6"/>
        <w:spacing w:before="93"/>
        <w:rPr>
          <w:rFonts w:hAnsi="Calibri" w:cs="仿宋"/>
          <w:sz w:val="32"/>
          <w:szCs w:val="32"/>
        </w:rPr>
        <w:sectPr>
          <w:pgSz w:w="16838" w:h="11906" w:orient="landscape"/>
          <w:pgMar w:top="1797" w:right="1440" w:bottom="1797" w:left="1440" w:header="851" w:footer="992" w:gutter="0"/>
          <w:cols w:space="425" w:num="1"/>
          <w:titlePg/>
          <w:docGrid w:type="linesAndChars" w:linePitch="312" w:charSpace="0"/>
        </w:sectPr>
      </w:pPr>
    </w:p>
    <w:p>
      <w:pPr>
        <w:pStyle w:val="6"/>
        <w:spacing w:before="93"/>
        <w:rPr>
          <w:rFonts w:hAnsi="Calibri" w:cs="仿宋"/>
          <w:sz w:val="32"/>
          <w:szCs w:val="32"/>
        </w:rPr>
      </w:pPr>
    </w:p>
    <w:p>
      <w:pPr>
        <w:spacing w:line="600" w:lineRule="exact"/>
        <w:jc w:val="center"/>
        <w:outlineLvl w:val="0"/>
        <w:rPr>
          <w:rFonts w:ascii="仿宋" w:hAnsi="仿宋" w:eastAsia="仿宋"/>
        </w:rPr>
      </w:pPr>
      <w:bookmarkStart w:id="71" w:name="_Toc6593"/>
      <w:r>
        <w:rPr>
          <w:rFonts w:hint="eastAsia" w:ascii="黑体" w:hAnsi="黑体" w:eastAsia="黑体"/>
          <w:sz w:val="44"/>
          <w:szCs w:val="44"/>
        </w:rPr>
        <w:t>第</w:t>
      </w:r>
      <w:r>
        <w:rPr>
          <w:rStyle w:val="20"/>
          <w:rFonts w:hint="eastAsia" w:ascii="黑体" w:hAnsi="黑体" w:eastAsia="黑体"/>
          <w:b w:val="0"/>
        </w:rPr>
        <w:t>五部分 附表</w:t>
      </w:r>
      <w:bookmarkEnd w:id="69"/>
      <w:bookmarkEnd w:id="70"/>
      <w:bookmarkEnd w:id="71"/>
      <w:bookmarkStart w:id="72" w:name="_Toc15396619"/>
    </w:p>
    <w:p>
      <w:pPr>
        <w:pStyle w:val="4"/>
        <w:rPr>
          <w:rFonts w:ascii="仿宋" w:hAnsi="仿宋" w:eastAsia="仿宋"/>
        </w:rPr>
      </w:pPr>
      <w:bookmarkStart w:id="73" w:name="_Toc13701"/>
      <w:r>
        <w:rPr>
          <w:rFonts w:hint="eastAsia" w:ascii="仿宋" w:hAnsi="仿宋" w:eastAsia="仿宋"/>
          <w:b w:val="0"/>
        </w:rPr>
        <w:t>一、收</w:t>
      </w:r>
      <w:r>
        <w:rPr>
          <w:rStyle w:val="21"/>
          <w:rFonts w:hint="eastAsia" w:ascii="仿宋" w:hAnsi="仿宋" w:eastAsia="仿宋"/>
          <w:b w:val="0"/>
          <w:bCs w:val="0"/>
        </w:rPr>
        <w:t>入支出决算总表</w:t>
      </w:r>
      <w:bookmarkEnd w:id="72"/>
      <w:bookmarkEnd w:id="73"/>
    </w:p>
    <w:p>
      <w:pPr>
        <w:pStyle w:val="4"/>
        <w:rPr>
          <w:rFonts w:ascii="仿宋" w:hAnsi="仿宋" w:eastAsia="仿宋"/>
        </w:rPr>
      </w:pPr>
      <w:bookmarkStart w:id="74" w:name="_Toc13571"/>
      <w:bookmarkStart w:id="75" w:name="_Toc15396620"/>
      <w:r>
        <w:rPr>
          <w:rFonts w:hint="eastAsia" w:ascii="仿宋" w:hAnsi="仿宋" w:eastAsia="仿宋"/>
          <w:b w:val="0"/>
        </w:rPr>
        <w:t>二、收</w:t>
      </w:r>
      <w:r>
        <w:rPr>
          <w:rStyle w:val="21"/>
          <w:rFonts w:hint="eastAsia" w:ascii="仿宋" w:hAnsi="仿宋" w:eastAsia="仿宋"/>
          <w:b w:val="0"/>
          <w:bCs w:val="0"/>
        </w:rPr>
        <w:t>入决算表</w:t>
      </w:r>
      <w:bookmarkEnd w:id="74"/>
      <w:bookmarkEnd w:id="75"/>
    </w:p>
    <w:p>
      <w:pPr>
        <w:pStyle w:val="4"/>
        <w:rPr>
          <w:rFonts w:ascii="仿宋" w:hAnsi="仿宋" w:eastAsia="仿宋"/>
        </w:rPr>
      </w:pPr>
      <w:bookmarkStart w:id="76" w:name="_Toc15396621"/>
      <w:bookmarkStart w:id="77" w:name="_Toc11477"/>
      <w:r>
        <w:rPr>
          <w:rStyle w:val="21"/>
          <w:rFonts w:hint="eastAsia" w:ascii="仿宋" w:hAnsi="仿宋" w:eastAsia="仿宋"/>
          <w:b w:val="0"/>
          <w:bCs w:val="0"/>
        </w:rPr>
        <w:t>三、</w:t>
      </w:r>
      <w:r>
        <w:rPr>
          <w:rFonts w:hint="eastAsia" w:ascii="仿宋" w:hAnsi="仿宋" w:eastAsia="仿宋"/>
          <w:b w:val="0"/>
        </w:rPr>
        <w:t>支</w:t>
      </w:r>
      <w:r>
        <w:rPr>
          <w:rStyle w:val="21"/>
          <w:rFonts w:hint="eastAsia" w:ascii="仿宋" w:hAnsi="仿宋" w:eastAsia="仿宋"/>
          <w:b w:val="0"/>
          <w:bCs w:val="0"/>
        </w:rPr>
        <w:t>出决算表</w:t>
      </w:r>
      <w:bookmarkEnd w:id="76"/>
      <w:bookmarkEnd w:id="77"/>
    </w:p>
    <w:p>
      <w:pPr>
        <w:pStyle w:val="4"/>
        <w:rPr>
          <w:rFonts w:ascii="仿宋" w:hAnsi="仿宋" w:eastAsia="仿宋"/>
          <w:b w:val="0"/>
        </w:rPr>
      </w:pPr>
      <w:bookmarkStart w:id="78" w:name="_Toc22124"/>
      <w:bookmarkStart w:id="79" w:name="_Toc15396622"/>
      <w:r>
        <w:rPr>
          <w:rStyle w:val="21"/>
          <w:rFonts w:hint="eastAsia" w:ascii="仿宋" w:hAnsi="仿宋" w:eastAsia="仿宋"/>
          <w:b w:val="0"/>
          <w:bCs w:val="0"/>
        </w:rPr>
        <w:t>四、</w:t>
      </w:r>
      <w:r>
        <w:rPr>
          <w:rFonts w:hint="eastAsia" w:ascii="仿宋" w:hAnsi="仿宋" w:eastAsia="仿宋"/>
          <w:b w:val="0"/>
        </w:rPr>
        <w:t>财</w:t>
      </w:r>
      <w:r>
        <w:rPr>
          <w:rStyle w:val="21"/>
          <w:rFonts w:hint="eastAsia" w:ascii="仿宋" w:hAnsi="仿宋" w:eastAsia="仿宋"/>
          <w:b w:val="0"/>
          <w:bCs w:val="0"/>
        </w:rPr>
        <w:t>政拨款收入支出决算总表</w:t>
      </w:r>
      <w:bookmarkEnd w:id="78"/>
      <w:bookmarkEnd w:id="79"/>
    </w:p>
    <w:p>
      <w:pPr>
        <w:pStyle w:val="4"/>
        <w:rPr>
          <w:rStyle w:val="21"/>
          <w:rFonts w:ascii="仿宋" w:hAnsi="仿宋" w:eastAsia="仿宋"/>
          <w:b w:val="0"/>
          <w:bCs w:val="0"/>
        </w:rPr>
      </w:pPr>
      <w:bookmarkStart w:id="80" w:name="_Toc2740"/>
      <w:bookmarkStart w:id="81" w:name="_Toc15396623"/>
      <w:r>
        <w:rPr>
          <w:rStyle w:val="21"/>
          <w:rFonts w:hint="eastAsia" w:ascii="仿宋" w:hAnsi="仿宋" w:eastAsia="仿宋"/>
          <w:b w:val="0"/>
          <w:bCs w:val="0"/>
        </w:rPr>
        <w:t>五、</w:t>
      </w:r>
      <w:r>
        <w:rPr>
          <w:rFonts w:hint="eastAsia" w:ascii="仿宋" w:hAnsi="仿宋" w:eastAsia="仿宋"/>
          <w:b w:val="0"/>
        </w:rPr>
        <w:t>财</w:t>
      </w:r>
      <w:r>
        <w:rPr>
          <w:rStyle w:val="21"/>
          <w:rFonts w:hint="eastAsia" w:ascii="仿宋" w:hAnsi="仿宋" w:eastAsia="仿宋"/>
          <w:b w:val="0"/>
          <w:bCs w:val="0"/>
        </w:rPr>
        <w:t>政拨款支出决算明细表</w:t>
      </w:r>
      <w:bookmarkEnd w:id="80"/>
      <w:bookmarkEnd w:id="81"/>
      <w:bookmarkStart w:id="82" w:name="_Toc15396624"/>
    </w:p>
    <w:p>
      <w:pPr>
        <w:pStyle w:val="4"/>
        <w:rPr>
          <w:rFonts w:ascii="仿宋" w:hAnsi="仿宋" w:eastAsia="仿宋"/>
        </w:rPr>
      </w:pPr>
      <w:bookmarkStart w:id="83" w:name="_Toc28194"/>
      <w:r>
        <w:rPr>
          <w:rStyle w:val="21"/>
          <w:rFonts w:hint="eastAsia" w:ascii="仿宋" w:hAnsi="仿宋" w:eastAsia="仿宋"/>
          <w:b w:val="0"/>
          <w:bCs w:val="0"/>
        </w:rPr>
        <w:t>六、</w:t>
      </w:r>
      <w:r>
        <w:rPr>
          <w:rFonts w:hint="eastAsia" w:ascii="仿宋" w:hAnsi="仿宋" w:eastAsia="仿宋"/>
          <w:b w:val="0"/>
        </w:rPr>
        <w:t>一</w:t>
      </w:r>
      <w:r>
        <w:rPr>
          <w:rStyle w:val="21"/>
          <w:rFonts w:hint="eastAsia" w:ascii="仿宋" w:hAnsi="仿宋" w:eastAsia="仿宋"/>
          <w:b w:val="0"/>
          <w:bCs w:val="0"/>
        </w:rPr>
        <w:t>般公共预算财政拨款支出决算表</w:t>
      </w:r>
      <w:bookmarkEnd w:id="82"/>
      <w:bookmarkEnd w:id="83"/>
    </w:p>
    <w:p>
      <w:pPr>
        <w:pStyle w:val="4"/>
        <w:rPr>
          <w:rFonts w:ascii="仿宋" w:hAnsi="仿宋" w:eastAsia="仿宋"/>
        </w:rPr>
      </w:pPr>
      <w:bookmarkStart w:id="84" w:name="_Toc18617"/>
      <w:bookmarkStart w:id="85" w:name="_Toc15396625"/>
      <w:r>
        <w:rPr>
          <w:rStyle w:val="21"/>
          <w:rFonts w:hint="eastAsia" w:ascii="仿宋" w:hAnsi="仿宋" w:eastAsia="仿宋"/>
          <w:b w:val="0"/>
          <w:bCs w:val="0"/>
        </w:rPr>
        <w:t>七、</w:t>
      </w:r>
      <w:r>
        <w:rPr>
          <w:rFonts w:hint="eastAsia" w:ascii="仿宋" w:hAnsi="仿宋" w:eastAsia="仿宋"/>
          <w:b w:val="0"/>
        </w:rPr>
        <w:t>一</w:t>
      </w:r>
      <w:r>
        <w:rPr>
          <w:rStyle w:val="21"/>
          <w:rFonts w:hint="eastAsia" w:ascii="仿宋" w:hAnsi="仿宋" w:eastAsia="仿宋"/>
          <w:b w:val="0"/>
          <w:bCs w:val="0"/>
        </w:rPr>
        <w:t>般公共预算财政拨款支出决算明细表</w:t>
      </w:r>
      <w:bookmarkEnd w:id="84"/>
      <w:bookmarkEnd w:id="85"/>
    </w:p>
    <w:p>
      <w:pPr>
        <w:pStyle w:val="4"/>
        <w:rPr>
          <w:rFonts w:ascii="仿宋" w:hAnsi="仿宋" w:eastAsia="仿宋"/>
        </w:rPr>
      </w:pPr>
      <w:bookmarkStart w:id="86" w:name="_Toc22855"/>
      <w:bookmarkStart w:id="87" w:name="_Toc15396626"/>
      <w:r>
        <w:rPr>
          <w:rStyle w:val="21"/>
          <w:rFonts w:hint="eastAsia" w:ascii="仿宋" w:hAnsi="仿宋" w:eastAsia="仿宋"/>
          <w:b w:val="0"/>
          <w:bCs w:val="0"/>
        </w:rPr>
        <w:t>八、</w:t>
      </w:r>
      <w:r>
        <w:rPr>
          <w:rFonts w:hint="eastAsia" w:ascii="仿宋" w:hAnsi="仿宋" w:eastAsia="仿宋"/>
          <w:b w:val="0"/>
        </w:rPr>
        <w:t>一</w:t>
      </w:r>
      <w:r>
        <w:rPr>
          <w:rStyle w:val="21"/>
          <w:rFonts w:hint="eastAsia" w:ascii="仿宋" w:hAnsi="仿宋" w:eastAsia="仿宋"/>
          <w:b w:val="0"/>
          <w:bCs w:val="0"/>
        </w:rPr>
        <w:t>般公共预算财政拨款基本支出决算表</w:t>
      </w:r>
      <w:bookmarkEnd w:id="86"/>
      <w:bookmarkEnd w:id="87"/>
    </w:p>
    <w:p>
      <w:pPr>
        <w:pStyle w:val="4"/>
        <w:rPr>
          <w:rFonts w:ascii="仿宋" w:hAnsi="仿宋" w:eastAsia="仿宋"/>
        </w:rPr>
      </w:pPr>
      <w:bookmarkStart w:id="88" w:name="_Toc15396627"/>
      <w:bookmarkStart w:id="89" w:name="_Toc31187"/>
      <w:r>
        <w:rPr>
          <w:rStyle w:val="21"/>
          <w:rFonts w:hint="eastAsia" w:ascii="仿宋" w:hAnsi="仿宋" w:eastAsia="仿宋"/>
          <w:b w:val="0"/>
          <w:bCs w:val="0"/>
        </w:rPr>
        <w:t>九、</w:t>
      </w:r>
      <w:r>
        <w:rPr>
          <w:rFonts w:hint="eastAsia" w:ascii="仿宋" w:hAnsi="仿宋" w:eastAsia="仿宋"/>
          <w:b w:val="0"/>
        </w:rPr>
        <w:t>一</w:t>
      </w:r>
      <w:r>
        <w:rPr>
          <w:rStyle w:val="21"/>
          <w:rFonts w:hint="eastAsia" w:ascii="仿宋" w:hAnsi="仿宋" w:eastAsia="仿宋"/>
          <w:b w:val="0"/>
          <w:bCs w:val="0"/>
        </w:rPr>
        <w:t>般公共预算财政拨款项目支出决算表</w:t>
      </w:r>
      <w:bookmarkEnd w:id="88"/>
      <w:bookmarkEnd w:id="89"/>
    </w:p>
    <w:p>
      <w:pPr>
        <w:pStyle w:val="4"/>
        <w:rPr>
          <w:rFonts w:ascii="仿宋" w:hAnsi="仿宋" w:eastAsia="仿宋"/>
        </w:rPr>
      </w:pPr>
      <w:bookmarkStart w:id="90" w:name="_Toc15396628"/>
      <w:bookmarkStart w:id="91" w:name="_Toc18424"/>
      <w:r>
        <w:rPr>
          <w:rStyle w:val="21"/>
          <w:rFonts w:hint="eastAsia" w:ascii="仿宋" w:hAnsi="仿宋" w:eastAsia="仿宋"/>
          <w:b w:val="0"/>
          <w:bCs w:val="0"/>
        </w:rPr>
        <w:t>十、</w:t>
      </w:r>
      <w:bookmarkEnd w:id="90"/>
      <w:r>
        <w:rPr>
          <w:rFonts w:hint="eastAsia" w:ascii="仿宋" w:hAnsi="仿宋" w:eastAsia="仿宋"/>
          <w:b w:val="0"/>
        </w:rPr>
        <w:t>政</w:t>
      </w:r>
      <w:r>
        <w:rPr>
          <w:rStyle w:val="21"/>
          <w:rFonts w:hint="eastAsia" w:ascii="仿宋" w:hAnsi="仿宋" w:eastAsia="仿宋"/>
          <w:b w:val="0"/>
          <w:bCs w:val="0"/>
        </w:rPr>
        <w:t>府性基金预算财政拨款收入支出决算表</w:t>
      </w:r>
      <w:bookmarkEnd w:id="91"/>
    </w:p>
    <w:p>
      <w:pPr>
        <w:pStyle w:val="4"/>
        <w:rPr>
          <w:rFonts w:ascii="仿宋" w:hAnsi="仿宋" w:eastAsia="仿宋"/>
        </w:rPr>
      </w:pPr>
      <w:bookmarkStart w:id="92" w:name="_Toc15396629"/>
      <w:bookmarkStart w:id="93" w:name="_Toc6871"/>
      <w:r>
        <w:rPr>
          <w:rStyle w:val="21"/>
          <w:rFonts w:hint="eastAsia" w:ascii="仿宋" w:hAnsi="仿宋" w:eastAsia="仿宋"/>
          <w:b w:val="0"/>
          <w:bCs w:val="0"/>
        </w:rPr>
        <w:t>十一、</w:t>
      </w:r>
      <w:bookmarkEnd w:id="92"/>
      <w:r>
        <w:rPr>
          <w:rFonts w:hint="eastAsia" w:ascii="仿宋" w:hAnsi="仿宋" w:eastAsia="仿宋"/>
          <w:b w:val="0"/>
        </w:rPr>
        <w:t>国</w:t>
      </w:r>
      <w:r>
        <w:rPr>
          <w:rStyle w:val="21"/>
          <w:rFonts w:hint="eastAsia" w:ascii="仿宋" w:hAnsi="仿宋" w:eastAsia="仿宋"/>
          <w:b w:val="0"/>
          <w:bCs w:val="0"/>
        </w:rPr>
        <w:t>有资本经营预算财政拨款收入支出决算表</w:t>
      </w:r>
      <w:bookmarkEnd w:id="93"/>
    </w:p>
    <w:p>
      <w:pPr>
        <w:pStyle w:val="4"/>
        <w:rPr>
          <w:rFonts w:ascii="仿宋" w:hAnsi="仿宋" w:eastAsia="仿宋"/>
        </w:rPr>
      </w:pPr>
      <w:bookmarkStart w:id="94" w:name="_Toc15396630"/>
      <w:bookmarkStart w:id="95" w:name="_Toc17475"/>
      <w:r>
        <w:rPr>
          <w:rStyle w:val="21"/>
          <w:rFonts w:hint="eastAsia" w:ascii="仿宋" w:hAnsi="仿宋" w:eastAsia="仿宋"/>
          <w:b w:val="0"/>
          <w:bCs w:val="0"/>
        </w:rPr>
        <w:t>十二、</w:t>
      </w:r>
      <w:bookmarkEnd w:id="94"/>
      <w:r>
        <w:rPr>
          <w:rStyle w:val="21"/>
          <w:rFonts w:hint="eastAsia" w:ascii="仿宋" w:hAnsi="仿宋" w:eastAsia="仿宋"/>
          <w:b w:val="0"/>
          <w:bCs w:val="0"/>
        </w:rPr>
        <w:t>国有资本经营预算财政拨款支出决算表</w:t>
      </w:r>
      <w:bookmarkEnd w:id="95"/>
    </w:p>
    <w:p>
      <w:pPr>
        <w:pStyle w:val="4"/>
        <w:rPr>
          <w:rFonts w:eastAsia="仿宋"/>
        </w:rPr>
      </w:pPr>
      <w:bookmarkStart w:id="96" w:name="_Toc15396631"/>
      <w:bookmarkStart w:id="97" w:name="_Toc5147"/>
      <w:r>
        <w:rPr>
          <w:rStyle w:val="21"/>
          <w:rFonts w:hint="eastAsia" w:ascii="仿宋" w:hAnsi="仿宋" w:eastAsia="仿宋"/>
          <w:b w:val="0"/>
          <w:bCs w:val="0"/>
        </w:rPr>
        <w:t>十三、</w:t>
      </w:r>
      <w:bookmarkEnd w:id="96"/>
      <w:r>
        <w:rPr>
          <w:rStyle w:val="21"/>
          <w:rFonts w:hint="eastAsia" w:ascii="仿宋" w:hAnsi="仿宋" w:eastAsia="仿宋"/>
          <w:b w:val="0"/>
          <w:bCs w:val="0"/>
        </w:rPr>
        <w:t>财政拨款“三公”经费支出决算表</w:t>
      </w:r>
      <w:bookmarkEnd w:id="97"/>
    </w:p>
    <w:sectPr>
      <w:pgSz w:w="11906" w:h="16838"/>
      <w:pgMar w:top="1440" w:right="1797" w:bottom="1440"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path/>
          <v:fill on="f" focussize="0,0"/>
          <v:stroke on="f" weight="0.5pt" joinstyle="miter"/>
          <v:imagedata o:title=""/>
          <o:lock v:ext="edit"/>
          <v:textbox inset="0mm,0mm,0mm,0mm" style="mso-fit-shape-to-text:t;">
            <w:txbxContent>
              <w:sdt>
                <w:sdtPr>
                  <w:id w:val="147482249"/>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172A27"/>
    <w:rsid w:val="000222C6"/>
    <w:rsid w:val="0002549F"/>
    <w:rsid w:val="000468DB"/>
    <w:rsid w:val="000535E0"/>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22AB"/>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70607"/>
    <w:rsid w:val="00380C92"/>
    <w:rsid w:val="003A484F"/>
    <w:rsid w:val="003A4883"/>
    <w:rsid w:val="003B0BE0"/>
    <w:rsid w:val="003B0C1B"/>
    <w:rsid w:val="003B688C"/>
    <w:rsid w:val="003C0291"/>
    <w:rsid w:val="003C39AE"/>
    <w:rsid w:val="003C5603"/>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5127C"/>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34616"/>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276CD"/>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B6B54"/>
    <w:rsid w:val="006C1937"/>
    <w:rsid w:val="006C35AC"/>
    <w:rsid w:val="006F020C"/>
    <w:rsid w:val="0071021A"/>
    <w:rsid w:val="007127B7"/>
    <w:rsid w:val="0071798E"/>
    <w:rsid w:val="007416B6"/>
    <w:rsid w:val="00746F48"/>
    <w:rsid w:val="0075404D"/>
    <w:rsid w:val="0076182A"/>
    <w:rsid w:val="00767B7E"/>
    <w:rsid w:val="0077528B"/>
    <w:rsid w:val="007770C3"/>
    <w:rsid w:val="00784D24"/>
    <w:rsid w:val="00785FBA"/>
    <w:rsid w:val="00786E4A"/>
    <w:rsid w:val="007875EB"/>
    <w:rsid w:val="0079426B"/>
    <w:rsid w:val="007C49F3"/>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21D6"/>
    <w:rsid w:val="00885AF4"/>
    <w:rsid w:val="008939CD"/>
    <w:rsid w:val="00896A1D"/>
    <w:rsid w:val="008B768C"/>
    <w:rsid w:val="008C4DB1"/>
    <w:rsid w:val="008C4EAF"/>
    <w:rsid w:val="008C5176"/>
    <w:rsid w:val="008C7FD0"/>
    <w:rsid w:val="008C7FD8"/>
    <w:rsid w:val="008E1DE7"/>
    <w:rsid w:val="008E707C"/>
    <w:rsid w:val="00900B08"/>
    <w:rsid w:val="00902155"/>
    <w:rsid w:val="00902FA3"/>
    <w:rsid w:val="00923564"/>
    <w:rsid w:val="0092392E"/>
    <w:rsid w:val="009261CF"/>
    <w:rsid w:val="009315F9"/>
    <w:rsid w:val="00933499"/>
    <w:rsid w:val="00935C98"/>
    <w:rsid w:val="00946945"/>
    <w:rsid w:val="00950681"/>
    <w:rsid w:val="00951248"/>
    <w:rsid w:val="0095152F"/>
    <w:rsid w:val="00954C49"/>
    <w:rsid w:val="00955E37"/>
    <w:rsid w:val="00965604"/>
    <w:rsid w:val="0097099F"/>
    <w:rsid w:val="00971997"/>
    <w:rsid w:val="00971FFC"/>
    <w:rsid w:val="0098660A"/>
    <w:rsid w:val="00986D39"/>
    <w:rsid w:val="009931C3"/>
    <w:rsid w:val="009A30C8"/>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01BC"/>
    <w:rsid w:val="00A91760"/>
    <w:rsid w:val="00A93B00"/>
    <w:rsid w:val="00A93C21"/>
    <w:rsid w:val="00AB64C9"/>
    <w:rsid w:val="00AC336F"/>
    <w:rsid w:val="00AC3C6A"/>
    <w:rsid w:val="00AD5620"/>
    <w:rsid w:val="00AD656B"/>
    <w:rsid w:val="00AD7C1B"/>
    <w:rsid w:val="00AE16BA"/>
    <w:rsid w:val="00AE1EBE"/>
    <w:rsid w:val="00AF568E"/>
    <w:rsid w:val="00B03C9D"/>
    <w:rsid w:val="00B060AE"/>
    <w:rsid w:val="00B10517"/>
    <w:rsid w:val="00B14E76"/>
    <w:rsid w:val="00B161B8"/>
    <w:rsid w:val="00B2048C"/>
    <w:rsid w:val="00B310B9"/>
    <w:rsid w:val="00B35F3F"/>
    <w:rsid w:val="00B36CBB"/>
    <w:rsid w:val="00B425E0"/>
    <w:rsid w:val="00B440AA"/>
    <w:rsid w:val="00B44B70"/>
    <w:rsid w:val="00B520F6"/>
    <w:rsid w:val="00B53C56"/>
    <w:rsid w:val="00B57DAF"/>
    <w:rsid w:val="00B605BA"/>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3473"/>
    <w:rsid w:val="00D254F7"/>
    <w:rsid w:val="00D26091"/>
    <w:rsid w:val="00D2685C"/>
    <w:rsid w:val="00D31E6F"/>
    <w:rsid w:val="00D34E7C"/>
    <w:rsid w:val="00D35489"/>
    <w:rsid w:val="00D36AFE"/>
    <w:rsid w:val="00D51276"/>
    <w:rsid w:val="00D7035F"/>
    <w:rsid w:val="00DA634F"/>
    <w:rsid w:val="00DA65AC"/>
    <w:rsid w:val="00DB1913"/>
    <w:rsid w:val="00DC1D52"/>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90046"/>
    <w:rsid w:val="00EA010F"/>
    <w:rsid w:val="00ED1B63"/>
    <w:rsid w:val="00ED3C1F"/>
    <w:rsid w:val="00ED4085"/>
    <w:rsid w:val="00ED420E"/>
    <w:rsid w:val="00ED6FBE"/>
    <w:rsid w:val="00EE2F57"/>
    <w:rsid w:val="00EF4C34"/>
    <w:rsid w:val="00EF77C6"/>
    <w:rsid w:val="00F03217"/>
    <w:rsid w:val="00F05438"/>
    <w:rsid w:val="00F1361C"/>
    <w:rsid w:val="00F156F0"/>
    <w:rsid w:val="00F160C7"/>
    <w:rsid w:val="00F2408F"/>
    <w:rsid w:val="00F240E9"/>
    <w:rsid w:val="00F2443B"/>
    <w:rsid w:val="00F36D8F"/>
    <w:rsid w:val="00F417B1"/>
    <w:rsid w:val="00F45853"/>
    <w:rsid w:val="00F602DF"/>
    <w:rsid w:val="00F754A1"/>
    <w:rsid w:val="00F81FD9"/>
    <w:rsid w:val="00F841AA"/>
    <w:rsid w:val="00F84A94"/>
    <w:rsid w:val="00F87E96"/>
    <w:rsid w:val="00FA23E8"/>
    <w:rsid w:val="00FB77A4"/>
    <w:rsid w:val="00FD3CC1"/>
    <w:rsid w:val="00FF1E02"/>
    <w:rsid w:val="00FF30B4"/>
    <w:rsid w:val="03DC2831"/>
    <w:rsid w:val="081B5E94"/>
    <w:rsid w:val="0A2032A3"/>
    <w:rsid w:val="0B8A37D8"/>
    <w:rsid w:val="0F5FFB2F"/>
    <w:rsid w:val="0FFFCF60"/>
    <w:rsid w:val="10C055FF"/>
    <w:rsid w:val="118107EC"/>
    <w:rsid w:val="11DD6519"/>
    <w:rsid w:val="16BB723D"/>
    <w:rsid w:val="18015F3F"/>
    <w:rsid w:val="1B89221A"/>
    <w:rsid w:val="1BE8440E"/>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867143"/>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BFE3E2B"/>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3"/>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24"/>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jc w:val="left"/>
    </w:pPr>
    <w:rPr>
      <w:rFonts w:ascii="宋体" w:hAnsi="宋体" w:cs="宋体"/>
      <w:kern w:val="0"/>
      <w:sz w:val="24"/>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character" w:customStyle="1" w:styleId="23">
    <w:name w:val="正文文本 Char"/>
    <w:link w:val="6"/>
    <w:qFormat/>
    <w:locked/>
    <w:uiPriority w:val="99"/>
    <w:rPr>
      <w:rFonts w:ascii="仿宋_GB2312" w:hAnsi="Times New Roman" w:eastAsia="仿宋_GB2312"/>
      <w:sz w:val="24"/>
    </w:rPr>
  </w:style>
  <w:style w:type="character" w:customStyle="1" w:styleId="24">
    <w:name w:val="批注框文本 Char"/>
    <w:basedOn w:val="17"/>
    <w:link w:val="9"/>
    <w:semiHidden/>
    <w:qFormat/>
    <w:uiPriority w:val="99"/>
    <w:rPr>
      <w:rFonts w:ascii="Times New Roman" w:hAnsi="Times New Roman"/>
      <w:kern w:val="2"/>
      <w:sz w:val="18"/>
      <w:szCs w:val="18"/>
    </w:rPr>
  </w:style>
  <w:style w:type="character" w:customStyle="1" w:styleId="25">
    <w:name w:val="页脚 Char"/>
    <w:link w:val="10"/>
    <w:qFormat/>
    <w:locked/>
    <w:uiPriority w:val="99"/>
    <w:rPr>
      <w:sz w:val="18"/>
    </w:rPr>
  </w:style>
  <w:style w:type="character" w:customStyle="1" w:styleId="26">
    <w:name w:val="页眉 Char"/>
    <w:link w:val="11"/>
    <w:semiHidden/>
    <w:qFormat/>
    <w:locked/>
    <w:uiPriority w:val="99"/>
    <w:rPr>
      <w:sz w:val="18"/>
    </w:rPr>
  </w:style>
  <w:style w:type="character" w:customStyle="1" w:styleId="27">
    <w:name w:val="Header Char"/>
    <w:basedOn w:val="17"/>
    <w:semiHidden/>
    <w:qFormat/>
    <w:uiPriority w:val="99"/>
    <w:rPr>
      <w:rFonts w:ascii="Times New Roman" w:hAnsi="Times New Roman"/>
      <w:sz w:val="18"/>
      <w:szCs w:val="18"/>
    </w:rPr>
  </w:style>
  <w:style w:type="character" w:customStyle="1" w:styleId="28">
    <w:name w:val="Footer Char"/>
    <w:basedOn w:val="17"/>
    <w:semiHidden/>
    <w:qFormat/>
    <w:uiPriority w:val="99"/>
    <w:rPr>
      <w:rFonts w:ascii="Times New Roman" w:hAnsi="Times New Roman"/>
      <w:sz w:val="18"/>
      <w:szCs w:val="18"/>
    </w:rPr>
  </w:style>
  <w:style w:type="character" w:customStyle="1" w:styleId="29">
    <w:name w:val="Body Text Char"/>
    <w:basedOn w:val="17"/>
    <w:semiHidden/>
    <w:qFormat/>
    <w:uiPriority w:val="99"/>
    <w:rPr>
      <w:rFonts w:ascii="Times New Roman" w:hAnsi="Times New Roman"/>
      <w:szCs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WPSOffice手动目录 1"/>
    <w:qFormat/>
    <w:uiPriority w:val="0"/>
    <w:rPr>
      <w:rFonts w:asciiTheme="minorHAnsi" w:hAnsiTheme="minorHAnsi" w:eastAsiaTheme="minorEastAsia" w:cstheme="minorBidi"/>
      <w:lang w:val="en-US" w:eastAsia="zh-CN" w:bidi="ar-SA"/>
    </w:rPr>
  </w:style>
  <w:style w:type="paragraph" w:customStyle="1" w:styleId="3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36">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166942976"/>
        <c:axId val="166948864"/>
      </c:barChart>
      <c:catAx>
        <c:axId val="166942976"/>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6948864"/>
        <c:crosses val="autoZero"/>
        <c:auto val="true"/>
        <c:lblAlgn val="ctr"/>
        <c:lblOffset val="100"/>
        <c:noMultiLvlLbl val="false"/>
      </c:catAx>
      <c:valAx>
        <c:axId val="166948864"/>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694297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Sheet1!$A$23:$A$24</c:f>
              <c:strCache>
                <c:ptCount val="2"/>
                <c:pt idx="0">
                  <c:v>一般公共预算财政拨款收入</c:v>
                </c:pt>
                <c:pt idx="1">
                  <c:v>其他收入</c:v>
                </c:pt>
              </c:strCache>
            </c:strRef>
          </c:cat>
          <c:val>
            <c:numRef>
              <c:f>Sheet1!$B$23:$B$24</c:f>
              <c:numCache>
                <c:formatCode>0.0%</c:formatCode>
                <c:ptCount val="2"/>
                <c:pt idx="0">
                  <c:v>1</c:v>
                </c:pt>
                <c:pt idx="1">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Sheet1!$A$40:$A$41</c:f>
              <c:strCache>
                <c:ptCount val="2"/>
                <c:pt idx="0">
                  <c:v>基本支出</c:v>
                </c:pt>
                <c:pt idx="1">
                  <c:v>项目支出</c:v>
                </c:pt>
              </c:strCache>
            </c:strRef>
          </c:cat>
          <c:val>
            <c:numRef>
              <c:f>Sheet1!$B$40:$B$41</c:f>
              <c:numCache>
                <c:formatCode>0.0%</c:formatCode>
                <c:ptCount val="2"/>
                <c:pt idx="0">
                  <c:v>0.836</c:v>
                </c:pt>
                <c:pt idx="1">
                  <c:v>0.164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167363712"/>
        <c:axId val="167365248"/>
      </c:barChart>
      <c:catAx>
        <c:axId val="167363712"/>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7365248"/>
        <c:crosses val="autoZero"/>
        <c:auto val="true"/>
        <c:lblAlgn val="ctr"/>
        <c:lblOffset val="100"/>
        <c:noMultiLvlLbl val="false"/>
      </c:catAx>
      <c:valAx>
        <c:axId val="167365248"/>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736371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167508224"/>
        <c:axId val="178511872"/>
      </c:barChart>
      <c:catAx>
        <c:axId val="167508224"/>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8511872"/>
        <c:crosses val="autoZero"/>
        <c:auto val="true"/>
        <c:lblAlgn val="ctr"/>
        <c:lblOffset val="100"/>
        <c:noMultiLvlLbl val="false"/>
      </c:catAx>
      <c:valAx>
        <c:axId val="178511872"/>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75082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Sheet1!$A$72:$A$75</c:f>
              <c:strCache>
                <c:ptCount val="4"/>
                <c:pt idx="0">
                  <c:v>公共安全支出</c:v>
                </c:pt>
                <c:pt idx="1">
                  <c:v>社会保障和就业支出</c:v>
                </c:pt>
                <c:pt idx="2">
                  <c:v>卫生健康支出</c:v>
                </c:pt>
                <c:pt idx="3">
                  <c:v>住房保障支出</c:v>
                </c:pt>
              </c:strCache>
            </c:strRef>
          </c:cat>
          <c:val>
            <c:numRef>
              <c:f>Sheet1!$B$72:$B$75</c:f>
              <c:numCache>
                <c:formatCode>0.0%</c:formatCode>
                <c:ptCount val="4"/>
                <c:pt idx="0">
                  <c:v>0.848</c:v>
                </c:pt>
                <c:pt idx="1">
                  <c:v>0.075</c:v>
                </c:pt>
                <c:pt idx="2">
                  <c:v>0.021</c:v>
                </c:pt>
                <c:pt idx="3">
                  <c:v>0.056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Sheet1!$A$88:$A$89</c:f>
              <c:strCache>
                <c:ptCount val="2"/>
                <c:pt idx="0">
                  <c:v>公务用车购置及运行维护费支出</c:v>
                </c:pt>
                <c:pt idx="1">
                  <c:v>公务接待费支出</c:v>
                </c:pt>
              </c:strCache>
            </c:strRef>
          </c:cat>
          <c:val>
            <c:numRef>
              <c:f>Sheet1!$B$88:$B$89</c:f>
              <c:numCache>
                <c:formatCode>0.00%</c:formatCode>
                <c:ptCount val="2"/>
                <c:pt idx="0">
                  <c:v>0.965</c:v>
                </c:pt>
                <c:pt idx="1">
                  <c:v>0.035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54</Pages>
  <Words>20235</Words>
  <Characters>23463</Characters>
  <Lines>209</Lines>
  <Paragraphs>59</Paragraphs>
  <TotalTime>7</TotalTime>
  <ScaleCrop>false</ScaleCrop>
  <LinksUpToDate>false</LinksUpToDate>
  <CharactersWithSpaces>23970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2024-10-09T20:15:00Z</dcterms:modified>
  <dc:title>四川省***</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6EE7E2332819458AA6A63CF9FE49427F_12</vt:lpwstr>
  </property>
</Properties>
</file>