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方正小标宋简体" w:hAnsi="宋体" w:eastAsia="方正小标宋简体"/>
          <w:sz w:val="44"/>
          <w:szCs w:val="44"/>
        </w:rPr>
      </w:pPr>
    </w:p>
    <w:p>
      <w:pPr>
        <w:pStyle w:val="2"/>
        <w:jc w:val="center"/>
        <w:rPr>
          <w:rFonts w:ascii="方正小标宋简体" w:hAnsi="宋体" w:eastAsia="方正小标宋简体"/>
          <w:sz w:val="44"/>
          <w:szCs w:val="44"/>
        </w:rPr>
      </w:pPr>
      <w:r>
        <w:rPr>
          <w:rFonts w:hint="eastAsia" w:ascii="方正小标宋简体" w:hAnsi="宋体" w:eastAsia="方正小标宋简体"/>
          <w:sz w:val="44"/>
          <w:szCs w:val="44"/>
        </w:rPr>
        <w:t>2023年度广元市利州区人民法院单位决算</w:t>
      </w:r>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sz w:val="28"/>
          <w:szCs w:val="28"/>
        </w:rPr>
      </w:pPr>
    </w:p>
    <w:p>
      <w:pPr>
        <w:pStyle w:val="12"/>
      </w:pPr>
      <w:r>
        <w:rPr>
          <w:rFonts w:hint="eastAsia"/>
        </w:rPr>
        <w:t>公开时间：2024年10月1</w:t>
      </w:r>
      <w:r>
        <w:rPr>
          <w:rFonts w:hint="eastAsia"/>
          <w:lang w:val="en-US" w:eastAsia="zh-CN"/>
        </w:rPr>
        <w:t>4</w:t>
      </w:r>
      <w:r>
        <w:rPr>
          <w:rFonts w:hint="eastAsia"/>
        </w:rPr>
        <w:t>日</w:t>
      </w:r>
    </w:p>
    <w:p/>
    <w:p>
      <w:pPr>
        <w:pStyle w:val="12"/>
        <w:adjustRightInd w:val="0"/>
        <w:snapToGrid w:val="0"/>
        <w:spacing w:before="0" w:line="440" w:lineRule="exact"/>
        <w:jc w:val="left"/>
        <w:rPr>
          <w:rFonts w:hint="eastAsia" w:eastAsia="仿宋"/>
          <w:sz w:val="24"/>
          <w:szCs w:val="24"/>
          <w:lang w:val="en-US" w:eastAsia="zh-CN"/>
        </w:rPr>
      </w:pPr>
      <w:r>
        <w:rPr>
          <w:rFonts w:hint="eastAsia"/>
          <w:sz w:val="24"/>
        </w:rPr>
        <w:t>第一部分</w:t>
      </w:r>
      <w:r>
        <w:rPr>
          <w:sz w:val="24"/>
        </w:rPr>
        <w:t xml:space="preserve"> </w:t>
      </w:r>
      <w:r>
        <w:rPr>
          <w:rFonts w:hint="eastAsia"/>
          <w:sz w:val="24"/>
        </w:rPr>
        <w:t>单位概况</w:t>
      </w:r>
      <w:r>
        <w:rPr>
          <w:rFonts w:hint="eastAsia"/>
          <w:sz w:val="24"/>
          <w:lang w:val="en-US" w:eastAsia="zh-CN"/>
        </w:rPr>
        <w:tab/>
      </w:r>
      <w:r>
        <w:rPr>
          <w:rFonts w:hint="eastAsia"/>
          <w:sz w:val="24"/>
          <w:lang w:val="en-US" w:eastAsia="zh-CN"/>
        </w:rPr>
        <w:t>1</w:t>
      </w:r>
    </w:p>
    <w:p>
      <w:pPr>
        <w:pStyle w:val="15"/>
        <w:adjustRightInd w:val="0"/>
        <w:snapToGrid w:val="0"/>
        <w:spacing w:line="440" w:lineRule="exact"/>
        <w:jc w:val="left"/>
        <w:rPr>
          <w:rFonts w:hint="eastAsia" w:eastAsia="宋体"/>
          <w:sz w:val="24"/>
          <w:lang w:val="en-US" w:eastAsia="zh-CN"/>
        </w:rPr>
      </w:pPr>
      <w:r>
        <w:rPr>
          <w:rFonts w:hint="eastAsia"/>
          <w:sz w:val="24"/>
        </w:rPr>
        <w:t>一、主要职责</w:t>
      </w:r>
      <w:r>
        <w:rPr>
          <w:rFonts w:hint="eastAsia"/>
          <w:sz w:val="24"/>
          <w:lang w:val="en-US" w:eastAsia="zh-CN"/>
        </w:rPr>
        <w:tab/>
      </w:r>
      <w:r>
        <w:rPr>
          <w:rFonts w:hint="eastAsia"/>
          <w:sz w:val="24"/>
          <w:lang w:val="en-US" w:eastAsia="zh-CN"/>
        </w:rPr>
        <w:t>1</w:t>
      </w:r>
    </w:p>
    <w:p>
      <w:pPr>
        <w:pStyle w:val="15"/>
        <w:adjustRightInd w:val="0"/>
        <w:snapToGrid w:val="0"/>
        <w:spacing w:line="440" w:lineRule="exact"/>
        <w:jc w:val="left"/>
        <w:rPr>
          <w:rFonts w:hint="eastAsia" w:eastAsia="宋体"/>
          <w:lang w:val="en-US" w:eastAsia="zh-CN"/>
        </w:rPr>
      </w:pPr>
      <w:r>
        <w:rPr>
          <w:rFonts w:hint="eastAsia"/>
          <w:sz w:val="24"/>
        </w:rPr>
        <w:t>二、机构设置</w:t>
      </w:r>
      <w:r>
        <w:rPr>
          <w:rFonts w:hint="eastAsia"/>
          <w:sz w:val="24"/>
          <w:lang w:val="en-US" w:eastAsia="zh-CN"/>
        </w:rPr>
        <w:tab/>
      </w:r>
      <w:r>
        <w:rPr>
          <w:rFonts w:hint="eastAsia"/>
          <w:sz w:val="24"/>
          <w:lang w:val="en-US" w:eastAsia="zh-CN"/>
        </w:rPr>
        <w:t>1</w:t>
      </w:r>
    </w:p>
    <w:p>
      <w:pPr>
        <w:pStyle w:val="12"/>
        <w:adjustRightInd w:val="0"/>
        <w:snapToGrid w:val="0"/>
        <w:spacing w:before="0" w:line="440" w:lineRule="exact"/>
        <w:jc w:val="left"/>
        <w:rPr>
          <w:rFonts w:hint="eastAsia" w:eastAsia="仿宋"/>
          <w:sz w:val="24"/>
          <w:szCs w:val="24"/>
          <w:lang w:val="en-US" w:eastAsia="zh-CN"/>
        </w:rPr>
      </w:pPr>
      <w:r>
        <w:rPr>
          <w:rFonts w:hint="eastAsia"/>
          <w:sz w:val="24"/>
        </w:rPr>
        <w:t>第二部分 2023年度单位决算情况说明</w:t>
      </w:r>
      <w:r>
        <w:rPr>
          <w:rFonts w:hint="eastAsia"/>
          <w:sz w:val="24"/>
          <w:lang w:val="en-US" w:eastAsia="zh-CN"/>
        </w:rPr>
        <w:tab/>
      </w:r>
      <w:r>
        <w:rPr>
          <w:rFonts w:hint="eastAsia"/>
          <w:sz w:val="24"/>
          <w:lang w:val="en-US" w:eastAsia="zh-CN"/>
        </w:rPr>
        <w:t>3</w:t>
      </w:r>
    </w:p>
    <w:p>
      <w:pPr>
        <w:pStyle w:val="15"/>
        <w:adjustRightInd w:val="0"/>
        <w:snapToGrid w:val="0"/>
        <w:spacing w:line="440" w:lineRule="exact"/>
        <w:jc w:val="left"/>
        <w:rPr>
          <w:rFonts w:hint="eastAsia" w:ascii="仿宋" w:hAnsi="仿宋" w:eastAsia="宋体"/>
          <w:sz w:val="24"/>
          <w:lang w:val="en-US" w:eastAsia="zh-CN"/>
        </w:rPr>
      </w:pPr>
      <w:r>
        <w:rPr>
          <w:rFonts w:hint="eastAsia"/>
          <w:sz w:val="24"/>
        </w:rPr>
        <w:t>一、收入支出决算总体情况说明</w:t>
      </w:r>
      <w:r>
        <w:rPr>
          <w:rFonts w:hint="eastAsia"/>
          <w:sz w:val="24"/>
          <w:lang w:val="en-US" w:eastAsia="zh-CN"/>
        </w:rPr>
        <w:tab/>
      </w:r>
      <w:r>
        <w:rPr>
          <w:rFonts w:hint="eastAsia"/>
          <w:sz w:val="24"/>
          <w:lang w:val="en-US" w:eastAsia="zh-CN"/>
        </w:rPr>
        <w:t>3</w:t>
      </w:r>
    </w:p>
    <w:p>
      <w:pPr>
        <w:pStyle w:val="15"/>
        <w:adjustRightInd w:val="0"/>
        <w:snapToGrid w:val="0"/>
        <w:spacing w:line="440" w:lineRule="exact"/>
        <w:jc w:val="left"/>
        <w:rPr>
          <w:rFonts w:hint="eastAsia" w:ascii="仿宋" w:hAnsi="仿宋" w:eastAsia="宋体"/>
          <w:sz w:val="24"/>
          <w:lang w:val="en-US" w:eastAsia="zh-CN"/>
        </w:rPr>
      </w:pPr>
      <w:r>
        <w:rPr>
          <w:rFonts w:hint="eastAsia"/>
          <w:sz w:val="24"/>
        </w:rPr>
        <w:t>二、收入决算情况说明</w:t>
      </w:r>
      <w:r>
        <w:rPr>
          <w:rFonts w:hint="eastAsia"/>
          <w:sz w:val="24"/>
          <w:lang w:val="en-US" w:eastAsia="zh-CN"/>
        </w:rPr>
        <w:tab/>
      </w:r>
      <w:r>
        <w:rPr>
          <w:rFonts w:hint="eastAsia"/>
          <w:sz w:val="24"/>
          <w:lang w:val="en-US" w:eastAsia="zh-CN"/>
        </w:rPr>
        <w:t>3</w:t>
      </w:r>
    </w:p>
    <w:p>
      <w:pPr>
        <w:pStyle w:val="15"/>
        <w:adjustRightInd w:val="0"/>
        <w:snapToGrid w:val="0"/>
        <w:spacing w:line="440" w:lineRule="exact"/>
        <w:jc w:val="left"/>
        <w:rPr>
          <w:rFonts w:hint="eastAsia" w:ascii="仿宋" w:hAnsi="仿宋" w:eastAsia="宋体"/>
          <w:sz w:val="24"/>
          <w:lang w:val="en-US" w:eastAsia="zh-CN"/>
        </w:rPr>
      </w:pPr>
      <w:r>
        <w:rPr>
          <w:rFonts w:hint="eastAsia"/>
          <w:sz w:val="24"/>
        </w:rPr>
        <w:t>三、支出决算情况说明</w:t>
      </w:r>
      <w:r>
        <w:rPr>
          <w:rFonts w:hint="eastAsia"/>
          <w:sz w:val="24"/>
          <w:lang w:val="en-US" w:eastAsia="zh-CN"/>
        </w:rPr>
        <w:tab/>
      </w:r>
      <w:r>
        <w:rPr>
          <w:rFonts w:hint="eastAsia"/>
          <w:sz w:val="24"/>
          <w:lang w:val="en-US" w:eastAsia="zh-CN"/>
        </w:rPr>
        <w:t>4</w:t>
      </w:r>
    </w:p>
    <w:p>
      <w:pPr>
        <w:pStyle w:val="15"/>
        <w:adjustRightInd w:val="0"/>
        <w:snapToGrid w:val="0"/>
        <w:spacing w:line="440" w:lineRule="exact"/>
        <w:jc w:val="left"/>
        <w:rPr>
          <w:rFonts w:hint="eastAsia" w:ascii="仿宋" w:hAnsi="仿宋" w:eastAsia="宋体"/>
          <w:sz w:val="24"/>
          <w:lang w:val="en-US" w:eastAsia="zh-CN"/>
        </w:rPr>
      </w:pPr>
      <w:r>
        <w:rPr>
          <w:rFonts w:hint="eastAsia"/>
          <w:sz w:val="24"/>
        </w:rPr>
        <w:t>四、财政拨款收入支出决算总体情况说明</w:t>
      </w:r>
      <w:r>
        <w:rPr>
          <w:rFonts w:hint="eastAsia"/>
          <w:sz w:val="24"/>
          <w:lang w:val="en-US" w:eastAsia="zh-CN"/>
        </w:rPr>
        <w:tab/>
      </w:r>
      <w:r>
        <w:rPr>
          <w:rFonts w:hint="eastAsia"/>
          <w:sz w:val="24"/>
          <w:lang w:val="en-US" w:eastAsia="zh-CN"/>
        </w:rPr>
        <w:t>4</w:t>
      </w:r>
    </w:p>
    <w:p>
      <w:pPr>
        <w:pStyle w:val="15"/>
        <w:adjustRightInd w:val="0"/>
        <w:snapToGrid w:val="0"/>
        <w:spacing w:line="440" w:lineRule="exact"/>
        <w:jc w:val="left"/>
        <w:rPr>
          <w:rFonts w:hint="eastAsia" w:ascii="仿宋" w:hAnsi="仿宋" w:eastAsia="宋体"/>
          <w:sz w:val="24"/>
          <w:lang w:val="en-US" w:eastAsia="zh-CN"/>
        </w:rPr>
      </w:pPr>
      <w:r>
        <w:rPr>
          <w:rFonts w:hint="eastAsia"/>
          <w:sz w:val="24"/>
        </w:rPr>
        <w:t>五、一般公共预算财政拨款支出决算情况说明</w:t>
      </w:r>
      <w:r>
        <w:rPr>
          <w:rFonts w:hint="eastAsia"/>
          <w:sz w:val="24"/>
          <w:lang w:val="en-US" w:eastAsia="zh-CN"/>
        </w:rPr>
        <w:tab/>
      </w:r>
      <w:r>
        <w:rPr>
          <w:rFonts w:hint="eastAsia"/>
          <w:sz w:val="24"/>
          <w:lang w:val="en-US" w:eastAsia="zh-CN"/>
        </w:rPr>
        <w:t>5</w:t>
      </w:r>
    </w:p>
    <w:p>
      <w:pPr>
        <w:pStyle w:val="15"/>
        <w:adjustRightInd w:val="0"/>
        <w:snapToGrid w:val="0"/>
        <w:spacing w:line="440" w:lineRule="exact"/>
        <w:jc w:val="left"/>
        <w:rPr>
          <w:rFonts w:hint="eastAsia" w:ascii="仿宋" w:hAnsi="仿宋" w:eastAsia="宋体"/>
          <w:sz w:val="24"/>
          <w:lang w:val="en-US" w:eastAsia="zh-CN"/>
        </w:rPr>
      </w:pPr>
      <w:r>
        <w:rPr>
          <w:rFonts w:hint="eastAsia"/>
          <w:sz w:val="24"/>
        </w:rPr>
        <w:t>六、一般公共预算财政拨款基本支出决算情况说明</w:t>
      </w:r>
      <w:r>
        <w:rPr>
          <w:rFonts w:hint="eastAsia"/>
          <w:sz w:val="24"/>
          <w:lang w:val="en-US" w:eastAsia="zh-CN"/>
        </w:rPr>
        <w:tab/>
      </w:r>
      <w:r>
        <w:rPr>
          <w:rFonts w:hint="eastAsia"/>
          <w:sz w:val="24"/>
          <w:lang w:val="en-US" w:eastAsia="zh-CN"/>
        </w:rPr>
        <w:t>7</w:t>
      </w:r>
    </w:p>
    <w:p>
      <w:pPr>
        <w:pStyle w:val="15"/>
        <w:adjustRightInd w:val="0"/>
        <w:snapToGrid w:val="0"/>
        <w:spacing w:line="440" w:lineRule="exact"/>
        <w:jc w:val="left"/>
        <w:rPr>
          <w:rFonts w:hint="eastAsia" w:ascii="仿宋" w:hAnsi="仿宋" w:eastAsia="宋体"/>
          <w:sz w:val="24"/>
          <w:lang w:val="en-US" w:eastAsia="zh-CN"/>
        </w:rPr>
      </w:pPr>
      <w:r>
        <w:rPr>
          <w:rFonts w:hint="eastAsia"/>
          <w:sz w:val="24"/>
        </w:rPr>
        <w:t>七、财政拨款“三公”经费支出决算情况说明</w:t>
      </w:r>
      <w:r>
        <w:rPr>
          <w:rFonts w:hint="eastAsia"/>
          <w:sz w:val="24"/>
          <w:lang w:val="en-US" w:eastAsia="zh-CN"/>
        </w:rPr>
        <w:tab/>
      </w:r>
      <w:r>
        <w:rPr>
          <w:rFonts w:hint="eastAsia"/>
          <w:sz w:val="24"/>
          <w:lang w:val="en-US" w:eastAsia="zh-CN"/>
        </w:rPr>
        <w:t>8</w:t>
      </w:r>
    </w:p>
    <w:p>
      <w:pPr>
        <w:pStyle w:val="15"/>
        <w:adjustRightInd w:val="0"/>
        <w:snapToGrid w:val="0"/>
        <w:spacing w:line="440" w:lineRule="exact"/>
        <w:jc w:val="left"/>
        <w:rPr>
          <w:rFonts w:hint="eastAsia" w:ascii="仿宋" w:hAnsi="仿宋" w:eastAsia="宋体"/>
          <w:sz w:val="24"/>
          <w:lang w:val="en-US" w:eastAsia="zh-CN"/>
        </w:rPr>
      </w:pPr>
      <w:r>
        <w:rPr>
          <w:rFonts w:hint="eastAsia"/>
          <w:sz w:val="24"/>
        </w:rPr>
        <w:t>八、政府性基金预算支出决算情况说明</w:t>
      </w:r>
      <w:r>
        <w:rPr>
          <w:rFonts w:hint="eastAsia"/>
          <w:sz w:val="24"/>
          <w:lang w:val="en-US" w:eastAsia="zh-CN"/>
        </w:rPr>
        <w:tab/>
      </w:r>
      <w:r>
        <w:rPr>
          <w:rFonts w:hint="eastAsia"/>
          <w:sz w:val="24"/>
          <w:lang w:val="en-US" w:eastAsia="zh-CN"/>
        </w:rPr>
        <w:t>10</w:t>
      </w:r>
    </w:p>
    <w:p>
      <w:pPr>
        <w:pStyle w:val="15"/>
        <w:adjustRightInd w:val="0"/>
        <w:snapToGrid w:val="0"/>
        <w:spacing w:line="440" w:lineRule="exact"/>
        <w:jc w:val="left"/>
        <w:rPr>
          <w:rFonts w:hint="eastAsia" w:eastAsia="宋体"/>
          <w:sz w:val="24"/>
          <w:lang w:val="en-US" w:eastAsia="zh-CN"/>
        </w:rPr>
      </w:pPr>
      <w:r>
        <w:rPr>
          <w:rFonts w:hint="eastAsia"/>
          <w:sz w:val="24"/>
        </w:rPr>
        <w:t>九、国有资本经营预算支出决算情况说明</w:t>
      </w:r>
      <w:r>
        <w:rPr>
          <w:rFonts w:hint="eastAsia"/>
          <w:sz w:val="24"/>
          <w:lang w:val="en-US" w:eastAsia="zh-CN"/>
        </w:rPr>
        <w:tab/>
      </w:r>
      <w:r>
        <w:rPr>
          <w:rFonts w:hint="eastAsia"/>
          <w:sz w:val="24"/>
          <w:lang w:val="en-US" w:eastAsia="zh-CN"/>
        </w:rPr>
        <w:t>10</w:t>
      </w:r>
    </w:p>
    <w:p>
      <w:pPr>
        <w:pStyle w:val="15"/>
        <w:adjustRightInd w:val="0"/>
        <w:snapToGrid w:val="0"/>
        <w:spacing w:line="440" w:lineRule="exact"/>
        <w:jc w:val="left"/>
        <w:rPr>
          <w:rFonts w:hint="eastAsia" w:eastAsia="宋体"/>
          <w:sz w:val="24"/>
          <w:lang w:val="en-US" w:eastAsia="zh-CN"/>
        </w:rPr>
      </w:pPr>
      <w:r>
        <w:rPr>
          <w:rFonts w:hint="eastAsia"/>
          <w:sz w:val="24"/>
        </w:rPr>
        <w:t>十、其他重要事项的情况说明</w:t>
      </w:r>
      <w:r>
        <w:rPr>
          <w:rFonts w:hint="eastAsia"/>
          <w:sz w:val="24"/>
          <w:lang w:val="en-US" w:eastAsia="zh-CN"/>
        </w:rPr>
        <w:tab/>
      </w:r>
      <w:r>
        <w:rPr>
          <w:rFonts w:hint="eastAsia"/>
          <w:sz w:val="24"/>
          <w:lang w:val="en-US" w:eastAsia="zh-CN"/>
        </w:rPr>
        <w:t>10</w:t>
      </w:r>
    </w:p>
    <w:p>
      <w:pPr>
        <w:pStyle w:val="12"/>
        <w:adjustRightInd w:val="0"/>
        <w:snapToGrid w:val="0"/>
        <w:spacing w:before="0" w:line="440" w:lineRule="exact"/>
        <w:jc w:val="left"/>
        <w:rPr>
          <w:rFonts w:hint="eastAsia" w:eastAsia="仿宋"/>
          <w:sz w:val="24"/>
          <w:szCs w:val="24"/>
          <w:lang w:val="en-US" w:eastAsia="zh-CN"/>
        </w:rPr>
      </w:pPr>
      <w:r>
        <w:rPr>
          <w:rFonts w:hint="eastAsia"/>
          <w:sz w:val="24"/>
        </w:rPr>
        <w:t>第三部分</w:t>
      </w:r>
      <w:r>
        <w:rPr>
          <w:sz w:val="24"/>
        </w:rPr>
        <w:t xml:space="preserve"> </w:t>
      </w:r>
      <w:r>
        <w:rPr>
          <w:rFonts w:hint="eastAsia"/>
          <w:sz w:val="24"/>
        </w:rPr>
        <w:t>名词解释</w:t>
      </w:r>
      <w:r>
        <w:rPr>
          <w:rFonts w:hint="eastAsia"/>
          <w:sz w:val="24"/>
          <w:lang w:val="en-US" w:eastAsia="zh-CN"/>
        </w:rPr>
        <w:tab/>
      </w:r>
      <w:r>
        <w:rPr>
          <w:rFonts w:hint="eastAsia"/>
          <w:sz w:val="24"/>
          <w:lang w:val="en-US" w:eastAsia="zh-CN"/>
        </w:rPr>
        <w:t>12</w:t>
      </w:r>
    </w:p>
    <w:p>
      <w:pPr>
        <w:pStyle w:val="12"/>
        <w:adjustRightInd w:val="0"/>
        <w:snapToGrid w:val="0"/>
        <w:spacing w:before="0" w:line="440" w:lineRule="exact"/>
        <w:jc w:val="left"/>
        <w:rPr>
          <w:rFonts w:hint="eastAsia" w:eastAsia="仿宋"/>
          <w:sz w:val="24"/>
          <w:szCs w:val="24"/>
          <w:lang w:val="en-US" w:eastAsia="zh-CN"/>
        </w:rPr>
      </w:pPr>
      <w:r>
        <w:rPr>
          <w:rFonts w:hint="eastAsia"/>
          <w:sz w:val="24"/>
        </w:rPr>
        <w:t>第四部分</w:t>
      </w:r>
      <w:r>
        <w:rPr>
          <w:sz w:val="24"/>
        </w:rPr>
        <w:t xml:space="preserve"> </w:t>
      </w:r>
      <w:r>
        <w:rPr>
          <w:rFonts w:hint="eastAsia"/>
          <w:sz w:val="24"/>
        </w:rPr>
        <w:t>附件</w:t>
      </w:r>
      <w:r>
        <w:rPr>
          <w:rFonts w:hint="eastAsia"/>
          <w:sz w:val="24"/>
          <w:lang w:val="en-US" w:eastAsia="zh-CN"/>
        </w:rPr>
        <w:tab/>
      </w:r>
      <w:r>
        <w:rPr>
          <w:rFonts w:hint="eastAsia"/>
          <w:sz w:val="24"/>
          <w:lang w:val="en-US" w:eastAsia="zh-CN"/>
        </w:rPr>
        <w:t>15</w:t>
      </w:r>
    </w:p>
    <w:p>
      <w:pPr>
        <w:pStyle w:val="12"/>
        <w:adjustRightInd w:val="0"/>
        <w:snapToGrid w:val="0"/>
        <w:spacing w:before="0" w:line="440" w:lineRule="exact"/>
        <w:jc w:val="left"/>
        <w:rPr>
          <w:rFonts w:hint="default" w:eastAsia="仿宋"/>
          <w:sz w:val="24"/>
          <w:szCs w:val="24"/>
          <w:lang w:val="en-US" w:eastAsia="zh-CN"/>
        </w:rPr>
      </w:pPr>
      <w:r>
        <w:rPr>
          <w:rFonts w:hint="eastAsia"/>
          <w:sz w:val="24"/>
        </w:rPr>
        <w:t>第五部分</w:t>
      </w:r>
      <w:r>
        <w:rPr>
          <w:sz w:val="24"/>
        </w:rPr>
        <w:t xml:space="preserve"> </w:t>
      </w:r>
      <w:r>
        <w:rPr>
          <w:rFonts w:hint="eastAsia"/>
          <w:sz w:val="24"/>
        </w:rPr>
        <w:t>附表</w:t>
      </w:r>
      <w:r>
        <w:rPr>
          <w:rFonts w:hint="eastAsia"/>
          <w:sz w:val="24"/>
          <w:lang w:val="en-US" w:eastAsia="zh-CN"/>
        </w:rPr>
        <w:tab/>
      </w:r>
      <w:r>
        <w:rPr>
          <w:rFonts w:hint="eastAsia"/>
          <w:sz w:val="24"/>
          <w:lang w:val="en-US" w:eastAsia="zh-CN"/>
        </w:rPr>
        <w:t>45</w:t>
      </w:r>
    </w:p>
    <w:p>
      <w:pPr>
        <w:pStyle w:val="15"/>
        <w:adjustRightInd w:val="0"/>
        <w:snapToGrid w:val="0"/>
        <w:spacing w:line="440" w:lineRule="exact"/>
        <w:jc w:val="left"/>
        <w:rPr>
          <w:rFonts w:hint="default" w:eastAsia="宋体"/>
          <w:sz w:val="24"/>
          <w:lang w:val="en-US" w:eastAsia="zh-CN"/>
        </w:rPr>
      </w:pPr>
      <w:r>
        <w:rPr>
          <w:rFonts w:hint="eastAsia"/>
          <w:sz w:val="24"/>
        </w:rPr>
        <w:t>一、收入支出决算总表</w:t>
      </w:r>
      <w:r>
        <w:rPr>
          <w:rFonts w:hint="eastAsia"/>
          <w:sz w:val="24"/>
          <w:lang w:val="en-US" w:eastAsia="zh-CN"/>
        </w:rPr>
        <w:tab/>
      </w:r>
      <w:r>
        <w:rPr>
          <w:rFonts w:hint="eastAsia"/>
          <w:sz w:val="24"/>
          <w:lang w:val="en-US" w:eastAsia="zh-CN"/>
        </w:rPr>
        <w:t>45</w:t>
      </w:r>
    </w:p>
    <w:p>
      <w:pPr>
        <w:pStyle w:val="15"/>
        <w:adjustRightInd w:val="0"/>
        <w:snapToGrid w:val="0"/>
        <w:spacing w:line="440" w:lineRule="exact"/>
        <w:jc w:val="left"/>
        <w:rPr>
          <w:rFonts w:hint="default" w:eastAsia="宋体"/>
          <w:sz w:val="24"/>
          <w:lang w:val="en-US" w:eastAsia="zh-CN"/>
        </w:rPr>
      </w:pPr>
      <w:r>
        <w:rPr>
          <w:rFonts w:hint="eastAsia"/>
          <w:sz w:val="24"/>
        </w:rPr>
        <w:t>二、收入决算表</w:t>
      </w:r>
      <w:r>
        <w:rPr>
          <w:rFonts w:hint="eastAsia"/>
          <w:sz w:val="24"/>
          <w:lang w:val="en-US" w:eastAsia="zh-CN"/>
        </w:rPr>
        <w:tab/>
      </w:r>
      <w:r>
        <w:rPr>
          <w:rFonts w:hint="eastAsia"/>
          <w:sz w:val="24"/>
          <w:lang w:val="en-US" w:eastAsia="zh-CN"/>
        </w:rPr>
        <w:t>45</w:t>
      </w:r>
    </w:p>
    <w:p>
      <w:pPr>
        <w:pStyle w:val="15"/>
        <w:adjustRightInd w:val="0"/>
        <w:snapToGrid w:val="0"/>
        <w:spacing w:line="440" w:lineRule="exact"/>
        <w:jc w:val="left"/>
        <w:rPr>
          <w:rFonts w:hint="default" w:eastAsia="宋体"/>
          <w:sz w:val="24"/>
          <w:lang w:val="en-US" w:eastAsia="zh-CN"/>
        </w:rPr>
      </w:pPr>
      <w:r>
        <w:rPr>
          <w:rFonts w:hint="eastAsia"/>
          <w:sz w:val="24"/>
        </w:rPr>
        <w:t>三、支出决算表</w:t>
      </w:r>
      <w:r>
        <w:rPr>
          <w:rFonts w:hint="eastAsia"/>
          <w:sz w:val="24"/>
          <w:lang w:val="en-US" w:eastAsia="zh-CN"/>
        </w:rPr>
        <w:tab/>
      </w:r>
      <w:r>
        <w:rPr>
          <w:rFonts w:hint="eastAsia"/>
          <w:sz w:val="24"/>
          <w:lang w:val="en-US" w:eastAsia="zh-CN"/>
        </w:rPr>
        <w:t>45</w:t>
      </w:r>
    </w:p>
    <w:p>
      <w:pPr>
        <w:pStyle w:val="15"/>
        <w:adjustRightInd w:val="0"/>
        <w:snapToGrid w:val="0"/>
        <w:spacing w:line="440" w:lineRule="exact"/>
        <w:jc w:val="left"/>
        <w:rPr>
          <w:rFonts w:hint="default" w:eastAsia="宋体"/>
          <w:sz w:val="24"/>
          <w:lang w:val="en-US" w:eastAsia="zh-CN"/>
        </w:rPr>
      </w:pPr>
      <w:r>
        <w:rPr>
          <w:rFonts w:hint="eastAsia"/>
          <w:sz w:val="24"/>
        </w:rPr>
        <w:t>四、财政拨款收入支出决算总表</w:t>
      </w:r>
      <w:r>
        <w:rPr>
          <w:rFonts w:hint="eastAsia"/>
          <w:sz w:val="24"/>
          <w:lang w:val="en-US" w:eastAsia="zh-CN"/>
        </w:rPr>
        <w:tab/>
      </w:r>
      <w:r>
        <w:rPr>
          <w:rFonts w:hint="eastAsia"/>
          <w:sz w:val="24"/>
          <w:lang w:val="en-US" w:eastAsia="zh-CN"/>
        </w:rPr>
        <w:t>45</w:t>
      </w:r>
    </w:p>
    <w:p>
      <w:pPr>
        <w:pStyle w:val="15"/>
        <w:adjustRightInd w:val="0"/>
        <w:snapToGrid w:val="0"/>
        <w:spacing w:line="440" w:lineRule="exact"/>
        <w:jc w:val="left"/>
        <w:rPr>
          <w:rFonts w:hint="default" w:eastAsia="宋体"/>
          <w:sz w:val="24"/>
          <w:lang w:val="en-US" w:eastAsia="zh-CN"/>
        </w:rPr>
      </w:pPr>
      <w:r>
        <w:rPr>
          <w:rFonts w:hint="eastAsia"/>
          <w:sz w:val="24"/>
        </w:rPr>
        <w:t>五、财政拨款支出决算明细表</w:t>
      </w:r>
      <w:r>
        <w:rPr>
          <w:rFonts w:hint="eastAsia"/>
          <w:sz w:val="24"/>
          <w:lang w:val="en-US" w:eastAsia="zh-CN"/>
        </w:rPr>
        <w:tab/>
      </w:r>
      <w:r>
        <w:rPr>
          <w:rFonts w:hint="eastAsia"/>
          <w:sz w:val="24"/>
          <w:lang w:val="en-US" w:eastAsia="zh-CN"/>
        </w:rPr>
        <w:t>45</w:t>
      </w:r>
    </w:p>
    <w:p>
      <w:pPr>
        <w:pStyle w:val="15"/>
        <w:adjustRightInd w:val="0"/>
        <w:snapToGrid w:val="0"/>
        <w:spacing w:line="440" w:lineRule="exact"/>
        <w:jc w:val="left"/>
        <w:rPr>
          <w:rFonts w:hint="default" w:eastAsia="宋体"/>
          <w:sz w:val="24"/>
          <w:lang w:val="en-US" w:eastAsia="zh-CN"/>
        </w:rPr>
      </w:pPr>
      <w:r>
        <w:rPr>
          <w:rFonts w:hint="eastAsia"/>
          <w:sz w:val="24"/>
        </w:rPr>
        <w:t>六、一般公共预算财政拨款支出决算表</w:t>
      </w:r>
      <w:r>
        <w:rPr>
          <w:rFonts w:hint="eastAsia"/>
          <w:sz w:val="24"/>
          <w:lang w:val="en-US" w:eastAsia="zh-CN"/>
        </w:rPr>
        <w:tab/>
      </w:r>
      <w:r>
        <w:rPr>
          <w:rFonts w:hint="eastAsia"/>
          <w:sz w:val="24"/>
          <w:lang w:val="en-US" w:eastAsia="zh-CN"/>
        </w:rPr>
        <w:t>45</w:t>
      </w:r>
    </w:p>
    <w:p>
      <w:pPr>
        <w:pStyle w:val="15"/>
        <w:adjustRightInd w:val="0"/>
        <w:snapToGrid w:val="0"/>
        <w:spacing w:line="440" w:lineRule="exact"/>
        <w:jc w:val="left"/>
        <w:rPr>
          <w:rFonts w:hint="default" w:eastAsia="宋体"/>
          <w:sz w:val="24"/>
          <w:lang w:val="en-US" w:eastAsia="zh-CN"/>
        </w:rPr>
      </w:pPr>
      <w:r>
        <w:rPr>
          <w:rFonts w:hint="eastAsia"/>
          <w:sz w:val="24"/>
        </w:rPr>
        <w:t>七、一般公共预算财政拨款支出决算明细表</w:t>
      </w:r>
      <w:r>
        <w:rPr>
          <w:rFonts w:hint="eastAsia"/>
          <w:sz w:val="24"/>
          <w:lang w:val="en-US" w:eastAsia="zh-CN"/>
        </w:rPr>
        <w:tab/>
      </w:r>
      <w:r>
        <w:rPr>
          <w:rFonts w:hint="eastAsia"/>
          <w:sz w:val="24"/>
          <w:lang w:val="en-US" w:eastAsia="zh-CN"/>
        </w:rPr>
        <w:t>45</w:t>
      </w:r>
    </w:p>
    <w:p>
      <w:pPr>
        <w:pStyle w:val="15"/>
        <w:adjustRightInd w:val="0"/>
        <w:snapToGrid w:val="0"/>
        <w:spacing w:line="440" w:lineRule="exact"/>
        <w:jc w:val="left"/>
        <w:rPr>
          <w:rFonts w:hint="default" w:eastAsia="宋体"/>
          <w:sz w:val="24"/>
          <w:lang w:val="en-US" w:eastAsia="zh-CN"/>
        </w:rPr>
      </w:pPr>
      <w:r>
        <w:rPr>
          <w:rFonts w:hint="eastAsia"/>
          <w:sz w:val="24"/>
        </w:rPr>
        <w:t>八、一般公共预算财政拨款基本支出决算明细表</w:t>
      </w:r>
      <w:r>
        <w:rPr>
          <w:rFonts w:hint="eastAsia"/>
          <w:sz w:val="24"/>
          <w:lang w:val="en-US" w:eastAsia="zh-CN"/>
        </w:rPr>
        <w:tab/>
      </w:r>
      <w:r>
        <w:rPr>
          <w:rFonts w:hint="eastAsia"/>
          <w:sz w:val="24"/>
          <w:lang w:val="en-US" w:eastAsia="zh-CN"/>
        </w:rPr>
        <w:t>45</w:t>
      </w:r>
    </w:p>
    <w:p>
      <w:pPr>
        <w:pStyle w:val="15"/>
        <w:adjustRightInd w:val="0"/>
        <w:snapToGrid w:val="0"/>
        <w:spacing w:line="440" w:lineRule="exact"/>
        <w:jc w:val="left"/>
        <w:rPr>
          <w:rFonts w:hint="default" w:eastAsia="宋体"/>
          <w:sz w:val="24"/>
          <w:lang w:val="en-US" w:eastAsia="zh-CN"/>
        </w:rPr>
      </w:pPr>
      <w:r>
        <w:rPr>
          <w:rFonts w:hint="eastAsia"/>
          <w:sz w:val="24"/>
        </w:rPr>
        <w:t>九、一般公共预算财政拨款项目支出决算表</w:t>
      </w:r>
      <w:r>
        <w:rPr>
          <w:rFonts w:hint="eastAsia"/>
          <w:sz w:val="24"/>
          <w:lang w:val="en-US" w:eastAsia="zh-CN"/>
        </w:rPr>
        <w:tab/>
      </w:r>
      <w:r>
        <w:rPr>
          <w:rFonts w:hint="eastAsia"/>
          <w:sz w:val="24"/>
          <w:lang w:val="en-US" w:eastAsia="zh-CN"/>
        </w:rPr>
        <w:t>45</w:t>
      </w:r>
    </w:p>
    <w:p>
      <w:pPr>
        <w:pStyle w:val="15"/>
        <w:adjustRightInd w:val="0"/>
        <w:snapToGrid w:val="0"/>
        <w:spacing w:line="440" w:lineRule="exact"/>
        <w:jc w:val="left"/>
        <w:rPr>
          <w:rFonts w:hint="eastAsia"/>
          <w:sz w:val="24"/>
          <w:lang w:val="en-US" w:eastAsia="zh-CN"/>
        </w:rPr>
      </w:pPr>
      <w:r>
        <w:rPr>
          <w:rFonts w:hint="eastAsia"/>
          <w:sz w:val="24"/>
        </w:rPr>
        <w:t>十、政府性基金预算财政拨款收入支出决算表</w:t>
      </w:r>
      <w:r>
        <w:rPr>
          <w:rFonts w:hint="eastAsia"/>
          <w:sz w:val="24"/>
          <w:lang w:val="en-US" w:eastAsia="zh-CN"/>
        </w:rPr>
        <w:tab/>
      </w:r>
      <w:r>
        <w:rPr>
          <w:rFonts w:hint="eastAsia"/>
          <w:sz w:val="24"/>
          <w:lang w:val="en-US" w:eastAsia="zh-CN"/>
        </w:rPr>
        <w:t>45</w:t>
      </w:r>
    </w:p>
    <w:p>
      <w:pPr>
        <w:pStyle w:val="15"/>
        <w:adjustRightInd w:val="0"/>
        <w:snapToGrid w:val="0"/>
        <w:spacing w:line="440" w:lineRule="exact"/>
        <w:jc w:val="left"/>
        <w:rPr>
          <w:rFonts w:hint="default" w:eastAsia="宋体"/>
          <w:sz w:val="24"/>
          <w:lang w:val="en-US" w:eastAsia="zh-CN"/>
        </w:rPr>
      </w:pPr>
      <w:r>
        <w:rPr>
          <w:rFonts w:hint="eastAsia"/>
          <w:sz w:val="24"/>
        </w:rPr>
        <w:t>十一、国有资本经营预算财政拨款收入支出决算表</w:t>
      </w:r>
      <w:r>
        <w:rPr>
          <w:rFonts w:hint="eastAsia"/>
          <w:sz w:val="24"/>
          <w:lang w:val="en-US" w:eastAsia="zh-CN"/>
        </w:rPr>
        <w:tab/>
      </w:r>
      <w:r>
        <w:rPr>
          <w:rFonts w:hint="eastAsia"/>
          <w:sz w:val="24"/>
          <w:lang w:val="en-US" w:eastAsia="zh-CN"/>
        </w:rPr>
        <w:t>45</w:t>
      </w:r>
    </w:p>
    <w:p>
      <w:pPr>
        <w:pStyle w:val="15"/>
        <w:adjustRightInd w:val="0"/>
        <w:snapToGrid w:val="0"/>
        <w:spacing w:line="440" w:lineRule="exact"/>
        <w:jc w:val="left"/>
        <w:rPr>
          <w:rFonts w:hint="default" w:eastAsia="宋体"/>
          <w:sz w:val="24"/>
          <w:lang w:val="en-US" w:eastAsia="zh-CN"/>
        </w:rPr>
      </w:pPr>
      <w:r>
        <w:rPr>
          <w:rFonts w:hint="eastAsia"/>
          <w:sz w:val="24"/>
        </w:rPr>
        <w:t>十二、国有资本经营预算财政拨款支出决算表</w:t>
      </w:r>
      <w:r>
        <w:rPr>
          <w:rFonts w:hint="eastAsia"/>
          <w:sz w:val="24"/>
          <w:lang w:val="en-US" w:eastAsia="zh-CN"/>
        </w:rPr>
        <w:tab/>
      </w:r>
      <w:r>
        <w:rPr>
          <w:rFonts w:hint="eastAsia"/>
          <w:sz w:val="24"/>
          <w:lang w:val="en-US" w:eastAsia="zh-CN"/>
        </w:rPr>
        <w:t>45</w:t>
      </w:r>
    </w:p>
    <w:p>
      <w:pPr>
        <w:pStyle w:val="15"/>
        <w:adjustRightInd w:val="0"/>
        <w:snapToGrid w:val="0"/>
        <w:spacing w:line="440" w:lineRule="exact"/>
        <w:jc w:val="left"/>
        <w:rPr>
          <w:rFonts w:hint="default" w:eastAsia="宋体"/>
          <w:sz w:val="24"/>
          <w:lang w:val="en-US" w:eastAsia="zh-CN"/>
        </w:rPr>
      </w:pPr>
      <w:r>
        <w:rPr>
          <w:rFonts w:hint="eastAsia"/>
          <w:sz w:val="24"/>
        </w:rPr>
        <w:t>十三、财政拨款“三公”经费支出决算表</w:t>
      </w:r>
      <w:r>
        <w:rPr>
          <w:rFonts w:hint="eastAsia"/>
          <w:sz w:val="24"/>
          <w:lang w:val="en-US" w:eastAsia="zh-CN"/>
        </w:rPr>
        <w:tab/>
      </w:r>
      <w:r>
        <w:rPr>
          <w:rFonts w:hint="eastAsia"/>
          <w:sz w:val="24"/>
          <w:lang w:val="en-US" w:eastAsia="zh-CN"/>
        </w:rPr>
        <w:t>45</w:t>
      </w:r>
      <w:bookmarkStart w:id="41" w:name="_GoBack"/>
      <w:bookmarkEnd w:id="41"/>
    </w:p>
    <w:p>
      <w:pPr>
        <w:pStyle w:val="3"/>
        <w:jc w:val="center"/>
        <w:rPr>
          <w:rFonts w:hint="eastAsia" w:ascii="黑体" w:hAnsi="黑体" w:eastAsia="黑体"/>
          <w:b w:val="0"/>
        </w:rPr>
        <w:sectPr>
          <w:pgSz w:w="11906" w:h="16838"/>
          <w:pgMar w:top="1440" w:right="1800" w:bottom="1440" w:left="1800" w:header="720" w:footer="720" w:gutter="0"/>
          <w:cols w:space="720" w:num="1"/>
          <w:docGrid w:type="lines" w:linePitch="312" w:charSpace="0"/>
        </w:sectPr>
      </w:pPr>
    </w:p>
    <w:p>
      <w:pPr>
        <w:pStyle w:val="3"/>
        <w:jc w:val="center"/>
        <w:rPr>
          <w:rStyle w:val="21"/>
          <w:rFonts w:ascii="黑体" w:hAnsi="黑体" w:eastAsia="黑体"/>
          <w:b w:val="0"/>
          <w:bCs w:val="0"/>
        </w:rPr>
      </w:pPr>
      <w:r>
        <w:rPr>
          <w:rFonts w:hint="eastAsia" w:ascii="黑体" w:hAnsi="黑体" w:eastAsia="黑体"/>
          <w:b w:val="0"/>
        </w:rPr>
        <w:t>第一部分 单位</w:t>
      </w:r>
      <w:r>
        <w:rPr>
          <w:rStyle w:val="21"/>
          <w:rFonts w:hint="eastAsia" w:ascii="黑体" w:hAnsi="黑体" w:eastAsia="黑体"/>
          <w:b w:val="0"/>
          <w:bCs w:val="0"/>
        </w:rPr>
        <w:t>概况</w:t>
      </w:r>
    </w:p>
    <w:p>
      <w:pPr>
        <w:pStyle w:val="4"/>
        <w:rPr>
          <w:rFonts w:ascii="黑体" w:hAnsi="黑体" w:eastAsia="黑体"/>
          <w:b w:val="0"/>
        </w:rPr>
      </w:pPr>
      <w:bookmarkStart w:id="0" w:name="_Toc15396600"/>
      <w:bookmarkStart w:id="1" w:name="_Toc15377197"/>
      <w:r>
        <w:rPr>
          <w:rFonts w:hint="eastAsia" w:ascii="黑体" w:hAnsi="黑体" w:eastAsia="黑体"/>
          <w:b w:val="0"/>
        </w:rPr>
        <w:t>一、</w:t>
      </w:r>
      <w:bookmarkEnd w:id="0"/>
      <w:bookmarkEnd w:id="1"/>
      <w:r>
        <w:rPr>
          <w:rFonts w:hint="eastAsia" w:ascii="黑体" w:hAnsi="黑体" w:eastAsia="黑体"/>
          <w:b w:val="0"/>
        </w:rPr>
        <w:t>部门职责</w:t>
      </w:r>
    </w:p>
    <w:p>
      <w:pPr>
        <w:spacing w:line="560" w:lineRule="exact"/>
        <w:ind w:firstLine="640" w:firstLineChars="200"/>
        <w:rPr>
          <w:rFonts w:ascii="仿宋" w:hAnsi="仿宋" w:eastAsia="仿宋"/>
          <w:color w:val="000000"/>
          <w:sz w:val="32"/>
          <w:szCs w:val="32"/>
        </w:rPr>
      </w:pPr>
      <w:bookmarkStart w:id="2" w:name="_Toc15377198"/>
      <w:bookmarkStart w:id="3" w:name="_Toc15378445"/>
      <w:r>
        <w:rPr>
          <w:rFonts w:hint="eastAsia" w:ascii="仿宋" w:hAnsi="仿宋" w:eastAsia="仿宋"/>
          <w:color w:val="000000"/>
          <w:sz w:val="32"/>
          <w:szCs w:val="32"/>
        </w:rPr>
        <w:t>1、依法审判法律规定由广元市利州区人民法院管辖的刑事、民事、行政等第一审案件。</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2、依法审理上级人民法院指令再审的案件，复查审理本院判决、裁定发生法律效力后的申诉和再审案件。</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3、依法行使司法执行权和司法决定权。</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4、指导人民调解委员会的工作。</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5、指导人民陪审员工作</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6、针对案件审理中发现的问题提出司法建议。</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7、负责本院思想政治、教育培训工作；按权限和有关规定分类管理员额法官、法官助理、书记员、司法警察、司法行政综合类人员及司法辅助人员；协同主管部门管理本院机构设置、人员编制。</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8、负责本院的督察工作。</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9、管理本院的有关经费和物资装备。</w:t>
      </w:r>
    </w:p>
    <w:p>
      <w:pPr>
        <w:spacing w:line="56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10、参与社会治安综合管理工作。</w:t>
      </w:r>
    </w:p>
    <w:p>
      <w:pPr>
        <w:spacing w:line="560" w:lineRule="exact"/>
        <w:ind w:firstLine="640" w:firstLineChars="200"/>
        <w:rPr>
          <w:rFonts w:ascii="仿宋" w:hAnsi="仿宋" w:eastAsia="仿宋"/>
          <w:color w:val="000000"/>
          <w:sz w:val="32"/>
          <w:szCs w:val="32"/>
          <w:lang w:val="zh-CN"/>
        </w:rPr>
      </w:pPr>
      <w:r>
        <w:rPr>
          <w:rFonts w:hint="eastAsia" w:ascii="仿宋" w:hAnsi="仿宋" w:eastAsia="仿宋"/>
          <w:color w:val="000000"/>
          <w:sz w:val="32"/>
          <w:szCs w:val="32"/>
        </w:rPr>
        <w:t>11、承办其他应由广元市利州区人民法院负责的工作。</w:t>
      </w:r>
    </w:p>
    <w:bookmarkEnd w:id="2"/>
    <w:bookmarkEnd w:id="3"/>
    <w:p/>
    <w:p>
      <w:pPr>
        <w:pStyle w:val="4"/>
        <w:ind w:firstLine="640" w:firstLineChars="200"/>
        <w:rPr>
          <w:rStyle w:val="22"/>
          <w:b w:val="0"/>
          <w:bCs w:val="0"/>
        </w:rPr>
      </w:pPr>
      <w:bookmarkStart w:id="4" w:name="_Toc15377200"/>
      <w:bookmarkStart w:id="5" w:name="_Toc15396601"/>
      <w:r>
        <w:rPr>
          <w:rFonts w:hint="eastAsia" w:ascii="黑体" w:eastAsia="黑体"/>
          <w:b w:val="0"/>
        </w:rPr>
        <w:t>二、</w:t>
      </w:r>
      <w:r>
        <w:rPr>
          <w:rFonts w:hint="eastAsia" w:ascii="黑体" w:hAnsi="黑体" w:eastAsia="黑体"/>
          <w:b w:val="0"/>
        </w:rPr>
        <w:t>机</w:t>
      </w:r>
      <w:r>
        <w:rPr>
          <w:rStyle w:val="22"/>
          <w:rFonts w:hint="eastAsia" w:ascii="黑体" w:hAnsi="黑体" w:eastAsia="黑体"/>
          <w:b w:val="0"/>
          <w:bCs w:val="0"/>
        </w:rPr>
        <w:t>构设置</w:t>
      </w:r>
      <w:bookmarkEnd w:id="4"/>
      <w:bookmarkEnd w:id="5"/>
    </w:p>
    <w:p>
      <w:pPr>
        <w:spacing w:line="576" w:lineRule="exact"/>
        <w:ind w:firstLine="640" w:firstLineChars="200"/>
        <w:rPr>
          <w:rFonts w:ascii="仿宋_GB2312" w:hAnsi="仿宋_GB2312" w:eastAsia="仿宋_GB2312" w:cs="仿宋_GB2312"/>
          <w:sz w:val="32"/>
          <w:szCs w:val="32"/>
        </w:rPr>
      </w:pPr>
      <w:r>
        <w:rPr>
          <w:rFonts w:hint="eastAsia" w:ascii="仿宋" w:hAnsi="仿宋" w:eastAsia="仿宋"/>
          <w:color w:val="000000"/>
          <w:sz w:val="32"/>
          <w:szCs w:val="32"/>
          <w:lang w:eastAsia="zh-CN"/>
        </w:rPr>
        <w:t>我单位属</w:t>
      </w:r>
      <w:r>
        <w:rPr>
          <w:rFonts w:hint="eastAsia" w:ascii="仿宋" w:hAnsi="仿宋" w:eastAsia="仿宋"/>
          <w:color w:val="000000"/>
          <w:sz w:val="32"/>
          <w:szCs w:val="32"/>
        </w:rPr>
        <w:t>广元市利州区人民法院</w:t>
      </w:r>
      <w:r>
        <w:rPr>
          <w:rFonts w:hint="eastAsia" w:ascii="仿宋" w:hAnsi="仿宋" w:eastAsia="仿宋"/>
          <w:color w:val="000000"/>
          <w:sz w:val="32"/>
          <w:szCs w:val="32"/>
          <w:lang w:eastAsia="zh-CN"/>
        </w:rPr>
        <w:t>部门</w:t>
      </w:r>
      <w:r>
        <w:rPr>
          <w:rFonts w:hint="eastAsia" w:ascii="仿宋" w:hAnsi="仿宋" w:eastAsia="仿宋"/>
          <w:color w:val="000000"/>
          <w:sz w:val="32"/>
          <w:szCs w:val="32"/>
        </w:rPr>
        <w:t>为</w:t>
      </w:r>
      <w:r>
        <w:rPr>
          <w:rFonts w:hint="eastAsia" w:ascii="仿宋" w:hAnsi="仿宋" w:eastAsia="仿宋"/>
          <w:color w:val="000000"/>
          <w:sz w:val="32"/>
          <w:szCs w:val="32"/>
          <w:lang w:eastAsia="zh-CN"/>
        </w:rPr>
        <w:t>二</w:t>
      </w:r>
      <w:r>
        <w:rPr>
          <w:rFonts w:hint="eastAsia" w:ascii="仿宋" w:hAnsi="仿宋" w:eastAsia="仿宋"/>
          <w:color w:val="000000"/>
          <w:sz w:val="32"/>
          <w:szCs w:val="32"/>
        </w:rPr>
        <w:t>级预算单位，无下属单位。内设4个综合部门（政治部（督察室）、行装办、综合办、法警大队），8个审判庭（审管办、民一庭、民二庭、民三庭、刑庭、行政庭、执行局、立案庭、），1个联调中心、6个人民法庭（东坝人民法庭、嘉陵人民法庭、大石人民法庭、宝轮人民法庭、天曌山人民法庭、经济开发区人民法庭）。</w:t>
      </w:r>
      <w:r>
        <w:rPr>
          <w:rFonts w:hint="eastAsia" w:ascii="仿宋" w:hAnsi="仿宋" w:eastAsia="仿宋"/>
          <w:color w:val="000000"/>
          <w:sz w:val="32"/>
          <w:szCs w:val="32"/>
        </w:rPr>
        <w:br w:type="page"/>
      </w:r>
    </w:p>
    <w:p>
      <w:pPr>
        <w:spacing w:line="560" w:lineRule="exact"/>
        <w:ind w:firstLine="640" w:firstLineChars="200"/>
        <w:rPr>
          <w:rFonts w:hint="eastAsia" w:ascii="仿宋" w:hAnsi="仿宋" w:eastAsia="仿宋"/>
          <w:color w:val="000000"/>
          <w:sz w:val="32"/>
          <w:szCs w:val="32"/>
        </w:rPr>
      </w:pPr>
    </w:p>
    <w:p>
      <w:pPr>
        <w:pStyle w:val="3"/>
        <w:ind w:right="440"/>
        <w:jc w:val="center"/>
        <w:rPr>
          <w:rStyle w:val="21"/>
          <w:rFonts w:ascii="黑体" w:hAnsi="黑体" w:eastAsia="黑体"/>
          <w:b w:val="0"/>
          <w:bCs/>
        </w:rPr>
      </w:pPr>
      <w:bookmarkStart w:id="6" w:name="_Toc15396602"/>
      <w:bookmarkStart w:id="7" w:name="_Toc15377204"/>
      <w:r>
        <w:rPr>
          <w:rFonts w:hint="eastAsia" w:ascii="黑体" w:hAnsi="黑体" w:eastAsia="黑体"/>
          <w:b w:val="0"/>
        </w:rPr>
        <w:t>第二部分 2023年度</w:t>
      </w:r>
      <w:r>
        <w:rPr>
          <w:rStyle w:val="21"/>
          <w:rFonts w:hint="eastAsia" w:ascii="黑体" w:hAnsi="黑体" w:eastAsia="黑体"/>
          <w:b w:val="0"/>
          <w:bCs/>
        </w:rPr>
        <w:t>部门决算情况说明</w:t>
      </w:r>
      <w:bookmarkEnd w:id="6"/>
      <w:bookmarkEnd w:id="7"/>
    </w:p>
    <w:p/>
    <w:p>
      <w:pPr>
        <w:pStyle w:val="26"/>
        <w:numPr>
          <w:ilvl w:val="0"/>
          <w:numId w:val="1"/>
        </w:numPr>
        <w:spacing w:line="600" w:lineRule="exact"/>
        <w:ind w:firstLineChars="0"/>
        <w:outlineLvl w:val="1"/>
        <w:rPr>
          <w:rStyle w:val="22"/>
          <w:rFonts w:ascii="黑体" w:hAnsi="黑体" w:eastAsia="黑体"/>
          <w:b w:val="0"/>
        </w:rPr>
      </w:pPr>
      <w:bookmarkStart w:id="8" w:name="_Toc15377205"/>
      <w:bookmarkStart w:id="9" w:name="_Toc15396603"/>
      <w:r>
        <w:rPr>
          <w:rFonts w:hint="eastAsia" w:ascii="黑体" w:hAnsi="黑体" w:eastAsia="黑体"/>
          <w:sz w:val="32"/>
          <w:szCs w:val="32"/>
        </w:rPr>
        <w:t>收</w:t>
      </w:r>
      <w:r>
        <w:rPr>
          <w:rStyle w:val="22"/>
          <w:rFonts w:hint="eastAsia" w:ascii="黑体" w:hAnsi="黑体" w:eastAsia="黑体"/>
          <w:b w:val="0"/>
        </w:rPr>
        <w:t>入支出决算总体情况说明</w:t>
      </w:r>
      <w:bookmarkEnd w:id="8"/>
      <w:bookmarkEnd w:id="9"/>
    </w:p>
    <w:p>
      <w:pPr>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2023年度收、支总计均为5143.11万元。与2022年度相比，收、支总计各增加1388.72万元，增长37%。主要变动原因是法庭建设尾款支付、案件数增加、人员增加。</w:t>
      </w:r>
      <w:r>
        <w:rPr>
          <w:rFonts w:hint="eastAsia" w:ascii="仿宋_GB2312" w:hAnsi="仿宋_GB2312" w:eastAsia="仿宋_GB2312" w:cs="仿宋_GB2312"/>
          <w:sz w:val="32"/>
          <w:szCs w:val="32"/>
        </w:rPr>
        <w:drawing>
          <wp:inline distT="0" distB="0" distL="114300" distR="114300">
            <wp:extent cx="3990340" cy="2276475"/>
            <wp:effectExtent l="0" t="0" r="10160" b="9525"/>
            <wp:docPr id="8" name="图片 1" descr="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1" descr="1"/>
                    <pic:cNvPicPr>
                      <a:picLocks noChangeAspect="true"/>
                    </pic:cNvPicPr>
                  </pic:nvPicPr>
                  <pic:blipFill>
                    <a:blip r:embed="rId5"/>
                    <a:stretch>
                      <a:fillRect/>
                    </a:stretch>
                  </pic:blipFill>
                  <pic:spPr>
                    <a:xfrm>
                      <a:off x="0" y="0"/>
                      <a:ext cx="3990340" cy="2276475"/>
                    </a:xfrm>
                    <a:prstGeom prst="rect">
                      <a:avLst/>
                    </a:prstGeom>
                    <a:noFill/>
                    <a:ln>
                      <a:noFill/>
                    </a:ln>
                  </pic:spPr>
                </pic:pic>
              </a:graphicData>
            </a:graphic>
          </wp:inline>
        </w:drawing>
      </w:r>
    </w:p>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（图1：收、支决算总计变动情况图）（柱状图）</w:t>
      </w:r>
    </w:p>
    <w:p>
      <w:pPr>
        <w:pStyle w:val="26"/>
        <w:numPr>
          <w:ilvl w:val="0"/>
          <w:numId w:val="1"/>
        </w:numPr>
        <w:spacing w:line="600" w:lineRule="exact"/>
        <w:ind w:firstLineChars="0"/>
        <w:outlineLvl w:val="1"/>
        <w:rPr>
          <w:rStyle w:val="22"/>
          <w:rFonts w:ascii="黑体" w:hAnsi="黑体" w:eastAsia="黑体"/>
          <w:b w:val="0"/>
        </w:rPr>
      </w:pPr>
      <w:bookmarkStart w:id="10" w:name="_Toc15396604"/>
      <w:bookmarkStart w:id="11" w:name="_Toc15377206"/>
      <w:r>
        <w:rPr>
          <w:rFonts w:hint="eastAsia" w:ascii="黑体" w:hAnsi="黑体" w:eastAsia="黑体"/>
          <w:sz w:val="32"/>
          <w:szCs w:val="32"/>
        </w:rPr>
        <w:t>收</w:t>
      </w:r>
      <w:r>
        <w:rPr>
          <w:rStyle w:val="22"/>
          <w:rFonts w:hint="eastAsia" w:ascii="黑体" w:hAnsi="黑体" w:eastAsia="黑体"/>
          <w:b w:val="0"/>
        </w:rPr>
        <w:t>入决算情况说明</w:t>
      </w:r>
      <w:bookmarkEnd w:id="10"/>
      <w:bookmarkEnd w:id="11"/>
    </w:p>
    <w:p>
      <w:pPr>
        <w:spacing w:line="600" w:lineRule="exact"/>
        <w:ind w:firstLine="640" w:firstLineChars="200"/>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2023年度本年收入合计5143.11万元，其中：一般公共预算财政拨款收入3421.9万元，占66.5%；其他收入1721.22万元，占33.5%。</w:t>
      </w:r>
    </w:p>
    <w:p>
      <w:pPr>
        <w:jc w:val="center"/>
        <w:outlineLvl w:val="1"/>
        <w:rPr>
          <w:rFonts w:hint="eastAsia" w:ascii="仿宋" w:hAnsi="仿宋" w:eastAsia="仿宋"/>
          <w:sz w:val="32"/>
          <w:szCs w:val="32"/>
        </w:rPr>
      </w:pPr>
      <w:r>
        <w:rPr>
          <w:rFonts w:hint="eastAsia" w:ascii="仿宋" w:hAnsi="仿宋" w:eastAsia="仿宋"/>
          <w:sz w:val="32"/>
          <w:szCs w:val="32"/>
        </w:rPr>
        <w:drawing>
          <wp:inline distT="0" distB="0" distL="114300" distR="114300">
            <wp:extent cx="3285490" cy="1819275"/>
            <wp:effectExtent l="0" t="0" r="10160" b="9525"/>
            <wp:docPr id="11" name="图片 2" descr="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1" name="图片 2" descr="2"/>
                    <pic:cNvPicPr>
                      <a:picLocks noChangeAspect="true"/>
                    </pic:cNvPicPr>
                  </pic:nvPicPr>
                  <pic:blipFill>
                    <a:blip r:embed="rId6"/>
                    <a:stretch>
                      <a:fillRect/>
                    </a:stretch>
                  </pic:blipFill>
                  <pic:spPr>
                    <a:xfrm>
                      <a:off x="0" y="0"/>
                      <a:ext cx="3285490" cy="1819275"/>
                    </a:xfrm>
                    <a:prstGeom prst="rect">
                      <a:avLst/>
                    </a:prstGeom>
                    <a:noFill/>
                    <a:ln>
                      <a:noFill/>
                    </a:ln>
                  </pic:spPr>
                </pic:pic>
              </a:graphicData>
            </a:graphic>
          </wp:inline>
        </w:drawing>
      </w:r>
    </w:p>
    <w:p>
      <w:pPr>
        <w:spacing w:line="600" w:lineRule="exact"/>
        <w:jc w:val="center"/>
        <w:rPr>
          <w:rFonts w:ascii="仿宋" w:hAnsi="仿宋" w:eastAsia="仿宋"/>
          <w:sz w:val="32"/>
          <w:szCs w:val="32"/>
        </w:rPr>
      </w:pPr>
      <w:r>
        <w:rPr>
          <w:rFonts w:hint="eastAsia" w:ascii="仿宋" w:hAnsi="仿宋" w:eastAsia="仿宋"/>
          <w:sz w:val="32"/>
          <w:szCs w:val="32"/>
        </w:rPr>
        <w:t>（图2：收入决算结构图）（饼状图）</w:t>
      </w:r>
    </w:p>
    <w:p>
      <w:pPr>
        <w:pStyle w:val="26"/>
        <w:numPr>
          <w:ilvl w:val="0"/>
          <w:numId w:val="1"/>
        </w:numPr>
        <w:spacing w:line="600" w:lineRule="exact"/>
        <w:ind w:firstLineChars="0"/>
        <w:outlineLvl w:val="1"/>
        <w:rPr>
          <w:rStyle w:val="22"/>
          <w:rFonts w:ascii="黑体" w:hAnsi="黑体" w:eastAsia="黑体"/>
          <w:b w:val="0"/>
        </w:rPr>
      </w:pPr>
      <w:bookmarkStart w:id="12" w:name="_Toc15377207"/>
      <w:bookmarkStart w:id="13" w:name="_Toc15396605"/>
      <w:r>
        <w:rPr>
          <w:rFonts w:hint="eastAsia" w:ascii="黑体" w:hAnsi="黑体" w:eastAsia="黑体"/>
          <w:sz w:val="32"/>
          <w:szCs w:val="32"/>
        </w:rPr>
        <w:t>支</w:t>
      </w:r>
      <w:r>
        <w:rPr>
          <w:rStyle w:val="22"/>
          <w:rFonts w:hint="eastAsia" w:ascii="黑体" w:hAnsi="黑体" w:eastAsia="黑体"/>
          <w:b w:val="0"/>
        </w:rPr>
        <w:t>出决算情况说明</w:t>
      </w:r>
      <w:bookmarkEnd w:id="12"/>
      <w:bookmarkEnd w:id="13"/>
    </w:p>
    <w:p>
      <w:pPr>
        <w:pStyle w:val="2"/>
        <w:spacing w:before="93"/>
        <w:ind w:firstLine="640" w:firstLineChars="200"/>
        <w:rPr>
          <w:rFonts w:hint="eastAsia" w:ascii="仿宋" w:hAnsi="仿宋" w:eastAsia="仿宋"/>
          <w:sz w:val="32"/>
          <w:szCs w:val="32"/>
        </w:rPr>
      </w:pPr>
      <w:r>
        <w:rPr>
          <w:rFonts w:hint="eastAsia" w:ascii="仿宋_GB2312" w:hAnsi="仿宋_GB2312" w:eastAsia="仿宋_GB2312" w:cs="仿宋_GB2312"/>
          <w:sz w:val="32"/>
          <w:szCs w:val="32"/>
        </w:rPr>
        <w:t>2023年度本年支出合计5083.4万元，其中：</w:t>
      </w:r>
      <w:r>
        <w:rPr>
          <w:rFonts w:hint="eastAsia" w:ascii="仿宋" w:hAnsi="仿宋" w:eastAsia="仿宋"/>
          <w:sz w:val="32"/>
          <w:szCs w:val="32"/>
        </w:rPr>
        <w:t>基本支出2561.04万元，占比50.38%；项目支出2522.36万元，占比49.62%。</w:t>
      </w:r>
    </w:p>
    <w:p>
      <w:pPr>
        <w:pStyle w:val="2"/>
        <w:spacing w:before="93"/>
        <w:ind w:firstLine="640" w:firstLineChars="200"/>
        <w:jc w:val="center"/>
        <w:rPr>
          <w:rFonts w:hint="eastAsia" w:ascii="仿宋" w:hAnsi="仿宋" w:eastAsia="仿宋"/>
          <w:sz w:val="32"/>
          <w:szCs w:val="32"/>
          <w:shd w:val="pct10" w:color="auto" w:fill="FFFFFF"/>
        </w:rPr>
      </w:pPr>
      <w:r>
        <w:rPr>
          <w:rFonts w:hint="eastAsia" w:ascii="仿宋" w:hAnsi="仿宋" w:eastAsia="仿宋"/>
          <w:sz w:val="32"/>
          <w:szCs w:val="32"/>
          <w:shd w:val="pct10" w:color="auto" w:fill="FFFFFF"/>
        </w:rPr>
        <w:drawing>
          <wp:inline distT="0" distB="0" distL="114300" distR="114300">
            <wp:extent cx="3714115" cy="2390775"/>
            <wp:effectExtent l="0" t="0" r="635" b="9525"/>
            <wp:docPr id="7" name="图片 3" descr="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3" descr="3"/>
                    <pic:cNvPicPr>
                      <a:picLocks noChangeAspect="true"/>
                    </pic:cNvPicPr>
                  </pic:nvPicPr>
                  <pic:blipFill>
                    <a:blip r:embed="rId7"/>
                    <a:stretch>
                      <a:fillRect/>
                    </a:stretch>
                  </pic:blipFill>
                  <pic:spPr>
                    <a:xfrm>
                      <a:off x="0" y="0"/>
                      <a:ext cx="3714115" cy="2390775"/>
                    </a:xfrm>
                    <a:prstGeom prst="rect">
                      <a:avLst/>
                    </a:prstGeom>
                    <a:noFill/>
                    <a:ln>
                      <a:noFill/>
                    </a:ln>
                  </pic:spPr>
                </pic:pic>
              </a:graphicData>
            </a:graphic>
          </wp:inline>
        </w:drawing>
      </w:r>
    </w:p>
    <w:p>
      <w:pPr>
        <w:spacing w:line="600" w:lineRule="exact"/>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（图3：支出决算结构图）（饼状图）</w:t>
      </w:r>
    </w:p>
    <w:p>
      <w:pPr>
        <w:spacing w:line="600" w:lineRule="exact"/>
        <w:ind w:firstLine="640" w:firstLineChars="200"/>
        <w:outlineLvl w:val="1"/>
        <w:rPr>
          <w:rStyle w:val="22"/>
          <w:rFonts w:ascii="黑体" w:hAnsi="黑体" w:eastAsia="黑体"/>
          <w:b w:val="0"/>
        </w:rPr>
      </w:pPr>
      <w:bookmarkStart w:id="14" w:name="_Toc15377208"/>
      <w:bookmarkStart w:id="15" w:name="_Toc15396606"/>
      <w:r>
        <w:rPr>
          <w:rFonts w:hint="eastAsia" w:ascii="黑体" w:hAnsi="黑体" w:eastAsia="黑体"/>
          <w:sz w:val="32"/>
          <w:szCs w:val="32"/>
        </w:rPr>
        <w:t>四、财</w:t>
      </w:r>
      <w:r>
        <w:rPr>
          <w:rStyle w:val="22"/>
          <w:rFonts w:hint="eastAsia" w:ascii="黑体" w:hAnsi="黑体" w:eastAsia="黑体"/>
          <w:b w:val="0"/>
        </w:rPr>
        <w:t>政拨款收入支出决算总体情况说明</w:t>
      </w:r>
      <w:bookmarkEnd w:id="14"/>
      <w:bookmarkEnd w:id="15"/>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2023年度财政拨款收、支总计均为</w:t>
      </w:r>
      <w:r>
        <w:rPr>
          <w:rFonts w:hint="eastAsia" w:ascii="仿宋" w:hAnsi="仿宋" w:eastAsia="仿宋"/>
          <w:sz w:val="32"/>
          <w:szCs w:val="32"/>
        </w:rPr>
        <w:t>3421.9</w:t>
      </w:r>
      <w:r>
        <w:rPr>
          <w:rFonts w:hint="eastAsia" w:ascii="仿宋_GB2312" w:hAnsi="仿宋_GB2312" w:eastAsia="仿宋_GB2312" w:cs="仿宋_GB2312"/>
          <w:sz w:val="32"/>
          <w:szCs w:val="32"/>
        </w:rPr>
        <w:t>万元。与2022年度相比，财政拨款收、支总计各增加</w:t>
      </w:r>
      <w:r>
        <w:rPr>
          <w:rFonts w:hint="eastAsia" w:ascii="仿宋" w:hAnsi="仿宋" w:eastAsia="仿宋"/>
          <w:sz w:val="32"/>
          <w:szCs w:val="32"/>
        </w:rPr>
        <w:t>350.16</w:t>
      </w:r>
      <w:r>
        <w:rPr>
          <w:rFonts w:hint="eastAsia" w:ascii="仿宋_GB2312" w:hAnsi="仿宋_GB2312" w:eastAsia="仿宋_GB2312" w:cs="仿宋_GB2312"/>
          <w:sz w:val="32"/>
          <w:szCs w:val="32"/>
        </w:rPr>
        <w:t>万元，增长10.2%。主要变动原因是案件数增加、人员增加导致支出增加。</w:t>
      </w:r>
    </w:p>
    <w:p>
      <w:pPr>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114300" distR="114300">
            <wp:extent cx="3542665" cy="2286000"/>
            <wp:effectExtent l="0" t="0" r="635" b="0"/>
            <wp:docPr id="10" name="图片 4" descr="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 name="图片 4" descr="4"/>
                    <pic:cNvPicPr>
                      <a:picLocks noChangeAspect="true"/>
                    </pic:cNvPicPr>
                  </pic:nvPicPr>
                  <pic:blipFill>
                    <a:blip r:embed="rId8"/>
                    <a:stretch>
                      <a:fillRect/>
                    </a:stretch>
                  </pic:blipFill>
                  <pic:spPr>
                    <a:xfrm>
                      <a:off x="0" y="0"/>
                      <a:ext cx="3542665" cy="2286000"/>
                    </a:xfrm>
                    <a:prstGeom prst="rect">
                      <a:avLst/>
                    </a:prstGeom>
                    <a:noFill/>
                    <a:ln>
                      <a:noFill/>
                    </a:ln>
                  </pic:spPr>
                </pic:pic>
              </a:graphicData>
            </a:graphic>
          </wp:inline>
        </w:drawing>
      </w:r>
    </w:p>
    <w:p>
      <w:pPr>
        <w:spacing w:line="600" w:lineRule="exact"/>
        <w:jc w:val="center"/>
        <w:rPr>
          <w:rFonts w:ascii="仿宋" w:hAnsi="仿宋" w:eastAsia="仿宋"/>
          <w:b/>
          <w:sz w:val="32"/>
          <w:szCs w:val="32"/>
        </w:rPr>
      </w:pPr>
      <w:r>
        <w:rPr>
          <w:rFonts w:hint="eastAsia" w:ascii="仿宋" w:hAnsi="仿宋" w:eastAsia="仿宋"/>
          <w:sz w:val="32"/>
          <w:szCs w:val="32"/>
        </w:rPr>
        <w:t>（图4：财政拨款收、支决算总计变动情况）（柱状图）</w:t>
      </w:r>
    </w:p>
    <w:p>
      <w:pPr>
        <w:spacing w:line="600" w:lineRule="exact"/>
        <w:ind w:firstLine="640" w:firstLineChars="200"/>
        <w:outlineLvl w:val="1"/>
        <w:rPr>
          <w:rStyle w:val="22"/>
          <w:rFonts w:ascii="黑体" w:hAnsi="黑体" w:eastAsia="黑体"/>
          <w:b w:val="0"/>
        </w:rPr>
      </w:pPr>
      <w:bookmarkStart w:id="16" w:name="_Toc15377209"/>
      <w:bookmarkStart w:id="17" w:name="_Toc15396607"/>
      <w:r>
        <w:rPr>
          <w:rFonts w:hint="eastAsia" w:ascii="黑体" w:hAnsi="黑体" w:eastAsia="黑体"/>
          <w:sz w:val="32"/>
          <w:szCs w:val="32"/>
        </w:rPr>
        <w:t>五、</w:t>
      </w:r>
      <w:r>
        <w:rPr>
          <w:rFonts w:hint="eastAsia" w:ascii="黑体" w:hAnsi="黑体" w:eastAsia="黑体"/>
          <w:b/>
          <w:sz w:val="32"/>
          <w:szCs w:val="32"/>
        </w:rPr>
        <w:t>一</w:t>
      </w:r>
      <w:r>
        <w:rPr>
          <w:rStyle w:val="22"/>
          <w:rFonts w:hint="eastAsia" w:ascii="黑体" w:hAnsi="黑体" w:eastAsia="黑体"/>
          <w:b w:val="0"/>
        </w:rPr>
        <w:t>般公共预算财政拨款支出决算情况说明</w:t>
      </w:r>
      <w:bookmarkEnd w:id="16"/>
      <w:bookmarkEnd w:id="17"/>
    </w:p>
    <w:p>
      <w:pPr>
        <w:spacing w:line="600" w:lineRule="exact"/>
        <w:ind w:firstLine="642" w:firstLineChars="200"/>
        <w:outlineLvl w:val="2"/>
        <w:rPr>
          <w:rFonts w:hint="eastAsia" w:ascii="仿宋_GB2312" w:hAnsi="仿宋_GB2312" w:eastAsia="仿宋_GB2312" w:cs="仿宋_GB2312"/>
          <w:b/>
          <w:sz w:val="32"/>
          <w:szCs w:val="32"/>
        </w:rPr>
      </w:pPr>
      <w:bookmarkStart w:id="18" w:name="_Toc15377210"/>
      <w:r>
        <w:rPr>
          <w:rFonts w:hint="eastAsia" w:ascii="仿宋_GB2312" w:hAnsi="仿宋_GB2312" w:eastAsia="仿宋_GB2312" w:cs="仿宋_GB2312"/>
          <w:b/>
          <w:sz w:val="32"/>
          <w:szCs w:val="32"/>
        </w:rPr>
        <w:t>（一）一般公共预算财政拨款支出决算总体情况</w:t>
      </w:r>
      <w:bookmarkEnd w:id="18"/>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2023年度一般公共预算财政拨款支出</w:t>
      </w:r>
      <w:r>
        <w:rPr>
          <w:rFonts w:hint="eastAsia" w:ascii="仿宋" w:hAnsi="仿宋" w:eastAsia="仿宋"/>
          <w:sz w:val="32"/>
          <w:szCs w:val="32"/>
        </w:rPr>
        <w:t>3421.9</w:t>
      </w:r>
      <w:r>
        <w:rPr>
          <w:rFonts w:hint="eastAsia" w:ascii="仿宋_GB2312" w:hAnsi="仿宋_GB2312" w:eastAsia="仿宋_GB2312" w:cs="仿宋_GB2312"/>
          <w:sz w:val="32"/>
          <w:szCs w:val="32"/>
        </w:rPr>
        <w:t>万元，占本年支出合计的67.3%。与2022年度相比，一般公共预算财政拨款支出增加</w:t>
      </w:r>
      <w:r>
        <w:rPr>
          <w:rFonts w:hint="eastAsia" w:ascii="仿宋" w:hAnsi="仿宋" w:eastAsia="仿宋"/>
          <w:sz w:val="32"/>
          <w:szCs w:val="32"/>
        </w:rPr>
        <w:t>350.16</w:t>
      </w:r>
      <w:r>
        <w:rPr>
          <w:rFonts w:hint="eastAsia" w:ascii="仿宋_GB2312" w:hAnsi="仿宋_GB2312" w:eastAsia="仿宋_GB2312" w:cs="仿宋_GB2312"/>
          <w:sz w:val="32"/>
          <w:szCs w:val="32"/>
        </w:rPr>
        <w:t>万元，增长10.2%。主要变动原因是案件数增加、人员增加导致支出增加。</w:t>
      </w:r>
    </w:p>
    <w:p>
      <w:pPr>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114300" distR="114300">
            <wp:extent cx="3952240" cy="2780665"/>
            <wp:effectExtent l="0" t="0" r="10160" b="635"/>
            <wp:docPr id="9" name="图片 5" descr="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5" descr="5"/>
                    <pic:cNvPicPr>
                      <a:picLocks noChangeAspect="true"/>
                    </pic:cNvPicPr>
                  </pic:nvPicPr>
                  <pic:blipFill>
                    <a:blip r:embed="rId9"/>
                    <a:stretch>
                      <a:fillRect/>
                    </a:stretch>
                  </pic:blipFill>
                  <pic:spPr>
                    <a:xfrm>
                      <a:off x="0" y="0"/>
                      <a:ext cx="3952240" cy="2780665"/>
                    </a:xfrm>
                    <a:prstGeom prst="rect">
                      <a:avLst/>
                    </a:prstGeom>
                    <a:noFill/>
                    <a:ln>
                      <a:noFill/>
                    </a:ln>
                  </pic:spPr>
                </pic:pic>
              </a:graphicData>
            </a:graphic>
          </wp:inline>
        </w:drawing>
      </w:r>
    </w:p>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（图5：一般公共预算财政拨款支出决算变动情况）（柱状图）</w:t>
      </w:r>
    </w:p>
    <w:p>
      <w:pPr>
        <w:spacing w:line="600" w:lineRule="exact"/>
        <w:ind w:firstLine="640" w:firstLineChars="200"/>
        <w:rPr>
          <w:rFonts w:ascii="仿宋" w:hAnsi="仿宋" w:eastAsia="仿宋"/>
          <w:sz w:val="32"/>
          <w:szCs w:val="32"/>
        </w:rPr>
      </w:pPr>
    </w:p>
    <w:p>
      <w:pPr>
        <w:spacing w:line="600" w:lineRule="exact"/>
        <w:ind w:firstLine="642" w:firstLineChars="200"/>
        <w:outlineLvl w:val="2"/>
        <w:rPr>
          <w:rFonts w:hint="eastAsia" w:ascii="仿宋_GB2312" w:hAnsi="仿宋_GB2312" w:eastAsia="仿宋_GB2312" w:cs="仿宋_GB2312"/>
          <w:b/>
          <w:sz w:val="32"/>
          <w:szCs w:val="32"/>
        </w:rPr>
      </w:pPr>
      <w:bookmarkStart w:id="19" w:name="_Toc15377211"/>
      <w:r>
        <w:rPr>
          <w:rFonts w:hint="eastAsia" w:ascii="仿宋_GB2312" w:hAnsi="仿宋_GB2312" w:eastAsia="仿宋_GB2312" w:cs="仿宋_GB2312"/>
          <w:b/>
          <w:sz w:val="32"/>
          <w:szCs w:val="32"/>
        </w:rPr>
        <w:t>（二）一般公共预算财政拨款支出决算结构情况</w:t>
      </w:r>
      <w:bookmarkEnd w:id="19"/>
    </w:p>
    <w:p>
      <w:pPr>
        <w:spacing w:line="560" w:lineRule="exact"/>
        <w:ind w:firstLine="640"/>
        <w:rPr>
          <w:rFonts w:ascii="仿宋" w:hAnsi="仿宋" w:eastAsia="仿宋"/>
          <w:sz w:val="32"/>
          <w:szCs w:val="32"/>
        </w:rPr>
      </w:pPr>
      <w:r>
        <w:rPr>
          <w:rFonts w:hint="eastAsia" w:ascii="仿宋_GB2312" w:hAnsi="仿宋_GB2312" w:eastAsia="仿宋_GB2312" w:cs="仿宋_GB2312"/>
          <w:sz w:val="32"/>
          <w:szCs w:val="32"/>
        </w:rPr>
        <w:t>2023年度一般公共预算财政拨款支出</w:t>
      </w:r>
      <w:r>
        <w:rPr>
          <w:rFonts w:hint="eastAsia" w:ascii="仿宋" w:hAnsi="仿宋" w:eastAsia="仿宋"/>
          <w:sz w:val="32"/>
          <w:szCs w:val="32"/>
        </w:rPr>
        <w:t>3421.9</w:t>
      </w:r>
      <w:r>
        <w:rPr>
          <w:rFonts w:hint="eastAsia" w:ascii="仿宋_GB2312" w:hAnsi="仿宋_GB2312" w:eastAsia="仿宋_GB2312" w:cs="仿宋_GB2312"/>
          <w:sz w:val="32"/>
          <w:szCs w:val="32"/>
        </w:rPr>
        <w:t>万元，主要用于以下方面:</w:t>
      </w:r>
      <w:r>
        <w:rPr>
          <w:rFonts w:hint="eastAsia" w:ascii="仿宋" w:hAnsi="仿宋" w:eastAsia="仿宋"/>
          <w:b/>
          <w:sz w:val="32"/>
          <w:szCs w:val="32"/>
        </w:rPr>
        <w:t>公共安全支出</w:t>
      </w:r>
      <w:r>
        <w:rPr>
          <w:rFonts w:hint="eastAsia" w:ascii="仿宋" w:hAnsi="仿宋" w:eastAsia="仿宋"/>
          <w:bCs/>
          <w:sz w:val="32"/>
          <w:szCs w:val="32"/>
        </w:rPr>
        <w:t>3089.1</w:t>
      </w:r>
      <w:r>
        <w:rPr>
          <w:rFonts w:hint="eastAsia" w:ascii="仿宋" w:hAnsi="仿宋" w:eastAsia="仿宋"/>
          <w:sz w:val="32"/>
          <w:szCs w:val="32"/>
        </w:rPr>
        <w:t>万元，占90.3</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rPr>
        <w:t>146.04万元，占4.3</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rPr>
        <w:t>68.49万元，占2</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rPr>
        <w:t>118.27万元，占3.4</w:t>
      </w:r>
      <w:r>
        <w:rPr>
          <w:rFonts w:ascii="仿宋" w:hAnsi="仿宋" w:eastAsia="仿宋"/>
          <w:sz w:val="32"/>
          <w:szCs w:val="32"/>
        </w:rPr>
        <w:t>%</w:t>
      </w:r>
      <w:r>
        <w:rPr>
          <w:rFonts w:hint="eastAsia" w:ascii="仿宋" w:hAnsi="仿宋" w:eastAsia="仿宋"/>
          <w:sz w:val="32"/>
          <w:szCs w:val="32"/>
        </w:rPr>
        <w:t>。</w:t>
      </w:r>
    </w:p>
    <w:p>
      <w:pPr>
        <w:ind w:firstLine="64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114300" distR="114300">
            <wp:extent cx="4199890" cy="3171190"/>
            <wp:effectExtent l="0" t="0" r="10160" b="10160"/>
            <wp:docPr id="6" name="图片 6" descr="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6" descr="6"/>
                    <pic:cNvPicPr>
                      <a:picLocks noChangeAspect="true"/>
                    </pic:cNvPicPr>
                  </pic:nvPicPr>
                  <pic:blipFill>
                    <a:blip r:embed="rId10"/>
                    <a:stretch>
                      <a:fillRect/>
                    </a:stretch>
                  </pic:blipFill>
                  <pic:spPr>
                    <a:xfrm>
                      <a:off x="0" y="0"/>
                      <a:ext cx="4199890" cy="3171190"/>
                    </a:xfrm>
                    <a:prstGeom prst="rect">
                      <a:avLst/>
                    </a:prstGeom>
                    <a:noFill/>
                    <a:ln>
                      <a:noFill/>
                    </a:ln>
                  </pic:spPr>
                </pic:pic>
              </a:graphicData>
            </a:graphic>
          </wp:inline>
        </w:drawing>
      </w:r>
    </w:p>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（图6：一般公共预算财政拨款支出决算结构）（饼状图）</w:t>
      </w:r>
    </w:p>
    <w:p>
      <w:pPr>
        <w:spacing w:line="600" w:lineRule="exact"/>
        <w:ind w:firstLine="642" w:firstLineChars="200"/>
        <w:outlineLvl w:val="2"/>
        <w:rPr>
          <w:rFonts w:hint="eastAsia" w:ascii="仿宋_GB2312" w:hAnsi="仿宋_GB2312" w:eastAsia="仿宋_GB2312" w:cs="仿宋_GB2312"/>
          <w:b/>
          <w:sz w:val="32"/>
          <w:szCs w:val="32"/>
        </w:rPr>
      </w:pPr>
      <w:bookmarkStart w:id="20" w:name="_Toc15377212"/>
      <w:r>
        <w:rPr>
          <w:rFonts w:hint="eastAsia" w:ascii="仿宋_GB2312" w:hAnsi="仿宋_GB2312" w:eastAsia="仿宋_GB2312" w:cs="仿宋_GB2312"/>
          <w:b/>
          <w:sz w:val="32"/>
          <w:szCs w:val="32"/>
        </w:rPr>
        <w:t>（三）一般公共预算财政拨款支出决算具体情况</w:t>
      </w:r>
      <w:bookmarkEnd w:id="20"/>
    </w:p>
    <w:p>
      <w:pPr>
        <w:spacing w:line="600" w:lineRule="exact"/>
        <w:ind w:firstLine="642" w:firstLineChars="200"/>
        <w:outlineLvl w:val="2"/>
        <w:rPr>
          <w:rFonts w:hint="eastAsia" w:ascii="仿宋_GB2312" w:hAnsi="仿宋_GB2312" w:eastAsia="仿宋_GB2312" w:cs="仿宋_GB2312"/>
          <w:sz w:val="32"/>
          <w:szCs w:val="32"/>
        </w:rPr>
      </w:pPr>
      <w:bookmarkStart w:id="21" w:name="_Toc15377444"/>
      <w:bookmarkStart w:id="22" w:name="_Toc15378460"/>
      <w:bookmarkStart w:id="23" w:name="_Toc15377213"/>
      <w:r>
        <w:rPr>
          <w:rFonts w:hint="eastAsia" w:ascii="仿宋_GB2312" w:hAnsi="仿宋_GB2312" w:eastAsia="仿宋_GB2312" w:cs="仿宋_GB2312"/>
          <w:b/>
          <w:sz w:val="32"/>
          <w:szCs w:val="32"/>
        </w:rPr>
        <w:t>2023年度一般公共预算支出决算数为3421.9万元</w:t>
      </w:r>
      <w:r>
        <w:rPr>
          <w:rFonts w:hint="eastAsia" w:ascii="仿宋_GB2312" w:hAnsi="仿宋_GB2312" w:eastAsia="仿宋_GB2312" w:cs="仿宋_GB2312"/>
          <w:sz w:val="32"/>
          <w:szCs w:val="32"/>
        </w:rPr>
        <w:t>，</w:t>
      </w:r>
      <w:r>
        <w:rPr>
          <w:rStyle w:val="18"/>
          <w:rFonts w:hint="eastAsia" w:ascii="仿宋_GB2312" w:hAnsi="仿宋_GB2312" w:eastAsia="仿宋_GB2312" w:cs="仿宋_GB2312"/>
          <w:bCs/>
          <w:sz w:val="32"/>
          <w:szCs w:val="32"/>
        </w:rPr>
        <w:t>完成预算100%。其中：</w:t>
      </w:r>
      <w:bookmarkEnd w:id="21"/>
      <w:bookmarkEnd w:id="22"/>
      <w:bookmarkEnd w:id="23"/>
    </w:p>
    <w:p>
      <w:pPr>
        <w:spacing w:line="560" w:lineRule="exact"/>
        <w:ind w:firstLine="642" w:firstLineChars="200"/>
        <w:rPr>
          <w:rFonts w:ascii="仿宋" w:hAnsi="仿宋" w:eastAsia="仿宋"/>
          <w:bCs/>
          <w:sz w:val="32"/>
          <w:szCs w:val="32"/>
        </w:rPr>
      </w:pPr>
      <w:r>
        <w:rPr>
          <w:rStyle w:val="18"/>
          <w:rFonts w:ascii="仿宋" w:hAnsi="仿宋" w:eastAsia="仿宋"/>
          <w:bCs/>
          <w:sz w:val="32"/>
          <w:szCs w:val="32"/>
        </w:rPr>
        <w:t>1.</w:t>
      </w:r>
      <w:r>
        <w:rPr>
          <w:rStyle w:val="18"/>
          <w:rFonts w:hint="eastAsia" w:ascii="仿宋" w:hAnsi="仿宋" w:eastAsia="仿宋"/>
          <w:bCs/>
          <w:sz w:val="32"/>
          <w:szCs w:val="32"/>
        </w:rPr>
        <w:t>公共安全（类）法院（款）行政运行（项）</w:t>
      </w:r>
      <w:r>
        <w:rPr>
          <w:rStyle w:val="18"/>
          <w:rFonts w:ascii="仿宋" w:hAnsi="仿宋" w:eastAsia="仿宋"/>
          <w:bCs/>
          <w:sz w:val="32"/>
          <w:szCs w:val="32"/>
        </w:rPr>
        <w:t>:</w:t>
      </w:r>
      <w:r>
        <w:rPr>
          <w:rStyle w:val="18"/>
          <w:rFonts w:hint="eastAsia" w:ascii="仿宋" w:hAnsi="仿宋" w:eastAsia="仿宋"/>
          <w:b w:val="0"/>
          <w:bCs/>
          <w:sz w:val="32"/>
          <w:szCs w:val="32"/>
        </w:rPr>
        <w:t>支出决算为1568.13万元，完成预算100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 w:hAnsi="仿宋" w:eastAsia="仿宋"/>
          <w:bCs/>
          <w:sz w:val="32"/>
          <w:szCs w:val="32"/>
        </w:rPr>
        <w:t>决算数等于预算数。</w:t>
      </w:r>
    </w:p>
    <w:p>
      <w:pPr>
        <w:pStyle w:val="2"/>
        <w:spacing w:before="93"/>
        <w:rPr>
          <w:rFonts w:ascii="仿宋" w:hAnsi="仿宋" w:eastAsia="仿宋"/>
          <w:bCs/>
          <w:sz w:val="32"/>
          <w:szCs w:val="32"/>
        </w:rPr>
      </w:pPr>
      <w:r>
        <w:rPr>
          <w:rStyle w:val="18"/>
          <w:rFonts w:hint="eastAsia" w:ascii="仿宋" w:hAnsi="仿宋" w:eastAsia="仿宋"/>
          <w:bCs/>
          <w:sz w:val="32"/>
          <w:szCs w:val="32"/>
        </w:rPr>
        <w:t xml:space="preserve">    2.公共安全（类）法院（款）一般行政管理事务（项）</w:t>
      </w:r>
      <w:r>
        <w:rPr>
          <w:rStyle w:val="18"/>
          <w:rFonts w:ascii="仿宋" w:hAnsi="仿宋" w:eastAsia="仿宋"/>
          <w:bCs/>
          <w:sz w:val="32"/>
          <w:szCs w:val="32"/>
        </w:rPr>
        <w:t>:</w:t>
      </w:r>
      <w:r>
        <w:rPr>
          <w:rStyle w:val="18"/>
          <w:rFonts w:hint="eastAsia" w:ascii="仿宋" w:hAnsi="仿宋" w:eastAsia="仿宋"/>
          <w:b w:val="0"/>
          <w:bCs/>
          <w:sz w:val="32"/>
          <w:szCs w:val="32"/>
        </w:rPr>
        <w:t>支出决算为491.96万元，完成预算100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 w:hAnsi="仿宋" w:eastAsia="仿宋"/>
          <w:bCs/>
          <w:sz w:val="32"/>
          <w:szCs w:val="32"/>
        </w:rPr>
        <w:t>决算数等于预算数。</w:t>
      </w:r>
    </w:p>
    <w:p>
      <w:pPr>
        <w:pStyle w:val="2"/>
        <w:spacing w:before="93"/>
        <w:rPr>
          <w:rFonts w:ascii="仿宋" w:hAnsi="仿宋" w:eastAsia="仿宋"/>
          <w:bCs/>
          <w:sz w:val="32"/>
          <w:szCs w:val="32"/>
        </w:rPr>
      </w:pPr>
      <w:r>
        <w:rPr>
          <w:rStyle w:val="18"/>
          <w:rFonts w:hint="eastAsia" w:ascii="仿宋" w:hAnsi="仿宋" w:eastAsia="仿宋"/>
          <w:bCs/>
          <w:sz w:val="32"/>
          <w:szCs w:val="32"/>
        </w:rPr>
        <w:t xml:space="preserve">    3.公共安全（类）法院（款）案件审判（项）</w:t>
      </w:r>
      <w:r>
        <w:rPr>
          <w:rStyle w:val="18"/>
          <w:rFonts w:ascii="仿宋" w:hAnsi="仿宋" w:eastAsia="仿宋"/>
          <w:bCs/>
          <w:sz w:val="32"/>
          <w:szCs w:val="32"/>
        </w:rPr>
        <w:t>:</w:t>
      </w:r>
      <w:r>
        <w:rPr>
          <w:rStyle w:val="18"/>
          <w:rFonts w:hint="eastAsia" w:ascii="仿宋" w:hAnsi="仿宋" w:eastAsia="仿宋"/>
          <w:b w:val="0"/>
          <w:bCs/>
          <w:sz w:val="32"/>
          <w:szCs w:val="32"/>
        </w:rPr>
        <w:t>支出决算为433.79万元，完成预算100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 w:hAnsi="仿宋" w:eastAsia="仿宋"/>
          <w:bCs/>
          <w:sz w:val="32"/>
          <w:szCs w:val="32"/>
        </w:rPr>
        <w:t>决算数等于预算数。</w:t>
      </w:r>
    </w:p>
    <w:p>
      <w:pPr>
        <w:pStyle w:val="2"/>
        <w:spacing w:before="93"/>
        <w:rPr>
          <w:rFonts w:ascii="仿宋" w:hAnsi="仿宋" w:eastAsia="仿宋"/>
          <w:bCs/>
          <w:sz w:val="32"/>
          <w:szCs w:val="32"/>
        </w:rPr>
      </w:pPr>
      <w:r>
        <w:rPr>
          <w:rFonts w:hint="eastAsia" w:ascii="仿宋" w:hAnsi="仿宋" w:eastAsia="仿宋"/>
          <w:bCs/>
          <w:sz w:val="32"/>
          <w:szCs w:val="32"/>
        </w:rPr>
        <w:t xml:space="preserve">    4</w:t>
      </w:r>
      <w:r>
        <w:rPr>
          <w:rStyle w:val="18"/>
          <w:rFonts w:hint="eastAsia" w:ascii="仿宋" w:hAnsi="仿宋" w:eastAsia="仿宋"/>
          <w:bCs/>
          <w:sz w:val="32"/>
          <w:szCs w:val="32"/>
        </w:rPr>
        <w:t>.公共安全（类）法院（款）案件执行（项）</w:t>
      </w:r>
      <w:r>
        <w:rPr>
          <w:rStyle w:val="18"/>
          <w:rFonts w:ascii="仿宋" w:hAnsi="仿宋" w:eastAsia="仿宋"/>
          <w:bCs/>
          <w:sz w:val="32"/>
          <w:szCs w:val="32"/>
        </w:rPr>
        <w:t>:</w:t>
      </w:r>
      <w:r>
        <w:rPr>
          <w:rStyle w:val="18"/>
          <w:rFonts w:hint="eastAsia" w:ascii="仿宋" w:hAnsi="仿宋" w:eastAsia="仿宋"/>
          <w:b w:val="0"/>
          <w:bCs/>
          <w:sz w:val="32"/>
          <w:szCs w:val="32"/>
        </w:rPr>
        <w:t>支出决算为258.92万元，完成预算100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 w:hAnsi="仿宋" w:eastAsia="仿宋"/>
          <w:bCs/>
          <w:sz w:val="32"/>
          <w:szCs w:val="32"/>
        </w:rPr>
        <w:t>决算数等于预算数。</w:t>
      </w:r>
    </w:p>
    <w:p>
      <w:pPr>
        <w:pStyle w:val="2"/>
        <w:spacing w:before="93"/>
        <w:rPr>
          <w:rFonts w:ascii="仿宋" w:hAnsi="仿宋" w:eastAsia="仿宋"/>
          <w:bCs/>
          <w:sz w:val="32"/>
          <w:szCs w:val="32"/>
        </w:rPr>
      </w:pPr>
      <w:r>
        <w:rPr>
          <w:rFonts w:hint="eastAsia" w:ascii="仿宋" w:hAnsi="仿宋" w:eastAsia="仿宋"/>
          <w:bCs/>
          <w:sz w:val="32"/>
          <w:szCs w:val="32"/>
        </w:rPr>
        <w:t xml:space="preserve">    5</w:t>
      </w:r>
      <w:r>
        <w:rPr>
          <w:rStyle w:val="18"/>
          <w:rFonts w:hint="eastAsia" w:ascii="仿宋" w:hAnsi="仿宋" w:eastAsia="仿宋"/>
          <w:bCs/>
          <w:sz w:val="32"/>
          <w:szCs w:val="32"/>
        </w:rPr>
        <w:t>.公共安全（类）法院（款）事业运行（项）</w:t>
      </w:r>
      <w:r>
        <w:rPr>
          <w:rStyle w:val="18"/>
          <w:rFonts w:ascii="仿宋" w:hAnsi="仿宋" w:eastAsia="仿宋"/>
          <w:bCs/>
          <w:sz w:val="32"/>
          <w:szCs w:val="32"/>
        </w:rPr>
        <w:t>:</w:t>
      </w:r>
      <w:r>
        <w:rPr>
          <w:rStyle w:val="18"/>
          <w:rFonts w:hint="eastAsia" w:ascii="仿宋" w:hAnsi="仿宋" w:eastAsia="仿宋"/>
          <w:b w:val="0"/>
          <w:bCs/>
          <w:sz w:val="32"/>
          <w:szCs w:val="32"/>
        </w:rPr>
        <w:t>支出决算为29.07万元，完成预算100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 w:hAnsi="仿宋" w:eastAsia="仿宋"/>
          <w:bCs/>
          <w:sz w:val="32"/>
          <w:szCs w:val="32"/>
        </w:rPr>
        <w:t>决算数等于预算数。</w:t>
      </w:r>
    </w:p>
    <w:p>
      <w:pPr>
        <w:pStyle w:val="2"/>
        <w:spacing w:before="93"/>
      </w:pPr>
      <w:r>
        <w:rPr>
          <w:rFonts w:hint="eastAsia" w:ascii="仿宋" w:hAnsi="仿宋" w:eastAsia="仿宋"/>
          <w:bCs/>
          <w:sz w:val="32"/>
          <w:szCs w:val="32"/>
        </w:rPr>
        <w:t xml:space="preserve">    6</w:t>
      </w:r>
      <w:r>
        <w:rPr>
          <w:rStyle w:val="18"/>
          <w:rFonts w:hint="eastAsia" w:ascii="仿宋" w:hAnsi="仿宋" w:eastAsia="仿宋"/>
          <w:bCs/>
          <w:sz w:val="32"/>
          <w:szCs w:val="32"/>
        </w:rPr>
        <w:t>.公共安全（类）法院（款）其他法院支出（项）</w:t>
      </w:r>
      <w:r>
        <w:rPr>
          <w:rStyle w:val="18"/>
          <w:rFonts w:ascii="仿宋" w:hAnsi="仿宋" w:eastAsia="仿宋"/>
          <w:bCs/>
          <w:sz w:val="32"/>
          <w:szCs w:val="32"/>
        </w:rPr>
        <w:t>:</w:t>
      </w:r>
      <w:r>
        <w:rPr>
          <w:rStyle w:val="18"/>
          <w:rFonts w:hint="eastAsia" w:ascii="仿宋" w:hAnsi="仿宋" w:eastAsia="仿宋"/>
          <w:b w:val="0"/>
          <w:bCs/>
          <w:sz w:val="32"/>
          <w:szCs w:val="32"/>
        </w:rPr>
        <w:t>支出决算为307.23万元，完成预算100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 w:hAnsi="仿宋" w:eastAsia="仿宋"/>
          <w:bCs/>
          <w:sz w:val="32"/>
          <w:szCs w:val="32"/>
        </w:rPr>
        <w:t>决算数等于预算数。</w:t>
      </w:r>
    </w:p>
    <w:p>
      <w:pPr>
        <w:pStyle w:val="2"/>
        <w:spacing w:before="93"/>
        <w:rPr>
          <w:rFonts w:ascii="仿宋" w:hAnsi="仿宋" w:eastAsia="仿宋"/>
          <w:bCs/>
          <w:sz w:val="32"/>
          <w:szCs w:val="32"/>
        </w:rPr>
      </w:pPr>
      <w:r>
        <w:rPr>
          <w:rFonts w:hint="eastAsia"/>
        </w:rPr>
        <w:t xml:space="preserve">     </w:t>
      </w:r>
      <w:r>
        <w:rPr>
          <w:rStyle w:val="18"/>
          <w:rFonts w:hint="eastAsia" w:ascii="仿宋" w:hAnsi="仿宋" w:eastAsia="仿宋"/>
          <w:bCs/>
          <w:sz w:val="32"/>
          <w:szCs w:val="32"/>
        </w:rPr>
        <w:t>7. 社会保障和就业（类）行政事业单位养老支出（款）机关事业单位基本养老保险缴费支出（项）</w:t>
      </w:r>
      <w:r>
        <w:rPr>
          <w:rStyle w:val="18"/>
          <w:rFonts w:ascii="仿宋" w:hAnsi="仿宋" w:eastAsia="仿宋"/>
          <w:bCs/>
          <w:sz w:val="32"/>
          <w:szCs w:val="32"/>
        </w:rPr>
        <w:t>:</w:t>
      </w:r>
      <w:r>
        <w:rPr>
          <w:rStyle w:val="18"/>
          <w:rFonts w:hint="eastAsia" w:ascii="仿宋" w:hAnsi="仿宋" w:eastAsia="仿宋"/>
          <w:b w:val="0"/>
          <w:bCs/>
          <w:sz w:val="32"/>
          <w:szCs w:val="32"/>
        </w:rPr>
        <w:t>支出决算为142.48万元，完成预算100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 w:hAnsi="仿宋" w:eastAsia="仿宋"/>
          <w:bCs/>
          <w:sz w:val="32"/>
          <w:szCs w:val="32"/>
        </w:rPr>
        <w:t>决算数等于预算数。</w:t>
      </w:r>
    </w:p>
    <w:p>
      <w:pPr>
        <w:pStyle w:val="2"/>
        <w:spacing w:before="93"/>
        <w:rPr>
          <w:rFonts w:ascii="仿宋" w:hAnsi="仿宋" w:eastAsia="仿宋"/>
          <w:bCs/>
          <w:sz w:val="32"/>
          <w:szCs w:val="32"/>
        </w:rPr>
      </w:pPr>
      <w:r>
        <w:rPr>
          <w:rStyle w:val="18"/>
          <w:rFonts w:hint="eastAsia" w:ascii="仿宋" w:hAnsi="仿宋" w:eastAsia="仿宋"/>
          <w:bCs/>
          <w:sz w:val="32"/>
          <w:szCs w:val="32"/>
        </w:rPr>
        <w:t xml:space="preserve">    8.社会保障和就业（类）其他社会保障和就业支出（款）其他社会保障和就业支出（项）</w:t>
      </w:r>
      <w:r>
        <w:rPr>
          <w:rStyle w:val="18"/>
          <w:rFonts w:ascii="仿宋" w:hAnsi="仿宋" w:eastAsia="仿宋"/>
          <w:bCs/>
          <w:sz w:val="32"/>
          <w:szCs w:val="32"/>
        </w:rPr>
        <w:t>:</w:t>
      </w:r>
      <w:r>
        <w:rPr>
          <w:rStyle w:val="18"/>
          <w:rFonts w:hint="eastAsia" w:ascii="仿宋" w:hAnsi="仿宋" w:eastAsia="仿宋"/>
          <w:b w:val="0"/>
          <w:bCs/>
          <w:sz w:val="32"/>
          <w:szCs w:val="32"/>
        </w:rPr>
        <w:t>支出决算为3.56万元，完成预算100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 w:hAnsi="仿宋" w:eastAsia="仿宋"/>
          <w:bCs/>
          <w:sz w:val="32"/>
          <w:szCs w:val="32"/>
        </w:rPr>
        <w:t>决算数等于预算数。</w:t>
      </w:r>
    </w:p>
    <w:p>
      <w:pPr>
        <w:pStyle w:val="2"/>
        <w:spacing w:before="93"/>
        <w:rPr>
          <w:rFonts w:ascii="仿宋" w:hAnsi="仿宋" w:eastAsia="仿宋"/>
          <w:bCs/>
          <w:sz w:val="32"/>
          <w:szCs w:val="32"/>
        </w:rPr>
      </w:pPr>
      <w:r>
        <w:rPr>
          <w:rFonts w:hint="eastAsia" w:ascii="仿宋" w:hAnsi="仿宋" w:eastAsia="仿宋"/>
          <w:bCs/>
          <w:sz w:val="32"/>
          <w:szCs w:val="32"/>
        </w:rPr>
        <w:t xml:space="preserve">    </w:t>
      </w:r>
      <w:r>
        <w:rPr>
          <w:rStyle w:val="18"/>
          <w:rFonts w:hint="eastAsia" w:ascii="仿宋" w:hAnsi="仿宋" w:eastAsia="仿宋"/>
          <w:bCs/>
          <w:sz w:val="32"/>
          <w:szCs w:val="32"/>
        </w:rPr>
        <w:t>9.卫生健康支出（类）行政事业单位医疗（款）行政单位医疗（项）</w:t>
      </w:r>
      <w:r>
        <w:rPr>
          <w:rStyle w:val="18"/>
          <w:rFonts w:ascii="仿宋" w:hAnsi="仿宋" w:eastAsia="仿宋"/>
          <w:bCs/>
          <w:sz w:val="32"/>
          <w:szCs w:val="32"/>
        </w:rPr>
        <w:t>:</w:t>
      </w:r>
      <w:r>
        <w:rPr>
          <w:rStyle w:val="18"/>
          <w:rFonts w:hint="eastAsia" w:ascii="仿宋" w:hAnsi="仿宋" w:eastAsia="仿宋"/>
          <w:b w:val="0"/>
          <w:bCs/>
          <w:sz w:val="32"/>
          <w:szCs w:val="32"/>
        </w:rPr>
        <w:t>支出决算为68.49万元，完成预算100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 w:hAnsi="仿宋" w:eastAsia="仿宋"/>
          <w:bCs/>
          <w:sz w:val="32"/>
          <w:szCs w:val="32"/>
        </w:rPr>
        <w:t>决算数等于预算数。</w:t>
      </w:r>
    </w:p>
    <w:p>
      <w:pPr>
        <w:pStyle w:val="2"/>
        <w:spacing w:before="93"/>
        <w:rPr>
          <w:rFonts w:ascii="仿宋" w:hAnsi="仿宋" w:eastAsia="仿宋"/>
          <w:b/>
          <w:sz w:val="32"/>
          <w:szCs w:val="32"/>
        </w:rPr>
      </w:pPr>
      <w:r>
        <w:rPr>
          <w:rFonts w:hint="eastAsia" w:ascii="仿宋" w:hAnsi="仿宋" w:eastAsia="仿宋"/>
          <w:bCs/>
          <w:sz w:val="32"/>
          <w:szCs w:val="32"/>
        </w:rPr>
        <w:t xml:space="preserve">    </w:t>
      </w:r>
      <w:r>
        <w:rPr>
          <w:rStyle w:val="18"/>
          <w:rFonts w:hint="eastAsia" w:ascii="仿宋" w:hAnsi="仿宋" w:eastAsia="仿宋"/>
          <w:bCs/>
          <w:sz w:val="32"/>
          <w:szCs w:val="32"/>
        </w:rPr>
        <w:t>10.住房保障支出（类）住房改革支出（款）住房公积金（项）</w:t>
      </w:r>
      <w:r>
        <w:rPr>
          <w:rStyle w:val="18"/>
          <w:rFonts w:ascii="仿宋" w:hAnsi="仿宋" w:eastAsia="仿宋"/>
          <w:bCs/>
          <w:sz w:val="32"/>
          <w:szCs w:val="32"/>
        </w:rPr>
        <w:t>:</w:t>
      </w:r>
      <w:r>
        <w:rPr>
          <w:rStyle w:val="18"/>
          <w:rFonts w:hint="eastAsia" w:ascii="仿宋" w:hAnsi="仿宋" w:eastAsia="仿宋"/>
          <w:b w:val="0"/>
          <w:bCs/>
          <w:sz w:val="32"/>
          <w:szCs w:val="32"/>
        </w:rPr>
        <w:t>支出决算为118.27万元，完成预算100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 w:hAnsi="仿宋" w:eastAsia="仿宋"/>
          <w:bCs/>
          <w:sz w:val="32"/>
          <w:szCs w:val="32"/>
        </w:rPr>
        <w:t>决算数等于预算数。</w:t>
      </w:r>
    </w:p>
    <w:p>
      <w:pPr>
        <w:tabs>
          <w:tab w:val="right" w:pos="8306"/>
        </w:tabs>
        <w:spacing w:line="600" w:lineRule="exact"/>
        <w:ind w:firstLine="640"/>
        <w:outlineLvl w:val="1"/>
        <w:rPr>
          <w:rStyle w:val="22"/>
        </w:rPr>
      </w:pPr>
      <w:bookmarkStart w:id="24" w:name="_Toc15377214"/>
      <w:bookmarkStart w:id="25"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2"/>
          <w:rFonts w:hint="eastAsia" w:ascii="黑体" w:hAnsi="黑体" w:eastAsia="黑体"/>
          <w:b w:val="0"/>
        </w:rPr>
        <w:t>般公共预算财政拨款基本支出决算情况说明</w:t>
      </w:r>
      <w:bookmarkEnd w:id="24"/>
      <w:bookmarkEnd w:id="25"/>
      <w:r>
        <w:rPr>
          <w:rStyle w:val="22"/>
          <w:rFonts w:ascii="黑体" w:hAnsi="黑体" w:eastAsia="黑体"/>
          <w:b w:val="0"/>
        </w:rPr>
        <w:tab/>
      </w:r>
    </w:p>
    <w:p>
      <w:pPr>
        <w:spacing w:line="600" w:lineRule="exact"/>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2023年度一般公共预算财政拨款基本支出1930万元，其中：</w:t>
      </w:r>
    </w:p>
    <w:p>
      <w:pPr>
        <w:spacing w:line="560" w:lineRule="exact"/>
        <w:ind w:firstLine="645"/>
        <w:rPr>
          <w:rFonts w:ascii="仿宋" w:hAnsi="仿宋" w:eastAsia="仿宋"/>
          <w:sz w:val="32"/>
          <w:szCs w:val="32"/>
        </w:rPr>
      </w:pPr>
      <w:r>
        <w:rPr>
          <w:rFonts w:hint="eastAsia" w:ascii="仿宋_GB2312" w:hAnsi="仿宋_GB2312" w:eastAsia="仿宋_GB2312" w:cs="仿宋_GB2312"/>
          <w:sz w:val="32"/>
          <w:szCs w:val="32"/>
        </w:rPr>
        <w:t>人员经费1556.95万元，主要包括：</w:t>
      </w:r>
      <w:r>
        <w:rPr>
          <w:rFonts w:hint="eastAsia" w:ascii="仿宋" w:hAnsi="仿宋" w:eastAsia="仿宋"/>
          <w:sz w:val="32"/>
          <w:szCs w:val="32"/>
        </w:rPr>
        <w:t>基本工资、津贴补贴、奖金、绩效工资、机关事业单位基本养老保险缴费、职工基本医疗保险缴费、其他社会保障缴费、住房公积金、其他工资福利支出、</w:t>
      </w:r>
      <w:r>
        <w:rPr>
          <w:rFonts w:hint="eastAsia" w:ascii="仿宋" w:hAnsi="仿宋" w:eastAsia="仿宋"/>
          <w:color w:val="000000"/>
          <w:sz w:val="32"/>
          <w:szCs w:val="32"/>
        </w:rPr>
        <w:t>生活补助等</w:t>
      </w:r>
      <w:r>
        <w:rPr>
          <w:rFonts w:hint="eastAsia" w:ascii="仿宋" w:hAnsi="仿宋" w:eastAsia="仿宋"/>
          <w:sz w:val="32"/>
          <w:szCs w:val="32"/>
        </w:rPr>
        <w:t>。</w:t>
      </w:r>
    </w:p>
    <w:p>
      <w:pPr>
        <w:spacing w:line="600" w:lineRule="exact"/>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　　公用经费373.05万元，主要包括：</w:t>
      </w:r>
      <w:r>
        <w:rPr>
          <w:rFonts w:hint="eastAsia" w:ascii="仿宋" w:hAnsi="仿宋" w:eastAsia="仿宋"/>
          <w:sz w:val="32"/>
          <w:szCs w:val="32"/>
        </w:rPr>
        <w:t>办公费、印刷费、水费、电费、邮电费、物业管理费、差旅费、维修（护）费、租赁费、会议费、培训费、公务接待费、工会经费、福利费、公务用车运行维护费、其他交通费、其他商品和服务支出等。</w:t>
      </w:r>
    </w:p>
    <w:p>
      <w:pPr>
        <w:spacing w:line="600" w:lineRule="exact"/>
        <w:ind w:firstLine="640"/>
        <w:outlineLvl w:val="1"/>
        <w:rPr>
          <w:rStyle w:val="22"/>
          <w:rFonts w:ascii="黑体" w:hAnsi="黑体" w:eastAsia="黑体"/>
          <w:b w:val="0"/>
        </w:rPr>
      </w:pPr>
      <w:bookmarkStart w:id="26" w:name="_Toc15377215"/>
      <w:bookmarkStart w:id="27" w:name="_Toc15396609"/>
      <w:r>
        <w:rPr>
          <w:rFonts w:hint="eastAsia" w:ascii="黑体" w:eastAsia="黑体"/>
          <w:sz w:val="32"/>
          <w:szCs w:val="32"/>
        </w:rPr>
        <w:t>七、</w:t>
      </w:r>
      <w:r>
        <w:rPr>
          <w:rStyle w:val="22"/>
          <w:rFonts w:hint="eastAsia" w:ascii="黑体" w:hAnsi="黑体" w:eastAsia="黑体"/>
          <w:b w:val="0"/>
        </w:rPr>
        <w:t>财政拨款</w:t>
      </w:r>
      <w:r>
        <w:rPr>
          <w:rStyle w:val="22"/>
          <w:rFonts w:hint="eastAsia" w:ascii="黑体" w:hAnsi="黑体" w:eastAsia="黑体"/>
        </w:rPr>
        <w:t>“</w:t>
      </w:r>
      <w:r>
        <w:rPr>
          <w:rStyle w:val="22"/>
          <w:rFonts w:hint="eastAsia" w:ascii="黑体" w:hAnsi="黑体" w:eastAsia="黑体"/>
          <w:b w:val="0"/>
        </w:rPr>
        <w:t>三公”经费支出决算情况说明</w:t>
      </w:r>
      <w:bookmarkEnd w:id="26"/>
      <w:bookmarkEnd w:id="27"/>
    </w:p>
    <w:p>
      <w:pPr>
        <w:spacing w:line="600" w:lineRule="exact"/>
        <w:ind w:firstLine="640"/>
        <w:outlineLvl w:val="2"/>
        <w:rPr>
          <w:rFonts w:hint="eastAsia" w:ascii="仿宋_GB2312" w:hAnsi="仿宋_GB2312" w:eastAsia="仿宋_GB2312" w:cs="仿宋_GB2312"/>
          <w:b/>
          <w:sz w:val="32"/>
          <w:szCs w:val="32"/>
        </w:rPr>
      </w:pPr>
      <w:bookmarkStart w:id="28" w:name="_Toc15377216"/>
      <w:r>
        <w:rPr>
          <w:rFonts w:hint="eastAsia" w:ascii="仿宋_GB2312" w:hAnsi="仿宋_GB2312" w:eastAsia="仿宋_GB2312" w:cs="仿宋_GB2312"/>
          <w:b/>
          <w:sz w:val="32"/>
          <w:szCs w:val="32"/>
        </w:rPr>
        <w:t>（一）“三公”经费财政拨款支出决算总体情况说明</w:t>
      </w:r>
      <w:bookmarkEnd w:id="28"/>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2023年度“三公”经费财政拨款支出决算为92.71万元，完成预算100%，较上年度增加67.83万元，增长272.6%。</w:t>
      </w:r>
    </w:p>
    <w:p>
      <w:pPr>
        <w:spacing w:line="600" w:lineRule="exact"/>
        <w:ind w:firstLine="640"/>
        <w:outlineLvl w:val="2"/>
        <w:rPr>
          <w:rFonts w:hint="eastAsia" w:ascii="仿宋_GB2312" w:hAnsi="仿宋_GB2312" w:eastAsia="仿宋_GB2312" w:cs="仿宋_GB2312"/>
          <w:b/>
          <w:sz w:val="32"/>
          <w:szCs w:val="32"/>
        </w:rPr>
      </w:pPr>
      <w:bookmarkStart w:id="29" w:name="_Toc15377217"/>
      <w:r>
        <w:rPr>
          <w:rFonts w:hint="eastAsia" w:ascii="仿宋_GB2312" w:hAnsi="仿宋_GB2312" w:eastAsia="仿宋_GB2312" w:cs="仿宋_GB2312"/>
          <w:b/>
          <w:sz w:val="32"/>
          <w:szCs w:val="32"/>
        </w:rPr>
        <w:t>（二）“三公”经费财政拨款支出决算具体情况说明</w:t>
      </w:r>
      <w:bookmarkEnd w:id="29"/>
    </w:p>
    <w:p>
      <w:pPr>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2023年度“三公”经费财政拨款支出决算中，因公出国（境）费支出决算0万元，占0%；公务用车购置及运行维护费支出决算89.23万元，占96.2%；公务接待费支出决算3.48万元，占3.8%。具体情况如下：</w:t>
      </w:r>
    </w:p>
    <w:p>
      <w:pPr>
        <w:ind w:firstLine="64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114300" distR="114300">
            <wp:extent cx="4047490" cy="2752090"/>
            <wp:effectExtent l="0" t="0" r="10160" b="10160"/>
            <wp:docPr id="12" name="图片 7" descr="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2" name="图片 7" descr="7"/>
                    <pic:cNvPicPr>
                      <a:picLocks noChangeAspect="true"/>
                    </pic:cNvPicPr>
                  </pic:nvPicPr>
                  <pic:blipFill>
                    <a:blip r:embed="rId11"/>
                    <a:stretch>
                      <a:fillRect/>
                    </a:stretch>
                  </pic:blipFill>
                  <pic:spPr>
                    <a:xfrm>
                      <a:off x="0" y="0"/>
                      <a:ext cx="4047490" cy="2752090"/>
                    </a:xfrm>
                    <a:prstGeom prst="rect">
                      <a:avLst/>
                    </a:prstGeom>
                    <a:noFill/>
                    <a:ln>
                      <a:noFill/>
                    </a:ln>
                  </pic:spPr>
                </pic:pic>
              </a:graphicData>
            </a:graphic>
          </wp:inline>
        </w:drawing>
      </w:r>
    </w:p>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（图7：“三公”经费财政拨款支出结构）（饼状图）</w:t>
      </w: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rPr>
        <w:t>0万元</w:t>
      </w:r>
      <w:r>
        <w:rPr>
          <w:rStyle w:val="18"/>
          <w:rFonts w:hint="eastAsia" w:ascii="仿宋" w:hAnsi="仿宋" w:eastAsia="仿宋"/>
          <w:b w:val="0"/>
          <w:bCs/>
          <w:sz w:val="32"/>
          <w:szCs w:val="32"/>
        </w:rPr>
        <w:t>。</w:t>
      </w:r>
      <w:r>
        <w:rPr>
          <w:rFonts w:hint="eastAsia" w:ascii="仿宋_GB2312" w:eastAsia="仿宋_GB2312"/>
          <w:sz w:val="32"/>
          <w:szCs w:val="32"/>
        </w:rPr>
        <w:t>年初未安排预算。因公出国（境）经费支出决算较2022年度无变化。</w:t>
      </w:r>
    </w:p>
    <w:p>
      <w:pPr>
        <w:pStyle w:val="14"/>
        <w:rPr>
          <w:rFonts w:hint="eastAsia" w:ascii="仿宋_GB2312" w:hAnsi="仿宋_GB2312" w:eastAsia="仿宋_GB2312" w:cs="仿宋_GB2312"/>
        </w:rPr>
      </w:pPr>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2.公</w:t>
      </w:r>
      <w:r>
        <w:rPr>
          <w:rFonts w:hint="eastAsia" w:ascii="仿宋_GB2312" w:hAnsi="仿宋_GB2312" w:eastAsia="仿宋_GB2312" w:cs="仿宋_GB2312"/>
          <w:b/>
          <w:bCs/>
          <w:sz w:val="32"/>
          <w:szCs w:val="32"/>
        </w:rPr>
        <w:t>务用车购置及运行维护费支出</w:t>
      </w:r>
      <w:r>
        <w:rPr>
          <w:rFonts w:hint="eastAsia" w:ascii="仿宋_GB2312" w:hAnsi="仿宋_GB2312" w:eastAsia="仿宋_GB2312" w:cs="仿宋_GB2312"/>
          <w:sz w:val="32"/>
          <w:szCs w:val="32"/>
        </w:rPr>
        <w:t>89.23万元,完成预算100%。公务用车购置及运行维护费支出决算比2022年度增加67.83万元，增长317%。主要原因是</w:t>
      </w:r>
      <w:r>
        <w:rPr>
          <w:rFonts w:hint="eastAsia" w:ascii="仿宋_GB2312" w:eastAsia="仿宋_GB2312"/>
          <w:sz w:val="32"/>
          <w:szCs w:val="32"/>
        </w:rPr>
        <w:t>2023年度购置执法执勤用车3辆，2022年度无新购车辆</w:t>
      </w:r>
      <w:r>
        <w:rPr>
          <w:rFonts w:hint="eastAsia" w:ascii="仿宋_GB2312" w:hAnsi="仿宋_GB2312" w:eastAsia="仿宋_GB2312" w:cs="仿宋_GB2312"/>
          <w:sz w:val="32"/>
          <w:szCs w:val="32"/>
        </w:rPr>
        <w:t>。</w:t>
      </w:r>
    </w:p>
    <w:p>
      <w:pPr>
        <w:spacing w:line="600" w:lineRule="exact"/>
        <w:ind w:firstLine="640"/>
        <w:rPr>
          <w:rFonts w:hint="eastAsia"/>
        </w:rPr>
      </w:pPr>
      <w:r>
        <w:rPr>
          <w:rFonts w:hint="eastAsia" w:ascii="仿宋_GB2312" w:hAnsi="仿宋_GB2312" w:eastAsia="仿宋_GB2312" w:cs="仿宋_GB2312"/>
          <w:sz w:val="32"/>
          <w:szCs w:val="32"/>
        </w:rPr>
        <w:t>其中：公务用车购置支出66.33万元。全年按规定更新购置公务用车3辆，其中：轿车2辆、金额39.14万元，商务车1辆、金额27.19万元，主要用于</w:t>
      </w:r>
      <w:r>
        <w:rPr>
          <w:rFonts w:hint="eastAsia" w:ascii="仿宋_GB2312" w:eastAsia="仿宋_GB2312"/>
          <w:sz w:val="32"/>
          <w:szCs w:val="32"/>
        </w:rPr>
        <w:t>案件审判、执行及日常公务用车</w:t>
      </w:r>
      <w:r>
        <w:rPr>
          <w:rFonts w:hint="eastAsia" w:ascii="仿宋_GB2312" w:hAnsi="仿宋_GB2312" w:eastAsia="仿宋_GB2312" w:cs="仿宋_GB2312"/>
          <w:sz w:val="32"/>
          <w:szCs w:val="32"/>
        </w:rPr>
        <w:t>。截至2023年12月31日，单位共有公务用车22辆，其中：</w:t>
      </w:r>
      <w:r>
        <w:rPr>
          <w:rFonts w:hint="eastAsia" w:ascii="仿宋_GB2312" w:eastAsia="仿宋_GB2312"/>
          <w:sz w:val="32"/>
          <w:szCs w:val="32"/>
        </w:rPr>
        <w:t>轿车5辆、越野车4辆、其他车辆13辆</w:t>
      </w:r>
      <w:r>
        <w:rPr>
          <w:rFonts w:hint="eastAsia" w:ascii="仿宋_GB2312" w:hAnsi="仿宋_GB2312" w:eastAsia="仿宋_GB2312" w:cs="仿宋_GB2312"/>
          <w:sz w:val="32"/>
          <w:szCs w:val="32"/>
        </w:rPr>
        <w:t>。</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公务用车运行维护费支出22.9万元</w:t>
      </w:r>
      <w:r>
        <w:rPr>
          <w:rFonts w:hint="eastAsia" w:ascii="仿宋_GB2312" w:hAnsi="仿宋_GB2312" w:eastAsia="仿宋_GB2312" w:cs="仿宋_GB2312"/>
          <w:sz w:val="32"/>
          <w:szCs w:val="32"/>
        </w:rPr>
        <w:t>。</w:t>
      </w:r>
      <w:r>
        <w:rPr>
          <w:rFonts w:hint="eastAsia" w:ascii="仿宋_GB2312" w:eastAsia="仿宋_GB2312"/>
          <w:sz w:val="32"/>
          <w:szCs w:val="32"/>
        </w:rPr>
        <w:t>主要用于案件审判、执行及日常公务用车产生的燃料费、维修费、过路过桥费、保险费等支出。</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rPr>
        <w:t>3.48万元，</w:t>
      </w:r>
      <w:r>
        <w:rPr>
          <w:rStyle w:val="18"/>
          <w:rFonts w:hint="eastAsia" w:ascii="仿宋" w:hAnsi="仿宋" w:eastAsia="仿宋"/>
          <w:b w:val="0"/>
          <w:bCs/>
          <w:sz w:val="32"/>
          <w:szCs w:val="32"/>
        </w:rPr>
        <w:t>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公务接待费支出决算比2022年度无变化。其中：</w:t>
      </w:r>
    </w:p>
    <w:p>
      <w:pPr>
        <w:spacing w:line="56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sz w:val="32"/>
          <w:szCs w:val="32"/>
        </w:rPr>
        <w:t>3.48</w:t>
      </w:r>
      <w:r>
        <w:rPr>
          <w:rFonts w:hint="eastAsia" w:ascii="仿宋_GB2312" w:eastAsia="仿宋_GB2312"/>
          <w:sz w:val="32"/>
          <w:szCs w:val="32"/>
        </w:rPr>
        <w:t xml:space="preserve">万元，主要用于执行公务、开展业务活动开支的交通费、住宿费、用餐费等。国内公务接待19批次，350人次（不包括陪同人员），共计支出3.48万元，具体内容包括：省市级及其他县区法院来我单位进行执行审判业务联系及日常工作交流学习接待用餐支出。 </w:t>
      </w:r>
    </w:p>
    <w:p>
      <w:pPr>
        <w:spacing w:line="600" w:lineRule="exact"/>
        <w:ind w:firstLine="642" w:firstLineChars="200"/>
        <w:rPr>
          <w:rFonts w:ascii="黑体" w:eastAsia="黑体"/>
          <w:sz w:val="32"/>
          <w:szCs w:val="32"/>
        </w:rPr>
      </w:pPr>
      <w:r>
        <w:rPr>
          <w:rFonts w:hint="eastAsia" w:ascii="仿宋" w:hAnsi="仿宋" w:eastAsia="仿宋"/>
          <w:b/>
          <w:sz w:val="32"/>
          <w:szCs w:val="32"/>
        </w:rPr>
        <w:t>外事接待支出</w:t>
      </w:r>
      <w:r>
        <w:rPr>
          <w:rFonts w:hint="eastAsia" w:ascii="仿宋" w:hAnsi="仿宋" w:eastAsia="仿宋"/>
          <w:sz w:val="32"/>
          <w:szCs w:val="32"/>
        </w:rPr>
        <w:t>0</w:t>
      </w:r>
      <w:r>
        <w:rPr>
          <w:rFonts w:hint="eastAsia" w:ascii="仿宋_GB2312" w:eastAsia="仿宋_GB2312"/>
          <w:sz w:val="32"/>
          <w:szCs w:val="32"/>
        </w:rPr>
        <w:t>万元，</w:t>
      </w:r>
      <w:r>
        <w:rPr>
          <w:rFonts w:hint="eastAsia" w:ascii="仿宋_GB2312" w:hAnsi="仿宋_GB2312" w:eastAsia="仿宋_GB2312" w:cs="仿宋_GB2312"/>
          <w:sz w:val="32"/>
          <w:szCs w:val="32"/>
        </w:rPr>
        <w:t>2023年度</w:t>
      </w:r>
      <w:r>
        <w:rPr>
          <w:rFonts w:hint="eastAsia" w:ascii="仿宋_GB2312" w:eastAsia="仿宋_GB2312"/>
          <w:sz w:val="32"/>
          <w:szCs w:val="32"/>
        </w:rPr>
        <w:t>无外事接待支出。</w:t>
      </w:r>
      <w:bookmarkStart w:id="30" w:name="_Toc15377218"/>
      <w:bookmarkStart w:id="31" w:name="_Toc15396610"/>
    </w:p>
    <w:p>
      <w:pPr>
        <w:spacing w:line="600" w:lineRule="exact"/>
        <w:ind w:firstLine="640"/>
        <w:outlineLvl w:val="1"/>
        <w:rPr>
          <w:rStyle w:val="22"/>
          <w:rFonts w:ascii="黑体" w:hAnsi="黑体" w:eastAsia="黑体"/>
        </w:rPr>
      </w:pPr>
      <w:r>
        <w:rPr>
          <w:rFonts w:hint="eastAsia" w:ascii="黑体" w:eastAsia="黑体"/>
          <w:sz w:val="32"/>
          <w:szCs w:val="32"/>
        </w:rPr>
        <w:t>八、</w:t>
      </w:r>
      <w:r>
        <w:rPr>
          <w:rStyle w:val="22"/>
          <w:rFonts w:hint="eastAsia" w:ascii="黑体" w:hAnsi="黑体" w:eastAsia="黑体"/>
          <w:b w:val="0"/>
        </w:rPr>
        <w:t>政府性基金预算支出决算情况说明</w:t>
      </w:r>
      <w:bookmarkEnd w:id="30"/>
      <w:bookmarkEnd w:id="31"/>
    </w:p>
    <w:p>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2023年度政府性基金预算财政拨款支出0万元。</w:t>
      </w:r>
    </w:p>
    <w:p>
      <w:pPr>
        <w:numPr>
          <w:ilvl w:val="0"/>
          <w:numId w:val="2"/>
        </w:numPr>
        <w:spacing w:line="600" w:lineRule="exact"/>
        <w:ind w:firstLine="640"/>
        <w:outlineLvl w:val="1"/>
        <w:rPr>
          <w:rStyle w:val="22"/>
          <w:rFonts w:ascii="黑体" w:hAnsi="黑体" w:eastAsia="黑体"/>
          <w:b w:val="0"/>
        </w:rPr>
      </w:pPr>
      <w:bookmarkStart w:id="32" w:name="_Toc15377219"/>
      <w:bookmarkStart w:id="33" w:name="_Toc15396611"/>
      <w:r>
        <w:rPr>
          <w:rStyle w:val="22"/>
          <w:rFonts w:hint="eastAsia" w:ascii="黑体" w:hAnsi="黑体" w:eastAsia="黑体"/>
          <w:b w:val="0"/>
        </w:rPr>
        <w:t>国有资本经营预算支出决算情况说明</w:t>
      </w:r>
      <w:bookmarkEnd w:id="32"/>
      <w:bookmarkEnd w:id="33"/>
    </w:p>
    <w:p>
      <w:pPr>
        <w:spacing w:line="600" w:lineRule="exact"/>
        <w:ind w:firstLine="640"/>
        <w:rPr>
          <w:rFonts w:hint="eastAsia" w:ascii="方正小标宋简体" w:hAnsi="方正小标宋简体" w:eastAsia="方正小标宋简体" w:cs="方正小标宋简体"/>
          <w:sz w:val="44"/>
          <w:szCs w:val="44"/>
        </w:rPr>
      </w:pPr>
      <w:r>
        <w:rPr>
          <w:rFonts w:hint="eastAsia" w:ascii="仿宋_GB2312" w:eastAsia="仿宋_GB2312"/>
          <w:sz w:val="32"/>
          <w:szCs w:val="32"/>
        </w:rPr>
        <w:t>2023年度国有资本经营预算财政拨款支出0万元。</w:t>
      </w:r>
    </w:p>
    <w:p>
      <w:pPr>
        <w:numPr>
          <w:ilvl w:val="0"/>
          <w:numId w:val="2"/>
        </w:numPr>
        <w:spacing w:line="600" w:lineRule="exact"/>
        <w:ind w:firstLine="640"/>
        <w:outlineLvl w:val="1"/>
        <w:rPr>
          <w:rStyle w:val="22"/>
          <w:rFonts w:hint="eastAsia" w:ascii="黑体" w:hAnsi="黑体" w:eastAsia="黑体"/>
          <w:b w:val="0"/>
        </w:rPr>
      </w:pPr>
      <w:bookmarkStart w:id="34" w:name="_Toc15377221"/>
      <w:bookmarkStart w:id="35" w:name="_Toc15396612"/>
      <w:r>
        <w:rPr>
          <w:rStyle w:val="22"/>
          <w:rFonts w:hint="eastAsia" w:ascii="黑体" w:hAnsi="黑体" w:eastAsia="黑体"/>
          <w:b w:val="0"/>
        </w:rPr>
        <w:t>其他重要事项的情况说明</w:t>
      </w:r>
      <w:bookmarkEnd w:id="34"/>
      <w:bookmarkEnd w:id="35"/>
    </w:p>
    <w:p>
      <w:pPr>
        <w:spacing w:line="600" w:lineRule="exact"/>
        <w:ind w:firstLine="642" w:firstLineChars="200"/>
        <w:outlineLvl w:val="2"/>
        <w:rPr>
          <w:rFonts w:ascii="仿宋" w:hAnsi="仿宋" w:eastAsia="仿宋"/>
          <w:sz w:val="32"/>
          <w:szCs w:val="32"/>
        </w:rPr>
      </w:pPr>
      <w:bookmarkStart w:id="36" w:name="_Toc15377222"/>
      <w:r>
        <w:rPr>
          <w:rFonts w:hint="eastAsia" w:ascii="仿宋" w:hAnsi="仿宋" w:eastAsia="仿宋"/>
          <w:b/>
          <w:sz w:val="32"/>
          <w:szCs w:val="32"/>
        </w:rPr>
        <w:t>（一）机关运行经费支出情况</w:t>
      </w:r>
      <w:bookmarkEnd w:id="36"/>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2023年度，广元市利州区人民法院机关运行经费支出373.05万元，比2022年度增加81.14万元，增长27.8</w:t>
      </w:r>
      <w:r>
        <w:rPr>
          <w:rFonts w:ascii="仿宋_GB2312" w:eastAsia="仿宋_GB2312"/>
          <w:sz w:val="32"/>
          <w:szCs w:val="32"/>
        </w:rPr>
        <w:t>%</w:t>
      </w:r>
      <w:r>
        <w:rPr>
          <w:rFonts w:hint="eastAsia" w:ascii="仿宋_GB2312" w:eastAsia="仿宋_GB2312"/>
          <w:sz w:val="32"/>
          <w:szCs w:val="32"/>
        </w:rPr>
        <w:t>。主要原因是疫情管控结束，办公办案外出次数增加。</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37" w:name="_Toc15377223"/>
      <w:r>
        <w:rPr>
          <w:rFonts w:hint="eastAsia" w:ascii="仿宋" w:hAnsi="仿宋" w:eastAsia="仿宋"/>
          <w:b/>
          <w:sz w:val="32"/>
          <w:szCs w:val="32"/>
        </w:rPr>
        <w:t>（二）政府采购支出情况</w:t>
      </w:r>
      <w:bookmarkEnd w:id="37"/>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广元市利州区人民法院政府采购支出总额204.16万元，其中：政府采购货物支出204.16万元。主要用于车辆、空调、科技法庭采购等，用于保障正常办公办案。授予中小企业合同金额0万元，占政府采购支出总额的0</w:t>
      </w:r>
      <w:r>
        <w:rPr>
          <w:rFonts w:ascii="仿宋_GB2312" w:eastAsia="仿宋_GB2312"/>
          <w:sz w:val="32"/>
          <w:szCs w:val="32"/>
        </w:rPr>
        <w:t>%</w:t>
      </w:r>
      <w:r>
        <w:rPr>
          <w:rFonts w:hint="eastAsia" w:ascii="仿宋_GB2312" w:eastAsia="仿宋_GB2312"/>
          <w:sz w:val="32"/>
          <w:szCs w:val="32"/>
        </w:rPr>
        <w:t>，其中：授予小微企业合同金额0万元，占政府采购支出总额的0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38" w:name="_Toc15377224"/>
      <w:r>
        <w:rPr>
          <w:rFonts w:hint="eastAsia" w:ascii="仿宋" w:hAnsi="仿宋" w:eastAsia="仿宋"/>
          <w:b/>
          <w:sz w:val="32"/>
          <w:szCs w:val="32"/>
        </w:rPr>
        <w:t>（三）国有资产占有使用情况</w:t>
      </w:r>
      <w:bookmarkEnd w:id="38"/>
    </w:p>
    <w:p>
      <w:pPr>
        <w:autoSpaceDE w:val="0"/>
        <w:autoSpaceDN w:val="0"/>
        <w:adjustRightInd w:val="0"/>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日，广元市利州区人民法院共有车辆22辆，其中：其他用车22辆，其他用车主要是用于案件审判、执行及日常公务用车。单价</w:t>
      </w:r>
      <w:r>
        <w:rPr>
          <w:rFonts w:ascii="仿宋_GB2312" w:eastAsia="仿宋_GB2312"/>
          <w:sz w:val="32"/>
          <w:szCs w:val="32"/>
        </w:rPr>
        <w:t>100</w:t>
      </w:r>
      <w:r>
        <w:rPr>
          <w:rFonts w:hint="eastAsia" w:ascii="仿宋_GB2312" w:eastAsia="仿宋_GB2312"/>
          <w:sz w:val="32"/>
          <w:szCs w:val="32"/>
        </w:rPr>
        <w:t>万元以上设备（不含车辆）0台（套）。</w:t>
      </w:r>
    </w:p>
    <w:p>
      <w:pPr>
        <w:autoSpaceDE w:val="0"/>
        <w:autoSpaceDN w:val="0"/>
        <w:adjustRightInd w:val="0"/>
        <w:spacing w:line="600" w:lineRule="exact"/>
        <w:ind w:firstLine="642"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2023年度预算编制阶段，组织对案件审判业务费(办理受理案件、司法鉴定、翻译费、收监人员体检费等）、陪审员调解员经费、司法辅助人员经费（52名）、司法救助、案件执行业务费（办理执行类案件、扫黑除恶经费、涉诉维稳、信访资金经费）等5个项目开展了预算事前绩效评估，对5个项目编制了绩效目标，预算执行过程中，选取5个项目开展绩效监控。</w:t>
      </w:r>
      <w:r>
        <w:rPr>
          <w:rFonts w:hint="eastAsia" w:ascii="仿宋_GB2312" w:hAnsi="Times New Roman" w:eastAsia="仿宋_GB2312" w:cs="Times New Roman"/>
          <w:color w:val="auto"/>
          <w:sz w:val="32"/>
          <w:szCs w:val="32"/>
          <w:highlight w:val="none"/>
          <w:lang w:eastAsia="zh-CN"/>
        </w:rPr>
        <w:t>组织对</w:t>
      </w:r>
      <w:r>
        <w:rPr>
          <w:rFonts w:hint="eastAsia" w:ascii="仿宋_GB2312" w:hAnsi="Times New Roman" w:eastAsia="仿宋_GB2312" w:cs="Times New Roman"/>
          <w:color w:val="auto"/>
          <w:sz w:val="32"/>
          <w:szCs w:val="32"/>
          <w:highlight w:val="none"/>
          <w:lang w:val="en-US" w:eastAsia="zh-CN"/>
        </w:rPr>
        <w:t>5个项目开展绩效自评，绩效自评表详见第四部分附件</w:t>
      </w:r>
    </w:p>
    <w:p>
      <w:pPr>
        <w:widowControl/>
        <w:ind w:firstLine="642" w:firstLineChars="200"/>
        <w:jc w:val="left"/>
        <w:rPr>
          <w:rFonts w:ascii="仿宋_GB2312" w:eastAsia="仿宋_GB2312"/>
          <w:b/>
          <w:sz w:val="32"/>
          <w:szCs w:val="32"/>
        </w:rPr>
      </w:pPr>
    </w:p>
    <w:p/>
    <w:p>
      <w:pPr>
        <w:numPr>
          <w:ilvl w:val="0"/>
          <w:numId w:val="3"/>
        </w:numPr>
        <w:spacing w:line="600" w:lineRule="exact"/>
        <w:ind w:firstLine="660" w:firstLineChars="150"/>
        <w:jc w:val="center"/>
        <w:outlineLvl w:val="0"/>
        <w:rPr>
          <w:rStyle w:val="21"/>
          <w:rFonts w:ascii="黑体" w:hAnsi="黑体" w:eastAsia="黑体"/>
          <w:b w:val="0"/>
        </w:rPr>
      </w:pPr>
      <w:bookmarkStart w:id="39" w:name="_Toc15396613"/>
      <w:bookmarkStart w:id="40" w:name="_Toc15377225"/>
      <w:r>
        <w:rPr>
          <w:rFonts w:hint="eastAsia" w:ascii="黑体" w:hAnsi="黑体" w:eastAsia="黑体"/>
          <w:sz w:val="44"/>
          <w:szCs w:val="44"/>
        </w:rPr>
        <w:t>名</w:t>
      </w:r>
      <w:r>
        <w:rPr>
          <w:rStyle w:val="21"/>
          <w:rFonts w:hint="eastAsia" w:ascii="黑体" w:hAnsi="黑体" w:eastAsia="黑体"/>
          <w:b w:val="0"/>
        </w:rPr>
        <w:t>词解释</w:t>
      </w:r>
      <w:bookmarkEnd w:id="39"/>
      <w:bookmarkEnd w:id="40"/>
    </w:p>
    <w:p>
      <w:pPr>
        <w:spacing w:line="600" w:lineRule="exact"/>
        <w:jc w:val="left"/>
        <w:rPr>
          <w:rFonts w:ascii="宋体"/>
          <w:b/>
          <w:sz w:val="44"/>
          <w:szCs w:val="44"/>
        </w:rPr>
      </w:pPr>
    </w:p>
    <w:p>
      <w:pPr>
        <w:ind w:firstLine="640" w:firstLineChars="200"/>
        <w:rPr>
          <w:rFonts w:hint="eastAsia" w:ascii="仿宋_GB2312" w:eastAsia="仿宋_GB2312" w:cs="仿宋"/>
          <w:kern w:val="0"/>
          <w:sz w:val="32"/>
          <w:szCs w:val="32"/>
        </w:rPr>
      </w:pPr>
      <w:r>
        <w:rPr>
          <w:rFonts w:hint="eastAsia" w:ascii="仿宋_GB2312" w:eastAsia="仿宋_GB2312" w:cs="仿宋"/>
          <w:kern w:val="0"/>
          <w:sz w:val="32"/>
          <w:szCs w:val="32"/>
        </w:rPr>
        <w:t>1.财政拨款收入：指单位从市级财政部门取得的财政预算资金。</w:t>
      </w:r>
    </w:p>
    <w:p>
      <w:pPr>
        <w:ind w:firstLine="640" w:firstLineChars="200"/>
        <w:rPr>
          <w:rFonts w:hint="eastAsia" w:ascii="仿宋_GB2312" w:eastAsia="仿宋_GB2312" w:cs="仿宋"/>
          <w:kern w:val="0"/>
          <w:sz w:val="32"/>
          <w:szCs w:val="32"/>
        </w:rPr>
      </w:pPr>
      <w:r>
        <w:rPr>
          <w:rFonts w:hint="eastAsia" w:ascii="仿宋_GB2312" w:eastAsia="仿宋_GB2312" w:cs="仿宋"/>
          <w:kern w:val="0"/>
          <w:sz w:val="32"/>
          <w:szCs w:val="32"/>
        </w:rPr>
        <w:t>2.其他收入：指单位取得的除上述收入以外的各项收入。主要是利州区财政预算资金及利息收入。</w:t>
      </w:r>
    </w:p>
    <w:p>
      <w:pPr>
        <w:ind w:firstLine="640" w:firstLineChars="200"/>
        <w:rPr>
          <w:rFonts w:hint="eastAsia" w:ascii="仿宋_GB2312" w:eastAsia="仿宋_GB2312" w:cs="仿宋"/>
          <w:kern w:val="0"/>
          <w:sz w:val="32"/>
          <w:szCs w:val="32"/>
        </w:rPr>
      </w:pPr>
      <w:r>
        <w:rPr>
          <w:rFonts w:hint="eastAsia" w:ascii="仿宋_GB2312" w:eastAsia="仿宋_GB2312" w:cs="仿宋"/>
          <w:kern w:val="0"/>
          <w:sz w:val="32"/>
          <w:szCs w:val="32"/>
        </w:rPr>
        <w:t>3.公共安全支出：指政府维护社会公共安全方面的支出。</w:t>
      </w:r>
    </w:p>
    <w:p>
      <w:pPr>
        <w:ind w:firstLine="640" w:firstLineChars="200"/>
        <w:rPr>
          <w:rFonts w:hint="eastAsia" w:ascii="仿宋_GB2312" w:eastAsia="仿宋_GB2312" w:cs="仿宋"/>
          <w:kern w:val="0"/>
          <w:sz w:val="32"/>
          <w:szCs w:val="32"/>
        </w:rPr>
      </w:pPr>
      <w:r>
        <w:rPr>
          <w:rFonts w:hint="eastAsia" w:ascii="仿宋_GB2312" w:eastAsia="仿宋_GB2312" w:cs="仿宋"/>
          <w:kern w:val="0"/>
          <w:sz w:val="32"/>
          <w:szCs w:val="32"/>
        </w:rPr>
        <w:t>4.公共安全（类）法院（款）行政运行（项）:指行政单位（包括实行公务员管理的事业单位）的基本支出。</w:t>
      </w:r>
    </w:p>
    <w:p>
      <w:pPr>
        <w:ind w:firstLine="640" w:firstLineChars="200"/>
        <w:rPr>
          <w:rFonts w:hint="eastAsia" w:ascii="仿宋_GB2312" w:eastAsia="仿宋_GB2312" w:cs="仿宋"/>
          <w:kern w:val="0"/>
          <w:sz w:val="32"/>
          <w:szCs w:val="32"/>
        </w:rPr>
      </w:pPr>
      <w:r>
        <w:rPr>
          <w:rFonts w:hint="eastAsia" w:ascii="仿宋_GB2312" w:eastAsia="仿宋_GB2312" w:cs="仿宋"/>
          <w:kern w:val="0"/>
          <w:sz w:val="32"/>
          <w:szCs w:val="32"/>
        </w:rPr>
        <w:t>5.公共安全（类）法院（款）一般行政管理事务（项）：指行政单位（包括实行公务员管理的事业单位）未单独设置项级科目的项目支出。</w:t>
      </w:r>
    </w:p>
    <w:p>
      <w:pPr>
        <w:ind w:firstLine="640" w:firstLineChars="200"/>
        <w:rPr>
          <w:rFonts w:hint="eastAsia" w:ascii="仿宋_GB2312" w:eastAsia="仿宋_GB2312" w:cs="仿宋"/>
          <w:kern w:val="0"/>
          <w:sz w:val="32"/>
          <w:szCs w:val="32"/>
        </w:rPr>
      </w:pPr>
      <w:r>
        <w:rPr>
          <w:rFonts w:hint="eastAsia" w:ascii="仿宋_GB2312" w:eastAsia="仿宋_GB2312" w:cs="仿宋"/>
          <w:kern w:val="0"/>
          <w:sz w:val="32"/>
          <w:szCs w:val="32"/>
        </w:rPr>
        <w:t>6.公共安全（类）法院（款）案件审判（项）：指人民法院对刑事、民事、行政、涉外等案件审判活动的支出。</w:t>
      </w:r>
    </w:p>
    <w:p>
      <w:pPr>
        <w:ind w:firstLine="640" w:firstLineChars="200"/>
        <w:rPr>
          <w:rFonts w:hint="eastAsia" w:ascii="仿宋_GB2312" w:eastAsia="仿宋_GB2312" w:cs="仿宋"/>
          <w:kern w:val="0"/>
          <w:sz w:val="32"/>
          <w:szCs w:val="32"/>
        </w:rPr>
      </w:pPr>
      <w:r>
        <w:rPr>
          <w:rFonts w:hint="eastAsia" w:ascii="仿宋_GB2312" w:eastAsia="仿宋_GB2312" w:cs="仿宋"/>
          <w:kern w:val="0"/>
          <w:sz w:val="32"/>
          <w:szCs w:val="32"/>
        </w:rPr>
        <w:t>7.公共安全（类）法院（款）案件执行（项）：指人民法院对刑事、民事、行政、涉外等案件执行活动和对各种非诉执行活动的支出。</w:t>
      </w:r>
    </w:p>
    <w:p>
      <w:pPr>
        <w:ind w:firstLine="640" w:firstLineChars="200"/>
        <w:rPr>
          <w:rFonts w:hint="eastAsia" w:ascii="仿宋_GB2312" w:eastAsia="仿宋_GB2312" w:cs="仿宋"/>
          <w:kern w:val="0"/>
          <w:sz w:val="32"/>
          <w:szCs w:val="32"/>
        </w:rPr>
      </w:pPr>
      <w:r>
        <w:rPr>
          <w:rFonts w:hint="eastAsia" w:ascii="仿宋_GB2312" w:eastAsia="仿宋_GB2312" w:cs="仿宋"/>
          <w:kern w:val="0"/>
          <w:sz w:val="32"/>
          <w:szCs w:val="32"/>
        </w:rPr>
        <w:t xml:space="preserve"> 8.公共安全（类）法院（款）事业运行（项）：支事业人员绩效工资。</w:t>
      </w:r>
    </w:p>
    <w:p>
      <w:pPr>
        <w:ind w:firstLine="640" w:firstLineChars="200"/>
        <w:rPr>
          <w:rFonts w:hint="eastAsia" w:ascii="仿宋_GB2312" w:eastAsia="仿宋_GB2312" w:cs="仿宋"/>
          <w:kern w:val="0"/>
          <w:sz w:val="32"/>
          <w:szCs w:val="32"/>
        </w:rPr>
      </w:pPr>
      <w:r>
        <w:rPr>
          <w:rFonts w:hint="eastAsia" w:ascii="仿宋_GB2312" w:eastAsia="仿宋_GB2312" w:cs="仿宋"/>
          <w:kern w:val="0"/>
          <w:sz w:val="32"/>
          <w:szCs w:val="32"/>
        </w:rPr>
        <w:t>9.公共安全（类）法院（款）其他法院支出（项）:政法转移支付资金支出。</w:t>
      </w:r>
    </w:p>
    <w:p>
      <w:pPr>
        <w:ind w:firstLine="640" w:firstLineChars="200"/>
        <w:rPr>
          <w:rFonts w:hint="eastAsia" w:ascii="仿宋_GB2312" w:eastAsia="仿宋_GB2312" w:cs="仿宋"/>
          <w:kern w:val="0"/>
          <w:sz w:val="32"/>
          <w:szCs w:val="32"/>
        </w:rPr>
      </w:pPr>
      <w:r>
        <w:rPr>
          <w:rFonts w:hint="eastAsia" w:ascii="仿宋_GB2312" w:eastAsia="仿宋_GB2312" w:cs="仿宋"/>
          <w:kern w:val="0"/>
          <w:sz w:val="32"/>
          <w:szCs w:val="32"/>
        </w:rPr>
        <w:t>10.社会保障和就业（类）行政事业单位养老支出（款）机关事业单位基本养老保险缴费支出（项）：指机关事业单位实施养老保险制度由单位缴纳的基本养老保险费支出。</w:t>
      </w:r>
    </w:p>
    <w:p>
      <w:pPr>
        <w:ind w:firstLine="640" w:firstLineChars="200"/>
        <w:rPr>
          <w:rFonts w:hint="eastAsia" w:ascii="仿宋_GB2312" w:eastAsia="仿宋_GB2312" w:cs="仿宋"/>
          <w:kern w:val="0"/>
          <w:sz w:val="32"/>
          <w:szCs w:val="32"/>
        </w:rPr>
      </w:pPr>
      <w:r>
        <w:rPr>
          <w:rFonts w:hint="eastAsia" w:ascii="仿宋_GB2312" w:eastAsia="仿宋_GB2312" w:cs="仿宋"/>
          <w:kern w:val="0"/>
          <w:sz w:val="32"/>
          <w:szCs w:val="32"/>
        </w:rPr>
        <w:t>11.社会保障和就业（类）其他社会保障和就业支出（款）其他社会保障和就业支出（项）：指机关事业单位实施养老保险制度由单位实际缴纳的工伤保险和失业保险支出。</w:t>
      </w:r>
    </w:p>
    <w:p>
      <w:pPr>
        <w:ind w:firstLine="640" w:firstLineChars="200"/>
        <w:rPr>
          <w:rFonts w:hint="eastAsia" w:ascii="仿宋_GB2312" w:eastAsia="仿宋_GB2312" w:cs="仿宋"/>
          <w:kern w:val="0"/>
          <w:sz w:val="32"/>
          <w:szCs w:val="32"/>
        </w:rPr>
      </w:pPr>
      <w:r>
        <w:rPr>
          <w:rFonts w:hint="eastAsia" w:ascii="仿宋_GB2312" w:eastAsia="仿宋_GB2312" w:cs="仿宋"/>
          <w:kern w:val="0"/>
          <w:sz w:val="32"/>
          <w:szCs w:val="32"/>
        </w:rPr>
        <w:t>12.卫生健康支出（类）行政事业单位医疗（款）行政单位医疗（项）：指财政部门安排的行政单位( 包括实行公务员管理的事业单位，下同)基本医疗保险缴费经费。</w:t>
      </w:r>
    </w:p>
    <w:p>
      <w:pPr>
        <w:ind w:firstLine="640" w:firstLineChars="200"/>
        <w:rPr>
          <w:rFonts w:hint="eastAsia" w:ascii="仿宋_GB2312" w:eastAsia="仿宋_GB2312" w:cs="仿宋"/>
          <w:kern w:val="0"/>
          <w:sz w:val="32"/>
          <w:szCs w:val="32"/>
        </w:rPr>
      </w:pPr>
      <w:r>
        <w:rPr>
          <w:rFonts w:hint="eastAsia" w:ascii="仿宋_GB2312" w:eastAsia="仿宋_GB2312" w:cs="仿宋"/>
          <w:kern w:val="0"/>
          <w:sz w:val="32"/>
          <w:szCs w:val="32"/>
        </w:rPr>
        <w:t>13.住房保障支出（类）住房改革支出（款）住房公积金（项）：指行政事业单位按人力资源和社会保障部、财政部规定的基本工资和津贴补贴以及规定比例为职工缴纳的住房公积金。</w:t>
      </w:r>
    </w:p>
    <w:p>
      <w:pPr>
        <w:ind w:firstLine="640" w:firstLineChars="200"/>
        <w:rPr>
          <w:rFonts w:hint="eastAsia" w:ascii="仿宋_GB2312" w:eastAsia="仿宋_GB2312" w:cs="仿宋"/>
          <w:kern w:val="0"/>
          <w:sz w:val="32"/>
          <w:szCs w:val="32"/>
        </w:rPr>
      </w:pPr>
      <w:r>
        <w:rPr>
          <w:rFonts w:hint="eastAsia" w:ascii="仿宋_GB2312" w:eastAsia="仿宋_GB2312" w:cs="仿宋"/>
          <w:kern w:val="0"/>
          <w:sz w:val="32"/>
          <w:szCs w:val="32"/>
        </w:rPr>
        <w:t>14.基本支出：指为保障机构正常运转、完成日常工作任务而发生的人员支出和公用支出。</w:t>
      </w:r>
    </w:p>
    <w:p>
      <w:pPr>
        <w:ind w:firstLine="640" w:firstLineChars="200"/>
        <w:rPr>
          <w:rFonts w:hint="eastAsia" w:ascii="仿宋_GB2312" w:eastAsia="仿宋_GB2312" w:cs="仿宋"/>
          <w:kern w:val="0"/>
          <w:sz w:val="32"/>
          <w:szCs w:val="32"/>
        </w:rPr>
      </w:pPr>
      <w:r>
        <w:rPr>
          <w:rFonts w:hint="eastAsia" w:ascii="仿宋_GB2312" w:eastAsia="仿宋_GB2312" w:cs="仿宋"/>
          <w:kern w:val="0"/>
          <w:sz w:val="32"/>
          <w:szCs w:val="32"/>
        </w:rPr>
        <w:t>15.项目支出：指在基本支出之外为完成特定行政任务和事业发展目标所发生的支出。</w:t>
      </w:r>
    </w:p>
    <w:p>
      <w:pPr>
        <w:ind w:firstLine="640" w:firstLineChars="200"/>
        <w:rPr>
          <w:rFonts w:hint="eastAsia" w:ascii="仿宋_GB2312" w:eastAsia="仿宋_GB2312" w:cs="仿宋"/>
          <w:kern w:val="0"/>
          <w:sz w:val="32"/>
          <w:szCs w:val="32"/>
        </w:rPr>
      </w:pPr>
      <w:r>
        <w:rPr>
          <w:rFonts w:hint="eastAsia" w:ascii="仿宋_GB2312" w:eastAsia="仿宋_GB2312" w:cs="仿宋"/>
          <w:kern w:val="0"/>
          <w:sz w:val="32"/>
          <w:szCs w:val="32"/>
        </w:rPr>
        <w:t>16.“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ind w:firstLine="640" w:firstLineChars="200"/>
        <w:rPr>
          <w:rFonts w:ascii="仿宋" w:hAnsi="仿宋" w:eastAsia="仿宋"/>
          <w:b/>
          <w:sz w:val="32"/>
          <w:szCs w:val="32"/>
        </w:rPr>
      </w:pPr>
      <w:r>
        <w:rPr>
          <w:rFonts w:hint="eastAsia" w:ascii="仿宋_GB2312" w:eastAsia="仿宋_GB2312" w:cs="仿宋"/>
          <w:kern w:val="0"/>
          <w:sz w:val="32"/>
          <w:szCs w:val="32"/>
        </w:rPr>
        <w:t>17.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2" w:firstLineChars="200"/>
        <w:rPr>
          <w:rFonts w:ascii="仿宋" w:hAnsi="仿宋" w:eastAsia="仿宋"/>
          <w:b/>
          <w:sz w:val="32"/>
          <w:szCs w:val="32"/>
        </w:rPr>
      </w:pPr>
    </w:p>
    <w:p>
      <w:pPr>
        <w:spacing w:line="600" w:lineRule="exact"/>
        <w:jc w:val="center"/>
        <w:outlineLvl w:val="0"/>
        <w:rPr>
          <w:rStyle w:val="21"/>
          <w:rFonts w:ascii="黑体" w:hAnsi="黑体" w:eastAsia="黑体"/>
          <w:b w:val="0"/>
        </w:rPr>
      </w:pPr>
      <w:r>
        <w:rPr>
          <w:rFonts w:ascii="宋体"/>
          <w:b/>
          <w:sz w:val="44"/>
          <w:szCs w:val="44"/>
        </w:rPr>
        <w:br w:type="page"/>
      </w:r>
      <w:r>
        <w:rPr>
          <w:rFonts w:hint="eastAsia" w:ascii="黑体" w:hAnsi="黑体" w:eastAsia="黑体"/>
          <w:sz w:val="44"/>
          <w:szCs w:val="44"/>
        </w:rPr>
        <w:t>第</w:t>
      </w:r>
      <w:r>
        <w:rPr>
          <w:rStyle w:val="21"/>
          <w:rFonts w:hint="eastAsia" w:ascii="黑体" w:hAnsi="黑体" w:eastAsia="黑体"/>
          <w:b w:val="0"/>
        </w:rPr>
        <w:t>四部分 附件</w:t>
      </w:r>
    </w:p>
    <w:tbl>
      <w:tblPr>
        <w:tblStyle w:val="16"/>
        <w:tblW w:w="6689" w:type="pct"/>
        <w:tblInd w:w="-601" w:type="dxa"/>
        <w:tblLayout w:type="autofit"/>
        <w:tblCellMar>
          <w:top w:w="0" w:type="dxa"/>
          <w:left w:w="108" w:type="dxa"/>
          <w:bottom w:w="0" w:type="dxa"/>
          <w:right w:w="108" w:type="dxa"/>
        </w:tblCellMar>
      </w:tblPr>
      <w:tblGrid>
        <w:gridCol w:w="600"/>
        <w:gridCol w:w="249"/>
        <w:gridCol w:w="449"/>
        <w:gridCol w:w="882"/>
        <w:gridCol w:w="919"/>
        <w:gridCol w:w="271"/>
        <w:gridCol w:w="1227"/>
        <w:gridCol w:w="490"/>
        <w:gridCol w:w="399"/>
        <w:gridCol w:w="618"/>
        <w:gridCol w:w="155"/>
        <w:gridCol w:w="244"/>
        <w:gridCol w:w="196"/>
        <w:gridCol w:w="654"/>
        <w:gridCol w:w="7"/>
        <w:gridCol w:w="479"/>
        <w:gridCol w:w="41"/>
        <w:gridCol w:w="356"/>
        <w:gridCol w:w="743"/>
        <w:gridCol w:w="520"/>
        <w:gridCol w:w="426"/>
        <w:gridCol w:w="34"/>
        <w:gridCol w:w="1442"/>
      </w:tblGrid>
      <w:tr>
        <w:tblPrEx>
          <w:tblCellMar>
            <w:top w:w="0" w:type="dxa"/>
            <w:left w:w="108" w:type="dxa"/>
            <w:bottom w:w="0" w:type="dxa"/>
            <w:right w:w="108" w:type="dxa"/>
          </w:tblCellMar>
        </w:tblPrEx>
        <w:trPr>
          <w:gridAfter w:val="2"/>
          <w:wAfter w:w="648" w:type="pct"/>
          <w:trHeight w:val="660"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285"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51080022T000005057309-司法救助</w:t>
            </w:r>
          </w:p>
        </w:tc>
      </w:tr>
      <w:tr>
        <w:tblPrEx>
          <w:tblCellMar>
            <w:top w:w="0" w:type="dxa"/>
            <w:left w:w="108" w:type="dxa"/>
            <w:bottom w:w="0" w:type="dxa"/>
            <w:right w:w="108" w:type="dxa"/>
          </w:tblCellMar>
        </w:tblPrEx>
        <w:trPr>
          <w:gridAfter w:val="2"/>
          <w:wAfter w:w="648" w:type="pct"/>
          <w:trHeight w:val="514"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709"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通过司法救助维护弱势群体</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通过司法救助维护了弱势群体，保障了其合法权益。</w:t>
            </w:r>
          </w:p>
        </w:tc>
      </w:tr>
      <w:tr>
        <w:tblPrEx>
          <w:tblCellMar>
            <w:top w:w="0" w:type="dxa"/>
            <w:left w:w="108" w:type="dxa"/>
            <w:bottom w:w="0" w:type="dxa"/>
            <w:right w:w="108" w:type="dxa"/>
          </w:tblCellMar>
        </w:tblPrEx>
        <w:trPr>
          <w:gridAfter w:val="2"/>
          <w:wAfter w:w="648" w:type="pct"/>
          <w:trHeight w:val="69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该项目属于常年性项目，通过对申请司法救助的当事人进行救助，保障公民司法权利，维护弱势群体合法利益。</w:t>
            </w: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34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11.70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77.97%</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r>
              <w:rPr>
                <w:rFonts w:ascii="Courier New" w:hAnsi="Courier New" w:cs="Courier New"/>
                <w:i/>
                <w:iCs/>
                <w:color w:val="000000"/>
                <w:kern w:val="0"/>
                <w:sz w:val="18"/>
                <w:szCs w:val="18"/>
              </w:rPr>
              <w:t>司法救助是根据当事人申请，资格审核后符合救助条件才能实施救助，据实报账支出。</w:t>
            </w:r>
          </w:p>
        </w:tc>
      </w:tr>
      <w:tr>
        <w:tblPrEx>
          <w:tblCellMar>
            <w:top w:w="0" w:type="dxa"/>
            <w:left w:w="108" w:type="dxa"/>
            <w:bottom w:w="0" w:type="dxa"/>
            <w:right w:w="108" w:type="dxa"/>
          </w:tblCellMar>
        </w:tblPrEx>
        <w:trPr>
          <w:gridAfter w:val="2"/>
          <w:wAfter w:w="648" w:type="pct"/>
          <w:trHeight w:val="39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11.70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77.97%</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09"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司法救助人员数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执行救助金发放合规率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产出各项任务完成时间</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救助弱势群体</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发挥救急救困的作用</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体现司法人文关怀</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严格执行项目预算金额</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11.7</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85"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60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自评90分，通过司法救助有效维护了弱势群体的合法权益。</w:t>
            </w:r>
          </w:p>
        </w:tc>
      </w:tr>
      <w:tr>
        <w:tblPrEx>
          <w:tblCellMar>
            <w:top w:w="0" w:type="dxa"/>
            <w:left w:w="108" w:type="dxa"/>
            <w:bottom w:w="0" w:type="dxa"/>
            <w:right w:w="108" w:type="dxa"/>
          </w:tblCellMar>
        </w:tblPrEx>
        <w:trPr>
          <w:gridAfter w:val="2"/>
          <w:wAfter w:w="648" w:type="pct"/>
          <w:trHeight w:val="57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支付进度未达到90%。</w:t>
            </w:r>
          </w:p>
        </w:tc>
      </w:tr>
      <w:tr>
        <w:tblPrEx>
          <w:tblCellMar>
            <w:top w:w="0" w:type="dxa"/>
            <w:left w:w="108" w:type="dxa"/>
            <w:bottom w:w="0" w:type="dxa"/>
            <w:right w:w="108" w:type="dxa"/>
          </w:tblCellMar>
        </w:tblPrEx>
        <w:trPr>
          <w:gridAfter w:val="2"/>
          <w:wAfter w:w="648" w:type="pct"/>
          <w:trHeight w:val="63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督促办案人员及时对符合条件的当事人进行救助，及时报账，加快支付进度。</w:t>
            </w:r>
          </w:p>
        </w:tc>
      </w:tr>
      <w:tr>
        <w:tblPrEx>
          <w:tblCellMar>
            <w:top w:w="0" w:type="dxa"/>
            <w:left w:w="108" w:type="dxa"/>
            <w:bottom w:w="0" w:type="dxa"/>
            <w:right w:w="108" w:type="dxa"/>
          </w:tblCellMar>
        </w:tblPrEx>
        <w:trPr>
          <w:gridAfter w:val="2"/>
          <w:wAfter w:w="648" w:type="pct"/>
          <w:trHeight w:val="285"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After w:val="2"/>
          <w:wAfter w:w="648" w:type="pct"/>
          <w:trHeight w:val="285" w:hRule="atLeast"/>
        </w:trPr>
        <w:tc>
          <w:tcPr>
            <w:tcW w:w="372"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8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2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5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71"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1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40" w:type="pct"/>
            <w:gridSpan w:val="3"/>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r>
      <w:tr>
        <w:tblPrEx>
          <w:tblCellMar>
            <w:top w:w="0" w:type="dxa"/>
            <w:left w:w="108" w:type="dxa"/>
            <w:bottom w:w="0" w:type="dxa"/>
            <w:right w:w="108" w:type="dxa"/>
          </w:tblCellMar>
        </w:tblPrEx>
        <w:trPr>
          <w:gridAfter w:val="2"/>
          <w:wAfter w:w="648" w:type="pct"/>
          <w:trHeight w:val="1320"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285"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51080022T000005057321-陪审员经费</w:t>
            </w:r>
          </w:p>
        </w:tc>
      </w:tr>
      <w:tr>
        <w:tblPrEx>
          <w:tblCellMar>
            <w:top w:w="0" w:type="dxa"/>
            <w:left w:w="108" w:type="dxa"/>
            <w:bottom w:w="0" w:type="dxa"/>
            <w:right w:w="108" w:type="dxa"/>
          </w:tblCellMar>
        </w:tblPrEx>
        <w:trPr>
          <w:gridAfter w:val="2"/>
          <w:wAfter w:w="648" w:type="pct"/>
          <w:trHeight w:val="514"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90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保障陪审员工作经费</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根据陪审员参与陪审情况，按规定发放陪审待费用，保障陪审员待遇。</w:t>
            </w:r>
          </w:p>
        </w:tc>
      </w:tr>
      <w:tr>
        <w:tblPrEx>
          <w:tblCellMar>
            <w:top w:w="0" w:type="dxa"/>
            <w:left w:w="108" w:type="dxa"/>
            <w:bottom w:w="0" w:type="dxa"/>
            <w:right w:w="108" w:type="dxa"/>
          </w:tblCellMar>
        </w:tblPrEx>
        <w:trPr>
          <w:gridAfter w:val="2"/>
          <w:wAfter w:w="648" w:type="pct"/>
          <w:trHeight w:val="90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该项目属于常年性项目，通过对陪审员合规发放陪审补助，参与庭审，促进司法公平公正。</w:t>
            </w: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34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10.93</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10.93</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10.93</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9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10.93</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10.93</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10.93</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09"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保障人数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就业支持</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85"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60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自评100分，有效保障了陪审员的陪审待遇，参与审判活动，促进司法公正。</w:t>
            </w:r>
          </w:p>
        </w:tc>
      </w:tr>
      <w:tr>
        <w:tblPrEx>
          <w:tblCellMar>
            <w:top w:w="0" w:type="dxa"/>
            <w:left w:w="108" w:type="dxa"/>
            <w:bottom w:w="0" w:type="dxa"/>
            <w:right w:w="108" w:type="dxa"/>
          </w:tblCellMar>
        </w:tblPrEx>
        <w:trPr>
          <w:gridAfter w:val="2"/>
          <w:wAfter w:w="648" w:type="pct"/>
          <w:trHeight w:val="57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63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285"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After w:val="2"/>
          <w:wAfter w:w="648" w:type="pct"/>
          <w:trHeight w:val="285" w:hRule="atLeast"/>
        </w:trPr>
        <w:tc>
          <w:tcPr>
            <w:tcW w:w="372"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8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2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5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71"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1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40" w:type="pct"/>
            <w:gridSpan w:val="3"/>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r>
      <w:tr>
        <w:tblPrEx>
          <w:tblCellMar>
            <w:top w:w="0" w:type="dxa"/>
            <w:left w:w="108" w:type="dxa"/>
            <w:bottom w:w="0" w:type="dxa"/>
            <w:right w:w="108" w:type="dxa"/>
          </w:tblCellMar>
        </w:tblPrEx>
        <w:trPr>
          <w:gridAfter w:val="2"/>
          <w:wAfter w:w="648" w:type="pct"/>
          <w:trHeight w:val="1122"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402"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51080022T000005057324-案件执行业务费、扫黑除恶经费</w:t>
            </w:r>
          </w:p>
        </w:tc>
      </w:tr>
      <w:tr>
        <w:tblPrEx>
          <w:tblCellMar>
            <w:top w:w="0" w:type="dxa"/>
            <w:left w:w="108" w:type="dxa"/>
            <w:bottom w:w="0" w:type="dxa"/>
            <w:right w:w="108" w:type="dxa"/>
          </w:tblCellMar>
        </w:tblPrEx>
        <w:trPr>
          <w:gridAfter w:val="2"/>
          <w:wAfter w:w="648" w:type="pct"/>
          <w:trHeight w:val="739"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762"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保障案件执行</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保障案件执行顺利开展，支持保障扫黑除恶审判业务开展。</w:t>
            </w:r>
          </w:p>
        </w:tc>
      </w:tr>
      <w:tr>
        <w:tblPrEx>
          <w:tblCellMar>
            <w:top w:w="0" w:type="dxa"/>
            <w:left w:w="108" w:type="dxa"/>
            <w:bottom w:w="0" w:type="dxa"/>
            <w:right w:w="108" w:type="dxa"/>
          </w:tblCellMar>
        </w:tblPrEx>
        <w:trPr>
          <w:gridAfter w:val="2"/>
          <w:wAfter w:w="648" w:type="pct"/>
          <w:trHeight w:val="882"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该项目属于常年性项目，通过司法强制执行，保障申请人合法权益，开展扫黑除恶审判活动，维护社会和谐稳定。</w:t>
            </w: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34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9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09"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办理执行案件</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件</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执行效果</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85"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739"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自评100分，充分支持保障了司法强制执行，保扫黑除恶审判等业务活动，履行审判职责。</w:t>
            </w:r>
          </w:p>
        </w:tc>
      </w:tr>
      <w:tr>
        <w:tblPrEx>
          <w:tblCellMar>
            <w:top w:w="0" w:type="dxa"/>
            <w:left w:w="108" w:type="dxa"/>
            <w:bottom w:w="0" w:type="dxa"/>
            <w:right w:w="108" w:type="dxa"/>
          </w:tblCellMar>
        </w:tblPrEx>
        <w:trPr>
          <w:gridAfter w:val="2"/>
          <w:wAfter w:w="648" w:type="pct"/>
          <w:trHeight w:val="57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63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402"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After w:val="2"/>
          <w:wAfter w:w="648" w:type="pct"/>
          <w:trHeight w:val="285" w:hRule="atLeast"/>
        </w:trPr>
        <w:tc>
          <w:tcPr>
            <w:tcW w:w="372"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8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2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5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71"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1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40" w:type="pct"/>
            <w:gridSpan w:val="3"/>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r>
      <w:tr>
        <w:tblPrEx>
          <w:tblCellMar>
            <w:top w:w="0" w:type="dxa"/>
            <w:left w:w="108" w:type="dxa"/>
            <w:bottom w:w="0" w:type="dxa"/>
            <w:right w:w="108" w:type="dxa"/>
          </w:tblCellMar>
        </w:tblPrEx>
        <w:trPr>
          <w:gridAfter w:val="2"/>
          <w:wAfter w:w="648" w:type="pct"/>
          <w:trHeight w:val="904"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495"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51080022T000005057327-案件审判业务费</w:t>
            </w:r>
          </w:p>
        </w:tc>
      </w:tr>
      <w:tr>
        <w:tblPrEx>
          <w:tblCellMar>
            <w:top w:w="0" w:type="dxa"/>
            <w:left w:w="108" w:type="dxa"/>
            <w:bottom w:w="0" w:type="dxa"/>
            <w:right w:w="108" w:type="dxa"/>
          </w:tblCellMar>
        </w:tblPrEx>
        <w:trPr>
          <w:gridAfter w:val="2"/>
          <w:wAfter w:w="648" w:type="pct"/>
          <w:trHeight w:val="735"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90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保障案件审判工作</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保障案件审判工作顺利开展</w:t>
            </w:r>
          </w:p>
        </w:tc>
      </w:tr>
      <w:tr>
        <w:tblPrEx>
          <w:tblCellMar>
            <w:top w:w="0" w:type="dxa"/>
            <w:left w:w="108" w:type="dxa"/>
            <w:bottom w:w="0" w:type="dxa"/>
            <w:right w:w="108" w:type="dxa"/>
          </w:tblCellMar>
        </w:tblPrEx>
        <w:trPr>
          <w:gridAfter w:val="2"/>
          <w:wAfter w:w="648" w:type="pct"/>
          <w:trHeight w:val="93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该项目属于常年性项目，保障民商事、刑事、行政案件的审理，化解矛盾纠纷，营造公平法治的社会环境。</w:t>
            </w: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34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185.92</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497.33</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186.74</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37.55%</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r>
              <w:rPr>
                <w:rFonts w:ascii="Courier New" w:hAnsi="Courier New" w:cs="Courier New"/>
                <w:i/>
                <w:iCs/>
                <w:color w:val="000000"/>
                <w:kern w:val="0"/>
                <w:sz w:val="18"/>
                <w:szCs w:val="18"/>
              </w:rPr>
              <w:t>预算调整指标在2023年12月下达,资金支付使用按照业务进度支付，需要跨年度使用。</w:t>
            </w:r>
          </w:p>
        </w:tc>
      </w:tr>
      <w:tr>
        <w:tblPrEx>
          <w:tblCellMar>
            <w:top w:w="0" w:type="dxa"/>
            <w:left w:w="108" w:type="dxa"/>
            <w:bottom w:w="0" w:type="dxa"/>
            <w:right w:w="108" w:type="dxa"/>
          </w:tblCellMar>
        </w:tblPrEx>
        <w:trPr>
          <w:gridAfter w:val="2"/>
          <w:wAfter w:w="648" w:type="pct"/>
          <w:trHeight w:val="39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185.92</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497.33</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186.74</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37.55%</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09"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12</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审判质量</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85"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87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说明项目自评总分80，有力保障了民商事、刑事、行政案件的审理，化解矛盾纠纷，维护当事人合法权益。</w:t>
            </w:r>
          </w:p>
        </w:tc>
      </w:tr>
      <w:tr>
        <w:tblPrEx>
          <w:tblCellMar>
            <w:top w:w="0" w:type="dxa"/>
            <w:left w:w="108" w:type="dxa"/>
            <w:bottom w:w="0" w:type="dxa"/>
            <w:right w:w="108" w:type="dxa"/>
          </w:tblCellMar>
        </w:tblPrEx>
        <w:trPr>
          <w:gridAfter w:val="2"/>
          <w:wAfter w:w="648" w:type="pct"/>
          <w:trHeight w:val="795"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执行进度低于90%</w:t>
            </w:r>
          </w:p>
        </w:tc>
      </w:tr>
      <w:tr>
        <w:tblPrEx>
          <w:tblCellMar>
            <w:top w:w="0" w:type="dxa"/>
            <w:left w:w="108" w:type="dxa"/>
            <w:bottom w:w="0" w:type="dxa"/>
            <w:right w:w="108" w:type="dxa"/>
          </w:tblCellMar>
        </w:tblPrEx>
        <w:trPr>
          <w:gridAfter w:val="2"/>
          <w:wAfter w:w="648" w:type="pct"/>
          <w:trHeight w:val="93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督促办案部门及时报账，加快资金使用。</w:t>
            </w:r>
          </w:p>
        </w:tc>
      </w:tr>
      <w:tr>
        <w:tblPrEx>
          <w:tblCellMar>
            <w:top w:w="0" w:type="dxa"/>
            <w:left w:w="108" w:type="dxa"/>
            <w:bottom w:w="0" w:type="dxa"/>
            <w:right w:w="108" w:type="dxa"/>
          </w:tblCellMar>
        </w:tblPrEx>
        <w:trPr>
          <w:gridAfter w:val="2"/>
          <w:wAfter w:w="648" w:type="pct"/>
          <w:trHeight w:val="285"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After w:val="2"/>
          <w:wAfter w:w="648" w:type="pct"/>
          <w:trHeight w:val="285" w:hRule="atLeast"/>
        </w:trPr>
        <w:tc>
          <w:tcPr>
            <w:tcW w:w="372"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8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2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5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71"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1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40" w:type="pct"/>
            <w:gridSpan w:val="3"/>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r>
      <w:tr>
        <w:tblPrEx>
          <w:tblCellMar>
            <w:top w:w="0" w:type="dxa"/>
            <w:left w:w="108" w:type="dxa"/>
            <w:bottom w:w="0" w:type="dxa"/>
            <w:right w:w="108" w:type="dxa"/>
          </w:tblCellMar>
        </w:tblPrEx>
        <w:trPr>
          <w:gridAfter w:val="2"/>
          <w:wAfter w:w="648" w:type="pct"/>
          <w:trHeight w:val="495"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285"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51080022T000005067781-法警、公务员加班费</w:t>
            </w:r>
          </w:p>
        </w:tc>
      </w:tr>
      <w:tr>
        <w:tblPrEx>
          <w:tblCellMar>
            <w:top w:w="0" w:type="dxa"/>
            <w:left w:w="108" w:type="dxa"/>
            <w:bottom w:w="0" w:type="dxa"/>
            <w:right w:w="108" w:type="dxa"/>
          </w:tblCellMar>
        </w:tblPrEx>
        <w:trPr>
          <w:gridAfter w:val="2"/>
          <w:wAfter w:w="648" w:type="pct"/>
          <w:trHeight w:val="514"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709"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保障干警工作加班</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正常发放干警工作加班待遇</w:t>
            </w:r>
          </w:p>
        </w:tc>
      </w:tr>
      <w:tr>
        <w:tblPrEx>
          <w:tblCellMar>
            <w:top w:w="0" w:type="dxa"/>
            <w:left w:w="108" w:type="dxa"/>
            <w:bottom w:w="0" w:type="dxa"/>
            <w:right w:w="108" w:type="dxa"/>
          </w:tblCellMar>
        </w:tblPrEx>
        <w:trPr>
          <w:gridAfter w:val="2"/>
          <w:wAfter w:w="648" w:type="pct"/>
          <w:trHeight w:val="69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该项目属于常年性项目，主要对干警在法定工作日之外的加班依法发放补助。</w:t>
            </w: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34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3.86</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3.86</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3.86</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9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3.86</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3.86</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3.86</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09"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12</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85"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60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自评100分，有效保障了在职干警的加班工资待遇，提高了办案人员工资积极性。</w:t>
            </w:r>
          </w:p>
        </w:tc>
      </w:tr>
      <w:tr>
        <w:tblPrEx>
          <w:tblCellMar>
            <w:top w:w="0" w:type="dxa"/>
            <w:left w:w="108" w:type="dxa"/>
            <w:bottom w:w="0" w:type="dxa"/>
            <w:right w:w="108" w:type="dxa"/>
          </w:tblCellMar>
        </w:tblPrEx>
        <w:trPr>
          <w:gridAfter w:val="2"/>
          <w:wAfter w:w="648" w:type="pct"/>
          <w:trHeight w:val="57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63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285"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After w:val="2"/>
          <w:wAfter w:w="648" w:type="pct"/>
          <w:trHeight w:val="2175" w:hRule="atLeast"/>
        </w:trPr>
        <w:tc>
          <w:tcPr>
            <w:tcW w:w="372"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8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2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5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71"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1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40" w:type="pct"/>
            <w:gridSpan w:val="3"/>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r>
      <w:tr>
        <w:tblPrEx>
          <w:tblCellMar>
            <w:top w:w="0" w:type="dxa"/>
            <w:left w:w="108" w:type="dxa"/>
            <w:bottom w:w="0" w:type="dxa"/>
            <w:right w:w="108" w:type="dxa"/>
          </w:tblCellMar>
        </w:tblPrEx>
        <w:trPr>
          <w:gridAfter w:val="2"/>
          <w:wAfter w:w="648" w:type="pct"/>
          <w:trHeight w:val="435"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285"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51080023T000008458559-案件审判业务费（办理受理案件、司法鉴定、翻译费、收监人员体检）</w:t>
            </w:r>
          </w:p>
        </w:tc>
      </w:tr>
      <w:tr>
        <w:tblPrEx>
          <w:tblCellMar>
            <w:top w:w="0" w:type="dxa"/>
            <w:left w:w="108" w:type="dxa"/>
            <w:bottom w:w="0" w:type="dxa"/>
            <w:right w:w="108" w:type="dxa"/>
          </w:tblCellMar>
        </w:tblPrEx>
        <w:trPr>
          <w:gridAfter w:val="2"/>
          <w:wAfter w:w="648" w:type="pct"/>
          <w:trHeight w:val="375"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33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案件审判业务费（办理受理案件、司法鉴定、翻译费、收监人员体检）</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保障案件审判经费支出，保障案件审判工作开展。</w:t>
            </w: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该项目属于常年性项目，主要保障案件受理、案件审理、司法鉴定、收监人员体检的业务的开展。</w:t>
            </w: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24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357.78</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357.78</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247.14</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69.08%</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r>
              <w:rPr>
                <w:rFonts w:ascii="Courier New" w:hAnsi="Courier New" w:cs="Courier New"/>
                <w:i/>
                <w:iCs/>
                <w:color w:val="000000"/>
                <w:kern w:val="0"/>
                <w:sz w:val="18"/>
                <w:szCs w:val="18"/>
              </w:rPr>
              <w:t>审判案件办理人员费用报销不及时，存在延迟，2023年初疫情、流感导致办案出差减少等原因导致支出减少</w:t>
            </w:r>
          </w:p>
        </w:tc>
      </w:tr>
      <w:tr>
        <w:tblPrEx>
          <w:tblCellMar>
            <w:top w:w="0" w:type="dxa"/>
            <w:left w:w="108" w:type="dxa"/>
            <w:bottom w:w="0" w:type="dxa"/>
            <w:right w:w="108" w:type="dxa"/>
          </w:tblCellMar>
        </w:tblPrEx>
        <w:trPr>
          <w:gridAfter w:val="2"/>
          <w:wAfter w:w="648" w:type="pct"/>
          <w:trHeight w:val="25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357.78</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357.78</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247.14</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69.08%</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1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1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94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25"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办理民商、行政、刑事案件数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案件数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9856</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办理鉴定、评估、翻译案件数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案件数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85</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法院审判部门日常运转数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个</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6</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法院派驻法庭运转数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个</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6</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体检人数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人次</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65</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办理案件结案百分比</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97</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产出各项任务完成时间</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解决各类矛盾纠纷；维护社会法治和经济秩序。</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公正司法，维护法律权威</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当事人服判息诉率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78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预算资金使用率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69.08</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审判案件办理人员费用报销不及时，存在延迟，2023年初疫情、流感导致办案出差减少等原因导致</w:t>
            </w:r>
          </w:p>
        </w:tc>
      </w:tr>
      <w:tr>
        <w:tblPrEx>
          <w:tblCellMar>
            <w:top w:w="0" w:type="dxa"/>
            <w:left w:w="108" w:type="dxa"/>
            <w:bottom w:w="0" w:type="dxa"/>
            <w:right w:w="108" w:type="dxa"/>
          </w:tblCellMar>
        </w:tblPrEx>
        <w:trPr>
          <w:gridAfter w:val="2"/>
          <w:wAfter w:w="648" w:type="pct"/>
          <w:trHeight w:val="285"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60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自评总分90，完成了全年案件办案指标值，保障了办案业务的顺利开展。</w:t>
            </w:r>
          </w:p>
        </w:tc>
      </w:tr>
      <w:tr>
        <w:tblPrEx>
          <w:tblCellMar>
            <w:top w:w="0" w:type="dxa"/>
            <w:left w:w="108" w:type="dxa"/>
            <w:bottom w:w="0" w:type="dxa"/>
            <w:right w:w="108" w:type="dxa"/>
          </w:tblCellMar>
        </w:tblPrEx>
        <w:trPr>
          <w:gridAfter w:val="2"/>
          <w:wAfter w:w="648" w:type="pct"/>
          <w:trHeight w:val="57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预算执行进度未达到90%</w:t>
            </w:r>
          </w:p>
        </w:tc>
      </w:tr>
      <w:tr>
        <w:tblPrEx>
          <w:tblCellMar>
            <w:top w:w="0" w:type="dxa"/>
            <w:left w:w="108" w:type="dxa"/>
            <w:bottom w:w="0" w:type="dxa"/>
            <w:right w:w="108" w:type="dxa"/>
          </w:tblCellMar>
        </w:tblPrEx>
        <w:trPr>
          <w:gridAfter w:val="2"/>
          <w:wAfter w:w="648" w:type="pct"/>
          <w:trHeight w:val="63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督促办案部门及时报账，加快资金使用。</w:t>
            </w:r>
          </w:p>
        </w:tc>
      </w:tr>
      <w:tr>
        <w:tblPrEx>
          <w:tblCellMar>
            <w:top w:w="0" w:type="dxa"/>
            <w:left w:w="108" w:type="dxa"/>
            <w:bottom w:w="0" w:type="dxa"/>
            <w:right w:w="108" w:type="dxa"/>
          </w:tblCellMar>
        </w:tblPrEx>
        <w:trPr>
          <w:gridAfter w:val="2"/>
          <w:wAfter w:w="648" w:type="pct"/>
          <w:trHeight w:val="285"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After w:val="2"/>
          <w:wAfter w:w="648" w:type="pct"/>
          <w:trHeight w:val="285" w:hRule="atLeast"/>
        </w:trPr>
        <w:tc>
          <w:tcPr>
            <w:tcW w:w="372"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8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2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5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71"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1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40" w:type="pct"/>
            <w:gridSpan w:val="3"/>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r>
      <w:tr>
        <w:tblPrEx>
          <w:tblCellMar>
            <w:top w:w="0" w:type="dxa"/>
            <w:left w:w="108" w:type="dxa"/>
            <w:bottom w:w="0" w:type="dxa"/>
            <w:right w:w="108" w:type="dxa"/>
          </w:tblCellMar>
        </w:tblPrEx>
        <w:trPr>
          <w:gridAfter w:val="2"/>
          <w:wAfter w:w="648" w:type="pct"/>
          <w:trHeight w:val="570"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285"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51080023T000008458661-陪审员调解员经费</w:t>
            </w:r>
          </w:p>
        </w:tc>
      </w:tr>
      <w:tr>
        <w:tblPrEx>
          <w:tblCellMar>
            <w:top w:w="0" w:type="dxa"/>
            <w:left w:w="108" w:type="dxa"/>
            <w:bottom w:w="0" w:type="dxa"/>
            <w:right w:w="108" w:type="dxa"/>
          </w:tblCellMar>
        </w:tblPrEx>
        <w:trPr>
          <w:gridAfter w:val="2"/>
          <w:wAfter w:w="648" w:type="pct"/>
          <w:trHeight w:val="405"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42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保障陪审员、调解员经费，发挥法院调解职能</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保障陪审员、调解员经费，有效发挥法院调解职能。</w:t>
            </w:r>
          </w:p>
        </w:tc>
      </w:tr>
      <w:tr>
        <w:tblPrEx>
          <w:tblCellMar>
            <w:top w:w="0" w:type="dxa"/>
            <w:left w:w="108" w:type="dxa"/>
            <w:bottom w:w="0" w:type="dxa"/>
            <w:right w:w="108" w:type="dxa"/>
          </w:tblCellMar>
        </w:tblPrEx>
        <w:trPr>
          <w:gridAfter w:val="2"/>
          <w:wAfter w:w="648" w:type="pct"/>
          <w:trHeight w:val="69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该项目属于常年性项目，主要保障陪审员参与案件审理、调解员参与案件调解的待遇补助。</w:t>
            </w: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34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88.97</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80.88%</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r>
              <w:rPr>
                <w:rFonts w:ascii="Courier New" w:hAnsi="Courier New" w:cs="Courier New"/>
                <w:i/>
                <w:iCs/>
                <w:color w:val="000000"/>
                <w:kern w:val="0"/>
                <w:sz w:val="18"/>
                <w:szCs w:val="18"/>
              </w:rPr>
              <w:t>该项目经费支出根据陪审员调解员参与审判实际天数，考核据实报账支出。</w:t>
            </w:r>
          </w:p>
        </w:tc>
      </w:tr>
      <w:tr>
        <w:tblPrEx>
          <w:tblCellMar>
            <w:top w:w="0" w:type="dxa"/>
            <w:left w:w="108" w:type="dxa"/>
            <w:bottom w:w="0" w:type="dxa"/>
            <w:right w:w="108" w:type="dxa"/>
          </w:tblCellMar>
        </w:tblPrEx>
        <w:trPr>
          <w:gridAfter w:val="2"/>
          <w:wAfter w:w="648" w:type="pct"/>
          <w:trHeight w:val="39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88.97</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80.88%</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09"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聘任陪审员人数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123</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陪审员培训次数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人次</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诉讼调解结案数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案件数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3500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保障陪审员工作经费</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123</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产出各项任务完成时间</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12</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加大社会参与度</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法院调解职能体现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群众对社会人员参与满意</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严格执行项目预算金额</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88.97</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85"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60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项目自评总分95分，保障陪审员、调解员经费，发挥法院调解职能，化解了社会矛盾，维护社会稳定。</w:t>
            </w:r>
          </w:p>
        </w:tc>
      </w:tr>
      <w:tr>
        <w:tblPrEx>
          <w:tblCellMar>
            <w:top w:w="0" w:type="dxa"/>
            <w:left w:w="108" w:type="dxa"/>
            <w:bottom w:w="0" w:type="dxa"/>
            <w:right w:w="108" w:type="dxa"/>
          </w:tblCellMar>
        </w:tblPrEx>
        <w:trPr>
          <w:gridAfter w:val="2"/>
          <w:wAfter w:w="648" w:type="pct"/>
          <w:trHeight w:val="57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预算执行进度未达到90%</w:t>
            </w:r>
          </w:p>
        </w:tc>
      </w:tr>
      <w:tr>
        <w:tblPrEx>
          <w:tblCellMar>
            <w:top w:w="0" w:type="dxa"/>
            <w:left w:w="108" w:type="dxa"/>
            <w:bottom w:w="0" w:type="dxa"/>
            <w:right w:w="108" w:type="dxa"/>
          </w:tblCellMar>
        </w:tblPrEx>
        <w:trPr>
          <w:gridAfter w:val="2"/>
          <w:wAfter w:w="648" w:type="pct"/>
          <w:trHeight w:val="63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督促办案部门及时报账，加快资金使用。</w:t>
            </w:r>
          </w:p>
        </w:tc>
      </w:tr>
      <w:tr>
        <w:tblPrEx>
          <w:tblCellMar>
            <w:top w:w="0" w:type="dxa"/>
            <w:left w:w="108" w:type="dxa"/>
            <w:bottom w:w="0" w:type="dxa"/>
            <w:right w:w="108" w:type="dxa"/>
          </w:tblCellMar>
        </w:tblPrEx>
        <w:trPr>
          <w:gridAfter w:val="2"/>
          <w:wAfter w:w="648" w:type="pct"/>
          <w:trHeight w:val="285"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After w:val="2"/>
          <w:wAfter w:w="648" w:type="pct"/>
          <w:trHeight w:val="285" w:hRule="atLeast"/>
        </w:trPr>
        <w:tc>
          <w:tcPr>
            <w:tcW w:w="372"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8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2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5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71"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1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40" w:type="pct"/>
            <w:gridSpan w:val="3"/>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r>
      <w:tr>
        <w:tblPrEx>
          <w:tblCellMar>
            <w:top w:w="0" w:type="dxa"/>
            <w:left w:w="108" w:type="dxa"/>
            <w:bottom w:w="0" w:type="dxa"/>
            <w:right w:w="108" w:type="dxa"/>
          </w:tblCellMar>
        </w:tblPrEx>
        <w:trPr>
          <w:gridAfter w:val="2"/>
          <w:wAfter w:w="648" w:type="pct"/>
          <w:trHeight w:val="585"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285"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51080023T000008458693-聘用制书记员经费</w:t>
            </w:r>
          </w:p>
        </w:tc>
      </w:tr>
      <w:tr>
        <w:tblPrEx>
          <w:tblCellMar>
            <w:top w:w="0" w:type="dxa"/>
            <w:left w:w="108" w:type="dxa"/>
            <w:bottom w:w="0" w:type="dxa"/>
            <w:right w:w="108" w:type="dxa"/>
          </w:tblCellMar>
        </w:tblPrEx>
        <w:trPr>
          <w:gridAfter w:val="2"/>
          <w:wAfter w:w="648" w:type="pct"/>
          <w:trHeight w:val="514"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709"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保障法院办案人力</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保障聘用制书记员待遇，保障法院办案人力。</w:t>
            </w:r>
          </w:p>
        </w:tc>
      </w:tr>
      <w:tr>
        <w:tblPrEx>
          <w:tblCellMar>
            <w:top w:w="0" w:type="dxa"/>
            <w:left w:w="108" w:type="dxa"/>
            <w:bottom w:w="0" w:type="dxa"/>
            <w:right w:w="108" w:type="dxa"/>
          </w:tblCellMar>
        </w:tblPrEx>
        <w:trPr>
          <w:gridAfter w:val="2"/>
          <w:wAfter w:w="648" w:type="pct"/>
          <w:trHeight w:val="69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该项目属于常年性项目，主要保障聘用制书记员工资待遇，补充办案力量，缓解案件递增人员不足的矛盾。</w:t>
            </w: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34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260.00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260.00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260.00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9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260.00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260.00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260.00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09"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聘用书记员人员数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52</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52</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确保每月工资发放</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产出各项任务完成时间</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提供就业机会</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确保当事人的权益得到保障，挽回当事人经济损失</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保障法院司改人力配备比例</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严格执行项目预算金额</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260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260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85"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60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项目自评总分100分，保障聘用制书记员待遇，保障了法院办案人力支持。</w:t>
            </w:r>
          </w:p>
        </w:tc>
      </w:tr>
      <w:tr>
        <w:tblPrEx>
          <w:tblCellMar>
            <w:top w:w="0" w:type="dxa"/>
            <w:left w:w="108" w:type="dxa"/>
            <w:bottom w:w="0" w:type="dxa"/>
            <w:right w:w="108" w:type="dxa"/>
          </w:tblCellMar>
        </w:tblPrEx>
        <w:trPr>
          <w:gridAfter w:val="2"/>
          <w:wAfter w:w="648" w:type="pct"/>
          <w:trHeight w:val="57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63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285"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After w:val="2"/>
          <w:wAfter w:w="648" w:type="pct"/>
          <w:trHeight w:val="285" w:hRule="atLeast"/>
        </w:trPr>
        <w:tc>
          <w:tcPr>
            <w:tcW w:w="372"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8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2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5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71"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1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40" w:type="pct"/>
            <w:gridSpan w:val="3"/>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r>
      <w:tr>
        <w:tblPrEx>
          <w:tblCellMar>
            <w:top w:w="0" w:type="dxa"/>
            <w:left w:w="108" w:type="dxa"/>
            <w:bottom w:w="0" w:type="dxa"/>
            <w:right w:w="108" w:type="dxa"/>
          </w:tblCellMar>
        </w:tblPrEx>
        <w:trPr>
          <w:gridAfter w:val="2"/>
          <w:wAfter w:w="648" w:type="pct"/>
          <w:trHeight w:val="390"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285"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51080023T000008458762-案件执行业务费（办理执行类案件、扫黑除恶、涉诉维稳、信访资金））</w:t>
            </w:r>
          </w:p>
        </w:tc>
      </w:tr>
      <w:tr>
        <w:tblPrEx>
          <w:tblCellMar>
            <w:top w:w="0" w:type="dxa"/>
            <w:left w:w="108" w:type="dxa"/>
            <w:bottom w:w="0" w:type="dxa"/>
            <w:right w:w="108" w:type="dxa"/>
          </w:tblCellMar>
        </w:tblPrEx>
        <w:trPr>
          <w:gridAfter w:val="2"/>
          <w:wAfter w:w="648" w:type="pct"/>
          <w:trHeight w:val="360"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完成执行案件任务数，保障法院涉诉维稳、信访工作经费</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保障执行案件办理、涉诉维稳、信访等工作。</w:t>
            </w:r>
          </w:p>
        </w:tc>
      </w:tr>
      <w:tr>
        <w:tblPrEx>
          <w:tblCellMar>
            <w:top w:w="0" w:type="dxa"/>
            <w:left w:w="108" w:type="dxa"/>
            <w:bottom w:w="0" w:type="dxa"/>
            <w:right w:w="108" w:type="dxa"/>
          </w:tblCellMar>
        </w:tblPrEx>
        <w:trPr>
          <w:gridAfter w:val="2"/>
          <w:wAfter w:w="648" w:type="pct"/>
          <w:trHeight w:val="31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该项目属于常年性项目，主要保障执行案件、涉诉维稳等业务活动开展的经费支出，确保办案业务顺利开展。</w:t>
            </w: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19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182.44</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182.44</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168.44</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92.33%</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4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182.44</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182.44</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168.44</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92.33%</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5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18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16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0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办理执行案件数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案件数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3595</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18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执行业务部门运转数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个</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涉诉维稳信访案件数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150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案件数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160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4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执行案件结案百分比</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98</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0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辖区内涉诉信访维稳案件办理率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91</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执行案件平均执行天数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天</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63</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产出各项任务完成时间</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12</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67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确保当事人的权益得到保障，挽回当事人经济损失。</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维护社会稳定</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45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政风行风测评满意</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预算资金使用率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92.33</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85"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60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项目自评总分100分，有效保障了执行案件办理、涉诉维稳、信访等工作。</w:t>
            </w:r>
          </w:p>
        </w:tc>
      </w:tr>
      <w:tr>
        <w:tblPrEx>
          <w:tblCellMar>
            <w:top w:w="0" w:type="dxa"/>
            <w:left w:w="108" w:type="dxa"/>
            <w:bottom w:w="0" w:type="dxa"/>
            <w:right w:w="108" w:type="dxa"/>
          </w:tblCellMar>
        </w:tblPrEx>
        <w:trPr>
          <w:gridAfter w:val="2"/>
          <w:wAfter w:w="648" w:type="pct"/>
          <w:trHeight w:val="57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63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285"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After w:val="2"/>
          <w:wAfter w:w="648" w:type="pct"/>
          <w:trHeight w:val="285" w:hRule="atLeast"/>
        </w:trPr>
        <w:tc>
          <w:tcPr>
            <w:tcW w:w="372"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8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2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5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71"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1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40" w:type="pct"/>
            <w:gridSpan w:val="3"/>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r>
      <w:tr>
        <w:tblPrEx>
          <w:tblCellMar>
            <w:top w:w="0" w:type="dxa"/>
            <w:left w:w="108" w:type="dxa"/>
            <w:bottom w:w="0" w:type="dxa"/>
            <w:right w:w="108" w:type="dxa"/>
          </w:tblCellMar>
        </w:tblPrEx>
        <w:trPr>
          <w:gridAfter w:val="2"/>
          <w:wAfter w:w="648" w:type="pct"/>
          <w:trHeight w:val="904"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285"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51080023T000008459642-服装购置经费</w:t>
            </w:r>
          </w:p>
        </w:tc>
      </w:tr>
      <w:tr>
        <w:tblPrEx>
          <w:tblCellMar>
            <w:top w:w="0" w:type="dxa"/>
            <w:left w:w="108" w:type="dxa"/>
            <w:bottom w:w="0" w:type="dxa"/>
            <w:right w:w="108" w:type="dxa"/>
          </w:tblCellMar>
        </w:tblPrEx>
        <w:trPr>
          <w:gridAfter w:val="2"/>
          <w:wAfter w:w="648" w:type="pct"/>
          <w:trHeight w:val="514"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709"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保障法院人员服装配备问题，规范着装</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采购发放服装，保障干警办案。</w:t>
            </w:r>
          </w:p>
        </w:tc>
      </w:tr>
      <w:tr>
        <w:tblPrEx>
          <w:tblCellMar>
            <w:top w:w="0" w:type="dxa"/>
            <w:left w:w="108" w:type="dxa"/>
            <w:bottom w:w="0" w:type="dxa"/>
            <w:right w:w="108" w:type="dxa"/>
          </w:tblCellMar>
        </w:tblPrEx>
        <w:trPr>
          <w:gridAfter w:val="2"/>
          <w:wAfter w:w="648" w:type="pct"/>
          <w:trHeight w:val="69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该项目属于常年性项目，主要购置服装，保障办案装备配到到位。</w:t>
            </w: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34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9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09"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679"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服装购买人数（新调入2人，新招考3人，司法辅助人员19人，法警45人）</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69</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69</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服装购买发放率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产出各项任务完成时间</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提高法院审判执行的严肃性和权威性</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干警满意度</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预算资金使用率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85"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60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项目自评总分100分，及时购置发放服装，保障审判工作有序开展。</w:t>
            </w:r>
          </w:p>
        </w:tc>
      </w:tr>
      <w:tr>
        <w:tblPrEx>
          <w:tblCellMar>
            <w:top w:w="0" w:type="dxa"/>
            <w:left w:w="108" w:type="dxa"/>
            <w:bottom w:w="0" w:type="dxa"/>
            <w:right w:w="108" w:type="dxa"/>
          </w:tblCellMar>
        </w:tblPrEx>
        <w:trPr>
          <w:gridAfter w:val="2"/>
          <w:wAfter w:w="648" w:type="pct"/>
          <w:trHeight w:val="57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63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285"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After w:val="2"/>
          <w:wAfter w:w="648" w:type="pct"/>
          <w:trHeight w:val="285" w:hRule="atLeast"/>
        </w:trPr>
        <w:tc>
          <w:tcPr>
            <w:tcW w:w="372"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8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2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5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71"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1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40" w:type="pct"/>
            <w:gridSpan w:val="3"/>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r>
      <w:tr>
        <w:tblPrEx>
          <w:tblCellMar>
            <w:top w:w="0" w:type="dxa"/>
            <w:left w:w="108" w:type="dxa"/>
            <w:bottom w:w="0" w:type="dxa"/>
            <w:right w:w="108" w:type="dxa"/>
          </w:tblCellMar>
        </w:tblPrEx>
        <w:trPr>
          <w:gridAfter w:val="2"/>
          <w:wAfter w:w="648" w:type="pct"/>
          <w:trHeight w:val="904"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285"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51080023T000008817187-非税收入超收奖励</w:t>
            </w:r>
          </w:p>
        </w:tc>
      </w:tr>
      <w:tr>
        <w:tblPrEx>
          <w:tblCellMar>
            <w:top w:w="0" w:type="dxa"/>
            <w:left w:w="108" w:type="dxa"/>
            <w:bottom w:w="0" w:type="dxa"/>
            <w:right w:w="108" w:type="dxa"/>
          </w:tblCellMar>
        </w:tblPrEx>
        <w:trPr>
          <w:gridAfter w:val="2"/>
          <w:wAfter w:w="648" w:type="pct"/>
          <w:trHeight w:val="514"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709"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保障机关日常运行</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严格规范支出，有力保障了法院机关正常运行。</w:t>
            </w:r>
          </w:p>
        </w:tc>
      </w:tr>
      <w:tr>
        <w:tblPrEx>
          <w:tblCellMar>
            <w:top w:w="0" w:type="dxa"/>
            <w:left w:w="108" w:type="dxa"/>
            <w:bottom w:w="0" w:type="dxa"/>
            <w:right w:w="108" w:type="dxa"/>
          </w:tblCellMar>
        </w:tblPrEx>
        <w:trPr>
          <w:gridAfter w:val="2"/>
          <w:wAfter w:w="648" w:type="pct"/>
          <w:trHeight w:val="694"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该项目属于一次性项目，主要弥补办案经费不足部分，保障法院正常运行。</w:t>
            </w: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34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9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09"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6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54"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保障时间</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12</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338"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保障水平</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优</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85"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60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项目自评总分100分，合理使用奖励资金，保障了法院正常运转。</w:t>
            </w:r>
          </w:p>
        </w:tc>
      </w:tr>
      <w:tr>
        <w:tblPrEx>
          <w:tblCellMar>
            <w:top w:w="0" w:type="dxa"/>
            <w:left w:w="108" w:type="dxa"/>
            <w:bottom w:w="0" w:type="dxa"/>
            <w:right w:w="108" w:type="dxa"/>
          </w:tblCellMar>
        </w:tblPrEx>
        <w:trPr>
          <w:gridAfter w:val="2"/>
          <w:wAfter w:w="648" w:type="pct"/>
          <w:trHeight w:val="57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634"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285"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After w:val="2"/>
          <w:wAfter w:w="648" w:type="pct"/>
          <w:trHeight w:val="435"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285"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51000021R000000019951-工资性支出</w:t>
            </w:r>
          </w:p>
        </w:tc>
      </w:tr>
      <w:tr>
        <w:tblPrEx>
          <w:tblCellMar>
            <w:top w:w="0" w:type="dxa"/>
            <w:left w:w="108" w:type="dxa"/>
            <w:bottom w:w="0" w:type="dxa"/>
            <w:right w:w="108" w:type="dxa"/>
          </w:tblCellMar>
        </w:tblPrEx>
        <w:trPr>
          <w:gridAfter w:val="2"/>
          <w:wAfter w:w="648" w:type="pct"/>
          <w:trHeight w:val="435"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46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及时足额保障工资发放和社保缴纳</w:t>
            </w: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该项目属于常年性项目，通过人员待遇保障，支持正常司法审判业务。</w:t>
            </w: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1,495.85</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1,511.22</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1,467.86</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97.13%</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1,495.85</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1,511.22</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1,467.86</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97.13%</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8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5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70"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及时足额保障工资发放和社保缴纳，保障人员待遇。</w:t>
            </w: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270"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After w:val="2"/>
          <w:wAfter w:w="648" w:type="pct"/>
          <w:trHeight w:val="270" w:hRule="atLeast"/>
        </w:trPr>
        <w:tc>
          <w:tcPr>
            <w:tcW w:w="372"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8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2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5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71"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1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40" w:type="pct"/>
            <w:gridSpan w:val="3"/>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r>
      <w:tr>
        <w:tblPrEx>
          <w:tblCellMar>
            <w:top w:w="0" w:type="dxa"/>
            <w:left w:w="108" w:type="dxa"/>
            <w:bottom w:w="0" w:type="dxa"/>
            <w:right w:w="108" w:type="dxa"/>
          </w:tblCellMar>
        </w:tblPrEx>
        <w:trPr>
          <w:gridAfter w:val="2"/>
          <w:wAfter w:w="648" w:type="pct"/>
          <w:trHeight w:val="390"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270"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51000021R000000019958-其他支出</w:t>
            </w:r>
          </w:p>
        </w:tc>
      </w:tr>
      <w:tr>
        <w:tblPrEx>
          <w:tblCellMar>
            <w:top w:w="0" w:type="dxa"/>
            <w:left w:w="108" w:type="dxa"/>
            <w:bottom w:w="0" w:type="dxa"/>
            <w:right w:w="108" w:type="dxa"/>
          </w:tblCellMar>
        </w:tblPrEx>
        <w:trPr>
          <w:gridAfter w:val="2"/>
          <w:wAfter w:w="648" w:type="pct"/>
          <w:trHeight w:val="450"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48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及时足额保障工资发放和社保缴纳</w:t>
            </w:r>
          </w:p>
        </w:tc>
      </w:tr>
      <w:tr>
        <w:tblPrEx>
          <w:tblCellMar>
            <w:top w:w="0" w:type="dxa"/>
            <w:left w:w="108" w:type="dxa"/>
            <w:bottom w:w="0" w:type="dxa"/>
            <w:right w:w="108" w:type="dxa"/>
          </w:tblCellMar>
        </w:tblPrEx>
        <w:trPr>
          <w:gridAfter w:val="2"/>
          <w:wAfter w:w="648" w:type="pct"/>
          <w:trHeight w:val="45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该项目属于常年性项目，通过人员待遇保障，支持正常司法审判业务。</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5.22</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5.22</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5.22</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5.22</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5.22</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5.22</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5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70"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及时足额保障工资发放和社保缴纳，保障人员待遇。</w:t>
            </w: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270"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After w:val="2"/>
          <w:wAfter w:w="648" w:type="pct"/>
          <w:trHeight w:val="270" w:hRule="atLeast"/>
        </w:trPr>
        <w:tc>
          <w:tcPr>
            <w:tcW w:w="372"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8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2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5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71"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1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40" w:type="pct"/>
            <w:gridSpan w:val="3"/>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r>
      <w:tr>
        <w:tblPrEx>
          <w:tblCellMar>
            <w:top w:w="0" w:type="dxa"/>
            <w:left w:w="108" w:type="dxa"/>
            <w:bottom w:w="0" w:type="dxa"/>
            <w:right w:w="108" w:type="dxa"/>
          </w:tblCellMar>
        </w:tblPrEx>
        <w:trPr>
          <w:gridAfter w:val="2"/>
          <w:wAfter w:w="648" w:type="pct"/>
          <w:trHeight w:val="390"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270"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51000021Y000000011490-日常公用经费</w:t>
            </w:r>
          </w:p>
        </w:tc>
      </w:tr>
      <w:tr>
        <w:tblPrEx>
          <w:tblCellMar>
            <w:top w:w="0" w:type="dxa"/>
            <w:left w:w="108" w:type="dxa"/>
            <w:bottom w:w="0" w:type="dxa"/>
            <w:right w:w="108" w:type="dxa"/>
          </w:tblCellMar>
        </w:tblPrEx>
        <w:trPr>
          <w:gridAfter w:val="2"/>
          <w:wAfter w:w="648" w:type="pct"/>
          <w:trHeight w:val="450"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日常经费支出，保障机关正常运转。</w:t>
            </w:r>
          </w:p>
        </w:tc>
      </w:tr>
      <w:tr>
        <w:tblPrEx>
          <w:tblCellMar>
            <w:top w:w="0" w:type="dxa"/>
            <w:left w:w="108" w:type="dxa"/>
            <w:bottom w:w="0" w:type="dxa"/>
            <w:right w:w="108" w:type="dxa"/>
          </w:tblCellMar>
        </w:tblPrEx>
        <w:trPr>
          <w:gridAfter w:val="2"/>
          <w:wAfter w:w="648" w:type="pct"/>
          <w:trHeight w:val="45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该项目属于常年性项目，通过日常经费支出，保障机关正常运转。</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144.06</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238.66</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237.13</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99.36%</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144.06</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238.66</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237.13</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99.36%</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5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67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67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70"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通过日常经费支出，保障机关正常运转。</w:t>
            </w: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270"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After w:val="2"/>
          <w:wAfter w:w="648" w:type="pct"/>
          <w:trHeight w:val="270" w:hRule="atLeast"/>
        </w:trPr>
        <w:tc>
          <w:tcPr>
            <w:tcW w:w="372"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8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2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5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71"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1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40" w:type="pct"/>
            <w:gridSpan w:val="3"/>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r>
      <w:tr>
        <w:tblPrEx>
          <w:tblCellMar>
            <w:top w:w="0" w:type="dxa"/>
            <w:left w:w="108" w:type="dxa"/>
            <w:bottom w:w="0" w:type="dxa"/>
            <w:right w:w="108" w:type="dxa"/>
          </w:tblCellMar>
        </w:tblPrEx>
        <w:trPr>
          <w:gridAfter w:val="2"/>
          <w:wAfter w:w="648" w:type="pct"/>
          <w:trHeight w:val="390"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270"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51080021Y000000176770-其他公用经费（福利、工会、公车补贴、党建、退休活动）</w:t>
            </w:r>
          </w:p>
        </w:tc>
      </w:tr>
      <w:tr>
        <w:tblPrEx>
          <w:tblCellMar>
            <w:top w:w="0" w:type="dxa"/>
            <w:left w:w="108" w:type="dxa"/>
            <w:bottom w:w="0" w:type="dxa"/>
            <w:right w:w="108" w:type="dxa"/>
          </w:tblCellMar>
        </w:tblPrEx>
        <w:trPr>
          <w:gridAfter w:val="2"/>
          <w:wAfter w:w="648" w:type="pct"/>
          <w:trHeight w:val="450"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严格执行预算，保障日常经费支出。</w:t>
            </w:r>
          </w:p>
        </w:tc>
      </w:tr>
      <w:tr>
        <w:tblPrEx>
          <w:tblCellMar>
            <w:top w:w="0" w:type="dxa"/>
            <w:left w:w="108" w:type="dxa"/>
            <w:bottom w:w="0" w:type="dxa"/>
            <w:right w:w="108" w:type="dxa"/>
          </w:tblCellMar>
        </w:tblPrEx>
        <w:trPr>
          <w:gridAfter w:val="2"/>
          <w:wAfter w:w="648" w:type="pct"/>
          <w:trHeight w:val="45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该项目属于常年性项目，通过日常经费支出，保障机关正常运转。</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123.62</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123.62</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120.28</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97.30%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123.62</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123.62</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120.28</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97.30%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5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67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67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70"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通过日常经费支出，保障机关正常运转。</w:t>
            </w: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270"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After w:val="2"/>
          <w:wAfter w:w="648" w:type="pct"/>
          <w:trHeight w:val="270" w:hRule="atLeast"/>
        </w:trPr>
        <w:tc>
          <w:tcPr>
            <w:tcW w:w="372"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8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2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5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71"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1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40" w:type="pct"/>
            <w:gridSpan w:val="3"/>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r>
      <w:tr>
        <w:tblPrEx>
          <w:tblCellMar>
            <w:top w:w="0" w:type="dxa"/>
            <w:left w:w="108" w:type="dxa"/>
            <w:bottom w:w="0" w:type="dxa"/>
            <w:right w:w="108" w:type="dxa"/>
          </w:tblCellMar>
        </w:tblPrEx>
        <w:trPr>
          <w:gridAfter w:val="2"/>
          <w:wAfter w:w="648" w:type="pct"/>
          <w:trHeight w:val="390"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270"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51080022R000000267546-工资性支出（事业）</w:t>
            </w:r>
          </w:p>
        </w:tc>
      </w:tr>
      <w:tr>
        <w:tblPrEx>
          <w:tblCellMar>
            <w:top w:w="0" w:type="dxa"/>
            <w:left w:w="108" w:type="dxa"/>
            <w:bottom w:w="0" w:type="dxa"/>
            <w:right w:w="108" w:type="dxa"/>
          </w:tblCellMar>
        </w:tblPrEx>
        <w:trPr>
          <w:gridAfter w:val="2"/>
          <w:wAfter w:w="648" w:type="pct"/>
          <w:trHeight w:val="450"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5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严格执行相关政策，保障工资及时、足额发放或社保及时、足额缴纳，预算编制科学合理，减少结余资金。</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保障事业人员工资及时、足额发放，社保及时足额缴纳。</w:t>
            </w:r>
          </w:p>
        </w:tc>
      </w:tr>
      <w:tr>
        <w:tblPrEx>
          <w:tblCellMar>
            <w:top w:w="0" w:type="dxa"/>
            <w:left w:w="108" w:type="dxa"/>
            <w:bottom w:w="0" w:type="dxa"/>
            <w:right w:w="108" w:type="dxa"/>
          </w:tblCellMar>
        </w:tblPrEx>
        <w:trPr>
          <w:gridAfter w:val="2"/>
          <w:wAfter w:w="648" w:type="pct"/>
          <w:trHeight w:val="45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该项目属于常年性项目，保障事业人员工资及时、足额发放，社保及时足额缴纳。</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79.17</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79.17</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79.17</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79.17</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79.17</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79.17</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5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发放（缴纳）覆盖率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足额保障率（参保率）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70"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保障事业人员工资及时、足额发放，社保及时足额缴纳。</w:t>
            </w: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270"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After w:val="2"/>
          <w:wAfter w:w="648" w:type="pct"/>
          <w:trHeight w:val="270" w:hRule="atLeast"/>
        </w:trPr>
        <w:tc>
          <w:tcPr>
            <w:tcW w:w="372"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8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52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5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71" w:type="pct"/>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213"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174" w:type="pct"/>
            <w:gridSpan w:val="2"/>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c>
          <w:tcPr>
            <w:tcW w:w="740" w:type="pct"/>
            <w:gridSpan w:val="3"/>
            <w:tcBorders>
              <w:top w:val="nil"/>
              <w:left w:val="nil"/>
              <w:bottom w:val="nil"/>
              <w:right w:val="nil"/>
            </w:tcBorders>
            <w:shd w:val="clear" w:color="auto" w:fill="auto"/>
            <w:noWrap w:val="0"/>
            <w:vAlign w:val="center"/>
          </w:tcPr>
          <w:p>
            <w:pPr>
              <w:widowControl/>
              <w:suppressAutoHyphens w:val="0"/>
              <w:jc w:val="center"/>
              <w:rPr>
                <w:rFonts w:ascii="宋体" w:hAnsi="宋体" w:cs="宋体"/>
                <w:kern w:val="0"/>
                <w:sz w:val="18"/>
                <w:szCs w:val="18"/>
              </w:rPr>
            </w:pPr>
          </w:p>
        </w:tc>
      </w:tr>
      <w:tr>
        <w:tblPrEx>
          <w:tblCellMar>
            <w:top w:w="0" w:type="dxa"/>
            <w:left w:w="108" w:type="dxa"/>
            <w:bottom w:w="0" w:type="dxa"/>
            <w:right w:w="108" w:type="dxa"/>
          </w:tblCellMar>
        </w:tblPrEx>
        <w:trPr>
          <w:gridAfter w:val="2"/>
          <w:wAfter w:w="648" w:type="pct"/>
          <w:trHeight w:val="390" w:hRule="atLeast"/>
        </w:trPr>
        <w:tc>
          <w:tcPr>
            <w:tcW w:w="4351" w:type="pct"/>
            <w:gridSpan w:val="21"/>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After w:val="2"/>
          <w:wAfter w:w="648" w:type="pct"/>
          <w:trHeight w:val="270"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51080022Y000000267568-定额公用经费（事业）</w:t>
            </w:r>
          </w:p>
        </w:tc>
      </w:tr>
      <w:tr>
        <w:tblPrEx>
          <w:tblCellMar>
            <w:top w:w="0" w:type="dxa"/>
            <w:left w:w="108" w:type="dxa"/>
            <w:bottom w:w="0" w:type="dxa"/>
            <w:right w:w="108" w:type="dxa"/>
          </w:tblCellMar>
        </w:tblPrEx>
        <w:trPr>
          <w:gridAfter w:val="2"/>
          <w:wAfter w:w="648" w:type="pct"/>
          <w:trHeight w:val="450" w:hRule="atLeast"/>
        </w:trPr>
        <w:tc>
          <w:tcPr>
            <w:tcW w:w="956" w:type="pct"/>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371" w:type="pct"/>
            <w:gridSpan w:val="2"/>
            <w:tcBorders>
              <w:top w:val="nil"/>
              <w:left w:val="nil"/>
              <w:bottom w:val="nil"/>
              <w:right w:val="nil"/>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127" w:type="pct"/>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1895" w:type="pct"/>
            <w:gridSpan w:val="8"/>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提高预算编制质量，严格执行预算，保障单位日常运转。</w:t>
            </w:r>
          </w:p>
        </w:tc>
        <w:tc>
          <w:tcPr>
            <w:tcW w:w="1499" w:type="pct"/>
            <w:gridSpan w:val="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严格执行预算，保障单位日常运转。</w:t>
            </w:r>
          </w:p>
        </w:tc>
      </w:tr>
      <w:tr>
        <w:tblPrEx>
          <w:tblCellMar>
            <w:top w:w="0" w:type="dxa"/>
            <w:left w:w="108" w:type="dxa"/>
            <w:bottom w:w="0" w:type="dxa"/>
            <w:right w:w="108" w:type="dxa"/>
          </w:tblCellMar>
        </w:tblPrEx>
        <w:trPr>
          <w:gridAfter w:val="2"/>
          <w:wAfter w:w="648" w:type="pct"/>
          <w:trHeight w:val="45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395" w:type="pct"/>
            <w:gridSpan w:val="17"/>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该项目属于常年性项目，严格执行预算，保障单位日常运转。</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620" w:type="pct"/>
            <w:gridSpan w:val="4"/>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740" w:type="pct"/>
            <w:gridSpan w:val="3"/>
            <w:vMerge w:val="continue"/>
            <w:tcBorders>
              <w:top w:val="nil"/>
              <w:left w:val="single" w:color="000000" w:sz="4" w:space="0"/>
              <w:bottom w:val="single" w:color="000000" w:sz="4" w:space="0"/>
              <w:right w:val="single" w:color="000000" w:sz="4" w:space="0"/>
            </w:tcBorders>
            <w:noWrap w:val="0"/>
            <w:vAlign w:val="center"/>
          </w:tcPr>
          <w:p>
            <w:pPr>
              <w:widowControl/>
              <w:suppressAutoHyphens w:val="0"/>
              <w:jc w:val="center"/>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After w:val="2"/>
          <w:wAfter w:w="648" w:type="pct"/>
          <w:trHeight w:val="450" w:hRule="atLeast"/>
        </w:trPr>
        <w:tc>
          <w:tcPr>
            <w:tcW w:w="372"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58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科目调整次数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67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预算编制准确率（计算方法为：∣（执行数-预算数）/预算数∣）</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2</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675"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“三公经费”控制率[计算方法为：（三公经费实际支出数/预算安排数]×100%）</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70" w:hRule="atLeast"/>
        </w:trPr>
        <w:tc>
          <w:tcPr>
            <w:tcW w:w="372"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84" w:type="pct"/>
            <w:gridSpan w:val="2"/>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52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5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运转保障率</w:t>
            </w:r>
          </w:p>
        </w:tc>
        <w:tc>
          <w:tcPr>
            <w:tcW w:w="174"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71" w:type="pct"/>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371"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p>
        </w:tc>
      </w:tr>
      <w:tr>
        <w:tblPrEx>
          <w:tblCellMar>
            <w:top w:w="0" w:type="dxa"/>
            <w:left w:w="108" w:type="dxa"/>
            <w:bottom w:w="0" w:type="dxa"/>
            <w:right w:w="108" w:type="dxa"/>
          </w:tblCellMar>
        </w:tblPrEx>
        <w:trPr>
          <w:gridAfter w:val="2"/>
          <w:wAfter w:w="648" w:type="pct"/>
          <w:trHeight w:val="270" w:hRule="atLeast"/>
        </w:trPr>
        <w:tc>
          <w:tcPr>
            <w:tcW w:w="3223" w:type="pct"/>
            <w:gridSpan w:val="14"/>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13"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74" w:type="pct"/>
            <w:gridSpan w:val="2"/>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c>
          <w:tcPr>
            <w:tcW w:w="740" w:type="pct"/>
            <w:gridSpan w:val="3"/>
            <w:tcBorders>
              <w:top w:val="nil"/>
              <w:left w:val="nil"/>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严格执行预算，保障单位日常运转。</w:t>
            </w: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450" w:hRule="atLeast"/>
        </w:trPr>
        <w:tc>
          <w:tcPr>
            <w:tcW w:w="372" w:type="pct"/>
            <w:gridSpan w:val="2"/>
            <w:tcBorders>
              <w:top w:val="nil"/>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3979" w:type="pct"/>
            <w:gridSpan w:val="19"/>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After w:val="2"/>
          <w:wAfter w:w="648" w:type="pct"/>
          <w:trHeight w:val="270" w:hRule="atLeast"/>
        </w:trPr>
        <w:tc>
          <w:tcPr>
            <w:tcW w:w="2405" w:type="pct"/>
            <w:gridSpan w:val="9"/>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1945" w:type="pct"/>
            <w:gridSpan w:val="12"/>
            <w:tcBorders>
              <w:top w:val="single" w:color="000000" w:sz="4" w:space="0"/>
              <w:left w:val="nil"/>
              <w:bottom w:val="single" w:color="000000" w:sz="4" w:space="0"/>
              <w:right w:val="single" w:color="000000" w:sz="4" w:space="0"/>
            </w:tcBorders>
            <w:shd w:val="clear" w:color="auto" w:fill="auto"/>
            <w:noWrap w:val="0"/>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Before w:val="1"/>
          <w:wBefore w:w="263" w:type="pct"/>
          <w:trHeight w:val="660" w:hRule="atLeast"/>
          <w:jc w:val="center"/>
        </w:trPr>
        <w:tc>
          <w:tcPr>
            <w:tcW w:w="4736" w:type="pct"/>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Before w:val="1"/>
          <w:wBefore w:w="263" w:type="pct"/>
          <w:trHeight w:val="285"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51080022T000005057309-司法救助</w:t>
            </w:r>
          </w:p>
        </w:tc>
      </w:tr>
      <w:tr>
        <w:tblPrEx>
          <w:tblCellMar>
            <w:top w:w="0" w:type="dxa"/>
            <w:left w:w="108" w:type="dxa"/>
            <w:bottom w:w="0" w:type="dxa"/>
            <w:right w:w="108" w:type="dxa"/>
          </w:tblCellMar>
        </w:tblPrEx>
        <w:trPr>
          <w:gridBefore w:val="1"/>
          <w:wBefore w:w="263" w:type="pct"/>
          <w:trHeight w:val="514"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482" w:type="pct"/>
            <w:gridSpan w:val="2"/>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0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年度目标完成情况</w:t>
            </w:r>
          </w:p>
        </w:tc>
      </w:tr>
      <w:tr>
        <w:tblPrEx>
          <w:tblCellMar>
            <w:top w:w="0" w:type="dxa"/>
            <w:left w:w="108" w:type="dxa"/>
            <w:bottom w:w="0" w:type="dxa"/>
            <w:right w:w="108" w:type="dxa"/>
          </w:tblCellMar>
        </w:tblPrEx>
        <w:trPr>
          <w:gridBefore w:val="1"/>
          <w:wBefore w:w="263" w:type="pct"/>
          <w:trHeight w:val="709"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通过司法救助维护弱势群体</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通过司法救助维护了弱势群体，保障了其合法权益。</w:t>
            </w:r>
          </w:p>
        </w:tc>
      </w:tr>
      <w:tr>
        <w:tblPrEx>
          <w:tblCellMar>
            <w:top w:w="0" w:type="dxa"/>
            <w:left w:w="108" w:type="dxa"/>
            <w:bottom w:w="0" w:type="dxa"/>
            <w:right w:w="108" w:type="dxa"/>
          </w:tblCellMar>
        </w:tblPrEx>
        <w:trPr>
          <w:gridBefore w:val="1"/>
          <w:wBefore w:w="263" w:type="pct"/>
          <w:trHeight w:val="69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该项目属于常年性项目，通过对申请司法救助的当事人进行救助，保障公民司法权利，维护弱势群体合法利益。</w:t>
            </w: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Before w:val="1"/>
          <w:wBefore w:w="263" w:type="pct"/>
          <w:trHeight w:val="34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11.70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77.97%</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司法救助是根据当事人申请，资格审核后符合救助条件才能实施救助，据实报账支出。</w:t>
            </w:r>
          </w:p>
        </w:tc>
      </w:tr>
      <w:tr>
        <w:tblPrEx>
          <w:tblCellMar>
            <w:top w:w="0" w:type="dxa"/>
            <w:left w:w="108" w:type="dxa"/>
            <w:bottom w:w="0" w:type="dxa"/>
            <w:right w:w="108" w:type="dxa"/>
          </w:tblCellMar>
        </w:tblPrEx>
        <w:trPr>
          <w:gridBefore w:val="1"/>
          <w:wBefore w:w="263" w:type="pct"/>
          <w:trHeight w:val="39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15.00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11.70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77.97%</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09"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司法救助人员数</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25</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执行救助金发放合规率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产出各项任务完成时间</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救助弱势群体</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发挥救急救困的作用</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体现司法人文关怀</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严格执行项目预算金额</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11.7</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285" w:hRule="atLeast"/>
          <w:jc w:val="center"/>
        </w:trPr>
        <w:tc>
          <w:tcPr>
            <w:tcW w:w="3675"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gridBefore w:val="1"/>
          <w:wBefore w:w="263" w:type="pct"/>
          <w:trHeight w:val="60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自评90分，通过司法救助有效维护了弱势群体的合法权益。</w:t>
            </w:r>
          </w:p>
        </w:tc>
      </w:tr>
      <w:tr>
        <w:tblPrEx>
          <w:tblCellMar>
            <w:top w:w="0" w:type="dxa"/>
            <w:left w:w="108" w:type="dxa"/>
            <w:bottom w:w="0" w:type="dxa"/>
            <w:right w:w="108" w:type="dxa"/>
          </w:tblCellMar>
        </w:tblPrEx>
        <w:trPr>
          <w:gridBefore w:val="1"/>
          <w:wBefore w:w="263" w:type="pct"/>
          <w:trHeight w:val="57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支付进度未达到90%。</w:t>
            </w:r>
          </w:p>
        </w:tc>
      </w:tr>
      <w:tr>
        <w:tblPrEx>
          <w:tblCellMar>
            <w:top w:w="0" w:type="dxa"/>
            <w:left w:w="108" w:type="dxa"/>
            <w:bottom w:w="0" w:type="dxa"/>
            <w:right w:w="108" w:type="dxa"/>
          </w:tblCellMar>
        </w:tblPrEx>
        <w:trPr>
          <w:gridBefore w:val="1"/>
          <w:wBefore w:w="263" w:type="pct"/>
          <w:trHeight w:val="63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督促办案人员及时对符合条件的当事人进行救助，及时报账，加快支付进度。</w:t>
            </w:r>
          </w:p>
        </w:tc>
      </w:tr>
      <w:tr>
        <w:tblPrEx>
          <w:tblCellMar>
            <w:top w:w="0" w:type="dxa"/>
            <w:left w:w="108" w:type="dxa"/>
            <w:bottom w:w="0" w:type="dxa"/>
            <w:right w:w="108" w:type="dxa"/>
          </w:tblCellMar>
        </w:tblPrEx>
        <w:trPr>
          <w:gridBefore w:val="1"/>
          <w:wBefore w:w="263" w:type="pct"/>
          <w:trHeight w:val="285" w:hRule="atLeast"/>
          <w:jc w:val="center"/>
        </w:trPr>
        <w:tc>
          <w:tcPr>
            <w:tcW w:w="267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2061" w:type="pct"/>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57"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28" w:type="pct"/>
            <w:gridSpan w:val="4"/>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9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31"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gridBefore w:val="1"/>
          <w:wBefore w:w="263" w:type="pct"/>
          <w:trHeight w:val="1320" w:hRule="atLeast"/>
          <w:jc w:val="center"/>
        </w:trPr>
        <w:tc>
          <w:tcPr>
            <w:tcW w:w="4736" w:type="pct"/>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Before w:val="1"/>
          <w:wBefore w:w="263" w:type="pct"/>
          <w:trHeight w:val="285"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51080022T000005057321-陪审员经费</w:t>
            </w:r>
          </w:p>
        </w:tc>
      </w:tr>
      <w:tr>
        <w:tblPrEx>
          <w:tblCellMar>
            <w:top w:w="0" w:type="dxa"/>
            <w:left w:w="108" w:type="dxa"/>
            <w:bottom w:w="0" w:type="dxa"/>
            <w:right w:w="108" w:type="dxa"/>
          </w:tblCellMar>
        </w:tblPrEx>
        <w:trPr>
          <w:gridBefore w:val="1"/>
          <w:wBefore w:w="263" w:type="pct"/>
          <w:trHeight w:val="514"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482" w:type="pct"/>
            <w:gridSpan w:val="2"/>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0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Before w:val="1"/>
          <w:wBefore w:w="263" w:type="pct"/>
          <w:trHeight w:val="90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保障陪审员工作经费</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根据陪审员参与陪审情况，按规定发放陪审待费用，保障陪审员待遇。</w:t>
            </w:r>
          </w:p>
        </w:tc>
      </w:tr>
      <w:tr>
        <w:tblPrEx>
          <w:tblCellMar>
            <w:top w:w="0" w:type="dxa"/>
            <w:left w:w="108" w:type="dxa"/>
            <w:bottom w:w="0" w:type="dxa"/>
            <w:right w:w="108" w:type="dxa"/>
          </w:tblCellMar>
        </w:tblPrEx>
        <w:trPr>
          <w:gridBefore w:val="1"/>
          <w:wBefore w:w="263" w:type="pct"/>
          <w:trHeight w:val="90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该项目属于常年性项目，通过对陪审员合规发放陪审补助，参与庭审，促进司法公平公正。</w:t>
            </w: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Before w:val="1"/>
          <w:wBefore w:w="263" w:type="pct"/>
          <w:trHeight w:val="34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10.93</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10.93</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10.93</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xml:space="preserve"> </w:t>
            </w:r>
          </w:p>
        </w:tc>
      </w:tr>
      <w:tr>
        <w:tblPrEx>
          <w:tblCellMar>
            <w:top w:w="0" w:type="dxa"/>
            <w:left w:w="108" w:type="dxa"/>
            <w:bottom w:w="0" w:type="dxa"/>
            <w:right w:w="108" w:type="dxa"/>
          </w:tblCellMar>
        </w:tblPrEx>
        <w:trPr>
          <w:gridBefore w:val="1"/>
          <w:wBefore w:w="263" w:type="pct"/>
          <w:trHeight w:val="39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10.93</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10.93</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10.93</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09"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保障人数</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就业支持</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285" w:hRule="atLeast"/>
          <w:jc w:val="center"/>
        </w:trPr>
        <w:tc>
          <w:tcPr>
            <w:tcW w:w="3675"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gridBefore w:val="1"/>
          <w:wBefore w:w="263" w:type="pct"/>
          <w:trHeight w:val="60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自评100分，有效保障了陪审员的陪审待遇，参与审判活动，促进司法公正。</w:t>
            </w:r>
          </w:p>
        </w:tc>
      </w:tr>
      <w:tr>
        <w:tblPrEx>
          <w:tblCellMar>
            <w:top w:w="0" w:type="dxa"/>
            <w:left w:w="108" w:type="dxa"/>
            <w:bottom w:w="0" w:type="dxa"/>
            <w:right w:w="108" w:type="dxa"/>
          </w:tblCellMar>
        </w:tblPrEx>
        <w:trPr>
          <w:gridBefore w:val="1"/>
          <w:wBefore w:w="263" w:type="pct"/>
          <w:trHeight w:val="57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Before w:val="1"/>
          <w:wBefore w:w="263" w:type="pct"/>
          <w:trHeight w:val="63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Before w:val="1"/>
          <w:wBefore w:w="263" w:type="pct"/>
          <w:trHeight w:val="285" w:hRule="atLeast"/>
          <w:jc w:val="center"/>
        </w:trPr>
        <w:tc>
          <w:tcPr>
            <w:tcW w:w="267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2061" w:type="pct"/>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57"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28" w:type="pct"/>
            <w:gridSpan w:val="4"/>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9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31"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gridBefore w:val="1"/>
          <w:wBefore w:w="263" w:type="pct"/>
          <w:trHeight w:val="1122" w:hRule="atLeast"/>
          <w:jc w:val="center"/>
        </w:trPr>
        <w:tc>
          <w:tcPr>
            <w:tcW w:w="4736" w:type="pct"/>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Before w:val="1"/>
          <w:wBefore w:w="263" w:type="pct"/>
          <w:trHeight w:val="402"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51080022T000005057324-案件执行业务费、扫黑除恶经费</w:t>
            </w:r>
          </w:p>
        </w:tc>
      </w:tr>
      <w:tr>
        <w:tblPrEx>
          <w:tblCellMar>
            <w:top w:w="0" w:type="dxa"/>
            <w:left w:w="108" w:type="dxa"/>
            <w:bottom w:w="0" w:type="dxa"/>
            <w:right w:w="108" w:type="dxa"/>
          </w:tblCellMar>
        </w:tblPrEx>
        <w:trPr>
          <w:gridBefore w:val="1"/>
          <w:wBefore w:w="263" w:type="pct"/>
          <w:trHeight w:val="739"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482" w:type="pct"/>
            <w:gridSpan w:val="2"/>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0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Before w:val="1"/>
          <w:wBefore w:w="263" w:type="pct"/>
          <w:trHeight w:val="762"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保障案件执行</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保障案件执行顺利开展，支持保障扫黑除恶审判业务开展。</w:t>
            </w:r>
          </w:p>
        </w:tc>
      </w:tr>
      <w:tr>
        <w:tblPrEx>
          <w:tblCellMar>
            <w:top w:w="0" w:type="dxa"/>
            <w:left w:w="108" w:type="dxa"/>
            <w:bottom w:w="0" w:type="dxa"/>
            <w:right w:w="108" w:type="dxa"/>
          </w:tblCellMar>
        </w:tblPrEx>
        <w:trPr>
          <w:gridBefore w:val="1"/>
          <w:wBefore w:w="263" w:type="pct"/>
          <w:trHeight w:val="882"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该项目属于常年性项目，通过司法强制执行，保障申请人合法权益，开展扫黑除恶审判活动，维护社会和谐稳定。</w:t>
            </w: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Before w:val="1"/>
          <w:wBefore w:w="263" w:type="pct"/>
          <w:trHeight w:val="34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xml:space="preserve"> </w:t>
            </w:r>
          </w:p>
        </w:tc>
      </w:tr>
      <w:tr>
        <w:tblPrEx>
          <w:tblCellMar>
            <w:top w:w="0" w:type="dxa"/>
            <w:left w:w="108" w:type="dxa"/>
            <w:bottom w:w="0" w:type="dxa"/>
            <w:right w:w="108" w:type="dxa"/>
          </w:tblCellMar>
        </w:tblPrEx>
        <w:trPr>
          <w:gridBefore w:val="1"/>
          <w:wBefore w:w="263" w:type="pct"/>
          <w:trHeight w:val="39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09"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办理执行案件</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件</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执行效果</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285" w:hRule="atLeast"/>
          <w:jc w:val="center"/>
        </w:trPr>
        <w:tc>
          <w:tcPr>
            <w:tcW w:w="3675"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gridBefore w:val="1"/>
          <w:wBefore w:w="263" w:type="pct"/>
          <w:trHeight w:val="739"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自评100分，充分支持保障了司法强制执行，保扫黑除恶审判等业务活动，履行审判职责。</w:t>
            </w:r>
          </w:p>
        </w:tc>
      </w:tr>
      <w:tr>
        <w:tblPrEx>
          <w:tblCellMar>
            <w:top w:w="0" w:type="dxa"/>
            <w:left w:w="108" w:type="dxa"/>
            <w:bottom w:w="0" w:type="dxa"/>
            <w:right w:w="108" w:type="dxa"/>
          </w:tblCellMar>
        </w:tblPrEx>
        <w:trPr>
          <w:gridBefore w:val="1"/>
          <w:wBefore w:w="263" w:type="pct"/>
          <w:trHeight w:val="57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Before w:val="1"/>
          <w:wBefore w:w="263" w:type="pct"/>
          <w:trHeight w:val="63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Before w:val="1"/>
          <w:wBefore w:w="263" w:type="pct"/>
          <w:trHeight w:val="402" w:hRule="atLeast"/>
          <w:jc w:val="center"/>
        </w:trPr>
        <w:tc>
          <w:tcPr>
            <w:tcW w:w="267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2061" w:type="pct"/>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57"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28" w:type="pct"/>
            <w:gridSpan w:val="4"/>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9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31"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gridBefore w:val="1"/>
          <w:wBefore w:w="263" w:type="pct"/>
          <w:trHeight w:val="904" w:hRule="atLeast"/>
          <w:jc w:val="center"/>
        </w:trPr>
        <w:tc>
          <w:tcPr>
            <w:tcW w:w="4736" w:type="pct"/>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Before w:val="1"/>
          <w:wBefore w:w="263" w:type="pct"/>
          <w:trHeight w:val="495"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51080022T000005057327-案件审判业务费</w:t>
            </w:r>
          </w:p>
        </w:tc>
      </w:tr>
      <w:tr>
        <w:tblPrEx>
          <w:tblCellMar>
            <w:top w:w="0" w:type="dxa"/>
            <w:left w:w="108" w:type="dxa"/>
            <w:bottom w:w="0" w:type="dxa"/>
            <w:right w:w="108" w:type="dxa"/>
          </w:tblCellMar>
        </w:tblPrEx>
        <w:trPr>
          <w:gridBefore w:val="1"/>
          <w:wBefore w:w="263" w:type="pct"/>
          <w:trHeight w:val="735"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482" w:type="pct"/>
            <w:gridSpan w:val="2"/>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0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Before w:val="1"/>
          <w:wBefore w:w="263" w:type="pct"/>
          <w:trHeight w:val="90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保障案件审判工作</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保障案件审判工作顺利开展</w:t>
            </w:r>
          </w:p>
        </w:tc>
      </w:tr>
      <w:tr>
        <w:tblPrEx>
          <w:tblCellMar>
            <w:top w:w="0" w:type="dxa"/>
            <w:left w:w="108" w:type="dxa"/>
            <w:bottom w:w="0" w:type="dxa"/>
            <w:right w:w="108" w:type="dxa"/>
          </w:tblCellMar>
        </w:tblPrEx>
        <w:trPr>
          <w:gridBefore w:val="1"/>
          <w:wBefore w:w="263" w:type="pct"/>
          <w:trHeight w:val="93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该项目属于常年性项目，保障民商事、刑事、行政案件的审理，化解矛盾纠纷，营造公平法治的社会环境。</w:t>
            </w: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Before w:val="1"/>
          <w:wBefore w:w="263" w:type="pct"/>
          <w:trHeight w:val="34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185.92</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497.33</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186.74</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37.55%</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预算调整指标在2023年12月下达</w:t>
            </w:r>
            <w:r>
              <w:rPr>
                <w:rFonts w:hint="eastAsia" w:ascii="Courier New" w:hAnsi="Courier New" w:cs="Courier New"/>
                <w:i/>
                <w:iCs/>
                <w:color w:val="000000"/>
                <w:kern w:val="0"/>
                <w:sz w:val="18"/>
                <w:szCs w:val="18"/>
                <w:lang w:eastAsia="zh-CN"/>
              </w:rPr>
              <w:t>，</w:t>
            </w:r>
            <w:r>
              <w:rPr>
                <w:rFonts w:ascii="Courier New" w:hAnsi="Courier New" w:cs="Courier New"/>
                <w:i/>
                <w:iCs/>
                <w:color w:val="000000"/>
                <w:kern w:val="0"/>
                <w:sz w:val="18"/>
                <w:szCs w:val="18"/>
              </w:rPr>
              <w:t>资金支付使用按照业务进度支付，需要跨年度使用。</w:t>
            </w:r>
          </w:p>
        </w:tc>
      </w:tr>
      <w:tr>
        <w:tblPrEx>
          <w:tblCellMar>
            <w:top w:w="0" w:type="dxa"/>
            <w:left w:w="108" w:type="dxa"/>
            <w:bottom w:w="0" w:type="dxa"/>
            <w:right w:w="108" w:type="dxa"/>
          </w:tblCellMar>
        </w:tblPrEx>
        <w:trPr>
          <w:gridBefore w:val="1"/>
          <w:wBefore w:w="263" w:type="pct"/>
          <w:trHeight w:val="39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185.92</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497.33</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186.74</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37.55%</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09"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12</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审判质量</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285" w:hRule="atLeast"/>
          <w:jc w:val="center"/>
        </w:trPr>
        <w:tc>
          <w:tcPr>
            <w:tcW w:w="3675"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gridBefore w:val="1"/>
          <w:wBefore w:w="263" w:type="pct"/>
          <w:trHeight w:val="870"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说明项目自评总分80，有力保障了民商事、刑事、行政案件的审理，化解矛盾纠纷，维护当事人合法权益。</w:t>
            </w:r>
          </w:p>
        </w:tc>
      </w:tr>
      <w:tr>
        <w:tblPrEx>
          <w:tblCellMar>
            <w:top w:w="0" w:type="dxa"/>
            <w:left w:w="108" w:type="dxa"/>
            <w:bottom w:w="0" w:type="dxa"/>
            <w:right w:w="108" w:type="dxa"/>
          </w:tblCellMar>
        </w:tblPrEx>
        <w:trPr>
          <w:gridBefore w:val="1"/>
          <w:wBefore w:w="263" w:type="pct"/>
          <w:trHeight w:val="795"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执行进度低于90%</w:t>
            </w:r>
          </w:p>
        </w:tc>
      </w:tr>
      <w:tr>
        <w:tblPrEx>
          <w:tblCellMar>
            <w:top w:w="0" w:type="dxa"/>
            <w:left w:w="108" w:type="dxa"/>
            <w:bottom w:w="0" w:type="dxa"/>
            <w:right w:w="108" w:type="dxa"/>
          </w:tblCellMar>
        </w:tblPrEx>
        <w:trPr>
          <w:gridBefore w:val="1"/>
          <w:wBefore w:w="263" w:type="pct"/>
          <w:trHeight w:val="930"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督促办案部门及时报账，加快资金使用。</w:t>
            </w:r>
          </w:p>
        </w:tc>
      </w:tr>
      <w:tr>
        <w:tblPrEx>
          <w:tblCellMar>
            <w:top w:w="0" w:type="dxa"/>
            <w:left w:w="108" w:type="dxa"/>
            <w:bottom w:w="0" w:type="dxa"/>
            <w:right w:w="108" w:type="dxa"/>
          </w:tblCellMar>
        </w:tblPrEx>
        <w:trPr>
          <w:gridBefore w:val="1"/>
          <w:wBefore w:w="263" w:type="pct"/>
          <w:trHeight w:val="285" w:hRule="atLeast"/>
          <w:jc w:val="center"/>
        </w:trPr>
        <w:tc>
          <w:tcPr>
            <w:tcW w:w="267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2061" w:type="pct"/>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57"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28" w:type="pct"/>
            <w:gridSpan w:val="4"/>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9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31"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gridBefore w:val="1"/>
          <w:wBefore w:w="263" w:type="pct"/>
          <w:trHeight w:val="495" w:hRule="atLeast"/>
          <w:jc w:val="center"/>
        </w:trPr>
        <w:tc>
          <w:tcPr>
            <w:tcW w:w="4736" w:type="pct"/>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Before w:val="1"/>
          <w:wBefore w:w="263" w:type="pct"/>
          <w:trHeight w:val="285"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51080022T000005067781-法警、公务员加班费</w:t>
            </w:r>
          </w:p>
        </w:tc>
      </w:tr>
      <w:tr>
        <w:tblPrEx>
          <w:tblCellMar>
            <w:top w:w="0" w:type="dxa"/>
            <w:left w:w="108" w:type="dxa"/>
            <w:bottom w:w="0" w:type="dxa"/>
            <w:right w:w="108" w:type="dxa"/>
          </w:tblCellMar>
        </w:tblPrEx>
        <w:trPr>
          <w:gridBefore w:val="1"/>
          <w:wBefore w:w="263" w:type="pct"/>
          <w:trHeight w:val="514"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482" w:type="pct"/>
            <w:gridSpan w:val="2"/>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0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Before w:val="1"/>
          <w:wBefore w:w="263" w:type="pct"/>
          <w:trHeight w:val="709"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保障干警工作加班</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正常发放干警工作加班待遇</w:t>
            </w:r>
          </w:p>
        </w:tc>
      </w:tr>
      <w:tr>
        <w:tblPrEx>
          <w:tblCellMar>
            <w:top w:w="0" w:type="dxa"/>
            <w:left w:w="108" w:type="dxa"/>
            <w:bottom w:w="0" w:type="dxa"/>
            <w:right w:w="108" w:type="dxa"/>
          </w:tblCellMar>
        </w:tblPrEx>
        <w:trPr>
          <w:gridBefore w:val="1"/>
          <w:wBefore w:w="263" w:type="pct"/>
          <w:trHeight w:val="69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该项目属于常年性项目，主要对干警在法定工作日之外的加班依法发放补助。</w:t>
            </w: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Before w:val="1"/>
          <w:wBefore w:w="263" w:type="pct"/>
          <w:trHeight w:val="34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3.86</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3.86</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3.86</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xml:space="preserve"> </w:t>
            </w:r>
          </w:p>
        </w:tc>
      </w:tr>
      <w:tr>
        <w:tblPrEx>
          <w:tblCellMar>
            <w:top w:w="0" w:type="dxa"/>
            <w:left w:w="108" w:type="dxa"/>
            <w:bottom w:w="0" w:type="dxa"/>
            <w:right w:w="108" w:type="dxa"/>
          </w:tblCellMar>
        </w:tblPrEx>
        <w:trPr>
          <w:gridBefore w:val="1"/>
          <w:wBefore w:w="263" w:type="pct"/>
          <w:trHeight w:val="39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3.86</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3.86</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3.86</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09"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完成时间</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12</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可持续发展指标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发放率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285" w:hRule="atLeast"/>
          <w:jc w:val="center"/>
        </w:trPr>
        <w:tc>
          <w:tcPr>
            <w:tcW w:w="3675"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gridBefore w:val="1"/>
          <w:wBefore w:w="263" w:type="pct"/>
          <w:trHeight w:val="60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自评100分，有效保障了在职干警的加班工资待遇，提高了办案人员工资积极性。</w:t>
            </w:r>
          </w:p>
        </w:tc>
      </w:tr>
      <w:tr>
        <w:tblPrEx>
          <w:tblCellMar>
            <w:top w:w="0" w:type="dxa"/>
            <w:left w:w="108" w:type="dxa"/>
            <w:bottom w:w="0" w:type="dxa"/>
            <w:right w:w="108" w:type="dxa"/>
          </w:tblCellMar>
        </w:tblPrEx>
        <w:trPr>
          <w:gridBefore w:val="1"/>
          <w:wBefore w:w="263" w:type="pct"/>
          <w:trHeight w:val="57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Before w:val="1"/>
          <w:wBefore w:w="263" w:type="pct"/>
          <w:trHeight w:val="63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Before w:val="1"/>
          <w:wBefore w:w="263" w:type="pct"/>
          <w:trHeight w:val="285" w:hRule="atLeast"/>
          <w:jc w:val="center"/>
        </w:trPr>
        <w:tc>
          <w:tcPr>
            <w:tcW w:w="267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2061" w:type="pct"/>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Before w:val="1"/>
          <w:wBefore w:w="263" w:type="pct"/>
          <w:trHeight w:val="2175" w:hRule="atLeast"/>
          <w:jc w:val="center"/>
        </w:trPr>
        <w:tc>
          <w:tcPr>
            <w:tcW w:w="306"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57"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28" w:type="pct"/>
            <w:gridSpan w:val="4"/>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9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31"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gridBefore w:val="1"/>
          <w:wBefore w:w="263" w:type="pct"/>
          <w:trHeight w:val="435" w:hRule="atLeast"/>
          <w:jc w:val="center"/>
        </w:trPr>
        <w:tc>
          <w:tcPr>
            <w:tcW w:w="4736" w:type="pct"/>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Before w:val="1"/>
          <w:wBefore w:w="263" w:type="pct"/>
          <w:trHeight w:val="285"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51080023T000008458559-案件审判业务费（办理受理案件、司法鉴定、翻译费、收监人员体检）</w:t>
            </w:r>
          </w:p>
        </w:tc>
      </w:tr>
      <w:tr>
        <w:tblPrEx>
          <w:tblCellMar>
            <w:top w:w="0" w:type="dxa"/>
            <w:left w:w="108" w:type="dxa"/>
            <w:bottom w:w="0" w:type="dxa"/>
            <w:right w:w="108" w:type="dxa"/>
          </w:tblCellMar>
        </w:tblPrEx>
        <w:trPr>
          <w:gridBefore w:val="1"/>
          <w:wBefore w:w="263" w:type="pct"/>
          <w:trHeight w:val="375"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482" w:type="pct"/>
            <w:gridSpan w:val="2"/>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0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Before w:val="1"/>
          <w:wBefore w:w="263" w:type="pct"/>
          <w:trHeight w:val="33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案件审判业务费（办理受理案件、司法鉴定、翻译费、收监人员体检）</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保障案件审判经费支出，保障案件审判工作开展。</w:t>
            </w: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该项目属于常年性项目，主要保障案件受理、案件审理、司法鉴定、收监人员体检的业务的开展。</w:t>
            </w: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Before w:val="1"/>
          <w:wBefore w:w="263" w:type="pct"/>
          <w:trHeight w:val="24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357.78</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357.78</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247.14</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69.08%</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审判案件办理人员费用报销不及时，存在延迟，2023年初疫情、流感导致办案出差减少等原因导致支出减少</w:t>
            </w:r>
          </w:p>
        </w:tc>
      </w:tr>
      <w:tr>
        <w:tblPrEx>
          <w:tblCellMar>
            <w:top w:w="0" w:type="dxa"/>
            <w:left w:w="108" w:type="dxa"/>
            <w:bottom w:w="0" w:type="dxa"/>
            <w:right w:w="108" w:type="dxa"/>
          </w:tblCellMar>
        </w:tblPrEx>
        <w:trPr>
          <w:gridBefore w:val="1"/>
          <w:wBefore w:w="263" w:type="pct"/>
          <w:trHeight w:val="25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357.78</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357.78</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247.14</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69.08%</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21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21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19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225"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657"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办理民商、行政、刑事案件数</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6000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案件数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9856</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办理鉴定、评估、翻译案件数</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案件数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85</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法院审判部门日常运转数</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个</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6</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法院派驻法庭运转数</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个</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6</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体检人数</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人次</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65</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办理案件结案百分比</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65</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97</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产出各项任务完成时间</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解决各类矛盾纠纷；维护社会法治和经济秩序。</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公正司法，维护法律权威</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当事人服判息诉率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85</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78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预算资金使用率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69.08</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审判案件办理人员费用报销不及时，存在延迟，2023年初疫情、流感导致办案出差减少等原因导致</w:t>
            </w:r>
          </w:p>
        </w:tc>
      </w:tr>
      <w:tr>
        <w:tblPrEx>
          <w:tblCellMar>
            <w:top w:w="0" w:type="dxa"/>
            <w:left w:w="108" w:type="dxa"/>
            <w:bottom w:w="0" w:type="dxa"/>
            <w:right w:w="108" w:type="dxa"/>
          </w:tblCellMar>
        </w:tblPrEx>
        <w:trPr>
          <w:gridBefore w:val="1"/>
          <w:wBefore w:w="263" w:type="pct"/>
          <w:trHeight w:val="285" w:hRule="atLeast"/>
          <w:jc w:val="center"/>
        </w:trPr>
        <w:tc>
          <w:tcPr>
            <w:tcW w:w="3675"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gridBefore w:val="1"/>
          <w:wBefore w:w="263" w:type="pct"/>
          <w:trHeight w:val="60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自评总分90，完成了全年案件办案指标值，保障了办案业务的顺利开展。</w:t>
            </w:r>
          </w:p>
        </w:tc>
      </w:tr>
      <w:tr>
        <w:tblPrEx>
          <w:tblCellMar>
            <w:top w:w="0" w:type="dxa"/>
            <w:left w:w="108" w:type="dxa"/>
            <w:bottom w:w="0" w:type="dxa"/>
            <w:right w:w="108" w:type="dxa"/>
          </w:tblCellMar>
        </w:tblPrEx>
        <w:trPr>
          <w:gridBefore w:val="1"/>
          <w:wBefore w:w="263" w:type="pct"/>
          <w:trHeight w:val="57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预算执行进度未达到90%</w:t>
            </w:r>
          </w:p>
        </w:tc>
      </w:tr>
      <w:tr>
        <w:tblPrEx>
          <w:tblCellMar>
            <w:top w:w="0" w:type="dxa"/>
            <w:left w:w="108" w:type="dxa"/>
            <w:bottom w:w="0" w:type="dxa"/>
            <w:right w:w="108" w:type="dxa"/>
          </w:tblCellMar>
        </w:tblPrEx>
        <w:trPr>
          <w:gridBefore w:val="1"/>
          <w:wBefore w:w="263" w:type="pct"/>
          <w:trHeight w:val="63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督促办案部门及时报账，加快资金使用。</w:t>
            </w:r>
          </w:p>
        </w:tc>
      </w:tr>
      <w:tr>
        <w:tblPrEx>
          <w:tblCellMar>
            <w:top w:w="0" w:type="dxa"/>
            <w:left w:w="108" w:type="dxa"/>
            <w:bottom w:w="0" w:type="dxa"/>
            <w:right w:w="108" w:type="dxa"/>
          </w:tblCellMar>
        </w:tblPrEx>
        <w:trPr>
          <w:gridBefore w:val="1"/>
          <w:wBefore w:w="263" w:type="pct"/>
          <w:trHeight w:val="285" w:hRule="atLeast"/>
          <w:jc w:val="center"/>
        </w:trPr>
        <w:tc>
          <w:tcPr>
            <w:tcW w:w="267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2061" w:type="pct"/>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57"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28" w:type="pct"/>
            <w:gridSpan w:val="4"/>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9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31"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gridBefore w:val="1"/>
          <w:wBefore w:w="263" w:type="pct"/>
          <w:trHeight w:val="570" w:hRule="atLeast"/>
          <w:jc w:val="center"/>
        </w:trPr>
        <w:tc>
          <w:tcPr>
            <w:tcW w:w="4736" w:type="pct"/>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Before w:val="1"/>
          <w:wBefore w:w="263" w:type="pct"/>
          <w:trHeight w:val="285"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51080023T000008458661-陪审员调解员经费</w:t>
            </w:r>
          </w:p>
        </w:tc>
      </w:tr>
      <w:tr>
        <w:tblPrEx>
          <w:tblCellMar>
            <w:top w:w="0" w:type="dxa"/>
            <w:left w:w="108" w:type="dxa"/>
            <w:bottom w:w="0" w:type="dxa"/>
            <w:right w:w="108" w:type="dxa"/>
          </w:tblCellMar>
        </w:tblPrEx>
        <w:trPr>
          <w:gridBefore w:val="1"/>
          <w:wBefore w:w="263" w:type="pct"/>
          <w:trHeight w:val="405"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482" w:type="pct"/>
            <w:gridSpan w:val="2"/>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0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Before w:val="1"/>
          <w:wBefore w:w="263" w:type="pct"/>
          <w:trHeight w:val="42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保障陪审员、调解员经费，发挥法院调解职能</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保障陪审员、调解员经费，有效发挥法院调解职能。</w:t>
            </w:r>
          </w:p>
        </w:tc>
      </w:tr>
      <w:tr>
        <w:tblPrEx>
          <w:tblCellMar>
            <w:top w:w="0" w:type="dxa"/>
            <w:left w:w="108" w:type="dxa"/>
            <w:bottom w:w="0" w:type="dxa"/>
            <w:right w:w="108" w:type="dxa"/>
          </w:tblCellMar>
        </w:tblPrEx>
        <w:trPr>
          <w:gridBefore w:val="1"/>
          <w:wBefore w:w="263" w:type="pct"/>
          <w:trHeight w:val="69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该项目属于常年性项目，主要保障陪审员参与案件审理、调解员参与案件调解的待遇补助。</w:t>
            </w: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Before w:val="1"/>
          <w:wBefore w:w="263" w:type="pct"/>
          <w:trHeight w:val="34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88.97</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80.88%</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该项目经费支出根据陪审员调解员参与审判实际天数，考核据实报账支出。</w:t>
            </w:r>
          </w:p>
        </w:tc>
      </w:tr>
      <w:tr>
        <w:tblPrEx>
          <w:tblCellMar>
            <w:top w:w="0" w:type="dxa"/>
            <w:left w:w="108" w:type="dxa"/>
            <w:bottom w:w="0" w:type="dxa"/>
            <w:right w:w="108" w:type="dxa"/>
          </w:tblCellMar>
        </w:tblPrEx>
        <w:trPr>
          <w:gridBefore w:val="1"/>
          <w:wBefore w:w="263" w:type="pct"/>
          <w:trHeight w:val="39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88.97</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80.88%</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09"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657"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聘任陪审员人数</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123</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陪审员培训次数</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人次</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诉讼调解结案数</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2000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案件数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3500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保障陪审员工作经费</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123</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123</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产出各项任务完成时间</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12</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加大社会参与度</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法院调解职能体现</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群众对社会人员参与满意</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严格执行项目预算金额</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110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88.97</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285" w:hRule="atLeast"/>
          <w:jc w:val="center"/>
        </w:trPr>
        <w:tc>
          <w:tcPr>
            <w:tcW w:w="3675"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gridBefore w:val="1"/>
          <w:wBefore w:w="263" w:type="pct"/>
          <w:trHeight w:val="60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项目自评总分95分，保障陪审员、调解员经费，发挥法院调解职能，化解了社会矛盾，维护社会稳定。</w:t>
            </w:r>
          </w:p>
        </w:tc>
      </w:tr>
      <w:tr>
        <w:tblPrEx>
          <w:tblCellMar>
            <w:top w:w="0" w:type="dxa"/>
            <w:left w:w="108" w:type="dxa"/>
            <w:bottom w:w="0" w:type="dxa"/>
            <w:right w:w="108" w:type="dxa"/>
          </w:tblCellMar>
        </w:tblPrEx>
        <w:trPr>
          <w:gridBefore w:val="1"/>
          <w:wBefore w:w="263" w:type="pct"/>
          <w:trHeight w:val="57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预算执行进度未达到90%</w:t>
            </w:r>
          </w:p>
        </w:tc>
      </w:tr>
      <w:tr>
        <w:tblPrEx>
          <w:tblCellMar>
            <w:top w:w="0" w:type="dxa"/>
            <w:left w:w="108" w:type="dxa"/>
            <w:bottom w:w="0" w:type="dxa"/>
            <w:right w:w="108" w:type="dxa"/>
          </w:tblCellMar>
        </w:tblPrEx>
        <w:trPr>
          <w:gridBefore w:val="1"/>
          <w:wBefore w:w="263" w:type="pct"/>
          <w:trHeight w:val="63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督促办案部门及时报账，加快资金使用。</w:t>
            </w:r>
          </w:p>
        </w:tc>
      </w:tr>
      <w:tr>
        <w:tblPrEx>
          <w:tblCellMar>
            <w:top w:w="0" w:type="dxa"/>
            <w:left w:w="108" w:type="dxa"/>
            <w:bottom w:w="0" w:type="dxa"/>
            <w:right w:w="108" w:type="dxa"/>
          </w:tblCellMar>
        </w:tblPrEx>
        <w:trPr>
          <w:gridBefore w:val="1"/>
          <w:wBefore w:w="263" w:type="pct"/>
          <w:trHeight w:val="285" w:hRule="atLeast"/>
          <w:jc w:val="center"/>
        </w:trPr>
        <w:tc>
          <w:tcPr>
            <w:tcW w:w="267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2061" w:type="pct"/>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57"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28" w:type="pct"/>
            <w:gridSpan w:val="4"/>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9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31"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gridBefore w:val="1"/>
          <w:wBefore w:w="263" w:type="pct"/>
          <w:trHeight w:val="585" w:hRule="atLeast"/>
          <w:jc w:val="center"/>
        </w:trPr>
        <w:tc>
          <w:tcPr>
            <w:tcW w:w="4736" w:type="pct"/>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Before w:val="1"/>
          <w:wBefore w:w="263" w:type="pct"/>
          <w:trHeight w:val="285"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51080023T000008458693-聘用制书记员经费</w:t>
            </w:r>
          </w:p>
        </w:tc>
      </w:tr>
      <w:tr>
        <w:tblPrEx>
          <w:tblCellMar>
            <w:top w:w="0" w:type="dxa"/>
            <w:left w:w="108" w:type="dxa"/>
            <w:bottom w:w="0" w:type="dxa"/>
            <w:right w:w="108" w:type="dxa"/>
          </w:tblCellMar>
        </w:tblPrEx>
        <w:trPr>
          <w:gridBefore w:val="1"/>
          <w:wBefore w:w="263" w:type="pct"/>
          <w:trHeight w:val="514"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482" w:type="pct"/>
            <w:gridSpan w:val="2"/>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0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Before w:val="1"/>
          <w:wBefore w:w="263" w:type="pct"/>
          <w:trHeight w:val="709"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保障法院办案人力</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保障聘用制书记员待遇，保障法院办案人力。</w:t>
            </w:r>
          </w:p>
        </w:tc>
      </w:tr>
      <w:tr>
        <w:tblPrEx>
          <w:tblCellMar>
            <w:top w:w="0" w:type="dxa"/>
            <w:left w:w="108" w:type="dxa"/>
            <w:bottom w:w="0" w:type="dxa"/>
            <w:right w:w="108" w:type="dxa"/>
          </w:tblCellMar>
        </w:tblPrEx>
        <w:trPr>
          <w:gridBefore w:val="1"/>
          <w:wBefore w:w="263" w:type="pct"/>
          <w:trHeight w:val="69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该项目属于常年性项目，主要保障聘用制书记员工资待遇，补充办案力量，缓解案件递增人员不足的矛盾。</w:t>
            </w: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Before w:val="1"/>
          <w:wBefore w:w="263" w:type="pct"/>
          <w:trHeight w:val="34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260.00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260.00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260.00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gridBefore w:val="1"/>
          <w:wBefore w:w="263" w:type="pct"/>
          <w:trHeight w:val="39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260.00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260.00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260.00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09"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聘用书记员人员数</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52</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名</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52</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确保每月工资发放</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次</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产出各项任务完成时间</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提供就业机会</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确保当事人的权益得到保障，挽回当事人经济损失</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保障法院司改人力配备比例</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严格执行项目预算金额</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260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260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285" w:hRule="atLeast"/>
          <w:jc w:val="center"/>
        </w:trPr>
        <w:tc>
          <w:tcPr>
            <w:tcW w:w="3675"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gridBefore w:val="1"/>
          <w:wBefore w:w="263" w:type="pct"/>
          <w:trHeight w:val="60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项目自评总分100分，保障聘用制书记员待遇，保障了法院办案人力支持。</w:t>
            </w:r>
          </w:p>
        </w:tc>
      </w:tr>
      <w:tr>
        <w:tblPrEx>
          <w:tblCellMar>
            <w:top w:w="0" w:type="dxa"/>
            <w:left w:w="108" w:type="dxa"/>
            <w:bottom w:w="0" w:type="dxa"/>
            <w:right w:w="108" w:type="dxa"/>
          </w:tblCellMar>
        </w:tblPrEx>
        <w:trPr>
          <w:gridBefore w:val="1"/>
          <w:wBefore w:w="263" w:type="pct"/>
          <w:trHeight w:val="57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Before w:val="1"/>
          <w:wBefore w:w="263" w:type="pct"/>
          <w:trHeight w:val="63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Before w:val="1"/>
          <w:wBefore w:w="263" w:type="pct"/>
          <w:trHeight w:val="285" w:hRule="atLeast"/>
          <w:jc w:val="center"/>
        </w:trPr>
        <w:tc>
          <w:tcPr>
            <w:tcW w:w="267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2061" w:type="pct"/>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57"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28" w:type="pct"/>
            <w:gridSpan w:val="4"/>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9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31"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gridBefore w:val="1"/>
          <w:wBefore w:w="263" w:type="pct"/>
          <w:trHeight w:val="390" w:hRule="atLeast"/>
          <w:jc w:val="center"/>
        </w:trPr>
        <w:tc>
          <w:tcPr>
            <w:tcW w:w="4736" w:type="pct"/>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Before w:val="1"/>
          <w:wBefore w:w="263" w:type="pct"/>
          <w:trHeight w:val="285"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51080023T000008458762-案件执行业务费（办理执行类案件、扫黑除恶、涉诉维稳、信访资金））</w:t>
            </w:r>
          </w:p>
        </w:tc>
      </w:tr>
      <w:tr>
        <w:tblPrEx>
          <w:tblCellMar>
            <w:top w:w="0" w:type="dxa"/>
            <w:left w:w="108" w:type="dxa"/>
            <w:bottom w:w="0" w:type="dxa"/>
            <w:right w:w="108" w:type="dxa"/>
          </w:tblCellMar>
        </w:tblPrEx>
        <w:trPr>
          <w:gridBefore w:val="1"/>
          <w:wBefore w:w="263" w:type="pct"/>
          <w:trHeight w:val="360"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482" w:type="pct"/>
            <w:gridSpan w:val="2"/>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0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Before w:val="1"/>
          <w:wBefore w:w="263" w:type="pct"/>
          <w:trHeight w:val="27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完成执行案件任务数，保障法院涉诉维稳、信访工作经费</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保障执行案件办理、涉诉维稳、信访等工作。</w:t>
            </w:r>
          </w:p>
        </w:tc>
      </w:tr>
      <w:tr>
        <w:tblPrEx>
          <w:tblCellMar>
            <w:top w:w="0" w:type="dxa"/>
            <w:left w:w="108" w:type="dxa"/>
            <w:bottom w:w="0" w:type="dxa"/>
            <w:right w:w="108" w:type="dxa"/>
          </w:tblCellMar>
        </w:tblPrEx>
        <w:trPr>
          <w:gridBefore w:val="1"/>
          <w:wBefore w:w="263" w:type="pct"/>
          <w:trHeight w:val="31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该项目属于常年性项目，主要保障执行案件、涉诉维稳等业务活动开展的经费支出，确保办案业务顺利开展。</w:t>
            </w: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Before w:val="1"/>
          <w:wBefore w:w="263" w:type="pct"/>
          <w:trHeight w:val="19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182.44</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182.44</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168.44</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92.33%</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gridBefore w:val="1"/>
          <w:wBefore w:w="263" w:type="pct"/>
          <w:trHeight w:val="24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182.44</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182.44</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168.44</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92.33%</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25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18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16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00"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657"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办理执行案件数</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案件数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3595</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18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执行业务部门运转数</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个</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涉诉维稳信访案件数</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150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案件数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160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24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执行案件结案百分比</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80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98</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0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辖区内涉诉信访维稳案件办理率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91</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执行案件平均执行天数</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65</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天</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63</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产出各项任务完成时间</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12</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67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确保当事人的权益得到保障，挽回当事人经济损失。</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维护社会稳定</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45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政风行风测评满意</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预算资金使用率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92.33</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285" w:hRule="atLeast"/>
          <w:jc w:val="center"/>
        </w:trPr>
        <w:tc>
          <w:tcPr>
            <w:tcW w:w="3675"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gridBefore w:val="1"/>
          <w:wBefore w:w="263" w:type="pct"/>
          <w:trHeight w:val="600"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项目自评总分100分，有效保障了执行案件办理、涉诉维稳、信访等工作。</w:t>
            </w:r>
          </w:p>
        </w:tc>
      </w:tr>
      <w:tr>
        <w:tblPrEx>
          <w:tblCellMar>
            <w:top w:w="0" w:type="dxa"/>
            <w:left w:w="108" w:type="dxa"/>
            <w:bottom w:w="0" w:type="dxa"/>
            <w:right w:w="108" w:type="dxa"/>
          </w:tblCellMar>
        </w:tblPrEx>
        <w:trPr>
          <w:gridBefore w:val="1"/>
          <w:wBefore w:w="263" w:type="pct"/>
          <w:trHeight w:val="570"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Before w:val="1"/>
          <w:wBefore w:w="263" w:type="pct"/>
          <w:trHeight w:val="630"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Before w:val="1"/>
          <w:wBefore w:w="263" w:type="pct"/>
          <w:trHeight w:val="285" w:hRule="atLeast"/>
          <w:jc w:val="center"/>
        </w:trPr>
        <w:tc>
          <w:tcPr>
            <w:tcW w:w="267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2061" w:type="pct"/>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57"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28" w:type="pct"/>
            <w:gridSpan w:val="4"/>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9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31"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gridBefore w:val="1"/>
          <w:wBefore w:w="263" w:type="pct"/>
          <w:trHeight w:val="904" w:hRule="atLeast"/>
          <w:jc w:val="center"/>
        </w:trPr>
        <w:tc>
          <w:tcPr>
            <w:tcW w:w="4736" w:type="pct"/>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Before w:val="1"/>
          <w:wBefore w:w="263" w:type="pct"/>
          <w:trHeight w:val="285"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51080023T000008459642-服装购置经费</w:t>
            </w:r>
          </w:p>
        </w:tc>
      </w:tr>
      <w:tr>
        <w:tblPrEx>
          <w:tblCellMar>
            <w:top w:w="0" w:type="dxa"/>
            <w:left w:w="108" w:type="dxa"/>
            <w:bottom w:w="0" w:type="dxa"/>
            <w:right w:w="108" w:type="dxa"/>
          </w:tblCellMar>
        </w:tblPrEx>
        <w:trPr>
          <w:gridBefore w:val="1"/>
          <w:wBefore w:w="263" w:type="pct"/>
          <w:trHeight w:val="514"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482" w:type="pct"/>
            <w:gridSpan w:val="2"/>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0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Before w:val="1"/>
          <w:wBefore w:w="263" w:type="pct"/>
          <w:trHeight w:val="709"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保障法院人员服装配备问题，规范着装</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采购发放服装，保障干警办案。</w:t>
            </w:r>
          </w:p>
        </w:tc>
      </w:tr>
      <w:tr>
        <w:tblPrEx>
          <w:tblCellMar>
            <w:top w:w="0" w:type="dxa"/>
            <w:left w:w="108" w:type="dxa"/>
            <w:bottom w:w="0" w:type="dxa"/>
            <w:right w:w="108" w:type="dxa"/>
          </w:tblCellMar>
        </w:tblPrEx>
        <w:trPr>
          <w:gridBefore w:val="1"/>
          <w:wBefore w:w="263" w:type="pct"/>
          <w:trHeight w:val="69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该项目属于常年性项目，主要购置服装，保障办案装备配到到位。</w:t>
            </w: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Before w:val="1"/>
          <w:wBefore w:w="263" w:type="pct"/>
          <w:trHeight w:val="34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gridBefore w:val="1"/>
          <w:wBefore w:w="263" w:type="pct"/>
          <w:trHeight w:val="39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16.50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09"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Before w:val="1"/>
          <w:wBefore w:w="263" w:type="pct"/>
          <w:trHeight w:val="679"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服装购买人数（新调入2人，新招考3人，司法辅助人员19人，法警45人）</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69</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69</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服装购买发放率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产出各项任务完成时间</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提高法院审判执行的严肃性和权威性</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服务对象满意度指标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干警满意度</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经济成本指标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预算资金使用率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285" w:hRule="atLeast"/>
          <w:jc w:val="center"/>
        </w:trPr>
        <w:tc>
          <w:tcPr>
            <w:tcW w:w="3675"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gridBefore w:val="1"/>
          <w:wBefore w:w="263" w:type="pct"/>
          <w:trHeight w:val="60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项目自评总分100分，及时购置发放服装，保障审判工作有序开展。</w:t>
            </w:r>
          </w:p>
        </w:tc>
      </w:tr>
      <w:tr>
        <w:tblPrEx>
          <w:tblCellMar>
            <w:top w:w="0" w:type="dxa"/>
            <w:left w:w="108" w:type="dxa"/>
            <w:bottom w:w="0" w:type="dxa"/>
            <w:right w:w="108" w:type="dxa"/>
          </w:tblCellMar>
        </w:tblPrEx>
        <w:trPr>
          <w:gridBefore w:val="1"/>
          <w:wBefore w:w="263" w:type="pct"/>
          <w:trHeight w:val="57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Before w:val="1"/>
          <w:wBefore w:w="263" w:type="pct"/>
          <w:trHeight w:val="63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Before w:val="1"/>
          <w:wBefore w:w="263" w:type="pct"/>
          <w:trHeight w:val="285" w:hRule="atLeast"/>
          <w:jc w:val="center"/>
        </w:trPr>
        <w:tc>
          <w:tcPr>
            <w:tcW w:w="267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2061" w:type="pct"/>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57"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28" w:type="pct"/>
            <w:gridSpan w:val="4"/>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9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31"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gridBefore w:val="1"/>
          <w:wBefore w:w="263" w:type="pct"/>
          <w:trHeight w:val="904" w:hRule="atLeast"/>
          <w:jc w:val="center"/>
        </w:trPr>
        <w:tc>
          <w:tcPr>
            <w:tcW w:w="4736" w:type="pct"/>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部门预算项目支出绩效自评表（2023年度）</w:t>
            </w:r>
          </w:p>
        </w:tc>
      </w:tr>
      <w:tr>
        <w:tblPrEx>
          <w:tblCellMar>
            <w:top w:w="0" w:type="dxa"/>
            <w:left w:w="108" w:type="dxa"/>
            <w:bottom w:w="0" w:type="dxa"/>
            <w:right w:w="108" w:type="dxa"/>
          </w:tblCellMar>
        </w:tblPrEx>
        <w:trPr>
          <w:gridBefore w:val="1"/>
          <w:wBefore w:w="263" w:type="pct"/>
          <w:trHeight w:val="285"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51080023T000008817187-非税收入超收奖励</w:t>
            </w:r>
          </w:p>
        </w:tc>
      </w:tr>
      <w:tr>
        <w:tblPrEx>
          <w:tblCellMar>
            <w:top w:w="0" w:type="dxa"/>
            <w:left w:w="108" w:type="dxa"/>
            <w:bottom w:w="0" w:type="dxa"/>
            <w:right w:w="108" w:type="dxa"/>
          </w:tblCellMar>
        </w:tblPrEx>
        <w:trPr>
          <w:gridBefore w:val="1"/>
          <w:wBefore w:w="263" w:type="pct"/>
          <w:trHeight w:val="514" w:hRule="atLeast"/>
          <w:jc w:val="center"/>
        </w:trPr>
        <w:tc>
          <w:tcPr>
            <w:tcW w:w="109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广元市利州区人民法院部门</w:t>
            </w:r>
          </w:p>
        </w:tc>
        <w:tc>
          <w:tcPr>
            <w:tcW w:w="482" w:type="pct"/>
            <w:gridSpan w:val="2"/>
            <w:tcBorders>
              <w:top w:val="nil"/>
              <w:left w:val="nil"/>
              <w:bottom w:val="nil"/>
              <w:right w:val="nil"/>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 （盖章）</w:t>
            </w:r>
          </w:p>
        </w:tc>
        <w:tc>
          <w:tcPr>
            <w:tcW w:w="106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广元市利州区人民法院</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项目基本情况</w:t>
            </w:r>
          </w:p>
        </w:tc>
        <w:tc>
          <w:tcPr>
            <w:tcW w:w="789"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1.项目年度目标完成情况</w:t>
            </w: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项目年度目标</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r>
      <w:tr>
        <w:tblPrEx>
          <w:tblCellMar>
            <w:top w:w="0" w:type="dxa"/>
            <w:left w:w="108" w:type="dxa"/>
            <w:bottom w:w="0" w:type="dxa"/>
            <w:right w:w="108" w:type="dxa"/>
          </w:tblCellMar>
        </w:tblPrEx>
        <w:trPr>
          <w:gridBefore w:val="1"/>
          <w:wBefore w:w="263" w:type="pct"/>
          <w:trHeight w:val="709"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2096" w:type="pct"/>
            <w:gridSpan w:val="12"/>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保障机关日常运行</w:t>
            </w:r>
          </w:p>
        </w:tc>
        <w:tc>
          <w:tcPr>
            <w:tcW w:w="1543"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严格规范支出，有力保障了法院机关正常运行。</w:t>
            </w:r>
          </w:p>
        </w:tc>
      </w:tr>
      <w:tr>
        <w:tblPrEx>
          <w:tblCellMar>
            <w:top w:w="0" w:type="dxa"/>
            <w:left w:w="108" w:type="dxa"/>
            <w:bottom w:w="0" w:type="dxa"/>
            <w:right w:w="108" w:type="dxa"/>
          </w:tblCellMar>
        </w:tblPrEx>
        <w:trPr>
          <w:gridBefore w:val="1"/>
          <w:wBefore w:w="263" w:type="pct"/>
          <w:trHeight w:val="694"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2.项目实施内容及过程概述</w:t>
            </w:r>
          </w:p>
        </w:tc>
        <w:tc>
          <w:tcPr>
            <w:tcW w:w="3640" w:type="pct"/>
            <w:gridSpan w:val="18"/>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该项目属于一次性项目，主要弥补办案经费不足部分，保障法院正常运行。</w:t>
            </w: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预算执行情况（10分）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年度预算数（万元）</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年初预算</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调整后预算数</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预算执行数</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原因</w:t>
            </w:r>
          </w:p>
        </w:tc>
      </w:tr>
      <w:tr>
        <w:tblPrEx>
          <w:tblCellMar>
            <w:top w:w="0" w:type="dxa"/>
            <w:left w:w="108" w:type="dxa"/>
            <w:bottom w:w="0" w:type="dxa"/>
            <w:right w:w="108" w:type="dxa"/>
          </w:tblCellMar>
        </w:tblPrEx>
        <w:trPr>
          <w:gridBefore w:val="1"/>
          <w:wBefore w:w="263" w:type="pct"/>
          <w:trHeight w:val="345"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总额</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w:t>
            </w:r>
          </w:p>
        </w:tc>
      </w:tr>
      <w:tr>
        <w:tblPrEx>
          <w:tblCellMar>
            <w:top w:w="0" w:type="dxa"/>
            <w:left w:w="108" w:type="dxa"/>
            <w:bottom w:w="0" w:type="dxa"/>
            <w:right w:w="108" w:type="dxa"/>
          </w:tblCellMar>
        </w:tblPrEx>
        <w:trPr>
          <w:gridBefore w:val="1"/>
          <w:wBefore w:w="263" w:type="pct"/>
          <w:trHeight w:val="39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其中：财政资金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09"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财政专户管理资金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60"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单位资金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0.00%</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710" w:type="pct"/>
            <w:gridSpan w:val="6"/>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631" w:type="pct"/>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Courier New" w:hAnsi="Courier New" w:cs="Courier New"/>
                <w:i/>
                <w:iCs/>
                <w:color w:val="000000"/>
                <w:kern w:val="0"/>
                <w:sz w:val="18"/>
                <w:szCs w:val="18"/>
              </w:rPr>
            </w:pPr>
          </w:p>
        </w:tc>
      </w:tr>
      <w:tr>
        <w:tblPrEx>
          <w:tblCellMar>
            <w:top w:w="0" w:type="dxa"/>
            <w:left w:w="108" w:type="dxa"/>
            <w:bottom w:w="0" w:type="dxa"/>
            <w:right w:w="108" w:type="dxa"/>
          </w:tblCellMar>
        </w:tblPrEx>
        <w:trPr>
          <w:gridBefore w:val="1"/>
          <w:wBefore w:w="263" w:type="pct"/>
          <w:trHeight w:val="454" w:hRule="atLeast"/>
          <w:jc w:val="center"/>
        </w:trPr>
        <w:tc>
          <w:tcPr>
            <w:tcW w:w="306" w:type="pct"/>
            <w:gridSpan w:val="2"/>
            <w:vMerge w:val="restart"/>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绩效指标（90分）</w:t>
            </w: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指标性质</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指标值</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度量单位</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完成值</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权重</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未完成原因分析</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保障时间</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月</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12</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60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338" w:hRule="atLeast"/>
          <w:jc w:val="center"/>
        </w:trPr>
        <w:tc>
          <w:tcPr>
            <w:tcW w:w="306" w:type="pct"/>
            <w:gridSpan w:val="2"/>
            <w:vMerge w:val="continue"/>
            <w:tcBorders>
              <w:top w:val="nil"/>
              <w:left w:val="single" w:color="000000" w:sz="4" w:space="0"/>
              <w:bottom w:val="single" w:color="000000" w:sz="4" w:space="0"/>
              <w:right w:val="single" w:color="000000" w:sz="4" w:space="0"/>
            </w:tcBorders>
            <w:vAlign w:val="center"/>
          </w:tcPr>
          <w:p>
            <w:pPr>
              <w:widowControl/>
              <w:suppressAutoHyphens w:val="0"/>
              <w:jc w:val="left"/>
              <w:rPr>
                <w:rFonts w:ascii="宋体" w:hAnsi="宋体" w:cs="宋体"/>
                <w:color w:val="000000"/>
                <w:kern w:val="0"/>
                <w:sz w:val="18"/>
                <w:szCs w:val="18"/>
              </w:rPr>
            </w:pPr>
          </w:p>
        </w:tc>
        <w:tc>
          <w:tcPr>
            <w:tcW w:w="7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657"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可持续影响指标</w:t>
            </w:r>
          </w:p>
        </w:tc>
        <w:tc>
          <w:tcPr>
            <w:tcW w:w="728" w:type="pct"/>
            <w:gridSpan w:val="4"/>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保障水平</w:t>
            </w:r>
          </w:p>
        </w:tc>
        <w:tc>
          <w:tcPr>
            <w:tcW w:w="19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定性</w:t>
            </w:r>
          </w:p>
        </w:tc>
        <w:tc>
          <w:tcPr>
            <w:tcW w:w="289"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优</w:t>
            </w:r>
          </w:p>
        </w:tc>
        <w:tc>
          <w:tcPr>
            <w:tcW w:w="228"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级</w:t>
            </w:r>
          </w:p>
        </w:tc>
        <w:tc>
          <w:tcPr>
            <w:tcW w:w="482"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color w:val="000000"/>
                <w:kern w:val="0"/>
                <w:sz w:val="16"/>
                <w:szCs w:val="16"/>
              </w:rPr>
            </w:pPr>
            <w:r>
              <w:rPr>
                <w:rFonts w:hint="eastAsia" w:ascii="微软雅黑" w:hAnsi="微软雅黑" w:eastAsia="微软雅黑" w:cs="宋体"/>
                <w:color w:val="000000"/>
                <w:kern w:val="0"/>
                <w:sz w:val="16"/>
                <w:szCs w:val="16"/>
              </w:rPr>
              <w:t>优</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　</w:t>
            </w:r>
          </w:p>
        </w:tc>
      </w:tr>
      <w:tr>
        <w:tblPrEx>
          <w:tblCellMar>
            <w:top w:w="0" w:type="dxa"/>
            <w:left w:w="108" w:type="dxa"/>
            <w:bottom w:w="0" w:type="dxa"/>
            <w:right w:w="108" w:type="dxa"/>
          </w:tblCellMar>
        </w:tblPrEx>
        <w:trPr>
          <w:gridBefore w:val="1"/>
          <w:wBefore w:w="263" w:type="pct"/>
          <w:trHeight w:val="285" w:hRule="atLeast"/>
          <w:jc w:val="center"/>
        </w:trPr>
        <w:tc>
          <w:tcPr>
            <w:tcW w:w="3675" w:type="pct"/>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228" w:type="pct"/>
            <w:tcBorders>
              <w:top w:val="nil"/>
              <w:left w:val="nil"/>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01" w:type="pct"/>
            <w:gridSpan w:val="2"/>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631" w:type="pct"/>
            <w:tcBorders>
              <w:top w:val="nil"/>
              <w:left w:val="nil"/>
              <w:bottom w:val="single" w:color="000000" w:sz="4" w:space="0"/>
              <w:right w:val="single" w:color="000000" w:sz="4" w:space="0"/>
            </w:tcBorders>
            <w:shd w:val="clear" w:color="auto" w:fill="auto"/>
            <w:vAlign w:val="center"/>
          </w:tcPr>
          <w:p>
            <w:pPr>
              <w:widowControl/>
              <w:suppressAutoHyphens w:val="0"/>
              <w:jc w:val="left"/>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gridBefore w:val="1"/>
          <w:wBefore w:w="263" w:type="pct"/>
          <w:trHeight w:val="60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评价结论</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项目自评总分100分，合理使用奖励资金，保障了法院正常运转。</w:t>
            </w:r>
          </w:p>
        </w:tc>
      </w:tr>
      <w:tr>
        <w:tblPrEx>
          <w:tblCellMar>
            <w:top w:w="0" w:type="dxa"/>
            <w:left w:w="108" w:type="dxa"/>
            <w:bottom w:w="0" w:type="dxa"/>
            <w:right w:w="108" w:type="dxa"/>
          </w:tblCellMar>
        </w:tblPrEx>
        <w:trPr>
          <w:gridBefore w:val="1"/>
          <w:wBefore w:w="263" w:type="pct"/>
          <w:trHeight w:val="57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存在问题</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Before w:val="1"/>
          <w:wBefore w:w="263" w:type="pct"/>
          <w:trHeight w:val="634" w:hRule="atLeast"/>
          <w:jc w:val="center"/>
        </w:trPr>
        <w:tc>
          <w:tcPr>
            <w:tcW w:w="306" w:type="pct"/>
            <w:gridSpan w:val="2"/>
            <w:tcBorders>
              <w:top w:val="nil"/>
              <w:left w:val="single" w:color="000000" w:sz="4" w:space="0"/>
              <w:bottom w:val="single" w:color="000000" w:sz="4" w:space="0"/>
              <w:right w:val="single" w:color="000000" w:sz="4" w:space="0"/>
            </w:tcBorders>
            <w:shd w:val="clear" w:color="auto" w:fill="auto"/>
            <w:vAlign w:val="center"/>
          </w:tcPr>
          <w:p>
            <w:pPr>
              <w:widowControl/>
              <w:suppressAutoHyphens w:val="0"/>
              <w:jc w:val="center"/>
              <w:rPr>
                <w:rFonts w:ascii="宋体" w:hAnsi="宋体" w:cs="宋体"/>
                <w:color w:val="000000"/>
                <w:kern w:val="0"/>
                <w:sz w:val="18"/>
                <w:szCs w:val="18"/>
              </w:rPr>
            </w:pPr>
            <w:r>
              <w:rPr>
                <w:rFonts w:hint="eastAsia" w:ascii="宋体" w:hAnsi="宋体" w:cs="宋体"/>
                <w:color w:val="000000"/>
                <w:kern w:val="0"/>
                <w:sz w:val="18"/>
                <w:szCs w:val="18"/>
              </w:rPr>
              <w:t>改进措施</w:t>
            </w:r>
          </w:p>
        </w:tc>
        <w:tc>
          <w:tcPr>
            <w:tcW w:w="4429" w:type="pct"/>
            <w:gridSpan w:val="2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微软雅黑" w:hAnsi="微软雅黑" w:eastAsia="微软雅黑" w:cs="宋体"/>
                <w:i/>
                <w:iCs/>
                <w:color w:val="000000"/>
                <w:kern w:val="0"/>
                <w:sz w:val="16"/>
                <w:szCs w:val="16"/>
              </w:rPr>
            </w:pPr>
            <w:r>
              <w:rPr>
                <w:rFonts w:hint="eastAsia" w:ascii="微软雅黑" w:hAnsi="微软雅黑" w:eastAsia="微软雅黑" w:cs="宋体"/>
                <w:i/>
                <w:iCs/>
                <w:color w:val="000000"/>
                <w:kern w:val="0"/>
                <w:sz w:val="16"/>
                <w:szCs w:val="16"/>
              </w:rPr>
              <w:t>无</w:t>
            </w:r>
          </w:p>
        </w:tc>
      </w:tr>
      <w:tr>
        <w:tblPrEx>
          <w:tblCellMar>
            <w:top w:w="0" w:type="dxa"/>
            <w:left w:w="108" w:type="dxa"/>
            <w:bottom w:w="0" w:type="dxa"/>
            <w:right w:w="108" w:type="dxa"/>
          </w:tblCellMar>
        </w:tblPrEx>
        <w:trPr>
          <w:gridBefore w:val="1"/>
          <w:wBefore w:w="263" w:type="pct"/>
          <w:trHeight w:val="285" w:hRule="atLeast"/>
          <w:jc w:val="center"/>
        </w:trPr>
        <w:tc>
          <w:tcPr>
            <w:tcW w:w="2675"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项目负责人：陈燕</w:t>
            </w:r>
          </w:p>
        </w:tc>
        <w:tc>
          <w:tcPr>
            <w:tcW w:w="2061" w:type="pct"/>
            <w:gridSpan w:val="10"/>
            <w:tcBorders>
              <w:top w:val="single" w:color="000000" w:sz="4" w:space="0"/>
              <w:left w:val="nil"/>
              <w:bottom w:val="single" w:color="000000" w:sz="4" w:space="0"/>
              <w:right w:val="single" w:color="000000" w:sz="4" w:space="0"/>
            </w:tcBorders>
            <w:shd w:val="clear" w:color="auto" w:fill="auto"/>
            <w:vAlign w:val="center"/>
          </w:tcPr>
          <w:p>
            <w:pPr>
              <w:widowControl/>
              <w:suppressAutoHyphens w:val="0"/>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财务负责人：陈述金</w:t>
            </w:r>
          </w:p>
        </w:tc>
      </w:tr>
      <w:tr>
        <w:tblPrEx>
          <w:tblCellMar>
            <w:top w:w="0" w:type="dxa"/>
            <w:left w:w="108" w:type="dxa"/>
            <w:bottom w:w="0" w:type="dxa"/>
            <w:right w:w="108" w:type="dxa"/>
          </w:tblCellMar>
        </w:tblPrEx>
        <w:trPr>
          <w:gridBefore w:val="1"/>
          <w:wBefore w:w="263" w:type="pct"/>
          <w:trHeight w:val="285" w:hRule="atLeast"/>
          <w:jc w:val="center"/>
        </w:trPr>
        <w:tc>
          <w:tcPr>
            <w:tcW w:w="306"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57"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728" w:type="pct"/>
            <w:gridSpan w:val="4"/>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19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89"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482"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28"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201" w:type="pct"/>
            <w:gridSpan w:val="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c>
          <w:tcPr>
            <w:tcW w:w="631" w:type="pct"/>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p>
        </w:tc>
      </w:tr>
      <w:tr>
        <w:tblPrEx>
          <w:tblCellMar>
            <w:top w:w="0" w:type="dxa"/>
            <w:left w:w="108" w:type="dxa"/>
            <w:bottom w:w="0" w:type="dxa"/>
            <w:right w:w="108" w:type="dxa"/>
          </w:tblCellMar>
        </w:tblPrEx>
        <w:trPr>
          <w:gridBefore w:val="1"/>
          <w:wBefore w:w="263" w:type="pct"/>
          <w:trHeight w:val="285" w:hRule="atLeast"/>
          <w:jc w:val="center"/>
        </w:trPr>
        <w:tc>
          <w:tcPr>
            <w:tcW w:w="4736" w:type="pct"/>
            <w:gridSpan w:val="2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1、报表说明</w:t>
            </w:r>
            <w:r>
              <w:rPr>
                <w:rFonts w:hint="eastAsia" w:ascii="宋体" w:hAnsi="宋体" w:cs="宋体"/>
                <w:kern w:val="0"/>
                <w:sz w:val="18"/>
                <w:szCs w:val="18"/>
                <w:lang w:eastAsia="zh-CN"/>
              </w:rPr>
              <w:t>：</w:t>
            </w:r>
            <w:r>
              <w:rPr>
                <w:rFonts w:hint="eastAsia" w:ascii="宋体" w:hAnsi="宋体" w:cs="宋体"/>
                <w:kern w:val="0"/>
                <w:sz w:val="18"/>
                <w:szCs w:val="18"/>
              </w:rPr>
              <w:t>该报表查询项目信息、绩效目标信息、预算及执行情况，用于预算单位查询导出开展项目自评。</w:t>
            </w:r>
          </w:p>
        </w:tc>
      </w:tr>
      <w:tr>
        <w:tblPrEx>
          <w:tblCellMar>
            <w:top w:w="0" w:type="dxa"/>
            <w:left w:w="108" w:type="dxa"/>
            <w:bottom w:w="0" w:type="dxa"/>
            <w:right w:w="108" w:type="dxa"/>
          </w:tblCellMar>
        </w:tblPrEx>
        <w:trPr>
          <w:gridBefore w:val="1"/>
          <w:wBefore w:w="263" w:type="pct"/>
          <w:trHeight w:val="285" w:hRule="atLeast"/>
          <w:jc w:val="center"/>
        </w:trPr>
        <w:tc>
          <w:tcPr>
            <w:tcW w:w="4736" w:type="pct"/>
            <w:gridSpan w:val="2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2、取数口径：部门项目绩效目标表信息，包括年初预算、追加预算、结转预算和调整预算的绩效目标（以项目的最终绩效目标为准）。</w:t>
            </w:r>
          </w:p>
        </w:tc>
      </w:tr>
      <w:tr>
        <w:tblPrEx>
          <w:tblCellMar>
            <w:top w:w="0" w:type="dxa"/>
            <w:left w:w="108" w:type="dxa"/>
            <w:bottom w:w="0" w:type="dxa"/>
            <w:right w:w="108" w:type="dxa"/>
          </w:tblCellMar>
        </w:tblPrEx>
        <w:trPr>
          <w:gridBefore w:val="1"/>
          <w:wBefore w:w="263" w:type="pct"/>
          <w:trHeight w:val="285" w:hRule="atLeast"/>
          <w:jc w:val="center"/>
        </w:trPr>
        <w:tc>
          <w:tcPr>
            <w:tcW w:w="4736" w:type="pct"/>
            <w:gridSpan w:val="2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适用地区：全省范围</w:t>
            </w:r>
          </w:p>
        </w:tc>
      </w:tr>
      <w:tr>
        <w:tblPrEx>
          <w:tblCellMar>
            <w:top w:w="0" w:type="dxa"/>
            <w:left w:w="108" w:type="dxa"/>
            <w:bottom w:w="0" w:type="dxa"/>
            <w:right w:w="108" w:type="dxa"/>
          </w:tblCellMar>
        </w:tblPrEx>
        <w:trPr>
          <w:gridBefore w:val="1"/>
          <w:wBefore w:w="263" w:type="pct"/>
          <w:trHeight w:val="285" w:hRule="atLeast"/>
          <w:jc w:val="center"/>
        </w:trPr>
        <w:tc>
          <w:tcPr>
            <w:tcW w:w="4736" w:type="pct"/>
            <w:gridSpan w:val="22"/>
            <w:tcBorders>
              <w:top w:val="nil"/>
              <w:left w:val="nil"/>
              <w:bottom w:val="nil"/>
              <w:right w:val="nil"/>
            </w:tcBorders>
            <w:shd w:val="clear" w:color="auto" w:fill="auto"/>
            <w:vAlign w:val="center"/>
          </w:tcPr>
          <w:p>
            <w:pPr>
              <w:widowControl/>
              <w:suppressAutoHyphens w:val="0"/>
              <w:jc w:val="left"/>
              <w:rPr>
                <w:rFonts w:ascii="宋体" w:hAnsi="宋体" w:cs="宋体"/>
                <w:kern w:val="0"/>
                <w:sz w:val="18"/>
                <w:szCs w:val="18"/>
              </w:rPr>
            </w:pPr>
            <w:r>
              <w:rPr>
                <w:rFonts w:hint="eastAsia" w:ascii="宋体" w:hAnsi="宋体" w:cs="宋体"/>
                <w:kern w:val="0"/>
                <w:sz w:val="18"/>
                <w:szCs w:val="18"/>
              </w:rPr>
              <w:t>适用用户：部门用户、单位用户</w:t>
            </w:r>
          </w:p>
        </w:tc>
      </w:tr>
    </w:tbl>
    <w:p>
      <w:pPr>
        <w:spacing w:line="600" w:lineRule="exact"/>
        <w:jc w:val="center"/>
        <w:outlineLvl w:val="0"/>
        <w:rPr>
          <w:rFonts w:ascii="黑体" w:hAnsi="黑体" w:eastAsia="黑体"/>
          <w:sz w:val="44"/>
          <w:szCs w:val="44"/>
        </w:rPr>
      </w:pPr>
    </w:p>
    <w:p>
      <w:pPr>
        <w:widowControl/>
        <w:suppressAutoHyphens w:val="0"/>
        <w:jc w:val="left"/>
        <w:rPr>
          <w:rFonts w:ascii="黑体" w:hAnsi="黑体" w:eastAsia="黑体"/>
          <w:sz w:val="44"/>
          <w:szCs w:val="44"/>
        </w:rPr>
      </w:pPr>
      <w:r>
        <w:rPr>
          <w:rFonts w:ascii="黑体" w:hAnsi="黑体" w:eastAsia="黑体"/>
          <w:sz w:val="44"/>
          <w:szCs w:val="44"/>
        </w:rPr>
        <w:br w:type="page"/>
      </w:r>
    </w:p>
    <w:p>
      <w:pPr>
        <w:spacing w:line="600" w:lineRule="exact"/>
        <w:jc w:val="center"/>
        <w:outlineLvl w:val="0"/>
        <w:rPr>
          <w:rFonts w:ascii="仿宋" w:hAnsi="仿宋" w:eastAsia="仿宋"/>
        </w:rPr>
      </w:pPr>
      <w:r>
        <w:rPr>
          <w:rFonts w:hint="eastAsia" w:ascii="黑体" w:hAnsi="黑体" w:eastAsia="黑体"/>
          <w:sz w:val="44"/>
          <w:szCs w:val="44"/>
        </w:rPr>
        <w:t>第</w:t>
      </w:r>
      <w:r>
        <w:rPr>
          <w:rStyle w:val="21"/>
          <w:rFonts w:hint="eastAsia" w:ascii="黑体" w:hAnsi="黑体" w:eastAsia="黑体"/>
          <w:b w:val="0"/>
        </w:rPr>
        <w:t>五部分 附表</w:t>
      </w:r>
    </w:p>
    <w:p>
      <w:pPr>
        <w:pStyle w:val="4"/>
        <w:rPr>
          <w:rFonts w:ascii="仿宋" w:hAnsi="仿宋" w:eastAsia="仿宋"/>
        </w:rPr>
      </w:pPr>
      <w:r>
        <w:rPr>
          <w:rFonts w:hint="eastAsia" w:ascii="仿宋" w:hAnsi="仿宋" w:eastAsia="仿宋"/>
          <w:b w:val="0"/>
        </w:rPr>
        <w:t>一、收</w:t>
      </w:r>
      <w:r>
        <w:rPr>
          <w:rStyle w:val="22"/>
          <w:rFonts w:hint="eastAsia" w:ascii="仿宋" w:hAnsi="仿宋" w:eastAsia="仿宋"/>
          <w:b w:val="0"/>
          <w:bCs w:val="0"/>
        </w:rPr>
        <w:t>入支出决算总表</w:t>
      </w:r>
    </w:p>
    <w:p>
      <w:pPr>
        <w:pStyle w:val="4"/>
        <w:rPr>
          <w:rFonts w:ascii="仿宋" w:hAnsi="仿宋" w:eastAsia="仿宋"/>
        </w:rPr>
      </w:pPr>
      <w:r>
        <w:rPr>
          <w:rFonts w:hint="eastAsia" w:ascii="仿宋" w:hAnsi="仿宋" w:eastAsia="仿宋"/>
          <w:b w:val="0"/>
        </w:rPr>
        <w:t>二、收</w:t>
      </w:r>
      <w:r>
        <w:rPr>
          <w:rStyle w:val="22"/>
          <w:rFonts w:hint="eastAsia" w:ascii="仿宋" w:hAnsi="仿宋" w:eastAsia="仿宋"/>
          <w:b w:val="0"/>
          <w:bCs w:val="0"/>
        </w:rPr>
        <w:t>入决算表</w:t>
      </w:r>
    </w:p>
    <w:p>
      <w:pPr>
        <w:pStyle w:val="4"/>
        <w:rPr>
          <w:rFonts w:ascii="仿宋" w:hAnsi="仿宋" w:eastAsia="仿宋"/>
        </w:rPr>
      </w:pPr>
      <w:r>
        <w:rPr>
          <w:rStyle w:val="22"/>
          <w:rFonts w:hint="eastAsia" w:ascii="仿宋" w:hAnsi="仿宋" w:eastAsia="仿宋"/>
          <w:b w:val="0"/>
          <w:bCs w:val="0"/>
        </w:rPr>
        <w:t>三、</w:t>
      </w:r>
      <w:r>
        <w:rPr>
          <w:rFonts w:hint="eastAsia" w:ascii="仿宋" w:hAnsi="仿宋" w:eastAsia="仿宋"/>
          <w:b w:val="0"/>
        </w:rPr>
        <w:t>支</w:t>
      </w:r>
      <w:r>
        <w:rPr>
          <w:rStyle w:val="22"/>
          <w:rFonts w:hint="eastAsia" w:ascii="仿宋" w:hAnsi="仿宋" w:eastAsia="仿宋"/>
          <w:b w:val="0"/>
          <w:bCs w:val="0"/>
        </w:rPr>
        <w:t>出决算表</w:t>
      </w:r>
    </w:p>
    <w:p>
      <w:pPr>
        <w:pStyle w:val="4"/>
        <w:rPr>
          <w:rFonts w:ascii="仿宋" w:hAnsi="仿宋" w:eastAsia="仿宋"/>
          <w:b w:val="0"/>
        </w:rPr>
      </w:pPr>
      <w:r>
        <w:rPr>
          <w:rStyle w:val="22"/>
          <w:rFonts w:hint="eastAsia" w:ascii="仿宋" w:hAnsi="仿宋" w:eastAsia="仿宋"/>
          <w:b w:val="0"/>
          <w:bCs w:val="0"/>
        </w:rPr>
        <w:t>四、</w:t>
      </w:r>
      <w:r>
        <w:rPr>
          <w:rFonts w:hint="eastAsia" w:ascii="仿宋" w:hAnsi="仿宋" w:eastAsia="仿宋"/>
          <w:b w:val="0"/>
        </w:rPr>
        <w:t>财</w:t>
      </w:r>
      <w:r>
        <w:rPr>
          <w:rStyle w:val="22"/>
          <w:rFonts w:hint="eastAsia" w:ascii="仿宋" w:hAnsi="仿宋" w:eastAsia="仿宋"/>
          <w:b w:val="0"/>
          <w:bCs w:val="0"/>
        </w:rPr>
        <w:t>政拨款收入支出决算总表</w:t>
      </w:r>
    </w:p>
    <w:p>
      <w:pPr>
        <w:pStyle w:val="4"/>
        <w:rPr>
          <w:rStyle w:val="22"/>
          <w:rFonts w:ascii="仿宋" w:hAnsi="仿宋" w:eastAsia="仿宋"/>
          <w:b w:val="0"/>
          <w:bCs w:val="0"/>
        </w:rPr>
      </w:pPr>
      <w:r>
        <w:rPr>
          <w:rStyle w:val="22"/>
          <w:rFonts w:hint="eastAsia" w:ascii="仿宋" w:hAnsi="仿宋" w:eastAsia="仿宋"/>
          <w:b w:val="0"/>
          <w:bCs w:val="0"/>
        </w:rPr>
        <w:t>五、</w:t>
      </w:r>
      <w:r>
        <w:rPr>
          <w:rFonts w:hint="eastAsia" w:ascii="仿宋" w:hAnsi="仿宋" w:eastAsia="仿宋"/>
          <w:b w:val="0"/>
        </w:rPr>
        <w:t>财</w:t>
      </w:r>
      <w:r>
        <w:rPr>
          <w:rStyle w:val="22"/>
          <w:rFonts w:hint="eastAsia" w:ascii="仿宋" w:hAnsi="仿宋" w:eastAsia="仿宋"/>
          <w:b w:val="0"/>
          <w:bCs w:val="0"/>
        </w:rPr>
        <w:t>政拨款支出决算明细表</w:t>
      </w:r>
    </w:p>
    <w:p>
      <w:pPr>
        <w:pStyle w:val="4"/>
        <w:rPr>
          <w:rFonts w:ascii="仿宋" w:hAnsi="仿宋" w:eastAsia="仿宋"/>
        </w:rPr>
      </w:pPr>
      <w:r>
        <w:rPr>
          <w:rStyle w:val="22"/>
          <w:rFonts w:hint="eastAsia" w:ascii="仿宋" w:hAnsi="仿宋" w:eastAsia="仿宋"/>
          <w:b w:val="0"/>
          <w:bCs w:val="0"/>
        </w:rPr>
        <w:t>六、</w:t>
      </w:r>
      <w:r>
        <w:rPr>
          <w:rFonts w:hint="eastAsia" w:ascii="仿宋" w:hAnsi="仿宋" w:eastAsia="仿宋"/>
          <w:b w:val="0"/>
        </w:rPr>
        <w:t>一</w:t>
      </w:r>
      <w:r>
        <w:rPr>
          <w:rStyle w:val="22"/>
          <w:rFonts w:hint="eastAsia" w:ascii="仿宋" w:hAnsi="仿宋" w:eastAsia="仿宋"/>
          <w:b w:val="0"/>
          <w:bCs w:val="0"/>
        </w:rPr>
        <w:t>般公共预算财政拨款支出决算表</w:t>
      </w:r>
    </w:p>
    <w:p>
      <w:pPr>
        <w:pStyle w:val="4"/>
        <w:rPr>
          <w:rFonts w:ascii="仿宋" w:hAnsi="仿宋" w:eastAsia="仿宋"/>
        </w:rPr>
      </w:pPr>
      <w:r>
        <w:rPr>
          <w:rStyle w:val="22"/>
          <w:rFonts w:hint="eastAsia" w:ascii="仿宋" w:hAnsi="仿宋" w:eastAsia="仿宋"/>
          <w:b w:val="0"/>
          <w:bCs w:val="0"/>
        </w:rPr>
        <w:t>七、</w:t>
      </w:r>
      <w:r>
        <w:rPr>
          <w:rFonts w:hint="eastAsia" w:ascii="仿宋" w:hAnsi="仿宋" w:eastAsia="仿宋"/>
          <w:b w:val="0"/>
        </w:rPr>
        <w:t>一</w:t>
      </w:r>
      <w:r>
        <w:rPr>
          <w:rStyle w:val="22"/>
          <w:rFonts w:hint="eastAsia" w:ascii="仿宋" w:hAnsi="仿宋" w:eastAsia="仿宋"/>
          <w:b w:val="0"/>
          <w:bCs w:val="0"/>
        </w:rPr>
        <w:t>般公共预算财政拨款支出决算明细表</w:t>
      </w:r>
    </w:p>
    <w:p>
      <w:pPr>
        <w:pStyle w:val="4"/>
        <w:rPr>
          <w:rFonts w:ascii="仿宋" w:hAnsi="仿宋" w:eastAsia="仿宋"/>
        </w:rPr>
      </w:pPr>
      <w:r>
        <w:rPr>
          <w:rStyle w:val="22"/>
          <w:rFonts w:hint="eastAsia" w:ascii="仿宋" w:hAnsi="仿宋" w:eastAsia="仿宋"/>
          <w:b w:val="0"/>
          <w:bCs w:val="0"/>
        </w:rPr>
        <w:t>八、</w:t>
      </w:r>
      <w:r>
        <w:rPr>
          <w:rFonts w:hint="eastAsia" w:ascii="仿宋" w:hAnsi="仿宋" w:eastAsia="仿宋"/>
          <w:b w:val="0"/>
        </w:rPr>
        <w:t>一</w:t>
      </w:r>
      <w:r>
        <w:rPr>
          <w:rStyle w:val="22"/>
          <w:rFonts w:hint="eastAsia" w:ascii="仿宋" w:hAnsi="仿宋" w:eastAsia="仿宋"/>
          <w:b w:val="0"/>
          <w:bCs w:val="0"/>
        </w:rPr>
        <w:t>般公共预算财政拨款基本支出决算表</w:t>
      </w:r>
    </w:p>
    <w:p>
      <w:pPr>
        <w:pStyle w:val="4"/>
        <w:rPr>
          <w:rFonts w:ascii="仿宋" w:hAnsi="仿宋" w:eastAsia="仿宋"/>
        </w:rPr>
      </w:pPr>
      <w:r>
        <w:rPr>
          <w:rStyle w:val="22"/>
          <w:rFonts w:hint="eastAsia" w:ascii="仿宋" w:hAnsi="仿宋" w:eastAsia="仿宋"/>
          <w:b w:val="0"/>
          <w:bCs w:val="0"/>
        </w:rPr>
        <w:t>九、</w:t>
      </w:r>
      <w:r>
        <w:rPr>
          <w:rFonts w:hint="eastAsia" w:ascii="仿宋" w:hAnsi="仿宋" w:eastAsia="仿宋"/>
          <w:b w:val="0"/>
        </w:rPr>
        <w:t>一</w:t>
      </w:r>
      <w:r>
        <w:rPr>
          <w:rStyle w:val="22"/>
          <w:rFonts w:hint="eastAsia" w:ascii="仿宋" w:hAnsi="仿宋" w:eastAsia="仿宋"/>
          <w:b w:val="0"/>
          <w:bCs w:val="0"/>
        </w:rPr>
        <w:t>般公共预算财政拨款项目支出决算表</w:t>
      </w:r>
    </w:p>
    <w:p>
      <w:pPr>
        <w:pStyle w:val="4"/>
        <w:rPr>
          <w:rFonts w:ascii="仿宋" w:hAnsi="仿宋" w:eastAsia="仿宋"/>
        </w:rPr>
      </w:pPr>
      <w:r>
        <w:rPr>
          <w:rStyle w:val="22"/>
          <w:rFonts w:hint="eastAsia" w:ascii="仿宋" w:hAnsi="仿宋" w:eastAsia="仿宋"/>
          <w:b w:val="0"/>
          <w:bCs w:val="0"/>
        </w:rPr>
        <w:t>十、</w:t>
      </w:r>
      <w:r>
        <w:rPr>
          <w:rFonts w:hint="eastAsia" w:ascii="仿宋" w:hAnsi="仿宋" w:eastAsia="仿宋"/>
          <w:b w:val="0"/>
        </w:rPr>
        <w:t>政</w:t>
      </w:r>
      <w:r>
        <w:rPr>
          <w:rStyle w:val="22"/>
          <w:rFonts w:hint="eastAsia" w:ascii="仿宋" w:hAnsi="仿宋" w:eastAsia="仿宋"/>
          <w:b w:val="0"/>
          <w:bCs w:val="0"/>
        </w:rPr>
        <w:t>府性基金预算财政拨款收入支出决算表</w:t>
      </w:r>
    </w:p>
    <w:p>
      <w:pPr>
        <w:pStyle w:val="4"/>
        <w:rPr>
          <w:rFonts w:ascii="仿宋" w:hAnsi="仿宋" w:eastAsia="仿宋"/>
        </w:rPr>
      </w:pPr>
      <w:r>
        <w:rPr>
          <w:rStyle w:val="22"/>
          <w:rFonts w:hint="eastAsia" w:ascii="仿宋" w:hAnsi="仿宋" w:eastAsia="仿宋"/>
          <w:b w:val="0"/>
          <w:bCs w:val="0"/>
        </w:rPr>
        <w:t>十一、</w:t>
      </w:r>
      <w:r>
        <w:rPr>
          <w:rFonts w:hint="eastAsia" w:ascii="仿宋" w:hAnsi="仿宋" w:eastAsia="仿宋"/>
          <w:b w:val="0"/>
        </w:rPr>
        <w:t>国</w:t>
      </w:r>
      <w:r>
        <w:rPr>
          <w:rStyle w:val="22"/>
          <w:rFonts w:hint="eastAsia" w:ascii="仿宋" w:hAnsi="仿宋" w:eastAsia="仿宋"/>
          <w:b w:val="0"/>
          <w:bCs w:val="0"/>
        </w:rPr>
        <w:t>有资本经营预算财政拨款收入支出决算表</w:t>
      </w:r>
    </w:p>
    <w:p>
      <w:pPr>
        <w:pStyle w:val="4"/>
        <w:rPr>
          <w:rFonts w:ascii="仿宋" w:hAnsi="仿宋" w:eastAsia="仿宋"/>
        </w:rPr>
      </w:pPr>
      <w:r>
        <w:rPr>
          <w:rStyle w:val="22"/>
          <w:rFonts w:hint="eastAsia" w:ascii="仿宋" w:hAnsi="仿宋" w:eastAsia="仿宋"/>
          <w:b w:val="0"/>
          <w:bCs w:val="0"/>
        </w:rPr>
        <w:t>十二、国有资本经营预算财政拨款支出决算表</w:t>
      </w:r>
    </w:p>
    <w:p>
      <w:pPr>
        <w:pStyle w:val="4"/>
        <w:rPr>
          <w:rFonts w:eastAsia="仿宋"/>
        </w:rPr>
      </w:pPr>
      <w:r>
        <w:rPr>
          <w:rStyle w:val="22"/>
          <w:rFonts w:hint="eastAsia" w:ascii="仿宋" w:hAnsi="仿宋" w:eastAsia="仿宋"/>
          <w:b w:val="0"/>
          <w:bCs w:val="0"/>
        </w:rPr>
        <w:t>十三、财政拨款“三公”经费支出决算表</w:t>
      </w:r>
    </w:p>
    <w:p/>
    <w:sectPr>
      <w:footerReference r:id="rId3" w:type="default"/>
      <w:pgSz w:w="11906" w:h="16838"/>
      <w:pgMar w:top="1440" w:right="1800" w:bottom="1440" w:left="1800" w:header="720" w:footer="720"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Liberation Sans">
    <w:altName w:val="华文中宋"/>
    <w:panose1 w:val="00000000000000000000"/>
    <w:charset w:val="00"/>
    <w:family w:val="swiss"/>
    <w:pitch w:val="default"/>
    <w:sig w:usb0="00000000" w:usb1="00000000" w:usb2="00000000" w:usb3="00000000" w:csb0="00040001" w:csb1="00000000"/>
  </w:font>
  <w:font w:name="Noto Sans CJK SC Regular">
    <w:panose1 w:val="020B0500000000000000"/>
    <w:charset w:val="86"/>
    <w:family w:val="auto"/>
    <w:pitch w:val="default"/>
    <w:sig w:usb0="30000003" w:usb1="2BDF3C10" w:usb2="00000016" w:usb3="00000000" w:csb0="602E0107" w:csb1="00000000"/>
  </w:font>
  <w:font w:name="??">
    <w:altName w:val="Times New Roman"/>
    <w:panose1 w:val="00000000000000000000"/>
    <w:charset w:val="00"/>
    <w:family w:val="roman"/>
    <w:pitch w:val="default"/>
    <w:sig w:usb0="00000000" w:usb1="00000000" w:usb2="00000000"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altName w:val="宋体"/>
    <w:panose1 w:val="02010609060101010101"/>
    <w:charset w:val="00"/>
    <w:family w:val="modern"/>
    <w:pitch w:val="default"/>
    <w:sig w:usb0="00000000" w:usb1="00000000" w:usb2="00000016" w:usb3="00000000" w:csb0="00040001" w:csb1="00000000"/>
  </w:font>
  <w:font w:name="微软雅黑">
    <w:altName w:val="黑体"/>
    <w:panose1 w:val="020B0503020204020204"/>
    <w:charset w:val="00"/>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true"/>
  <w:embedTrueTypeFonts/>
  <w:saveSubsetFonts/>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isplayHorizontalDrawingGridEvery w:val="0"/>
  <w:displayVerticalDrawingGridEvery w:val="0"/>
  <w:doNotUseMarginsForDrawingGridOrigin w:val="true"/>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172A27"/>
    <w:rsid w:val="00013E05"/>
    <w:rsid w:val="00125EA5"/>
    <w:rsid w:val="002807AF"/>
    <w:rsid w:val="002C5DB7"/>
    <w:rsid w:val="004B1431"/>
    <w:rsid w:val="0056707B"/>
    <w:rsid w:val="005C68EC"/>
    <w:rsid w:val="00636930"/>
    <w:rsid w:val="00666115"/>
    <w:rsid w:val="00674960"/>
    <w:rsid w:val="00674DF7"/>
    <w:rsid w:val="006E691C"/>
    <w:rsid w:val="007450F8"/>
    <w:rsid w:val="00751D81"/>
    <w:rsid w:val="00781CD4"/>
    <w:rsid w:val="00796C2C"/>
    <w:rsid w:val="007A1515"/>
    <w:rsid w:val="007D0DBE"/>
    <w:rsid w:val="007E3A6F"/>
    <w:rsid w:val="007E627A"/>
    <w:rsid w:val="00911ED8"/>
    <w:rsid w:val="009651A4"/>
    <w:rsid w:val="009F422D"/>
    <w:rsid w:val="00A55987"/>
    <w:rsid w:val="00A869FC"/>
    <w:rsid w:val="00AB28F3"/>
    <w:rsid w:val="00B43E69"/>
    <w:rsid w:val="00C3649E"/>
    <w:rsid w:val="00CF19D4"/>
    <w:rsid w:val="00D94F1A"/>
    <w:rsid w:val="00E5387F"/>
    <w:rsid w:val="00F15C68"/>
    <w:rsid w:val="00F570ED"/>
    <w:rsid w:val="00F83086"/>
    <w:rsid w:val="00F849D5"/>
    <w:rsid w:val="0B9A5F32"/>
    <w:rsid w:val="240B7F59"/>
    <w:rsid w:val="27F59F5C"/>
    <w:rsid w:val="3DDFD299"/>
    <w:rsid w:val="484A1B4A"/>
    <w:rsid w:val="52025153"/>
    <w:rsid w:val="5DFD5B17"/>
    <w:rsid w:val="685341AC"/>
    <w:rsid w:val="7BFFE41D"/>
    <w:rsid w:val="7CB17E02"/>
    <w:rsid w:val="7EB37C5E"/>
    <w:rsid w:val="BF5FB376"/>
    <w:rsid w:val="CBFE919C"/>
    <w:rsid w:val="DE6DA011"/>
    <w:rsid w:val="EDF20E04"/>
    <w:rsid w:val="F375EAB6"/>
    <w:rsid w:val="F6FF4A73"/>
    <w:rsid w:val="FF3F0326"/>
    <w:rsid w:val="FF5FD7E0"/>
    <w:rsid w:val="FF8B5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3">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
    <w:qFormat/>
    <w:uiPriority w:val="9"/>
    <w:pPr>
      <w:keepNext/>
      <w:keepLines/>
      <w:spacing w:before="260" w:after="260" w:line="416" w:lineRule="auto"/>
      <w:outlineLvl w:val="1"/>
    </w:pPr>
    <w:rPr>
      <w:rFonts w:ascii="Cambria" w:hAnsi="Cambria"/>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52"/>
    <w:qFormat/>
    <w:uiPriority w:val="99"/>
    <w:pPr>
      <w:spacing w:after="140" w:line="276" w:lineRule="auto"/>
    </w:pPr>
  </w:style>
  <w:style w:type="paragraph" w:styleId="5">
    <w:name w:val="caption"/>
    <w:basedOn w:val="1"/>
    <w:next w:val="1"/>
    <w:qFormat/>
    <w:uiPriority w:val="0"/>
    <w:pPr>
      <w:suppressLineNumbers/>
      <w:spacing w:before="120" w:after="120"/>
    </w:pPr>
    <w:rPr>
      <w:i/>
      <w:iCs/>
      <w:sz w:val="24"/>
    </w:rPr>
  </w:style>
  <w:style w:type="paragraph" w:styleId="6">
    <w:name w:val="index 6"/>
    <w:basedOn w:val="1"/>
    <w:next w:val="1"/>
    <w:qFormat/>
    <w:uiPriority w:val="0"/>
    <w:pPr>
      <w:ind w:left="2100"/>
      <w:jc w:val="center"/>
    </w:pPr>
  </w:style>
  <w:style w:type="paragraph" w:styleId="7">
    <w:name w:val="Body Text Indent"/>
    <w:basedOn w:val="1"/>
    <w:next w:val="8"/>
    <w:qFormat/>
    <w:uiPriority w:val="0"/>
    <w:pPr>
      <w:spacing w:after="120"/>
      <w:ind w:left="200" w:leftChars="200"/>
    </w:pPr>
    <w:rPr>
      <w:rFonts w:ascii="仿宋_GB2312"/>
      <w:szCs w:val="32"/>
    </w:rPr>
  </w:style>
  <w:style w:type="paragraph" w:styleId="8">
    <w:name w:val="Body Text First Indent 2"/>
    <w:basedOn w:val="7"/>
    <w:next w:val="6"/>
    <w:unhideWhenUsed/>
    <w:qFormat/>
    <w:uiPriority w:val="99"/>
    <w:pPr>
      <w:ind w:firstLine="420" w:firstLineChars="200"/>
    </w:pPr>
  </w:style>
  <w:style w:type="paragraph" w:styleId="9">
    <w:name w:val="Balloon Text"/>
    <w:basedOn w:val="1"/>
    <w:link w:val="30"/>
    <w:qFormat/>
    <w:uiPriority w:val="0"/>
    <w:rPr>
      <w:sz w:val="18"/>
      <w:szCs w:val="18"/>
    </w:rPr>
  </w:style>
  <w:style w:type="paragraph" w:styleId="10">
    <w:name w:val="footer"/>
    <w:basedOn w:val="1"/>
    <w:link w:val="29"/>
    <w:qFormat/>
    <w:uiPriority w:val="0"/>
    <w:pPr>
      <w:tabs>
        <w:tab w:val="center" w:pos="4153"/>
        <w:tab w:val="right" w:pos="8306"/>
      </w:tabs>
      <w:snapToGrid w:val="0"/>
      <w:jc w:val="left"/>
    </w:pPr>
    <w:rPr>
      <w:sz w:val="18"/>
      <w:szCs w:val="18"/>
    </w:rPr>
  </w:style>
  <w:style w:type="paragraph" w:styleId="11">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List"/>
    <w:basedOn w:val="2"/>
    <w:qFormat/>
    <w:uiPriority w:val="0"/>
  </w:style>
  <w:style w:type="paragraph" w:styleId="14">
    <w:name w:val="footnote text"/>
    <w:basedOn w:val="1"/>
    <w:next w:val="8"/>
    <w:semiHidden/>
    <w:qFormat/>
    <w:uiPriority w:val="0"/>
    <w:pPr>
      <w:snapToGrid w:val="0"/>
      <w:jc w:val="left"/>
    </w:pPr>
    <w:rPr>
      <w:sz w:val="18"/>
      <w:szCs w:val="18"/>
    </w:rPr>
  </w:style>
  <w:style w:type="paragraph" w:styleId="15">
    <w:name w:val="toc 2"/>
    <w:basedOn w:val="1"/>
    <w:next w:val="1"/>
    <w:unhideWhenUsed/>
    <w:qFormat/>
    <w:uiPriority w:val="39"/>
    <w:pPr>
      <w:tabs>
        <w:tab w:val="right" w:leader="dot" w:pos="8296"/>
      </w:tabs>
      <w:ind w:left="420" w:leftChars="200"/>
    </w:pPr>
  </w:style>
  <w:style w:type="character" w:styleId="18">
    <w:name w:val="Strong"/>
    <w:qFormat/>
    <w:uiPriority w:val="99"/>
    <w:rPr>
      <w:b/>
    </w:rPr>
  </w:style>
  <w:style w:type="character" w:styleId="19">
    <w:name w:val="FollowedHyperlink"/>
    <w:unhideWhenUsed/>
    <w:qFormat/>
    <w:uiPriority w:val="99"/>
    <w:rPr>
      <w:color w:val="800080"/>
      <w:u w:val="single"/>
    </w:rPr>
  </w:style>
  <w:style w:type="character" w:styleId="20">
    <w:name w:val="Hyperlink"/>
    <w:unhideWhenUsed/>
    <w:qFormat/>
    <w:uiPriority w:val="99"/>
    <w:rPr>
      <w:color w:val="0000FF"/>
      <w:u w:val="single"/>
    </w:rPr>
  </w:style>
  <w:style w:type="character" w:customStyle="1" w:styleId="21">
    <w:name w:val="标题 1 Char"/>
    <w:link w:val="3"/>
    <w:qFormat/>
    <w:uiPriority w:val="9"/>
    <w:rPr>
      <w:b/>
      <w:bCs/>
      <w:kern w:val="44"/>
      <w:sz w:val="44"/>
      <w:szCs w:val="44"/>
    </w:rPr>
  </w:style>
  <w:style w:type="character" w:customStyle="1" w:styleId="22">
    <w:name w:val="标题 2 Char"/>
    <w:link w:val="4"/>
    <w:qFormat/>
    <w:uiPriority w:val="9"/>
    <w:rPr>
      <w:rFonts w:ascii="Cambria" w:hAnsi="Cambria" w:eastAsia="宋体" w:cs="Times New Roman"/>
      <w:b/>
      <w:bCs/>
      <w:sz w:val="32"/>
      <w:szCs w:val="32"/>
    </w:rPr>
  </w:style>
  <w:style w:type="character" w:customStyle="1" w:styleId="23">
    <w:name w:val="默认段落字体1"/>
    <w:qFormat/>
    <w:uiPriority w:val="0"/>
  </w:style>
  <w:style w:type="paragraph" w:customStyle="1" w:styleId="24">
    <w:name w:val="Heading"/>
    <w:basedOn w:val="1"/>
    <w:next w:val="2"/>
    <w:qFormat/>
    <w:uiPriority w:val="0"/>
    <w:pPr>
      <w:keepNext/>
      <w:spacing w:before="240" w:after="120"/>
    </w:pPr>
    <w:rPr>
      <w:rFonts w:ascii="Liberation Sans" w:hAnsi="Liberation Sans" w:eastAsia="Noto Sans CJK SC Regular" w:cs="Noto Sans CJK SC Regular"/>
      <w:sz w:val="28"/>
      <w:szCs w:val="28"/>
    </w:rPr>
  </w:style>
  <w:style w:type="paragraph" w:customStyle="1" w:styleId="25">
    <w:name w:val="Index"/>
    <w:basedOn w:val="1"/>
    <w:qFormat/>
    <w:uiPriority w:val="0"/>
    <w:pPr>
      <w:suppressLineNumbers/>
    </w:pPr>
  </w:style>
  <w:style w:type="paragraph" w:styleId="26">
    <w:name w:val="List Paragraph"/>
    <w:basedOn w:val="1"/>
    <w:qFormat/>
    <w:uiPriority w:val="34"/>
    <w:pPr>
      <w:ind w:firstLine="420" w:firstLineChars="200"/>
    </w:p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8">
    <w:name w:val="页眉 Char"/>
    <w:link w:val="11"/>
    <w:qFormat/>
    <w:uiPriority w:val="0"/>
    <w:rPr>
      <w:rFonts w:ascii="Calibri" w:hAnsi="Calibri"/>
      <w:kern w:val="2"/>
      <w:sz w:val="18"/>
      <w:szCs w:val="18"/>
    </w:rPr>
  </w:style>
  <w:style w:type="character" w:customStyle="1" w:styleId="29">
    <w:name w:val="页脚 Char"/>
    <w:link w:val="10"/>
    <w:qFormat/>
    <w:uiPriority w:val="0"/>
    <w:rPr>
      <w:rFonts w:ascii="Calibri" w:hAnsi="Calibri"/>
      <w:kern w:val="2"/>
      <w:sz w:val="18"/>
      <w:szCs w:val="18"/>
    </w:rPr>
  </w:style>
  <w:style w:type="character" w:customStyle="1" w:styleId="30">
    <w:name w:val="批注框文本 Char"/>
    <w:basedOn w:val="17"/>
    <w:link w:val="9"/>
    <w:qFormat/>
    <w:uiPriority w:val="0"/>
    <w:rPr>
      <w:rFonts w:ascii="Calibri" w:hAnsi="Calibri"/>
      <w:kern w:val="2"/>
      <w:sz w:val="18"/>
      <w:szCs w:val="18"/>
    </w:rPr>
  </w:style>
  <w:style w:type="paragraph" w:customStyle="1" w:styleId="31">
    <w:name w:val="四号正文"/>
    <w:basedOn w:val="1"/>
    <w:qFormat/>
    <w:uiPriority w:val="0"/>
    <w:pPr>
      <w:spacing w:line="360" w:lineRule="auto"/>
    </w:pPr>
    <w:rPr>
      <w:rFonts w:ascii="??" w:hAnsi="??"/>
      <w:color w:val="000000"/>
      <w:kern w:val="0"/>
      <w:sz w:val="28"/>
      <w:szCs w:val="21"/>
      <w:lang w:val="zh-CN"/>
    </w:rPr>
  </w:style>
  <w:style w:type="paragraph" w:customStyle="1" w:styleId="32">
    <w:name w:val="font5"/>
    <w:basedOn w:val="1"/>
    <w:qFormat/>
    <w:uiPriority w:val="0"/>
    <w:pPr>
      <w:widowControl/>
      <w:suppressAutoHyphens w:val="0"/>
      <w:spacing w:before="100" w:beforeAutospacing="1" w:after="100" w:afterAutospacing="1"/>
      <w:jc w:val="left"/>
    </w:pPr>
    <w:rPr>
      <w:rFonts w:ascii="宋体" w:hAnsi="宋体" w:cs="宋体"/>
      <w:kern w:val="0"/>
      <w:sz w:val="18"/>
      <w:szCs w:val="18"/>
    </w:rPr>
  </w:style>
  <w:style w:type="paragraph" w:customStyle="1" w:styleId="33">
    <w:name w:val="xl65"/>
    <w:basedOn w:val="1"/>
    <w:qFormat/>
    <w:uiPriority w:val="0"/>
    <w:pPr>
      <w:widowControl/>
      <w:suppressAutoHyphens w:val="0"/>
      <w:spacing w:before="100" w:beforeAutospacing="1" w:after="100" w:afterAutospacing="1"/>
      <w:jc w:val="left"/>
    </w:pPr>
    <w:rPr>
      <w:rFonts w:ascii="Courier New" w:hAnsi="Courier New" w:cs="Courier New"/>
      <w:color w:val="000000"/>
      <w:kern w:val="0"/>
      <w:sz w:val="18"/>
      <w:szCs w:val="18"/>
    </w:rPr>
  </w:style>
  <w:style w:type="paragraph" w:customStyle="1" w:styleId="34">
    <w:name w:val="xl66"/>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left"/>
    </w:pPr>
    <w:rPr>
      <w:rFonts w:ascii="宋体" w:hAnsi="宋体" w:cs="宋体"/>
      <w:color w:val="000000"/>
      <w:kern w:val="0"/>
      <w:sz w:val="18"/>
      <w:szCs w:val="18"/>
    </w:rPr>
  </w:style>
  <w:style w:type="paragraph" w:customStyle="1" w:styleId="35">
    <w:name w:val="xl67"/>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宋体" w:hAnsi="宋体" w:cs="宋体"/>
      <w:color w:val="000000"/>
      <w:kern w:val="0"/>
      <w:sz w:val="18"/>
      <w:szCs w:val="18"/>
    </w:rPr>
  </w:style>
  <w:style w:type="paragraph" w:customStyle="1" w:styleId="36">
    <w:name w:val="xl68"/>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宋体" w:hAnsi="宋体" w:cs="宋体"/>
      <w:color w:val="000000"/>
      <w:kern w:val="0"/>
      <w:sz w:val="18"/>
      <w:szCs w:val="18"/>
    </w:rPr>
  </w:style>
  <w:style w:type="paragraph" w:customStyle="1" w:styleId="37">
    <w:name w:val="xl69"/>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宋体" w:hAnsi="宋体" w:cs="宋体"/>
      <w:color w:val="000000"/>
      <w:kern w:val="0"/>
      <w:sz w:val="18"/>
      <w:szCs w:val="18"/>
    </w:rPr>
  </w:style>
  <w:style w:type="paragraph" w:customStyle="1" w:styleId="38">
    <w:name w:val="xl70"/>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微软雅黑" w:hAnsi="微软雅黑" w:eastAsia="微软雅黑" w:cs="宋体"/>
      <w:i/>
      <w:iCs/>
      <w:color w:val="000000"/>
      <w:kern w:val="0"/>
      <w:sz w:val="16"/>
      <w:szCs w:val="16"/>
    </w:rPr>
  </w:style>
  <w:style w:type="paragraph" w:customStyle="1" w:styleId="39">
    <w:name w:val="xl71"/>
    <w:basedOn w:val="1"/>
    <w:qFormat/>
    <w:uiPriority w:val="0"/>
    <w:pPr>
      <w:widowControl/>
      <w:suppressAutoHyphens w:val="0"/>
      <w:spacing w:before="100" w:beforeAutospacing="1" w:after="100" w:afterAutospacing="1"/>
      <w:jc w:val="left"/>
    </w:pPr>
    <w:rPr>
      <w:rFonts w:ascii="宋体" w:hAnsi="宋体" w:cs="宋体"/>
      <w:kern w:val="0"/>
      <w:sz w:val="18"/>
      <w:szCs w:val="18"/>
    </w:rPr>
  </w:style>
  <w:style w:type="paragraph" w:customStyle="1" w:styleId="40">
    <w:name w:val="xl72"/>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微软雅黑" w:hAnsi="微软雅黑" w:eastAsia="微软雅黑" w:cs="宋体"/>
      <w:color w:val="000000"/>
      <w:kern w:val="0"/>
      <w:sz w:val="16"/>
      <w:szCs w:val="16"/>
    </w:rPr>
  </w:style>
  <w:style w:type="paragraph" w:customStyle="1" w:styleId="41">
    <w:name w:val="xl73"/>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黑体" w:hAnsi="黑体" w:eastAsia="黑体" w:cs="宋体"/>
      <w:b/>
      <w:bCs/>
      <w:color w:val="000000"/>
      <w:kern w:val="0"/>
      <w:sz w:val="30"/>
      <w:szCs w:val="30"/>
    </w:rPr>
  </w:style>
  <w:style w:type="paragraph" w:customStyle="1" w:styleId="42">
    <w:name w:val="xl74"/>
    <w:basedOn w:val="1"/>
    <w:qFormat/>
    <w:uiPriority w:val="0"/>
    <w:pPr>
      <w:widowControl/>
      <w:pBdr>
        <w:top w:val="single" w:color="000000" w:sz="4" w:space="0"/>
        <w:left w:val="single" w:color="000000" w:sz="4" w:space="0"/>
        <w:bottom w:val="single" w:color="000000" w:sz="4" w:space="0"/>
      </w:pBdr>
      <w:suppressAutoHyphens w:val="0"/>
      <w:spacing w:before="100" w:beforeAutospacing="1" w:after="100" w:afterAutospacing="1"/>
      <w:jc w:val="center"/>
    </w:pPr>
    <w:rPr>
      <w:rFonts w:ascii="宋体" w:hAnsi="宋体" w:cs="宋体"/>
      <w:color w:val="000000"/>
      <w:kern w:val="0"/>
      <w:sz w:val="18"/>
      <w:szCs w:val="18"/>
    </w:rPr>
  </w:style>
  <w:style w:type="paragraph" w:customStyle="1" w:styleId="43">
    <w:name w:val="xl75"/>
    <w:basedOn w:val="1"/>
    <w:qFormat/>
    <w:uiPriority w:val="0"/>
    <w:pPr>
      <w:widowControl/>
      <w:pBdr>
        <w:top w:val="single" w:color="000000" w:sz="4" w:space="0"/>
        <w:bottom w:val="single" w:color="000000" w:sz="4" w:space="0"/>
      </w:pBdr>
      <w:suppressAutoHyphens w:val="0"/>
      <w:spacing w:before="100" w:beforeAutospacing="1" w:after="100" w:afterAutospacing="1"/>
      <w:jc w:val="center"/>
    </w:pPr>
    <w:rPr>
      <w:rFonts w:ascii="宋体" w:hAnsi="宋体" w:cs="宋体"/>
      <w:color w:val="000000"/>
      <w:kern w:val="0"/>
      <w:sz w:val="18"/>
      <w:szCs w:val="18"/>
    </w:rPr>
  </w:style>
  <w:style w:type="paragraph" w:customStyle="1" w:styleId="44">
    <w:name w:val="xl76"/>
    <w:basedOn w:val="1"/>
    <w:qFormat/>
    <w:uiPriority w:val="0"/>
    <w:pPr>
      <w:widowControl/>
      <w:pBdr>
        <w:top w:val="single" w:color="000000" w:sz="4" w:space="0"/>
        <w:bottom w:val="single" w:color="000000" w:sz="4" w:space="0"/>
        <w:right w:val="single" w:color="000000" w:sz="4" w:space="0"/>
      </w:pBdr>
      <w:suppressAutoHyphens w:val="0"/>
      <w:spacing w:before="100" w:beforeAutospacing="1" w:after="100" w:afterAutospacing="1"/>
      <w:jc w:val="center"/>
    </w:pPr>
    <w:rPr>
      <w:rFonts w:ascii="宋体" w:hAnsi="宋体" w:cs="宋体"/>
      <w:color w:val="000000"/>
      <w:kern w:val="0"/>
      <w:sz w:val="18"/>
      <w:szCs w:val="18"/>
    </w:rPr>
  </w:style>
  <w:style w:type="paragraph" w:customStyle="1" w:styleId="45">
    <w:name w:val="xl77"/>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left"/>
    </w:pPr>
    <w:rPr>
      <w:rFonts w:ascii="Courier New" w:hAnsi="Courier New" w:cs="Courier New"/>
      <w:i/>
      <w:iCs/>
      <w:color w:val="000000"/>
      <w:kern w:val="0"/>
      <w:sz w:val="18"/>
      <w:szCs w:val="18"/>
    </w:rPr>
  </w:style>
  <w:style w:type="paragraph" w:customStyle="1" w:styleId="46">
    <w:name w:val="xl78"/>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left"/>
    </w:pPr>
    <w:rPr>
      <w:rFonts w:ascii="微软雅黑" w:hAnsi="微软雅黑" w:eastAsia="微软雅黑" w:cs="宋体"/>
      <w:i/>
      <w:iCs/>
      <w:color w:val="000000"/>
      <w:kern w:val="0"/>
      <w:sz w:val="16"/>
      <w:szCs w:val="16"/>
    </w:rPr>
  </w:style>
  <w:style w:type="paragraph" w:customStyle="1" w:styleId="47">
    <w:name w:val="xl79"/>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left"/>
    </w:pPr>
    <w:rPr>
      <w:rFonts w:ascii="Courier New" w:hAnsi="Courier New" w:cs="Courier New"/>
      <w:color w:val="000000"/>
      <w:kern w:val="0"/>
      <w:sz w:val="18"/>
      <w:szCs w:val="18"/>
    </w:rPr>
  </w:style>
  <w:style w:type="paragraph" w:customStyle="1" w:styleId="48">
    <w:name w:val="xl80"/>
    <w:basedOn w:val="1"/>
    <w:qFormat/>
    <w:uiPriority w:val="0"/>
    <w:pPr>
      <w:widowControl/>
      <w:pBdr>
        <w:top w:val="single" w:color="000000" w:sz="4" w:space="0"/>
        <w:left w:val="single" w:color="000000" w:sz="4" w:space="0"/>
        <w:bottom w:val="single" w:color="000000" w:sz="4" w:space="0"/>
        <w:right w:val="single" w:color="000000" w:sz="4" w:space="0"/>
      </w:pBdr>
      <w:suppressAutoHyphens w:val="0"/>
      <w:spacing w:before="100" w:beforeAutospacing="1" w:after="100" w:afterAutospacing="1"/>
      <w:jc w:val="center"/>
    </w:pPr>
    <w:rPr>
      <w:rFonts w:ascii="Courier New" w:hAnsi="Courier New" w:cs="Courier New"/>
      <w:color w:val="000000"/>
      <w:kern w:val="0"/>
      <w:sz w:val="18"/>
      <w:szCs w:val="18"/>
    </w:rPr>
  </w:style>
  <w:style w:type="paragraph" w:customStyle="1" w:styleId="49">
    <w:name w:val="xl81"/>
    <w:basedOn w:val="1"/>
    <w:qFormat/>
    <w:uiPriority w:val="0"/>
    <w:pPr>
      <w:widowControl/>
      <w:pBdr>
        <w:top w:val="single" w:color="000000" w:sz="4" w:space="0"/>
        <w:left w:val="single" w:color="000000" w:sz="4" w:space="0"/>
        <w:right w:val="single" w:color="000000" w:sz="4" w:space="0"/>
      </w:pBdr>
      <w:suppressAutoHyphens w:val="0"/>
      <w:spacing w:before="100" w:beforeAutospacing="1" w:after="100" w:afterAutospacing="1"/>
      <w:jc w:val="left"/>
    </w:pPr>
    <w:rPr>
      <w:rFonts w:ascii="Courier New" w:hAnsi="Courier New" w:cs="Courier New"/>
      <w:i/>
      <w:iCs/>
      <w:color w:val="000000"/>
      <w:kern w:val="0"/>
      <w:sz w:val="18"/>
      <w:szCs w:val="18"/>
    </w:rPr>
  </w:style>
  <w:style w:type="paragraph" w:customStyle="1" w:styleId="50">
    <w:name w:val="xl82"/>
    <w:basedOn w:val="1"/>
    <w:qFormat/>
    <w:uiPriority w:val="0"/>
    <w:pPr>
      <w:widowControl/>
      <w:pBdr>
        <w:left w:val="single" w:color="000000" w:sz="4" w:space="0"/>
        <w:right w:val="single" w:color="000000" w:sz="4" w:space="0"/>
      </w:pBdr>
      <w:suppressAutoHyphens w:val="0"/>
      <w:spacing w:before="100" w:beforeAutospacing="1" w:after="100" w:afterAutospacing="1"/>
      <w:jc w:val="left"/>
    </w:pPr>
    <w:rPr>
      <w:rFonts w:ascii="Courier New" w:hAnsi="Courier New" w:cs="Courier New"/>
      <w:i/>
      <w:iCs/>
      <w:color w:val="000000"/>
      <w:kern w:val="0"/>
      <w:sz w:val="18"/>
      <w:szCs w:val="18"/>
    </w:rPr>
  </w:style>
  <w:style w:type="paragraph" w:customStyle="1" w:styleId="51">
    <w:name w:val="xl83"/>
    <w:basedOn w:val="1"/>
    <w:qFormat/>
    <w:uiPriority w:val="0"/>
    <w:pPr>
      <w:widowControl/>
      <w:pBdr>
        <w:left w:val="single" w:color="000000" w:sz="4" w:space="0"/>
        <w:bottom w:val="single" w:color="000000" w:sz="4" w:space="0"/>
        <w:right w:val="single" w:color="000000" w:sz="4" w:space="0"/>
      </w:pBdr>
      <w:suppressAutoHyphens w:val="0"/>
      <w:spacing w:before="100" w:beforeAutospacing="1" w:after="100" w:afterAutospacing="1"/>
      <w:jc w:val="left"/>
    </w:pPr>
    <w:rPr>
      <w:rFonts w:ascii="Courier New" w:hAnsi="Courier New" w:cs="Courier New"/>
      <w:i/>
      <w:iCs/>
      <w:color w:val="000000"/>
      <w:kern w:val="0"/>
      <w:sz w:val="18"/>
      <w:szCs w:val="18"/>
    </w:rPr>
  </w:style>
  <w:style w:type="character" w:customStyle="1" w:styleId="52">
    <w:name w:val="正文文本 Char"/>
    <w:link w:val="2"/>
    <w:qFormat/>
    <w:uiPriority w:val="99"/>
    <w:rPr>
      <w:rFonts w:ascii="Calibri" w:hAnsi="Calibri"/>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11311</Words>
  <Characters>13070</Characters>
  <Lines>110</Lines>
  <Paragraphs>31</Paragraphs>
  <TotalTime>1</TotalTime>
  <ScaleCrop>false</ScaleCrop>
  <LinksUpToDate>false</LinksUpToDate>
  <CharactersWithSpaces>13367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2024-09-13T16:10:00Z</dcterms:created>
  <dc:creator>user</dc:creator>
  <cp:lastModifiedBy> </cp:lastModifiedBy>
  <cp:lastPrinted>2024-09-13T16:33:00Z</cp:lastPrinted>
  <dcterms:modified xsi:type="dcterms:W3CDTF">2024-10-16T21:09:39Z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FC22DDAC4D904478B4B1E604E765F81E_12</vt:lpwstr>
  </property>
</Properties>
</file>