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6"/>
        <w:spacing w:before="93"/>
      </w:pPr>
    </w:p>
    <w:p>
      <w:pPr>
        <w:spacing w:line="600" w:lineRule="exact"/>
        <w:jc w:val="center"/>
        <w:outlineLvl w:val="0"/>
        <w:rPr>
          <w:rFonts w:hint="eastAsia" w:ascii="方正小标宋简体" w:hAnsi="宋体" w:eastAsia="方正小标宋简体"/>
          <w:sz w:val="72"/>
          <w:szCs w:val="72"/>
        </w:rPr>
      </w:pPr>
    </w:p>
    <w:p>
      <w:pPr>
        <w:pStyle w:val="2"/>
        <w:rPr>
          <w:rFonts w:hint="eastAsia"/>
        </w:rPr>
      </w:pPr>
    </w:p>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hint="eastAsia" w:ascii="黑体" w:hAnsi="黑体" w:eastAsia="黑体" w:cs="黑体"/>
          <w:sz w:val="72"/>
          <w:szCs w:val="72"/>
        </w:rPr>
      </w:pPr>
      <w:bookmarkStart w:id="1" w:name="_Toc15378441"/>
      <w:bookmarkStart w:id="2" w:name="_Toc15396475"/>
      <w:bookmarkStart w:id="3" w:name="_Toc15377425"/>
      <w:bookmarkStart w:id="4" w:name="_Toc15377193"/>
      <w:bookmarkStart w:id="5" w:name="_Toc15396597"/>
      <w:bookmarkStart w:id="6" w:name="_Toc179386281"/>
      <w:r>
        <w:rPr>
          <w:rFonts w:hint="eastAsia" w:ascii="黑体" w:hAnsi="黑体" w:eastAsia="黑体" w:cs="黑体"/>
          <w:sz w:val="72"/>
          <w:szCs w:val="72"/>
        </w:rPr>
        <w:t>2023年度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黑体" w:hAnsi="黑体" w:eastAsia="黑体" w:cs="黑体"/>
          <w:sz w:val="72"/>
          <w:szCs w:val="72"/>
        </w:rPr>
      </w:pPr>
      <w:bookmarkStart w:id="7" w:name="_Toc179386282"/>
      <w:bookmarkStart w:id="8" w:name="_Toc26666"/>
      <w:r>
        <w:rPr>
          <w:rFonts w:hint="eastAsia" w:ascii="黑体" w:hAnsi="黑体" w:eastAsia="黑体" w:cs="黑体"/>
          <w:sz w:val="72"/>
          <w:szCs w:val="72"/>
        </w:rPr>
        <w:t>广元市教育服务中心单位决算</w:t>
      </w:r>
      <w:bookmarkEnd w:id="7"/>
      <w:bookmarkEnd w:id="8"/>
    </w:p>
    <w:p>
      <w:pPr>
        <w:widowControl/>
        <w:jc w:val="center"/>
        <w:rPr>
          <w:rFonts w:hint="eastAsia" w:ascii="黑体" w:hAnsi="黑体" w:eastAsia="黑体"/>
          <w:sz w:val="48"/>
          <w:szCs w:val="48"/>
        </w:rPr>
      </w:pPr>
      <w:r>
        <w:rPr>
          <w:rFonts w:ascii="方正小标宋简体" w:hAnsi="宋体" w:eastAsia="方正小标宋简体"/>
          <w:sz w:val="36"/>
          <w:szCs w:val="36"/>
        </w:rPr>
        <w:br w:type="page"/>
      </w:r>
    </w:p>
    <w:sdt>
      <w:sdtPr>
        <w:rPr>
          <w:lang w:val="zh-CN"/>
        </w:rPr>
        <w:id w:val="6459206"/>
        <w:docPartObj>
          <w:docPartGallery w:val="Table of Contents"/>
          <w:docPartUnique/>
        </w:docPartObj>
      </w:sdtPr>
      <w:sdtEndPr>
        <w:rPr>
          <w:rFonts w:ascii="楷体" w:hAnsi="楷体" w:eastAsia="楷体" w:cs="楷体"/>
          <w:b w:val="0"/>
          <w:bCs w:val="0"/>
          <w:color w:val="auto"/>
          <w:sz w:val="21"/>
          <w:szCs w:val="21"/>
          <w:lang w:val="en-US"/>
        </w:rPr>
      </w:sdtEndPr>
      <w:sdtContent>
        <w:p>
          <w:pPr>
            <w:pStyle w:val="33"/>
            <w:jc w:val="center"/>
            <w:rPr>
              <w:rFonts w:hint="eastAsia" w:ascii="黑体" w:hAnsi="黑体" w:eastAsia="黑体" w:cs="Times New Roman"/>
              <w:b w:val="0"/>
              <w:bCs w:val="0"/>
              <w:color w:val="auto"/>
              <w:kern w:val="2"/>
              <w:sz w:val="48"/>
              <w:szCs w:val="48"/>
            </w:rPr>
          </w:pPr>
          <w:r>
            <w:rPr>
              <w:rFonts w:ascii="黑体" w:hAnsi="黑体" w:eastAsia="黑体" w:cs="Times New Roman"/>
              <w:b w:val="0"/>
              <w:bCs w:val="0"/>
              <w:color w:val="auto"/>
              <w:kern w:val="2"/>
              <w:sz w:val="48"/>
              <w:szCs w:val="48"/>
            </w:rPr>
            <w:t>目录</w:t>
          </w:r>
        </w:p>
        <w:p>
          <w:pPr>
            <w:rPr>
              <w:rFonts w:hint="eastAsia"/>
              <w:lang w:val="zh-CN"/>
            </w:rPr>
          </w:pPr>
        </w:p>
        <w:p>
          <w:pPr>
            <w:pStyle w:val="34"/>
            <w:tabs>
              <w:tab w:val="right" w:leader="dot" w:pos="8306"/>
            </w:tabs>
            <w:spacing w:line="340" w:lineRule="exact"/>
            <w:ind w:left="420"/>
            <w:jc w:val="center"/>
            <w:rPr>
              <w:rFonts w:ascii="仿宋" w:hAnsi="仿宋" w:eastAsia="仿宋" w:cs="楷体"/>
              <w:sz w:val="28"/>
              <w:szCs w:val="28"/>
            </w:rPr>
          </w:pPr>
          <w:r>
            <w:rPr>
              <w:rFonts w:hint="eastAsia" w:ascii="仿宋" w:hAnsi="仿宋" w:eastAsia="仿宋"/>
              <w:sz w:val="28"/>
              <w:szCs w:val="28"/>
            </w:rPr>
            <w:t>公开时间：2023年10月14日</w:t>
          </w:r>
          <w:r>
            <w:rPr>
              <w:rFonts w:ascii="仿宋" w:hAnsi="仿宋" w:eastAsia="仿宋" w:cs="楷体"/>
              <w:sz w:val="28"/>
              <w:szCs w:val="28"/>
            </w:rPr>
            <w:fldChar w:fldCharType="begin"/>
          </w:r>
          <w:r>
            <w:rPr>
              <w:rFonts w:ascii="仿宋" w:hAnsi="仿宋" w:eastAsia="仿宋" w:cs="楷体"/>
              <w:sz w:val="28"/>
              <w:szCs w:val="28"/>
            </w:rPr>
            <w:instrText xml:space="preserve"> TOC \o "1-3" \h \z \u </w:instrText>
          </w:r>
          <w:r>
            <w:rPr>
              <w:rFonts w:ascii="仿宋" w:hAnsi="仿宋" w:eastAsia="仿宋" w:cs="楷体"/>
              <w:sz w:val="28"/>
              <w:szCs w:val="28"/>
            </w:rPr>
            <w:fldChar w:fldCharType="separate"/>
          </w:r>
        </w:p>
        <w:p>
          <w:pPr>
            <w:pStyle w:val="34"/>
            <w:tabs>
              <w:tab w:val="right" w:leader="dot" w:pos="8306"/>
            </w:tabs>
            <w:spacing w:line="340" w:lineRule="exact"/>
            <w:ind w:left="420"/>
            <w:rPr>
              <w:rFonts w:ascii="楷体" w:hAnsi="楷体" w:eastAsia="楷体" w:cs="楷体"/>
              <w:sz w:val="21"/>
              <w:szCs w:val="21"/>
            </w:rPr>
          </w:pPr>
        </w:p>
        <w:p>
          <w:pPr>
            <w:pStyle w:val="34"/>
            <w:tabs>
              <w:tab w:val="right" w:leader="dot" w:pos="8306"/>
            </w:tabs>
            <w:spacing w:line="340" w:lineRule="exact"/>
            <w:ind w:left="420"/>
            <w:rPr>
              <w:rFonts w:ascii="楷体" w:hAnsi="楷体" w:eastAsia="楷体" w:cs="楷体"/>
              <w:b/>
              <w:sz w:val="21"/>
              <w:szCs w:val="21"/>
            </w:rPr>
          </w:pPr>
          <w:r>
            <w:fldChar w:fldCharType="begin"/>
          </w:r>
          <w:r>
            <w:instrText xml:space="preserve"> HYPERLINK \l "_Toc179386283" </w:instrText>
          </w:r>
          <w:r>
            <w:fldChar w:fldCharType="separate"/>
          </w:r>
          <w:r>
            <w:rPr>
              <w:rFonts w:hint="eastAsia" w:ascii="楷体" w:hAnsi="楷体" w:eastAsia="楷体" w:cs="楷体"/>
              <w:b/>
              <w:sz w:val="21"/>
              <w:szCs w:val="21"/>
            </w:rPr>
            <w:t>第一部分</w:t>
          </w:r>
          <w:r>
            <w:rPr>
              <w:rFonts w:ascii="楷体" w:hAnsi="楷体" w:eastAsia="楷体" w:cs="楷体"/>
              <w:b/>
              <w:sz w:val="21"/>
              <w:szCs w:val="21"/>
            </w:rPr>
            <w:t xml:space="preserve"> </w:t>
          </w:r>
          <w:r>
            <w:rPr>
              <w:rFonts w:hint="eastAsia" w:ascii="楷体" w:hAnsi="楷体" w:eastAsia="楷体" w:cs="楷体"/>
              <w:b/>
              <w:sz w:val="21"/>
              <w:szCs w:val="21"/>
            </w:rPr>
            <w:t>单位概况</w:t>
          </w:r>
          <w:r>
            <w:rPr>
              <w:rFonts w:ascii="楷体" w:hAnsi="楷体" w:eastAsia="楷体" w:cs="楷体"/>
              <w:b/>
              <w:sz w:val="21"/>
              <w:szCs w:val="21"/>
            </w:rPr>
            <w:tab/>
          </w:r>
          <w:r>
            <w:rPr>
              <w:rFonts w:ascii="楷体" w:hAnsi="楷体" w:eastAsia="楷体" w:cs="楷体"/>
              <w:b/>
              <w:sz w:val="21"/>
              <w:szCs w:val="21"/>
            </w:rPr>
            <w:fldChar w:fldCharType="begin"/>
          </w:r>
          <w:r>
            <w:rPr>
              <w:rFonts w:ascii="楷体" w:hAnsi="楷体" w:eastAsia="楷体" w:cs="楷体"/>
              <w:b/>
              <w:sz w:val="21"/>
              <w:szCs w:val="21"/>
            </w:rPr>
            <w:instrText xml:space="preserve"> PAGEREF _Toc179386283 \h </w:instrText>
          </w:r>
          <w:r>
            <w:rPr>
              <w:rFonts w:ascii="楷体" w:hAnsi="楷体" w:eastAsia="楷体" w:cs="楷体"/>
              <w:b/>
              <w:sz w:val="21"/>
              <w:szCs w:val="21"/>
            </w:rPr>
            <w:fldChar w:fldCharType="separate"/>
          </w:r>
          <w:r>
            <w:rPr>
              <w:rFonts w:ascii="楷体" w:hAnsi="楷体" w:eastAsia="楷体" w:cs="楷体"/>
              <w:b/>
              <w:sz w:val="21"/>
              <w:szCs w:val="21"/>
            </w:rPr>
            <w:t>1</w:t>
          </w:r>
          <w:r>
            <w:rPr>
              <w:rFonts w:ascii="楷体" w:hAnsi="楷体" w:eastAsia="楷体" w:cs="楷体"/>
              <w:b/>
              <w:sz w:val="21"/>
              <w:szCs w:val="21"/>
            </w:rPr>
            <w:fldChar w:fldCharType="end"/>
          </w:r>
          <w:r>
            <w:rPr>
              <w:rFonts w:ascii="楷体" w:hAnsi="楷体" w:eastAsia="楷体" w:cs="楷体"/>
              <w:b/>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"_Toc179386284" </w:instrText>
          </w:r>
          <w:r>
            <w:fldChar w:fldCharType="separate"/>
          </w:r>
          <w:r>
            <w:rPr>
              <w:rFonts w:hint="eastAsia" w:ascii="楷体" w:hAnsi="楷体" w:eastAsia="楷体" w:cs="楷体"/>
              <w:sz w:val="21"/>
              <w:szCs w:val="21"/>
            </w:rPr>
            <w:t>一、主要职责</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_Toc179386284 \h </w:instrText>
          </w:r>
          <w:r>
            <w:rPr>
              <w:rFonts w:ascii="楷体" w:hAnsi="楷体" w:eastAsia="楷体" w:cs="楷体"/>
              <w:sz w:val="21"/>
              <w:szCs w:val="21"/>
            </w:rPr>
            <w:fldChar w:fldCharType="separate"/>
          </w:r>
          <w:r>
            <w:rPr>
              <w:rFonts w:ascii="楷体" w:hAnsi="楷体" w:eastAsia="楷体" w:cs="楷体"/>
              <w:sz w:val="21"/>
              <w:szCs w:val="21"/>
            </w:rPr>
            <w:t>1</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"_Toc179386285" </w:instrText>
          </w:r>
          <w:r>
            <w:fldChar w:fldCharType="separate"/>
          </w:r>
          <w:r>
            <w:rPr>
              <w:rFonts w:hint="eastAsia" w:ascii="楷体" w:hAnsi="楷体" w:eastAsia="楷体" w:cs="楷体"/>
              <w:sz w:val="21"/>
              <w:szCs w:val="21"/>
            </w:rPr>
            <w:t>二、机构设置</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_Toc179386285 \h </w:instrText>
          </w:r>
          <w:r>
            <w:rPr>
              <w:rFonts w:ascii="楷体" w:hAnsi="楷体" w:eastAsia="楷体" w:cs="楷体"/>
              <w:sz w:val="21"/>
              <w:szCs w:val="21"/>
            </w:rPr>
            <w:fldChar w:fldCharType="separate"/>
          </w:r>
          <w:r>
            <w:rPr>
              <w:rFonts w:ascii="楷体" w:hAnsi="楷体" w:eastAsia="楷体" w:cs="楷体"/>
              <w:sz w:val="21"/>
              <w:szCs w:val="21"/>
            </w:rPr>
            <w:t>1</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rPr>
              <w:rFonts w:ascii="楷体" w:hAnsi="楷体" w:eastAsia="楷体" w:cs="楷体"/>
              <w:b/>
              <w:sz w:val="21"/>
              <w:szCs w:val="21"/>
            </w:rPr>
          </w:pPr>
          <w:r>
            <w:fldChar w:fldCharType="begin"/>
          </w:r>
          <w:r>
            <w:instrText xml:space="preserve"> HYPERLINK \l "_Toc179386286" </w:instrText>
          </w:r>
          <w:r>
            <w:fldChar w:fldCharType="separate"/>
          </w:r>
          <w:r>
            <w:rPr>
              <w:rFonts w:hint="eastAsia" w:ascii="楷体" w:hAnsi="楷体" w:eastAsia="楷体" w:cs="楷体"/>
              <w:b/>
              <w:sz w:val="21"/>
              <w:szCs w:val="21"/>
            </w:rPr>
            <w:t>第二部分</w:t>
          </w:r>
          <w:r>
            <w:rPr>
              <w:rFonts w:ascii="楷体" w:hAnsi="楷体" w:eastAsia="楷体" w:cs="楷体"/>
              <w:b/>
              <w:sz w:val="21"/>
              <w:szCs w:val="21"/>
            </w:rPr>
            <w:t xml:space="preserve"> 2023</w:t>
          </w:r>
          <w:r>
            <w:rPr>
              <w:rFonts w:hint="eastAsia" w:ascii="楷体" w:hAnsi="楷体" w:eastAsia="楷体" w:cs="楷体"/>
              <w:b/>
              <w:sz w:val="21"/>
              <w:szCs w:val="21"/>
            </w:rPr>
            <w:t>年度单位决算情况说明</w:t>
          </w:r>
          <w:r>
            <w:rPr>
              <w:rFonts w:ascii="楷体" w:hAnsi="楷体" w:eastAsia="楷体" w:cs="楷体"/>
              <w:b/>
              <w:sz w:val="21"/>
              <w:szCs w:val="21"/>
            </w:rPr>
            <w:tab/>
          </w:r>
          <w:r>
            <w:rPr>
              <w:rFonts w:ascii="楷体" w:hAnsi="楷体" w:eastAsia="楷体" w:cs="楷体"/>
              <w:b/>
              <w:sz w:val="21"/>
              <w:szCs w:val="21"/>
            </w:rPr>
            <w:fldChar w:fldCharType="begin"/>
          </w:r>
          <w:r>
            <w:rPr>
              <w:rFonts w:ascii="楷体" w:hAnsi="楷体" w:eastAsia="楷体" w:cs="楷体"/>
              <w:b/>
              <w:sz w:val="21"/>
              <w:szCs w:val="21"/>
            </w:rPr>
            <w:instrText xml:space="preserve"> PAGEREF _Toc179386286 \h </w:instrText>
          </w:r>
          <w:r>
            <w:rPr>
              <w:rFonts w:ascii="楷体" w:hAnsi="楷体" w:eastAsia="楷体" w:cs="楷体"/>
              <w:b/>
              <w:sz w:val="21"/>
              <w:szCs w:val="21"/>
            </w:rPr>
            <w:fldChar w:fldCharType="separate"/>
          </w:r>
          <w:r>
            <w:rPr>
              <w:rFonts w:ascii="楷体" w:hAnsi="楷体" w:eastAsia="楷体" w:cs="楷体"/>
              <w:b/>
              <w:sz w:val="21"/>
              <w:szCs w:val="21"/>
            </w:rPr>
            <w:t>2</w:t>
          </w:r>
          <w:r>
            <w:rPr>
              <w:rFonts w:ascii="楷体" w:hAnsi="楷体" w:eastAsia="楷体" w:cs="楷体"/>
              <w:b/>
              <w:sz w:val="21"/>
              <w:szCs w:val="21"/>
            </w:rPr>
            <w:fldChar w:fldCharType="end"/>
          </w:r>
          <w:r>
            <w:rPr>
              <w:rFonts w:ascii="楷体" w:hAnsi="楷体" w:eastAsia="楷体" w:cs="楷体"/>
              <w:b/>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"_Toc179386287" </w:instrText>
          </w:r>
          <w:r>
            <w:fldChar w:fldCharType="separate"/>
          </w:r>
          <w:r>
            <w:rPr>
              <w:rFonts w:hint="eastAsia" w:ascii="楷体" w:hAnsi="楷体" w:eastAsia="楷体" w:cs="楷体"/>
              <w:sz w:val="21"/>
              <w:szCs w:val="21"/>
            </w:rPr>
            <w:t>一、收入支出决算总体情况说明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_Toc179386287 \h </w:instrText>
          </w:r>
          <w:r>
            <w:rPr>
              <w:rFonts w:ascii="楷体" w:hAnsi="楷体" w:eastAsia="楷体" w:cs="楷体"/>
              <w:sz w:val="21"/>
              <w:szCs w:val="21"/>
            </w:rPr>
            <w:fldChar w:fldCharType="separate"/>
          </w:r>
          <w:r>
            <w:rPr>
              <w:rFonts w:ascii="楷体" w:hAnsi="楷体" w:eastAsia="楷体" w:cs="楷体"/>
              <w:sz w:val="21"/>
              <w:szCs w:val="21"/>
            </w:rPr>
            <w:t>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"_Toc179386288" </w:instrText>
          </w:r>
          <w:r>
            <w:fldChar w:fldCharType="separate"/>
          </w:r>
          <w:r>
            <w:rPr>
              <w:rFonts w:hint="eastAsia" w:ascii="楷体" w:hAnsi="楷体" w:eastAsia="楷体" w:cs="楷体"/>
              <w:sz w:val="21"/>
              <w:szCs w:val="21"/>
            </w:rPr>
            <w:t>二、收入决算情况说明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_Toc179386288 \h </w:instrText>
          </w:r>
          <w:r>
            <w:rPr>
              <w:rFonts w:ascii="楷体" w:hAnsi="楷体" w:eastAsia="楷体" w:cs="楷体"/>
              <w:sz w:val="21"/>
              <w:szCs w:val="21"/>
            </w:rPr>
            <w:fldChar w:fldCharType="separate"/>
          </w:r>
          <w:r>
            <w:rPr>
              <w:rFonts w:ascii="楷体" w:hAnsi="楷体" w:eastAsia="楷体" w:cs="楷体"/>
              <w:sz w:val="21"/>
              <w:szCs w:val="21"/>
            </w:rPr>
            <w:t>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"_Toc179386290" </w:instrText>
          </w:r>
          <w:r>
            <w:fldChar w:fldCharType="separate"/>
          </w:r>
          <w:r>
            <w:rPr>
              <w:rFonts w:hint="eastAsia" w:ascii="楷体" w:hAnsi="楷体" w:eastAsia="楷体" w:cs="楷体"/>
              <w:sz w:val="21"/>
              <w:szCs w:val="21"/>
            </w:rPr>
            <w:t>三、支出决算情况说明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_Toc179386290 \h </w:instrText>
          </w:r>
          <w:r>
            <w:rPr>
              <w:rFonts w:ascii="楷体" w:hAnsi="楷体" w:eastAsia="楷体" w:cs="楷体"/>
              <w:sz w:val="21"/>
              <w:szCs w:val="21"/>
            </w:rPr>
            <w:fldChar w:fldCharType="separate"/>
          </w:r>
          <w:r>
            <w:rPr>
              <w:rFonts w:ascii="楷体" w:hAnsi="楷体" w:eastAsia="楷体" w:cs="楷体"/>
              <w:sz w:val="21"/>
              <w:szCs w:val="21"/>
            </w:rPr>
            <w:t>3</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"_Toc179386292" </w:instrText>
          </w:r>
          <w:r>
            <w:fldChar w:fldCharType="separate"/>
          </w:r>
          <w:r>
            <w:rPr>
              <w:rFonts w:hint="eastAsia" w:ascii="楷体" w:hAnsi="楷体" w:eastAsia="楷体" w:cs="楷体"/>
              <w:sz w:val="21"/>
              <w:szCs w:val="21"/>
            </w:rPr>
            <w:t>四、财政拨款收入支出决算总体情况说明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_Toc179386292 \h </w:instrText>
          </w:r>
          <w:r>
            <w:rPr>
              <w:rFonts w:ascii="楷体" w:hAnsi="楷体" w:eastAsia="楷体" w:cs="楷体"/>
              <w:sz w:val="21"/>
              <w:szCs w:val="21"/>
            </w:rPr>
            <w:fldChar w:fldCharType="separate"/>
          </w:r>
          <w:r>
            <w:rPr>
              <w:rFonts w:ascii="楷体" w:hAnsi="楷体" w:eastAsia="楷体" w:cs="楷体"/>
              <w:sz w:val="21"/>
              <w:szCs w:val="21"/>
            </w:rPr>
            <w:t>3</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"_Toc179386293" </w:instrText>
          </w:r>
          <w:r>
            <w:fldChar w:fldCharType="separate"/>
          </w:r>
          <w:r>
            <w:rPr>
              <w:rFonts w:hint="eastAsia" w:ascii="楷体" w:hAnsi="楷体" w:eastAsia="楷体" w:cs="楷体"/>
              <w:sz w:val="21"/>
              <w:szCs w:val="21"/>
            </w:rPr>
            <w:t>五、一般公共预算财政拨款支出决算情况说明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_Toc179386293 \h </w:instrText>
          </w:r>
          <w:r>
            <w:rPr>
              <w:rFonts w:ascii="楷体" w:hAnsi="楷体" w:eastAsia="楷体" w:cs="楷体"/>
              <w:sz w:val="21"/>
              <w:szCs w:val="21"/>
            </w:rPr>
            <w:fldChar w:fldCharType="separate"/>
          </w:r>
          <w:r>
            <w:rPr>
              <w:rFonts w:ascii="楷体" w:hAnsi="楷体" w:eastAsia="楷体" w:cs="楷体"/>
              <w:sz w:val="21"/>
              <w:szCs w:val="21"/>
            </w:rPr>
            <w:t>4</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"_Toc179386298" </w:instrText>
          </w:r>
          <w:r>
            <w:fldChar w:fldCharType="separate"/>
          </w:r>
          <w:r>
            <w:rPr>
              <w:rFonts w:hint="eastAsia" w:ascii="楷体" w:hAnsi="楷体" w:eastAsia="楷体" w:cs="楷体"/>
              <w:sz w:val="21"/>
              <w:szCs w:val="21"/>
            </w:rPr>
            <w:t>六、一般公共预算财政拨款基本支出决算情况说明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_Toc179386298 \h </w:instrText>
          </w:r>
          <w:r>
            <w:rPr>
              <w:rFonts w:ascii="楷体" w:hAnsi="楷体" w:eastAsia="楷体" w:cs="楷体"/>
              <w:sz w:val="21"/>
              <w:szCs w:val="21"/>
            </w:rPr>
            <w:fldChar w:fldCharType="separate"/>
          </w:r>
          <w:r>
            <w:rPr>
              <w:rFonts w:ascii="楷体" w:hAnsi="楷体" w:eastAsia="楷体" w:cs="楷体"/>
              <w:sz w:val="21"/>
              <w:szCs w:val="21"/>
            </w:rPr>
            <w:t>7</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"_Toc179386299" </w:instrText>
          </w:r>
          <w:r>
            <w:fldChar w:fldCharType="separate"/>
          </w:r>
          <w:r>
            <w:rPr>
              <w:rFonts w:hint="eastAsia" w:ascii="楷体" w:hAnsi="楷体" w:eastAsia="楷体" w:cs="楷体"/>
              <w:sz w:val="21"/>
              <w:szCs w:val="21"/>
            </w:rPr>
            <w:t>七、财政拨款</w:t>
          </w:r>
          <w:r>
            <w:rPr>
              <w:rFonts w:ascii="楷体" w:hAnsi="楷体" w:eastAsia="楷体" w:cs="楷体"/>
              <w:sz w:val="21"/>
              <w:szCs w:val="21"/>
            </w:rPr>
            <w:t>“</w:t>
          </w:r>
          <w:r>
            <w:rPr>
              <w:rFonts w:hint="eastAsia" w:ascii="楷体" w:hAnsi="楷体" w:eastAsia="楷体" w:cs="楷体"/>
              <w:sz w:val="21"/>
              <w:szCs w:val="21"/>
            </w:rPr>
            <w:t>三公”经费支出决算情况说明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_Toc179386299 \h </w:instrText>
          </w:r>
          <w:r>
            <w:rPr>
              <w:rFonts w:ascii="楷体" w:hAnsi="楷体" w:eastAsia="楷体" w:cs="楷体"/>
              <w:sz w:val="21"/>
              <w:szCs w:val="21"/>
            </w:rPr>
            <w:fldChar w:fldCharType="separate"/>
          </w:r>
          <w:r>
            <w:rPr>
              <w:rFonts w:ascii="楷体" w:hAnsi="楷体" w:eastAsia="楷体" w:cs="楷体"/>
              <w:sz w:val="21"/>
              <w:szCs w:val="21"/>
            </w:rPr>
            <w:t>7</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"_Toc179386302" </w:instrText>
          </w:r>
          <w:r>
            <w:fldChar w:fldCharType="separate"/>
          </w:r>
          <w:r>
            <w:rPr>
              <w:rFonts w:hint="eastAsia" w:ascii="楷体" w:hAnsi="楷体" w:eastAsia="楷体" w:cs="楷体"/>
              <w:sz w:val="21"/>
              <w:szCs w:val="21"/>
            </w:rPr>
            <w:t>八、政府性基金预算支出决算情况说明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_Toc179386302 \h </w:instrText>
          </w:r>
          <w:r>
            <w:rPr>
              <w:rFonts w:ascii="楷体" w:hAnsi="楷体" w:eastAsia="楷体" w:cs="楷体"/>
              <w:sz w:val="21"/>
              <w:szCs w:val="21"/>
            </w:rPr>
            <w:fldChar w:fldCharType="separate"/>
          </w:r>
          <w:r>
            <w:rPr>
              <w:rFonts w:ascii="楷体" w:hAnsi="楷体" w:eastAsia="楷体" w:cs="楷体"/>
              <w:sz w:val="21"/>
              <w:szCs w:val="21"/>
            </w:rPr>
            <w:t>8</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"_Toc179386303" </w:instrText>
          </w:r>
          <w:r>
            <w:fldChar w:fldCharType="separate"/>
          </w:r>
          <w:r>
            <w:rPr>
              <w:rFonts w:hint="eastAsia" w:ascii="楷体" w:hAnsi="楷体" w:eastAsia="楷体" w:cs="楷体"/>
              <w:sz w:val="21"/>
              <w:szCs w:val="21"/>
            </w:rPr>
            <w:t>九、国有资本经营预算支出决算情况说明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_Toc179386303 \h </w:instrText>
          </w:r>
          <w:r>
            <w:rPr>
              <w:rFonts w:ascii="楷体" w:hAnsi="楷体" w:eastAsia="楷体" w:cs="楷体"/>
              <w:sz w:val="21"/>
              <w:szCs w:val="21"/>
            </w:rPr>
            <w:fldChar w:fldCharType="separate"/>
          </w:r>
          <w:r>
            <w:rPr>
              <w:rFonts w:ascii="楷体" w:hAnsi="楷体" w:eastAsia="楷体" w:cs="楷体"/>
              <w:sz w:val="21"/>
              <w:szCs w:val="21"/>
            </w:rPr>
            <w:t>8</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"_Toc179386304" </w:instrText>
          </w:r>
          <w:r>
            <w:fldChar w:fldCharType="separate"/>
          </w:r>
          <w:r>
            <w:rPr>
              <w:rFonts w:hint="eastAsia" w:ascii="楷体" w:hAnsi="楷体" w:eastAsia="楷体" w:cs="楷体"/>
              <w:sz w:val="21"/>
              <w:szCs w:val="21"/>
            </w:rPr>
            <w:t>十、其他重要事项的情况说明</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_Toc179386304 \h </w:instrText>
          </w:r>
          <w:r>
            <w:rPr>
              <w:rFonts w:ascii="楷体" w:hAnsi="楷体" w:eastAsia="楷体" w:cs="楷体"/>
              <w:sz w:val="21"/>
              <w:szCs w:val="21"/>
            </w:rPr>
            <w:fldChar w:fldCharType="separate"/>
          </w:r>
          <w:r>
            <w:rPr>
              <w:rFonts w:ascii="楷体" w:hAnsi="楷体" w:eastAsia="楷体" w:cs="楷体"/>
              <w:sz w:val="21"/>
              <w:szCs w:val="21"/>
            </w:rPr>
            <w:t>9</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rPr>
              <w:rFonts w:ascii="楷体" w:hAnsi="楷体" w:eastAsia="楷体" w:cs="楷体"/>
              <w:b/>
              <w:sz w:val="21"/>
              <w:szCs w:val="21"/>
            </w:rPr>
          </w:pPr>
          <w:r>
            <w:fldChar w:fldCharType="begin"/>
          </w:r>
          <w:r>
            <w:instrText xml:space="preserve"> HYPERLINK \l "_Toc179386309" </w:instrText>
          </w:r>
          <w:r>
            <w:fldChar w:fldCharType="separate"/>
          </w:r>
          <w:r>
            <w:rPr>
              <w:rFonts w:hint="eastAsia" w:ascii="楷体" w:hAnsi="楷体" w:eastAsia="楷体" w:cs="楷体"/>
              <w:b/>
              <w:sz w:val="21"/>
              <w:szCs w:val="21"/>
            </w:rPr>
            <w:t>第三部分 名词解释</w:t>
          </w:r>
          <w:r>
            <w:rPr>
              <w:rFonts w:ascii="楷体" w:hAnsi="楷体" w:eastAsia="楷体" w:cs="楷体"/>
              <w:b/>
              <w:sz w:val="21"/>
              <w:szCs w:val="21"/>
            </w:rPr>
            <w:tab/>
          </w:r>
          <w:r>
            <w:rPr>
              <w:rFonts w:ascii="楷体" w:hAnsi="楷体" w:eastAsia="楷体" w:cs="楷体"/>
              <w:b/>
              <w:sz w:val="21"/>
              <w:szCs w:val="21"/>
            </w:rPr>
            <w:fldChar w:fldCharType="begin"/>
          </w:r>
          <w:r>
            <w:rPr>
              <w:rFonts w:ascii="楷体" w:hAnsi="楷体" w:eastAsia="楷体" w:cs="楷体"/>
              <w:b/>
              <w:sz w:val="21"/>
              <w:szCs w:val="21"/>
            </w:rPr>
            <w:instrText xml:space="preserve"> PAGEREF _Toc179386309 \h </w:instrText>
          </w:r>
          <w:r>
            <w:rPr>
              <w:rFonts w:ascii="楷体" w:hAnsi="楷体" w:eastAsia="楷体" w:cs="楷体"/>
              <w:b/>
              <w:sz w:val="21"/>
              <w:szCs w:val="21"/>
            </w:rPr>
            <w:fldChar w:fldCharType="separate"/>
          </w:r>
          <w:r>
            <w:rPr>
              <w:rFonts w:ascii="楷体" w:hAnsi="楷体" w:eastAsia="楷体" w:cs="楷体"/>
              <w:b/>
              <w:sz w:val="21"/>
              <w:szCs w:val="21"/>
            </w:rPr>
            <w:t>10</w:t>
          </w:r>
          <w:r>
            <w:rPr>
              <w:rFonts w:ascii="楷体" w:hAnsi="楷体" w:eastAsia="楷体" w:cs="楷体"/>
              <w:b/>
              <w:sz w:val="21"/>
              <w:szCs w:val="21"/>
            </w:rPr>
            <w:fldChar w:fldCharType="end"/>
          </w:r>
          <w:r>
            <w:rPr>
              <w:rFonts w:ascii="楷体" w:hAnsi="楷体" w:eastAsia="楷体" w:cs="楷体"/>
              <w:b/>
              <w:sz w:val="21"/>
              <w:szCs w:val="21"/>
            </w:rPr>
            <w:fldChar w:fldCharType="end"/>
          </w:r>
        </w:p>
        <w:p>
          <w:pPr>
            <w:pStyle w:val="34"/>
            <w:tabs>
              <w:tab w:val="right" w:leader="dot" w:pos="8306"/>
            </w:tabs>
            <w:spacing w:line="340" w:lineRule="exact"/>
            <w:ind w:left="420"/>
            <w:rPr>
              <w:rFonts w:ascii="楷体" w:hAnsi="楷体" w:eastAsia="楷体" w:cs="楷体"/>
              <w:b/>
              <w:sz w:val="21"/>
              <w:szCs w:val="21"/>
            </w:rPr>
          </w:pPr>
          <w:r>
            <w:fldChar w:fldCharType="begin"/>
          </w:r>
          <w:r>
            <w:instrText xml:space="preserve"> HYPERLINK \l "_Toc179386310" </w:instrText>
          </w:r>
          <w:r>
            <w:fldChar w:fldCharType="separate"/>
          </w:r>
          <w:r>
            <w:rPr>
              <w:rFonts w:hint="eastAsia" w:ascii="楷体" w:hAnsi="楷体" w:eastAsia="楷体" w:cs="楷体"/>
              <w:b/>
              <w:sz w:val="21"/>
              <w:szCs w:val="21"/>
            </w:rPr>
            <w:t>第四部分</w:t>
          </w:r>
          <w:r>
            <w:rPr>
              <w:rFonts w:ascii="楷体" w:hAnsi="楷体" w:eastAsia="楷体" w:cs="楷体"/>
              <w:b/>
              <w:sz w:val="21"/>
              <w:szCs w:val="21"/>
            </w:rPr>
            <w:t xml:space="preserve"> </w:t>
          </w:r>
          <w:r>
            <w:rPr>
              <w:rFonts w:hint="eastAsia" w:ascii="楷体" w:hAnsi="楷体" w:eastAsia="楷体" w:cs="楷体"/>
              <w:b/>
              <w:sz w:val="21"/>
              <w:szCs w:val="21"/>
            </w:rPr>
            <w:t>附件</w:t>
          </w:r>
          <w:r>
            <w:rPr>
              <w:rFonts w:ascii="楷体" w:hAnsi="楷体" w:eastAsia="楷体" w:cs="楷体"/>
              <w:b/>
              <w:sz w:val="21"/>
              <w:szCs w:val="21"/>
            </w:rPr>
            <w:tab/>
          </w:r>
          <w:r>
            <w:rPr>
              <w:rFonts w:ascii="楷体" w:hAnsi="楷体" w:eastAsia="楷体" w:cs="楷体"/>
              <w:b/>
              <w:sz w:val="21"/>
              <w:szCs w:val="21"/>
            </w:rPr>
            <w:fldChar w:fldCharType="begin"/>
          </w:r>
          <w:r>
            <w:rPr>
              <w:rFonts w:ascii="楷体" w:hAnsi="楷体" w:eastAsia="楷体" w:cs="楷体"/>
              <w:b/>
              <w:sz w:val="21"/>
              <w:szCs w:val="21"/>
            </w:rPr>
            <w:instrText xml:space="preserve"> PAGEREF _Toc179386310 \h </w:instrText>
          </w:r>
          <w:r>
            <w:rPr>
              <w:rFonts w:ascii="楷体" w:hAnsi="楷体" w:eastAsia="楷体" w:cs="楷体"/>
              <w:b/>
              <w:sz w:val="21"/>
              <w:szCs w:val="21"/>
            </w:rPr>
            <w:fldChar w:fldCharType="separate"/>
          </w:r>
          <w:r>
            <w:rPr>
              <w:rFonts w:ascii="楷体" w:hAnsi="楷体" w:eastAsia="楷体" w:cs="楷体"/>
              <w:b/>
              <w:sz w:val="21"/>
              <w:szCs w:val="21"/>
            </w:rPr>
            <w:t>12</w:t>
          </w:r>
          <w:r>
            <w:rPr>
              <w:rFonts w:ascii="楷体" w:hAnsi="楷体" w:eastAsia="楷体" w:cs="楷体"/>
              <w:b/>
              <w:sz w:val="21"/>
              <w:szCs w:val="21"/>
            </w:rPr>
            <w:fldChar w:fldCharType="end"/>
          </w:r>
          <w:r>
            <w:rPr>
              <w:rFonts w:ascii="楷体" w:hAnsi="楷体" w:eastAsia="楷体" w:cs="楷体"/>
              <w:b/>
              <w:sz w:val="21"/>
              <w:szCs w:val="21"/>
            </w:rPr>
            <w:fldChar w:fldCharType="end"/>
          </w:r>
        </w:p>
        <w:p>
          <w:pPr>
            <w:pStyle w:val="34"/>
            <w:tabs>
              <w:tab w:val="right" w:leader="dot" w:pos="8306"/>
            </w:tabs>
            <w:spacing w:line="340" w:lineRule="exact"/>
            <w:ind w:left="420"/>
            <w:rPr>
              <w:rFonts w:ascii="楷体" w:hAnsi="楷体" w:eastAsia="楷体" w:cs="楷体"/>
              <w:b/>
              <w:sz w:val="21"/>
              <w:szCs w:val="21"/>
            </w:rPr>
          </w:pPr>
          <w:r>
            <w:fldChar w:fldCharType="begin"/>
          </w:r>
          <w:r>
            <w:instrText xml:space="preserve"> HYPERLINK \l "_Toc179386311" </w:instrText>
          </w:r>
          <w:r>
            <w:fldChar w:fldCharType="separate"/>
          </w:r>
          <w:r>
            <w:rPr>
              <w:rFonts w:hint="eastAsia" w:ascii="楷体" w:hAnsi="楷体" w:eastAsia="楷体" w:cs="楷体"/>
              <w:b/>
              <w:sz w:val="21"/>
              <w:szCs w:val="21"/>
            </w:rPr>
            <w:t>第五部分</w:t>
          </w:r>
          <w:r>
            <w:rPr>
              <w:rFonts w:ascii="楷体" w:hAnsi="楷体" w:eastAsia="楷体" w:cs="楷体"/>
              <w:b/>
              <w:sz w:val="21"/>
              <w:szCs w:val="21"/>
            </w:rPr>
            <w:t xml:space="preserve"> </w:t>
          </w:r>
          <w:r>
            <w:rPr>
              <w:rFonts w:hint="eastAsia" w:ascii="楷体" w:hAnsi="楷体" w:eastAsia="楷体" w:cs="楷体"/>
              <w:b/>
              <w:sz w:val="21"/>
              <w:szCs w:val="21"/>
            </w:rPr>
            <w:t>附表</w:t>
          </w:r>
          <w:r>
            <w:rPr>
              <w:rFonts w:ascii="楷体" w:hAnsi="楷体" w:eastAsia="楷体" w:cs="楷体"/>
              <w:b/>
              <w:sz w:val="21"/>
              <w:szCs w:val="21"/>
            </w:rPr>
            <w:tab/>
          </w:r>
          <w:r>
            <w:rPr>
              <w:rFonts w:ascii="楷体" w:hAnsi="楷体" w:eastAsia="楷体" w:cs="楷体"/>
              <w:b/>
              <w:sz w:val="21"/>
              <w:szCs w:val="21"/>
            </w:rPr>
            <w:fldChar w:fldCharType="begin"/>
          </w:r>
          <w:r>
            <w:rPr>
              <w:rFonts w:ascii="楷体" w:hAnsi="楷体" w:eastAsia="楷体" w:cs="楷体"/>
              <w:b/>
              <w:sz w:val="21"/>
              <w:szCs w:val="21"/>
            </w:rPr>
            <w:instrText xml:space="preserve"> PAGEREF _Toc179386311 \h </w:instrText>
          </w:r>
          <w:r>
            <w:rPr>
              <w:rFonts w:ascii="楷体" w:hAnsi="楷体" w:eastAsia="楷体" w:cs="楷体"/>
              <w:b/>
              <w:sz w:val="21"/>
              <w:szCs w:val="21"/>
            </w:rPr>
            <w:fldChar w:fldCharType="separate"/>
          </w:r>
          <w:r>
            <w:rPr>
              <w:rFonts w:ascii="楷体" w:hAnsi="楷体" w:eastAsia="楷体" w:cs="楷体"/>
              <w:b/>
              <w:sz w:val="21"/>
              <w:szCs w:val="21"/>
            </w:rPr>
            <w:t>22</w:t>
          </w:r>
          <w:r>
            <w:rPr>
              <w:rFonts w:ascii="楷体" w:hAnsi="楷体" w:eastAsia="楷体" w:cs="楷体"/>
              <w:b/>
              <w:sz w:val="21"/>
              <w:szCs w:val="21"/>
            </w:rPr>
            <w:fldChar w:fldCharType="end"/>
          </w:r>
          <w:r>
            <w:rPr>
              <w:rFonts w:ascii="楷体" w:hAnsi="楷体" w:eastAsia="楷体" w:cs="楷体"/>
              <w:b/>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"_Toc179386312" </w:instrText>
          </w:r>
          <w:r>
            <w:fldChar w:fldCharType="separate"/>
          </w:r>
          <w:r>
            <w:rPr>
              <w:rFonts w:hint="eastAsia" w:ascii="楷体" w:hAnsi="楷体" w:eastAsia="楷体" w:cs="楷体"/>
              <w:sz w:val="21"/>
              <w:szCs w:val="21"/>
            </w:rPr>
            <w:t>一、收入支出决算总表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_Toc179386312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"_Toc179386313" </w:instrText>
          </w:r>
          <w:r>
            <w:fldChar w:fldCharType="separate"/>
          </w:r>
          <w:r>
            <w:rPr>
              <w:rFonts w:hint="eastAsia" w:ascii="楷体" w:hAnsi="楷体" w:eastAsia="楷体" w:cs="楷体"/>
              <w:sz w:val="21"/>
              <w:szCs w:val="21"/>
            </w:rPr>
            <w:t>二、收入决算表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_Toc179386313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"_Toc179386314" </w:instrText>
          </w:r>
          <w:r>
            <w:fldChar w:fldCharType="separate"/>
          </w:r>
          <w:r>
            <w:rPr>
              <w:rFonts w:hint="eastAsia" w:ascii="楷体" w:hAnsi="楷体" w:eastAsia="楷体" w:cs="楷体"/>
              <w:sz w:val="21"/>
              <w:szCs w:val="21"/>
            </w:rPr>
            <w:t>三、支出决算表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_Toc179386314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"_Toc179386315" </w:instrText>
          </w:r>
          <w:r>
            <w:fldChar w:fldCharType="separate"/>
          </w:r>
          <w:r>
            <w:rPr>
              <w:rFonts w:hint="eastAsia" w:ascii="楷体" w:hAnsi="楷体" w:eastAsia="楷体" w:cs="楷体"/>
              <w:sz w:val="21"/>
              <w:szCs w:val="21"/>
            </w:rPr>
            <w:t>四、财政拨款收入支出决算总表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_Toc179386315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"_Toc179386316" </w:instrText>
          </w:r>
          <w:r>
            <w:fldChar w:fldCharType="separate"/>
          </w:r>
          <w:r>
            <w:rPr>
              <w:rFonts w:hint="eastAsia" w:ascii="楷体" w:hAnsi="楷体" w:eastAsia="楷体" w:cs="楷体"/>
              <w:sz w:val="21"/>
              <w:szCs w:val="21"/>
            </w:rPr>
            <w:t>五、财政拨款支出决算明细表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_Toc179386316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"_Toc179386317" </w:instrText>
          </w:r>
          <w:r>
            <w:fldChar w:fldCharType="separate"/>
          </w:r>
          <w:r>
            <w:rPr>
              <w:rFonts w:hint="eastAsia" w:ascii="楷体" w:hAnsi="楷体" w:eastAsia="楷体" w:cs="楷体"/>
              <w:sz w:val="21"/>
              <w:szCs w:val="21"/>
            </w:rPr>
            <w:t>六、一般公共预算财政拨款支出决算表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_Toc179386317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"_Toc179386318" </w:instrText>
          </w:r>
          <w:r>
            <w:fldChar w:fldCharType="separate"/>
          </w:r>
          <w:r>
            <w:rPr>
              <w:rFonts w:hint="eastAsia" w:ascii="楷体" w:hAnsi="楷体" w:eastAsia="楷体" w:cs="楷体"/>
              <w:sz w:val="21"/>
              <w:szCs w:val="21"/>
            </w:rPr>
            <w:t>七、一般公共预算财政拨款支出决算明细表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_Toc179386318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"_Toc179386319" </w:instrText>
          </w:r>
          <w:r>
            <w:fldChar w:fldCharType="separate"/>
          </w:r>
          <w:r>
            <w:rPr>
              <w:rFonts w:hint="eastAsia" w:ascii="楷体" w:hAnsi="楷体" w:eastAsia="楷体" w:cs="楷体"/>
              <w:sz w:val="21"/>
              <w:szCs w:val="21"/>
            </w:rPr>
            <w:t>八、一般公共预算财政拨款基本支出决算表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_Toc179386319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"_Toc179386320" </w:instrText>
          </w:r>
          <w:r>
            <w:fldChar w:fldCharType="separate"/>
          </w:r>
          <w:r>
            <w:rPr>
              <w:rFonts w:hint="eastAsia" w:ascii="楷体" w:hAnsi="楷体" w:eastAsia="楷体" w:cs="楷体"/>
              <w:sz w:val="21"/>
              <w:szCs w:val="21"/>
            </w:rPr>
            <w:t>九、一般公共预算财政拨款项目支出决算表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_Toc179386320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"_Toc179386321" </w:instrText>
          </w:r>
          <w:r>
            <w:fldChar w:fldCharType="separate"/>
          </w:r>
          <w:r>
            <w:rPr>
              <w:rFonts w:hint="eastAsia" w:ascii="楷体" w:hAnsi="楷体" w:eastAsia="楷体" w:cs="楷体"/>
              <w:sz w:val="21"/>
              <w:szCs w:val="21"/>
            </w:rPr>
            <w:t>十、政府性基金预算财政拨款收入支出决算表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_Toc179386321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"_Toc179386322" </w:instrText>
          </w:r>
          <w:r>
            <w:fldChar w:fldCharType="separate"/>
          </w:r>
          <w:r>
            <w:rPr>
              <w:rFonts w:hint="eastAsia" w:ascii="楷体" w:hAnsi="楷体" w:eastAsia="楷体" w:cs="楷体"/>
              <w:sz w:val="21"/>
              <w:szCs w:val="21"/>
            </w:rPr>
            <w:t>十一、国有资本经营预算财政拨款收入支出决算表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_Toc179386322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"_Toc179386323" </w:instrText>
          </w:r>
          <w:r>
            <w:fldChar w:fldCharType="separate"/>
          </w:r>
          <w:r>
            <w:rPr>
              <w:rFonts w:hint="eastAsia" w:ascii="楷体" w:hAnsi="楷体" w:eastAsia="楷体" w:cs="楷体"/>
              <w:sz w:val="21"/>
              <w:szCs w:val="21"/>
            </w:rPr>
            <w:t>十二、国有资本经营预算财政拨款支出决算表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_Toc179386323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firstLine="200" w:firstLineChars="100"/>
            <w:rPr>
              <w:rFonts w:ascii="楷体" w:hAnsi="楷体" w:eastAsia="楷体" w:cs="楷体"/>
              <w:sz w:val="21"/>
              <w:szCs w:val="21"/>
            </w:rPr>
          </w:pPr>
          <w:r>
            <w:fldChar w:fldCharType="begin"/>
          </w:r>
          <w:r>
            <w:instrText xml:space="preserve"> HYPERLINK \l "_Toc179386324" </w:instrText>
          </w:r>
          <w:r>
            <w:fldChar w:fldCharType="separate"/>
          </w:r>
          <w:r>
            <w:rPr>
              <w:rFonts w:hint="eastAsia" w:ascii="楷体" w:hAnsi="楷体" w:eastAsia="楷体" w:cs="楷体"/>
              <w:sz w:val="21"/>
              <w:szCs w:val="21"/>
            </w:rPr>
            <w:t>十三、财政拨款“三公”经费支出决算表</w:t>
          </w:r>
          <w:r>
            <w:rPr>
              <w:rFonts w:ascii="楷体" w:hAnsi="楷体" w:eastAsia="楷体" w:cs="楷体"/>
              <w:sz w:val="21"/>
              <w:szCs w:val="21"/>
            </w:rPr>
            <w:tab/>
          </w:r>
          <w:r>
            <w:rPr>
              <w:rFonts w:ascii="楷体" w:hAnsi="楷体" w:eastAsia="楷体" w:cs="楷体"/>
              <w:sz w:val="21"/>
              <w:szCs w:val="21"/>
            </w:rPr>
            <w:fldChar w:fldCharType="begin"/>
          </w:r>
          <w:r>
            <w:rPr>
              <w:rFonts w:ascii="楷体" w:hAnsi="楷体" w:eastAsia="楷体" w:cs="楷体"/>
              <w:sz w:val="21"/>
              <w:szCs w:val="21"/>
            </w:rPr>
            <w:instrText xml:space="preserve"> PAGEREF _Toc179386324 \h </w:instrText>
          </w:r>
          <w:r>
            <w:rPr>
              <w:rFonts w:ascii="楷体" w:hAnsi="楷体" w:eastAsia="楷体" w:cs="楷体"/>
              <w:sz w:val="21"/>
              <w:szCs w:val="21"/>
            </w:rPr>
            <w:fldChar w:fldCharType="separate"/>
          </w:r>
          <w:r>
            <w:rPr>
              <w:rFonts w:ascii="楷体" w:hAnsi="楷体" w:eastAsia="楷体" w:cs="楷体"/>
              <w:sz w:val="21"/>
              <w:szCs w:val="21"/>
            </w:rPr>
            <w:t>22</w:t>
          </w:r>
          <w:r>
            <w:rPr>
              <w:rFonts w:ascii="楷体" w:hAnsi="楷体" w:eastAsia="楷体" w:cs="楷体"/>
              <w:sz w:val="21"/>
              <w:szCs w:val="21"/>
            </w:rPr>
            <w:fldChar w:fldCharType="end"/>
          </w:r>
          <w:r>
            <w:rPr>
              <w:rFonts w:ascii="楷体" w:hAnsi="楷体" w:eastAsia="楷体" w:cs="楷体"/>
              <w:sz w:val="21"/>
              <w:szCs w:val="21"/>
            </w:rPr>
            <w:fldChar w:fldCharType="end"/>
          </w:r>
        </w:p>
        <w:p>
          <w:pPr>
            <w:pStyle w:val="34"/>
            <w:tabs>
              <w:tab w:val="right" w:leader="dot" w:pos="8306"/>
            </w:tabs>
            <w:spacing w:line="340" w:lineRule="exact"/>
            <w:ind w:left="420"/>
            <w:rPr>
              <w:rFonts w:ascii="楷体" w:hAnsi="楷体" w:eastAsia="楷体" w:cs="楷体"/>
              <w:sz w:val="21"/>
              <w:szCs w:val="21"/>
            </w:rPr>
          </w:pPr>
          <w:r>
            <w:rPr>
              <w:rFonts w:ascii="楷体" w:hAnsi="楷体" w:eastAsia="楷体" w:cs="楷体"/>
              <w:sz w:val="21"/>
              <w:szCs w:val="21"/>
            </w:rPr>
            <w:fldChar w:fldCharType="end"/>
          </w:r>
        </w:p>
      </w:sdtContent>
    </w:sdt>
    <w:p>
      <w:pPr>
        <w:pStyle w:val="34"/>
        <w:tabs>
          <w:tab w:val="right" w:leader="dot" w:pos="8306"/>
        </w:tabs>
        <w:spacing w:line="340" w:lineRule="exact"/>
        <w:ind w:left="420"/>
        <w:rPr>
          <w:rFonts w:ascii="楷体" w:hAnsi="楷体" w:eastAsia="楷体" w:cs="楷体"/>
          <w:sz w:val="21"/>
          <w:szCs w:val="21"/>
        </w:rPr>
      </w:pPr>
    </w:p>
    <w:p>
      <w:pPr>
        <w:pStyle w:val="3"/>
        <w:jc w:val="center"/>
        <w:rPr>
          <w:rFonts w:hint="eastAsia"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9" w:name="_Toc15377196"/>
      <w:bookmarkStart w:id="10" w:name="_Toc179386283"/>
      <w:bookmarkStart w:id="11" w:name="_Toc15396599"/>
    </w:p>
    <w:p>
      <w:pPr>
        <w:pStyle w:val="3"/>
        <w:jc w:val="center"/>
        <w:rPr>
          <w:rFonts w:ascii="黑体" w:hAnsi="黑体" w:eastAsia="黑体"/>
          <w:bCs w:val="0"/>
        </w:rPr>
      </w:pPr>
      <w:r>
        <w:rPr>
          <w:rFonts w:hint="eastAsia" w:ascii="黑体" w:hAnsi="黑体" w:eastAsia="黑体"/>
          <w:b w:val="0"/>
        </w:rPr>
        <w:t>第一部分 单位</w:t>
      </w:r>
      <w:r>
        <w:rPr>
          <w:rStyle w:val="19"/>
          <w:rFonts w:hint="eastAsia" w:ascii="黑体" w:hAnsi="黑体" w:eastAsia="黑体"/>
          <w:b w:val="0"/>
          <w:bCs w:val="0"/>
        </w:rPr>
        <w:t>概况</w:t>
      </w:r>
      <w:bookmarkEnd w:id="9"/>
      <w:bookmarkEnd w:id="10"/>
      <w:bookmarkEnd w:id="11"/>
    </w:p>
    <w:p>
      <w:pPr>
        <w:pStyle w:val="4"/>
        <w:numPr>
          <w:ilvl w:val="0"/>
          <w:numId w:val="1"/>
        </w:numPr>
        <w:rPr>
          <w:rStyle w:val="20"/>
          <w:rFonts w:hint="eastAsia" w:ascii="黑体" w:hAnsi="黑体" w:eastAsia="黑体"/>
          <w:b w:val="0"/>
          <w:bCs w:val="0"/>
        </w:rPr>
      </w:pPr>
      <w:bookmarkStart w:id="12" w:name="_Toc179386284"/>
      <w:bookmarkStart w:id="13" w:name="_Toc15377197"/>
      <w:bookmarkStart w:id="14" w:name="_Toc15396600"/>
      <w:r>
        <w:rPr>
          <w:rStyle w:val="20"/>
          <w:rFonts w:hint="eastAsia" w:ascii="黑体" w:hAnsi="黑体" w:eastAsia="黑体"/>
          <w:b w:val="0"/>
          <w:bCs w:val="0"/>
        </w:rPr>
        <w:t>主要职责</w:t>
      </w:r>
      <w:bookmarkEnd w:id="12"/>
    </w:p>
    <w:p>
      <w:pPr>
        <w:keepNext/>
        <w:keepLines/>
        <w:spacing w:line="576" w:lineRule="exact"/>
        <w:ind w:firstLine="640" w:firstLineChars="200"/>
        <w:rPr>
          <w:rFonts w:hint="eastAsia" w:ascii="仿宋" w:hAnsi="仿宋" w:eastAsia="仿宋" w:cs="仿宋"/>
          <w:sz w:val="32"/>
          <w:lang w:val="zh-CN"/>
        </w:rPr>
      </w:pPr>
      <w:r>
        <w:rPr>
          <w:rFonts w:hint="eastAsia" w:ascii="仿宋" w:hAnsi="仿宋" w:eastAsia="仿宋" w:cs="仿宋"/>
          <w:sz w:val="32"/>
        </w:rPr>
        <w:t>广元市服务中心主要</w:t>
      </w:r>
      <w:r>
        <w:rPr>
          <w:rFonts w:hint="eastAsia" w:ascii="仿宋" w:hAnsi="仿宋" w:eastAsia="仿宋" w:cs="仿宋"/>
          <w:sz w:val="32"/>
          <w:lang w:val="zh-CN"/>
        </w:rPr>
        <w:t>为学校后勤管理、教辅用品、学校物业管理等工作提供技术指导。受委托，做好农村义务教育学生营养补助资金管理，指导学校完善营养计划供餐模式和机制，建立学生营养状况监测评估机制。负责大中专学校学生生源地助学贷款、高校学生服义务兵役学费补偿贷款及学费资助、高校毕业生基层单位就业学费奖补工作；负责普通高中、中职学校免学费及国家助学金发放工作；负责义务教育阶段“两免一补”工作和学前教育资助工作。</w:t>
      </w:r>
    </w:p>
    <w:p/>
    <w:p>
      <w:pPr>
        <w:pStyle w:val="4"/>
        <w:rPr>
          <w:rFonts w:ascii="黑体" w:hAnsi="黑体" w:eastAsia="黑体"/>
          <w:b w:val="0"/>
        </w:rPr>
      </w:pPr>
      <w:bookmarkStart w:id="15" w:name="_Toc179386285"/>
      <w:r>
        <w:rPr>
          <w:rFonts w:hint="eastAsia" w:ascii="黑体" w:hAnsi="黑体" w:eastAsia="黑体"/>
          <w:b w:val="0"/>
        </w:rPr>
        <w:t>二、机构设置</w:t>
      </w:r>
      <w:bookmarkEnd w:id="15"/>
    </w:p>
    <w:bookmarkEnd w:id="13"/>
    <w:bookmarkEnd w:id="14"/>
    <w:p>
      <w:pPr>
        <w:keepNext/>
        <w:keepLines/>
        <w:spacing w:line="576" w:lineRule="exact"/>
        <w:ind w:firstLine="640"/>
        <w:rPr>
          <w:rFonts w:hint="eastAsia" w:ascii="仿宋" w:hAnsi="仿宋" w:eastAsia="仿宋" w:cs="仿宋"/>
          <w:sz w:val="32"/>
        </w:rPr>
      </w:pPr>
      <w:r>
        <w:rPr>
          <w:rFonts w:hint="eastAsia" w:ascii="仿宋" w:hAnsi="仿宋" w:eastAsia="仿宋" w:cs="仿宋"/>
          <w:sz w:val="32"/>
        </w:rPr>
        <w:t>我单位为广元市教育局二级预算单位，为其他事业单位。</w:t>
      </w:r>
    </w:p>
    <w:p>
      <w:pPr>
        <w:widowControl/>
        <w:jc w:val="left"/>
        <w:rPr>
          <w:rFonts w:hint="eastAsia" w:ascii="仿宋" w:hAnsi="仿宋" w:eastAsia="仿宋" w:cs="仿宋"/>
          <w:kern w:val="0"/>
          <w:sz w:val="32"/>
          <w:szCs w:val="32"/>
        </w:rPr>
      </w:pPr>
      <w:r>
        <w:rPr>
          <w:rFonts w:hint="eastAsia" w:ascii="仿宋" w:hAnsi="仿宋" w:eastAsia="仿宋" w:cs="仿宋"/>
          <w:sz w:val="32"/>
          <w:szCs w:val="32"/>
        </w:rPr>
        <w:br w:type="page"/>
      </w:r>
    </w:p>
    <w:p>
      <w:pPr>
        <w:pStyle w:val="3"/>
        <w:ind w:right="440"/>
        <w:jc w:val="center"/>
        <w:rPr>
          <w:rStyle w:val="19"/>
          <w:rFonts w:ascii="黑体" w:hAnsi="黑体" w:eastAsia="黑体"/>
          <w:b w:val="0"/>
          <w:bCs/>
        </w:rPr>
      </w:pPr>
      <w:bookmarkStart w:id="16" w:name="_Toc15396602"/>
      <w:bookmarkStart w:id="17" w:name="_Toc179386286"/>
      <w:bookmarkStart w:id="18" w:name="_Toc15377204"/>
      <w:r>
        <w:rPr>
          <w:rFonts w:hint="eastAsia" w:ascii="黑体" w:hAnsi="黑体" w:eastAsia="黑体"/>
          <w:b w:val="0"/>
        </w:rPr>
        <w:t>第二部分 2023年度</w:t>
      </w:r>
      <w:r>
        <w:rPr>
          <w:rStyle w:val="19"/>
          <w:rFonts w:hint="eastAsia" w:ascii="黑体" w:hAnsi="黑体" w:eastAsia="黑体"/>
          <w:b w:val="0"/>
          <w:bCs/>
        </w:rPr>
        <w:t>单位决算情况说明</w:t>
      </w:r>
      <w:bookmarkEnd w:id="16"/>
      <w:bookmarkEnd w:id="17"/>
      <w:bookmarkEnd w:id="18"/>
    </w:p>
    <w:p/>
    <w:p>
      <w:pPr>
        <w:pStyle w:val="30"/>
        <w:numPr>
          <w:ilvl w:val="0"/>
          <w:numId w:val="2"/>
        </w:numPr>
        <w:spacing w:line="600" w:lineRule="exact"/>
        <w:ind w:firstLineChars="0"/>
        <w:outlineLvl w:val="1"/>
        <w:rPr>
          <w:rStyle w:val="20"/>
          <w:rFonts w:ascii="黑体" w:hAnsi="黑体" w:eastAsia="黑体"/>
          <w:b w:val="0"/>
        </w:rPr>
      </w:pPr>
      <w:bookmarkStart w:id="19" w:name="_Toc15377205"/>
      <w:bookmarkStart w:id="20" w:name="_Toc15396603"/>
      <w:bookmarkStart w:id="21" w:name="_Toc179386287"/>
      <w:r>
        <w:rPr>
          <w:rFonts w:hint="eastAsia" w:ascii="黑体" w:hAnsi="黑体" w:eastAsia="黑体"/>
          <w:sz w:val="32"/>
          <w:szCs w:val="32"/>
        </w:rPr>
        <w:t>收</w:t>
      </w:r>
      <w:r>
        <w:rPr>
          <w:rStyle w:val="20"/>
          <w:rFonts w:hint="eastAsia" w:ascii="黑体" w:hAnsi="黑体" w:eastAsia="黑体"/>
          <w:b w:val="0"/>
        </w:rPr>
        <w:t>入支出决算总体情况说明</w:t>
      </w:r>
      <w:bookmarkEnd w:id="19"/>
      <w:bookmarkEnd w:id="20"/>
      <w:bookmarkEnd w:id="21"/>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88.07</w:t>
      </w:r>
      <w:r>
        <w:rPr>
          <w:rFonts w:hint="eastAsia" w:ascii="仿宋" w:hAnsi="仿宋" w:eastAsia="仿宋"/>
          <w:sz w:val="32"/>
          <w:szCs w:val="32"/>
        </w:rPr>
        <w:t>万元。与2022年度相比，收、支总计各增加5.65万元，增长7.00</w:t>
      </w:r>
      <w:r>
        <w:rPr>
          <w:rFonts w:ascii="仿宋" w:hAnsi="仿宋" w:eastAsia="仿宋"/>
          <w:sz w:val="32"/>
          <w:szCs w:val="32"/>
        </w:rPr>
        <w:t>%</w:t>
      </w:r>
      <w:r>
        <w:rPr>
          <w:rFonts w:hint="eastAsia" w:ascii="仿宋" w:hAnsi="仿宋" w:eastAsia="仿宋"/>
          <w:sz w:val="32"/>
          <w:szCs w:val="32"/>
        </w:rPr>
        <w:t>。主要变动原因是人员保险金额增加。</w:t>
      </w:r>
    </w:p>
    <w:p>
      <w:pPr>
        <w:pStyle w:val="2"/>
        <w:jc w:val="center"/>
        <w:rPr>
          <w:rFonts w:hint="eastAsia"/>
        </w:rPr>
      </w:pPr>
      <w:r>
        <w:drawing>
          <wp:inline distT="0" distB="0" distL="0" distR="0">
            <wp:extent cx="4572000" cy="2743200"/>
            <wp:effectExtent l="19050" t="0" r="19050" b="0"/>
            <wp:docPr id="1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spacing w:line="600" w:lineRule="exact"/>
        <w:ind w:firstLine="640" w:firstLineChars="200"/>
        <w:jc w:val="left"/>
        <w:rPr>
          <w:rFonts w:ascii="仿宋_GB2312" w:eastAsia="仿宋_GB2312"/>
          <w:sz w:val="32"/>
          <w:szCs w:val="32"/>
        </w:rPr>
      </w:pPr>
    </w:p>
    <w:p>
      <w:pPr>
        <w:pStyle w:val="30"/>
        <w:numPr>
          <w:ilvl w:val="0"/>
          <w:numId w:val="2"/>
        </w:numPr>
        <w:spacing w:line="600" w:lineRule="exact"/>
        <w:ind w:firstLineChars="0"/>
        <w:outlineLvl w:val="1"/>
        <w:rPr>
          <w:rStyle w:val="20"/>
          <w:rFonts w:ascii="黑体" w:hAnsi="黑体" w:eastAsia="黑体"/>
          <w:b w:val="0"/>
        </w:rPr>
      </w:pPr>
      <w:bookmarkStart w:id="22" w:name="_Toc15377206"/>
      <w:bookmarkStart w:id="23" w:name="_Toc15396604"/>
      <w:bookmarkStart w:id="24" w:name="_Toc179386288"/>
      <w:r>
        <w:rPr>
          <w:rFonts w:hint="eastAsia" w:ascii="黑体" w:hAnsi="黑体" w:eastAsia="黑体"/>
          <w:sz w:val="32"/>
          <w:szCs w:val="32"/>
        </w:rPr>
        <w:t>收</w:t>
      </w:r>
      <w:r>
        <w:rPr>
          <w:rStyle w:val="20"/>
          <w:rFonts w:hint="eastAsia" w:ascii="黑体" w:hAnsi="黑体" w:eastAsia="黑体"/>
          <w:b w:val="0"/>
        </w:rPr>
        <w:t>入决算情况说明</w:t>
      </w:r>
      <w:bookmarkEnd w:id="22"/>
      <w:bookmarkEnd w:id="23"/>
      <w:bookmarkEnd w:id="24"/>
    </w:p>
    <w:p>
      <w:pPr>
        <w:spacing w:line="600" w:lineRule="exact"/>
        <w:ind w:firstLine="640" w:firstLineChars="200"/>
        <w:outlineLvl w:val="1"/>
        <w:rPr>
          <w:rFonts w:ascii="仿宋" w:hAnsi="仿宋" w:eastAsia="仿宋"/>
          <w:sz w:val="32"/>
          <w:szCs w:val="32"/>
        </w:rPr>
      </w:pPr>
      <w:bookmarkStart w:id="25" w:name="_Toc179386289"/>
      <w:r>
        <w:rPr>
          <w:rFonts w:hint="eastAsia" w:ascii="仿宋" w:hAnsi="仿宋" w:eastAsia="仿宋"/>
          <w:sz w:val="32"/>
          <w:szCs w:val="32"/>
        </w:rPr>
        <w:t>2023年度本年收入合计</w:t>
      </w:r>
      <w:r>
        <w:rPr>
          <w:rFonts w:ascii="仿宋" w:hAnsi="仿宋" w:eastAsia="仿宋"/>
          <w:b/>
          <w:sz w:val="32"/>
          <w:szCs w:val="32"/>
        </w:rPr>
        <w:t>88.07</w:t>
      </w:r>
      <w:r>
        <w:rPr>
          <w:rFonts w:hint="eastAsia" w:ascii="仿宋" w:hAnsi="仿宋" w:eastAsia="仿宋"/>
          <w:sz w:val="32"/>
          <w:szCs w:val="32"/>
        </w:rPr>
        <w:t>万元，其中：一般公共预算财政拨款收入</w:t>
      </w:r>
      <w:r>
        <w:rPr>
          <w:rFonts w:ascii="仿宋" w:hAnsi="仿宋" w:eastAsia="仿宋"/>
          <w:b/>
          <w:sz w:val="32"/>
          <w:szCs w:val="32"/>
        </w:rPr>
        <w:t>88.07</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w:t>
      </w:r>
      <w:bookmarkEnd w:id="25"/>
    </w:p>
    <w:p>
      <w:pPr>
        <w:spacing w:line="600" w:lineRule="exact"/>
        <w:ind w:firstLine="640" w:firstLineChars="200"/>
        <w:outlineLvl w:val="1"/>
        <w:rPr>
          <w:rFonts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pStyle w:val="2"/>
        <w:jc w:val="center"/>
        <w:rPr>
          <w:rFonts w:hint="eastAsia"/>
        </w:rPr>
      </w:pPr>
      <w:r>
        <w:drawing>
          <wp:inline distT="0" distB="0" distL="0" distR="0">
            <wp:extent cx="4954270" cy="2400935"/>
            <wp:effectExtent l="19050" t="0" r="17166" b="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（图2：收入决算结构图）（饼状图）</w:t>
      </w:r>
    </w:p>
    <w:p>
      <w:pPr>
        <w:spacing w:line="600" w:lineRule="exact"/>
        <w:ind w:firstLine="640" w:firstLineChars="200"/>
        <w:rPr>
          <w:rFonts w:ascii="仿宋_GB2312" w:eastAsia="仿宋_GB2312"/>
          <w:sz w:val="32"/>
          <w:szCs w:val="32"/>
        </w:rPr>
      </w:pPr>
    </w:p>
    <w:p>
      <w:pPr>
        <w:pStyle w:val="30"/>
        <w:numPr>
          <w:ilvl w:val="0"/>
          <w:numId w:val="2"/>
        </w:numPr>
        <w:spacing w:line="600" w:lineRule="exact"/>
        <w:ind w:firstLineChars="0"/>
        <w:outlineLvl w:val="1"/>
        <w:rPr>
          <w:rStyle w:val="20"/>
          <w:rFonts w:ascii="黑体" w:hAnsi="黑体" w:eastAsia="黑体"/>
          <w:b w:val="0"/>
        </w:rPr>
      </w:pPr>
      <w:bookmarkStart w:id="26" w:name="_Toc179386290"/>
      <w:bookmarkStart w:id="27" w:name="_Toc15377207"/>
      <w:bookmarkStart w:id="28" w:name="_Toc15396605"/>
      <w:r>
        <w:rPr>
          <w:rFonts w:hint="eastAsia" w:ascii="黑体" w:hAnsi="黑体" w:eastAsia="黑体"/>
          <w:sz w:val="32"/>
          <w:szCs w:val="32"/>
        </w:rPr>
        <w:t>支</w:t>
      </w:r>
      <w:r>
        <w:rPr>
          <w:rStyle w:val="20"/>
          <w:rFonts w:hint="eastAsia" w:ascii="黑体" w:hAnsi="黑体" w:eastAsia="黑体"/>
          <w:b w:val="0"/>
        </w:rPr>
        <w:t>出决算情况说明</w:t>
      </w:r>
      <w:bookmarkEnd w:id="26"/>
      <w:bookmarkEnd w:id="27"/>
      <w:bookmarkEnd w:id="28"/>
    </w:p>
    <w:p>
      <w:pPr>
        <w:spacing w:line="600" w:lineRule="exact"/>
        <w:ind w:firstLine="640" w:firstLineChars="200"/>
        <w:outlineLvl w:val="1"/>
        <w:rPr>
          <w:rFonts w:hint="eastAsia" w:ascii="仿宋" w:hAnsi="仿宋" w:eastAsia="仿宋"/>
          <w:sz w:val="32"/>
          <w:szCs w:val="32"/>
        </w:rPr>
      </w:pPr>
      <w:bookmarkStart w:id="29" w:name="_Toc179386291"/>
      <w:r>
        <w:rPr>
          <w:rFonts w:hint="eastAsia" w:ascii="仿宋" w:hAnsi="仿宋" w:eastAsia="仿宋"/>
          <w:sz w:val="32"/>
          <w:szCs w:val="32"/>
        </w:rPr>
        <w:t>2023年度本年支出合计</w:t>
      </w:r>
      <w:r>
        <w:rPr>
          <w:rFonts w:ascii="仿宋" w:hAnsi="仿宋" w:eastAsia="仿宋"/>
          <w:b/>
          <w:sz w:val="32"/>
          <w:szCs w:val="32"/>
        </w:rPr>
        <w:t>88.07</w:t>
      </w:r>
      <w:r>
        <w:rPr>
          <w:rFonts w:hint="eastAsia" w:ascii="仿宋" w:hAnsi="仿宋" w:eastAsia="仿宋"/>
          <w:sz w:val="32"/>
          <w:szCs w:val="32"/>
        </w:rPr>
        <w:t>万元，其中：基本支出</w:t>
      </w:r>
      <w:r>
        <w:rPr>
          <w:rFonts w:ascii="仿宋" w:hAnsi="仿宋" w:eastAsia="仿宋"/>
          <w:b/>
          <w:sz w:val="32"/>
          <w:szCs w:val="32"/>
        </w:rPr>
        <w:t>86.82</w:t>
      </w:r>
      <w:r>
        <w:rPr>
          <w:rFonts w:hint="eastAsia" w:ascii="仿宋" w:hAnsi="仿宋" w:eastAsia="仿宋"/>
          <w:sz w:val="32"/>
          <w:szCs w:val="32"/>
        </w:rPr>
        <w:t>万元，占</w:t>
      </w:r>
      <w:r>
        <w:rPr>
          <w:rFonts w:ascii="仿宋" w:hAnsi="仿宋" w:eastAsia="仿宋"/>
          <w:b/>
          <w:sz w:val="32"/>
          <w:szCs w:val="32"/>
        </w:rPr>
        <w:t>98.58</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1.25</w:t>
      </w:r>
      <w:r>
        <w:rPr>
          <w:rFonts w:hint="eastAsia" w:ascii="仿宋" w:hAnsi="仿宋" w:eastAsia="仿宋"/>
          <w:sz w:val="32"/>
          <w:szCs w:val="32"/>
        </w:rPr>
        <w:t>万元，占</w:t>
      </w:r>
      <w:r>
        <w:rPr>
          <w:rFonts w:ascii="仿宋" w:hAnsi="仿宋" w:eastAsia="仿宋"/>
          <w:b/>
          <w:sz w:val="32"/>
          <w:szCs w:val="32"/>
        </w:rPr>
        <w:t>1.4</w:t>
      </w:r>
      <w:r>
        <w:rPr>
          <w:rFonts w:hint="eastAsia" w:ascii="仿宋" w:hAnsi="仿宋" w:eastAsia="仿宋"/>
          <w:b/>
          <w:sz w:val="32"/>
          <w:szCs w:val="32"/>
        </w:rPr>
        <w:t>2</w:t>
      </w:r>
      <w:r>
        <w:rPr>
          <w:rFonts w:ascii="仿宋" w:hAnsi="仿宋" w:eastAsia="仿宋"/>
          <w:sz w:val="32"/>
          <w:szCs w:val="32"/>
        </w:rPr>
        <w:t>%</w:t>
      </w:r>
      <w:r>
        <w:rPr>
          <w:rFonts w:hint="eastAsia" w:ascii="仿宋" w:hAnsi="仿宋" w:eastAsia="仿宋"/>
          <w:sz w:val="32"/>
          <w:szCs w:val="32"/>
        </w:rPr>
        <w:t>。</w:t>
      </w:r>
      <w:bookmarkEnd w:id="29"/>
    </w:p>
    <w:p>
      <w:pPr>
        <w:jc w:val="center"/>
        <w:rPr>
          <w:rFonts w:hint="eastAsia"/>
        </w:rPr>
      </w:pPr>
      <w:r>
        <w:drawing>
          <wp:inline distT="0" distB="0" distL="0" distR="0">
            <wp:extent cx="5014595" cy="2421255"/>
            <wp:effectExtent l="19050" t="0" r="14026" b="0"/>
            <wp:docPr id="9"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0"/>
          <w:rFonts w:ascii="黑体" w:hAnsi="黑体" w:eastAsia="黑体"/>
          <w:b w:val="0"/>
        </w:rPr>
      </w:pPr>
      <w:bookmarkStart w:id="30" w:name="_Toc15377208"/>
      <w:bookmarkStart w:id="31" w:name="_Toc179386292"/>
      <w:bookmarkStart w:id="32" w:name="_Toc15396606"/>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30"/>
      <w:bookmarkEnd w:id="31"/>
      <w:bookmarkEnd w:id="32"/>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b/>
          <w:sz w:val="32"/>
          <w:szCs w:val="32"/>
        </w:rPr>
        <w:t>88.07</w:t>
      </w:r>
      <w:r>
        <w:rPr>
          <w:rFonts w:hint="eastAsia" w:ascii="仿宋" w:hAnsi="仿宋" w:eastAsia="仿宋"/>
          <w:sz w:val="32"/>
          <w:szCs w:val="32"/>
        </w:rPr>
        <w:t>万元。与2022年度相比，财政拨款收、支总计各增加5.65万元，增长7.00</w:t>
      </w:r>
      <w:r>
        <w:rPr>
          <w:rFonts w:ascii="仿宋" w:hAnsi="仿宋" w:eastAsia="仿宋"/>
          <w:sz w:val="32"/>
          <w:szCs w:val="32"/>
        </w:rPr>
        <w:t>%</w:t>
      </w:r>
      <w:r>
        <w:rPr>
          <w:rFonts w:hint="eastAsia" w:ascii="仿宋" w:hAnsi="仿宋" w:eastAsia="仿宋"/>
          <w:sz w:val="32"/>
          <w:szCs w:val="32"/>
        </w:rPr>
        <w:t>。主要变动原因是人员保险金额增加。</w:t>
      </w:r>
    </w:p>
    <w:p>
      <w:pPr>
        <w:pStyle w:val="2"/>
        <w:jc w:val="center"/>
      </w:pPr>
      <w:r>
        <w:drawing>
          <wp:inline distT="0" distB="0" distL="0" distR="0">
            <wp:extent cx="4572000" cy="2743200"/>
            <wp:effectExtent l="19050" t="0" r="19050" b="0"/>
            <wp:docPr id="1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0"/>
          <w:rFonts w:ascii="黑体" w:hAnsi="黑体" w:eastAsia="黑体"/>
          <w:b w:val="0"/>
        </w:rPr>
      </w:pPr>
      <w:bookmarkStart w:id="33" w:name="_Toc15377209"/>
      <w:bookmarkStart w:id="34" w:name="_Toc15396607"/>
      <w:bookmarkStart w:id="35" w:name="_Toc179386293"/>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33"/>
      <w:bookmarkEnd w:id="34"/>
      <w:bookmarkEnd w:id="35"/>
    </w:p>
    <w:p>
      <w:pPr>
        <w:spacing w:line="600" w:lineRule="exact"/>
        <w:ind w:firstLine="642" w:firstLineChars="200"/>
        <w:outlineLvl w:val="2"/>
        <w:rPr>
          <w:rFonts w:ascii="仿宋" w:hAnsi="仿宋" w:eastAsia="仿宋"/>
          <w:b/>
          <w:sz w:val="32"/>
          <w:szCs w:val="32"/>
        </w:rPr>
      </w:pPr>
      <w:bookmarkStart w:id="36" w:name="_Toc15377210"/>
      <w:bookmarkStart w:id="37" w:name="_Toc179386294"/>
      <w:r>
        <w:rPr>
          <w:rFonts w:hint="eastAsia" w:ascii="仿宋" w:hAnsi="仿宋" w:eastAsia="仿宋"/>
          <w:b/>
          <w:sz w:val="32"/>
          <w:szCs w:val="32"/>
        </w:rPr>
        <w:t>（一）一般公共预算财政拨款支出决算总体情况</w:t>
      </w:r>
      <w:bookmarkEnd w:id="36"/>
      <w:bookmarkEnd w:id="37"/>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88.07</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。与2022年度相比，一般公共预算财政拨款支出增加5.65万元，增长7.00</w:t>
      </w:r>
      <w:r>
        <w:rPr>
          <w:rFonts w:ascii="仿宋" w:hAnsi="仿宋" w:eastAsia="仿宋"/>
          <w:sz w:val="32"/>
          <w:szCs w:val="32"/>
        </w:rPr>
        <w:t>%</w:t>
      </w:r>
      <w:r>
        <w:rPr>
          <w:rFonts w:hint="eastAsia" w:ascii="仿宋" w:hAnsi="仿宋" w:eastAsia="仿宋"/>
          <w:sz w:val="32"/>
          <w:szCs w:val="32"/>
        </w:rPr>
        <w:t>。主要变动原因是人员保险金额增加。</w:t>
      </w:r>
    </w:p>
    <w:p>
      <w:pPr>
        <w:jc w:val="center"/>
      </w:pPr>
      <w:r>
        <w:drawing>
          <wp:inline distT="0" distB="0" distL="0" distR="0">
            <wp:extent cx="4572000" cy="2743200"/>
            <wp:effectExtent l="19050" t="0" r="19050" b="0"/>
            <wp:docPr id="1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（图5：一般公共预算财政拨款支出决算变动情况）（柱状图）</w:t>
      </w:r>
    </w:p>
    <w:p>
      <w:pPr>
        <w:pStyle w:val="2"/>
      </w:pPr>
    </w:p>
    <w:p>
      <w:pPr>
        <w:spacing w:line="600" w:lineRule="exact"/>
        <w:ind w:firstLine="642" w:firstLineChars="200"/>
        <w:outlineLvl w:val="2"/>
        <w:rPr>
          <w:rFonts w:ascii="仿宋" w:hAnsi="仿宋" w:eastAsia="仿宋"/>
          <w:b/>
          <w:sz w:val="32"/>
          <w:szCs w:val="32"/>
        </w:rPr>
      </w:pPr>
      <w:bookmarkStart w:id="38" w:name="_Toc15377211"/>
      <w:bookmarkStart w:id="39" w:name="_Toc179386295"/>
      <w:r>
        <w:rPr>
          <w:rFonts w:hint="eastAsia" w:ascii="仿宋" w:hAnsi="仿宋" w:eastAsia="仿宋"/>
          <w:b/>
          <w:sz w:val="32"/>
          <w:szCs w:val="32"/>
        </w:rPr>
        <w:t>（二）一般公共预算财政拨款支出决算结构情况</w:t>
      </w:r>
      <w:bookmarkEnd w:id="38"/>
      <w:bookmarkEnd w:id="39"/>
    </w:p>
    <w:p>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88.07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rPr>
        <w:t>69.34万元，占78.73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8.80万元，占9.99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2.76万元，占3.13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7.17万元，占8.14</w:t>
      </w:r>
      <w:r>
        <w:rPr>
          <w:rFonts w:ascii="仿宋" w:hAnsi="仿宋" w:eastAsia="仿宋"/>
          <w:sz w:val="32"/>
          <w:szCs w:val="32"/>
        </w:rPr>
        <w:t>%</w:t>
      </w:r>
      <w:r>
        <w:rPr>
          <w:rFonts w:hint="eastAsia" w:ascii="仿宋" w:hAnsi="仿宋" w:eastAsia="仿宋"/>
          <w:sz w:val="32"/>
          <w:szCs w:val="32"/>
        </w:rPr>
        <w:t>。</w:t>
      </w:r>
    </w:p>
    <w:p>
      <w:r>
        <w:drawing>
          <wp:inline distT="0" distB="0" distL="0" distR="0">
            <wp:extent cx="5426710" cy="4501515"/>
            <wp:effectExtent l="19050" t="0" r="21143" b="0"/>
            <wp:docPr id="25"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rPr>
          <w:rFonts w:ascii="仿宋" w:hAnsi="仿宋" w:eastAsia="仿宋"/>
          <w:sz w:val="32"/>
          <w:szCs w:val="32"/>
        </w:rPr>
      </w:pPr>
    </w:p>
    <w:p>
      <w:pPr>
        <w:spacing w:line="600" w:lineRule="exact"/>
        <w:ind w:firstLine="642" w:firstLineChars="200"/>
        <w:outlineLvl w:val="2"/>
        <w:rPr>
          <w:rFonts w:ascii="仿宋" w:hAnsi="仿宋" w:eastAsia="仿宋"/>
          <w:b/>
          <w:sz w:val="32"/>
          <w:szCs w:val="32"/>
        </w:rPr>
      </w:pPr>
      <w:bookmarkStart w:id="40" w:name="_Toc179386296"/>
      <w:bookmarkStart w:id="41" w:name="_Toc15377212"/>
      <w:r>
        <w:rPr>
          <w:rFonts w:hint="eastAsia" w:ascii="仿宋" w:hAnsi="仿宋" w:eastAsia="仿宋"/>
          <w:b/>
          <w:sz w:val="32"/>
          <w:szCs w:val="32"/>
        </w:rPr>
        <w:t>（三）一般公共预算财政拨款支出决算具体情况</w:t>
      </w:r>
      <w:bookmarkEnd w:id="40"/>
      <w:bookmarkEnd w:id="41"/>
    </w:p>
    <w:p>
      <w:pPr>
        <w:spacing w:line="600" w:lineRule="exact"/>
        <w:ind w:firstLine="642" w:firstLineChars="200"/>
        <w:outlineLvl w:val="2"/>
        <w:rPr>
          <w:rFonts w:ascii="仿宋" w:hAnsi="仿宋" w:eastAsia="仿宋"/>
          <w:sz w:val="32"/>
          <w:szCs w:val="32"/>
        </w:rPr>
      </w:pPr>
      <w:bookmarkStart w:id="42" w:name="_Toc15377213"/>
      <w:bookmarkStart w:id="43" w:name="_Toc179386297"/>
      <w:bookmarkStart w:id="44" w:name="_Toc15378460"/>
      <w:bookmarkStart w:id="45" w:name="_Toc15377444"/>
      <w:r>
        <w:rPr>
          <w:rFonts w:hint="eastAsia" w:ascii="仿宋" w:hAnsi="仿宋" w:eastAsia="仿宋"/>
          <w:b/>
          <w:sz w:val="32"/>
          <w:szCs w:val="32"/>
        </w:rPr>
        <w:t>2023年度一般公共预算支出决算数为</w:t>
      </w:r>
      <w:r>
        <w:rPr>
          <w:rFonts w:ascii="仿宋" w:hAnsi="仿宋" w:eastAsia="仿宋"/>
          <w:b/>
          <w:sz w:val="32"/>
          <w:szCs w:val="32"/>
        </w:rPr>
        <w:t>88.07</w:t>
      </w:r>
      <w:r>
        <w:rPr>
          <w:rFonts w:hint="eastAsia" w:ascii="仿宋" w:hAnsi="仿宋" w:eastAsia="仿宋"/>
          <w:sz w:val="32"/>
          <w:szCs w:val="32"/>
        </w:rPr>
        <w:t>，</w:t>
      </w:r>
      <w:r>
        <w:rPr>
          <w:rStyle w:val="17"/>
          <w:rFonts w:hint="eastAsia" w:ascii="仿宋" w:hAnsi="仿宋" w:eastAsia="仿宋"/>
          <w:bCs/>
          <w:sz w:val="32"/>
          <w:szCs w:val="32"/>
        </w:rPr>
        <w:t>完成预算100</w:t>
      </w:r>
      <w:r>
        <w:rPr>
          <w:rStyle w:val="17"/>
          <w:rFonts w:ascii="仿宋" w:hAnsi="仿宋" w:eastAsia="仿宋"/>
          <w:bCs/>
          <w:sz w:val="32"/>
          <w:szCs w:val="32"/>
        </w:rPr>
        <w:t>%</w:t>
      </w:r>
      <w:r>
        <w:rPr>
          <w:rStyle w:val="17"/>
          <w:rFonts w:hint="eastAsia" w:ascii="仿宋" w:hAnsi="仿宋" w:eastAsia="仿宋"/>
          <w:bCs/>
          <w:sz w:val="32"/>
          <w:szCs w:val="32"/>
        </w:rPr>
        <w:t>。其中：</w:t>
      </w:r>
      <w:bookmarkEnd w:id="42"/>
      <w:bookmarkEnd w:id="43"/>
      <w:bookmarkEnd w:id="44"/>
      <w:bookmarkEnd w:id="45"/>
    </w:p>
    <w:p>
      <w:pPr>
        <w:spacing w:line="600" w:lineRule="exact"/>
        <w:ind w:firstLine="642" w:firstLineChars="200"/>
        <w:rPr>
          <w:rStyle w:val="17"/>
          <w:rFonts w:hint="eastAsia" w:ascii="仿宋" w:hAnsi="仿宋" w:eastAsia="仿宋"/>
          <w:b w:val="0"/>
          <w:bCs/>
          <w:sz w:val="32"/>
          <w:szCs w:val="32"/>
        </w:rPr>
      </w:pPr>
      <w:r>
        <w:rPr>
          <w:rStyle w:val="17"/>
          <w:rFonts w:hint="eastAsia" w:ascii="仿宋" w:hAnsi="仿宋" w:eastAsia="仿宋"/>
          <w:bCs/>
          <w:sz w:val="32"/>
          <w:szCs w:val="32"/>
        </w:rPr>
        <w:t>1</w:t>
      </w:r>
      <w:r>
        <w:rPr>
          <w:rStyle w:val="17"/>
          <w:rFonts w:ascii="仿宋" w:hAnsi="仿宋" w:eastAsia="仿宋"/>
          <w:bCs/>
          <w:sz w:val="32"/>
          <w:szCs w:val="32"/>
        </w:rPr>
        <w:t>.</w:t>
      </w:r>
      <w:r>
        <w:rPr>
          <w:rFonts w:hint="eastAsia"/>
        </w:rPr>
        <w:t xml:space="preserve"> </w:t>
      </w:r>
      <w:r>
        <w:rPr>
          <w:rStyle w:val="17"/>
          <w:rFonts w:hint="eastAsia" w:ascii="仿宋" w:hAnsi="仿宋" w:eastAsia="仿宋"/>
          <w:bCs/>
          <w:sz w:val="32"/>
          <w:szCs w:val="32"/>
        </w:rPr>
        <w:t>教育支出（类）教育管理事务（款）其他教育管理事务支出（项）</w:t>
      </w:r>
      <w:r>
        <w:rPr>
          <w:rStyle w:val="17"/>
          <w:rFonts w:ascii="仿宋" w:hAnsi="仿宋" w:eastAsia="仿宋"/>
          <w:bCs/>
          <w:sz w:val="32"/>
          <w:szCs w:val="32"/>
        </w:rPr>
        <w:t>:</w:t>
      </w:r>
      <w:r>
        <w:rPr>
          <w:rStyle w:val="17"/>
          <w:rFonts w:hint="eastAsia" w:ascii="仿宋" w:hAnsi="仿宋" w:eastAsia="仿宋"/>
          <w:b w:val="0"/>
          <w:bCs/>
          <w:sz w:val="32"/>
          <w:szCs w:val="32"/>
        </w:rPr>
        <w:t>支出决算为68.09万元，完成预算100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spacing w:line="600" w:lineRule="exact"/>
        <w:ind w:firstLine="642" w:firstLineChars="200"/>
        <w:rPr>
          <w:rFonts w:ascii="仿宋" w:hAnsi="仿宋" w:eastAsia="仿宋"/>
          <w:bCs/>
          <w:sz w:val="32"/>
          <w:szCs w:val="32"/>
        </w:rPr>
      </w:pPr>
      <w:r>
        <w:rPr>
          <w:rStyle w:val="17"/>
          <w:rFonts w:hint="eastAsia" w:ascii="仿宋" w:hAnsi="仿宋" w:eastAsia="仿宋"/>
          <w:bCs/>
          <w:sz w:val="32"/>
          <w:szCs w:val="32"/>
        </w:rPr>
        <w:t>2</w:t>
      </w:r>
      <w:r>
        <w:rPr>
          <w:rStyle w:val="17"/>
          <w:rFonts w:ascii="仿宋" w:hAnsi="仿宋" w:eastAsia="仿宋"/>
          <w:bCs/>
          <w:sz w:val="32"/>
          <w:szCs w:val="32"/>
        </w:rPr>
        <w:t>.</w:t>
      </w:r>
      <w:r>
        <w:rPr>
          <w:rStyle w:val="17"/>
          <w:rFonts w:hint="eastAsia" w:ascii="仿宋" w:hAnsi="仿宋" w:eastAsia="仿宋"/>
          <w:bCs/>
          <w:sz w:val="32"/>
          <w:szCs w:val="32"/>
        </w:rPr>
        <w:t xml:space="preserve"> 教育支出（类）普通教育（款）其他普通教育支出（项）</w:t>
      </w:r>
      <w:r>
        <w:rPr>
          <w:rStyle w:val="17"/>
          <w:rFonts w:ascii="仿宋" w:hAnsi="仿宋" w:eastAsia="仿宋"/>
          <w:bCs/>
          <w:sz w:val="32"/>
          <w:szCs w:val="32"/>
        </w:rPr>
        <w:t>:</w:t>
      </w:r>
      <w:r>
        <w:rPr>
          <w:rStyle w:val="17"/>
          <w:rFonts w:hint="eastAsia" w:ascii="仿宋" w:hAnsi="仿宋" w:eastAsia="仿宋"/>
          <w:b w:val="0"/>
          <w:bCs/>
          <w:sz w:val="32"/>
          <w:szCs w:val="32"/>
        </w:rPr>
        <w:t>支出决算为1.25万元，完成预算100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spacing w:line="600" w:lineRule="exact"/>
        <w:ind w:firstLine="642" w:firstLineChars="200"/>
        <w:rPr>
          <w:rStyle w:val="17"/>
          <w:rFonts w:hint="eastAsia" w:ascii="仿宋" w:hAnsi="仿宋" w:eastAsia="仿宋"/>
          <w:b w:val="0"/>
          <w:bCs/>
          <w:sz w:val="32"/>
          <w:szCs w:val="32"/>
        </w:rPr>
      </w:pPr>
      <w:r>
        <w:rPr>
          <w:rStyle w:val="17"/>
          <w:rFonts w:hint="eastAsia" w:ascii="仿宋" w:hAnsi="仿宋" w:eastAsia="仿宋"/>
          <w:bCs/>
          <w:sz w:val="32"/>
          <w:szCs w:val="32"/>
        </w:rPr>
        <w:t>3</w:t>
      </w:r>
      <w:r>
        <w:rPr>
          <w:rStyle w:val="17"/>
          <w:rFonts w:ascii="仿宋" w:hAnsi="仿宋" w:eastAsia="仿宋"/>
          <w:bCs/>
          <w:sz w:val="32"/>
          <w:szCs w:val="32"/>
        </w:rPr>
        <w:t>.</w:t>
      </w:r>
      <w:r>
        <w:rPr>
          <w:rStyle w:val="17"/>
          <w:rFonts w:hint="eastAsia" w:ascii="仿宋" w:hAnsi="仿宋" w:eastAsia="仿宋"/>
          <w:bCs/>
          <w:sz w:val="32"/>
          <w:szCs w:val="32"/>
        </w:rPr>
        <w:t>社会保障和就业（类）行政事业单位养老支出（款）机关事业单位基本养老保险缴费支出（项）</w:t>
      </w:r>
      <w:r>
        <w:rPr>
          <w:rStyle w:val="17"/>
          <w:rFonts w:ascii="仿宋" w:hAnsi="仿宋" w:eastAsia="仿宋"/>
          <w:bCs/>
          <w:sz w:val="32"/>
          <w:szCs w:val="32"/>
        </w:rPr>
        <w:t>:</w:t>
      </w:r>
      <w:r>
        <w:rPr>
          <w:rStyle w:val="17"/>
          <w:rFonts w:hint="eastAsia" w:ascii="仿宋" w:hAnsi="仿宋" w:eastAsia="仿宋"/>
          <w:b w:val="0"/>
          <w:bCs/>
          <w:sz w:val="32"/>
          <w:szCs w:val="32"/>
        </w:rPr>
        <w:t>支出决算为8.4万元，完成预算100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spacing w:line="600" w:lineRule="exact"/>
        <w:ind w:firstLine="642" w:firstLineChars="200"/>
        <w:rPr>
          <w:rStyle w:val="17"/>
          <w:rFonts w:hint="default" w:ascii="仿宋" w:hAnsi="仿宋" w:eastAsia="仿宋"/>
          <w:bCs/>
          <w:sz w:val="32"/>
          <w:szCs w:val="32"/>
          <w:lang w:val="en-US" w:eastAsia="zh-CN"/>
        </w:rPr>
      </w:pPr>
      <w:r>
        <w:rPr>
          <w:rStyle w:val="17"/>
          <w:rFonts w:hint="eastAsia" w:ascii="仿宋" w:hAnsi="仿宋" w:eastAsia="仿宋"/>
          <w:b/>
          <w:bCs w:val="0"/>
          <w:sz w:val="32"/>
          <w:szCs w:val="32"/>
          <w:lang w:val="en-US" w:eastAsia="zh-CN"/>
        </w:rPr>
        <w:t>4</w:t>
      </w:r>
      <w:r>
        <w:rPr>
          <w:rStyle w:val="17"/>
          <w:rFonts w:hint="eastAsia" w:ascii="仿宋" w:hAnsi="仿宋" w:eastAsia="仿宋"/>
          <w:b w:val="0"/>
          <w:bCs/>
          <w:sz w:val="32"/>
          <w:szCs w:val="32"/>
          <w:lang w:val="en-US" w:eastAsia="zh-CN"/>
        </w:rPr>
        <w:t>.</w:t>
      </w:r>
      <w:r>
        <w:rPr>
          <w:rStyle w:val="17"/>
          <w:rFonts w:hint="eastAsia" w:ascii="仿宋" w:hAnsi="仿宋" w:eastAsia="仿宋"/>
          <w:bCs/>
          <w:sz w:val="32"/>
          <w:szCs w:val="32"/>
        </w:rPr>
        <w:t>社会保障和就业（类）</w:t>
      </w:r>
      <w:r>
        <w:rPr>
          <w:rStyle w:val="17"/>
          <w:rFonts w:hint="eastAsia" w:ascii="仿宋" w:hAnsi="仿宋" w:eastAsia="仿宋"/>
          <w:b/>
          <w:bCs w:val="0"/>
          <w:sz w:val="32"/>
          <w:szCs w:val="32"/>
          <w:lang w:val="en-US" w:eastAsia="zh-CN"/>
        </w:rPr>
        <w:t>其</w:t>
      </w:r>
      <w:r>
        <w:rPr>
          <w:rStyle w:val="17"/>
          <w:rFonts w:hint="eastAsia" w:ascii="仿宋" w:hAnsi="仿宋" w:eastAsia="仿宋"/>
          <w:bCs/>
          <w:sz w:val="32"/>
          <w:szCs w:val="32"/>
          <w:lang w:val="en-US" w:eastAsia="zh-CN"/>
        </w:rPr>
        <w:t>他社会保障和就业支出（款）</w:t>
      </w:r>
      <w:r>
        <w:rPr>
          <w:rStyle w:val="17"/>
          <w:rFonts w:hint="eastAsia" w:ascii="仿宋" w:hAnsi="仿宋" w:eastAsia="仿宋"/>
          <w:b/>
          <w:bCs w:val="0"/>
          <w:sz w:val="32"/>
          <w:szCs w:val="32"/>
          <w:lang w:val="en-US" w:eastAsia="zh-CN"/>
        </w:rPr>
        <w:t>其</w:t>
      </w:r>
      <w:r>
        <w:rPr>
          <w:rStyle w:val="17"/>
          <w:rFonts w:hint="eastAsia" w:ascii="仿宋" w:hAnsi="仿宋" w:eastAsia="仿宋"/>
          <w:bCs/>
          <w:sz w:val="32"/>
          <w:szCs w:val="32"/>
          <w:lang w:val="en-US" w:eastAsia="zh-CN"/>
        </w:rPr>
        <w:t>他社会保障和就业支出（项）：</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w:t>
      </w:r>
      <w:r>
        <w:rPr>
          <w:rStyle w:val="17"/>
          <w:rFonts w:hint="eastAsia" w:ascii="仿宋" w:hAnsi="仿宋" w:eastAsia="仿宋"/>
          <w:b w:val="0"/>
          <w:bCs/>
          <w:sz w:val="32"/>
          <w:szCs w:val="32"/>
        </w:rPr>
        <w:t>.4万元，完成预算100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spacing w:line="600" w:lineRule="exact"/>
        <w:ind w:firstLine="642" w:firstLineChars="200"/>
        <w:rPr>
          <w:rFonts w:ascii="仿宋" w:hAnsi="仿宋" w:eastAsia="仿宋"/>
          <w:b/>
          <w:sz w:val="32"/>
          <w:szCs w:val="32"/>
        </w:rPr>
      </w:pPr>
      <w:r>
        <w:rPr>
          <w:rStyle w:val="17"/>
          <w:rFonts w:hint="eastAsia" w:ascii="仿宋" w:hAnsi="仿宋" w:eastAsia="仿宋"/>
          <w:bCs/>
          <w:sz w:val="32"/>
          <w:szCs w:val="32"/>
          <w:lang w:val="en-US" w:eastAsia="zh-CN"/>
        </w:rPr>
        <w:t>5</w:t>
      </w:r>
      <w:r>
        <w:rPr>
          <w:rStyle w:val="17"/>
          <w:rFonts w:ascii="仿宋" w:hAnsi="仿宋" w:eastAsia="仿宋"/>
          <w:bCs/>
          <w:sz w:val="32"/>
          <w:szCs w:val="32"/>
        </w:rPr>
        <w:t>.</w:t>
      </w:r>
      <w:r>
        <w:rPr>
          <w:rFonts w:hint="eastAsia" w:ascii="仿宋" w:hAnsi="仿宋" w:eastAsia="仿宋"/>
          <w:b/>
          <w:bCs/>
          <w:sz w:val="32"/>
          <w:szCs w:val="32"/>
        </w:rPr>
        <w:t>卫生健康支出</w:t>
      </w:r>
      <w:r>
        <w:rPr>
          <w:rStyle w:val="17"/>
          <w:rFonts w:hint="eastAsia" w:ascii="仿宋" w:hAnsi="仿宋" w:eastAsia="仿宋"/>
          <w:bCs/>
          <w:sz w:val="32"/>
          <w:szCs w:val="32"/>
        </w:rPr>
        <w:t>（类）行政事业单位医疗（款）事业单位医疗（项）</w:t>
      </w:r>
      <w:r>
        <w:rPr>
          <w:rStyle w:val="17"/>
          <w:rFonts w:ascii="仿宋" w:hAnsi="仿宋" w:eastAsia="仿宋"/>
          <w:bCs/>
          <w:sz w:val="32"/>
          <w:szCs w:val="32"/>
        </w:rPr>
        <w:t>:</w:t>
      </w:r>
      <w:r>
        <w:rPr>
          <w:rStyle w:val="17"/>
          <w:rFonts w:hint="eastAsia" w:ascii="仿宋" w:hAnsi="仿宋" w:eastAsia="仿宋"/>
          <w:b w:val="0"/>
          <w:bCs/>
          <w:sz w:val="32"/>
          <w:szCs w:val="32"/>
        </w:rPr>
        <w:t>支出决算为2.76万元，完成预算100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spacing w:line="600" w:lineRule="exact"/>
        <w:ind w:firstLine="642" w:firstLineChars="200"/>
        <w:rPr>
          <w:rFonts w:ascii="仿宋" w:hAnsi="仿宋" w:eastAsia="仿宋"/>
          <w:b/>
          <w:sz w:val="32"/>
          <w:szCs w:val="32"/>
        </w:rPr>
      </w:pPr>
      <w:r>
        <w:rPr>
          <w:rStyle w:val="17"/>
          <w:rFonts w:hint="eastAsia" w:ascii="仿宋" w:hAnsi="仿宋" w:eastAsia="仿宋"/>
          <w:bCs/>
          <w:sz w:val="32"/>
          <w:szCs w:val="32"/>
          <w:lang w:val="en-US" w:eastAsia="zh-CN"/>
        </w:rPr>
        <w:t>6</w:t>
      </w:r>
      <w:r>
        <w:rPr>
          <w:rStyle w:val="17"/>
          <w:rFonts w:ascii="仿宋" w:hAnsi="仿宋" w:eastAsia="仿宋"/>
          <w:bCs/>
          <w:sz w:val="32"/>
          <w:szCs w:val="32"/>
        </w:rPr>
        <w:t>.</w:t>
      </w:r>
      <w:r>
        <w:rPr>
          <w:rFonts w:hint="eastAsia"/>
        </w:rPr>
        <w:t xml:space="preserve"> </w:t>
      </w:r>
      <w:r>
        <w:rPr>
          <w:rFonts w:hint="eastAsia" w:ascii="仿宋" w:hAnsi="仿宋" w:eastAsia="仿宋"/>
          <w:b/>
          <w:bCs/>
          <w:sz w:val="32"/>
          <w:szCs w:val="32"/>
        </w:rPr>
        <w:t>住房保障支出</w:t>
      </w:r>
      <w:r>
        <w:rPr>
          <w:rStyle w:val="17"/>
          <w:rFonts w:hint="eastAsia" w:ascii="仿宋" w:hAnsi="仿宋" w:eastAsia="仿宋"/>
          <w:bCs/>
          <w:sz w:val="32"/>
          <w:szCs w:val="32"/>
        </w:rPr>
        <w:t>（类）住房改革支出（款）住房公积金（项）</w:t>
      </w:r>
      <w:r>
        <w:rPr>
          <w:rStyle w:val="17"/>
          <w:rFonts w:ascii="仿宋" w:hAnsi="仿宋" w:eastAsia="仿宋"/>
          <w:bCs/>
          <w:sz w:val="32"/>
          <w:szCs w:val="32"/>
        </w:rPr>
        <w:t>:</w:t>
      </w:r>
      <w:r>
        <w:rPr>
          <w:rStyle w:val="17"/>
          <w:rFonts w:hint="eastAsia" w:ascii="仿宋" w:hAnsi="仿宋" w:eastAsia="仿宋"/>
          <w:b w:val="0"/>
          <w:bCs/>
          <w:sz w:val="32"/>
          <w:szCs w:val="32"/>
        </w:rPr>
        <w:t>支出决算为7.17万元，完成预算100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w:t>
      </w:r>
    </w:p>
    <w:p>
      <w:pPr>
        <w:tabs>
          <w:tab w:val="right" w:pos="8306"/>
        </w:tabs>
        <w:spacing w:line="600" w:lineRule="exact"/>
        <w:ind w:firstLine="640"/>
        <w:outlineLvl w:val="1"/>
        <w:rPr>
          <w:rStyle w:val="20"/>
        </w:rPr>
      </w:pPr>
      <w:bookmarkStart w:id="46" w:name="_Toc179386298"/>
      <w:bookmarkStart w:id="47" w:name="_Toc15377214"/>
      <w:bookmarkStart w:id="48"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46"/>
      <w:bookmarkEnd w:id="47"/>
      <w:bookmarkEnd w:id="48"/>
      <w:r>
        <w:rPr>
          <w:rStyle w:val="20"/>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86.82</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79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7.82</w:t>
      </w:r>
      <w:r>
        <w:rPr>
          <w:rFonts w:hint="eastAsia" w:ascii="仿宋" w:hAnsi="仿宋" w:eastAsia="仿宋"/>
          <w:sz w:val="32"/>
          <w:szCs w:val="32"/>
        </w:rPr>
        <w:t>万元，主要包括：办公费、印刷费、差旅费、会议费、培训费、工会经费、福利费、其他商品和服务支出。</w:t>
      </w:r>
    </w:p>
    <w:p>
      <w:pPr>
        <w:spacing w:line="600" w:lineRule="exact"/>
        <w:ind w:firstLine="640"/>
        <w:rPr>
          <w:rFonts w:ascii="仿宋" w:hAnsi="仿宋" w:eastAsia="仿宋"/>
          <w:b/>
          <w:sz w:val="32"/>
          <w:szCs w:val="32"/>
        </w:rPr>
      </w:pPr>
    </w:p>
    <w:p>
      <w:pPr>
        <w:spacing w:line="600" w:lineRule="exact"/>
        <w:ind w:firstLine="640"/>
        <w:outlineLvl w:val="1"/>
        <w:rPr>
          <w:rStyle w:val="20"/>
          <w:rFonts w:ascii="黑体" w:hAnsi="黑体" w:eastAsia="黑体"/>
          <w:b w:val="0"/>
        </w:rPr>
      </w:pPr>
      <w:bookmarkStart w:id="49" w:name="_Toc15377215"/>
      <w:bookmarkStart w:id="50" w:name="_Toc15396609"/>
      <w:bookmarkStart w:id="51" w:name="_Toc17938629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49"/>
      <w:bookmarkEnd w:id="50"/>
      <w:bookmarkEnd w:id="51"/>
    </w:p>
    <w:p>
      <w:pPr>
        <w:spacing w:line="600" w:lineRule="exact"/>
        <w:ind w:firstLine="640"/>
        <w:outlineLvl w:val="2"/>
        <w:rPr>
          <w:rFonts w:ascii="仿宋" w:hAnsi="仿宋" w:eastAsia="仿宋"/>
          <w:b/>
          <w:sz w:val="32"/>
          <w:szCs w:val="32"/>
        </w:rPr>
      </w:pPr>
      <w:bookmarkStart w:id="52" w:name="_Toc179386300"/>
      <w:bookmarkStart w:id="53" w:name="_Toc15377216"/>
      <w:r>
        <w:rPr>
          <w:rFonts w:hint="eastAsia" w:ascii="仿宋" w:hAnsi="仿宋" w:eastAsia="仿宋"/>
          <w:b/>
          <w:sz w:val="32"/>
          <w:szCs w:val="32"/>
        </w:rPr>
        <w:t>（一）“三公”经费财政拨款支出决算总体情况说明</w:t>
      </w:r>
      <w:bookmarkEnd w:id="52"/>
      <w:bookmarkEnd w:id="53"/>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w:t>
      </w:r>
      <w:r>
        <w:rPr>
          <w:rFonts w:hint="eastAsia" w:ascii="仿宋" w:hAnsi="仿宋" w:eastAsia="仿宋"/>
          <w:sz w:val="32"/>
          <w:szCs w:val="32"/>
          <w:lang w:eastAsia="zh-CN"/>
        </w:rPr>
        <w:t>年初未安排预算</w:t>
      </w:r>
      <w:r>
        <w:rPr>
          <w:rFonts w:hint="eastAsia" w:ascii="仿宋" w:hAnsi="仿宋" w:eastAsia="仿宋"/>
          <w:sz w:val="32"/>
          <w:szCs w:val="32"/>
        </w:rPr>
        <w:t>，较上年度无变化。决算数与预算数持平。</w:t>
      </w:r>
    </w:p>
    <w:p>
      <w:pPr>
        <w:spacing w:line="600" w:lineRule="exact"/>
        <w:ind w:firstLine="640"/>
        <w:outlineLvl w:val="2"/>
        <w:rPr>
          <w:rFonts w:ascii="仿宋" w:hAnsi="仿宋" w:eastAsia="仿宋"/>
          <w:b/>
          <w:sz w:val="32"/>
          <w:szCs w:val="32"/>
        </w:rPr>
      </w:pPr>
      <w:bookmarkStart w:id="54" w:name="_Toc179386301"/>
      <w:bookmarkStart w:id="55" w:name="_Toc15377217"/>
      <w:r>
        <w:rPr>
          <w:rFonts w:hint="eastAsia" w:ascii="仿宋" w:hAnsi="仿宋" w:eastAsia="仿宋"/>
          <w:b/>
          <w:sz w:val="32"/>
          <w:szCs w:val="32"/>
        </w:rPr>
        <w:t>（二）“三公”经费财政拨款支出决算具体情况说明</w:t>
      </w:r>
      <w:bookmarkEnd w:id="54"/>
      <w:bookmarkEnd w:id="55"/>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bookmarkStart w:id="56" w:name="_Toc15396610"/>
      <w:bookmarkStart w:id="57"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人。因公出国（境）支出决算比2022年无变化。</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公务用车购置及运行维护费支出决算比2022年度无变化</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，未购置公务用车</w:t>
      </w: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月31日，单位共有公务用车0辆。</w:t>
      </w:r>
    </w:p>
    <w:p>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公务接待费支出决算与2022年度持平。其中：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2"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p>
    <w:p>
      <w:pPr>
        <w:spacing w:line="600" w:lineRule="exact"/>
        <w:ind w:firstLine="640"/>
        <w:outlineLvl w:val="1"/>
        <w:rPr>
          <w:rStyle w:val="20"/>
          <w:rFonts w:ascii="黑体" w:hAnsi="黑体" w:eastAsia="黑体"/>
        </w:rPr>
      </w:pPr>
      <w:bookmarkStart w:id="58" w:name="_Toc179386302"/>
      <w:r>
        <w:rPr>
          <w:rFonts w:hint="eastAsia" w:ascii="黑体" w:eastAsia="黑体"/>
          <w:sz w:val="32"/>
          <w:szCs w:val="32"/>
        </w:rPr>
        <w:t>八、</w:t>
      </w:r>
      <w:r>
        <w:rPr>
          <w:rStyle w:val="20"/>
          <w:rFonts w:hint="eastAsia" w:ascii="黑体" w:hAnsi="黑体" w:eastAsia="黑体"/>
          <w:b w:val="0"/>
        </w:rPr>
        <w:t>政府性基金预算支出决算情况说明</w:t>
      </w:r>
      <w:bookmarkEnd w:id="56"/>
      <w:bookmarkEnd w:id="57"/>
      <w:bookmarkEnd w:id="58"/>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0"/>
          <w:rFonts w:ascii="黑体" w:hAnsi="黑体" w:eastAsia="黑体"/>
          <w:b w:val="0"/>
        </w:rPr>
      </w:pPr>
      <w:bookmarkStart w:id="59" w:name="_Toc15377219"/>
      <w:bookmarkStart w:id="60" w:name="_Toc15396611"/>
      <w:bookmarkStart w:id="61" w:name="_Toc179386303"/>
      <w:r>
        <w:rPr>
          <w:rStyle w:val="20"/>
          <w:rFonts w:hint="eastAsia" w:ascii="黑体" w:hAnsi="黑体" w:eastAsia="黑体"/>
          <w:b w:val="0"/>
        </w:rPr>
        <w:t>国有资本经营预算支出决算情况说明</w:t>
      </w:r>
      <w:bookmarkEnd w:id="59"/>
      <w:bookmarkEnd w:id="60"/>
      <w:bookmarkEnd w:id="61"/>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0"/>
          <w:rFonts w:ascii="黑体" w:hAnsi="黑体" w:eastAsia="黑体"/>
          <w:b w:val="0"/>
        </w:rPr>
      </w:pPr>
      <w:bookmarkStart w:id="62" w:name="_Toc15377221"/>
      <w:bookmarkStart w:id="63" w:name="_Toc15396612"/>
      <w:bookmarkStart w:id="64" w:name="_Toc179386304"/>
      <w:r>
        <w:rPr>
          <w:rStyle w:val="20"/>
          <w:rFonts w:hint="eastAsia" w:ascii="黑体" w:hAnsi="黑体" w:eastAsia="黑体"/>
          <w:b w:val="0"/>
        </w:rPr>
        <w:t>其他重要事项的情况说明</w:t>
      </w:r>
      <w:bookmarkEnd w:id="62"/>
      <w:bookmarkEnd w:id="63"/>
      <w:bookmarkEnd w:id="64"/>
    </w:p>
    <w:p>
      <w:pPr>
        <w:spacing w:line="600" w:lineRule="exact"/>
        <w:ind w:firstLine="642" w:firstLineChars="200"/>
        <w:outlineLvl w:val="2"/>
        <w:rPr>
          <w:rFonts w:ascii="仿宋" w:hAnsi="仿宋" w:eastAsia="仿宋"/>
          <w:sz w:val="32"/>
          <w:szCs w:val="32"/>
        </w:rPr>
      </w:pPr>
      <w:bookmarkStart w:id="65" w:name="_Toc15377222"/>
      <w:bookmarkStart w:id="66" w:name="_Toc179386305"/>
      <w:r>
        <w:rPr>
          <w:rFonts w:hint="eastAsia" w:ascii="仿宋" w:hAnsi="仿宋" w:eastAsia="仿宋"/>
          <w:b/>
          <w:sz w:val="32"/>
          <w:szCs w:val="32"/>
        </w:rPr>
        <w:t>（一）机关运行经费支出情况</w:t>
      </w:r>
      <w:bookmarkEnd w:id="65"/>
      <w:bookmarkEnd w:id="6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广元市教育服务中心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万元，与2022年度持平。</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7" w:name="_Toc179386306"/>
      <w:bookmarkStart w:id="68" w:name="_Toc15377223"/>
      <w:r>
        <w:rPr>
          <w:rFonts w:hint="eastAsia" w:ascii="仿宋" w:hAnsi="仿宋" w:eastAsia="仿宋"/>
          <w:b/>
          <w:sz w:val="32"/>
          <w:szCs w:val="32"/>
        </w:rPr>
        <w:t>（二）政府采购支出情况</w:t>
      </w:r>
      <w:bookmarkEnd w:id="67"/>
      <w:bookmarkEnd w:id="68"/>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广元市教育服务中心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9" w:name="_Toc15377224"/>
      <w:bookmarkStart w:id="70" w:name="_Toc179386307"/>
      <w:r>
        <w:rPr>
          <w:rFonts w:hint="eastAsia" w:ascii="仿宋" w:hAnsi="仿宋" w:eastAsia="仿宋"/>
          <w:b/>
          <w:sz w:val="32"/>
          <w:szCs w:val="32"/>
        </w:rPr>
        <w:t>（三）国有资产占有使用情况</w:t>
      </w:r>
      <w:bookmarkEnd w:id="69"/>
      <w:bookmarkEnd w:id="70"/>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广元市教育服务中心</w:t>
      </w:r>
      <w:r>
        <w:rPr>
          <w:rFonts w:hint="eastAsia" w:ascii="仿宋_GB2312" w:eastAsia="仿宋_GB2312"/>
          <w:sz w:val="32"/>
          <w:szCs w:val="32"/>
        </w:rPr>
        <w:t>共有车辆</w:t>
      </w:r>
      <w:r>
        <w:rPr>
          <w:rFonts w:hint="eastAsia" w:ascii="仿宋_GB2312" w:eastAsia="仿宋_GB2312"/>
          <w:b/>
          <w:sz w:val="32"/>
          <w:szCs w:val="32"/>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1" w:name="_Toc179386308"/>
      <w:r>
        <w:rPr>
          <w:rFonts w:hint="eastAsia" w:ascii="仿宋" w:hAnsi="仿宋" w:eastAsia="仿宋"/>
          <w:b/>
          <w:sz w:val="32"/>
          <w:szCs w:val="32"/>
        </w:rPr>
        <w:t>（四）预算绩效管理情况</w:t>
      </w:r>
      <w:bookmarkEnd w:id="71"/>
    </w:p>
    <w:p>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根据预算绩效管理要求，本单位在2023年度预算编制阶段，组织对广元市中心城区学校校外设施适儿化改造提升项目（一期）项目开展了预算事前绩效评估，对</w:t>
      </w:r>
      <w:r>
        <w:rPr>
          <w:rFonts w:hint="eastAsia" w:ascii="仿宋_GB2312" w:eastAsia="仿宋_GB2312"/>
          <w:sz w:val="32"/>
          <w:szCs w:val="32"/>
          <w:lang w:val="en-US" w:eastAsia="zh-CN"/>
        </w:rPr>
        <w:t>9</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9</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9</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19"/>
          <w:rFonts w:ascii="黑体" w:hAnsi="黑体" w:eastAsia="黑体"/>
          <w:b w:val="0"/>
        </w:rPr>
      </w:pPr>
      <w:bookmarkStart w:id="72" w:name="_Toc15377225"/>
      <w:bookmarkStart w:id="73" w:name="_Toc179386309"/>
      <w:bookmarkStart w:id="74" w:name="_Toc15396613"/>
      <w:r>
        <w:rPr>
          <w:rFonts w:hint="eastAsia" w:ascii="黑体" w:hAnsi="黑体" w:eastAsia="黑体"/>
          <w:sz w:val="44"/>
          <w:szCs w:val="44"/>
        </w:rPr>
        <w:t>名</w:t>
      </w:r>
      <w:r>
        <w:rPr>
          <w:rStyle w:val="19"/>
          <w:rFonts w:hint="eastAsia" w:ascii="黑体" w:hAnsi="黑体" w:eastAsia="黑体"/>
          <w:b w:val="0"/>
        </w:rPr>
        <w:t>词解释</w:t>
      </w:r>
      <w:bookmarkEnd w:id="72"/>
      <w:bookmarkEnd w:id="73"/>
      <w:bookmarkEnd w:id="74"/>
    </w:p>
    <w:p>
      <w:pPr>
        <w:spacing w:line="600" w:lineRule="exact"/>
        <w:jc w:val="left"/>
        <w:rPr>
          <w:rFonts w:ascii="宋体"/>
          <w:b/>
          <w:sz w:val="44"/>
          <w:szCs w:val="44"/>
        </w:rPr>
      </w:pP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2.教育支出（类）教育管理事务（款）其他教育管理事务支出（项）：</w:t>
      </w:r>
      <w:r>
        <w:rPr>
          <w:rFonts w:ascii="仿宋_GB2312" w:eastAsia="仿宋_GB2312"/>
          <w:color w:val="auto"/>
          <w:sz w:val="32"/>
          <w:szCs w:val="32"/>
        </w:rPr>
        <w:t xml:space="preserve"> </w:t>
      </w:r>
      <w:r>
        <w:rPr>
          <w:rFonts w:hint="eastAsia" w:ascii="仿宋_GB2312" w:eastAsia="仿宋_GB2312"/>
          <w:color w:val="auto"/>
          <w:sz w:val="32"/>
          <w:szCs w:val="32"/>
        </w:rPr>
        <w:t>指反映其他用于教育管理事务方面的支出。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3.社会保障和就业（类）行政事业单位养老支出（款）机关事业单位基本养老保险缴费支出（项）：</w:t>
      </w:r>
      <w:r>
        <w:rPr>
          <w:rFonts w:ascii="仿宋_GB2312" w:eastAsia="仿宋_GB2312"/>
          <w:color w:val="auto"/>
          <w:sz w:val="32"/>
          <w:szCs w:val="32"/>
        </w:rPr>
        <w:t xml:space="preserve"> </w:t>
      </w:r>
      <w:r>
        <w:rPr>
          <w:rFonts w:hint="eastAsia" w:ascii="仿宋_GB2312" w:eastAsia="仿宋_GB2312"/>
          <w:color w:val="auto"/>
          <w:sz w:val="32"/>
          <w:szCs w:val="32"/>
        </w:rPr>
        <w:t>指反映机关事业单位实施养老保险制度由单位缴纳的基本养老保险费支出。</w:t>
      </w:r>
    </w:p>
    <w:p>
      <w:pPr>
        <w:pStyle w:val="29"/>
        <w:spacing w:line="560" w:lineRule="exact"/>
        <w:ind w:firstLine="640" w:firstLineChars="200"/>
        <w:rPr>
          <w:rFonts w:hint="eastAsia" w:ascii="仿宋_GB2312" w:eastAsia="仿宋_GB2312"/>
          <w:color w:val="auto"/>
          <w:sz w:val="32"/>
          <w:szCs w:val="32"/>
        </w:rPr>
      </w:pPr>
      <w:r>
        <w:rPr>
          <w:rStyle w:val="17"/>
          <w:rFonts w:hint="eastAsia" w:hAnsi="仿宋"/>
          <w:b w:val="0"/>
          <w:bCs w:val="0"/>
          <w:sz w:val="32"/>
          <w:szCs w:val="32"/>
          <w:lang w:val="en-US" w:eastAsia="zh-CN"/>
        </w:rPr>
        <w:t>4.</w:t>
      </w:r>
      <w:r>
        <w:rPr>
          <w:rFonts w:hint="eastAsia" w:ascii="仿宋_GB2312" w:eastAsia="仿宋_GB2312"/>
          <w:color w:val="auto"/>
          <w:sz w:val="32"/>
          <w:szCs w:val="32"/>
        </w:rPr>
        <w:t>社会保障和就业（类）</w:t>
      </w:r>
      <w:r>
        <w:rPr>
          <w:rFonts w:hint="eastAsia" w:ascii="仿宋_GB2312" w:eastAsia="仿宋_GB2312"/>
          <w:color w:val="auto"/>
          <w:sz w:val="32"/>
          <w:szCs w:val="32"/>
          <w:lang w:val="en-US" w:eastAsia="zh-CN"/>
        </w:rPr>
        <w:t>其他社会保障和就业支出（款）其他社会保障和就业支出（项）：</w:t>
      </w:r>
      <w:r>
        <w:rPr>
          <w:rFonts w:hint="eastAsia" w:ascii="仿宋_GB2312" w:eastAsia="仿宋_GB2312"/>
          <w:color w:val="auto"/>
          <w:sz w:val="32"/>
          <w:szCs w:val="32"/>
        </w:rPr>
        <w:t>指反映其他用于</w:t>
      </w:r>
      <w:r>
        <w:rPr>
          <w:rFonts w:hint="eastAsia" w:ascii="仿宋_GB2312" w:eastAsia="仿宋_GB2312"/>
          <w:color w:val="auto"/>
          <w:sz w:val="32"/>
          <w:szCs w:val="32"/>
          <w:lang w:val="en-US" w:eastAsia="zh-CN"/>
        </w:rPr>
        <w:t>其他社会保障和就业支出</w:t>
      </w:r>
      <w:r>
        <w:rPr>
          <w:rFonts w:hint="eastAsia" w:ascii="仿宋_GB2312" w:eastAsia="仿宋_GB2312"/>
          <w:color w:val="auto"/>
          <w:sz w:val="32"/>
          <w:szCs w:val="32"/>
        </w:rPr>
        <w:t>的支出。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.卫生健康支出（类）行政事业单位医疗（款）事业单位医疗（项）：</w:t>
      </w:r>
      <w:r>
        <w:rPr>
          <w:rFonts w:ascii="仿宋_GB2312" w:eastAsia="仿宋_GB2312"/>
          <w:color w:val="auto"/>
          <w:sz w:val="32"/>
          <w:szCs w:val="32"/>
        </w:rPr>
        <w:t xml:space="preserve"> </w:t>
      </w:r>
      <w:r>
        <w:rPr>
          <w:rFonts w:hint="eastAsia" w:ascii="仿宋_GB2312" w:eastAsia="仿宋_GB2312"/>
          <w:color w:val="auto"/>
          <w:sz w:val="32"/>
          <w:szCs w:val="32"/>
        </w:rPr>
        <w:t>指反映财政部门安排的事业单位基本医疗保险缴费经费，未参加医疗保险的事业单位的公费医疗经费，按国家规定享受离休人员待遇的医疗经费。</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6</w:t>
      </w:r>
      <w:r>
        <w:rPr>
          <w:rFonts w:hint="eastAsia" w:ascii="仿宋_GB2312" w:eastAsia="仿宋_GB2312"/>
          <w:color w:val="auto"/>
          <w:sz w:val="32"/>
          <w:szCs w:val="32"/>
        </w:rPr>
        <w:t>.住房保障支出（类）住房改革支出（款）住房公积金（项）：指反映行政事业单位按人力资源和社会保障部、财政部规定的基本工资和津贴补贴以及规定比例为职工缴纳的住房公积金。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9</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10</w:t>
      </w:r>
      <w:bookmarkStart w:id="106" w:name="_GoBack"/>
      <w:bookmarkEnd w:id="106"/>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9"/>
          <w:rFonts w:hint="eastAsia" w:ascii="黑体" w:hAnsi="黑体" w:eastAsia="黑体"/>
          <w:b w:val="0"/>
        </w:rPr>
      </w:pPr>
      <w:bookmarkStart w:id="75" w:name="_Toc15377226"/>
      <w:r>
        <w:rPr>
          <w:rFonts w:ascii="宋体"/>
          <w:b/>
          <w:sz w:val="44"/>
          <w:szCs w:val="44"/>
        </w:rPr>
        <w:br w:type="page"/>
      </w:r>
      <w:bookmarkStart w:id="76" w:name="_Toc15396614"/>
      <w:bookmarkStart w:id="77" w:name="_Toc179386310"/>
      <w:r>
        <w:rPr>
          <w:rFonts w:hint="eastAsia" w:ascii="黑体" w:hAnsi="黑体" w:eastAsia="黑体"/>
          <w:sz w:val="44"/>
          <w:szCs w:val="44"/>
        </w:rPr>
        <w:t>第</w:t>
      </w:r>
      <w:r>
        <w:rPr>
          <w:rStyle w:val="19"/>
          <w:rFonts w:hint="eastAsia" w:ascii="黑体" w:hAnsi="黑体" w:eastAsia="黑体"/>
          <w:b w:val="0"/>
        </w:rPr>
        <w:t>四部分 附件</w:t>
      </w:r>
      <w:bookmarkEnd w:id="76"/>
      <w:bookmarkEnd w:id="77"/>
    </w:p>
    <w:tbl>
      <w:tblPr>
        <w:tblStyle w:val="15"/>
        <w:tblpPr w:leftFromText="180" w:rightFromText="180" w:vertAnchor="text" w:horzAnchor="margin" w:tblpXSpec="center" w:tblpY="394"/>
        <w:tblW w:w="10173" w:type="dxa"/>
        <w:tblInd w:w="0" w:type="dxa"/>
        <w:tblLayout w:type="autofit"/>
        <w:tblCellMar>
          <w:top w:w="0" w:type="dxa"/>
          <w:left w:w="108" w:type="dxa"/>
          <w:bottom w:w="0" w:type="dxa"/>
          <w:right w:w="108" w:type="dxa"/>
        </w:tblCellMar>
      </w:tblPr>
      <w:tblGrid>
        <w:gridCol w:w="576"/>
        <w:gridCol w:w="1075"/>
        <w:gridCol w:w="107"/>
        <w:gridCol w:w="666"/>
        <w:gridCol w:w="567"/>
        <w:gridCol w:w="565"/>
        <w:gridCol w:w="664"/>
        <w:gridCol w:w="153"/>
        <w:gridCol w:w="243"/>
        <w:gridCol w:w="927"/>
        <w:gridCol w:w="396"/>
        <w:gridCol w:w="396"/>
        <w:gridCol w:w="78"/>
        <w:gridCol w:w="156"/>
        <w:gridCol w:w="162"/>
        <w:gridCol w:w="467"/>
        <w:gridCol w:w="93"/>
        <w:gridCol w:w="486"/>
        <w:gridCol w:w="486"/>
        <w:gridCol w:w="1910"/>
      </w:tblGrid>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368" w:type="dxa"/>
            <w:gridSpan w:val="1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2" w:hRule="atLeast"/>
        </w:trPr>
        <w:tc>
          <w:tcPr>
            <w:tcW w:w="18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55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2933" w:type="dxa"/>
            <w:gridSpan w:val="9"/>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229"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55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815"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2553"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815" w:type="dxa"/>
            <w:gridSpan w:val="12"/>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sz w:val="18"/>
                <w:szCs w:val="18"/>
              </w:rPr>
              <w:t>工资及时发放、足额发放，预算编制科学合理，无结余资金</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368" w:type="dxa"/>
            <w:gridSpan w:val="1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sz w:val="18"/>
                <w:szCs w:val="18"/>
              </w:rPr>
              <w:t>执行相关政策，保障工资及时发放、足额发放，预算编制科学合理，减少结余资金。</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977"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36.33</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36.33</w:t>
            </w: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35.57</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97.91%</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977" w:type="dxa"/>
            <w:gridSpan w:val="4"/>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36.33</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36.33</w:t>
            </w: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35.57</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97.91%</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977" w:type="dxa"/>
            <w:gridSpan w:val="4"/>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977" w:type="dxa"/>
            <w:gridSpan w:val="4"/>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977" w:type="dxa"/>
            <w:gridSpan w:val="4"/>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985"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977" w:type="dxa"/>
            <w:gridSpan w:val="4"/>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94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98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39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4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977"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98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39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4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977"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2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6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45"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985"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39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46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977"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55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026"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29"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977"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顺利完成绩效目标任务，工资及时发放、足额发放，预算编制科学合理，无结余资金。</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3851"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1750" w:type="dxa"/>
            <w:gridSpan w:val="7"/>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3851"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463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3851"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4632"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color w:val="000000"/>
                <w:kern w:val="0"/>
                <w:sz w:val="18"/>
                <w:szCs w:val="18"/>
              </w:rPr>
              <w:t>单位日常工作正常运转，职工福利等足额保障。</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sz w:val="18"/>
                <w:szCs w:val="18"/>
              </w:rPr>
              <w:t>执行相关政策，保障单位日常运转，提高预算编制质量，严格执行预算。</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1.82</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285"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75"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901"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单位日常工作正常运转，职工福利等足额保障。</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color w:val="000000"/>
                <w:kern w:val="0"/>
                <w:sz w:val="18"/>
                <w:szCs w:val="18"/>
              </w:rPr>
              <w:t>工资及时发放、足额发放，预算编制科学合理，无结余资金</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sz w:val="18"/>
                <w:szCs w:val="18"/>
              </w:rPr>
              <w:t>严格执行相关政策，保障工资及时发放、足额发放，预算编制科学合理，减少结余资金</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36.27</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工资及时发放、足额发放，预算编制科学合理，无结余资金</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51080022R000007489234-2022年考核奖</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color w:val="000000"/>
                <w:kern w:val="0"/>
                <w:sz w:val="18"/>
                <w:szCs w:val="18"/>
              </w:rPr>
              <w:t>及时发放、足额发放，预算编制科学合理，无结余资金</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sz w:val="18"/>
                <w:szCs w:val="18"/>
              </w:rPr>
              <w:t>严格执行相关政策，保障工资及时发放、足额发放，预算编制科学合理，减少结余资金</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2.08</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2.08</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2.08</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2.08</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工资及时发放、足额发放，预算编制科学合理，无结余资金</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sz w:val="18"/>
                <w:szCs w:val="18"/>
              </w:rPr>
              <w:t>单位日常运转，预算编制质量高，严格执行预算</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sz w:val="18"/>
                <w:szCs w:val="18"/>
              </w:rPr>
              <w:t>严格执行相关政策，保障单位日常运转，提高预算编制质量，严格执行预算。</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675"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901"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单位日常运转，预算编制质量高，严格执行预算</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51080023R000007612345-规范后市级基础绩效奖及生活补助</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sz w:val="18"/>
                <w:szCs w:val="18"/>
              </w:rPr>
              <w:t>按照相关政策和标准，及时足额发放基础绩效奖及生活补助</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sz w:val="18"/>
                <w:szCs w:val="18"/>
              </w:rPr>
            </w:pPr>
            <w:r>
              <w:rPr>
                <w:rFonts w:hint="eastAsia" w:ascii="宋体" w:hAnsi="宋体" w:cs="宋体"/>
                <w:sz w:val="18"/>
                <w:szCs w:val="18"/>
              </w:rPr>
              <w:t>严格执行相关政策和标准，及时足额发放基础绩效奖及生活补助。</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0.08</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微软雅黑"/>
                <w:sz w:val="16"/>
                <w:szCs w:val="16"/>
              </w:rPr>
              <w:t>按照相关政策和标准，及时足额发放基础绩效奖及生活补助</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sz w:val="18"/>
                <w:szCs w:val="18"/>
              </w:rPr>
              <w:t>按照相关政策和标准，及时足额发放</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宋体" w:hAnsi="宋体" w:cs="宋体"/>
                <w:sz w:val="18"/>
                <w:szCs w:val="18"/>
              </w:rPr>
              <w:t>按照相关政策和标准，及时足额发放</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hint="eastAsia" w:ascii="宋体" w:hAnsi="宋体" w:cs="宋体"/>
                <w:sz w:val="18"/>
                <w:szCs w:val="18"/>
              </w:rPr>
              <w:t>按照相关政策和标准，及时足额发放</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4"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8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0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59"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发放覆盖率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宋体" w:hAnsi="宋体" w:cs="宋体"/>
                <w:sz w:val="18"/>
                <w:szCs w:val="18"/>
              </w:rPr>
              <w:t>按照相关政策和标准，及时足额发放</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901" w:hRule="atLeast"/>
        </w:trPr>
        <w:tc>
          <w:tcPr>
            <w:tcW w:w="1017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4"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51080024T000011033918-广元市中心城区学校校外设施适儿化改造提升项目（一期）</w:t>
            </w:r>
          </w:p>
        </w:tc>
      </w:tr>
      <w:tr>
        <w:tblPrEx>
          <w:tblCellMar>
            <w:top w:w="0" w:type="dxa"/>
            <w:left w:w="108" w:type="dxa"/>
            <w:bottom w:w="0" w:type="dxa"/>
            <w:right w:w="108" w:type="dxa"/>
          </w:tblCellMar>
        </w:tblPrEx>
        <w:trPr>
          <w:trHeight w:val="512" w:hRule="atLeast"/>
        </w:trPr>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广元市教育局部门</w:t>
            </w:r>
          </w:p>
        </w:tc>
        <w:tc>
          <w:tcPr>
            <w:tcW w:w="880" w:type="dxa"/>
            <w:gridSpan w:val="4"/>
            <w:tcBorders>
              <w:top w:val="nil"/>
              <w:left w:val="nil"/>
              <w:bottom w:val="nil"/>
              <w:right w:val="nil"/>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广元市教育服务中心</w:t>
            </w:r>
          </w:p>
        </w:tc>
      </w:tr>
      <w:tr>
        <w:tblPrEx>
          <w:tblCellMar>
            <w:top w:w="0" w:type="dxa"/>
            <w:left w:w="108" w:type="dxa"/>
            <w:bottom w:w="0" w:type="dxa"/>
            <w:right w:w="108" w:type="dxa"/>
          </w:tblCellMar>
        </w:tblPrEx>
        <w:trPr>
          <w:trHeight w:val="284"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trHeight w:val="706"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4721"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完成广元市中心城区学校校外设施适儿化改造提升项目（一期）可研文本编制和立项，并完成整体规划设计方案</w:t>
            </w:r>
          </w:p>
        </w:tc>
        <w:tc>
          <w:tcPr>
            <w:tcW w:w="3762"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0"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8483" w:type="dxa"/>
            <w:gridSpan w:val="18"/>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2023年9月完成了项目可研文本编制并取得项目可研批复；年底进行了设计服务招标。</w:t>
            </w:r>
          </w:p>
        </w:tc>
      </w:tr>
      <w:tr>
        <w:tblPrEx>
          <w:tblCellMar>
            <w:top w:w="0" w:type="dxa"/>
            <w:left w:w="108" w:type="dxa"/>
            <w:bottom w:w="0" w:type="dxa"/>
            <w:right w:w="108" w:type="dxa"/>
          </w:tblCellMar>
        </w:tblPrEx>
        <w:trPr>
          <w:trHeight w:val="359"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97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1.25</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c>
          <w:tcPr>
            <w:tcW w:w="20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both"/>
              <w:rPr>
                <w:rFonts w:ascii="Courier New" w:hAnsi="Courier New" w:cs="Courier New"/>
                <w:i/>
                <w:iCs/>
                <w:color w:val="000000"/>
                <w:kern w:val="0"/>
                <w:sz w:val="18"/>
                <w:szCs w:val="18"/>
              </w:rPr>
            </w:pPr>
            <w:r>
              <w:rPr>
                <w:rFonts w:hint="eastAsia" w:ascii="Courier New" w:hAnsi="Courier New" w:cs="Courier New"/>
                <w:color w:val="000000"/>
                <w:kern w:val="0"/>
                <w:sz w:val="18"/>
                <w:szCs w:val="18"/>
              </w:rPr>
              <w:t>为满足城区部分学校适儿化改造需要，争取国家适儿化改造资金，经市政府同意谋划实施广元市中心城区学校校外设施适儿化改造提升项目（一期），年中追加预算15万元。2023年8月完成了可研编制单位招标，12月26日完成设计服务单位招标，年底合同还未签订无法支付费用。</w:t>
            </w:r>
          </w:p>
        </w:tc>
      </w:tr>
      <w:tr>
        <w:tblPrEx>
          <w:tblCellMar>
            <w:top w:w="0" w:type="dxa"/>
            <w:left w:w="108" w:type="dxa"/>
            <w:bottom w:w="0" w:type="dxa"/>
            <w:right w:w="108" w:type="dxa"/>
          </w:tblCellMar>
        </w:tblPrEx>
        <w:trPr>
          <w:trHeight w:val="1168"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1.25</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8.33%</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1313"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62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2206"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00" w:type="dxa"/>
            <w:vMerge w:val="continue"/>
            <w:tcBorders>
              <w:top w:val="nil"/>
              <w:left w:val="single" w:color="000000" w:sz="4" w:space="0"/>
              <w:bottom w:val="single" w:color="000000" w:sz="4" w:space="0"/>
              <w:right w:val="single" w:color="000000" w:sz="4" w:space="0"/>
            </w:tcBorders>
            <w:vAlign w:val="center"/>
          </w:tcPr>
          <w:p>
            <w:pPr>
              <w:widowControl/>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trHeight w:val="452" w:hRule="atLeast"/>
        </w:trPr>
        <w:tc>
          <w:tcPr>
            <w:tcW w:w="57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15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396" w:type="dxa"/>
            <w:gridSpan w:val="2"/>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94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870"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880" w:type="dxa"/>
            <w:gridSpan w:val="4"/>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359"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编制规划设计方案</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个</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10</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编制可研报告</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个</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10</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10</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2"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广元市儿童友好空间建设设施保障率</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90</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100</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2"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规划设计方案适儿化展现率</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98</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100</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2"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可研文本可行性、必要性体现率</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95</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100</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项目完成时限</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6</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月</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6</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359"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儿童成长环境</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改善</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改善</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儿童视野拓展提升率</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提高</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提高</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便民服务提升度</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增加</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增加</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建立适儿化改造体系</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进一步改善</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进一步改善</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452"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0-18岁教育环境适儿化改善程度</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进一步改善</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进一步改善</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社会践行儿童友好理念</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定性</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进一步改善</w:t>
            </w:r>
          </w:p>
        </w:tc>
        <w:tc>
          <w:tcPr>
            <w:tcW w:w="870" w:type="dxa"/>
            <w:gridSpan w:val="3"/>
            <w:tcBorders>
              <w:top w:val="nil"/>
              <w:left w:val="nil"/>
              <w:bottom w:val="single" w:color="000000" w:sz="4" w:space="0"/>
              <w:right w:val="single" w:color="000000" w:sz="4" w:space="0"/>
            </w:tcBorders>
            <w:shd w:val="clear" w:color="auto" w:fill="auto"/>
            <w:vAlign w:val="center"/>
          </w:tcPr>
          <w:p>
            <w:pPr>
              <w:jc w:val="center"/>
              <w:rPr>
                <w:rFonts w:ascii="宋体" w:hAnsi="宋体" w:cs="宋体"/>
                <w:b w:val="0"/>
                <w:bCs w:val="0"/>
                <w:color w:val="000000"/>
                <w:kern w:val="0"/>
                <w:sz w:val="18"/>
                <w:szCs w:val="18"/>
              </w:rPr>
            </w:pP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ascii="宋体" w:hAnsi="宋体" w:eastAsia="宋体" w:cs="宋体"/>
                <w:b w:val="0"/>
                <w:bCs w:val="0"/>
                <w:i w:val="0"/>
                <w:iCs w:val="0"/>
                <w:color w:val="000000"/>
                <w:kern w:val="0"/>
                <w:sz w:val="18"/>
                <w:szCs w:val="18"/>
                <w:u w:val="none"/>
                <w:lang w:val="en-US" w:eastAsia="zh-CN" w:bidi="ar"/>
              </w:rPr>
              <w:t>进一步改善</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359"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hint="default" w:ascii="Arial" w:hAnsi="Arial" w:eastAsia="宋体" w:cs="Arial"/>
                <w:b w:val="0"/>
                <w:bCs w:val="0"/>
                <w:i w:val="0"/>
                <w:iCs w:val="0"/>
                <w:color w:val="000000"/>
                <w:kern w:val="0"/>
                <w:sz w:val="18"/>
                <w:szCs w:val="18"/>
                <w:u w:val="none"/>
                <w:lang w:val="en-US" w:eastAsia="zh-CN" w:bidi="ar"/>
              </w:rPr>
              <w:t xml:space="preserve"> </w:t>
            </w:r>
            <w:r>
              <w:rPr>
                <w:rStyle w:val="35"/>
                <w:b w:val="0"/>
                <w:bCs w:val="0"/>
                <w:lang w:val="en-US" w:eastAsia="zh-CN" w:bidi="ar"/>
              </w:rPr>
              <w:t xml:space="preserve"> 社会满意度</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95</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98</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359" w:type="dxa"/>
            <w:gridSpan w:val="3"/>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学校师生满意度</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95</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97</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5</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337" w:hRule="atLeast"/>
        </w:trPr>
        <w:tc>
          <w:tcPr>
            <w:tcW w:w="576" w:type="dxa"/>
            <w:vMerge w:val="continue"/>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p>
        </w:tc>
        <w:tc>
          <w:tcPr>
            <w:tcW w:w="111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359"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15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项目控制成本</w:t>
            </w:r>
          </w:p>
        </w:tc>
        <w:tc>
          <w:tcPr>
            <w:tcW w:w="396"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w:t>
            </w:r>
          </w:p>
        </w:tc>
        <w:tc>
          <w:tcPr>
            <w:tcW w:w="9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15</w:t>
            </w:r>
          </w:p>
        </w:tc>
        <w:tc>
          <w:tcPr>
            <w:tcW w:w="87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万元</w:t>
            </w:r>
          </w:p>
        </w:tc>
        <w:tc>
          <w:tcPr>
            <w:tcW w:w="880"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宋体"/>
                <w:b w:val="0"/>
                <w:bCs w:val="0"/>
                <w:i/>
                <w:iCs/>
                <w:color w:val="000000"/>
                <w:kern w:val="0"/>
                <w:sz w:val="16"/>
                <w:szCs w:val="16"/>
              </w:rPr>
            </w:pPr>
            <w:r>
              <w:rPr>
                <w:rFonts w:hint="eastAsia" w:ascii="微软雅黑" w:hAnsi="微软雅黑" w:eastAsia="微软雅黑" w:cs="微软雅黑"/>
                <w:b w:val="0"/>
                <w:bCs w:val="0"/>
                <w:i w:val="0"/>
                <w:iCs w:val="0"/>
                <w:color w:val="000000"/>
                <w:kern w:val="0"/>
                <w:sz w:val="16"/>
                <w:szCs w:val="16"/>
                <w:u w:val="none"/>
                <w:lang w:val="en-US" w:eastAsia="zh-CN" w:bidi="ar"/>
              </w:rPr>
              <w:t>1.25</w:t>
            </w:r>
          </w:p>
        </w:tc>
        <w:tc>
          <w:tcPr>
            <w:tcW w:w="48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20</w:t>
            </w:r>
          </w:p>
        </w:tc>
        <w:tc>
          <w:tcPr>
            <w:tcW w:w="39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b w:val="0"/>
                <w:bCs w:val="0"/>
                <w:color w:val="000000"/>
                <w:kern w:val="0"/>
                <w:sz w:val="18"/>
                <w:szCs w:val="18"/>
              </w:rPr>
            </w:pPr>
            <w:r>
              <w:rPr>
                <w:rFonts w:ascii="宋体" w:hAnsi="宋体" w:eastAsia="宋体" w:cs="宋体"/>
                <w:b w:val="0"/>
                <w:bCs w:val="0"/>
                <w:i w:val="0"/>
                <w:iCs w:val="0"/>
                <w:color w:val="000000"/>
                <w:kern w:val="0"/>
                <w:sz w:val="18"/>
                <w:szCs w:val="18"/>
                <w:u w:val="none"/>
                <w:lang w:val="en-US" w:eastAsia="zh-CN" w:bidi="ar"/>
              </w:rPr>
              <w:t>20</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trHeight w:val="284" w:hRule="atLeast"/>
        </w:trPr>
        <w:tc>
          <w:tcPr>
            <w:tcW w:w="729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48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396" w:type="dxa"/>
            <w:tcBorders>
              <w:top w:val="nil"/>
              <w:left w:val="nil"/>
              <w:bottom w:val="single" w:color="000000" w:sz="4" w:space="0"/>
              <w:right w:val="single" w:color="000000" w:sz="4" w:space="0"/>
            </w:tcBorders>
            <w:shd w:val="clear" w:color="auto" w:fill="auto"/>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94</w:t>
            </w:r>
          </w:p>
        </w:tc>
        <w:tc>
          <w:tcPr>
            <w:tcW w:w="20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微软雅黑" w:hAnsi="微软雅黑" w:eastAsia="微软雅黑" w:cs="宋体"/>
                <w:i/>
                <w:iCs/>
                <w:color w:val="000000"/>
                <w:kern w:val="0"/>
                <w:sz w:val="16"/>
                <w:szCs w:val="16"/>
              </w:rPr>
            </w:pPr>
            <w:r>
              <w:rPr>
                <w:rFonts w:hint="eastAsia" w:ascii="微软雅黑" w:hAnsi="微软雅黑" w:eastAsia="微软雅黑" w:cs="微软雅黑"/>
                <w:i w:val="0"/>
                <w:iCs w:val="0"/>
                <w:color w:val="000000"/>
                <w:kern w:val="0"/>
                <w:sz w:val="16"/>
                <w:szCs w:val="16"/>
                <w:u w:val="none"/>
                <w:lang w:val="en-US" w:eastAsia="zh-CN" w:bidi="ar"/>
              </w:rPr>
              <w:t>因为项目招标时间再12月下旬，故费用未支出完毕，其余绩效发挥较好</w:t>
            </w:r>
          </w:p>
        </w:tc>
      </w:tr>
      <w:tr>
        <w:tblPrEx>
          <w:tblCellMar>
            <w:top w:w="0" w:type="dxa"/>
            <w:left w:w="108" w:type="dxa"/>
            <w:bottom w:w="0" w:type="dxa"/>
            <w:right w:w="108" w:type="dxa"/>
          </w:tblCellMar>
        </w:tblPrEx>
        <w:trPr>
          <w:trHeight w:val="57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微软雅黑" w:hAnsi="微软雅黑" w:eastAsia="微软雅黑" w:cs="宋体"/>
                <w:i/>
                <w:iCs/>
                <w:color w:val="000000"/>
                <w:kern w:val="0"/>
                <w:sz w:val="16"/>
                <w:szCs w:val="16"/>
              </w:rPr>
            </w:pPr>
            <w:r>
              <w:rPr>
                <w:rFonts w:hint="eastAsia" w:ascii="微软雅黑" w:hAnsi="微软雅黑" w:eastAsia="微软雅黑" w:cs="微软雅黑"/>
                <w:i w:val="0"/>
                <w:iCs w:val="0"/>
                <w:color w:val="000000"/>
                <w:kern w:val="0"/>
                <w:sz w:val="16"/>
                <w:szCs w:val="16"/>
                <w:u w:val="none"/>
                <w:lang w:val="en-US" w:eastAsia="zh-CN" w:bidi="ar"/>
              </w:rPr>
              <w:t>项目实施过程正常，因招标时间较晚，未实现费用全额支出。</w:t>
            </w:r>
          </w:p>
        </w:tc>
      </w:tr>
      <w:tr>
        <w:tblPrEx>
          <w:tblCellMar>
            <w:top w:w="0" w:type="dxa"/>
            <w:left w:w="108" w:type="dxa"/>
            <w:bottom w:w="0" w:type="dxa"/>
            <w:right w:w="108" w:type="dxa"/>
          </w:tblCellMar>
        </w:tblPrEx>
        <w:trPr>
          <w:trHeight w:val="632" w:hRule="atLeast"/>
        </w:trPr>
        <w:tc>
          <w:tcPr>
            <w:tcW w:w="57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9597" w:type="dxa"/>
            <w:gridSpan w:val="19"/>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微软雅黑" w:hAnsi="微软雅黑" w:eastAsia="微软雅黑" w:cs="宋体"/>
                <w:i/>
                <w:iCs/>
                <w:color w:val="000000"/>
                <w:kern w:val="0"/>
                <w:sz w:val="16"/>
                <w:szCs w:val="16"/>
              </w:rPr>
            </w:pPr>
            <w:r>
              <w:rPr>
                <w:rFonts w:hint="eastAsia" w:ascii="微软雅黑" w:hAnsi="微软雅黑" w:eastAsia="微软雅黑" w:cs="微软雅黑"/>
                <w:i w:val="0"/>
                <w:iCs w:val="0"/>
                <w:color w:val="000000"/>
                <w:kern w:val="0"/>
                <w:sz w:val="16"/>
                <w:szCs w:val="16"/>
                <w:u w:val="none"/>
                <w:lang w:val="en-US" w:eastAsia="zh-CN" w:bidi="ar"/>
              </w:rPr>
              <w:t>抓紧推进项目实施，使资金发挥应有的绩效效果。</w:t>
            </w:r>
          </w:p>
        </w:tc>
      </w:tr>
      <w:tr>
        <w:tblPrEx>
          <w:tblCellMar>
            <w:top w:w="0" w:type="dxa"/>
            <w:left w:w="108" w:type="dxa"/>
            <w:bottom w:w="0" w:type="dxa"/>
            <w:right w:w="108" w:type="dxa"/>
          </w:tblCellMar>
        </w:tblPrEx>
        <w:trPr>
          <w:trHeight w:val="284" w:hRule="atLeast"/>
        </w:trPr>
        <w:tc>
          <w:tcPr>
            <w:tcW w:w="4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w:t>
            </w:r>
          </w:p>
        </w:tc>
        <w:tc>
          <w:tcPr>
            <w:tcW w:w="557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4" w:hRule="atLeast"/>
        </w:trPr>
        <w:tc>
          <w:tcPr>
            <w:tcW w:w="10173" w:type="dxa"/>
            <w:gridSpan w:val="20"/>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84" w:hRule="atLeast"/>
        </w:trPr>
        <w:tc>
          <w:tcPr>
            <w:tcW w:w="10173" w:type="dxa"/>
            <w:gridSpan w:val="20"/>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84" w:hRule="atLeast"/>
        </w:trPr>
        <w:tc>
          <w:tcPr>
            <w:tcW w:w="10173" w:type="dxa"/>
            <w:gridSpan w:val="20"/>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trHeight w:val="284" w:hRule="atLeast"/>
        </w:trPr>
        <w:tc>
          <w:tcPr>
            <w:tcW w:w="10173" w:type="dxa"/>
            <w:gridSpan w:val="20"/>
            <w:tcBorders>
              <w:top w:val="nil"/>
              <w:left w:val="nil"/>
              <w:bottom w:val="nil"/>
              <w:right w:val="nil"/>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适用用户：部门用户、单位用户</w:t>
            </w:r>
          </w:p>
        </w:tc>
      </w:tr>
      <w:tr>
        <w:tblPrEx>
          <w:tblCellMar>
            <w:top w:w="0" w:type="dxa"/>
            <w:left w:w="108" w:type="dxa"/>
            <w:bottom w:w="0" w:type="dxa"/>
            <w:right w:w="108" w:type="dxa"/>
          </w:tblCellMar>
        </w:tblPrEx>
        <w:trPr>
          <w:trHeight w:val="284" w:hRule="atLeast"/>
        </w:trPr>
        <w:tc>
          <w:tcPr>
            <w:tcW w:w="57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14"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359" w:type="dxa"/>
            <w:gridSpan w:val="3"/>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1156"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396" w:type="dxa"/>
            <w:gridSpan w:val="2"/>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94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870" w:type="dxa"/>
            <w:gridSpan w:val="3"/>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880" w:type="dxa"/>
            <w:gridSpan w:val="4"/>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396"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c>
          <w:tcPr>
            <w:tcW w:w="2000" w:type="dxa"/>
            <w:tcBorders>
              <w:top w:val="nil"/>
              <w:left w:val="nil"/>
              <w:bottom w:val="nil"/>
              <w:right w:val="nil"/>
            </w:tcBorders>
            <w:shd w:val="clear" w:color="auto" w:fill="auto"/>
            <w:vAlign w:val="center"/>
          </w:tcPr>
          <w:p>
            <w:pPr>
              <w:widowControl/>
              <w:jc w:val="left"/>
              <w:rPr>
                <w:rFonts w:ascii="宋体" w:hAnsi="宋体" w:cs="宋体"/>
                <w:kern w:val="0"/>
                <w:sz w:val="18"/>
                <w:szCs w:val="18"/>
              </w:rPr>
            </w:pPr>
          </w:p>
        </w:tc>
      </w:tr>
    </w:tbl>
    <w:p>
      <w:pPr>
        <w:pStyle w:val="6"/>
        <w:spacing w:before="93"/>
        <w:jc w:val="left"/>
        <w:rPr>
          <w:rFonts w:hAnsi="Calibri" w:cs="仿宋"/>
          <w:sz w:val="32"/>
          <w:szCs w:val="32"/>
        </w:rPr>
      </w:pPr>
      <w:bookmarkStart w:id="78" w:name="_Toc15396618"/>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spacing w:line="600" w:lineRule="exact"/>
        <w:jc w:val="center"/>
        <w:outlineLvl w:val="0"/>
        <w:rPr>
          <w:rFonts w:ascii="仿宋" w:hAnsi="仿宋" w:eastAsia="仿宋"/>
        </w:rPr>
      </w:pPr>
      <w:bookmarkStart w:id="79" w:name="_Toc179386311"/>
      <w:r>
        <w:rPr>
          <w:rFonts w:hint="eastAsia" w:ascii="黑体" w:hAnsi="黑体" w:eastAsia="黑体"/>
          <w:sz w:val="44"/>
          <w:szCs w:val="44"/>
        </w:rPr>
        <w:t>第</w:t>
      </w:r>
      <w:r>
        <w:rPr>
          <w:rStyle w:val="19"/>
          <w:rFonts w:hint="eastAsia" w:ascii="黑体" w:hAnsi="黑体" w:eastAsia="黑体"/>
          <w:b w:val="0"/>
        </w:rPr>
        <w:t>五部分 附表</w:t>
      </w:r>
      <w:bookmarkEnd w:id="75"/>
      <w:bookmarkEnd w:id="78"/>
      <w:bookmarkEnd w:id="79"/>
      <w:bookmarkStart w:id="80" w:name="_Toc15396619"/>
    </w:p>
    <w:p>
      <w:pPr>
        <w:pStyle w:val="4"/>
        <w:rPr>
          <w:rFonts w:ascii="仿宋" w:hAnsi="仿宋" w:eastAsia="仿宋"/>
        </w:rPr>
      </w:pPr>
      <w:bookmarkStart w:id="81" w:name="_Toc179386312"/>
      <w:r>
        <w:rPr>
          <w:rFonts w:hint="eastAsia" w:ascii="仿宋" w:hAnsi="仿宋" w:eastAsia="仿宋"/>
          <w:b w:val="0"/>
        </w:rPr>
        <w:t>一、收</w:t>
      </w:r>
      <w:r>
        <w:rPr>
          <w:rStyle w:val="20"/>
          <w:rFonts w:hint="eastAsia" w:ascii="仿宋" w:hAnsi="仿宋" w:eastAsia="仿宋"/>
          <w:b w:val="0"/>
          <w:bCs w:val="0"/>
        </w:rPr>
        <w:t>入支出决算总表</w:t>
      </w:r>
      <w:bookmarkEnd w:id="80"/>
      <w:bookmarkEnd w:id="81"/>
    </w:p>
    <w:p>
      <w:pPr>
        <w:pStyle w:val="4"/>
        <w:rPr>
          <w:rFonts w:ascii="仿宋" w:hAnsi="仿宋" w:eastAsia="仿宋"/>
        </w:rPr>
      </w:pPr>
      <w:bookmarkStart w:id="82" w:name="_Toc179386313"/>
      <w:bookmarkStart w:id="83" w:name="_Toc15396620"/>
      <w:r>
        <w:rPr>
          <w:rFonts w:hint="eastAsia" w:ascii="仿宋" w:hAnsi="仿宋" w:eastAsia="仿宋"/>
          <w:b w:val="0"/>
        </w:rPr>
        <w:t>二、收</w:t>
      </w:r>
      <w:r>
        <w:rPr>
          <w:rStyle w:val="20"/>
          <w:rFonts w:hint="eastAsia" w:ascii="仿宋" w:hAnsi="仿宋" w:eastAsia="仿宋"/>
          <w:b w:val="0"/>
          <w:bCs w:val="0"/>
        </w:rPr>
        <w:t>入决算表</w:t>
      </w:r>
      <w:bookmarkEnd w:id="82"/>
      <w:bookmarkEnd w:id="83"/>
    </w:p>
    <w:p>
      <w:pPr>
        <w:pStyle w:val="4"/>
        <w:rPr>
          <w:rFonts w:ascii="仿宋" w:hAnsi="仿宋" w:eastAsia="仿宋"/>
        </w:rPr>
      </w:pPr>
      <w:bookmarkStart w:id="84" w:name="_Toc15396621"/>
      <w:bookmarkStart w:id="85" w:name="_Toc179386314"/>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84"/>
      <w:bookmarkEnd w:id="85"/>
    </w:p>
    <w:p>
      <w:pPr>
        <w:pStyle w:val="4"/>
        <w:rPr>
          <w:rFonts w:ascii="仿宋" w:hAnsi="仿宋" w:eastAsia="仿宋"/>
          <w:b w:val="0"/>
        </w:rPr>
      </w:pPr>
      <w:bookmarkStart w:id="86" w:name="_Toc15396622"/>
      <w:bookmarkStart w:id="87" w:name="_Toc179386315"/>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86"/>
      <w:bookmarkEnd w:id="87"/>
    </w:p>
    <w:p>
      <w:pPr>
        <w:pStyle w:val="4"/>
        <w:rPr>
          <w:rStyle w:val="20"/>
          <w:rFonts w:ascii="仿宋" w:hAnsi="仿宋" w:eastAsia="仿宋"/>
          <w:b w:val="0"/>
          <w:bCs w:val="0"/>
        </w:rPr>
      </w:pPr>
      <w:bookmarkStart w:id="88" w:name="_Toc179386316"/>
      <w:bookmarkStart w:id="89" w:name="_Toc15396623"/>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88"/>
      <w:bookmarkEnd w:id="89"/>
      <w:bookmarkStart w:id="90" w:name="_Toc15396624"/>
    </w:p>
    <w:p>
      <w:pPr>
        <w:pStyle w:val="4"/>
        <w:rPr>
          <w:rFonts w:ascii="仿宋" w:hAnsi="仿宋" w:eastAsia="仿宋"/>
        </w:rPr>
      </w:pPr>
      <w:bookmarkStart w:id="91" w:name="_Toc179386317"/>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90"/>
      <w:bookmarkEnd w:id="91"/>
    </w:p>
    <w:p>
      <w:pPr>
        <w:pStyle w:val="4"/>
        <w:rPr>
          <w:rFonts w:ascii="仿宋" w:hAnsi="仿宋" w:eastAsia="仿宋"/>
        </w:rPr>
      </w:pPr>
      <w:bookmarkStart w:id="92" w:name="_Toc179386318"/>
      <w:bookmarkStart w:id="93" w:name="_Toc15396625"/>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92"/>
      <w:bookmarkEnd w:id="93"/>
    </w:p>
    <w:p>
      <w:pPr>
        <w:pStyle w:val="4"/>
        <w:rPr>
          <w:rFonts w:ascii="仿宋" w:hAnsi="仿宋" w:eastAsia="仿宋"/>
        </w:rPr>
      </w:pPr>
      <w:bookmarkStart w:id="94" w:name="_Toc15396626"/>
      <w:bookmarkStart w:id="95" w:name="_Toc179386319"/>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94"/>
      <w:bookmarkEnd w:id="95"/>
    </w:p>
    <w:p>
      <w:pPr>
        <w:pStyle w:val="4"/>
        <w:rPr>
          <w:rFonts w:ascii="仿宋" w:hAnsi="仿宋" w:eastAsia="仿宋"/>
        </w:rPr>
      </w:pPr>
      <w:bookmarkStart w:id="96" w:name="_Toc15396627"/>
      <w:bookmarkStart w:id="97" w:name="_Toc179386320"/>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96"/>
      <w:bookmarkEnd w:id="97"/>
    </w:p>
    <w:p>
      <w:pPr>
        <w:pStyle w:val="4"/>
        <w:rPr>
          <w:rFonts w:ascii="仿宋" w:hAnsi="仿宋" w:eastAsia="仿宋"/>
        </w:rPr>
      </w:pPr>
      <w:bookmarkStart w:id="98" w:name="_Toc15396628"/>
      <w:bookmarkStart w:id="99" w:name="_Toc179386321"/>
      <w:r>
        <w:rPr>
          <w:rStyle w:val="20"/>
          <w:rFonts w:hint="eastAsia" w:ascii="仿宋" w:hAnsi="仿宋" w:eastAsia="仿宋"/>
          <w:b w:val="0"/>
          <w:bCs w:val="0"/>
        </w:rPr>
        <w:t>十、</w:t>
      </w:r>
      <w:bookmarkEnd w:id="98"/>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99"/>
    </w:p>
    <w:p>
      <w:pPr>
        <w:pStyle w:val="4"/>
        <w:rPr>
          <w:rFonts w:ascii="仿宋" w:hAnsi="仿宋" w:eastAsia="仿宋"/>
        </w:rPr>
      </w:pPr>
      <w:bookmarkStart w:id="100" w:name="_Toc15396629"/>
      <w:bookmarkStart w:id="101" w:name="_Toc179386322"/>
      <w:r>
        <w:rPr>
          <w:rStyle w:val="20"/>
          <w:rFonts w:hint="eastAsia" w:ascii="仿宋" w:hAnsi="仿宋" w:eastAsia="仿宋"/>
          <w:b w:val="0"/>
          <w:bCs w:val="0"/>
        </w:rPr>
        <w:t>十一、</w:t>
      </w:r>
      <w:bookmarkEnd w:id="100"/>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101"/>
    </w:p>
    <w:p>
      <w:pPr>
        <w:pStyle w:val="4"/>
        <w:rPr>
          <w:rFonts w:ascii="仿宋" w:hAnsi="仿宋" w:eastAsia="仿宋"/>
        </w:rPr>
      </w:pPr>
      <w:bookmarkStart w:id="102" w:name="_Toc15396630"/>
      <w:bookmarkStart w:id="103" w:name="_Toc179386323"/>
      <w:r>
        <w:rPr>
          <w:rStyle w:val="20"/>
          <w:rFonts w:hint="eastAsia" w:ascii="仿宋" w:hAnsi="仿宋" w:eastAsia="仿宋"/>
          <w:b w:val="0"/>
          <w:bCs w:val="0"/>
        </w:rPr>
        <w:t>十二、</w:t>
      </w:r>
      <w:bookmarkEnd w:id="102"/>
      <w:r>
        <w:rPr>
          <w:rStyle w:val="20"/>
          <w:rFonts w:hint="eastAsia" w:ascii="仿宋" w:hAnsi="仿宋" w:eastAsia="仿宋"/>
          <w:b w:val="0"/>
          <w:bCs w:val="0"/>
        </w:rPr>
        <w:t>国有资本经营预算财政拨款支出决算表</w:t>
      </w:r>
      <w:bookmarkEnd w:id="103"/>
    </w:p>
    <w:p>
      <w:pPr>
        <w:pStyle w:val="4"/>
        <w:rPr>
          <w:rFonts w:eastAsia="仿宋"/>
        </w:rPr>
      </w:pPr>
      <w:bookmarkStart w:id="104" w:name="_Toc15396631"/>
      <w:bookmarkStart w:id="105" w:name="_Toc179386324"/>
      <w:r>
        <w:rPr>
          <w:rStyle w:val="20"/>
          <w:rFonts w:hint="eastAsia" w:ascii="仿宋" w:hAnsi="仿宋" w:eastAsia="仿宋"/>
          <w:b w:val="0"/>
          <w:bCs w:val="0"/>
        </w:rPr>
        <w:t>十三、</w:t>
      </w:r>
      <w:bookmarkEnd w:id="104"/>
      <w:r>
        <w:rPr>
          <w:rStyle w:val="20"/>
          <w:rFonts w:hint="eastAsia" w:ascii="仿宋" w:hAnsi="仿宋" w:eastAsia="仿宋"/>
          <w:b w:val="0"/>
          <w:bCs w:val="0"/>
        </w:rPr>
        <w:t>财政拨款“三公”经费支出决算表</w:t>
      </w:r>
      <w:bookmarkEnd w:id="105"/>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Comic Sans MS">
    <w:panose1 w:val="030F0702030302020204"/>
    <w:charset w:val="00"/>
    <w:family w:val="auto"/>
    <w:pitch w:val="default"/>
    <w:sig w:usb0="00000287" w:usb1="00000000" w:usb2="00000000" w:usb3="00000000" w:csb0="2000009F"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I3OGU4OGQzNGUyZTE1ODQ2YTc4ZjU1ZTNlODNjNTkifQ=="/>
  </w:docVars>
  <w:rsids>
    <w:rsidRoot w:val="00F1361C"/>
    <w:rsid w:val="000222C6"/>
    <w:rsid w:val="0002549F"/>
    <w:rsid w:val="000468DB"/>
    <w:rsid w:val="00063633"/>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2F7288"/>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D54FB"/>
    <w:rsid w:val="004E0A2D"/>
    <w:rsid w:val="004E206B"/>
    <w:rsid w:val="004E42F4"/>
    <w:rsid w:val="004E6DF7"/>
    <w:rsid w:val="004F0FBD"/>
    <w:rsid w:val="00505A47"/>
    <w:rsid w:val="00512FDA"/>
    <w:rsid w:val="00520DA0"/>
    <w:rsid w:val="00532ACB"/>
    <w:rsid w:val="005533CF"/>
    <w:rsid w:val="00564044"/>
    <w:rsid w:val="005664BB"/>
    <w:rsid w:val="00566FFA"/>
    <w:rsid w:val="0057481D"/>
    <w:rsid w:val="0058486E"/>
    <w:rsid w:val="00585B33"/>
    <w:rsid w:val="0059014D"/>
    <w:rsid w:val="005B1DD6"/>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164BD"/>
    <w:rsid w:val="0062270A"/>
    <w:rsid w:val="00622830"/>
    <w:rsid w:val="00623DA0"/>
    <w:rsid w:val="00630AEF"/>
    <w:rsid w:val="006325F8"/>
    <w:rsid w:val="00633463"/>
    <w:rsid w:val="00634C9A"/>
    <w:rsid w:val="0063599B"/>
    <w:rsid w:val="006440E4"/>
    <w:rsid w:val="00655FC5"/>
    <w:rsid w:val="0066343B"/>
    <w:rsid w:val="00663696"/>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05AC"/>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66CDD"/>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18D5"/>
    <w:rsid w:val="00C533CC"/>
    <w:rsid w:val="00C5751C"/>
    <w:rsid w:val="00C61BFC"/>
    <w:rsid w:val="00C62B85"/>
    <w:rsid w:val="00C65438"/>
    <w:rsid w:val="00C7488A"/>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14CF"/>
    <w:rsid w:val="00DD22EF"/>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6BB723D"/>
    <w:rsid w:val="18015F3F"/>
    <w:rsid w:val="1BE8440E"/>
    <w:rsid w:val="1D155CEE"/>
    <w:rsid w:val="1FDBBF84"/>
    <w:rsid w:val="20881525"/>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9D1C81"/>
    <w:rsid w:val="4ECE2238"/>
    <w:rsid w:val="51DB4B86"/>
    <w:rsid w:val="51F64DB0"/>
    <w:rsid w:val="55333C3E"/>
    <w:rsid w:val="5DE6275E"/>
    <w:rsid w:val="5F67802D"/>
    <w:rsid w:val="5F7DC4F2"/>
    <w:rsid w:val="5FB36814"/>
    <w:rsid w:val="5FBB8E56"/>
    <w:rsid w:val="5FFB5535"/>
    <w:rsid w:val="64CA39A1"/>
    <w:rsid w:val="67F7E377"/>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6FECC7"/>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BFFA59"/>
    <w:rsid w:val="9FD54998"/>
    <w:rsid w:val="A671883B"/>
    <w:rsid w:val="A7EFD17F"/>
    <w:rsid w:val="A7FFE43F"/>
    <w:rsid w:val="B9BF3E75"/>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DFF0EFE"/>
    <w:rsid w:val="EEF73F60"/>
    <w:rsid w:val="EFED9E42"/>
    <w:rsid w:val="EFFFB194"/>
    <w:rsid w:val="F2E1F9D4"/>
    <w:rsid w:val="F5FF7449"/>
    <w:rsid w:val="F7880819"/>
    <w:rsid w:val="F7AF180D"/>
    <w:rsid w:val="F7BDBFA7"/>
    <w:rsid w:val="F7FAD68F"/>
    <w:rsid w:val="F7FB14CF"/>
    <w:rsid w:val="F8F7197A"/>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2"/>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23"/>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正文文本 Char"/>
    <w:link w:val="6"/>
    <w:qFormat/>
    <w:locked/>
    <w:uiPriority w:val="99"/>
    <w:rPr>
      <w:rFonts w:ascii="仿宋_GB2312" w:hAnsi="Times New Roman" w:eastAsia="仿宋_GB2312"/>
      <w:sz w:val="24"/>
    </w:rPr>
  </w:style>
  <w:style w:type="character" w:customStyle="1" w:styleId="23">
    <w:name w:val="批注框文本 Char"/>
    <w:basedOn w:val="16"/>
    <w:link w:val="9"/>
    <w:semiHidden/>
    <w:qFormat/>
    <w:uiPriority w:val="99"/>
    <w:rPr>
      <w:rFonts w:ascii="Times New Roman" w:hAnsi="Times New Roman"/>
      <w:kern w:val="2"/>
      <w:sz w:val="18"/>
      <w:szCs w:val="18"/>
    </w:rPr>
  </w:style>
  <w:style w:type="character" w:customStyle="1" w:styleId="24">
    <w:name w:val="页脚 Char"/>
    <w:link w:val="10"/>
    <w:qFormat/>
    <w:locked/>
    <w:uiPriority w:val="99"/>
    <w:rPr>
      <w:sz w:val="18"/>
    </w:rPr>
  </w:style>
  <w:style w:type="character" w:customStyle="1" w:styleId="25">
    <w:name w:val="页眉 Char"/>
    <w:link w:val="11"/>
    <w:semiHidden/>
    <w:qFormat/>
    <w:locked/>
    <w:uiPriority w:val="99"/>
    <w:rPr>
      <w:sz w:val="18"/>
    </w:rPr>
  </w:style>
  <w:style w:type="character" w:customStyle="1" w:styleId="26">
    <w:name w:val="Header Char"/>
    <w:basedOn w:val="16"/>
    <w:semiHidden/>
    <w:qFormat/>
    <w:uiPriority w:val="99"/>
    <w:rPr>
      <w:rFonts w:ascii="Times New Roman" w:hAnsi="Times New Roman"/>
      <w:sz w:val="18"/>
      <w:szCs w:val="18"/>
    </w:rPr>
  </w:style>
  <w:style w:type="character" w:customStyle="1" w:styleId="27">
    <w:name w:val="Footer Char"/>
    <w:basedOn w:val="16"/>
    <w:semiHidden/>
    <w:qFormat/>
    <w:uiPriority w:val="99"/>
    <w:rPr>
      <w:rFonts w:ascii="Times New Roman" w:hAnsi="Times New Roman"/>
      <w:sz w:val="18"/>
      <w:szCs w:val="18"/>
    </w:rPr>
  </w:style>
  <w:style w:type="character" w:customStyle="1" w:styleId="28">
    <w:name w:val="Body Text Char"/>
    <w:basedOn w:val="16"/>
    <w:semiHidden/>
    <w:qFormat/>
    <w:uiPriority w:val="99"/>
    <w:rPr>
      <w:rFonts w:ascii="Times New Roman" w:hAnsi="Times New Roman"/>
      <w:szCs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3">
    <w:name w:val="TOC Heading"/>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5">
    <w:name w:val="font11"/>
    <w:basedOn w:val="16"/>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H:\&#26381;&#21153;&#20013;&#24515;\&#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'5'!$J$1</c:f>
              <c:strCache>
                <c:ptCount val="1"/>
                <c:pt idx="0">
                  <c:v>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numRef>
              <c:f>'5'!$I$2:$I$3</c:f>
              <c:numCache>
                <c:formatCode>General</c:formatCode>
                <c:ptCount val="2"/>
                <c:pt idx="0">
                  <c:v>2022</c:v>
                </c:pt>
                <c:pt idx="1">
                  <c:v>2023</c:v>
                </c:pt>
              </c:numCache>
            </c:numRef>
          </c:cat>
          <c:val>
            <c:numRef>
              <c:f>'5'!$J$2:$J$3</c:f>
              <c:numCache>
                <c:formatCode>General</c:formatCode>
                <c:ptCount val="2"/>
                <c:pt idx="0">
                  <c:v>82.42</c:v>
                </c:pt>
                <c:pt idx="1">
                  <c:v>88.07</c:v>
                </c:pt>
              </c:numCache>
            </c:numRef>
          </c:val>
        </c:ser>
        <c:dLbls>
          <c:showLegendKey val="false"/>
          <c:showVal val="true"/>
          <c:showCatName val="false"/>
          <c:showSerName val="false"/>
          <c:showPercent val="false"/>
          <c:showBubbleSize val="false"/>
        </c:dLbls>
        <c:gapWidth val="219"/>
        <c:overlap val="-27"/>
        <c:axId val="150632320"/>
        <c:axId val="162893824"/>
      </c:barChart>
      <c:catAx>
        <c:axId val="150632320"/>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62893824"/>
        <c:crosses val="autoZero"/>
        <c:auto val="true"/>
        <c:lblAlgn val="ctr"/>
        <c:lblOffset val="100"/>
        <c:noMultiLvlLbl val="false"/>
      </c:catAx>
      <c:valAx>
        <c:axId val="162893824"/>
        <c:scaling>
          <c:orientation val="minMax"/>
          <c:max val="100"/>
          <c:min val="0"/>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150632320"/>
        <c:crosses val="autoZero"/>
        <c:crossBetween val="between"/>
        <c:majorUnit val="2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916666666666667"/>
          <c:y val="0.138634259259259"/>
          <c:w val="0.826222222222222"/>
          <c:h val="0.675277777777778"/>
        </c:manualLayout>
      </c:layout>
      <c:pieChart>
        <c:varyColors val="true"/>
        <c:ser>
          <c:idx val="0"/>
          <c:order val="0"/>
          <c:tx>
            <c:strRef>
              <c:f>'2'!$O$1:$P$1</c:f>
              <c:strCache>
                <c:ptCount val="1"/>
                <c:pt idx="0">
                  <c:v>88.07 100.00%</c:v>
                </c:pt>
              </c:strCache>
            </c:strRef>
          </c:tx>
          <c:explosion val="0"/>
          <c:dPt>
            <c:idx val="0"/>
            <c:bubble3D val="false"/>
            <c:spPr>
              <a:solidFill>
                <a:schemeClr val="accent1"/>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extLst>
                <c:ext xmlns:c15="http://schemas.microsoft.com/office/drawing/2012/chart" uri="{02D57815-91ED-43cb-92C2-25804820EDAC}">
                  <c15:fullRef>
                    <c15:sqref>'2'!$N$1</c15:sqref>
                  </c15:fullRef>
                </c:ext>
              </c:extLst>
              <c:f>'2'!$N$1</c:f>
              <c:strCache>
                <c:ptCount val="1"/>
                <c:pt idx="0">
                  <c:v>一般公共预算财政拨款收入</c:v>
                </c:pt>
              </c:strCache>
            </c:strRef>
          </c:cat>
          <c:val>
            <c:numRef>
              <c:extLst>
                <c:ext xmlns:c15="http://schemas.microsoft.com/office/drawing/2012/chart" uri="{02D57815-91ED-43cb-92C2-25804820EDAC}">
                  <c15:fullRef>
                    <c15:sqref>'2'!$O$1:$P$1</c15:sqref>
                  </c15:fullRef>
                </c:ext>
              </c:extLst>
              <c:f>'2'!$O$1</c:f>
              <c:numCache>
                <c:formatCode>General</c:formatCode>
                <c:ptCount val="1"/>
                <c:pt idx="0">
                  <c:v>88.07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sz="1200"/>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cene3d>
              <a:camera prst="orthographicFront"/>
              <a:lightRig rig="threePt" dir="t"/>
            </a:scene3d>
            <a:sp3d contourW="25400"/>
          </c:spPr>
          <c:explosion val="0"/>
          <c:dPt>
            <c:idx val="0"/>
            <c:bubble3D val="false"/>
            <c:spPr>
              <a:solidFill>
                <a:schemeClr val="accent1"/>
              </a:solidFill>
              <a:ln w="25400">
                <a:solidFill>
                  <a:schemeClr val="lt1"/>
                </a:solidFill>
              </a:ln>
              <a:effectLst/>
              <a:scene3d>
                <a:camera prst="orthographicFront"/>
                <a:lightRig rig="threePt" dir="t"/>
              </a:scene3d>
              <a:sp3d contourW="25400"/>
            </c:spPr>
          </c:dPt>
          <c:dPt>
            <c:idx val="1"/>
            <c:bubble3D val="false"/>
            <c:spPr>
              <a:solidFill>
                <a:schemeClr val="accent2"/>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'3'!$K$1:$K$2</c:f>
              <c:strCache>
                <c:ptCount val="2"/>
                <c:pt idx="0">
                  <c:v>基本支出</c:v>
                </c:pt>
                <c:pt idx="1">
                  <c:v>项目支出</c:v>
                </c:pt>
              </c:strCache>
            </c:strRef>
          </c:cat>
          <c:val>
            <c:numRef>
              <c:f>'3'!$L$1:$L$2</c:f>
              <c:numCache>
                <c:formatCode>General</c:formatCode>
                <c:ptCount val="2"/>
                <c:pt idx="0">
                  <c:v>86.82</c:v>
                </c:pt>
                <c:pt idx="1">
                  <c:v>1.25</c:v>
                </c:pt>
              </c:numCache>
            </c:numRef>
          </c:val>
        </c:ser>
        <c:ser>
          <c:idx val="1"/>
          <c:order val="1"/>
          <c:explosion val="0"/>
          <c:dPt>
            <c:idx val="0"/>
            <c:bubble3D val="false"/>
            <c:spPr>
              <a:solidFill>
                <a:schemeClr val="accent1"/>
              </a:solidFill>
              <a:ln w="25400">
                <a:solidFill>
                  <a:schemeClr val="lt1"/>
                </a:solidFill>
              </a:ln>
              <a:effectLst/>
            </c:spPr>
          </c:dPt>
          <c:dPt>
            <c:idx val="1"/>
            <c:bubble3D val="false"/>
            <c:spPr>
              <a:solidFill>
                <a:schemeClr val="accent2"/>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'3'!$K$1:$K$2</c:f>
              <c:strCache>
                <c:ptCount val="2"/>
                <c:pt idx="0">
                  <c:v>基本支出</c:v>
                </c:pt>
                <c:pt idx="1">
                  <c:v>项目支出</c:v>
                </c:pt>
              </c:strCache>
            </c:strRef>
          </c:cat>
          <c:val>
            <c:numRef>
              <c:f>'3'!$M$1:$M$2</c:f>
              <c:numCache>
                <c:formatCode>0.00%</c:formatCode>
                <c:ptCount val="2"/>
                <c:pt idx="0">
                  <c:v>0.985806744634949</c:v>
                </c:pt>
                <c:pt idx="1">
                  <c:v>0.0141932553650505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'5'!$J$1</c:f>
              <c:strCache>
                <c:ptCount val="1"/>
                <c:pt idx="0">
                  <c:v>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numRef>
              <c:f>'5'!$I$2:$I$3</c:f>
              <c:numCache>
                <c:formatCode>General</c:formatCode>
                <c:ptCount val="2"/>
                <c:pt idx="0">
                  <c:v>2022</c:v>
                </c:pt>
                <c:pt idx="1">
                  <c:v>2023</c:v>
                </c:pt>
              </c:numCache>
            </c:numRef>
          </c:cat>
          <c:val>
            <c:numRef>
              <c:f>'5'!$J$2:$J$3</c:f>
              <c:numCache>
                <c:formatCode>General</c:formatCode>
                <c:ptCount val="2"/>
                <c:pt idx="0">
                  <c:v>82.42</c:v>
                </c:pt>
                <c:pt idx="1">
                  <c:v>88.07</c:v>
                </c:pt>
              </c:numCache>
            </c:numRef>
          </c:val>
        </c:ser>
        <c:dLbls>
          <c:showLegendKey val="false"/>
          <c:showVal val="true"/>
          <c:showCatName val="false"/>
          <c:showSerName val="false"/>
          <c:showPercent val="false"/>
          <c:showBubbleSize val="false"/>
        </c:dLbls>
        <c:gapWidth val="219"/>
        <c:overlap val="-27"/>
        <c:axId val="237431808"/>
        <c:axId val="238077056"/>
      </c:barChart>
      <c:catAx>
        <c:axId val="23743180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38077056"/>
        <c:crosses val="autoZero"/>
        <c:auto val="true"/>
        <c:lblAlgn val="ctr"/>
        <c:lblOffset val="100"/>
        <c:noMultiLvlLbl val="false"/>
      </c:catAx>
      <c:valAx>
        <c:axId val="238077056"/>
        <c:scaling>
          <c:orientation val="minMax"/>
          <c:max val="100"/>
          <c:min val="0"/>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37431808"/>
        <c:crosses val="autoZero"/>
        <c:crossBetween val="between"/>
        <c:majorUnit val="2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'5'!$J$1</c:f>
              <c:strCache>
                <c:ptCount val="1"/>
                <c:pt idx="0">
                  <c:v>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numRef>
              <c:f>'5'!$I$2:$I$3</c:f>
              <c:numCache>
                <c:formatCode>General</c:formatCode>
                <c:ptCount val="2"/>
                <c:pt idx="0">
                  <c:v>2022</c:v>
                </c:pt>
                <c:pt idx="1">
                  <c:v>2023</c:v>
                </c:pt>
              </c:numCache>
            </c:numRef>
          </c:cat>
          <c:val>
            <c:numRef>
              <c:f>'5'!$J$2:$J$3</c:f>
              <c:numCache>
                <c:formatCode>General</c:formatCode>
                <c:ptCount val="2"/>
                <c:pt idx="0">
                  <c:v>82.42</c:v>
                </c:pt>
                <c:pt idx="1">
                  <c:v>88.07</c:v>
                </c:pt>
              </c:numCache>
            </c:numRef>
          </c:val>
        </c:ser>
        <c:dLbls>
          <c:showLegendKey val="false"/>
          <c:showVal val="true"/>
          <c:showCatName val="false"/>
          <c:showSerName val="false"/>
          <c:showPercent val="false"/>
          <c:showBubbleSize val="false"/>
        </c:dLbls>
        <c:gapWidth val="219"/>
        <c:overlap val="-27"/>
        <c:axId val="245081984"/>
        <c:axId val="245083520"/>
      </c:barChart>
      <c:catAx>
        <c:axId val="245081984"/>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45083520"/>
        <c:crosses val="autoZero"/>
        <c:auto val="true"/>
        <c:lblAlgn val="ctr"/>
        <c:lblOffset val="100"/>
        <c:noMultiLvlLbl val="false"/>
      </c:catAx>
      <c:valAx>
        <c:axId val="245083520"/>
        <c:scaling>
          <c:orientation val="minMax"/>
          <c:max val="100"/>
          <c:min val="0"/>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45081984"/>
        <c:crosses val="autoZero"/>
        <c:crossBetween val="between"/>
        <c:majorUnit val="2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27835452806116"/>
          <c:y val="0.0829141102768116"/>
          <c:w val="0.799127906976744"/>
          <c:h val="0.720362120994396"/>
        </c:manualLayout>
      </c:layout>
      <c:pieChart>
        <c:varyColors val="true"/>
        <c:ser>
          <c:idx val="0"/>
          <c:order val="0"/>
          <c:explosion val="0"/>
          <c:dPt>
            <c:idx val="0"/>
            <c:bubble3D val="false"/>
            <c:spPr>
              <a:solidFill>
                <a:schemeClr val="accent1"/>
              </a:solidFill>
              <a:ln w="25400">
                <a:solidFill>
                  <a:schemeClr val="lt1"/>
                </a:solidFill>
              </a:ln>
              <a:effectLst/>
            </c:spPr>
          </c:dPt>
          <c:dPt>
            <c:idx val="1"/>
            <c:bubble3D val="false"/>
            <c:spPr>
              <a:solidFill>
                <a:schemeClr val="accent2"/>
              </a:solidFill>
              <a:ln w="25400">
                <a:solidFill>
                  <a:schemeClr val="lt1"/>
                </a:solidFill>
              </a:ln>
              <a:effectLst/>
            </c:spPr>
          </c:dPt>
          <c:dPt>
            <c:idx val="2"/>
            <c:bubble3D val="false"/>
            <c:spPr>
              <a:solidFill>
                <a:schemeClr val="accent3"/>
              </a:solidFill>
              <a:ln w="25400">
                <a:solidFill>
                  <a:schemeClr val="lt1"/>
                </a:solidFill>
              </a:ln>
              <a:effectLst/>
            </c:spPr>
          </c:dPt>
          <c:dPt>
            <c:idx val="3"/>
            <c:bubble3D val="false"/>
            <c:spPr>
              <a:solidFill>
                <a:schemeClr val="accent4"/>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'6'!$K$1:$K$4</c:f>
              <c:strCache>
                <c:ptCount val="4"/>
                <c:pt idx="0">
                  <c:v>教育支出</c:v>
                </c:pt>
                <c:pt idx="1">
                  <c:v>社会保障和就业支出</c:v>
                </c:pt>
                <c:pt idx="2">
                  <c:v>卫生健康支出</c:v>
                </c:pt>
                <c:pt idx="3">
                  <c:v>住房保障支出</c:v>
                </c:pt>
              </c:strCache>
            </c:strRef>
          </c:cat>
          <c:val>
            <c:numRef>
              <c:f>'6'!$L$1:$L$4</c:f>
              <c:numCache>
                <c:formatCode>General</c:formatCode>
                <c:ptCount val="4"/>
                <c:pt idx="0">
                  <c:v>69.34</c:v>
                </c:pt>
                <c:pt idx="1">
                  <c:v>8.8</c:v>
                </c:pt>
                <c:pt idx="2">
                  <c:v>2.76</c:v>
                </c:pt>
                <c:pt idx="3">
                  <c:v>7.17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149168106751342"/>
          <c:y val="0.829962144439463"/>
          <c:w val="0.981365039442094"/>
          <c:h val="0.108586243709013"/>
        </c:manualLayout>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8397</Words>
  <Characters>9586</Characters>
  <Lines>40</Lines>
  <Paragraphs>26</Paragraphs>
  <TotalTime>1</TotalTime>
  <ScaleCrop>false</ScaleCrop>
  <LinksUpToDate>false</LinksUpToDate>
  <CharactersWithSpaces>9703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2024-10-14T18:54:36Z</dcterms:modified>
  <dc:title>四川省***</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2278EF2E40514E259B43A9AEB96D5B23_12</vt:lpwstr>
  </property>
</Properties>
</file>