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sz w:val="72"/>
          <w:szCs w:val="72"/>
        </w:rPr>
      </w:pPr>
      <w:bookmarkStart w:id="0" w:name="_Toc15396475"/>
      <w:bookmarkStart w:id="1" w:name="_Toc15377193"/>
      <w:bookmarkStart w:id="2" w:name="_Toc15378441"/>
      <w:bookmarkStart w:id="3" w:name="_Toc15396597"/>
      <w:bookmarkStart w:id="4" w:name="_Toc15377425"/>
      <w:bookmarkStart w:id="5"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76942393"/>
      <w:bookmarkStart w:id="7" w:name="_Toc20363"/>
      <w:bookmarkStart w:id="8" w:name="_Toc1462947711"/>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3</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bookmarkEnd w:id="6"/>
      <w:bookmarkEnd w:id="7"/>
      <w:bookmarkEnd w:id="8"/>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9" w:name="_Toc15396476"/>
      <w:bookmarkStart w:id="10" w:name="_Toc15377194"/>
      <w:bookmarkStart w:id="11" w:name="_Toc15378442"/>
      <w:bookmarkStart w:id="12" w:name="_Toc15396598"/>
      <w:bookmarkStart w:id="13" w:name="_Toc721627331"/>
      <w:bookmarkStart w:id="14" w:name="_Toc1598663832"/>
      <w:bookmarkStart w:id="15" w:name="_Toc15377426"/>
      <w:bookmarkStart w:id="16" w:name="_Toc7685"/>
      <w:r>
        <w:rPr>
          <w:rFonts w:hint="eastAsia" w:ascii="方正小标宋简体" w:hAnsi="方正小标宋简体" w:eastAsia="方正小标宋简体" w:cs="方正小标宋简体"/>
          <w:sz w:val="72"/>
          <w:szCs w:val="72"/>
        </w:rPr>
        <w:t>广元市</w:t>
      </w:r>
      <w:bookmarkEnd w:id="5"/>
      <w:bookmarkStart w:id="17" w:name="_Toc15306268"/>
      <w:r>
        <w:rPr>
          <w:rFonts w:hint="eastAsia" w:ascii="方正小标宋简体" w:hAnsi="方正小标宋简体" w:eastAsia="方正小标宋简体" w:cs="方正小标宋简体"/>
          <w:sz w:val="72"/>
          <w:szCs w:val="72"/>
        </w:rPr>
        <w:t>公安局</w:t>
      </w:r>
      <w:r>
        <w:rPr>
          <w:rFonts w:hint="eastAsia" w:ascii="方正小标宋简体" w:hAnsi="方正小标宋简体" w:eastAsia="方正小标宋简体" w:cs="方正小标宋简体"/>
          <w:sz w:val="72"/>
          <w:szCs w:val="72"/>
          <w:lang w:val="en-US" w:eastAsia="zh-CN"/>
        </w:rPr>
        <w:t>机场分局单位</w:t>
      </w:r>
      <w:r>
        <w:rPr>
          <w:rFonts w:hint="eastAsia" w:ascii="方正小标宋简体" w:hAnsi="方正小标宋简体" w:eastAsia="方正小标宋简体" w:cs="方正小标宋简体"/>
          <w:sz w:val="72"/>
          <w:szCs w:val="72"/>
        </w:rPr>
        <w:t>决算</w:t>
      </w:r>
      <w:bookmarkEnd w:id="9"/>
      <w:bookmarkEnd w:id="10"/>
      <w:bookmarkEnd w:id="11"/>
      <w:bookmarkEnd w:id="12"/>
      <w:bookmarkEnd w:id="13"/>
      <w:bookmarkEnd w:id="14"/>
      <w:bookmarkEnd w:id="15"/>
      <w:bookmarkEnd w:id="16"/>
      <w:bookmarkEnd w:id="17"/>
    </w:p>
    <w:p>
      <w:pPr>
        <w:widowControl/>
        <w:jc w:val="center"/>
        <w:rPr>
          <w:rFonts w:hint="eastAsia" w:ascii="黑体" w:hAnsi="黑体" w:eastAsia="黑体"/>
          <w:color w:val="auto"/>
          <w:sz w:val="48"/>
          <w:szCs w:val="48"/>
          <w:highlight w:val="none"/>
        </w:rPr>
        <w:sectPr>
          <w:headerReference r:id="rId4" w:type="first"/>
          <w:headerReference r:id="rId3" w:type="default"/>
          <w:footerReference r:id="rId5" w:type="default"/>
          <w:pgSz w:w="11906" w:h="16838"/>
          <w:pgMar w:top="1440" w:right="1800" w:bottom="1440" w:left="1800" w:header="851" w:footer="992" w:gutter="0"/>
          <w:pgNumType w:fmt="decimal"/>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2"/>
        <w:ind w:firstLine="1960" w:firstLineChars="700"/>
        <w:jc w:val="both"/>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p>
      <w:pPr>
        <w:rPr>
          <w:rFonts w:hint="eastAsia"/>
        </w:rPr>
      </w:pPr>
      <w:bookmarkStart w:id="18" w:name="_Toc15377196"/>
      <w:bookmarkStart w:id="19" w:name="_Toc1636308660"/>
      <w:bookmarkStart w:id="20" w:name="_Toc180465524"/>
      <w:bookmarkStart w:id="21" w:name="_Toc15396599"/>
    </w:p>
    <w:sdt>
      <w:sdtPr>
        <w:rPr>
          <w:rFonts w:ascii="宋体" w:hAnsi="宋体" w:eastAsia="宋体" w:cs="Times New Roman"/>
          <w:kern w:val="2"/>
          <w:sz w:val="21"/>
          <w:szCs w:val="24"/>
          <w:lang w:val="en-US" w:eastAsia="zh-CN" w:bidi="ar-SA"/>
        </w:rPr>
        <w:id w:val="147471346"/>
        <w15:color w:val="DBDBDB"/>
        <w:docPartObj>
          <w:docPartGallery w:val="Table of Contents"/>
          <w:docPartUnique/>
        </w:docPartObj>
      </w:sdtPr>
      <w:sdtEndPr>
        <w:rPr>
          <w:rFonts w:hint="eastAsia" w:ascii="黑体" w:hAnsi="黑体" w:eastAsia="黑体" w:cs="Times New Roman"/>
          <w:b/>
          <w:bCs/>
          <w:kern w:val="44"/>
          <w:sz w:val="44"/>
          <w:szCs w:val="4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ascii="黑体" w:hAnsi="黑体" w:eastAsia="黑体"/>
              <w:b w:val="0"/>
            </w:rPr>
            <w:fldChar w:fldCharType="begin"/>
          </w:r>
          <w:r>
            <w:rPr>
              <w:rFonts w:hint="eastAsia" w:ascii="黑体" w:hAnsi="黑体" w:eastAsia="黑体"/>
              <w:b w:val="0"/>
            </w:rPr>
            <w:instrText xml:space="preserve">TOC \o "1-2" \h \u </w:instrText>
          </w:r>
          <w:r>
            <w:rPr>
              <w:rFonts w:hint="eastAsia" w:ascii="黑体" w:hAnsi="黑体" w:eastAsia="黑体"/>
              <w:b w:val="0"/>
            </w:rPr>
            <w:fldChar w:fldCharType="separate"/>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_Toc28011 </w:instrText>
          </w:r>
          <w:r>
            <w:rPr>
              <w:rFonts w:hint="eastAsia" w:ascii="黑体" w:hAnsi="黑体" w:eastAsia="黑体"/>
              <w:b/>
            </w:rPr>
            <w:fldChar w:fldCharType="separate"/>
          </w:r>
          <w:r>
            <w:rPr>
              <w:rFonts w:hint="eastAsia" w:ascii="黑体" w:hAnsi="黑体" w:eastAsia="黑体"/>
              <w:b/>
            </w:rPr>
            <w:t xml:space="preserve">第一部分 </w:t>
          </w:r>
          <w:r>
            <w:rPr>
              <w:rFonts w:hint="eastAsia" w:ascii="黑体" w:hAnsi="黑体" w:eastAsia="黑体"/>
              <w:b/>
              <w:lang w:val="en-US" w:eastAsia="zh-CN"/>
            </w:rPr>
            <w:t>单位</w:t>
          </w:r>
          <w:r>
            <w:rPr>
              <w:rFonts w:hint="eastAsia" w:ascii="黑体" w:hAnsi="黑体" w:eastAsia="黑体"/>
              <w:b/>
              <w:bCs w:val="0"/>
            </w:rPr>
            <w:t>概况</w:t>
          </w:r>
          <w:r>
            <w:rPr>
              <w:b/>
            </w:rPr>
            <w:tab/>
          </w:r>
          <w:r>
            <w:rPr>
              <w:b/>
            </w:rPr>
            <w:fldChar w:fldCharType="begin"/>
          </w:r>
          <w:r>
            <w:rPr>
              <w:b/>
            </w:rPr>
            <w:instrText xml:space="preserve"> PAGEREF _Toc28011 \h </w:instrText>
          </w:r>
          <w:r>
            <w:rPr>
              <w:b/>
            </w:rPr>
            <w:fldChar w:fldCharType="separate"/>
          </w:r>
          <w:r>
            <w:rPr>
              <w:b/>
            </w:rPr>
            <w:t>1</w:t>
          </w:r>
          <w:r>
            <w:rPr>
              <w:b/>
            </w:rPr>
            <w:fldChar w:fldCharType="end"/>
          </w:r>
          <w:r>
            <w:rPr>
              <w:rFonts w:hint="eastAsia" w:ascii="黑体" w:hAnsi="黑体" w:eastAsia="黑体"/>
              <w:b/>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_Toc32618 </w:instrText>
          </w:r>
          <w:r>
            <w:rPr>
              <w:rFonts w:hint="eastAsia" w:ascii="黑体" w:hAnsi="黑体" w:eastAsia="黑体"/>
            </w:rPr>
            <w:fldChar w:fldCharType="separate"/>
          </w:r>
          <w:r>
            <w:rPr>
              <w:rFonts w:hint="eastAsia" w:ascii="黑体" w:hAnsi="黑体" w:eastAsia="黑体"/>
              <w:bCs w:val="0"/>
              <w:lang w:val="en-US"/>
            </w:rPr>
            <w:t xml:space="preserve">一、 </w:t>
          </w:r>
          <w:r>
            <w:rPr>
              <w:rFonts w:hint="eastAsia" w:ascii="黑体" w:hAnsi="黑体" w:eastAsia="黑体"/>
              <w:bCs w:val="0"/>
              <w:lang w:val="en-US" w:eastAsia="zh-CN"/>
            </w:rPr>
            <w:t>主要</w:t>
          </w:r>
          <w:r>
            <w:rPr>
              <w:rFonts w:hint="eastAsia" w:ascii="黑体" w:hAnsi="黑体" w:eastAsia="黑体"/>
              <w:bCs w:val="0"/>
            </w:rPr>
            <w:t>职责</w:t>
          </w:r>
          <w:r>
            <w:tab/>
          </w:r>
          <w:r>
            <w:fldChar w:fldCharType="begin"/>
          </w:r>
          <w:r>
            <w:instrText xml:space="preserve"> PAGEREF _Toc32618 \h </w:instrText>
          </w:r>
          <w:r>
            <w:fldChar w:fldCharType="separate"/>
          </w:r>
          <w:r>
            <w:t>1</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_Toc30405 </w:instrText>
          </w:r>
          <w:r>
            <w:rPr>
              <w:rFonts w:hint="eastAsia" w:ascii="黑体" w:hAnsi="黑体" w:eastAsia="黑体"/>
            </w:rPr>
            <w:fldChar w:fldCharType="separate"/>
          </w:r>
          <w:r>
            <w:rPr>
              <w:rFonts w:hint="eastAsia" w:ascii="黑体" w:eastAsia="黑体"/>
            </w:rPr>
            <w:t>二、</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_Toc30405 \h </w:instrText>
          </w:r>
          <w:r>
            <w:fldChar w:fldCharType="separate"/>
          </w:r>
          <w:r>
            <w:t>2</w:t>
          </w:r>
          <w:r>
            <w:fldChar w:fldCharType="end"/>
          </w:r>
          <w:r>
            <w:rPr>
              <w:rFonts w:hint="eastAsia" w:ascii="黑体" w:hAnsi="黑体" w:eastAsia="黑体"/>
            </w:rPr>
            <w:fldChar w:fldCharType="end"/>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_Toc16093 </w:instrText>
          </w:r>
          <w:r>
            <w:rPr>
              <w:rFonts w:hint="eastAsia" w:ascii="黑体" w:hAnsi="黑体" w:eastAsia="黑体"/>
              <w:b/>
            </w:rPr>
            <w:fldChar w:fldCharType="separate"/>
          </w:r>
          <w:r>
            <w:rPr>
              <w:rFonts w:hint="eastAsia" w:ascii="黑体" w:hAnsi="黑体" w:eastAsia="黑体"/>
              <w:b/>
            </w:rPr>
            <w:t>第二部分 202</w:t>
          </w:r>
          <w:r>
            <w:rPr>
              <w:rFonts w:hint="eastAsia" w:ascii="黑体" w:hAnsi="黑体" w:eastAsia="黑体"/>
              <w:b/>
              <w:lang w:val="en-US" w:eastAsia="zh-CN"/>
            </w:rPr>
            <w:t>3</w:t>
          </w:r>
          <w:r>
            <w:rPr>
              <w:rFonts w:hint="eastAsia" w:ascii="黑体" w:hAnsi="黑体" w:eastAsia="黑体"/>
              <w:b/>
            </w:rPr>
            <w:t>年度</w:t>
          </w:r>
          <w:r>
            <w:rPr>
              <w:rFonts w:hint="eastAsia" w:ascii="黑体" w:hAnsi="黑体" w:eastAsia="黑体"/>
              <w:b/>
              <w:lang w:val="en-US" w:eastAsia="zh-CN"/>
            </w:rPr>
            <w:t>单位</w:t>
          </w:r>
          <w:r>
            <w:rPr>
              <w:rFonts w:hint="eastAsia" w:ascii="黑体" w:hAnsi="黑体" w:eastAsia="黑体"/>
              <w:b/>
              <w:bCs/>
            </w:rPr>
            <w:t>决算情况说明</w:t>
          </w:r>
          <w:r>
            <w:rPr>
              <w:b/>
            </w:rPr>
            <w:tab/>
          </w:r>
          <w:r>
            <w:rPr>
              <w:b/>
            </w:rPr>
            <w:fldChar w:fldCharType="begin"/>
          </w:r>
          <w:r>
            <w:rPr>
              <w:b/>
            </w:rPr>
            <w:instrText xml:space="preserve"> PAGEREF _Toc16093 \h </w:instrText>
          </w:r>
          <w:r>
            <w:rPr>
              <w:b/>
            </w:rPr>
            <w:fldChar w:fldCharType="separate"/>
          </w:r>
          <w:r>
            <w:rPr>
              <w:b/>
            </w:rPr>
            <w:t>3</w:t>
          </w:r>
          <w:r>
            <w:rPr>
              <w:b/>
            </w:rPr>
            <w:fldChar w:fldCharType="end"/>
          </w:r>
          <w:r>
            <w:rPr>
              <w:rFonts w:hint="eastAsia" w:ascii="黑体" w:hAnsi="黑体" w:eastAsia="黑体"/>
              <w:b/>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_Toc31115 </w:instrText>
          </w:r>
          <w:r>
            <w:rPr>
              <w:rFonts w:hint="eastAsia" w:ascii="黑体" w:hAnsi="黑体" w:eastAsia="黑体"/>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_Toc31115 \h </w:instrText>
          </w:r>
          <w:r>
            <w:fldChar w:fldCharType="separate"/>
          </w:r>
          <w:r>
            <w:t>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_Toc30799 </w:instrText>
          </w:r>
          <w:r>
            <w:rPr>
              <w:rFonts w:hint="eastAsia" w:ascii="黑体" w:hAnsi="黑体" w:eastAsia="黑体"/>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_Toc30799 \h </w:instrText>
          </w:r>
          <w:r>
            <w:fldChar w:fldCharType="separate"/>
          </w:r>
          <w:r>
            <w:t>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_Toc23659 </w:instrText>
          </w:r>
          <w:r>
            <w:rPr>
              <w:rFonts w:hint="eastAsia" w:ascii="黑体" w:hAnsi="黑体" w:eastAsia="黑体"/>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_Toc23659 \h </w:instrText>
          </w:r>
          <w:r>
            <w:fldChar w:fldCharType="separate"/>
          </w:r>
          <w:r>
            <w:t>4</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_Toc15730 </w:instrText>
          </w:r>
          <w:r>
            <w:rPr>
              <w:rFonts w:hint="eastAsia" w:ascii="黑体" w:hAnsi="黑体" w:eastAsia="黑体"/>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_Toc15730 \h </w:instrText>
          </w:r>
          <w:r>
            <w:fldChar w:fldCharType="separate"/>
          </w:r>
          <w:r>
            <w:t>4</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_Toc31499 </w:instrText>
          </w:r>
          <w:r>
            <w:rPr>
              <w:rFonts w:hint="eastAsia" w:ascii="黑体" w:hAnsi="黑体" w:eastAsia="黑体"/>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_Toc31499 \h </w:instrText>
          </w:r>
          <w:r>
            <w:fldChar w:fldCharType="separate"/>
          </w:r>
          <w:r>
            <w:t>5</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_Toc30012 </w:instrText>
          </w:r>
          <w:r>
            <w:rPr>
              <w:rFonts w:hint="eastAsia" w:ascii="黑体" w:hAnsi="黑体" w:eastAsia="黑体"/>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_Toc30012 \h </w:instrText>
          </w:r>
          <w:r>
            <w:fldChar w:fldCharType="separate"/>
          </w:r>
          <w:r>
            <w:t>7</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_Toc27461 </w:instrText>
          </w:r>
          <w:r>
            <w:rPr>
              <w:rFonts w:hint="eastAsia" w:ascii="黑体" w:hAnsi="黑体" w:eastAsia="黑体"/>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_Toc27461 \h </w:instrText>
          </w:r>
          <w:r>
            <w:fldChar w:fldCharType="separate"/>
          </w:r>
          <w:r>
            <w:t>8</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_Toc27594 </w:instrText>
          </w:r>
          <w:r>
            <w:rPr>
              <w:rFonts w:hint="eastAsia" w:ascii="黑体" w:hAnsi="黑体" w:eastAsia="黑体"/>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_Toc27594 \h </w:instrText>
          </w:r>
          <w:r>
            <w:fldChar w:fldCharType="separate"/>
          </w:r>
          <w:r>
            <w:t>9</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_Toc2267 </w:instrText>
          </w:r>
          <w:r>
            <w:rPr>
              <w:rFonts w:hint="eastAsia" w:ascii="黑体" w:hAnsi="黑体" w:eastAsia="黑体"/>
            </w:rPr>
            <w:fldChar w:fldCharType="separate"/>
          </w:r>
          <w:r>
            <w:rPr>
              <w:rFonts w:hint="eastAsia" w:ascii="黑体" w:hAnsi="黑体" w:eastAsia="黑体"/>
              <w:highlight w:val="none"/>
              <w:lang w:eastAsia="zh-CN"/>
            </w:rPr>
            <w:t>九、</w:t>
          </w:r>
          <w:r>
            <w:rPr>
              <w:rFonts w:hint="eastAsia" w:ascii="黑体" w:hAnsi="黑体" w:eastAsia="黑体"/>
              <w:highlight w:val="none"/>
            </w:rPr>
            <w:t>国有资本经营预算支出决算情况说明</w:t>
          </w:r>
          <w:r>
            <w:tab/>
          </w:r>
          <w:r>
            <w:fldChar w:fldCharType="begin"/>
          </w:r>
          <w:r>
            <w:instrText xml:space="preserve"> PAGEREF _Toc2267 \h </w:instrText>
          </w:r>
          <w:r>
            <w:fldChar w:fldCharType="separate"/>
          </w:r>
          <w:r>
            <w:t>10</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_Toc12558 </w:instrText>
          </w:r>
          <w:r>
            <w:rPr>
              <w:rFonts w:hint="eastAsia" w:ascii="黑体" w:hAnsi="黑体" w:eastAsia="黑体"/>
            </w:rPr>
            <w:fldChar w:fldCharType="separate"/>
          </w:r>
          <w:r>
            <w:rPr>
              <w:rFonts w:hint="eastAsia" w:ascii="黑体" w:hAnsi="黑体" w:eastAsia="黑体"/>
              <w:highlight w:val="none"/>
              <w:lang w:eastAsia="zh-CN"/>
            </w:rPr>
            <w:t>十、</w:t>
          </w:r>
          <w:r>
            <w:rPr>
              <w:rFonts w:hint="eastAsia" w:ascii="黑体" w:hAnsi="黑体" w:eastAsia="黑体"/>
              <w:highlight w:val="none"/>
            </w:rPr>
            <w:t>其他重要事项的情况说明</w:t>
          </w:r>
          <w:r>
            <w:tab/>
          </w:r>
          <w:r>
            <w:fldChar w:fldCharType="begin"/>
          </w:r>
          <w:r>
            <w:instrText xml:space="preserve"> PAGEREF _Toc12558 \h </w:instrText>
          </w:r>
          <w:r>
            <w:fldChar w:fldCharType="separate"/>
          </w:r>
          <w:r>
            <w:t>10</w:t>
          </w:r>
          <w:r>
            <w:fldChar w:fldCharType="end"/>
          </w:r>
          <w:r>
            <w:rPr>
              <w:rFonts w:hint="eastAsia" w:ascii="黑体" w:hAnsi="黑体" w:eastAsia="黑体"/>
            </w:rPr>
            <w:fldChar w:fldCharType="end"/>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_Toc17959 </w:instrText>
          </w:r>
          <w:r>
            <w:rPr>
              <w:rFonts w:hint="eastAsia" w:ascii="黑体" w:hAnsi="黑体" w:eastAsia="黑体"/>
              <w:b/>
            </w:rPr>
            <w:fldChar w:fldCharType="separate"/>
          </w:r>
          <w:r>
            <w:rPr>
              <w:rFonts w:hint="eastAsia" w:ascii="仿宋_GB2312" w:hAnsi="仿宋_GB2312" w:eastAsia="仿宋_GB2312" w:cs="仿宋_GB2312"/>
              <w:b/>
              <w:szCs w:val="32"/>
            </w:rPr>
            <w:t>绩效自评报告详见附件</w:t>
          </w:r>
          <w:r>
            <w:rPr>
              <w:b/>
            </w:rPr>
            <w:tab/>
          </w:r>
          <w:r>
            <w:rPr>
              <w:b/>
            </w:rPr>
            <w:fldChar w:fldCharType="begin"/>
          </w:r>
          <w:r>
            <w:rPr>
              <w:b/>
            </w:rPr>
            <w:instrText xml:space="preserve"> PAGEREF _Toc17959 \h </w:instrText>
          </w:r>
          <w:r>
            <w:rPr>
              <w:b/>
            </w:rPr>
            <w:fldChar w:fldCharType="separate"/>
          </w:r>
          <w:r>
            <w:rPr>
              <w:b/>
            </w:rPr>
            <w:t>11</w:t>
          </w:r>
          <w:r>
            <w:rPr>
              <w:b/>
            </w:rPr>
            <w:fldChar w:fldCharType="end"/>
          </w:r>
          <w:r>
            <w:rPr>
              <w:rFonts w:hint="eastAsia" w:ascii="黑体" w:hAnsi="黑体" w:eastAsia="黑体"/>
              <w:b/>
            </w:rPr>
            <w:fldChar w:fldCharType="end"/>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_Toc2779 </w:instrText>
          </w:r>
          <w:r>
            <w:rPr>
              <w:rFonts w:hint="eastAsia" w:ascii="黑体" w:hAnsi="黑体" w:eastAsia="黑体"/>
              <w:b/>
            </w:rPr>
            <w:fldChar w:fldCharType="separate"/>
          </w:r>
          <w:r>
            <w:rPr>
              <w:rFonts w:hint="eastAsia" w:ascii="黑体" w:hAnsi="黑体" w:eastAsia="黑体"/>
              <w:b/>
              <w:szCs w:val="44"/>
              <w:lang w:val="en-US" w:eastAsia="zh-CN"/>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_Toc2779 \h </w:instrText>
          </w:r>
          <w:r>
            <w:rPr>
              <w:b/>
            </w:rPr>
            <w:fldChar w:fldCharType="separate"/>
          </w:r>
          <w:r>
            <w:rPr>
              <w:b/>
            </w:rPr>
            <w:t>12</w:t>
          </w:r>
          <w:r>
            <w:rPr>
              <w:b/>
            </w:rPr>
            <w:fldChar w:fldCharType="end"/>
          </w:r>
          <w:r>
            <w:rPr>
              <w:rFonts w:hint="eastAsia" w:ascii="黑体" w:hAnsi="黑体" w:eastAsia="黑体"/>
              <w:b/>
            </w:rPr>
            <w:fldChar w:fldCharType="end"/>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_Toc11712 </w:instrText>
          </w:r>
          <w:r>
            <w:rPr>
              <w:rFonts w:hint="eastAsia" w:ascii="黑体" w:hAnsi="黑体" w:eastAsia="黑体"/>
              <w:b/>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_Toc11712 \h </w:instrText>
          </w:r>
          <w:r>
            <w:rPr>
              <w:b/>
            </w:rPr>
            <w:fldChar w:fldCharType="separate"/>
          </w:r>
          <w:r>
            <w:rPr>
              <w:b/>
            </w:rPr>
            <w:t>15</w:t>
          </w:r>
          <w:r>
            <w:rPr>
              <w:b/>
            </w:rPr>
            <w:fldChar w:fldCharType="end"/>
          </w:r>
          <w:r>
            <w:rPr>
              <w:rFonts w:hint="eastAsia" w:ascii="黑体" w:hAnsi="黑体" w:eastAsia="黑体"/>
              <w:b/>
            </w:rPr>
            <w:fldChar w:fldCharType="end"/>
          </w:r>
        </w:p>
        <w:p>
          <w:pPr>
            <w:pStyle w:val="35"/>
            <w:tabs>
              <w:tab w:val="right" w:leader="dot" w:pos="8306"/>
            </w:tabs>
            <w:rPr>
              <w:b/>
            </w:rPr>
          </w:pPr>
          <w:r>
            <w:rPr>
              <w:rFonts w:hint="eastAsia" w:ascii="黑体" w:hAnsi="黑体" w:eastAsia="黑体"/>
              <w:b/>
            </w:rPr>
            <w:fldChar w:fldCharType="begin"/>
          </w:r>
          <w:r>
            <w:rPr>
              <w:rFonts w:hint="eastAsia" w:ascii="黑体" w:hAnsi="黑体" w:eastAsia="黑体"/>
              <w:b/>
            </w:rPr>
            <w:instrText xml:space="preserve"> HYPERLINK \l _Toc28854 </w:instrText>
          </w:r>
          <w:r>
            <w:rPr>
              <w:rFonts w:hint="eastAsia" w:ascii="黑体" w:hAnsi="黑体" w:eastAsia="黑体"/>
              <w:b/>
            </w:rPr>
            <w:fldChar w:fldCharType="separate"/>
          </w:r>
          <w:r>
            <w:rPr>
              <w:rFonts w:hint="eastAsia" w:ascii="黑体" w:hAnsi="黑体" w:eastAsia="黑体" w:cs="黑体"/>
              <w:b/>
              <w:szCs w:val="44"/>
              <w:lang w:val="en-US" w:eastAsia="zh-CN"/>
            </w:rPr>
            <w:t>第五部分  附表</w:t>
          </w:r>
          <w:r>
            <w:rPr>
              <w:b/>
            </w:rPr>
            <w:tab/>
          </w:r>
          <w:r>
            <w:rPr>
              <w:b/>
            </w:rPr>
            <w:fldChar w:fldCharType="begin"/>
          </w:r>
          <w:r>
            <w:rPr>
              <w:b/>
            </w:rPr>
            <w:instrText xml:space="preserve"> PAGEREF _Toc28854 \h </w:instrText>
          </w:r>
          <w:r>
            <w:rPr>
              <w:b/>
            </w:rPr>
            <w:fldChar w:fldCharType="separate"/>
          </w:r>
          <w:r>
            <w:rPr>
              <w:b/>
            </w:rPr>
            <w:t>23</w:t>
          </w:r>
          <w:r>
            <w:rPr>
              <w:b/>
            </w:rPr>
            <w:fldChar w:fldCharType="end"/>
          </w:r>
          <w:r>
            <w:rPr>
              <w:rFonts w:hint="eastAsia" w:ascii="黑体" w:hAnsi="黑体" w:eastAsia="黑体"/>
              <w:b/>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_Toc3483 </w:instrText>
          </w:r>
          <w:r>
            <w:rPr>
              <w:rFonts w:hint="eastAsia" w:ascii="黑体" w:hAnsi="黑体" w:eastAsia="黑体"/>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_Toc3483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_Toc14752 </w:instrText>
          </w:r>
          <w:r>
            <w:rPr>
              <w:rFonts w:hint="eastAsia" w:ascii="黑体" w:hAnsi="黑体" w:eastAsia="黑体"/>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_Toc14752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_Toc3363 </w:instrText>
          </w:r>
          <w:r>
            <w:rPr>
              <w:rFonts w:hint="eastAsia" w:ascii="黑体" w:hAnsi="黑体" w:eastAsia="黑体"/>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_Toc3363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_Toc11472 </w:instrText>
          </w:r>
          <w:r>
            <w:rPr>
              <w:rFonts w:hint="eastAsia" w:ascii="黑体" w:hAnsi="黑体" w:eastAsia="黑体"/>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_Toc11472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_Toc23642 </w:instrText>
          </w:r>
          <w:r>
            <w:rPr>
              <w:rFonts w:hint="eastAsia" w:ascii="黑体" w:hAnsi="黑体" w:eastAsia="黑体"/>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_Toc23642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_Toc19068 </w:instrText>
          </w:r>
          <w:r>
            <w:rPr>
              <w:rFonts w:hint="eastAsia" w:ascii="黑体" w:hAnsi="黑体" w:eastAsia="黑体"/>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_Toc19068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_Toc20608 </w:instrText>
          </w:r>
          <w:r>
            <w:rPr>
              <w:rFonts w:hint="eastAsia" w:ascii="黑体" w:hAnsi="黑体" w:eastAsia="黑体"/>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_Toc20608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_Toc14631 </w:instrText>
          </w:r>
          <w:r>
            <w:rPr>
              <w:rFonts w:hint="eastAsia" w:ascii="黑体" w:hAnsi="黑体" w:eastAsia="黑体"/>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_Toc14631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_Toc2895 </w:instrText>
          </w:r>
          <w:r>
            <w:rPr>
              <w:rFonts w:hint="eastAsia" w:ascii="黑体" w:hAnsi="黑体" w:eastAsia="黑体"/>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_Toc2895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_Toc15347 </w:instrText>
          </w:r>
          <w:r>
            <w:rPr>
              <w:rFonts w:hint="eastAsia" w:ascii="黑体" w:hAnsi="黑体" w:eastAsia="黑体"/>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_Toc15347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_Toc4707 </w:instrText>
          </w:r>
          <w:r>
            <w:rPr>
              <w:rFonts w:hint="eastAsia" w:ascii="黑体" w:hAnsi="黑体" w:eastAsia="黑体"/>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_Toc4707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_Toc31978 </w:instrText>
          </w:r>
          <w:r>
            <w:rPr>
              <w:rFonts w:hint="eastAsia" w:ascii="黑体" w:hAnsi="黑体" w:eastAsia="黑体"/>
            </w:rPr>
            <w:fldChar w:fldCharType="separate"/>
          </w:r>
          <w:r>
            <w:rPr>
              <w:rFonts w:hint="eastAsia" w:ascii="仿宋" w:hAnsi="仿宋" w:eastAsia="仿宋"/>
              <w:bCs w:val="0"/>
            </w:rPr>
            <w:t>十二、国有资本经营预算财政拨款支出决算表</w:t>
          </w:r>
          <w:r>
            <w:tab/>
          </w:r>
          <w:r>
            <w:fldChar w:fldCharType="begin"/>
          </w:r>
          <w:r>
            <w:instrText xml:space="preserve"> PAGEREF _Toc31978 \h </w:instrText>
          </w:r>
          <w:r>
            <w:fldChar w:fldCharType="separate"/>
          </w:r>
          <w:r>
            <w:t>23</w:t>
          </w:r>
          <w:r>
            <w:fldChar w:fldCharType="end"/>
          </w:r>
          <w:r>
            <w:rPr>
              <w:rFonts w:hint="eastAsia" w:ascii="黑体" w:hAnsi="黑体" w:eastAsia="黑体"/>
            </w:rPr>
            <w:fldChar w:fldCharType="end"/>
          </w:r>
        </w:p>
        <w:p>
          <w:pPr>
            <w:pStyle w:val="36"/>
            <w:tabs>
              <w:tab w:val="right" w:leader="dot" w:pos="8306"/>
            </w:tabs>
          </w:pPr>
          <w:r>
            <w:rPr>
              <w:rFonts w:hint="eastAsia" w:ascii="黑体" w:hAnsi="黑体" w:eastAsia="黑体"/>
            </w:rPr>
            <w:fldChar w:fldCharType="begin"/>
          </w:r>
          <w:r>
            <w:rPr>
              <w:rFonts w:hint="eastAsia" w:ascii="黑体" w:hAnsi="黑体" w:eastAsia="黑体"/>
            </w:rPr>
            <w:instrText xml:space="preserve"> HYPERLINK \l _Toc16122 </w:instrText>
          </w:r>
          <w:r>
            <w:rPr>
              <w:rFonts w:hint="eastAsia" w:ascii="黑体" w:hAnsi="黑体" w:eastAsia="黑体"/>
            </w:rPr>
            <w:fldChar w:fldCharType="separate"/>
          </w:r>
          <w:r>
            <w:rPr>
              <w:rFonts w:hint="eastAsia" w:ascii="仿宋" w:hAnsi="仿宋" w:eastAsia="仿宋"/>
              <w:bCs w:val="0"/>
            </w:rPr>
            <w:t>十三、财政拨款“三公”经费支出决算表</w:t>
          </w:r>
          <w:r>
            <w:tab/>
          </w:r>
          <w:r>
            <w:fldChar w:fldCharType="begin"/>
          </w:r>
          <w:r>
            <w:instrText xml:space="preserve"> PAGEREF _Toc16122 \h </w:instrText>
          </w:r>
          <w:r>
            <w:fldChar w:fldCharType="separate"/>
          </w:r>
          <w:r>
            <w:t>23</w:t>
          </w:r>
          <w:r>
            <w:fldChar w:fldCharType="end"/>
          </w:r>
          <w:r>
            <w:rPr>
              <w:rFonts w:hint="eastAsia" w:ascii="黑体" w:hAnsi="黑体" w:eastAsia="黑体"/>
            </w:rPr>
            <w:fldChar w:fldCharType="end"/>
          </w:r>
        </w:p>
        <w:p>
          <w:pPr>
            <w:pStyle w:val="3"/>
            <w:jc w:val="center"/>
            <w:outlineLvl w:val="9"/>
            <w:rPr>
              <w:rFonts w:hint="eastAsia" w:ascii="黑体" w:hAnsi="黑体" w:eastAsia="黑体" w:cs="Times New Roman"/>
              <w:b/>
              <w:bCs/>
              <w:kern w:val="44"/>
              <w:sz w:val="44"/>
              <w:szCs w:val="44"/>
              <w:lang w:val="en-US" w:eastAsia="zh-CN" w:bidi="ar-SA"/>
            </w:rPr>
          </w:pPr>
          <w:r>
            <w:rPr>
              <w:rFonts w:hint="eastAsia" w:ascii="黑体" w:hAnsi="黑体" w:eastAsia="黑体"/>
              <w:b/>
            </w:rPr>
            <w:fldChar w:fldCharType="end"/>
          </w:r>
        </w:p>
      </w:sdtContent>
    </w:sdt>
    <w:p>
      <w:pPr>
        <w:rPr>
          <w:rFonts w:hint="eastAsia"/>
        </w:rPr>
        <w:sectPr>
          <w:footerReference r:id="rId8" w:type="first"/>
          <w:headerReference r:id="rId6" w:type="default"/>
          <w:footerReference r:id="rId7" w:type="default"/>
          <w:pgSz w:w="11906" w:h="16838"/>
          <w:pgMar w:top="1440" w:right="1800" w:bottom="1440" w:left="1800" w:header="851" w:footer="992" w:gutter="0"/>
          <w:pgNumType w:fmt="decimal" w:start="1"/>
          <w:cols w:space="425" w:num="1"/>
          <w:docGrid w:type="lines" w:linePitch="312" w:charSpace="0"/>
        </w:sectPr>
      </w:pPr>
    </w:p>
    <w:p>
      <w:pPr>
        <w:pStyle w:val="3"/>
        <w:jc w:val="center"/>
        <w:rPr>
          <w:rFonts w:ascii="黑体" w:eastAsia="黑体"/>
          <w:sz w:val="32"/>
          <w:szCs w:val="32"/>
        </w:rPr>
      </w:pPr>
      <w:bookmarkStart w:id="22" w:name="_Toc28011"/>
      <w:r>
        <w:rPr>
          <w:rFonts w:hint="eastAsia" w:ascii="黑体" w:hAnsi="黑体" w:eastAsia="黑体"/>
          <w:b w:val="0"/>
        </w:rPr>
        <w:t xml:space="preserve">第一部分 </w:t>
      </w:r>
      <w:r>
        <w:rPr>
          <w:rFonts w:hint="eastAsia" w:ascii="黑体" w:hAnsi="黑体" w:eastAsia="黑体"/>
          <w:b w:val="0"/>
          <w:lang w:val="en-US" w:eastAsia="zh-CN"/>
        </w:rPr>
        <w:t>单位</w:t>
      </w:r>
      <w:r>
        <w:rPr>
          <w:rStyle w:val="20"/>
          <w:rFonts w:hint="eastAsia" w:ascii="黑体" w:hAnsi="黑体" w:eastAsia="黑体"/>
          <w:b w:val="0"/>
          <w:bCs w:val="0"/>
        </w:rPr>
        <w:t>概况</w:t>
      </w:r>
      <w:bookmarkEnd w:id="18"/>
      <w:bookmarkEnd w:id="19"/>
      <w:bookmarkEnd w:id="20"/>
      <w:bookmarkEnd w:id="21"/>
      <w:bookmarkEnd w:id="22"/>
    </w:p>
    <w:p>
      <w:pPr>
        <w:pStyle w:val="4"/>
        <w:numPr>
          <w:ilvl w:val="0"/>
          <w:numId w:val="1"/>
        </w:numPr>
        <w:rPr>
          <w:rStyle w:val="21"/>
          <w:rFonts w:ascii="黑体" w:hAnsi="黑体" w:eastAsia="黑体"/>
          <w:b w:val="0"/>
          <w:bCs w:val="0"/>
        </w:rPr>
      </w:pPr>
      <w:bookmarkStart w:id="23" w:name="_Toc1336773990"/>
      <w:bookmarkStart w:id="24" w:name="_Toc1891838069"/>
      <w:bookmarkStart w:id="25" w:name="_Toc32618"/>
      <w:bookmarkStart w:id="26" w:name="_Toc15377200"/>
      <w:bookmarkStart w:id="27" w:name="_Toc15396601"/>
      <w:r>
        <w:rPr>
          <w:rStyle w:val="21"/>
          <w:rFonts w:hint="eastAsia" w:ascii="黑体" w:hAnsi="黑体" w:eastAsia="黑体"/>
          <w:b w:val="0"/>
          <w:bCs w:val="0"/>
          <w:lang w:val="en-US" w:eastAsia="zh-CN"/>
        </w:rPr>
        <w:t>主要</w:t>
      </w:r>
      <w:r>
        <w:rPr>
          <w:rStyle w:val="21"/>
          <w:rFonts w:hint="eastAsia" w:ascii="黑体" w:hAnsi="黑体" w:eastAsia="黑体"/>
          <w:b w:val="0"/>
          <w:bCs w:val="0"/>
        </w:rPr>
        <w:t>职责</w:t>
      </w:r>
      <w:bookmarkEnd w:id="23"/>
      <w:bookmarkEnd w:id="24"/>
      <w:bookmarkEnd w:id="25"/>
    </w:p>
    <w:p>
      <w:pPr>
        <w:spacing w:line="600" w:lineRule="exact"/>
        <w:ind w:firstLine="640" w:firstLineChars="200"/>
        <w:rPr>
          <w:rFonts w:ascii="仿宋_GB2312" w:hAnsi="仿宋_GB2312" w:eastAsia="仿宋_GB2312" w:cs="仿宋_GB2312"/>
          <w:sz w:val="32"/>
          <w:szCs w:val="32"/>
        </w:rPr>
      </w:pPr>
      <w:bookmarkStart w:id="28" w:name="_Toc1896220251"/>
      <w:bookmarkStart w:id="29" w:name="_Toc1170932888"/>
      <w:r>
        <w:rPr>
          <w:rFonts w:hint="eastAsia" w:ascii="仿宋_GB2312" w:hAnsi="仿宋_GB2312" w:eastAsia="仿宋_GB2312" w:cs="仿宋_GB2312"/>
          <w:sz w:val="32"/>
          <w:szCs w:val="32"/>
        </w:rPr>
        <w:t>1.贯彻执行党和国家公安工作的方针、政策和法律、法规、规章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负责依法行政工作，落实行政执法责任制。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2.负责应急管理、抢险救援工作和社会公共突发事件的处置工作。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3.收集掌握影响稳定、危害国内安全和社会治安的情况，分析研判形势，制定对策。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4.协调或直接侦办刑事案件和国内危害国家安全的犯罪案件。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5.负责治安管理工作并承担相应责任。协调处置重大治安案件和群体性事件，依法查处破坏社会治安秩序行为，依法开展治安行政管理工作。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6.指导、协调消防监督、火灾预防、火灾扑救工作。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7.组织实施公共信息网络的安全保护工作，负责信息安全等级保护工作。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8.防范、处置邪教及有害气功组织的违法犯罪活动。</w:t>
      </w:r>
    </w:p>
    <w:p>
      <w:pPr>
        <w:spacing w:line="600" w:lineRule="exact"/>
        <w:ind w:firstLine="640" w:firstLineChars="200"/>
        <w:rPr>
          <w:rFonts w:hint="eastAsia" w:ascii="仿宋_GB2312" w:hAnsi="仿宋_GB2312" w:eastAsia="仿宋_GB2312" w:cs="仿宋_GB2312"/>
          <w:sz w:val="32"/>
          <w:szCs w:val="32"/>
        </w:rPr>
        <w:sectPr>
          <w:footerReference r:id="rId11" w:type="first"/>
          <w:headerReference r:id="rId9" w:type="default"/>
          <w:footerReference r:id="rId10"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sz w:val="32"/>
          <w:szCs w:val="32"/>
        </w:rPr>
        <w:t>9.组织实施对恐怖活动的情报、防范、侦察和应急处置工作。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10.组织实施对有关的党和国家领导人以及重要外宾的安全警卫工作并承担相应责任。</w:t>
      </w:r>
      <w:r>
        <w:rPr>
          <w:rFonts w:hint="eastAsia" w:ascii="仿宋_GB2312" w:hAnsi="仿宋_GB2312" w:eastAsia="仿宋_GB2312" w:cs="仿宋_GB2312"/>
          <w:sz w:val="32"/>
          <w:szCs w:val="32"/>
        </w:rPr>
        <w:br w:type="textWrapping"/>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11.组织实施公安科学技术工作，负责公安机关的指挥系统、信息技术、刑事技术建设工作。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12.拟订公安机关装备、被装和经费等警务保障计划及管理制度，组织协调公安机关重大任务的警务保障工作。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13.负责公安队伍建设和公安机关党风廉政建设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负责公安机关人事管理、民警教育训练和宣传等相关工作，拟订公安队伍监督管理工作规章制度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负责公安机关督察、审计、信访工作，监督公安机关及人民警察的执法活动。</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14.承办市公安局交办的其他事项。</w:t>
      </w:r>
    </w:p>
    <w:p>
      <w:pPr>
        <w:pStyle w:val="4"/>
        <w:ind w:firstLine="320" w:firstLineChars="100"/>
        <w:rPr>
          <w:rStyle w:val="21"/>
          <w:b w:val="0"/>
          <w:bCs w:val="0"/>
        </w:rPr>
      </w:pPr>
      <w:bookmarkStart w:id="30" w:name="_Toc30405"/>
      <w:r>
        <w:rPr>
          <w:rFonts w:hint="eastAsia" w:ascii="黑体" w:eastAsia="黑体"/>
          <w:b w:val="0"/>
        </w:rPr>
        <w:t>二、</w:t>
      </w:r>
      <w:r>
        <w:rPr>
          <w:rFonts w:hint="eastAsia" w:ascii="黑体" w:hAnsi="黑体" w:eastAsia="黑体"/>
          <w:b w:val="0"/>
        </w:rPr>
        <w:t>机</w:t>
      </w:r>
      <w:r>
        <w:rPr>
          <w:rStyle w:val="21"/>
          <w:rFonts w:hint="eastAsia" w:ascii="黑体" w:hAnsi="黑体" w:eastAsia="黑体"/>
          <w:b w:val="0"/>
          <w:bCs w:val="0"/>
        </w:rPr>
        <w:t>构设置</w:t>
      </w:r>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31" w:name="_Toc113032231"/>
      <w:bookmarkStart w:id="32" w:name="_Toc15396602"/>
      <w:bookmarkStart w:id="33" w:name="_Toc15377204"/>
      <w:bookmarkStart w:id="34" w:name="_Toc2091912224"/>
      <w:r>
        <w:rPr>
          <w:rFonts w:hint="eastAsia" w:ascii="仿宋_GB2312" w:hAnsi="仿宋_GB2312" w:eastAsia="仿宋_GB2312" w:cs="仿宋_GB2312"/>
          <w:sz w:val="32"/>
          <w:szCs w:val="32"/>
          <w:lang w:val="en-US" w:eastAsia="zh-CN"/>
        </w:rPr>
        <w:t>我单位为广元市公安局下属二级预算单位，本单位无下属机构，设有内设机构5个。</w:t>
      </w:r>
    </w:p>
    <w:p>
      <w:pPr>
        <w:spacing w:line="600" w:lineRule="exact"/>
        <w:ind w:firstLine="640" w:firstLineChars="200"/>
        <w:rPr>
          <w:rFonts w:hint="eastAsia" w:ascii="黑体" w:hAnsi="黑体" w:eastAsia="黑体"/>
          <w:b w:val="0"/>
        </w:rPr>
      </w:pPr>
      <w:r>
        <w:rPr>
          <w:rFonts w:hint="eastAsia" w:ascii="仿宋_GB2312" w:eastAsia="仿宋_GB2312"/>
          <w:sz w:val="32"/>
          <w:szCs w:val="32"/>
        </w:rPr>
        <w:t>广元市公安局机场分局</w:t>
      </w:r>
      <w:r>
        <w:rPr>
          <w:rFonts w:hint="eastAsia" w:ascii="仿宋_GB2312" w:hAnsi="仿宋_GB2312" w:eastAsia="仿宋_GB2312" w:cs="仿宋_GB2312"/>
          <w:color w:val="000000"/>
          <w:sz w:val="32"/>
          <w:szCs w:val="32"/>
        </w:rPr>
        <w:t>编制22个，其中</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政法编制20个，工勤编制 2个。在职人员</w:t>
      </w:r>
      <w:r>
        <w:rPr>
          <w:rFonts w:hint="eastAsia" w:ascii="仿宋_GB2312" w:hAnsi="仿宋_GB2312" w:eastAsia="仿宋_GB2312" w:cs="仿宋_GB2312"/>
          <w:color w:val="000000"/>
          <w:sz w:val="32"/>
          <w:szCs w:val="32"/>
          <w:lang w:val="en-US" w:eastAsia="zh-CN"/>
        </w:rPr>
        <w:t>17</w:t>
      </w:r>
      <w:r>
        <w:rPr>
          <w:rFonts w:hint="eastAsia" w:ascii="仿宋_GB2312" w:hAnsi="仿宋_GB2312" w:eastAsia="仿宋_GB2312" w:cs="仿宋_GB2312"/>
          <w:color w:val="000000"/>
          <w:sz w:val="32"/>
          <w:szCs w:val="32"/>
        </w:rPr>
        <w:t>人，其中</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政法人员</w:t>
      </w:r>
      <w:r>
        <w:rPr>
          <w:rFonts w:hint="eastAsia" w:ascii="仿宋_GB2312" w:hAnsi="仿宋_GB2312" w:eastAsia="仿宋_GB2312" w:cs="仿宋_GB2312"/>
          <w:color w:val="000000"/>
          <w:sz w:val="32"/>
          <w:szCs w:val="32"/>
          <w:lang w:val="en-US" w:eastAsia="zh-CN"/>
        </w:rPr>
        <w:t>16</w:t>
      </w:r>
      <w:r>
        <w:rPr>
          <w:rFonts w:hint="eastAsia" w:ascii="仿宋_GB2312" w:hAnsi="仿宋_GB2312" w:eastAsia="仿宋_GB2312" w:cs="仿宋_GB2312"/>
          <w:color w:val="000000"/>
          <w:sz w:val="32"/>
          <w:szCs w:val="32"/>
        </w:rPr>
        <w:t xml:space="preserve"> 人，工勤人员 1人；退休人员 </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人。</w:t>
      </w:r>
    </w:p>
    <w:p>
      <w:pPr>
        <w:pStyle w:val="3"/>
        <w:ind w:right="440"/>
        <w:jc w:val="both"/>
        <w:outlineLvl w:val="9"/>
        <w:rPr>
          <w:rFonts w:hint="eastAsia" w:ascii="黑体" w:hAnsi="黑体" w:eastAsia="黑体"/>
          <w:b w:val="0"/>
        </w:rPr>
      </w:pPr>
    </w:p>
    <w:p>
      <w:pPr>
        <w:pStyle w:val="3"/>
        <w:ind w:right="440"/>
        <w:jc w:val="both"/>
        <w:outlineLvl w:val="9"/>
        <w:rPr>
          <w:rFonts w:hint="eastAsia" w:ascii="黑体" w:hAnsi="黑体" w:eastAsia="黑体"/>
          <w:b w:val="0"/>
        </w:rPr>
      </w:pPr>
    </w:p>
    <w:p>
      <w:pPr>
        <w:rPr>
          <w:rFonts w:hint="eastAsia"/>
        </w:rPr>
      </w:pPr>
    </w:p>
    <w:p>
      <w:pPr>
        <w:pStyle w:val="3"/>
        <w:ind w:right="440"/>
        <w:jc w:val="right"/>
        <w:outlineLvl w:val="9"/>
        <w:rPr>
          <w:rFonts w:hint="eastAsia" w:ascii="黑体" w:hAnsi="黑体" w:eastAsia="黑体"/>
          <w:b w:val="0"/>
        </w:rPr>
        <w:sectPr>
          <w:headerReference r:id="rId12" w:type="default"/>
          <w:pgSz w:w="11906" w:h="16838"/>
          <w:pgMar w:top="1440" w:right="1800" w:bottom="1440" w:left="1800" w:header="851" w:footer="992" w:gutter="0"/>
          <w:pgNumType w:fmt="decimal"/>
          <w:cols w:space="425" w:num="1"/>
          <w:docGrid w:type="lines" w:linePitch="312" w:charSpace="0"/>
        </w:sectPr>
      </w:pPr>
    </w:p>
    <w:p>
      <w:pPr>
        <w:pStyle w:val="3"/>
        <w:ind w:right="440"/>
        <w:jc w:val="right"/>
        <w:rPr>
          <w:rStyle w:val="20"/>
          <w:rFonts w:ascii="黑体" w:hAnsi="黑体" w:eastAsia="黑体"/>
          <w:b w:val="0"/>
          <w:bCs/>
        </w:rPr>
      </w:pPr>
      <w:bookmarkStart w:id="35" w:name="_Toc16093"/>
      <w:r>
        <w:rPr>
          <w:rFonts w:hint="eastAsia" w:ascii="黑体" w:hAnsi="黑体" w:eastAsia="黑体"/>
          <w:b w:val="0"/>
        </w:rPr>
        <w:t>第二部分 202</w:t>
      </w:r>
      <w:r>
        <w:rPr>
          <w:rFonts w:hint="eastAsia" w:ascii="黑体" w:hAnsi="黑体" w:eastAsia="黑体"/>
          <w:b w:val="0"/>
          <w:lang w:val="en-US" w:eastAsia="zh-CN"/>
        </w:rPr>
        <w:t>3</w:t>
      </w:r>
      <w:r>
        <w:rPr>
          <w:rFonts w:hint="eastAsia" w:ascii="黑体" w:hAnsi="黑体" w:eastAsia="黑体"/>
          <w:b w:val="0"/>
        </w:rPr>
        <w:t>年度</w:t>
      </w:r>
      <w:r>
        <w:rPr>
          <w:rFonts w:hint="eastAsia" w:ascii="黑体" w:hAnsi="黑体" w:eastAsia="黑体"/>
          <w:b w:val="0"/>
          <w:lang w:val="en-US" w:eastAsia="zh-CN"/>
        </w:rPr>
        <w:t>单位</w:t>
      </w:r>
      <w:r>
        <w:rPr>
          <w:rStyle w:val="20"/>
          <w:rFonts w:hint="eastAsia" w:ascii="黑体" w:hAnsi="黑体" w:eastAsia="黑体"/>
          <w:b w:val="0"/>
          <w:bCs/>
        </w:rPr>
        <w:t>决算情况说明</w:t>
      </w:r>
      <w:bookmarkEnd w:id="31"/>
      <w:bookmarkEnd w:id="32"/>
      <w:bookmarkEnd w:id="33"/>
      <w:bookmarkEnd w:id="34"/>
      <w:bookmarkEnd w:id="35"/>
    </w:p>
    <w:p>
      <w:pPr>
        <w:pStyle w:val="30"/>
        <w:numPr>
          <w:ilvl w:val="0"/>
          <w:numId w:val="0"/>
        </w:numPr>
        <w:spacing w:line="600" w:lineRule="exact"/>
        <w:ind w:firstLine="640" w:firstLineChars="200"/>
        <w:outlineLvl w:val="1"/>
        <w:rPr>
          <w:rStyle w:val="21"/>
          <w:rFonts w:ascii="黑体" w:hAnsi="黑体" w:eastAsia="黑体"/>
          <w:b w:val="0"/>
          <w:color w:val="auto"/>
          <w:highlight w:val="none"/>
        </w:rPr>
      </w:pPr>
      <w:bookmarkStart w:id="36" w:name="_Toc3111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36"/>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相比，收、支总计各减少</w:t>
      </w:r>
      <w:r>
        <w:rPr>
          <w:rFonts w:hint="eastAsia" w:ascii="仿宋_GB2312" w:hAnsi="仿宋_GB2312" w:eastAsia="仿宋_GB2312" w:cs="仿宋_GB2312"/>
          <w:color w:val="auto"/>
          <w:sz w:val="32"/>
          <w:szCs w:val="32"/>
          <w:highlight w:val="none"/>
          <w:lang w:val="en-US" w:eastAsia="zh-CN"/>
        </w:rPr>
        <w:t>70.59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10.51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人员减少，工资、津贴、保险缴费、公业务费</w:t>
      </w:r>
      <w:r>
        <w:rPr>
          <w:rFonts w:hint="eastAsia" w:ascii="仿宋_GB2312" w:hAnsi="仿宋_GB2312" w:eastAsia="仿宋_GB2312" w:cs="仿宋_GB2312"/>
          <w:b w:val="0"/>
          <w:bCs w:val="0"/>
          <w:i w:val="0"/>
          <w:iCs w:val="0"/>
          <w:caps w:val="0"/>
          <w:color w:val="333333"/>
          <w:spacing w:val="0"/>
          <w:sz w:val="31"/>
          <w:szCs w:val="31"/>
          <w:vertAlign w:val="baseline"/>
        </w:rPr>
        <w:t>等经费相应</w:t>
      </w:r>
      <w:r>
        <w:rPr>
          <w:rFonts w:hint="eastAsia" w:ascii="仿宋_GB2312" w:hAnsi="仿宋_GB2312" w:eastAsia="仿宋_GB2312" w:cs="仿宋_GB2312"/>
          <w:b w:val="0"/>
          <w:bCs w:val="0"/>
          <w:i w:val="0"/>
          <w:iCs w:val="0"/>
          <w:caps w:val="0"/>
          <w:color w:val="333333"/>
          <w:spacing w:val="0"/>
          <w:sz w:val="31"/>
          <w:szCs w:val="31"/>
          <w:vertAlign w:val="baseline"/>
          <w:lang w:val="en-US" w:eastAsia="zh-CN"/>
        </w:rPr>
        <w:t>减少</w:t>
      </w:r>
      <w:r>
        <w:rPr>
          <w:rFonts w:hint="eastAsia" w:ascii="仿宋_GB2312" w:hAnsi="仿宋_GB2312" w:eastAsia="仿宋_GB2312" w:cs="仿宋_GB2312"/>
          <w:color w:val="auto"/>
          <w:sz w:val="32"/>
          <w:szCs w:val="32"/>
          <w:highlight w:val="none"/>
          <w:lang w:eastAsia="zh-CN"/>
        </w:rPr>
        <w:t>。</w:t>
      </w:r>
    </w:p>
    <w:p>
      <w:pPr>
        <w:spacing w:line="600" w:lineRule="exact"/>
        <w:ind w:firstLine="960" w:firstLineChars="300"/>
        <w:jc w:val="both"/>
        <w:rPr>
          <w:rFonts w:hint="eastAsia" w:ascii="黑体" w:hAnsi="黑体" w:eastAsia="黑体"/>
          <w:color w:val="auto"/>
          <w:sz w:val="32"/>
          <w:szCs w:val="32"/>
          <w:highlight w:val="none"/>
          <w:lang w:eastAsia="zh-CN"/>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r>
        <w:rPr>
          <w:rFonts w:hint="eastAsia" w:ascii="仿宋" w:hAnsi="仿宋" w:eastAsia="仿宋"/>
          <w:sz w:val="32"/>
          <w:szCs w:val="32"/>
          <w:lang w:eastAsia="zh-CN"/>
        </w:rPr>
        <w:t>（</w:t>
      </w:r>
      <w:r>
        <w:rPr>
          <w:rFonts w:hint="eastAsia" w:ascii="仿宋" w:hAnsi="仿宋" w:eastAsia="仿宋"/>
          <w:sz w:val="32"/>
          <w:szCs w:val="32"/>
          <w:lang w:val="en-US" w:eastAsia="zh-CN"/>
        </w:rPr>
        <w:t>柱状图</w:t>
      </w:r>
      <w:r>
        <w:rPr>
          <w:rFonts w:hint="eastAsia" w:ascii="仿宋" w:hAnsi="仿宋" w:eastAsia="仿宋"/>
          <w:sz w:val="32"/>
          <w:szCs w:val="32"/>
          <w:lang w:eastAsia="zh-CN"/>
        </w:rPr>
        <w:t>）</w:t>
      </w: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r>
        <w:rPr>
          <w:rFonts w:hint="eastAsia"/>
          <w:sz w:val="32"/>
          <w:szCs w:val="32"/>
        </w:rPr>
        <w:drawing>
          <wp:anchor distT="0" distB="0" distL="114300" distR="114300" simplePos="0" relativeHeight="251659264" behindDoc="0" locked="0" layoutInCell="1" allowOverlap="1">
            <wp:simplePos x="0" y="0"/>
            <wp:positionH relativeFrom="column">
              <wp:posOffset>79375</wp:posOffset>
            </wp:positionH>
            <wp:positionV relativeFrom="paragraph">
              <wp:posOffset>304800</wp:posOffset>
            </wp:positionV>
            <wp:extent cx="5120640" cy="2433320"/>
            <wp:effectExtent l="4445" t="4445" r="18415" b="1968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ind w:left="640" w:leftChars="0"/>
        <w:outlineLvl w:val="9"/>
        <w:rPr>
          <w:rFonts w:hint="eastAsia" w:ascii="黑体" w:hAnsi="黑体" w:eastAsia="黑体"/>
          <w:color w:val="auto"/>
          <w:sz w:val="32"/>
          <w:szCs w:val="32"/>
          <w:highlight w:val="none"/>
          <w:lang w:eastAsia="zh-CN"/>
        </w:rPr>
      </w:pPr>
    </w:p>
    <w:p>
      <w:pPr>
        <w:pStyle w:val="30"/>
        <w:numPr>
          <w:ilvl w:val="0"/>
          <w:numId w:val="0"/>
        </w:numPr>
        <w:spacing w:line="600" w:lineRule="exact"/>
        <w:outlineLvl w:val="1"/>
        <w:rPr>
          <w:rStyle w:val="21"/>
          <w:rFonts w:ascii="黑体" w:hAnsi="黑体" w:eastAsia="黑体"/>
          <w:b w:val="0"/>
          <w:color w:val="auto"/>
          <w:highlight w:val="none"/>
        </w:rPr>
      </w:pPr>
      <w:bookmarkStart w:id="37" w:name="_Toc30799"/>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37"/>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8" w:name="_Toc30860"/>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本年收入合计</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38"/>
    </w:p>
    <w:p>
      <w:pPr>
        <w:pStyle w:val="30"/>
        <w:numPr>
          <w:ilvl w:val="0"/>
          <w:numId w:val="0"/>
        </w:numPr>
        <w:spacing w:line="600" w:lineRule="exact"/>
        <w:ind w:firstLine="1280" w:firstLineChars="400"/>
        <w:outlineLvl w:val="1"/>
        <w:rPr>
          <w:rFonts w:hint="eastAsia" w:ascii="仿宋_GB2312" w:hAnsi="仿宋_GB2312" w:eastAsia="仿宋_GB2312" w:cs="仿宋_GB2312"/>
          <w:color w:val="auto"/>
          <w:sz w:val="32"/>
          <w:szCs w:val="32"/>
          <w:highlight w:val="none"/>
        </w:rPr>
      </w:pPr>
      <w:bookmarkStart w:id="39" w:name="_Toc10094"/>
      <w:bookmarkStart w:id="40" w:name="_Toc681066639"/>
      <w:bookmarkStart w:id="41" w:name="_Toc512132045"/>
      <w:bookmarkStart w:id="42" w:name="_Toc15377207"/>
      <w:bookmarkStart w:id="43" w:name="_Toc15396605"/>
      <w:r>
        <w:rPr>
          <w:rFonts w:hint="eastAsia" w:ascii="仿宋_GB2312" w:hAnsi="仿宋_GB2312" w:eastAsia="仿宋_GB2312" w:cs="仿宋_GB2312"/>
          <w:color w:val="auto"/>
          <w:sz w:val="32"/>
          <w:szCs w:val="32"/>
          <w:highlight w:val="none"/>
        </w:rPr>
        <w:t>（图2：收入决算结构图）（饼状图）</w:t>
      </w:r>
      <w:bookmarkEnd w:id="39"/>
    </w:p>
    <w:p>
      <w:pPr>
        <w:pStyle w:val="30"/>
        <w:numPr>
          <w:ilvl w:val="0"/>
          <w:numId w:val="0"/>
        </w:numPr>
        <w:spacing w:line="600" w:lineRule="exact"/>
        <w:outlineLvl w:val="9"/>
        <w:rPr>
          <w:rFonts w:hint="eastAsia" w:ascii="仿宋_GB2312" w:hAnsi="仿宋_GB2312" w:eastAsia="仿宋_GB2312" w:cs="仿宋_GB2312"/>
          <w:color w:val="auto"/>
          <w:sz w:val="32"/>
          <w:szCs w:val="32"/>
          <w:highlight w:val="none"/>
        </w:rPr>
      </w:pPr>
    </w:p>
    <w:p>
      <w:pPr>
        <w:pStyle w:val="30"/>
        <w:numPr>
          <w:ilvl w:val="0"/>
          <w:numId w:val="0"/>
        </w:numPr>
        <w:spacing w:line="600" w:lineRule="exact"/>
        <w:ind w:firstLine="1280" w:firstLineChars="400"/>
        <w:outlineLvl w:val="9"/>
        <w:rPr>
          <w:rFonts w:hint="eastAsia" w:ascii="仿宋_GB2312" w:hAnsi="仿宋_GB2312" w:eastAsia="仿宋_GB2312" w:cs="仿宋_GB2312"/>
          <w:color w:val="auto"/>
          <w:sz w:val="32"/>
          <w:szCs w:val="32"/>
          <w:highlight w:val="none"/>
        </w:rPr>
      </w:pPr>
    </w:p>
    <w:p>
      <w:pPr>
        <w:pStyle w:val="30"/>
        <w:numPr>
          <w:ilvl w:val="0"/>
          <w:numId w:val="0"/>
        </w:numPr>
        <w:spacing w:line="600" w:lineRule="exact"/>
        <w:ind w:firstLine="1280" w:firstLineChars="400"/>
        <w:outlineLvl w:val="9"/>
        <w:rPr>
          <w:rFonts w:hint="eastAsia" w:ascii="仿宋_GB2312" w:hAnsi="仿宋_GB2312" w:eastAsia="仿宋_GB2312" w:cs="仿宋_GB2312"/>
          <w:color w:val="auto"/>
          <w:sz w:val="32"/>
          <w:szCs w:val="32"/>
          <w:highlight w:val="none"/>
        </w:rPr>
      </w:pPr>
    </w:p>
    <w:bookmarkEnd w:id="40"/>
    <w:bookmarkEnd w:id="41"/>
    <w:bookmarkEnd w:id="42"/>
    <w:bookmarkEnd w:id="43"/>
    <w:p>
      <w:pPr>
        <w:pStyle w:val="6"/>
        <w:spacing w:before="93"/>
        <w:ind w:firstLine="640" w:firstLineChars="200"/>
        <w:rPr>
          <w:rFonts w:ascii="仿宋" w:hAnsi="仿宋" w:eastAsia="仿宋"/>
          <w:sz w:val="32"/>
          <w:szCs w:val="32"/>
        </w:rPr>
        <w:sectPr>
          <w:headerReference r:id="rId13" w:type="default"/>
          <w:pgSz w:w="11906" w:h="16838"/>
          <w:pgMar w:top="1440" w:right="1800" w:bottom="1440" w:left="1800" w:header="851" w:footer="992" w:gutter="0"/>
          <w:pgNumType w:fmt="decimal"/>
          <w:cols w:space="425" w:num="1"/>
          <w:docGrid w:type="lines" w:linePitch="312" w:charSpace="0"/>
        </w:sectPr>
      </w:pPr>
    </w:p>
    <w:p>
      <w:pPr>
        <w:pStyle w:val="6"/>
        <w:spacing w:before="93"/>
        <w:ind w:firstLine="640" w:firstLineChars="200"/>
      </w:pPr>
      <w:r>
        <w:rPr>
          <w:rFonts w:ascii="仿宋" w:hAnsi="仿宋" w:eastAsia="仿宋"/>
          <w:sz w:val="32"/>
          <w:szCs w:val="32"/>
        </w:rPr>
        <w:drawing>
          <wp:inline distT="0" distB="0" distL="0" distR="0">
            <wp:extent cx="4852670" cy="2330450"/>
            <wp:effectExtent l="4445" t="4445" r="19685" b="8255"/>
            <wp:docPr id="11" name="对象 4"/>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pStyle w:val="30"/>
        <w:numPr>
          <w:ilvl w:val="0"/>
          <w:numId w:val="0"/>
        </w:numPr>
        <w:spacing w:line="600" w:lineRule="exact"/>
        <w:outlineLvl w:val="1"/>
        <w:rPr>
          <w:rStyle w:val="21"/>
          <w:rFonts w:ascii="黑体" w:hAnsi="黑体" w:eastAsia="黑体"/>
          <w:b w:val="0"/>
          <w:color w:val="auto"/>
          <w:highlight w:val="none"/>
        </w:rPr>
      </w:pPr>
      <w:bookmarkStart w:id="44" w:name="_Toc23659"/>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44"/>
    </w:p>
    <w:p>
      <w:pPr>
        <w:spacing w:line="600" w:lineRule="exact"/>
        <w:ind w:firstLine="640" w:firstLineChars="200"/>
        <w:outlineLvl w:val="1"/>
        <w:rPr>
          <w:rFonts w:hint="eastAsia" w:ascii="仿宋" w:hAnsi="仿宋" w:eastAsia="仿宋"/>
          <w:b/>
          <w:color w:val="auto"/>
          <w:sz w:val="32"/>
          <w:szCs w:val="32"/>
          <w:highlight w:val="none"/>
          <w:lang w:val="en-US" w:eastAsia="zh-CN"/>
        </w:rPr>
      </w:pPr>
      <w:bookmarkStart w:id="45" w:name="_Toc18233"/>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600.77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439.98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73.24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160.79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26.76</w:t>
      </w:r>
      <w:r>
        <w:rPr>
          <w:rFonts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w:t>
      </w:r>
      <w:bookmarkEnd w:id="45"/>
    </w:p>
    <w:p>
      <w:pPr>
        <w:spacing w:line="600" w:lineRule="exact"/>
        <w:ind w:firstLine="2080" w:firstLineChars="650"/>
        <w:jc w:val="both"/>
        <w:rPr>
          <w:rFonts w:ascii="仿宋" w:hAnsi="仿宋" w:eastAsia="仿宋"/>
          <w:color w:val="auto"/>
          <w:sz w:val="32"/>
          <w:szCs w:val="32"/>
          <w:highlight w:val="none"/>
          <w:shd w:val="pct10" w:color="auto" w:fill="FFFFFF"/>
        </w:rPr>
      </w:pPr>
      <w:r>
        <w:rPr>
          <w:rFonts w:hint="eastAsia" w:ascii="仿宋" w:hAnsi="仿宋" w:eastAsia="仿宋"/>
          <w:sz w:val="32"/>
          <w:szCs w:val="32"/>
        </w:rPr>
        <w:t>（图3：支出决算结构图）</w:t>
      </w:r>
      <w:r>
        <w:rPr>
          <w:rFonts w:hint="eastAsia" w:ascii="仿宋_GB2312" w:hAnsi="仿宋_GB2312" w:eastAsia="仿宋_GB2312" w:cs="仿宋_GB2312"/>
          <w:color w:val="auto"/>
          <w:sz w:val="32"/>
          <w:szCs w:val="32"/>
          <w:highlight w:val="none"/>
        </w:rPr>
        <w:t>（饼状图）</w:t>
      </w:r>
    </w:p>
    <w:p>
      <w:pPr>
        <w:pStyle w:val="6"/>
        <w:spacing w:before="93"/>
      </w:pPr>
      <w:r>
        <w:rPr>
          <w:sz w:val="32"/>
          <w:szCs w:val="32"/>
        </w:rPr>
        <w:drawing>
          <wp:inline distT="0" distB="0" distL="0" distR="0">
            <wp:extent cx="5104765" cy="2830830"/>
            <wp:effectExtent l="4445" t="4445" r="15240" b="22225"/>
            <wp:docPr id="6" name="对象 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pPr>
        <w:spacing w:line="600" w:lineRule="exact"/>
        <w:ind w:firstLine="640" w:firstLineChars="200"/>
        <w:outlineLvl w:val="1"/>
        <w:rPr>
          <w:rStyle w:val="21"/>
          <w:rFonts w:ascii="黑体" w:hAnsi="黑体" w:eastAsia="黑体"/>
          <w:b w:val="0"/>
          <w:color w:val="auto"/>
          <w:highlight w:val="none"/>
        </w:rPr>
      </w:pPr>
      <w:bookmarkStart w:id="46" w:name="_Toc15730"/>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46"/>
    </w:p>
    <w:p>
      <w:pPr>
        <w:spacing w:line="600" w:lineRule="exact"/>
        <w:ind w:firstLine="640" w:firstLineChars="200"/>
        <w:rPr>
          <w:rFonts w:hint="eastAsia" w:ascii="仿宋_GB2312" w:hAnsi="仿宋_GB2312" w:eastAsia="仿宋_GB2312" w:cs="仿宋_GB2312"/>
          <w:color w:val="auto"/>
          <w:sz w:val="32"/>
          <w:szCs w:val="32"/>
          <w:highlight w:val="none"/>
          <w:lang w:val="en-US" w:eastAsia="zh-CN"/>
        </w:rPr>
        <w:sectPr>
          <w:headerReference r:id="rId14" w:type="default"/>
          <w:pgSz w:w="11906" w:h="16838"/>
          <w:pgMar w:top="1440" w:right="1800" w:bottom="1440" w:left="1800" w:header="851" w:footer="992" w:gutter="0"/>
          <w:pgNumType w:fmt="decimal"/>
          <w:cols w:space="425" w:num="1"/>
          <w:docGrid w:type="lines" w:linePitch="312" w:charSpace="0"/>
        </w:sect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相比，财政拨款收、支总计各减少</w:t>
      </w:r>
      <w:r>
        <w:rPr>
          <w:rFonts w:hint="eastAsia" w:ascii="仿宋_GB2312" w:hAnsi="仿宋_GB2312" w:eastAsia="仿宋_GB2312" w:cs="仿宋_GB2312"/>
          <w:color w:val="auto"/>
          <w:sz w:val="32"/>
          <w:szCs w:val="32"/>
          <w:highlight w:val="none"/>
          <w:lang w:val="en-US" w:eastAsia="zh-CN"/>
        </w:rPr>
        <w:t>70.59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10.51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人员减少，工资、津贴、保险缴费、</w:t>
      </w:r>
    </w:p>
    <w:p>
      <w:pPr>
        <w:spacing w:line="600" w:lineRule="exac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公业务费</w:t>
      </w:r>
      <w:r>
        <w:rPr>
          <w:rFonts w:hint="eastAsia" w:ascii="仿宋_GB2312" w:hAnsi="仿宋_GB2312" w:eastAsia="仿宋_GB2312" w:cs="仿宋_GB2312"/>
          <w:b w:val="0"/>
          <w:bCs w:val="0"/>
          <w:i w:val="0"/>
          <w:iCs w:val="0"/>
          <w:caps w:val="0"/>
          <w:color w:val="333333"/>
          <w:spacing w:val="0"/>
          <w:sz w:val="31"/>
          <w:szCs w:val="31"/>
          <w:vertAlign w:val="baseline"/>
        </w:rPr>
        <w:t>等经费相应</w:t>
      </w:r>
      <w:r>
        <w:rPr>
          <w:rFonts w:hint="eastAsia" w:ascii="仿宋_GB2312" w:hAnsi="仿宋_GB2312" w:eastAsia="仿宋_GB2312" w:cs="仿宋_GB2312"/>
          <w:b w:val="0"/>
          <w:bCs w:val="0"/>
          <w:i w:val="0"/>
          <w:iCs w:val="0"/>
          <w:caps w:val="0"/>
          <w:color w:val="333333"/>
          <w:spacing w:val="0"/>
          <w:sz w:val="31"/>
          <w:szCs w:val="31"/>
          <w:vertAlign w:val="baseline"/>
          <w:lang w:val="en-US" w:eastAsia="zh-CN"/>
        </w:rPr>
        <w:t>减少</w:t>
      </w:r>
      <w:r>
        <w:rPr>
          <w:rFonts w:hint="eastAsia" w:ascii="仿宋_GB2312" w:hAnsi="仿宋_GB2312" w:eastAsia="仿宋_GB2312" w:cs="仿宋_GB2312"/>
          <w:color w:val="auto"/>
          <w:sz w:val="32"/>
          <w:szCs w:val="32"/>
          <w:highlight w:val="none"/>
          <w:lang w:eastAsia="zh-CN"/>
        </w:rPr>
        <w:t>。</w:t>
      </w:r>
    </w:p>
    <w:p>
      <w:pPr>
        <w:spacing w:line="600" w:lineRule="exact"/>
        <w:ind w:firstLine="320" w:firstLineChars="100"/>
        <w:rPr>
          <w:rFonts w:hint="eastAsia" w:ascii="仿宋" w:hAnsi="仿宋" w:eastAsia="仿宋"/>
          <w:sz w:val="32"/>
          <w:szCs w:val="32"/>
          <w:lang w:eastAsia="zh-CN"/>
        </w:rPr>
      </w:pPr>
      <w:r>
        <w:rPr>
          <w:rFonts w:hint="eastAsia" w:ascii="仿宋" w:hAnsi="仿宋" w:eastAsia="仿宋"/>
          <w:sz w:val="32"/>
          <w:szCs w:val="32"/>
        </w:rPr>
        <w:t>（图4：财政拨款收、支决算总计变动情况）</w:t>
      </w:r>
      <w:r>
        <w:rPr>
          <w:rFonts w:hint="eastAsia" w:ascii="仿宋" w:hAnsi="仿宋" w:eastAsia="仿宋"/>
          <w:sz w:val="32"/>
          <w:szCs w:val="32"/>
          <w:lang w:eastAsia="zh-CN"/>
        </w:rPr>
        <w:t>（</w:t>
      </w:r>
      <w:r>
        <w:rPr>
          <w:rFonts w:hint="eastAsia" w:ascii="仿宋" w:hAnsi="仿宋" w:eastAsia="仿宋"/>
          <w:sz w:val="32"/>
          <w:szCs w:val="32"/>
          <w:lang w:val="en-US" w:eastAsia="zh-CN"/>
        </w:rPr>
        <w:t>柱状图</w:t>
      </w:r>
      <w:r>
        <w:rPr>
          <w:rFonts w:hint="eastAsia" w:ascii="仿宋" w:hAnsi="仿宋" w:eastAsia="仿宋"/>
          <w:sz w:val="32"/>
          <w:szCs w:val="32"/>
          <w:lang w:eastAsia="zh-CN"/>
        </w:rPr>
        <w:t>）</w:t>
      </w:r>
    </w:p>
    <w:p>
      <w:pPr>
        <w:spacing w:line="600" w:lineRule="exact"/>
        <w:outlineLvl w:val="9"/>
        <w:rPr>
          <w:rFonts w:hint="eastAsia" w:ascii="黑体" w:hAnsi="黑体" w:eastAsia="黑体"/>
          <w:color w:val="auto"/>
          <w:sz w:val="32"/>
          <w:szCs w:val="32"/>
          <w:highlight w:val="none"/>
        </w:rPr>
      </w:pPr>
      <w:r>
        <w:rPr>
          <w:rFonts w:hint="eastAsia"/>
        </w:rPr>
        <w:drawing>
          <wp:anchor distT="0" distB="0" distL="114300" distR="114300" simplePos="0" relativeHeight="251660288" behindDoc="0" locked="0" layoutInCell="1" allowOverlap="1">
            <wp:simplePos x="0" y="0"/>
            <wp:positionH relativeFrom="column">
              <wp:posOffset>95250</wp:posOffset>
            </wp:positionH>
            <wp:positionV relativeFrom="paragraph">
              <wp:posOffset>184785</wp:posOffset>
            </wp:positionV>
            <wp:extent cx="5033010" cy="2313305"/>
            <wp:effectExtent l="5080" t="4445" r="10160" b="6350"/>
            <wp:wrapNone/>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pPr>
        <w:spacing w:line="600" w:lineRule="exact"/>
        <w:outlineLvl w:val="9"/>
        <w:rPr>
          <w:rFonts w:hint="eastAsia" w:ascii="黑体" w:hAnsi="黑体" w:eastAsia="黑体"/>
          <w:color w:val="auto"/>
          <w:sz w:val="32"/>
          <w:szCs w:val="32"/>
          <w:highlight w:val="none"/>
        </w:rPr>
      </w:pPr>
    </w:p>
    <w:p>
      <w:pPr>
        <w:spacing w:line="600" w:lineRule="exact"/>
        <w:outlineLvl w:val="9"/>
        <w:rPr>
          <w:rFonts w:hint="eastAsia" w:ascii="黑体" w:hAnsi="黑体" w:eastAsia="黑体"/>
          <w:color w:val="auto"/>
          <w:sz w:val="32"/>
          <w:szCs w:val="32"/>
          <w:highlight w:val="none"/>
        </w:rPr>
      </w:pPr>
    </w:p>
    <w:p>
      <w:pPr>
        <w:spacing w:line="600" w:lineRule="exact"/>
        <w:outlineLvl w:val="9"/>
        <w:rPr>
          <w:rFonts w:hint="eastAsia" w:ascii="黑体" w:hAnsi="黑体" w:eastAsia="黑体"/>
          <w:color w:val="auto"/>
          <w:sz w:val="32"/>
          <w:szCs w:val="32"/>
          <w:highlight w:val="none"/>
        </w:rPr>
      </w:pPr>
    </w:p>
    <w:p>
      <w:pPr>
        <w:spacing w:line="600" w:lineRule="exact"/>
        <w:outlineLvl w:val="9"/>
        <w:rPr>
          <w:rFonts w:hint="eastAsia" w:ascii="黑体" w:hAnsi="黑体" w:eastAsia="黑体"/>
          <w:color w:val="auto"/>
          <w:sz w:val="32"/>
          <w:szCs w:val="32"/>
          <w:highlight w:val="none"/>
        </w:rPr>
      </w:pPr>
    </w:p>
    <w:p>
      <w:pPr>
        <w:spacing w:line="600" w:lineRule="exact"/>
        <w:outlineLvl w:val="9"/>
        <w:rPr>
          <w:rFonts w:hint="eastAsia" w:ascii="黑体" w:hAnsi="黑体" w:eastAsia="黑体"/>
          <w:color w:val="auto"/>
          <w:sz w:val="32"/>
          <w:szCs w:val="32"/>
          <w:highlight w:val="none"/>
        </w:rPr>
      </w:pPr>
    </w:p>
    <w:p>
      <w:pPr>
        <w:spacing w:line="600" w:lineRule="exact"/>
        <w:outlineLvl w:val="9"/>
        <w:rPr>
          <w:rFonts w:hint="eastAsia" w:ascii="黑体" w:hAnsi="黑体" w:eastAsia="黑体"/>
          <w:color w:val="auto"/>
          <w:sz w:val="32"/>
          <w:szCs w:val="32"/>
          <w:highlight w:val="none"/>
        </w:rPr>
      </w:pPr>
    </w:p>
    <w:p>
      <w:pPr>
        <w:spacing w:line="600" w:lineRule="exact"/>
        <w:outlineLvl w:val="1"/>
        <w:rPr>
          <w:rStyle w:val="21"/>
          <w:rFonts w:ascii="黑体" w:hAnsi="黑体" w:eastAsia="黑体"/>
          <w:b w:val="0"/>
          <w:color w:val="auto"/>
          <w:highlight w:val="none"/>
        </w:rPr>
      </w:pPr>
      <w:bookmarkStart w:id="47" w:name="_Toc3149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47"/>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（一）一般公共预算财政拨款支出决算总体情况</w:t>
      </w:r>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70.59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10.51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人员减少，工资、津贴、保险缴费、公业务费</w:t>
      </w:r>
      <w:r>
        <w:rPr>
          <w:rFonts w:hint="eastAsia" w:ascii="仿宋_GB2312" w:hAnsi="仿宋_GB2312" w:eastAsia="仿宋_GB2312" w:cs="仿宋_GB2312"/>
          <w:b w:val="0"/>
          <w:bCs w:val="0"/>
          <w:i w:val="0"/>
          <w:iCs w:val="0"/>
          <w:caps w:val="0"/>
          <w:color w:val="333333"/>
          <w:spacing w:val="0"/>
          <w:sz w:val="31"/>
          <w:szCs w:val="31"/>
          <w:vertAlign w:val="baseline"/>
        </w:rPr>
        <w:t>等经费相应</w:t>
      </w:r>
      <w:r>
        <w:rPr>
          <w:rFonts w:hint="eastAsia" w:ascii="仿宋_GB2312" w:hAnsi="仿宋_GB2312" w:eastAsia="仿宋_GB2312" w:cs="仿宋_GB2312"/>
          <w:b w:val="0"/>
          <w:bCs w:val="0"/>
          <w:i w:val="0"/>
          <w:iCs w:val="0"/>
          <w:caps w:val="0"/>
          <w:color w:val="333333"/>
          <w:spacing w:val="0"/>
          <w:sz w:val="31"/>
          <w:szCs w:val="31"/>
          <w:vertAlign w:val="baseline"/>
          <w:lang w:val="en-US" w:eastAsia="zh-CN"/>
        </w:rPr>
        <w:t>减少</w:t>
      </w:r>
      <w:r>
        <w:rPr>
          <w:rFonts w:hint="eastAsia" w:ascii="仿宋_GB2312" w:hAnsi="仿宋_GB2312" w:eastAsia="仿宋_GB2312" w:cs="仿宋_GB2312"/>
          <w:color w:val="auto"/>
          <w:sz w:val="32"/>
          <w:szCs w:val="32"/>
          <w:highlight w:val="none"/>
          <w:lang w:eastAsia="zh-CN"/>
        </w:rPr>
        <w:t>。</w:t>
      </w:r>
    </w:p>
    <w:p>
      <w:pPr>
        <w:spacing w:line="600" w:lineRule="exact"/>
        <w:rPr>
          <w:rFonts w:hint="eastAsia" w:ascii="仿宋_GB2312" w:hAnsi="仿宋_GB2312" w:eastAsia="仿宋_GB2312" w:cs="仿宋_GB2312"/>
          <w:color w:val="auto"/>
          <w:sz w:val="32"/>
          <w:szCs w:val="32"/>
          <w:highlight w:val="none"/>
        </w:rPr>
      </w:pPr>
      <w:r>
        <w:rPr>
          <w:rFonts w:hint="eastAsia" w:ascii="仿宋" w:hAnsi="仿宋" w:eastAsia="仿宋"/>
          <w:sz w:val="32"/>
          <w:szCs w:val="32"/>
        </w:rPr>
        <w:t>（图5：一般公共预算财政拨款支出决算变动情况</w:t>
      </w:r>
      <w:r>
        <w:rPr>
          <w:rFonts w:hint="eastAsia" w:ascii="仿宋" w:hAnsi="仿宋" w:eastAsia="仿宋"/>
          <w:sz w:val="32"/>
          <w:szCs w:val="32"/>
          <w:lang w:val="en-US" w:eastAsia="zh-CN"/>
        </w:rPr>
        <w:t>)</w:t>
      </w:r>
      <w:r>
        <w:rPr>
          <w:rFonts w:hint="eastAsia" w:ascii="仿宋_GB2312" w:hAnsi="仿宋_GB2312" w:eastAsia="仿宋_GB2312" w:cs="仿宋_GB2312"/>
          <w:color w:val="auto"/>
          <w:sz w:val="32"/>
          <w:szCs w:val="32"/>
          <w:highlight w:val="none"/>
        </w:rPr>
        <w:t>（柱状图）</w:t>
      </w:r>
    </w:p>
    <w:p>
      <w:pPr>
        <w:tabs>
          <w:tab w:val="right" w:pos="7666"/>
        </w:tabs>
        <w:spacing w:line="600" w:lineRule="exact"/>
        <w:ind w:firstLine="420" w:firstLineChars="200"/>
        <w:rPr>
          <w:rFonts w:hint="eastAsia" w:ascii="仿宋" w:hAnsi="仿宋" w:eastAsia="仿宋"/>
          <w:sz w:val="32"/>
          <w:szCs w:val="32"/>
          <w:lang w:eastAsia="zh-CN"/>
        </w:rPr>
      </w:pPr>
      <w:r>
        <w:rPr>
          <w:rFonts w:hint="eastAsia"/>
        </w:rPr>
        <w:drawing>
          <wp:anchor distT="0" distB="0" distL="114300" distR="114300" simplePos="0" relativeHeight="251661312" behindDoc="0" locked="0" layoutInCell="1" allowOverlap="1">
            <wp:simplePos x="0" y="0"/>
            <wp:positionH relativeFrom="column">
              <wp:posOffset>300990</wp:posOffset>
            </wp:positionH>
            <wp:positionV relativeFrom="paragraph">
              <wp:posOffset>114300</wp:posOffset>
            </wp:positionV>
            <wp:extent cx="4762500" cy="2154555"/>
            <wp:effectExtent l="4445" t="4445" r="14605" b="1270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pPr>
        <w:tabs>
          <w:tab w:val="right" w:pos="7666"/>
        </w:tabs>
        <w:spacing w:line="600" w:lineRule="exact"/>
        <w:ind w:firstLine="640" w:firstLineChars="200"/>
        <w:rPr>
          <w:rFonts w:hint="eastAsia" w:ascii="仿宋" w:hAnsi="仿宋" w:eastAsia="仿宋"/>
          <w:sz w:val="32"/>
          <w:szCs w:val="32"/>
          <w:lang w:eastAsia="zh-CN"/>
        </w:rPr>
      </w:pPr>
    </w:p>
    <w:p>
      <w:pPr>
        <w:spacing w:line="600" w:lineRule="exact"/>
        <w:ind w:firstLine="642" w:firstLineChars="200"/>
        <w:outlineLvl w:val="9"/>
        <w:rPr>
          <w:rFonts w:hint="eastAsia" w:ascii="仿宋_GB2312" w:hAnsi="仿宋_GB2312" w:eastAsia="仿宋_GB2312" w:cs="仿宋_GB2312"/>
          <w:b/>
          <w:color w:val="auto"/>
          <w:sz w:val="32"/>
          <w:szCs w:val="32"/>
          <w:highlight w:val="none"/>
        </w:rPr>
      </w:pPr>
    </w:p>
    <w:p>
      <w:pPr>
        <w:spacing w:line="600" w:lineRule="exact"/>
        <w:ind w:firstLine="642" w:firstLineChars="200"/>
        <w:outlineLvl w:val="9"/>
        <w:rPr>
          <w:rFonts w:hint="eastAsia" w:ascii="仿宋_GB2312" w:hAnsi="仿宋_GB2312" w:eastAsia="仿宋_GB2312" w:cs="仿宋_GB2312"/>
          <w:b/>
          <w:color w:val="auto"/>
          <w:sz w:val="32"/>
          <w:szCs w:val="32"/>
          <w:highlight w:val="none"/>
        </w:rPr>
      </w:pPr>
    </w:p>
    <w:p>
      <w:pPr>
        <w:spacing w:line="600" w:lineRule="exact"/>
        <w:ind w:firstLine="642" w:firstLineChars="200"/>
        <w:outlineLvl w:val="9"/>
        <w:rPr>
          <w:rFonts w:hint="eastAsia" w:ascii="仿宋_GB2312" w:hAnsi="仿宋_GB2312" w:eastAsia="仿宋_GB2312" w:cs="仿宋_GB2312"/>
          <w:b/>
          <w:color w:val="auto"/>
          <w:sz w:val="32"/>
          <w:szCs w:val="32"/>
          <w:highlight w:val="none"/>
        </w:rPr>
      </w:pPr>
    </w:p>
    <w:p>
      <w:pPr>
        <w:spacing w:line="600" w:lineRule="exact"/>
        <w:ind w:firstLine="642" w:firstLineChars="200"/>
        <w:outlineLvl w:val="9"/>
        <w:rPr>
          <w:rFonts w:hint="eastAsia" w:ascii="仿宋_GB2312" w:hAnsi="仿宋_GB2312" w:eastAsia="仿宋_GB2312" w:cs="仿宋_GB2312"/>
          <w:b/>
          <w:color w:val="auto"/>
          <w:sz w:val="32"/>
          <w:szCs w:val="32"/>
          <w:highlight w:val="none"/>
        </w:rPr>
      </w:pPr>
    </w:p>
    <w:p>
      <w:pPr>
        <w:spacing w:line="600" w:lineRule="exact"/>
        <w:ind w:firstLine="642" w:firstLineChars="200"/>
        <w:outlineLvl w:val="9"/>
        <w:rPr>
          <w:rFonts w:hint="eastAsia" w:ascii="仿宋_GB2312" w:hAnsi="仿宋_GB2312" w:eastAsia="仿宋_GB2312" w:cs="仿宋_GB2312"/>
          <w:b/>
          <w:color w:val="auto"/>
          <w:sz w:val="32"/>
          <w:szCs w:val="32"/>
          <w:highlight w:val="none"/>
        </w:rPr>
        <w:sectPr>
          <w:headerReference r:id="rId15" w:type="default"/>
          <w:pgSz w:w="11906" w:h="16838"/>
          <w:pgMar w:top="1440" w:right="1800" w:bottom="1440" w:left="1800" w:header="851" w:footer="992" w:gutter="0"/>
          <w:pgNumType w:fmt="decimal"/>
          <w:cols w:space="425" w:num="1"/>
          <w:docGrid w:type="lines" w:linePitch="312" w:charSpace="0"/>
        </w:sectPr>
      </w:pPr>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（二）一般公共预算财政拨款支出决算结构情况</w:t>
      </w:r>
    </w:p>
    <w:p>
      <w:pPr>
        <w:spacing w:line="600" w:lineRule="exact"/>
        <w:ind w:firstLine="640"/>
        <w:rPr>
          <w:rFonts w:hint="eastAsia" w:ascii="仿宋" w:hAnsi="仿宋" w:eastAsia="仿宋"/>
          <w:sz w:val="32"/>
          <w:szCs w:val="32"/>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600.77</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 w:hAnsi="仿宋" w:eastAsia="仿宋"/>
          <w:sz w:val="32"/>
          <w:szCs w:val="32"/>
        </w:rPr>
        <w:t xml:space="preserve"> 公共安全（类）支出</w:t>
      </w:r>
      <w:r>
        <w:rPr>
          <w:rFonts w:hint="eastAsia" w:ascii="仿宋" w:hAnsi="仿宋" w:eastAsia="仿宋"/>
          <w:sz w:val="32"/>
          <w:szCs w:val="32"/>
          <w:lang w:val="en-US" w:eastAsia="zh-CN"/>
        </w:rPr>
        <w:t>502.64</w:t>
      </w:r>
      <w:r>
        <w:rPr>
          <w:rFonts w:hint="eastAsia" w:ascii="仿宋" w:hAnsi="仿宋" w:eastAsia="仿宋"/>
          <w:sz w:val="32"/>
          <w:szCs w:val="32"/>
        </w:rPr>
        <w:t>万元，占</w:t>
      </w:r>
      <w:r>
        <w:rPr>
          <w:rFonts w:hint="eastAsia" w:ascii="仿宋" w:hAnsi="仿宋" w:eastAsia="仿宋"/>
          <w:sz w:val="32"/>
          <w:szCs w:val="32"/>
          <w:lang w:val="en-US" w:eastAsia="zh-CN"/>
        </w:rPr>
        <w:t>83.67</w:t>
      </w:r>
      <w:r>
        <w:rPr>
          <w:rFonts w:ascii="仿宋" w:hAnsi="仿宋" w:eastAsia="仿宋"/>
          <w:sz w:val="32"/>
          <w:szCs w:val="32"/>
        </w:rPr>
        <w:t>%</w:t>
      </w:r>
      <w:r>
        <w:rPr>
          <w:rFonts w:hint="eastAsia" w:ascii="仿宋" w:hAnsi="仿宋" w:eastAsia="仿宋"/>
          <w:sz w:val="32"/>
          <w:szCs w:val="32"/>
        </w:rPr>
        <w:t>；社会保障和就业（类）支出</w:t>
      </w:r>
      <w:r>
        <w:rPr>
          <w:rFonts w:hint="eastAsia" w:ascii="仿宋" w:hAnsi="仿宋" w:eastAsia="仿宋"/>
          <w:sz w:val="32"/>
          <w:szCs w:val="32"/>
          <w:lang w:val="en-US" w:eastAsia="zh-CN"/>
        </w:rPr>
        <w:t>50.85</w:t>
      </w:r>
      <w:r>
        <w:rPr>
          <w:rFonts w:hint="eastAsia" w:ascii="仿宋" w:hAnsi="仿宋" w:eastAsia="仿宋"/>
          <w:sz w:val="32"/>
          <w:szCs w:val="32"/>
        </w:rPr>
        <w:t>万元，占</w:t>
      </w:r>
      <w:r>
        <w:rPr>
          <w:rFonts w:hint="eastAsia" w:ascii="仿宋" w:hAnsi="仿宋" w:eastAsia="仿宋"/>
          <w:sz w:val="32"/>
          <w:szCs w:val="32"/>
          <w:lang w:val="en-US" w:eastAsia="zh-CN"/>
        </w:rPr>
        <w:t>8.46</w:t>
      </w:r>
      <w:r>
        <w:rPr>
          <w:rFonts w:ascii="仿宋" w:hAnsi="仿宋" w:eastAsia="仿宋"/>
          <w:sz w:val="32"/>
          <w:szCs w:val="32"/>
        </w:rPr>
        <w:t>%</w:t>
      </w:r>
      <w:r>
        <w:rPr>
          <w:rFonts w:hint="eastAsia" w:ascii="仿宋" w:hAnsi="仿宋" w:eastAsia="仿宋"/>
          <w:sz w:val="32"/>
          <w:szCs w:val="32"/>
        </w:rPr>
        <w:t>；卫生健康（类）支出</w:t>
      </w:r>
      <w:r>
        <w:rPr>
          <w:rFonts w:hint="eastAsia" w:ascii="仿宋" w:hAnsi="仿宋" w:eastAsia="仿宋"/>
          <w:sz w:val="32"/>
          <w:szCs w:val="32"/>
          <w:lang w:val="en-US" w:eastAsia="zh-CN"/>
        </w:rPr>
        <w:t>15.55</w:t>
      </w:r>
      <w:r>
        <w:rPr>
          <w:rFonts w:hint="eastAsia" w:ascii="仿宋" w:hAnsi="仿宋" w:eastAsia="仿宋"/>
          <w:sz w:val="32"/>
          <w:szCs w:val="32"/>
        </w:rPr>
        <w:t>万元，占</w:t>
      </w:r>
      <w:r>
        <w:rPr>
          <w:rFonts w:hint="eastAsia" w:ascii="仿宋" w:hAnsi="仿宋" w:eastAsia="仿宋"/>
          <w:sz w:val="32"/>
          <w:szCs w:val="32"/>
          <w:lang w:val="en-US" w:eastAsia="zh-CN"/>
        </w:rPr>
        <w:t>2.59</w:t>
      </w:r>
      <w:r>
        <w:rPr>
          <w:rFonts w:ascii="仿宋" w:hAnsi="仿宋" w:eastAsia="仿宋"/>
          <w:sz w:val="32"/>
          <w:szCs w:val="32"/>
        </w:rPr>
        <w:t>%</w:t>
      </w:r>
      <w:r>
        <w:rPr>
          <w:rFonts w:hint="eastAsia" w:ascii="仿宋" w:hAnsi="仿宋" w:eastAsia="仿宋"/>
          <w:sz w:val="32"/>
          <w:szCs w:val="32"/>
        </w:rPr>
        <w:t>；住房保障（类）支出</w:t>
      </w:r>
      <w:r>
        <w:rPr>
          <w:rFonts w:hint="eastAsia" w:ascii="仿宋" w:hAnsi="仿宋" w:eastAsia="仿宋"/>
          <w:sz w:val="32"/>
          <w:szCs w:val="32"/>
          <w:lang w:val="en-US" w:eastAsia="zh-CN"/>
        </w:rPr>
        <w:t>31.72</w:t>
      </w:r>
      <w:r>
        <w:rPr>
          <w:rFonts w:hint="eastAsia" w:ascii="仿宋" w:hAnsi="仿宋" w:eastAsia="仿宋"/>
          <w:sz w:val="32"/>
          <w:szCs w:val="32"/>
        </w:rPr>
        <w:t>万元，占</w:t>
      </w:r>
      <w:r>
        <w:rPr>
          <w:rFonts w:hint="eastAsia" w:ascii="仿宋" w:hAnsi="仿宋" w:eastAsia="仿宋"/>
          <w:sz w:val="32"/>
          <w:szCs w:val="32"/>
          <w:lang w:val="en-US" w:eastAsia="zh-CN"/>
        </w:rPr>
        <w:t>5.28</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jc w:val="both"/>
      </w:pPr>
      <w:r>
        <w:rPr>
          <w:rFonts w:hint="eastAsia" w:ascii="仿宋" w:hAnsi="仿宋" w:eastAsia="仿宋"/>
          <w:sz w:val="32"/>
          <w:szCs w:val="32"/>
        </w:rPr>
        <w:t>（图6：一般公共预算财政拨款支出决算结构）</w:t>
      </w:r>
      <w:r>
        <w:rPr>
          <w:rFonts w:hint="eastAsia" w:ascii="仿宋" w:hAnsi="仿宋" w:eastAsia="仿宋"/>
          <w:sz w:val="32"/>
          <w:szCs w:val="32"/>
          <w:lang w:eastAsia="zh-CN"/>
        </w:rPr>
        <w:t>（</w:t>
      </w:r>
      <w:r>
        <w:rPr>
          <w:rFonts w:hint="eastAsia" w:ascii="仿宋" w:hAnsi="仿宋" w:eastAsia="仿宋"/>
          <w:sz w:val="32"/>
          <w:szCs w:val="32"/>
          <w:lang w:val="en-US" w:eastAsia="zh-CN"/>
        </w:rPr>
        <w:t>饼状图）</w:t>
      </w:r>
    </w:p>
    <w:p>
      <w:pPr>
        <w:pStyle w:val="6"/>
        <w:spacing w:before="93"/>
      </w:pPr>
      <w:r>
        <w:drawing>
          <wp:inline distT="0" distB="0" distL="0" distR="0">
            <wp:extent cx="5274310" cy="2952750"/>
            <wp:effectExtent l="4445" t="4445" r="17145" b="14605"/>
            <wp:docPr id="21" name="对象 2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（三）一般公共预算财政拨款支出决算具体情况</w:t>
      </w:r>
    </w:p>
    <w:p>
      <w:pPr>
        <w:spacing w:line="600" w:lineRule="exact"/>
        <w:ind w:firstLine="642" w:firstLineChars="200"/>
        <w:outlineLvl w:val="1"/>
        <w:rPr>
          <w:rFonts w:hint="eastAsia" w:ascii="仿宋_GB2312" w:hAnsi="仿宋_GB2312" w:eastAsia="仿宋_GB2312" w:cs="仿宋_GB2312"/>
          <w:color w:val="auto"/>
          <w:sz w:val="32"/>
          <w:szCs w:val="32"/>
          <w:highlight w:val="none"/>
        </w:rPr>
      </w:pPr>
      <w:bookmarkStart w:id="48" w:name="_Toc21726"/>
      <w:r>
        <w:rPr>
          <w:rFonts w:hint="eastAsia" w:ascii="仿宋_GB2312" w:hAnsi="仿宋_GB2312" w:eastAsia="仿宋_GB2312" w:cs="仿宋_GB2312"/>
          <w:b/>
          <w:color w:val="auto"/>
          <w:sz w:val="32"/>
          <w:szCs w:val="32"/>
          <w:highlight w:val="none"/>
          <w:lang w:eastAsia="zh-CN"/>
        </w:rPr>
        <w:t>2023</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度一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600.77</w:t>
      </w:r>
      <w:r>
        <w:rPr>
          <w:rFonts w:hint="eastAsia" w:ascii="仿宋_GB2312" w:hAnsi="仿宋_GB2312" w:eastAsia="仿宋_GB2312" w:cs="仿宋_GB2312"/>
          <w:b/>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Style w:val="18"/>
          <w:rFonts w:hint="eastAsia" w:ascii="仿宋_GB2312" w:hAnsi="仿宋_GB2312" w:eastAsia="仿宋_GB2312" w:cs="仿宋_GB2312"/>
          <w:bCs/>
          <w:color w:val="auto"/>
          <w:sz w:val="32"/>
          <w:szCs w:val="32"/>
          <w:highlight w:val="none"/>
        </w:rPr>
        <w:t>完成预算</w:t>
      </w:r>
      <w:r>
        <w:rPr>
          <w:rStyle w:val="18"/>
          <w:rFonts w:hint="eastAsia" w:ascii="仿宋_GB2312" w:hAnsi="仿宋_GB2312" w:eastAsia="仿宋_GB2312" w:cs="仿宋_GB2312"/>
          <w:bCs/>
          <w:color w:val="auto"/>
          <w:sz w:val="32"/>
          <w:szCs w:val="32"/>
          <w:highlight w:val="none"/>
          <w:lang w:val="en-US" w:eastAsia="zh-CN"/>
        </w:rPr>
        <w:t>100</w:t>
      </w:r>
      <w:r>
        <w:rPr>
          <w:rStyle w:val="18"/>
          <w:rFonts w:hint="eastAsia" w:ascii="仿宋_GB2312" w:hAnsi="仿宋_GB2312" w:eastAsia="仿宋_GB2312" w:cs="仿宋_GB2312"/>
          <w:bCs/>
          <w:color w:val="auto"/>
          <w:sz w:val="32"/>
          <w:szCs w:val="32"/>
          <w:highlight w:val="none"/>
        </w:rPr>
        <w:t>%。其中：</w:t>
      </w:r>
      <w:bookmarkEnd w:id="48"/>
    </w:p>
    <w:p>
      <w:pPr>
        <w:ind w:firstLine="642" w:firstLineChars="200"/>
        <w:rPr>
          <w:rFonts w:ascii="宋体" w:hAnsi="宋体" w:eastAsia="仿宋" w:cs="Arial"/>
          <w:b/>
          <w:kern w:val="0"/>
          <w:sz w:val="22"/>
          <w:szCs w:val="22"/>
        </w:rPr>
      </w:pPr>
      <w:r>
        <w:rPr>
          <w:rStyle w:val="18"/>
          <w:rFonts w:hint="eastAsia" w:ascii="仿宋" w:hAnsi="仿宋" w:eastAsia="仿宋"/>
          <w:bCs/>
          <w:sz w:val="32"/>
          <w:szCs w:val="32"/>
        </w:rPr>
        <w:t>1</w:t>
      </w:r>
      <w:r>
        <w:rPr>
          <w:rStyle w:val="18"/>
          <w:rFonts w:ascii="仿宋" w:hAnsi="仿宋" w:eastAsia="仿宋"/>
          <w:bCs/>
          <w:sz w:val="32"/>
          <w:szCs w:val="32"/>
        </w:rPr>
        <w:t>.</w:t>
      </w:r>
      <w:r>
        <w:rPr>
          <w:rStyle w:val="18"/>
          <w:rFonts w:hint="eastAsia" w:ascii="仿宋" w:hAnsi="仿宋" w:eastAsia="仿宋"/>
          <w:bCs/>
          <w:sz w:val="32"/>
          <w:szCs w:val="32"/>
        </w:rPr>
        <w:t>公共安全（类）公安（款）行政运行（项）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341.86</w:t>
      </w:r>
      <w:r>
        <w:rPr>
          <w:rStyle w:val="18"/>
          <w:rFonts w:hint="eastAsia" w:ascii="仿宋" w:hAnsi="仿宋" w:eastAsia="仿宋"/>
          <w:b w:val="0"/>
          <w:bCs/>
          <w:sz w:val="32"/>
          <w:szCs w:val="32"/>
        </w:rPr>
        <w:t>万元，完成预算100%。</w:t>
      </w:r>
    </w:p>
    <w:p>
      <w:pPr>
        <w:rPr>
          <w:rStyle w:val="18"/>
          <w:rFonts w:ascii="仿宋" w:hAnsi="仿宋" w:eastAsia="仿宋"/>
          <w:bCs/>
          <w:sz w:val="32"/>
          <w:szCs w:val="32"/>
        </w:rPr>
        <w:sectPr>
          <w:headerReference r:id="rId16" w:type="default"/>
          <w:pgSz w:w="11906" w:h="16838"/>
          <w:pgMar w:top="1440" w:right="1800" w:bottom="1440" w:left="1800" w:header="851" w:footer="992" w:gutter="0"/>
          <w:pgNumType w:fmt="decimal"/>
          <w:cols w:space="425" w:num="1"/>
          <w:docGrid w:type="lines" w:linePitch="312" w:charSpace="0"/>
        </w:sectPr>
      </w:pPr>
      <w:r>
        <w:rPr>
          <w:rStyle w:val="18"/>
          <w:rFonts w:hint="eastAsia" w:ascii="仿宋" w:hAnsi="仿宋" w:eastAsia="仿宋"/>
          <w:bCs/>
          <w:sz w:val="32"/>
          <w:szCs w:val="32"/>
        </w:rPr>
        <w:t xml:space="preserve">    2</w:t>
      </w:r>
      <w:r>
        <w:rPr>
          <w:rStyle w:val="18"/>
          <w:rFonts w:ascii="仿宋" w:hAnsi="仿宋" w:eastAsia="仿宋"/>
          <w:bCs/>
          <w:sz w:val="32"/>
          <w:szCs w:val="32"/>
        </w:rPr>
        <w:t>.</w:t>
      </w:r>
      <w:r>
        <w:rPr>
          <w:rStyle w:val="18"/>
          <w:rFonts w:hint="eastAsia" w:ascii="仿宋" w:hAnsi="仿宋" w:eastAsia="仿宋"/>
          <w:bCs/>
          <w:sz w:val="32"/>
          <w:szCs w:val="32"/>
        </w:rPr>
        <w:t>公共安全（类）公安（款）一般行政管理事务（项）</w:t>
      </w:r>
      <w:r>
        <w:rPr>
          <w:rStyle w:val="18"/>
          <w:rFonts w:hint="eastAsia" w:ascii="仿宋" w:hAnsi="仿宋" w:eastAsia="仿宋"/>
          <w:bCs/>
          <w:sz w:val="32"/>
          <w:szCs w:val="32"/>
          <w:lang w:eastAsia="zh-CN"/>
        </w:rPr>
        <w:t>：</w:t>
      </w:r>
    </w:p>
    <w:p>
      <w:pPr>
        <w:rPr>
          <w:rFonts w:hint="default" w:ascii="仿宋" w:hAnsi="仿宋" w:eastAsia="仿宋"/>
          <w:b/>
          <w:bCs/>
          <w:sz w:val="32"/>
          <w:szCs w:val="32"/>
          <w:lang w:val="en-US" w:eastAsia="zh-CN"/>
        </w:rPr>
      </w:pP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77.98</w:t>
      </w:r>
      <w:r>
        <w:rPr>
          <w:rStyle w:val="18"/>
          <w:rFonts w:hint="eastAsia" w:ascii="仿宋" w:hAnsi="仿宋" w:eastAsia="仿宋"/>
          <w:b w:val="0"/>
          <w:bCs/>
          <w:sz w:val="32"/>
          <w:szCs w:val="32"/>
        </w:rPr>
        <w:t xml:space="preserve">万元，完成预算100%。 </w:t>
      </w:r>
    </w:p>
    <w:p>
      <w:pPr>
        <w:ind w:firstLine="642" w:firstLineChars="200"/>
        <w:rPr>
          <w:rStyle w:val="18"/>
          <w:rFonts w:ascii="仿宋_GB2312" w:eastAsia="仿宋_GB2312"/>
          <w:b w:val="0"/>
          <w:bCs/>
          <w:sz w:val="32"/>
          <w:szCs w:val="32"/>
        </w:rPr>
      </w:pPr>
      <w:r>
        <w:rPr>
          <w:rFonts w:hint="eastAsia" w:ascii="仿宋" w:hAnsi="仿宋" w:eastAsia="仿宋"/>
          <w:b/>
          <w:sz w:val="32"/>
          <w:szCs w:val="32"/>
          <w:lang w:val="en-US" w:eastAsia="zh-CN"/>
        </w:rPr>
        <w:t>3</w:t>
      </w:r>
      <w:r>
        <w:rPr>
          <w:rFonts w:hint="eastAsia" w:ascii="仿宋" w:hAnsi="仿宋" w:eastAsia="仿宋"/>
          <w:sz w:val="32"/>
          <w:szCs w:val="32"/>
        </w:rPr>
        <w:t>.</w:t>
      </w:r>
      <w:r>
        <w:rPr>
          <w:rStyle w:val="18"/>
          <w:rFonts w:hint="eastAsia" w:ascii="仿宋" w:hAnsi="仿宋" w:eastAsia="仿宋"/>
          <w:bCs/>
          <w:sz w:val="32"/>
          <w:szCs w:val="32"/>
        </w:rPr>
        <w:t>公共安全（类）公安（款）其他公安支出（项）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82.8</w:t>
      </w:r>
      <w:r>
        <w:rPr>
          <w:rStyle w:val="18"/>
          <w:rFonts w:hint="eastAsia" w:ascii="仿宋_GB2312" w:hAnsi="仿宋" w:eastAsia="仿宋_GB2312"/>
          <w:b w:val="0"/>
          <w:bCs/>
          <w:sz w:val="32"/>
          <w:szCs w:val="32"/>
        </w:rPr>
        <w:t>万元，完成预算</w:t>
      </w:r>
      <w:r>
        <w:rPr>
          <w:rFonts w:hint="eastAsia" w:ascii="仿宋_GB2312" w:hAnsi="宋体" w:eastAsia="仿宋_GB2312" w:cs="Arial"/>
          <w:kern w:val="0"/>
          <w:sz w:val="32"/>
          <w:szCs w:val="32"/>
        </w:rPr>
        <w:t>100%</w:t>
      </w:r>
      <w:r>
        <w:rPr>
          <w:rStyle w:val="18"/>
          <w:rFonts w:hint="eastAsia" w:ascii="仿宋_GB2312" w:eastAsia="仿宋_GB2312"/>
          <w:bCs/>
          <w:sz w:val="32"/>
          <w:szCs w:val="32"/>
        </w:rPr>
        <w:t>。</w:t>
      </w:r>
    </w:p>
    <w:p>
      <w:pPr>
        <w:ind w:firstLine="642" w:firstLineChars="200"/>
        <w:rPr>
          <w:rStyle w:val="18"/>
          <w:rFonts w:ascii="仿宋" w:hAnsi="仿宋" w:eastAsia="仿宋"/>
          <w:b w:val="0"/>
          <w:bCs/>
          <w:sz w:val="32"/>
          <w:szCs w:val="32"/>
        </w:rPr>
      </w:pPr>
      <w:r>
        <w:rPr>
          <w:rStyle w:val="18"/>
          <w:rFonts w:hint="eastAsia" w:ascii="仿宋" w:hAnsi="仿宋" w:eastAsia="仿宋"/>
          <w:bCs/>
          <w:sz w:val="32"/>
          <w:szCs w:val="32"/>
          <w:lang w:val="en-US" w:eastAsia="zh-CN"/>
        </w:rPr>
        <w:t>4</w:t>
      </w:r>
      <w:r>
        <w:rPr>
          <w:rStyle w:val="18"/>
          <w:rFonts w:hint="eastAsia" w:ascii="仿宋" w:hAnsi="仿宋" w:eastAsia="仿宋"/>
          <w:bCs/>
          <w:sz w:val="32"/>
          <w:szCs w:val="32"/>
        </w:rPr>
        <w:t>.社会保障和就业（类）行政事业单位养老支出（款）机关事业单位基本养老保险缴费支出（项）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lang w:val="en-US" w:eastAsia="zh-CN"/>
        </w:rPr>
        <w:t>41.03</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60"/>
        <w:rPr>
          <w:rStyle w:val="18"/>
          <w:rFonts w:ascii="仿宋" w:hAnsi="仿宋" w:eastAsia="仿宋"/>
          <w:b w:val="0"/>
          <w:bCs/>
          <w:sz w:val="32"/>
          <w:szCs w:val="32"/>
        </w:rPr>
      </w:pPr>
      <w:r>
        <w:rPr>
          <w:rStyle w:val="18"/>
          <w:rFonts w:hint="eastAsia" w:ascii="仿宋" w:hAnsi="仿宋" w:eastAsia="仿宋"/>
          <w:bCs/>
          <w:sz w:val="32"/>
          <w:szCs w:val="32"/>
          <w:lang w:val="en-US" w:eastAsia="zh-CN"/>
        </w:rPr>
        <w:t>5</w:t>
      </w:r>
      <w:r>
        <w:rPr>
          <w:rStyle w:val="18"/>
          <w:rFonts w:ascii="仿宋" w:hAnsi="仿宋" w:eastAsia="仿宋"/>
          <w:bCs/>
          <w:sz w:val="32"/>
          <w:szCs w:val="32"/>
        </w:rPr>
        <w:t>.</w:t>
      </w:r>
      <w:r>
        <w:rPr>
          <w:rStyle w:val="18"/>
          <w:rFonts w:hint="eastAsia" w:ascii="仿宋" w:hAnsi="仿宋" w:eastAsia="仿宋"/>
          <w:bCs/>
          <w:sz w:val="32"/>
          <w:szCs w:val="32"/>
        </w:rPr>
        <w:t>社会保障和就业（类）行政事业单位养老支出（款）机关事业单位职业年金缴费支出（项）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lang w:val="en-US" w:eastAsia="zh-CN"/>
        </w:rPr>
        <w:t>7.18</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42" w:firstLineChars="200"/>
        <w:rPr>
          <w:rFonts w:ascii="仿宋" w:hAnsi="仿宋" w:eastAsia="仿宋"/>
          <w:bCs/>
          <w:sz w:val="32"/>
          <w:szCs w:val="32"/>
        </w:rPr>
      </w:pPr>
      <w:r>
        <w:rPr>
          <w:rStyle w:val="18"/>
          <w:rFonts w:hint="eastAsia" w:ascii="仿宋" w:hAnsi="仿宋" w:eastAsia="仿宋"/>
          <w:bCs/>
          <w:sz w:val="32"/>
          <w:szCs w:val="32"/>
          <w:lang w:val="en-US" w:eastAsia="zh-CN"/>
        </w:rPr>
        <w:t>6</w:t>
      </w:r>
      <w:r>
        <w:rPr>
          <w:rStyle w:val="18"/>
          <w:rFonts w:ascii="仿宋" w:hAnsi="仿宋" w:eastAsia="仿宋"/>
          <w:bCs/>
          <w:sz w:val="32"/>
          <w:szCs w:val="32"/>
        </w:rPr>
        <w:t>.</w:t>
      </w:r>
      <w:r>
        <w:rPr>
          <w:rStyle w:val="18"/>
          <w:rFonts w:hint="eastAsia" w:ascii="仿宋" w:hAnsi="仿宋" w:eastAsia="仿宋"/>
          <w:bCs/>
          <w:sz w:val="32"/>
          <w:szCs w:val="32"/>
        </w:rPr>
        <w:t>社会保障和就业（类）抚恤（款）行政单位离退休（项）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lang w:val="en-US" w:eastAsia="zh-CN"/>
        </w:rPr>
        <w:t>2.64</w:t>
      </w:r>
      <w:r>
        <w:rPr>
          <w:rStyle w:val="18"/>
          <w:rFonts w:hint="eastAsia" w:ascii="仿宋" w:hAnsi="仿宋" w:eastAsia="仿宋"/>
          <w:b w:val="0"/>
          <w:bCs/>
          <w:sz w:val="32"/>
          <w:szCs w:val="32"/>
        </w:rPr>
        <w:t>万元，完成预算</w:t>
      </w:r>
      <w:r>
        <w:rPr>
          <w:rFonts w:hint="eastAsia" w:ascii="宋体" w:hAnsi="宋体" w:cs="Arial"/>
          <w:kern w:val="0"/>
          <w:sz w:val="32"/>
          <w:szCs w:val="32"/>
        </w:rPr>
        <w:t>100%</w:t>
      </w:r>
      <w:r>
        <w:rPr>
          <w:rStyle w:val="18"/>
          <w:rFonts w:hint="eastAsia" w:ascii="仿宋" w:hAnsi="仿宋" w:eastAsia="仿宋"/>
          <w:b w:val="0"/>
          <w:bCs/>
          <w:sz w:val="32"/>
          <w:szCs w:val="32"/>
        </w:rPr>
        <w:t>。</w:t>
      </w:r>
    </w:p>
    <w:p>
      <w:pPr>
        <w:ind w:firstLine="660"/>
        <w:rPr>
          <w:rStyle w:val="18"/>
          <w:rFonts w:ascii="仿宋" w:hAnsi="仿宋" w:eastAsia="仿宋"/>
          <w:b w:val="0"/>
          <w:bCs/>
          <w:sz w:val="32"/>
          <w:szCs w:val="32"/>
        </w:rPr>
      </w:pPr>
      <w:r>
        <w:rPr>
          <w:rStyle w:val="18"/>
          <w:rFonts w:hint="eastAsia" w:ascii="仿宋" w:hAnsi="仿宋" w:eastAsia="仿宋"/>
          <w:bCs/>
          <w:sz w:val="32"/>
          <w:szCs w:val="32"/>
          <w:lang w:val="en-US" w:eastAsia="zh-CN"/>
        </w:rPr>
        <w:t>7</w:t>
      </w:r>
      <w:r>
        <w:rPr>
          <w:rStyle w:val="18"/>
          <w:rFonts w:ascii="仿宋" w:hAnsi="仿宋" w:eastAsia="仿宋"/>
          <w:bCs/>
          <w:sz w:val="32"/>
          <w:szCs w:val="32"/>
        </w:rPr>
        <w:t>.</w:t>
      </w:r>
      <w:r>
        <w:rPr>
          <w:rStyle w:val="18"/>
          <w:rFonts w:hint="eastAsia" w:ascii="仿宋" w:hAnsi="仿宋" w:eastAsia="仿宋"/>
          <w:bCs/>
          <w:sz w:val="32"/>
          <w:szCs w:val="32"/>
        </w:rPr>
        <w:t>卫生健康支出（类）行政事业单位医疗（款）行政单位医疗（项）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lang w:val="en-US" w:eastAsia="zh-CN"/>
        </w:rPr>
        <w:t>15.55</w:t>
      </w:r>
      <w:r>
        <w:rPr>
          <w:rStyle w:val="18"/>
          <w:rFonts w:hint="eastAsia" w:ascii="仿宋" w:hAnsi="仿宋" w:eastAsia="仿宋"/>
          <w:b w:val="0"/>
          <w:bCs/>
          <w:sz w:val="32"/>
          <w:szCs w:val="32"/>
        </w:rPr>
        <w:t>万元，完成预算</w:t>
      </w:r>
      <w:r>
        <w:rPr>
          <w:rFonts w:hint="eastAsia" w:ascii="宋体" w:hAnsi="宋体" w:cs="Arial"/>
          <w:kern w:val="0"/>
          <w:sz w:val="32"/>
          <w:szCs w:val="32"/>
        </w:rPr>
        <w:t>100%</w:t>
      </w:r>
      <w:r>
        <w:rPr>
          <w:rStyle w:val="18"/>
          <w:rFonts w:hint="eastAsia" w:ascii="仿宋" w:hAnsi="仿宋" w:eastAsia="仿宋"/>
          <w:b w:val="0"/>
          <w:bCs/>
          <w:sz w:val="32"/>
          <w:szCs w:val="32"/>
        </w:rPr>
        <w:t>。</w:t>
      </w:r>
    </w:p>
    <w:p>
      <w:pPr>
        <w:spacing w:line="600" w:lineRule="exact"/>
        <w:ind w:firstLine="642" w:firstLineChars="200"/>
        <w:rPr>
          <w:rStyle w:val="21"/>
        </w:rPr>
      </w:pPr>
      <w:r>
        <w:rPr>
          <w:rStyle w:val="18"/>
          <w:rFonts w:hint="eastAsia" w:ascii="仿宋" w:hAnsi="仿宋" w:eastAsia="仿宋"/>
          <w:bCs/>
          <w:sz w:val="32"/>
          <w:szCs w:val="32"/>
        </w:rPr>
        <w:t>8</w:t>
      </w:r>
      <w:r>
        <w:rPr>
          <w:rStyle w:val="18"/>
          <w:rFonts w:ascii="仿宋" w:hAnsi="仿宋" w:eastAsia="仿宋"/>
          <w:bCs/>
          <w:sz w:val="32"/>
          <w:szCs w:val="32"/>
        </w:rPr>
        <w:t>.</w:t>
      </w:r>
      <w:r>
        <w:rPr>
          <w:rStyle w:val="18"/>
          <w:rFonts w:hint="eastAsia" w:ascii="仿宋" w:hAnsi="仿宋" w:eastAsia="仿宋"/>
          <w:bCs/>
          <w:sz w:val="32"/>
          <w:szCs w:val="32"/>
        </w:rPr>
        <w:t>住房保障支出（类）住房改革支出（款）住房公积金（项）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lang w:val="en-US" w:eastAsia="zh-CN"/>
        </w:rPr>
        <w:t>31.72</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tabs>
          <w:tab w:val="right" w:pos="8306"/>
        </w:tabs>
        <w:spacing w:line="600" w:lineRule="exact"/>
        <w:ind w:firstLine="640"/>
        <w:outlineLvl w:val="1"/>
        <w:rPr>
          <w:rStyle w:val="21"/>
          <w:color w:val="auto"/>
          <w:highlight w:val="none"/>
        </w:rPr>
      </w:pPr>
      <w:bookmarkStart w:id="49" w:name="_Toc30012"/>
      <w:bookmarkStart w:id="50" w:name="_Toc15377215"/>
      <w:bookmarkStart w:id="51" w:name="_Toc1642787012"/>
      <w:bookmarkStart w:id="52" w:name="_Toc1368516744"/>
      <w:bookmarkStart w:id="53" w:name="_Toc15396609"/>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9"/>
      <w:r>
        <w:rPr>
          <w:rStyle w:val="21"/>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val="en-US" w:eastAsia="zh-CN"/>
        </w:rPr>
        <w:t>439.98</w:t>
      </w:r>
      <w:r>
        <w:rPr>
          <w:rFonts w:hint="eastAsia" w:ascii="仿宋_GB2312" w:hAnsi="仿宋_GB2312" w:eastAsia="仿宋_GB2312" w:cs="仿宋_GB2312"/>
          <w:color w:val="auto"/>
          <w:sz w:val="32"/>
          <w:szCs w:val="32"/>
          <w:highlight w:val="none"/>
        </w:rPr>
        <w:t>万元，其中：</w:t>
      </w:r>
    </w:p>
    <w:p>
      <w:pPr>
        <w:keepNext w:val="0"/>
        <w:keepLines w:val="0"/>
        <w:pageBreakBefore w:val="0"/>
        <w:kinsoku/>
        <w:wordWrap/>
        <w:overflowPunct/>
        <w:topLinePunct w:val="0"/>
        <w:autoSpaceDE/>
        <w:autoSpaceDN/>
        <w:bidi w:val="0"/>
        <w:adjustRightInd/>
        <w:snapToGrid/>
        <w:spacing w:line="600" w:lineRule="exact"/>
        <w:ind w:firstLine="640" w:firstLineChars="200"/>
        <w:jc w:val="both"/>
        <w:outlineLvl w:val="1"/>
        <w:rPr>
          <w:rFonts w:hint="eastAsia" w:ascii="华文仿宋" w:hAnsi="华文仿宋" w:eastAsia="华文仿宋" w:cs="华文仿宋"/>
          <w:sz w:val="32"/>
          <w:szCs w:val="32"/>
        </w:rPr>
      </w:pPr>
      <w:bookmarkStart w:id="54" w:name="_Toc6543"/>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387.68</w:t>
      </w:r>
      <w:r>
        <w:rPr>
          <w:rFonts w:hint="eastAsia" w:ascii="仿宋_GB2312" w:hAnsi="仿宋_GB2312" w:eastAsia="仿宋_GB2312" w:cs="仿宋_GB2312"/>
          <w:color w:val="auto"/>
          <w:sz w:val="32"/>
          <w:szCs w:val="32"/>
          <w:highlight w:val="none"/>
        </w:rPr>
        <w:t>万元，主要包括：</w:t>
      </w:r>
      <w:r>
        <w:rPr>
          <w:rFonts w:hint="eastAsia" w:ascii="华文仿宋" w:hAnsi="华文仿宋" w:eastAsia="华文仿宋" w:cs="华文仿宋"/>
          <w:sz w:val="32"/>
          <w:szCs w:val="32"/>
        </w:rPr>
        <w:t>基本工资、津贴补贴、奖金、机关事业单位基本养老保险缴费、职业年金缴费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职工基本医疗保险缴费、其他社会保障缴费、住房公积金</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其他工资福利支出</w:t>
      </w:r>
      <w:r>
        <w:rPr>
          <w:rFonts w:hint="default" w:ascii="华文仿宋" w:hAnsi="华文仿宋" w:eastAsia="华文仿宋" w:cs="华文仿宋"/>
          <w:sz w:val="32"/>
          <w:szCs w:val="32"/>
        </w:rPr>
        <w:t>、生活补助</w:t>
      </w:r>
      <w:r>
        <w:rPr>
          <w:rFonts w:hint="eastAsia" w:ascii="华文仿宋" w:hAnsi="华文仿宋" w:eastAsia="华文仿宋" w:cs="华文仿宋"/>
          <w:sz w:val="32"/>
          <w:szCs w:val="32"/>
        </w:rPr>
        <w:t>。</w:t>
      </w:r>
      <w:bookmarkEnd w:id="54"/>
    </w:p>
    <w:p>
      <w:pPr>
        <w:keepNext w:val="0"/>
        <w:keepLines w:val="0"/>
        <w:pageBreakBefore w:val="0"/>
        <w:kinsoku/>
        <w:wordWrap/>
        <w:overflowPunct/>
        <w:topLinePunct w:val="0"/>
        <w:autoSpaceDE/>
        <w:autoSpaceDN/>
        <w:bidi w:val="0"/>
        <w:adjustRightInd/>
        <w:snapToGrid/>
        <w:spacing w:line="600" w:lineRule="exact"/>
        <w:ind w:firstLine="640" w:firstLineChars="200"/>
        <w:jc w:val="both"/>
        <w:outlineLvl w:val="1"/>
        <w:rPr>
          <w:rFonts w:ascii="华文仿宋" w:hAnsi="华文仿宋" w:eastAsia="华文仿宋" w:cs="华文仿宋"/>
          <w:sz w:val="32"/>
          <w:szCs w:val="32"/>
        </w:rPr>
      </w:pPr>
      <w:bookmarkStart w:id="55" w:name="_Toc12165"/>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52.3</w:t>
      </w:r>
      <w:r>
        <w:rPr>
          <w:rFonts w:hint="eastAsia" w:ascii="仿宋_GB2312" w:hAnsi="仿宋_GB2312" w:eastAsia="仿宋_GB2312" w:cs="仿宋_GB2312"/>
          <w:color w:val="auto"/>
          <w:sz w:val="32"/>
          <w:szCs w:val="32"/>
          <w:highlight w:val="none"/>
        </w:rPr>
        <w:t>万元，主要包括：</w:t>
      </w:r>
      <w:r>
        <w:rPr>
          <w:rFonts w:hint="eastAsia" w:ascii="华文仿宋" w:hAnsi="华文仿宋" w:eastAsia="华文仿宋" w:cs="华文仿宋"/>
          <w:sz w:val="32"/>
          <w:szCs w:val="32"/>
        </w:rPr>
        <w:t>办公费、</w:t>
      </w:r>
      <w:r>
        <w:rPr>
          <w:rFonts w:hint="eastAsia" w:ascii="华文仿宋" w:hAnsi="华文仿宋" w:eastAsia="华文仿宋" w:cs="华文仿宋"/>
          <w:sz w:val="32"/>
          <w:szCs w:val="32"/>
          <w:lang w:val="en-US" w:eastAsia="zh-CN"/>
        </w:rPr>
        <w:t>印刷费、</w:t>
      </w:r>
      <w:r>
        <w:rPr>
          <w:rFonts w:hint="eastAsia" w:ascii="华文仿宋" w:hAnsi="华文仿宋" w:eastAsia="华文仿宋" w:cs="华文仿宋"/>
          <w:sz w:val="32"/>
          <w:szCs w:val="32"/>
        </w:rPr>
        <w:t>水费、物业管理费、差旅费、维修（护）费、</w:t>
      </w:r>
      <w:r>
        <w:rPr>
          <w:rFonts w:hint="eastAsia" w:ascii="华文仿宋" w:hAnsi="华文仿宋" w:eastAsia="华文仿宋" w:cs="华文仿宋"/>
          <w:sz w:val="32"/>
          <w:szCs w:val="32"/>
          <w:lang w:val="en-US" w:eastAsia="zh-CN"/>
        </w:rPr>
        <w:t>公务接待费、专用材料费、</w:t>
      </w:r>
      <w:r>
        <w:rPr>
          <w:rFonts w:hint="eastAsia" w:ascii="华文仿宋" w:hAnsi="华文仿宋" w:eastAsia="华文仿宋" w:cs="华文仿宋"/>
          <w:sz w:val="32"/>
          <w:szCs w:val="32"/>
        </w:rPr>
        <w:t>工会经费、福利费、公务用车运行维护费、其他交通费</w:t>
      </w:r>
      <w:r>
        <w:rPr>
          <w:rFonts w:hint="eastAsia" w:ascii="华文仿宋" w:hAnsi="华文仿宋" w:eastAsia="华文仿宋" w:cs="华文仿宋"/>
          <w:sz w:val="32"/>
          <w:szCs w:val="32"/>
          <w:lang w:val="en-US" w:eastAsia="zh-CN"/>
        </w:rPr>
        <w:t>用</w:t>
      </w:r>
      <w:r>
        <w:rPr>
          <w:rFonts w:hint="eastAsia" w:ascii="华文仿宋" w:hAnsi="华文仿宋" w:eastAsia="华文仿宋" w:cs="华文仿宋"/>
          <w:sz w:val="32"/>
          <w:szCs w:val="32"/>
        </w:rPr>
        <w:t>、其他商品和服务支出</w:t>
      </w:r>
      <w:r>
        <w:rPr>
          <w:rFonts w:hint="default" w:ascii="华文仿宋" w:hAnsi="华文仿宋" w:eastAsia="华文仿宋" w:cs="华文仿宋"/>
          <w:sz w:val="32"/>
          <w:szCs w:val="32"/>
        </w:rPr>
        <w:t>、办公设备购置</w:t>
      </w:r>
      <w:r>
        <w:rPr>
          <w:rFonts w:hint="eastAsia" w:ascii="华文仿宋" w:hAnsi="华文仿宋" w:eastAsia="华文仿宋" w:cs="华文仿宋"/>
          <w:sz w:val="32"/>
          <w:szCs w:val="32"/>
        </w:rPr>
        <w:t>。</w:t>
      </w:r>
      <w:bookmarkEnd w:id="55"/>
    </w:p>
    <w:bookmarkEnd w:id="50"/>
    <w:bookmarkEnd w:id="51"/>
    <w:bookmarkEnd w:id="52"/>
    <w:bookmarkEnd w:id="53"/>
    <w:p>
      <w:pPr>
        <w:spacing w:line="600" w:lineRule="exact"/>
        <w:ind w:firstLine="640"/>
        <w:outlineLvl w:val="1"/>
        <w:rPr>
          <w:rStyle w:val="21"/>
          <w:rFonts w:ascii="黑体" w:hAnsi="黑体" w:eastAsia="黑体"/>
          <w:b w:val="0"/>
          <w:color w:val="auto"/>
          <w:highlight w:val="none"/>
        </w:rPr>
      </w:pPr>
      <w:bookmarkStart w:id="56" w:name="_Toc27461"/>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56"/>
    </w:p>
    <w:p>
      <w:pPr>
        <w:spacing w:line="600" w:lineRule="exact"/>
        <w:ind w:firstLine="64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（一）“三公”经费财政拨款支出决算总体情况说明</w:t>
      </w:r>
    </w:p>
    <w:p>
      <w:pPr>
        <w:spacing w:line="600" w:lineRule="exact"/>
        <w:ind w:firstLine="640"/>
        <w:rPr>
          <w:rFonts w:ascii="仿宋" w:hAnsi="仿宋" w:eastAsia="仿宋"/>
          <w:sz w:val="32"/>
          <w:szCs w:val="32"/>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9.99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96.06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较上年度增加</w:t>
      </w:r>
      <w:r>
        <w:rPr>
          <w:rFonts w:hint="eastAsia" w:ascii="仿宋_GB2312" w:hAnsi="仿宋_GB2312" w:eastAsia="仿宋_GB2312" w:cs="仿宋_GB2312"/>
          <w:color w:val="auto"/>
          <w:sz w:val="32"/>
          <w:szCs w:val="32"/>
          <w:highlight w:val="none"/>
          <w:lang w:val="en-US" w:eastAsia="zh-CN"/>
        </w:rPr>
        <w:t>1.55万元，增长18.36%。</w:t>
      </w:r>
      <w:r>
        <w:rPr>
          <w:rFonts w:hint="eastAsia" w:ascii="仿宋_GB2312" w:hAnsi="仿宋_GB2312" w:eastAsia="仿宋_GB2312" w:cs="仿宋_GB2312"/>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lang w:val="en-US" w:eastAsia="zh-CN"/>
        </w:rPr>
        <w:t>厉行节约，压减支出</w:t>
      </w:r>
      <w:r>
        <w:rPr>
          <w:rFonts w:hint="eastAsia" w:ascii="仿宋_GB2312" w:hAnsi="仿宋_GB2312" w:eastAsia="仿宋_GB2312" w:cs="仿宋_GB2312"/>
          <w:color w:val="auto"/>
          <w:sz w:val="32"/>
          <w:szCs w:val="32"/>
          <w:highlight w:val="none"/>
        </w:rPr>
        <w:t>。</w:t>
      </w:r>
    </w:p>
    <w:p>
      <w:pPr>
        <w:spacing w:line="600" w:lineRule="exact"/>
        <w:ind w:firstLine="64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（二）“三公”经费财政拨款支出决算具体情况说明</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98.09</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1.91</w:t>
      </w:r>
      <w:r>
        <w:rPr>
          <w:rFonts w:hint="eastAsia" w:ascii="仿宋_GB2312" w:hAnsi="仿宋_GB2312" w:eastAsia="仿宋_GB2312" w:cs="仿宋_GB2312"/>
          <w:color w:val="auto"/>
          <w:sz w:val="32"/>
          <w:szCs w:val="32"/>
          <w:highlight w:val="none"/>
        </w:rPr>
        <w:t>%。具体情况如下：</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（图7：“三公”经费财政拨款支出结构）（饼状图）</w:t>
      </w:r>
    </w:p>
    <w:p>
      <w:pPr>
        <w:pStyle w:val="6"/>
        <w:spacing w:before="93"/>
      </w:pPr>
      <w:r>
        <w:drawing>
          <wp:inline distT="0" distB="0" distL="0" distR="0">
            <wp:extent cx="5274310" cy="2402840"/>
            <wp:effectExtent l="19050" t="0" r="21590" b="0"/>
            <wp:docPr id="24" name="对象 24"/>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numPr>
          <w:ilvl w:val="0"/>
          <w:numId w:val="0"/>
        </w:numPr>
        <w:spacing w:line="600" w:lineRule="exact"/>
        <w:ind w:firstLine="642" w:firstLineChars="200"/>
        <w:rPr>
          <w:rFonts w:hint="eastAsia" w:ascii="仿宋_GB2312" w:eastAsia="仿宋_GB2312"/>
          <w:b/>
          <w:sz w:val="32"/>
          <w:szCs w:val="32"/>
          <w:lang w:val="en-US" w:eastAsia="zh-CN"/>
        </w:rPr>
        <w:sectPr>
          <w:headerReference r:id="rId17" w:type="default"/>
          <w:pgSz w:w="11906" w:h="16838"/>
          <w:pgMar w:top="1440" w:right="1800" w:bottom="1440" w:left="1800" w:header="851" w:footer="992" w:gutter="0"/>
          <w:pgNumType w:fmt="decimal"/>
          <w:cols w:space="425" w:num="1"/>
          <w:docGrid w:type="lines" w:linePitch="312" w:charSpace="0"/>
        </w:sectPr>
      </w:pPr>
    </w:p>
    <w:p>
      <w:pPr>
        <w:numPr>
          <w:ilvl w:val="0"/>
          <w:numId w:val="0"/>
        </w:numPr>
        <w:spacing w:line="600" w:lineRule="exact"/>
        <w:ind w:firstLine="642" w:firstLineChars="200"/>
        <w:rPr>
          <w:rFonts w:hint="eastAsia" w:ascii="仿宋_GB2312" w:eastAsia="仿宋_GB2312"/>
          <w:sz w:val="32"/>
          <w:szCs w:val="32"/>
        </w:rPr>
      </w:pPr>
      <w:r>
        <w:rPr>
          <w:rFonts w:hint="eastAsia" w:ascii="仿宋_GB2312" w:eastAsia="仿宋_GB2312"/>
          <w:b/>
          <w:sz w:val="32"/>
          <w:szCs w:val="32"/>
          <w:lang w:val="en-US" w:eastAsia="zh-CN"/>
        </w:rPr>
        <w:t>1.</w:t>
      </w:r>
      <w:r>
        <w:rPr>
          <w:rFonts w:hint="eastAsia" w:ascii="仿宋_GB2312" w:eastAsia="仿宋_GB2312"/>
          <w:b/>
          <w:sz w:val="32"/>
          <w:szCs w:val="32"/>
        </w:rPr>
        <w:t>因公出国（境）经费支出</w:t>
      </w:r>
      <w:r>
        <w:rPr>
          <w:rFonts w:hint="eastAsia" w:ascii="仿宋_GB2312" w:eastAsia="仿宋_GB2312"/>
          <w:sz w:val="32"/>
          <w:szCs w:val="32"/>
        </w:rPr>
        <w:t>0万元，年初未安排预算，因公出国（境）支出决算较202</w:t>
      </w:r>
      <w:r>
        <w:rPr>
          <w:rFonts w:hint="eastAsia" w:ascii="仿宋_GB2312" w:eastAsia="仿宋_GB2312"/>
          <w:sz w:val="32"/>
          <w:szCs w:val="32"/>
          <w:lang w:val="en-US" w:eastAsia="zh-CN"/>
        </w:rPr>
        <w:t>2</w:t>
      </w:r>
      <w:r>
        <w:rPr>
          <w:rFonts w:hint="eastAsia" w:ascii="仿宋_GB2312" w:eastAsia="仿宋_GB2312"/>
          <w:sz w:val="32"/>
          <w:szCs w:val="32"/>
        </w:rPr>
        <w:t>年无变化。</w:t>
      </w:r>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Style w:val="18"/>
          <w:rFonts w:hint="eastAsia" w:ascii="仿宋_GB2312" w:hAnsi="仿宋_GB2312" w:eastAsia="仿宋_GB2312" w:cs="仿宋_GB2312"/>
          <w:b w:val="0"/>
          <w:bCs/>
          <w:color w:val="auto"/>
          <w:sz w:val="32"/>
          <w:szCs w:val="32"/>
          <w:highlight w:val="none"/>
        </w:rPr>
        <w:t>完成预算</w:t>
      </w:r>
      <w:r>
        <w:rPr>
          <w:rStyle w:val="18"/>
          <w:rFonts w:hint="eastAsia" w:ascii="仿宋_GB2312" w:hAnsi="仿宋_GB2312" w:eastAsia="仿宋_GB2312" w:cs="仿宋_GB2312"/>
          <w:b w:val="0"/>
          <w:bCs/>
          <w:color w:val="auto"/>
          <w:sz w:val="32"/>
          <w:szCs w:val="32"/>
          <w:highlight w:val="none"/>
          <w:lang w:val="en-US" w:eastAsia="zh-CN"/>
        </w:rPr>
        <w:t>98</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公务用车购置及运行维护费支出决算比</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1.36</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16.11</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sz w:val="32"/>
          <w:szCs w:val="32"/>
          <w:highlight w:val="none"/>
          <w:lang w:eastAsia="zh-CN"/>
        </w:rPr>
        <w:t>原因是</w:t>
      </w:r>
      <w:r>
        <w:rPr>
          <w:rFonts w:hint="eastAsia" w:ascii="仿宋_GB2312" w:eastAsia="仿宋_GB2312"/>
          <w:sz w:val="32"/>
          <w:szCs w:val="32"/>
        </w:rPr>
        <w:t>车辆老化，维修费增加</w:t>
      </w:r>
      <w:r>
        <w:rPr>
          <w:rFonts w:hint="eastAsia" w:ascii="仿宋_GB2312" w:hAnsi="仿宋_GB2312" w:eastAsia="仿宋_GB2312" w:cs="仿宋_GB2312"/>
          <w:color w:val="auto"/>
          <w:sz w:val="32"/>
          <w:szCs w:val="32"/>
          <w:highlight w:val="none"/>
        </w:rPr>
        <w:t>。</w:t>
      </w:r>
    </w:p>
    <w:p>
      <w:pPr>
        <w:spacing w:line="600" w:lineRule="exact"/>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万元。截至</w:t>
      </w: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辆、越野车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辆、载客汽车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sz w:val="32"/>
          <w:szCs w:val="32"/>
        </w:rPr>
        <w:t>其他车型1辆</w:t>
      </w:r>
      <w:r>
        <w:rPr>
          <w:rFonts w:hint="eastAsia" w:ascii="仿宋_GB2312" w:hAnsi="仿宋_GB2312" w:eastAsia="仿宋_GB2312" w:cs="仿宋_GB2312"/>
          <w:color w:val="auto"/>
          <w:sz w:val="32"/>
          <w:szCs w:val="32"/>
          <w:highlight w:val="none"/>
        </w:rPr>
        <w:t>。</w:t>
      </w:r>
    </w:p>
    <w:p>
      <w:pPr>
        <w:spacing w:line="600" w:lineRule="exact"/>
        <w:ind w:firstLine="640"/>
        <w:rPr>
          <w:rFonts w:ascii="仿宋_GB2312" w:eastAsia="仿宋_GB2312"/>
          <w:sz w:val="32"/>
          <w:szCs w:val="32"/>
        </w:rPr>
      </w:pPr>
      <w:r>
        <w:rPr>
          <w:rFonts w:hint="eastAsia" w:ascii="仿宋_GB2312" w:hAnsi="仿宋_GB2312" w:eastAsia="仿宋_GB2312" w:cs="仿宋_GB2312"/>
          <w:b/>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rPr>
        <w:t>万元。</w:t>
      </w:r>
      <w:r>
        <w:rPr>
          <w:rFonts w:hint="eastAsia" w:ascii="仿宋_GB2312" w:eastAsia="仿宋_GB2312"/>
          <w:sz w:val="32"/>
          <w:szCs w:val="32"/>
        </w:rPr>
        <w:t>主要用于执法办案、治安巡逻、抓捕罪犯</w:t>
      </w:r>
      <w:r>
        <w:rPr>
          <w:rFonts w:hint="eastAsia" w:ascii="仿宋_GB2312" w:eastAsia="仿宋_GB2312"/>
          <w:sz w:val="32"/>
          <w:szCs w:val="32"/>
          <w:lang w:eastAsia="zh-CN"/>
        </w:rPr>
        <w:t>、</w:t>
      </w:r>
      <w:r>
        <w:rPr>
          <w:rFonts w:hint="eastAsia" w:ascii="仿宋_GB2312" w:eastAsia="仿宋_GB2312"/>
          <w:sz w:val="32"/>
          <w:szCs w:val="32"/>
          <w:lang w:val="en-US" w:eastAsia="zh-CN"/>
        </w:rPr>
        <w:t>乡村振兴</w:t>
      </w:r>
      <w:r>
        <w:rPr>
          <w:rFonts w:hint="eastAsia" w:ascii="仿宋_GB2312" w:eastAsia="仿宋_GB2312"/>
          <w:sz w:val="32"/>
          <w:szCs w:val="32"/>
        </w:rPr>
        <w:t>等</w:t>
      </w:r>
      <w:r>
        <w:rPr>
          <w:rFonts w:hint="eastAsia" w:ascii="仿宋_GB2312" w:eastAsia="仿宋_GB2312"/>
          <w:sz w:val="32"/>
          <w:szCs w:val="32"/>
          <w:lang w:val="en-US" w:eastAsia="zh-CN"/>
        </w:rPr>
        <w:t>工作</w:t>
      </w:r>
      <w:r>
        <w:rPr>
          <w:rFonts w:hint="eastAsia" w:ascii="仿宋_GB2312" w:eastAsia="仿宋_GB2312"/>
          <w:sz w:val="32"/>
          <w:szCs w:val="32"/>
        </w:rPr>
        <w:t>所需的燃料费、维修费、过路过桥费、保险费等支出。</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w:t>
      </w:r>
      <w:r>
        <w:rPr>
          <w:rStyle w:val="18"/>
          <w:rFonts w:hint="eastAsia" w:ascii="仿宋_GB2312" w:hAnsi="仿宋_GB2312" w:eastAsia="仿宋_GB2312" w:cs="仿宋_GB2312"/>
          <w:b w:val="0"/>
          <w:bCs/>
          <w:color w:val="auto"/>
          <w:sz w:val="32"/>
          <w:szCs w:val="32"/>
          <w:highlight w:val="none"/>
        </w:rPr>
        <w:t>完成预算</w:t>
      </w:r>
      <w:r>
        <w:rPr>
          <w:rStyle w:val="18"/>
          <w:rFonts w:hint="eastAsia" w:ascii="仿宋_GB2312" w:hAnsi="仿宋_GB2312" w:eastAsia="仿宋_GB2312" w:cs="仿宋_GB2312"/>
          <w:b w:val="0"/>
          <w:bCs/>
          <w:color w:val="auto"/>
          <w:sz w:val="32"/>
          <w:szCs w:val="32"/>
          <w:highlight w:val="none"/>
          <w:lang w:val="en-US" w:eastAsia="zh-CN"/>
        </w:rPr>
        <w:t>47.5</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公务接待费支出决算比</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190</w:t>
      </w:r>
      <w:r>
        <w:rPr>
          <w:rFonts w:hint="eastAsia" w:ascii="仿宋_GB2312" w:hAnsi="仿宋_GB2312" w:eastAsia="仿宋_GB2312" w:cs="仿宋_GB2312"/>
          <w:color w:val="auto"/>
          <w:sz w:val="32"/>
          <w:szCs w:val="32"/>
          <w:highlight w:val="none"/>
        </w:rPr>
        <w:t>%。主要原因是</w:t>
      </w:r>
      <w:r>
        <w:rPr>
          <w:rFonts w:hint="eastAsia" w:ascii="华文仿宋" w:hAnsi="华文仿宋" w:eastAsia="华文仿宋" w:cs="华文仿宋"/>
          <w:sz w:val="32"/>
          <w:szCs w:val="32"/>
        </w:rPr>
        <w:t>来机场学习、考察、交流频次增加</w:t>
      </w: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国内公务接待支出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万元，主要用于执行公务、开展业务活动开支的用餐费等。国内公务接待</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万元，具体内容包括：</w:t>
      </w:r>
      <w:r>
        <w:rPr>
          <w:rFonts w:hint="eastAsia" w:ascii="仿宋_GB2312" w:hAnsi="仿宋_GB2312" w:eastAsia="仿宋_GB2312" w:cs="仿宋_GB2312"/>
          <w:sz w:val="32"/>
          <w:szCs w:val="32"/>
        </w:rPr>
        <w:t>其他市州交流考察</w:t>
      </w:r>
      <w:r>
        <w:rPr>
          <w:rFonts w:hint="eastAsia" w:ascii="仿宋_GB2312" w:hAnsi="仿宋_GB2312" w:eastAsia="仿宋_GB2312" w:cs="仿宋_GB2312"/>
          <w:sz w:val="32"/>
          <w:szCs w:val="32"/>
          <w:lang w:val="en-US" w:eastAsia="zh-CN"/>
        </w:rPr>
        <w:t>接待餐费</w:t>
      </w:r>
      <w:r>
        <w:rPr>
          <w:rFonts w:hint="eastAsia" w:ascii="仿宋_GB2312" w:hAnsi="仿宋_GB2312" w:eastAsia="仿宋_GB2312" w:cs="仿宋_GB2312"/>
          <w:color w:val="auto"/>
          <w:sz w:val="32"/>
          <w:szCs w:val="32"/>
          <w:highlight w:val="none"/>
        </w:rPr>
        <w:t>。</w:t>
      </w:r>
    </w:p>
    <w:p>
      <w:pPr>
        <w:spacing w:line="600" w:lineRule="exact"/>
        <w:ind w:firstLine="642"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外事接待支出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万元，外事接待</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批次，共计支出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spacing w:line="600" w:lineRule="exact"/>
        <w:ind w:firstLine="640" w:firstLineChars="200"/>
        <w:outlineLvl w:val="1"/>
        <w:rPr>
          <w:rStyle w:val="21"/>
          <w:rFonts w:ascii="黑体" w:hAnsi="黑体" w:eastAsia="黑体"/>
          <w:color w:val="auto"/>
          <w:highlight w:val="none"/>
        </w:rPr>
      </w:pPr>
      <w:bookmarkStart w:id="57" w:name="_Toc27594"/>
      <w:bookmarkStart w:id="58" w:name="_Toc1452866108"/>
      <w:bookmarkStart w:id="59" w:name="_Toc15377221"/>
      <w:bookmarkStart w:id="60" w:name="_Toc190113271"/>
      <w:bookmarkStart w:id="61" w:name="_Toc15396612"/>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57"/>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Style w:val="21"/>
          <w:rFonts w:hint="eastAsia" w:ascii="黑体" w:hAnsi="黑体" w:eastAsia="黑体"/>
          <w:b w:val="0"/>
          <w:color w:val="auto"/>
          <w:highlight w:val="none"/>
          <w:lang w:eastAsia="zh-CN"/>
        </w:rPr>
        <w:sectPr>
          <w:headerReference r:id="rId18"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1"/>
          <w:rFonts w:ascii="黑体" w:hAnsi="黑体" w:eastAsia="黑体"/>
          <w:b w:val="0"/>
          <w:color w:val="auto"/>
          <w:highlight w:val="none"/>
        </w:rPr>
      </w:pPr>
      <w:bookmarkStart w:id="62" w:name="_Toc2267"/>
      <w:r>
        <w:rPr>
          <w:rStyle w:val="21"/>
          <w:rFonts w:hint="eastAsia" w:ascii="黑体" w:hAnsi="黑体" w:eastAsia="黑体"/>
          <w:b w:val="0"/>
          <w:color w:val="auto"/>
          <w:highlight w:val="none"/>
          <w:lang w:eastAsia="zh-CN"/>
        </w:rPr>
        <w:t>九、</w:t>
      </w:r>
      <w:r>
        <w:rPr>
          <w:rStyle w:val="21"/>
          <w:rFonts w:hint="eastAsia" w:ascii="黑体" w:hAnsi="黑体" w:eastAsia="黑体"/>
          <w:b w:val="0"/>
          <w:color w:val="auto"/>
          <w:highlight w:val="none"/>
        </w:rPr>
        <w:t>国有资本经营预算支出决算情况说明</w:t>
      </w:r>
      <w:bookmarkEnd w:id="62"/>
    </w:p>
    <w:p>
      <w:pPr>
        <w:numPr>
          <w:ilvl w:val="0"/>
          <w:numId w:val="0"/>
        </w:numPr>
        <w:spacing w:line="600" w:lineRule="exact"/>
        <w:ind w:firstLine="640" w:firstLineChars="200"/>
        <w:outlineLvl w:val="1"/>
        <w:rPr>
          <w:rFonts w:hint="eastAsia" w:ascii="仿宋_GB2312" w:eastAsia="仿宋_GB2312"/>
          <w:color w:val="auto"/>
          <w:sz w:val="32"/>
          <w:szCs w:val="32"/>
          <w:highlight w:val="none"/>
        </w:rPr>
      </w:pPr>
      <w:bookmarkStart w:id="63" w:name="_Toc26620"/>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bookmarkEnd w:id="63"/>
    </w:p>
    <w:bookmarkEnd w:id="58"/>
    <w:bookmarkEnd w:id="59"/>
    <w:bookmarkEnd w:id="60"/>
    <w:bookmarkEnd w:id="61"/>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1"/>
          <w:rFonts w:hint="eastAsia" w:ascii="黑体" w:hAnsi="黑体" w:eastAsia="黑体"/>
          <w:b w:val="0"/>
          <w:color w:val="auto"/>
          <w:highlight w:val="none"/>
        </w:rPr>
      </w:pPr>
      <w:bookmarkStart w:id="64" w:name="_Toc12558"/>
      <w:bookmarkStart w:id="65" w:name="_Toc15377223"/>
      <w:bookmarkStart w:id="66" w:name="_Toc1908269219"/>
      <w:r>
        <w:rPr>
          <w:rStyle w:val="21"/>
          <w:rFonts w:hint="eastAsia" w:ascii="黑体" w:hAnsi="黑体" w:eastAsia="黑体"/>
          <w:b w:val="0"/>
          <w:color w:val="auto"/>
          <w:highlight w:val="none"/>
          <w:lang w:eastAsia="zh-CN"/>
        </w:rPr>
        <w:t>十、</w:t>
      </w:r>
      <w:r>
        <w:rPr>
          <w:rStyle w:val="21"/>
          <w:rFonts w:hint="eastAsia" w:ascii="黑体" w:hAnsi="黑体" w:eastAsia="黑体"/>
          <w:b w:val="0"/>
          <w:color w:val="auto"/>
          <w:highlight w:val="none"/>
        </w:rPr>
        <w:t>其他重要事项的情况说明</w:t>
      </w:r>
      <w:bookmarkEnd w:id="64"/>
    </w:p>
    <w:p>
      <w:pPr>
        <w:spacing w:line="600" w:lineRule="exact"/>
        <w:ind w:firstLine="642"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pPr>
        <w:spacing w:line="600" w:lineRule="exact"/>
        <w:ind w:firstLine="640" w:firstLineChars="200"/>
        <w:rPr>
          <w:rFonts w:ascii="仿宋" w:hAnsi="仿宋" w:eastAsia="仿宋"/>
          <w:sz w:val="32"/>
          <w:szCs w:val="32"/>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广元市公安局机场分局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52.3</w:t>
      </w:r>
      <w:r>
        <w:rPr>
          <w:rFonts w:hint="eastAsia" w:ascii="仿宋_GB2312" w:eastAsia="仿宋_GB2312"/>
          <w:color w:val="auto"/>
          <w:sz w:val="32"/>
          <w:szCs w:val="32"/>
          <w:highlight w:val="none"/>
        </w:rPr>
        <w:t>万元，比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10.34</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24.64</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 w:hAnsi="仿宋" w:eastAsia="仿宋"/>
          <w:sz w:val="32"/>
          <w:szCs w:val="32"/>
        </w:rPr>
        <w:t>主要变动原因是</w:t>
      </w:r>
      <w:r>
        <w:rPr>
          <w:rFonts w:hint="eastAsia" w:ascii="仿宋" w:hAnsi="仿宋" w:eastAsia="仿宋"/>
          <w:sz w:val="32"/>
          <w:szCs w:val="32"/>
          <w:lang w:eastAsia="zh-CN"/>
        </w:rPr>
        <w:t>机关运行成本增加</w:t>
      </w:r>
      <w:r>
        <w:rPr>
          <w:rFonts w:hint="eastAsia" w:ascii="仿宋" w:hAnsi="仿宋" w:eastAsia="仿宋"/>
          <w:sz w:val="32"/>
          <w:szCs w:val="32"/>
          <w:lang w:val="en-US" w:eastAsia="zh-CN"/>
        </w:rPr>
        <w:t>。</w:t>
      </w:r>
    </w:p>
    <w:bookmarkEnd w:id="65"/>
    <w:bookmarkEnd w:id="66"/>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7" w:name="_Toc369854974"/>
      <w:bookmarkStart w:id="68" w:name="_Toc15377224"/>
      <w:r>
        <w:rPr>
          <w:rFonts w:hint="eastAsia" w:ascii="仿宋" w:hAnsi="仿宋" w:eastAsia="仿宋"/>
          <w:b/>
          <w:color w:val="auto"/>
          <w:sz w:val="32"/>
          <w:szCs w:val="32"/>
          <w:highlight w:val="none"/>
        </w:rPr>
        <w:t>（二）政府采购支出情况</w:t>
      </w:r>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广元市公安局机场分局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bookmarkEnd w:id="67"/>
    <w:bookmarkEnd w:id="68"/>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9" w:name="_Toc504506121"/>
      <w:r>
        <w:rPr>
          <w:rFonts w:hint="eastAsia" w:ascii="仿宋" w:hAnsi="仿宋" w:eastAsia="仿宋"/>
          <w:b/>
          <w:color w:val="auto"/>
          <w:sz w:val="32"/>
          <w:szCs w:val="32"/>
          <w:highlight w:val="none"/>
        </w:rPr>
        <w:t>（三）国有资产占有使用情况</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both"/>
        <w:textAlignment w:val="auto"/>
        <w:rPr>
          <w:rFonts w:ascii="仿宋_GB2312" w:eastAsia="仿宋_GB2312"/>
          <w:sz w:val="32"/>
          <w:szCs w:val="32"/>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广元市公安局机场分局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w:t>
      </w:r>
      <w:r>
        <w:rPr>
          <w:rFonts w:hint="eastAsia" w:ascii="华文仿宋" w:hAnsi="华文仿宋" w:eastAsia="华文仿宋" w:cs="华文仿宋"/>
          <w:sz w:val="32"/>
          <w:szCs w:val="32"/>
        </w:rPr>
        <w:t>执法执勤用车5辆、特种专业技术用车1辆，单价50万元以上通用设备1台（套）、单价100万元以上专用设备0（套）。</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lang w:eastAsia="zh-CN"/>
        </w:rPr>
        <w:t>（</w:t>
      </w:r>
      <w:r>
        <w:rPr>
          <w:rFonts w:hint="eastAsia" w:ascii="仿宋" w:hAnsi="仿宋" w:eastAsia="仿宋"/>
          <w:b/>
          <w:sz w:val="32"/>
          <w:szCs w:val="32"/>
        </w:rPr>
        <w:t>四</w:t>
      </w:r>
      <w:r>
        <w:rPr>
          <w:rFonts w:hint="eastAsia" w:ascii="仿宋" w:hAnsi="仿宋" w:eastAsia="仿宋"/>
          <w:b/>
          <w:sz w:val="32"/>
          <w:szCs w:val="32"/>
          <w:lang w:eastAsia="zh-CN"/>
        </w:rPr>
        <w:t>）</w:t>
      </w:r>
      <w:r>
        <w:rPr>
          <w:rFonts w:hint="eastAsia" w:ascii="仿宋" w:hAnsi="仿宋" w:eastAsia="仿宋"/>
          <w:b/>
          <w:sz w:val="32"/>
          <w:szCs w:val="32"/>
        </w:rPr>
        <w:t>预算绩效管理情况</w:t>
      </w:r>
      <w:bookmarkEnd w:id="69"/>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仿宋_GB2312" w:eastAsia="仿宋_GB2312" w:cs="仿宋_GB2312"/>
          <w:sz w:val="32"/>
          <w:szCs w:val="32"/>
        </w:rPr>
        <w:t>警务辅助专项经费</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5个项目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5个项目开展绩效自评。</w:t>
      </w:r>
    </w:p>
    <w:p>
      <w:pPr>
        <w:keepNext w:val="0"/>
        <w:keepLines w:val="0"/>
        <w:pageBreakBefore w:val="0"/>
        <w:widowControl w:val="0"/>
        <w:kinsoku/>
        <w:wordWrap/>
        <w:overflowPunct/>
        <w:topLinePunct w:val="0"/>
        <w:autoSpaceDE/>
        <w:autoSpaceDN/>
        <w:bidi w:val="0"/>
        <w:snapToGrid w:val="0"/>
        <w:spacing w:line="600" w:lineRule="exact"/>
        <w:textAlignment w:val="auto"/>
        <w:rPr>
          <w:rFonts w:hint="eastAsia" w:ascii="仿宋_GB2312" w:hAnsi="仿宋_GB2312" w:eastAsia="仿宋_GB2312" w:cs="仿宋_GB2312"/>
          <w:sz w:val="32"/>
          <w:szCs w:val="32"/>
          <w:lang w:eastAsia="zh-CN"/>
        </w:rPr>
      </w:pPr>
      <w:bookmarkStart w:id="70" w:name="_Toc17959"/>
      <w:r>
        <w:rPr>
          <w:rFonts w:hint="eastAsia" w:ascii="仿宋_GB2312" w:hAnsi="仿宋_GB2312" w:eastAsia="仿宋_GB2312" w:cs="仿宋_GB2312"/>
          <w:sz w:val="32"/>
          <w:szCs w:val="32"/>
        </w:rPr>
        <w:t>绩效自评</w:t>
      </w:r>
      <w:bookmarkEnd w:id="70"/>
      <w:r>
        <w:rPr>
          <w:rFonts w:hint="eastAsia" w:ascii="仿宋_GB2312" w:hAnsi="仿宋_GB2312" w:eastAsia="仿宋_GB2312" w:cs="仿宋_GB2312"/>
          <w:sz w:val="32"/>
          <w:szCs w:val="32"/>
          <w:lang w:eastAsia="zh-CN"/>
        </w:rPr>
        <w:t>表见附件。</w:t>
      </w:r>
    </w:p>
    <w:p>
      <w:pPr>
        <w:pStyle w:val="2"/>
        <w:outlineLvl w:val="9"/>
        <w:rPr>
          <w:rFonts w:hint="eastAsia" w:ascii="仿宋_GB2312" w:hAnsi="仿宋_GB2312" w:eastAsia="仿宋_GB2312" w:cs="仿宋_GB2312"/>
          <w:sz w:val="32"/>
          <w:szCs w:val="32"/>
        </w:rPr>
        <w:sectPr>
          <w:headerReference r:id="rId19" w:type="default"/>
          <w:pgSz w:w="11906" w:h="16838"/>
          <w:pgMar w:top="1440" w:right="1800" w:bottom="1440" w:left="1800" w:header="851" w:footer="992" w:gutter="0"/>
          <w:pgNumType w:fmt="decimal"/>
          <w:cols w:space="425" w:num="1"/>
          <w:docGrid w:type="lines" w:linePitch="312" w:charSpace="0"/>
        </w:sectPr>
      </w:pPr>
    </w:p>
    <w:p>
      <w:pPr>
        <w:numPr>
          <w:ilvl w:val="0"/>
          <w:numId w:val="0"/>
        </w:numPr>
        <w:spacing w:line="600" w:lineRule="exact"/>
        <w:ind w:firstLine="2200" w:firstLineChars="500"/>
        <w:jc w:val="both"/>
        <w:outlineLvl w:val="0"/>
        <w:rPr>
          <w:rStyle w:val="20"/>
          <w:rFonts w:ascii="黑体" w:hAnsi="黑体" w:eastAsia="黑体"/>
          <w:b w:val="0"/>
        </w:rPr>
      </w:pPr>
      <w:bookmarkStart w:id="71" w:name="_Toc1359449403"/>
      <w:bookmarkStart w:id="72" w:name="_Toc15396613"/>
      <w:bookmarkStart w:id="73" w:name="_Toc15377225"/>
      <w:bookmarkStart w:id="74" w:name="_Toc2779"/>
      <w:bookmarkStart w:id="75" w:name="_Toc1815106630"/>
      <w:r>
        <w:rPr>
          <w:rFonts w:hint="eastAsia" w:ascii="黑体" w:hAnsi="黑体" w:eastAsia="黑体"/>
          <w:sz w:val="44"/>
          <w:szCs w:val="44"/>
          <w:lang w:val="en-US" w:eastAsia="zh-CN"/>
        </w:rPr>
        <w:t xml:space="preserve">第三部分 </w:t>
      </w:r>
      <w:r>
        <w:rPr>
          <w:rFonts w:hint="eastAsia" w:ascii="黑体" w:hAnsi="黑体" w:eastAsia="黑体"/>
          <w:sz w:val="44"/>
          <w:szCs w:val="44"/>
        </w:rPr>
        <w:t>名</w:t>
      </w:r>
      <w:r>
        <w:rPr>
          <w:rStyle w:val="20"/>
          <w:rFonts w:hint="eastAsia" w:ascii="黑体" w:hAnsi="黑体" w:eastAsia="黑体"/>
          <w:b w:val="0"/>
        </w:rPr>
        <w:t>词解释</w:t>
      </w:r>
      <w:bookmarkEnd w:id="71"/>
      <w:bookmarkEnd w:id="72"/>
      <w:bookmarkEnd w:id="73"/>
      <w:bookmarkEnd w:id="74"/>
      <w:bookmarkEnd w:id="75"/>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76" w:name="_Toc29172"/>
      <w:bookmarkStart w:id="77" w:name="_Toc20581"/>
      <w:bookmarkStart w:id="78" w:name="_Toc15396614"/>
      <w:bookmarkStart w:id="79" w:name="_Toc15377226"/>
      <w:r>
        <w:rPr>
          <w:rFonts w:hint="eastAsia" w:ascii="华文仿宋" w:hAnsi="华文仿宋" w:eastAsia="华文仿宋" w:cs="华文仿宋"/>
          <w:sz w:val="32"/>
          <w:szCs w:val="32"/>
        </w:rPr>
        <w:t>财政拨款收入：指单位从同级财政部门取得的财政预算资金。</w:t>
      </w:r>
      <w:bookmarkEnd w:id="76"/>
      <w:bookmarkEnd w:id="77"/>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80" w:name="_Toc6523"/>
      <w:bookmarkStart w:id="81" w:name="_Toc12088"/>
      <w:r>
        <w:rPr>
          <w:rFonts w:hint="eastAsia" w:ascii="华文仿宋" w:hAnsi="华文仿宋" w:eastAsia="华文仿宋" w:cs="华文仿宋"/>
          <w:sz w:val="32"/>
          <w:szCs w:val="32"/>
        </w:rPr>
        <w:t>公共安全支出（类）公安（款）行政运行（项）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反映行政单位（含实行公务员管理的事业单位）的基本支出。</w:t>
      </w:r>
      <w:bookmarkEnd w:id="80"/>
      <w:bookmarkEnd w:id="81"/>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82" w:name="_Toc22302"/>
      <w:bookmarkStart w:id="83" w:name="_Toc23767"/>
      <w:r>
        <w:rPr>
          <w:rFonts w:hint="eastAsia" w:ascii="华文仿宋" w:hAnsi="华文仿宋" w:eastAsia="华文仿宋" w:cs="华文仿宋"/>
          <w:sz w:val="32"/>
          <w:szCs w:val="32"/>
        </w:rPr>
        <w:t>公共安全支出（类）公安（款）一般行政管理事务（项）：反映行政单位（含实行公务员管理的事业单位）未单独设置项级科目的其他项目支出。</w:t>
      </w:r>
      <w:bookmarkEnd w:id="82"/>
      <w:bookmarkEnd w:id="83"/>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hint="eastAsia" w:ascii="华文仿宋" w:hAnsi="华文仿宋" w:eastAsia="华文仿宋" w:cs="华文仿宋"/>
          <w:sz w:val="32"/>
          <w:szCs w:val="32"/>
        </w:rPr>
      </w:pPr>
      <w:bookmarkStart w:id="84" w:name="_Toc24960"/>
      <w:bookmarkStart w:id="85" w:name="_Toc516"/>
      <w:r>
        <w:rPr>
          <w:rFonts w:hint="eastAsia" w:ascii="华文仿宋" w:hAnsi="华文仿宋" w:eastAsia="华文仿宋" w:cs="华文仿宋"/>
          <w:sz w:val="32"/>
          <w:szCs w:val="32"/>
        </w:rPr>
        <w:t>公共安全支出（类）公安（款）其他公安支出（项）：指反映除上述项目以外其他用于公安方面的支出。</w:t>
      </w:r>
      <w:bookmarkEnd w:id="84"/>
      <w:bookmarkEnd w:id="85"/>
    </w:p>
    <w:p>
      <w:pPr>
        <w:pStyle w:val="2"/>
        <w:numPr>
          <w:ilvl w:val="0"/>
          <w:numId w:val="2"/>
        </w:numPr>
        <w:ind w:left="0" w:leftChars="0" w:firstLine="400" w:firstLineChars="0"/>
        <w:rPr>
          <w:rFonts w:hint="default" w:ascii="华文仿宋" w:hAnsi="华文仿宋" w:eastAsia="华文仿宋" w:cs="华文仿宋"/>
          <w:b w:val="0"/>
          <w:kern w:val="2"/>
          <w:sz w:val="32"/>
          <w:szCs w:val="32"/>
          <w:lang w:val="en-US" w:eastAsia="zh-CN" w:bidi="ar-SA"/>
        </w:rPr>
      </w:pPr>
      <w:r>
        <w:rPr>
          <w:rFonts w:hint="eastAsia" w:ascii="华文仿宋" w:hAnsi="华文仿宋" w:eastAsia="华文仿宋" w:cs="华文仿宋"/>
          <w:b w:val="0"/>
          <w:kern w:val="2"/>
          <w:sz w:val="32"/>
          <w:szCs w:val="32"/>
          <w:lang w:val="en-US" w:eastAsia="zh-CN" w:bidi="ar-SA"/>
        </w:rPr>
        <w:t>社会保障和就业支出（类）行政事业单位养老支出（款） 行政单位离退休（项）：指反映行政单位（包括实行公务员管理的事业单位）开支的离退休经费。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hint="eastAsia" w:ascii="华文仿宋" w:hAnsi="华文仿宋" w:eastAsia="华文仿宋" w:cs="华文仿宋"/>
          <w:sz w:val="32"/>
          <w:szCs w:val="32"/>
        </w:rPr>
      </w:pPr>
      <w:bookmarkStart w:id="86" w:name="_Toc6315"/>
      <w:bookmarkStart w:id="87" w:name="_Toc3722"/>
      <w:r>
        <w:rPr>
          <w:rFonts w:hint="eastAsia" w:ascii="华文仿宋" w:hAnsi="华文仿宋" w:eastAsia="华文仿宋" w:cs="华文仿宋"/>
          <w:sz w:val="32"/>
          <w:szCs w:val="32"/>
        </w:rPr>
        <w:t>社会保障和就业</w:t>
      </w:r>
      <w:r>
        <w:rPr>
          <w:rFonts w:hint="eastAsia" w:ascii="华文仿宋" w:hAnsi="华文仿宋" w:eastAsia="华文仿宋" w:cs="华文仿宋"/>
          <w:sz w:val="32"/>
          <w:szCs w:val="32"/>
          <w:lang w:val="en-US" w:eastAsia="zh-CN"/>
        </w:rPr>
        <w:t>支出</w:t>
      </w:r>
      <w:r>
        <w:rPr>
          <w:rFonts w:hint="eastAsia" w:ascii="华文仿宋" w:hAnsi="华文仿宋" w:eastAsia="华文仿宋" w:cs="华文仿宋"/>
          <w:sz w:val="32"/>
          <w:szCs w:val="32"/>
        </w:rPr>
        <w:t>（类）行政事业单位养老支出（款）  机关事业单位基本养老保险缴费支出（项）：指反映机关事业单位实施养老保险制度由单位缴纳的基本养老保险费支出。</w:t>
      </w:r>
      <w:bookmarkEnd w:id="86"/>
      <w:bookmarkEnd w:id="87"/>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hint="eastAsia" w:ascii="华文仿宋" w:hAnsi="华文仿宋" w:eastAsia="华文仿宋" w:cs="华文仿宋"/>
          <w:sz w:val="32"/>
          <w:szCs w:val="32"/>
          <w:lang w:val="en-US" w:eastAsia="zh-CN"/>
        </w:rPr>
      </w:pPr>
      <w:bookmarkStart w:id="88" w:name="_Toc8771"/>
      <w:bookmarkStart w:id="89" w:name="_Toc20389"/>
      <w:r>
        <w:rPr>
          <w:rFonts w:hint="eastAsia" w:ascii="华文仿宋" w:hAnsi="华文仿宋" w:eastAsia="华文仿宋" w:cs="华文仿宋"/>
          <w:sz w:val="32"/>
          <w:szCs w:val="32"/>
        </w:rPr>
        <w:t>社会保障和就业</w:t>
      </w:r>
      <w:r>
        <w:rPr>
          <w:rFonts w:hint="eastAsia" w:ascii="华文仿宋" w:hAnsi="华文仿宋" w:eastAsia="华文仿宋" w:cs="华文仿宋"/>
          <w:sz w:val="32"/>
          <w:szCs w:val="32"/>
          <w:lang w:val="en-US" w:eastAsia="zh-CN"/>
        </w:rPr>
        <w:t>支出</w:t>
      </w:r>
      <w:r>
        <w:rPr>
          <w:rFonts w:hint="eastAsia" w:ascii="华文仿宋" w:hAnsi="华文仿宋" w:eastAsia="华文仿宋" w:cs="华文仿宋"/>
          <w:sz w:val="32"/>
          <w:szCs w:val="32"/>
        </w:rPr>
        <w:t>（类）行政事业单位养老支出（款）机关事业单位职业年金缴费支出（项）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反映机关事业单位实施养老保险制度由单位实际缴纳的职业年金支出</w:t>
      </w:r>
      <w:bookmarkEnd w:id="88"/>
      <w:bookmarkStart w:id="90" w:name="_Toc29417"/>
      <w:r>
        <w:rPr>
          <w:rFonts w:hint="eastAsia" w:ascii="华文仿宋" w:hAnsi="华文仿宋" w:eastAsia="华文仿宋" w:cs="华文仿宋"/>
          <w:sz w:val="32"/>
          <w:szCs w:val="32"/>
          <w:lang w:val="en-US" w:eastAsia="zh-CN"/>
        </w:rPr>
        <w:t>。</w:t>
      </w:r>
      <w:bookmarkEnd w:id="89"/>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91" w:name="_Toc14067"/>
      <w:r>
        <w:rPr>
          <w:rFonts w:hint="eastAsia" w:ascii="华文仿宋" w:hAnsi="华文仿宋" w:eastAsia="华文仿宋" w:cs="华文仿宋"/>
          <w:sz w:val="32"/>
          <w:szCs w:val="32"/>
        </w:rPr>
        <w:t>卫生健康支出（类）行政事业单位医疗（款）行政单位医疗（项）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bookmarkEnd w:id="91"/>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92" w:name="_Toc14156"/>
      <w:r>
        <w:rPr>
          <w:rFonts w:hint="eastAsia" w:ascii="华文仿宋" w:hAnsi="华文仿宋" w:eastAsia="华文仿宋" w:cs="华文仿宋"/>
          <w:sz w:val="32"/>
          <w:szCs w:val="32"/>
        </w:rPr>
        <w:t>住房保障支出（类）住房改革支出（款）住房公积金（项）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反映行政事业单位按人力资源和社会保障部、财政部规定的基本工资和津贴补贴以及规定比例为职工缴纳的住房公积金。</w:t>
      </w:r>
      <w:bookmarkEnd w:id="92"/>
    </w:p>
    <w:p>
      <w:pPr>
        <w:numPr>
          <w:ilvl w:val="0"/>
          <w:numId w:val="2"/>
        </w:numPr>
        <w:ind w:left="0" w:leftChars="0" w:firstLine="400" w:firstLineChars="0"/>
        <w:rPr>
          <w:rFonts w:ascii="华文仿宋" w:hAnsi="华文仿宋" w:eastAsia="华文仿宋" w:cs="华文仿宋"/>
          <w:sz w:val="32"/>
          <w:szCs w:val="32"/>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400" w:firstLineChars="0"/>
        <w:textAlignment w:val="auto"/>
        <w:outlineLvl w:val="1"/>
        <w:rPr>
          <w:rFonts w:ascii="华文仿宋" w:hAnsi="华文仿宋" w:eastAsia="华文仿宋" w:cs="华文仿宋"/>
          <w:sz w:val="32"/>
          <w:szCs w:val="32"/>
        </w:rPr>
      </w:pPr>
      <w:bookmarkStart w:id="93" w:name="_Toc17067"/>
      <w:r>
        <w:rPr>
          <w:rFonts w:hint="eastAsia" w:ascii="仿宋_GB2312" w:eastAsia="仿宋_GB2312"/>
          <w:color w:val="auto"/>
          <w:sz w:val="32"/>
          <w:szCs w:val="32"/>
          <w:highlight w:val="none"/>
        </w:rPr>
        <w:t>项目支出：指在基本支出之外为完成特定行政任务和事业发展目标所发生的支出。</w:t>
      </w:r>
      <w:bookmarkEnd w:id="93"/>
      <w:r>
        <w:rPr>
          <w:rFonts w:ascii="仿宋_GB2312" w:eastAsia="仿宋_GB2312"/>
          <w:color w:val="auto"/>
          <w:sz w:val="32"/>
          <w:szCs w:val="32"/>
          <w:highlight w:val="none"/>
        </w:rPr>
        <w:t xml:space="preserve"> </w:t>
      </w:r>
    </w:p>
    <w:p>
      <w:pPr>
        <w:pStyle w:val="29"/>
        <w:numPr>
          <w:ilvl w:val="0"/>
          <w:numId w:val="2"/>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numPr>
          <w:ilvl w:val="0"/>
          <w:numId w:val="2"/>
        </w:numPr>
        <w:spacing w:line="560" w:lineRule="exact"/>
        <w:ind w:left="0" w:leftChars="0" w:firstLine="400" w:firstLineChars="0"/>
        <w:rPr>
          <w:rFonts w:hint="default" w:ascii="华文仿宋" w:hAnsi="华文仿宋" w:eastAsia="华文仿宋" w:cs="华文仿宋"/>
          <w:sz w:val="32"/>
          <w:szCs w:val="32"/>
          <w:lang w:val="en-US" w:eastAsia="zh-CN"/>
        </w:rPr>
        <w:sectPr>
          <w:headerReference r:id="rId20" w:type="default"/>
          <w:pgSz w:w="11906" w:h="16838"/>
          <w:pgMar w:top="1440" w:right="1800" w:bottom="1440" w:left="1800" w:header="851" w:footer="992" w:gutter="0"/>
          <w:pgNumType w:fmt="decimal"/>
          <w:cols w:space="425" w:num="1"/>
          <w:docGrid w:type="lines" w:linePitch="312" w:charSpace="0"/>
        </w:sectPr>
      </w:pPr>
      <w:r>
        <w:rPr>
          <w:rFonts w:hint="eastAsia" w:ascii="华文仿宋" w:hAnsi="华文仿宋" w:eastAsia="华文仿宋" w:cs="华文仿宋"/>
          <w:sz w:val="32"/>
          <w:szCs w:val="32"/>
          <w:lang w:val="en-US" w:eastAsia="zh-CN"/>
        </w:rPr>
        <w:t>机关运行经费：</w:t>
      </w:r>
      <w:r>
        <w:rPr>
          <w:rFonts w:hint="eastAsia" w:ascii="仿宋_GB2312" w:eastAsia="仿宋_GB2312"/>
          <w:color w:val="auto"/>
          <w:sz w:val="32"/>
          <w:szCs w:val="32"/>
          <w:highlight w:val="none"/>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78"/>
    <w:bookmarkEnd w:id="90"/>
    <w:p>
      <w:pPr>
        <w:spacing w:line="600" w:lineRule="exact"/>
        <w:ind w:firstLine="2640" w:firstLineChars="600"/>
        <w:jc w:val="both"/>
        <w:outlineLvl w:val="0"/>
        <w:rPr>
          <w:rStyle w:val="20"/>
          <w:rFonts w:ascii="黑体" w:hAnsi="黑体" w:eastAsia="黑体"/>
          <w:b w:val="0"/>
          <w:color w:val="auto"/>
          <w:highlight w:val="none"/>
        </w:rPr>
      </w:pPr>
      <w:bookmarkStart w:id="94" w:name="_Toc11712"/>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四部分 附件</w:t>
      </w:r>
      <w:bookmarkEnd w:id="94"/>
    </w:p>
    <w:p>
      <w:pPr>
        <w:spacing w:line="600" w:lineRule="exact"/>
        <w:jc w:val="center"/>
        <w:outlineLvl w:val="1"/>
        <w:rPr>
          <w:rFonts w:hint="eastAsia" w:ascii="黑体" w:hAnsi="黑体" w:eastAsia="黑体"/>
          <w:b/>
          <w:bCs/>
          <w:color w:val="FF0000"/>
          <w:sz w:val="44"/>
          <w:szCs w:val="44"/>
          <w:highlight w:val="none"/>
        </w:rPr>
      </w:pPr>
      <w:bookmarkStart w:id="95" w:name="_Toc28056"/>
      <w:r>
        <w:rPr>
          <w:rFonts w:hint="eastAsia" w:hAnsi="Times New Roman" w:cs="Times New Roman"/>
          <w:b/>
          <w:bCs/>
          <w:sz w:val="32"/>
          <w:szCs w:val="32"/>
          <w:highlight w:val="none"/>
          <w:lang w:val="en-US" w:eastAsia="zh-CN"/>
        </w:rPr>
        <w:t>部门预算项目支出绩效自评表（202</w:t>
      </w:r>
      <w:r>
        <w:rPr>
          <w:rFonts w:hint="eastAsia" w:cs="Times New Roman"/>
          <w:b/>
          <w:bCs/>
          <w:sz w:val="32"/>
          <w:szCs w:val="32"/>
          <w:highlight w:val="none"/>
          <w:lang w:val="en-US" w:eastAsia="zh-CN"/>
        </w:rPr>
        <w:t>3</w:t>
      </w:r>
      <w:r>
        <w:rPr>
          <w:rFonts w:hint="eastAsia" w:hAnsi="Times New Roman" w:cs="Times New Roman"/>
          <w:b/>
          <w:bCs/>
          <w:sz w:val="32"/>
          <w:szCs w:val="32"/>
          <w:highlight w:val="none"/>
          <w:lang w:val="en-US" w:eastAsia="zh-CN"/>
        </w:rPr>
        <w:t>年度）</w:t>
      </w:r>
      <w:bookmarkEnd w:id="95"/>
    </w:p>
    <w:tbl>
      <w:tblPr>
        <w:tblStyle w:val="16"/>
        <w:tblW w:w="94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2"/>
        <w:gridCol w:w="862"/>
        <w:gridCol w:w="1375"/>
        <w:gridCol w:w="1313"/>
        <w:gridCol w:w="762"/>
        <w:gridCol w:w="638"/>
        <w:gridCol w:w="750"/>
        <w:gridCol w:w="837"/>
        <w:gridCol w:w="563"/>
        <w:gridCol w:w="500"/>
        <w:gridCol w:w="13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项目名称</w:t>
            </w:r>
          </w:p>
        </w:tc>
        <w:tc>
          <w:tcPr>
            <w:tcW w:w="81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51080022T000004925530-乡村振兴工作经费（单列）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主管部门</w:t>
            </w:r>
          </w:p>
        </w:tc>
        <w:tc>
          <w:tcPr>
            <w:tcW w:w="4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广元市公安局部门</w:t>
            </w:r>
          </w:p>
        </w:tc>
        <w:tc>
          <w:tcPr>
            <w:tcW w:w="83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实施单位 （盖章）</w:t>
            </w:r>
          </w:p>
        </w:tc>
        <w:tc>
          <w:tcPr>
            <w:tcW w:w="24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项目基本情况</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1.项目年度目标完成情况</w:t>
            </w:r>
          </w:p>
        </w:tc>
        <w:tc>
          <w:tcPr>
            <w:tcW w:w="4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项目年度目标</w:t>
            </w:r>
          </w:p>
        </w:tc>
        <w:tc>
          <w:tcPr>
            <w:tcW w:w="32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促进产业发展、使帮扶户生活水平逐年提高，达到奔小康.</w:t>
            </w:r>
          </w:p>
        </w:tc>
        <w:tc>
          <w:tcPr>
            <w:tcW w:w="32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发展扶贫项目3项，帮扶群众543户，达成了年初既定目标任务。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2.项目实施内容及过程概述</w:t>
            </w:r>
          </w:p>
        </w:tc>
        <w:tc>
          <w:tcPr>
            <w:tcW w:w="81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sz w:val="12"/>
                <w:szCs w:val="12"/>
                <w:u w:val="none"/>
              </w:rPr>
              <w:t>乡村振兴工作经费主要</w:t>
            </w:r>
            <w:r>
              <w:rPr>
                <w:rFonts w:hint="eastAsia" w:ascii="宋体" w:hAnsi="宋体" w:eastAsia="宋体" w:cs="宋体"/>
                <w:i w:val="0"/>
                <w:iCs w:val="0"/>
                <w:color w:val="000000"/>
                <w:sz w:val="12"/>
                <w:szCs w:val="12"/>
                <w:u w:val="none"/>
                <w:lang w:val="en-US" w:eastAsia="zh-CN"/>
              </w:rPr>
              <w:t>保障</w:t>
            </w:r>
            <w:r>
              <w:rPr>
                <w:rFonts w:ascii="宋体" w:hAnsi="宋体" w:eastAsia="宋体" w:cs="宋体"/>
                <w:i w:val="0"/>
                <w:iCs w:val="0"/>
                <w:color w:val="000000"/>
                <w:kern w:val="0"/>
                <w:sz w:val="12"/>
                <w:szCs w:val="12"/>
                <w:u w:val="none"/>
                <w:lang w:val="en-US" w:eastAsia="zh-CN" w:bidi="ar"/>
              </w:rPr>
              <w:t>驻村第一书记和一名驻村工作队员</w:t>
            </w:r>
            <w:r>
              <w:rPr>
                <w:rFonts w:hint="eastAsia" w:ascii="宋体" w:hAnsi="宋体" w:eastAsia="宋体" w:cs="宋体"/>
                <w:i w:val="0"/>
                <w:iCs w:val="0"/>
                <w:color w:val="000000"/>
                <w:sz w:val="12"/>
                <w:szCs w:val="12"/>
                <w:u w:val="none"/>
              </w:rPr>
              <w:t>办公用品、宣传资料、车辆燃油、项目引进、差旅费及走访慰问等工作支出。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预算执行情况（10分）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年度预算数（万元）</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年初预算</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调整后预算数</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预算执行数</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预算执行率</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总额</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2"/>
                <w:szCs w:val="12"/>
                <w:u w:val="none"/>
                <w:lang w:val="en-US" w:eastAsia="zh-CN"/>
              </w:rPr>
            </w:pPr>
            <w:r>
              <w:rPr>
                <w:rFonts w:hint="eastAsia" w:ascii="宋体" w:hAnsi="宋体" w:eastAsia="宋体" w:cs="宋体"/>
                <w:i w:val="0"/>
                <w:iCs w:val="0"/>
                <w:color w:val="000000"/>
                <w:sz w:val="12"/>
                <w:szCs w:val="12"/>
                <w:u w:val="none"/>
                <w:lang w:val="en-US" w:eastAsia="zh-CN"/>
              </w:rPr>
              <w:t>10</w:t>
            </w:r>
          </w:p>
        </w:tc>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其中：财政资金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3.64</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财政专户管理资金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单位资金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其他资金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绩效指标（90分）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一级指标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二级指标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三级指标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指标性质</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度量单位</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完成值</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产出指标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数量指标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帮扶户数</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人/户</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543</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质量指标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发展产业数</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3</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时效指标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项目完成时间节点</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月</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12</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效益指标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被帮扶户年增收额</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3</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可持续发展指标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持续增收</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满意度指标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帮扶对象满意度指标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帮扶群众满意度</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成本指标</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经济成本指标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帮扶干部日生活补助</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人/天</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驻村发生差旅费</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合 计</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评价结论</w:t>
            </w:r>
          </w:p>
        </w:tc>
        <w:tc>
          <w:tcPr>
            <w:tcW w:w="89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微软雅黑" w:hAnsi="微软雅黑" w:eastAsia="微软雅黑" w:cs="微软雅黑"/>
                <w:i w:val="0"/>
                <w:iCs w:val="0"/>
                <w:color w:val="000000"/>
                <w:kern w:val="0"/>
                <w:sz w:val="12"/>
                <w:szCs w:val="12"/>
                <w:u w:val="none"/>
                <w:lang w:val="en-US" w:eastAsia="zh-CN" w:bidi="ar"/>
              </w:rPr>
              <w:t>经过项目的实施，帮扶民众收益不断增加，集体经济不断壮大，民众幸福感、满意感不断提升。经自评，该项目得分98分。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存在问题</w:t>
            </w:r>
          </w:p>
        </w:tc>
        <w:tc>
          <w:tcPr>
            <w:tcW w:w="89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微软雅黑" w:hAnsi="微软雅黑" w:eastAsia="微软雅黑" w:cs="微软雅黑"/>
                <w:i w:val="0"/>
                <w:iCs w:val="0"/>
                <w:color w:val="000000"/>
                <w:kern w:val="0"/>
                <w:sz w:val="12"/>
                <w:szCs w:val="12"/>
                <w:u w:val="none"/>
                <w:lang w:val="en-US" w:eastAsia="zh-CN" w:bidi="ar"/>
              </w:rPr>
              <w:t>当前驻村开展乡村振兴工作主要是加强返贫预防检测，巩固脱贫攻坚成功，壮大集体经济，经费较为紧张.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改进措施</w:t>
            </w:r>
          </w:p>
        </w:tc>
        <w:tc>
          <w:tcPr>
            <w:tcW w:w="89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微软雅黑" w:hAnsi="微软雅黑" w:eastAsia="微软雅黑" w:cs="微软雅黑"/>
                <w:i w:val="0"/>
                <w:iCs w:val="0"/>
                <w:color w:val="000000"/>
                <w:kern w:val="0"/>
                <w:sz w:val="12"/>
                <w:szCs w:val="12"/>
                <w:u w:val="none"/>
                <w:lang w:val="en-US" w:eastAsia="zh-CN" w:bidi="ar"/>
              </w:rPr>
              <w:t>建议市财政局适当增加经费，加强对驻村集体经济的帮扶力度。我局也将进一步加大对经费的管理，确保有限经费发挥出最大的效益。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8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项目负责人：</w:t>
            </w:r>
          </w:p>
        </w:tc>
        <w:tc>
          <w:tcPr>
            <w:tcW w:w="46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2"/>
                <w:szCs w:val="12"/>
                <w:u w:val="none"/>
                <w:lang w:val="en-US"/>
              </w:rPr>
            </w:pPr>
            <w:r>
              <w:rPr>
                <w:rFonts w:hint="eastAsia" w:ascii="黑体" w:hAnsi="黑体" w:eastAsia="黑体" w:cs="黑体"/>
                <w:i w:val="0"/>
                <w:iCs w:val="0"/>
                <w:color w:val="000000"/>
                <w:kern w:val="0"/>
                <w:sz w:val="12"/>
                <w:szCs w:val="12"/>
                <w:u w:val="none"/>
                <w:lang w:val="en-US" w:eastAsia="zh-CN" w:bidi="ar"/>
              </w:rPr>
              <w:t>财务负责人：周涛</w:t>
            </w:r>
          </w:p>
        </w:tc>
      </w:tr>
    </w:tbl>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sectPr>
          <w:headerReference r:id="rId21" w:type="default"/>
          <w:pgSz w:w="11906" w:h="16838"/>
          <w:pgMar w:top="1440" w:right="1800" w:bottom="1440" w:left="1800" w:header="851" w:footer="992" w:gutter="0"/>
          <w:pgNumType w:fmt="decimal"/>
          <w:cols w:space="425" w:num="1"/>
          <w:docGrid w:type="lines" w:linePitch="312" w:charSpace="0"/>
        </w:sectPr>
      </w:pPr>
    </w:p>
    <w:tbl>
      <w:tblPr>
        <w:tblStyle w:val="16"/>
        <w:tblW w:w="95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2"/>
        <w:gridCol w:w="12"/>
        <w:gridCol w:w="975"/>
        <w:gridCol w:w="38"/>
        <w:gridCol w:w="1037"/>
        <w:gridCol w:w="325"/>
        <w:gridCol w:w="1513"/>
        <w:gridCol w:w="200"/>
        <w:gridCol w:w="662"/>
        <w:gridCol w:w="113"/>
        <w:gridCol w:w="487"/>
        <w:gridCol w:w="150"/>
        <w:gridCol w:w="513"/>
        <w:gridCol w:w="68"/>
        <w:gridCol w:w="819"/>
        <w:gridCol w:w="25"/>
        <w:gridCol w:w="488"/>
        <w:gridCol w:w="25"/>
        <w:gridCol w:w="487"/>
        <w:gridCol w:w="25"/>
        <w:gridCol w:w="1038"/>
        <w:gridCol w:w="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286" w:hRule="atLeast"/>
        </w:trPr>
        <w:tc>
          <w:tcPr>
            <w:tcW w:w="14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项目名称</w:t>
            </w:r>
          </w:p>
        </w:tc>
        <w:tc>
          <w:tcPr>
            <w:tcW w:w="801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51080022T000004926760-经常性业务费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512" w:hRule="atLeast"/>
        </w:trPr>
        <w:tc>
          <w:tcPr>
            <w:tcW w:w="14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主管部门</w:t>
            </w:r>
          </w:p>
        </w:tc>
        <w:tc>
          <w:tcPr>
            <w:tcW w:w="50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广元市公安局部门</w:t>
            </w:r>
          </w:p>
        </w:tc>
        <w:tc>
          <w:tcPr>
            <w:tcW w:w="887"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实施单位 （盖章）</w:t>
            </w:r>
          </w:p>
        </w:tc>
        <w:tc>
          <w:tcPr>
            <w:tcW w:w="20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286"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项目基本情况</w:t>
            </w:r>
          </w:p>
        </w:tc>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1.项目年度目标完成情况</w:t>
            </w:r>
          </w:p>
        </w:tc>
        <w:tc>
          <w:tcPr>
            <w:tcW w:w="50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项目年度目标</w:t>
            </w:r>
          </w:p>
        </w:tc>
        <w:tc>
          <w:tcPr>
            <w:tcW w:w="29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70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50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主要包括单位的经常性业务工作（不含执法办案等专项工作）的相关支出，主要包括网络运行维护、邮电、业务会议、业务差旅、劳务、咨询、房屋及设备的临时租赁。</w:t>
            </w:r>
          </w:p>
        </w:tc>
        <w:tc>
          <w:tcPr>
            <w:tcW w:w="29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严格按照财务管理办法，坚持专款专用，按照规定，据实报销，达到年初目标。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693"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2.项目实施内容及过程概述</w:t>
            </w:r>
          </w:p>
        </w:tc>
        <w:tc>
          <w:tcPr>
            <w:tcW w:w="801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w:t>
            </w:r>
            <w:r>
              <w:rPr>
                <w:rFonts w:ascii="宋体" w:hAnsi="宋体" w:eastAsia="宋体" w:cs="宋体"/>
                <w:i w:val="0"/>
                <w:iCs w:val="0"/>
                <w:color w:val="000000"/>
                <w:kern w:val="0"/>
                <w:sz w:val="12"/>
                <w:szCs w:val="12"/>
                <w:u w:val="none"/>
                <w:lang w:val="en-US" w:eastAsia="zh-CN" w:bidi="ar"/>
              </w:rPr>
              <w:t>经常性业务工作（不含执法办案等专项工作）的相关</w:t>
            </w:r>
            <w:r>
              <w:rPr>
                <w:rFonts w:hint="eastAsia" w:ascii="宋体" w:hAnsi="宋体" w:eastAsia="宋体" w:cs="宋体"/>
                <w:i w:val="0"/>
                <w:iCs w:val="0"/>
                <w:color w:val="000000"/>
                <w:kern w:val="0"/>
                <w:sz w:val="12"/>
                <w:szCs w:val="12"/>
                <w:u w:val="none"/>
                <w:lang w:val="en-US" w:eastAsia="zh-CN" w:bidi="ar"/>
              </w:rPr>
              <w:t>规定</w:t>
            </w:r>
            <w:r>
              <w:rPr>
                <w:rFonts w:ascii="宋体" w:hAnsi="宋体" w:eastAsia="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用于</w:t>
            </w:r>
            <w:r>
              <w:rPr>
                <w:rFonts w:ascii="宋体" w:hAnsi="宋体" w:eastAsia="宋体" w:cs="宋体"/>
                <w:i w:val="0"/>
                <w:iCs w:val="0"/>
                <w:color w:val="000000"/>
                <w:kern w:val="0"/>
                <w:sz w:val="12"/>
                <w:szCs w:val="12"/>
                <w:u w:val="none"/>
                <w:lang w:val="en-US" w:eastAsia="zh-CN" w:bidi="ar"/>
              </w:rPr>
              <w:t>网络运行维护、邮电、业务会议、业务差旅、劳务、咨询、房屋及设备的临时租赁</w:t>
            </w:r>
            <w:r>
              <w:rPr>
                <w:rFonts w:hint="eastAsia" w:ascii="宋体" w:hAnsi="宋体" w:eastAsia="宋体" w:cs="宋体"/>
                <w:i w:val="0"/>
                <w:iCs w:val="0"/>
                <w:color w:val="000000"/>
                <w:kern w:val="0"/>
                <w:sz w:val="12"/>
                <w:szCs w:val="12"/>
                <w:u w:val="none"/>
                <w:lang w:val="en-US" w:eastAsia="zh-CN" w:bidi="ar"/>
              </w:rPr>
              <w:t>等支出</w:t>
            </w:r>
            <w:r>
              <w:rPr>
                <w:rFonts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61"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预算执行情况（10分）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年度预算数（万元）</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年初预算</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调整后预算数</w:t>
            </w: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预算执行数</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预算执行率</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权重</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得分</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46"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总额</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w:t>
            </w:r>
          </w:p>
        </w:tc>
        <w:tc>
          <w:tcPr>
            <w:tcW w:w="1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91"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其中：财政资金</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15.19</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1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407"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财政专户管理资金</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1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61"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单位资金</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1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2100"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其他资金</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p>
        </w:tc>
        <w:tc>
          <w:tcPr>
            <w:tcW w:w="19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1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452"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绩效指标（90分）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一级指标</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二级指标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三级指标</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指标性质</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度量单位</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完成值</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权重</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得分</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产出指标</w:t>
            </w:r>
          </w:p>
        </w:tc>
        <w:tc>
          <w:tcPr>
            <w:tcW w:w="10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数量指标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安保维稳次数</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人数</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150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2"/>
                <w:szCs w:val="12"/>
                <w:u w:val="none"/>
                <w:lang w:val="en-US" w:eastAsia="zh-CN" w:bidi="ar"/>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2"/>
                <w:szCs w:val="12"/>
                <w:u w:val="none"/>
                <w:lang w:val="en-US" w:eastAsia="zh-CN" w:bidi="ar"/>
              </w:rPr>
            </w:pP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维护系统网络数</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3</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套</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3</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2"/>
                <w:szCs w:val="12"/>
                <w:u w:val="none"/>
                <w:lang w:val="en-US" w:eastAsia="zh-CN" w:bidi="ar"/>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质量指标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使用率</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90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90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2"/>
                <w:szCs w:val="12"/>
                <w:u w:val="none"/>
                <w:lang w:val="en-US" w:eastAsia="zh-CN" w:bidi="ar"/>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时效指标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时间节点</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月</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12</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4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效益指标</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社会效益指标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维护社会稳定</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定性</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良</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期/年</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良</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20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20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4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满意度指标</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服务对象满意度指标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辖区内群众对社会治安满意度</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90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90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成本指标</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经济成本指标</w:t>
            </w:r>
          </w:p>
        </w:tc>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办公设备和家具购置</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1.3</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万元</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1.3</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20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20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339" w:hRule="atLeast"/>
        </w:trPr>
        <w:tc>
          <w:tcPr>
            <w:tcW w:w="742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合  计</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603"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评价结论</w:t>
            </w:r>
          </w:p>
        </w:tc>
        <w:tc>
          <w:tcPr>
            <w:tcW w:w="90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r>
              <w:rPr>
                <w:rFonts w:hint="eastAsia" w:ascii="微软雅黑" w:hAnsi="微软雅黑" w:eastAsia="微软雅黑" w:cs="微软雅黑"/>
                <w:i w:val="0"/>
                <w:iCs w:val="0"/>
                <w:color w:val="000000"/>
                <w:kern w:val="0"/>
                <w:sz w:val="12"/>
                <w:szCs w:val="12"/>
                <w:u w:val="none"/>
                <w:lang w:val="en-US" w:eastAsia="zh-CN" w:bidi="ar"/>
              </w:rPr>
              <w:t>保障机场空防安全，做好各项安保维稳工作，确保机场辖区社会治安秩序持续稳定。辖区群众满意度95%。经自评，该项目得分99分。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572"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存在问题</w:t>
            </w:r>
          </w:p>
        </w:tc>
        <w:tc>
          <w:tcPr>
            <w:tcW w:w="90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633" w:hRule="atLeast"/>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改进措施</w:t>
            </w:r>
          </w:p>
        </w:tc>
        <w:tc>
          <w:tcPr>
            <w:tcW w:w="90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7" w:type="dxa"/>
          <w:trHeight w:val="102" w:hRule="atLeast"/>
        </w:trPr>
        <w:tc>
          <w:tcPr>
            <w:tcW w:w="53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项目负责人：</w:t>
            </w:r>
          </w:p>
        </w:tc>
        <w:tc>
          <w:tcPr>
            <w:tcW w:w="41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财务负责人：</w:t>
            </w:r>
            <w:r>
              <w:rPr>
                <w:rFonts w:hint="eastAsia" w:ascii="宋体" w:hAnsi="宋体" w:cs="宋体"/>
                <w:i w:val="0"/>
                <w:iCs w:val="0"/>
                <w:color w:val="000000"/>
                <w:kern w:val="0"/>
                <w:sz w:val="12"/>
                <w:szCs w:val="12"/>
                <w:u w:val="none"/>
                <w:lang w:val="en-US" w:eastAsia="zh-CN" w:bidi="ar"/>
              </w:rPr>
              <w:t>周涛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项目名称</w:t>
            </w:r>
          </w:p>
        </w:tc>
        <w:tc>
          <w:tcPr>
            <w:tcW w:w="8062"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51080023T000008409172-派出所民警免费工作午餐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主管部门</w:t>
            </w:r>
          </w:p>
        </w:tc>
        <w:tc>
          <w:tcPr>
            <w:tcW w:w="50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广元市公安局部门</w:t>
            </w:r>
          </w:p>
        </w:tc>
        <w:tc>
          <w:tcPr>
            <w:tcW w:w="844"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实施单位 （盖章）</w:t>
            </w:r>
          </w:p>
        </w:tc>
        <w:tc>
          <w:tcPr>
            <w:tcW w:w="21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项目基本情况</w:t>
            </w:r>
          </w:p>
        </w:tc>
        <w:tc>
          <w:tcPr>
            <w:tcW w:w="10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1.项目年度目标完成情况</w:t>
            </w:r>
          </w:p>
        </w:tc>
        <w:tc>
          <w:tcPr>
            <w:tcW w:w="50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项目年度目标</w:t>
            </w:r>
          </w:p>
        </w:tc>
        <w:tc>
          <w:tcPr>
            <w:tcW w:w="29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50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根据四川省公安厅川公传发【2013】2020号《关于对基层公安机关落实免费工作用餐情况进行督察的通知》及广府办函[2014]4号文件，公安派出所民警免费工作午餐经费。全省公安机关按照15元/人/天，每月22天保障基层派出所民警午餐费用。保障基层派出所民警午餐费用。</w:t>
            </w:r>
          </w:p>
        </w:tc>
        <w:tc>
          <w:tcPr>
            <w:tcW w:w="29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进一步落实从优待警措施，切实解决好派出所民警免费工作午餐，有效提升派出所民警执法办案效率。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2.项目实施内容及过程概述</w:t>
            </w:r>
          </w:p>
        </w:tc>
        <w:tc>
          <w:tcPr>
            <w:tcW w:w="8062"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按月足额</w:t>
            </w:r>
            <w:r>
              <w:rPr>
                <w:rFonts w:ascii="宋体" w:hAnsi="宋体" w:eastAsia="宋体" w:cs="宋体"/>
                <w:i w:val="0"/>
                <w:iCs w:val="0"/>
                <w:color w:val="000000"/>
                <w:kern w:val="0"/>
                <w:sz w:val="12"/>
                <w:szCs w:val="12"/>
                <w:u w:val="none"/>
                <w:lang w:val="en-US" w:eastAsia="zh-CN" w:bidi="ar"/>
              </w:rPr>
              <w:t>保障5名派出所民警午餐，每人每天15元，每月不少于22天。严格财经纪律，严格财务制度，项目完成率100%，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预算执行情况（10分）</w:t>
            </w: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年度预算数（万元）</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年初预算</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调整后预算数</w:t>
            </w: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预算执行数</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预算执行率</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总额</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2"/>
                <w:szCs w:val="12"/>
                <w:u w:val="none"/>
                <w:lang w:val="en-US" w:eastAsia="zh-CN"/>
              </w:rPr>
            </w:pPr>
            <w:r>
              <w:rPr>
                <w:rFonts w:hint="eastAsia" w:ascii="宋体" w:hAnsi="宋体" w:eastAsia="宋体" w:cs="宋体"/>
                <w:i w:val="0"/>
                <w:iCs w:val="0"/>
                <w:color w:val="000000"/>
                <w:sz w:val="12"/>
                <w:szCs w:val="12"/>
                <w:u w:val="none"/>
                <w:lang w:val="en-US" w:eastAsia="zh-CN"/>
              </w:rPr>
              <w:t>10</w:t>
            </w:r>
          </w:p>
        </w:tc>
        <w:tc>
          <w:tcPr>
            <w:tcW w:w="11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其中：财政资金</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1.98</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财政专户管理资金</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单位资金</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其他资金</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21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绩效指标（90分）</w:t>
            </w: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一级指标</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二级指标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三级指标</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指标值</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度量单位</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完成值</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产出指标</w:t>
            </w:r>
          </w:p>
        </w:tc>
        <w:tc>
          <w:tcPr>
            <w:tcW w:w="13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数量指标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免费午餐补助标准</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330</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元/月</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330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享受免费午餐补助人数</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人数</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质量指标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保障到位率</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时效指标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完成任务时间</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12</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月</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12</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效益指标</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社会效益指标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保障社会治安稳定</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定性</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良</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良</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满意度指标</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服务对象满意度指标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民警满意度</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成本指标</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经济成本指标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保障标准</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330</w:t>
            </w:r>
          </w:p>
        </w:tc>
        <w:tc>
          <w:tcPr>
            <w:tcW w:w="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元/月</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330</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449"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合计</w:t>
            </w:r>
          </w:p>
        </w:tc>
        <w:tc>
          <w:tcPr>
            <w:tcW w:w="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1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评价结论</w:t>
            </w:r>
          </w:p>
        </w:tc>
        <w:tc>
          <w:tcPr>
            <w:tcW w:w="907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微软雅黑" w:hAnsi="微软雅黑" w:eastAsia="微软雅黑" w:cs="微软雅黑"/>
                <w:i w:val="0"/>
                <w:iCs w:val="0"/>
                <w:color w:val="000000"/>
                <w:kern w:val="0"/>
                <w:sz w:val="12"/>
                <w:szCs w:val="12"/>
                <w:u w:val="none"/>
                <w:lang w:val="en-US" w:eastAsia="zh-CN" w:bidi="ar"/>
              </w:rPr>
              <w:t>按月保障派出所午餐，全面保障民警基本生活。民警每天在岗在位，收集不稳定因素，主动化解矛盾纠纷，确保辖区社会治安稳定。经自评，该项目得分98分。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存在问题</w:t>
            </w:r>
          </w:p>
        </w:tc>
        <w:tc>
          <w:tcPr>
            <w:tcW w:w="907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保障标准较低，已不能平衡日益增长的物价水平，</w:t>
            </w:r>
            <w:r>
              <w:rPr>
                <w:rFonts w:hint="eastAsia" w:ascii="宋体" w:hAnsi="宋体" w:cs="宋体"/>
                <w:i w:val="0"/>
                <w:iCs w:val="0"/>
                <w:color w:val="000000"/>
                <w:kern w:val="0"/>
                <w:sz w:val="12"/>
                <w:szCs w:val="12"/>
                <w:u w:val="none"/>
                <w:lang w:val="en-US" w:eastAsia="zh-CN" w:bidi="ar"/>
              </w:rPr>
              <w:t>建议提高保障标准</w:t>
            </w: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改进措施</w:t>
            </w:r>
          </w:p>
        </w:tc>
        <w:tc>
          <w:tcPr>
            <w:tcW w:w="907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项目负责人：</w:t>
            </w:r>
          </w:p>
        </w:tc>
        <w:tc>
          <w:tcPr>
            <w:tcW w:w="432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2"/>
                <w:szCs w:val="12"/>
                <w:u w:val="none"/>
                <w:lang w:val="en-US"/>
              </w:rPr>
            </w:pPr>
            <w:r>
              <w:rPr>
                <w:rFonts w:hint="eastAsia" w:ascii="黑体" w:hAnsi="黑体" w:eastAsia="黑体" w:cs="黑体"/>
                <w:i w:val="0"/>
                <w:iCs w:val="0"/>
                <w:color w:val="000000"/>
                <w:kern w:val="0"/>
                <w:sz w:val="12"/>
                <w:szCs w:val="12"/>
                <w:u w:val="none"/>
                <w:lang w:val="en-US" w:eastAsia="zh-CN" w:bidi="ar"/>
              </w:rPr>
              <w:t>财务负责人：周涛</w:t>
            </w:r>
          </w:p>
        </w:tc>
      </w:tr>
    </w:tbl>
    <w:p>
      <w:pPr>
        <w:rPr>
          <w:lang w:val="zh-CN"/>
        </w:rPr>
      </w:pPr>
    </w:p>
    <w:tbl>
      <w:tblPr>
        <w:tblStyle w:val="16"/>
        <w:tblW w:w="931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954"/>
        <w:gridCol w:w="1175"/>
        <w:gridCol w:w="1237"/>
        <w:gridCol w:w="788"/>
        <w:gridCol w:w="600"/>
        <w:gridCol w:w="812"/>
        <w:gridCol w:w="888"/>
        <w:gridCol w:w="537"/>
        <w:gridCol w:w="463"/>
        <w:gridCol w:w="1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项目名称</w:t>
            </w:r>
          </w:p>
        </w:tc>
        <w:tc>
          <w:tcPr>
            <w:tcW w:w="76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51080023T000008409265-民警法定工作日之外加班补贴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主管部门</w:t>
            </w:r>
          </w:p>
        </w:tc>
        <w:tc>
          <w:tcPr>
            <w:tcW w:w="46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广元市公安局部门</w:t>
            </w:r>
          </w:p>
        </w:tc>
        <w:tc>
          <w:tcPr>
            <w:tcW w:w="88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实施单位 （盖章）</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项目基本情况</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1.项目年度目标完成情况</w:t>
            </w:r>
          </w:p>
        </w:tc>
        <w:tc>
          <w:tcPr>
            <w:tcW w:w="46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项目年度目标</w:t>
            </w:r>
          </w:p>
        </w:tc>
        <w:tc>
          <w:tcPr>
            <w:tcW w:w="30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6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根据《人力资源社会保障部 财政部关于执行人民经常法定工作日之外加班补贴有关问题的通知》人社部规{2017}19号，每人每月加班补助710元。人民警察任务繁重，时常处于备勤值班状态，加班补贴的发放能有效提升人民警察的幸福感，提升执行力。</w:t>
            </w:r>
          </w:p>
        </w:tc>
        <w:tc>
          <w:tcPr>
            <w:tcW w:w="30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严格考勤人民警察的加班天数，按月打表、按月</w:t>
            </w:r>
            <w:r>
              <w:rPr>
                <w:rFonts w:hint="eastAsia" w:ascii="宋体" w:hAnsi="宋体" w:cs="宋体"/>
                <w:i w:val="0"/>
                <w:iCs w:val="0"/>
                <w:color w:val="000000"/>
                <w:kern w:val="0"/>
                <w:sz w:val="12"/>
                <w:szCs w:val="12"/>
                <w:u w:val="none"/>
                <w:lang w:val="en-US" w:eastAsia="zh-CN" w:bidi="ar"/>
              </w:rPr>
              <w:t>足额</w:t>
            </w:r>
            <w:r>
              <w:rPr>
                <w:rFonts w:hint="eastAsia" w:ascii="宋体" w:hAnsi="宋体" w:eastAsia="宋体" w:cs="宋体"/>
                <w:i w:val="0"/>
                <w:iCs w:val="0"/>
                <w:color w:val="000000"/>
                <w:kern w:val="0"/>
                <w:sz w:val="12"/>
                <w:szCs w:val="12"/>
                <w:u w:val="none"/>
                <w:lang w:val="en-US" w:eastAsia="zh-CN" w:bidi="ar"/>
              </w:rPr>
              <w:t>发放，</w:t>
            </w:r>
            <w:r>
              <w:rPr>
                <w:rFonts w:ascii="宋体" w:hAnsi="宋体" w:eastAsia="宋体" w:cs="宋体"/>
                <w:i w:val="0"/>
                <w:iCs w:val="0"/>
                <w:color w:val="000000"/>
                <w:kern w:val="0"/>
                <w:sz w:val="12"/>
                <w:szCs w:val="12"/>
                <w:u w:val="none"/>
                <w:lang w:val="en-US" w:eastAsia="zh-CN" w:bidi="ar"/>
              </w:rPr>
              <w:t>有效提升人民警察的幸福感，提升执行力。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2.项目实施内容及过程概述</w:t>
            </w:r>
          </w:p>
        </w:tc>
        <w:tc>
          <w:tcPr>
            <w:tcW w:w="76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sz w:val="12"/>
                <w:szCs w:val="12"/>
                <w:u w:val="none"/>
              </w:rPr>
              <w:t>我局按照法定节日100元/天、周末80元/天，截止202</w:t>
            </w:r>
            <w:r>
              <w:rPr>
                <w:rFonts w:hint="eastAsia" w:ascii="宋体" w:hAnsi="宋体" w:eastAsia="宋体" w:cs="宋体"/>
                <w:i w:val="0"/>
                <w:iCs w:val="0"/>
                <w:color w:val="000000"/>
                <w:sz w:val="12"/>
                <w:szCs w:val="12"/>
                <w:u w:val="none"/>
                <w:lang w:val="en-US" w:eastAsia="zh-CN"/>
              </w:rPr>
              <w:t>3</w:t>
            </w:r>
            <w:r>
              <w:rPr>
                <w:rFonts w:hint="eastAsia" w:ascii="宋体" w:hAnsi="宋体" w:eastAsia="宋体" w:cs="宋体"/>
                <w:i w:val="0"/>
                <w:iCs w:val="0"/>
                <w:color w:val="000000"/>
                <w:sz w:val="12"/>
                <w:szCs w:val="12"/>
                <w:u w:val="none"/>
              </w:rPr>
              <w:t>年12月31日前，警察法定节假日之外加班补贴</w:t>
            </w:r>
            <w:r>
              <w:rPr>
                <w:rFonts w:ascii="宋体" w:hAnsi="宋体" w:eastAsia="宋体" w:cs="宋体"/>
                <w:i w:val="0"/>
                <w:iCs w:val="0"/>
                <w:color w:val="000000"/>
                <w:kern w:val="0"/>
                <w:sz w:val="12"/>
                <w:szCs w:val="12"/>
                <w:u w:val="none"/>
                <w:lang w:val="en-US" w:eastAsia="zh-CN" w:bidi="ar"/>
              </w:rPr>
              <w:t>发放率100%。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预算执行情况（10分）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年度预算数（万元）</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年初预算</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调整后预算数</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预算执行数</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总额</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2"/>
                <w:szCs w:val="12"/>
                <w:u w:val="none"/>
                <w:lang w:val="en-US" w:eastAsia="zh-CN"/>
              </w:rPr>
            </w:pPr>
            <w:r>
              <w:rPr>
                <w:rFonts w:hint="eastAsia" w:ascii="宋体" w:hAnsi="宋体" w:eastAsia="宋体" w:cs="宋体"/>
                <w:i w:val="0"/>
                <w:iCs w:val="0"/>
                <w:color w:val="000000"/>
                <w:sz w:val="12"/>
                <w:szCs w:val="12"/>
                <w:u w:val="none"/>
                <w:lang w:val="en-US" w:eastAsia="zh-CN"/>
              </w:rPr>
              <w:t>10</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其中：财政资金</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财政专户管理资金</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单位资金</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其他资金</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绩效指标（90分）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一级指标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二级指标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三级指标</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指标性质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指标值</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度量单位</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完成值</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产出指标</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数量指标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民警人数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19</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19</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民警加班总天数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72</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72</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质量指标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足额发放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16.19</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万元</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16.19</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加班考核合格率</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时效指标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完成任务时间</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效益指标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社会效益指标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辖区社会治安平稳</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定性</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良</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良</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满意度指标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服务对象满意度指标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民警满意度</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成本指标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经济成本指标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节假日加班标准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710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元/月</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710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合计</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2"/>
                <w:szCs w:val="12"/>
                <w:u w:val="none"/>
                <w:lang w:val="en-US" w:eastAsia="zh-CN"/>
              </w:rPr>
            </w:pPr>
            <w:r>
              <w:rPr>
                <w:rFonts w:hint="eastAsia" w:ascii="宋体" w:hAnsi="宋体" w:eastAsia="宋体" w:cs="宋体"/>
                <w:i w:val="0"/>
                <w:iCs w:val="0"/>
                <w:color w:val="000000"/>
                <w:sz w:val="12"/>
                <w:szCs w:val="12"/>
                <w:u w:val="none"/>
                <w:lang w:val="en-US" w:eastAsia="zh-CN"/>
              </w:rPr>
              <w:t>100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评价结论</w:t>
            </w:r>
          </w:p>
        </w:tc>
        <w:tc>
          <w:tcPr>
            <w:tcW w:w="86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有效提升了人民警察的幸福感、职业荣誉感和战斗执行力，推动了公安工作持续健康发展。经自评，该项目得分</w:t>
            </w:r>
            <w:r>
              <w:rPr>
                <w:rFonts w:hint="eastAsia" w:ascii="宋体" w:hAnsi="宋体" w:cs="宋体"/>
                <w:i w:val="0"/>
                <w:iCs w:val="0"/>
                <w:color w:val="000000"/>
                <w:kern w:val="0"/>
                <w:sz w:val="12"/>
                <w:szCs w:val="12"/>
                <w:u w:val="none"/>
                <w:lang w:val="en-US" w:eastAsia="zh-CN" w:bidi="ar"/>
              </w:rPr>
              <w:t>100</w:t>
            </w:r>
            <w:r>
              <w:rPr>
                <w:rFonts w:hint="eastAsia" w:ascii="宋体" w:hAnsi="宋体" w:eastAsia="宋体" w:cs="宋体"/>
                <w:i w:val="0"/>
                <w:iCs w:val="0"/>
                <w:color w:val="000000"/>
                <w:kern w:val="0"/>
                <w:sz w:val="12"/>
                <w:szCs w:val="12"/>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存在问题</w:t>
            </w:r>
          </w:p>
        </w:tc>
        <w:tc>
          <w:tcPr>
            <w:tcW w:w="86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改进措施</w:t>
            </w:r>
          </w:p>
        </w:tc>
        <w:tc>
          <w:tcPr>
            <w:tcW w:w="86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项目负责人：</w:t>
            </w:r>
          </w:p>
        </w:tc>
        <w:tc>
          <w:tcPr>
            <w:tcW w:w="44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2"/>
                <w:szCs w:val="12"/>
                <w:u w:val="none"/>
                <w:lang w:val="en-US"/>
              </w:rPr>
            </w:pPr>
            <w:r>
              <w:rPr>
                <w:rFonts w:hint="eastAsia" w:ascii="黑体" w:hAnsi="黑体" w:eastAsia="黑体" w:cs="黑体"/>
                <w:i w:val="0"/>
                <w:iCs w:val="0"/>
                <w:color w:val="000000"/>
                <w:kern w:val="0"/>
                <w:sz w:val="12"/>
                <w:szCs w:val="12"/>
                <w:u w:val="none"/>
                <w:lang w:val="en-US" w:eastAsia="zh-CN" w:bidi="ar"/>
              </w:rPr>
              <w:t>财务负责人：周涛</w:t>
            </w:r>
          </w:p>
        </w:tc>
      </w:tr>
    </w:tbl>
    <w:tbl>
      <w:tblPr>
        <w:tblStyle w:val="16"/>
        <w:tblpPr w:leftFromText="180" w:rightFromText="180" w:vertAnchor="text" w:horzAnchor="page" w:tblpX="1423" w:tblpY="285"/>
        <w:tblOverlap w:val="never"/>
        <w:tblW w:w="98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1"/>
        <w:gridCol w:w="1221"/>
        <w:gridCol w:w="1083"/>
        <w:gridCol w:w="1442"/>
        <w:gridCol w:w="762"/>
        <w:gridCol w:w="588"/>
        <w:gridCol w:w="648"/>
        <w:gridCol w:w="889"/>
        <w:gridCol w:w="450"/>
        <w:gridCol w:w="513"/>
        <w:gridCol w:w="17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bookmarkStart w:id="96" w:name="_Toc471797705"/>
            <w:bookmarkStart w:id="97" w:name="_Toc15396618"/>
            <w:bookmarkStart w:id="98" w:name="_Toc1108186007"/>
            <w:r>
              <w:rPr>
                <w:rFonts w:ascii="宋体" w:hAnsi="宋体" w:eastAsia="宋体" w:cs="宋体"/>
                <w:i w:val="0"/>
                <w:iCs w:val="0"/>
                <w:color w:val="000000"/>
                <w:kern w:val="0"/>
                <w:sz w:val="12"/>
                <w:szCs w:val="12"/>
                <w:u w:val="none"/>
                <w:lang w:val="en-US" w:eastAsia="zh-CN" w:bidi="ar"/>
              </w:rPr>
              <w:t>项目名称</w:t>
            </w:r>
          </w:p>
        </w:tc>
        <w:tc>
          <w:tcPr>
            <w:tcW w:w="81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51080021T000000057324-警务辅助专项经费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主管部门</w:t>
            </w:r>
          </w:p>
        </w:tc>
        <w:tc>
          <w:tcPr>
            <w:tcW w:w="45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广元市公安局部门</w:t>
            </w:r>
          </w:p>
        </w:tc>
        <w:tc>
          <w:tcPr>
            <w:tcW w:w="88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实施单位 （盖章）</w:t>
            </w:r>
          </w:p>
        </w:tc>
        <w:tc>
          <w:tcPr>
            <w:tcW w:w="27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项目基本情况</w:t>
            </w: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1.项目年度目标完成情况</w:t>
            </w:r>
          </w:p>
        </w:tc>
        <w:tc>
          <w:tcPr>
            <w:tcW w:w="45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项目年度目标</w:t>
            </w:r>
          </w:p>
        </w:tc>
        <w:tc>
          <w:tcPr>
            <w:tcW w:w="3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5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依照公安部、省公安厅和市公安局对辅警工作运转和业务培训的相关要求，完成对全局</w:t>
            </w:r>
            <w:r>
              <w:rPr>
                <w:rFonts w:hint="eastAsia" w:ascii="宋体" w:hAnsi="宋体" w:cs="宋体"/>
                <w:i w:val="0"/>
                <w:iCs w:val="0"/>
                <w:color w:val="000000"/>
                <w:kern w:val="0"/>
                <w:sz w:val="12"/>
                <w:szCs w:val="12"/>
                <w:u w:val="none"/>
                <w:lang w:val="en-US" w:eastAsia="zh-CN" w:bidi="ar"/>
              </w:rPr>
              <w:t>10</w:t>
            </w:r>
            <w:r>
              <w:rPr>
                <w:rFonts w:hint="eastAsia" w:ascii="宋体" w:hAnsi="宋体" w:eastAsia="宋体" w:cs="宋体"/>
                <w:i w:val="0"/>
                <w:iCs w:val="0"/>
                <w:color w:val="000000"/>
                <w:kern w:val="0"/>
                <w:sz w:val="12"/>
                <w:szCs w:val="12"/>
                <w:u w:val="none"/>
                <w:lang w:val="en-US" w:eastAsia="zh-CN" w:bidi="ar"/>
              </w:rPr>
              <w:t>名警务辅助人员的工作正常运转保障及工作业务培训。</w:t>
            </w:r>
          </w:p>
        </w:tc>
        <w:tc>
          <w:tcPr>
            <w:tcW w:w="3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全年及时完成对全局10名警务辅助人员的工作正常运转保障及工作业务培训，工作合格率、完成率均达到100%。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2.项目实施内容及过程概述</w:t>
            </w:r>
          </w:p>
        </w:tc>
        <w:tc>
          <w:tcPr>
            <w:tcW w:w="81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保障全局</w:t>
            </w:r>
            <w:r>
              <w:rPr>
                <w:rFonts w:hint="eastAsia" w:ascii="宋体" w:hAnsi="宋体" w:cs="宋体"/>
                <w:i w:val="0"/>
                <w:iCs w:val="0"/>
                <w:color w:val="000000"/>
                <w:kern w:val="0"/>
                <w:sz w:val="12"/>
                <w:szCs w:val="12"/>
                <w:u w:val="none"/>
                <w:lang w:val="en-US" w:eastAsia="zh-CN" w:bidi="ar"/>
              </w:rPr>
              <w:t>10</w:t>
            </w:r>
            <w:r>
              <w:rPr>
                <w:rFonts w:hint="eastAsia" w:ascii="宋体" w:hAnsi="宋体" w:eastAsia="宋体" w:cs="宋体"/>
                <w:i w:val="0"/>
                <w:iCs w:val="0"/>
                <w:color w:val="000000"/>
                <w:kern w:val="0"/>
                <w:sz w:val="12"/>
                <w:szCs w:val="12"/>
                <w:u w:val="none"/>
                <w:lang w:val="en-US" w:eastAsia="zh-CN" w:bidi="ar"/>
              </w:rPr>
              <w:t>名辅警的工资福利、办公经费、警用服装及社会保险的缴纳，使其更好的开展警务</w:t>
            </w:r>
            <w:r>
              <w:rPr>
                <w:rFonts w:hint="eastAsia" w:ascii="宋体" w:hAnsi="宋体" w:cs="宋体"/>
                <w:i w:val="0"/>
                <w:iCs w:val="0"/>
                <w:color w:val="000000"/>
                <w:kern w:val="0"/>
                <w:sz w:val="12"/>
                <w:szCs w:val="12"/>
                <w:u w:val="none"/>
                <w:lang w:val="en-US" w:eastAsia="zh-CN" w:bidi="ar"/>
              </w:rPr>
              <w:t>辅助</w:t>
            </w:r>
            <w:r>
              <w:rPr>
                <w:rFonts w:hint="eastAsia" w:ascii="宋体" w:hAnsi="宋体" w:eastAsia="宋体" w:cs="宋体"/>
                <w:i w:val="0"/>
                <w:iCs w:val="0"/>
                <w:color w:val="000000"/>
                <w:kern w:val="0"/>
                <w:sz w:val="12"/>
                <w:szCs w:val="12"/>
                <w:u w:val="none"/>
                <w:lang w:val="en-US" w:eastAsia="zh-CN" w:bidi="ar"/>
              </w:rPr>
              <w:t>工作，</w:t>
            </w:r>
            <w:r>
              <w:rPr>
                <w:rFonts w:ascii="宋体" w:hAnsi="宋体" w:eastAsia="宋体" w:cs="宋体"/>
                <w:i w:val="0"/>
                <w:iCs w:val="0"/>
                <w:color w:val="000000"/>
                <w:kern w:val="0"/>
                <w:sz w:val="12"/>
                <w:szCs w:val="12"/>
                <w:u w:val="none"/>
                <w:lang w:val="en-US" w:eastAsia="zh-CN" w:bidi="ar"/>
              </w:rPr>
              <w:t>确保机场</w:t>
            </w:r>
            <w:r>
              <w:rPr>
                <w:rFonts w:hint="eastAsia" w:ascii="宋体" w:hAnsi="宋体" w:cs="宋体"/>
                <w:i w:val="0"/>
                <w:iCs w:val="0"/>
                <w:color w:val="000000"/>
                <w:kern w:val="0"/>
                <w:sz w:val="12"/>
                <w:szCs w:val="12"/>
                <w:u w:val="none"/>
                <w:lang w:val="en-US" w:eastAsia="zh-CN" w:bidi="ar"/>
              </w:rPr>
              <w:t>辖区治安稳定</w:t>
            </w:r>
            <w:r>
              <w:rPr>
                <w:rFonts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预算执行情况（10分）</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年度预算数（万元）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年初预算</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调整后预算数</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预算执行率</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总额</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2"/>
                <w:szCs w:val="12"/>
                <w:u w:val="none"/>
                <w:lang w:val="en-US" w:eastAsia="zh-CN"/>
              </w:rPr>
            </w:pPr>
            <w:r>
              <w:rPr>
                <w:rFonts w:hint="eastAsia" w:ascii="宋体" w:hAnsi="宋体" w:cs="宋体"/>
                <w:i w:val="0"/>
                <w:iCs w:val="0"/>
                <w:color w:val="000000"/>
                <w:sz w:val="12"/>
                <w:szCs w:val="12"/>
                <w:u w:val="none"/>
                <w:lang w:val="en-US" w:eastAsia="zh-CN"/>
              </w:rPr>
              <w:t>10</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其中：财政资金</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45.00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财政专户管理资金</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单位资金</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其他资金</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绩效指标（90分）</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一级指标</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二级指标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三级指标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指标性质</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指标值</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度量单位</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完成值</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权重</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得分</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产出指标</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数量指标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年巡逻次数</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730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人次</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730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人均驻勤天数</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天</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质量指标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见警率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特定任务完成率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协助案件侦破率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时效指标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治安案件办理周期</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48</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小时</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48</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巡逻时长</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12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小时/天</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12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效益指标</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经济效益指标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辅警工资增长率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社会效益指标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带动就业率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维护社会稳定</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定性</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良</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年</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良</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可持续影响指标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辅警队伍稳定率</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80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80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满意度指标</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服务对象满意度指标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民警满意度</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辅警满意度</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95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95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5</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成本指标</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经济成本指标</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工资薪金及五险一金</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40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万元</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40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2"/>
                <w:szCs w:val="12"/>
                <w:u w:val="none"/>
              </w:rPr>
            </w:pPr>
            <w:r>
              <w:rPr>
                <w:rFonts w:ascii="宋体" w:hAnsi="宋体" w:eastAsia="宋体" w:cs="宋体"/>
                <w:i w:val="0"/>
                <w:iCs w:val="0"/>
                <w:color w:val="000000"/>
                <w:kern w:val="0"/>
                <w:sz w:val="12"/>
                <w:szCs w:val="12"/>
                <w:u w:val="none"/>
                <w:lang w:val="en-US" w:eastAsia="zh-CN" w:bidi="ar"/>
              </w:rPr>
              <w:t>20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ascii="宋体" w:hAnsi="宋体" w:eastAsia="宋体" w:cs="宋体"/>
                <w:i w:val="0"/>
                <w:iCs w:val="0"/>
                <w:color w:val="000000"/>
                <w:kern w:val="0"/>
                <w:sz w:val="12"/>
                <w:szCs w:val="12"/>
                <w:u w:val="none"/>
                <w:lang w:val="en-US" w:eastAsia="zh-CN" w:bidi="ar"/>
              </w:rPr>
              <w:t>20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合计</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cs="宋体"/>
                <w:i w:val="0"/>
                <w:iCs w:val="0"/>
                <w:color w:val="000000"/>
                <w:kern w:val="0"/>
                <w:sz w:val="12"/>
                <w:szCs w:val="12"/>
                <w:u w:val="none"/>
                <w:lang w:val="en-US" w:eastAsia="zh-CN" w:bidi="ar"/>
              </w:rPr>
              <w:t>100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评价结论</w:t>
            </w:r>
          </w:p>
        </w:tc>
        <w:tc>
          <w:tcPr>
            <w:tcW w:w="93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有效提升了辅警人员的技能，增强了对维护社会治安的辅助作用，带动了就业率，促进了社会和谐稳定及队伍稳定，辅警满意度进一步提高。经自评，该项</w:t>
            </w:r>
            <w:r>
              <w:rPr>
                <w:rFonts w:hint="eastAsia" w:ascii="宋体" w:hAnsi="宋体" w:cs="宋体"/>
                <w:i w:val="0"/>
                <w:iCs w:val="0"/>
                <w:color w:val="000000"/>
                <w:kern w:val="0"/>
                <w:sz w:val="12"/>
                <w:szCs w:val="12"/>
                <w:u w:val="none"/>
                <w:lang w:val="en-US" w:eastAsia="zh-CN" w:bidi="ar"/>
              </w:rPr>
              <w:t>目</w:t>
            </w:r>
            <w:r>
              <w:rPr>
                <w:rFonts w:hint="eastAsia" w:ascii="宋体" w:hAnsi="宋体" w:eastAsia="宋体" w:cs="宋体"/>
                <w:i w:val="0"/>
                <w:iCs w:val="0"/>
                <w:color w:val="000000"/>
                <w:kern w:val="0"/>
                <w:sz w:val="12"/>
                <w:szCs w:val="12"/>
                <w:u w:val="none"/>
                <w:lang w:val="en-US" w:eastAsia="zh-CN" w:bidi="ar"/>
              </w:rPr>
              <w:t>得分</w:t>
            </w:r>
            <w:r>
              <w:rPr>
                <w:rFonts w:hint="eastAsia" w:ascii="宋体" w:hAnsi="宋体" w:cs="宋体"/>
                <w:i w:val="0"/>
                <w:iCs w:val="0"/>
                <w:color w:val="000000"/>
                <w:kern w:val="0"/>
                <w:sz w:val="12"/>
                <w:szCs w:val="12"/>
                <w:u w:val="none"/>
                <w:lang w:val="en-US" w:eastAsia="zh-CN" w:bidi="ar"/>
              </w:rPr>
              <w:t>100</w:t>
            </w:r>
            <w:r>
              <w:rPr>
                <w:rFonts w:hint="eastAsia" w:ascii="宋体" w:hAnsi="宋体" w:eastAsia="宋体" w:cs="宋体"/>
                <w:i w:val="0"/>
                <w:iCs w:val="0"/>
                <w:color w:val="000000"/>
                <w:kern w:val="0"/>
                <w:sz w:val="12"/>
                <w:szCs w:val="12"/>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存在问题</w:t>
            </w:r>
          </w:p>
        </w:tc>
        <w:tc>
          <w:tcPr>
            <w:tcW w:w="93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2"/>
                <w:szCs w:val="12"/>
                <w:u w:val="none"/>
                <w:lang w:val="en-US" w:eastAsia="zh-CN" w:bidi="ar"/>
              </w:rPr>
            </w:pPr>
            <w:r>
              <w:rPr>
                <w:rFonts w:ascii="宋体" w:hAnsi="宋体" w:eastAsia="宋体" w:cs="宋体"/>
                <w:i w:val="0"/>
                <w:iCs w:val="0"/>
                <w:color w:val="000000"/>
                <w:kern w:val="0"/>
                <w:sz w:val="12"/>
                <w:szCs w:val="12"/>
                <w:u w:val="none"/>
                <w:lang w:val="en-US" w:eastAsia="zh-CN" w:bidi="ar"/>
              </w:rPr>
              <w:t>改进措施</w:t>
            </w:r>
          </w:p>
        </w:tc>
        <w:tc>
          <w:tcPr>
            <w:tcW w:w="93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9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项目负责人：</w:t>
            </w:r>
          </w:p>
        </w:tc>
        <w:tc>
          <w:tcPr>
            <w:tcW w:w="48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财务负责人：</w:t>
            </w:r>
            <w:r>
              <w:rPr>
                <w:rFonts w:hint="eastAsia" w:ascii="宋体" w:hAnsi="宋体" w:cs="宋体"/>
                <w:i w:val="0"/>
                <w:iCs w:val="0"/>
                <w:color w:val="000000"/>
                <w:kern w:val="0"/>
                <w:sz w:val="12"/>
                <w:szCs w:val="12"/>
                <w:u w:val="none"/>
                <w:lang w:val="en-US" w:eastAsia="zh-CN" w:bidi="ar"/>
              </w:rPr>
              <w:t>周涛</w:t>
            </w:r>
          </w:p>
        </w:tc>
      </w:tr>
      <w:bookmarkEnd w:id="79"/>
      <w:bookmarkEnd w:id="96"/>
      <w:bookmarkEnd w:id="97"/>
      <w:bookmarkEnd w:id="98"/>
    </w:tbl>
    <w:tbl>
      <w:tblPr>
        <w:tblStyle w:val="16"/>
        <w:tblW w:w="94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1199"/>
        <w:gridCol w:w="1139"/>
        <w:gridCol w:w="1589"/>
        <w:gridCol w:w="521"/>
        <w:gridCol w:w="794"/>
        <w:gridCol w:w="435"/>
        <w:gridCol w:w="810"/>
        <w:gridCol w:w="505"/>
        <w:gridCol w:w="456"/>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bookmarkStart w:id="99" w:name="_Toc15396619"/>
            <w:r>
              <w:rPr>
                <w:rFonts w:hint="eastAsia" w:ascii="宋体" w:hAnsi="宋体" w:eastAsia="宋体" w:cs="宋体"/>
                <w:i w:val="0"/>
                <w:iCs w:val="0"/>
                <w:color w:val="000000"/>
                <w:kern w:val="0"/>
                <w:sz w:val="12"/>
                <w:szCs w:val="12"/>
                <w:u w:val="none"/>
                <w:lang w:val="en-US" w:eastAsia="zh-CN" w:bidi="ar"/>
              </w:rPr>
              <w:t>项目名称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81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由人事部门提供考核表，财务部门进行发放。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374.39</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348.36</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341.23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97.95%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374.39</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348.36</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341.23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97.95%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1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w:t>
            </w:r>
          </w:p>
        </w:tc>
        <w:tc>
          <w:tcPr>
            <w:tcW w:w="4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pPr>
        <w:spacing w:line="600" w:lineRule="exact"/>
        <w:jc w:val="center"/>
        <w:outlineLvl w:val="9"/>
        <w:rPr>
          <w:rFonts w:hint="eastAsia" w:ascii="黑体" w:hAnsi="黑体" w:eastAsia="黑体" w:cs="黑体"/>
          <w:sz w:val="44"/>
          <w:szCs w:val="44"/>
          <w:lang w:val="en-US" w:eastAsia="zh-CN"/>
        </w:rPr>
      </w:pPr>
    </w:p>
    <w:p>
      <w:pPr>
        <w:spacing w:line="600" w:lineRule="exact"/>
        <w:jc w:val="center"/>
        <w:outlineLvl w:val="9"/>
        <w:rPr>
          <w:rFonts w:hint="eastAsia" w:ascii="黑体" w:hAnsi="黑体" w:eastAsia="黑体" w:cs="黑体"/>
          <w:sz w:val="44"/>
          <w:szCs w:val="44"/>
          <w:lang w:val="en-US" w:eastAsia="zh-CN"/>
        </w:rPr>
      </w:pPr>
    </w:p>
    <w:tbl>
      <w:tblPr>
        <w:tblStyle w:val="16"/>
        <w:tblW w:w="94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1199"/>
        <w:gridCol w:w="1139"/>
        <w:gridCol w:w="1588"/>
        <w:gridCol w:w="521"/>
        <w:gridCol w:w="794"/>
        <w:gridCol w:w="435"/>
        <w:gridCol w:w="810"/>
        <w:gridCol w:w="505"/>
        <w:gridCol w:w="456"/>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81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离退休人员生活补贴按时、足额发放，预算编制科学合理，年末无结余资金。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根据离退休人员生活补贴标准据实发放。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1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w:t>
            </w:r>
          </w:p>
        </w:tc>
        <w:tc>
          <w:tcPr>
            <w:tcW w:w="4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pPr>
        <w:spacing w:line="600" w:lineRule="exact"/>
        <w:jc w:val="center"/>
        <w:outlineLvl w:val="9"/>
        <w:rPr>
          <w:rFonts w:hint="eastAsia" w:ascii="黑体" w:hAnsi="黑体" w:eastAsia="黑体" w:cs="黑体"/>
          <w:sz w:val="44"/>
          <w:szCs w:val="44"/>
          <w:lang w:val="en-US" w:eastAsia="zh-CN"/>
        </w:rPr>
      </w:pPr>
    </w:p>
    <w:p>
      <w:pPr>
        <w:spacing w:line="600" w:lineRule="exact"/>
        <w:jc w:val="center"/>
        <w:outlineLvl w:val="9"/>
        <w:rPr>
          <w:rFonts w:hint="eastAsia" w:ascii="黑体" w:hAnsi="黑体" w:eastAsia="黑体" w:cs="黑体"/>
          <w:sz w:val="44"/>
          <w:szCs w:val="44"/>
          <w:lang w:val="en-US" w:eastAsia="zh-CN"/>
        </w:rPr>
      </w:pPr>
    </w:p>
    <w:tbl>
      <w:tblPr>
        <w:tblStyle w:val="16"/>
        <w:tblW w:w="94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1199"/>
        <w:gridCol w:w="1139"/>
        <w:gridCol w:w="1589"/>
        <w:gridCol w:w="521"/>
        <w:gridCol w:w="794"/>
        <w:gridCol w:w="435"/>
        <w:gridCol w:w="810"/>
        <w:gridCol w:w="505"/>
        <w:gridCol w:w="456"/>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81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提高预算编制质量，严格执行预算，保障单位日常运转。</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保障单位日常运转，各项工作按时完成。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75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按照公用经费使用范围据实报销。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28.50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次</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质量指标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经济效益指标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1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7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w:t>
            </w:r>
          </w:p>
        </w:tc>
        <w:tc>
          <w:tcPr>
            <w:tcW w:w="4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pPr>
        <w:spacing w:line="600" w:lineRule="exact"/>
        <w:jc w:val="center"/>
        <w:outlineLvl w:val="0"/>
        <w:rPr>
          <w:rFonts w:hint="eastAsia" w:ascii="黑体" w:hAnsi="黑体" w:eastAsia="黑体" w:cs="黑体"/>
          <w:sz w:val="44"/>
          <w:szCs w:val="44"/>
          <w:lang w:val="en-US" w:eastAsia="zh-CN"/>
        </w:rPr>
      </w:pPr>
      <w:bookmarkStart w:id="100" w:name="_Toc28854"/>
      <w:r>
        <w:rPr>
          <w:rFonts w:hint="eastAsia" w:ascii="黑体" w:hAnsi="黑体" w:eastAsia="黑体" w:cs="黑体"/>
          <w:sz w:val="44"/>
          <w:szCs w:val="44"/>
          <w:lang w:val="en-US" w:eastAsia="zh-CN"/>
        </w:rPr>
        <w:t>第五部分  附表</w:t>
      </w:r>
      <w:bookmarkEnd w:id="100"/>
    </w:p>
    <w:p>
      <w:pPr>
        <w:pStyle w:val="4"/>
        <w:rPr>
          <w:rFonts w:ascii="仿宋" w:hAnsi="仿宋" w:eastAsia="仿宋"/>
        </w:rPr>
      </w:pPr>
      <w:bookmarkStart w:id="101" w:name="_Toc3483"/>
      <w:bookmarkStart w:id="102" w:name="_Toc1555615702"/>
      <w:bookmarkStart w:id="103" w:name="_Toc1629540619"/>
      <w:r>
        <w:rPr>
          <w:rFonts w:hint="eastAsia" w:ascii="仿宋" w:hAnsi="仿宋" w:eastAsia="仿宋"/>
          <w:b w:val="0"/>
        </w:rPr>
        <w:t>一、收</w:t>
      </w:r>
      <w:r>
        <w:rPr>
          <w:rStyle w:val="21"/>
          <w:rFonts w:hint="eastAsia" w:ascii="仿宋" w:hAnsi="仿宋" w:eastAsia="仿宋"/>
          <w:b w:val="0"/>
          <w:bCs w:val="0"/>
        </w:rPr>
        <w:t>入支出决算总表</w:t>
      </w:r>
      <w:bookmarkEnd w:id="99"/>
      <w:bookmarkEnd w:id="101"/>
      <w:bookmarkEnd w:id="102"/>
      <w:bookmarkEnd w:id="103"/>
    </w:p>
    <w:p>
      <w:pPr>
        <w:pStyle w:val="4"/>
        <w:rPr>
          <w:rFonts w:ascii="仿宋" w:hAnsi="仿宋" w:eastAsia="仿宋"/>
        </w:rPr>
      </w:pPr>
      <w:bookmarkStart w:id="104" w:name="_Toc14752"/>
      <w:bookmarkStart w:id="105" w:name="_Toc1532946779"/>
      <w:bookmarkStart w:id="106" w:name="_Toc15396620"/>
      <w:bookmarkStart w:id="107" w:name="_Toc1734038612"/>
      <w:r>
        <w:rPr>
          <w:rFonts w:hint="eastAsia" w:ascii="仿宋" w:hAnsi="仿宋" w:eastAsia="仿宋"/>
          <w:b w:val="0"/>
        </w:rPr>
        <w:t>二、收</w:t>
      </w:r>
      <w:r>
        <w:rPr>
          <w:rStyle w:val="21"/>
          <w:rFonts w:hint="eastAsia" w:ascii="仿宋" w:hAnsi="仿宋" w:eastAsia="仿宋"/>
          <w:b w:val="0"/>
          <w:bCs w:val="0"/>
        </w:rPr>
        <w:t>入决算表</w:t>
      </w:r>
      <w:bookmarkEnd w:id="104"/>
      <w:bookmarkEnd w:id="105"/>
      <w:bookmarkEnd w:id="106"/>
      <w:bookmarkEnd w:id="107"/>
    </w:p>
    <w:p>
      <w:pPr>
        <w:pStyle w:val="4"/>
        <w:rPr>
          <w:rFonts w:ascii="仿宋" w:hAnsi="仿宋" w:eastAsia="仿宋"/>
        </w:rPr>
      </w:pPr>
      <w:bookmarkStart w:id="108" w:name="_Toc2086579092"/>
      <w:bookmarkStart w:id="109" w:name="_Toc3363"/>
      <w:bookmarkStart w:id="110" w:name="_Toc1916196205"/>
      <w:bookmarkStart w:id="111" w:name="_Toc15396621"/>
      <w:r>
        <w:rPr>
          <w:rStyle w:val="21"/>
          <w:rFonts w:hint="eastAsia" w:ascii="仿宋" w:hAnsi="仿宋" w:eastAsia="仿宋"/>
          <w:b w:val="0"/>
          <w:bCs w:val="0"/>
        </w:rPr>
        <w:t>三、</w:t>
      </w:r>
      <w:r>
        <w:rPr>
          <w:rFonts w:hint="eastAsia" w:ascii="仿宋" w:hAnsi="仿宋" w:eastAsia="仿宋"/>
          <w:b w:val="0"/>
        </w:rPr>
        <w:t>支</w:t>
      </w:r>
      <w:r>
        <w:rPr>
          <w:rStyle w:val="21"/>
          <w:rFonts w:hint="eastAsia" w:ascii="仿宋" w:hAnsi="仿宋" w:eastAsia="仿宋"/>
          <w:b w:val="0"/>
          <w:bCs w:val="0"/>
        </w:rPr>
        <w:t>出决算表</w:t>
      </w:r>
      <w:bookmarkEnd w:id="108"/>
      <w:bookmarkEnd w:id="109"/>
      <w:bookmarkEnd w:id="110"/>
      <w:bookmarkEnd w:id="111"/>
    </w:p>
    <w:p>
      <w:pPr>
        <w:pStyle w:val="4"/>
        <w:rPr>
          <w:rFonts w:ascii="仿宋" w:hAnsi="仿宋" w:eastAsia="仿宋"/>
          <w:b w:val="0"/>
        </w:rPr>
      </w:pPr>
      <w:bookmarkStart w:id="112" w:name="_Toc2141436819"/>
      <w:bookmarkStart w:id="113" w:name="_Toc15396622"/>
      <w:bookmarkStart w:id="114" w:name="_Toc11472"/>
      <w:bookmarkStart w:id="115" w:name="_Toc1673154735"/>
      <w:r>
        <w:rPr>
          <w:rStyle w:val="21"/>
          <w:rFonts w:hint="eastAsia" w:ascii="仿宋" w:hAnsi="仿宋" w:eastAsia="仿宋"/>
          <w:b w:val="0"/>
          <w:bCs w:val="0"/>
        </w:rPr>
        <w:t>四、</w:t>
      </w:r>
      <w:r>
        <w:rPr>
          <w:rFonts w:hint="eastAsia" w:ascii="仿宋" w:hAnsi="仿宋" w:eastAsia="仿宋"/>
          <w:b w:val="0"/>
        </w:rPr>
        <w:t>财</w:t>
      </w:r>
      <w:r>
        <w:rPr>
          <w:rStyle w:val="21"/>
          <w:rFonts w:hint="eastAsia" w:ascii="仿宋" w:hAnsi="仿宋" w:eastAsia="仿宋"/>
          <w:b w:val="0"/>
          <w:bCs w:val="0"/>
        </w:rPr>
        <w:t>政拨款收入支出决算总表</w:t>
      </w:r>
      <w:bookmarkEnd w:id="112"/>
      <w:bookmarkEnd w:id="113"/>
      <w:bookmarkEnd w:id="114"/>
      <w:bookmarkEnd w:id="115"/>
    </w:p>
    <w:p>
      <w:pPr>
        <w:pStyle w:val="4"/>
        <w:rPr>
          <w:rStyle w:val="21"/>
          <w:rFonts w:ascii="仿宋" w:hAnsi="仿宋" w:eastAsia="仿宋"/>
          <w:b w:val="0"/>
          <w:bCs w:val="0"/>
        </w:rPr>
      </w:pPr>
      <w:bookmarkStart w:id="116" w:name="_Toc23642"/>
      <w:bookmarkStart w:id="117" w:name="_Toc15396623"/>
      <w:bookmarkStart w:id="118" w:name="_Toc1066698025"/>
      <w:bookmarkStart w:id="119" w:name="_Toc1847070843"/>
      <w:r>
        <w:rPr>
          <w:rStyle w:val="21"/>
          <w:rFonts w:hint="eastAsia" w:ascii="仿宋" w:hAnsi="仿宋" w:eastAsia="仿宋"/>
          <w:b w:val="0"/>
          <w:bCs w:val="0"/>
        </w:rPr>
        <w:t>五、</w:t>
      </w:r>
      <w:r>
        <w:rPr>
          <w:rFonts w:hint="eastAsia" w:ascii="仿宋" w:hAnsi="仿宋" w:eastAsia="仿宋"/>
          <w:b w:val="0"/>
        </w:rPr>
        <w:t>财</w:t>
      </w:r>
      <w:r>
        <w:rPr>
          <w:rStyle w:val="21"/>
          <w:rFonts w:hint="eastAsia" w:ascii="仿宋" w:hAnsi="仿宋" w:eastAsia="仿宋"/>
          <w:b w:val="0"/>
          <w:bCs w:val="0"/>
        </w:rPr>
        <w:t>政拨款支出决算明细表</w:t>
      </w:r>
      <w:bookmarkEnd w:id="116"/>
      <w:bookmarkEnd w:id="117"/>
      <w:bookmarkEnd w:id="118"/>
      <w:bookmarkEnd w:id="119"/>
      <w:bookmarkStart w:id="120" w:name="_Toc15396624"/>
    </w:p>
    <w:p>
      <w:pPr>
        <w:pStyle w:val="4"/>
        <w:rPr>
          <w:rFonts w:ascii="仿宋" w:hAnsi="仿宋" w:eastAsia="仿宋"/>
        </w:rPr>
      </w:pPr>
      <w:bookmarkStart w:id="121" w:name="_Toc19068"/>
      <w:bookmarkStart w:id="122" w:name="_Toc1850797272"/>
      <w:bookmarkStart w:id="123" w:name="_Toc1705048037"/>
      <w:r>
        <w:rPr>
          <w:rStyle w:val="21"/>
          <w:rFonts w:hint="eastAsia" w:ascii="仿宋" w:hAnsi="仿宋" w:eastAsia="仿宋"/>
          <w:b w:val="0"/>
          <w:bCs w:val="0"/>
        </w:rPr>
        <w:t>六、</w:t>
      </w:r>
      <w:r>
        <w:rPr>
          <w:rFonts w:hint="eastAsia" w:ascii="仿宋" w:hAnsi="仿宋" w:eastAsia="仿宋"/>
          <w:b w:val="0"/>
        </w:rPr>
        <w:t>一</w:t>
      </w:r>
      <w:r>
        <w:rPr>
          <w:rStyle w:val="21"/>
          <w:rFonts w:hint="eastAsia" w:ascii="仿宋" w:hAnsi="仿宋" w:eastAsia="仿宋"/>
          <w:b w:val="0"/>
          <w:bCs w:val="0"/>
        </w:rPr>
        <w:t>般公共预算财政拨款支出决算表</w:t>
      </w:r>
      <w:bookmarkEnd w:id="120"/>
      <w:bookmarkEnd w:id="121"/>
      <w:bookmarkEnd w:id="122"/>
      <w:bookmarkEnd w:id="123"/>
    </w:p>
    <w:p>
      <w:pPr>
        <w:pStyle w:val="4"/>
        <w:rPr>
          <w:rFonts w:ascii="仿宋" w:hAnsi="仿宋" w:eastAsia="仿宋"/>
        </w:rPr>
      </w:pPr>
      <w:bookmarkStart w:id="124" w:name="_Toc20608"/>
      <w:bookmarkStart w:id="125" w:name="_Toc15396625"/>
      <w:bookmarkStart w:id="126" w:name="_Toc1847679177"/>
      <w:bookmarkStart w:id="127" w:name="_Toc739226027"/>
      <w:r>
        <w:rPr>
          <w:rStyle w:val="21"/>
          <w:rFonts w:hint="eastAsia" w:ascii="仿宋" w:hAnsi="仿宋" w:eastAsia="仿宋"/>
          <w:b w:val="0"/>
          <w:bCs w:val="0"/>
        </w:rPr>
        <w:t>七、</w:t>
      </w:r>
      <w:r>
        <w:rPr>
          <w:rFonts w:hint="eastAsia" w:ascii="仿宋" w:hAnsi="仿宋" w:eastAsia="仿宋"/>
          <w:b w:val="0"/>
        </w:rPr>
        <w:t>一</w:t>
      </w:r>
      <w:r>
        <w:rPr>
          <w:rStyle w:val="21"/>
          <w:rFonts w:hint="eastAsia" w:ascii="仿宋" w:hAnsi="仿宋" w:eastAsia="仿宋"/>
          <w:b w:val="0"/>
          <w:bCs w:val="0"/>
        </w:rPr>
        <w:t>般公共预算财政拨款支出决算明细表</w:t>
      </w:r>
      <w:bookmarkEnd w:id="124"/>
      <w:bookmarkEnd w:id="125"/>
      <w:bookmarkEnd w:id="126"/>
      <w:bookmarkEnd w:id="127"/>
    </w:p>
    <w:p>
      <w:pPr>
        <w:pStyle w:val="4"/>
        <w:rPr>
          <w:rFonts w:ascii="仿宋" w:hAnsi="仿宋" w:eastAsia="仿宋"/>
        </w:rPr>
      </w:pPr>
      <w:bookmarkStart w:id="128" w:name="_Toc14631"/>
      <w:bookmarkStart w:id="129" w:name="_Toc1282333447"/>
      <w:bookmarkStart w:id="130" w:name="_Toc15396626"/>
      <w:bookmarkStart w:id="131" w:name="_Toc1523804139"/>
      <w:r>
        <w:rPr>
          <w:rStyle w:val="21"/>
          <w:rFonts w:hint="eastAsia" w:ascii="仿宋" w:hAnsi="仿宋" w:eastAsia="仿宋"/>
          <w:b w:val="0"/>
          <w:bCs w:val="0"/>
        </w:rPr>
        <w:t>八、</w:t>
      </w:r>
      <w:r>
        <w:rPr>
          <w:rFonts w:hint="eastAsia" w:ascii="仿宋" w:hAnsi="仿宋" w:eastAsia="仿宋"/>
          <w:b w:val="0"/>
        </w:rPr>
        <w:t>一</w:t>
      </w:r>
      <w:r>
        <w:rPr>
          <w:rStyle w:val="21"/>
          <w:rFonts w:hint="eastAsia" w:ascii="仿宋" w:hAnsi="仿宋" w:eastAsia="仿宋"/>
          <w:b w:val="0"/>
          <w:bCs w:val="0"/>
        </w:rPr>
        <w:t>般公共预算财政拨款基本支出决算表</w:t>
      </w:r>
      <w:bookmarkEnd w:id="128"/>
      <w:bookmarkEnd w:id="129"/>
      <w:bookmarkEnd w:id="130"/>
      <w:bookmarkEnd w:id="131"/>
    </w:p>
    <w:p>
      <w:pPr>
        <w:pStyle w:val="4"/>
        <w:rPr>
          <w:rFonts w:ascii="仿宋" w:hAnsi="仿宋" w:eastAsia="仿宋"/>
        </w:rPr>
      </w:pPr>
      <w:bookmarkStart w:id="132" w:name="_Toc248643637"/>
      <w:bookmarkStart w:id="133" w:name="_Toc2895"/>
      <w:bookmarkStart w:id="134" w:name="_Toc238631028"/>
      <w:bookmarkStart w:id="135" w:name="_Toc15396627"/>
      <w:r>
        <w:rPr>
          <w:rStyle w:val="21"/>
          <w:rFonts w:hint="eastAsia" w:ascii="仿宋" w:hAnsi="仿宋" w:eastAsia="仿宋"/>
          <w:b w:val="0"/>
          <w:bCs w:val="0"/>
        </w:rPr>
        <w:t>九、</w:t>
      </w:r>
      <w:r>
        <w:rPr>
          <w:rFonts w:hint="eastAsia" w:ascii="仿宋" w:hAnsi="仿宋" w:eastAsia="仿宋"/>
          <w:b w:val="0"/>
        </w:rPr>
        <w:t>一</w:t>
      </w:r>
      <w:r>
        <w:rPr>
          <w:rStyle w:val="21"/>
          <w:rFonts w:hint="eastAsia" w:ascii="仿宋" w:hAnsi="仿宋" w:eastAsia="仿宋"/>
          <w:b w:val="0"/>
          <w:bCs w:val="0"/>
        </w:rPr>
        <w:t>般公共预算财政拨款项目支出决算表</w:t>
      </w:r>
      <w:bookmarkEnd w:id="132"/>
      <w:bookmarkEnd w:id="133"/>
      <w:bookmarkEnd w:id="134"/>
      <w:bookmarkEnd w:id="135"/>
    </w:p>
    <w:p>
      <w:pPr>
        <w:pStyle w:val="4"/>
        <w:rPr>
          <w:rFonts w:ascii="仿宋" w:hAnsi="仿宋" w:eastAsia="仿宋"/>
        </w:rPr>
      </w:pPr>
      <w:bookmarkStart w:id="136" w:name="_Toc15396628"/>
      <w:bookmarkStart w:id="137" w:name="_Toc1163143240"/>
      <w:bookmarkStart w:id="138" w:name="_Toc709416101"/>
      <w:bookmarkStart w:id="139" w:name="_Toc15347"/>
      <w:r>
        <w:rPr>
          <w:rStyle w:val="21"/>
          <w:rFonts w:hint="eastAsia" w:ascii="仿宋" w:hAnsi="仿宋" w:eastAsia="仿宋"/>
          <w:b w:val="0"/>
          <w:bCs w:val="0"/>
        </w:rPr>
        <w:t>十、</w:t>
      </w:r>
      <w:bookmarkEnd w:id="136"/>
      <w:r>
        <w:rPr>
          <w:rFonts w:hint="eastAsia" w:ascii="仿宋" w:hAnsi="仿宋" w:eastAsia="仿宋"/>
          <w:b w:val="0"/>
        </w:rPr>
        <w:t>政</w:t>
      </w:r>
      <w:r>
        <w:rPr>
          <w:rStyle w:val="21"/>
          <w:rFonts w:hint="eastAsia" w:ascii="仿宋" w:hAnsi="仿宋" w:eastAsia="仿宋"/>
          <w:b w:val="0"/>
          <w:bCs w:val="0"/>
        </w:rPr>
        <w:t>府性基金预算财政拨款收入支出决算表</w:t>
      </w:r>
      <w:bookmarkEnd w:id="137"/>
      <w:bookmarkEnd w:id="138"/>
      <w:bookmarkEnd w:id="139"/>
    </w:p>
    <w:p>
      <w:pPr>
        <w:pStyle w:val="4"/>
        <w:rPr>
          <w:rFonts w:ascii="仿宋" w:hAnsi="仿宋" w:eastAsia="仿宋"/>
        </w:rPr>
      </w:pPr>
      <w:bookmarkStart w:id="140" w:name="_Toc15396629"/>
      <w:bookmarkStart w:id="141" w:name="_Toc1273827107"/>
      <w:bookmarkStart w:id="142" w:name="_Toc4707"/>
      <w:bookmarkStart w:id="143" w:name="_Toc97947823"/>
      <w:r>
        <w:rPr>
          <w:rStyle w:val="21"/>
          <w:rFonts w:hint="eastAsia" w:ascii="仿宋" w:hAnsi="仿宋" w:eastAsia="仿宋"/>
          <w:b w:val="0"/>
          <w:bCs w:val="0"/>
        </w:rPr>
        <w:t>十一、</w:t>
      </w:r>
      <w:bookmarkEnd w:id="140"/>
      <w:r>
        <w:rPr>
          <w:rFonts w:hint="eastAsia" w:ascii="仿宋" w:hAnsi="仿宋" w:eastAsia="仿宋"/>
          <w:b w:val="0"/>
        </w:rPr>
        <w:t>国</w:t>
      </w:r>
      <w:r>
        <w:rPr>
          <w:rStyle w:val="21"/>
          <w:rFonts w:hint="eastAsia" w:ascii="仿宋" w:hAnsi="仿宋" w:eastAsia="仿宋"/>
          <w:b w:val="0"/>
          <w:bCs w:val="0"/>
        </w:rPr>
        <w:t>有资本经营预算财政拨款收入支出决算表</w:t>
      </w:r>
      <w:bookmarkEnd w:id="141"/>
      <w:bookmarkEnd w:id="142"/>
      <w:bookmarkEnd w:id="143"/>
    </w:p>
    <w:p>
      <w:pPr>
        <w:pStyle w:val="4"/>
        <w:rPr>
          <w:rFonts w:ascii="仿宋" w:hAnsi="仿宋" w:eastAsia="仿宋"/>
        </w:rPr>
      </w:pPr>
      <w:bookmarkStart w:id="144" w:name="_Toc15396630"/>
      <w:bookmarkStart w:id="145" w:name="_Toc429109162"/>
      <w:bookmarkStart w:id="146" w:name="_Toc832415980"/>
      <w:bookmarkStart w:id="147" w:name="_Toc31978"/>
      <w:r>
        <w:rPr>
          <w:rStyle w:val="21"/>
          <w:rFonts w:hint="eastAsia" w:ascii="仿宋" w:hAnsi="仿宋" w:eastAsia="仿宋"/>
          <w:b w:val="0"/>
          <w:bCs w:val="0"/>
        </w:rPr>
        <w:t>十二、</w:t>
      </w:r>
      <w:bookmarkEnd w:id="144"/>
      <w:r>
        <w:rPr>
          <w:rStyle w:val="21"/>
          <w:rFonts w:hint="eastAsia" w:ascii="仿宋" w:hAnsi="仿宋" w:eastAsia="仿宋"/>
          <w:b w:val="0"/>
          <w:bCs w:val="0"/>
        </w:rPr>
        <w:t>国有资本经营预算财政拨款支出决算表</w:t>
      </w:r>
      <w:bookmarkEnd w:id="145"/>
      <w:bookmarkEnd w:id="146"/>
      <w:bookmarkEnd w:id="147"/>
    </w:p>
    <w:p>
      <w:pPr>
        <w:pStyle w:val="4"/>
        <w:rPr>
          <w:rFonts w:eastAsia="仿宋"/>
        </w:rPr>
      </w:pPr>
      <w:bookmarkStart w:id="148" w:name="_Toc15396631"/>
      <w:bookmarkStart w:id="149" w:name="_Toc705698289"/>
      <w:bookmarkStart w:id="150" w:name="_Toc16122"/>
      <w:bookmarkStart w:id="151" w:name="_Toc352433583"/>
      <w:r>
        <w:rPr>
          <w:rStyle w:val="21"/>
          <w:rFonts w:hint="eastAsia" w:ascii="仿宋" w:hAnsi="仿宋" w:eastAsia="仿宋"/>
          <w:b w:val="0"/>
          <w:bCs w:val="0"/>
        </w:rPr>
        <w:t>十三、</w:t>
      </w:r>
      <w:bookmarkEnd w:id="148"/>
      <w:r>
        <w:rPr>
          <w:rStyle w:val="21"/>
          <w:rFonts w:hint="eastAsia" w:ascii="仿宋" w:hAnsi="仿宋" w:eastAsia="仿宋"/>
          <w:b w:val="0"/>
          <w:bCs w:val="0"/>
        </w:rPr>
        <w:t>财政拨款“三公”经费支出决算表</w:t>
      </w:r>
      <w:bookmarkEnd w:id="149"/>
      <w:bookmarkEnd w:id="150"/>
      <w:bookmarkEnd w:id="151"/>
    </w:p>
    <w:sectPr>
      <w:headerReference r:id="rId22" w:type="default"/>
      <w:footerReference r:id="rId2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汉仪仿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gUyD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qBTIMdAgAAKwQAAA4AAAAAAAAAAQAgAAAANQ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sdt>
                    <w:sdtPr>
                      <w:id w:val="-1"/>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txbxContent>
              </v:textbox>
            </v:shape>
          </w:pict>
        </mc:Fallback>
      </mc:AlternateContent>
    </w:r>
  </w:p>
  <w:p>
    <w:pPr>
      <w:pStyle w:val="10"/>
      <w:jc w:val="center"/>
      <w:rPr>
        <w:rFonts w:hint="eastAsia" w:eastAsia="宋体"/>
        <w:lang w:val="en-US"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157"/>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5u20HQIAACs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ETm7bQdAgAAKwQAAA4AAAAAAAAAAQAgAAAANQEAAGRycy9lMm9Eb2MueG1sUEsF&#10;BgAAAAAGAAYAWQEAAMQFAAAAAA==&#10;">
              <v:fill on="f" focussize="0,0"/>
              <v:stroke on="f" weight="0.5pt"/>
              <v:imagedata o:title=""/>
              <o:lock v:ext="edit" aspectratio="f"/>
              <v:textbox inset="0mm,0mm,0mm,0mm" style="mso-fit-shape-to-text:t;">
                <w:txbxContent>
                  <w:sdt>
                    <w:sdtPr>
                      <w:id w:val="147475157"/>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p>
                    <w:pPr>
                      <w:pStyle w:val="2"/>
                    </w:pP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lang w:val="en-US"/>
      </w:rPr>
    </w:lvl>
  </w:abstractNum>
  <w:abstractNum w:abstractNumId="1">
    <w:nsid w:val="5E669AFA"/>
    <w:multiLevelType w:val="singleLevel"/>
    <w:tmpl w:val="5E669AFA"/>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339C3"/>
    <w:rsid w:val="000468DB"/>
    <w:rsid w:val="00060475"/>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4AA5"/>
    <w:rsid w:val="001144E4"/>
    <w:rsid w:val="00114E9B"/>
    <w:rsid w:val="00140696"/>
    <w:rsid w:val="00142216"/>
    <w:rsid w:val="00144D6A"/>
    <w:rsid w:val="0014729F"/>
    <w:rsid w:val="00157BAB"/>
    <w:rsid w:val="001654D1"/>
    <w:rsid w:val="00174518"/>
    <w:rsid w:val="00175886"/>
    <w:rsid w:val="00177510"/>
    <w:rsid w:val="0018106D"/>
    <w:rsid w:val="001877A7"/>
    <w:rsid w:val="00191536"/>
    <w:rsid w:val="00196687"/>
    <w:rsid w:val="00196B2E"/>
    <w:rsid w:val="001A1DE9"/>
    <w:rsid w:val="001B352C"/>
    <w:rsid w:val="001C0962"/>
    <w:rsid w:val="001D7531"/>
    <w:rsid w:val="001E737D"/>
    <w:rsid w:val="001F0592"/>
    <w:rsid w:val="001F7506"/>
    <w:rsid w:val="002006CD"/>
    <w:rsid w:val="00202B36"/>
    <w:rsid w:val="00204039"/>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E7CDD"/>
    <w:rsid w:val="002F1818"/>
    <w:rsid w:val="002F567B"/>
    <w:rsid w:val="003216A9"/>
    <w:rsid w:val="003317FE"/>
    <w:rsid w:val="00335A74"/>
    <w:rsid w:val="00336A1B"/>
    <w:rsid w:val="0033700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940C3"/>
    <w:rsid w:val="004A711F"/>
    <w:rsid w:val="004B199D"/>
    <w:rsid w:val="004B4690"/>
    <w:rsid w:val="004E0A2D"/>
    <w:rsid w:val="004E206B"/>
    <w:rsid w:val="004E6DF7"/>
    <w:rsid w:val="004F08AF"/>
    <w:rsid w:val="004F0FBD"/>
    <w:rsid w:val="00505A47"/>
    <w:rsid w:val="00512FDA"/>
    <w:rsid w:val="00520DA0"/>
    <w:rsid w:val="005624D6"/>
    <w:rsid w:val="005664BB"/>
    <w:rsid w:val="00566FFA"/>
    <w:rsid w:val="0057481D"/>
    <w:rsid w:val="00576D09"/>
    <w:rsid w:val="00583DC8"/>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4838"/>
    <w:rsid w:val="0066343B"/>
    <w:rsid w:val="00664777"/>
    <w:rsid w:val="006748A4"/>
    <w:rsid w:val="006816DC"/>
    <w:rsid w:val="00681A31"/>
    <w:rsid w:val="00683E73"/>
    <w:rsid w:val="006A1866"/>
    <w:rsid w:val="006A3141"/>
    <w:rsid w:val="006A55D7"/>
    <w:rsid w:val="006A5E34"/>
    <w:rsid w:val="006B2422"/>
    <w:rsid w:val="006B2B9A"/>
    <w:rsid w:val="006C1937"/>
    <w:rsid w:val="006F020C"/>
    <w:rsid w:val="007127B7"/>
    <w:rsid w:val="0071798E"/>
    <w:rsid w:val="00720339"/>
    <w:rsid w:val="00737A89"/>
    <w:rsid w:val="007416B6"/>
    <w:rsid w:val="00746F48"/>
    <w:rsid w:val="0075404D"/>
    <w:rsid w:val="0076182A"/>
    <w:rsid w:val="00767B7E"/>
    <w:rsid w:val="00771F8B"/>
    <w:rsid w:val="007770C3"/>
    <w:rsid w:val="00784D24"/>
    <w:rsid w:val="00785FBA"/>
    <w:rsid w:val="00786E4A"/>
    <w:rsid w:val="007875EB"/>
    <w:rsid w:val="00787D7F"/>
    <w:rsid w:val="0079426B"/>
    <w:rsid w:val="007A1658"/>
    <w:rsid w:val="007A7F85"/>
    <w:rsid w:val="007B20F4"/>
    <w:rsid w:val="007D1682"/>
    <w:rsid w:val="007D312A"/>
    <w:rsid w:val="007D3F19"/>
    <w:rsid w:val="007E23B0"/>
    <w:rsid w:val="007E23E5"/>
    <w:rsid w:val="007F1991"/>
    <w:rsid w:val="007F2C2F"/>
    <w:rsid w:val="007F55FC"/>
    <w:rsid w:val="007F5665"/>
    <w:rsid w:val="00800112"/>
    <w:rsid w:val="008079AE"/>
    <w:rsid w:val="00813348"/>
    <w:rsid w:val="008253BB"/>
    <w:rsid w:val="0083706E"/>
    <w:rsid w:val="008408F6"/>
    <w:rsid w:val="008423A5"/>
    <w:rsid w:val="00850625"/>
    <w:rsid w:val="00850DAF"/>
    <w:rsid w:val="00853718"/>
    <w:rsid w:val="00855221"/>
    <w:rsid w:val="00860645"/>
    <w:rsid w:val="00871F71"/>
    <w:rsid w:val="00872FD8"/>
    <w:rsid w:val="00885AF4"/>
    <w:rsid w:val="008939CD"/>
    <w:rsid w:val="008A6796"/>
    <w:rsid w:val="008B0AEF"/>
    <w:rsid w:val="008B128A"/>
    <w:rsid w:val="008B768C"/>
    <w:rsid w:val="008C4DB1"/>
    <w:rsid w:val="008C4EAF"/>
    <w:rsid w:val="008C5176"/>
    <w:rsid w:val="008C7FD0"/>
    <w:rsid w:val="008E1DE7"/>
    <w:rsid w:val="008E707C"/>
    <w:rsid w:val="008F4160"/>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3958"/>
    <w:rsid w:val="0098660A"/>
    <w:rsid w:val="009931C3"/>
    <w:rsid w:val="009B0340"/>
    <w:rsid w:val="009B2C43"/>
    <w:rsid w:val="009B4EAE"/>
    <w:rsid w:val="009B7573"/>
    <w:rsid w:val="009C22F4"/>
    <w:rsid w:val="009C2A4B"/>
    <w:rsid w:val="009C2E98"/>
    <w:rsid w:val="009D3447"/>
    <w:rsid w:val="009D4711"/>
    <w:rsid w:val="009F1185"/>
    <w:rsid w:val="009F18CD"/>
    <w:rsid w:val="009F2A13"/>
    <w:rsid w:val="009F7527"/>
    <w:rsid w:val="00A04EB0"/>
    <w:rsid w:val="00A12318"/>
    <w:rsid w:val="00A13CC1"/>
    <w:rsid w:val="00A16847"/>
    <w:rsid w:val="00A20FA9"/>
    <w:rsid w:val="00A23220"/>
    <w:rsid w:val="00A237D8"/>
    <w:rsid w:val="00A268C4"/>
    <w:rsid w:val="00A307CD"/>
    <w:rsid w:val="00A331C8"/>
    <w:rsid w:val="00A40699"/>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C7966"/>
    <w:rsid w:val="00AD5620"/>
    <w:rsid w:val="00AD656B"/>
    <w:rsid w:val="00AD7C1B"/>
    <w:rsid w:val="00AE16BA"/>
    <w:rsid w:val="00AE1EBE"/>
    <w:rsid w:val="00AE6DEF"/>
    <w:rsid w:val="00B03C9D"/>
    <w:rsid w:val="00B05CC4"/>
    <w:rsid w:val="00B060AE"/>
    <w:rsid w:val="00B10517"/>
    <w:rsid w:val="00B14E76"/>
    <w:rsid w:val="00B161B8"/>
    <w:rsid w:val="00B2048C"/>
    <w:rsid w:val="00B21E8D"/>
    <w:rsid w:val="00B310B9"/>
    <w:rsid w:val="00B35F3F"/>
    <w:rsid w:val="00B36CBB"/>
    <w:rsid w:val="00B425E0"/>
    <w:rsid w:val="00B440AA"/>
    <w:rsid w:val="00B44B70"/>
    <w:rsid w:val="00B53C56"/>
    <w:rsid w:val="00B57DAF"/>
    <w:rsid w:val="00B75506"/>
    <w:rsid w:val="00B77EA6"/>
    <w:rsid w:val="00B81598"/>
    <w:rsid w:val="00B841F1"/>
    <w:rsid w:val="00B944D6"/>
    <w:rsid w:val="00BB4DF0"/>
    <w:rsid w:val="00BC289F"/>
    <w:rsid w:val="00BC2D50"/>
    <w:rsid w:val="00BC4CD3"/>
    <w:rsid w:val="00BC5361"/>
    <w:rsid w:val="00BC5460"/>
    <w:rsid w:val="00BC6B50"/>
    <w:rsid w:val="00BD0E25"/>
    <w:rsid w:val="00BE71A1"/>
    <w:rsid w:val="00BF5BD6"/>
    <w:rsid w:val="00C03E31"/>
    <w:rsid w:val="00C2254D"/>
    <w:rsid w:val="00C33BF3"/>
    <w:rsid w:val="00C33E72"/>
    <w:rsid w:val="00C354B2"/>
    <w:rsid w:val="00C35554"/>
    <w:rsid w:val="00C42709"/>
    <w:rsid w:val="00C533CC"/>
    <w:rsid w:val="00C5751C"/>
    <w:rsid w:val="00C61BFC"/>
    <w:rsid w:val="00C62B85"/>
    <w:rsid w:val="00C65438"/>
    <w:rsid w:val="00C75516"/>
    <w:rsid w:val="00C87FD8"/>
    <w:rsid w:val="00C91381"/>
    <w:rsid w:val="00C91CBB"/>
    <w:rsid w:val="00CA6180"/>
    <w:rsid w:val="00CB0D8B"/>
    <w:rsid w:val="00CB4E70"/>
    <w:rsid w:val="00CC09B6"/>
    <w:rsid w:val="00CC666F"/>
    <w:rsid w:val="00CD1E3F"/>
    <w:rsid w:val="00CE44F6"/>
    <w:rsid w:val="00CE49DA"/>
    <w:rsid w:val="00CE7B61"/>
    <w:rsid w:val="00D00095"/>
    <w:rsid w:val="00D114F0"/>
    <w:rsid w:val="00D20620"/>
    <w:rsid w:val="00D254F7"/>
    <w:rsid w:val="00D26091"/>
    <w:rsid w:val="00D2685C"/>
    <w:rsid w:val="00D33313"/>
    <w:rsid w:val="00D34E7C"/>
    <w:rsid w:val="00D35489"/>
    <w:rsid w:val="00D36AFE"/>
    <w:rsid w:val="00D51276"/>
    <w:rsid w:val="00D65E94"/>
    <w:rsid w:val="00D7035F"/>
    <w:rsid w:val="00D82733"/>
    <w:rsid w:val="00D84229"/>
    <w:rsid w:val="00DA19D8"/>
    <w:rsid w:val="00DA634F"/>
    <w:rsid w:val="00DA65AC"/>
    <w:rsid w:val="00DB1913"/>
    <w:rsid w:val="00DB2772"/>
    <w:rsid w:val="00DC410D"/>
    <w:rsid w:val="00DC5A81"/>
    <w:rsid w:val="00DC68CA"/>
    <w:rsid w:val="00DC7CBA"/>
    <w:rsid w:val="00DD39AF"/>
    <w:rsid w:val="00DD73B7"/>
    <w:rsid w:val="00DF28BC"/>
    <w:rsid w:val="00DF34B9"/>
    <w:rsid w:val="00E01053"/>
    <w:rsid w:val="00E07ACF"/>
    <w:rsid w:val="00E10E52"/>
    <w:rsid w:val="00E331A1"/>
    <w:rsid w:val="00E33202"/>
    <w:rsid w:val="00E336A9"/>
    <w:rsid w:val="00E44802"/>
    <w:rsid w:val="00E472B1"/>
    <w:rsid w:val="00E50624"/>
    <w:rsid w:val="00E51F42"/>
    <w:rsid w:val="00E568DF"/>
    <w:rsid w:val="00E64269"/>
    <w:rsid w:val="00E82267"/>
    <w:rsid w:val="00E853CE"/>
    <w:rsid w:val="00E867B6"/>
    <w:rsid w:val="00E91421"/>
    <w:rsid w:val="00EA010F"/>
    <w:rsid w:val="00EC76E6"/>
    <w:rsid w:val="00ED1B63"/>
    <w:rsid w:val="00ED3752"/>
    <w:rsid w:val="00ED3C1F"/>
    <w:rsid w:val="00ED4085"/>
    <w:rsid w:val="00ED420E"/>
    <w:rsid w:val="00ED6FBE"/>
    <w:rsid w:val="00EE2F57"/>
    <w:rsid w:val="00EE496B"/>
    <w:rsid w:val="00EF4C34"/>
    <w:rsid w:val="00EF77C6"/>
    <w:rsid w:val="00F05438"/>
    <w:rsid w:val="00F1361C"/>
    <w:rsid w:val="00F156F0"/>
    <w:rsid w:val="00F160C7"/>
    <w:rsid w:val="00F2408F"/>
    <w:rsid w:val="00F240E9"/>
    <w:rsid w:val="00F36D8F"/>
    <w:rsid w:val="00F37333"/>
    <w:rsid w:val="00F417B1"/>
    <w:rsid w:val="00F43899"/>
    <w:rsid w:val="00F45853"/>
    <w:rsid w:val="00F51F74"/>
    <w:rsid w:val="00F602DF"/>
    <w:rsid w:val="00F754A1"/>
    <w:rsid w:val="00F81FD9"/>
    <w:rsid w:val="00F841AA"/>
    <w:rsid w:val="00F84A94"/>
    <w:rsid w:val="00F87E96"/>
    <w:rsid w:val="00F95F69"/>
    <w:rsid w:val="00FA23E8"/>
    <w:rsid w:val="00FB1581"/>
    <w:rsid w:val="00FC6971"/>
    <w:rsid w:val="00FD3CC1"/>
    <w:rsid w:val="00FF1E02"/>
    <w:rsid w:val="00FF30B4"/>
    <w:rsid w:val="01303AC5"/>
    <w:rsid w:val="014F528E"/>
    <w:rsid w:val="01510BEF"/>
    <w:rsid w:val="015975B8"/>
    <w:rsid w:val="018207C5"/>
    <w:rsid w:val="01CA216C"/>
    <w:rsid w:val="01D32DCE"/>
    <w:rsid w:val="02143E91"/>
    <w:rsid w:val="02405F8A"/>
    <w:rsid w:val="025D36C7"/>
    <w:rsid w:val="02A77E13"/>
    <w:rsid w:val="02B01AF2"/>
    <w:rsid w:val="02B81FC4"/>
    <w:rsid w:val="02CB524D"/>
    <w:rsid w:val="0315639B"/>
    <w:rsid w:val="037A07A4"/>
    <w:rsid w:val="03AE6B4A"/>
    <w:rsid w:val="03F744C3"/>
    <w:rsid w:val="03F97657"/>
    <w:rsid w:val="044C052E"/>
    <w:rsid w:val="0475016D"/>
    <w:rsid w:val="04C61EF5"/>
    <w:rsid w:val="04C65C0D"/>
    <w:rsid w:val="04CB2483"/>
    <w:rsid w:val="04E57AC0"/>
    <w:rsid w:val="05081308"/>
    <w:rsid w:val="05191440"/>
    <w:rsid w:val="05423841"/>
    <w:rsid w:val="05A160C9"/>
    <w:rsid w:val="05AF76AE"/>
    <w:rsid w:val="05BA4BD1"/>
    <w:rsid w:val="05BC1DCB"/>
    <w:rsid w:val="06691F53"/>
    <w:rsid w:val="066E0107"/>
    <w:rsid w:val="068D4BBF"/>
    <w:rsid w:val="07697D31"/>
    <w:rsid w:val="07996F6E"/>
    <w:rsid w:val="08011496"/>
    <w:rsid w:val="084710FF"/>
    <w:rsid w:val="084F33CB"/>
    <w:rsid w:val="089F7EAE"/>
    <w:rsid w:val="08F8435C"/>
    <w:rsid w:val="09205D92"/>
    <w:rsid w:val="09976DD7"/>
    <w:rsid w:val="0A051F93"/>
    <w:rsid w:val="0A2032A3"/>
    <w:rsid w:val="0A221267"/>
    <w:rsid w:val="0A374116"/>
    <w:rsid w:val="0A590531"/>
    <w:rsid w:val="0B5331D2"/>
    <w:rsid w:val="0B7602A8"/>
    <w:rsid w:val="0BB377CC"/>
    <w:rsid w:val="0BF756CA"/>
    <w:rsid w:val="0C060244"/>
    <w:rsid w:val="0CAD0C97"/>
    <w:rsid w:val="0CB35CD6"/>
    <w:rsid w:val="0CC25F19"/>
    <w:rsid w:val="0D3606B5"/>
    <w:rsid w:val="0D3B5CCB"/>
    <w:rsid w:val="0D58687D"/>
    <w:rsid w:val="0D714374"/>
    <w:rsid w:val="0DAB2E51"/>
    <w:rsid w:val="0E0C4191"/>
    <w:rsid w:val="0E214EC1"/>
    <w:rsid w:val="0E3A5F83"/>
    <w:rsid w:val="0E4D0012"/>
    <w:rsid w:val="0E653000"/>
    <w:rsid w:val="0EBC4BEA"/>
    <w:rsid w:val="0EF3650F"/>
    <w:rsid w:val="0F317386"/>
    <w:rsid w:val="0F517A28"/>
    <w:rsid w:val="0F601A19"/>
    <w:rsid w:val="0F98263C"/>
    <w:rsid w:val="0FE34B24"/>
    <w:rsid w:val="101822F4"/>
    <w:rsid w:val="101860EC"/>
    <w:rsid w:val="10303AE2"/>
    <w:rsid w:val="10795489"/>
    <w:rsid w:val="107F14E6"/>
    <w:rsid w:val="108F5D13"/>
    <w:rsid w:val="10C055FF"/>
    <w:rsid w:val="10E9482E"/>
    <w:rsid w:val="111D7BC2"/>
    <w:rsid w:val="11254CC9"/>
    <w:rsid w:val="112978DF"/>
    <w:rsid w:val="117345B2"/>
    <w:rsid w:val="118107EC"/>
    <w:rsid w:val="11A4040E"/>
    <w:rsid w:val="11E25FFB"/>
    <w:rsid w:val="11F56D91"/>
    <w:rsid w:val="120D5E88"/>
    <w:rsid w:val="122431D2"/>
    <w:rsid w:val="12D20E80"/>
    <w:rsid w:val="13386F35"/>
    <w:rsid w:val="134279F4"/>
    <w:rsid w:val="135F0966"/>
    <w:rsid w:val="1360023A"/>
    <w:rsid w:val="1376760D"/>
    <w:rsid w:val="13B3480E"/>
    <w:rsid w:val="13B54A2A"/>
    <w:rsid w:val="13D50BC4"/>
    <w:rsid w:val="1413478D"/>
    <w:rsid w:val="14193A38"/>
    <w:rsid w:val="153B4985"/>
    <w:rsid w:val="15853F88"/>
    <w:rsid w:val="15B8091F"/>
    <w:rsid w:val="15D867AD"/>
    <w:rsid w:val="160144CD"/>
    <w:rsid w:val="164F56FC"/>
    <w:rsid w:val="165322D8"/>
    <w:rsid w:val="16585B40"/>
    <w:rsid w:val="16BB723D"/>
    <w:rsid w:val="16F65783"/>
    <w:rsid w:val="16F83DC9"/>
    <w:rsid w:val="17131083"/>
    <w:rsid w:val="17527FA4"/>
    <w:rsid w:val="17602EFE"/>
    <w:rsid w:val="17680005"/>
    <w:rsid w:val="176F47DE"/>
    <w:rsid w:val="17A32DEB"/>
    <w:rsid w:val="17A6044E"/>
    <w:rsid w:val="189D4A59"/>
    <w:rsid w:val="190D676E"/>
    <w:rsid w:val="190E151F"/>
    <w:rsid w:val="192D38C8"/>
    <w:rsid w:val="194F322A"/>
    <w:rsid w:val="19531188"/>
    <w:rsid w:val="196842EC"/>
    <w:rsid w:val="199459E8"/>
    <w:rsid w:val="19A4086C"/>
    <w:rsid w:val="19FA25FA"/>
    <w:rsid w:val="1A5D54D3"/>
    <w:rsid w:val="1AB5530F"/>
    <w:rsid w:val="1B0F02F7"/>
    <w:rsid w:val="1B3202FC"/>
    <w:rsid w:val="1B3B117B"/>
    <w:rsid w:val="1B7627C1"/>
    <w:rsid w:val="1BE8440E"/>
    <w:rsid w:val="1C1918CE"/>
    <w:rsid w:val="1C46402E"/>
    <w:rsid w:val="1CCD4E6D"/>
    <w:rsid w:val="1D1233D7"/>
    <w:rsid w:val="1D155CEE"/>
    <w:rsid w:val="1D352737"/>
    <w:rsid w:val="1D5666C8"/>
    <w:rsid w:val="1DE008F5"/>
    <w:rsid w:val="1EE533A0"/>
    <w:rsid w:val="1F402B1A"/>
    <w:rsid w:val="1F473FC7"/>
    <w:rsid w:val="1F6F1292"/>
    <w:rsid w:val="1F784B5D"/>
    <w:rsid w:val="1FA140B4"/>
    <w:rsid w:val="1FF35744"/>
    <w:rsid w:val="206E644C"/>
    <w:rsid w:val="20AE1CFD"/>
    <w:rsid w:val="20C718F8"/>
    <w:rsid w:val="20F24255"/>
    <w:rsid w:val="20FC795A"/>
    <w:rsid w:val="2110329F"/>
    <w:rsid w:val="211803A6"/>
    <w:rsid w:val="212E5E1B"/>
    <w:rsid w:val="21466CC1"/>
    <w:rsid w:val="21470C8B"/>
    <w:rsid w:val="21731A80"/>
    <w:rsid w:val="21747111"/>
    <w:rsid w:val="21A34113"/>
    <w:rsid w:val="21AB2FC8"/>
    <w:rsid w:val="21C85928"/>
    <w:rsid w:val="222C235B"/>
    <w:rsid w:val="222D7E81"/>
    <w:rsid w:val="22410E56"/>
    <w:rsid w:val="22A53EBB"/>
    <w:rsid w:val="22C445BE"/>
    <w:rsid w:val="23390004"/>
    <w:rsid w:val="235D6544"/>
    <w:rsid w:val="23621DAC"/>
    <w:rsid w:val="23860B96"/>
    <w:rsid w:val="239A7798"/>
    <w:rsid w:val="23A128D5"/>
    <w:rsid w:val="240371BF"/>
    <w:rsid w:val="24C745BD"/>
    <w:rsid w:val="24D606C4"/>
    <w:rsid w:val="24E3171B"/>
    <w:rsid w:val="24FD0D5F"/>
    <w:rsid w:val="25222807"/>
    <w:rsid w:val="25510B90"/>
    <w:rsid w:val="2584600A"/>
    <w:rsid w:val="25A1676E"/>
    <w:rsid w:val="25C83B07"/>
    <w:rsid w:val="25DF76E4"/>
    <w:rsid w:val="261168A1"/>
    <w:rsid w:val="26591245"/>
    <w:rsid w:val="26924756"/>
    <w:rsid w:val="26AF2BC8"/>
    <w:rsid w:val="26B45168"/>
    <w:rsid w:val="26C26CF7"/>
    <w:rsid w:val="26E03714"/>
    <w:rsid w:val="2734580E"/>
    <w:rsid w:val="27674DB2"/>
    <w:rsid w:val="2769195B"/>
    <w:rsid w:val="276A7481"/>
    <w:rsid w:val="282835C4"/>
    <w:rsid w:val="28435D4C"/>
    <w:rsid w:val="2859377E"/>
    <w:rsid w:val="28642123"/>
    <w:rsid w:val="28681C13"/>
    <w:rsid w:val="289447B6"/>
    <w:rsid w:val="289B3D96"/>
    <w:rsid w:val="28BA1D43"/>
    <w:rsid w:val="28BC60BC"/>
    <w:rsid w:val="28F37905"/>
    <w:rsid w:val="290E77C8"/>
    <w:rsid w:val="291463CF"/>
    <w:rsid w:val="294E0E09"/>
    <w:rsid w:val="298760C9"/>
    <w:rsid w:val="29EF5A0D"/>
    <w:rsid w:val="29F51284"/>
    <w:rsid w:val="29FD04D3"/>
    <w:rsid w:val="2A685EFA"/>
    <w:rsid w:val="2A9156A2"/>
    <w:rsid w:val="2AD96DF8"/>
    <w:rsid w:val="2B110340"/>
    <w:rsid w:val="2B667F60"/>
    <w:rsid w:val="2B6761B2"/>
    <w:rsid w:val="2B687849"/>
    <w:rsid w:val="2B840AD7"/>
    <w:rsid w:val="2BBB4690"/>
    <w:rsid w:val="2BD72E7F"/>
    <w:rsid w:val="2BF10171"/>
    <w:rsid w:val="2C1B6F9C"/>
    <w:rsid w:val="2C7F1365"/>
    <w:rsid w:val="2C7F752B"/>
    <w:rsid w:val="2C8A61B5"/>
    <w:rsid w:val="2C9B7A28"/>
    <w:rsid w:val="2CA64AB8"/>
    <w:rsid w:val="2CB45632"/>
    <w:rsid w:val="2CE5253C"/>
    <w:rsid w:val="2CFE66A2"/>
    <w:rsid w:val="2D613652"/>
    <w:rsid w:val="2D91641F"/>
    <w:rsid w:val="2DA01E4F"/>
    <w:rsid w:val="2DE57557"/>
    <w:rsid w:val="2DF04E50"/>
    <w:rsid w:val="2E0E36BD"/>
    <w:rsid w:val="2E1D524D"/>
    <w:rsid w:val="2E7B1F74"/>
    <w:rsid w:val="2E7B2C98"/>
    <w:rsid w:val="2E9F5C62"/>
    <w:rsid w:val="2EA00F99"/>
    <w:rsid w:val="2F040D46"/>
    <w:rsid w:val="2F230642"/>
    <w:rsid w:val="2F7E0CFF"/>
    <w:rsid w:val="2F943DD9"/>
    <w:rsid w:val="2FAF0127"/>
    <w:rsid w:val="2FE36023"/>
    <w:rsid w:val="302723B3"/>
    <w:rsid w:val="304876D4"/>
    <w:rsid w:val="30673108"/>
    <w:rsid w:val="306D4B10"/>
    <w:rsid w:val="30FE3148"/>
    <w:rsid w:val="31352D9B"/>
    <w:rsid w:val="31576CC8"/>
    <w:rsid w:val="31740B9D"/>
    <w:rsid w:val="3175714F"/>
    <w:rsid w:val="318E4ABB"/>
    <w:rsid w:val="318F29B2"/>
    <w:rsid w:val="319F7F4E"/>
    <w:rsid w:val="31C84FFD"/>
    <w:rsid w:val="31DD5420"/>
    <w:rsid w:val="31F14A27"/>
    <w:rsid w:val="327F2033"/>
    <w:rsid w:val="32A9493D"/>
    <w:rsid w:val="32F32A21"/>
    <w:rsid w:val="32F72511"/>
    <w:rsid w:val="3304709D"/>
    <w:rsid w:val="331035D3"/>
    <w:rsid w:val="335C2711"/>
    <w:rsid w:val="33723946"/>
    <w:rsid w:val="33EE34C7"/>
    <w:rsid w:val="3421711A"/>
    <w:rsid w:val="344C4197"/>
    <w:rsid w:val="344D5195"/>
    <w:rsid w:val="345839B8"/>
    <w:rsid w:val="34B37D59"/>
    <w:rsid w:val="352769B2"/>
    <w:rsid w:val="35E86141"/>
    <w:rsid w:val="36687924"/>
    <w:rsid w:val="366B6AD4"/>
    <w:rsid w:val="36941E25"/>
    <w:rsid w:val="36AA5135"/>
    <w:rsid w:val="36B13A0E"/>
    <w:rsid w:val="376D39B2"/>
    <w:rsid w:val="37E16F03"/>
    <w:rsid w:val="380F3E59"/>
    <w:rsid w:val="381855C7"/>
    <w:rsid w:val="381C47C8"/>
    <w:rsid w:val="385775AE"/>
    <w:rsid w:val="386C12AB"/>
    <w:rsid w:val="387605D8"/>
    <w:rsid w:val="38AC5B4C"/>
    <w:rsid w:val="38C6103F"/>
    <w:rsid w:val="38D469F0"/>
    <w:rsid w:val="391A0D07"/>
    <w:rsid w:val="392A36AD"/>
    <w:rsid w:val="394E32DB"/>
    <w:rsid w:val="39873EC3"/>
    <w:rsid w:val="399F4E45"/>
    <w:rsid w:val="39C12F31"/>
    <w:rsid w:val="39F94DC1"/>
    <w:rsid w:val="3A00614F"/>
    <w:rsid w:val="3A2E5635"/>
    <w:rsid w:val="3A571AE7"/>
    <w:rsid w:val="3A5C0A5C"/>
    <w:rsid w:val="3AA0523C"/>
    <w:rsid w:val="3AF91407"/>
    <w:rsid w:val="3B255741"/>
    <w:rsid w:val="3B281D48"/>
    <w:rsid w:val="3B4262F3"/>
    <w:rsid w:val="3B516536"/>
    <w:rsid w:val="3C463BC1"/>
    <w:rsid w:val="3C8669E9"/>
    <w:rsid w:val="3CA134EE"/>
    <w:rsid w:val="3CA31014"/>
    <w:rsid w:val="3D1D5019"/>
    <w:rsid w:val="3D1E722B"/>
    <w:rsid w:val="3D6A38DF"/>
    <w:rsid w:val="3D711112"/>
    <w:rsid w:val="3D8E64EF"/>
    <w:rsid w:val="3D98207C"/>
    <w:rsid w:val="3D9D3CB5"/>
    <w:rsid w:val="3DB37034"/>
    <w:rsid w:val="3E237638"/>
    <w:rsid w:val="3E4C3E35"/>
    <w:rsid w:val="3E6B790F"/>
    <w:rsid w:val="3E703177"/>
    <w:rsid w:val="3E78745D"/>
    <w:rsid w:val="3E9C3F6D"/>
    <w:rsid w:val="3EB70DA6"/>
    <w:rsid w:val="3F281CA4"/>
    <w:rsid w:val="3F516B05"/>
    <w:rsid w:val="3F6F2CAB"/>
    <w:rsid w:val="3FB672B0"/>
    <w:rsid w:val="40576883"/>
    <w:rsid w:val="40703903"/>
    <w:rsid w:val="40DA0D7C"/>
    <w:rsid w:val="414D154E"/>
    <w:rsid w:val="415D6A98"/>
    <w:rsid w:val="41870F04"/>
    <w:rsid w:val="41DB6285"/>
    <w:rsid w:val="420C765B"/>
    <w:rsid w:val="42507548"/>
    <w:rsid w:val="425D3A13"/>
    <w:rsid w:val="428B0580"/>
    <w:rsid w:val="42BC2E2F"/>
    <w:rsid w:val="42C436AE"/>
    <w:rsid w:val="42C910A8"/>
    <w:rsid w:val="433C4F16"/>
    <w:rsid w:val="437E185E"/>
    <w:rsid w:val="43A55671"/>
    <w:rsid w:val="43AC6A00"/>
    <w:rsid w:val="43B34232"/>
    <w:rsid w:val="43FBE1E4"/>
    <w:rsid w:val="44380293"/>
    <w:rsid w:val="443D58AA"/>
    <w:rsid w:val="44E268DA"/>
    <w:rsid w:val="450C508D"/>
    <w:rsid w:val="450D7972"/>
    <w:rsid w:val="451879F6"/>
    <w:rsid w:val="453749EF"/>
    <w:rsid w:val="454113CA"/>
    <w:rsid w:val="45796DB6"/>
    <w:rsid w:val="457B0D80"/>
    <w:rsid w:val="458D7FC1"/>
    <w:rsid w:val="4603181D"/>
    <w:rsid w:val="461F5C21"/>
    <w:rsid w:val="46737CA9"/>
    <w:rsid w:val="467D28D5"/>
    <w:rsid w:val="46BE5DE4"/>
    <w:rsid w:val="46BF0ACA"/>
    <w:rsid w:val="46F801AE"/>
    <w:rsid w:val="474D04FA"/>
    <w:rsid w:val="477D325B"/>
    <w:rsid w:val="47B70069"/>
    <w:rsid w:val="47B87F32"/>
    <w:rsid w:val="47BB54A9"/>
    <w:rsid w:val="47EF72F5"/>
    <w:rsid w:val="47FE35A2"/>
    <w:rsid w:val="4812529F"/>
    <w:rsid w:val="481C622D"/>
    <w:rsid w:val="4832149E"/>
    <w:rsid w:val="48977056"/>
    <w:rsid w:val="489A654A"/>
    <w:rsid w:val="48E86D71"/>
    <w:rsid w:val="48EB621C"/>
    <w:rsid w:val="48F0738F"/>
    <w:rsid w:val="48F13107"/>
    <w:rsid w:val="48F7696F"/>
    <w:rsid w:val="48FA124B"/>
    <w:rsid w:val="49F0759C"/>
    <w:rsid w:val="4A1A5A27"/>
    <w:rsid w:val="4A41154F"/>
    <w:rsid w:val="4A59305D"/>
    <w:rsid w:val="4A627F82"/>
    <w:rsid w:val="4A6A4F1F"/>
    <w:rsid w:val="4AAD01C7"/>
    <w:rsid w:val="4AB00EEF"/>
    <w:rsid w:val="4ACF0DD8"/>
    <w:rsid w:val="4ADB5E1D"/>
    <w:rsid w:val="4AEF3676"/>
    <w:rsid w:val="4B0E749A"/>
    <w:rsid w:val="4B241572"/>
    <w:rsid w:val="4B485FA8"/>
    <w:rsid w:val="4B4F25DA"/>
    <w:rsid w:val="4B5C0D0B"/>
    <w:rsid w:val="4B68057D"/>
    <w:rsid w:val="4BE068DB"/>
    <w:rsid w:val="4BE34F89"/>
    <w:rsid w:val="4BFB5C0C"/>
    <w:rsid w:val="4C223CCE"/>
    <w:rsid w:val="4C2A5CA5"/>
    <w:rsid w:val="4C46376A"/>
    <w:rsid w:val="4D296259"/>
    <w:rsid w:val="4D447CA9"/>
    <w:rsid w:val="4D577224"/>
    <w:rsid w:val="4DC572DA"/>
    <w:rsid w:val="4DE6344D"/>
    <w:rsid w:val="4DE6764A"/>
    <w:rsid w:val="4DE84AD8"/>
    <w:rsid w:val="4E130D1F"/>
    <w:rsid w:val="4E544666"/>
    <w:rsid w:val="4EAB630A"/>
    <w:rsid w:val="4ECE2238"/>
    <w:rsid w:val="4F02606E"/>
    <w:rsid w:val="4F807875"/>
    <w:rsid w:val="4FB1539E"/>
    <w:rsid w:val="4FD23C92"/>
    <w:rsid w:val="4FEC63D6"/>
    <w:rsid w:val="4FF86C73"/>
    <w:rsid w:val="50595B05"/>
    <w:rsid w:val="50A53155"/>
    <w:rsid w:val="50EA500B"/>
    <w:rsid w:val="514F30C0"/>
    <w:rsid w:val="51791EEB"/>
    <w:rsid w:val="52481FEA"/>
    <w:rsid w:val="531E0F9C"/>
    <w:rsid w:val="53672943"/>
    <w:rsid w:val="537E6D0A"/>
    <w:rsid w:val="53852DC9"/>
    <w:rsid w:val="538C4158"/>
    <w:rsid w:val="53DA401A"/>
    <w:rsid w:val="53DB7322"/>
    <w:rsid w:val="53E21FCA"/>
    <w:rsid w:val="54040192"/>
    <w:rsid w:val="54556311"/>
    <w:rsid w:val="547277F2"/>
    <w:rsid w:val="54850F2C"/>
    <w:rsid w:val="54996B2C"/>
    <w:rsid w:val="54BF7FB2"/>
    <w:rsid w:val="54EF2BF0"/>
    <w:rsid w:val="54FE76E6"/>
    <w:rsid w:val="554C3B9F"/>
    <w:rsid w:val="55821CB6"/>
    <w:rsid w:val="55913CA7"/>
    <w:rsid w:val="55944A9A"/>
    <w:rsid w:val="55EC5382"/>
    <w:rsid w:val="56035936"/>
    <w:rsid w:val="562E599A"/>
    <w:rsid w:val="56A63783"/>
    <w:rsid w:val="56B42B73"/>
    <w:rsid w:val="56BF4844"/>
    <w:rsid w:val="56C63E25"/>
    <w:rsid w:val="57326CF4"/>
    <w:rsid w:val="573A3ECB"/>
    <w:rsid w:val="57415AAD"/>
    <w:rsid w:val="5783485F"/>
    <w:rsid w:val="57BD2C71"/>
    <w:rsid w:val="57BE68AA"/>
    <w:rsid w:val="57CC546B"/>
    <w:rsid w:val="5802243C"/>
    <w:rsid w:val="58607961"/>
    <w:rsid w:val="58874CDC"/>
    <w:rsid w:val="588E44CE"/>
    <w:rsid w:val="58C148A4"/>
    <w:rsid w:val="58E35B6D"/>
    <w:rsid w:val="58E40592"/>
    <w:rsid w:val="593908DE"/>
    <w:rsid w:val="59DE1485"/>
    <w:rsid w:val="59F82547"/>
    <w:rsid w:val="5A0C5FF2"/>
    <w:rsid w:val="5A603E2D"/>
    <w:rsid w:val="5A8D6E0C"/>
    <w:rsid w:val="5ABF7BC6"/>
    <w:rsid w:val="5AF54E08"/>
    <w:rsid w:val="5AF92295"/>
    <w:rsid w:val="5B1834F7"/>
    <w:rsid w:val="5B435A44"/>
    <w:rsid w:val="5B4D241F"/>
    <w:rsid w:val="5BA0A112"/>
    <w:rsid w:val="5BFD2097"/>
    <w:rsid w:val="5C583771"/>
    <w:rsid w:val="5C727C71"/>
    <w:rsid w:val="5C9E3AD9"/>
    <w:rsid w:val="5CD71FC4"/>
    <w:rsid w:val="5D700646"/>
    <w:rsid w:val="5DA327CA"/>
    <w:rsid w:val="5DB37D2C"/>
    <w:rsid w:val="5DC97FC9"/>
    <w:rsid w:val="5DD5494D"/>
    <w:rsid w:val="5DF262C7"/>
    <w:rsid w:val="5DFB13FF"/>
    <w:rsid w:val="5E0469E3"/>
    <w:rsid w:val="5E2C0A11"/>
    <w:rsid w:val="5E456113"/>
    <w:rsid w:val="5EC0115A"/>
    <w:rsid w:val="5EE906B0"/>
    <w:rsid w:val="5FB567E4"/>
    <w:rsid w:val="5FB81BD1"/>
    <w:rsid w:val="5FC52ECB"/>
    <w:rsid w:val="5FDC1FC3"/>
    <w:rsid w:val="5FF67529"/>
    <w:rsid w:val="60487659"/>
    <w:rsid w:val="60C627BB"/>
    <w:rsid w:val="60C62DA6"/>
    <w:rsid w:val="6164671D"/>
    <w:rsid w:val="6186668A"/>
    <w:rsid w:val="61FF01EB"/>
    <w:rsid w:val="62682234"/>
    <w:rsid w:val="62F15D85"/>
    <w:rsid w:val="6360716B"/>
    <w:rsid w:val="6384309D"/>
    <w:rsid w:val="640375AA"/>
    <w:rsid w:val="6451246B"/>
    <w:rsid w:val="648844C8"/>
    <w:rsid w:val="64964E36"/>
    <w:rsid w:val="64B05882"/>
    <w:rsid w:val="64F733FB"/>
    <w:rsid w:val="652E2FEC"/>
    <w:rsid w:val="656C203B"/>
    <w:rsid w:val="6578453C"/>
    <w:rsid w:val="657B62F9"/>
    <w:rsid w:val="6582360D"/>
    <w:rsid w:val="658612D7"/>
    <w:rsid w:val="65931376"/>
    <w:rsid w:val="659550EE"/>
    <w:rsid w:val="659B4BDA"/>
    <w:rsid w:val="659D21F5"/>
    <w:rsid w:val="65B31A18"/>
    <w:rsid w:val="65B80DDC"/>
    <w:rsid w:val="668313EA"/>
    <w:rsid w:val="66882DA0"/>
    <w:rsid w:val="669929BC"/>
    <w:rsid w:val="66A1546A"/>
    <w:rsid w:val="66BA614D"/>
    <w:rsid w:val="66E77BCB"/>
    <w:rsid w:val="670E33AA"/>
    <w:rsid w:val="6712276E"/>
    <w:rsid w:val="6716225F"/>
    <w:rsid w:val="673030DE"/>
    <w:rsid w:val="675A42D9"/>
    <w:rsid w:val="67BB151A"/>
    <w:rsid w:val="68D0643D"/>
    <w:rsid w:val="68E24AEE"/>
    <w:rsid w:val="692B60C8"/>
    <w:rsid w:val="695C55F1"/>
    <w:rsid w:val="697E40EB"/>
    <w:rsid w:val="6A6432E1"/>
    <w:rsid w:val="6A672310"/>
    <w:rsid w:val="6AEF072D"/>
    <w:rsid w:val="6B105217"/>
    <w:rsid w:val="6B146AB5"/>
    <w:rsid w:val="6BBE4C73"/>
    <w:rsid w:val="6C4A05C8"/>
    <w:rsid w:val="6C6E6D29"/>
    <w:rsid w:val="6C757A27"/>
    <w:rsid w:val="6C787517"/>
    <w:rsid w:val="6D06067F"/>
    <w:rsid w:val="6D093A6A"/>
    <w:rsid w:val="6DB56E82"/>
    <w:rsid w:val="6DC36570"/>
    <w:rsid w:val="6E0F7A08"/>
    <w:rsid w:val="6E2214E9"/>
    <w:rsid w:val="6E7E3605"/>
    <w:rsid w:val="6EB505AF"/>
    <w:rsid w:val="6EDA5F6C"/>
    <w:rsid w:val="6F4162E7"/>
    <w:rsid w:val="6FF5CC65"/>
    <w:rsid w:val="703740CD"/>
    <w:rsid w:val="715C0E4B"/>
    <w:rsid w:val="71D945B4"/>
    <w:rsid w:val="72031631"/>
    <w:rsid w:val="72671BC0"/>
    <w:rsid w:val="72734D90"/>
    <w:rsid w:val="729F135A"/>
    <w:rsid w:val="72A52404"/>
    <w:rsid w:val="72AF5315"/>
    <w:rsid w:val="72C232B3"/>
    <w:rsid w:val="72EE5E3E"/>
    <w:rsid w:val="73410663"/>
    <w:rsid w:val="73514CF7"/>
    <w:rsid w:val="7395275D"/>
    <w:rsid w:val="73AD73D5"/>
    <w:rsid w:val="73B6EB34"/>
    <w:rsid w:val="73F77221"/>
    <w:rsid w:val="73F8659C"/>
    <w:rsid w:val="74341F8F"/>
    <w:rsid w:val="7440091B"/>
    <w:rsid w:val="744731E5"/>
    <w:rsid w:val="747E1443"/>
    <w:rsid w:val="74FA31C0"/>
    <w:rsid w:val="74FE759E"/>
    <w:rsid w:val="7548217D"/>
    <w:rsid w:val="75566A0A"/>
    <w:rsid w:val="75795EB8"/>
    <w:rsid w:val="75A373B3"/>
    <w:rsid w:val="75AD3D8E"/>
    <w:rsid w:val="75B673D5"/>
    <w:rsid w:val="765E152C"/>
    <w:rsid w:val="768865A9"/>
    <w:rsid w:val="76C10199"/>
    <w:rsid w:val="76E3355F"/>
    <w:rsid w:val="76E732D0"/>
    <w:rsid w:val="77216F4A"/>
    <w:rsid w:val="774424D0"/>
    <w:rsid w:val="7750356B"/>
    <w:rsid w:val="7763329E"/>
    <w:rsid w:val="77736D8F"/>
    <w:rsid w:val="778769C8"/>
    <w:rsid w:val="779134BC"/>
    <w:rsid w:val="77A13DC6"/>
    <w:rsid w:val="788C2381"/>
    <w:rsid w:val="789B2D1B"/>
    <w:rsid w:val="78AA51C3"/>
    <w:rsid w:val="78AD0549"/>
    <w:rsid w:val="79AB1404"/>
    <w:rsid w:val="79EE5BA4"/>
    <w:rsid w:val="7A0F3269"/>
    <w:rsid w:val="7A894339"/>
    <w:rsid w:val="7ACA7190"/>
    <w:rsid w:val="7ADD5115"/>
    <w:rsid w:val="7B072192"/>
    <w:rsid w:val="7B411969"/>
    <w:rsid w:val="7BE95D3C"/>
    <w:rsid w:val="7CC876FF"/>
    <w:rsid w:val="7CCD740C"/>
    <w:rsid w:val="7D7D2BE0"/>
    <w:rsid w:val="7DA939D5"/>
    <w:rsid w:val="7DBB54B6"/>
    <w:rsid w:val="7DEB3F6A"/>
    <w:rsid w:val="7E8D0C00"/>
    <w:rsid w:val="7E8F4979"/>
    <w:rsid w:val="7E9C7095"/>
    <w:rsid w:val="7EAF501B"/>
    <w:rsid w:val="7ED3764A"/>
    <w:rsid w:val="7EEF11D3"/>
    <w:rsid w:val="7EFF0709"/>
    <w:rsid w:val="7F17496E"/>
    <w:rsid w:val="7F4736ED"/>
    <w:rsid w:val="7F53D90B"/>
    <w:rsid w:val="7F704B1F"/>
    <w:rsid w:val="7FA30C79"/>
    <w:rsid w:val="7FB7269E"/>
    <w:rsid w:val="7FC96657"/>
    <w:rsid w:val="AD2FDEC7"/>
    <w:rsid w:val="BDFFB1EB"/>
    <w:rsid w:val="BFAA2653"/>
    <w:rsid w:val="D8D6DB89"/>
    <w:rsid w:val="DB6F4CAB"/>
    <w:rsid w:val="DBFFB635"/>
    <w:rsid w:val="DF6F9789"/>
    <w:rsid w:val="EFF9101E"/>
    <w:rsid w:val="F73EB602"/>
    <w:rsid w:val="FDFBD08F"/>
    <w:rsid w:val="FDFD10AB"/>
    <w:rsid w:val="FF9319D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next w:val="1"/>
    <w:link w:val="28"/>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2"/>
    <w:basedOn w:val="7"/>
    <w:next w:val="1"/>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Char"/>
    <w:link w:val="6"/>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chart" Target="charts/chart7.xml"/><Relationship Id="rId30" Type="http://schemas.openxmlformats.org/officeDocument/2006/relationships/chart" Target="charts/chart6.xml"/><Relationship Id="rId3" Type="http://schemas.openxmlformats.org/officeDocument/2006/relationships/header" Target="header1.xml"/><Relationship Id="rId29" Type="http://schemas.openxmlformats.org/officeDocument/2006/relationships/chart" Target="charts/chart5.xml"/><Relationship Id="rId28" Type="http://schemas.openxmlformats.org/officeDocument/2006/relationships/chart" Target="charts/chart4.xml"/><Relationship Id="rId27" Type="http://schemas.openxmlformats.org/officeDocument/2006/relationships/chart" Target="charts/chart3.xml"/><Relationship Id="rId26" Type="http://schemas.openxmlformats.org/officeDocument/2006/relationships/chart" Target="charts/chart2.xml"/><Relationship Id="rId25" Type="http://schemas.openxmlformats.org/officeDocument/2006/relationships/chart" Target="charts/chart1.xml"/><Relationship Id="rId24" Type="http://schemas.openxmlformats.org/officeDocument/2006/relationships/theme" Target="theme/theme1.xml"/><Relationship Id="rId23" Type="http://schemas.openxmlformats.org/officeDocument/2006/relationships/footer" Target="footer6.xml"/><Relationship Id="rId22" Type="http://schemas.openxmlformats.org/officeDocument/2006/relationships/header" Target="header15.xml"/><Relationship Id="rId21" Type="http://schemas.openxmlformats.org/officeDocument/2006/relationships/header" Target="header14.xml"/><Relationship Id="rId20" Type="http://schemas.openxmlformats.org/officeDocument/2006/relationships/header" Target="header13.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收、支决算总计变动情况图</c:v>
                </c:pt>
              </c:strCache>
            </c:strRef>
          </c:tx>
          <c:invertIfNegative val="false"/>
          <c:dLbls>
            <c:delete val="true"/>
          </c:dLbls>
          <c:cat>
            <c:strRef>
              <c:f>Sheet1!$A$2:$A$3</c:f>
              <c:strCache>
                <c:ptCount val="2"/>
                <c:pt idx="0">
                  <c:v>2022年671.36万元</c:v>
                </c:pt>
                <c:pt idx="1">
                  <c:v>2023年600.77万元</c:v>
                </c:pt>
              </c:strCache>
            </c:strRef>
          </c:cat>
          <c:val>
            <c:numRef>
              <c:f>Sheet1!$B$2:$B$3</c:f>
              <c:numCache>
                <c:formatCode>General</c:formatCode>
                <c:ptCount val="2"/>
                <c:pt idx="0">
                  <c:v>671.36</c:v>
                </c:pt>
                <c:pt idx="1">
                  <c:v>600.77</c:v>
                </c:pt>
              </c:numCache>
            </c:numRef>
          </c:val>
        </c:ser>
        <c:dLbls>
          <c:showLegendKey val="false"/>
          <c:showVal val="false"/>
          <c:showCatName val="false"/>
          <c:showSerName val="false"/>
          <c:showPercent val="false"/>
          <c:showBubbleSize val="false"/>
        </c:dLbls>
        <c:gapWidth val="150"/>
        <c:axId val="45214336"/>
        <c:axId val="83304448"/>
      </c:barChart>
      <c:catAx>
        <c:axId val="45214336"/>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83304448"/>
        <c:crosses val="autoZero"/>
        <c:auto val="true"/>
        <c:lblAlgn val="ctr"/>
        <c:lblOffset val="100"/>
        <c:noMultiLvlLbl val="false"/>
      </c:catAx>
      <c:valAx>
        <c:axId val="8330444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5214336"/>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26785714285714"/>
          <c:y val="0.0928571428571431"/>
          <c:w val="0.407142857142858"/>
          <c:h val="0.814285714285715"/>
        </c:manualLayout>
      </c:layout>
      <c:pieChart>
        <c:varyColors val="true"/>
        <c:ser>
          <c:idx val="0"/>
          <c:order val="0"/>
          <c:tx>
            <c:strRef>
              <c:f>Sheet1!$A$2</c:f>
              <c:strCache>
                <c:ptCount val="1"/>
                <c:pt idx="0">
                  <c:v>2023年</c:v>
                </c:pt>
              </c:strCache>
            </c:strRef>
          </c:tx>
          <c:explosion val="0"/>
          <c:dPt>
            <c:idx val="0"/>
            <c:bubble3D val="false"/>
          </c:dPt>
          <c:dLbls>
            <c:dLbl>
              <c:idx val="0"/>
              <c:layout>
                <c:manualLayout>
                  <c:x val="-0.100167390658241"/>
                  <c:y val="-0.313477065366831"/>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Sheet1!$B$1</c:f>
              <c:strCache>
                <c:ptCount val="1"/>
                <c:pt idx="0">
                  <c:v>一般公共预算财政拨款收入</c:v>
                </c:pt>
              </c:strCache>
            </c:strRef>
          </c:cat>
          <c:val>
            <c:numRef>
              <c:f>Sheet1!$B$2</c:f>
              <c:numCache>
                <c:formatCode>General</c:formatCode>
                <c:ptCount val="1"/>
                <c:pt idx="0">
                  <c:v>600.77</c:v>
                </c:pt>
              </c:numCache>
            </c:numRef>
          </c:val>
        </c:ser>
        <c:ser>
          <c:idx val="1"/>
          <c:order val="1"/>
          <c:tx>
            <c:strRef>
              <c:f>Sheet1!$A$3</c:f>
              <c:strCache>
                <c:ptCount val="1"/>
                <c:pt idx="0">
                  <c:v/>
                </c:pt>
              </c:strCache>
            </c:strRef>
          </c:tx>
          <c:explosion val="0"/>
          <c:dPt>
            <c:idx val="0"/>
            <c:bubble3D val="false"/>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Sheet1!$B$1</c:f>
              <c:strCache>
                <c:ptCount val="1"/>
                <c:pt idx="0">
                  <c:v>一般公共预算财政拨款收入</c:v>
                </c:pt>
              </c:strCache>
            </c:strRef>
          </c:cat>
          <c:val>
            <c:numRef>
              <c:f>Sheet1!$B$3</c:f>
              <c:numCache>
                <c:formatCode>General</c:formatCode>
                <c:ptCount val="1"/>
              </c:numCache>
            </c:numRef>
          </c:val>
        </c:ser>
        <c:dLbls>
          <c:showLegendKey val="false"/>
          <c:showVal val="false"/>
          <c:showCatName val="false"/>
          <c:showSerName val="false"/>
          <c:showPercent val="true"/>
          <c:showBubbleSize val="false"/>
          <c:showLeaderLines val="true"/>
        </c:dLbls>
        <c:firstSliceAng val="0"/>
      </c:pieChart>
    </c:plotArea>
    <c:legend>
      <c:legendPos val="r"/>
      <c:layout>
        <c:manualLayout>
          <c:xMode val="edge"/>
          <c:yMode val="edge"/>
          <c:x val="0.613674340347338"/>
          <c:y val="0.360714285714287"/>
          <c:w val="0.379182867980202"/>
          <c:h val="0.440245660991981"/>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218678815489749"/>
          <c:y val="0.101941747572816"/>
          <c:w val="0.37357630979499"/>
          <c:h val="0.796116504854367"/>
        </c:manualLayout>
      </c:layout>
      <c:pieChart>
        <c:varyColors val="true"/>
        <c:ser>
          <c:idx val="0"/>
          <c:order val="0"/>
          <c:tx>
            <c:strRef>
              <c:f>Sheet1!$A$2</c:f>
              <c:strCache>
                <c:ptCount val="1"/>
                <c:pt idx="0">
                  <c:v>2023</c:v>
                </c:pt>
              </c:strCache>
            </c:strRef>
          </c:tx>
          <c:explosion val="0"/>
          <c:dPt>
            <c:idx val="0"/>
            <c:bubble3D val="false"/>
          </c:dPt>
          <c:dPt>
            <c:idx val="1"/>
            <c:bubble3D val="false"/>
          </c:dPt>
          <c:dLbls>
            <c:dLbl>
              <c:idx val="0"/>
              <c:layout>
                <c:manualLayout>
                  <c:x val="-0.148904720135555"/>
                  <c:y val="-0.15948549874659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122525696164913"/>
                  <c:y val="0.119868962853276"/>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Sheet1!$B$1:$C$1</c:f>
              <c:strCache>
                <c:ptCount val="2"/>
                <c:pt idx="0">
                  <c:v>基本支出</c:v>
                </c:pt>
                <c:pt idx="1">
                  <c:v>项目支出</c:v>
                </c:pt>
              </c:strCache>
            </c:strRef>
          </c:cat>
          <c:val>
            <c:numRef>
              <c:f>Sheet1!$B$2:$C$2</c:f>
              <c:numCache>
                <c:formatCode>General</c:formatCode>
                <c:ptCount val="2"/>
                <c:pt idx="0">
                  <c:v>439.98</c:v>
                </c:pt>
                <c:pt idx="1">
                  <c:v>160.79</c:v>
                </c:pt>
              </c:numCache>
            </c:numRef>
          </c:val>
        </c:ser>
        <c:dLbls>
          <c:showLegendKey val="false"/>
          <c:showVal val="false"/>
          <c:showCatName val="false"/>
          <c:showSerName val="false"/>
          <c:showPercent val="true"/>
          <c:showBubbleSize val="false"/>
          <c:showLeaderLines val="true"/>
        </c:dLbls>
        <c:firstSliceAng val="0"/>
      </c:pieChart>
    </c:plotArea>
    <c:legend>
      <c:legendPos val="r"/>
      <c:layout>
        <c:manualLayout>
          <c:xMode val="edge"/>
          <c:yMode val="edge"/>
          <c:x val="0.813211845102506"/>
          <c:y val="0.407766990291263"/>
          <c:w val="0.177676537585422"/>
          <c:h val="0.189320388349515"/>
        </c:manualLayout>
      </c:layout>
      <c:overlay val="false"/>
      <c:txPr>
        <a:bodyPr rot="0" spcFirstLastPara="0" vertOverflow="ellipsis" vert="horz" wrap="square" anchor="ctr" anchorCtr="true"/>
        <a:lstStyle/>
        <a:p>
          <a:pPr>
            <a:defRPr lang="zh-CN" sz="105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财政拨款收、支决算总计变动情况</c:v>
                </c:pt>
              </c:strCache>
            </c:strRef>
          </c:tx>
          <c:invertIfNegative val="false"/>
          <c:dLbls>
            <c:delete val="true"/>
          </c:dLbls>
          <c:cat>
            <c:strRef>
              <c:f>Sheet1!$A$2:$A$3</c:f>
              <c:strCache>
                <c:ptCount val="2"/>
                <c:pt idx="0">
                  <c:v>2022年671.36万元</c:v>
                </c:pt>
                <c:pt idx="1">
                  <c:v>2023年600.77万元</c:v>
                </c:pt>
              </c:strCache>
            </c:strRef>
          </c:cat>
          <c:val>
            <c:numRef>
              <c:f>Sheet1!$B$2:$B$3</c:f>
              <c:numCache>
                <c:formatCode>General</c:formatCode>
                <c:ptCount val="2"/>
                <c:pt idx="0">
                  <c:v>671.36</c:v>
                </c:pt>
                <c:pt idx="1">
                  <c:v>600.77</c:v>
                </c:pt>
              </c:numCache>
            </c:numRef>
          </c:val>
        </c:ser>
        <c:dLbls>
          <c:showLegendKey val="false"/>
          <c:showVal val="false"/>
          <c:showCatName val="false"/>
          <c:showSerName val="false"/>
          <c:showPercent val="false"/>
          <c:showBubbleSize val="false"/>
        </c:dLbls>
        <c:gapWidth val="150"/>
        <c:overlap val="100"/>
        <c:axId val="44213376"/>
        <c:axId val="44214912"/>
      </c:barChart>
      <c:catAx>
        <c:axId val="44213376"/>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4214912"/>
        <c:crosses val="autoZero"/>
        <c:auto val="true"/>
        <c:lblAlgn val="ctr"/>
        <c:lblOffset val="100"/>
        <c:noMultiLvlLbl val="false"/>
      </c:catAx>
      <c:valAx>
        <c:axId val="4421491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4213376"/>
        <c:crosses val="autoZero"/>
        <c:crossBetween val="between"/>
      </c:valAx>
      <c:spPr>
        <a:solidFill>
          <a:schemeClr val="bg1"/>
        </a:solid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一般公共预算财政拨款支出决算变动情况</c:v>
                </c:pt>
              </c:strCache>
            </c:strRef>
          </c:tx>
          <c:invertIfNegative val="false"/>
          <c:dLbls>
            <c:delete val="true"/>
          </c:dLbls>
          <c:cat>
            <c:strRef>
              <c:f>Sheet1!$A$2:$A$3</c:f>
              <c:strCache>
                <c:ptCount val="2"/>
                <c:pt idx="0">
                  <c:v>2022年度671.36万元</c:v>
                </c:pt>
                <c:pt idx="1">
                  <c:v>2023年度600.77万元</c:v>
                </c:pt>
              </c:strCache>
            </c:strRef>
          </c:cat>
          <c:val>
            <c:numRef>
              <c:f>Sheet1!$B$2:$B$3</c:f>
              <c:numCache>
                <c:formatCode>General</c:formatCode>
                <c:ptCount val="2"/>
                <c:pt idx="0">
                  <c:v>671.36</c:v>
                </c:pt>
                <c:pt idx="1">
                  <c:v>600.77</c:v>
                </c:pt>
              </c:numCache>
            </c:numRef>
          </c:val>
        </c:ser>
        <c:dLbls>
          <c:showLegendKey val="false"/>
          <c:showVal val="false"/>
          <c:showCatName val="false"/>
          <c:showSerName val="false"/>
          <c:showPercent val="false"/>
          <c:showBubbleSize val="false"/>
        </c:dLbls>
        <c:gapWidth val="150"/>
        <c:axId val="44234624"/>
        <c:axId val="44236160"/>
      </c:barChart>
      <c:catAx>
        <c:axId val="4423462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900" b="0" i="0" u="none" strike="noStrike" kern="1200" baseline="0">
                <a:solidFill>
                  <a:schemeClr val="tx1"/>
                </a:solidFill>
                <a:latin typeface="+mn-lt"/>
                <a:ea typeface="+mn-ea"/>
                <a:cs typeface="+mn-cs"/>
              </a:defRPr>
            </a:pPr>
          </a:p>
        </c:txPr>
        <c:crossAx val="44236160"/>
        <c:crosses val="autoZero"/>
        <c:auto val="true"/>
        <c:lblAlgn val="ctr"/>
        <c:lblOffset val="100"/>
        <c:noMultiLvlLbl val="false"/>
      </c:catAx>
      <c:valAx>
        <c:axId val="44236160"/>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4234624"/>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82621502209131"/>
          <c:y val="0.232673267326733"/>
          <c:w val="0.318114874815907"/>
          <c:h val="0.534653465346535"/>
        </c:manualLayout>
      </c:layout>
      <c:pieChart>
        <c:varyColors val="true"/>
        <c:ser>
          <c:idx val="0"/>
          <c:order val="0"/>
          <c:tx>
            <c:strRef>
              <c:f>Sheet1!$A$2</c:f>
              <c:strCache>
                <c:ptCount val="1"/>
                <c:pt idx="0">
                  <c:v>一般公共预算财政拨款支出</c:v>
                </c:pt>
              </c:strCache>
            </c:strRef>
          </c:tx>
          <c:explosion val="0"/>
          <c:dPt>
            <c:idx val="0"/>
            <c:bubble3D val="false"/>
          </c:dPt>
          <c:dPt>
            <c:idx val="1"/>
            <c:bubble3D val="false"/>
          </c:dPt>
          <c:dPt>
            <c:idx val="2"/>
            <c:bubble3D val="false"/>
          </c:dPt>
          <c:dPt>
            <c:idx val="3"/>
            <c:bubble3D val="false"/>
          </c:dPt>
          <c:dLbls>
            <c:dLbl>
              <c:idx val="0"/>
              <c:layout>
                <c:manualLayout>
                  <c:x val="-0.138815671188349"/>
                  <c:y val="-0.149523694219448"/>
                </c:manualLayout>
              </c:layout>
              <c:tx>
                <c:rich>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r>
                      <a:rPr lang="en-US" sz="1050"/>
                      <a:t>83.67%</a:t>
                    </a:r>
                    <a:endParaRPr lang="en-US" sz="1050"/>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true"/>
              <c:showPercent val="true"/>
              <c:showBubbleSize val="false"/>
              <c:extLst>
                <c:ext xmlns:c15="http://schemas.microsoft.com/office/drawing/2012/chart" uri="{CE6537A1-D6FC-4f65-9D91-7224C49458BB}">
                  <c15:layout/>
                </c:ext>
              </c:extLst>
            </c:dLbl>
            <c:dLbl>
              <c:idx val="1"/>
              <c:layout>
                <c:manualLayout>
                  <c:x val="-0.067902261001658"/>
                  <c:y val="0.0769376034667269"/>
                </c:manualLayout>
              </c:layout>
              <c:tx>
                <c:rich>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r>
                      <a:rPr lang="en-US" sz="1050"/>
                      <a:t>8.46%</a:t>
                    </a:r>
                    <a:endParaRPr lang="en-US" sz="1050"/>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true"/>
              <c:showPercent val="true"/>
              <c:showBubbleSize val="false"/>
              <c:extLst>
                <c:ext xmlns:c15="http://schemas.microsoft.com/office/drawing/2012/chart" uri="{CE6537A1-D6FC-4f65-9D91-7224C49458BB}">
                  <c15:layout/>
                </c:ext>
              </c:extLst>
            </c:dLbl>
            <c:dLbl>
              <c:idx val="2"/>
              <c:layout>
                <c:manualLayout>
                  <c:x val="-0.100169880041181"/>
                  <c:y val="0.0299303953743196"/>
                </c:manualLayout>
              </c:layout>
              <c:tx>
                <c:rich>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r>
                      <a:rPr lang="en-US" sz="1050"/>
                      <a:t>2.59%</a:t>
                    </a:r>
                    <a:endParaRPr lang="en-US" sz="1050"/>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true"/>
              <c:showPercent val="true"/>
              <c:showBubbleSize val="false"/>
              <c:extLst>
                <c:ext xmlns:c15="http://schemas.microsoft.com/office/drawing/2012/chart" uri="{CE6537A1-D6FC-4f65-9D91-7224C49458BB}">
                  <c15:layout/>
                </c:ext>
              </c:extLst>
            </c:dLbl>
            <c:dLbl>
              <c:idx val="3"/>
              <c:layout>
                <c:manualLayout>
                  <c:x val="-0.0951406444744883"/>
                  <c:y val="-0.02007522586094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5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Sheet1!$B$1:$E$1</c:f>
              <c:strCache>
                <c:ptCount val="4"/>
                <c:pt idx="0">
                  <c:v>公共安全（类）支出</c:v>
                </c:pt>
                <c:pt idx="1">
                  <c:v>社会保障和就业（类）支出</c:v>
                </c:pt>
                <c:pt idx="2">
                  <c:v>卫生健康(类)支出</c:v>
                </c:pt>
                <c:pt idx="3">
                  <c:v>住房保障（类）支出</c:v>
                </c:pt>
              </c:strCache>
            </c:strRef>
          </c:cat>
          <c:val>
            <c:numRef>
              <c:f>Sheet1!$B$2:$E$2</c:f>
              <c:numCache>
                <c:formatCode>#,##0.00</c:formatCode>
                <c:ptCount val="4"/>
                <c:pt idx="0">
                  <c:v>502.64</c:v>
                </c:pt>
                <c:pt idx="1" c:formatCode="General">
                  <c:v>50.85</c:v>
                </c:pt>
                <c:pt idx="2" c:formatCode="General">
                  <c:v>15.55</c:v>
                </c:pt>
                <c:pt idx="3" c:formatCode="General">
                  <c:v>31.72</c:v>
                </c:pt>
              </c:numCache>
            </c:numRef>
          </c:val>
        </c:ser>
        <c:dLbls>
          <c:showLegendKey val="false"/>
          <c:showVal val="false"/>
          <c:showCatName val="false"/>
          <c:showSerName val="false"/>
          <c:showPercent val="true"/>
          <c:showBubbleSize val="false"/>
          <c:showLeaderLines val="true"/>
        </c:dLbls>
        <c:firstSliceAng val="0"/>
      </c:pieChart>
    </c:plotArea>
    <c:legend>
      <c:legendPos val="r"/>
      <c:layout>
        <c:manualLayout>
          <c:xMode val="edge"/>
          <c:yMode val="edge"/>
          <c:x val="0.588869593355624"/>
          <c:y val="0.331208231998524"/>
          <c:w val="0.370034336461367"/>
          <c:h val="0.321782178217824"/>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3"/>
    </mc:Choice>
    <mc:Fallback>
      <c:style val="3"/>
    </mc:Fallback>
  </mc:AlternateContent>
  <c:chart>
    <c:autoTitleDeleted val="true"/>
    <c:plotArea>
      <c:layout>
        <c:manualLayout>
          <c:layoutTarget val="inner"/>
          <c:xMode val="edge"/>
          <c:yMode val="edge"/>
          <c:x val="0.162698412698413"/>
          <c:y val="0.192857142857143"/>
          <c:w val="0.341269841269843"/>
          <c:h val="0.614285714285716"/>
        </c:manualLayout>
      </c:layout>
      <c:pieChart>
        <c:varyColors val="true"/>
        <c:ser>
          <c:idx val="0"/>
          <c:order val="0"/>
          <c:tx>
            <c:strRef>
              <c:f>Sheet1!$A$2</c:f>
              <c:strCache>
                <c:ptCount val="1"/>
                <c:pt idx="0">
                  <c:v/>
                </c:pt>
              </c:strCache>
            </c:strRef>
          </c:tx>
          <c:explosion val="0"/>
          <c:dPt>
            <c:idx val="0"/>
            <c:bubble3D val="false"/>
          </c:dPt>
          <c:dPt>
            <c:idx val="1"/>
            <c:bubble3D val="false"/>
          </c:dPt>
          <c:dPt>
            <c:idx val="2"/>
            <c:bubble3D val="false"/>
          </c:dPt>
          <c:dLbls>
            <c:dLbl>
              <c:idx val="0"/>
              <c:layout>
                <c:manualLayout>
                  <c:x val="0.0748925653068073"/>
                  <c:y val="-0.036781532926361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230429891915683"/>
                  <c:y val="-0.23323761496105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98.09</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805603400365472"/>
                  <c:y val="-0.037257709359363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1.91</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Sheet1!$B$1:$D$1</c:f>
              <c:strCache>
                <c:ptCount val="3"/>
                <c:pt idx="0">
                  <c:v>因公出国（境）费</c:v>
                </c:pt>
                <c:pt idx="1">
                  <c:v>公务用车购置及运行维护费支出</c:v>
                </c:pt>
                <c:pt idx="2">
                  <c:v>公务接待费支出</c:v>
                </c:pt>
              </c:strCache>
            </c:strRef>
          </c:cat>
          <c:val>
            <c:numRef>
              <c:f>Sheet1!$B$2:$D$2</c:f>
              <c:numCache>
                <c:formatCode>General</c:formatCode>
                <c:ptCount val="3"/>
                <c:pt idx="0">
                  <c:v>0</c:v>
                </c:pt>
                <c:pt idx="1">
                  <c:v>9.8</c:v>
                </c:pt>
                <c:pt idx="2">
                  <c:v>0.19</c:v>
                </c:pt>
              </c:numCache>
            </c:numRef>
          </c:val>
        </c:ser>
        <c:dLbls>
          <c:showLegendKey val="false"/>
          <c:showVal val="false"/>
          <c:showCatName val="false"/>
          <c:showSerName val="false"/>
          <c:showPercent val="true"/>
          <c:showBubbleSize val="false"/>
          <c:showLeaderLines val="true"/>
        </c:dLbls>
        <c:firstSliceAng val="0"/>
      </c:pieChart>
    </c:plotArea>
    <c:legend>
      <c:legendPos val="r"/>
      <c:layout>
        <c:manualLayout>
          <c:xMode val="edge"/>
          <c:yMode val="edge"/>
          <c:x val="0.609201401019413"/>
          <c:y val="0.310714362951823"/>
          <c:w val="0.380586744063135"/>
          <c:h val="0.378571428571429"/>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25</Pages>
  <Words>10673</Words>
  <Characters>12153</Characters>
  <Lines>80</Lines>
  <Paragraphs>22</Paragraphs>
  <TotalTime>19</TotalTime>
  <ScaleCrop>false</ScaleCrop>
  <LinksUpToDate>false</LinksUpToDate>
  <CharactersWithSpaces>12314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2020-08-06T09:49:00Z</dcterms:created>
  <dc:creator>曹颖</dc:creator>
  <cp:lastModifiedBy> </cp:lastModifiedBy>
  <cp:lastPrinted>2023-09-26T16:55:00Z</cp:lastPrinted>
  <dcterms:modified xsi:type="dcterms:W3CDTF">2024-10-14T09:51:27Z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386AE443A1E8425EAF41F928102D4F09</vt:lpwstr>
  </property>
</Properties>
</file>