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szCs w:val="21"/>
        </w:rPr>
      </w:pPr>
      <w:bookmarkStart w:id="0" w:name="_Toc15306267"/>
    </w:p>
    <w:p>
      <w:pPr>
        <w:spacing w:line="600" w:lineRule="exact"/>
        <w:jc w:val="center"/>
        <w:outlineLvl w:val="9"/>
        <w:rPr>
          <w:rFonts w:ascii="方正小标宋简体" w:hAnsi="宋体" w:eastAsia="方正小标宋简体"/>
          <w:sz w:val="72"/>
          <w:szCs w:val="72"/>
        </w:rPr>
      </w:pPr>
    </w:p>
    <w:bookmarkEnd w:id="0"/>
    <w:p>
      <w:pPr>
        <w:adjustRightInd w:val="0"/>
        <w:snapToGrid w:val="0"/>
        <w:jc w:val="center"/>
        <w:outlineLvl w:val="0"/>
        <w:rPr>
          <w:rFonts w:ascii="方正大黑_GBK" w:hAnsi="方正粗黑宋简体" w:eastAsia="方正大黑_GBK" w:cs="方正小标宋简体"/>
          <w:w w:val="90"/>
          <w:sz w:val="100"/>
          <w:szCs w:val="100"/>
        </w:rPr>
      </w:pPr>
      <w:bookmarkStart w:id="1" w:name="_Toc8344"/>
      <w:bookmarkStart w:id="2" w:name="_Toc15378442"/>
      <w:bookmarkStart w:id="3" w:name="_Toc15377194"/>
      <w:bookmarkStart w:id="4" w:name="_Toc15377426"/>
      <w:bookmarkStart w:id="5" w:name="_Toc15396598"/>
      <w:bookmarkStart w:id="6" w:name="_Toc15396476"/>
      <w:bookmarkStart w:id="7" w:name="_Toc15306268"/>
      <w:r>
        <w:rPr>
          <w:rFonts w:hint="eastAsia" w:ascii="方正大黑_GBK" w:hAnsi="方正粗黑宋简体" w:eastAsia="方正大黑_GBK" w:cs="方正小标宋简体"/>
          <w:w w:val="90"/>
          <w:sz w:val="100"/>
          <w:szCs w:val="100"/>
        </w:rPr>
        <w:t>广元市教育技术与</w:t>
      </w:r>
      <w:bookmarkEnd w:id="1"/>
    </w:p>
    <w:p>
      <w:pPr>
        <w:adjustRightInd w:val="0"/>
        <w:snapToGrid w:val="0"/>
        <w:jc w:val="center"/>
        <w:outlineLvl w:val="0"/>
        <w:rPr>
          <w:rFonts w:ascii="方正大黑_GBK" w:hAnsi="方正粗黑宋简体" w:eastAsia="方正大黑_GBK" w:cs="方正小标宋简体"/>
          <w:w w:val="90"/>
          <w:sz w:val="100"/>
          <w:szCs w:val="100"/>
        </w:rPr>
      </w:pPr>
      <w:bookmarkStart w:id="8" w:name="_Toc25790"/>
      <w:r>
        <w:rPr>
          <w:rFonts w:hint="eastAsia" w:ascii="方正大黑_GBK" w:hAnsi="方正粗黑宋简体" w:eastAsia="方正大黑_GBK" w:cs="方正小标宋简体"/>
          <w:w w:val="90"/>
          <w:sz w:val="100"/>
          <w:szCs w:val="100"/>
        </w:rPr>
        <w:t>电化教育中心决算</w:t>
      </w:r>
      <w:bookmarkEnd w:id="2"/>
      <w:bookmarkEnd w:id="3"/>
      <w:bookmarkEnd w:id="4"/>
      <w:bookmarkEnd w:id="5"/>
      <w:bookmarkEnd w:id="6"/>
      <w:bookmarkEnd w:id="7"/>
      <w:bookmarkEnd w:id="8"/>
    </w:p>
    <w:p>
      <w:pPr>
        <w:adjustRightInd w:val="0"/>
        <w:snapToGrid w:val="0"/>
        <w:spacing w:line="360" w:lineRule="auto"/>
        <w:jc w:val="center"/>
        <w:outlineLvl w:val="9"/>
        <w:rPr>
          <w:rFonts w:ascii="方正小标宋简体" w:hAnsi="宋体" w:eastAsia="方正小标宋简体"/>
          <w:sz w:val="52"/>
          <w:szCs w:val="52"/>
        </w:rPr>
      </w:pPr>
    </w:p>
    <w:p>
      <w:pPr>
        <w:pStyle w:val="2"/>
        <w:ind w:left="31680" w:firstLine="31680"/>
      </w:pPr>
    </w:p>
    <w:p/>
    <w:p>
      <w:pPr>
        <w:pStyle w:val="2"/>
        <w:ind w:left="31680" w:firstLine="31680"/>
      </w:pPr>
    </w:p>
    <w:p/>
    <w:p>
      <w:pPr>
        <w:pStyle w:val="2"/>
        <w:ind w:left="31680" w:firstLine="31680"/>
      </w:pPr>
    </w:p>
    <w:p/>
    <w:p>
      <w:pPr>
        <w:pStyle w:val="2"/>
        <w:ind w:left="31680" w:firstLine="31680"/>
      </w:pPr>
    </w:p>
    <w:p/>
    <w:p>
      <w:pPr>
        <w:pStyle w:val="2"/>
        <w:ind w:left="31680" w:firstLine="31680"/>
      </w:pPr>
    </w:p>
    <w:p/>
    <w:p>
      <w:pPr>
        <w:pStyle w:val="2"/>
        <w:ind w:left="31680" w:firstLine="31680"/>
      </w:pPr>
    </w:p>
    <w:p/>
    <w:p>
      <w:pPr>
        <w:pStyle w:val="2"/>
        <w:ind w:left="31680" w:firstLine="31680"/>
      </w:pPr>
    </w:p>
    <w:p/>
    <w:p>
      <w:pPr>
        <w:pStyle w:val="2"/>
        <w:ind w:left="31680" w:firstLine="31680"/>
      </w:pPr>
    </w:p>
    <w:p/>
    <w:p>
      <w:pPr>
        <w:pStyle w:val="2"/>
        <w:ind w:left="31680" w:firstLine="31680"/>
      </w:pPr>
    </w:p>
    <w:p>
      <w:pPr>
        <w:adjustRightInd w:val="0"/>
        <w:snapToGrid w:val="0"/>
        <w:jc w:val="center"/>
        <w:outlineLvl w:val="0"/>
        <w:rPr>
          <w:rFonts w:ascii="方正小标宋简体" w:hAnsi="方正小标宋简体" w:eastAsia="方正小标宋简体" w:cs="方正小标宋简体"/>
          <w:sz w:val="48"/>
          <w:szCs w:val="48"/>
        </w:rPr>
      </w:pPr>
      <w:bookmarkStart w:id="9" w:name="_Toc15378441"/>
      <w:bookmarkStart w:id="10" w:name="_Toc15396475"/>
      <w:bookmarkStart w:id="11" w:name="_Toc15377193"/>
      <w:bookmarkStart w:id="12" w:name="_Toc15396597"/>
      <w:bookmarkStart w:id="13" w:name="_Toc32250"/>
      <w:bookmarkStart w:id="14" w:name="_Toc15377425"/>
      <w:r>
        <w:rPr>
          <w:rFonts w:ascii="方正小标宋简体" w:hAnsi="方正小标宋简体" w:eastAsia="方正小标宋简体" w:cs="方正小标宋简体"/>
          <w:sz w:val="48"/>
          <w:szCs w:val="48"/>
        </w:rPr>
        <w:t>2023</w:t>
      </w:r>
      <w:r>
        <w:rPr>
          <w:rFonts w:hint="eastAsia" w:ascii="方正小标宋简体" w:hAnsi="方正小标宋简体" w:eastAsia="方正小标宋简体" w:cs="方正小标宋简体"/>
          <w:sz w:val="48"/>
          <w:szCs w:val="48"/>
        </w:rPr>
        <w:t>年度</w:t>
      </w:r>
      <w:bookmarkEnd w:id="9"/>
      <w:bookmarkEnd w:id="10"/>
      <w:bookmarkEnd w:id="11"/>
      <w:bookmarkEnd w:id="12"/>
      <w:bookmarkEnd w:id="13"/>
      <w:bookmarkEnd w:id="14"/>
    </w:p>
    <w:p>
      <w:r>
        <w:br w:type="page"/>
      </w:r>
    </w:p>
    <w:p>
      <w:pPr>
        <w:widowControl/>
        <w:jc w:val="center"/>
        <w:rPr>
          <w:rFonts w:ascii="黑体" w:hAnsi="黑体" w:eastAsia="黑体"/>
          <w:sz w:val="44"/>
          <w:szCs w:val="44"/>
        </w:rPr>
      </w:pPr>
      <w:r>
        <w:rPr>
          <w:rFonts w:hint="eastAsia" w:ascii="黑体" w:hAnsi="黑体" w:eastAsia="黑体"/>
          <w:sz w:val="44"/>
          <w:szCs w:val="44"/>
        </w:rPr>
        <w:t>目</w:t>
      </w:r>
      <w:r>
        <w:rPr>
          <w:rFonts w:ascii="黑体" w:hAnsi="黑体" w:eastAsia="黑体"/>
          <w:sz w:val="44"/>
          <w:szCs w:val="44"/>
        </w:rPr>
        <w:t xml:space="preserve">    </w:t>
      </w:r>
      <w:r>
        <w:rPr>
          <w:rFonts w:hint="eastAsia" w:ascii="黑体" w:hAnsi="黑体" w:eastAsia="黑体"/>
          <w:sz w:val="44"/>
          <w:szCs w:val="44"/>
        </w:rPr>
        <w:t>录</w:t>
      </w:r>
    </w:p>
    <w:p>
      <w:pPr>
        <w:pStyle w:val="12"/>
        <w:adjustRightInd w:val="0"/>
        <w:snapToGrid w:val="0"/>
        <w:spacing w:before="0"/>
        <w:rPr>
          <w:rFonts w:ascii="仿宋_GB2312" w:eastAsia="仿宋_GB2312"/>
          <w:sz w:val="32"/>
          <w:szCs w:val="32"/>
        </w:rPr>
      </w:pPr>
    </w:p>
    <w:p>
      <w:pPr>
        <w:pStyle w:val="12"/>
        <w:adjustRightInd w:val="0"/>
        <w:snapToGrid w:val="0"/>
        <w:spacing w:before="0" w:line="576" w:lineRule="exact"/>
        <w:rPr>
          <w:rFonts w:ascii="楷体_GB2312" w:eastAsia="楷体_GB2312"/>
          <w:sz w:val="32"/>
          <w:szCs w:val="32"/>
        </w:rPr>
      </w:pPr>
      <w:r>
        <w:rPr>
          <w:rFonts w:hint="eastAsia" w:ascii="楷体_GB2312" w:eastAsia="楷体_GB2312"/>
          <w:sz w:val="32"/>
          <w:szCs w:val="32"/>
        </w:rPr>
        <w:t>公开时间：</w:t>
      </w:r>
      <w:r>
        <w:rPr>
          <w:rFonts w:ascii="楷体_GB2312" w:eastAsia="楷体_GB2312"/>
          <w:sz w:val="32"/>
          <w:szCs w:val="32"/>
        </w:rPr>
        <w:t>202</w:t>
      </w:r>
      <w:r>
        <w:rPr>
          <w:rFonts w:hint="eastAsia" w:ascii="楷体_GB2312" w:eastAsia="楷体_GB2312"/>
          <w:sz w:val="32"/>
          <w:szCs w:val="32"/>
          <w:lang w:val="en-US" w:eastAsia="zh-CN"/>
        </w:rPr>
        <w:t>4</w:t>
      </w:r>
      <w:r>
        <w:rPr>
          <w:rFonts w:hint="eastAsia" w:ascii="楷体_GB2312" w:eastAsia="楷体_GB2312"/>
          <w:sz w:val="32"/>
          <w:szCs w:val="32"/>
        </w:rPr>
        <w:t>年</w:t>
      </w:r>
      <w:r>
        <w:rPr>
          <w:rFonts w:hint="eastAsia" w:ascii="楷体_GB2312" w:eastAsia="楷体_GB2312"/>
          <w:sz w:val="32"/>
          <w:szCs w:val="32"/>
          <w:lang w:val="en-US" w:eastAsia="zh-CN"/>
        </w:rPr>
        <w:t>10</w:t>
      </w:r>
      <w:r>
        <w:rPr>
          <w:rFonts w:hint="eastAsia" w:ascii="楷体_GB2312" w:eastAsia="楷体_GB2312"/>
          <w:sz w:val="32"/>
          <w:szCs w:val="32"/>
        </w:rPr>
        <w:t>月</w:t>
      </w:r>
      <w:r>
        <w:rPr>
          <w:rFonts w:hint="eastAsia" w:ascii="楷体_GB2312" w:eastAsia="楷体_GB2312"/>
          <w:sz w:val="32"/>
          <w:szCs w:val="32"/>
          <w:lang w:val="en-US" w:eastAsia="zh-CN"/>
        </w:rPr>
        <w:t>14</w:t>
      </w:r>
      <w:r>
        <w:rPr>
          <w:rFonts w:hint="eastAsia" w:ascii="楷体_GB2312" w:eastAsia="楷体_GB2312"/>
          <w:sz w:val="32"/>
          <w:szCs w:val="32"/>
        </w:rPr>
        <w:t>日</w:t>
      </w:r>
    </w:p>
    <w:p>
      <w:pPr>
        <w:spacing w:before="0" w:beforeLines="0" w:after="0" w:afterLines="0" w:line="240" w:lineRule="auto"/>
        <w:ind w:left="0" w:leftChars="0" w:right="0" w:rightChars="0" w:firstLine="0" w:firstLineChars="0"/>
        <w:jc w:val="both"/>
      </w:pPr>
      <w:bookmarkStart w:id="15" w:name="_Toc15396599"/>
      <w:bookmarkStart w:id="16" w:name="_Toc15377196"/>
    </w:p>
    <w:p>
      <w:pPr>
        <w:pStyle w:val="37"/>
        <w:tabs>
          <w:tab w:val="right" w:leader="dot" w:pos="8844"/>
        </w:tabs>
        <w:rPr>
          <w:b/>
        </w:rPr>
      </w:pPr>
      <w:r>
        <w:rPr>
          <w:rFonts w:hint="eastAsia"/>
        </w:rPr>
        <w:fldChar w:fldCharType="begin"/>
      </w:r>
      <w:r>
        <w:rPr>
          <w:rFonts w:hint="eastAsia"/>
        </w:rPr>
        <w:instrText xml:space="preserve">TOC \o "1-2" \h \u </w:instrText>
      </w:r>
      <w:r>
        <w:rPr>
          <w:rFonts w:hint="eastAsia"/>
        </w:rPr>
        <w:fldChar w:fldCharType="separate"/>
      </w:r>
      <w:r>
        <w:rPr>
          <w:rFonts w:hint="eastAsia"/>
          <w:b/>
        </w:rPr>
        <w:fldChar w:fldCharType="begin"/>
      </w:r>
      <w:r>
        <w:rPr>
          <w:rFonts w:hint="eastAsia"/>
          <w:b/>
        </w:rPr>
        <w:instrText xml:space="preserve"> HYPERLINK \l _Toc26726 </w:instrText>
      </w:r>
      <w:r>
        <w:rPr>
          <w:rFonts w:hint="eastAsia"/>
          <w:b/>
        </w:rPr>
        <w:fldChar w:fldCharType="separate"/>
      </w:r>
      <w:r>
        <w:rPr>
          <w:rFonts w:hint="eastAsia" w:eastAsia="方正小标宋_GBK"/>
          <w:b/>
          <w:szCs w:val="44"/>
        </w:rPr>
        <w:t>第一部分</w:t>
      </w:r>
      <w:r>
        <w:rPr>
          <w:rFonts w:eastAsia="方正小标宋_GBK"/>
          <w:b/>
          <w:szCs w:val="44"/>
        </w:rPr>
        <w:t xml:space="preserve"> </w:t>
      </w:r>
      <w:r>
        <w:rPr>
          <w:rFonts w:hint="eastAsia" w:eastAsia="方正小标宋_GBK"/>
          <w:b/>
          <w:szCs w:val="44"/>
        </w:rPr>
        <w:t>单位</w:t>
      </w:r>
      <w:r>
        <w:rPr>
          <w:rFonts w:hint="eastAsia" w:ascii="黑体" w:hAnsi="黑体" w:eastAsia="方正小标宋_GBK"/>
          <w:b/>
        </w:rPr>
        <w:t>概况</w:t>
      </w:r>
      <w:r>
        <w:rPr>
          <w:b/>
        </w:rPr>
        <w:tab/>
      </w:r>
      <w:r>
        <w:rPr>
          <w:b/>
        </w:rPr>
        <w:fldChar w:fldCharType="begin"/>
      </w:r>
      <w:r>
        <w:rPr>
          <w:b/>
        </w:rPr>
        <w:instrText xml:space="preserve"> PAGEREF _Toc26726 \h </w:instrText>
      </w:r>
      <w:r>
        <w:rPr>
          <w:b/>
        </w:rPr>
        <w:fldChar w:fldCharType="separate"/>
      </w:r>
      <w:r>
        <w:rPr>
          <w:b/>
        </w:rPr>
        <w:t>1</w:t>
      </w:r>
      <w:r>
        <w:rPr>
          <w:b/>
        </w:rPr>
        <w:fldChar w:fldCharType="end"/>
      </w:r>
      <w:r>
        <w:rPr>
          <w:rFonts w:hint="eastAsia"/>
          <w:b/>
        </w:rPr>
        <w:fldChar w:fldCharType="end"/>
      </w:r>
    </w:p>
    <w:p>
      <w:pPr>
        <w:pStyle w:val="38"/>
        <w:tabs>
          <w:tab w:val="right" w:leader="dot" w:pos="8844"/>
        </w:tabs>
      </w:pPr>
      <w:r>
        <w:rPr>
          <w:rFonts w:hint="eastAsia"/>
        </w:rPr>
        <w:fldChar w:fldCharType="begin"/>
      </w:r>
      <w:r>
        <w:rPr>
          <w:rFonts w:hint="eastAsia"/>
        </w:rPr>
        <w:instrText xml:space="preserve"> HYPERLINK \l _Toc4403 </w:instrText>
      </w:r>
      <w:r>
        <w:rPr>
          <w:rFonts w:hint="eastAsia"/>
        </w:rPr>
        <w:fldChar w:fldCharType="separate"/>
      </w:r>
      <w:r>
        <w:rPr>
          <w:rFonts w:hint="eastAsia" w:ascii="黑体" w:hAnsi="黑体" w:eastAsia="黑体"/>
        </w:rPr>
        <w:t>一、主要职责</w:t>
      </w:r>
      <w:r>
        <w:tab/>
      </w:r>
      <w:r>
        <w:fldChar w:fldCharType="begin"/>
      </w:r>
      <w:r>
        <w:instrText xml:space="preserve"> PAGEREF _Toc4403 \h </w:instrText>
      </w:r>
      <w:r>
        <w:fldChar w:fldCharType="separate"/>
      </w:r>
      <w:r>
        <w:t>1</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_Toc32589 </w:instrText>
      </w:r>
      <w:r>
        <w:rPr>
          <w:rFonts w:hint="eastAsia"/>
        </w:rPr>
        <w:fldChar w:fldCharType="separate"/>
      </w:r>
      <w:r>
        <w:rPr>
          <w:rFonts w:hint="eastAsia" w:ascii="黑体" w:hAnsi="黑体" w:eastAsia="黑体"/>
        </w:rPr>
        <w:t>二、机构设置</w:t>
      </w:r>
      <w:r>
        <w:tab/>
      </w:r>
      <w:r>
        <w:fldChar w:fldCharType="begin"/>
      </w:r>
      <w:r>
        <w:instrText xml:space="preserve"> PAGEREF _Toc32589 \h </w:instrText>
      </w:r>
      <w:r>
        <w:fldChar w:fldCharType="separate"/>
      </w:r>
      <w:r>
        <w:t>1</w:t>
      </w:r>
      <w:r>
        <w:fldChar w:fldCharType="end"/>
      </w:r>
      <w:r>
        <w:rPr>
          <w:rFonts w:hint="eastAsia"/>
        </w:rPr>
        <w:fldChar w:fldCharType="end"/>
      </w:r>
    </w:p>
    <w:p>
      <w:pPr>
        <w:pStyle w:val="37"/>
        <w:tabs>
          <w:tab w:val="right" w:leader="dot" w:pos="8844"/>
        </w:tabs>
        <w:rPr>
          <w:b/>
        </w:rPr>
      </w:pPr>
      <w:r>
        <w:rPr>
          <w:rFonts w:hint="eastAsia"/>
          <w:b/>
        </w:rPr>
        <w:fldChar w:fldCharType="begin"/>
      </w:r>
      <w:r>
        <w:rPr>
          <w:rFonts w:hint="eastAsia"/>
          <w:b/>
        </w:rPr>
        <w:instrText xml:space="preserve"> HYPERLINK \l _Toc22898 </w:instrText>
      </w:r>
      <w:r>
        <w:rPr>
          <w:rFonts w:hint="eastAsia"/>
          <w:b/>
        </w:rPr>
        <w:fldChar w:fldCharType="separate"/>
      </w:r>
      <w:r>
        <w:rPr>
          <w:rFonts w:hint="eastAsia" w:ascii="方正小标宋_GBK" w:eastAsia="方正小标宋_GBK"/>
          <w:b/>
          <w:szCs w:val="44"/>
        </w:rPr>
        <w:t>第二部分</w:t>
      </w:r>
      <w:r>
        <w:rPr>
          <w:rFonts w:ascii="方正小标宋_GBK" w:eastAsia="方正小标宋_GBK"/>
          <w:b/>
          <w:szCs w:val="44"/>
        </w:rPr>
        <w:t xml:space="preserve"> 2023</w:t>
      </w:r>
      <w:r>
        <w:rPr>
          <w:rFonts w:hint="eastAsia" w:ascii="方正小标宋_GBK" w:eastAsia="方正小标宋_GBK"/>
          <w:b/>
          <w:szCs w:val="44"/>
        </w:rPr>
        <w:t>年度</w:t>
      </w:r>
      <w:r>
        <w:rPr>
          <w:rFonts w:hint="eastAsia" w:ascii="方正小标宋_GBK" w:hAnsi="黑体" w:eastAsia="方正小标宋_GBK"/>
          <w:b/>
          <w:bCs w:val="0"/>
        </w:rPr>
        <w:t>单位决算情况说明</w:t>
      </w:r>
      <w:r>
        <w:rPr>
          <w:b/>
        </w:rPr>
        <w:tab/>
      </w:r>
      <w:r>
        <w:rPr>
          <w:b/>
        </w:rPr>
        <w:fldChar w:fldCharType="begin"/>
      </w:r>
      <w:r>
        <w:rPr>
          <w:b/>
        </w:rPr>
        <w:instrText xml:space="preserve"> PAGEREF _Toc22898 \h </w:instrText>
      </w:r>
      <w:r>
        <w:rPr>
          <w:b/>
        </w:rPr>
        <w:fldChar w:fldCharType="separate"/>
      </w:r>
      <w:r>
        <w:rPr>
          <w:b/>
        </w:rPr>
        <w:t>2</w:t>
      </w:r>
      <w:r>
        <w:rPr>
          <w:b/>
        </w:rPr>
        <w:fldChar w:fldCharType="end"/>
      </w:r>
      <w:r>
        <w:rPr>
          <w:rFonts w:hint="eastAsia"/>
          <w:b/>
        </w:rPr>
        <w:fldChar w:fldCharType="end"/>
      </w:r>
    </w:p>
    <w:p>
      <w:pPr>
        <w:pStyle w:val="38"/>
        <w:tabs>
          <w:tab w:val="right" w:leader="dot" w:pos="8844"/>
        </w:tabs>
      </w:pPr>
      <w:r>
        <w:rPr>
          <w:rFonts w:hint="eastAsia"/>
        </w:rPr>
        <w:fldChar w:fldCharType="begin"/>
      </w:r>
      <w:r>
        <w:rPr>
          <w:rFonts w:hint="eastAsia"/>
        </w:rPr>
        <w:instrText xml:space="preserve"> HYPERLINK \l _Toc982 </w:instrText>
      </w:r>
      <w:r>
        <w:rPr>
          <w:rFonts w:hint="eastAsia"/>
        </w:rPr>
        <w:fldChar w:fldCharType="separate"/>
      </w:r>
      <w:r>
        <w:rPr>
          <w:rFonts w:hint="eastAsia" w:ascii="黑体" w:hAnsi="黑体" w:eastAsia="黑体"/>
          <w:szCs w:val="32"/>
        </w:rPr>
        <w:t>一、收</w:t>
      </w:r>
      <w:r>
        <w:rPr>
          <w:rFonts w:hint="eastAsia" w:ascii="黑体" w:hAnsi="黑体" w:eastAsia="黑体"/>
        </w:rPr>
        <w:t>入支出决算总体情况说明</w:t>
      </w:r>
      <w:r>
        <w:tab/>
      </w:r>
      <w:r>
        <w:fldChar w:fldCharType="begin"/>
      </w:r>
      <w:r>
        <w:instrText xml:space="preserve"> PAGEREF _Toc982 \h </w:instrText>
      </w:r>
      <w:r>
        <w:fldChar w:fldCharType="separate"/>
      </w:r>
      <w:r>
        <w:t>2</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_Toc10141 </w:instrText>
      </w:r>
      <w:r>
        <w:rPr>
          <w:rFonts w:hint="eastAsia"/>
        </w:rPr>
        <w:fldChar w:fldCharType="separate"/>
      </w:r>
      <w:r>
        <w:rPr>
          <w:rFonts w:hint="eastAsia" w:ascii="黑体" w:hAnsi="黑体" w:eastAsia="黑体"/>
          <w:szCs w:val="32"/>
        </w:rPr>
        <w:t>二、收</w:t>
      </w:r>
      <w:r>
        <w:rPr>
          <w:rFonts w:hint="eastAsia" w:ascii="黑体" w:eastAsia="黑体"/>
          <w:bCs/>
          <w:szCs w:val="32"/>
        </w:rPr>
        <w:t>入决算情况说明</w:t>
      </w:r>
      <w:r>
        <w:tab/>
      </w:r>
      <w:r>
        <w:fldChar w:fldCharType="begin"/>
      </w:r>
      <w:r>
        <w:instrText xml:space="preserve"> PAGEREF _Toc10141 \h </w:instrText>
      </w:r>
      <w:r>
        <w:fldChar w:fldCharType="separate"/>
      </w:r>
      <w:r>
        <w:t>2</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_Toc3317 </w:instrText>
      </w:r>
      <w:r>
        <w:rPr>
          <w:rFonts w:hint="eastAsia"/>
        </w:rPr>
        <w:fldChar w:fldCharType="separate"/>
      </w:r>
      <w:r>
        <w:rPr>
          <w:rFonts w:hint="eastAsia" w:ascii="黑体" w:hAnsi="黑体" w:eastAsia="黑体"/>
          <w:szCs w:val="32"/>
        </w:rPr>
        <w:t>三、支出决算情况说明</w:t>
      </w:r>
      <w:r>
        <w:tab/>
      </w:r>
      <w:r>
        <w:fldChar w:fldCharType="begin"/>
      </w:r>
      <w:r>
        <w:instrText xml:space="preserve"> PAGEREF _Toc3317 \h </w:instrText>
      </w:r>
      <w:r>
        <w:fldChar w:fldCharType="separate"/>
      </w:r>
      <w:r>
        <w:t>3</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_Toc18487 </w:instrText>
      </w:r>
      <w:r>
        <w:rPr>
          <w:rFonts w:hint="eastAsia"/>
        </w:rPr>
        <w:fldChar w:fldCharType="separate"/>
      </w:r>
      <w:r>
        <w:rPr>
          <w:rFonts w:hint="eastAsia" w:ascii="黑体" w:hAnsi="黑体" w:eastAsia="黑体"/>
          <w:szCs w:val="32"/>
        </w:rPr>
        <w:t>四、财</w:t>
      </w:r>
      <w:r>
        <w:rPr>
          <w:rFonts w:hint="eastAsia" w:ascii="黑体" w:hAnsi="黑体" w:eastAsia="黑体"/>
        </w:rPr>
        <w:t>政拨款收入支出决算总体情况说明</w:t>
      </w:r>
      <w:r>
        <w:tab/>
      </w:r>
      <w:r>
        <w:fldChar w:fldCharType="begin"/>
      </w:r>
      <w:r>
        <w:instrText xml:space="preserve"> PAGEREF _Toc18487 \h </w:instrText>
      </w:r>
      <w:r>
        <w:fldChar w:fldCharType="separate"/>
      </w:r>
      <w:r>
        <w:t>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_Toc9133 </w:instrText>
      </w:r>
      <w:r>
        <w:rPr>
          <w:rFonts w:hint="eastAsia"/>
        </w:rPr>
        <w:fldChar w:fldCharType="separate"/>
      </w:r>
      <w:r>
        <w:rPr>
          <w:rFonts w:hint="eastAsia" w:ascii="黑体" w:hAnsi="黑体" w:eastAsia="黑体"/>
          <w:szCs w:val="32"/>
        </w:rPr>
        <w:t>五、一</w:t>
      </w:r>
      <w:r>
        <w:rPr>
          <w:rFonts w:hint="eastAsia" w:ascii="黑体" w:eastAsia="黑体"/>
          <w:bCs/>
          <w:szCs w:val="32"/>
        </w:rPr>
        <w:t>般公共预算财政拨款支出决算情况说明</w:t>
      </w:r>
      <w:r>
        <w:tab/>
      </w:r>
      <w:r>
        <w:fldChar w:fldCharType="begin"/>
      </w:r>
      <w:r>
        <w:instrText xml:space="preserve"> PAGEREF _Toc9133 \h </w:instrText>
      </w:r>
      <w:r>
        <w:fldChar w:fldCharType="separate"/>
      </w:r>
      <w:r>
        <w:t>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_Toc13415 </w:instrText>
      </w:r>
      <w:r>
        <w:rPr>
          <w:rFonts w:hint="eastAsia"/>
        </w:rPr>
        <w:fldChar w:fldCharType="separate"/>
      </w:r>
      <w:r>
        <w:rPr>
          <w:rFonts w:hint="eastAsia" w:ascii="黑体" w:eastAsia="黑体"/>
          <w:szCs w:val="32"/>
        </w:rPr>
        <w:t>六、</w:t>
      </w:r>
      <w:r>
        <w:rPr>
          <w:rFonts w:hint="eastAsia" w:ascii="黑体" w:hAnsi="黑体" w:eastAsia="黑体"/>
          <w:szCs w:val="32"/>
        </w:rPr>
        <w:t>一</w:t>
      </w:r>
      <w:r>
        <w:rPr>
          <w:rFonts w:hint="eastAsia" w:ascii="黑体" w:hAnsi="黑体" w:eastAsia="黑体"/>
        </w:rPr>
        <w:t>般公共预算财政拨款基本支出决算情况说明</w:t>
      </w:r>
      <w:r>
        <w:tab/>
      </w:r>
      <w:r>
        <w:fldChar w:fldCharType="begin"/>
      </w:r>
      <w:r>
        <w:instrText xml:space="preserve"> PAGEREF _Toc13415 \h </w:instrText>
      </w:r>
      <w:r>
        <w:fldChar w:fldCharType="separate"/>
      </w:r>
      <w:r>
        <w:t>7</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_Toc6377 </w:instrText>
      </w:r>
      <w:r>
        <w:rPr>
          <w:rFonts w:hint="eastAsia"/>
        </w:rPr>
        <w:fldChar w:fldCharType="separate"/>
      </w:r>
      <w:r>
        <w:rPr>
          <w:rFonts w:hint="eastAsia" w:ascii="黑体" w:eastAsia="黑体"/>
          <w:szCs w:val="32"/>
        </w:rPr>
        <w:t>七、</w:t>
      </w:r>
      <w:r>
        <w:rPr>
          <w:rFonts w:hint="eastAsia" w:ascii="黑体" w:hAnsi="黑体" w:eastAsia="黑体"/>
        </w:rPr>
        <w:t>财政拨款“三公”经费支出决算情况说明</w:t>
      </w:r>
      <w:r>
        <w:tab/>
      </w:r>
      <w:r>
        <w:fldChar w:fldCharType="begin"/>
      </w:r>
      <w:r>
        <w:instrText xml:space="preserve"> PAGEREF _Toc6377 \h </w:instrText>
      </w:r>
      <w:r>
        <w:fldChar w:fldCharType="separate"/>
      </w:r>
      <w:r>
        <w:t>7</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_Toc3268 </w:instrText>
      </w:r>
      <w:r>
        <w:rPr>
          <w:rFonts w:hint="eastAsia"/>
        </w:rPr>
        <w:fldChar w:fldCharType="separate"/>
      </w:r>
      <w:r>
        <w:rPr>
          <w:rFonts w:hint="eastAsia" w:ascii="黑体" w:eastAsia="黑体"/>
          <w:szCs w:val="32"/>
        </w:rPr>
        <w:t>八、</w:t>
      </w:r>
      <w:r>
        <w:rPr>
          <w:rFonts w:hint="eastAsia" w:ascii="黑体" w:hAnsi="黑体" w:eastAsia="黑体"/>
        </w:rPr>
        <w:t>政府性基金预算支出决算情况说明</w:t>
      </w:r>
      <w:r>
        <w:tab/>
      </w:r>
      <w:r>
        <w:fldChar w:fldCharType="begin"/>
      </w:r>
      <w:r>
        <w:instrText xml:space="preserve"> PAGEREF _Toc3268 \h </w:instrText>
      </w:r>
      <w:r>
        <w:fldChar w:fldCharType="separate"/>
      </w:r>
      <w:r>
        <w:t>9</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_Toc3066 </w:instrText>
      </w:r>
      <w:r>
        <w:rPr>
          <w:rFonts w:hint="eastAsia"/>
        </w:rPr>
        <w:fldChar w:fldCharType="separate"/>
      </w:r>
      <w:r>
        <w:rPr>
          <w:rFonts w:hint="eastAsia" w:ascii="黑体" w:hAnsi="黑体" w:eastAsia="黑体" w:cs="Times New Roman"/>
        </w:rPr>
        <w:t xml:space="preserve">九、 </w:t>
      </w:r>
      <w:r>
        <w:rPr>
          <w:rFonts w:hint="eastAsia" w:ascii="黑体" w:hAnsi="黑体" w:eastAsia="黑体"/>
        </w:rPr>
        <w:t>国有资本经营预算支出决算情况说明</w:t>
      </w:r>
      <w:r>
        <w:tab/>
      </w:r>
      <w:r>
        <w:fldChar w:fldCharType="begin"/>
      </w:r>
      <w:r>
        <w:instrText xml:space="preserve"> PAGEREF _Toc3066 \h </w:instrText>
      </w:r>
      <w:r>
        <w:fldChar w:fldCharType="separate"/>
      </w:r>
      <w:r>
        <w:t>9</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_Toc307 </w:instrText>
      </w:r>
      <w:r>
        <w:rPr>
          <w:rFonts w:hint="eastAsia"/>
        </w:rPr>
        <w:fldChar w:fldCharType="separate"/>
      </w:r>
      <w:r>
        <w:rPr>
          <w:rFonts w:hint="eastAsia" w:ascii="黑体" w:hAnsi="黑体" w:eastAsia="黑体" w:cs="Times New Roman"/>
        </w:rPr>
        <w:t xml:space="preserve">十、 </w:t>
      </w:r>
      <w:r>
        <w:rPr>
          <w:rFonts w:hint="eastAsia" w:ascii="黑体" w:hAnsi="黑体" w:eastAsia="黑体"/>
        </w:rPr>
        <w:t>其他重要事项的情况说明</w:t>
      </w:r>
      <w:r>
        <w:tab/>
      </w:r>
      <w:r>
        <w:fldChar w:fldCharType="begin"/>
      </w:r>
      <w:r>
        <w:instrText xml:space="preserve"> PAGEREF _Toc307 \h </w:instrText>
      </w:r>
      <w:r>
        <w:fldChar w:fldCharType="separate"/>
      </w:r>
      <w:r>
        <w:t>9</w:t>
      </w:r>
      <w:r>
        <w:fldChar w:fldCharType="end"/>
      </w:r>
      <w:r>
        <w:rPr>
          <w:rFonts w:hint="eastAsia"/>
        </w:rPr>
        <w:fldChar w:fldCharType="end"/>
      </w:r>
    </w:p>
    <w:p>
      <w:pPr>
        <w:pStyle w:val="37"/>
        <w:tabs>
          <w:tab w:val="right" w:leader="dot" w:pos="8844"/>
        </w:tabs>
        <w:rPr>
          <w:b/>
        </w:rPr>
      </w:pPr>
      <w:r>
        <w:rPr>
          <w:rFonts w:hint="eastAsia"/>
          <w:b/>
        </w:rPr>
        <w:fldChar w:fldCharType="begin"/>
      </w:r>
      <w:r>
        <w:rPr>
          <w:rFonts w:hint="eastAsia"/>
          <w:b/>
        </w:rPr>
        <w:instrText xml:space="preserve"> HYPERLINK \l _Toc32615 </w:instrText>
      </w:r>
      <w:r>
        <w:rPr>
          <w:rFonts w:hint="eastAsia"/>
          <w:b/>
        </w:rPr>
        <w:fldChar w:fldCharType="separate"/>
      </w:r>
      <w:r>
        <w:rPr>
          <w:rFonts w:hint="eastAsia" w:ascii="方正小标宋_GBK" w:hAnsi="黑体" w:eastAsia="方正小标宋_GBK"/>
          <w:b/>
          <w:szCs w:val="44"/>
        </w:rPr>
        <w:t>第三部分</w:t>
      </w:r>
      <w:r>
        <w:rPr>
          <w:rFonts w:ascii="方正小标宋_GBK" w:hAnsi="黑体" w:eastAsia="方正小标宋_GBK"/>
          <w:b/>
          <w:szCs w:val="44"/>
        </w:rPr>
        <w:t xml:space="preserve"> </w:t>
      </w:r>
      <w:r>
        <w:rPr>
          <w:rFonts w:hint="eastAsia" w:ascii="方正小标宋_GBK" w:hAnsi="黑体" w:eastAsia="方正小标宋_GBK"/>
          <w:b/>
          <w:szCs w:val="44"/>
        </w:rPr>
        <w:t>名</w:t>
      </w:r>
      <w:r>
        <w:rPr>
          <w:rFonts w:hint="eastAsia" w:ascii="方正小标宋_GBK" w:hAnsi="黑体" w:eastAsia="方正小标宋_GBK"/>
          <w:b/>
        </w:rPr>
        <w:t>词解释</w:t>
      </w:r>
      <w:r>
        <w:rPr>
          <w:b/>
        </w:rPr>
        <w:tab/>
      </w:r>
      <w:r>
        <w:rPr>
          <w:b/>
        </w:rPr>
        <w:fldChar w:fldCharType="begin"/>
      </w:r>
      <w:r>
        <w:rPr>
          <w:b/>
        </w:rPr>
        <w:instrText xml:space="preserve"> PAGEREF _Toc32615 \h </w:instrText>
      </w:r>
      <w:r>
        <w:rPr>
          <w:b/>
        </w:rPr>
        <w:fldChar w:fldCharType="separate"/>
      </w:r>
      <w:r>
        <w:rPr>
          <w:b/>
        </w:rPr>
        <w:t>11</w:t>
      </w:r>
      <w:r>
        <w:rPr>
          <w:b/>
        </w:rPr>
        <w:fldChar w:fldCharType="end"/>
      </w:r>
      <w:r>
        <w:rPr>
          <w:rFonts w:hint="eastAsia"/>
          <w:b/>
        </w:rPr>
        <w:fldChar w:fldCharType="end"/>
      </w:r>
    </w:p>
    <w:p>
      <w:pPr>
        <w:pStyle w:val="37"/>
        <w:tabs>
          <w:tab w:val="right" w:leader="dot" w:pos="8844"/>
        </w:tabs>
        <w:rPr>
          <w:b/>
        </w:rPr>
      </w:pPr>
      <w:r>
        <w:rPr>
          <w:rFonts w:hint="eastAsia"/>
          <w:b/>
        </w:rPr>
        <w:fldChar w:fldCharType="begin"/>
      </w:r>
      <w:r>
        <w:rPr>
          <w:rFonts w:hint="eastAsia"/>
          <w:b/>
        </w:rPr>
        <w:instrText xml:space="preserve"> HYPERLINK \l _Toc20277 </w:instrText>
      </w:r>
      <w:r>
        <w:rPr>
          <w:rFonts w:hint="eastAsia"/>
          <w:b/>
        </w:rPr>
        <w:fldChar w:fldCharType="separate"/>
      </w:r>
      <w:r>
        <w:rPr>
          <w:rFonts w:hint="eastAsia" w:ascii="方正小标宋_GBK" w:hAnsi="黑体" w:eastAsia="方正小标宋_GBK"/>
          <w:b/>
          <w:szCs w:val="44"/>
        </w:rPr>
        <w:t>第</w:t>
      </w:r>
      <w:r>
        <w:rPr>
          <w:rFonts w:hint="eastAsia" w:ascii="方正小标宋_GBK" w:hAnsi="黑体" w:eastAsia="方正小标宋_GBK"/>
          <w:b/>
        </w:rPr>
        <w:t>四部分</w:t>
      </w:r>
      <w:r>
        <w:rPr>
          <w:rFonts w:ascii="方正小标宋_GBK" w:hAnsi="黑体" w:eastAsia="方正小标宋_GBK"/>
          <w:b/>
        </w:rPr>
        <w:t xml:space="preserve"> </w:t>
      </w:r>
      <w:r>
        <w:rPr>
          <w:rFonts w:hint="eastAsia" w:ascii="方正小标宋_GBK" w:hAnsi="黑体" w:eastAsia="方正小标宋_GBK"/>
          <w:b/>
        </w:rPr>
        <w:t>附件</w:t>
      </w:r>
      <w:r>
        <w:rPr>
          <w:b/>
        </w:rPr>
        <w:tab/>
      </w:r>
      <w:r>
        <w:rPr>
          <w:b/>
        </w:rPr>
        <w:fldChar w:fldCharType="begin"/>
      </w:r>
      <w:r>
        <w:rPr>
          <w:b/>
        </w:rPr>
        <w:instrText xml:space="preserve"> PAGEREF _Toc20277 \h </w:instrText>
      </w:r>
      <w:r>
        <w:rPr>
          <w:b/>
        </w:rPr>
        <w:fldChar w:fldCharType="separate"/>
      </w:r>
      <w:r>
        <w:rPr>
          <w:b/>
        </w:rPr>
        <w:t>13</w:t>
      </w:r>
      <w:r>
        <w:rPr>
          <w:b/>
        </w:rPr>
        <w:fldChar w:fldCharType="end"/>
      </w:r>
      <w:r>
        <w:rPr>
          <w:rFonts w:hint="eastAsia"/>
          <w:b/>
        </w:rPr>
        <w:fldChar w:fldCharType="end"/>
      </w:r>
    </w:p>
    <w:p>
      <w:pPr>
        <w:pStyle w:val="37"/>
        <w:tabs>
          <w:tab w:val="right" w:leader="dot" w:pos="8844"/>
        </w:tabs>
        <w:rPr>
          <w:b/>
        </w:rPr>
      </w:pPr>
      <w:r>
        <w:rPr>
          <w:rFonts w:hint="eastAsia"/>
          <w:b/>
        </w:rPr>
        <w:fldChar w:fldCharType="begin"/>
      </w:r>
      <w:r>
        <w:rPr>
          <w:rFonts w:hint="eastAsia"/>
          <w:b/>
        </w:rPr>
        <w:instrText xml:space="preserve"> HYPERLINK \l _Toc21683 </w:instrText>
      </w:r>
      <w:r>
        <w:rPr>
          <w:rFonts w:hint="eastAsia"/>
          <w:b/>
        </w:rPr>
        <w:fldChar w:fldCharType="separate"/>
      </w:r>
      <w:r>
        <w:rPr>
          <w:rFonts w:hint="eastAsia" w:eastAsia="方正小标宋_GBK"/>
          <w:b/>
          <w:szCs w:val="44"/>
        </w:rPr>
        <w:t>第</w:t>
      </w:r>
      <w:r>
        <w:rPr>
          <w:rFonts w:hint="eastAsia" w:ascii="黑体" w:hAnsi="黑体" w:eastAsia="方正小标宋_GBK"/>
          <w:b/>
        </w:rPr>
        <w:t>五部分</w:t>
      </w:r>
      <w:r>
        <w:rPr>
          <w:rFonts w:ascii="黑体" w:hAnsi="黑体" w:eastAsia="方正小标宋_GBK"/>
          <w:b/>
        </w:rPr>
        <w:t xml:space="preserve"> </w:t>
      </w:r>
      <w:r>
        <w:rPr>
          <w:rFonts w:hint="eastAsia" w:ascii="黑体" w:hAnsi="黑体" w:eastAsia="方正小标宋_GBK"/>
          <w:b/>
        </w:rPr>
        <w:t>附表</w:t>
      </w:r>
      <w:r>
        <w:rPr>
          <w:b/>
        </w:rPr>
        <w:tab/>
      </w:r>
      <w:r>
        <w:rPr>
          <w:b/>
        </w:rPr>
        <w:fldChar w:fldCharType="begin"/>
      </w:r>
      <w:r>
        <w:rPr>
          <w:b/>
        </w:rPr>
        <w:instrText xml:space="preserve"> PAGEREF _Toc21683 \h </w:instrText>
      </w:r>
      <w:r>
        <w:rPr>
          <w:b/>
        </w:rPr>
        <w:fldChar w:fldCharType="separate"/>
      </w:r>
      <w:r>
        <w:rPr>
          <w:b/>
        </w:rPr>
        <w:t>14</w:t>
      </w:r>
      <w:r>
        <w:rPr>
          <w:b/>
        </w:rPr>
        <w:fldChar w:fldCharType="end"/>
      </w:r>
      <w:r>
        <w:rPr>
          <w:rFonts w:hint="eastAsia"/>
          <w:b/>
        </w:rPr>
        <w:fldChar w:fldCharType="end"/>
      </w:r>
    </w:p>
    <w:p>
      <w:pPr>
        <w:pStyle w:val="38"/>
        <w:tabs>
          <w:tab w:val="right" w:leader="dot" w:pos="8844"/>
        </w:tabs>
      </w:pPr>
      <w:r>
        <w:rPr>
          <w:rFonts w:hint="eastAsia"/>
        </w:rPr>
        <w:fldChar w:fldCharType="begin"/>
      </w:r>
      <w:r>
        <w:rPr>
          <w:rFonts w:hint="eastAsia"/>
        </w:rPr>
        <w:instrText xml:space="preserve"> HYPERLINK \l _Toc10625 </w:instrText>
      </w:r>
      <w:r>
        <w:rPr>
          <w:rFonts w:hint="eastAsia"/>
        </w:rPr>
        <w:fldChar w:fldCharType="separate"/>
      </w:r>
      <w:r>
        <w:rPr>
          <w:rFonts w:hint="eastAsia" w:ascii="仿宋_GB2312" w:hAnsi="仿宋" w:eastAsia="仿宋_GB2312"/>
        </w:rPr>
        <w:t>一、收</w:t>
      </w:r>
      <w:r>
        <w:rPr>
          <w:rFonts w:hint="eastAsia" w:ascii="仿宋_GB2312" w:hAnsi="仿宋" w:eastAsia="仿宋_GB2312"/>
          <w:bCs w:val="0"/>
        </w:rPr>
        <w:t>入支出决算总表</w:t>
      </w:r>
      <w:r>
        <w:tab/>
      </w:r>
      <w:r>
        <w:fldChar w:fldCharType="begin"/>
      </w:r>
      <w:r>
        <w:instrText xml:space="preserve"> PAGEREF _Toc10625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_Toc23026 </w:instrText>
      </w:r>
      <w:r>
        <w:rPr>
          <w:rFonts w:hint="eastAsia"/>
        </w:rPr>
        <w:fldChar w:fldCharType="separate"/>
      </w:r>
      <w:r>
        <w:rPr>
          <w:rFonts w:hint="eastAsia" w:ascii="仿宋_GB2312" w:hAnsi="仿宋" w:eastAsia="仿宋_GB2312"/>
        </w:rPr>
        <w:t>二、收</w:t>
      </w:r>
      <w:r>
        <w:rPr>
          <w:rFonts w:hint="eastAsia" w:ascii="仿宋_GB2312" w:hAnsi="仿宋" w:eastAsia="仿宋_GB2312"/>
          <w:bCs w:val="0"/>
        </w:rPr>
        <w:t>入决算表</w:t>
      </w:r>
      <w:r>
        <w:tab/>
      </w:r>
      <w:r>
        <w:fldChar w:fldCharType="begin"/>
      </w:r>
      <w:r>
        <w:instrText xml:space="preserve"> PAGEREF _Toc23026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_Toc27968 </w:instrText>
      </w:r>
      <w:r>
        <w:rPr>
          <w:rFonts w:hint="eastAsia"/>
        </w:rPr>
        <w:fldChar w:fldCharType="separate"/>
      </w:r>
      <w:r>
        <w:rPr>
          <w:rFonts w:hint="eastAsia" w:ascii="仿宋_GB2312" w:hAnsi="仿宋" w:eastAsia="仿宋_GB2312"/>
          <w:bCs w:val="0"/>
        </w:rPr>
        <w:t>三、</w:t>
      </w:r>
      <w:r>
        <w:rPr>
          <w:rFonts w:hint="eastAsia" w:ascii="仿宋_GB2312" w:hAnsi="仿宋" w:eastAsia="仿宋_GB2312"/>
        </w:rPr>
        <w:t>支</w:t>
      </w:r>
      <w:r>
        <w:rPr>
          <w:rFonts w:hint="eastAsia" w:ascii="仿宋_GB2312" w:hAnsi="仿宋" w:eastAsia="仿宋_GB2312"/>
          <w:bCs w:val="0"/>
        </w:rPr>
        <w:t>出决算表</w:t>
      </w:r>
      <w:r>
        <w:tab/>
      </w:r>
      <w:r>
        <w:fldChar w:fldCharType="begin"/>
      </w:r>
      <w:r>
        <w:instrText xml:space="preserve"> PAGEREF _Toc27968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_Toc29156 </w:instrText>
      </w:r>
      <w:r>
        <w:rPr>
          <w:rFonts w:hint="eastAsia"/>
        </w:rPr>
        <w:fldChar w:fldCharType="separate"/>
      </w:r>
      <w:r>
        <w:rPr>
          <w:rFonts w:hint="eastAsia" w:ascii="仿宋_GB2312" w:hAnsi="仿宋" w:eastAsia="仿宋_GB2312"/>
          <w:bCs w:val="0"/>
        </w:rPr>
        <w:t>四、</w:t>
      </w:r>
      <w:r>
        <w:rPr>
          <w:rFonts w:hint="eastAsia" w:ascii="仿宋_GB2312" w:hAnsi="仿宋" w:eastAsia="仿宋_GB2312"/>
        </w:rPr>
        <w:t>财</w:t>
      </w:r>
      <w:r>
        <w:rPr>
          <w:rFonts w:hint="eastAsia" w:ascii="仿宋_GB2312" w:hAnsi="仿宋" w:eastAsia="仿宋_GB2312"/>
          <w:bCs w:val="0"/>
        </w:rPr>
        <w:t>政拨款收入支出决算总表</w:t>
      </w:r>
      <w:r>
        <w:tab/>
      </w:r>
      <w:r>
        <w:fldChar w:fldCharType="begin"/>
      </w:r>
      <w:r>
        <w:instrText xml:space="preserve"> PAGEREF _Toc29156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_Toc25342 </w:instrText>
      </w:r>
      <w:r>
        <w:rPr>
          <w:rFonts w:hint="eastAsia"/>
        </w:rPr>
        <w:fldChar w:fldCharType="separate"/>
      </w:r>
      <w:r>
        <w:rPr>
          <w:rFonts w:hint="eastAsia" w:ascii="仿宋_GB2312" w:hAnsi="仿宋" w:eastAsia="仿宋_GB2312"/>
          <w:bCs w:val="0"/>
        </w:rPr>
        <w:t>五、</w:t>
      </w:r>
      <w:r>
        <w:rPr>
          <w:rFonts w:hint="eastAsia" w:ascii="仿宋_GB2312" w:hAnsi="仿宋" w:eastAsia="仿宋_GB2312"/>
        </w:rPr>
        <w:t>财</w:t>
      </w:r>
      <w:r>
        <w:rPr>
          <w:rFonts w:hint="eastAsia" w:ascii="仿宋_GB2312" w:hAnsi="仿宋" w:eastAsia="仿宋_GB2312"/>
          <w:bCs w:val="0"/>
        </w:rPr>
        <w:t>政拨款支出决算明细表</w:t>
      </w:r>
      <w:r>
        <w:tab/>
      </w:r>
      <w:r>
        <w:fldChar w:fldCharType="begin"/>
      </w:r>
      <w:r>
        <w:instrText xml:space="preserve"> PAGEREF _Toc25342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_Toc8854 </w:instrText>
      </w:r>
      <w:r>
        <w:rPr>
          <w:rFonts w:hint="eastAsia"/>
        </w:rPr>
        <w:fldChar w:fldCharType="separate"/>
      </w:r>
      <w:r>
        <w:rPr>
          <w:rFonts w:hint="eastAsia" w:ascii="仿宋_GB2312" w:hAnsi="仿宋" w:eastAsia="仿宋_GB2312"/>
          <w:bCs w:val="0"/>
        </w:rPr>
        <w:t>六、</w:t>
      </w:r>
      <w:r>
        <w:rPr>
          <w:rFonts w:hint="eastAsia" w:ascii="仿宋_GB2312" w:hAnsi="仿宋" w:eastAsia="仿宋_GB2312"/>
        </w:rPr>
        <w:t>一</w:t>
      </w:r>
      <w:r>
        <w:rPr>
          <w:rFonts w:hint="eastAsia" w:ascii="仿宋_GB2312" w:hAnsi="仿宋" w:eastAsia="仿宋_GB2312"/>
          <w:bCs w:val="0"/>
        </w:rPr>
        <w:t>般公共预算财政拨款支出决算表</w:t>
      </w:r>
      <w:r>
        <w:tab/>
      </w:r>
      <w:r>
        <w:fldChar w:fldCharType="begin"/>
      </w:r>
      <w:r>
        <w:instrText xml:space="preserve"> PAGEREF _Toc8854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_Toc15178 </w:instrText>
      </w:r>
      <w:r>
        <w:rPr>
          <w:rFonts w:hint="eastAsia"/>
        </w:rPr>
        <w:fldChar w:fldCharType="separate"/>
      </w:r>
      <w:r>
        <w:rPr>
          <w:rFonts w:hint="eastAsia" w:ascii="仿宋_GB2312" w:hAnsi="仿宋" w:eastAsia="仿宋_GB2312"/>
          <w:bCs w:val="0"/>
        </w:rPr>
        <w:t>七、</w:t>
      </w:r>
      <w:r>
        <w:rPr>
          <w:rFonts w:hint="eastAsia" w:ascii="仿宋_GB2312" w:hAnsi="仿宋" w:eastAsia="仿宋_GB2312"/>
        </w:rPr>
        <w:t>一</w:t>
      </w:r>
      <w:r>
        <w:rPr>
          <w:rFonts w:hint="eastAsia" w:ascii="仿宋_GB2312" w:hAnsi="仿宋" w:eastAsia="仿宋_GB2312"/>
          <w:bCs w:val="0"/>
        </w:rPr>
        <w:t>般公共预算财政拨款支出决算明细表</w:t>
      </w:r>
      <w:r>
        <w:tab/>
      </w:r>
      <w:r>
        <w:fldChar w:fldCharType="begin"/>
      </w:r>
      <w:r>
        <w:instrText xml:space="preserve"> PAGEREF _Toc15178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_Toc31269 </w:instrText>
      </w:r>
      <w:r>
        <w:rPr>
          <w:rFonts w:hint="eastAsia"/>
        </w:rPr>
        <w:fldChar w:fldCharType="separate"/>
      </w:r>
      <w:r>
        <w:rPr>
          <w:rFonts w:hint="eastAsia" w:ascii="仿宋_GB2312" w:hAnsi="仿宋" w:eastAsia="仿宋_GB2312"/>
          <w:bCs w:val="0"/>
        </w:rPr>
        <w:t>八、</w:t>
      </w:r>
      <w:r>
        <w:rPr>
          <w:rFonts w:hint="eastAsia" w:ascii="仿宋_GB2312" w:hAnsi="仿宋" w:eastAsia="仿宋_GB2312"/>
        </w:rPr>
        <w:t>一</w:t>
      </w:r>
      <w:r>
        <w:rPr>
          <w:rFonts w:hint="eastAsia" w:ascii="仿宋_GB2312" w:hAnsi="仿宋" w:eastAsia="仿宋_GB2312"/>
          <w:bCs w:val="0"/>
        </w:rPr>
        <w:t>般公共预算财政拨款基本支出决算表</w:t>
      </w:r>
      <w:r>
        <w:tab/>
      </w:r>
      <w:r>
        <w:fldChar w:fldCharType="begin"/>
      </w:r>
      <w:r>
        <w:instrText xml:space="preserve"> PAGEREF _Toc31269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_Toc13403 </w:instrText>
      </w:r>
      <w:r>
        <w:rPr>
          <w:rFonts w:hint="eastAsia"/>
        </w:rPr>
        <w:fldChar w:fldCharType="separate"/>
      </w:r>
      <w:r>
        <w:rPr>
          <w:rFonts w:hint="eastAsia" w:ascii="仿宋_GB2312" w:hAnsi="仿宋" w:eastAsia="仿宋_GB2312"/>
          <w:bCs w:val="0"/>
        </w:rPr>
        <w:t>九、</w:t>
      </w:r>
      <w:r>
        <w:rPr>
          <w:rFonts w:hint="eastAsia" w:ascii="仿宋_GB2312" w:hAnsi="仿宋" w:eastAsia="仿宋_GB2312"/>
        </w:rPr>
        <w:t>一</w:t>
      </w:r>
      <w:r>
        <w:rPr>
          <w:rFonts w:hint="eastAsia" w:ascii="仿宋_GB2312" w:hAnsi="仿宋" w:eastAsia="仿宋_GB2312"/>
          <w:bCs w:val="0"/>
        </w:rPr>
        <w:t>般公共预算财政拨款项目支出决算表</w:t>
      </w:r>
      <w:r>
        <w:tab/>
      </w:r>
      <w:r>
        <w:fldChar w:fldCharType="begin"/>
      </w:r>
      <w:r>
        <w:instrText xml:space="preserve"> PAGEREF _Toc13403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_Toc11351 </w:instrText>
      </w:r>
      <w:r>
        <w:rPr>
          <w:rFonts w:hint="eastAsia"/>
        </w:rPr>
        <w:fldChar w:fldCharType="separate"/>
      </w:r>
      <w:r>
        <w:rPr>
          <w:rFonts w:hint="eastAsia" w:ascii="仿宋_GB2312" w:hAnsi="仿宋" w:eastAsia="仿宋_GB2312"/>
          <w:bCs w:val="0"/>
        </w:rPr>
        <w:t>十、</w:t>
      </w:r>
      <w:r>
        <w:rPr>
          <w:rFonts w:hint="eastAsia" w:ascii="仿宋_GB2312" w:hAnsi="仿宋" w:eastAsia="仿宋_GB2312"/>
        </w:rPr>
        <w:t>政</w:t>
      </w:r>
      <w:r>
        <w:rPr>
          <w:rFonts w:hint="eastAsia" w:ascii="仿宋_GB2312" w:hAnsi="仿宋" w:eastAsia="仿宋_GB2312"/>
          <w:bCs w:val="0"/>
        </w:rPr>
        <w:t>府性基金预算财政拨款收入支出决算表</w:t>
      </w:r>
      <w:r>
        <w:tab/>
      </w:r>
      <w:r>
        <w:fldChar w:fldCharType="begin"/>
      </w:r>
      <w:r>
        <w:instrText xml:space="preserve"> PAGEREF _Toc11351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_Toc28601 </w:instrText>
      </w:r>
      <w:r>
        <w:rPr>
          <w:rFonts w:hint="eastAsia"/>
        </w:rPr>
        <w:fldChar w:fldCharType="separate"/>
      </w:r>
      <w:r>
        <w:rPr>
          <w:rFonts w:hint="eastAsia" w:ascii="仿宋_GB2312" w:hAnsi="仿宋" w:eastAsia="仿宋_GB2312"/>
          <w:bCs w:val="0"/>
        </w:rPr>
        <w:t>十一、</w:t>
      </w:r>
      <w:r>
        <w:rPr>
          <w:rFonts w:hint="eastAsia" w:ascii="仿宋_GB2312" w:hAnsi="仿宋" w:eastAsia="仿宋_GB2312"/>
        </w:rPr>
        <w:t>国</w:t>
      </w:r>
      <w:r>
        <w:rPr>
          <w:rFonts w:hint="eastAsia" w:ascii="仿宋_GB2312" w:hAnsi="仿宋" w:eastAsia="仿宋_GB2312"/>
          <w:bCs w:val="0"/>
        </w:rPr>
        <w:t>有资本经营预算财政拨款收入支出决算表</w:t>
      </w:r>
      <w:r>
        <w:tab/>
      </w:r>
      <w:r>
        <w:fldChar w:fldCharType="begin"/>
      </w:r>
      <w:r>
        <w:instrText xml:space="preserve"> PAGEREF _Toc28601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_Toc1536 </w:instrText>
      </w:r>
      <w:r>
        <w:rPr>
          <w:rFonts w:hint="eastAsia"/>
        </w:rPr>
        <w:fldChar w:fldCharType="separate"/>
      </w:r>
      <w:r>
        <w:rPr>
          <w:rFonts w:hint="eastAsia" w:ascii="仿宋_GB2312" w:hAnsi="仿宋" w:eastAsia="仿宋_GB2312"/>
          <w:bCs w:val="0"/>
        </w:rPr>
        <w:t>十二、国有资本经营预算财政拨款支出决算表</w:t>
      </w:r>
      <w:r>
        <w:tab/>
      </w:r>
      <w:r>
        <w:fldChar w:fldCharType="begin"/>
      </w:r>
      <w:r>
        <w:instrText xml:space="preserve"> PAGEREF _Toc1536 \h </w:instrText>
      </w:r>
      <w:r>
        <w:fldChar w:fldCharType="separate"/>
      </w:r>
      <w:r>
        <w:t>14</w:t>
      </w:r>
      <w:r>
        <w:fldChar w:fldCharType="end"/>
      </w:r>
      <w:r>
        <w:rPr>
          <w:rFonts w:hint="eastAsia"/>
        </w:rPr>
        <w:fldChar w:fldCharType="end"/>
      </w:r>
    </w:p>
    <w:p>
      <w:pPr>
        <w:pStyle w:val="38"/>
        <w:tabs>
          <w:tab w:val="right" w:leader="dot" w:pos="8844"/>
        </w:tabs>
      </w:pPr>
      <w:r>
        <w:rPr>
          <w:rFonts w:hint="eastAsia"/>
        </w:rPr>
        <w:fldChar w:fldCharType="begin"/>
      </w:r>
      <w:r>
        <w:rPr>
          <w:rFonts w:hint="eastAsia"/>
        </w:rPr>
        <w:instrText xml:space="preserve"> HYPERLINK \l _Toc14993 </w:instrText>
      </w:r>
      <w:r>
        <w:rPr>
          <w:rFonts w:hint="eastAsia"/>
        </w:rPr>
        <w:fldChar w:fldCharType="separate"/>
      </w:r>
      <w:r>
        <w:rPr>
          <w:rFonts w:hint="eastAsia" w:ascii="仿宋_GB2312" w:hAnsi="仿宋" w:eastAsia="仿宋_GB2312"/>
          <w:bCs w:val="0"/>
        </w:rPr>
        <w:t>十三、财政拨款“三公”经费支出决算表</w:t>
      </w:r>
      <w:r>
        <w:tab/>
      </w:r>
      <w:r>
        <w:fldChar w:fldCharType="begin"/>
      </w:r>
      <w:r>
        <w:instrText xml:space="preserve"> PAGEREF _Toc14993 \h </w:instrText>
      </w:r>
      <w:r>
        <w:fldChar w:fldCharType="separate"/>
      </w:r>
      <w:r>
        <w:t>14</w:t>
      </w:r>
      <w:r>
        <w:fldChar w:fldCharType="end"/>
      </w:r>
      <w:r>
        <w:rPr>
          <w:rFonts w:hint="eastAsia"/>
        </w:rPr>
        <w:fldChar w:fldCharType="end"/>
      </w:r>
    </w:p>
    <w:p>
      <w:pPr>
        <w:pStyle w:val="2"/>
        <w:rPr>
          <w:rFonts w:hint="eastAsia"/>
          <w:b/>
        </w:rPr>
      </w:pPr>
      <w:r>
        <w:rPr>
          <w:rFonts w:hint="eastAsia"/>
          <w:b/>
        </w:rPr>
        <w:fldChar w:fldCharType="end"/>
      </w:r>
    </w:p>
    <w:p>
      <w:pPr>
        <w:rPr>
          <w:rFonts w:hint="eastAsia"/>
        </w:rPr>
        <w:sectPr>
          <w:headerReference r:id="rId3" w:type="default"/>
          <w:footerReference r:id="rId4" w:type="default"/>
          <w:footerReference r:id="rId5" w:type="even"/>
          <w:pgSz w:w="11906" w:h="16838"/>
          <w:pgMar w:top="2098" w:right="1531" w:bottom="1985" w:left="1531" w:header="851" w:footer="1588" w:gutter="0"/>
          <w:cols w:space="425" w:num="1"/>
          <w:titlePg/>
          <w:docGrid w:type="lines" w:linePitch="312" w:charSpace="0"/>
        </w:sectPr>
      </w:pPr>
    </w:p>
    <w:p>
      <w:pPr>
        <w:widowControl/>
        <w:spacing w:line="700" w:lineRule="exact"/>
        <w:jc w:val="center"/>
        <w:outlineLvl w:val="0"/>
        <w:rPr>
          <w:rStyle w:val="20"/>
          <w:rFonts w:ascii="黑体" w:hAnsi="黑体" w:eastAsia="方正小标宋_GBK"/>
        </w:rPr>
      </w:pPr>
      <w:bookmarkStart w:id="17" w:name="_Toc26726"/>
      <w:r>
        <w:rPr>
          <w:rFonts w:hint="eastAsia" w:eastAsia="方正小标宋_GBK"/>
          <w:sz w:val="44"/>
          <w:szCs w:val="44"/>
        </w:rPr>
        <w:t>第一部分</w:t>
      </w:r>
      <w:r>
        <w:rPr>
          <w:rFonts w:eastAsia="方正小标宋_GBK"/>
          <w:sz w:val="44"/>
          <w:szCs w:val="44"/>
        </w:rPr>
        <w:t xml:space="preserve"> </w:t>
      </w:r>
      <w:r>
        <w:rPr>
          <w:rFonts w:hint="eastAsia" w:eastAsia="方正小标宋_GBK"/>
          <w:sz w:val="44"/>
          <w:szCs w:val="44"/>
        </w:rPr>
        <w:t>单位</w:t>
      </w:r>
      <w:r>
        <w:rPr>
          <w:rStyle w:val="20"/>
          <w:rFonts w:hint="eastAsia" w:ascii="黑体" w:hAnsi="黑体" w:eastAsia="方正小标宋_GBK"/>
          <w:b w:val="0"/>
        </w:rPr>
        <w:t>概况</w:t>
      </w:r>
      <w:bookmarkEnd w:id="15"/>
      <w:bookmarkEnd w:id="16"/>
      <w:bookmarkEnd w:id="17"/>
      <w:bookmarkStart w:id="18" w:name="_Toc15396600"/>
      <w:bookmarkStart w:id="19" w:name="_Toc15377197"/>
    </w:p>
    <w:p>
      <w:pPr>
        <w:widowControl/>
        <w:spacing w:line="700" w:lineRule="exact"/>
        <w:jc w:val="center"/>
        <w:rPr>
          <w:rStyle w:val="21"/>
          <w:rFonts w:ascii="黑体" w:hAnsi="黑体" w:eastAsia="仿宋_GB2312"/>
        </w:rPr>
      </w:pPr>
    </w:p>
    <w:p>
      <w:pPr>
        <w:widowControl/>
        <w:spacing w:line="576" w:lineRule="exact"/>
        <w:ind w:firstLine="640" w:firstLineChars="200"/>
        <w:outlineLvl w:val="1"/>
        <w:rPr>
          <w:rStyle w:val="21"/>
          <w:rFonts w:ascii="黑体" w:hAnsi="黑体" w:eastAsia="黑体"/>
          <w:b w:val="0"/>
          <w:kern w:val="44"/>
        </w:rPr>
      </w:pPr>
      <w:bookmarkStart w:id="20" w:name="_Toc4403"/>
      <w:r>
        <w:rPr>
          <w:rStyle w:val="21"/>
          <w:rFonts w:hint="eastAsia" w:ascii="黑体" w:hAnsi="黑体" w:eastAsia="黑体"/>
          <w:b w:val="0"/>
        </w:rPr>
        <w:t>一、主要职责</w:t>
      </w:r>
      <w:bookmarkEnd w:id="20"/>
    </w:p>
    <w:p>
      <w:pPr>
        <w:widowControl/>
        <w:adjustRightInd w:val="0"/>
        <w:snapToGrid w:val="0"/>
        <w:spacing w:line="576" w:lineRule="exact"/>
        <w:ind w:firstLine="640" w:firstLineChars="200"/>
        <w:contextualSpacing/>
        <w:rPr>
          <w:rFonts w:ascii="仿宋_GB2312" w:hAnsi="仿宋_GB2312" w:eastAsia="仿宋_GB2312" w:cs="仿宋_GB2312"/>
          <w:sz w:val="32"/>
          <w:szCs w:val="32"/>
        </w:rPr>
      </w:pPr>
      <w:r>
        <w:rPr>
          <w:rFonts w:hint="eastAsia" w:eastAsia="仿宋_GB2312"/>
          <w:kern w:val="0"/>
          <w:sz w:val="32"/>
          <w:szCs w:val="32"/>
          <w:shd w:val="clear" w:color="auto" w:fill="FFFFFF"/>
          <w:lang w:val="zh-CN"/>
        </w:rPr>
        <w:t>广元市教育技术与电化教育中心全面负责中小学校教育技术基础装备管理与指导、实验教学、校外教育、现代教育技术规划、组织、管理与指导</w:t>
      </w:r>
      <w:r>
        <w:rPr>
          <w:rFonts w:hint="eastAsia" w:eastAsia="仿宋_GB2312"/>
          <w:kern w:val="0"/>
          <w:sz w:val="32"/>
          <w:szCs w:val="32"/>
          <w:shd w:val="clear" w:color="auto" w:fill="FFFFFF"/>
        </w:rPr>
        <w:t>、教育信息化规划设计与建设、现代教育技术理论及应用研究、教育技术与学科融合课题研究、各类教学比赛竞赛活动组织、中小学教师现代教育技术的培训等工作，是具有教学指导和教学研究的综合性教研机构</w:t>
      </w:r>
      <w:r>
        <w:rPr>
          <w:rFonts w:hint="eastAsia" w:ascii="仿宋_GB2312" w:hAnsi="仿宋_GB2312" w:eastAsia="仿宋_GB2312" w:cs="仿宋_GB2312"/>
          <w:sz w:val="32"/>
          <w:szCs w:val="32"/>
        </w:rPr>
        <w:t>。</w:t>
      </w:r>
    </w:p>
    <w:p>
      <w:pPr>
        <w:widowControl/>
        <w:spacing w:line="576" w:lineRule="exact"/>
        <w:ind w:firstLine="640" w:firstLineChars="200"/>
        <w:outlineLvl w:val="1"/>
        <w:rPr>
          <w:rStyle w:val="21"/>
          <w:rFonts w:ascii="黑体" w:hAnsi="黑体" w:eastAsia="黑体"/>
          <w:b w:val="0"/>
        </w:rPr>
      </w:pPr>
      <w:bookmarkStart w:id="21" w:name="_Toc32589"/>
      <w:r>
        <w:rPr>
          <w:rStyle w:val="21"/>
          <w:rFonts w:hint="eastAsia" w:ascii="黑体" w:hAnsi="黑体" w:eastAsia="黑体"/>
          <w:b w:val="0"/>
        </w:rPr>
        <w:t>二、机构设置</w:t>
      </w:r>
      <w:bookmarkEnd w:id="21"/>
    </w:p>
    <w:p>
      <w:pPr>
        <w:widowControl/>
        <w:adjustRightInd w:val="0"/>
        <w:snapToGrid w:val="0"/>
        <w:spacing w:line="576" w:lineRule="exact"/>
        <w:ind w:firstLine="640" w:firstLineChars="200"/>
        <w:contextualSpacing/>
        <w:rPr>
          <w:rFonts w:eastAsia="仿宋_GB2312"/>
          <w:kern w:val="0"/>
          <w:sz w:val="32"/>
          <w:szCs w:val="32"/>
          <w:shd w:val="clear" w:color="auto" w:fill="FFFFFF"/>
          <w:lang w:val="zh-CN"/>
        </w:rPr>
      </w:pPr>
      <w:r>
        <w:rPr>
          <w:rFonts w:hint="eastAsia" w:eastAsia="仿宋_GB2312"/>
          <w:kern w:val="0"/>
          <w:sz w:val="32"/>
          <w:szCs w:val="32"/>
          <w:shd w:val="clear" w:color="auto" w:fill="FFFFFF"/>
          <w:lang w:val="zh-CN"/>
        </w:rPr>
        <w:t>广元市教育技术与电化教育中心是市教育局直属</w:t>
      </w:r>
      <w:r>
        <w:rPr>
          <w:rFonts w:hint="eastAsia" w:eastAsia="仿宋_GB2312"/>
          <w:kern w:val="0"/>
          <w:sz w:val="32"/>
          <w:szCs w:val="32"/>
          <w:shd w:val="clear" w:color="auto" w:fill="FFFFFF"/>
          <w:lang w:val="zh-CN" w:eastAsia="zh-CN"/>
        </w:rPr>
        <w:t>的二级预算</w:t>
      </w:r>
      <w:r>
        <w:rPr>
          <w:rFonts w:hint="eastAsia" w:eastAsia="仿宋_GB2312"/>
          <w:kern w:val="0"/>
          <w:sz w:val="32"/>
          <w:szCs w:val="32"/>
          <w:shd w:val="clear" w:color="auto" w:fill="FFFFFF"/>
          <w:lang w:val="zh-CN"/>
        </w:rPr>
        <w:t>事业单位。</w:t>
      </w:r>
    </w:p>
    <w:p>
      <w:pPr>
        <w:adjustRightInd w:val="0"/>
        <w:snapToGrid w:val="0"/>
        <w:spacing w:line="576" w:lineRule="exact"/>
        <w:ind w:firstLine="640" w:firstLineChars="200"/>
        <w:rPr>
          <w:rFonts w:eastAsia="仿宋_GB2312"/>
          <w:sz w:val="32"/>
          <w:szCs w:val="32"/>
        </w:rPr>
      </w:pPr>
    </w:p>
    <w:bookmarkEnd w:id="18"/>
    <w:bookmarkEnd w:id="19"/>
    <w:p>
      <w:pPr>
        <w:widowControl/>
        <w:spacing w:line="700" w:lineRule="exact"/>
        <w:jc w:val="center"/>
        <w:outlineLvl w:val="0"/>
        <w:rPr>
          <w:rStyle w:val="20"/>
          <w:rFonts w:ascii="方正小标宋_GBK" w:hAnsi="黑体" w:eastAsia="方正小标宋_GBK"/>
          <w:bCs w:val="0"/>
        </w:rPr>
      </w:pPr>
      <w:r>
        <w:rPr>
          <w:rFonts w:ascii="仿宋" w:hAnsi="仿宋" w:eastAsia="仿宋"/>
          <w:sz w:val="32"/>
          <w:szCs w:val="32"/>
        </w:rPr>
        <w:br w:type="page"/>
      </w:r>
      <w:bookmarkStart w:id="22" w:name="_Toc22898"/>
      <w:bookmarkStart w:id="23" w:name="_Toc15396602"/>
      <w:bookmarkStart w:id="24" w:name="_Toc15377204"/>
      <w:r>
        <w:rPr>
          <w:rFonts w:hint="eastAsia" w:ascii="方正小标宋_GBK" w:eastAsia="方正小标宋_GBK"/>
          <w:sz w:val="44"/>
          <w:szCs w:val="44"/>
        </w:rPr>
        <w:t>第二部分</w:t>
      </w:r>
      <w:r>
        <w:rPr>
          <w:rFonts w:ascii="方正小标宋_GBK" w:eastAsia="方正小标宋_GBK"/>
          <w:sz w:val="44"/>
          <w:szCs w:val="44"/>
        </w:rPr>
        <w:t xml:space="preserve"> 2023</w:t>
      </w:r>
      <w:r>
        <w:rPr>
          <w:rFonts w:hint="eastAsia" w:ascii="方正小标宋_GBK" w:eastAsia="方正小标宋_GBK"/>
          <w:sz w:val="44"/>
          <w:szCs w:val="44"/>
        </w:rPr>
        <w:t>年度</w:t>
      </w:r>
      <w:r>
        <w:rPr>
          <w:rStyle w:val="20"/>
          <w:rFonts w:hint="eastAsia" w:ascii="方正小标宋_GBK" w:hAnsi="黑体" w:eastAsia="方正小标宋_GBK"/>
          <w:b w:val="0"/>
          <w:bCs w:val="0"/>
        </w:rPr>
        <w:t>单位决算情况说明</w:t>
      </w:r>
      <w:bookmarkEnd w:id="22"/>
      <w:bookmarkEnd w:id="23"/>
      <w:bookmarkEnd w:id="24"/>
    </w:p>
    <w:p>
      <w:pPr>
        <w:rPr>
          <w:rFonts w:ascii="仿宋_GB2312" w:eastAsia="仿宋_GB2312"/>
          <w:sz w:val="32"/>
          <w:szCs w:val="32"/>
        </w:rPr>
      </w:pPr>
    </w:p>
    <w:p>
      <w:pPr>
        <w:pStyle w:val="34"/>
        <w:spacing w:line="600" w:lineRule="exact"/>
        <w:ind w:left="640" w:firstLine="0" w:firstLineChars="0"/>
        <w:outlineLvl w:val="1"/>
        <w:rPr>
          <w:rStyle w:val="21"/>
          <w:rFonts w:ascii="黑体" w:hAnsi="黑体" w:eastAsia="黑体"/>
          <w:b w:val="0"/>
        </w:rPr>
      </w:pPr>
      <w:bookmarkStart w:id="25" w:name="_Toc15377205"/>
      <w:bookmarkStart w:id="26" w:name="_Toc15396603"/>
      <w:bookmarkStart w:id="27" w:name="_Toc982"/>
      <w:r>
        <w:rPr>
          <w:rFonts w:hint="eastAsia" w:ascii="黑体" w:hAnsi="黑体" w:eastAsia="黑体"/>
          <w:sz w:val="32"/>
          <w:szCs w:val="32"/>
        </w:rPr>
        <w:t>一、收</w:t>
      </w:r>
      <w:r>
        <w:rPr>
          <w:rStyle w:val="21"/>
          <w:rFonts w:hint="eastAsia" w:ascii="黑体" w:hAnsi="黑体" w:eastAsia="黑体"/>
          <w:b w:val="0"/>
        </w:rPr>
        <w:t>入支出决算总体情况说明</w:t>
      </w:r>
      <w:bookmarkEnd w:id="25"/>
      <w:bookmarkEnd w:id="26"/>
      <w:bookmarkEnd w:id="27"/>
    </w:p>
    <w:p>
      <w:pPr>
        <w:spacing w:line="600" w:lineRule="exact"/>
        <w:ind w:firstLine="640" w:firstLineChars="200"/>
        <w:rPr>
          <w:rFonts w:ascii="仿宋_GB2312" w:hAnsi="仿宋" w:eastAsia="仿宋_GB2312"/>
          <w:sz w:val="32"/>
          <w:szCs w:val="32"/>
        </w:rPr>
      </w:pPr>
      <w:r>
        <w:rPr>
          <w:rFonts w:ascii="仿宋_GB2312" w:hAnsi="仿宋" w:eastAsia="仿宋_GB2312"/>
          <w:sz w:val="32"/>
          <w:szCs w:val="32"/>
        </w:rPr>
        <w:t>2023</w:t>
      </w:r>
      <w:r>
        <w:rPr>
          <w:rFonts w:hint="eastAsia" w:ascii="仿宋_GB2312" w:hAnsi="仿宋" w:eastAsia="仿宋_GB2312"/>
          <w:sz w:val="32"/>
          <w:szCs w:val="32"/>
        </w:rPr>
        <w:t>年度收、支总计均为</w:t>
      </w:r>
      <w:r>
        <w:rPr>
          <w:rFonts w:ascii="仿宋_GB2312" w:hAnsi="仿宋" w:eastAsia="仿宋_GB2312"/>
          <w:sz w:val="32"/>
          <w:szCs w:val="32"/>
        </w:rPr>
        <w:t>429.1</w:t>
      </w:r>
      <w:r>
        <w:rPr>
          <w:rFonts w:hint="eastAsia" w:ascii="仿宋_GB2312" w:hAnsi="仿宋" w:eastAsia="仿宋_GB2312"/>
          <w:sz w:val="32"/>
          <w:szCs w:val="32"/>
        </w:rPr>
        <w:t>万元。与</w:t>
      </w:r>
      <w:r>
        <w:rPr>
          <w:rFonts w:ascii="仿宋_GB2312" w:hAnsi="仿宋" w:eastAsia="仿宋_GB2312"/>
          <w:sz w:val="32"/>
          <w:szCs w:val="32"/>
        </w:rPr>
        <w:t>2022</w:t>
      </w:r>
      <w:r>
        <w:rPr>
          <w:rFonts w:hint="eastAsia" w:ascii="仿宋_GB2312" w:hAnsi="仿宋" w:eastAsia="仿宋_GB2312"/>
          <w:sz w:val="32"/>
          <w:szCs w:val="32"/>
        </w:rPr>
        <w:t>年度相比，收、支总计各减少</w:t>
      </w:r>
      <w:r>
        <w:rPr>
          <w:rFonts w:ascii="仿宋_GB2312" w:hAnsi="仿宋" w:eastAsia="仿宋_GB2312"/>
          <w:sz w:val="32"/>
          <w:szCs w:val="32"/>
        </w:rPr>
        <w:t>84.93</w:t>
      </w:r>
      <w:r>
        <w:rPr>
          <w:rFonts w:hint="eastAsia" w:ascii="仿宋_GB2312" w:hAnsi="仿宋" w:eastAsia="仿宋_GB2312"/>
          <w:sz w:val="32"/>
          <w:szCs w:val="32"/>
        </w:rPr>
        <w:t>万元，下降</w:t>
      </w:r>
      <w:r>
        <w:rPr>
          <w:rFonts w:ascii="仿宋_GB2312" w:hAnsi="仿宋" w:eastAsia="仿宋_GB2312"/>
          <w:sz w:val="32"/>
          <w:szCs w:val="32"/>
        </w:rPr>
        <w:t>16.5%</w:t>
      </w:r>
      <w:r>
        <w:rPr>
          <w:rFonts w:hint="eastAsia" w:ascii="仿宋_GB2312" w:hAnsi="仿宋" w:eastAsia="仿宋_GB2312"/>
          <w:sz w:val="32"/>
          <w:szCs w:val="32"/>
        </w:rPr>
        <w:t>。主要变动原因是项目资金减少。</w:t>
      </w:r>
    </w:p>
    <w:p>
      <w:pPr>
        <w:pStyle w:val="2"/>
        <w:ind w:left="0" w:leftChars="0" w:firstLine="0" w:firstLineChars="0"/>
        <w:jc w:val="center"/>
      </w:pPr>
      <w:r>
        <w:pict>
          <v:shape id="_x0000_i1025" o:spt="75" type="#_x0000_t75" style="height:205.2pt;width:429pt;" filled="f" o:preferrelative="t" stroked="f" coordsize="21600,21600"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">
            <v:path/>
            <v:fill on="f" focussize="0,0"/>
            <v:stroke on="f" joinstyle="miter"/>
            <v:imagedata r:id="rId9" cropleft="768f" croptop="3084f" cropright="437f" cropbottom="3323f" o:title=""/>
            <o:lock v:ext="edit" aspectratio="f"/>
            <w10:wrap type="none"/>
            <w10:anchorlock/>
          </v:shape>
        </w:pict>
      </w:r>
    </w:p>
    <w:p>
      <w:pPr>
        <w:spacing w:line="600"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1</w:t>
      </w:r>
      <w:r>
        <w:rPr>
          <w:rFonts w:hint="eastAsia" w:ascii="楷体_GB2312" w:hAnsi="仿宋" w:eastAsia="楷体_GB2312"/>
          <w:sz w:val="32"/>
          <w:szCs w:val="32"/>
        </w:rPr>
        <w:t>：收、支决算总计变动情况图）（柱状图）</w:t>
      </w:r>
    </w:p>
    <w:p>
      <w:pPr>
        <w:pStyle w:val="34"/>
        <w:spacing w:line="600" w:lineRule="exact"/>
        <w:ind w:left="640" w:firstLine="0" w:firstLineChars="0"/>
        <w:outlineLvl w:val="9"/>
        <w:rPr>
          <w:rFonts w:ascii="黑体" w:hAnsi="黑体" w:eastAsia="黑体"/>
          <w:sz w:val="32"/>
          <w:szCs w:val="32"/>
        </w:rPr>
      </w:pPr>
      <w:bookmarkStart w:id="28" w:name="_Toc15396604"/>
      <w:bookmarkStart w:id="29" w:name="_Toc15377206"/>
    </w:p>
    <w:p>
      <w:pPr>
        <w:pStyle w:val="34"/>
        <w:spacing w:line="600" w:lineRule="exact"/>
        <w:ind w:left="640" w:firstLine="0" w:firstLineChars="0"/>
        <w:outlineLvl w:val="1"/>
        <w:rPr>
          <w:rFonts w:ascii="黑体" w:eastAsia="黑体"/>
          <w:bCs/>
          <w:sz w:val="32"/>
          <w:szCs w:val="32"/>
        </w:rPr>
      </w:pPr>
      <w:bookmarkStart w:id="30" w:name="_Toc10141"/>
      <w:r>
        <w:rPr>
          <w:rFonts w:hint="eastAsia" w:ascii="黑体" w:hAnsi="黑体" w:eastAsia="黑体"/>
          <w:sz w:val="32"/>
          <w:szCs w:val="32"/>
        </w:rPr>
        <w:t>二、收</w:t>
      </w:r>
      <w:r>
        <w:rPr>
          <w:rFonts w:hint="eastAsia" w:ascii="黑体" w:eastAsia="黑体"/>
          <w:bCs/>
          <w:sz w:val="32"/>
          <w:szCs w:val="32"/>
        </w:rPr>
        <w:t>入决算情况说明</w:t>
      </w:r>
      <w:bookmarkEnd w:id="28"/>
      <w:bookmarkEnd w:id="29"/>
      <w:bookmarkEnd w:id="30"/>
    </w:p>
    <w:p>
      <w:pPr>
        <w:spacing w:line="600" w:lineRule="exact"/>
        <w:ind w:firstLine="640" w:firstLineChars="200"/>
        <w:outlineLvl w:val="1"/>
        <w:rPr>
          <w:rFonts w:ascii="仿宋_GB2312" w:hAnsi="仿宋" w:eastAsia="仿宋_GB2312"/>
          <w:sz w:val="32"/>
          <w:szCs w:val="32"/>
        </w:rPr>
      </w:pPr>
      <w:bookmarkStart w:id="31" w:name="_Toc11043"/>
      <w:r>
        <w:rPr>
          <w:rFonts w:ascii="仿宋_GB2312" w:hAnsi="仿宋" w:eastAsia="仿宋_GB2312"/>
          <w:sz w:val="32"/>
          <w:szCs w:val="32"/>
        </w:rPr>
        <w:t>2023</w:t>
      </w:r>
      <w:r>
        <w:rPr>
          <w:rFonts w:hint="eastAsia" w:ascii="仿宋_GB2312" w:hAnsi="仿宋" w:eastAsia="仿宋_GB2312"/>
          <w:sz w:val="32"/>
          <w:szCs w:val="32"/>
        </w:rPr>
        <w:t>年度本年收入合计</w:t>
      </w:r>
      <w:r>
        <w:rPr>
          <w:rFonts w:ascii="仿宋_GB2312" w:hAnsi="仿宋" w:eastAsia="仿宋_GB2312"/>
          <w:sz w:val="32"/>
          <w:szCs w:val="32"/>
        </w:rPr>
        <w:t>429.1</w:t>
      </w:r>
      <w:r>
        <w:rPr>
          <w:rFonts w:hint="eastAsia" w:ascii="仿宋_GB2312" w:hAnsi="仿宋" w:eastAsia="仿宋_GB2312"/>
          <w:sz w:val="32"/>
          <w:szCs w:val="32"/>
        </w:rPr>
        <w:t>万元，其中：一般公共预算财政拨款收入</w:t>
      </w:r>
      <w:r>
        <w:rPr>
          <w:rFonts w:ascii="仿宋_GB2312" w:hAnsi="仿宋" w:eastAsia="仿宋_GB2312"/>
          <w:sz w:val="32"/>
          <w:szCs w:val="32"/>
        </w:rPr>
        <w:t>411.94</w:t>
      </w:r>
      <w:r>
        <w:rPr>
          <w:rFonts w:hint="eastAsia" w:ascii="仿宋_GB2312" w:hAnsi="仿宋" w:eastAsia="仿宋_GB2312"/>
          <w:sz w:val="32"/>
          <w:szCs w:val="32"/>
        </w:rPr>
        <w:t>万元，占</w:t>
      </w:r>
      <w:r>
        <w:rPr>
          <w:rFonts w:ascii="仿宋_GB2312" w:hAnsi="仿宋" w:eastAsia="仿宋_GB2312"/>
          <w:sz w:val="32"/>
          <w:szCs w:val="32"/>
        </w:rPr>
        <w:t>96%</w:t>
      </w:r>
      <w:r>
        <w:rPr>
          <w:rFonts w:hint="eastAsia" w:ascii="仿宋_GB2312" w:hAnsi="仿宋" w:eastAsia="仿宋_GB2312"/>
          <w:sz w:val="32"/>
          <w:szCs w:val="32"/>
        </w:rPr>
        <w:t>；事业收入</w:t>
      </w:r>
      <w:r>
        <w:rPr>
          <w:rFonts w:ascii="仿宋_GB2312" w:hAnsi="仿宋" w:eastAsia="仿宋_GB2312"/>
          <w:sz w:val="32"/>
          <w:szCs w:val="32"/>
        </w:rPr>
        <w:t>17.16</w:t>
      </w:r>
      <w:r>
        <w:rPr>
          <w:rFonts w:hint="eastAsia" w:ascii="仿宋_GB2312" w:hAnsi="仿宋" w:eastAsia="仿宋_GB2312"/>
          <w:sz w:val="32"/>
          <w:szCs w:val="32"/>
        </w:rPr>
        <w:t>万元，占</w:t>
      </w:r>
      <w:r>
        <w:rPr>
          <w:rFonts w:ascii="仿宋_GB2312" w:hAnsi="仿宋" w:eastAsia="仿宋_GB2312"/>
          <w:sz w:val="32"/>
          <w:szCs w:val="32"/>
        </w:rPr>
        <w:t>4%</w:t>
      </w:r>
      <w:r>
        <w:rPr>
          <w:rFonts w:hint="eastAsia" w:ascii="仿宋_GB2312" w:hAnsi="仿宋" w:eastAsia="仿宋_GB2312"/>
          <w:sz w:val="32"/>
          <w:szCs w:val="32"/>
        </w:rPr>
        <w:t>。</w:t>
      </w:r>
      <w:bookmarkEnd w:id="31"/>
    </w:p>
    <w:p>
      <w:pPr>
        <w:spacing w:line="600" w:lineRule="exact"/>
        <w:ind w:firstLine="640" w:firstLineChars="200"/>
        <w:outlineLvl w:val="9"/>
        <w:rPr>
          <w:rFonts w:ascii="仿宋_GB2312" w:hAnsi="仿宋" w:eastAsia="仿宋_GB2312"/>
          <w:sz w:val="32"/>
          <w:szCs w:val="32"/>
        </w:rPr>
      </w:pPr>
    </w:p>
    <w:p>
      <w:pPr>
        <w:pStyle w:val="2"/>
        <w:ind w:left="0" w:leftChars="0" w:firstLine="0" w:firstLineChars="0"/>
        <w:jc w:val="center"/>
      </w:pPr>
      <w:r>
        <w:pict>
          <v:shape id="_x0000_i1026" o:spt="75" type="#_x0000_t75" style="height:190.2pt;width:340.8pt;" filled="f" o:preferrelative="t" stroked="f" coordsize="21600,21600"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">
            <v:path/>
            <v:fill on="f" focussize="0,0"/>
            <v:stroke on="f" joinstyle="miter"/>
            <v:imagedata r:id="rId10" cropleft="4253f" croptop="1007f" cropright="1241f" cropbottom="11691f" o:title=""/>
            <o:lock v:ext="edit" aspectratio="f"/>
            <w10:wrap type="none"/>
            <w10:anchorlock/>
          </v:shape>
        </w:pict>
      </w:r>
    </w:p>
    <w:p>
      <w:pPr>
        <w:spacing w:line="600"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2</w:t>
      </w:r>
      <w:r>
        <w:rPr>
          <w:rFonts w:hint="eastAsia" w:ascii="楷体_GB2312" w:hAnsi="仿宋" w:eastAsia="楷体_GB2312"/>
          <w:sz w:val="32"/>
          <w:szCs w:val="32"/>
        </w:rPr>
        <w:t>：收入决算结构图）（饼状图）</w:t>
      </w:r>
    </w:p>
    <w:p>
      <w:pPr>
        <w:spacing w:line="600" w:lineRule="exact"/>
        <w:ind w:firstLine="640" w:firstLineChars="200"/>
        <w:rPr>
          <w:rFonts w:ascii="仿宋_GB2312" w:eastAsia="仿宋_GB2312"/>
          <w:sz w:val="32"/>
          <w:szCs w:val="32"/>
        </w:rPr>
      </w:pPr>
    </w:p>
    <w:p>
      <w:pPr>
        <w:pStyle w:val="34"/>
        <w:spacing w:line="600" w:lineRule="exact"/>
        <w:ind w:left="640" w:firstLine="0" w:firstLineChars="0"/>
        <w:outlineLvl w:val="1"/>
        <w:rPr>
          <w:rFonts w:ascii="黑体" w:hAnsi="黑体" w:eastAsia="黑体"/>
          <w:sz w:val="32"/>
          <w:szCs w:val="32"/>
        </w:rPr>
      </w:pPr>
      <w:bookmarkStart w:id="32" w:name="_Toc15396605"/>
      <w:bookmarkStart w:id="33" w:name="_Toc3317"/>
      <w:bookmarkStart w:id="34" w:name="_Toc15377207"/>
      <w:r>
        <w:rPr>
          <w:rFonts w:hint="eastAsia" w:ascii="黑体" w:hAnsi="黑体" w:eastAsia="黑体"/>
          <w:sz w:val="32"/>
          <w:szCs w:val="32"/>
        </w:rPr>
        <w:t>三、支出决算情况说明</w:t>
      </w:r>
      <w:bookmarkEnd w:id="32"/>
      <w:bookmarkEnd w:id="33"/>
      <w:bookmarkEnd w:id="34"/>
    </w:p>
    <w:p>
      <w:pPr>
        <w:spacing w:line="600" w:lineRule="exact"/>
        <w:ind w:firstLine="640" w:firstLineChars="200"/>
        <w:outlineLvl w:val="1"/>
        <w:rPr>
          <w:rFonts w:ascii="仿宋_GB2312" w:hAnsi="仿宋" w:eastAsia="仿宋_GB2312"/>
          <w:sz w:val="32"/>
          <w:szCs w:val="32"/>
        </w:rPr>
      </w:pPr>
      <w:bookmarkStart w:id="35" w:name="_Toc14212"/>
      <w:r>
        <w:rPr>
          <w:rFonts w:ascii="仿宋_GB2312" w:hAnsi="仿宋" w:eastAsia="仿宋_GB2312"/>
          <w:sz w:val="32"/>
          <w:szCs w:val="32"/>
        </w:rPr>
        <w:t>2023</w:t>
      </w:r>
      <w:r>
        <w:rPr>
          <w:rFonts w:hint="eastAsia" w:ascii="仿宋_GB2312" w:hAnsi="仿宋" w:eastAsia="仿宋_GB2312"/>
          <w:sz w:val="32"/>
          <w:szCs w:val="32"/>
        </w:rPr>
        <w:t>年度本年支出合计</w:t>
      </w:r>
      <w:r>
        <w:rPr>
          <w:rFonts w:ascii="仿宋_GB2312" w:hAnsi="仿宋" w:eastAsia="仿宋_GB2312"/>
          <w:sz w:val="32"/>
          <w:szCs w:val="32"/>
        </w:rPr>
        <w:t>429.1</w:t>
      </w:r>
      <w:r>
        <w:rPr>
          <w:rFonts w:hint="eastAsia" w:ascii="仿宋_GB2312" w:hAnsi="仿宋" w:eastAsia="仿宋_GB2312"/>
          <w:sz w:val="32"/>
          <w:szCs w:val="32"/>
        </w:rPr>
        <w:t>万元，其中：基本支出</w:t>
      </w:r>
      <w:r>
        <w:rPr>
          <w:rFonts w:ascii="仿宋_GB2312" w:hAnsi="仿宋" w:eastAsia="仿宋_GB2312"/>
          <w:sz w:val="32"/>
          <w:szCs w:val="32"/>
        </w:rPr>
        <w:t>340.63</w:t>
      </w:r>
      <w:r>
        <w:rPr>
          <w:rFonts w:hint="eastAsia" w:ascii="仿宋_GB2312" w:hAnsi="仿宋" w:eastAsia="仿宋_GB2312"/>
          <w:sz w:val="32"/>
          <w:szCs w:val="32"/>
        </w:rPr>
        <w:t>万元，占</w:t>
      </w:r>
      <w:r>
        <w:rPr>
          <w:rFonts w:ascii="仿宋_GB2312" w:hAnsi="仿宋" w:eastAsia="仿宋_GB2312"/>
          <w:sz w:val="32"/>
          <w:szCs w:val="32"/>
        </w:rPr>
        <w:t>79.</w:t>
      </w:r>
      <w:r>
        <w:rPr>
          <w:rFonts w:hint="eastAsia" w:ascii="仿宋_GB2312" w:hAnsi="仿宋" w:eastAsia="仿宋_GB2312"/>
          <w:sz w:val="32"/>
          <w:szCs w:val="32"/>
          <w:lang w:val="en-US" w:eastAsia="zh-CN"/>
        </w:rPr>
        <w:t>4</w:t>
      </w:r>
      <w:r>
        <w:rPr>
          <w:rFonts w:ascii="仿宋_GB2312" w:hAnsi="仿宋" w:eastAsia="仿宋_GB2312"/>
          <w:sz w:val="32"/>
          <w:szCs w:val="32"/>
        </w:rPr>
        <w:t>%</w:t>
      </w:r>
      <w:r>
        <w:rPr>
          <w:rFonts w:hint="eastAsia" w:ascii="仿宋_GB2312" w:hAnsi="仿宋" w:eastAsia="仿宋_GB2312"/>
          <w:sz w:val="32"/>
          <w:szCs w:val="32"/>
        </w:rPr>
        <w:t>；项目支出</w:t>
      </w:r>
      <w:r>
        <w:rPr>
          <w:rFonts w:ascii="仿宋_GB2312" w:hAnsi="仿宋" w:eastAsia="仿宋_GB2312"/>
          <w:sz w:val="32"/>
          <w:szCs w:val="32"/>
        </w:rPr>
        <w:t>88.47</w:t>
      </w:r>
      <w:r>
        <w:rPr>
          <w:rFonts w:hint="eastAsia" w:ascii="仿宋_GB2312" w:hAnsi="仿宋" w:eastAsia="仿宋_GB2312"/>
          <w:sz w:val="32"/>
          <w:szCs w:val="32"/>
        </w:rPr>
        <w:t>万元，占</w:t>
      </w:r>
      <w:r>
        <w:rPr>
          <w:rFonts w:ascii="仿宋_GB2312" w:hAnsi="仿宋" w:eastAsia="仿宋_GB2312"/>
          <w:sz w:val="32"/>
          <w:szCs w:val="32"/>
        </w:rPr>
        <w:t>20.6%</w:t>
      </w:r>
      <w:r>
        <w:rPr>
          <w:rFonts w:hint="eastAsia" w:ascii="仿宋_GB2312" w:hAnsi="仿宋" w:eastAsia="仿宋_GB2312"/>
          <w:sz w:val="32"/>
          <w:szCs w:val="32"/>
        </w:rPr>
        <w:t>。</w:t>
      </w:r>
      <w:bookmarkEnd w:id="35"/>
    </w:p>
    <w:p>
      <w:pPr>
        <w:spacing w:line="600" w:lineRule="exact"/>
        <w:outlineLvl w:val="9"/>
        <w:rPr>
          <w:rFonts w:ascii="仿宋_GB2312" w:hAnsi="仿宋" w:eastAsia="仿宋_GB2312"/>
          <w:sz w:val="32"/>
          <w:szCs w:val="32"/>
        </w:rPr>
      </w:pPr>
    </w:p>
    <w:p>
      <w:pPr>
        <w:pStyle w:val="2"/>
        <w:ind w:left="31680" w:firstLine="31680"/>
        <w:rPr>
          <w:rFonts w:ascii="仿宋" w:hAnsi="仿宋" w:eastAsia="仿宋"/>
          <w:sz w:val="32"/>
          <w:shd w:val="pct10" w:color="auto" w:fill="FFFFFF"/>
        </w:rPr>
      </w:pPr>
      <w:r>
        <w:pict>
          <v:shape id="_x0000_i1027" o:spt="75" type="#_x0000_t75" style="height:190.2pt;width:370.2pt;" filled="f" o:preferrelative="t" stroked="f" coordsize="21600,21600">
            <v:path/>
            <v:fill on="f" focussize="0,0"/>
            <v:stroke on="f" joinstyle="miter"/>
            <v:imagedata r:id="rId11" cropleft="990f" croptop="2913f" cropright="369f" cropbottom="11636f" o:title=""/>
            <o:lock v:ext="edit" aspectratio="t"/>
            <w10:wrap type="none"/>
            <w10:anchorlock/>
          </v:shape>
        </w:pict>
      </w:r>
    </w:p>
    <w:p>
      <w:pPr>
        <w:spacing w:line="600"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3</w:t>
      </w:r>
      <w:r>
        <w:rPr>
          <w:rFonts w:hint="eastAsia" w:ascii="楷体_GB2312" w:hAnsi="仿宋" w:eastAsia="楷体_GB2312"/>
          <w:sz w:val="32"/>
          <w:szCs w:val="32"/>
        </w:rPr>
        <w:t>：支出决算结构图）（饼状图）</w:t>
      </w:r>
    </w:p>
    <w:p>
      <w:pPr>
        <w:adjustRightInd w:val="0"/>
        <w:snapToGrid w:val="0"/>
        <w:spacing w:line="576" w:lineRule="exact"/>
        <w:ind w:firstLine="640" w:firstLineChars="200"/>
        <w:outlineLvl w:val="1"/>
        <w:rPr>
          <w:rStyle w:val="21"/>
          <w:rFonts w:ascii="黑体" w:hAnsi="黑体" w:eastAsia="黑体"/>
          <w:b w:val="0"/>
        </w:rPr>
      </w:pPr>
      <w:bookmarkStart w:id="36" w:name="_Toc15377208"/>
      <w:bookmarkStart w:id="37" w:name="_Toc18487"/>
      <w:bookmarkStart w:id="38" w:name="_Toc15396606"/>
      <w:r>
        <w:rPr>
          <w:rFonts w:hint="eastAsia" w:ascii="黑体" w:hAnsi="黑体" w:eastAsia="黑体"/>
          <w:sz w:val="32"/>
          <w:szCs w:val="32"/>
        </w:rPr>
        <w:t>四、财</w:t>
      </w:r>
      <w:r>
        <w:rPr>
          <w:rStyle w:val="21"/>
          <w:rFonts w:hint="eastAsia" w:ascii="黑体" w:hAnsi="黑体" w:eastAsia="黑体"/>
          <w:b w:val="0"/>
        </w:rPr>
        <w:t>政拨款收入支出决算总体情况说明</w:t>
      </w:r>
      <w:bookmarkEnd w:id="36"/>
      <w:bookmarkEnd w:id="37"/>
      <w:bookmarkEnd w:id="38"/>
    </w:p>
    <w:p>
      <w:pPr>
        <w:adjustRightInd w:val="0"/>
        <w:snapToGrid w:val="0"/>
        <w:spacing w:line="576" w:lineRule="exact"/>
        <w:ind w:firstLine="640" w:firstLineChars="200"/>
        <w:rPr>
          <w:rFonts w:ascii="仿宋_GB2312" w:hAnsi="仿宋" w:eastAsia="仿宋_GB2312"/>
          <w:sz w:val="32"/>
          <w:szCs w:val="32"/>
        </w:rPr>
      </w:pPr>
      <w:r>
        <w:rPr>
          <w:rFonts w:ascii="仿宋_GB2312" w:hAnsi="仿宋" w:eastAsia="仿宋_GB2312"/>
          <w:sz w:val="32"/>
          <w:szCs w:val="32"/>
        </w:rPr>
        <w:t>2023</w:t>
      </w:r>
      <w:r>
        <w:rPr>
          <w:rFonts w:hint="eastAsia" w:ascii="仿宋_GB2312" w:hAnsi="仿宋" w:eastAsia="仿宋_GB2312"/>
          <w:sz w:val="32"/>
          <w:szCs w:val="32"/>
        </w:rPr>
        <w:t>年度财政拨款收、支总计均为</w:t>
      </w:r>
      <w:r>
        <w:rPr>
          <w:rFonts w:ascii="仿宋_GB2312" w:hAnsi="仿宋" w:eastAsia="仿宋_GB2312"/>
          <w:sz w:val="32"/>
          <w:szCs w:val="32"/>
        </w:rPr>
        <w:t>411.94</w:t>
      </w:r>
      <w:r>
        <w:rPr>
          <w:rFonts w:hint="eastAsia" w:ascii="仿宋_GB2312" w:hAnsi="仿宋" w:eastAsia="仿宋_GB2312"/>
          <w:sz w:val="32"/>
          <w:szCs w:val="32"/>
        </w:rPr>
        <w:t>万元。与</w:t>
      </w:r>
      <w:r>
        <w:rPr>
          <w:rFonts w:ascii="仿宋_GB2312" w:hAnsi="仿宋" w:eastAsia="仿宋_GB2312"/>
          <w:sz w:val="32"/>
          <w:szCs w:val="32"/>
        </w:rPr>
        <w:t>2022</w:t>
      </w:r>
      <w:r>
        <w:rPr>
          <w:rFonts w:hint="eastAsia" w:ascii="仿宋_GB2312" w:hAnsi="仿宋" w:eastAsia="仿宋_GB2312"/>
          <w:sz w:val="32"/>
          <w:szCs w:val="32"/>
        </w:rPr>
        <w:t>年度相比，财政拨款收、支总计各减少</w:t>
      </w:r>
      <w:r>
        <w:rPr>
          <w:rFonts w:ascii="仿宋_GB2312" w:hAnsi="仿宋" w:eastAsia="仿宋_GB2312"/>
          <w:sz w:val="32"/>
          <w:szCs w:val="32"/>
        </w:rPr>
        <w:t>92.38</w:t>
      </w:r>
      <w:r>
        <w:rPr>
          <w:rFonts w:hint="eastAsia" w:ascii="仿宋_GB2312" w:hAnsi="仿宋" w:eastAsia="仿宋_GB2312"/>
          <w:sz w:val="32"/>
          <w:szCs w:val="32"/>
        </w:rPr>
        <w:t>万元，下降</w:t>
      </w:r>
      <w:r>
        <w:rPr>
          <w:rFonts w:ascii="仿宋_GB2312" w:hAnsi="仿宋" w:eastAsia="仿宋_GB2312"/>
          <w:sz w:val="32"/>
          <w:szCs w:val="32"/>
        </w:rPr>
        <w:t>18.3%</w:t>
      </w:r>
      <w:r>
        <w:rPr>
          <w:rFonts w:hint="eastAsia" w:ascii="仿宋_GB2312" w:hAnsi="仿宋" w:eastAsia="仿宋_GB2312"/>
          <w:sz w:val="32"/>
          <w:szCs w:val="32"/>
        </w:rPr>
        <w:t>。主要变动原因是项目资金的减少。</w:t>
      </w:r>
    </w:p>
    <w:p>
      <w:pPr>
        <w:pStyle w:val="2"/>
        <w:ind w:left="31680" w:firstLine="31680"/>
      </w:pPr>
    </w:p>
    <w:p>
      <w:pPr>
        <w:pStyle w:val="2"/>
        <w:ind w:left="0" w:leftChars="0" w:firstLine="0" w:firstLineChars="0"/>
        <w:jc w:val="center"/>
        <w:rPr>
          <w:rFonts w:ascii="仿宋" w:hAnsi="仿宋" w:eastAsia="仿宋"/>
          <w:sz w:val="32"/>
        </w:rPr>
      </w:pPr>
      <w:r>
        <w:pict>
          <v:shape id="_x0000_i1028" o:spt="75" type="#_x0000_t75" style="height:216pt;width:396pt;" filled="f" o:preferrelative="t" stroked="f" coordsize="21600,21600">
            <v:path/>
            <v:fill on="f" focussize="0,0"/>
            <v:stroke on="f" joinstyle="miter"/>
            <v:imagedata r:id="rId12" o:title=""/>
            <o:lock v:ext="edit" aspectratio="t"/>
            <w10:wrap type="none"/>
            <w10:anchorlock/>
          </v:shape>
        </w:pict>
      </w:r>
    </w:p>
    <w:p>
      <w:pPr>
        <w:adjustRightInd w:val="0"/>
        <w:snapToGrid w:val="0"/>
        <w:spacing w:line="576"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4</w:t>
      </w:r>
      <w:r>
        <w:rPr>
          <w:rFonts w:hint="eastAsia" w:ascii="楷体_GB2312" w:hAnsi="仿宋" w:eastAsia="楷体_GB2312"/>
          <w:sz w:val="32"/>
          <w:szCs w:val="32"/>
        </w:rPr>
        <w:t>：财政拨款收、支决算总计变动情况）（柱状图）</w:t>
      </w:r>
    </w:p>
    <w:p>
      <w:pPr>
        <w:adjustRightInd w:val="0"/>
        <w:snapToGrid w:val="0"/>
        <w:spacing w:line="576" w:lineRule="exact"/>
        <w:ind w:firstLine="200"/>
        <w:rPr>
          <w:rFonts w:ascii="仿宋_GB2312" w:hAnsi="仿宋" w:eastAsia="仿宋_GB2312"/>
          <w:sz w:val="32"/>
          <w:szCs w:val="32"/>
        </w:rPr>
      </w:pPr>
    </w:p>
    <w:p>
      <w:pPr>
        <w:adjustRightInd w:val="0"/>
        <w:snapToGrid w:val="0"/>
        <w:spacing w:line="576" w:lineRule="exact"/>
        <w:ind w:firstLine="640" w:firstLineChars="200"/>
        <w:outlineLvl w:val="1"/>
        <w:rPr>
          <w:rFonts w:ascii="黑体" w:eastAsia="黑体"/>
          <w:bCs/>
          <w:sz w:val="32"/>
          <w:szCs w:val="32"/>
        </w:rPr>
      </w:pPr>
      <w:bookmarkStart w:id="39" w:name="_Toc9133"/>
      <w:bookmarkStart w:id="40" w:name="_Toc15396607"/>
      <w:bookmarkStart w:id="41" w:name="_Toc15377209"/>
      <w:r>
        <w:rPr>
          <w:rFonts w:hint="eastAsia" w:ascii="黑体" w:hAnsi="黑体" w:eastAsia="黑体"/>
          <w:sz w:val="32"/>
          <w:szCs w:val="32"/>
        </w:rPr>
        <w:t>五、一</w:t>
      </w:r>
      <w:r>
        <w:rPr>
          <w:rFonts w:hint="eastAsia" w:ascii="黑体" w:eastAsia="黑体"/>
          <w:bCs/>
          <w:sz w:val="32"/>
          <w:szCs w:val="32"/>
        </w:rPr>
        <w:t>般公共预算财政拨款支出决算情况说明</w:t>
      </w:r>
      <w:bookmarkEnd w:id="39"/>
      <w:bookmarkEnd w:id="40"/>
      <w:bookmarkEnd w:id="41"/>
    </w:p>
    <w:p>
      <w:pPr>
        <w:adjustRightInd w:val="0"/>
        <w:snapToGrid w:val="0"/>
        <w:spacing w:line="576" w:lineRule="exact"/>
        <w:ind w:firstLine="640" w:firstLineChars="200"/>
        <w:outlineLvl w:val="2"/>
        <w:rPr>
          <w:rFonts w:ascii="楷体_GB2312" w:hAnsi="仿宋" w:eastAsia="楷体_GB2312"/>
          <w:sz w:val="32"/>
          <w:szCs w:val="32"/>
        </w:rPr>
      </w:pPr>
      <w:bookmarkStart w:id="42" w:name="_Toc15377210"/>
      <w:r>
        <w:rPr>
          <w:rFonts w:hint="eastAsia" w:ascii="楷体_GB2312" w:hAnsi="仿宋" w:eastAsia="楷体_GB2312"/>
          <w:sz w:val="32"/>
          <w:szCs w:val="32"/>
        </w:rPr>
        <w:t>（一）一般公共预算财政拨款支出决算总体情况</w:t>
      </w:r>
      <w:bookmarkEnd w:id="42"/>
    </w:p>
    <w:p>
      <w:pPr>
        <w:adjustRightInd w:val="0"/>
        <w:snapToGrid w:val="0"/>
        <w:spacing w:line="576" w:lineRule="exact"/>
        <w:ind w:firstLine="640" w:firstLineChars="200"/>
        <w:rPr>
          <w:rFonts w:ascii="仿宋_GB2312" w:hAnsi="仿宋" w:eastAsia="仿宋_GB2312"/>
          <w:sz w:val="32"/>
          <w:szCs w:val="32"/>
        </w:rPr>
      </w:pPr>
      <w:r>
        <w:rPr>
          <w:rFonts w:ascii="仿宋_GB2312" w:hAnsi="仿宋" w:eastAsia="仿宋_GB2312"/>
          <w:sz w:val="32"/>
          <w:szCs w:val="32"/>
        </w:rPr>
        <w:t>2023</w:t>
      </w:r>
      <w:r>
        <w:rPr>
          <w:rFonts w:hint="eastAsia" w:ascii="仿宋_GB2312" w:hAnsi="仿宋" w:eastAsia="仿宋_GB2312"/>
          <w:sz w:val="32"/>
          <w:szCs w:val="32"/>
        </w:rPr>
        <w:t>年度一般公共预算财政拨款支出</w:t>
      </w:r>
      <w:r>
        <w:rPr>
          <w:rFonts w:ascii="仿宋_GB2312" w:hAnsi="仿宋" w:eastAsia="仿宋_GB2312"/>
          <w:sz w:val="32"/>
          <w:szCs w:val="32"/>
        </w:rPr>
        <w:t>411.94</w:t>
      </w:r>
      <w:r>
        <w:rPr>
          <w:rFonts w:hint="eastAsia" w:ascii="仿宋_GB2312" w:hAnsi="仿宋" w:eastAsia="仿宋_GB2312"/>
          <w:sz w:val="32"/>
          <w:szCs w:val="32"/>
        </w:rPr>
        <w:t>万元，占本年支出合计的</w:t>
      </w:r>
      <w:r>
        <w:rPr>
          <w:rFonts w:ascii="仿宋_GB2312" w:hAnsi="仿宋" w:eastAsia="仿宋_GB2312"/>
          <w:sz w:val="32"/>
          <w:szCs w:val="32"/>
        </w:rPr>
        <w:t>96%</w:t>
      </w:r>
      <w:r>
        <w:rPr>
          <w:rFonts w:hint="eastAsia" w:ascii="仿宋_GB2312" w:hAnsi="仿宋" w:eastAsia="仿宋_GB2312"/>
          <w:sz w:val="32"/>
          <w:szCs w:val="32"/>
        </w:rPr>
        <w:t>。与</w:t>
      </w:r>
      <w:r>
        <w:rPr>
          <w:rFonts w:ascii="仿宋_GB2312" w:hAnsi="仿宋" w:eastAsia="仿宋_GB2312"/>
          <w:sz w:val="32"/>
          <w:szCs w:val="32"/>
        </w:rPr>
        <w:t>2022</w:t>
      </w:r>
      <w:r>
        <w:rPr>
          <w:rFonts w:hint="eastAsia" w:ascii="仿宋_GB2312" w:hAnsi="仿宋" w:eastAsia="仿宋_GB2312"/>
          <w:sz w:val="32"/>
          <w:szCs w:val="32"/>
        </w:rPr>
        <w:t>年度相比，一般公共预算财政拨款支出减少</w:t>
      </w:r>
      <w:r>
        <w:rPr>
          <w:rFonts w:ascii="仿宋_GB2312" w:hAnsi="仿宋" w:eastAsia="仿宋_GB2312"/>
          <w:sz w:val="32"/>
          <w:szCs w:val="32"/>
        </w:rPr>
        <w:t>92.38</w:t>
      </w:r>
      <w:r>
        <w:rPr>
          <w:rFonts w:hint="eastAsia" w:ascii="仿宋_GB2312" w:hAnsi="仿宋" w:eastAsia="仿宋_GB2312"/>
          <w:sz w:val="32"/>
          <w:szCs w:val="32"/>
        </w:rPr>
        <w:t>万元，下降</w:t>
      </w:r>
      <w:r>
        <w:rPr>
          <w:rFonts w:ascii="仿宋_GB2312" w:hAnsi="仿宋" w:eastAsia="仿宋_GB2312"/>
          <w:sz w:val="32"/>
          <w:szCs w:val="32"/>
        </w:rPr>
        <w:t>18.3%</w:t>
      </w:r>
      <w:r>
        <w:rPr>
          <w:rFonts w:hint="eastAsia" w:ascii="仿宋_GB2312" w:hAnsi="仿宋" w:eastAsia="仿宋_GB2312"/>
          <w:sz w:val="32"/>
          <w:szCs w:val="32"/>
        </w:rPr>
        <w:t>。主要变动原因是项目支出的减少。</w:t>
      </w:r>
    </w:p>
    <w:p>
      <w:pPr>
        <w:pStyle w:val="2"/>
        <w:ind w:left="31680" w:firstLine="31680"/>
        <w:rPr>
          <w:rFonts w:ascii="仿宋" w:hAnsi="仿宋" w:eastAsia="仿宋"/>
          <w:sz w:val="32"/>
        </w:rPr>
      </w:pPr>
      <w:r>
        <w:pict>
          <v:shape id="_x0000_i1029" o:spt="75" type="#_x0000_t75" style="height:214.8pt;width:378.6pt;" filled="f" o:preferrelative="t" stroked="f" coordsize="21600,21600">
            <v:path/>
            <v:fill on="f" focussize="0,0"/>
            <v:stroke on="f" joinstyle="miter"/>
            <v:imagedata r:id="rId13" o:title=""/>
            <o:lock v:ext="edit" aspectratio="t"/>
            <w10:wrap type="none"/>
            <w10:anchorlock/>
          </v:shape>
        </w:pict>
      </w:r>
    </w:p>
    <w:p>
      <w:pPr>
        <w:adjustRightInd w:val="0"/>
        <w:snapToGrid w:val="0"/>
        <w:spacing w:line="576"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5</w:t>
      </w:r>
      <w:r>
        <w:rPr>
          <w:rFonts w:hint="eastAsia" w:ascii="楷体_GB2312" w:hAnsi="仿宋" w:eastAsia="楷体_GB2312"/>
          <w:sz w:val="32"/>
          <w:szCs w:val="32"/>
        </w:rPr>
        <w:t>：一般公共预算财政拨款支出决算变动情况）（柱状图）</w:t>
      </w:r>
    </w:p>
    <w:p>
      <w:pPr>
        <w:adjustRightInd w:val="0"/>
        <w:snapToGrid w:val="0"/>
        <w:spacing w:line="576" w:lineRule="exact"/>
        <w:ind w:firstLine="640" w:firstLineChars="200"/>
        <w:rPr>
          <w:rFonts w:ascii="仿宋_GB2312" w:hAnsi="仿宋" w:eastAsia="仿宋_GB2312"/>
          <w:sz w:val="32"/>
          <w:szCs w:val="32"/>
        </w:rPr>
      </w:pPr>
    </w:p>
    <w:p>
      <w:pPr>
        <w:adjustRightInd w:val="0"/>
        <w:snapToGrid w:val="0"/>
        <w:spacing w:line="576" w:lineRule="exact"/>
        <w:ind w:firstLine="640" w:firstLineChars="200"/>
        <w:outlineLvl w:val="2"/>
        <w:rPr>
          <w:rFonts w:ascii="楷体_GB2312" w:hAnsi="仿宋" w:eastAsia="楷体_GB2312"/>
          <w:sz w:val="32"/>
          <w:szCs w:val="32"/>
        </w:rPr>
      </w:pPr>
      <w:bookmarkStart w:id="43" w:name="_Toc15377211"/>
      <w:r>
        <w:rPr>
          <w:rFonts w:hint="eastAsia" w:ascii="楷体_GB2312" w:hAnsi="仿宋" w:eastAsia="楷体_GB2312"/>
          <w:sz w:val="32"/>
          <w:szCs w:val="32"/>
        </w:rPr>
        <w:t>（二）一般公共预算财政拨款支出决算结构情况</w:t>
      </w:r>
      <w:bookmarkEnd w:id="43"/>
    </w:p>
    <w:p>
      <w:pPr>
        <w:adjustRightInd w:val="0"/>
        <w:snapToGrid w:val="0"/>
        <w:spacing w:line="576" w:lineRule="exact"/>
        <w:ind w:firstLine="640" w:firstLineChars="200"/>
        <w:rPr>
          <w:rFonts w:ascii="仿宋_GB2312" w:hAnsi="仿宋" w:eastAsia="仿宋_GB2312"/>
          <w:sz w:val="32"/>
          <w:szCs w:val="32"/>
        </w:rPr>
      </w:pPr>
      <w:r>
        <w:rPr>
          <w:rFonts w:ascii="仿宋_GB2312" w:hAnsi="仿宋" w:eastAsia="仿宋_GB2312"/>
          <w:sz w:val="32"/>
          <w:szCs w:val="32"/>
        </w:rPr>
        <w:t>2023</w:t>
      </w:r>
      <w:r>
        <w:rPr>
          <w:rFonts w:hint="eastAsia" w:ascii="仿宋_GB2312" w:hAnsi="仿宋" w:eastAsia="仿宋_GB2312"/>
          <w:sz w:val="32"/>
          <w:szCs w:val="32"/>
        </w:rPr>
        <w:t>年度一般公共预算财政拨款支出</w:t>
      </w:r>
      <w:r>
        <w:rPr>
          <w:rFonts w:ascii="仿宋_GB2312" w:hAnsi="仿宋" w:eastAsia="仿宋_GB2312"/>
          <w:sz w:val="32"/>
          <w:szCs w:val="32"/>
        </w:rPr>
        <w:t>411.94</w:t>
      </w:r>
      <w:r>
        <w:rPr>
          <w:rFonts w:hint="eastAsia" w:ascii="仿宋_GB2312" w:hAnsi="仿宋" w:eastAsia="仿宋_GB2312"/>
          <w:sz w:val="32"/>
          <w:szCs w:val="32"/>
        </w:rPr>
        <w:t>万元，主要用于以下方面</w:t>
      </w:r>
      <w:r>
        <w:rPr>
          <w:rFonts w:hint="eastAsia" w:ascii="仿宋_GB2312" w:hAnsi="仿宋" w:eastAsia="仿宋_GB2312"/>
          <w:sz w:val="32"/>
          <w:szCs w:val="32"/>
          <w:lang w:eastAsia="zh-CN"/>
        </w:rPr>
        <w:t>：</w:t>
      </w:r>
      <w:r>
        <w:rPr>
          <w:rFonts w:hint="eastAsia" w:ascii="仿宋_GB2312" w:hAnsi="仿宋" w:eastAsia="仿宋_GB2312"/>
          <w:sz w:val="32"/>
          <w:szCs w:val="32"/>
        </w:rPr>
        <w:t>教育支出</w:t>
      </w:r>
      <w:r>
        <w:rPr>
          <w:rFonts w:ascii="仿宋_GB2312" w:hAnsi="仿宋" w:eastAsia="仿宋_GB2312"/>
          <w:sz w:val="32"/>
          <w:szCs w:val="32"/>
        </w:rPr>
        <w:t>337.54</w:t>
      </w:r>
      <w:r>
        <w:rPr>
          <w:rFonts w:hint="eastAsia" w:ascii="仿宋_GB2312" w:hAnsi="仿宋" w:eastAsia="仿宋_GB2312"/>
          <w:sz w:val="32"/>
          <w:szCs w:val="32"/>
        </w:rPr>
        <w:t>万元，占</w:t>
      </w:r>
      <w:r>
        <w:rPr>
          <w:rFonts w:ascii="仿宋_GB2312" w:hAnsi="仿宋" w:eastAsia="仿宋_GB2312"/>
          <w:sz w:val="32"/>
          <w:szCs w:val="32"/>
        </w:rPr>
        <w:t>81.9%</w:t>
      </w:r>
      <w:r>
        <w:rPr>
          <w:rFonts w:hint="eastAsia" w:ascii="仿宋_GB2312" w:hAnsi="仿宋" w:eastAsia="仿宋_GB2312"/>
          <w:sz w:val="32"/>
          <w:szCs w:val="32"/>
        </w:rPr>
        <w:t>；社会保障和就业</w:t>
      </w:r>
      <w:r>
        <w:rPr>
          <w:rFonts w:hint="eastAsia" w:ascii="仿宋_GB2312" w:hAnsi="仿宋" w:eastAsia="仿宋_GB2312"/>
          <w:bCs/>
          <w:sz w:val="32"/>
          <w:szCs w:val="32"/>
        </w:rPr>
        <w:t>支出</w:t>
      </w:r>
      <w:r>
        <w:rPr>
          <w:rFonts w:ascii="仿宋_GB2312" w:hAnsi="仿宋" w:eastAsia="仿宋_GB2312"/>
          <w:bCs/>
          <w:sz w:val="32"/>
          <w:szCs w:val="32"/>
        </w:rPr>
        <w:t>35.29</w:t>
      </w:r>
      <w:r>
        <w:rPr>
          <w:rFonts w:hint="eastAsia" w:ascii="仿宋_GB2312" w:hAnsi="仿宋" w:eastAsia="仿宋_GB2312"/>
          <w:sz w:val="32"/>
          <w:szCs w:val="32"/>
        </w:rPr>
        <w:t>万元，占</w:t>
      </w:r>
      <w:r>
        <w:rPr>
          <w:rFonts w:ascii="仿宋_GB2312" w:hAnsi="仿宋" w:eastAsia="仿宋_GB2312"/>
          <w:sz w:val="32"/>
          <w:szCs w:val="32"/>
        </w:rPr>
        <w:t>8.</w:t>
      </w:r>
      <w:r>
        <w:rPr>
          <w:rFonts w:hint="eastAsia" w:ascii="仿宋_GB2312" w:hAnsi="仿宋" w:eastAsia="仿宋_GB2312"/>
          <w:sz w:val="32"/>
          <w:szCs w:val="32"/>
          <w:lang w:val="en-US" w:eastAsia="zh-CN"/>
        </w:rPr>
        <w:t>6</w:t>
      </w:r>
      <w:r>
        <w:rPr>
          <w:rFonts w:ascii="仿宋_GB2312" w:hAnsi="仿宋" w:eastAsia="仿宋_GB2312"/>
          <w:sz w:val="32"/>
          <w:szCs w:val="32"/>
        </w:rPr>
        <w:t>%</w:t>
      </w:r>
      <w:r>
        <w:rPr>
          <w:rFonts w:hint="eastAsia" w:ascii="仿宋_GB2312" w:hAnsi="仿宋" w:eastAsia="仿宋_GB2312"/>
          <w:sz w:val="32"/>
          <w:szCs w:val="32"/>
        </w:rPr>
        <w:t>；</w:t>
      </w:r>
      <w:r>
        <w:rPr>
          <w:rFonts w:hint="eastAsia" w:ascii="仿宋_GB2312" w:hAnsi="仿宋" w:eastAsia="仿宋_GB2312"/>
          <w:bCs/>
          <w:sz w:val="32"/>
          <w:szCs w:val="32"/>
        </w:rPr>
        <w:t>卫生健康支出</w:t>
      </w:r>
      <w:r>
        <w:rPr>
          <w:rFonts w:ascii="仿宋_GB2312" w:hAnsi="仿宋" w:eastAsia="仿宋_GB2312"/>
          <w:bCs/>
          <w:sz w:val="32"/>
          <w:szCs w:val="32"/>
        </w:rPr>
        <w:t>14.04</w:t>
      </w:r>
      <w:r>
        <w:rPr>
          <w:rFonts w:hint="eastAsia" w:ascii="仿宋_GB2312" w:hAnsi="仿宋" w:eastAsia="仿宋_GB2312"/>
          <w:sz w:val="32"/>
          <w:szCs w:val="32"/>
        </w:rPr>
        <w:t>万元，占</w:t>
      </w:r>
      <w:r>
        <w:rPr>
          <w:rFonts w:ascii="仿宋_GB2312" w:hAnsi="仿宋" w:eastAsia="仿宋_GB2312"/>
          <w:sz w:val="32"/>
          <w:szCs w:val="32"/>
        </w:rPr>
        <w:t>3.4%</w:t>
      </w:r>
      <w:r>
        <w:rPr>
          <w:rFonts w:hint="eastAsia" w:ascii="仿宋_GB2312" w:hAnsi="仿宋" w:eastAsia="仿宋_GB2312"/>
          <w:sz w:val="32"/>
          <w:szCs w:val="32"/>
        </w:rPr>
        <w:t>；</w:t>
      </w:r>
      <w:r>
        <w:rPr>
          <w:rFonts w:hint="eastAsia" w:ascii="仿宋_GB2312" w:hAnsi="仿宋" w:eastAsia="仿宋_GB2312"/>
          <w:bCs/>
          <w:sz w:val="32"/>
          <w:szCs w:val="32"/>
        </w:rPr>
        <w:t>住房保障支出</w:t>
      </w:r>
      <w:r>
        <w:rPr>
          <w:rFonts w:ascii="仿宋_GB2312" w:hAnsi="仿宋" w:eastAsia="仿宋_GB2312"/>
          <w:bCs/>
          <w:sz w:val="32"/>
          <w:szCs w:val="32"/>
        </w:rPr>
        <w:t>25.07</w:t>
      </w:r>
      <w:r>
        <w:rPr>
          <w:rFonts w:hint="eastAsia" w:ascii="仿宋_GB2312" w:hAnsi="仿宋" w:eastAsia="仿宋_GB2312"/>
          <w:sz w:val="32"/>
          <w:szCs w:val="32"/>
        </w:rPr>
        <w:t>万元，占</w:t>
      </w:r>
      <w:r>
        <w:rPr>
          <w:rFonts w:ascii="仿宋_GB2312" w:hAnsi="仿宋" w:eastAsia="仿宋_GB2312"/>
          <w:sz w:val="32"/>
          <w:szCs w:val="32"/>
        </w:rPr>
        <w:t>6.</w:t>
      </w:r>
      <w:r>
        <w:rPr>
          <w:rFonts w:hint="eastAsia" w:ascii="仿宋_GB2312" w:hAnsi="仿宋" w:eastAsia="仿宋_GB2312"/>
          <w:sz w:val="32"/>
          <w:szCs w:val="32"/>
          <w:lang w:val="en-US" w:eastAsia="zh-CN"/>
        </w:rPr>
        <w:t>1</w:t>
      </w:r>
      <w:r>
        <w:rPr>
          <w:rFonts w:ascii="仿宋_GB2312" w:hAnsi="仿宋" w:eastAsia="仿宋_GB2312"/>
          <w:sz w:val="32"/>
          <w:szCs w:val="32"/>
        </w:rPr>
        <w:t>%</w:t>
      </w:r>
      <w:r>
        <w:rPr>
          <w:rFonts w:hint="eastAsia" w:ascii="仿宋_GB2312" w:hAnsi="仿宋" w:eastAsia="仿宋_GB2312"/>
          <w:sz w:val="32"/>
          <w:szCs w:val="32"/>
        </w:rPr>
        <w:t>。</w:t>
      </w:r>
    </w:p>
    <w:p>
      <w:pPr>
        <w:pStyle w:val="2"/>
        <w:ind w:left="0" w:leftChars="0" w:firstLine="0" w:firstLineChars="0"/>
        <w:jc w:val="center"/>
      </w:pPr>
      <w:r>
        <w:pict>
          <v:shape id="_x0000_i1030" o:spt="75" type="#_x0000_t75" style="height:247.2pt;width:411.6pt;" filled="f" o:preferrelative="t" stroked="f" coordsize="21600,21600">
            <v:path/>
            <v:fill on="f" focussize="0,0"/>
            <v:stroke on="f" joinstyle="miter"/>
            <v:imagedata r:id="rId14" o:title=""/>
            <o:lock v:ext="edit" aspectratio="t"/>
            <w10:wrap type="none"/>
            <w10:anchorlock/>
          </v:shape>
        </w:pict>
      </w:r>
    </w:p>
    <w:p>
      <w:pPr>
        <w:spacing w:line="600" w:lineRule="exact"/>
        <w:jc w:val="center"/>
        <w:rPr>
          <w:rFonts w:ascii="楷体_GB2312" w:hAnsi="仿宋" w:eastAsia="楷体_GB2312"/>
          <w:sz w:val="32"/>
          <w:szCs w:val="32"/>
        </w:rPr>
      </w:pPr>
      <w:r>
        <w:rPr>
          <w:rFonts w:hint="eastAsia" w:ascii="楷体_GB2312" w:hAnsi="仿宋" w:eastAsia="楷体_GB2312"/>
          <w:sz w:val="32"/>
          <w:szCs w:val="32"/>
        </w:rPr>
        <w:t>（图</w:t>
      </w:r>
      <w:r>
        <w:rPr>
          <w:rFonts w:ascii="楷体_GB2312" w:hAnsi="仿宋" w:eastAsia="楷体_GB2312"/>
          <w:sz w:val="32"/>
          <w:szCs w:val="32"/>
        </w:rPr>
        <w:t>6</w:t>
      </w:r>
      <w:r>
        <w:rPr>
          <w:rFonts w:hint="eastAsia" w:ascii="楷体_GB2312" w:hAnsi="仿宋" w:eastAsia="楷体_GB2312"/>
          <w:sz w:val="32"/>
          <w:szCs w:val="32"/>
        </w:rPr>
        <w:t>：一般公共预算财政拨款支出决算结构）（饼状图）</w:t>
      </w:r>
    </w:p>
    <w:p>
      <w:pPr>
        <w:adjustRightInd w:val="0"/>
        <w:snapToGrid w:val="0"/>
        <w:spacing w:line="576" w:lineRule="exact"/>
        <w:ind w:firstLine="640" w:firstLineChars="200"/>
        <w:rPr>
          <w:rFonts w:ascii="仿宋_GB2312" w:hAnsi="仿宋" w:eastAsia="仿宋_GB2312"/>
          <w:sz w:val="32"/>
          <w:szCs w:val="32"/>
        </w:rPr>
      </w:pPr>
    </w:p>
    <w:p>
      <w:pPr>
        <w:adjustRightInd w:val="0"/>
        <w:snapToGrid w:val="0"/>
        <w:spacing w:line="576" w:lineRule="exact"/>
        <w:ind w:firstLine="640" w:firstLineChars="200"/>
        <w:outlineLvl w:val="2"/>
        <w:rPr>
          <w:rFonts w:ascii="楷体_GB2312" w:hAnsi="仿宋" w:eastAsia="楷体_GB2312"/>
          <w:sz w:val="32"/>
          <w:szCs w:val="32"/>
        </w:rPr>
      </w:pPr>
      <w:bookmarkStart w:id="44" w:name="_Toc15377212"/>
      <w:r>
        <w:rPr>
          <w:rFonts w:hint="eastAsia" w:ascii="楷体_GB2312" w:hAnsi="仿宋" w:eastAsia="楷体_GB2312"/>
          <w:sz w:val="32"/>
          <w:szCs w:val="32"/>
        </w:rPr>
        <w:t>（三）一般公共预算财政拨款支出决算具体情况</w:t>
      </w:r>
      <w:bookmarkEnd w:id="44"/>
    </w:p>
    <w:p>
      <w:pPr>
        <w:adjustRightInd w:val="0"/>
        <w:snapToGrid w:val="0"/>
        <w:spacing w:line="576" w:lineRule="exact"/>
        <w:ind w:firstLine="640" w:firstLineChars="200"/>
        <w:outlineLvl w:val="1"/>
        <w:rPr>
          <w:rFonts w:ascii="仿宋_GB2312" w:hAnsi="仿宋" w:eastAsia="仿宋_GB2312"/>
          <w:sz w:val="32"/>
          <w:szCs w:val="32"/>
        </w:rPr>
      </w:pPr>
      <w:bookmarkStart w:id="45" w:name="_Toc15377444"/>
      <w:bookmarkStart w:id="46" w:name="_Toc15378460"/>
      <w:bookmarkStart w:id="47" w:name="_Toc27786"/>
      <w:bookmarkStart w:id="48" w:name="_Toc15377213"/>
      <w:r>
        <w:rPr>
          <w:rFonts w:ascii="仿宋_GB2312" w:hAnsi="仿宋" w:eastAsia="仿宋_GB2312"/>
          <w:sz w:val="32"/>
          <w:szCs w:val="32"/>
        </w:rPr>
        <w:t>2023</w:t>
      </w:r>
      <w:r>
        <w:rPr>
          <w:rFonts w:hint="eastAsia" w:ascii="仿宋_GB2312" w:hAnsi="仿宋" w:eastAsia="仿宋_GB2312"/>
          <w:sz w:val="32"/>
          <w:szCs w:val="32"/>
        </w:rPr>
        <w:t>年度一般公共预算支出决算数为</w:t>
      </w:r>
      <w:r>
        <w:rPr>
          <w:rFonts w:ascii="仿宋_GB2312" w:hAnsi="仿宋" w:eastAsia="仿宋_GB2312"/>
          <w:sz w:val="32"/>
          <w:szCs w:val="32"/>
        </w:rPr>
        <w:t>411.94</w:t>
      </w:r>
      <w:r>
        <w:rPr>
          <w:rFonts w:hint="eastAsia" w:ascii="仿宋_GB2312" w:hAnsi="仿宋" w:eastAsia="仿宋_GB2312"/>
          <w:sz w:val="32"/>
          <w:szCs w:val="32"/>
        </w:rPr>
        <w:t>，</w:t>
      </w:r>
      <w:r>
        <w:rPr>
          <w:rStyle w:val="17"/>
          <w:rFonts w:hint="eastAsia" w:ascii="仿宋_GB2312" w:hAnsi="仿宋" w:eastAsia="仿宋_GB2312"/>
          <w:b w:val="0"/>
          <w:bCs/>
          <w:sz w:val="32"/>
          <w:szCs w:val="32"/>
        </w:rPr>
        <w:t>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。其中：</w:t>
      </w:r>
      <w:bookmarkEnd w:id="45"/>
      <w:bookmarkEnd w:id="46"/>
      <w:bookmarkEnd w:id="47"/>
      <w:bookmarkEnd w:id="48"/>
    </w:p>
    <w:p>
      <w:pPr>
        <w:adjustRightInd w:val="0"/>
        <w:snapToGrid w:val="0"/>
        <w:spacing w:line="576" w:lineRule="exact"/>
        <w:ind w:firstLine="640" w:firstLineChars="200"/>
        <w:rPr>
          <w:rFonts w:ascii="仿宋_GB2312" w:hAnsi="仿宋" w:eastAsia="仿宋_GB2312"/>
          <w:sz w:val="32"/>
          <w:szCs w:val="32"/>
        </w:rPr>
      </w:pPr>
      <w:r>
        <w:rPr>
          <w:rStyle w:val="17"/>
          <w:rFonts w:ascii="仿宋_GB2312" w:hAnsi="仿宋" w:eastAsia="仿宋_GB2312"/>
          <w:b w:val="0"/>
          <w:bCs/>
          <w:sz w:val="32"/>
          <w:szCs w:val="32"/>
        </w:rPr>
        <w:t>1.</w:t>
      </w:r>
      <w:r>
        <w:rPr>
          <w:rStyle w:val="17"/>
          <w:rFonts w:hint="eastAsia" w:ascii="仿宋_GB2312" w:hAnsi="仿宋" w:eastAsia="仿宋_GB2312"/>
          <w:b w:val="0"/>
          <w:bCs/>
          <w:sz w:val="32"/>
          <w:szCs w:val="32"/>
        </w:rPr>
        <w:t>教育支出（类）教育管理事务（款）其他教育管理事务支出（项）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288.49</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rPr>
          <w:rFonts w:ascii="仿宋_GB2312" w:hAnsi="仿宋" w:eastAsia="仿宋_GB2312"/>
          <w:sz w:val="32"/>
          <w:szCs w:val="32"/>
        </w:rPr>
      </w:pPr>
      <w:r>
        <w:rPr>
          <w:rStyle w:val="17"/>
          <w:rFonts w:ascii="仿宋_GB2312" w:hAnsi="仿宋" w:eastAsia="仿宋_GB2312"/>
          <w:b w:val="0"/>
          <w:bCs/>
          <w:sz w:val="32"/>
          <w:szCs w:val="32"/>
        </w:rPr>
        <w:t>2.</w:t>
      </w:r>
      <w:r>
        <w:rPr>
          <w:rStyle w:val="17"/>
          <w:rFonts w:hint="eastAsia" w:ascii="仿宋_GB2312" w:hAnsi="仿宋" w:eastAsia="仿宋_GB2312"/>
          <w:b w:val="0"/>
          <w:bCs/>
          <w:sz w:val="32"/>
          <w:szCs w:val="32"/>
        </w:rPr>
        <w:t>教育支出（类）普通教育（款）初中教育（项）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49.05</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rPr>
          <w:rStyle w:val="17"/>
          <w:rFonts w:ascii="仿宋_GB2312" w:hAnsi="仿宋" w:eastAsia="仿宋_GB2312"/>
          <w:b w:val="0"/>
          <w:bCs/>
          <w:sz w:val="32"/>
          <w:szCs w:val="32"/>
        </w:rPr>
      </w:pPr>
      <w:r>
        <w:rPr>
          <w:rStyle w:val="17"/>
          <w:rFonts w:ascii="仿宋_GB2312" w:hAnsi="仿宋" w:eastAsia="仿宋_GB2312"/>
          <w:b w:val="0"/>
          <w:bCs/>
          <w:sz w:val="32"/>
          <w:szCs w:val="32"/>
        </w:rPr>
        <w:t>3.</w:t>
      </w:r>
      <w:r>
        <w:rPr>
          <w:rStyle w:val="17"/>
          <w:rFonts w:hint="eastAsia" w:ascii="仿宋_GB2312" w:hAnsi="仿宋" w:eastAsia="仿宋_GB2312"/>
          <w:b w:val="0"/>
          <w:bCs/>
          <w:sz w:val="32"/>
          <w:szCs w:val="32"/>
        </w:rPr>
        <w:t>社会保障和就业（类）行政事业单位养老支出（款）机关事业单位基本养老保险缴费支出（项）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32.99</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pPr>
      <w:r>
        <w:rPr>
          <w:rStyle w:val="17"/>
          <w:rFonts w:ascii="仿宋_GB2312" w:hAnsi="仿宋" w:eastAsia="仿宋_GB2312"/>
          <w:b w:val="0"/>
          <w:bCs/>
          <w:sz w:val="32"/>
          <w:szCs w:val="32"/>
        </w:rPr>
        <w:t>4.</w:t>
      </w:r>
      <w:r>
        <w:rPr>
          <w:rStyle w:val="17"/>
          <w:rFonts w:hint="eastAsia" w:ascii="仿宋_GB2312" w:hAnsi="仿宋" w:eastAsia="仿宋_GB2312"/>
          <w:b w:val="0"/>
          <w:bCs/>
          <w:sz w:val="32"/>
          <w:szCs w:val="32"/>
        </w:rPr>
        <w:t>社会保障和就业支出（类）</w:t>
      </w:r>
      <w:r>
        <w:rPr>
          <w:rFonts w:hint="eastAsia" w:hAnsi="宋体" w:cs="宋体"/>
          <w:sz w:val="28"/>
          <w:szCs w:val="28"/>
        </w:rPr>
        <w:t>其他社会保障和就业支出</w:t>
      </w:r>
      <w:r>
        <w:rPr>
          <w:rStyle w:val="17"/>
          <w:rFonts w:hint="eastAsia" w:ascii="仿宋_GB2312" w:hAnsi="仿宋" w:eastAsia="仿宋_GB2312"/>
          <w:b w:val="0"/>
          <w:bCs/>
          <w:sz w:val="32"/>
          <w:szCs w:val="32"/>
        </w:rPr>
        <w:t>（款）</w:t>
      </w:r>
      <w:r>
        <w:rPr>
          <w:rFonts w:hint="eastAsia" w:hAnsi="宋体" w:cs="宋体"/>
          <w:sz w:val="28"/>
          <w:szCs w:val="28"/>
        </w:rPr>
        <w:t>其他社会保障和就业支出</w:t>
      </w:r>
      <w:r>
        <w:rPr>
          <w:rStyle w:val="17"/>
          <w:rFonts w:hint="eastAsia" w:ascii="仿宋_GB2312" w:hAnsi="仿宋" w:eastAsia="仿宋_GB2312"/>
          <w:b w:val="0"/>
          <w:bCs/>
          <w:sz w:val="32"/>
          <w:szCs w:val="32"/>
        </w:rPr>
        <w:t>（项）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2.3</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rPr>
          <w:rFonts w:ascii="仿宋_GB2312" w:hAnsi="仿宋" w:eastAsia="仿宋_GB2312"/>
          <w:sz w:val="32"/>
          <w:szCs w:val="32"/>
        </w:rPr>
      </w:pPr>
      <w:r>
        <w:rPr>
          <w:rStyle w:val="17"/>
          <w:rFonts w:ascii="仿宋_GB2312" w:hAnsi="仿宋" w:eastAsia="仿宋_GB2312"/>
          <w:b w:val="0"/>
          <w:bCs/>
          <w:sz w:val="32"/>
          <w:szCs w:val="32"/>
        </w:rPr>
        <w:t>5.</w:t>
      </w:r>
      <w:r>
        <w:rPr>
          <w:rFonts w:hint="eastAsia" w:ascii="仿宋_GB2312" w:hAnsi="仿宋" w:eastAsia="仿宋_GB2312"/>
          <w:bCs/>
          <w:sz w:val="32"/>
          <w:szCs w:val="32"/>
        </w:rPr>
        <w:t>卫生健康支出</w:t>
      </w:r>
      <w:r>
        <w:rPr>
          <w:rStyle w:val="17"/>
          <w:rFonts w:hint="eastAsia" w:ascii="仿宋_GB2312" w:hAnsi="仿宋" w:eastAsia="仿宋_GB2312"/>
          <w:b w:val="0"/>
          <w:bCs/>
          <w:sz w:val="32"/>
          <w:szCs w:val="32"/>
        </w:rPr>
        <w:t>（类）行政事业单位医疗（款）事业单位医疗（项）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14.04</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rPr>
          <w:rFonts w:ascii="仿宋_GB2312" w:hAnsi="仿宋" w:eastAsia="仿宋_GB2312"/>
          <w:sz w:val="32"/>
          <w:szCs w:val="32"/>
        </w:rPr>
      </w:pPr>
      <w:r>
        <w:rPr>
          <w:rStyle w:val="17"/>
          <w:rFonts w:ascii="仿宋_GB2312" w:hAnsi="仿宋" w:eastAsia="仿宋_GB2312"/>
          <w:b w:val="0"/>
          <w:bCs/>
          <w:sz w:val="32"/>
          <w:szCs w:val="32"/>
        </w:rPr>
        <w:t>6.</w:t>
      </w:r>
      <w:r>
        <w:rPr>
          <w:rFonts w:hint="eastAsia" w:ascii="仿宋_GB2312" w:hAnsi="仿宋" w:eastAsia="仿宋_GB2312"/>
          <w:bCs/>
          <w:sz w:val="32"/>
          <w:szCs w:val="32"/>
        </w:rPr>
        <w:t>住房保障支出</w:t>
      </w:r>
      <w:r>
        <w:rPr>
          <w:rStyle w:val="17"/>
          <w:rFonts w:hint="eastAsia" w:ascii="仿宋_GB2312" w:hAnsi="仿宋" w:eastAsia="仿宋_GB2312"/>
          <w:b w:val="0"/>
          <w:bCs/>
          <w:sz w:val="32"/>
          <w:szCs w:val="32"/>
        </w:rPr>
        <w:t>（类）住房改革支出（款）住房公积金（项）</w:t>
      </w:r>
      <w:r>
        <w:rPr>
          <w:rStyle w:val="17"/>
          <w:rFonts w:hint="eastAsia" w:ascii="仿宋_GB2312" w:hAnsi="仿宋" w:eastAsia="仿宋_GB2312"/>
          <w:b w:val="0"/>
          <w:bCs/>
          <w:sz w:val="32"/>
          <w:szCs w:val="32"/>
          <w:lang w:eastAsia="zh-CN"/>
        </w:rPr>
        <w:t>：</w:t>
      </w:r>
      <w:r>
        <w:rPr>
          <w:rStyle w:val="17"/>
          <w:rFonts w:hint="eastAsia" w:ascii="仿宋_GB2312" w:hAnsi="仿宋" w:eastAsia="仿宋_GB2312"/>
          <w:b w:val="0"/>
          <w:bCs/>
          <w:sz w:val="32"/>
          <w:szCs w:val="32"/>
        </w:rPr>
        <w:t>支出决算为</w:t>
      </w:r>
      <w:r>
        <w:rPr>
          <w:rStyle w:val="17"/>
          <w:rFonts w:ascii="仿宋_GB2312" w:hAnsi="仿宋" w:eastAsia="仿宋_GB2312"/>
          <w:b w:val="0"/>
          <w:bCs/>
          <w:sz w:val="32"/>
          <w:szCs w:val="32"/>
        </w:rPr>
        <w:t>25.07</w:t>
      </w:r>
      <w:r>
        <w:rPr>
          <w:rStyle w:val="17"/>
          <w:rFonts w:hint="eastAsia" w:ascii="仿宋_GB2312" w:hAnsi="仿宋" w:eastAsia="仿宋_GB2312"/>
          <w:b w:val="0"/>
          <w:bCs/>
          <w:sz w:val="32"/>
          <w:szCs w:val="32"/>
        </w:rPr>
        <w:t>万元，完成预算</w:t>
      </w:r>
      <w:r>
        <w:rPr>
          <w:rStyle w:val="17"/>
          <w:rFonts w:ascii="仿宋_GB2312" w:hAnsi="仿宋" w:eastAsia="仿宋_GB2312"/>
          <w:b w:val="0"/>
          <w:bCs/>
          <w:sz w:val="32"/>
          <w:szCs w:val="32"/>
        </w:rPr>
        <w:t>100%%</w:t>
      </w:r>
      <w:r>
        <w:rPr>
          <w:rStyle w:val="17"/>
          <w:rFonts w:hint="eastAsia" w:ascii="仿宋_GB2312" w:hAnsi="仿宋" w:eastAsia="仿宋_GB2312"/>
          <w:b w:val="0"/>
          <w:bCs/>
          <w:sz w:val="32"/>
          <w:szCs w:val="32"/>
        </w:rPr>
        <w:t>，与预算数持平。</w:t>
      </w:r>
    </w:p>
    <w:p>
      <w:pPr>
        <w:adjustRightInd w:val="0"/>
        <w:snapToGrid w:val="0"/>
        <w:spacing w:line="576" w:lineRule="exact"/>
        <w:ind w:firstLine="640" w:firstLineChars="200"/>
        <w:rPr>
          <w:rFonts w:ascii="仿宋_GB2312" w:hAnsi="仿宋" w:eastAsia="仿宋_GB2312"/>
          <w:sz w:val="32"/>
          <w:szCs w:val="32"/>
        </w:rPr>
      </w:pPr>
    </w:p>
    <w:p>
      <w:pPr>
        <w:tabs>
          <w:tab w:val="right" w:pos="8306"/>
        </w:tabs>
        <w:adjustRightInd w:val="0"/>
        <w:snapToGrid w:val="0"/>
        <w:spacing w:line="576" w:lineRule="exact"/>
        <w:ind w:firstLine="640" w:firstLineChars="200"/>
        <w:outlineLvl w:val="1"/>
        <w:rPr>
          <w:rStyle w:val="21"/>
          <w:rFonts w:ascii="黑体" w:eastAsia="黑体"/>
          <w:b w:val="0"/>
        </w:rPr>
      </w:pPr>
      <w:bookmarkStart w:id="49" w:name="_Toc15396608"/>
      <w:bookmarkStart w:id="50" w:name="_Toc13415"/>
      <w:bookmarkStart w:id="51" w:name="_Toc15377214"/>
      <w:r>
        <w:rPr>
          <w:rFonts w:hint="eastAsia" w:ascii="黑体" w:eastAsia="黑体"/>
          <w:sz w:val="32"/>
          <w:szCs w:val="32"/>
        </w:rPr>
        <w:t>六、</w:t>
      </w:r>
      <w:r>
        <w:rPr>
          <w:rFonts w:hint="eastAsia" w:ascii="黑体" w:hAnsi="黑体" w:eastAsia="黑体"/>
          <w:sz w:val="32"/>
          <w:szCs w:val="32"/>
        </w:rPr>
        <w:t>一</w:t>
      </w:r>
      <w:r>
        <w:rPr>
          <w:rStyle w:val="21"/>
          <w:rFonts w:hint="eastAsia" w:ascii="黑体" w:hAnsi="黑体" w:eastAsia="黑体"/>
          <w:b w:val="0"/>
        </w:rPr>
        <w:t>般公共预算财政拨款基本支出决算情况说明</w:t>
      </w:r>
      <w:bookmarkEnd w:id="49"/>
      <w:bookmarkEnd w:id="50"/>
      <w:bookmarkEnd w:id="51"/>
    </w:p>
    <w:p>
      <w:pPr>
        <w:adjustRightInd w:val="0"/>
        <w:snapToGrid w:val="0"/>
        <w:spacing w:line="576" w:lineRule="exact"/>
        <w:ind w:firstLine="640" w:firstLineChars="200"/>
        <w:rPr>
          <w:rFonts w:ascii="仿宋_GB2312" w:hAnsi="仿宋" w:eastAsia="仿宋_GB2312"/>
          <w:sz w:val="32"/>
          <w:szCs w:val="32"/>
        </w:rPr>
      </w:pPr>
      <w:r>
        <w:rPr>
          <w:rFonts w:ascii="仿宋_GB2312" w:hAnsi="仿宋" w:eastAsia="仿宋_GB2312"/>
          <w:sz w:val="32"/>
          <w:szCs w:val="32"/>
        </w:rPr>
        <w:t>2023</w:t>
      </w:r>
      <w:r>
        <w:rPr>
          <w:rFonts w:hint="eastAsia" w:ascii="仿宋_GB2312" w:hAnsi="仿宋" w:eastAsia="仿宋_GB2312"/>
          <w:sz w:val="32"/>
          <w:szCs w:val="32"/>
        </w:rPr>
        <w:t>年度一般公共预算财政拨款基本支出</w:t>
      </w:r>
      <w:r>
        <w:rPr>
          <w:rFonts w:ascii="仿宋_GB2312" w:hAnsi="仿宋" w:eastAsia="仿宋_GB2312"/>
          <w:sz w:val="32"/>
          <w:szCs w:val="32"/>
        </w:rPr>
        <w:t>323.47</w:t>
      </w:r>
      <w:r>
        <w:rPr>
          <w:rFonts w:hint="eastAsia" w:ascii="仿宋_GB2312" w:hAnsi="仿宋" w:eastAsia="仿宋_GB2312"/>
          <w:sz w:val="32"/>
          <w:szCs w:val="32"/>
        </w:rPr>
        <w:t>万元，其中：</w:t>
      </w:r>
    </w:p>
    <w:p>
      <w:pPr>
        <w:adjustRightInd w:val="0"/>
        <w:snapToGrid w:val="0"/>
        <w:spacing w:line="576" w:lineRule="exact"/>
        <w:ind w:firstLine="640" w:firstLineChars="200"/>
        <w:rPr>
          <w:rFonts w:ascii="仿宋_GB2312" w:hAnsi="仿宋" w:eastAsia="仿宋_GB2312"/>
          <w:sz w:val="32"/>
          <w:szCs w:val="32"/>
        </w:rPr>
      </w:pPr>
      <w:r>
        <w:rPr>
          <w:rFonts w:hint="eastAsia" w:ascii="仿宋_GB2312" w:hAnsi="仿宋" w:eastAsia="仿宋_GB2312"/>
          <w:sz w:val="32"/>
          <w:szCs w:val="32"/>
        </w:rPr>
        <w:t>人员经费</w:t>
      </w:r>
      <w:r>
        <w:rPr>
          <w:rFonts w:ascii="仿宋_GB2312" w:hAnsi="仿宋" w:eastAsia="仿宋_GB2312"/>
          <w:sz w:val="32"/>
          <w:szCs w:val="32"/>
        </w:rPr>
        <w:t>306.03</w:t>
      </w:r>
      <w:r>
        <w:rPr>
          <w:rFonts w:hint="eastAsia" w:ascii="仿宋_GB2312" w:hAnsi="仿宋" w:eastAsia="仿宋_GB2312"/>
          <w:sz w:val="32"/>
          <w:szCs w:val="32"/>
        </w:rPr>
        <w:t>万元，主要包括：基本工资、津贴补贴、奖金、绩效工资、机关事业单位基本养老保险缴费、职工基本医疗保险缴费、其他社会保障缴费、住房公积金、生活补助、奖励金。</w:t>
      </w:r>
    </w:p>
    <w:p>
      <w:pPr>
        <w:adjustRightInd w:val="0"/>
        <w:snapToGrid w:val="0"/>
        <w:spacing w:line="576" w:lineRule="exact"/>
        <w:ind w:firstLine="640" w:firstLineChars="200"/>
        <w:rPr>
          <w:rFonts w:ascii="仿宋_GB2312" w:hAnsi="仿宋" w:eastAsia="仿宋_GB2312"/>
          <w:sz w:val="32"/>
          <w:szCs w:val="32"/>
        </w:rPr>
      </w:pPr>
      <w:r>
        <w:rPr>
          <w:rFonts w:hint="eastAsia" w:ascii="仿宋_GB2312" w:hAnsi="仿宋" w:eastAsia="仿宋_GB2312"/>
          <w:sz w:val="32"/>
          <w:szCs w:val="32"/>
        </w:rPr>
        <w:t>公用经费</w:t>
      </w:r>
      <w:r>
        <w:rPr>
          <w:rFonts w:ascii="仿宋_GB2312" w:hAnsi="仿宋" w:eastAsia="仿宋_GB2312"/>
          <w:sz w:val="32"/>
          <w:szCs w:val="32"/>
        </w:rPr>
        <w:t>17.44</w:t>
      </w:r>
      <w:r>
        <w:rPr>
          <w:rFonts w:hint="eastAsia" w:ascii="仿宋_GB2312" w:hAnsi="仿宋" w:eastAsia="仿宋_GB2312"/>
          <w:sz w:val="32"/>
          <w:szCs w:val="32"/>
        </w:rPr>
        <w:t>万元，主要包括：办公费、印刷费、咨询费、水费、邮电费、差旅费、会议费、培训费、劳务费、工会经费、福利费、其他交通费</w:t>
      </w:r>
      <w:r>
        <w:rPr>
          <w:rFonts w:hint="eastAsia" w:ascii="仿宋_GB2312" w:hAnsi="仿宋" w:eastAsia="仿宋_GB2312"/>
          <w:sz w:val="32"/>
          <w:szCs w:val="32"/>
          <w:lang w:val="en-US" w:eastAsia="zh-CN"/>
        </w:rPr>
        <w:t>用</w:t>
      </w:r>
      <w:r>
        <w:rPr>
          <w:rFonts w:hint="eastAsia" w:ascii="仿宋_GB2312" w:hAnsi="仿宋" w:eastAsia="仿宋_GB2312"/>
          <w:sz w:val="32"/>
          <w:szCs w:val="32"/>
        </w:rPr>
        <w:t>、其他商品和服务支出。</w:t>
      </w:r>
    </w:p>
    <w:p>
      <w:pPr>
        <w:adjustRightInd w:val="0"/>
        <w:snapToGrid w:val="0"/>
        <w:spacing w:line="576" w:lineRule="exact"/>
        <w:ind w:firstLine="640" w:firstLineChars="200"/>
        <w:rPr>
          <w:rFonts w:ascii="仿宋_GB2312" w:hAnsi="仿宋" w:eastAsia="仿宋_GB2312"/>
          <w:sz w:val="32"/>
          <w:szCs w:val="32"/>
        </w:rPr>
      </w:pPr>
    </w:p>
    <w:p>
      <w:pPr>
        <w:adjustRightInd w:val="0"/>
        <w:snapToGrid w:val="0"/>
        <w:spacing w:line="576" w:lineRule="exact"/>
        <w:ind w:firstLine="640" w:firstLineChars="200"/>
        <w:outlineLvl w:val="1"/>
        <w:rPr>
          <w:rStyle w:val="21"/>
          <w:rFonts w:ascii="黑体" w:hAnsi="黑体" w:eastAsia="黑体"/>
          <w:b w:val="0"/>
        </w:rPr>
      </w:pPr>
      <w:bookmarkStart w:id="52" w:name="_Toc15377215"/>
      <w:bookmarkStart w:id="53" w:name="_Toc6377"/>
      <w:bookmarkStart w:id="54" w:name="_Toc15396609"/>
      <w:r>
        <w:rPr>
          <w:rFonts w:hint="eastAsia" w:ascii="黑体" w:eastAsia="黑体"/>
          <w:sz w:val="32"/>
          <w:szCs w:val="32"/>
        </w:rPr>
        <w:t>七、</w:t>
      </w:r>
      <w:r>
        <w:rPr>
          <w:rStyle w:val="21"/>
          <w:rFonts w:hint="eastAsia" w:ascii="黑体" w:hAnsi="黑体" w:eastAsia="黑体"/>
          <w:b w:val="0"/>
        </w:rPr>
        <w:t>财政拨款“三公”经费支出决算情况说明</w:t>
      </w:r>
      <w:bookmarkEnd w:id="52"/>
      <w:bookmarkEnd w:id="53"/>
      <w:bookmarkEnd w:id="54"/>
    </w:p>
    <w:p>
      <w:pPr>
        <w:adjustRightInd w:val="0"/>
        <w:snapToGrid w:val="0"/>
        <w:spacing w:line="576" w:lineRule="exact"/>
        <w:ind w:firstLine="640" w:firstLineChars="200"/>
        <w:outlineLvl w:val="2"/>
        <w:rPr>
          <w:rFonts w:ascii="楷体_GB2312" w:hAnsi="仿宋" w:eastAsia="楷体_GB2312"/>
          <w:sz w:val="32"/>
          <w:szCs w:val="32"/>
        </w:rPr>
      </w:pPr>
      <w:bookmarkStart w:id="55" w:name="_Toc15377216"/>
      <w:r>
        <w:rPr>
          <w:rFonts w:hint="eastAsia" w:ascii="楷体_GB2312" w:hAnsi="仿宋" w:eastAsia="楷体_GB2312"/>
          <w:sz w:val="32"/>
          <w:szCs w:val="32"/>
        </w:rPr>
        <w:t>（一）“三公”经费财政拨款支出决算总体情况说明</w:t>
      </w:r>
      <w:bookmarkEnd w:id="55"/>
    </w:p>
    <w:p>
      <w:pPr>
        <w:adjustRightInd w:val="0"/>
        <w:snapToGrid w:val="0"/>
        <w:spacing w:line="576" w:lineRule="exact"/>
        <w:ind w:firstLine="640" w:firstLineChars="200"/>
        <w:rPr>
          <w:rFonts w:hint="eastAsia" w:ascii="仿宋_GB2312" w:hAnsi="仿宋" w:eastAsia="仿宋_GB2312"/>
          <w:sz w:val="32"/>
          <w:szCs w:val="32"/>
          <w:lang w:eastAsia="zh-CN"/>
        </w:rPr>
      </w:pPr>
      <w:r>
        <w:rPr>
          <w:rFonts w:ascii="仿宋_GB2312" w:hAnsi="仿宋" w:eastAsia="仿宋_GB2312"/>
          <w:sz w:val="32"/>
          <w:szCs w:val="32"/>
        </w:rPr>
        <w:t>2023</w:t>
      </w:r>
      <w:r>
        <w:rPr>
          <w:rFonts w:hint="eastAsia" w:ascii="仿宋_GB2312" w:hAnsi="仿宋" w:eastAsia="仿宋_GB2312"/>
          <w:sz w:val="32"/>
          <w:szCs w:val="32"/>
        </w:rPr>
        <w:t>年度“三公”经费财政拨款支出决算为</w:t>
      </w:r>
      <w:r>
        <w:rPr>
          <w:rFonts w:ascii="仿宋_GB2312" w:hAnsi="仿宋" w:eastAsia="仿宋_GB2312"/>
          <w:sz w:val="32"/>
          <w:szCs w:val="32"/>
        </w:rPr>
        <w:t>0</w:t>
      </w:r>
      <w:r>
        <w:rPr>
          <w:rFonts w:hint="eastAsia" w:ascii="仿宋_GB2312" w:hAnsi="仿宋" w:eastAsia="仿宋_GB2312"/>
          <w:sz w:val="32"/>
          <w:szCs w:val="32"/>
        </w:rPr>
        <w:t>万元，完成预算</w:t>
      </w:r>
      <w:r>
        <w:rPr>
          <w:rFonts w:ascii="仿宋_GB2312" w:hAnsi="仿宋" w:eastAsia="仿宋_GB2312"/>
          <w:sz w:val="32"/>
          <w:szCs w:val="32"/>
        </w:rPr>
        <w:t>0%</w:t>
      </w:r>
      <w:r>
        <w:rPr>
          <w:rFonts w:hint="eastAsia" w:ascii="仿宋_GB2312" w:hAnsi="仿宋" w:eastAsia="仿宋_GB2312"/>
          <w:sz w:val="32"/>
          <w:szCs w:val="32"/>
        </w:rPr>
        <w:t>，较上年度减少</w:t>
      </w:r>
      <w:r>
        <w:rPr>
          <w:rFonts w:ascii="仿宋_GB2312" w:hAnsi="仿宋" w:eastAsia="仿宋_GB2312"/>
          <w:sz w:val="32"/>
          <w:szCs w:val="32"/>
        </w:rPr>
        <w:t>0.1</w:t>
      </w:r>
      <w:r>
        <w:rPr>
          <w:rFonts w:hint="eastAsia" w:ascii="仿宋_GB2312" w:hAnsi="仿宋" w:eastAsia="仿宋_GB2312"/>
          <w:sz w:val="32"/>
          <w:szCs w:val="32"/>
        </w:rPr>
        <w:t>万元，下降</w:t>
      </w:r>
      <w:r>
        <w:rPr>
          <w:rFonts w:ascii="仿宋_GB2312" w:hAnsi="仿宋" w:eastAsia="仿宋_GB2312"/>
          <w:sz w:val="32"/>
          <w:szCs w:val="32"/>
        </w:rPr>
        <w:t>100%</w:t>
      </w:r>
      <w:r>
        <w:rPr>
          <w:rFonts w:hint="eastAsia" w:ascii="仿宋_GB2312" w:hAnsi="仿宋" w:eastAsia="仿宋_GB2312"/>
          <w:sz w:val="32"/>
          <w:szCs w:val="32"/>
        </w:rPr>
        <w:t>，</w:t>
      </w:r>
      <w:r>
        <w:rPr>
          <w:rFonts w:hint="eastAsia" w:ascii="仿宋_GB2312" w:hAnsi="仿宋" w:eastAsia="仿宋_GB2312"/>
          <w:sz w:val="32"/>
          <w:szCs w:val="32"/>
          <w:lang w:eastAsia="zh-CN"/>
        </w:rPr>
        <w:t>本年度未安排“三公”经费预算。</w:t>
      </w:r>
    </w:p>
    <w:p>
      <w:pPr>
        <w:adjustRightInd w:val="0"/>
        <w:snapToGrid w:val="0"/>
        <w:spacing w:line="576" w:lineRule="exact"/>
        <w:ind w:firstLine="640" w:firstLineChars="200"/>
        <w:outlineLvl w:val="2"/>
        <w:rPr>
          <w:rFonts w:ascii="楷体_GB2312" w:hAnsi="仿宋" w:eastAsia="楷体_GB2312"/>
          <w:sz w:val="32"/>
          <w:szCs w:val="32"/>
        </w:rPr>
      </w:pPr>
      <w:bookmarkStart w:id="56" w:name="_Toc15377217"/>
      <w:r>
        <w:rPr>
          <w:rFonts w:hint="eastAsia" w:ascii="楷体_GB2312" w:hAnsi="仿宋" w:eastAsia="楷体_GB2312"/>
          <w:sz w:val="32"/>
          <w:szCs w:val="32"/>
        </w:rPr>
        <w:t>（二）“三公”经费财政拨款支出决算具体情况说明</w:t>
      </w:r>
      <w:bookmarkEnd w:id="56"/>
    </w:p>
    <w:p>
      <w:pPr>
        <w:adjustRightInd w:val="0"/>
        <w:snapToGrid w:val="0"/>
        <w:spacing w:line="576" w:lineRule="exact"/>
        <w:ind w:firstLine="640" w:firstLineChars="200"/>
        <w:rPr>
          <w:rFonts w:hAnsi="仿宋" w:eastAsia="仿宋_GB2312"/>
          <w:sz w:val="32"/>
        </w:rPr>
      </w:pPr>
      <w:r>
        <w:rPr>
          <w:rFonts w:ascii="仿宋_GB2312" w:hAnsi="仿宋" w:eastAsia="仿宋_GB2312"/>
          <w:sz w:val="32"/>
          <w:szCs w:val="32"/>
        </w:rPr>
        <w:t>2023</w:t>
      </w:r>
      <w:r>
        <w:rPr>
          <w:rFonts w:hint="eastAsia" w:ascii="仿宋_GB2312" w:hAnsi="仿宋" w:eastAsia="仿宋_GB2312"/>
          <w:sz w:val="32"/>
          <w:szCs w:val="32"/>
        </w:rPr>
        <w:t>年度“三公”经费财政拨款支出决算中，因公出国（境）费支出决算</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w:t>
      </w:r>
      <w:r>
        <w:rPr>
          <w:rFonts w:hint="eastAsia" w:ascii="仿宋_GB2312" w:hAnsi="仿宋" w:eastAsia="仿宋_GB2312"/>
          <w:sz w:val="32"/>
          <w:szCs w:val="32"/>
        </w:rPr>
        <w:t>；公务用车购置及运行维护费支出决算</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w:t>
      </w:r>
      <w:r>
        <w:rPr>
          <w:rFonts w:hint="eastAsia" w:ascii="仿宋_GB2312" w:hAnsi="仿宋" w:eastAsia="仿宋_GB2312"/>
          <w:sz w:val="32"/>
          <w:szCs w:val="32"/>
        </w:rPr>
        <w:t>；公务接待费支出决算</w:t>
      </w:r>
      <w:r>
        <w:rPr>
          <w:rFonts w:ascii="仿宋_GB2312" w:hAnsi="仿宋" w:eastAsia="仿宋_GB2312"/>
          <w:sz w:val="32"/>
          <w:szCs w:val="32"/>
        </w:rPr>
        <w:t>0</w:t>
      </w:r>
      <w:r>
        <w:rPr>
          <w:rFonts w:hint="eastAsia" w:ascii="仿宋_GB2312" w:hAnsi="仿宋" w:eastAsia="仿宋_GB2312"/>
          <w:sz w:val="32"/>
          <w:szCs w:val="32"/>
        </w:rPr>
        <w:t>万元，占</w:t>
      </w:r>
      <w:r>
        <w:rPr>
          <w:rFonts w:ascii="仿宋_GB2312" w:hAnsi="仿宋" w:eastAsia="仿宋_GB2312"/>
          <w:sz w:val="32"/>
          <w:szCs w:val="32"/>
        </w:rPr>
        <w:t>0%</w:t>
      </w:r>
      <w:r>
        <w:rPr>
          <w:rFonts w:hint="eastAsia" w:ascii="仿宋_GB2312" w:hAnsi="仿宋" w:eastAsia="仿宋_GB2312"/>
          <w:sz w:val="32"/>
          <w:szCs w:val="32"/>
        </w:rPr>
        <w:t>。具体情况如下：</w:t>
      </w:r>
    </w:p>
    <w:p>
      <w:pPr>
        <w:adjustRightInd w:val="0"/>
        <w:snapToGrid w:val="0"/>
        <w:spacing w:line="576" w:lineRule="exact"/>
        <w:ind w:firstLine="640" w:firstLineChars="200"/>
        <w:rPr>
          <w:rFonts w:ascii="仿宋_GB2312" w:eastAsia="仿宋_GB2312"/>
          <w:sz w:val="32"/>
          <w:szCs w:val="32"/>
        </w:rPr>
      </w:pPr>
      <w:bookmarkStart w:id="57" w:name="_Toc15377218"/>
      <w:bookmarkStart w:id="58" w:name="_Toc15396610"/>
      <w:r>
        <w:rPr>
          <w:rFonts w:ascii="仿宋_GB2312" w:eastAsia="仿宋_GB2312"/>
          <w:sz w:val="32"/>
          <w:szCs w:val="32"/>
        </w:rPr>
        <w:t>1.</w:t>
      </w:r>
      <w:r>
        <w:rPr>
          <w:rFonts w:hint="eastAsia" w:ascii="仿宋_GB2312" w:eastAsia="仿宋_GB2312"/>
          <w:sz w:val="32"/>
          <w:szCs w:val="32"/>
        </w:rPr>
        <w:t>因公出国（境）经费支出</w:t>
      </w:r>
      <w:r>
        <w:rPr>
          <w:rFonts w:ascii="仿宋_GB2312" w:hAnsi="仿宋" w:eastAsia="仿宋_GB2312"/>
          <w:sz w:val="32"/>
          <w:szCs w:val="32"/>
        </w:rPr>
        <w:t>0</w:t>
      </w:r>
      <w:r>
        <w:rPr>
          <w:rFonts w:hint="eastAsia" w:ascii="仿宋_GB2312" w:eastAsia="仿宋_GB2312"/>
          <w:sz w:val="32"/>
          <w:szCs w:val="32"/>
        </w:rPr>
        <w:t>万元，年初未安排</w:t>
      </w:r>
      <w:r>
        <w:rPr>
          <w:rStyle w:val="17"/>
          <w:rFonts w:hint="eastAsia" w:ascii="仿宋_GB2312" w:hAnsi="仿宋" w:eastAsia="仿宋_GB2312"/>
          <w:b w:val="0"/>
          <w:bCs/>
          <w:sz w:val="32"/>
          <w:szCs w:val="32"/>
        </w:rPr>
        <w:t>预算。</w:t>
      </w:r>
      <w:r>
        <w:rPr>
          <w:rFonts w:hint="eastAsia" w:ascii="仿宋_GB2312" w:eastAsia="仿宋_GB2312"/>
          <w:sz w:val="32"/>
          <w:szCs w:val="32"/>
        </w:rPr>
        <w:t>全年因公出国（境）团组</w:t>
      </w:r>
      <w:r>
        <w:rPr>
          <w:rFonts w:ascii="仿宋_GB2312" w:eastAsia="仿宋_GB2312"/>
          <w:sz w:val="32"/>
          <w:szCs w:val="32"/>
        </w:rPr>
        <w:t>0</w:t>
      </w:r>
      <w:r>
        <w:rPr>
          <w:rFonts w:hint="eastAsia" w:ascii="仿宋_GB2312" w:eastAsia="仿宋_GB2312"/>
          <w:sz w:val="32"/>
          <w:szCs w:val="32"/>
        </w:rPr>
        <w:t>次，出国（境）</w:t>
      </w:r>
      <w:r>
        <w:rPr>
          <w:rFonts w:ascii="仿宋_GB2312" w:eastAsia="仿宋_GB2312"/>
          <w:sz w:val="32"/>
          <w:szCs w:val="32"/>
        </w:rPr>
        <w:t>0</w:t>
      </w:r>
      <w:r>
        <w:rPr>
          <w:rFonts w:hint="eastAsia" w:ascii="仿宋_GB2312" w:eastAsia="仿宋_GB2312"/>
          <w:sz w:val="32"/>
          <w:szCs w:val="32"/>
        </w:rPr>
        <w:t>人。</w:t>
      </w:r>
      <w:r>
        <w:rPr>
          <w:rFonts w:hint="eastAsia" w:ascii="仿宋_GB2312" w:hAnsi="Helvetica" w:eastAsia="仿宋_GB2312" w:cs="仿宋_GB2312"/>
          <w:color w:val="000000"/>
          <w:kern w:val="0"/>
          <w:sz w:val="32"/>
          <w:szCs w:val="32"/>
          <w:shd w:val="clear" w:color="auto" w:fill="FFFFFF"/>
        </w:rPr>
        <w:t>因公出国（境）支出决算较</w:t>
      </w:r>
      <w:r>
        <w:rPr>
          <w:rFonts w:ascii="仿宋_GB2312" w:hAnsi="Helvetica" w:eastAsia="仿宋_GB2312" w:cs="仿宋_GB2312"/>
          <w:color w:val="000000"/>
          <w:kern w:val="0"/>
          <w:sz w:val="32"/>
          <w:szCs w:val="32"/>
          <w:shd w:val="clear" w:color="auto" w:fill="FFFFFF"/>
        </w:rPr>
        <w:t>2022</w:t>
      </w:r>
      <w:r>
        <w:rPr>
          <w:rFonts w:hint="eastAsia" w:ascii="仿宋_GB2312" w:hAnsi="Helvetica" w:eastAsia="仿宋_GB2312" w:cs="仿宋_GB2312"/>
          <w:color w:val="000000"/>
          <w:kern w:val="0"/>
          <w:sz w:val="32"/>
          <w:szCs w:val="32"/>
          <w:shd w:val="clear" w:color="auto" w:fill="FFFFFF"/>
        </w:rPr>
        <w:t>年无变化</w:t>
      </w:r>
    </w:p>
    <w:p>
      <w:pPr>
        <w:adjustRightInd w:val="0"/>
        <w:snapToGrid w:val="0"/>
        <w:spacing w:line="576" w:lineRule="exact"/>
        <w:ind w:firstLine="640" w:firstLineChars="200"/>
        <w:rPr>
          <w:rFonts w:ascii="仿宋_GB2312" w:eastAsia="仿宋_GB2312"/>
          <w:sz w:val="32"/>
          <w:szCs w:val="32"/>
        </w:rPr>
      </w:pPr>
      <w:r>
        <w:rPr>
          <w:rFonts w:ascii="仿宋_GB2312" w:eastAsia="仿宋_GB2312"/>
          <w:sz w:val="32"/>
          <w:szCs w:val="32"/>
        </w:rPr>
        <w:t>2.</w:t>
      </w:r>
      <w:r>
        <w:rPr>
          <w:rFonts w:hint="eastAsia" w:ascii="仿宋_GB2312" w:eastAsia="仿宋_GB2312"/>
          <w:sz w:val="32"/>
          <w:szCs w:val="32"/>
        </w:rPr>
        <w:t>公务用车购置及运行维护费支出</w:t>
      </w:r>
      <w:r>
        <w:rPr>
          <w:rFonts w:ascii="仿宋_GB2312" w:hAnsi="仿宋" w:eastAsia="仿宋_GB2312"/>
          <w:sz w:val="32"/>
          <w:szCs w:val="32"/>
        </w:rPr>
        <w:t>0</w:t>
      </w:r>
      <w:r>
        <w:rPr>
          <w:rFonts w:hint="eastAsia" w:ascii="仿宋_GB2312" w:eastAsia="仿宋_GB2312"/>
          <w:sz w:val="32"/>
          <w:szCs w:val="32"/>
        </w:rPr>
        <w:t>万元</w:t>
      </w:r>
      <w:r>
        <w:rPr>
          <w:rFonts w:hint="eastAsia" w:ascii="仿宋_GB2312" w:eastAsia="仿宋_GB2312"/>
          <w:sz w:val="32"/>
          <w:szCs w:val="32"/>
          <w:lang w:eastAsia="zh-CN"/>
        </w:rPr>
        <w:t>，</w:t>
      </w:r>
      <w:r>
        <w:rPr>
          <w:rFonts w:hint="eastAsia" w:ascii="仿宋_GB2312" w:eastAsia="仿宋_GB2312"/>
          <w:sz w:val="32"/>
          <w:szCs w:val="32"/>
        </w:rPr>
        <w:t>年初未安排</w:t>
      </w:r>
      <w:r>
        <w:rPr>
          <w:rStyle w:val="17"/>
          <w:rFonts w:hint="eastAsia" w:ascii="仿宋_GB2312" w:hAnsi="仿宋" w:eastAsia="仿宋_GB2312"/>
          <w:b w:val="0"/>
          <w:bCs/>
          <w:sz w:val="32"/>
          <w:szCs w:val="32"/>
        </w:rPr>
        <w:t>预算。</w:t>
      </w:r>
      <w:r>
        <w:rPr>
          <w:rFonts w:hint="eastAsia" w:ascii="仿宋_GB2312" w:eastAsia="仿宋_GB2312"/>
          <w:sz w:val="32"/>
          <w:szCs w:val="32"/>
        </w:rPr>
        <w:t>公务用车购置及运行维护费支出</w:t>
      </w:r>
      <w:r>
        <w:rPr>
          <w:rFonts w:ascii="仿宋_GB2312" w:eastAsia="仿宋_GB2312"/>
          <w:sz w:val="32"/>
          <w:szCs w:val="32"/>
        </w:rPr>
        <w:t>0</w:t>
      </w:r>
      <w:r>
        <w:rPr>
          <w:rFonts w:hint="eastAsia" w:ascii="仿宋_GB2312" w:eastAsia="仿宋_GB2312"/>
          <w:sz w:val="32"/>
          <w:szCs w:val="32"/>
        </w:rPr>
        <w:t>元。</w:t>
      </w:r>
      <w:r>
        <w:rPr>
          <w:rFonts w:hint="eastAsia" w:ascii="仿宋_GB2312" w:hAnsi="Helvetica" w:eastAsia="仿宋_GB2312" w:cs="仿宋_GB2312"/>
          <w:color w:val="000000"/>
          <w:kern w:val="0"/>
          <w:sz w:val="32"/>
          <w:szCs w:val="32"/>
          <w:shd w:val="clear" w:color="auto" w:fill="FFFFFF"/>
        </w:rPr>
        <w:t>公务用车购置支出决算</w:t>
      </w:r>
      <w:r>
        <w:rPr>
          <w:rFonts w:hint="eastAsia" w:ascii="仿宋_GB2312" w:hAnsi="宋体" w:eastAsia="仿宋_GB2312" w:cs="宋体"/>
          <w:color w:val="000000"/>
          <w:kern w:val="0"/>
          <w:sz w:val="32"/>
          <w:szCs w:val="32"/>
          <w:shd w:val="clear" w:color="auto" w:fill="FFFFFF"/>
        </w:rPr>
        <w:t>较</w:t>
      </w:r>
      <w:r>
        <w:rPr>
          <w:rFonts w:ascii="仿宋_GB2312" w:hAnsi="Helvetica" w:eastAsia="仿宋_GB2312" w:cs="仿宋_GB2312"/>
          <w:color w:val="000000"/>
          <w:kern w:val="0"/>
          <w:sz w:val="32"/>
          <w:szCs w:val="32"/>
          <w:shd w:val="clear" w:color="auto" w:fill="FFFFFF"/>
        </w:rPr>
        <w:t>2022</w:t>
      </w:r>
      <w:r>
        <w:rPr>
          <w:rFonts w:hint="eastAsia" w:ascii="仿宋_GB2312" w:hAnsi="Helvetica" w:eastAsia="仿宋_GB2312" w:cs="仿宋_GB2312"/>
          <w:color w:val="000000"/>
          <w:kern w:val="0"/>
          <w:sz w:val="32"/>
          <w:szCs w:val="32"/>
          <w:shd w:val="clear" w:color="auto" w:fill="FFFFFF"/>
        </w:rPr>
        <w:t>年无变化。本单位无公务用车保有量，与上年数相比无变化。</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其中：公务用车购置支出</w:t>
      </w:r>
      <w:r>
        <w:rPr>
          <w:rFonts w:ascii="仿宋_GB2312" w:hAnsi="仿宋" w:eastAsia="仿宋_GB2312"/>
          <w:sz w:val="32"/>
          <w:szCs w:val="32"/>
        </w:rPr>
        <w:t>0</w:t>
      </w:r>
      <w:r>
        <w:rPr>
          <w:rFonts w:hint="eastAsia" w:ascii="仿宋_GB2312" w:eastAsia="仿宋_GB2312"/>
          <w:sz w:val="32"/>
          <w:szCs w:val="32"/>
        </w:rPr>
        <w:t>万元。全年按规定更新购置公务用车</w:t>
      </w:r>
      <w:r>
        <w:rPr>
          <w:rFonts w:ascii="仿宋_GB2312" w:eastAsia="仿宋_GB2312"/>
          <w:sz w:val="32"/>
          <w:szCs w:val="32"/>
        </w:rPr>
        <w:t>0</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截至</w:t>
      </w:r>
      <w:r>
        <w:rPr>
          <w:rFonts w:ascii="仿宋_GB2312" w:eastAsia="仿宋_GB2312"/>
          <w:sz w:val="32"/>
          <w:szCs w:val="32"/>
        </w:rPr>
        <w:t>2023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日，单位共有公务用车</w:t>
      </w:r>
      <w:r>
        <w:rPr>
          <w:rFonts w:ascii="仿宋_GB2312" w:eastAsia="仿宋_GB2312"/>
          <w:sz w:val="32"/>
          <w:szCs w:val="32"/>
        </w:rPr>
        <w:t>0</w:t>
      </w:r>
      <w:r>
        <w:rPr>
          <w:rFonts w:hint="eastAsia" w:ascii="仿宋_GB2312" w:eastAsia="仿宋_GB2312"/>
          <w:sz w:val="32"/>
          <w:szCs w:val="32"/>
        </w:rPr>
        <w:t>辆。</w:t>
      </w:r>
    </w:p>
    <w:p>
      <w:pPr>
        <w:adjustRightInd w:val="0"/>
        <w:snapToGrid w:val="0"/>
        <w:spacing w:line="576" w:lineRule="exact"/>
        <w:ind w:firstLine="640" w:firstLineChars="200"/>
        <w:rPr>
          <w:rFonts w:hint="eastAsia" w:ascii="仿宋_GB2312" w:eastAsia="仿宋_GB2312"/>
          <w:sz w:val="32"/>
          <w:szCs w:val="32"/>
        </w:rPr>
      </w:pPr>
      <w:r>
        <w:rPr>
          <w:rFonts w:hint="eastAsia" w:ascii="仿宋_GB2312" w:eastAsia="仿宋_GB2312"/>
          <w:sz w:val="32"/>
          <w:szCs w:val="32"/>
        </w:rPr>
        <w:t>公务用车运行维护费支出</w:t>
      </w:r>
      <w:r>
        <w:rPr>
          <w:rFonts w:ascii="仿宋_GB2312" w:hAnsi="仿宋" w:eastAsia="仿宋_GB2312"/>
          <w:sz w:val="32"/>
          <w:szCs w:val="32"/>
        </w:rPr>
        <w:t>0</w:t>
      </w:r>
      <w:r>
        <w:rPr>
          <w:rFonts w:hint="eastAsia" w:ascii="仿宋_GB2312" w:eastAsia="仿宋_GB2312"/>
          <w:sz w:val="32"/>
          <w:szCs w:val="32"/>
        </w:rPr>
        <w:t>万元。</w:t>
      </w:r>
    </w:p>
    <w:p>
      <w:pPr>
        <w:adjustRightInd w:val="0"/>
        <w:snapToGrid w:val="0"/>
        <w:spacing w:line="576" w:lineRule="exact"/>
        <w:ind w:firstLine="640" w:firstLineChars="200"/>
        <w:rPr>
          <w:rFonts w:ascii="仿宋_GB2312" w:eastAsia="仿宋_GB2312"/>
          <w:sz w:val="32"/>
          <w:szCs w:val="32"/>
        </w:rPr>
      </w:pPr>
      <w:r>
        <w:rPr>
          <w:rFonts w:ascii="仿宋_GB2312" w:eastAsia="仿宋_GB2312"/>
          <w:sz w:val="32"/>
          <w:szCs w:val="32"/>
        </w:rPr>
        <w:t>3.</w:t>
      </w:r>
      <w:r>
        <w:rPr>
          <w:rFonts w:hint="eastAsia" w:ascii="仿宋_GB2312" w:eastAsia="仿宋_GB2312"/>
          <w:sz w:val="32"/>
          <w:szCs w:val="32"/>
        </w:rPr>
        <w:t>公务接待费支出</w:t>
      </w:r>
      <w:r>
        <w:rPr>
          <w:rFonts w:ascii="仿宋_GB2312" w:hAnsi="仿宋" w:eastAsia="仿宋_GB2312"/>
          <w:sz w:val="32"/>
          <w:szCs w:val="32"/>
        </w:rPr>
        <w:t>0</w:t>
      </w:r>
      <w:r>
        <w:rPr>
          <w:rFonts w:hint="eastAsia" w:ascii="仿宋_GB2312" w:eastAsia="仿宋_GB2312"/>
          <w:sz w:val="32"/>
          <w:szCs w:val="32"/>
        </w:rPr>
        <w:t>万元，</w:t>
      </w:r>
      <w:r>
        <w:rPr>
          <w:rStyle w:val="17"/>
          <w:rFonts w:hint="eastAsia" w:ascii="仿宋_GB2312" w:hAnsi="仿宋" w:eastAsia="仿宋_GB2312"/>
          <w:b w:val="0"/>
          <w:bCs/>
          <w:sz w:val="32"/>
          <w:szCs w:val="32"/>
        </w:rPr>
        <w:t>完成预算</w:t>
      </w:r>
      <w:r>
        <w:rPr>
          <w:rStyle w:val="17"/>
          <w:rFonts w:ascii="仿宋_GB2312" w:hAnsi="仿宋" w:eastAsia="仿宋_GB2312"/>
          <w:b w:val="0"/>
          <w:bCs/>
          <w:sz w:val="32"/>
          <w:szCs w:val="32"/>
        </w:rPr>
        <w:t>0%</w:t>
      </w:r>
      <w:r>
        <w:rPr>
          <w:rStyle w:val="17"/>
          <w:rFonts w:hint="eastAsia" w:ascii="仿宋_GB2312" w:hAnsi="仿宋" w:eastAsia="仿宋_GB2312"/>
          <w:b w:val="0"/>
          <w:bCs/>
          <w:sz w:val="32"/>
          <w:szCs w:val="32"/>
        </w:rPr>
        <w:t>。</w:t>
      </w:r>
      <w:r>
        <w:rPr>
          <w:rFonts w:hint="eastAsia" w:ascii="仿宋_GB2312" w:eastAsia="仿宋_GB2312"/>
          <w:sz w:val="32"/>
          <w:szCs w:val="32"/>
        </w:rPr>
        <w:t>公务接待费支出决算比</w:t>
      </w:r>
      <w:r>
        <w:rPr>
          <w:rFonts w:ascii="仿宋_GB2312" w:eastAsia="仿宋_GB2312"/>
          <w:sz w:val="32"/>
          <w:szCs w:val="32"/>
        </w:rPr>
        <w:t>2022</w:t>
      </w:r>
      <w:r>
        <w:rPr>
          <w:rFonts w:hint="eastAsia" w:ascii="仿宋_GB2312" w:eastAsia="仿宋_GB2312"/>
          <w:sz w:val="32"/>
          <w:szCs w:val="32"/>
        </w:rPr>
        <w:t>年度减少</w:t>
      </w:r>
      <w:r>
        <w:rPr>
          <w:rFonts w:ascii="仿宋_GB2312" w:eastAsia="仿宋_GB2312"/>
          <w:sz w:val="32"/>
          <w:szCs w:val="32"/>
        </w:rPr>
        <w:t>0.1</w:t>
      </w:r>
      <w:r>
        <w:rPr>
          <w:rFonts w:hint="eastAsia" w:ascii="仿宋_GB2312" w:eastAsia="仿宋_GB2312"/>
          <w:sz w:val="32"/>
          <w:szCs w:val="32"/>
        </w:rPr>
        <w:t>万元，下降</w:t>
      </w:r>
      <w:r>
        <w:rPr>
          <w:rFonts w:ascii="仿宋_GB2312" w:eastAsia="仿宋_GB2312"/>
          <w:sz w:val="32"/>
          <w:szCs w:val="32"/>
        </w:rPr>
        <w:t>100%</w:t>
      </w:r>
      <w:r>
        <w:rPr>
          <w:rFonts w:hint="eastAsia" w:ascii="仿宋_GB2312" w:eastAsia="仿宋_GB2312"/>
          <w:sz w:val="32"/>
          <w:szCs w:val="32"/>
        </w:rPr>
        <w:t>。主要原因是节约开支。其中：</w:t>
      </w:r>
    </w:p>
    <w:p>
      <w:pPr>
        <w:adjustRightInd w:val="0"/>
        <w:snapToGrid w:val="0"/>
        <w:spacing w:line="576" w:lineRule="exact"/>
        <w:ind w:firstLine="640" w:firstLineChars="200"/>
        <w:rPr>
          <w:rFonts w:ascii="仿宋_GB2312" w:eastAsia="仿宋_GB2312"/>
          <w:sz w:val="32"/>
          <w:szCs w:val="32"/>
        </w:rPr>
      </w:pPr>
      <w:r>
        <w:rPr>
          <w:rFonts w:hint="eastAsia" w:ascii="仿宋_GB2312" w:hAnsi="仿宋" w:eastAsia="仿宋_GB2312"/>
          <w:sz w:val="32"/>
          <w:szCs w:val="32"/>
        </w:rPr>
        <w:t>国内公务接待支出</w:t>
      </w:r>
      <w:r>
        <w:rPr>
          <w:rFonts w:ascii="仿宋_GB2312" w:hAnsi="仿宋" w:eastAsia="仿宋_GB2312"/>
          <w:sz w:val="32"/>
          <w:szCs w:val="32"/>
        </w:rPr>
        <w:t>0</w:t>
      </w:r>
      <w:r>
        <w:rPr>
          <w:rFonts w:hint="eastAsia" w:ascii="仿宋_GB2312" w:eastAsia="仿宋_GB2312"/>
          <w:sz w:val="32"/>
          <w:szCs w:val="32"/>
        </w:rPr>
        <w:t>万元。</w:t>
      </w:r>
    </w:p>
    <w:p>
      <w:pPr>
        <w:adjustRightInd w:val="0"/>
        <w:snapToGrid w:val="0"/>
        <w:spacing w:line="576" w:lineRule="exact"/>
        <w:ind w:firstLine="640" w:firstLineChars="200"/>
        <w:rPr>
          <w:rFonts w:ascii="仿宋_GB2312" w:eastAsia="仿宋_GB2312"/>
          <w:sz w:val="32"/>
          <w:szCs w:val="32"/>
        </w:rPr>
      </w:pPr>
      <w:r>
        <w:rPr>
          <w:rFonts w:hint="eastAsia" w:ascii="仿宋_GB2312" w:hAnsi="仿宋" w:eastAsia="仿宋_GB2312"/>
          <w:sz w:val="32"/>
          <w:szCs w:val="32"/>
        </w:rPr>
        <w:t>外事接待支出</w:t>
      </w:r>
      <w:r>
        <w:rPr>
          <w:rFonts w:ascii="仿宋_GB2312" w:hAnsi="仿宋" w:eastAsia="仿宋_GB2312"/>
          <w:sz w:val="32"/>
          <w:szCs w:val="32"/>
        </w:rPr>
        <w:t>0</w:t>
      </w:r>
      <w:r>
        <w:rPr>
          <w:rFonts w:hint="eastAsia" w:ascii="仿宋_GB2312" w:eastAsia="仿宋_GB2312"/>
          <w:sz w:val="32"/>
          <w:szCs w:val="32"/>
        </w:rPr>
        <w:t>万元。</w:t>
      </w:r>
    </w:p>
    <w:p>
      <w:pPr>
        <w:adjustRightInd w:val="0"/>
        <w:snapToGrid w:val="0"/>
        <w:spacing w:line="576" w:lineRule="exact"/>
        <w:ind w:firstLine="640" w:firstLineChars="200"/>
        <w:outlineLvl w:val="9"/>
        <w:rPr>
          <w:rFonts w:ascii="仿宋_GB2312" w:eastAsia="仿宋_GB2312"/>
          <w:sz w:val="32"/>
          <w:szCs w:val="32"/>
        </w:rPr>
      </w:pPr>
    </w:p>
    <w:p>
      <w:pPr>
        <w:adjustRightInd w:val="0"/>
        <w:snapToGrid w:val="0"/>
        <w:spacing w:line="576" w:lineRule="exact"/>
        <w:ind w:firstLine="640" w:firstLineChars="200"/>
        <w:outlineLvl w:val="1"/>
        <w:rPr>
          <w:rStyle w:val="21"/>
          <w:rFonts w:ascii="黑体" w:hAnsi="黑体" w:eastAsia="黑体"/>
          <w:b w:val="0"/>
        </w:rPr>
      </w:pPr>
      <w:bookmarkStart w:id="59" w:name="_Toc3268"/>
      <w:r>
        <w:rPr>
          <w:rFonts w:hint="eastAsia" w:ascii="黑体" w:eastAsia="黑体"/>
          <w:sz w:val="32"/>
          <w:szCs w:val="32"/>
        </w:rPr>
        <w:t>八、</w:t>
      </w:r>
      <w:r>
        <w:rPr>
          <w:rStyle w:val="21"/>
          <w:rFonts w:hint="eastAsia" w:ascii="黑体" w:hAnsi="黑体" w:eastAsia="黑体"/>
          <w:b w:val="0"/>
        </w:rPr>
        <w:t>政府性基金预算支出决算情况说明</w:t>
      </w:r>
      <w:bookmarkEnd w:id="57"/>
      <w:bookmarkEnd w:id="58"/>
      <w:bookmarkEnd w:id="59"/>
    </w:p>
    <w:p>
      <w:pPr>
        <w:adjustRightInd w:val="0"/>
        <w:snapToGrid w:val="0"/>
        <w:spacing w:line="576" w:lineRule="exact"/>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年度政府性基金预算财政拨款支出</w:t>
      </w:r>
      <w:r>
        <w:rPr>
          <w:rFonts w:ascii="仿宋_GB2312" w:hAnsi="仿宋" w:eastAsia="仿宋_GB2312"/>
          <w:sz w:val="32"/>
          <w:szCs w:val="32"/>
        </w:rPr>
        <w:t>0</w:t>
      </w:r>
      <w:r>
        <w:rPr>
          <w:rFonts w:hint="eastAsia" w:ascii="仿宋_GB2312" w:eastAsia="仿宋_GB2312"/>
          <w:sz w:val="32"/>
          <w:szCs w:val="32"/>
        </w:rPr>
        <w:t>万元。</w:t>
      </w:r>
    </w:p>
    <w:p>
      <w:pPr>
        <w:adjustRightInd w:val="0"/>
        <w:snapToGrid w:val="0"/>
        <w:spacing w:line="576" w:lineRule="exact"/>
        <w:ind w:firstLine="640" w:firstLineChars="200"/>
        <w:rPr>
          <w:rFonts w:ascii="仿宋_GB2312" w:eastAsia="仿宋_GB2312"/>
          <w:sz w:val="32"/>
          <w:szCs w:val="32"/>
        </w:rPr>
      </w:pPr>
    </w:p>
    <w:p>
      <w:pPr>
        <w:numPr>
          <w:ilvl w:val="0"/>
          <w:numId w:val="1"/>
        </w:numPr>
        <w:adjustRightInd w:val="0"/>
        <w:snapToGrid w:val="0"/>
        <w:spacing w:line="576" w:lineRule="exact"/>
        <w:ind w:firstLine="640" w:firstLineChars="200"/>
        <w:outlineLvl w:val="1"/>
        <w:rPr>
          <w:rStyle w:val="21"/>
          <w:rFonts w:ascii="黑体" w:hAnsi="黑体" w:eastAsia="黑体"/>
          <w:b w:val="0"/>
        </w:rPr>
      </w:pPr>
      <w:bookmarkStart w:id="60" w:name="_Toc15396611"/>
      <w:bookmarkStart w:id="61" w:name="_Toc15377219"/>
      <w:bookmarkStart w:id="62" w:name="_Toc3066"/>
      <w:r>
        <w:rPr>
          <w:rStyle w:val="21"/>
          <w:rFonts w:hint="eastAsia" w:ascii="黑体" w:hAnsi="黑体" w:eastAsia="黑体"/>
          <w:b w:val="0"/>
        </w:rPr>
        <w:t>国有资本经营预算支出决算情况说明</w:t>
      </w:r>
      <w:bookmarkEnd w:id="60"/>
      <w:bookmarkEnd w:id="61"/>
      <w:bookmarkEnd w:id="62"/>
    </w:p>
    <w:p>
      <w:pPr>
        <w:adjustRightInd w:val="0"/>
        <w:snapToGrid w:val="0"/>
        <w:spacing w:line="576" w:lineRule="exact"/>
        <w:ind w:firstLine="640" w:firstLineChars="200"/>
        <w:rPr>
          <w:rFonts w:ascii="仿宋_GB2312" w:eastAsia="仿宋_GB2312"/>
          <w:sz w:val="32"/>
          <w:szCs w:val="32"/>
        </w:rPr>
      </w:pPr>
      <w:r>
        <w:rPr>
          <w:rFonts w:ascii="仿宋_GB2312" w:eastAsia="仿宋_GB2312"/>
          <w:sz w:val="32"/>
          <w:szCs w:val="32"/>
        </w:rPr>
        <w:t>2023</w:t>
      </w:r>
      <w:r>
        <w:rPr>
          <w:rFonts w:hint="eastAsia" w:ascii="仿宋_GB2312" w:eastAsia="仿宋_GB2312"/>
          <w:sz w:val="32"/>
          <w:szCs w:val="32"/>
        </w:rPr>
        <w:t>年度国有资本经营预算财政拨款支出</w:t>
      </w:r>
      <w:r>
        <w:rPr>
          <w:rFonts w:ascii="仿宋_GB2312" w:hAnsi="仿宋" w:eastAsia="仿宋_GB2312"/>
          <w:sz w:val="32"/>
          <w:szCs w:val="32"/>
        </w:rPr>
        <w:t>0</w:t>
      </w:r>
      <w:r>
        <w:rPr>
          <w:rFonts w:hint="eastAsia" w:ascii="仿宋_GB2312" w:eastAsia="仿宋_GB2312"/>
          <w:sz w:val="32"/>
          <w:szCs w:val="32"/>
        </w:rPr>
        <w:t>万元。</w:t>
      </w:r>
    </w:p>
    <w:p>
      <w:pPr>
        <w:adjustRightInd w:val="0"/>
        <w:snapToGrid w:val="0"/>
        <w:spacing w:line="576" w:lineRule="exact"/>
        <w:ind w:firstLine="880" w:firstLineChars="200"/>
        <w:rPr>
          <w:rFonts w:ascii="仿宋_GB2312" w:hAnsi="方正小标宋简体" w:eastAsia="仿宋_GB2312" w:cs="方正小标宋简体"/>
          <w:sz w:val="44"/>
          <w:szCs w:val="44"/>
        </w:rPr>
      </w:pPr>
    </w:p>
    <w:p>
      <w:pPr>
        <w:numPr>
          <w:ilvl w:val="0"/>
          <w:numId w:val="1"/>
        </w:numPr>
        <w:adjustRightInd w:val="0"/>
        <w:snapToGrid w:val="0"/>
        <w:spacing w:line="576" w:lineRule="exact"/>
        <w:ind w:firstLine="640" w:firstLineChars="200"/>
        <w:outlineLvl w:val="1"/>
        <w:rPr>
          <w:rStyle w:val="21"/>
          <w:rFonts w:ascii="黑体" w:hAnsi="黑体" w:eastAsia="黑体"/>
          <w:b w:val="0"/>
        </w:rPr>
      </w:pPr>
      <w:bookmarkStart w:id="63" w:name="_Toc15396612"/>
      <w:bookmarkStart w:id="64" w:name="_Toc307"/>
      <w:bookmarkStart w:id="65" w:name="_Toc15377221"/>
      <w:r>
        <w:rPr>
          <w:rStyle w:val="21"/>
          <w:rFonts w:hint="eastAsia" w:ascii="黑体" w:hAnsi="黑体" w:eastAsia="黑体"/>
          <w:b w:val="0"/>
        </w:rPr>
        <w:t>其他重要事项的情况说明</w:t>
      </w:r>
      <w:bookmarkEnd w:id="63"/>
      <w:bookmarkEnd w:id="64"/>
      <w:bookmarkEnd w:id="65"/>
    </w:p>
    <w:p>
      <w:pPr>
        <w:adjustRightInd w:val="0"/>
        <w:snapToGrid w:val="0"/>
        <w:spacing w:line="576" w:lineRule="exact"/>
        <w:ind w:firstLine="640" w:firstLineChars="200"/>
        <w:outlineLvl w:val="2"/>
        <w:rPr>
          <w:rFonts w:ascii="楷体_GB2312" w:hAnsi="仿宋" w:eastAsia="楷体_GB2312"/>
          <w:sz w:val="32"/>
          <w:szCs w:val="32"/>
        </w:rPr>
      </w:pPr>
      <w:bookmarkStart w:id="66" w:name="_Toc15377222"/>
      <w:r>
        <w:rPr>
          <w:rFonts w:hint="eastAsia" w:ascii="楷体_GB2312" w:hAnsi="仿宋" w:eastAsia="楷体_GB2312"/>
          <w:sz w:val="32"/>
          <w:szCs w:val="32"/>
        </w:rPr>
        <w:t>（一）机关运行经费支出情况</w:t>
      </w:r>
      <w:bookmarkEnd w:id="66"/>
    </w:p>
    <w:p>
      <w:pPr>
        <w:adjustRightInd w:val="0"/>
        <w:snapToGrid w:val="0"/>
        <w:spacing w:line="576" w:lineRule="exact"/>
        <w:ind w:firstLine="640" w:firstLineChars="200"/>
        <w:rPr>
          <w:rFonts w:ascii="仿宋_GB2312" w:hAnsi="仿宋" w:eastAsia="仿宋_GB2312"/>
          <w:sz w:val="32"/>
          <w:szCs w:val="32"/>
        </w:rPr>
      </w:pPr>
      <w:r>
        <w:rPr>
          <w:rFonts w:ascii="仿宋_GB2312" w:eastAsia="仿宋_GB2312"/>
          <w:sz w:val="32"/>
          <w:szCs w:val="32"/>
        </w:rPr>
        <w:t>2023</w:t>
      </w:r>
      <w:r>
        <w:rPr>
          <w:rFonts w:hint="eastAsia" w:ascii="仿宋_GB2312" w:eastAsia="仿宋_GB2312"/>
          <w:sz w:val="32"/>
          <w:szCs w:val="32"/>
        </w:rPr>
        <w:t>年度，广元市教育技术与电化教育中心未发生机关运行经费支出，与</w:t>
      </w:r>
      <w:r>
        <w:rPr>
          <w:rFonts w:ascii="仿宋_GB2312" w:eastAsia="仿宋_GB2312"/>
          <w:sz w:val="32"/>
          <w:szCs w:val="32"/>
        </w:rPr>
        <w:t>2022</w:t>
      </w:r>
      <w:r>
        <w:rPr>
          <w:rFonts w:hint="eastAsia" w:ascii="仿宋_GB2312" w:eastAsia="仿宋_GB2312"/>
          <w:sz w:val="32"/>
          <w:szCs w:val="32"/>
        </w:rPr>
        <w:t>年决算数持平。</w:t>
      </w:r>
    </w:p>
    <w:p>
      <w:pPr>
        <w:adjustRightInd w:val="0"/>
        <w:snapToGrid w:val="0"/>
        <w:spacing w:line="576" w:lineRule="exact"/>
        <w:ind w:firstLine="640" w:firstLineChars="200"/>
        <w:outlineLvl w:val="2"/>
        <w:rPr>
          <w:rFonts w:ascii="楷体_GB2312" w:hAnsi="仿宋" w:eastAsia="楷体_GB2312"/>
          <w:sz w:val="32"/>
          <w:szCs w:val="32"/>
        </w:rPr>
      </w:pPr>
      <w:bookmarkStart w:id="67" w:name="_Toc15377223"/>
      <w:r>
        <w:rPr>
          <w:rFonts w:hint="eastAsia" w:ascii="楷体_GB2312" w:hAnsi="仿宋" w:eastAsia="楷体_GB2312"/>
          <w:sz w:val="32"/>
          <w:szCs w:val="32"/>
        </w:rPr>
        <w:t>（二）政府采购支出情况</w:t>
      </w:r>
      <w:bookmarkEnd w:id="67"/>
    </w:p>
    <w:p>
      <w:pPr>
        <w:adjustRightInd w:val="0"/>
        <w:snapToGrid w:val="0"/>
        <w:spacing w:line="576" w:lineRule="exact"/>
        <w:ind w:firstLine="640" w:firstLineChars="200"/>
        <w:rPr>
          <w:rFonts w:ascii="仿宋_GB2312" w:hAnsi="仿宋" w:eastAsia="仿宋_GB2312"/>
          <w:sz w:val="32"/>
          <w:szCs w:val="32"/>
        </w:rPr>
      </w:pPr>
      <w:r>
        <w:rPr>
          <w:rFonts w:ascii="仿宋_GB2312" w:eastAsia="仿宋_GB2312"/>
          <w:sz w:val="32"/>
          <w:szCs w:val="32"/>
        </w:rPr>
        <w:t>2023</w:t>
      </w:r>
      <w:r>
        <w:rPr>
          <w:rFonts w:hint="eastAsia" w:ascii="仿宋_GB2312" w:eastAsia="仿宋_GB2312"/>
          <w:sz w:val="32"/>
          <w:szCs w:val="32"/>
        </w:rPr>
        <w:t>年度，广元市教育技术与电化教育中心政府采购支出总额</w:t>
      </w:r>
      <w:r>
        <w:rPr>
          <w:rFonts w:ascii="仿宋_GB2312" w:hAnsi="仿宋" w:eastAsia="仿宋_GB2312"/>
          <w:sz w:val="32"/>
          <w:szCs w:val="32"/>
        </w:rPr>
        <w:t>45.45</w:t>
      </w:r>
      <w:r>
        <w:rPr>
          <w:rFonts w:hint="eastAsia" w:ascii="仿宋_GB2312" w:eastAsia="仿宋_GB2312"/>
          <w:sz w:val="32"/>
          <w:szCs w:val="32"/>
        </w:rPr>
        <w:t>万元，其中：政府采购货物支出</w:t>
      </w:r>
      <w:r>
        <w:rPr>
          <w:rFonts w:ascii="仿宋_GB2312" w:hAnsi="仿宋" w:eastAsia="仿宋_GB2312"/>
          <w:sz w:val="32"/>
          <w:szCs w:val="32"/>
        </w:rPr>
        <w:t>45.45</w:t>
      </w:r>
      <w:r>
        <w:rPr>
          <w:rFonts w:hint="eastAsia" w:ascii="仿宋_GB2312" w:eastAsia="仿宋_GB2312"/>
          <w:sz w:val="32"/>
          <w:szCs w:val="32"/>
        </w:rPr>
        <w:t>万元。主要用于市直属学校护眼灯改造项目。授予中小企业合同金额</w:t>
      </w:r>
      <w:r>
        <w:rPr>
          <w:rFonts w:ascii="仿宋_GB2312" w:hAnsi="仿宋" w:eastAsia="仿宋_GB2312"/>
          <w:sz w:val="32"/>
          <w:szCs w:val="32"/>
        </w:rPr>
        <w:t>45.45</w:t>
      </w:r>
      <w:r>
        <w:rPr>
          <w:rFonts w:hint="eastAsia" w:ascii="仿宋_GB2312" w:eastAsia="仿宋_GB2312"/>
          <w:sz w:val="32"/>
          <w:szCs w:val="32"/>
        </w:rPr>
        <w:t>万元，占政府采购支出总额的</w:t>
      </w:r>
      <w:r>
        <w:rPr>
          <w:rFonts w:ascii="仿宋_GB2312" w:eastAsia="仿宋_GB2312"/>
          <w:sz w:val="32"/>
          <w:szCs w:val="32"/>
        </w:rPr>
        <w:t>1%</w:t>
      </w:r>
      <w:r>
        <w:rPr>
          <w:rFonts w:hint="eastAsia" w:ascii="仿宋_GB2312" w:eastAsia="仿宋_GB2312"/>
          <w:sz w:val="32"/>
          <w:szCs w:val="32"/>
        </w:rPr>
        <w:t>，其中：授予小微企业合同金额</w:t>
      </w:r>
      <w:r>
        <w:rPr>
          <w:rFonts w:ascii="仿宋_GB2312" w:hAnsi="仿宋" w:eastAsia="仿宋_GB2312"/>
          <w:sz w:val="32"/>
          <w:szCs w:val="32"/>
        </w:rPr>
        <w:t>0</w:t>
      </w:r>
      <w:r>
        <w:rPr>
          <w:rFonts w:hint="eastAsia" w:ascii="仿宋_GB2312" w:eastAsia="仿宋_GB2312"/>
          <w:sz w:val="32"/>
          <w:szCs w:val="32"/>
        </w:rPr>
        <w:t>万元，占政府采购支出总额的</w:t>
      </w:r>
      <w:r>
        <w:rPr>
          <w:rFonts w:ascii="仿宋_GB2312" w:eastAsia="仿宋_GB2312"/>
          <w:sz w:val="32"/>
          <w:szCs w:val="32"/>
        </w:rPr>
        <w:t>0%</w:t>
      </w:r>
      <w:r>
        <w:rPr>
          <w:rFonts w:hint="eastAsia" w:ascii="仿宋_GB2312" w:eastAsia="仿宋_GB2312"/>
          <w:sz w:val="32"/>
          <w:szCs w:val="32"/>
        </w:rPr>
        <w:t>。</w:t>
      </w:r>
    </w:p>
    <w:p>
      <w:pPr>
        <w:adjustRightInd w:val="0"/>
        <w:snapToGrid w:val="0"/>
        <w:spacing w:line="576" w:lineRule="exact"/>
        <w:ind w:firstLine="640" w:firstLineChars="200"/>
        <w:outlineLvl w:val="2"/>
        <w:rPr>
          <w:rFonts w:ascii="楷体_GB2312" w:hAnsi="仿宋" w:eastAsia="楷体_GB2312"/>
          <w:sz w:val="32"/>
          <w:szCs w:val="32"/>
        </w:rPr>
      </w:pPr>
      <w:bookmarkStart w:id="68" w:name="_Toc15377224"/>
      <w:r>
        <w:rPr>
          <w:rFonts w:hint="eastAsia" w:ascii="楷体_GB2312" w:hAnsi="仿宋" w:eastAsia="楷体_GB2312"/>
          <w:sz w:val="32"/>
          <w:szCs w:val="32"/>
        </w:rPr>
        <w:t>（三）国有资产占有使用情况</w:t>
      </w:r>
      <w:bookmarkEnd w:id="68"/>
    </w:p>
    <w:p>
      <w:pPr>
        <w:autoSpaceDE w:val="0"/>
        <w:autoSpaceDN w:val="0"/>
        <w:adjustRightInd w:val="0"/>
        <w:snapToGrid w:val="0"/>
        <w:spacing w:line="576" w:lineRule="exact"/>
        <w:ind w:firstLine="640" w:firstLineChars="200"/>
        <w:rPr>
          <w:rFonts w:ascii="仿宋_GB2312" w:hAnsi="仿宋" w:eastAsia="仿宋_GB2312"/>
          <w:sz w:val="32"/>
          <w:szCs w:val="32"/>
        </w:rPr>
      </w:pPr>
      <w:r>
        <w:rPr>
          <w:rFonts w:hint="eastAsia" w:ascii="仿宋_GB2312" w:eastAsia="仿宋_GB2312"/>
          <w:sz w:val="32"/>
          <w:szCs w:val="32"/>
        </w:rPr>
        <w:t>截至</w:t>
      </w:r>
      <w:r>
        <w:rPr>
          <w:rFonts w:ascii="仿宋_GB2312" w:eastAsia="仿宋_GB2312"/>
          <w:sz w:val="32"/>
          <w:szCs w:val="32"/>
        </w:rPr>
        <w:t>2023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日，广元市教育技术与电化教育中心共有车辆</w:t>
      </w:r>
      <w:r>
        <w:rPr>
          <w:rFonts w:ascii="仿宋_GB2312" w:eastAsia="仿宋_GB2312"/>
          <w:sz w:val="32"/>
          <w:szCs w:val="32"/>
        </w:rPr>
        <w:t>0</w:t>
      </w:r>
      <w:r>
        <w:rPr>
          <w:rFonts w:hint="eastAsia" w:ascii="仿宋_GB2312" w:eastAsia="仿宋_GB2312"/>
          <w:sz w:val="32"/>
          <w:szCs w:val="32"/>
        </w:rPr>
        <w:t>辆</w:t>
      </w:r>
      <w:r>
        <w:rPr>
          <w:rFonts w:hint="eastAsia" w:ascii="仿宋_GB2312" w:eastAsia="仿宋_GB2312"/>
          <w:sz w:val="32"/>
          <w:szCs w:val="32"/>
          <w:lang w:eastAsia="zh-CN"/>
        </w:rPr>
        <w:t>。</w:t>
      </w:r>
      <w:r>
        <w:rPr>
          <w:rFonts w:hint="eastAsia" w:ascii="仿宋_GB2312" w:eastAsia="仿宋_GB2312"/>
          <w:sz w:val="32"/>
          <w:szCs w:val="32"/>
        </w:rPr>
        <w:t>单价</w:t>
      </w:r>
      <w:r>
        <w:rPr>
          <w:rFonts w:ascii="仿宋_GB2312" w:eastAsia="仿宋_GB2312"/>
          <w:sz w:val="32"/>
          <w:szCs w:val="32"/>
        </w:rPr>
        <w:t>100</w:t>
      </w:r>
      <w:r>
        <w:rPr>
          <w:rFonts w:hint="eastAsia" w:ascii="仿宋_GB2312" w:eastAsia="仿宋_GB2312"/>
          <w:sz w:val="32"/>
          <w:szCs w:val="32"/>
        </w:rPr>
        <w:t>万元以上设备（不含车辆）</w:t>
      </w:r>
      <w:r>
        <w:rPr>
          <w:rFonts w:ascii="仿宋_GB2312" w:eastAsia="仿宋_GB2312"/>
          <w:sz w:val="32"/>
          <w:szCs w:val="32"/>
        </w:rPr>
        <w:t>0</w:t>
      </w:r>
      <w:r>
        <w:rPr>
          <w:rFonts w:hint="eastAsia" w:ascii="仿宋_GB2312" w:eastAsia="仿宋_GB2312"/>
          <w:sz w:val="32"/>
          <w:szCs w:val="32"/>
        </w:rPr>
        <w:t>台（套）。</w:t>
      </w:r>
    </w:p>
    <w:p>
      <w:pPr>
        <w:adjustRightInd w:val="0"/>
        <w:snapToGrid w:val="0"/>
        <w:spacing w:line="576" w:lineRule="exact"/>
        <w:ind w:firstLine="640" w:firstLineChars="200"/>
        <w:outlineLvl w:val="2"/>
        <w:rPr>
          <w:rFonts w:ascii="楷体_GB2312" w:hAnsi="仿宋" w:eastAsia="楷体_GB2312"/>
          <w:sz w:val="32"/>
          <w:szCs w:val="32"/>
        </w:rPr>
      </w:pPr>
      <w:r>
        <w:rPr>
          <w:rFonts w:hint="eastAsia" w:ascii="楷体_GB2312" w:hAnsi="仿宋" w:eastAsia="楷体_GB2312"/>
          <w:sz w:val="32"/>
          <w:szCs w:val="32"/>
        </w:rPr>
        <w:t>（四）预算绩效管理情况</w:t>
      </w:r>
    </w:p>
    <w:p>
      <w:p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根据预算绩效管理要求，本单位在</w:t>
      </w:r>
      <w:r>
        <w:rPr>
          <w:rFonts w:ascii="仿宋_GB2312" w:eastAsia="仿宋_GB2312"/>
          <w:sz w:val="32"/>
          <w:szCs w:val="32"/>
        </w:rPr>
        <w:t>2023</w:t>
      </w:r>
      <w:r>
        <w:rPr>
          <w:rFonts w:hint="eastAsia" w:ascii="仿宋_GB2312" w:eastAsia="仿宋_GB2312"/>
          <w:sz w:val="32"/>
          <w:szCs w:val="32"/>
        </w:rPr>
        <w:t>年度预算编制阶段，组织对“互联网+教育”（三个课堂）服务项目等</w:t>
      </w:r>
      <w:r>
        <w:rPr>
          <w:rFonts w:ascii="仿宋_GB2312" w:eastAsia="仿宋_GB2312"/>
          <w:sz w:val="32"/>
          <w:szCs w:val="32"/>
        </w:rPr>
        <w:t>13</w:t>
      </w:r>
      <w:r>
        <w:rPr>
          <w:rFonts w:hint="eastAsia" w:ascii="仿宋_GB2312" w:eastAsia="仿宋_GB2312"/>
          <w:sz w:val="32"/>
          <w:szCs w:val="32"/>
        </w:rPr>
        <w:t>个项目开展了预算事前绩效评估，对</w:t>
      </w:r>
      <w:r>
        <w:rPr>
          <w:rFonts w:ascii="仿宋_GB2312" w:eastAsia="仿宋_GB2312"/>
          <w:sz w:val="32"/>
          <w:szCs w:val="32"/>
        </w:rPr>
        <w:t>13</w:t>
      </w:r>
      <w:r>
        <w:rPr>
          <w:rFonts w:hint="eastAsia" w:ascii="仿宋_GB2312" w:eastAsia="仿宋_GB2312"/>
          <w:sz w:val="32"/>
          <w:szCs w:val="32"/>
        </w:rPr>
        <w:t>个项目编制了绩效目标，预算执行过程中，选取</w:t>
      </w:r>
      <w:r>
        <w:rPr>
          <w:rFonts w:ascii="仿宋_GB2312" w:eastAsia="仿宋_GB2312"/>
          <w:sz w:val="32"/>
          <w:szCs w:val="32"/>
        </w:rPr>
        <w:t>13</w:t>
      </w:r>
      <w:r>
        <w:rPr>
          <w:rFonts w:hint="eastAsia" w:ascii="仿宋_GB2312" w:eastAsia="仿宋_GB2312"/>
          <w:sz w:val="32"/>
          <w:szCs w:val="32"/>
        </w:rPr>
        <w:t>个项目开展绩效监控，组织对</w:t>
      </w:r>
      <w:r>
        <w:rPr>
          <w:rFonts w:ascii="仿宋_GB2312" w:eastAsia="仿宋_GB2312"/>
          <w:sz w:val="32"/>
          <w:szCs w:val="32"/>
        </w:rPr>
        <w:t>13</w:t>
      </w:r>
      <w:r>
        <w:rPr>
          <w:rFonts w:hint="eastAsia" w:ascii="仿宋_GB2312" w:eastAsia="仿宋_GB2312"/>
          <w:sz w:val="32"/>
          <w:szCs w:val="32"/>
        </w:rPr>
        <w:t>个项目开展绩效自评，绩效自评表详见第四部分附件。</w:t>
      </w:r>
    </w:p>
    <w:p>
      <w:pPr>
        <w:spacing w:line="700" w:lineRule="exact"/>
        <w:jc w:val="center"/>
        <w:outlineLvl w:val="0"/>
        <w:rPr>
          <w:rStyle w:val="20"/>
          <w:rFonts w:ascii="方正小标宋_GBK" w:hAnsi="黑体" w:eastAsia="方正小标宋_GBK"/>
          <w:b w:val="0"/>
        </w:rPr>
      </w:pPr>
      <w:r>
        <w:rPr>
          <w:rFonts w:ascii="仿宋_GB2312" w:eastAsia="仿宋_GB2312"/>
          <w:sz w:val="32"/>
          <w:szCs w:val="32"/>
        </w:rPr>
        <w:br w:type="page"/>
      </w:r>
      <w:bookmarkStart w:id="69" w:name="_Toc15377225"/>
      <w:bookmarkStart w:id="70" w:name="_Toc32615"/>
      <w:bookmarkStart w:id="71" w:name="_Toc15396613"/>
      <w:r>
        <w:rPr>
          <w:rFonts w:hint="eastAsia" w:ascii="方正小标宋_GBK" w:hAnsi="黑体" w:eastAsia="方正小标宋_GBK"/>
          <w:sz w:val="44"/>
          <w:szCs w:val="44"/>
        </w:rPr>
        <w:t>第三部分</w:t>
      </w:r>
      <w:r>
        <w:rPr>
          <w:rFonts w:ascii="方正小标宋_GBK" w:hAnsi="黑体" w:eastAsia="方正小标宋_GBK"/>
          <w:sz w:val="44"/>
          <w:szCs w:val="44"/>
        </w:rPr>
        <w:t xml:space="preserve"> </w:t>
      </w:r>
      <w:r>
        <w:rPr>
          <w:rFonts w:hint="eastAsia" w:ascii="方正小标宋_GBK" w:hAnsi="黑体" w:eastAsia="方正小标宋_GBK"/>
          <w:sz w:val="44"/>
          <w:szCs w:val="44"/>
        </w:rPr>
        <w:t>名</w:t>
      </w:r>
      <w:r>
        <w:rPr>
          <w:rStyle w:val="20"/>
          <w:rFonts w:hint="eastAsia" w:ascii="方正小标宋_GBK" w:hAnsi="黑体" w:eastAsia="方正小标宋_GBK"/>
          <w:b w:val="0"/>
        </w:rPr>
        <w:t>词解释</w:t>
      </w:r>
      <w:bookmarkEnd w:id="69"/>
      <w:bookmarkEnd w:id="70"/>
      <w:bookmarkEnd w:id="71"/>
    </w:p>
    <w:p>
      <w:pPr>
        <w:adjustRightInd w:val="0"/>
        <w:snapToGrid w:val="0"/>
        <w:spacing w:line="576" w:lineRule="exact"/>
        <w:ind w:firstLine="880" w:firstLineChars="200"/>
        <w:rPr>
          <w:rFonts w:ascii="宋体"/>
          <w:sz w:val="44"/>
          <w:szCs w:val="44"/>
        </w:rPr>
      </w:pPr>
    </w:p>
    <w:p>
      <w:pPr>
        <w:pStyle w:val="33"/>
        <w:numPr>
          <w:ilvl w:val="0"/>
          <w:numId w:val="2"/>
        </w:numPr>
        <w:snapToGrid w:val="0"/>
        <w:spacing w:line="576" w:lineRule="exact"/>
        <w:ind w:firstLine="640" w:firstLineChars="200"/>
        <w:jc w:val="both"/>
        <w:outlineLvl w:val="1"/>
        <w:rPr>
          <w:rFonts w:ascii="仿宋_GB2312" w:eastAsia="仿宋_GB2312"/>
          <w:color w:val="auto"/>
          <w:sz w:val="32"/>
          <w:szCs w:val="32"/>
        </w:rPr>
      </w:pPr>
      <w:bookmarkStart w:id="72" w:name="_Toc2014"/>
      <w:bookmarkStart w:id="73" w:name="_Toc15377226"/>
      <w:r>
        <w:rPr>
          <w:rFonts w:hint="eastAsia" w:ascii="仿宋_GB2312" w:eastAsia="仿宋_GB2312"/>
          <w:color w:val="auto"/>
          <w:sz w:val="32"/>
          <w:szCs w:val="32"/>
        </w:rPr>
        <w:t>财政拨款收入：指单位从同级财政部门取得的财政预算资金。</w:t>
      </w:r>
      <w:bookmarkEnd w:id="72"/>
    </w:p>
    <w:p>
      <w:pPr>
        <w:pStyle w:val="14"/>
        <w:widowControl/>
        <w:numPr>
          <w:ilvl w:val="0"/>
          <w:numId w:val="2"/>
        </w:numPr>
        <w:adjustRightInd w:val="0"/>
        <w:snapToGrid w:val="0"/>
        <w:spacing w:line="576" w:lineRule="exact"/>
        <w:ind w:firstLine="640" w:firstLineChars="200"/>
        <w:rPr>
          <w:rFonts w:ascii="仿宋_GB2312" w:hAnsi="Helvetica" w:eastAsia="仿宋_GB2312" w:cs="仿宋_GB2312"/>
          <w:color w:val="000000"/>
          <w:sz w:val="32"/>
          <w:szCs w:val="32"/>
          <w:shd w:val="clear" w:color="auto" w:fill="FFFFFF"/>
        </w:rPr>
      </w:pPr>
      <w:r>
        <w:rPr>
          <w:rFonts w:hint="eastAsia" w:ascii="仿宋_GB2312" w:eastAsia="仿宋_GB2312"/>
          <w:sz w:val="32"/>
          <w:szCs w:val="32"/>
        </w:rPr>
        <w:t>事业收入：指事业单位开展专业业务活动及辅助活动取得的收入。</w:t>
      </w:r>
      <w:r>
        <w:rPr>
          <w:rFonts w:hint="eastAsia" w:ascii="仿宋_GB2312" w:hAnsi="Helvetica" w:eastAsia="仿宋_GB2312" w:cs="仿宋_GB2312"/>
          <w:color w:val="000000"/>
          <w:sz w:val="32"/>
          <w:szCs w:val="32"/>
          <w:shd w:val="clear" w:color="auto" w:fill="FFFFFF"/>
        </w:rPr>
        <w:t>如教育行政事业性收费收入考试考务费。</w:t>
      </w:r>
    </w:p>
    <w:p>
      <w:pPr>
        <w:numPr>
          <w:ilvl w:val="0"/>
          <w:numId w:val="2"/>
        </w:num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教育支出（类）教育管理事务（款）其他教育管理事务支出（项）：指其他用于教育管理事务方面的支出。</w:t>
      </w:r>
    </w:p>
    <w:p>
      <w:pPr>
        <w:numPr>
          <w:ilvl w:val="0"/>
          <w:numId w:val="2"/>
        </w:num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教育支出（类）普通教育（款）初中教育（项）：指各部门举办的普通高中教育支出。</w:t>
      </w:r>
    </w:p>
    <w:p>
      <w:pPr>
        <w:widowControl/>
        <w:numPr>
          <w:ilvl w:val="0"/>
          <w:numId w:val="2"/>
        </w:numPr>
        <w:adjustRightInd w:val="0"/>
        <w:snapToGrid w:val="0"/>
        <w:spacing w:line="576" w:lineRule="exact"/>
        <w:ind w:firstLine="640" w:firstLineChars="200"/>
      </w:pPr>
      <w:r>
        <w:rPr>
          <w:rFonts w:hint="eastAsia" w:ascii="仿宋_GB2312" w:hAnsi="Helvetica" w:eastAsia="仿宋_GB2312" w:cs="仿宋_GB2312"/>
          <w:color w:val="000000"/>
          <w:kern w:val="0"/>
          <w:sz w:val="32"/>
          <w:szCs w:val="32"/>
          <w:shd w:val="clear" w:color="auto" w:fill="FFFFFF"/>
        </w:rPr>
        <w:t>社会保障和就业支出（类）行政事业单位养老支出（款）机关事业单位基本养老保险缴费支出（项）：反映单位实施养老保险制度由单位缴纳的基本养老保险费支出。</w:t>
      </w:r>
    </w:p>
    <w:p>
      <w:pPr>
        <w:widowControl/>
        <w:numPr>
          <w:ilvl w:val="0"/>
          <w:numId w:val="2"/>
        </w:numPr>
        <w:adjustRightInd w:val="0"/>
        <w:snapToGrid w:val="0"/>
        <w:spacing w:line="576" w:lineRule="exact"/>
        <w:ind w:firstLine="640" w:firstLineChars="200"/>
      </w:pPr>
      <w:r>
        <w:rPr>
          <w:rFonts w:hint="eastAsia" w:ascii="仿宋_GB2312" w:hAnsi="Helvetica" w:eastAsia="仿宋_GB2312" w:cs="仿宋_GB2312"/>
          <w:color w:val="000000"/>
          <w:kern w:val="0"/>
          <w:sz w:val="32"/>
          <w:szCs w:val="32"/>
          <w:shd w:val="clear" w:color="auto" w:fill="FFFFFF"/>
        </w:rPr>
        <w:t>社会保障和就业（类）其他社会保障和就业（款）其他社会保障和就业（项）：指其他用于社会保障和就业支出方面的支出。</w:t>
      </w:r>
    </w:p>
    <w:p>
      <w:pPr>
        <w:widowControl/>
        <w:numPr>
          <w:ilvl w:val="0"/>
          <w:numId w:val="2"/>
        </w:numPr>
        <w:adjustRightInd w:val="0"/>
        <w:snapToGrid w:val="0"/>
        <w:spacing w:line="576" w:lineRule="exact"/>
        <w:ind w:firstLine="640" w:firstLineChars="200"/>
        <w:rPr>
          <w:rFonts w:ascii="仿宋_GB2312" w:eastAsia="仿宋_GB2312"/>
          <w:sz w:val="32"/>
          <w:szCs w:val="32"/>
        </w:rPr>
      </w:pPr>
      <w:r>
        <w:rPr>
          <w:rFonts w:hint="eastAsia" w:ascii="仿宋_GB2312" w:hAnsi="Helvetica" w:eastAsia="仿宋_GB2312" w:cs="仿宋_GB2312"/>
          <w:color w:val="000000"/>
          <w:kern w:val="0"/>
          <w:sz w:val="32"/>
          <w:szCs w:val="32"/>
          <w:shd w:val="clear" w:color="auto" w:fill="FFFFFF"/>
        </w:rPr>
        <w:t>卫生健康支出（类）行政事业单位医疗（款）事业单位医疗（项）：反映财政部门安排的事业单位基本医疗保险缴费经费。</w:t>
      </w:r>
    </w:p>
    <w:p>
      <w:pPr>
        <w:widowControl/>
        <w:numPr>
          <w:ilvl w:val="0"/>
          <w:numId w:val="2"/>
        </w:numPr>
        <w:adjustRightInd w:val="0"/>
        <w:snapToGrid w:val="0"/>
        <w:spacing w:line="576" w:lineRule="exact"/>
        <w:ind w:firstLine="640" w:firstLineChars="200"/>
        <w:rPr>
          <w:rFonts w:ascii="Helvetica" w:hAnsi="Helvetica" w:eastAsia="Times New Roman" w:cs="Helvetica"/>
          <w:color w:val="000000"/>
          <w:sz w:val="24"/>
        </w:rPr>
      </w:pPr>
      <w:r>
        <w:rPr>
          <w:rFonts w:hint="eastAsia" w:ascii="仿宋_GB2312" w:hAnsi="Helvetica" w:eastAsia="仿宋_GB2312" w:cs="仿宋_GB2312"/>
          <w:color w:val="000000"/>
          <w:kern w:val="0"/>
          <w:sz w:val="32"/>
          <w:szCs w:val="32"/>
          <w:shd w:val="clear" w:color="auto" w:fill="FFFFFF"/>
        </w:rPr>
        <w:t>住房保障支出（类）住房改革支出（款）住房公积金（项）：指单位按人力资源和社会保障部、财政部规定的基本工资和津贴补贴以及规定比例为职工缴纳的住房公积金。</w:t>
      </w:r>
    </w:p>
    <w:p>
      <w:pPr>
        <w:numPr>
          <w:ilvl w:val="0"/>
          <w:numId w:val="2"/>
        </w:num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numPr>
          <w:ilvl w:val="0"/>
          <w:numId w:val="2"/>
        </w:numPr>
        <w:adjustRightInd w:val="0"/>
        <w:snapToGrid w:val="0"/>
        <w:spacing w:line="576"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pStyle w:val="33"/>
        <w:numPr>
          <w:ilvl w:val="0"/>
          <w:numId w:val="2"/>
        </w:numPr>
        <w:snapToGrid w:val="0"/>
        <w:spacing w:line="576" w:lineRule="exact"/>
        <w:ind w:firstLine="640" w:firstLineChars="200"/>
        <w:jc w:val="both"/>
        <w:rPr>
          <w:rFonts w:ascii="仿宋_GB2312" w:eastAsia="仿宋_GB2312"/>
          <w:color w:val="auto"/>
          <w:sz w:val="32"/>
          <w:szCs w:val="32"/>
        </w:rPr>
      </w:pPr>
      <w:r>
        <w:rPr>
          <w:rFonts w:hint="eastAsia" w:ascii="仿宋_GB2312"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700" w:lineRule="exact"/>
        <w:jc w:val="center"/>
        <w:outlineLvl w:val="0"/>
        <w:rPr>
          <w:rStyle w:val="20"/>
          <w:rFonts w:ascii="方正小标宋_GBK" w:hAnsi="黑体" w:eastAsia="方正小标宋_GBK"/>
          <w:b w:val="0"/>
        </w:rPr>
      </w:pPr>
      <w:r>
        <w:rPr>
          <w:rFonts w:ascii="宋体"/>
          <w:b/>
          <w:sz w:val="44"/>
          <w:szCs w:val="44"/>
        </w:rPr>
        <w:br w:type="page"/>
      </w:r>
      <w:bookmarkStart w:id="74" w:name="_Toc20277"/>
      <w:bookmarkStart w:id="75" w:name="_Toc15396614"/>
      <w:r>
        <w:rPr>
          <w:rFonts w:hint="eastAsia" w:ascii="方正小标宋_GBK" w:hAnsi="黑体" w:eastAsia="方正小标宋_GBK"/>
          <w:sz w:val="44"/>
          <w:szCs w:val="44"/>
        </w:rPr>
        <w:t>第</w:t>
      </w:r>
      <w:r>
        <w:rPr>
          <w:rStyle w:val="20"/>
          <w:rFonts w:hint="eastAsia" w:ascii="方正小标宋_GBK" w:hAnsi="黑体" w:eastAsia="方正小标宋_GBK"/>
          <w:b w:val="0"/>
        </w:rPr>
        <w:t>四部分</w:t>
      </w:r>
      <w:r>
        <w:rPr>
          <w:rStyle w:val="20"/>
          <w:rFonts w:ascii="方正小标宋_GBK" w:hAnsi="黑体" w:eastAsia="方正小标宋_GBK"/>
          <w:b w:val="0"/>
        </w:rPr>
        <w:t xml:space="preserve"> </w:t>
      </w:r>
      <w:r>
        <w:rPr>
          <w:rStyle w:val="20"/>
          <w:rFonts w:hint="eastAsia" w:ascii="方正小标宋_GBK" w:hAnsi="黑体" w:eastAsia="方正小标宋_GBK"/>
          <w:b w:val="0"/>
        </w:rPr>
        <w:t>附件</w:t>
      </w:r>
      <w:bookmarkEnd w:id="74"/>
      <w:bookmarkEnd w:id="75"/>
    </w:p>
    <w:p>
      <w:pPr>
        <w:adjustRightInd w:val="0"/>
        <w:snapToGrid w:val="0"/>
        <w:spacing w:line="576" w:lineRule="exact"/>
        <w:jc w:val="left"/>
        <w:outlineLvl w:val="9"/>
        <w:rPr>
          <w:rFonts w:ascii="仿宋_GB2312" w:hAnsi="仿宋_GB2312" w:eastAsia="仿宋_GB2312" w:cs="仿宋_GB2312"/>
          <w:sz w:val="32"/>
          <w:szCs w:val="32"/>
        </w:rPr>
      </w:pPr>
    </w:p>
    <w:p>
      <w:pPr>
        <w:adjustRightInd w:val="0"/>
        <w:snapToGrid w:val="0"/>
        <w:spacing w:line="576" w:lineRule="exact"/>
        <w:ind w:firstLine="640" w:firstLineChars="200"/>
        <w:outlineLvl w:val="1"/>
        <w:rPr>
          <w:rFonts w:ascii="仿宋_GB2312" w:hAnsi="黑体" w:eastAsia="仿宋_GB2312"/>
          <w:color w:val="FF0000"/>
          <w:sz w:val="32"/>
          <w:szCs w:val="32"/>
        </w:rPr>
      </w:pPr>
      <w:bookmarkStart w:id="76" w:name="_Toc22830"/>
      <w:bookmarkStart w:id="77" w:name="_Toc15396618"/>
      <w:r>
        <w:rPr>
          <w:rFonts w:hint="eastAsia" w:ascii="仿宋_GB2312" w:eastAsia="仿宋_GB2312"/>
          <w:sz w:val="32"/>
          <w:szCs w:val="32"/>
        </w:rPr>
        <w:t>部门预算项目支出绩效自评表（</w:t>
      </w:r>
      <w:r>
        <w:rPr>
          <w:rFonts w:ascii="仿宋_GB2312" w:eastAsia="仿宋_GB2312"/>
          <w:sz w:val="32"/>
          <w:szCs w:val="32"/>
        </w:rPr>
        <w:t>2023</w:t>
      </w:r>
      <w:r>
        <w:rPr>
          <w:rFonts w:hint="eastAsia" w:ascii="仿宋_GB2312" w:eastAsia="仿宋_GB2312"/>
          <w:sz w:val="32"/>
          <w:szCs w:val="32"/>
        </w:rPr>
        <w:t>年度）</w:t>
      </w:r>
      <w:bookmarkEnd w:id="76"/>
    </w:p>
    <w:p>
      <w:pPr>
        <w:pStyle w:val="2"/>
        <w:adjustRightInd w:val="0"/>
        <w:snapToGrid w:val="0"/>
        <w:spacing w:after="0" w:line="576" w:lineRule="exact"/>
        <w:ind w:left="0" w:leftChars="0" w:firstLine="31680"/>
        <w:rPr>
          <w:rFonts w:hint="eastAsia" w:eastAsia="宋体"/>
          <w:sz w:val="32"/>
          <w:lang w:eastAsia="zh-CN"/>
        </w:rPr>
      </w:pPr>
      <w:r>
        <w:rPr>
          <w:rFonts w:hint="eastAsia"/>
          <w:sz w:val="32"/>
          <w:lang w:eastAsia="zh-CN"/>
        </w:rPr>
        <w:t>具体内容见附表</w:t>
      </w:r>
      <w:bookmarkStart w:id="105" w:name="_GoBack"/>
      <w:bookmarkEnd w:id="105"/>
    </w:p>
    <w:p>
      <w:pPr>
        <w:pStyle w:val="7"/>
        <w:adjustRightInd w:val="0"/>
        <w:snapToGrid w:val="0"/>
        <w:spacing w:beforeLines="0" w:line="576" w:lineRule="exact"/>
        <w:rPr>
          <w:rFonts w:hAnsi="Calibri" w:cs="仿宋"/>
          <w:sz w:val="32"/>
          <w:szCs w:val="32"/>
        </w:rPr>
      </w:pPr>
    </w:p>
    <w:p>
      <w:pPr>
        <w:pStyle w:val="7"/>
        <w:adjustRightInd w:val="0"/>
        <w:snapToGrid w:val="0"/>
        <w:spacing w:beforeLines="0" w:line="576" w:lineRule="exact"/>
        <w:rPr>
          <w:rFonts w:hAnsi="Calibri" w:cs="仿宋"/>
          <w:sz w:val="32"/>
          <w:szCs w:val="32"/>
        </w:rPr>
      </w:pPr>
    </w:p>
    <w:p>
      <w:pPr>
        <w:pStyle w:val="7"/>
        <w:adjustRightInd w:val="0"/>
        <w:snapToGrid w:val="0"/>
        <w:spacing w:beforeLines="0" w:line="700" w:lineRule="exact"/>
        <w:jc w:val="center"/>
        <w:outlineLvl w:val="0"/>
        <w:rPr>
          <w:rStyle w:val="20"/>
          <w:rFonts w:ascii="黑体" w:hAnsi="黑体" w:eastAsia="方正小标宋_GBK"/>
          <w:b w:val="0"/>
        </w:rPr>
      </w:pPr>
      <w:r>
        <w:rPr>
          <w:rFonts w:hAnsi="Calibri" w:cs="仿宋"/>
          <w:sz w:val="32"/>
          <w:szCs w:val="32"/>
        </w:rPr>
        <w:br w:type="page"/>
      </w:r>
      <w:bookmarkStart w:id="78" w:name="_Toc21683"/>
      <w:r>
        <w:rPr>
          <w:rFonts w:hint="eastAsia" w:eastAsia="方正小标宋_GBK"/>
          <w:sz w:val="44"/>
          <w:szCs w:val="44"/>
        </w:rPr>
        <w:t>第</w:t>
      </w:r>
      <w:r>
        <w:rPr>
          <w:rStyle w:val="20"/>
          <w:rFonts w:hint="eastAsia" w:ascii="黑体" w:hAnsi="黑体" w:eastAsia="方正小标宋_GBK"/>
          <w:b w:val="0"/>
        </w:rPr>
        <w:t>五部分</w:t>
      </w:r>
      <w:r>
        <w:rPr>
          <w:rStyle w:val="20"/>
          <w:rFonts w:ascii="黑体" w:hAnsi="黑体" w:eastAsia="方正小标宋_GBK"/>
          <w:b w:val="0"/>
        </w:rPr>
        <w:t xml:space="preserve"> </w:t>
      </w:r>
      <w:r>
        <w:rPr>
          <w:rStyle w:val="20"/>
          <w:rFonts w:hint="eastAsia" w:ascii="黑体" w:hAnsi="黑体" w:eastAsia="方正小标宋_GBK"/>
          <w:b w:val="0"/>
        </w:rPr>
        <w:t>附表</w:t>
      </w:r>
      <w:bookmarkEnd w:id="73"/>
      <w:bookmarkEnd w:id="77"/>
      <w:bookmarkEnd w:id="78"/>
      <w:bookmarkStart w:id="79" w:name="_Toc15396619"/>
    </w:p>
    <w:p>
      <w:pPr>
        <w:adjustRightInd w:val="0"/>
        <w:snapToGrid w:val="0"/>
        <w:spacing w:line="576" w:lineRule="exact"/>
        <w:jc w:val="left"/>
        <w:outlineLvl w:val="9"/>
        <w:rPr>
          <w:rFonts w:ascii="仿宋_GB2312" w:hAnsi="仿宋_GB2312" w:eastAsia="仿宋_GB2312" w:cs="仿宋_GB2312"/>
          <w:sz w:val="32"/>
          <w:szCs w:val="32"/>
        </w:rPr>
      </w:pPr>
    </w:p>
    <w:p>
      <w:pPr>
        <w:pStyle w:val="5"/>
        <w:adjustRightInd w:val="0"/>
        <w:snapToGrid w:val="0"/>
        <w:spacing w:before="0" w:after="0" w:line="576" w:lineRule="exact"/>
        <w:ind w:firstLine="640" w:firstLineChars="200"/>
        <w:rPr>
          <w:rFonts w:ascii="仿宋_GB2312" w:hAnsi="仿宋" w:eastAsia="仿宋_GB2312"/>
          <w:b w:val="0"/>
        </w:rPr>
      </w:pPr>
      <w:bookmarkStart w:id="80" w:name="_Toc10625"/>
      <w:r>
        <w:rPr>
          <w:rFonts w:hint="eastAsia" w:ascii="仿宋_GB2312" w:hAnsi="仿宋" w:eastAsia="仿宋_GB2312"/>
          <w:b w:val="0"/>
        </w:rPr>
        <w:t>一、收</w:t>
      </w:r>
      <w:r>
        <w:rPr>
          <w:rStyle w:val="21"/>
          <w:rFonts w:hint="eastAsia" w:ascii="仿宋_GB2312" w:hAnsi="仿宋" w:eastAsia="仿宋_GB2312"/>
          <w:b w:val="0"/>
          <w:bCs w:val="0"/>
        </w:rPr>
        <w:t>入支出决算总表</w:t>
      </w:r>
      <w:bookmarkEnd w:id="79"/>
      <w:bookmarkEnd w:id="80"/>
    </w:p>
    <w:p>
      <w:pPr>
        <w:pStyle w:val="5"/>
        <w:adjustRightInd w:val="0"/>
        <w:snapToGrid w:val="0"/>
        <w:spacing w:before="0" w:after="0" w:line="576" w:lineRule="exact"/>
        <w:ind w:firstLine="640" w:firstLineChars="200"/>
        <w:rPr>
          <w:rFonts w:ascii="仿宋_GB2312" w:hAnsi="仿宋" w:eastAsia="仿宋_GB2312"/>
          <w:b w:val="0"/>
        </w:rPr>
      </w:pPr>
      <w:bookmarkStart w:id="81" w:name="_Toc15396620"/>
      <w:bookmarkStart w:id="82" w:name="_Toc23026"/>
      <w:r>
        <w:rPr>
          <w:rFonts w:hint="eastAsia" w:ascii="仿宋_GB2312" w:hAnsi="仿宋" w:eastAsia="仿宋_GB2312"/>
          <w:b w:val="0"/>
        </w:rPr>
        <w:t>二、收</w:t>
      </w:r>
      <w:r>
        <w:rPr>
          <w:rStyle w:val="21"/>
          <w:rFonts w:hint="eastAsia" w:ascii="仿宋_GB2312" w:hAnsi="仿宋" w:eastAsia="仿宋_GB2312"/>
          <w:b w:val="0"/>
          <w:bCs w:val="0"/>
        </w:rPr>
        <w:t>入决算表</w:t>
      </w:r>
      <w:bookmarkEnd w:id="81"/>
      <w:bookmarkEnd w:id="82"/>
    </w:p>
    <w:p>
      <w:pPr>
        <w:pStyle w:val="5"/>
        <w:adjustRightInd w:val="0"/>
        <w:snapToGrid w:val="0"/>
        <w:spacing w:before="0" w:after="0" w:line="576" w:lineRule="exact"/>
        <w:ind w:firstLine="640" w:firstLineChars="200"/>
        <w:rPr>
          <w:rFonts w:ascii="仿宋_GB2312" w:hAnsi="仿宋" w:eastAsia="仿宋_GB2312"/>
          <w:b w:val="0"/>
        </w:rPr>
      </w:pPr>
      <w:bookmarkStart w:id="83" w:name="_Toc27968"/>
      <w:bookmarkStart w:id="84" w:name="_Toc15396621"/>
      <w:r>
        <w:rPr>
          <w:rStyle w:val="21"/>
          <w:rFonts w:hint="eastAsia" w:ascii="仿宋_GB2312" w:hAnsi="仿宋" w:eastAsia="仿宋_GB2312"/>
          <w:b w:val="0"/>
          <w:bCs w:val="0"/>
        </w:rPr>
        <w:t>三、</w:t>
      </w:r>
      <w:r>
        <w:rPr>
          <w:rFonts w:hint="eastAsia" w:ascii="仿宋_GB2312" w:hAnsi="仿宋" w:eastAsia="仿宋_GB2312"/>
          <w:b w:val="0"/>
        </w:rPr>
        <w:t>支</w:t>
      </w:r>
      <w:r>
        <w:rPr>
          <w:rStyle w:val="21"/>
          <w:rFonts w:hint="eastAsia" w:ascii="仿宋_GB2312" w:hAnsi="仿宋" w:eastAsia="仿宋_GB2312"/>
          <w:b w:val="0"/>
          <w:bCs w:val="0"/>
        </w:rPr>
        <w:t>出决算表</w:t>
      </w:r>
      <w:bookmarkEnd w:id="83"/>
      <w:bookmarkEnd w:id="84"/>
    </w:p>
    <w:p>
      <w:pPr>
        <w:pStyle w:val="5"/>
        <w:adjustRightInd w:val="0"/>
        <w:snapToGrid w:val="0"/>
        <w:spacing w:before="0" w:after="0" w:line="576" w:lineRule="exact"/>
        <w:ind w:firstLine="640" w:firstLineChars="200"/>
        <w:rPr>
          <w:rFonts w:ascii="仿宋_GB2312" w:hAnsi="仿宋" w:eastAsia="仿宋_GB2312"/>
          <w:b w:val="0"/>
        </w:rPr>
      </w:pPr>
      <w:bookmarkStart w:id="85" w:name="_Toc29156"/>
      <w:bookmarkStart w:id="86" w:name="_Toc15396622"/>
      <w:r>
        <w:rPr>
          <w:rStyle w:val="21"/>
          <w:rFonts w:hint="eastAsia" w:ascii="仿宋_GB2312" w:hAnsi="仿宋" w:eastAsia="仿宋_GB2312"/>
          <w:b w:val="0"/>
          <w:bCs w:val="0"/>
        </w:rPr>
        <w:t>四、</w:t>
      </w:r>
      <w:r>
        <w:rPr>
          <w:rFonts w:hint="eastAsia" w:ascii="仿宋_GB2312" w:hAnsi="仿宋" w:eastAsia="仿宋_GB2312"/>
          <w:b w:val="0"/>
        </w:rPr>
        <w:t>财</w:t>
      </w:r>
      <w:r>
        <w:rPr>
          <w:rStyle w:val="21"/>
          <w:rFonts w:hint="eastAsia" w:ascii="仿宋_GB2312" w:hAnsi="仿宋" w:eastAsia="仿宋_GB2312"/>
          <w:b w:val="0"/>
          <w:bCs w:val="0"/>
        </w:rPr>
        <w:t>政拨款收入支出决算总表</w:t>
      </w:r>
      <w:bookmarkEnd w:id="85"/>
      <w:bookmarkEnd w:id="86"/>
    </w:p>
    <w:p>
      <w:pPr>
        <w:pStyle w:val="5"/>
        <w:adjustRightInd w:val="0"/>
        <w:snapToGrid w:val="0"/>
        <w:spacing w:before="0" w:after="0" w:line="576" w:lineRule="exact"/>
        <w:ind w:firstLine="640" w:firstLineChars="200"/>
        <w:rPr>
          <w:rStyle w:val="21"/>
          <w:rFonts w:ascii="仿宋_GB2312" w:hAnsi="仿宋" w:eastAsia="仿宋_GB2312"/>
          <w:b w:val="0"/>
          <w:bCs w:val="0"/>
        </w:rPr>
      </w:pPr>
      <w:bookmarkStart w:id="87" w:name="_Toc15396623"/>
      <w:bookmarkStart w:id="88" w:name="_Toc25342"/>
      <w:r>
        <w:rPr>
          <w:rStyle w:val="21"/>
          <w:rFonts w:hint="eastAsia" w:ascii="仿宋_GB2312" w:hAnsi="仿宋" w:eastAsia="仿宋_GB2312"/>
          <w:b w:val="0"/>
          <w:bCs w:val="0"/>
        </w:rPr>
        <w:t>五、</w:t>
      </w:r>
      <w:r>
        <w:rPr>
          <w:rFonts w:hint="eastAsia" w:ascii="仿宋_GB2312" w:hAnsi="仿宋" w:eastAsia="仿宋_GB2312"/>
          <w:b w:val="0"/>
        </w:rPr>
        <w:t>财</w:t>
      </w:r>
      <w:r>
        <w:rPr>
          <w:rStyle w:val="21"/>
          <w:rFonts w:hint="eastAsia" w:ascii="仿宋_GB2312" w:hAnsi="仿宋" w:eastAsia="仿宋_GB2312"/>
          <w:b w:val="0"/>
          <w:bCs w:val="0"/>
        </w:rPr>
        <w:t>政拨款支出决算明细表</w:t>
      </w:r>
      <w:bookmarkEnd w:id="87"/>
      <w:bookmarkEnd w:id="88"/>
      <w:bookmarkStart w:id="89" w:name="_Toc15396624"/>
    </w:p>
    <w:p>
      <w:pPr>
        <w:pStyle w:val="5"/>
        <w:adjustRightInd w:val="0"/>
        <w:snapToGrid w:val="0"/>
        <w:spacing w:before="0" w:after="0" w:line="576" w:lineRule="exact"/>
        <w:ind w:firstLine="640" w:firstLineChars="200"/>
        <w:rPr>
          <w:rFonts w:ascii="仿宋_GB2312" w:hAnsi="仿宋" w:eastAsia="仿宋_GB2312"/>
          <w:b w:val="0"/>
        </w:rPr>
      </w:pPr>
      <w:bookmarkStart w:id="90" w:name="_Toc8854"/>
      <w:r>
        <w:rPr>
          <w:rStyle w:val="21"/>
          <w:rFonts w:hint="eastAsia" w:ascii="仿宋_GB2312" w:hAnsi="仿宋" w:eastAsia="仿宋_GB2312"/>
          <w:b w:val="0"/>
          <w:bCs w:val="0"/>
        </w:rPr>
        <w:t>六、</w:t>
      </w:r>
      <w:r>
        <w:rPr>
          <w:rFonts w:hint="eastAsia" w:ascii="仿宋_GB2312" w:hAnsi="仿宋" w:eastAsia="仿宋_GB2312"/>
          <w:b w:val="0"/>
        </w:rPr>
        <w:t>一</w:t>
      </w:r>
      <w:r>
        <w:rPr>
          <w:rStyle w:val="21"/>
          <w:rFonts w:hint="eastAsia" w:ascii="仿宋_GB2312" w:hAnsi="仿宋" w:eastAsia="仿宋_GB2312"/>
          <w:b w:val="0"/>
          <w:bCs w:val="0"/>
        </w:rPr>
        <w:t>般公共预算财政拨款支出决算表</w:t>
      </w:r>
      <w:bookmarkEnd w:id="89"/>
      <w:bookmarkEnd w:id="90"/>
    </w:p>
    <w:p>
      <w:pPr>
        <w:pStyle w:val="5"/>
        <w:adjustRightInd w:val="0"/>
        <w:snapToGrid w:val="0"/>
        <w:spacing w:before="0" w:after="0" w:line="576" w:lineRule="exact"/>
        <w:ind w:firstLine="640" w:firstLineChars="200"/>
        <w:rPr>
          <w:rFonts w:ascii="仿宋_GB2312" w:hAnsi="仿宋" w:eastAsia="仿宋_GB2312"/>
          <w:b w:val="0"/>
        </w:rPr>
      </w:pPr>
      <w:bookmarkStart w:id="91" w:name="_Toc15396625"/>
      <w:bookmarkStart w:id="92" w:name="_Toc15178"/>
      <w:r>
        <w:rPr>
          <w:rStyle w:val="21"/>
          <w:rFonts w:hint="eastAsia" w:ascii="仿宋_GB2312" w:hAnsi="仿宋" w:eastAsia="仿宋_GB2312"/>
          <w:b w:val="0"/>
          <w:bCs w:val="0"/>
        </w:rPr>
        <w:t>七、</w:t>
      </w:r>
      <w:r>
        <w:rPr>
          <w:rFonts w:hint="eastAsia" w:ascii="仿宋_GB2312" w:hAnsi="仿宋" w:eastAsia="仿宋_GB2312"/>
          <w:b w:val="0"/>
        </w:rPr>
        <w:t>一</w:t>
      </w:r>
      <w:r>
        <w:rPr>
          <w:rStyle w:val="21"/>
          <w:rFonts w:hint="eastAsia" w:ascii="仿宋_GB2312" w:hAnsi="仿宋" w:eastAsia="仿宋_GB2312"/>
          <w:b w:val="0"/>
          <w:bCs w:val="0"/>
        </w:rPr>
        <w:t>般公共预算财政拨款支出决算明细表</w:t>
      </w:r>
      <w:bookmarkEnd w:id="91"/>
      <w:bookmarkEnd w:id="92"/>
    </w:p>
    <w:p>
      <w:pPr>
        <w:pStyle w:val="5"/>
        <w:adjustRightInd w:val="0"/>
        <w:snapToGrid w:val="0"/>
        <w:spacing w:before="0" w:after="0" w:line="576" w:lineRule="exact"/>
        <w:ind w:firstLine="640" w:firstLineChars="200"/>
        <w:rPr>
          <w:rFonts w:ascii="仿宋_GB2312" w:hAnsi="仿宋" w:eastAsia="仿宋_GB2312"/>
          <w:b w:val="0"/>
        </w:rPr>
      </w:pPr>
      <w:bookmarkStart w:id="93" w:name="_Toc31269"/>
      <w:bookmarkStart w:id="94" w:name="_Toc15396626"/>
      <w:r>
        <w:rPr>
          <w:rStyle w:val="21"/>
          <w:rFonts w:hint="eastAsia" w:ascii="仿宋_GB2312" w:hAnsi="仿宋" w:eastAsia="仿宋_GB2312"/>
          <w:b w:val="0"/>
          <w:bCs w:val="0"/>
        </w:rPr>
        <w:t>八、</w:t>
      </w:r>
      <w:r>
        <w:rPr>
          <w:rFonts w:hint="eastAsia" w:ascii="仿宋_GB2312" w:hAnsi="仿宋" w:eastAsia="仿宋_GB2312"/>
          <w:b w:val="0"/>
        </w:rPr>
        <w:t>一</w:t>
      </w:r>
      <w:r>
        <w:rPr>
          <w:rStyle w:val="21"/>
          <w:rFonts w:hint="eastAsia" w:ascii="仿宋_GB2312" w:hAnsi="仿宋" w:eastAsia="仿宋_GB2312"/>
          <w:b w:val="0"/>
          <w:bCs w:val="0"/>
        </w:rPr>
        <w:t>般公共预算财政拨款基本支出决算表</w:t>
      </w:r>
      <w:bookmarkEnd w:id="93"/>
      <w:bookmarkEnd w:id="94"/>
    </w:p>
    <w:p>
      <w:pPr>
        <w:pStyle w:val="5"/>
        <w:adjustRightInd w:val="0"/>
        <w:snapToGrid w:val="0"/>
        <w:spacing w:before="0" w:after="0" w:line="576" w:lineRule="exact"/>
        <w:ind w:firstLine="640" w:firstLineChars="200"/>
        <w:rPr>
          <w:rFonts w:ascii="仿宋_GB2312" w:hAnsi="仿宋" w:eastAsia="仿宋_GB2312"/>
          <w:b w:val="0"/>
        </w:rPr>
      </w:pPr>
      <w:bookmarkStart w:id="95" w:name="_Toc15396627"/>
      <w:bookmarkStart w:id="96" w:name="_Toc13403"/>
      <w:r>
        <w:rPr>
          <w:rStyle w:val="21"/>
          <w:rFonts w:hint="eastAsia" w:ascii="仿宋_GB2312" w:hAnsi="仿宋" w:eastAsia="仿宋_GB2312"/>
          <w:b w:val="0"/>
          <w:bCs w:val="0"/>
        </w:rPr>
        <w:t>九、</w:t>
      </w:r>
      <w:r>
        <w:rPr>
          <w:rFonts w:hint="eastAsia" w:ascii="仿宋_GB2312" w:hAnsi="仿宋" w:eastAsia="仿宋_GB2312"/>
          <w:b w:val="0"/>
        </w:rPr>
        <w:t>一</w:t>
      </w:r>
      <w:r>
        <w:rPr>
          <w:rStyle w:val="21"/>
          <w:rFonts w:hint="eastAsia" w:ascii="仿宋_GB2312" w:hAnsi="仿宋" w:eastAsia="仿宋_GB2312"/>
          <w:b w:val="0"/>
          <w:bCs w:val="0"/>
        </w:rPr>
        <w:t>般公共预算财政拨款项目支出决算表</w:t>
      </w:r>
      <w:bookmarkEnd w:id="95"/>
      <w:bookmarkEnd w:id="96"/>
    </w:p>
    <w:p>
      <w:pPr>
        <w:pStyle w:val="5"/>
        <w:adjustRightInd w:val="0"/>
        <w:snapToGrid w:val="0"/>
        <w:spacing w:before="0" w:after="0" w:line="576" w:lineRule="exact"/>
        <w:ind w:firstLine="640" w:firstLineChars="200"/>
        <w:rPr>
          <w:rFonts w:ascii="仿宋_GB2312" w:hAnsi="仿宋" w:eastAsia="仿宋_GB2312"/>
          <w:b w:val="0"/>
        </w:rPr>
      </w:pPr>
      <w:bookmarkStart w:id="97" w:name="_Toc15396628"/>
      <w:bookmarkStart w:id="98" w:name="_Toc11351"/>
      <w:r>
        <w:rPr>
          <w:rStyle w:val="21"/>
          <w:rFonts w:hint="eastAsia" w:ascii="仿宋_GB2312" w:hAnsi="仿宋" w:eastAsia="仿宋_GB2312"/>
          <w:b w:val="0"/>
          <w:bCs w:val="0"/>
        </w:rPr>
        <w:t>十、</w:t>
      </w:r>
      <w:bookmarkEnd w:id="97"/>
      <w:r>
        <w:rPr>
          <w:rFonts w:hint="eastAsia" w:ascii="仿宋_GB2312" w:hAnsi="仿宋" w:eastAsia="仿宋_GB2312"/>
          <w:b w:val="0"/>
        </w:rPr>
        <w:t>政</w:t>
      </w:r>
      <w:r>
        <w:rPr>
          <w:rStyle w:val="21"/>
          <w:rFonts w:hint="eastAsia" w:ascii="仿宋_GB2312" w:hAnsi="仿宋" w:eastAsia="仿宋_GB2312"/>
          <w:b w:val="0"/>
          <w:bCs w:val="0"/>
        </w:rPr>
        <w:t>府性基金预算财政拨款收入支出决算表</w:t>
      </w:r>
      <w:bookmarkEnd w:id="98"/>
    </w:p>
    <w:p>
      <w:pPr>
        <w:pStyle w:val="5"/>
        <w:adjustRightInd w:val="0"/>
        <w:snapToGrid w:val="0"/>
        <w:spacing w:before="0" w:after="0" w:line="576" w:lineRule="exact"/>
        <w:ind w:firstLine="640" w:firstLineChars="200"/>
        <w:rPr>
          <w:rFonts w:ascii="仿宋_GB2312" w:hAnsi="仿宋" w:eastAsia="仿宋_GB2312"/>
          <w:b w:val="0"/>
        </w:rPr>
      </w:pPr>
      <w:bookmarkStart w:id="99" w:name="_Toc15396629"/>
      <w:bookmarkStart w:id="100" w:name="_Toc28601"/>
      <w:r>
        <w:rPr>
          <w:rStyle w:val="21"/>
          <w:rFonts w:hint="eastAsia" w:ascii="仿宋_GB2312" w:hAnsi="仿宋" w:eastAsia="仿宋_GB2312"/>
          <w:b w:val="0"/>
          <w:bCs w:val="0"/>
        </w:rPr>
        <w:t>十一、</w:t>
      </w:r>
      <w:bookmarkEnd w:id="99"/>
      <w:r>
        <w:rPr>
          <w:rFonts w:hint="eastAsia" w:ascii="仿宋_GB2312" w:hAnsi="仿宋" w:eastAsia="仿宋_GB2312"/>
          <w:b w:val="0"/>
        </w:rPr>
        <w:t>国</w:t>
      </w:r>
      <w:r>
        <w:rPr>
          <w:rStyle w:val="21"/>
          <w:rFonts w:hint="eastAsia" w:ascii="仿宋_GB2312" w:hAnsi="仿宋" w:eastAsia="仿宋_GB2312"/>
          <w:b w:val="0"/>
          <w:bCs w:val="0"/>
        </w:rPr>
        <w:t>有资本经营预算财政拨款收入支出决算表</w:t>
      </w:r>
      <w:bookmarkEnd w:id="100"/>
    </w:p>
    <w:p>
      <w:pPr>
        <w:pStyle w:val="5"/>
        <w:adjustRightInd w:val="0"/>
        <w:snapToGrid w:val="0"/>
        <w:spacing w:before="0" w:after="0" w:line="576" w:lineRule="exact"/>
        <w:ind w:firstLine="640" w:firstLineChars="200"/>
        <w:rPr>
          <w:rFonts w:ascii="仿宋_GB2312" w:hAnsi="仿宋" w:eastAsia="仿宋_GB2312"/>
          <w:b w:val="0"/>
        </w:rPr>
      </w:pPr>
      <w:bookmarkStart w:id="101" w:name="_Toc15396630"/>
      <w:bookmarkStart w:id="102" w:name="_Toc1536"/>
      <w:r>
        <w:rPr>
          <w:rStyle w:val="21"/>
          <w:rFonts w:hint="eastAsia" w:ascii="仿宋_GB2312" w:hAnsi="仿宋" w:eastAsia="仿宋_GB2312"/>
          <w:b w:val="0"/>
          <w:bCs w:val="0"/>
        </w:rPr>
        <w:t>十二、</w:t>
      </w:r>
      <w:bookmarkEnd w:id="101"/>
      <w:r>
        <w:rPr>
          <w:rStyle w:val="21"/>
          <w:rFonts w:hint="eastAsia" w:ascii="仿宋_GB2312" w:hAnsi="仿宋" w:eastAsia="仿宋_GB2312"/>
          <w:b w:val="0"/>
          <w:bCs w:val="0"/>
        </w:rPr>
        <w:t>国有资本经营预算财政拨款支出决算表</w:t>
      </w:r>
      <w:bookmarkEnd w:id="102"/>
    </w:p>
    <w:p>
      <w:pPr>
        <w:pStyle w:val="5"/>
        <w:adjustRightInd w:val="0"/>
        <w:snapToGrid w:val="0"/>
        <w:spacing w:before="0" w:after="0" w:line="576" w:lineRule="exact"/>
        <w:ind w:firstLine="640" w:firstLineChars="200"/>
        <w:rPr>
          <w:rFonts w:ascii="仿宋_GB2312" w:eastAsia="仿宋_GB2312"/>
          <w:b w:val="0"/>
        </w:rPr>
      </w:pPr>
      <w:bookmarkStart w:id="103" w:name="_Toc15396631"/>
      <w:bookmarkStart w:id="104" w:name="_Toc14993"/>
      <w:r>
        <w:rPr>
          <w:rStyle w:val="21"/>
          <w:rFonts w:hint="eastAsia" w:ascii="仿宋_GB2312" w:hAnsi="仿宋" w:eastAsia="仿宋_GB2312"/>
          <w:b w:val="0"/>
          <w:bCs w:val="0"/>
        </w:rPr>
        <w:t>十三、</w:t>
      </w:r>
      <w:bookmarkEnd w:id="103"/>
      <w:r>
        <w:rPr>
          <w:rStyle w:val="21"/>
          <w:rFonts w:hint="eastAsia" w:ascii="仿宋_GB2312" w:hAnsi="仿宋" w:eastAsia="仿宋_GB2312"/>
          <w:b w:val="0"/>
          <w:bCs w:val="0"/>
        </w:rPr>
        <w:t>财政拨款“三公”经费支出决算表</w:t>
      </w:r>
      <w:bookmarkEnd w:id="104"/>
    </w:p>
    <w:sectPr>
      <w:footerReference r:id="rId7" w:type="first"/>
      <w:footerReference r:id="rId6" w:type="default"/>
      <w:pgSz w:w="11906" w:h="16838"/>
      <w:pgMar w:top="2098" w:right="1531" w:bottom="1985" w:left="1531" w:header="851" w:footer="1588" w:gutter="0"/>
      <w:pgNumType w:fmt="decimal"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大黑_GBK">
    <w:panose1 w:val="03000509000000000000"/>
    <w:charset w:val="86"/>
    <w:family w:val="script"/>
    <w:pitch w:val="default"/>
    <w:sig w:usb0="00000001" w:usb1="080E0000" w:usb2="00000000" w:usb3="00000000" w:csb0="00040000" w:csb1="00000000"/>
  </w:font>
  <w:font w:name="方正粗黑宋简体">
    <w:altName w:val="宋体"/>
    <w:panose1 w:val="02000000000000000000"/>
    <w:charset w:val="86"/>
    <w:family w:val="auto"/>
    <w:pitch w:val="default"/>
    <w:sig w:usb0="00000000" w:usb1="00000000" w:usb2="00000012" w:usb3="00000000" w:csb0="00040001" w:csb1="00000000"/>
  </w:font>
  <w:font w:name="楷体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00000001" w:usb1="08000000" w:usb2="00000000" w:usb3="00000000" w:csb0="00040000" w:csb1="00000000"/>
  </w:font>
  <w:font w:name="Helvetica">
    <w:altName w:val="Arial"/>
    <w:panose1 w:val="020B0504020202030204"/>
    <w:charset w:val="00"/>
    <w:family w:val="swiss"/>
    <w:pitch w:val="default"/>
    <w:sig w:usb0="00000000" w:usb1="00000000" w:usb2="00000000" w:usb3="00000000" w:csb0="00000093"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rPr>
        <w:rFonts w:ascii="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outside" w:y="1"/>
      <w:rPr>
        <w:rStyle w:val="18"/>
      </w:rPr>
    </w:pPr>
    <w:r>
      <w:rPr>
        <w:rStyle w:val="18"/>
      </w:rPr>
      <w:fldChar w:fldCharType="begin"/>
    </w:r>
    <w:r>
      <w:rPr>
        <w:rStyle w:val="18"/>
      </w:rPr>
      <w:instrText xml:space="preserve">PAGE  </w:instrText>
    </w:r>
    <w:r>
      <w:rPr>
        <w:rStyle w:val="18"/>
      </w:rPr>
      <w:fldChar w:fldCharType="end"/>
    </w:r>
  </w:p>
  <w:p>
    <w:pPr>
      <w:pStyle w:val="10"/>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right="360" w:firstLine="360"/>
      <w:rPr>
        <w:rFonts w:ascii="宋体"/>
        <w:sz w:val="28"/>
        <w:szCs w:val="28"/>
      </w:rPr>
    </w:pPr>
    <w:r>
      <w:rPr>
        <w:sz w:val="28"/>
      </w:rPr>
      <w:pict>
        <v:shape id="_x0000_s4098" o:spid="_x0000_s4098" o:spt="202" type="#_x0000_t202" style="position:absolute;left:0pt;margin-top:0pt;height:144pt;width:144pt;mso-position-horizontal:outside;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0"/>
                  <w:rPr>
                    <w:rFonts w:hint="eastAsia" w:ascii="宋体" w:hAnsi="宋体" w:eastAsia="宋体" w:cs="宋体"/>
                    <w:sz w:val="28"/>
                    <w:szCs w:val="28"/>
                    <w:lang w:eastAsia="zh-CN"/>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sz w:val="18"/>
      </w:rPr>
      <w:pict>
        <v:shape id="_x0000_s4097" o:spid="_x0000_s4097"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0"/>
                  <w:rPr>
                    <w:rFonts w:hint="eastAsia" w:ascii="宋体" w:hAnsi="宋体" w:eastAsia="宋体" w:cs="宋体"/>
                    <w:sz w:val="28"/>
                    <w:szCs w:val="28"/>
                  </w:rPr>
                </w:pPr>
                <w:r>
                  <w:rPr>
                    <w:rFonts w:hint="eastAsia" w:ascii="宋体" w:hAnsi="宋体" w:cs="宋体"/>
                    <w:sz w:val="28"/>
                    <w:szCs w:val="28"/>
                    <w:lang w:eastAsia="zh-CN"/>
                  </w:rPr>
                  <w:t>—</w:t>
                </w:r>
                <w:r>
                  <w:rPr>
                    <w:rFonts w:hint="eastAsia" w:ascii="宋体" w:hAnsi="宋体" w:cs="宋体"/>
                    <w:sz w:val="28"/>
                    <w:szCs w:val="28"/>
                    <w:lang w:val="en-US" w:eastAsia="zh-CN"/>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cs="宋体"/>
                    <w:sz w:val="28"/>
                    <w:szCs w:val="28"/>
                    <w:lang w:val="en-US" w:eastAsia="zh-CN"/>
                  </w:rPr>
                  <w:t xml:space="preserve"> </w:t>
                </w:r>
                <w:r>
                  <w:rPr>
                    <w:rFonts w:hint="eastAsia" w:ascii="宋体" w:hAnsi="宋体" w:cs="宋体"/>
                    <w:sz w:val="28"/>
                    <w:szCs w:val="28"/>
                    <w:lang w:eastAsia="zh-CN"/>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cs="Times New Roman"/>
      </w:rPr>
    </w:lvl>
  </w:abstractNum>
  <w:abstractNum w:abstractNumId="1">
    <w:nsid w:val="6255B290"/>
    <w:multiLevelType w:val="singleLevel"/>
    <w:tmpl w:val="6255B290"/>
    <w:lvl w:ilvl="0" w:tentative="0">
      <w:start w:val="1"/>
      <w:numFmt w:val="decimal"/>
      <w:suff w:val="nothing"/>
      <w:lvlText w:val="%1．"/>
      <w:lvlJc w:val="left"/>
      <w:pPr>
        <w:ind w:firstLine="400"/>
      </w:pPr>
      <w:rPr>
        <w:rFonts w:hint="default" w:ascii="仿宋_GB2312" w:hAnsi="Times New Roman" w:eastAsia="仿宋_GB2312" w:cs="Times New Roman"/>
        <w:b w:val="0"/>
        <w:bCs w:val="0"/>
        <w:sz w:val="32"/>
        <w:szCs w:val="32"/>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HorizontalSpacing w:val="105"/>
  <w:drawingGridVerticalSpacing w:val="156"/>
  <w:noPunctuationKerning w:val="true"/>
  <w:characterSpacingControl w:val="compressPunctuation"/>
  <w:noLineBreaksAfter w:lang="zh-CN" w:val="$([{£¥·‘“〈《「『【〔〖〝﹙﹛﹝＄（．［｛￡￥"/>
  <w:noLineBreaksBefore w:lang="zh-CN" w:val="!%),.:;&gt;?]}¢¨°·ˇˉ―‖’”…‰′″›℃∶、。〃〉》」』】〕〗〞︶︺︾﹀﹄﹚﹜﹞！＂％＇），．：；？］｀｜｝～￠"/>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GZiNzZiNDVlOGViOWVmM2JhOTY0NGJkNjUyYzgifQ=="/>
  </w:docVars>
  <w:rsids>
    <w:rsidRoot w:val="00F1361C"/>
    <w:rsid w:val="00017639"/>
    <w:rsid w:val="000222C6"/>
    <w:rsid w:val="0002549F"/>
    <w:rsid w:val="000468DB"/>
    <w:rsid w:val="00055A7C"/>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C786E"/>
    <w:rsid w:val="000D1267"/>
    <w:rsid w:val="000D1D50"/>
    <w:rsid w:val="000D23FE"/>
    <w:rsid w:val="000D5782"/>
    <w:rsid w:val="000E6613"/>
    <w:rsid w:val="000E7119"/>
    <w:rsid w:val="00100518"/>
    <w:rsid w:val="00114E9B"/>
    <w:rsid w:val="00142216"/>
    <w:rsid w:val="00144D6A"/>
    <w:rsid w:val="0014729F"/>
    <w:rsid w:val="0015365A"/>
    <w:rsid w:val="00157BAB"/>
    <w:rsid w:val="001654D1"/>
    <w:rsid w:val="00174518"/>
    <w:rsid w:val="0018106D"/>
    <w:rsid w:val="001877A7"/>
    <w:rsid w:val="00191536"/>
    <w:rsid w:val="00196687"/>
    <w:rsid w:val="001A1DAD"/>
    <w:rsid w:val="001C0962"/>
    <w:rsid w:val="001D7531"/>
    <w:rsid w:val="001E737D"/>
    <w:rsid w:val="001F0592"/>
    <w:rsid w:val="001F7506"/>
    <w:rsid w:val="002006CD"/>
    <w:rsid w:val="00202B36"/>
    <w:rsid w:val="00204B7A"/>
    <w:rsid w:val="00204CDE"/>
    <w:rsid w:val="00206907"/>
    <w:rsid w:val="0021101A"/>
    <w:rsid w:val="00212B4A"/>
    <w:rsid w:val="00220536"/>
    <w:rsid w:val="00235629"/>
    <w:rsid w:val="002517FB"/>
    <w:rsid w:val="00260C38"/>
    <w:rsid w:val="002616C0"/>
    <w:rsid w:val="00265372"/>
    <w:rsid w:val="002662AA"/>
    <w:rsid w:val="00274943"/>
    <w:rsid w:val="00277161"/>
    <w:rsid w:val="00280496"/>
    <w:rsid w:val="00294DC9"/>
    <w:rsid w:val="00295495"/>
    <w:rsid w:val="002A31DE"/>
    <w:rsid w:val="002B2613"/>
    <w:rsid w:val="002C5004"/>
    <w:rsid w:val="002D3497"/>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25C50"/>
    <w:rsid w:val="0043177C"/>
    <w:rsid w:val="00434489"/>
    <w:rsid w:val="00437085"/>
    <w:rsid w:val="00443880"/>
    <w:rsid w:val="004464F4"/>
    <w:rsid w:val="004473D9"/>
    <w:rsid w:val="0046049C"/>
    <w:rsid w:val="00471401"/>
    <w:rsid w:val="00473F31"/>
    <w:rsid w:val="00476A11"/>
    <w:rsid w:val="0048263A"/>
    <w:rsid w:val="00487E5D"/>
    <w:rsid w:val="004A711F"/>
    <w:rsid w:val="004B199D"/>
    <w:rsid w:val="004B4690"/>
    <w:rsid w:val="004E0A2D"/>
    <w:rsid w:val="004E206B"/>
    <w:rsid w:val="004E6DF7"/>
    <w:rsid w:val="004F0FBD"/>
    <w:rsid w:val="00505A47"/>
    <w:rsid w:val="00512FDA"/>
    <w:rsid w:val="00520DA0"/>
    <w:rsid w:val="00525F67"/>
    <w:rsid w:val="00547192"/>
    <w:rsid w:val="005533CF"/>
    <w:rsid w:val="005664BB"/>
    <w:rsid w:val="00566FFA"/>
    <w:rsid w:val="00573DC6"/>
    <w:rsid w:val="0057481D"/>
    <w:rsid w:val="0058486E"/>
    <w:rsid w:val="00585B33"/>
    <w:rsid w:val="0059014D"/>
    <w:rsid w:val="005B5C64"/>
    <w:rsid w:val="005B6E8A"/>
    <w:rsid w:val="005C5337"/>
    <w:rsid w:val="005C6BD0"/>
    <w:rsid w:val="005D1C8B"/>
    <w:rsid w:val="005D468D"/>
    <w:rsid w:val="005D52C6"/>
    <w:rsid w:val="005D5CED"/>
    <w:rsid w:val="005F10BC"/>
    <w:rsid w:val="005F1A4C"/>
    <w:rsid w:val="00605688"/>
    <w:rsid w:val="006070AF"/>
    <w:rsid w:val="00607E6C"/>
    <w:rsid w:val="006101B1"/>
    <w:rsid w:val="00614E44"/>
    <w:rsid w:val="0062270A"/>
    <w:rsid w:val="00622830"/>
    <w:rsid w:val="00623DA0"/>
    <w:rsid w:val="00630AEF"/>
    <w:rsid w:val="006325F8"/>
    <w:rsid w:val="00633463"/>
    <w:rsid w:val="00634C9A"/>
    <w:rsid w:val="00636165"/>
    <w:rsid w:val="006440E4"/>
    <w:rsid w:val="00655FC5"/>
    <w:rsid w:val="0066343B"/>
    <w:rsid w:val="00664777"/>
    <w:rsid w:val="006748A4"/>
    <w:rsid w:val="0068018F"/>
    <w:rsid w:val="00681A31"/>
    <w:rsid w:val="00683E73"/>
    <w:rsid w:val="006A3141"/>
    <w:rsid w:val="006A5E34"/>
    <w:rsid w:val="006B2422"/>
    <w:rsid w:val="006B2B9A"/>
    <w:rsid w:val="006C1937"/>
    <w:rsid w:val="006C3C60"/>
    <w:rsid w:val="006C41DD"/>
    <w:rsid w:val="006E7CBD"/>
    <w:rsid w:val="006F020C"/>
    <w:rsid w:val="0071021A"/>
    <w:rsid w:val="007127B7"/>
    <w:rsid w:val="0071798E"/>
    <w:rsid w:val="007416B6"/>
    <w:rsid w:val="00746F48"/>
    <w:rsid w:val="00751EA9"/>
    <w:rsid w:val="0075404D"/>
    <w:rsid w:val="0076182A"/>
    <w:rsid w:val="00767B7E"/>
    <w:rsid w:val="007770C3"/>
    <w:rsid w:val="00781B63"/>
    <w:rsid w:val="00784D24"/>
    <w:rsid w:val="00785FBA"/>
    <w:rsid w:val="00786E4A"/>
    <w:rsid w:val="007875EB"/>
    <w:rsid w:val="0079426B"/>
    <w:rsid w:val="007A0CF1"/>
    <w:rsid w:val="007A322E"/>
    <w:rsid w:val="007B4DB1"/>
    <w:rsid w:val="007D1596"/>
    <w:rsid w:val="007D1682"/>
    <w:rsid w:val="007D312A"/>
    <w:rsid w:val="007D3F19"/>
    <w:rsid w:val="007E0924"/>
    <w:rsid w:val="007E23B0"/>
    <w:rsid w:val="007E23E5"/>
    <w:rsid w:val="007F1991"/>
    <w:rsid w:val="007F2C2F"/>
    <w:rsid w:val="007F55FC"/>
    <w:rsid w:val="007F5665"/>
    <w:rsid w:val="00800112"/>
    <w:rsid w:val="00804D4B"/>
    <w:rsid w:val="00813102"/>
    <w:rsid w:val="00813348"/>
    <w:rsid w:val="008253BB"/>
    <w:rsid w:val="0083706E"/>
    <w:rsid w:val="008408F6"/>
    <w:rsid w:val="008423A5"/>
    <w:rsid w:val="00850625"/>
    <w:rsid w:val="00853718"/>
    <w:rsid w:val="00855221"/>
    <w:rsid w:val="00860645"/>
    <w:rsid w:val="008629C9"/>
    <w:rsid w:val="00871F71"/>
    <w:rsid w:val="00872FD8"/>
    <w:rsid w:val="00885AF4"/>
    <w:rsid w:val="008939CD"/>
    <w:rsid w:val="008B3367"/>
    <w:rsid w:val="008B768C"/>
    <w:rsid w:val="008C4DB1"/>
    <w:rsid w:val="008C4EAF"/>
    <w:rsid w:val="008C5176"/>
    <w:rsid w:val="008C7FD0"/>
    <w:rsid w:val="008C7FD8"/>
    <w:rsid w:val="008E1DE7"/>
    <w:rsid w:val="008E707C"/>
    <w:rsid w:val="00900B08"/>
    <w:rsid w:val="00902155"/>
    <w:rsid w:val="00902FA3"/>
    <w:rsid w:val="00923564"/>
    <w:rsid w:val="0092392E"/>
    <w:rsid w:val="009248A6"/>
    <w:rsid w:val="009315F9"/>
    <w:rsid w:val="00933499"/>
    <w:rsid w:val="00935C98"/>
    <w:rsid w:val="00946153"/>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C74B2"/>
    <w:rsid w:val="009D3447"/>
    <w:rsid w:val="009D4711"/>
    <w:rsid w:val="009F1185"/>
    <w:rsid w:val="009F18CD"/>
    <w:rsid w:val="009F2A13"/>
    <w:rsid w:val="009F7527"/>
    <w:rsid w:val="00A04EB0"/>
    <w:rsid w:val="00A13CC1"/>
    <w:rsid w:val="00A16847"/>
    <w:rsid w:val="00A17B29"/>
    <w:rsid w:val="00A237D8"/>
    <w:rsid w:val="00A268C4"/>
    <w:rsid w:val="00A307CD"/>
    <w:rsid w:val="00A331C8"/>
    <w:rsid w:val="00A40A00"/>
    <w:rsid w:val="00A4142F"/>
    <w:rsid w:val="00A422EB"/>
    <w:rsid w:val="00A45BB7"/>
    <w:rsid w:val="00A56DF2"/>
    <w:rsid w:val="00A56E6E"/>
    <w:rsid w:val="00A67AB5"/>
    <w:rsid w:val="00A733B2"/>
    <w:rsid w:val="00A741C2"/>
    <w:rsid w:val="00A76815"/>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373D8"/>
    <w:rsid w:val="00B425E0"/>
    <w:rsid w:val="00B440AA"/>
    <w:rsid w:val="00B44B70"/>
    <w:rsid w:val="00B53C56"/>
    <w:rsid w:val="00B57DAF"/>
    <w:rsid w:val="00B758B4"/>
    <w:rsid w:val="00B77EA6"/>
    <w:rsid w:val="00B81598"/>
    <w:rsid w:val="00B841F1"/>
    <w:rsid w:val="00B944D6"/>
    <w:rsid w:val="00BB4DF0"/>
    <w:rsid w:val="00BC289F"/>
    <w:rsid w:val="00BC2D50"/>
    <w:rsid w:val="00BC4907"/>
    <w:rsid w:val="00BC5361"/>
    <w:rsid w:val="00BC5460"/>
    <w:rsid w:val="00BC6B50"/>
    <w:rsid w:val="00BD0E25"/>
    <w:rsid w:val="00BD53D3"/>
    <w:rsid w:val="00BD56E3"/>
    <w:rsid w:val="00BF5BD6"/>
    <w:rsid w:val="00C02796"/>
    <w:rsid w:val="00C03E31"/>
    <w:rsid w:val="00C33E72"/>
    <w:rsid w:val="00C354B2"/>
    <w:rsid w:val="00C35554"/>
    <w:rsid w:val="00C42709"/>
    <w:rsid w:val="00C533CC"/>
    <w:rsid w:val="00C5751C"/>
    <w:rsid w:val="00C61BFC"/>
    <w:rsid w:val="00C62B85"/>
    <w:rsid w:val="00C65438"/>
    <w:rsid w:val="00C87FD8"/>
    <w:rsid w:val="00C91381"/>
    <w:rsid w:val="00C91864"/>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1E6F"/>
    <w:rsid w:val="00D34E7C"/>
    <w:rsid w:val="00D35489"/>
    <w:rsid w:val="00D36AFE"/>
    <w:rsid w:val="00D51276"/>
    <w:rsid w:val="00D7035F"/>
    <w:rsid w:val="00DA634F"/>
    <w:rsid w:val="00DA65AC"/>
    <w:rsid w:val="00DB1913"/>
    <w:rsid w:val="00DC410D"/>
    <w:rsid w:val="00DC53F0"/>
    <w:rsid w:val="00DC5A81"/>
    <w:rsid w:val="00DC68CA"/>
    <w:rsid w:val="00DC7CBA"/>
    <w:rsid w:val="00DD73B7"/>
    <w:rsid w:val="00DF28BC"/>
    <w:rsid w:val="00DF34B9"/>
    <w:rsid w:val="00E01053"/>
    <w:rsid w:val="00E07ACF"/>
    <w:rsid w:val="00E108F7"/>
    <w:rsid w:val="00E2350C"/>
    <w:rsid w:val="00E331A1"/>
    <w:rsid w:val="00E33202"/>
    <w:rsid w:val="00E336A9"/>
    <w:rsid w:val="00E472B1"/>
    <w:rsid w:val="00E50624"/>
    <w:rsid w:val="00E568DF"/>
    <w:rsid w:val="00E64269"/>
    <w:rsid w:val="00E77BD5"/>
    <w:rsid w:val="00E82267"/>
    <w:rsid w:val="00E853CE"/>
    <w:rsid w:val="00E867B6"/>
    <w:rsid w:val="00E9040B"/>
    <w:rsid w:val="00EA010F"/>
    <w:rsid w:val="00EC1455"/>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4CB"/>
    <w:rsid w:val="00F45853"/>
    <w:rsid w:val="00F602DF"/>
    <w:rsid w:val="00F754A1"/>
    <w:rsid w:val="00F81FD9"/>
    <w:rsid w:val="00F841AA"/>
    <w:rsid w:val="00F84A94"/>
    <w:rsid w:val="00F87E96"/>
    <w:rsid w:val="00FA23E8"/>
    <w:rsid w:val="00FD3CC1"/>
    <w:rsid w:val="00FF1E02"/>
    <w:rsid w:val="00FF30B4"/>
    <w:rsid w:val="01392B76"/>
    <w:rsid w:val="018A1427"/>
    <w:rsid w:val="01A62896"/>
    <w:rsid w:val="01B3097E"/>
    <w:rsid w:val="01E5599D"/>
    <w:rsid w:val="023B48CB"/>
    <w:rsid w:val="02C71A55"/>
    <w:rsid w:val="02F254D6"/>
    <w:rsid w:val="03DC2831"/>
    <w:rsid w:val="03F01F3C"/>
    <w:rsid w:val="04452C4D"/>
    <w:rsid w:val="04571418"/>
    <w:rsid w:val="04AB6C6B"/>
    <w:rsid w:val="04AC0BD2"/>
    <w:rsid w:val="0506170D"/>
    <w:rsid w:val="0717375D"/>
    <w:rsid w:val="081B5E94"/>
    <w:rsid w:val="08CA4C07"/>
    <w:rsid w:val="098470A4"/>
    <w:rsid w:val="099866AB"/>
    <w:rsid w:val="09AB6628"/>
    <w:rsid w:val="0A2032A3"/>
    <w:rsid w:val="0A2E773B"/>
    <w:rsid w:val="0ACA0AE6"/>
    <w:rsid w:val="0B8A37D8"/>
    <w:rsid w:val="0BAE1CB8"/>
    <w:rsid w:val="0BCD088E"/>
    <w:rsid w:val="0C913FA4"/>
    <w:rsid w:val="0CC83A2C"/>
    <w:rsid w:val="0D38267F"/>
    <w:rsid w:val="0DF90060"/>
    <w:rsid w:val="0E590B43"/>
    <w:rsid w:val="0E7C40E8"/>
    <w:rsid w:val="0E975183"/>
    <w:rsid w:val="0ED2440E"/>
    <w:rsid w:val="0EE20AF5"/>
    <w:rsid w:val="0F5FFB2F"/>
    <w:rsid w:val="0FFFCF60"/>
    <w:rsid w:val="10C055FF"/>
    <w:rsid w:val="112E6273"/>
    <w:rsid w:val="118107EC"/>
    <w:rsid w:val="118922C6"/>
    <w:rsid w:val="11963E18"/>
    <w:rsid w:val="11AD363C"/>
    <w:rsid w:val="11DD6519"/>
    <w:rsid w:val="121429E2"/>
    <w:rsid w:val="128B698F"/>
    <w:rsid w:val="12F31522"/>
    <w:rsid w:val="13B879E0"/>
    <w:rsid w:val="149070A3"/>
    <w:rsid w:val="16BB723D"/>
    <w:rsid w:val="16DC0C5E"/>
    <w:rsid w:val="17057DAB"/>
    <w:rsid w:val="177B1AE6"/>
    <w:rsid w:val="18015F3F"/>
    <w:rsid w:val="183B1291"/>
    <w:rsid w:val="186E33F9"/>
    <w:rsid w:val="189A5F9C"/>
    <w:rsid w:val="18B95AF2"/>
    <w:rsid w:val="193B777F"/>
    <w:rsid w:val="19B233B5"/>
    <w:rsid w:val="19B32CDE"/>
    <w:rsid w:val="19BD63E6"/>
    <w:rsid w:val="1B1E4D15"/>
    <w:rsid w:val="1BE8440E"/>
    <w:rsid w:val="1BF004DF"/>
    <w:rsid w:val="1BF754B3"/>
    <w:rsid w:val="1D155CEE"/>
    <w:rsid w:val="1D594678"/>
    <w:rsid w:val="1DAD0520"/>
    <w:rsid w:val="1DDA6E3B"/>
    <w:rsid w:val="1FDBBF84"/>
    <w:rsid w:val="201274A6"/>
    <w:rsid w:val="201E1DBC"/>
    <w:rsid w:val="20E21FD6"/>
    <w:rsid w:val="20F57F95"/>
    <w:rsid w:val="20F91DC3"/>
    <w:rsid w:val="21240AF9"/>
    <w:rsid w:val="2134444A"/>
    <w:rsid w:val="213F3B84"/>
    <w:rsid w:val="21A70722"/>
    <w:rsid w:val="22123047"/>
    <w:rsid w:val="22350AE4"/>
    <w:rsid w:val="223E3E3C"/>
    <w:rsid w:val="22D36C7A"/>
    <w:rsid w:val="23BC326A"/>
    <w:rsid w:val="23C27922"/>
    <w:rsid w:val="23EA427B"/>
    <w:rsid w:val="240371BF"/>
    <w:rsid w:val="24082954"/>
    <w:rsid w:val="24221D18"/>
    <w:rsid w:val="24303C58"/>
    <w:rsid w:val="2479115B"/>
    <w:rsid w:val="25711CC6"/>
    <w:rsid w:val="259D0E7A"/>
    <w:rsid w:val="25A20B86"/>
    <w:rsid w:val="25C741E6"/>
    <w:rsid w:val="26385E52"/>
    <w:rsid w:val="26722306"/>
    <w:rsid w:val="27190C26"/>
    <w:rsid w:val="27592891"/>
    <w:rsid w:val="276F80C0"/>
    <w:rsid w:val="27734588"/>
    <w:rsid w:val="27842671"/>
    <w:rsid w:val="278F0628"/>
    <w:rsid w:val="283A61C7"/>
    <w:rsid w:val="2899040C"/>
    <w:rsid w:val="29166354"/>
    <w:rsid w:val="2934651F"/>
    <w:rsid w:val="29354D30"/>
    <w:rsid w:val="29FA2D3E"/>
    <w:rsid w:val="29FD04D3"/>
    <w:rsid w:val="2A9652C2"/>
    <w:rsid w:val="2ABE7A3E"/>
    <w:rsid w:val="2AFF09B6"/>
    <w:rsid w:val="2B54022C"/>
    <w:rsid w:val="2C4D7C6A"/>
    <w:rsid w:val="2C6375F7"/>
    <w:rsid w:val="2C950AFD"/>
    <w:rsid w:val="2CA234A8"/>
    <w:rsid w:val="2D582EE4"/>
    <w:rsid w:val="2EFA178C"/>
    <w:rsid w:val="2EFDF86C"/>
    <w:rsid w:val="2F807DA9"/>
    <w:rsid w:val="2F9D17E1"/>
    <w:rsid w:val="30B46D73"/>
    <w:rsid w:val="319F7F4E"/>
    <w:rsid w:val="328E04C8"/>
    <w:rsid w:val="345D5BA7"/>
    <w:rsid w:val="34A07BE8"/>
    <w:rsid w:val="356A28F1"/>
    <w:rsid w:val="357C035A"/>
    <w:rsid w:val="368E000D"/>
    <w:rsid w:val="37313B18"/>
    <w:rsid w:val="37B16457"/>
    <w:rsid w:val="383D272C"/>
    <w:rsid w:val="384F24A7"/>
    <w:rsid w:val="385C4BC4"/>
    <w:rsid w:val="38D16C69"/>
    <w:rsid w:val="38EA21D0"/>
    <w:rsid w:val="39565AB7"/>
    <w:rsid w:val="39AE70AB"/>
    <w:rsid w:val="39EB4653"/>
    <w:rsid w:val="3A0F3D4B"/>
    <w:rsid w:val="3A4DCE41"/>
    <w:rsid w:val="3BCB56FA"/>
    <w:rsid w:val="3C0C0783"/>
    <w:rsid w:val="3C1732DC"/>
    <w:rsid w:val="3C7C5835"/>
    <w:rsid w:val="3C7E15AD"/>
    <w:rsid w:val="3D023DBB"/>
    <w:rsid w:val="3D26409F"/>
    <w:rsid w:val="3EE7C2F4"/>
    <w:rsid w:val="3F371B56"/>
    <w:rsid w:val="3F5B0B82"/>
    <w:rsid w:val="3F792ED8"/>
    <w:rsid w:val="3F9F3A96"/>
    <w:rsid w:val="3FECA4B2"/>
    <w:rsid w:val="3FF58C48"/>
    <w:rsid w:val="40A23390"/>
    <w:rsid w:val="40AB0497"/>
    <w:rsid w:val="417756CE"/>
    <w:rsid w:val="42D53C5B"/>
    <w:rsid w:val="42FF6694"/>
    <w:rsid w:val="432B081F"/>
    <w:rsid w:val="43480064"/>
    <w:rsid w:val="43882D11"/>
    <w:rsid w:val="43CF0940"/>
    <w:rsid w:val="45766BDA"/>
    <w:rsid w:val="4654512D"/>
    <w:rsid w:val="46E26BDC"/>
    <w:rsid w:val="475A49C5"/>
    <w:rsid w:val="48000480"/>
    <w:rsid w:val="48041878"/>
    <w:rsid w:val="48BF60AB"/>
    <w:rsid w:val="48EB231C"/>
    <w:rsid w:val="49170DBF"/>
    <w:rsid w:val="493C27E9"/>
    <w:rsid w:val="496F39ED"/>
    <w:rsid w:val="49867CF3"/>
    <w:rsid w:val="49FF41D3"/>
    <w:rsid w:val="4A0600C1"/>
    <w:rsid w:val="4AC72371"/>
    <w:rsid w:val="4B775B45"/>
    <w:rsid w:val="4BE068DB"/>
    <w:rsid w:val="4BF6002B"/>
    <w:rsid w:val="4BFFC6BE"/>
    <w:rsid w:val="4C7B3529"/>
    <w:rsid w:val="4C8147A2"/>
    <w:rsid w:val="4D0E6F71"/>
    <w:rsid w:val="4DCC65D8"/>
    <w:rsid w:val="4DDA6F61"/>
    <w:rsid w:val="4E887DA1"/>
    <w:rsid w:val="4EA568EA"/>
    <w:rsid w:val="4ECE2238"/>
    <w:rsid w:val="503F29AA"/>
    <w:rsid w:val="514324CE"/>
    <w:rsid w:val="516721B8"/>
    <w:rsid w:val="51B51175"/>
    <w:rsid w:val="51DB4B86"/>
    <w:rsid w:val="51F64DB0"/>
    <w:rsid w:val="524B3888"/>
    <w:rsid w:val="53D12F03"/>
    <w:rsid w:val="53F331A4"/>
    <w:rsid w:val="548B2661"/>
    <w:rsid w:val="54AB2D04"/>
    <w:rsid w:val="54BB7BAA"/>
    <w:rsid w:val="55333C3E"/>
    <w:rsid w:val="55CE0A58"/>
    <w:rsid w:val="55EC2C79"/>
    <w:rsid w:val="55F3633A"/>
    <w:rsid w:val="56A60C81"/>
    <w:rsid w:val="56D71B8E"/>
    <w:rsid w:val="578D1B53"/>
    <w:rsid w:val="57FD73D2"/>
    <w:rsid w:val="58C34194"/>
    <w:rsid w:val="58FC3385"/>
    <w:rsid w:val="58FF6E67"/>
    <w:rsid w:val="59B937CD"/>
    <w:rsid w:val="59F75891"/>
    <w:rsid w:val="5A9A2114"/>
    <w:rsid w:val="5AB0697E"/>
    <w:rsid w:val="5B687259"/>
    <w:rsid w:val="5B8A0A45"/>
    <w:rsid w:val="5C5D5C4B"/>
    <w:rsid w:val="5C675762"/>
    <w:rsid w:val="5D431D2B"/>
    <w:rsid w:val="5E17690C"/>
    <w:rsid w:val="5F67802D"/>
    <w:rsid w:val="5F7DC4F2"/>
    <w:rsid w:val="5F8B79B9"/>
    <w:rsid w:val="5FB36814"/>
    <w:rsid w:val="5FBB8E56"/>
    <w:rsid w:val="5FFB5535"/>
    <w:rsid w:val="608F34D9"/>
    <w:rsid w:val="609357D6"/>
    <w:rsid w:val="611063C8"/>
    <w:rsid w:val="61214589"/>
    <w:rsid w:val="62EF025F"/>
    <w:rsid w:val="639130C5"/>
    <w:rsid w:val="640302F6"/>
    <w:rsid w:val="64186691"/>
    <w:rsid w:val="64CA39A1"/>
    <w:rsid w:val="651F307E"/>
    <w:rsid w:val="65C43C25"/>
    <w:rsid w:val="661B7FD5"/>
    <w:rsid w:val="66AD6C48"/>
    <w:rsid w:val="66BB1AFB"/>
    <w:rsid w:val="66D954AE"/>
    <w:rsid w:val="67FD2AAB"/>
    <w:rsid w:val="69630ADE"/>
    <w:rsid w:val="69BD5F13"/>
    <w:rsid w:val="69E86C89"/>
    <w:rsid w:val="69FB0B4B"/>
    <w:rsid w:val="6A5F4BF7"/>
    <w:rsid w:val="6A687B43"/>
    <w:rsid w:val="6B33416E"/>
    <w:rsid w:val="6BBC4972"/>
    <w:rsid w:val="6BFF476F"/>
    <w:rsid w:val="6BFFE1FB"/>
    <w:rsid w:val="6C4A05C8"/>
    <w:rsid w:val="6C90660F"/>
    <w:rsid w:val="6D3B1A89"/>
    <w:rsid w:val="6DB7D8A3"/>
    <w:rsid w:val="6DBA4372"/>
    <w:rsid w:val="6DE22E9A"/>
    <w:rsid w:val="6EC78701"/>
    <w:rsid w:val="6EE65108"/>
    <w:rsid w:val="6F7A5481"/>
    <w:rsid w:val="6FFE07A9"/>
    <w:rsid w:val="71BF4EC2"/>
    <w:rsid w:val="71DE05CD"/>
    <w:rsid w:val="72010FFF"/>
    <w:rsid w:val="724B7A46"/>
    <w:rsid w:val="726C5429"/>
    <w:rsid w:val="72734D90"/>
    <w:rsid w:val="72936E59"/>
    <w:rsid w:val="734E0859"/>
    <w:rsid w:val="739509AF"/>
    <w:rsid w:val="73E75B71"/>
    <w:rsid w:val="7412278C"/>
    <w:rsid w:val="74336802"/>
    <w:rsid w:val="753A35BC"/>
    <w:rsid w:val="754B7577"/>
    <w:rsid w:val="75DDCDA9"/>
    <w:rsid w:val="75FF44B1"/>
    <w:rsid w:val="774150D6"/>
    <w:rsid w:val="77670518"/>
    <w:rsid w:val="777FA627"/>
    <w:rsid w:val="77D632A2"/>
    <w:rsid w:val="77DF1B5F"/>
    <w:rsid w:val="77EF2D9D"/>
    <w:rsid w:val="78016613"/>
    <w:rsid w:val="781E7167"/>
    <w:rsid w:val="79170F2A"/>
    <w:rsid w:val="79E4061A"/>
    <w:rsid w:val="79E77EBE"/>
    <w:rsid w:val="79E7B28D"/>
    <w:rsid w:val="7A2B2D92"/>
    <w:rsid w:val="7ACFF0C2"/>
    <w:rsid w:val="7ADD3367"/>
    <w:rsid w:val="7AFB9108"/>
    <w:rsid w:val="7AFD1314"/>
    <w:rsid w:val="7B120A1C"/>
    <w:rsid w:val="7B247461"/>
    <w:rsid w:val="7B783090"/>
    <w:rsid w:val="7BD5340C"/>
    <w:rsid w:val="7BFB19D2"/>
    <w:rsid w:val="7BFD1750"/>
    <w:rsid w:val="7BFDAA1B"/>
    <w:rsid w:val="7C857813"/>
    <w:rsid w:val="7CDF9A82"/>
    <w:rsid w:val="7CFFA1BD"/>
    <w:rsid w:val="7D1F7C67"/>
    <w:rsid w:val="7D2E3F7A"/>
    <w:rsid w:val="7D36433B"/>
    <w:rsid w:val="7DBD2FDC"/>
    <w:rsid w:val="7DED9490"/>
    <w:rsid w:val="7DFF4872"/>
    <w:rsid w:val="7DFFFB54"/>
    <w:rsid w:val="7E174DE1"/>
    <w:rsid w:val="7E7487E6"/>
    <w:rsid w:val="7E7C2A54"/>
    <w:rsid w:val="7ED607F9"/>
    <w:rsid w:val="7EEEFD72"/>
    <w:rsid w:val="7F1D517C"/>
    <w:rsid w:val="7F5DA057"/>
    <w:rsid w:val="7F6C2237"/>
    <w:rsid w:val="7F7F319B"/>
    <w:rsid w:val="7F9F20EE"/>
    <w:rsid w:val="7FBBE890"/>
    <w:rsid w:val="7FBC2ABD"/>
    <w:rsid w:val="7FBF5D48"/>
    <w:rsid w:val="7FCCFC01"/>
    <w:rsid w:val="7FDD1748"/>
    <w:rsid w:val="7FE769C6"/>
    <w:rsid w:val="7FFD083E"/>
    <w:rsid w:val="7FFF9372"/>
    <w:rsid w:val="84BF1F3B"/>
    <w:rsid w:val="8F55B106"/>
    <w:rsid w:val="95DF317D"/>
    <w:rsid w:val="97E77C70"/>
    <w:rsid w:val="9E3A10E2"/>
    <w:rsid w:val="9FB91FBD"/>
    <w:rsid w:val="9FD54998"/>
    <w:rsid w:val="A671883B"/>
    <w:rsid w:val="A7EFD17F"/>
    <w:rsid w:val="A7FFE43F"/>
    <w:rsid w:val="BDFEA317"/>
    <w:rsid w:val="CD9BBABB"/>
    <w:rsid w:val="CF99F292"/>
    <w:rsid w:val="D5DA60B3"/>
    <w:rsid w:val="D7C6F579"/>
    <w:rsid w:val="D8FECA92"/>
    <w:rsid w:val="DAFFBE66"/>
    <w:rsid w:val="DD2C0BFE"/>
    <w:rsid w:val="DE3F332B"/>
    <w:rsid w:val="DE6F4A3D"/>
    <w:rsid w:val="DF69F8B0"/>
    <w:rsid w:val="DFC71555"/>
    <w:rsid w:val="DFFC559C"/>
    <w:rsid w:val="DFFEDFAE"/>
    <w:rsid w:val="DFFFB5EB"/>
    <w:rsid w:val="E4B33E57"/>
    <w:rsid w:val="E5BF946A"/>
    <w:rsid w:val="EB39BD45"/>
    <w:rsid w:val="EBCF1FC2"/>
    <w:rsid w:val="EBD18F66"/>
    <w:rsid w:val="ED17392C"/>
    <w:rsid w:val="ED9FFD9A"/>
    <w:rsid w:val="EDB7968B"/>
    <w:rsid w:val="EEF73F60"/>
    <w:rsid w:val="EFED9E42"/>
    <w:rsid w:val="EFFFB194"/>
    <w:rsid w:val="F2E1F9D4"/>
    <w:rsid w:val="F5FF7449"/>
    <w:rsid w:val="F7880819"/>
    <w:rsid w:val="F7AF180D"/>
    <w:rsid w:val="F7BDBFA7"/>
    <w:rsid w:val="F7FAD68F"/>
    <w:rsid w:val="F7FB14CF"/>
    <w:rsid w:val="FB3FC69C"/>
    <w:rsid w:val="FBDFF225"/>
    <w:rsid w:val="FBF7AB63"/>
    <w:rsid w:val="FC2F3373"/>
    <w:rsid w:val="FCF51535"/>
    <w:rsid w:val="FD77F6B8"/>
    <w:rsid w:val="FDD69328"/>
    <w:rsid w:val="FDDFEC0E"/>
    <w:rsid w:val="FDE58BDD"/>
    <w:rsid w:val="FDEC7001"/>
    <w:rsid w:val="FEDFE87F"/>
    <w:rsid w:val="FEF1D25B"/>
    <w:rsid w:val="FF3EF90F"/>
    <w:rsid w:val="FFAF6081"/>
    <w:rsid w:val="FFECCD8C"/>
    <w:rsid w:val="FFED60BD"/>
    <w:rsid w:val="FFEE08F0"/>
    <w:rsid w:val="FFEE7F9F"/>
    <w:rsid w:val="FFFF319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qFormat="1" w:unhideWhenUsed="0" w:uiPriority="99" w:semiHidden="0" w:name="toc 2"/>
    <w:lsdException w:qFormat="1" w:unhideWhenUsed="0" w:uiPriority="99" w:semiHidden="0" w:name="toc 3"/>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qFormat="1" w:unhideWhenUsed="0"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link w:val="20"/>
    <w:qFormat/>
    <w:uiPriority w:val="99"/>
    <w:pPr>
      <w:keepNext/>
      <w:keepLines/>
      <w:spacing w:before="340" w:after="330" w:line="578" w:lineRule="auto"/>
      <w:outlineLvl w:val="0"/>
    </w:pPr>
    <w:rPr>
      <w:b/>
      <w:bCs/>
      <w:kern w:val="44"/>
      <w:sz w:val="44"/>
      <w:szCs w:val="44"/>
    </w:rPr>
  </w:style>
  <w:style w:type="paragraph" w:styleId="5">
    <w:name w:val="heading 2"/>
    <w:basedOn w:val="1"/>
    <w:next w:val="1"/>
    <w:link w:val="21"/>
    <w:qFormat/>
    <w:uiPriority w:val="99"/>
    <w:pPr>
      <w:keepNext/>
      <w:keepLines/>
      <w:spacing w:before="260" w:after="260" w:line="416" w:lineRule="auto"/>
      <w:outlineLvl w:val="1"/>
    </w:pPr>
    <w:rPr>
      <w:rFonts w:ascii="Cambria" w:hAnsi="Cambria"/>
      <w:b/>
      <w:bCs/>
      <w:sz w:val="32"/>
      <w:szCs w:val="32"/>
    </w:rPr>
  </w:style>
  <w:style w:type="paragraph" w:styleId="6">
    <w:name w:val="heading 3"/>
    <w:basedOn w:val="1"/>
    <w:next w:val="1"/>
    <w:link w:val="22"/>
    <w:qFormat/>
    <w:uiPriority w:val="99"/>
    <w:pPr>
      <w:keepNext/>
      <w:keepLines/>
      <w:spacing w:before="260" w:after="260" w:line="416" w:lineRule="auto"/>
      <w:outlineLvl w:val="2"/>
    </w:pPr>
    <w:rPr>
      <w:b/>
      <w:bCs/>
      <w:sz w:val="32"/>
      <w:szCs w:val="32"/>
    </w:rPr>
  </w:style>
  <w:style w:type="character" w:default="1" w:styleId="16">
    <w:name w:val="Default Paragraph Font"/>
    <w:semiHidden/>
    <w:qFormat/>
    <w:uiPriority w:val="99"/>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link w:val="24"/>
    <w:qFormat/>
    <w:uiPriority w:val="99"/>
    <w:pPr>
      <w:ind w:firstLine="420" w:firstLineChars="200"/>
    </w:pPr>
  </w:style>
  <w:style w:type="paragraph" w:styleId="3">
    <w:name w:val="Body Text Indent"/>
    <w:basedOn w:val="1"/>
    <w:next w:val="1"/>
    <w:link w:val="23"/>
    <w:qFormat/>
    <w:uiPriority w:val="99"/>
    <w:pPr>
      <w:spacing w:after="120"/>
      <w:ind w:left="200" w:leftChars="200"/>
    </w:pPr>
    <w:rPr>
      <w:rFonts w:ascii="仿宋_GB2312"/>
      <w:szCs w:val="32"/>
    </w:rPr>
  </w:style>
  <w:style w:type="paragraph" w:styleId="7">
    <w:name w:val="Body Text"/>
    <w:basedOn w:val="1"/>
    <w:link w:val="32"/>
    <w:qFormat/>
    <w:uiPriority w:val="99"/>
    <w:pPr>
      <w:spacing w:beforeLines="30"/>
    </w:pPr>
    <w:rPr>
      <w:rFonts w:ascii="仿宋_GB2312" w:eastAsia="仿宋_GB2312"/>
      <w:kern w:val="0"/>
      <w:sz w:val="24"/>
      <w:szCs w:val="20"/>
    </w:rPr>
  </w:style>
  <w:style w:type="paragraph" w:styleId="8">
    <w:name w:val="toc 3"/>
    <w:basedOn w:val="1"/>
    <w:next w:val="1"/>
    <w:qFormat/>
    <w:uiPriority w:val="99"/>
    <w:pPr>
      <w:tabs>
        <w:tab w:val="right" w:leader="dot" w:pos="8296"/>
      </w:tabs>
      <w:ind w:left="840" w:leftChars="400"/>
    </w:pPr>
  </w:style>
  <w:style w:type="paragraph" w:styleId="9">
    <w:name w:val="Balloon Text"/>
    <w:basedOn w:val="1"/>
    <w:link w:val="26"/>
    <w:semiHidden/>
    <w:qFormat/>
    <w:uiPriority w:val="99"/>
    <w:rPr>
      <w:sz w:val="18"/>
      <w:szCs w:val="18"/>
    </w:rPr>
  </w:style>
  <w:style w:type="paragraph" w:styleId="10">
    <w:name w:val="footer"/>
    <w:basedOn w:val="1"/>
    <w:link w:val="31"/>
    <w:qFormat/>
    <w:uiPriority w:val="99"/>
    <w:pPr>
      <w:tabs>
        <w:tab w:val="center" w:pos="4153"/>
        <w:tab w:val="right" w:pos="8306"/>
      </w:tabs>
      <w:snapToGrid w:val="0"/>
      <w:jc w:val="left"/>
    </w:pPr>
    <w:rPr>
      <w:kern w:val="0"/>
      <w:sz w:val="18"/>
      <w:szCs w:val="20"/>
    </w:rPr>
  </w:style>
  <w:style w:type="paragraph" w:styleId="11">
    <w:name w:val="header"/>
    <w:basedOn w:val="1"/>
    <w:link w:val="30"/>
    <w:semiHidden/>
    <w:qFormat/>
    <w:uiPriority w:val="99"/>
    <w:pPr>
      <w:pBdr>
        <w:bottom w:val="single" w:color="auto" w:sz="6" w:space="1"/>
      </w:pBdr>
      <w:tabs>
        <w:tab w:val="center" w:pos="4153"/>
        <w:tab w:val="right" w:pos="8306"/>
      </w:tabs>
      <w:snapToGrid w:val="0"/>
      <w:jc w:val="center"/>
    </w:pPr>
    <w:rPr>
      <w:kern w:val="0"/>
      <w:sz w:val="18"/>
      <w:szCs w:val="20"/>
    </w:rPr>
  </w:style>
  <w:style w:type="paragraph" w:styleId="12">
    <w:name w:val="toc 1"/>
    <w:basedOn w:val="1"/>
    <w:next w:val="1"/>
    <w:qFormat/>
    <w:uiPriority w:val="99"/>
    <w:pPr>
      <w:tabs>
        <w:tab w:val="right" w:leader="dot" w:pos="8296"/>
      </w:tabs>
      <w:spacing w:before="93"/>
      <w:jc w:val="center"/>
    </w:pPr>
    <w:rPr>
      <w:rFonts w:ascii="仿宋" w:hAnsi="仿宋" w:eastAsia="仿宋"/>
      <w:sz w:val="28"/>
      <w:szCs w:val="28"/>
    </w:rPr>
  </w:style>
  <w:style w:type="paragraph" w:styleId="13">
    <w:name w:val="toc 2"/>
    <w:basedOn w:val="1"/>
    <w:next w:val="1"/>
    <w:qFormat/>
    <w:uiPriority w:val="99"/>
    <w:pPr>
      <w:tabs>
        <w:tab w:val="right" w:leader="dot" w:pos="8296"/>
      </w:tabs>
      <w:ind w:left="420" w:leftChars="200"/>
    </w:pPr>
  </w:style>
  <w:style w:type="paragraph" w:styleId="14">
    <w:name w:val="Normal (Web)"/>
    <w:basedOn w:val="1"/>
    <w:qFormat/>
    <w:uiPriority w:val="99"/>
    <w:rPr>
      <w:sz w:val="24"/>
    </w:rPr>
  </w:style>
  <w:style w:type="character" w:styleId="17">
    <w:name w:val="Strong"/>
    <w:basedOn w:val="16"/>
    <w:qFormat/>
    <w:uiPriority w:val="99"/>
    <w:rPr>
      <w:rFonts w:cs="Times New Roman"/>
      <w:b/>
    </w:rPr>
  </w:style>
  <w:style w:type="character" w:styleId="18">
    <w:name w:val="page number"/>
    <w:basedOn w:val="16"/>
    <w:qFormat/>
    <w:uiPriority w:val="99"/>
    <w:rPr>
      <w:rFonts w:cs="Times New Roman"/>
    </w:rPr>
  </w:style>
  <w:style w:type="character" w:styleId="19">
    <w:name w:val="Hyperlink"/>
    <w:basedOn w:val="16"/>
    <w:qFormat/>
    <w:uiPriority w:val="99"/>
    <w:rPr>
      <w:rFonts w:cs="Times New Roman"/>
      <w:color w:val="0000FF"/>
      <w:u w:val="single"/>
    </w:rPr>
  </w:style>
  <w:style w:type="character" w:customStyle="1" w:styleId="20">
    <w:name w:val="Heading 1 Char"/>
    <w:basedOn w:val="16"/>
    <w:link w:val="4"/>
    <w:qFormat/>
    <w:locked/>
    <w:uiPriority w:val="99"/>
    <w:rPr>
      <w:rFonts w:ascii="Times New Roman" w:hAnsi="Times New Roman" w:cs="Times New Roman"/>
      <w:b/>
      <w:bCs/>
      <w:kern w:val="44"/>
      <w:sz w:val="44"/>
      <w:szCs w:val="44"/>
    </w:rPr>
  </w:style>
  <w:style w:type="character" w:customStyle="1" w:styleId="21">
    <w:name w:val="Heading 2 Char"/>
    <w:basedOn w:val="16"/>
    <w:link w:val="5"/>
    <w:qFormat/>
    <w:locked/>
    <w:uiPriority w:val="99"/>
    <w:rPr>
      <w:rFonts w:ascii="Cambria" w:hAnsi="Cambria" w:eastAsia="宋体" w:cs="Times New Roman"/>
      <w:b/>
      <w:bCs/>
      <w:kern w:val="2"/>
      <w:sz w:val="32"/>
      <w:szCs w:val="32"/>
    </w:rPr>
  </w:style>
  <w:style w:type="character" w:customStyle="1" w:styleId="22">
    <w:name w:val="Heading 3 Char"/>
    <w:basedOn w:val="16"/>
    <w:link w:val="6"/>
    <w:qFormat/>
    <w:locked/>
    <w:uiPriority w:val="99"/>
    <w:rPr>
      <w:rFonts w:ascii="Times New Roman" w:hAnsi="Times New Roman" w:cs="Times New Roman"/>
      <w:b/>
      <w:bCs/>
      <w:kern w:val="2"/>
      <w:sz w:val="32"/>
      <w:szCs w:val="32"/>
    </w:rPr>
  </w:style>
  <w:style w:type="character" w:customStyle="1" w:styleId="23">
    <w:name w:val="Body Text Indent Char"/>
    <w:basedOn w:val="16"/>
    <w:link w:val="3"/>
    <w:semiHidden/>
    <w:qFormat/>
    <w:uiPriority w:val="99"/>
    <w:rPr>
      <w:szCs w:val="24"/>
    </w:rPr>
  </w:style>
  <w:style w:type="character" w:customStyle="1" w:styleId="24">
    <w:name w:val="Body Text First Indent 2 Char"/>
    <w:basedOn w:val="23"/>
    <w:link w:val="2"/>
    <w:semiHidden/>
    <w:qFormat/>
    <w:uiPriority w:val="99"/>
  </w:style>
  <w:style w:type="character" w:customStyle="1" w:styleId="25">
    <w:name w:val="Body Text Char"/>
    <w:basedOn w:val="16"/>
    <w:link w:val="7"/>
    <w:semiHidden/>
    <w:qFormat/>
    <w:uiPriority w:val="99"/>
    <w:rPr>
      <w:rFonts w:ascii="Times New Roman" w:hAnsi="Times New Roman" w:cs="Times New Roman"/>
      <w:sz w:val="24"/>
      <w:szCs w:val="24"/>
    </w:rPr>
  </w:style>
  <w:style w:type="character" w:customStyle="1" w:styleId="26">
    <w:name w:val="Balloon Text Char"/>
    <w:basedOn w:val="16"/>
    <w:link w:val="9"/>
    <w:semiHidden/>
    <w:qFormat/>
    <w:locked/>
    <w:uiPriority w:val="99"/>
    <w:rPr>
      <w:rFonts w:ascii="Times New Roman" w:hAnsi="Times New Roman" w:cs="Times New Roman"/>
      <w:kern w:val="2"/>
      <w:sz w:val="18"/>
      <w:szCs w:val="18"/>
    </w:rPr>
  </w:style>
  <w:style w:type="character" w:customStyle="1" w:styleId="27">
    <w:name w:val="Footer Char"/>
    <w:basedOn w:val="16"/>
    <w:link w:val="10"/>
    <w:semiHidden/>
    <w:qFormat/>
    <w:uiPriority w:val="99"/>
    <w:rPr>
      <w:rFonts w:ascii="Times New Roman" w:hAnsi="Times New Roman" w:cs="Times New Roman"/>
      <w:sz w:val="18"/>
      <w:szCs w:val="18"/>
    </w:rPr>
  </w:style>
  <w:style w:type="character" w:customStyle="1" w:styleId="28">
    <w:name w:val="Header Char"/>
    <w:basedOn w:val="16"/>
    <w:link w:val="11"/>
    <w:semiHidden/>
    <w:qFormat/>
    <w:uiPriority w:val="99"/>
    <w:rPr>
      <w:rFonts w:ascii="Times New Roman" w:hAnsi="Times New Roman" w:cs="Times New Roman"/>
      <w:sz w:val="18"/>
      <w:szCs w:val="18"/>
    </w:rPr>
  </w:style>
  <w:style w:type="paragraph" w:customStyle="1" w:styleId="29">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30">
    <w:name w:val="Header Char1"/>
    <w:link w:val="11"/>
    <w:semiHidden/>
    <w:qFormat/>
    <w:locked/>
    <w:uiPriority w:val="99"/>
    <w:rPr>
      <w:sz w:val="18"/>
    </w:rPr>
  </w:style>
  <w:style w:type="character" w:customStyle="1" w:styleId="31">
    <w:name w:val="Footer Char1"/>
    <w:link w:val="10"/>
    <w:qFormat/>
    <w:locked/>
    <w:uiPriority w:val="99"/>
    <w:rPr>
      <w:sz w:val="18"/>
    </w:rPr>
  </w:style>
  <w:style w:type="character" w:customStyle="1" w:styleId="32">
    <w:name w:val="Body Text Char1"/>
    <w:link w:val="7"/>
    <w:qFormat/>
    <w:locked/>
    <w:uiPriority w:val="99"/>
    <w:rPr>
      <w:rFonts w:ascii="仿宋_GB2312" w:hAnsi="Times New Roman" w:eastAsia="仿宋_GB2312"/>
      <w:sz w:val="24"/>
    </w:rPr>
  </w:style>
  <w:style w:type="paragraph" w:customStyle="1" w:styleId="33">
    <w:name w:val="Default"/>
    <w:qFormat/>
    <w:uiPriority w:val="99"/>
    <w:pPr>
      <w:widowControl w:val="0"/>
      <w:autoSpaceDE w:val="0"/>
      <w:autoSpaceDN w:val="0"/>
      <w:adjustRightInd w:val="0"/>
    </w:pPr>
    <w:rPr>
      <w:rFonts w:ascii="仿宋" w:hAnsi="Calibri" w:eastAsia="仿宋" w:cs="仿宋"/>
      <w:color w:val="000000"/>
      <w:kern w:val="0"/>
      <w:sz w:val="24"/>
      <w:szCs w:val="24"/>
      <w:lang w:val="en-US" w:eastAsia="zh-CN" w:bidi="ar-SA"/>
    </w:rPr>
  </w:style>
  <w:style w:type="paragraph" w:styleId="34">
    <w:name w:val="List Paragraph"/>
    <w:basedOn w:val="1"/>
    <w:qFormat/>
    <w:uiPriority w:val="99"/>
    <w:pPr>
      <w:ind w:firstLine="420" w:firstLineChars="200"/>
    </w:pPr>
  </w:style>
  <w:style w:type="paragraph" w:customStyle="1" w:styleId="35">
    <w:name w:val="TOC 标题1"/>
    <w:basedOn w:val="4"/>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6">
    <w:name w:val="TOC 标题2"/>
    <w:basedOn w:val="4"/>
    <w:next w:val="1"/>
    <w:qFormat/>
    <w:uiPriority w:val="99"/>
    <w:pPr>
      <w:widowControl/>
      <w:spacing w:before="480" w:after="0" w:line="276" w:lineRule="auto"/>
      <w:jc w:val="left"/>
      <w:outlineLvl w:val="9"/>
    </w:pPr>
    <w:rPr>
      <w:rFonts w:ascii="Cambria" w:hAnsi="Cambria"/>
      <w:color w:val="365F91"/>
      <w:kern w:val="0"/>
      <w:sz w:val="28"/>
      <w:szCs w:val="28"/>
    </w:rPr>
  </w:style>
  <w:style w:type="paragraph" w:customStyle="1" w:styleId="37">
    <w:name w:val="WPSOffice手动目录 1"/>
    <w:qFormat/>
    <w:uiPriority w:val="0"/>
    <w:pPr>
      <w:ind w:leftChars="0"/>
    </w:pPr>
    <w:rPr>
      <w:rFonts w:ascii="Times New Roman" w:hAnsi="Times New Roman" w:eastAsia="宋体" w:cs="Times New Roman"/>
      <w:sz w:val="20"/>
      <w:szCs w:val="20"/>
    </w:rPr>
  </w:style>
  <w:style w:type="paragraph" w:customStyle="1" w:styleId="3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jpeg"/><Relationship Id="rId13" Type="http://schemas.openxmlformats.org/officeDocument/2006/relationships/image" Target="media/image5.jpeg"/><Relationship Id="rId12" Type="http://schemas.openxmlformats.org/officeDocument/2006/relationships/image" Target="media/image4.jpeg"/><Relationship Id="rId11" Type="http://schemas.openxmlformats.org/officeDocument/2006/relationships/image" Target="media/image3.jpe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四川省财政厅</Company>
  <Pages>16</Pages>
  <Words>4427</Words>
  <Characters>4750</Characters>
  <Lines>0</Lines>
  <Paragraphs>0</Paragraphs>
  <TotalTime>14</TotalTime>
  <ScaleCrop>false</ScaleCrop>
  <LinksUpToDate>false</LinksUpToDate>
  <CharactersWithSpaces>4770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2020-08-08T09:49:00Z</dcterms:created>
  <dc:creator>曹颖</dc:creator>
  <cp:lastModifiedBy> </cp:lastModifiedBy>
  <cp:lastPrinted>2023-08-03T10:35:00Z</cp:lastPrinted>
  <dcterms:modified xsi:type="dcterms:W3CDTF">2024-10-11T16:23:44Z</dcterms:modified>
  <dc:title>四川省***</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A44E78051AF04AE3A1F05A3903C46519</vt:lpwstr>
  </property>
</Properties>
</file>