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bookmarkStart w:id="0" w:name="_Toc15306267"/>
    </w:p>
    <w:p>
      <w:pPr>
        <w:pStyle w:val="7"/>
        <w:spacing w:before="93"/>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96597"/>
      <w:bookmarkStart w:id="2" w:name="_Toc15378441"/>
      <w:bookmarkStart w:id="3" w:name="_Toc15377193"/>
      <w:bookmarkStart w:id="4" w:name="_Toc15377425"/>
      <w:bookmarkStart w:id="5" w:name="_Toc16160"/>
      <w:bookmarkStart w:id="6" w:name="_Toc15396475"/>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7" w:name="_Toc15377426"/>
      <w:bookmarkStart w:id="8" w:name="_Toc15377194"/>
      <w:bookmarkStart w:id="9" w:name="_Toc15396598"/>
      <w:bookmarkStart w:id="10" w:name="_Toc15378442"/>
      <w:bookmarkStart w:id="11" w:name="_Toc15396476"/>
      <w:bookmarkStart w:id="12" w:name="_Toc879"/>
      <w:r>
        <w:rPr>
          <w:rFonts w:hint="eastAsia" w:ascii="方正小标宋简体" w:hAnsi="方正小标宋简体" w:eastAsia="方正小标宋简体" w:cs="方正小标宋简体"/>
          <w:sz w:val="72"/>
          <w:szCs w:val="72"/>
        </w:rPr>
        <w:t>四川省</w:t>
      </w:r>
      <w:bookmarkEnd w:id="0"/>
      <w:bookmarkStart w:id="13" w:name="_Toc15306268"/>
      <w:r>
        <w:rPr>
          <w:rFonts w:hint="eastAsia" w:ascii="方正小标宋简体" w:hAnsi="方正小标宋简体" w:eastAsia="方正小标宋简体" w:cs="方正小标宋简体"/>
          <w:sz w:val="72"/>
          <w:szCs w:val="72"/>
          <w:lang w:eastAsia="zh-CN"/>
        </w:rPr>
        <w:t>广元市零八一中学单位</w:t>
      </w:r>
      <w:r>
        <w:rPr>
          <w:rFonts w:hint="eastAsia" w:ascii="方正小标宋简体" w:hAnsi="方正小标宋简体" w:eastAsia="方正小标宋简体" w:cs="方正小标宋简体"/>
          <w:sz w:val="72"/>
          <w:szCs w:val="72"/>
        </w:rPr>
        <w:t>决算</w:t>
      </w:r>
      <w:bookmarkEnd w:id="7"/>
      <w:bookmarkEnd w:id="8"/>
      <w:bookmarkEnd w:id="9"/>
      <w:bookmarkEnd w:id="10"/>
      <w:bookmarkEnd w:id="11"/>
      <w:bookmarkEnd w:id="12"/>
      <w:bookmarkEnd w:id="13"/>
    </w:p>
    <w:p>
      <w:pPr>
        <w:rPr>
          <w:rFonts w:ascii="Times New Roman" w:hAnsi="Times New Roman" w:eastAsia="宋体" w:cs="Times New Roman"/>
          <w:kern w:val="2"/>
          <w:sz w:val="21"/>
          <w:szCs w:val="24"/>
          <w:lang w:val="en-US" w:eastAsia="zh-CN" w:bidi="ar-SA"/>
        </w:rPr>
      </w:pPr>
      <w:r>
        <w:rPr>
          <w:rFonts w:ascii="方正小标宋简体" w:hAnsi="宋体" w:eastAsia="方正小标宋简体"/>
          <w:sz w:val="36"/>
          <w:szCs w:val="36"/>
        </w:rPr>
        <w:br w:type="page"/>
      </w:r>
      <w:r>
        <w:rPr>
          <w:rFonts w:ascii="方正小标宋简体" w:hAnsi="宋体" w:eastAsia="方正小标宋简体"/>
          <w:szCs w:val="21"/>
        </w:rPr>
        <w:fldChar w:fldCharType="begin"/>
      </w:r>
      <w:r>
        <w:instrText xml:space="preserve">TOC \o "1-3" \h \z \u </w:instrText>
      </w:r>
      <w:r>
        <w:rPr>
          <w:rFonts w:ascii="方正小标宋简体" w:hAnsi="宋体" w:eastAsia="方正小标宋简体"/>
          <w:szCs w:val="21"/>
        </w:rPr>
        <w:fldChar w:fldCharType="separate"/>
      </w:r>
    </w:p>
    <w:p>
      <w:pPr>
        <w:widowControl/>
        <w:jc w:val="center"/>
        <w:rPr>
          <w:rFonts w:ascii="黑体" w:hAnsi="黑体" w:eastAsia="黑体" w:cstheme="minorBidi"/>
          <w:sz w:val="28"/>
          <w:szCs w:val="28"/>
          <w:shd w:val="clear" w:color="auto" w:fill="auto"/>
        </w:rPr>
      </w:pPr>
      <w:r>
        <w:rPr>
          <w:rFonts w:hint="eastAsia" w:ascii="黑体" w:hAnsi="黑体" w:eastAsia="黑体"/>
          <w:sz w:val="48"/>
          <w:szCs w:val="48"/>
          <w:shd w:val="clear" w:color="auto" w:fill="auto"/>
        </w:rPr>
        <w:t>目</w:t>
      </w:r>
      <w:r>
        <w:rPr>
          <w:rFonts w:hint="eastAsia" w:ascii="黑体" w:hAnsi="黑体" w:eastAsia="黑体"/>
          <w:sz w:val="48"/>
          <w:szCs w:val="48"/>
          <w:shd w:val="clear" w:color="auto" w:fill="auto"/>
          <w:lang w:val="en-US" w:eastAsia="zh-CN"/>
        </w:rPr>
        <w:t xml:space="preserve">  </w:t>
      </w:r>
      <w:r>
        <w:rPr>
          <w:rFonts w:hint="eastAsia" w:ascii="黑体" w:hAnsi="黑体" w:eastAsia="黑体"/>
          <w:sz w:val="48"/>
          <w:szCs w:val="48"/>
          <w:shd w:val="clear" w:color="auto" w:fill="auto"/>
        </w:rPr>
        <w:t>录</w:t>
      </w:r>
    </w:p>
    <w:p>
      <w:pPr>
        <w:pStyle w:val="15"/>
        <w:tabs>
          <w:tab w:val="right" w:leader="dot" w:pos="8296"/>
        </w:tabs>
        <w:jc w:val="center"/>
        <w:rPr>
          <w:sz w:val="24"/>
          <w:szCs w:val="32"/>
          <w:shd w:val="clear" w:color="auto" w:fill="auto"/>
        </w:rPr>
      </w:pPr>
      <w:r>
        <w:rPr>
          <w:rFonts w:hint="eastAsia"/>
          <w:sz w:val="24"/>
          <w:szCs w:val="32"/>
          <w:shd w:val="clear" w:color="auto" w:fill="auto"/>
        </w:rPr>
        <w:t>公开时间：202</w:t>
      </w:r>
      <w:r>
        <w:rPr>
          <w:rFonts w:hint="eastAsia"/>
          <w:sz w:val="24"/>
          <w:szCs w:val="32"/>
          <w:shd w:val="clear" w:color="auto" w:fill="auto"/>
          <w:lang w:val="en-US" w:eastAsia="zh-CN"/>
        </w:rPr>
        <w:t>4</w:t>
      </w:r>
      <w:r>
        <w:rPr>
          <w:rFonts w:hint="eastAsia"/>
          <w:sz w:val="24"/>
          <w:szCs w:val="32"/>
          <w:shd w:val="clear" w:color="auto" w:fill="auto"/>
        </w:rPr>
        <w:t>年</w:t>
      </w:r>
      <w:r>
        <w:rPr>
          <w:rFonts w:hint="eastAsia"/>
          <w:sz w:val="24"/>
          <w:szCs w:val="32"/>
          <w:shd w:val="clear" w:color="auto" w:fill="auto"/>
          <w:lang w:val="en-US" w:eastAsia="zh-CN"/>
        </w:rPr>
        <w:t>10</w:t>
      </w:r>
      <w:r>
        <w:rPr>
          <w:rFonts w:hint="eastAsia"/>
          <w:sz w:val="24"/>
          <w:szCs w:val="32"/>
          <w:shd w:val="clear" w:color="auto" w:fill="auto"/>
        </w:rPr>
        <w:t>月</w:t>
      </w:r>
      <w:r>
        <w:rPr>
          <w:rFonts w:hint="eastAsia"/>
          <w:sz w:val="24"/>
          <w:szCs w:val="32"/>
          <w:shd w:val="clear" w:color="auto" w:fill="auto"/>
          <w:lang w:val="en-US" w:eastAsia="zh-CN"/>
        </w:rPr>
        <w:t>14</w:t>
      </w:r>
      <w:r>
        <w:rPr>
          <w:rFonts w:hint="eastAsia"/>
          <w:sz w:val="24"/>
          <w:szCs w:val="32"/>
          <w:shd w:val="clear" w:color="auto" w:fill="auto"/>
        </w:rPr>
        <w:t>日</w:t>
      </w:r>
    </w:p>
    <w:p>
      <w:pPr>
        <w:pStyle w:val="15"/>
        <w:tabs>
          <w:tab w:val="right" w:leader="dot" w:pos="8306"/>
        </w:tabs>
        <w:rPr>
          <w:shd w:val="clear" w:color="auto" w:fill="auto"/>
        </w:rPr>
      </w:pP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rFonts w:hint="eastAsia" w:asciiTheme="majorEastAsia" w:hAnsiTheme="majorEastAsia" w:eastAsiaTheme="majorEastAsia" w:cstheme="majorEastAsia"/>
          <w:sz w:val="28"/>
          <w:shd w:val="clear" w:color="auto" w:fill="auto"/>
        </w:rPr>
      </w:pP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HYPERLINK \l _Toc12646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第一部分 单位</w:t>
      </w:r>
      <w:r>
        <w:rPr>
          <w:rFonts w:hint="eastAsia" w:asciiTheme="majorEastAsia" w:hAnsiTheme="majorEastAsia" w:eastAsiaTheme="majorEastAsia" w:cstheme="majorEastAsia"/>
          <w:bCs w:val="0"/>
          <w:sz w:val="28"/>
          <w:shd w:val="clear" w:color="auto" w:fill="auto"/>
        </w:rPr>
        <w:t>概况</w:t>
      </w:r>
      <w:r>
        <w:rPr>
          <w:rFonts w:hint="eastAsia" w:asciiTheme="majorEastAsia" w:hAnsiTheme="majorEastAsia" w:eastAsiaTheme="majorEastAsia" w:cstheme="majorEastAsia"/>
          <w:sz w:val="28"/>
          <w:shd w:val="clear" w:color="auto" w:fill="auto"/>
        </w:rPr>
        <w:tab/>
      </w: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PAGEREF _Toc12646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3</w:t>
      </w:r>
      <w:r>
        <w:rPr>
          <w:rFonts w:hint="eastAsia" w:asciiTheme="majorEastAsia" w:hAnsiTheme="majorEastAsia" w:eastAsiaTheme="majorEastAsia" w:cstheme="majorEastAsia"/>
          <w:sz w:val="28"/>
          <w:shd w:val="clear" w:color="auto" w:fill="auto"/>
        </w:rPr>
        <w:fldChar w:fldCharType="end"/>
      </w:r>
      <w:r>
        <w:rPr>
          <w:rFonts w:hint="eastAsia" w:asciiTheme="majorEastAsia" w:hAnsiTheme="majorEastAsia" w:eastAsiaTheme="majorEastAsia" w:cstheme="majorEastAsia"/>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rFonts w:hint="eastAsia" w:asciiTheme="majorEastAsia" w:hAnsiTheme="majorEastAsia" w:eastAsiaTheme="majorEastAsia" w:cstheme="majorEastAsia"/>
          <w:sz w:val="28"/>
          <w:shd w:val="clear" w:color="auto" w:fill="auto"/>
        </w:rPr>
      </w:pP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HYPERLINK \l _Toc32169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bCs w:val="0"/>
          <w:sz w:val="28"/>
          <w:shd w:val="clear" w:color="auto" w:fill="auto"/>
        </w:rPr>
        <w:t>一、 主要职责</w:t>
      </w:r>
      <w:r>
        <w:rPr>
          <w:rFonts w:hint="eastAsia" w:asciiTheme="majorEastAsia" w:hAnsiTheme="majorEastAsia" w:eastAsiaTheme="majorEastAsia" w:cstheme="majorEastAsia"/>
          <w:sz w:val="28"/>
          <w:shd w:val="clear" w:color="auto" w:fill="auto"/>
        </w:rPr>
        <w:tab/>
      </w: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PAGEREF _Toc32169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3</w:t>
      </w:r>
      <w:r>
        <w:rPr>
          <w:rFonts w:hint="eastAsia" w:asciiTheme="majorEastAsia" w:hAnsiTheme="majorEastAsia" w:eastAsiaTheme="majorEastAsia" w:cstheme="majorEastAsia"/>
          <w:sz w:val="28"/>
          <w:shd w:val="clear" w:color="auto" w:fill="auto"/>
        </w:rPr>
        <w:fldChar w:fldCharType="end"/>
      </w:r>
      <w:r>
        <w:rPr>
          <w:rFonts w:hint="eastAsia" w:asciiTheme="majorEastAsia" w:hAnsiTheme="majorEastAsia" w:eastAsiaTheme="majorEastAsia" w:cstheme="majorEastAsia"/>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rFonts w:hint="eastAsia" w:asciiTheme="majorEastAsia" w:hAnsiTheme="majorEastAsia" w:eastAsiaTheme="majorEastAsia" w:cstheme="majorEastAsia"/>
          <w:sz w:val="28"/>
          <w:shd w:val="clear" w:color="auto" w:fill="auto"/>
        </w:rPr>
      </w:pP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HYPERLINK \l _Toc13884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二、机构设置</w:t>
      </w:r>
      <w:r>
        <w:rPr>
          <w:rFonts w:hint="eastAsia" w:asciiTheme="majorEastAsia" w:hAnsiTheme="majorEastAsia" w:eastAsiaTheme="majorEastAsia" w:cstheme="majorEastAsia"/>
          <w:sz w:val="28"/>
          <w:shd w:val="clear" w:color="auto" w:fill="auto"/>
        </w:rPr>
        <w:tab/>
      </w: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PAGEREF _Toc13884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3</w:t>
      </w:r>
      <w:r>
        <w:rPr>
          <w:rFonts w:hint="eastAsia" w:asciiTheme="majorEastAsia" w:hAnsiTheme="majorEastAsia" w:eastAsiaTheme="majorEastAsia" w:cstheme="majorEastAsia"/>
          <w:sz w:val="28"/>
          <w:shd w:val="clear" w:color="auto" w:fill="auto"/>
        </w:rPr>
        <w:fldChar w:fldCharType="end"/>
      </w:r>
      <w:r>
        <w:rPr>
          <w:rFonts w:hint="eastAsia" w:asciiTheme="majorEastAsia" w:hAnsiTheme="majorEastAsia" w:eastAsiaTheme="majorEastAsia" w:cstheme="majorEastAsia"/>
          <w:sz w:val="28"/>
          <w:shd w:val="clear" w:color="auto" w:fill="auto"/>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rFonts w:hint="eastAsia" w:asciiTheme="majorEastAsia" w:hAnsiTheme="majorEastAsia" w:eastAsiaTheme="majorEastAsia" w:cstheme="majorEastAsia"/>
          <w:sz w:val="28"/>
          <w:shd w:val="clear" w:color="auto" w:fill="auto"/>
        </w:rPr>
      </w:pP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HYPERLINK \l _Toc1953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第二部分 2023年度</w:t>
      </w:r>
      <w:r>
        <w:rPr>
          <w:rFonts w:hint="eastAsia" w:asciiTheme="majorEastAsia" w:hAnsiTheme="majorEastAsia" w:eastAsiaTheme="majorEastAsia" w:cstheme="majorEastAsia"/>
          <w:bCs/>
          <w:sz w:val="28"/>
          <w:shd w:val="clear" w:color="auto" w:fill="auto"/>
        </w:rPr>
        <w:t>单位决算情况说明</w:t>
      </w:r>
      <w:r>
        <w:rPr>
          <w:rFonts w:hint="eastAsia" w:asciiTheme="majorEastAsia" w:hAnsiTheme="majorEastAsia" w:eastAsiaTheme="majorEastAsia" w:cstheme="majorEastAsia"/>
          <w:sz w:val="28"/>
          <w:shd w:val="clear" w:color="auto" w:fill="auto"/>
        </w:rPr>
        <w:tab/>
      </w: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PAGEREF _Toc1953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4</w:t>
      </w:r>
      <w:r>
        <w:rPr>
          <w:rFonts w:hint="eastAsia" w:asciiTheme="majorEastAsia" w:hAnsiTheme="majorEastAsia" w:eastAsiaTheme="majorEastAsia" w:cstheme="majorEastAsia"/>
          <w:sz w:val="28"/>
          <w:shd w:val="clear" w:color="auto" w:fill="auto"/>
        </w:rPr>
        <w:fldChar w:fldCharType="end"/>
      </w:r>
      <w:r>
        <w:rPr>
          <w:rFonts w:hint="eastAsia" w:asciiTheme="majorEastAsia" w:hAnsiTheme="majorEastAsia" w:eastAsiaTheme="majorEastAsia" w:cstheme="majorEastAsia"/>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rFonts w:hint="eastAsia" w:asciiTheme="majorEastAsia" w:hAnsiTheme="majorEastAsia" w:eastAsiaTheme="majorEastAsia" w:cstheme="majorEastAsia"/>
          <w:sz w:val="28"/>
          <w:shd w:val="clear" w:color="auto" w:fill="auto"/>
        </w:rPr>
      </w:pP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HYPERLINK \l _Toc26756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 xml:space="preserve">一、 </w:t>
      </w:r>
      <w:r>
        <w:rPr>
          <w:rFonts w:hint="eastAsia" w:asciiTheme="majorEastAsia" w:hAnsiTheme="majorEastAsia" w:eastAsiaTheme="majorEastAsia" w:cstheme="majorEastAsia"/>
          <w:sz w:val="28"/>
          <w:szCs w:val="32"/>
          <w:shd w:val="clear" w:color="auto" w:fill="auto"/>
        </w:rPr>
        <w:t>收</w:t>
      </w:r>
      <w:r>
        <w:rPr>
          <w:rFonts w:hint="eastAsia" w:asciiTheme="majorEastAsia" w:hAnsiTheme="majorEastAsia" w:eastAsiaTheme="majorEastAsia" w:cstheme="majorEastAsia"/>
          <w:sz w:val="28"/>
          <w:shd w:val="clear" w:color="auto" w:fill="auto"/>
        </w:rPr>
        <w:t>入支出决算总体情况说明</w:t>
      </w:r>
      <w:r>
        <w:rPr>
          <w:rFonts w:hint="eastAsia" w:asciiTheme="majorEastAsia" w:hAnsiTheme="majorEastAsia" w:eastAsiaTheme="majorEastAsia" w:cstheme="majorEastAsia"/>
          <w:sz w:val="28"/>
          <w:shd w:val="clear" w:color="auto" w:fill="auto"/>
        </w:rPr>
        <w:tab/>
      </w: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PAGEREF _Toc26756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4</w:t>
      </w:r>
      <w:r>
        <w:rPr>
          <w:rFonts w:hint="eastAsia" w:asciiTheme="majorEastAsia" w:hAnsiTheme="majorEastAsia" w:eastAsiaTheme="majorEastAsia" w:cstheme="majorEastAsia"/>
          <w:sz w:val="28"/>
          <w:shd w:val="clear" w:color="auto" w:fill="auto"/>
        </w:rPr>
        <w:fldChar w:fldCharType="end"/>
      </w:r>
      <w:r>
        <w:rPr>
          <w:rFonts w:hint="eastAsia" w:asciiTheme="majorEastAsia" w:hAnsiTheme="majorEastAsia" w:eastAsiaTheme="majorEastAsia" w:cstheme="majorEastAsia"/>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rFonts w:hint="eastAsia" w:asciiTheme="majorEastAsia" w:hAnsiTheme="majorEastAsia" w:eastAsiaTheme="majorEastAsia" w:cstheme="majorEastAsia"/>
          <w:sz w:val="28"/>
          <w:shd w:val="clear" w:color="auto" w:fill="auto"/>
        </w:rPr>
      </w:pP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HYPERLINK \l _Toc13137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 xml:space="preserve">二、 </w:t>
      </w:r>
      <w:r>
        <w:rPr>
          <w:rFonts w:hint="eastAsia" w:asciiTheme="majorEastAsia" w:hAnsiTheme="majorEastAsia" w:eastAsiaTheme="majorEastAsia" w:cstheme="majorEastAsia"/>
          <w:sz w:val="28"/>
          <w:szCs w:val="32"/>
          <w:shd w:val="clear" w:color="auto" w:fill="auto"/>
        </w:rPr>
        <w:t>收</w:t>
      </w:r>
      <w:r>
        <w:rPr>
          <w:rFonts w:hint="eastAsia" w:asciiTheme="majorEastAsia" w:hAnsiTheme="majorEastAsia" w:eastAsiaTheme="majorEastAsia" w:cstheme="majorEastAsia"/>
          <w:sz w:val="28"/>
          <w:shd w:val="clear" w:color="auto" w:fill="auto"/>
        </w:rPr>
        <w:t>入决算情况说明</w:t>
      </w:r>
      <w:r>
        <w:rPr>
          <w:rFonts w:hint="eastAsia" w:asciiTheme="majorEastAsia" w:hAnsiTheme="majorEastAsia" w:eastAsiaTheme="majorEastAsia" w:cstheme="majorEastAsia"/>
          <w:sz w:val="28"/>
          <w:shd w:val="clear" w:color="auto" w:fill="auto"/>
        </w:rPr>
        <w:tab/>
      </w: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PAGEREF _Toc13137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4</w:t>
      </w:r>
      <w:r>
        <w:rPr>
          <w:rFonts w:hint="eastAsia" w:asciiTheme="majorEastAsia" w:hAnsiTheme="majorEastAsia" w:eastAsiaTheme="majorEastAsia" w:cstheme="majorEastAsia"/>
          <w:sz w:val="28"/>
          <w:shd w:val="clear" w:color="auto" w:fill="auto"/>
        </w:rPr>
        <w:fldChar w:fldCharType="end"/>
      </w:r>
      <w:r>
        <w:rPr>
          <w:rFonts w:hint="eastAsia" w:asciiTheme="majorEastAsia" w:hAnsiTheme="majorEastAsia" w:eastAsiaTheme="majorEastAsia" w:cstheme="majorEastAsia"/>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rFonts w:hint="eastAsia" w:asciiTheme="majorEastAsia" w:hAnsiTheme="majorEastAsia" w:eastAsiaTheme="majorEastAsia" w:cstheme="majorEastAsia"/>
          <w:sz w:val="28"/>
          <w:shd w:val="clear" w:color="auto" w:fill="auto"/>
        </w:rPr>
      </w:pP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HYPERLINK \l _Toc20099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 xml:space="preserve">三、 </w:t>
      </w:r>
      <w:r>
        <w:rPr>
          <w:rFonts w:hint="eastAsia" w:asciiTheme="majorEastAsia" w:hAnsiTheme="majorEastAsia" w:eastAsiaTheme="majorEastAsia" w:cstheme="majorEastAsia"/>
          <w:sz w:val="28"/>
          <w:szCs w:val="32"/>
          <w:shd w:val="clear" w:color="auto" w:fill="auto"/>
        </w:rPr>
        <w:t>支</w:t>
      </w:r>
      <w:r>
        <w:rPr>
          <w:rFonts w:hint="eastAsia" w:asciiTheme="majorEastAsia" w:hAnsiTheme="majorEastAsia" w:eastAsiaTheme="majorEastAsia" w:cstheme="majorEastAsia"/>
          <w:sz w:val="28"/>
          <w:shd w:val="clear" w:color="auto" w:fill="auto"/>
        </w:rPr>
        <w:t>出决算情况说明</w:t>
      </w:r>
      <w:r>
        <w:rPr>
          <w:rFonts w:hint="eastAsia" w:asciiTheme="majorEastAsia" w:hAnsiTheme="majorEastAsia" w:eastAsiaTheme="majorEastAsia" w:cstheme="majorEastAsia"/>
          <w:sz w:val="28"/>
          <w:shd w:val="clear" w:color="auto" w:fill="auto"/>
        </w:rPr>
        <w:tab/>
      </w: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PAGEREF _Toc20099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5</w:t>
      </w:r>
      <w:r>
        <w:rPr>
          <w:rFonts w:hint="eastAsia" w:asciiTheme="majorEastAsia" w:hAnsiTheme="majorEastAsia" w:eastAsiaTheme="majorEastAsia" w:cstheme="majorEastAsia"/>
          <w:sz w:val="28"/>
          <w:shd w:val="clear" w:color="auto" w:fill="auto"/>
        </w:rPr>
        <w:fldChar w:fldCharType="end"/>
      </w:r>
      <w:r>
        <w:rPr>
          <w:rFonts w:hint="eastAsia" w:asciiTheme="majorEastAsia" w:hAnsiTheme="majorEastAsia" w:eastAsiaTheme="majorEastAsia" w:cstheme="majorEastAsia"/>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rFonts w:hint="eastAsia" w:asciiTheme="majorEastAsia" w:hAnsiTheme="majorEastAsia" w:eastAsiaTheme="majorEastAsia" w:cstheme="majorEastAsia"/>
          <w:sz w:val="28"/>
          <w:shd w:val="clear" w:color="auto" w:fill="auto"/>
        </w:rPr>
      </w:pP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HYPERLINK \l _Toc6637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zCs w:val="32"/>
          <w:shd w:val="clear" w:color="auto" w:fill="auto"/>
        </w:rPr>
        <w:t>四、财</w:t>
      </w:r>
      <w:r>
        <w:rPr>
          <w:rFonts w:hint="eastAsia" w:asciiTheme="majorEastAsia" w:hAnsiTheme="majorEastAsia" w:eastAsiaTheme="majorEastAsia" w:cstheme="majorEastAsia"/>
          <w:sz w:val="28"/>
          <w:shd w:val="clear" w:color="auto" w:fill="auto"/>
        </w:rPr>
        <w:t>政拨款收入支出决算总体情况说明</w:t>
      </w:r>
      <w:r>
        <w:rPr>
          <w:rFonts w:hint="eastAsia" w:asciiTheme="majorEastAsia" w:hAnsiTheme="majorEastAsia" w:eastAsiaTheme="majorEastAsia" w:cstheme="majorEastAsia"/>
          <w:sz w:val="28"/>
          <w:shd w:val="clear" w:color="auto" w:fill="auto"/>
        </w:rPr>
        <w:tab/>
      </w: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PAGEREF _Toc6637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6</w:t>
      </w:r>
      <w:r>
        <w:rPr>
          <w:rFonts w:hint="eastAsia" w:asciiTheme="majorEastAsia" w:hAnsiTheme="majorEastAsia" w:eastAsiaTheme="majorEastAsia" w:cstheme="majorEastAsia"/>
          <w:sz w:val="28"/>
          <w:shd w:val="clear" w:color="auto" w:fill="auto"/>
        </w:rPr>
        <w:fldChar w:fldCharType="end"/>
      </w:r>
      <w:r>
        <w:rPr>
          <w:rFonts w:hint="eastAsia" w:asciiTheme="majorEastAsia" w:hAnsiTheme="majorEastAsia" w:eastAsiaTheme="majorEastAsia" w:cstheme="majorEastAsia"/>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rFonts w:hint="eastAsia" w:asciiTheme="majorEastAsia" w:hAnsiTheme="majorEastAsia" w:eastAsiaTheme="majorEastAsia" w:cstheme="majorEastAsia"/>
          <w:sz w:val="28"/>
          <w:shd w:val="clear" w:color="auto" w:fill="auto"/>
        </w:rPr>
      </w:pP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HYPERLINK \l _Toc20989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zCs w:val="32"/>
          <w:shd w:val="clear" w:color="auto" w:fill="auto"/>
        </w:rPr>
        <w:t>五、一</w:t>
      </w:r>
      <w:r>
        <w:rPr>
          <w:rFonts w:hint="eastAsia" w:asciiTheme="majorEastAsia" w:hAnsiTheme="majorEastAsia" w:eastAsiaTheme="majorEastAsia" w:cstheme="majorEastAsia"/>
          <w:sz w:val="28"/>
          <w:shd w:val="clear" w:color="auto" w:fill="auto"/>
        </w:rPr>
        <w:t>般公共预算财政拨款支出决算情况说明</w:t>
      </w:r>
      <w:r>
        <w:rPr>
          <w:rFonts w:hint="eastAsia" w:asciiTheme="majorEastAsia" w:hAnsiTheme="majorEastAsia" w:eastAsiaTheme="majorEastAsia" w:cstheme="majorEastAsia"/>
          <w:sz w:val="28"/>
          <w:shd w:val="clear" w:color="auto" w:fill="auto"/>
        </w:rPr>
        <w:tab/>
      </w: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PAGEREF _Toc20989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6</w:t>
      </w:r>
      <w:r>
        <w:rPr>
          <w:rFonts w:hint="eastAsia" w:asciiTheme="majorEastAsia" w:hAnsiTheme="majorEastAsia" w:eastAsiaTheme="majorEastAsia" w:cstheme="majorEastAsia"/>
          <w:sz w:val="28"/>
          <w:shd w:val="clear" w:color="auto" w:fill="auto"/>
        </w:rPr>
        <w:fldChar w:fldCharType="end"/>
      </w:r>
      <w:r>
        <w:rPr>
          <w:rFonts w:hint="eastAsia" w:asciiTheme="majorEastAsia" w:hAnsiTheme="majorEastAsia" w:eastAsiaTheme="majorEastAsia" w:cstheme="majorEastAsia"/>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rFonts w:hint="eastAsia" w:asciiTheme="majorEastAsia" w:hAnsiTheme="majorEastAsia" w:eastAsiaTheme="majorEastAsia" w:cstheme="majorEastAsia"/>
          <w:sz w:val="28"/>
          <w:shd w:val="clear" w:color="auto" w:fill="auto"/>
        </w:rPr>
      </w:pP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HYPERLINK \l _Toc24318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zCs w:val="32"/>
          <w:shd w:val="clear" w:color="auto" w:fill="auto"/>
        </w:rPr>
        <w:t>六、一</w:t>
      </w:r>
      <w:r>
        <w:rPr>
          <w:rFonts w:hint="eastAsia" w:asciiTheme="majorEastAsia" w:hAnsiTheme="majorEastAsia" w:eastAsiaTheme="majorEastAsia" w:cstheme="majorEastAsia"/>
          <w:sz w:val="28"/>
          <w:shd w:val="clear" w:color="auto" w:fill="auto"/>
        </w:rPr>
        <w:t>般公共预算财政拨款基本支出决算情况说明</w:t>
      </w:r>
      <w:r>
        <w:rPr>
          <w:rFonts w:hint="eastAsia" w:asciiTheme="majorEastAsia" w:hAnsiTheme="majorEastAsia" w:eastAsiaTheme="majorEastAsia" w:cstheme="majorEastAsia"/>
          <w:sz w:val="28"/>
          <w:shd w:val="clear" w:color="auto" w:fill="auto"/>
        </w:rPr>
        <w:tab/>
      </w: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PAGEREF _Toc24318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9</w:t>
      </w:r>
      <w:r>
        <w:rPr>
          <w:rFonts w:hint="eastAsia" w:asciiTheme="majorEastAsia" w:hAnsiTheme="majorEastAsia" w:eastAsiaTheme="majorEastAsia" w:cstheme="majorEastAsia"/>
          <w:sz w:val="28"/>
          <w:shd w:val="clear" w:color="auto" w:fill="auto"/>
        </w:rPr>
        <w:fldChar w:fldCharType="end"/>
      </w:r>
      <w:r>
        <w:rPr>
          <w:rFonts w:hint="eastAsia" w:asciiTheme="majorEastAsia" w:hAnsiTheme="majorEastAsia" w:eastAsiaTheme="majorEastAsia" w:cstheme="majorEastAsia"/>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rFonts w:hint="eastAsia" w:asciiTheme="majorEastAsia" w:hAnsiTheme="majorEastAsia" w:eastAsiaTheme="majorEastAsia" w:cstheme="majorEastAsia"/>
          <w:sz w:val="28"/>
          <w:shd w:val="clear" w:color="auto" w:fill="auto"/>
        </w:rPr>
      </w:pP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HYPERLINK \l _Toc6400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zCs w:val="32"/>
          <w:shd w:val="clear" w:color="auto" w:fill="auto"/>
        </w:rPr>
        <w:t>七、</w:t>
      </w:r>
      <w:r>
        <w:rPr>
          <w:rFonts w:hint="eastAsia" w:asciiTheme="majorEastAsia" w:hAnsiTheme="majorEastAsia" w:eastAsiaTheme="majorEastAsia" w:cstheme="majorEastAsia"/>
          <w:sz w:val="28"/>
          <w:shd w:val="clear" w:color="auto" w:fill="auto"/>
        </w:rPr>
        <w:t>财政拨款“三公”经费支出决算情况说明</w:t>
      </w:r>
      <w:r>
        <w:rPr>
          <w:rFonts w:hint="eastAsia" w:asciiTheme="majorEastAsia" w:hAnsiTheme="majorEastAsia" w:eastAsiaTheme="majorEastAsia" w:cstheme="majorEastAsia"/>
          <w:sz w:val="28"/>
          <w:shd w:val="clear" w:color="auto" w:fill="auto"/>
        </w:rPr>
        <w:tab/>
      </w: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PAGEREF _Toc6400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10</w:t>
      </w:r>
      <w:r>
        <w:rPr>
          <w:rFonts w:hint="eastAsia" w:asciiTheme="majorEastAsia" w:hAnsiTheme="majorEastAsia" w:eastAsiaTheme="majorEastAsia" w:cstheme="majorEastAsia"/>
          <w:sz w:val="28"/>
          <w:shd w:val="clear" w:color="auto" w:fill="auto"/>
        </w:rPr>
        <w:fldChar w:fldCharType="end"/>
      </w:r>
      <w:r>
        <w:rPr>
          <w:rFonts w:hint="eastAsia" w:asciiTheme="majorEastAsia" w:hAnsiTheme="majorEastAsia" w:eastAsiaTheme="majorEastAsia" w:cstheme="majorEastAsia"/>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rFonts w:hint="eastAsia" w:asciiTheme="majorEastAsia" w:hAnsiTheme="majorEastAsia" w:eastAsiaTheme="majorEastAsia" w:cstheme="majorEastAsia"/>
          <w:sz w:val="28"/>
          <w:shd w:val="clear" w:color="auto" w:fill="auto"/>
        </w:rPr>
      </w:pP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HYPERLINK \l _Toc28543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zCs w:val="32"/>
          <w:shd w:val="clear" w:color="auto" w:fill="auto"/>
        </w:rPr>
        <w:t>八、</w:t>
      </w:r>
      <w:r>
        <w:rPr>
          <w:rFonts w:hint="eastAsia" w:asciiTheme="majorEastAsia" w:hAnsiTheme="majorEastAsia" w:eastAsiaTheme="majorEastAsia" w:cstheme="majorEastAsia"/>
          <w:sz w:val="28"/>
          <w:shd w:val="clear" w:color="auto" w:fill="auto"/>
        </w:rPr>
        <w:t>政府性基金预算支出决算情况说明</w:t>
      </w:r>
      <w:r>
        <w:rPr>
          <w:rFonts w:hint="eastAsia" w:asciiTheme="majorEastAsia" w:hAnsiTheme="majorEastAsia" w:eastAsiaTheme="majorEastAsia" w:cstheme="majorEastAsia"/>
          <w:sz w:val="28"/>
          <w:shd w:val="clear" w:color="auto" w:fill="auto"/>
        </w:rPr>
        <w:tab/>
      </w: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PAGEREF _Toc28543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11</w:t>
      </w:r>
      <w:r>
        <w:rPr>
          <w:rFonts w:hint="eastAsia" w:asciiTheme="majorEastAsia" w:hAnsiTheme="majorEastAsia" w:eastAsiaTheme="majorEastAsia" w:cstheme="majorEastAsia"/>
          <w:sz w:val="28"/>
          <w:shd w:val="clear" w:color="auto" w:fill="auto"/>
        </w:rPr>
        <w:fldChar w:fldCharType="end"/>
      </w:r>
      <w:r>
        <w:rPr>
          <w:rFonts w:hint="eastAsia" w:asciiTheme="majorEastAsia" w:hAnsiTheme="majorEastAsia" w:eastAsiaTheme="majorEastAsia" w:cstheme="majorEastAsia"/>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rFonts w:hint="eastAsia" w:asciiTheme="majorEastAsia" w:hAnsiTheme="majorEastAsia" w:eastAsiaTheme="majorEastAsia" w:cstheme="majorEastAsia"/>
          <w:sz w:val="28"/>
          <w:shd w:val="clear" w:color="auto" w:fill="auto"/>
        </w:rPr>
      </w:pP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HYPERLINK \l _Toc24022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九、 国有资本经营预算支出决算情况说明</w:t>
      </w:r>
      <w:r>
        <w:rPr>
          <w:rFonts w:hint="eastAsia" w:asciiTheme="majorEastAsia" w:hAnsiTheme="majorEastAsia" w:eastAsiaTheme="majorEastAsia" w:cstheme="majorEastAsia"/>
          <w:sz w:val="28"/>
          <w:shd w:val="clear" w:color="auto" w:fill="auto"/>
        </w:rPr>
        <w:tab/>
      </w: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PAGEREF _Toc24022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11</w:t>
      </w:r>
      <w:r>
        <w:rPr>
          <w:rFonts w:hint="eastAsia" w:asciiTheme="majorEastAsia" w:hAnsiTheme="majorEastAsia" w:eastAsiaTheme="majorEastAsia" w:cstheme="majorEastAsia"/>
          <w:sz w:val="28"/>
          <w:shd w:val="clear" w:color="auto" w:fill="auto"/>
        </w:rPr>
        <w:fldChar w:fldCharType="end"/>
      </w:r>
      <w:r>
        <w:rPr>
          <w:rFonts w:hint="eastAsia" w:asciiTheme="majorEastAsia" w:hAnsiTheme="majorEastAsia" w:eastAsiaTheme="majorEastAsia" w:cstheme="majorEastAsia"/>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rFonts w:hint="eastAsia" w:asciiTheme="majorEastAsia" w:hAnsiTheme="majorEastAsia" w:eastAsiaTheme="majorEastAsia" w:cstheme="majorEastAsia"/>
          <w:sz w:val="28"/>
          <w:shd w:val="clear" w:color="auto" w:fill="auto"/>
        </w:rPr>
      </w:pP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HYPERLINK \l _Toc2457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十、 其他重要事项的情况说明</w:t>
      </w:r>
      <w:r>
        <w:rPr>
          <w:rFonts w:hint="eastAsia" w:asciiTheme="majorEastAsia" w:hAnsiTheme="majorEastAsia" w:eastAsiaTheme="majorEastAsia" w:cstheme="majorEastAsia"/>
          <w:sz w:val="28"/>
          <w:shd w:val="clear" w:color="auto" w:fill="auto"/>
        </w:rPr>
        <w:tab/>
      </w: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PAGEREF _Toc2457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11</w:t>
      </w:r>
      <w:r>
        <w:rPr>
          <w:rFonts w:hint="eastAsia" w:asciiTheme="majorEastAsia" w:hAnsiTheme="majorEastAsia" w:eastAsiaTheme="majorEastAsia" w:cstheme="majorEastAsia"/>
          <w:sz w:val="28"/>
          <w:shd w:val="clear" w:color="auto" w:fill="auto"/>
        </w:rPr>
        <w:fldChar w:fldCharType="end"/>
      </w:r>
      <w:r>
        <w:rPr>
          <w:rFonts w:hint="eastAsia" w:asciiTheme="majorEastAsia" w:hAnsiTheme="majorEastAsia" w:eastAsiaTheme="majorEastAsia" w:cstheme="majorEastAsia"/>
          <w:sz w:val="28"/>
          <w:shd w:val="clear" w:color="auto" w:fill="auto"/>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rFonts w:hint="eastAsia" w:asciiTheme="majorEastAsia" w:hAnsiTheme="majorEastAsia" w:eastAsiaTheme="majorEastAsia" w:cstheme="majorEastAsia"/>
          <w:sz w:val="28"/>
          <w:shd w:val="clear" w:color="auto" w:fill="auto"/>
        </w:rPr>
      </w:pP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HYPERLINK \l _Toc28903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zCs w:val="44"/>
          <w:shd w:val="clear" w:color="auto" w:fill="auto"/>
        </w:rPr>
        <w:t>第三部分 名</w:t>
      </w:r>
      <w:r>
        <w:rPr>
          <w:rFonts w:hint="eastAsia" w:asciiTheme="majorEastAsia" w:hAnsiTheme="majorEastAsia" w:eastAsiaTheme="majorEastAsia" w:cstheme="majorEastAsia"/>
          <w:sz w:val="28"/>
          <w:shd w:val="clear" w:color="auto" w:fill="auto"/>
        </w:rPr>
        <w:t>词解释</w:t>
      </w:r>
      <w:r>
        <w:rPr>
          <w:rFonts w:hint="eastAsia" w:asciiTheme="majorEastAsia" w:hAnsiTheme="majorEastAsia" w:eastAsiaTheme="majorEastAsia" w:cstheme="majorEastAsia"/>
          <w:sz w:val="28"/>
          <w:shd w:val="clear" w:color="auto" w:fill="auto"/>
        </w:rPr>
        <w:tab/>
      </w: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PAGEREF _Toc28903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13</w:t>
      </w:r>
      <w:r>
        <w:rPr>
          <w:rFonts w:hint="eastAsia" w:asciiTheme="majorEastAsia" w:hAnsiTheme="majorEastAsia" w:eastAsiaTheme="majorEastAsia" w:cstheme="majorEastAsia"/>
          <w:sz w:val="28"/>
          <w:shd w:val="clear" w:color="auto" w:fill="auto"/>
        </w:rPr>
        <w:fldChar w:fldCharType="end"/>
      </w:r>
      <w:r>
        <w:rPr>
          <w:rFonts w:hint="eastAsia" w:asciiTheme="majorEastAsia" w:hAnsiTheme="majorEastAsia" w:eastAsiaTheme="majorEastAsia" w:cstheme="majorEastAsia"/>
          <w:sz w:val="28"/>
          <w:shd w:val="clear" w:color="auto" w:fill="auto"/>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rFonts w:hint="eastAsia" w:asciiTheme="majorEastAsia" w:hAnsiTheme="majorEastAsia" w:eastAsiaTheme="majorEastAsia" w:cstheme="majorEastAsia"/>
          <w:sz w:val="28"/>
          <w:shd w:val="clear" w:color="auto" w:fill="auto"/>
        </w:rPr>
      </w:pP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HYPERLINK \l _Toc32185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zCs w:val="44"/>
          <w:shd w:val="clear" w:color="auto" w:fill="auto"/>
        </w:rPr>
        <w:t>第</w:t>
      </w:r>
      <w:r>
        <w:rPr>
          <w:rFonts w:hint="eastAsia" w:asciiTheme="majorEastAsia" w:hAnsiTheme="majorEastAsia" w:eastAsiaTheme="majorEastAsia" w:cstheme="majorEastAsia"/>
          <w:sz w:val="28"/>
          <w:shd w:val="clear" w:color="auto" w:fill="auto"/>
        </w:rPr>
        <w:t>四部分 附件</w:t>
      </w:r>
      <w:r>
        <w:rPr>
          <w:rFonts w:hint="eastAsia" w:asciiTheme="majorEastAsia" w:hAnsiTheme="majorEastAsia" w:eastAsiaTheme="majorEastAsia" w:cstheme="majorEastAsia"/>
          <w:sz w:val="28"/>
          <w:shd w:val="clear" w:color="auto" w:fill="auto"/>
        </w:rPr>
        <w:tab/>
      </w: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PAGEREF _Toc32185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16</w:t>
      </w:r>
      <w:r>
        <w:rPr>
          <w:rFonts w:hint="eastAsia" w:asciiTheme="majorEastAsia" w:hAnsiTheme="majorEastAsia" w:eastAsiaTheme="majorEastAsia" w:cstheme="majorEastAsia"/>
          <w:sz w:val="28"/>
          <w:shd w:val="clear" w:color="auto" w:fill="auto"/>
        </w:rPr>
        <w:fldChar w:fldCharType="end"/>
      </w:r>
      <w:r>
        <w:rPr>
          <w:rFonts w:hint="eastAsia" w:asciiTheme="majorEastAsia" w:hAnsiTheme="majorEastAsia" w:eastAsiaTheme="majorEastAsia" w:cstheme="majorEastAsia"/>
          <w:sz w:val="28"/>
          <w:shd w:val="clear" w:color="auto" w:fill="auto"/>
        </w:rPr>
        <w:fldChar w:fldCharType="end"/>
      </w:r>
    </w:p>
    <w:p>
      <w:pPr>
        <w:pStyle w:val="15"/>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rFonts w:hint="eastAsia" w:asciiTheme="majorEastAsia" w:hAnsiTheme="majorEastAsia" w:eastAsiaTheme="majorEastAsia" w:cstheme="majorEastAsia"/>
          <w:sz w:val="28"/>
          <w:shd w:val="clear" w:color="auto" w:fill="auto"/>
        </w:rPr>
      </w:pP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HYPERLINK \l _Toc8796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zCs w:val="44"/>
          <w:shd w:val="clear" w:color="auto" w:fill="auto"/>
        </w:rPr>
        <w:t>第</w:t>
      </w:r>
      <w:r>
        <w:rPr>
          <w:rFonts w:hint="eastAsia" w:asciiTheme="majorEastAsia" w:hAnsiTheme="majorEastAsia" w:eastAsiaTheme="majorEastAsia" w:cstheme="majorEastAsia"/>
          <w:sz w:val="28"/>
          <w:shd w:val="clear" w:color="auto" w:fill="auto"/>
        </w:rPr>
        <w:t>五部分 附表</w:t>
      </w:r>
      <w:r>
        <w:rPr>
          <w:rFonts w:hint="eastAsia" w:asciiTheme="majorEastAsia" w:hAnsiTheme="majorEastAsia" w:eastAsiaTheme="majorEastAsia" w:cstheme="majorEastAsia"/>
          <w:sz w:val="28"/>
          <w:shd w:val="clear" w:color="auto" w:fill="auto"/>
        </w:rPr>
        <w:tab/>
      </w:r>
      <w:r>
        <w:rPr>
          <w:rFonts w:hint="eastAsia" w:asciiTheme="majorEastAsia" w:hAnsiTheme="majorEastAsia" w:eastAsiaTheme="majorEastAsia" w:cstheme="majorEastAsia"/>
          <w:sz w:val="28"/>
          <w:shd w:val="clear" w:color="auto" w:fill="auto"/>
        </w:rPr>
        <w:fldChar w:fldCharType="begin"/>
      </w:r>
      <w:r>
        <w:rPr>
          <w:rFonts w:hint="eastAsia" w:asciiTheme="majorEastAsia" w:hAnsiTheme="majorEastAsia" w:eastAsiaTheme="majorEastAsia" w:cstheme="majorEastAsia"/>
          <w:sz w:val="28"/>
          <w:shd w:val="clear" w:color="auto" w:fill="auto"/>
        </w:rPr>
        <w:instrText xml:space="preserve"> PAGEREF _Toc8796 </w:instrText>
      </w:r>
      <w:r>
        <w:rPr>
          <w:rFonts w:hint="eastAsia" w:asciiTheme="majorEastAsia" w:hAnsiTheme="majorEastAsia" w:eastAsiaTheme="majorEastAsia" w:cstheme="majorEastAsia"/>
          <w:sz w:val="28"/>
          <w:shd w:val="clear" w:color="auto" w:fill="auto"/>
        </w:rPr>
        <w:fldChar w:fldCharType="separate"/>
      </w:r>
      <w:r>
        <w:rPr>
          <w:rFonts w:hint="eastAsia" w:asciiTheme="majorEastAsia" w:hAnsiTheme="majorEastAsia" w:eastAsiaTheme="majorEastAsia" w:cstheme="majorEastAsia"/>
          <w:sz w:val="28"/>
          <w:shd w:val="clear" w:color="auto" w:fill="auto"/>
        </w:rPr>
        <w:t>17</w:t>
      </w:r>
      <w:r>
        <w:rPr>
          <w:rFonts w:hint="eastAsia" w:asciiTheme="majorEastAsia" w:hAnsiTheme="majorEastAsia" w:eastAsiaTheme="majorEastAsia" w:cstheme="majorEastAsia"/>
          <w:sz w:val="28"/>
          <w:shd w:val="clear" w:color="auto" w:fill="auto"/>
        </w:rPr>
        <w:fldChar w:fldCharType="end"/>
      </w:r>
      <w:r>
        <w:rPr>
          <w:rFonts w:hint="eastAsia" w:asciiTheme="majorEastAsia" w:hAnsiTheme="majorEastAsia" w:eastAsiaTheme="majorEastAsia" w:cstheme="majorEastAsia"/>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sz w:val="28"/>
          <w:shd w:val="clear" w:color="auto" w:fill="auto"/>
        </w:rPr>
      </w:pPr>
      <w:r>
        <w:rPr>
          <w:sz w:val="28"/>
          <w:shd w:val="clear" w:color="auto" w:fill="auto"/>
        </w:rPr>
        <w:fldChar w:fldCharType="begin"/>
      </w:r>
      <w:r>
        <w:rPr>
          <w:sz w:val="28"/>
          <w:shd w:val="clear" w:color="auto" w:fill="auto"/>
        </w:rPr>
        <w:instrText xml:space="preserve"> HYPERLINK \l _Toc25414 </w:instrText>
      </w:r>
      <w:r>
        <w:rPr>
          <w:sz w:val="28"/>
          <w:shd w:val="clear" w:color="auto" w:fill="auto"/>
        </w:rPr>
        <w:fldChar w:fldCharType="separate"/>
      </w:r>
      <w:r>
        <w:rPr>
          <w:rFonts w:hint="eastAsia" w:ascii="仿宋" w:hAnsi="仿宋" w:eastAsia="仿宋"/>
          <w:sz w:val="28"/>
          <w:shd w:val="clear" w:color="auto" w:fill="auto"/>
        </w:rPr>
        <w:t>一、收</w:t>
      </w:r>
      <w:r>
        <w:rPr>
          <w:rFonts w:hint="eastAsia" w:ascii="仿宋" w:hAnsi="仿宋" w:eastAsia="仿宋"/>
          <w:bCs w:val="0"/>
          <w:sz w:val="28"/>
          <w:shd w:val="clear" w:color="auto" w:fill="auto"/>
        </w:rPr>
        <w:t>入支出决算总表</w:t>
      </w:r>
      <w:r>
        <w:rPr>
          <w:sz w:val="28"/>
          <w:shd w:val="clear" w:color="auto" w:fill="auto"/>
        </w:rPr>
        <w:tab/>
      </w:r>
      <w:r>
        <w:rPr>
          <w:sz w:val="28"/>
          <w:shd w:val="clear" w:color="auto" w:fill="auto"/>
        </w:rPr>
        <w:fldChar w:fldCharType="begin"/>
      </w:r>
      <w:r>
        <w:rPr>
          <w:sz w:val="28"/>
          <w:shd w:val="clear" w:color="auto" w:fill="auto"/>
        </w:rPr>
        <w:instrText xml:space="preserve"> PAGEREF _Toc25414 </w:instrText>
      </w:r>
      <w:r>
        <w:rPr>
          <w:sz w:val="28"/>
          <w:shd w:val="clear" w:color="auto" w:fill="auto"/>
        </w:rPr>
        <w:fldChar w:fldCharType="separate"/>
      </w:r>
      <w:r>
        <w:rPr>
          <w:sz w:val="28"/>
          <w:shd w:val="clear" w:color="auto" w:fill="auto"/>
        </w:rPr>
        <w:t>17</w:t>
      </w:r>
      <w:r>
        <w:rPr>
          <w:sz w:val="28"/>
          <w:shd w:val="clear" w:color="auto" w:fill="auto"/>
        </w:rPr>
        <w:fldChar w:fldCharType="end"/>
      </w:r>
      <w:r>
        <w:rPr>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sz w:val="28"/>
          <w:shd w:val="clear" w:color="auto" w:fill="auto"/>
        </w:rPr>
      </w:pPr>
      <w:r>
        <w:rPr>
          <w:sz w:val="28"/>
          <w:shd w:val="clear" w:color="auto" w:fill="auto"/>
        </w:rPr>
        <w:fldChar w:fldCharType="begin"/>
      </w:r>
      <w:r>
        <w:rPr>
          <w:sz w:val="28"/>
          <w:shd w:val="clear" w:color="auto" w:fill="auto"/>
        </w:rPr>
        <w:instrText xml:space="preserve"> HYPERLINK \l _Toc32214 </w:instrText>
      </w:r>
      <w:r>
        <w:rPr>
          <w:sz w:val="28"/>
          <w:shd w:val="clear" w:color="auto" w:fill="auto"/>
        </w:rPr>
        <w:fldChar w:fldCharType="separate"/>
      </w:r>
      <w:r>
        <w:rPr>
          <w:rFonts w:hint="eastAsia" w:ascii="仿宋" w:hAnsi="仿宋" w:eastAsia="仿宋"/>
          <w:sz w:val="28"/>
          <w:shd w:val="clear" w:color="auto" w:fill="auto"/>
        </w:rPr>
        <w:t>二、收</w:t>
      </w:r>
      <w:r>
        <w:rPr>
          <w:rFonts w:hint="eastAsia" w:ascii="仿宋" w:hAnsi="仿宋" w:eastAsia="仿宋"/>
          <w:bCs w:val="0"/>
          <w:sz w:val="28"/>
          <w:shd w:val="clear" w:color="auto" w:fill="auto"/>
        </w:rPr>
        <w:t>入决算表</w:t>
      </w:r>
      <w:r>
        <w:rPr>
          <w:sz w:val="28"/>
          <w:shd w:val="clear" w:color="auto" w:fill="auto"/>
        </w:rPr>
        <w:tab/>
      </w:r>
      <w:r>
        <w:rPr>
          <w:sz w:val="28"/>
          <w:shd w:val="clear" w:color="auto" w:fill="auto"/>
        </w:rPr>
        <w:fldChar w:fldCharType="begin"/>
      </w:r>
      <w:r>
        <w:rPr>
          <w:sz w:val="28"/>
          <w:shd w:val="clear" w:color="auto" w:fill="auto"/>
        </w:rPr>
        <w:instrText xml:space="preserve"> PAGEREF _Toc32214 </w:instrText>
      </w:r>
      <w:r>
        <w:rPr>
          <w:sz w:val="28"/>
          <w:shd w:val="clear" w:color="auto" w:fill="auto"/>
        </w:rPr>
        <w:fldChar w:fldCharType="separate"/>
      </w:r>
      <w:r>
        <w:rPr>
          <w:sz w:val="28"/>
          <w:shd w:val="clear" w:color="auto" w:fill="auto"/>
        </w:rPr>
        <w:t>17</w:t>
      </w:r>
      <w:r>
        <w:rPr>
          <w:sz w:val="28"/>
          <w:shd w:val="clear" w:color="auto" w:fill="auto"/>
        </w:rPr>
        <w:fldChar w:fldCharType="end"/>
      </w:r>
      <w:r>
        <w:rPr>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sz w:val="28"/>
          <w:shd w:val="clear" w:color="auto" w:fill="auto"/>
        </w:rPr>
      </w:pPr>
      <w:r>
        <w:rPr>
          <w:sz w:val="28"/>
          <w:shd w:val="clear" w:color="auto" w:fill="auto"/>
        </w:rPr>
        <w:fldChar w:fldCharType="begin"/>
      </w:r>
      <w:r>
        <w:rPr>
          <w:sz w:val="28"/>
          <w:shd w:val="clear" w:color="auto" w:fill="auto"/>
        </w:rPr>
        <w:instrText xml:space="preserve"> HYPERLINK \l _Toc8625 </w:instrText>
      </w:r>
      <w:r>
        <w:rPr>
          <w:sz w:val="28"/>
          <w:shd w:val="clear" w:color="auto" w:fill="auto"/>
        </w:rPr>
        <w:fldChar w:fldCharType="separate"/>
      </w:r>
      <w:r>
        <w:rPr>
          <w:rFonts w:hint="eastAsia" w:ascii="仿宋" w:hAnsi="仿宋" w:eastAsia="仿宋"/>
          <w:bCs w:val="0"/>
          <w:sz w:val="28"/>
          <w:shd w:val="clear" w:color="auto" w:fill="auto"/>
        </w:rPr>
        <w:t>三、</w:t>
      </w:r>
      <w:r>
        <w:rPr>
          <w:rFonts w:hint="eastAsia" w:ascii="仿宋" w:hAnsi="仿宋" w:eastAsia="仿宋"/>
          <w:sz w:val="28"/>
          <w:shd w:val="clear" w:color="auto" w:fill="auto"/>
        </w:rPr>
        <w:t>支</w:t>
      </w:r>
      <w:r>
        <w:rPr>
          <w:rFonts w:hint="eastAsia" w:ascii="仿宋" w:hAnsi="仿宋" w:eastAsia="仿宋"/>
          <w:bCs w:val="0"/>
          <w:sz w:val="28"/>
          <w:shd w:val="clear" w:color="auto" w:fill="auto"/>
        </w:rPr>
        <w:t>出决算表</w:t>
      </w:r>
      <w:r>
        <w:rPr>
          <w:sz w:val="28"/>
          <w:shd w:val="clear" w:color="auto" w:fill="auto"/>
        </w:rPr>
        <w:tab/>
      </w:r>
      <w:r>
        <w:rPr>
          <w:sz w:val="28"/>
          <w:shd w:val="clear" w:color="auto" w:fill="auto"/>
        </w:rPr>
        <w:fldChar w:fldCharType="begin"/>
      </w:r>
      <w:r>
        <w:rPr>
          <w:sz w:val="28"/>
          <w:shd w:val="clear" w:color="auto" w:fill="auto"/>
        </w:rPr>
        <w:instrText xml:space="preserve"> PAGEREF _Toc8625 </w:instrText>
      </w:r>
      <w:r>
        <w:rPr>
          <w:sz w:val="28"/>
          <w:shd w:val="clear" w:color="auto" w:fill="auto"/>
        </w:rPr>
        <w:fldChar w:fldCharType="separate"/>
      </w:r>
      <w:r>
        <w:rPr>
          <w:sz w:val="28"/>
          <w:shd w:val="clear" w:color="auto" w:fill="auto"/>
        </w:rPr>
        <w:t>17</w:t>
      </w:r>
      <w:r>
        <w:rPr>
          <w:sz w:val="28"/>
          <w:shd w:val="clear" w:color="auto" w:fill="auto"/>
        </w:rPr>
        <w:fldChar w:fldCharType="end"/>
      </w:r>
      <w:r>
        <w:rPr>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sz w:val="28"/>
          <w:shd w:val="clear" w:color="auto" w:fill="auto"/>
        </w:rPr>
      </w:pPr>
      <w:r>
        <w:rPr>
          <w:sz w:val="28"/>
          <w:shd w:val="clear" w:color="auto" w:fill="auto"/>
        </w:rPr>
        <w:fldChar w:fldCharType="begin"/>
      </w:r>
      <w:r>
        <w:rPr>
          <w:sz w:val="28"/>
          <w:shd w:val="clear" w:color="auto" w:fill="auto"/>
        </w:rPr>
        <w:instrText xml:space="preserve"> HYPERLINK \l _Toc31021 </w:instrText>
      </w:r>
      <w:r>
        <w:rPr>
          <w:sz w:val="28"/>
          <w:shd w:val="clear" w:color="auto" w:fill="auto"/>
        </w:rPr>
        <w:fldChar w:fldCharType="separate"/>
      </w:r>
      <w:r>
        <w:rPr>
          <w:rFonts w:hint="eastAsia" w:ascii="仿宋" w:hAnsi="仿宋" w:eastAsia="仿宋"/>
          <w:bCs w:val="0"/>
          <w:sz w:val="28"/>
          <w:shd w:val="clear" w:color="auto" w:fill="auto"/>
        </w:rPr>
        <w:t>四、</w:t>
      </w:r>
      <w:r>
        <w:rPr>
          <w:rFonts w:hint="eastAsia" w:ascii="仿宋" w:hAnsi="仿宋" w:eastAsia="仿宋"/>
          <w:sz w:val="28"/>
          <w:shd w:val="clear" w:color="auto" w:fill="auto"/>
        </w:rPr>
        <w:t>财</w:t>
      </w:r>
      <w:r>
        <w:rPr>
          <w:rFonts w:hint="eastAsia" w:ascii="仿宋" w:hAnsi="仿宋" w:eastAsia="仿宋"/>
          <w:bCs w:val="0"/>
          <w:sz w:val="28"/>
          <w:shd w:val="clear" w:color="auto" w:fill="auto"/>
        </w:rPr>
        <w:t>政拨款收入支出决算总表</w:t>
      </w:r>
      <w:r>
        <w:rPr>
          <w:sz w:val="28"/>
          <w:shd w:val="clear" w:color="auto" w:fill="auto"/>
        </w:rPr>
        <w:tab/>
      </w:r>
      <w:r>
        <w:rPr>
          <w:sz w:val="28"/>
          <w:shd w:val="clear" w:color="auto" w:fill="auto"/>
        </w:rPr>
        <w:fldChar w:fldCharType="begin"/>
      </w:r>
      <w:r>
        <w:rPr>
          <w:sz w:val="28"/>
          <w:shd w:val="clear" w:color="auto" w:fill="auto"/>
        </w:rPr>
        <w:instrText xml:space="preserve"> PAGEREF _Toc31021 </w:instrText>
      </w:r>
      <w:r>
        <w:rPr>
          <w:sz w:val="28"/>
          <w:shd w:val="clear" w:color="auto" w:fill="auto"/>
        </w:rPr>
        <w:fldChar w:fldCharType="separate"/>
      </w:r>
      <w:r>
        <w:rPr>
          <w:sz w:val="28"/>
          <w:shd w:val="clear" w:color="auto" w:fill="auto"/>
        </w:rPr>
        <w:t>17</w:t>
      </w:r>
      <w:r>
        <w:rPr>
          <w:sz w:val="28"/>
          <w:shd w:val="clear" w:color="auto" w:fill="auto"/>
        </w:rPr>
        <w:fldChar w:fldCharType="end"/>
      </w:r>
      <w:r>
        <w:rPr>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sz w:val="28"/>
          <w:shd w:val="clear" w:color="auto" w:fill="auto"/>
        </w:rPr>
      </w:pPr>
      <w:r>
        <w:rPr>
          <w:sz w:val="28"/>
          <w:shd w:val="clear" w:color="auto" w:fill="auto"/>
        </w:rPr>
        <w:fldChar w:fldCharType="begin"/>
      </w:r>
      <w:r>
        <w:rPr>
          <w:sz w:val="28"/>
          <w:shd w:val="clear" w:color="auto" w:fill="auto"/>
        </w:rPr>
        <w:instrText xml:space="preserve"> HYPERLINK \l _Toc4226 </w:instrText>
      </w:r>
      <w:r>
        <w:rPr>
          <w:sz w:val="28"/>
          <w:shd w:val="clear" w:color="auto" w:fill="auto"/>
        </w:rPr>
        <w:fldChar w:fldCharType="separate"/>
      </w:r>
      <w:r>
        <w:rPr>
          <w:rFonts w:hint="eastAsia" w:ascii="仿宋" w:hAnsi="仿宋" w:eastAsia="仿宋"/>
          <w:bCs w:val="0"/>
          <w:sz w:val="28"/>
          <w:shd w:val="clear" w:color="auto" w:fill="auto"/>
        </w:rPr>
        <w:t>五、</w:t>
      </w:r>
      <w:r>
        <w:rPr>
          <w:rFonts w:hint="eastAsia" w:ascii="仿宋" w:hAnsi="仿宋" w:eastAsia="仿宋"/>
          <w:sz w:val="28"/>
          <w:shd w:val="clear" w:color="auto" w:fill="auto"/>
        </w:rPr>
        <w:t>财</w:t>
      </w:r>
      <w:r>
        <w:rPr>
          <w:rFonts w:hint="eastAsia" w:ascii="仿宋" w:hAnsi="仿宋" w:eastAsia="仿宋"/>
          <w:bCs w:val="0"/>
          <w:sz w:val="28"/>
          <w:shd w:val="clear" w:color="auto" w:fill="auto"/>
        </w:rPr>
        <w:t>政拨款支出决算明细表</w:t>
      </w:r>
      <w:r>
        <w:rPr>
          <w:sz w:val="28"/>
          <w:shd w:val="clear" w:color="auto" w:fill="auto"/>
        </w:rPr>
        <w:tab/>
      </w:r>
      <w:r>
        <w:rPr>
          <w:sz w:val="28"/>
          <w:shd w:val="clear" w:color="auto" w:fill="auto"/>
        </w:rPr>
        <w:fldChar w:fldCharType="begin"/>
      </w:r>
      <w:r>
        <w:rPr>
          <w:sz w:val="28"/>
          <w:shd w:val="clear" w:color="auto" w:fill="auto"/>
        </w:rPr>
        <w:instrText xml:space="preserve"> PAGEREF _Toc4226 </w:instrText>
      </w:r>
      <w:r>
        <w:rPr>
          <w:sz w:val="28"/>
          <w:shd w:val="clear" w:color="auto" w:fill="auto"/>
        </w:rPr>
        <w:fldChar w:fldCharType="separate"/>
      </w:r>
      <w:r>
        <w:rPr>
          <w:sz w:val="28"/>
          <w:shd w:val="clear" w:color="auto" w:fill="auto"/>
        </w:rPr>
        <w:t>17</w:t>
      </w:r>
      <w:r>
        <w:rPr>
          <w:sz w:val="28"/>
          <w:shd w:val="clear" w:color="auto" w:fill="auto"/>
        </w:rPr>
        <w:fldChar w:fldCharType="end"/>
      </w:r>
      <w:r>
        <w:rPr>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sz w:val="28"/>
          <w:shd w:val="clear" w:color="auto" w:fill="auto"/>
        </w:rPr>
      </w:pPr>
      <w:r>
        <w:rPr>
          <w:sz w:val="28"/>
          <w:shd w:val="clear" w:color="auto" w:fill="auto"/>
        </w:rPr>
        <w:fldChar w:fldCharType="begin"/>
      </w:r>
      <w:r>
        <w:rPr>
          <w:sz w:val="28"/>
          <w:shd w:val="clear" w:color="auto" w:fill="auto"/>
        </w:rPr>
        <w:instrText xml:space="preserve"> HYPERLINK \l _Toc31831 </w:instrText>
      </w:r>
      <w:r>
        <w:rPr>
          <w:sz w:val="28"/>
          <w:shd w:val="clear" w:color="auto" w:fill="auto"/>
        </w:rPr>
        <w:fldChar w:fldCharType="separate"/>
      </w:r>
      <w:r>
        <w:rPr>
          <w:rFonts w:hint="eastAsia" w:ascii="仿宋" w:hAnsi="仿宋" w:eastAsia="仿宋"/>
          <w:bCs w:val="0"/>
          <w:sz w:val="28"/>
          <w:shd w:val="clear" w:color="auto" w:fill="auto"/>
        </w:rPr>
        <w:t>六、</w:t>
      </w:r>
      <w:r>
        <w:rPr>
          <w:rFonts w:hint="eastAsia" w:ascii="仿宋" w:hAnsi="仿宋" w:eastAsia="仿宋"/>
          <w:sz w:val="28"/>
          <w:shd w:val="clear" w:color="auto" w:fill="auto"/>
        </w:rPr>
        <w:t>一</w:t>
      </w:r>
      <w:r>
        <w:rPr>
          <w:rFonts w:hint="eastAsia" w:ascii="仿宋" w:hAnsi="仿宋" w:eastAsia="仿宋"/>
          <w:bCs w:val="0"/>
          <w:sz w:val="28"/>
          <w:shd w:val="clear" w:color="auto" w:fill="auto"/>
        </w:rPr>
        <w:t>般公共预算财政拨款支出决算表</w:t>
      </w:r>
      <w:r>
        <w:rPr>
          <w:sz w:val="28"/>
          <w:shd w:val="clear" w:color="auto" w:fill="auto"/>
        </w:rPr>
        <w:tab/>
      </w:r>
      <w:r>
        <w:rPr>
          <w:sz w:val="28"/>
          <w:shd w:val="clear" w:color="auto" w:fill="auto"/>
        </w:rPr>
        <w:fldChar w:fldCharType="begin"/>
      </w:r>
      <w:r>
        <w:rPr>
          <w:sz w:val="28"/>
          <w:shd w:val="clear" w:color="auto" w:fill="auto"/>
        </w:rPr>
        <w:instrText xml:space="preserve"> PAGEREF _Toc31831 </w:instrText>
      </w:r>
      <w:r>
        <w:rPr>
          <w:sz w:val="28"/>
          <w:shd w:val="clear" w:color="auto" w:fill="auto"/>
        </w:rPr>
        <w:fldChar w:fldCharType="separate"/>
      </w:r>
      <w:r>
        <w:rPr>
          <w:sz w:val="28"/>
          <w:shd w:val="clear" w:color="auto" w:fill="auto"/>
        </w:rPr>
        <w:t>17</w:t>
      </w:r>
      <w:r>
        <w:rPr>
          <w:sz w:val="28"/>
          <w:shd w:val="clear" w:color="auto" w:fill="auto"/>
        </w:rPr>
        <w:fldChar w:fldCharType="end"/>
      </w:r>
      <w:r>
        <w:rPr>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sz w:val="28"/>
          <w:shd w:val="clear" w:color="auto" w:fill="auto"/>
        </w:rPr>
      </w:pPr>
      <w:r>
        <w:rPr>
          <w:sz w:val="28"/>
          <w:shd w:val="clear" w:color="auto" w:fill="auto"/>
        </w:rPr>
        <w:fldChar w:fldCharType="begin"/>
      </w:r>
      <w:r>
        <w:rPr>
          <w:sz w:val="28"/>
          <w:shd w:val="clear" w:color="auto" w:fill="auto"/>
        </w:rPr>
        <w:instrText xml:space="preserve"> HYPERLINK \l _Toc16842 </w:instrText>
      </w:r>
      <w:r>
        <w:rPr>
          <w:sz w:val="28"/>
          <w:shd w:val="clear" w:color="auto" w:fill="auto"/>
        </w:rPr>
        <w:fldChar w:fldCharType="separate"/>
      </w:r>
      <w:r>
        <w:rPr>
          <w:rFonts w:hint="eastAsia" w:ascii="仿宋" w:hAnsi="仿宋" w:eastAsia="仿宋"/>
          <w:bCs w:val="0"/>
          <w:sz w:val="28"/>
          <w:shd w:val="clear" w:color="auto" w:fill="auto"/>
        </w:rPr>
        <w:t>七、</w:t>
      </w:r>
      <w:r>
        <w:rPr>
          <w:rFonts w:hint="eastAsia" w:ascii="仿宋" w:hAnsi="仿宋" w:eastAsia="仿宋"/>
          <w:sz w:val="28"/>
          <w:shd w:val="clear" w:color="auto" w:fill="auto"/>
        </w:rPr>
        <w:t>一</w:t>
      </w:r>
      <w:r>
        <w:rPr>
          <w:rFonts w:hint="eastAsia" w:ascii="仿宋" w:hAnsi="仿宋" w:eastAsia="仿宋"/>
          <w:bCs w:val="0"/>
          <w:sz w:val="28"/>
          <w:shd w:val="clear" w:color="auto" w:fill="auto"/>
        </w:rPr>
        <w:t>般公共预算财政拨款支出决算明细表</w:t>
      </w:r>
      <w:r>
        <w:rPr>
          <w:sz w:val="28"/>
          <w:shd w:val="clear" w:color="auto" w:fill="auto"/>
        </w:rPr>
        <w:tab/>
      </w:r>
      <w:r>
        <w:rPr>
          <w:sz w:val="28"/>
          <w:shd w:val="clear" w:color="auto" w:fill="auto"/>
        </w:rPr>
        <w:fldChar w:fldCharType="begin"/>
      </w:r>
      <w:r>
        <w:rPr>
          <w:sz w:val="28"/>
          <w:shd w:val="clear" w:color="auto" w:fill="auto"/>
        </w:rPr>
        <w:instrText xml:space="preserve"> PAGEREF _Toc16842 </w:instrText>
      </w:r>
      <w:r>
        <w:rPr>
          <w:sz w:val="28"/>
          <w:shd w:val="clear" w:color="auto" w:fill="auto"/>
        </w:rPr>
        <w:fldChar w:fldCharType="separate"/>
      </w:r>
      <w:r>
        <w:rPr>
          <w:sz w:val="28"/>
          <w:shd w:val="clear" w:color="auto" w:fill="auto"/>
        </w:rPr>
        <w:t>17</w:t>
      </w:r>
      <w:r>
        <w:rPr>
          <w:sz w:val="28"/>
          <w:shd w:val="clear" w:color="auto" w:fill="auto"/>
        </w:rPr>
        <w:fldChar w:fldCharType="end"/>
      </w:r>
      <w:r>
        <w:rPr>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sz w:val="28"/>
          <w:shd w:val="clear" w:color="auto" w:fill="auto"/>
        </w:rPr>
      </w:pPr>
      <w:r>
        <w:rPr>
          <w:sz w:val="28"/>
          <w:shd w:val="clear" w:color="auto" w:fill="auto"/>
        </w:rPr>
        <w:fldChar w:fldCharType="begin"/>
      </w:r>
      <w:r>
        <w:rPr>
          <w:sz w:val="28"/>
          <w:shd w:val="clear" w:color="auto" w:fill="auto"/>
        </w:rPr>
        <w:instrText xml:space="preserve"> HYPERLINK \l _Toc15181 </w:instrText>
      </w:r>
      <w:r>
        <w:rPr>
          <w:sz w:val="28"/>
          <w:shd w:val="clear" w:color="auto" w:fill="auto"/>
        </w:rPr>
        <w:fldChar w:fldCharType="separate"/>
      </w:r>
      <w:r>
        <w:rPr>
          <w:rFonts w:hint="eastAsia" w:ascii="仿宋" w:hAnsi="仿宋" w:eastAsia="仿宋"/>
          <w:bCs w:val="0"/>
          <w:sz w:val="28"/>
          <w:shd w:val="clear" w:color="auto" w:fill="auto"/>
        </w:rPr>
        <w:t>八、</w:t>
      </w:r>
      <w:r>
        <w:rPr>
          <w:rFonts w:hint="eastAsia" w:ascii="仿宋" w:hAnsi="仿宋" w:eastAsia="仿宋"/>
          <w:sz w:val="28"/>
          <w:shd w:val="clear" w:color="auto" w:fill="auto"/>
        </w:rPr>
        <w:t>一</w:t>
      </w:r>
      <w:r>
        <w:rPr>
          <w:rFonts w:hint="eastAsia" w:ascii="仿宋" w:hAnsi="仿宋" w:eastAsia="仿宋"/>
          <w:bCs w:val="0"/>
          <w:sz w:val="28"/>
          <w:shd w:val="clear" w:color="auto" w:fill="auto"/>
        </w:rPr>
        <w:t>般公共预算财政拨款基本支出决算表</w:t>
      </w:r>
      <w:r>
        <w:rPr>
          <w:sz w:val="28"/>
          <w:shd w:val="clear" w:color="auto" w:fill="auto"/>
        </w:rPr>
        <w:tab/>
      </w:r>
      <w:r>
        <w:rPr>
          <w:sz w:val="28"/>
          <w:shd w:val="clear" w:color="auto" w:fill="auto"/>
        </w:rPr>
        <w:fldChar w:fldCharType="begin"/>
      </w:r>
      <w:r>
        <w:rPr>
          <w:sz w:val="28"/>
          <w:shd w:val="clear" w:color="auto" w:fill="auto"/>
        </w:rPr>
        <w:instrText xml:space="preserve"> PAGEREF _Toc15181 </w:instrText>
      </w:r>
      <w:r>
        <w:rPr>
          <w:sz w:val="28"/>
          <w:shd w:val="clear" w:color="auto" w:fill="auto"/>
        </w:rPr>
        <w:fldChar w:fldCharType="separate"/>
      </w:r>
      <w:r>
        <w:rPr>
          <w:sz w:val="28"/>
          <w:shd w:val="clear" w:color="auto" w:fill="auto"/>
        </w:rPr>
        <w:t>17</w:t>
      </w:r>
      <w:r>
        <w:rPr>
          <w:sz w:val="28"/>
          <w:shd w:val="clear" w:color="auto" w:fill="auto"/>
        </w:rPr>
        <w:fldChar w:fldCharType="end"/>
      </w:r>
      <w:r>
        <w:rPr>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sz w:val="28"/>
          <w:shd w:val="clear" w:color="auto" w:fill="auto"/>
        </w:rPr>
      </w:pPr>
      <w:r>
        <w:rPr>
          <w:sz w:val="28"/>
          <w:shd w:val="clear" w:color="auto" w:fill="auto"/>
        </w:rPr>
        <w:fldChar w:fldCharType="begin"/>
      </w:r>
      <w:r>
        <w:rPr>
          <w:sz w:val="28"/>
          <w:shd w:val="clear" w:color="auto" w:fill="auto"/>
        </w:rPr>
        <w:instrText xml:space="preserve"> HYPERLINK \l _Toc801 </w:instrText>
      </w:r>
      <w:r>
        <w:rPr>
          <w:sz w:val="28"/>
          <w:shd w:val="clear" w:color="auto" w:fill="auto"/>
        </w:rPr>
        <w:fldChar w:fldCharType="separate"/>
      </w:r>
      <w:r>
        <w:rPr>
          <w:rFonts w:hint="eastAsia" w:ascii="仿宋" w:hAnsi="仿宋" w:eastAsia="仿宋"/>
          <w:bCs w:val="0"/>
          <w:sz w:val="28"/>
          <w:shd w:val="clear" w:color="auto" w:fill="auto"/>
        </w:rPr>
        <w:t>九、</w:t>
      </w:r>
      <w:r>
        <w:rPr>
          <w:rFonts w:hint="eastAsia" w:ascii="仿宋" w:hAnsi="仿宋" w:eastAsia="仿宋"/>
          <w:sz w:val="28"/>
          <w:shd w:val="clear" w:color="auto" w:fill="auto"/>
        </w:rPr>
        <w:t>一</w:t>
      </w:r>
      <w:r>
        <w:rPr>
          <w:rFonts w:hint="eastAsia" w:ascii="仿宋" w:hAnsi="仿宋" w:eastAsia="仿宋"/>
          <w:bCs w:val="0"/>
          <w:sz w:val="28"/>
          <w:shd w:val="clear" w:color="auto" w:fill="auto"/>
        </w:rPr>
        <w:t>般公共预算财政拨款项目支出决算表</w:t>
      </w:r>
      <w:r>
        <w:rPr>
          <w:sz w:val="28"/>
          <w:shd w:val="clear" w:color="auto" w:fill="auto"/>
        </w:rPr>
        <w:tab/>
      </w:r>
      <w:r>
        <w:rPr>
          <w:sz w:val="28"/>
          <w:shd w:val="clear" w:color="auto" w:fill="auto"/>
        </w:rPr>
        <w:fldChar w:fldCharType="begin"/>
      </w:r>
      <w:r>
        <w:rPr>
          <w:sz w:val="28"/>
          <w:shd w:val="clear" w:color="auto" w:fill="auto"/>
        </w:rPr>
        <w:instrText xml:space="preserve"> PAGEREF _Toc801 </w:instrText>
      </w:r>
      <w:r>
        <w:rPr>
          <w:sz w:val="28"/>
          <w:shd w:val="clear" w:color="auto" w:fill="auto"/>
        </w:rPr>
        <w:fldChar w:fldCharType="separate"/>
      </w:r>
      <w:r>
        <w:rPr>
          <w:sz w:val="28"/>
          <w:shd w:val="clear" w:color="auto" w:fill="auto"/>
        </w:rPr>
        <w:t>17</w:t>
      </w:r>
      <w:r>
        <w:rPr>
          <w:sz w:val="28"/>
          <w:shd w:val="clear" w:color="auto" w:fill="auto"/>
        </w:rPr>
        <w:fldChar w:fldCharType="end"/>
      </w:r>
      <w:r>
        <w:rPr>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sz w:val="28"/>
          <w:shd w:val="clear" w:color="auto" w:fill="auto"/>
        </w:rPr>
      </w:pPr>
      <w:r>
        <w:rPr>
          <w:sz w:val="28"/>
          <w:shd w:val="clear" w:color="auto" w:fill="auto"/>
        </w:rPr>
        <w:fldChar w:fldCharType="begin"/>
      </w:r>
      <w:r>
        <w:rPr>
          <w:sz w:val="28"/>
          <w:shd w:val="clear" w:color="auto" w:fill="auto"/>
        </w:rPr>
        <w:instrText xml:space="preserve"> HYPERLINK \l _Toc6335 </w:instrText>
      </w:r>
      <w:r>
        <w:rPr>
          <w:sz w:val="28"/>
          <w:shd w:val="clear" w:color="auto" w:fill="auto"/>
        </w:rPr>
        <w:fldChar w:fldCharType="separate"/>
      </w:r>
      <w:r>
        <w:rPr>
          <w:rFonts w:hint="eastAsia" w:ascii="仿宋" w:hAnsi="仿宋" w:eastAsia="仿宋"/>
          <w:bCs w:val="0"/>
          <w:sz w:val="28"/>
          <w:shd w:val="clear" w:color="auto" w:fill="auto"/>
        </w:rPr>
        <w:t>十、</w:t>
      </w:r>
      <w:r>
        <w:rPr>
          <w:rFonts w:hint="eastAsia" w:ascii="仿宋" w:hAnsi="仿宋" w:eastAsia="仿宋"/>
          <w:sz w:val="28"/>
          <w:shd w:val="clear" w:color="auto" w:fill="auto"/>
        </w:rPr>
        <w:t>政</w:t>
      </w:r>
      <w:r>
        <w:rPr>
          <w:rFonts w:hint="eastAsia" w:ascii="仿宋" w:hAnsi="仿宋" w:eastAsia="仿宋"/>
          <w:bCs w:val="0"/>
          <w:sz w:val="28"/>
          <w:shd w:val="clear" w:color="auto" w:fill="auto"/>
        </w:rPr>
        <w:t>府性基金预算财政拨款收入支出决算表</w:t>
      </w:r>
      <w:r>
        <w:rPr>
          <w:sz w:val="28"/>
          <w:shd w:val="clear" w:color="auto" w:fill="auto"/>
        </w:rPr>
        <w:tab/>
      </w:r>
      <w:r>
        <w:rPr>
          <w:sz w:val="28"/>
          <w:shd w:val="clear" w:color="auto" w:fill="auto"/>
        </w:rPr>
        <w:fldChar w:fldCharType="begin"/>
      </w:r>
      <w:r>
        <w:rPr>
          <w:sz w:val="28"/>
          <w:shd w:val="clear" w:color="auto" w:fill="auto"/>
        </w:rPr>
        <w:instrText xml:space="preserve"> PAGEREF _Toc6335 </w:instrText>
      </w:r>
      <w:r>
        <w:rPr>
          <w:sz w:val="28"/>
          <w:shd w:val="clear" w:color="auto" w:fill="auto"/>
        </w:rPr>
        <w:fldChar w:fldCharType="separate"/>
      </w:r>
      <w:r>
        <w:rPr>
          <w:sz w:val="28"/>
          <w:shd w:val="clear" w:color="auto" w:fill="auto"/>
        </w:rPr>
        <w:t>17</w:t>
      </w:r>
      <w:r>
        <w:rPr>
          <w:sz w:val="28"/>
          <w:shd w:val="clear" w:color="auto" w:fill="auto"/>
        </w:rPr>
        <w:fldChar w:fldCharType="end"/>
      </w:r>
      <w:r>
        <w:rPr>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sz w:val="28"/>
          <w:shd w:val="clear" w:color="auto" w:fill="auto"/>
        </w:rPr>
      </w:pPr>
      <w:r>
        <w:rPr>
          <w:sz w:val="28"/>
          <w:shd w:val="clear" w:color="auto" w:fill="auto"/>
        </w:rPr>
        <w:fldChar w:fldCharType="begin"/>
      </w:r>
      <w:r>
        <w:rPr>
          <w:sz w:val="28"/>
          <w:shd w:val="clear" w:color="auto" w:fill="auto"/>
        </w:rPr>
        <w:instrText xml:space="preserve"> HYPERLINK \l _Toc12808 </w:instrText>
      </w:r>
      <w:r>
        <w:rPr>
          <w:sz w:val="28"/>
          <w:shd w:val="clear" w:color="auto" w:fill="auto"/>
        </w:rPr>
        <w:fldChar w:fldCharType="separate"/>
      </w:r>
      <w:r>
        <w:rPr>
          <w:rFonts w:hint="eastAsia" w:ascii="仿宋" w:hAnsi="仿宋" w:eastAsia="仿宋"/>
          <w:bCs w:val="0"/>
          <w:sz w:val="28"/>
          <w:shd w:val="clear" w:color="auto" w:fill="auto"/>
        </w:rPr>
        <w:t>十一、</w:t>
      </w:r>
      <w:r>
        <w:rPr>
          <w:rFonts w:hint="eastAsia" w:ascii="仿宋" w:hAnsi="仿宋" w:eastAsia="仿宋"/>
          <w:sz w:val="28"/>
          <w:shd w:val="clear" w:color="auto" w:fill="auto"/>
        </w:rPr>
        <w:t>国</w:t>
      </w:r>
      <w:r>
        <w:rPr>
          <w:rFonts w:hint="eastAsia" w:ascii="仿宋" w:hAnsi="仿宋" w:eastAsia="仿宋"/>
          <w:bCs w:val="0"/>
          <w:sz w:val="28"/>
          <w:shd w:val="clear" w:color="auto" w:fill="auto"/>
        </w:rPr>
        <w:t>有资本经营预算财政拨款收入支出决算表</w:t>
      </w:r>
      <w:r>
        <w:rPr>
          <w:sz w:val="28"/>
          <w:shd w:val="clear" w:color="auto" w:fill="auto"/>
        </w:rPr>
        <w:tab/>
      </w:r>
      <w:r>
        <w:rPr>
          <w:sz w:val="28"/>
          <w:shd w:val="clear" w:color="auto" w:fill="auto"/>
        </w:rPr>
        <w:fldChar w:fldCharType="begin"/>
      </w:r>
      <w:r>
        <w:rPr>
          <w:sz w:val="28"/>
          <w:shd w:val="clear" w:color="auto" w:fill="auto"/>
        </w:rPr>
        <w:instrText xml:space="preserve"> PAGEREF _Toc12808 </w:instrText>
      </w:r>
      <w:r>
        <w:rPr>
          <w:sz w:val="28"/>
          <w:shd w:val="clear" w:color="auto" w:fill="auto"/>
        </w:rPr>
        <w:fldChar w:fldCharType="separate"/>
      </w:r>
      <w:r>
        <w:rPr>
          <w:sz w:val="28"/>
          <w:shd w:val="clear" w:color="auto" w:fill="auto"/>
        </w:rPr>
        <w:t>17</w:t>
      </w:r>
      <w:r>
        <w:rPr>
          <w:sz w:val="28"/>
          <w:shd w:val="clear" w:color="auto" w:fill="auto"/>
        </w:rPr>
        <w:fldChar w:fldCharType="end"/>
      </w:r>
      <w:r>
        <w:rPr>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sz w:val="28"/>
          <w:shd w:val="clear" w:color="auto" w:fill="auto"/>
        </w:rPr>
      </w:pPr>
      <w:r>
        <w:rPr>
          <w:sz w:val="28"/>
          <w:shd w:val="clear" w:color="auto" w:fill="auto"/>
        </w:rPr>
        <w:fldChar w:fldCharType="begin"/>
      </w:r>
      <w:r>
        <w:rPr>
          <w:sz w:val="28"/>
          <w:shd w:val="clear" w:color="auto" w:fill="auto"/>
        </w:rPr>
        <w:instrText xml:space="preserve"> HYPERLINK \l _Toc13171 </w:instrText>
      </w:r>
      <w:r>
        <w:rPr>
          <w:sz w:val="28"/>
          <w:shd w:val="clear" w:color="auto" w:fill="auto"/>
        </w:rPr>
        <w:fldChar w:fldCharType="separate"/>
      </w:r>
      <w:r>
        <w:rPr>
          <w:rFonts w:hint="eastAsia" w:ascii="仿宋" w:hAnsi="仿宋" w:eastAsia="仿宋"/>
          <w:bCs w:val="0"/>
          <w:sz w:val="28"/>
          <w:shd w:val="clear" w:color="auto" w:fill="auto"/>
        </w:rPr>
        <w:t>十二、国有资本经营预算财政拨款支出决算表</w:t>
      </w:r>
      <w:r>
        <w:rPr>
          <w:sz w:val="28"/>
          <w:shd w:val="clear" w:color="auto" w:fill="auto"/>
        </w:rPr>
        <w:tab/>
      </w:r>
      <w:r>
        <w:rPr>
          <w:sz w:val="28"/>
          <w:shd w:val="clear" w:color="auto" w:fill="auto"/>
        </w:rPr>
        <w:fldChar w:fldCharType="begin"/>
      </w:r>
      <w:r>
        <w:rPr>
          <w:sz w:val="28"/>
          <w:shd w:val="clear" w:color="auto" w:fill="auto"/>
        </w:rPr>
        <w:instrText xml:space="preserve"> PAGEREF _Toc13171 </w:instrText>
      </w:r>
      <w:r>
        <w:rPr>
          <w:sz w:val="28"/>
          <w:shd w:val="clear" w:color="auto" w:fill="auto"/>
        </w:rPr>
        <w:fldChar w:fldCharType="separate"/>
      </w:r>
      <w:r>
        <w:rPr>
          <w:sz w:val="28"/>
          <w:shd w:val="clear" w:color="auto" w:fill="auto"/>
        </w:rPr>
        <w:t>17</w:t>
      </w:r>
      <w:r>
        <w:rPr>
          <w:sz w:val="28"/>
          <w:shd w:val="clear" w:color="auto" w:fill="auto"/>
        </w:rPr>
        <w:fldChar w:fldCharType="end"/>
      </w:r>
      <w:r>
        <w:rPr>
          <w:sz w:val="28"/>
          <w:shd w:val="clear" w:color="auto" w:fill="auto"/>
        </w:rPr>
        <w:fldChar w:fldCharType="end"/>
      </w:r>
    </w:p>
    <w:p>
      <w:pPr>
        <w:pStyle w:val="18"/>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outlineLvl w:val="9"/>
        <w:rPr>
          <w:sz w:val="28"/>
          <w:shd w:val="clear" w:color="auto" w:fill="auto"/>
        </w:rPr>
      </w:pPr>
      <w:r>
        <w:rPr>
          <w:sz w:val="28"/>
          <w:shd w:val="clear" w:color="auto" w:fill="auto"/>
        </w:rPr>
        <w:fldChar w:fldCharType="begin"/>
      </w:r>
      <w:r>
        <w:rPr>
          <w:sz w:val="28"/>
          <w:shd w:val="clear" w:color="auto" w:fill="auto"/>
        </w:rPr>
        <w:instrText xml:space="preserve"> HYPERLINK \l _Toc29775 </w:instrText>
      </w:r>
      <w:r>
        <w:rPr>
          <w:sz w:val="28"/>
          <w:shd w:val="clear" w:color="auto" w:fill="auto"/>
        </w:rPr>
        <w:fldChar w:fldCharType="separate"/>
      </w:r>
      <w:r>
        <w:rPr>
          <w:rFonts w:hint="eastAsia" w:ascii="仿宋" w:hAnsi="仿宋" w:eastAsia="仿宋"/>
          <w:bCs w:val="0"/>
          <w:sz w:val="28"/>
          <w:shd w:val="clear" w:color="auto" w:fill="auto"/>
        </w:rPr>
        <w:t>十三、财政拨款“三公”经费支出决算表</w:t>
      </w:r>
      <w:r>
        <w:rPr>
          <w:sz w:val="28"/>
          <w:shd w:val="clear" w:color="auto" w:fill="auto"/>
        </w:rPr>
        <w:tab/>
      </w:r>
      <w:r>
        <w:rPr>
          <w:sz w:val="28"/>
          <w:shd w:val="clear" w:color="auto" w:fill="auto"/>
        </w:rPr>
        <w:fldChar w:fldCharType="begin"/>
      </w:r>
      <w:r>
        <w:rPr>
          <w:sz w:val="28"/>
          <w:shd w:val="clear" w:color="auto" w:fill="auto"/>
        </w:rPr>
        <w:instrText xml:space="preserve"> PAGEREF _Toc29775 </w:instrText>
      </w:r>
      <w:r>
        <w:rPr>
          <w:sz w:val="28"/>
          <w:shd w:val="clear" w:color="auto" w:fill="auto"/>
        </w:rPr>
        <w:fldChar w:fldCharType="separate"/>
      </w:r>
      <w:r>
        <w:rPr>
          <w:sz w:val="28"/>
          <w:shd w:val="clear" w:color="auto" w:fill="auto"/>
        </w:rPr>
        <w:t>17</w:t>
      </w:r>
      <w:r>
        <w:rPr>
          <w:sz w:val="28"/>
          <w:shd w:val="clear" w:color="auto" w:fill="auto"/>
        </w:rPr>
        <w:fldChar w:fldCharType="end"/>
      </w:r>
      <w:r>
        <w:rPr>
          <w:sz w:val="28"/>
          <w:shd w:val="clear" w:color="auto" w:fill="auto"/>
        </w:rPr>
        <w:fldChar w:fldCharType="end"/>
      </w:r>
    </w:p>
    <w:p>
      <w:pPr>
        <w:pStyle w:val="15"/>
        <w:tabs>
          <w:tab w:val="right" w:leader="dot" w:pos="8306"/>
        </w:tabs>
        <w:sectPr>
          <w:footerReference r:id="rId5" w:type="first"/>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r>
        <w:fldChar w:fldCharType="end"/>
      </w:r>
    </w:p>
    <w:p>
      <w:pPr>
        <w:pStyle w:val="3"/>
        <w:jc w:val="center"/>
        <w:rPr>
          <w:rStyle w:val="34"/>
          <w:rFonts w:ascii="黑体" w:hAnsi="黑体" w:eastAsia="黑体"/>
          <w:b/>
          <w:bCs w:val="0"/>
        </w:rPr>
      </w:pPr>
      <w:bookmarkStart w:id="14" w:name="_Toc12646"/>
      <w:bookmarkStart w:id="15" w:name="_Toc15377196"/>
      <w:bookmarkStart w:id="16" w:name="_Toc15396599"/>
      <w:r>
        <w:rPr>
          <w:rFonts w:hint="eastAsia" w:ascii="黑体" w:hAnsi="黑体" w:eastAsia="黑体"/>
          <w:b w:val="0"/>
        </w:rPr>
        <w:t>第一部分 单位</w:t>
      </w:r>
      <w:r>
        <w:rPr>
          <w:rStyle w:val="34"/>
          <w:rFonts w:hint="eastAsia" w:ascii="黑体" w:hAnsi="黑体" w:eastAsia="黑体"/>
          <w:b w:val="0"/>
          <w:bCs w:val="0"/>
        </w:rPr>
        <w:t>概况</w:t>
      </w:r>
      <w:bookmarkEnd w:id="14"/>
      <w:bookmarkEnd w:id="15"/>
      <w:bookmarkEnd w:id="16"/>
    </w:p>
    <w:p>
      <w:pPr>
        <w:pStyle w:val="4"/>
        <w:numPr>
          <w:ilvl w:val="0"/>
          <w:numId w:val="1"/>
        </w:numPr>
        <w:rPr>
          <w:rStyle w:val="35"/>
          <w:rFonts w:ascii="黑体" w:hAnsi="黑体" w:eastAsia="黑体"/>
          <w:b w:val="0"/>
          <w:bCs w:val="0"/>
        </w:rPr>
      </w:pPr>
      <w:bookmarkStart w:id="17" w:name="_Toc32169"/>
      <w:bookmarkStart w:id="18" w:name="_Toc15377197"/>
      <w:bookmarkStart w:id="19" w:name="_Toc15396600"/>
      <w:r>
        <w:rPr>
          <w:rStyle w:val="35"/>
          <w:rFonts w:hint="eastAsia" w:ascii="黑体" w:hAnsi="黑体" w:eastAsia="黑体"/>
          <w:b w:val="0"/>
          <w:bCs w:val="0"/>
        </w:rPr>
        <w:t>主要职责</w:t>
      </w:r>
      <w:bookmarkEnd w:id="17"/>
    </w:p>
    <w:p>
      <w:pPr>
        <w:ind w:firstLine="640" w:firstLineChars="200"/>
        <w:rPr>
          <w:rFonts w:hint="eastAsia" w:ascii="仿宋_GB2312" w:eastAsia="仿宋_GB2312" w:cs="仿宋_GB2312"/>
          <w:color w:val="333333"/>
          <w:kern w:val="0"/>
          <w:sz w:val="32"/>
          <w:szCs w:val="32"/>
          <w:shd w:val="clear" w:color="auto" w:fill="FFFFFF"/>
          <w:lang w:eastAsia="zh-CN" w:bidi="ar"/>
        </w:rPr>
      </w:pPr>
      <w:r>
        <w:rPr>
          <w:rFonts w:hint="eastAsia" w:ascii="仿宋_GB2312" w:eastAsia="仿宋_GB2312" w:cs="仿宋_GB2312"/>
          <w:color w:val="333333"/>
          <w:kern w:val="0"/>
          <w:sz w:val="32"/>
          <w:szCs w:val="32"/>
          <w:shd w:val="clear" w:color="auto" w:fill="FFFFFF"/>
          <w:lang w:bidi="ar"/>
        </w:rPr>
        <w:t>广元市零八一中学隶属广元市教育局直属义务教育学校，负责实施九年制义务教育，促进基础教育发展。着力加强党务工作</w:t>
      </w:r>
      <w:r>
        <w:rPr>
          <w:rFonts w:hint="eastAsia" w:ascii="仿宋_GB2312" w:eastAsia="仿宋_GB2312" w:cs="仿宋_GB2312"/>
          <w:color w:val="333333"/>
          <w:kern w:val="0"/>
          <w:sz w:val="32"/>
          <w:szCs w:val="32"/>
          <w:shd w:val="clear" w:color="auto" w:fill="FFFFFF"/>
          <w:lang w:eastAsia="zh-CN" w:bidi="ar"/>
        </w:rPr>
        <w:t>，</w:t>
      </w:r>
      <w:r>
        <w:rPr>
          <w:rFonts w:hint="eastAsia" w:ascii="仿宋_GB2312" w:eastAsia="仿宋_GB2312" w:cs="仿宋_GB2312"/>
          <w:color w:val="333333"/>
          <w:kern w:val="0"/>
          <w:sz w:val="32"/>
          <w:szCs w:val="32"/>
          <w:shd w:val="clear" w:color="auto" w:fill="FFFFFF"/>
          <w:lang w:bidi="ar"/>
        </w:rPr>
        <w:t>充分发挥战斗堡垒作用</w:t>
      </w:r>
      <w:r>
        <w:rPr>
          <w:rFonts w:hint="eastAsia" w:ascii="仿宋_GB2312" w:eastAsia="仿宋_GB2312" w:cs="仿宋_GB2312"/>
          <w:color w:val="333333"/>
          <w:kern w:val="0"/>
          <w:sz w:val="32"/>
          <w:szCs w:val="32"/>
          <w:shd w:val="clear" w:color="auto" w:fill="FFFFFF"/>
          <w:lang w:eastAsia="zh-CN" w:bidi="ar"/>
        </w:rPr>
        <w:t>；</w:t>
      </w:r>
      <w:r>
        <w:rPr>
          <w:rFonts w:hint="eastAsia" w:ascii="仿宋_GB2312" w:eastAsia="仿宋_GB2312" w:cs="仿宋_GB2312"/>
          <w:color w:val="333333"/>
          <w:kern w:val="0"/>
          <w:sz w:val="32"/>
          <w:szCs w:val="32"/>
          <w:shd w:val="clear" w:color="auto" w:fill="FFFFFF"/>
          <w:lang w:bidi="ar"/>
        </w:rPr>
        <w:t>稳步提升</w:t>
      </w:r>
      <w:r>
        <w:rPr>
          <w:rFonts w:hint="eastAsia" w:ascii="仿宋_GB2312" w:eastAsia="仿宋_GB2312" w:cs="仿宋_GB2312"/>
          <w:color w:val="333333"/>
          <w:kern w:val="0"/>
          <w:sz w:val="32"/>
          <w:szCs w:val="32"/>
          <w:shd w:val="clear" w:color="auto" w:fill="FFFFFF"/>
          <w:lang w:eastAsia="zh-CN" w:bidi="ar"/>
        </w:rPr>
        <w:t>教育教学质量</w:t>
      </w:r>
      <w:r>
        <w:rPr>
          <w:rFonts w:hint="eastAsia" w:ascii="仿宋_GB2312" w:eastAsia="仿宋_GB2312" w:cs="仿宋_GB2312"/>
          <w:color w:val="333333"/>
          <w:kern w:val="0"/>
          <w:sz w:val="32"/>
          <w:szCs w:val="32"/>
          <w:shd w:val="clear" w:color="auto" w:fill="FFFFFF"/>
          <w:lang w:bidi="ar"/>
        </w:rPr>
        <w:t>，稳控优质生源</w:t>
      </w:r>
      <w:r>
        <w:rPr>
          <w:rFonts w:hint="eastAsia" w:ascii="仿宋_GB2312" w:eastAsia="仿宋_GB2312" w:cs="仿宋_GB2312"/>
          <w:color w:val="333333"/>
          <w:kern w:val="0"/>
          <w:sz w:val="32"/>
          <w:szCs w:val="32"/>
          <w:shd w:val="clear" w:color="auto" w:fill="FFFFFF"/>
          <w:lang w:eastAsia="zh-CN" w:bidi="ar"/>
        </w:rPr>
        <w:t>；</w:t>
      </w:r>
      <w:r>
        <w:rPr>
          <w:rFonts w:hint="eastAsia" w:ascii="仿宋_GB2312" w:eastAsia="仿宋_GB2312" w:cs="仿宋_GB2312"/>
          <w:color w:val="333333"/>
          <w:kern w:val="0"/>
          <w:sz w:val="32"/>
          <w:szCs w:val="32"/>
          <w:shd w:val="clear" w:color="auto" w:fill="FFFFFF"/>
          <w:lang w:bidi="ar"/>
        </w:rPr>
        <w:t>五育并举全面提高育人实效</w:t>
      </w:r>
      <w:r>
        <w:rPr>
          <w:rFonts w:hint="eastAsia" w:ascii="仿宋_GB2312" w:eastAsia="仿宋_GB2312" w:cs="仿宋_GB2312"/>
          <w:color w:val="333333"/>
          <w:kern w:val="0"/>
          <w:sz w:val="32"/>
          <w:szCs w:val="32"/>
          <w:shd w:val="clear" w:color="auto" w:fill="FFFFFF"/>
          <w:lang w:eastAsia="zh-CN" w:bidi="ar"/>
        </w:rPr>
        <w:t>；</w:t>
      </w:r>
      <w:r>
        <w:rPr>
          <w:rFonts w:hint="eastAsia" w:ascii="仿宋_GB2312" w:eastAsia="仿宋_GB2312" w:cs="仿宋_GB2312"/>
          <w:color w:val="333333"/>
          <w:kern w:val="0"/>
          <w:sz w:val="32"/>
          <w:szCs w:val="32"/>
          <w:shd w:val="clear" w:color="auto" w:fill="FFFFFF"/>
          <w:lang w:bidi="ar"/>
        </w:rPr>
        <w:t>认真开展学校安全防范工作</w:t>
      </w:r>
      <w:r>
        <w:rPr>
          <w:rFonts w:hint="eastAsia" w:ascii="仿宋_GB2312" w:eastAsia="仿宋_GB2312" w:cs="仿宋_GB2312"/>
          <w:color w:val="333333"/>
          <w:kern w:val="0"/>
          <w:sz w:val="32"/>
          <w:szCs w:val="32"/>
          <w:shd w:val="clear" w:color="auto" w:fill="FFFFFF"/>
          <w:lang w:eastAsia="zh-CN" w:bidi="ar"/>
        </w:rPr>
        <w:t>；</w:t>
      </w:r>
      <w:r>
        <w:rPr>
          <w:rFonts w:hint="eastAsia" w:ascii="仿宋_GB2312" w:eastAsia="仿宋_GB2312" w:cs="仿宋_GB2312"/>
          <w:color w:val="333333"/>
          <w:kern w:val="0"/>
          <w:sz w:val="32"/>
          <w:szCs w:val="32"/>
          <w:shd w:val="clear" w:color="auto" w:fill="FFFFFF"/>
          <w:lang w:bidi="ar"/>
        </w:rPr>
        <w:t>立足发展，夯实过程，加强</w:t>
      </w:r>
      <w:r>
        <w:rPr>
          <w:rFonts w:hint="eastAsia" w:ascii="仿宋_GB2312" w:eastAsia="仿宋_GB2312" w:cs="仿宋_GB2312"/>
          <w:color w:val="333333"/>
          <w:kern w:val="0"/>
          <w:sz w:val="32"/>
          <w:szCs w:val="32"/>
          <w:shd w:val="clear" w:color="auto" w:fill="FFFFFF"/>
          <w:lang w:eastAsia="zh-CN" w:bidi="ar"/>
        </w:rPr>
        <w:t>教育</w:t>
      </w:r>
      <w:r>
        <w:rPr>
          <w:rFonts w:hint="eastAsia" w:ascii="仿宋_GB2312" w:eastAsia="仿宋_GB2312" w:cs="仿宋_GB2312"/>
          <w:color w:val="333333"/>
          <w:kern w:val="0"/>
          <w:sz w:val="32"/>
          <w:szCs w:val="32"/>
          <w:shd w:val="clear" w:color="auto" w:fill="FFFFFF"/>
          <w:lang w:bidi="ar"/>
        </w:rPr>
        <w:t>教学常规管理</w:t>
      </w:r>
      <w:r>
        <w:rPr>
          <w:rFonts w:hint="eastAsia" w:ascii="仿宋_GB2312" w:eastAsia="仿宋_GB2312" w:cs="仿宋_GB2312"/>
          <w:color w:val="333333"/>
          <w:kern w:val="0"/>
          <w:sz w:val="32"/>
          <w:szCs w:val="32"/>
          <w:shd w:val="clear" w:color="auto" w:fill="FFFFFF"/>
          <w:lang w:eastAsia="zh-CN" w:bidi="ar"/>
        </w:rPr>
        <w:t>；</w:t>
      </w:r>
      <w:r>
        <w:rPr>
          <w:rFonts w:hint="eastAsia" w:ascii="仿宋_GB2312" w:eastAsia="仿宋_GB2312" w:cs="仿宋_GB2312"/>
          <w:color w:val="333333"/>
          <w:kern w:val="0"/>
          <w:sz w:val="32"/>
          <w:szCs w:val="32"/>
          <w:shd w:val="clear" w:color="auto" w:fill="FFFFFF"/>
          <w:lang w:bidi="ar"/>
        </w:rPr>
        <w:t>科研兴校，全面提升</w:t>
      </w:r>
      <w:r>
        <w:rPr>
          <w:rFonts w:hint="eastAsia" w:ascii="仿宋_GB2312" w:eastAsia="仿宋_GB2312" w:cs="仿宋_GB2312"/>
          <w:color w:val="333333"/>
          <w:kern w:val="0"/>
          <w:sz w:val="32"/>
          <w:szCs w:val="32"/>
          <w:shd w:val="clear" w:color="auto" w:fill="FFFFFF"/>
          <w:lang w:eastAsia="zh-CN" w:bidi="ar"/>
        </w:rPr>
        <w:t>教育</w:t>
      </w:r>
      <w:r>
        <w:rPr>
          <w:rFonts w:hint="eastAsia" w:ascii="仿宋_GB2312" w:eastAsia="仿宋_GB2312" w:cs="仿宋_GB2312"/>
          <w:color w:val="333333"/>
          <w:kern w:val="0"/>
          <w:sz w:val="32"/>
          <w:szCs w:val="32"/>
          <w:shd w:val="clear" w:color="auto" w:fill="FFFFFF"/>
          <w:lang w:bidi="ar"/>
        </w:rPr>
        <w:t>科研质量</w:t>
      </w:r>
      <w:r>
        <w:rPr>
          <w:rFonts w:hint="eastAsia" w:ascii="仿宋_GB2312" w:eastAsia="仿宋_GB2312" w:cs="仿宋_GB2312"/>
          <w:color w:val="333333"/>
          <w:kern w:val="0"/>
          <w:sz w:val="32"/>
          <w:szCs w:val="32"/>
          <w:shd w:val="clear" w:color="auto" w:fill="FFFFFF"/>
          <w:lang w:eastAsia="zh-CN" w:bidi="ar"/>
        </w:rPr>
        <w:t>；</w:t>
      </w:r>
      <w:r>
        <w:rPr>
          <w:rFonts w:hint="eastAsia" w:ascii="仿宋_GB2312" w:eastAsia="仿宋_GB2312" w:cs="仿宋_GB2312"/>
          <w:color w:val="333333"/>
          <w:kern w:val="0"/>
          <w:sz w:val="32"/>
          <w:szCs w:val="32"/>
          <w:shd w:val="clear" w:color="auto" w:fill="FFFFFF"/>
          <w:lang w:bidi="ar"/>
        </w:rPr>
        <w:t>营造和谐氛围，关注教师幸福健康</w:t>
      </w:r>
      <w:r>
        <w:rPr>
          <w:rFonts w:hint="eastAsia" w:ascii="仿宋_GB2312" w:eastAsia="仿宋_GB2312" w:cs="仿宋_GB2312"/>
          <w:color w:val="333333"/>
          <w:kern w:val="0"/>
          <w:sz w:val="32"/>
          <w:szCs w:val="32"/>
          <w:shd w:val="clear" w:color="auto" w:fill="FFFFFF"/>
          <w:lang w:eastAsia="zh-CN" w:bidi="ar"/>
        </w:rPr>
        <w:t>；</w:t>
      </w:r>
      <w:r>
        <w:rPr>
          <w:rFonts w:hint="eastAsia" w:ascii="仿宋_GB2312" w:eastAsia="仿宋_GB2312" w:cs="仿宋_GB2312"/>
          <w:color w:val="333333"/>
          <w:kern w:val="0"/>
          <w:sz w:val="32"/>
          <w:szCs w:val="32"/>
          <w:shd w:val="clear" w:color="auto" w:fill="FFFFFF"/>
          <w:lang w:bidi="ar"/>
        </w:rPr>
        <w:t>强</w:t>
      </w:r>
      <w:r>
        <w:rPr>
          <w:rFonts w:hint="eastAsia" w:ascii="仿宋_GB2312" w:eastAsia="仿宋_GB2312" w:cs="仿宋_GB2312"/>
          <w:color w:val="333333"/>
          <w:kern w:val="0"/>
          <w:sz w:val="32"/>
          <w:szCs w:val="32"/>
          <w:shd w:val="clear" w:color="auto" w:fill="FFFFFF"/>
          <w:lang w:eastAsia="zh-CN" w:bidi="ar"/>
        </w:rPr>
        <w:t>化</w:t>
      </w:r>
      <w:r>
        <w:rPr>
          <w:rFonts w:hint="eastAsia" w:ascii="仿宋_GB2312" w:eastAsia="仿宋_GB2312" w:cs="仿宋_GB2312"/>
          <w:color w:val="333333"/>
          <w:kern w:val="0"/>
          <w:sz w:val="32"/>
          <w:szCs w:val="32"/>
          <w:shd w:val="clear" w:color="auto" w:fill="FFFFFF"/>
          <w:lang w:bidi="ar"/>
        </w:rPr>
        <w:t>后勤</w:t>
      </w:r>
      <w:r>
        <w:rPr>
          <w:rFonts w:hint="eastAsia" w:ascii="仿宋_GB2312" w:eastAsia="仿宋_GB2312" w:cs="仿宋_GB2312"/>
          <w:color w:val="333333"/>
          <w:kern w:val="0"/>
          <w:sz w:val="32"/>
          <w:szCs w:val="32"/>
          <w:shd w:val="clear" w:color="auto" w:fill="FFFFFF"/>
          <w:lang w:eastAsia="zh-CN" w:bidi="ar"/>
        </w:rPr>
        <w:t>保障</w:t>
      </w:r>
      <w:r>
        <w:rPr>
          <w:rFonts w:hint="eastAsia" w:ascii="仿宋_GB2312" w:eastAsia="仿宋_GB2312" w:cs="仿宋_GB2312"/>
          <w:color w:val="333333"/>
          <w:kern w:val="0"/>
          <w:sz w:val="32"/>
          <w:szCs w:val="32"/>
          <w:shd w:val="clear" w:color="auto" w:fill="FFFFFF"/>
          <w:lang w:bidi="ar"/>
        </w:rPr>
        <w:t>服务</w:t>
      </w:r>
      <w:r>
        <w:rPr>
          <w:rFonts w:hint="eastAsia" w:ascii="仿宋_GB2312" w:eastAsia="仿宋_GB2312" w:cs="仿宋_GB2312"/>
          <w:color w:val="333333"/>
          <w:kern w:val="0"/>
          <w:sz w:val="32"/>
          <w:szCs w:val="32"/>
          <w:shd w:val="clear" w:color="auto" w:fill="FFFFFF"/>
          <w:lang w:eastAsia="zh-CN" w:bidi="ar"/>
        </w:rPr>
        <w:t>育人功能。</w:t>
      </w:r>
    </w:p>
    <w:p/>
    <w:p>
      <w:pPr>
        <w:pStyle w:val="4"/>
        <w:rPr>
          <w:rFonts w:ascii="黑体" w:hAnsi="黑体" w:eastAsia="黑体"/>
          <w:b w:val="0"/>
        </w:rPr>
      </w:pPr>
      <w:bookmarkStart w:id="20" w:name="_Toc13884"/>
      <w:r>
        <w:rPr>
          <w:rFonts w:hint="eastAsia" w:ascii="黑体" w:hAnsi="黑体" w:eastAsia="黑体"/>
          <w:b w:val="0"/>
        </w:rPr>
        <w:t>二、机构设置</w:t>
      </w:r>
      <w:bookmarkEnd w:id="20"/>
    </w:p>
    <w:bookmarkEnd w:id="18"/>
    <w:bookmarkEnd w:id="19"/>
    <w:p>
      <w:pPr>
        <w:widowControl/>
        <w:ind w:firstLine="640" w:firstLineChars="200"/>
        <w:jc w:val="left"/>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广元市零八一中学属于广元市教育局下属的二级预算单位，下设独立编制机构0个，其中行政机构0个，参照公务员法管理的事业机构0个，其他事业机构0个。</w:t>
      </w:r>
    </w:p>
    <w:p>
      <w:pPr>
        <w:widowControl/>
        <w:ind w:firstLine="640" w:firstLineChars="200"/>
        <w:jc w:val="left"/>
        <w:rPr>
          <w:rFonts w:ascii="仿宋" w:hAnsi="仿宋" w:eastAsia="仿宋"/>
          <w:kern w:val="0"/>
          <w:sz w:val="32"/>
          <w:szCs w:val="32"/>
        </w:rPr>
      </w:pPr>
      <w:r>
        <w:rPr>
          <w:rFonts w:hint="eastAsia" w:ascii="仿宋" w:hAnsi="仿宋" w:eastAsia="仿宋"/>
          <w:color w:val="auto"/>
          <w:sz w:val="32"/>
          <w:szCs w:val="32"/>
          <w:highlight w:val="none"/>
          <w:lang w:val="en-US" w:eastAsia="zh-CN"/>
        </w:rPr>
        <w:t>设置领导干部6个：分别是党总支书记1个，校长1个，副校长4个。设置处室6个：分别是行政办公室、党建办公室、教科室、教务科、政教科、总务科。</w:t>
      </w:r>
      <w:r>
        <w:rPr>
          <w:rFonts w:ascii="仿宋" w:hAnsi="仿宋" w:eastAsia="仿宋"/>
          <w:sz w:val="32"/>
          <w:szCs w:val="32"/>
        </w:rPr>
        <w:br w:type="page"/>
      </w:r>
    </w:p>
    <w:p>
      <w:pPr>
        <w:pStyle w:val="3"/>
        <w:ind w:right="440"/>
        <w:jc w:val="center"/>
        <w:rPr>
          <w:rStyle w:val="34"/>
          <w:rFonts w:ascii="黑体" w:hAnsi="黑体" w:eastAsia="黑体"/>
          <w:b w:val="0"/>
          <w:bCs/>
        </w:rPr>
      </w:pPr>
      <w:bookmarkStart w:id="21" w:name="_Toc1953"/>
      <w:bookmarkStart w:id="22" w:name="_Toc15396602"/>
      <w:bookmarkStart w:id="23" w:name="_Toc15377204"/>
      <w:r>
        <w:rPr>
          <w:rFonts w:hint="eastAsia" w:ascii="黑体" w:hAnsi="黑体" w:eastAsia="黑体"/>
          <w:b w:val="0"/>
        </w:rPr>
        <w:t>第二部分 2023年度</w:t>
      </w:r>
      <w:r>
        <w:rPr>
          <w:rStyle w:val="34"/>
          <w:rFonts w:hint="eastAsia" w:ascii="黑体" w:hAnsi="黑体" w:eastAsia="黑体"/>
          <w:b w:val="0"/>
          <w:bCs/>
        </w:rPr>
        <w:t>单位决算情况说明</w:t>
      </w:r>
      <w:bookmarkEnd w:id="21"/>
      <w:bookmarkEnd w:id="22"/>
      <w:bookmarkEnd w:id="23"/>
    </w:p>
    <w:p/>
    <w:p>
      <w:pPr>
        <w:pStyle w:val="33"/>
        <w:numPr>
          <w:ilvl w:val="0"/>
          <w:numId w:val="2"/>
        </w:numPr>
        <w:spacing w:line="600" w:lineRule="exact"/>
        <w:ind w:firstLineChars="0"/>
        <w:outlineLvl w:val="1"/>
        <w:rPr>
          <w:rStyle w:val="35"/>
          <w:rFonts w:ascii="黑体" w:hAnsi="黑体" w:eastAsia="黑体"/>
          <w:b w:val="0"/>
        </w:rPr>
      </w:pPr>
      <w:bookmarkStart w:id="24" w:name="_Toc15396603"/>
      <w:bookmarkStart w:id="25" w:name="_Toc26756"/>
      <w:bookmarkStart w:id="26" w:name="_Toc15377205"/>
      <w:r>
        <w:rPr>
          <w:rFonts w:hint="eastAsia" w:ascii="黑体" w:hAnsi="黑体" w:eastAsia="黑体"/>
          <w:sz w:val="32"/>
          <w:szCs w:val="32"/>
        </w:rPr>
        <w:t>收</w:t>
      </w:r>
      <w:r>
        <w:rPr>
          <w:rStyle w:val="35"/>
          <w:rFonts w:hint="eastAsia" w:ascii="黑体" w:hAnsi="黑体" w:eastAsia="黑体"/>
          <w:b w:val="0"/>
        </w:rPr>
        <w:t>入支出决算总体情况说明</w:t>
      </w:r>
      <w:bookmarkEnd w:id="24"/>
      <w:bookmarkEnd w:id="25"/>
      <w:bookmarkEnd w:id="26"/>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2023年度收、支总计均为3704.14万元。与2022年度</w:t>
      </w:r>
      <w:r>
        <w:rPr>
          <w:rFonts w:hint="eastAsia" w:ascii="仿宋" w:hAnsi="仿宋" w:eastAsia="仿宋"/>
          <w:color w:val="auto"/>
          <w:sz w:val="32"/>
          <w:szCs w:val="32"/>
          <w:highlight w:val="none"/>
          <w:lang w:val="en-US" w:eastAsia="zh-CN"/>
        </w:rPr>
        <w:t>4114.86</w:t>
      </w:r>
      <w:r>
        <w:rPr>
          <w:rFonts w:hint="eastAsia" w:ascii="仿宋" w:hAnsi="仿宋" w:eastAsia="仿宋"/>
          <w:sz w:val="32"/>
          <w:szCs w:val="32"/>
        </w:rPr>
        <w:t>相比，收、支总计各减少</w:t>
      </w:r>
      <w:r>
        <w:rPr>
          <w:rFonts w:hint="eastAsia" w:ascii="仿宋" w:hAnsi="仿宋" w:eastAsia="仿宋"/>
          <w:sz w:val="32"/>
          <w:szCs w:val="32"/>
          <w:lang w:val="en-US" w:eastAsia="zh-CN"/>
        </w:rPr>
        <w:t>410.72</w:t>
      </w:r>
      <w:r>
        <w:rPr>
          <w:rFonts w:hint="eastAsia" w:ascii="仿宋" w:hAnsi="仿宋" w:eastAsia="仿宋"/>
          <w:sz w:val="32"/>
          <w:szCs w:val="32"/>
        </w:rPr>
        <w:t>万元，下降</w:t>
      </w:r>
      <w:r>
        <w:rPr>
          <w:rFonts w:hint="eastAsia" w:ascii="仿宋" w:hAnsi="仿宋" w:eastAsia="仿宋"/>
          <w:sz w:val="32"/>
          <w:szCs w:val="32"/>
          <w:lang w:val="en-US" w:eastAsia="zh-CN"/>
        </w:rPr>
        <w:t>9.98</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color w:val="auto"/>
          <w:sz w:val="32"/>
          <w:szCs w:val="32"/>
          <w:highlight w:val="none"/>
          <w:lang w:eastAsia="zh-CN"/>
        </w:rPr>
        <w:t>小学部异地扩建项目建设完成，建设资金减少</w:t>
      </w:r>
      <w:r>
        <w:rPr>
          <w:rFonts w:hint="eastAsia" w:ascii="仿宋" w:hAnsi="仿宋" w:eastAsia="仿宋"/>
          <w:sz w:val="32"/>
          <w:szCs w:val="32"/>
        </w:rPr>
        <w:t>。</w:t>
      </w:r>
    </w:p>
    <w:p>
      <w:pPr>
        <w:pStyle w:val="2"/>
      </w:pPr>
      <w:r>
        <w:rPr>
          <w:rFonts w:hint="eastAsia" w:eastAsiaTheme="minorEastAsia"/>
        </w:rPr>
        <w:drawing>
          <wp:anchor distT="0" distB="0" distL="114300" distR="114300" simplePos="0" relativeHeight="251660288" behindDoc="0" locked="0" layoutInCell="1" allowOverlap="1">
            <wp:simplePos x="0" y="0"/>
            <wp:positionH relativeFrom="column">
              <wp:posOffset>642620</wp:posOffset>
            </wp:positionH>
            <wp:positionV relativeFrom="paragraph">
              <wp:posOffset>147955</wp:posOffset>
            </wp:positionV>
            <wp:extent cx="4180205" cy="2734945"/>
            <wp:effectExtent l="4445" t="4445" r="6350" b="22860"/>
            <wp:wrapSquare wrapText="bothSides"/>
            <wp:docPr id="2" name="3913.0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p>
    <w:p>
      <w:pPr>
        <w:spacing w:line="600" w:lineRule="exact"/>
        <w:ind w:firstLine="1280" w:firstLineChars="400"/>
        <w:rPr>
          <w:rFonts w:hint="eastAsia"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pStyle w:val="2"/>
      </w:pPr>
    </w:p>
    <w:p>
      <w:pPr>
        <w:pStyle w:val="33"/>
        <w:numPr>
          <w:ilvl w:val="0"/>
          <w:numId w:val="2"/>
        </w:numPr>
        <w:spacing w:line="600" w:lineRule="exact"/>
        <w:ind w:firstLineChars="0"/>
        <w:outlineLvl w:val="1"/>
        <w:rPr>
          <w:rStyle w:val="35"/>
          <w:rFonts w:ascii="黑体" w:hAnsi="黑体" w:eastAsia="黑体"/>
          <w:b w:val="0"/>
        </w:rPr>
      </w:pPr>
      <w:bookmarkStart w:id="27" w:name="_Toc13137"/>
      <w:bookmarkStart w:id="28" w:name="_Toc15377206"/>
      <w:bookmarkStart w:id="29" w:name="_Toc15396604"/>
      <w:r>
        <w:rPr>
          <w:rFonts w:hint="eastAsia" w:ascii="黑体" w:hAnsi="黑体" w:eastAsia="黑体"/>
          <w:sz w:val="32"/>
          <w:szCs w:val="32"/>
        </w:rPr>
        <w:t>收</w:t>
      </w:r>
      <w:r>
        <w:rPr>
          <w:rStyle w:val="35"/>
          <w:rFonts w:hint="eastAsia" w:ascii="黑体" w:hAnsi="黑体" w:eastAsia="黑体"/>
          <w:b w:val="0"/>
        </w:rPr>
        <w:t>入决算情况说明</w:t>
      </w:r>
      <w:bookmarkEnd w:id="27"/>
      <w:bookmarkEnd w:id="28"/>
      <w:bookmarkEnd w:id="29"/>
    </w:p>
    <w:p>
      <w:pPr>
        <w:spacing w:line="600" w:lineRule="exact"/>
        <w:ind w:firstLine="640" w:firstLineChars="200"/>
        <w:outlineLvl w:val="1"/>
        <w:rPr>
          <w:rFonts w:hint="eastAsia" w:ascii="仿宋" w:hAnsi="仿宋" w:eastAsia="仿宋"/>
          <w:sz w:val="32"/>
          <w:szCs w:val="32"/>
          <w:lang w:val="en-US" w:eastAsia="zh-CN"/>
        </w:rPr>
      </w:pPr>
      <w:bookmarkStart w:id="30" w:name="_Toc1146"/>
      <w:r>
        <w:rPr>
          <w:rFonts w:hint="eastAsia" w:ascii="仿宋" w:hAnsi="仿宋" w:eastAsia="仿宋"/>
          <w:sz w:val="32"/>
          <w:szCs w:val="32"/>
        </w:rPr>
        <w:t>2023年度本年收入合计</w:t>
      </w:r>
      <w:r>
        <w:rPr>
          <w:rFonts w:ascii="仿宋" w:hAnsi="仿宋" w:eastAsia="仿宋"/>
          <w:b/>
          <w:sz w:val="32"/>
          <w:szCs w:val="32"/>
        </w:rPr>
        <w:t>3704.14</w:t>
      </w:r>
      <w:r>
        <w:rPr>
          <w:rFonts w:hint="eastAsia" w:ascii="仿宋" w:hAnsi="仿宋" w:eastAsia="仿宋"/>
          <w:sz w:val="32"/>
          <w:szCs w:val="32"/>
        </w:rPr>
        <w:t>万元，其中：一般公共预算财政拨款收入</w:t>
      </w:r>
      <w:r>
        <w:rPr>
          <w:rFonts w:ascii="仿宋" w:hAnsi="仿宋" w:eastAsia="仿宋"/>
          <w:b/>
          <w:sz w:val="32"/>
          <w:szCs w:val="32"/>
        </w:rPr>
        <w:t>3610.78</w:t>
      </w:r>
      <w:r>
        <w:rPr>
          <w:rFonts w:hint="eastAsia" w:ascii="仿宋" w:hAnsi="仿宋" w:eastAsia="仿宋"/>
          <w:sz w:val="32"/>
          <w:szCs w:val="32"/>
        </w:rPr>
        <w:t>万元，占</w:t>
      </w:r>
      <w:r>
        <w:rPr>
          <w:rFonts w:ascii="仿宋" w:hAnsi="仿宋" w:eastAsia="仿宋"/>
          <w:b/>
          <w:sz w:val="32"/>
          <w:szCs w:val="32"/>
        </w:rPr>
        <w:t>97.47%</w:t>
      </w:r>
      <w:r>
        <w:rPr>
          <w:rFonts w:hint="eastAsia" w:ascii="仿宋" w:hAnsi="仿宋" w:eastAsia="仿宋"/>
          <w:sz w:val="32"/>
          <w:szCs w:val="32"/>
        </w:rPr>
        <w:t>；事业收入</w:t>
      </w:r>
      <w:r>
        <w:rPr>
          <w:rFonts w:ascii="仿宋" w:hAnsi="仿宋" w:eastAsia="仿宋"/>
          <w:b/>
          <w:sz w:val="32"/>
          <w:szCs w:val="32"/>
        </w:rPr>
        <w:t>93.36</w:t>
      </w:r>
      <w:r>
        <w:rPr>
          <w:rFonts w:hint="eastAsia" w:ascii="仿宋" w:hAnsi="仿宋" w:eastAsia="仿宋"/>
          <w:sz w:val="32"/>
          <w:szCs w:val="32"/>
        </w:rPr>
        <w:t>万元，占</w:t>
      </w:r>
      <w:r>
        <w:rPr>
          <w:rFonts w:ascii="仿宋" w:hAnsi="仿宋" w:eastAsia="仿宋"/>
          <w:b/>
          <w:sz w:val="32"/>
          <w:szCs w:val="32"/>
        </w:rPr>
        <w:t>2.52</w:t>
      </w:r>
      <w:r>
        <w:rPr>
          <w:rFonts w:ascii="仿宋" w:hAnsi="仿宋" w:eastAsia="仿宋"/>
          <w:sz w:val="32"/>
          <w:szCs w:val="32"/>
        </w:rPr>
        <w:t>%</w:t>
      </w:r>
      <w:r>
        <w:rPr>
          <w:rFonts w:hint="eastAsia" w:ascii="仿宋" w:hAnsi="仿宋" w:eastAsia="仿宋"/>
          <w:sz w:val="32"/>
          <w:szCs w:val="32"/>
          <w:lang w:eastAsia="zh-CN"/>
        </w:rPr>
        <w:t>。</w:t>
      </w:r>
      <w:bookmarkEnd w:id="30"/>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drawing>
          <wp:anchor distT="0" distB="0" distL="114300" distR="114300" simplePos="0" relativeHeight="251661312" behindDoc="0" locked="0" layoutInCell="1" allowOverlap="1">
            <wp:simplePos x="0" y="0"/>
            <wp:positionH relativeFrom="column">
              <wp:posOffset>677545</wp:posOffset>
            </wp:positionH>
            <wp:positionV relativeFrom="paragraph">
              <wp:posOffset>362585</wp:posOffset>
            </wp:positionV>
            <wp:extent cx="3699510" cy="2543810"/>
            <wp:effectExtent l="4445" t="4445" r="10795" b="23495"/>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firstLine="640" w:firstLineChars="200"/>
        <w:rPr>
          <w:rFonts w:hint="eastAsia" w:ascii="仿宋" w:hAnsi="仿宋" w:eastAsia="仿宋"/>
          <w:sz w:val="32"/>
          <w:szCs w:val="32"/>
          <w:lang w:eastAsia="zh-CN"/>
        </w:rPr>
      </w:pPr>
    </w:p>
    <w:p>
      <w:pPr>
        <w:pStyle w:val="2"/>
        <w:rPr>
          <w:rFonts w:hint="eastAsia"/>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 xml:space="preserve">  </w:t>
      </w:r>
    </w:p>
    <w:p>
      <w:pPr>
        <w:spacing w:line="600" w:lineRule="exact"/>
        <w:ind w:firstLine="640" w:firstLineChars="200"/>
        <w:rPr>
          <w:rFonts w:hint="eastAsia" w:ascii="仿宋" w:hAnsi="仿宋" w:eastAsia="仿宋"/>
          <w:sz w:val="32"/>
          <w:szCs w:val="32"/>
        </w:rPr>
      </w:pPr>
    </w:p>
    <w:p>
      <w:pPr>
        <w:spacing w:line="600" w:lineRule="exact"/>
        <w:ind w:firstLine="1600" w:firstLineChars="500"/>
        <w:rPr>
          <w:rFonts w:hint="eastAsia" w:ascii="仿宋" w:hAnsi="仿宋" w:eastAsia="仿宋"/>
          <w:sz w:val="32"/>
          <w:szCs w:val="32"/>
        </w:rPr>
      </w:pPr>
      <w:r>
        <w:rPr>
          <w:rFonts w:hint="eastAsia" w:ascii="仿宋" w:hAnsi="仿宋" w:eastAsia="仿宋"/>
          <w:sz w:val="32"/>
          <w:szCs w:val="32"/>
        </w:rPr>
        <w:t>（图2：收入决算结构图）</w:t>
      </w:r>
    </w:p>
    <w:p>
      <w:pPr>
        <w:pStyle w:val="2"/>
      </w:pPr>
    </w:p>
    <w:p>
      <w:pPr>
        <w:pStyle w:val="33"/>
        <w:numPr>
          <w:ilvl w:val="0"/>
          <w:numId w:val="2"/>
        </w:numPr>
        <w:spacing w:line="600" w:lineRule="exact"/>
        <w:ind w:firstLineChars="0"/>
        <w:outlineLvl w:val="1"/>
        <w:rPr>
          <w:rStyle w:val="35"/>
          <w:rFonts w:ascii="黑体" w:hAnsi="黑体" w:eastAsia="黑体"/>
          <w:b w:val="0"/>
        </w:rPr>
      </w:pPr>
      <w:bookmarkStart w:id="31" w:name="_Toc15377207"/>
      <w:bookmarkStart w:id="32" w:name="_Toc20099"/>
      <w:bookmarkStart w:id="33" w:name="_Toc15396605"/>
      <w:r>
        <w:rPr>
          <w:rFonts w:hint="eastAsia" w:ascii="黑体" w:hAnsi="黑体" w:eastAsia="黑体"/>
          <w:sz w:val="32"/>
          <w:szCs w:val="32"/>
        </w:rPr>
        <w:t>支</w:t>
      </w:r>
      <w:r>
        <w:rPr>
          <w:rStyle w:val="35"/>
          <w:rFonts w:hint="eastAsia" w:ascii="黑体" w:hAnsi="黑体" w:eastAsia="黑体"/>
          <w:b w:val="0"/>
        </w:rPr>
        <w:t>出决算情况说明</w:t>
      </w:r>
      <w:bookmarkEnd w:id="31"/>
      <w:bookmarkEnd w:id="32"/>
      <w:bookmarkEnd w:id="33"/>
    </w:p>
    <w:p>
      <w:pPr>
        <w:spacing w:line="600" w:lineRule="exact"/>
        <w:ind w:firstLine="640" w:firstLineChars="200"/>
        <w:outlineLvl w:val="1"/>
        <w:rPr>
          <w:rFonts w:hint="eastAsia" w:ascii="仿宋" w:hAnsi="仿宋" w:eastAsia="仿宋"/>
          <w:sz w:val="32"/>
          <w:szCs w:val="32"/>
          <w:lang w:val="en-US" w:eastAsia="zh-CN"/>
        </w:rPr>
      </w:pPr>
      <w:bookmarkStart w:id="34" w:name="_Toc334"/>
      <w:r>
        <w:rPr>
          <w:rFonts w:hint="eastAsia" w:ascii="仿宋" w:hAnsi="仿宋" w:eastAsia="仿宋"/>
          <w:sz w:val="32"/>
          <w:szCs w:val="32"/>
        </w:rPr>
        <w:t>2023年度本年支出合计</w:t>
      </w:r>
      <w:r>
        <w:rPr>
          <w:rFonts w:ascii="仿宋" w:hAnsi="仿宋" w:eastAsia="仿宋"/>
          <w:b/>
          <w:sz w:val="32"/>
          <w:szCs w:val="32"/>
        </w:rPr>
        <w:t>3704.14</w:t>
      </w:r>
      <w:r>
        <w:rPr>
          <w:rFonts w:hint="eastAsia" w:ascii="仿宋" w:hAnsi="仿宋" w:eastAsia="仿宋"/>
          <w:sz w:val="32"/>
          <w:szCs w:val="32"/>
        </w:rPr>
        <w:t>万元，其中：基本支出</w:t>
      </w:r>
      <w:r>
        <w:rPr>
          <w:rFonts w:ascii="仿宋" w:hAnsi="仿宋" w:eastAsia="仿宋"/>
          <w:b/>
          <w:sz w:val="32"/>
          <w:szCs w:val="32"/>
        </w:rPr>
        <w:t>3010.49</w:t>
      </w:r>
      <w:r>
        <w:rPr>
          <w:rFonts w:hint="eastAsia" w:ascii="仿宋" w:hAnsi="仿宋" w:eastAsia="仿宋"/>
          <w:sz w:val="32"/>
          <w:szCs w:val="32"/>
        </w:rPr>
        <w:t>万元，占</w:t>
      </w:r>
      <w:r>
        <w:rPr>
          <w:rFonts w:ascii="仿宋" w:hAnsi="仿宋" w:eastAsia="仿宋"/>
          <w:b/>
          <w:sz w:val="32"/>
          <w:szCs w:val="32"/>
        </w:rPr>
        <w:t>81.27</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693.65</w:t>
      </w:r>
      <w:r>
        <w:rPr>
          <w:rFonts w:hint="eastAsia" w:ascii="仿宋" w:hAnsi="仿宋" w:eastAsia="仿宋"/>
          <w:sz w:val="32"/>
          <w:szCs w:val="32"/>
        </w:rPr>
        <w:t>万元，占</w:t>
      </w:r>
      <w:r>
        <w:rPr>
          <w:rFonts w:ascii="仿宋" w:hAnsi="仿宋" w:eastAsia="仿宋"/>
          <w:b/>
          <w:sz w:val="32"/>
          <w:szCs w:val="32"/>
        </w:rPr>
        <w:t>18.7</w:t>
      </w:r>
      <w:r>
        <w:rPr>
          <w:rFonts w:hint="eastAsia" w:ascii="仿宋" w:hAnsi="仿宋" w:eastAsia="仿宋"/>
          <w:b/>
          <w:sz w:val="32"/>
          <w:szCs w:val="32"/>
          <w:lang w:val="en-US" w:eastAsia="zh-CN"/>
        </w:rPr>
        <w:t>3</w:t>
      </w:r>
      <w:r>
        <w:rPr>
          <w:rFonts w:ascii="仿宋" w:hAnsi="仿宋" w:eastAsia="仿宋"/>
          <w:sz w:val="32"/>
          <w:szCs w:val="32"/>
        </w:rPr>
        <w:t>%</w:t>
      </w:r>
      <w:bookmarkEnd w:id="34"/>
      <w:r>
        <w:rPr>
          <w:rFonts w:hint="eastAsia" w:ascii="仿宋" w:hAnsi="仿宋" w:eastAsia="仿宋"/>
          <w:sz w:val="32"/>
          <w:szCs w:val="32"/>
          <w:lang w:eastAsia="zh-CN"/>
        </w:rPr>
        <w:t>。</w:t>
      </w:r>
    </w:p>
    <w:p>
      <w:pPr>
        <w:pStyle w:val="2"/>
      </w:pPr>
    </w:p>
    <w:p>
      <w:pPr>
        <w:pStyle w:val="2"/>
        <w:rPr>
          <w:rFonts w:hint="eastAsia" w:eastAsia="仿宋_GB2312"/>
          <w:lang w:eastAsia="zh-CN"/>
        </w:rPr>
      </w:pPr>
      <w:r>
        <w:rPr>
          <w:rFonts w:hint="eastAsia"/>
          <w:lang w:val="en-US" w:eastAsia="zh-CN"/>
        </w:rPr>
        <w:t xml:space="preserve"> </w:t>
      </w:r>
      <w:r>
        <w:rPr>
          <w:rFonts w:hint="eastAsia" w:eastAsia="仿宋_GB2312"/>
          <w:lang w:eastAsia="zh-CN"/>
        </w:rPr>
        <w:drawing>
          <wp:inline distT="0" distB="0" distL="114300" distR="114300">
            <wp:extent cx="4024630" cy="2896235"/>
            <wp:effectExtent l="4445" t="4445" r="9525" b="1397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lang w:val="en-US" w:eastAsia="zh-CN"/>
        </w:rPr>
        <w:t xml:space="preserve">   </w:t>
      </w:r>
    </w:p>
    <w:p>
      <w:pPr>
        <w:spacing w:line="600" w:lineRule="exact"/>
        <w:ind w:firstLine="1920" w:firstLineChars="600"/>
        <w:rPr>
          <w:rFonts w:ascii="仿宋" w:hAnsi="仿宋" w:eastAsia="仿宋"/>
          <w:sz w:val="32"/>
          <w:szCs w:val="32"/>
        </w:rPr>
      </w:pPr>
      <w:r>
        <w:rPr>
          <w:rFonts w:hint="eastAsia" w:ascii="仿宋" w:hAnsi="仿宋" w:eastAsia="仿宋"/>
          <w:sz w:val="32"/>
          <w:szCs w:val="32"/>
        </w:rPr>
        <w:t>（图3：支出决算结构图）</w:t>
      </w:r>
    </w:p>
    <w:p>
      <w:pPr>
        <w:spacing w:line="600" w:lineRule="exact"/>
        <w:ind w:firstLine="640" w:firstLineChars="200"/>
        <w:outlineLvl w:val="1"/>
        <w:rPr>
          <w:rStyle w:val="35"/>
          <w:rFonts w:ascii="黑体" w:hAnsi="黑体" w:eastAsia="黑体"/>
          <w:b w:val="0"/>
        </w:rPr>
      </w:pPr>
      <w:bookmarkStart w:id="35" w:name="_Toc15377208"/>
      <w:bookmarkStart w:id="36" w:name="_Toc15396606"/>
      <w:bookmarkStart w:id="37" w:name="_Toc6637"/>
      <w:r>
        <w:rPr>
          <w:rFonts w:hint="eastAsia" w:ascii="黑体" w:hAnsi="黑体" w:eastAsia="黑体"/>
          <w:sz w:val="32"/>
          <w:szCs w:val="32"/>
        </w:rPr>
        <w:t>四、财</w:t>
      </w:r>
      <w:r>
        <w:rPr>
          <w:rStyle w:val="35"/>
          <w:rFonts w:hint="eastAsia" w:ascii="黑体" w:hAnsi="黑体" w:eastAsia="黑体"/>
          <w:b w:val="0"/>
        </w:rPr>
        <w:t>政拨款收入支出决算总体情况说明</w:t>
      </w:r>
      <w:bookmarkEnd w:id="35"/>
      <w:bookmarkEnd w:id="36"/>
      <w:bookmarkEnd w:id="37"/>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2023年度财政拨款收、支总计均为</w:t>
      </w:r>
      <w:r>
        <w:rPr>
          <w:rFonts w:ascii="仿宋" w:hAnsi="仿宋" w:eastAsia="仿宋"/>
          <w:b/>
          <w:sz w:val="32"/>
          <w:szCs w:val="32"/>
        </w:rPr>
        <w:t>3610.78</w:t>
      </w:r>
      <w:r>
        <w:rPr>
          <w:rFonts w:hint="eastAsia" w:ascii="仿宋" w:hAnsi="仿宋" w:eastAsia="仿宋"/>
          <w:sz w:val="32"/>
          <w:szCs w:val="32"/>
        </w:rPr>
        <w:t>万元。与2022年度</w:t>
      </w:r>
      <w:r>
        <w:rPr>
          <w:rFonts w:hint="eastAsia" w:ascii="仿宋" w:hAnsi="仿宋" w:eastAsia="仿宋"/>
          <w:color w:val="auto"/>
          <w:sz w:val="32"/>
          <w:szCs w:val="32"/>
          <w:highlight w:val="none"/>
          <w:lang w:val="en-US" w:eastAsia="zh-CN"/>
        </w:rPr>
        <w:t>4009.86万元</w:t>
      </w:r>
      <w:r>
        <w:rPr>
          <w:rFonts w:hint="eastAsia" w:ascii="仿宋" w:hAnsi="仿宋" w:eastAsia="仿宋"/>
          <w:sz w:val="32"/>
          <w:szCs w:val="32"/>
        </w:rPr>
        <w:t>相比，财政拨款收、支总计各减少</w:t>
      </w:r>
      <w:r>
        <w:rPr>
          <w:rFonts w:hint="eastAsia" w:ascii="仿宋" w:hAnsi="仿宋" w:eastAsia="仿宋"/>
          <w:sz w:val="32"/>
          <w:szCs w:val="32"/>
          <w:lang w:val="en-US" w:eastAsia="zh-CN"/>
        </w:rPr>
        <w:t>399.08</w:t>
      </w:r>
      <w:r>
        <w:rPr>
          <w:rFonts w:hint="eastAsia" w:ascii="仿宋" w:hAnsi="仿宋" w:eastAsia="仿宋"/>
          <w:sz w:val="32"/>
          <w:szCs w:val="32"/>
        </w:rPr>
        <w:t>万元，下降</w:t>
      </w:r>
      <w:r>
        <w:rPr>
          <w:rFonts w:hint="eastAsia" w:ascii="仿宋" w:hAnsi="仿宋" w:eastAsia="仿宋"/>
          <w:sz w:val="32"/>
          <w:szCs w:val="32"/>
          <w:lang w:val="en-US" w:eastAsia="zh-CN"/>
        </w:rPr>
        <w:t>9.95</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color w:val="auto"/>
          <w:sz w:val="32"/>
          <w:szCs w:val="32"/>
          <w:highlight w:val="none"/>
          <w:lang w:eastAsia="zh-CN"/>
        </w:rPr>
        <w:t>小学部异地扩建项目建设完成，建设资金减少</w:t>
      </w:r>
      <w:r>
        <w:rPr>
          <w:rFonts w:hint="eastAsia" w:ascii="仿宋" w:hAnsi="仿宋" w:eastAsia="仿宋"/>
          <w:sz w:val="32"/>
          <w:szCs w:val="32"/>
        </w:rPr>
        <w:t>。</w:t>
      </w:r>
    </w:p>
    <w:p>
      <w:pPr>
        <w:spacing w:line="600" w:lineRule="exact"/>
        <w:ind w:firstLine="640"/>
        <w:rPr>
          <w:rFonts w:hint="eastAsia" w:ascii="仿宋" w:hAnsi="仿宋" w:eastAsia="仿宋"/>
          <w:sz w:val="32"/>
          <w:szCs w:val="32"/>
          <w:lang w:eastAsia="zh-CN"/>
        </w:rPr>
      </w:pPr>
      <w:r>
        <w:rPr>
          <w:rFonts w:hint="eastAsia" w:ascii="仿宋" w:hAnsi="仿宋" w:eastAsia="仿宋"/>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414020</wp:posOffset>
            </wp:positionH>
            <wp:positionV relativeFrom="paragraph">
              <wp:posOffset>357505</wp:posOffset>
            </wp:positionV>
            <wp:extent cx="4387850" cy="2536825"/>
            <wp:effectExtent l="4445" t="5080" r="8255" b="10795"/>
            <wp:wrapSquare wrapText="bothSides"/>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pStyle w:val="2"/>
        <w:rPr>
          <w:rFonts w:hint="eastAsia" w:ascii="仿宋" w:hAnsi="仿宋" w:eastAsia="仿宋"/>
          <w:sz w:val="32"/>
          <w:szCs w:val="32"/>
          <w:lang w:eastAsia="zh-CN"/>
        </w:rPr>
      </w:pPr>
    </w:p>
    <w:p>
      <w:pPr>
        <w:rPr>
          <w:rFonts w:hint="eastAsia" w:ascii="仿宋" w:hAnsi="仿宋" w:eastAsia="仿宋"/>
          <w:sz w:val="32"/>
          <w:szCs w:val="32"/>
          <w:lang w:eastAsia="zh-CN"/>
        </w:rPr>
      </w:pPr>
    </w:p>
    <w:p>
      <w:pPr>
        <w:pStyle w:val="2"/>
        <w:rPr>
          <w:rFonts w:hint="eastAsia" w:ascii="仿宋" w:hAnsi="仿宋" w:eastAsia="仿宋"/>
          <w:sz w:val="32"/>
          <w:szCs w:val="32"/>
          <w:lang w:eastAsia="zh-CN"/>
        </w:rPr>
      </w:pPr>
    </w:p>
    <w:p>
      <w:pPr>
        <w:rPr>
          <w:rFonts w:hint="eastAsia" w:ascii="仿宋" w:hAnsi="仿宋" w:eastAsia="仿宋"/>
          <w:sz w:val="32"/>
          <w:szCs w:val="32"/>
          <w:lang w:eastAsia="zh-CN"/>
        </w:rPr>
      </w:pPr>
    </w:p>
    <w:p>
      <w:pPr>
        <w:pStyle w:val="2"/>
        <w:rPr>
          <w:rFonts w:hint="eastAsia" w:ascii="仿宋" w:hAnsi="仿宋" w:eastAsia="仿宋"/>
          <w:sz w:val="32"/>
          <w:szCs w:val="32"/>
          <w:lang w:eastAsia="zh-CN"/>
        </w:rPr>
      </w:pPr>
    </w:p>
    <w:p>
      <w:pPr>
        <w:rPr>
          <w:rFonts w:hint="eastAsia"/>
          <w:lang w:eastAsia="zh-CN"/>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w:t>
      </w:r>
    </w:p>
    <w:p>
      <w:pPr>
        <w:spacing w:line="600" w:lineRule="exact"/>
        <w:ind w:firstLine="640"/>
        <w:rPr>
          <w:rFonts w:ascii="仿宋" w:hAnsi="仿宋" w:eastAsia="仿宋"/>
          <w:b/>
          <w:sz w:val="32"/>
          <w:szCs w:val="32"/>
        </w:rPr>
      </w:pPr>
    </w:p>
    <w:p>
      <w:pPr>
        <w:spacing w:line="600" w:lineRule="exact"/>
        <w:ind w:firstLine="640" w:firstLineChars="200"/>
        <w:outlineLvl w:val="1"/>
        <w:rPr>
          <w:rStyle w:val="35"/>
          <w:rFonts w:ascii="黑体" w:hAnsi="黑体" w:eastAsia="黑体"/>
          <w:b w:val="0"/>
        </w:rPr>
      </w:pPr>
      <w:bookmarkStart w:id="38" w:name="_Toc15377209"/>
      <w:bookmarkStart w:id="39" w:name="_Toc20989"/>
      <w:bookmarkStart w:id="40" w:name="_Toc15396607"/>
      <w:r>
        <w:rPr>
          <w:rFonts w:hint="eastAsia" w:ascii="黑体" w:hAnsi="黑体" w:eastAsia="黑体"/>
          <w:sz w:val="32"/>
          <w:szCs w:val="32"/>
        </w:rPr>
        <w:t>五、</w:t>
      </w:r>
      <w:r>
        <w:rPr>
          <w:rFonts w:hint="eastAsia" w:ascii="黑体" w:hAnsi="黑体" w:eastAsia="黑体"/>
          <w:b/>
          <w:sz w:val="32"/>
          <w:szCs w:val="32"/>
        </w:rPr>
        <w:t>一</w:t>
      </w:r>
      <w:r>
        <w:rPr>
          <w:rStyle w:val="35"/>
          <w:rFonts w:hint="eastAsia" w:ascii="黑体" w:hAnsi="黑体" w:eastAsia="黑体"/>
          <w:b w:val="0"/>
        </w:rPr>
        <w:t>般公共预算财政拨款支出决算情况说明</w:t>
      </w:r>
      <w:bookmarkEnd w:id="38"/>
      <w:bookmarkEnd w:id="39"/>
      <w:bookmarkEnd w:id="40"/>
    </w:p>
    <w:p>
      <w:pPr>
        <w:spacing w:line="600" w:lineRule="exact"/>
        <w:ind w:firstLine="642" w:firstLineChars="200"/>
        <w:outlineLvl w:val="2"/>
        <w:rPr>
          <w:rFonts w:ascii="仿宋" w:hAnsi="仿宋" w:eastAsia="仿宋"/>
          <w:b/>
          <w:sz w:val="32"/>
          <w:szCs w:val="32"/>
        </w:rPr>
      </w:pPr>
      <w:bookmarkStart w:id="41" w:name="_Toc9523"/>
      <w:bookmarkStart w:id="42" w:name="_Toc15377210"/>
      <w:r>
        <w:rPr>
          <w:rFonts w:hint="eastAsia" w:ascii="仿宋" w:hAnsi="仿宋" w:eastAsia="仿宋"/>
          <w:b/>
          <w:sz w:val="32"/>
          <w:szCs w:val="32"/>
        </w:rPr>
        <w:t>（一）一般公共预算财政拨款支出决算总体情况</w:t>
      </w:r>
      <w:bookmarkEnd w:id="41"/>
      <w:bookmarkEnd w:id="42"/>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3610.78</w:t>
      </w:r>
      <w:r>
        <w:rPr>
          <w:rFonts w:hint="eastAsia" w:ascii="仿宋" w:hAnsi="仿宋" w:eastAsia="仿宋"/>
          <w:sz w:val="32"/>
          <w:szCs w:val="32"/>
        </w:rPr>
        <w:t>万元，占本年支出合计的</w:t>
      </w:r>
      <w:r>
        <w:rPr>
          <w:rFonts w:ascii="仿宋" w:hAnsi="仿宋" w:eastAsia="仿宋"/>
          <w:b/>
          <w:sz w:val="32"/>
          <w:szCs w:val="32"/>
        </w:rPr>
        <w:t>97.47</w:t>
      </w:r>
      <w:r>
        <w:rPr>
          <w:rFonts w:ascii="仿宋" w:hAnsi="仿宋" w:eastAsia="仿宋"/>
          <w:sz w:val="32"/>
          <w:szCs w:val="32"/>
        </w:rPr>
        <w:t>%</w:t>
      </w:r>
      <w:r>
        <w:rPr>
          <w:rFonts w:hint="eastAsia" w:ascii="仿宋" w:hAnsi="仿宋" w:eastAsia="仿宋"/>
          <w:sz w:val="32"/>
          <w:szCs w:val="32"/>
        </w:rPr>
        <w:t>。与2022年度</w:t>
      </w:r>
      <w:r>
        <w:rPr>
          <w:rFonts w:hint="eastAsia" w:ascii="仿宋" w:hAnsi="仿宋" w:eastAsia="仿宋"/>
          <w:color w:val="auto"/>
          <w:sz w:val="32"/>
          <w:szCs w:val="32"/>
          <w:highlight w:val="none"/>
          <w:lang w:val="en-US" w:eastAsia="zh-CN"/>
        </w:rPr>
        <w:t>4009.86</w:t>
      </w:r>
      <w:r>
        <w:rPr>
          <w:rFonts w:hint="eastAsia" w:ascii="仿宋" w:hAnsi="仿宋" w:eastAsia="仿宋"/>
          <w:color w:val="auto"/>
          <w:sz w:val="32"/>
          <w:szCs w:val="32"/>
          <w:highlight w:val="none"/>
        </w:rPr>
        <w:t>万元</w:t>
      </w:r>
      <w:r>
        <w:rPr>
          <w:rFonts w:hint="eastAsia" w:ascii="仿宋" w:hAnsi="仿宋" w:eastAsia="仿宋"/>
          <w:sz w:val="32"/>
          <w:szCs w:val="32"/>
        </w:rPr>
        <w:t>相比，一般公共预算财政拨款支出减少</w:t>
      </w:r>
      <w:r>
        <w:rPr>
          <w:rFonts w:hint="eastAsia" w:ascii="仿宋" w:hAnsi="仿宋" w:eastAsia="仿宋"/>
          <w:sz w:val="32"/>
          <w:szCs w:val="32"/>
          <w:lang w:val="en-US" w:eastAsia="zh-CN"/>
        </w:rPr>
        <w:t>399.08</w:t>
      </w:r>
      <w:r>
        <w:rPr>
          <w:rFonts w:hint="eastAsia" w:ascii="仿宋" w:hAnsi="仿宋" w:eastAsia="仿宋"/>
          <w:sz w:val="32"/>
          <w:szCs w:val="32"/>
        </w:rPr>
        <w:t>万元，下降</w:t>
      </w:r>
      <w:r>
        <w:rPr>
          <w:rFonts w:hint="eastAsia" w:ascii="仿宋" w:hAnsi="仿宋" w:eastAsia="仿宋"/>
          <w:sz w:val="32"/>
          <w:szCs w:val="32"/>
          <w:lang w:val="en-US" w:eastAsia="zh-CN"/>
        </w:rPr>
        <w:t>9.95</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color w:val="auto"/>
          <w:sz w:val="32"/>
          <w:szCs w:val="32"/>
          <w:highlight w:val="none"/>
          <w:lang w:eastAsia="zh-CN"/>
        </w:rPr>
        <w:t>小学部异地扩建项目建设完成，建设资金减少</w:t>
      </w:r>
      <w:r>
        <w:rPr>
          <w:rFonts w:hint="eastAsia" w:ascii="仿宋" w:hAnsi="仿宋" w:eastAsia="仿宋"/>
          <w:sz w:val="32"/>
          <w:szCs w:val="32"/>
        </w:rPr>
        <w:t>。</w:t>
      </w:r>
    </w:p>
    <w:p>
      <w:pPr>
        <w:spacing w:line="600" w:lineRule="exact"/>
        <w:ind w:firstLine="640" w:firstLineChars="200"/>
        <w:rPr>
          <w:rFonts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 w:hAnsi="仿宋" w:eastAsia="仿宋"/>
          <w:color w:val="auto"/>
          <w:sz w:val="32"/>
          <w:szCs w:val="32"/>
          <w:highlight w:val="none"/>
          <w:lang w:eastAsia="zh-CN"/>
        </w:rPr>
        <w:drawing>
          <wp:anchor distT="0" distB="0" distL="114300" distR="114300" simplePos="0" relativeHeight="251659264" behindDoc="0" locked="0" layoutInCell="1" allowOverlap="1">
            <wp:simplePos x="0" y="0"/>
            <wp:positionH relativeFrom="column">
              <wp:posOffset>429895</wp:posOffset>
            </wp:positionH>
            <wp:positionV relativeFrom="paragraph">
              <wp:posOffset>100330</wp:posOffset>
            </wp:positionV>
            <wp:extent cx="4387850" cy="2536825"/>
            <wp:effectExtent l="4445" t="5080" r="8255" b="10795"/>
            <wp:wrapSquare wrapText="bothSides"/>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2"/>
        <w:rPr>
          <w:rFonts w:ascii="仿宋" w:hAnsi="仿宋" w:eastAsia="仿宋"/>
          <w:sz w:val="32"/>
          <w:szCs w:val="32"/>
        </w:rPr>
      </w:pPr>
    </w:p>
    <w:p>
      <w:pPr>
        <w:rPr>
          <w:rFonts w:ascii="仿宋" w:hAnsi="仿宋" w:eastAsia="仿宋"/>
          <w:sz w:val="32"/>
          <w:szCs w:val="32"/>
        </w:rPr>
      </w:pPr>
    </w:p>
    <w:p>
      <w:pPr>
        <w:pStyle w:val="2"/>
      </w:pP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（图5：一般公共预算财政拨款支出决算变动情况）</w:t>
      </w:r>
    </w:p>
    <w:p>
      <w:pPr>
        <w:pStyle w:val="2"/>
      </w:pPr>
    </w:p>
    <w:p>
      <w:pPr>
        <w:spacing w:line="600" w:lineRule="exact"/>
        <w:ind w:firstLine="642" w:firstLineChars="200"/>
        <w:outlineLvl w:val="2"/>
        <w:rPr>
          <w:rFonts w:ascii="仿宋" w:hAnsi="仿宋" w:eastAsia="仿宋"/>
          <w:b/>
          <w:sz w:val="32"/>
          <w:szCs w:val="32"/>
        </w:rPr>
      </w:pPr>
      <w:bookmarkStart w:id="43" w:name="_Toc15377211"/>
      <w:bookmarkStart w:id="44" w:name="_Toc30164"/>
      <w:r>
        <w:rPr>
          <w:rFonts w:hint="eastAsia" w:ascii="仿宋" w:hAnsi="仿宋" w:eastAsia="仿宋"/>
          <w:b/>
          <w:sz w:val="32"/>
          <w:szCs w:val="32"/>
        </w:rPr>
        <w:t>（二）一般公共预算财政拨款支出决算结构情况</w:t>
      </w:r>
      <w:bookmarkEnd w:id="43"/>
      <w:bookmarkEnd w:id="44"/>
    </w:p>
    <w:p>
      <w:pPr>
        <w:spacing w:line="600" w:lineRule="exact"/>
        <w:ind w:firstLine="640"/>
        <w:rPr>
          <w:rFonts w:ascii="仿宋" w:hAnsi="仿宋" w:eastAsia="仿宋"/>
          <w:b/>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3610.78</w:t>
      </w:r>
      <w:r>
        <w:rPr>
          <w:rFonts w:hint="eastAsia" w:ascii="仿宋" w:hAnsi="仿宋" w:eastAsia="仿宋"/>
          <w:sz w:val="32"/>
          <w:szCs w:val="32"/>
        </w:rPr>
        <w:t>万元，主要用于以下方面</w:t>
      </w:r>
      <w:r>
        <w:rPr>
          <w:rFonts w:hint="eastAsia" w:ascii="仿宋" w:hAnsi="仿宋" w:eastAsia="仿宋"/>
          <w:sz w:val="32"/>
          <w:szCs w:val="32"/>
          <w:lang w:eastAsia="zh-CN"/>
        </w:rPr>
        <w:t>：</w:t>
      </w:r>
      <w:r>
        <w:rPr>
          <w:rFonts w:hint="eastAsia" w:ascii="仿宋" w:hAnsi="仿宋" w:eastAsia="仿宋"/>
          <w:b/>
          <w:sz w:val="32"/>
          <w:szCs w:val="32"/>
        </w:rPr>
        <w:t>教育支出</w:t>
      </w:r>
      <w:r>
        <w:rPr>
          <w:rFonts w:hint="eastAsia" w:ascii="仿宋" w:hAnsi="仿宋" w:eastAsia="仿宋"/>
          <w:sz w:val="32"/>
          <w:szCs w:val="32"/>
          <w:lang w:val="en-US" w:eastAsia="zh-CN"/>
        </w:rPr>
        <w:t>2933.95</w:t>
      </w:r>
      <w:r>
        <w:rPr>
          <w:rFonts w:hint="eastAsia" w:ascii="仿宋" w:hAnsi="仿宋" w:eastAsia="仿宋"/>
          <w:sz w:val="32"/>
          <w:szCs w:val="32"/>
        </w:rPr>
        <w:t>万元，占</w:t>
      </w:r>
      <w:r>
        <w:rPr>
          <w:rFonts w:hint="eastAsia" w:ascii="仿宋" w:hAnsi="仿宋" w:eastAsia="仿宋"/>
          <w:sz w:val="32"/>
          <w:szCs w:val="32"/>
          <w:lang w:val="en-US" w:eastAsia="zh-CN"/>
        </w:rPr>
        <w:t>81.26</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369.72</w:t>
      </w:r>
      <w:r>
        <w:rPr>
          <w:rFonts w:hint="eastAsia" w:ascii="仿宋" w:hAnsi="仿宋" w:eastAsia="仿宋"/>
          <w:sz w:val="32"/>
          <w:szCs w:val="32"/>
        </w:rPr>
        <w:t>万元，占</w:t>
      </w:r>
      <w:r>
        <w:rPr>
          <w:rFonts w:hint="eastAsia" w:ascii="仿宋" w:hAnsi="仿宋" w:eastAsia="仿宋"/>
          <w:sz w:val="32"/>
          <w:szCs w:val="32"/>
          <w:lang w:val="en-US" w:eastAsia="zh-CN"/>
        </w:rPr>
        <w:t>10.24</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101.5</w:t>
      </w:r>
      <w:r>
        <w:rPr>
          <w:rFonts w:hint="eastAsia" w:ascii="仿宋" w:hAnsi="仿宋" w:eastAsia="仿宋"/>
          <w:sz w:val="32"/>
          <w:szCs w:val="32"/>
        </w:rPr>
        <w:t>万元，占</w:t>
      </w:r>
      <w:r>
        <w:rPr>
          <w:rFonts w:hint="eastAsia" w:ascii="仿宋" w:hAnsi="仿宋" w:eastAsia="仿宋"/>
          <w:sz w:val="32"/>
          <w:szCs w:val="32"/>
          <w:lang w:val="en-US" w:eastAsia="zh-CN"/>
        </w:rPr>
        <w:t>2.81</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205.61</w:t>
      </w:r>
      <w:r>
        <w:rPr>
          <w:rFonts w:hint="eastAsia" w:ascii="仿宋" w:hAnsi="仿宋" w:eastAsia="仿宋"/>
          <w:sz w:val="32"/>
          <w:szCs w:val="32"/>
        </w:rPr>
        <w:t>万元，占</w:t>
      </w:r>
      <w:r>
        <w:rPr>
          <w:rFonts w:hint="eastAsia" w:ascii="仿宋" w:hAnsi="仿宋" w:eastAsia="仿宋"/>
          <w:sz w:val="32"/>
          <w:szCs w:val="32"/>
          <w:lang w:val="en-US" w:eastAsia="zh-CN"/>
        </w:rPr>
        <w:t>5.69</w:t>
      </w:r>
      <w:r>
        <w:rPr>
          <w:rFonts w:ascii="仿宋" w:hAnsi="仿宋" w:eastAsia="仿宋"/>
          <w:sz w:val="32"/>
          <w:szCs w:val="32"/>
        </w:rPr>
        <w:t>%</w:t>
      </w:r>
      <w:r>
        <w:rPr>
          <w:rFonts w:hint="eastAsia" w:ascii="仿宋" w:hAnsi="仿宋" w:eastAsia="仿宋"/>
          <w:sz w:val="32"/>
          <w:szCs w:val="32"/>
        </w:rPr>
        <w:t>。</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drawing>
          <wp:anchor distT="0" distB="0" distL="114300" distR="114300" simplePos="0" relativeHeight="251663360" behindDoc="0" locked="0" layoutInCell="1" allowOverlap="1">
            <wp:simplePos x="0" y="0"/>
            <wp:positionH relativeFrom="column">
              <wp:posOffset>363220</wp:posOffset>
            </wp:positionH>
            <wp:positionV relativeFrom="paragraph">
              <wp:posOffset>156845</wp:posOffset>
            </wp:positionV>
            <wp:extent cx="4462145" cy="2753995"/>
            <wp:effectExtent l="4445" t="4445" r="10160" b="22860"/>
            <wp:wrapSquare wrapText="bothSides"/>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ind w:firstLine="640" w:firstLineChars="200"/>
        <w:rPr>
          <w:rFonts w:hint="eastAsia" w:ascii="仿宋" w:hAnsi="仿宋" w:eastAsia="仿宋"/>
          <w:sz w:val="32"/>
          <w:szCs w:val="32"/>
          <w:lang w:eastAsia="zh-CN"/>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hint="eastAsia" w:ascii="仿宋" w:hAnsi="仿宋" w:eastAsia="仿宋"/>
          <w:sz w:val="32"/>
          <w:szCs w:val="32"/>
        </w:rPr>
      </w:pPr>
    </w:p>
    <w:p>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w:t>
      </w:r>
    </w:p>
    <w:p>
      <w:pPr>
        <w:spacing w:line="600" w:lineRule="exact"/>
        <w:ind w:firstLine="642" w:firstLineChars="200"/>
        <w:outlineLvl w:val="2"/>
        <w:rPr>
          <w:rFonts w:ascii="仿宋" w:hAnsi="仿宋" w:eastAsia="仿宋"/>
          <w:b/>
          <w:sz w:val="32"/>
          <w:szCs w:val="32"/>
        </w:rPr>
      </w:pPr>
      <w:bookmarkStart w:id="45" w:name="_Toc15377212"/>
      <w:bookmarkStart w:id="46" w:name="_Toc12248"/>
      <w:r>
        <w:rPr>
          <w:rFonts w:hint="eastAsia" w:ascii="仿宋" w:hAnsi="仿宋" w:eastAsia="仿宋"/>
          <w:b/>
          <w:sz w:val="32"/>
          <w:szCs w:val="32"/>
        </w:rPr>
        <w:t>（三）一般公共预算财政拨款支出决算具体情况</w:t>
      </w:r>
      <w:bookmarkEnd w:id="45"/>
      <w:bookmarkEnd w:id="46"/>
    </w:p>
    <w:p>
      <w:pPr>
        <w:spacing w:line="600" w:lineRule="exact"/>
        <w:ind w:firstLine="642" w:firstLineChars="200"/>
        <w:outlineLvl w:val="2"/>
        <w:rPr>
          <w:rStyle w:val="23"/>
          <w:rFonts w:hint="eastAsia" w:ascii="仿宋" w:hAnsi="仿宋" w:eastAsia="仿宋"/>
          <w:bCs/>
          <w:sz w:val="32"/>
          <w:szCs w:val="32"/>
        </w:rPr>
      </w:pPr>
      <w:bookmarkStart w:id="47" w:name="_Toc7685"/>
      <w:bookmarkStart w:id="48" w:name="_Toc15377444"/>
      <w:bookmarkStart w:id="49" w:name="_Toc15378460"/>
      <w:bookmarkStart w:id="50" w:name="_Toc15377213"/>
      <w:r>
        <w:rPr>
          <w:rFonts w:hint="eastAsia" w:ascii="仿宋" w:hAnsi="仿宋" w:eastAsia="仿宋"/>
          <w:b/>
          <w:sz w:val="32"/>
          <w:szCs w:val="32"/>
        </w:rPr>
        <w:t>2023年度一般公共预算支出决算数为</w:t>
      </w:r>
      <w:r>
        <w:rPr>
          <w:rFonts w:ascii="仿宋" w:hAnsi="仿宋" w:eastAsia="仿宋"/>
          <w:b/>
          <w:sz w:val="32"/>
          <w:szCs w:val="32"/>
        </w:rPr>
        <w:t>3610.78</w:t>
      </w:r>
      <w:r>
        <w:rPr>
          <w:rFonts w:hint="eastAsia" w:ascii="仿宋" w:hAnsi="仿宋" w:eastAsia="仿宋"/>
          <w:sz w:val="32"/>
          <w:szCs w:val="32"/>
        </w:rPr>
        <w:t>，</w:t>
      </w:r>
      <w:r>
        <w:rPr>
          <w:rStyle w:val="23"/>
          <w:rFonts w:hint="eastAsia" w:ascii="仿宋" w:hAnsi="仿宋" w:eastAsia="仿宋"/>
          <w:bCs/>
          <w:sz w:val="32"/>
          <w:szCs w:val="32"/>
        </w:rPr>
        <w:t>完成预算</w:t>
      </w:r>
      <w:r>
        <w:rPr>
          <w:rStyle w:val="23"/>
          <w:rFonts w:hint="eastAsia" w:ascii="仿宋" w:hAnsi="仿宋" w:eastAsia="仿宋"/>
          <w:bCs/>
          <w:sz w:val="32"/>
          <w:szCs w:val="32"/>
          <w:lang w:val="en-US" w:eastAsia="zh-CN"/>
        </w:rPr>
        <w:t>100</w:t>
      </w:r>
      <w:r>
        <w:rPr>
          <w:rStyle w:val="23"/>
          <w:rFonts w:ascii="仿宋" w:hAnsi="仿宋" w:eastAsia="仿宋"/>
          <w:bCs/>
          <w:sz w:val="32"/>
          <w:szCs w:val="32"/>
        </w:rPr>
        <w:t>%</w:t>
      </w:r>
      <w:r>
        <w:rPr>
          <w:rStyle w:val="23"/>
          <w:rFonts w:hint="eastAsia" w:ascii="仿宋" w:hAnsi="仿宋" w:eastAsia="仿宋"/>
          <w:bCs/>
          <w:sz w:val="32"/>
          <w:szCs w:val="32"/>
        </w:rPr>
        <w:t>。其中：</w:t>
      </w:r>
      <w:bookmarkEnd w:id="47"/>
      <w:bookmarkEnd w:id="48"/>
      <w:bookmarkEnd w:id="49"/>
      <w:bookmarkEnd w:id="50"/>
    </w:p>
    <w:p>
      <w:pPr>
        <w:numPr>
          <w:ilvl w:val="0"/>
          <w:numId w:val="0"/>
        </w:numPr>
        <w:spacing w:line="600" w:lineRule="exact"/>
        <w:ind w:firstLine="642" w:firstLineChars="200"/>
        <w:rPr>
          <w:rStyle w:val="23"/>
          <w:rFonts w:hint="eastAsia" w:ascii="仿宋" w:hAnsi="仿宋" w:eastAsia="仿宋"/>
          <w:b w:val="0"/>
          <w:bCs/>
          <w:color w:val="auto"/>
          <w:sz w:val="32"/>
          <w:szCs w:val="32"/>
          <w:highlight w:val="none"/>
          <w:lang w:val="en-US" w:eastAsia="zh-CN"/>
        </w:rPr>
      </w:pPr>
      <w:r>
        <w:rPr>
          <w:rStyle w:val="23"/>
          <w:rFonts w:hint="eastAsia" w:ascii="仿宋" w:hAnsi="仿宋" w:eastAsia="仿宋"/>
          <w:bCs/>
          <w:color w:val="auto"/>
          <w:sz w:val="32"/>
          <w:szCs w:val="32"/>
          <w:highlight w:val="none"/>
          <w:lang w:val="en-US" w:eastAsia="zh-CN"/>
        </w:rPr>
        <w:t>1.</w:t>
      </w:r>
      <w:r>
        <w:rPr>
          <w:rStyle w:val="23"/>
          <w:rFonts w:hint="eastAsia" w:ascii="仿宋" w:hAnsi="仿宋" w:eastAsia="仿宋"/>
          <w:bCs/>
          <w:color w:val="auto"/>
          <w:sz w:val="32"/>
          <w:szCs w:val="32"/>
          <w:highlight w:val="none"/>
        </w:rPr>
        <w:t>教育</w:t>
      </w:r>
      <w:r>
        <w:rPr>
          <w:rStyle w:val="23"/>
          <w:rFonts w:hint="eastAsia" w:ascii="仿宋" w:hAnsi="仿宋" w:eastAsia="仿宋"/>
          <w:bCs/>
          <w:color w:val="auto"/>
          <w:sz w:val="32"/>
          <w:szCs w:val="32"/>
          <w:highlight w:val="none"/>
          <w:lang w:eastAsia="zh-CN"/>
        </w:rPr>
        <w:t>支出</w:t>
      </w:r>
      <w:r>
        <w:rPr>
          <w:rStyle w:val="23"/>
          <w:rFonts w:hint="eastAsia" w:ascii="仿宋" w:hAnsi="仿宋" w:eastAsia="仿宋"/>
          <w:bCs/>
          <w:color w:val="auto"/>
          <w:sz w:val="32"/>
          <w:szCs w:val="32"/>
          <w:highlight w:val="none"/>
        </w:rPr>
        <w:t>（类）</w:t>
      </w:r>
      <w:r>
        <w:rPr>
          <w:rStyle w:val="23"/>
          <w:rFonts w:hint="eastAsia" w:ascii="仿宋" w:hAnsi="仿宋" w:eastAsia="仿宋"/>
          <w:bCs/>
          <w:color w:val="auto"/>
          <w:sz w:val="32"/>
          <w:szCs w:val="32"/>
          <w:highlight w:val="none"/>
          <w:lang w:eastAsia="zh-CN"/>
        </w:rPr>
        <w:t>教育管理事务</w:t>
      </w:r>
      <w:r>
        <w:rPr>
          <w:rStyle w:val="23"/>
          <w:rFonts w:hint="eastAsia" w:ascii="仿宋" w:hAnsi="仿宋" w:eastAsia="仿宋"/>
          <w:bCs/>
          <w:color w:val="auto"/>
          <w:sz w:val="32"/>
          <w:szCs w:val="32"/>
          <w:highlight w:val="none"/>
        </w:rPr>
        <w:t>（款）</w:t>
      </w:r>
      <w:r>
        <w:rPr>
          <w:rStyle w:val="23"/>
          <w:rFonts w:hint="eastAsia" w:ascii="仿宋" w:hAnsi="仿宋" w:eastAsia="仿宋"/>
          <w:bCs/>
          <w:color w:val="auto"/>
          <w:sz w:val="32"/>
          <w:szCs w:val="32"/>
          <w:highlight w:val="none"/>
          <w:lang w:eastAsia="zh-CN"/>
        </w:rPr>
        <w:t>其他教育管理事务支出</w:t>
      </w:r>
      <w:r>
        <w:rPr>
          <w:rStyle w:val="23"/>
          <w:rFonts w:hint="eastAsia" w:ascii="仿宋" w:hAnsi="仿宋" w:eastAsia="仿宋"/>
          <w:bCs/>
          <w:color w:val="auto"/>
          <w:sz w:val="32"/>
          <w:szCs w:val="32"/>
          <w:highlight w:val="none"/>
        </w:rPr>
        <w:t>（项）</w:t>
      </w:r>
      <w:r>
        <w:rPr>
          <w:rStyle w:val="23"/>
          <w:rFonts w:hint="eastAsia" w:ascii="仿宋" w:hAnsi="仿宋" w:eastAsia="仿宋"/>
          <w:bCs/>
          <w:color w:val="auto"/>
          <w:sz w:val="32"/>
          <w:szCs w:val="32"/>
          <w:highlight w:val="none"/>
          <w:lang w:eastAsia="zh-CN"/>
        </w:rPr>
        <w:t>：</w:t>
      </w:r>
      <w:r>
        <w:rPr>
          <w:rStyle w:val="23"/>
          <w:rFonts w:hint="eastAsia" w:ascii="仿宋" w:hAnsi="仿宋" w:eastAsia="仿宋"/>
          <w:b w:val="0"/>
          <w:bCs/>
          <w:color w:val="auto"/>
          <w:sz w:val="32"/>
          <w:szCs w:val="32"/>
          <w:highlight w:val="none"/>
        </w:rPr>
        <w:t>支出决算为</w:t>
      </w:r>
      <w:r>
        <w:rPr>
          <w:rStyle w:val="23"/>
          <w:rFonts w:hint="eastAsia" w:ascii="仿宋" w:hAnsi="仿宋" w:eastAsia="仿宋"/>
          <w:b w:val="0"/>
          <w:bCs/>
          <w:color w:val="auto"/>
          <w:sz w:val="32"/>
          <w:szCs w:val="32"/>
          <w:highlight w:val="none"/>
          <w:lang w:val="en-US" w:eastAsia="zh-CN"/>
        </w:rPr>
        <w:t>1</w:t>
      </w:r>
      <w:r>
        <w:rPr>
          <w:rStyle w:val="23"/>
          <w:rFonts w:hint="eastAsia" w:ascii="仿宋" w:hAnsi="仿宋" w:eastAsia="仿宋"/>
          <w:b w:val="0"/>
          <w:bCs/>
          <w:color w:val="auto"/>
          <w:sz w:val="32"/>
          <w:szCs w:val="32"/>
          <w:highlight w:val="none"/>
        </w:rPr>
        <w:t>万元，完成预算</w:t>
      </w:r>
      <w:r>
        <w:rPr>
          <w:rStyle w:val="23"/>
          <w:rFonts w:hint="eastAsia" w:ascii="仿宋" w:hAnsi="仿宋" w:eastAsia="仿宋"/>
          <w:b w:val="0"/>
          <w:bCs/>
          <w:color w:val="auto"/>
          <w:sz w:val="32"/>
          <w:szCs w:val="32"/>
          <w:highlight w:val="none"/>
          <w:lang w:val="en-US" w:eastAsia="zh-CN"/>
        </w:rPr>
        <w:t>100</w:t>
      </w:r>
      <w:r>
        <w:rPr>
          <w:rStyle w:val="23"/>
          <w:rFonts w:ascii="仿宋" w:hAnsi="仿宋" w:eastAsia="仿宋"/>
          <w:b w:val="0"/>
          <w:bCs/>
          <w:color w:val="auto"/>
          <w:sz w:val="32"/>
          <w:szCs w:val="32"/>
          <w:highlight w:val="none"/>
        </w:rPr>
        <w:t>%</w:t>
      </w:r>
      <w:r>
        <w:rPr>
          <w:rStyle w:val="23"/>
          <w:rFonts w:hint="eastAsia" w:ascii="仿宋" w:hAnsi="仿宋" w:eastAsia="仿宋"/>
          <w:b w:val="0"/>
          <w:bCs/>
          <w:color w:val="auto"/>
          <w:sz w:val="32"/>
          <w:szCs w:val="32"/>
          <w:highlight w:val="none"/>
        </w:rPr>
        <w:t>，决算数等于预算数</w:t>
      </w:r>
      <w:r>
        <w:rPr>
          <w:rStyle w:val="23"/>
          <w:rFonts w:hint="eastAsia" w:ascii="仿宋" w:hAnsi="仿宋" w:eastAsia="仿宋"/>
          <w:b w:val="0"/>
          <w:bCs/>
          <w:color w:val="auto"/>
          <w:sz w:val="32"/>
          <w:szCs w:val="32"/>
          <w:highlight w:val="none"/>
          <w:lang w:val="en-US" w:eastAsia="zh-CN"/>
        </w:rPr>
        <w:t>。</w:t>
      </w:r>
    </w:p>
    <w:p>
      <w:pPr>
        <w:numPr>
          <w:ilvl w:val="0"/>
          <w:numId w:val="0"/>
        </w:numPr>
        <w:spacing w:line="600" w:lineRule="exact"/>
        <w:ind w:firstLine="642" w:firstLineChars="200"/>
        <w:rPr>
          <w:rStyle w:val="23"/>
          <w:rFonts w:hint="eastAsia" w:ascii="仿宋" w:hAnsi="仿宋" w:eastAsia="仿宋"/>
          <w:b w:val="0"/>
          <w:bCs/>
          <w:color w:val="auto"/>
          <w:sz w:val="32"/>
          <w:szCs w:val="32"/>
          <w:highlight w:val="none"/>
          <w:lang w:val="en-US" w:eastAsia="zh-CN"/>
        </w:rPr>
      </w:pPr>
      <w:r>
        <w:rPr>
          <w:rStyle w:val="23"/>
          <w:rFonts w:hint="eastAsia" w:ascii="仿宋" w:hAnsi="仿宋" w:eastAsia="仿宋"/>
          <w:bCs/>
          <w:color w:val="auto"/>
          <w:sz w:val="32"/>
          <w:szCs w:val="32"/>
          <w:highlight w:val="none"/>
          <w:lang w:val="en-US" w:eastAsia="zh-CN"/>
        </w:rPr>
        <w:t>2.</w:t>
      </w:r>
      <w:r>
        <w:rPr>
          <w:rStyle w:val="23"/>
          <w:rFonts w:hint="eastAsia" w:ascii="仿宋" w:hAnsi="仿宋" w:eastAsia="仿宋"/>
          <w:bCs/>
          <w:color w:val="auto"/>
          <w:sz w:val="32"/>
          <w:szCs w:val="32"/>
          <w:highlight w:val="none"/>
        </w:rPr>
        <w:t>教育</w:t>
      </w:r>
      <w:r>
        <w:rPr>
          <w:rStyle w:val="23"/>
          <w:rFonts w:hint="eastAsia" w:ascii="仿宋" w:hAnsi="仿宋" w:eastAsia="仿宋"/>
          <w:bCs/>
          <w:color w:val="auto"/>
          <w:sz w:val="32"/>
          <w:szCs w:val="32"/>
          <w:highlight w:val="none"/>
          <w:lang w:eastAsia="zh-CN"/>
        </w:rPr>
        <w:t>支出</w:t>
      </w:r>
      <w:r>
        <w:rPr>
          <w:rStyle w:val="23"/>
          <w:rFonts w:hint="eastAsia" w:ascii="仿宋" w:hAnsi="仿宋" w:eastAsia="仿宋"/>
          <w:bCs/>
          <w:color w:val="auto"/>
          <w:sz w:val="32"/>
          <w:szCs w:val="32"/>
          <w:highlight w:val="none"/>
        </w:rPr>
        <w:t>（类）</w:t>
      </w:r>
      <w:r>
        <w:rPr>
          <w:rStyle w:val="23"/>
          <w:rFonts w:hint="eastAsia" w:ascii="仿宋" w:hAnsi="仿宋" w:eastAsia="仿宋"/>
          <w:bCs/>
          <w:color w:val="auto"/>
          <w:sz w:val="32"/>
          <w:szCs w:val="32"/>
          <w:highlight w:val="none"/>
          <w:lang w:eastAsia="zh-CN"/>
        </w:rPr>
        <w:t>普通教育</w:t>
      </w:r>
      <w:r>
        <w:rPr>
          <w:rStyle w:val="23"/>
          <w:rFonts w:hint="eastAsia" w:ascii="仿宋" w:hAnsi="仿宋" w:eastAsia="仿宋"/>
          <w:bCs/>
          <w:color w:val="auto"/>
          <w:sz w:val="32"/>
          <w:szCs w:val="32"/>
          <w:highlight w:val="none"/>
        </w:rPr>
        <w:t>（款）</w:t>
      </w:r>
      <w:r>
        <w:rPr>
          <w:rStyle w:val="23"/>
          <w:rFonts w:hint="eastAsia" w:ascii="仿宋" w:hAnsi="仿宋" w:eastAsia="仿宋"/>
          <w:bCs/>
          <w:color w:val="auto"/>
          <w:sz w:val="32"/>
          <w:szCs w:val="32"/>
          <w:highlight w:val="none"/>
          <w:lang w:eastAsia="zh-CN"/>
        </w:rPr>
        <w:t>小学教育</w:t>
      </w:r>
      <w:r>
        <w:rPr>
          <w:rStyle w:val="23"/>
          <w:rFonts w:hint="eastAsia" w:ascii="仿宋" w:hAnsi="仿宋" w:eastAsia="仿宋"/>
          <w:bCs/>
          <w:color w:val="auto"/>
          <w:sz w:val="32"/>
          <w:szCs w:val="32"/>
          <w:highlight w:val="none"/>
        </w:rPr>
        <w:t>（项）</w:t>
      </w:r>
      <w:r>
        <w:rPr>
          <w:rStyle w:val="23"/>
          <w:rFonts w:hint="eastAsia" w:ascii="仿宋" w:hAnsi="仿宋" w:eastAsia="仿宋"/>
          <w:bCs/>
          <w:color w:val="auto"/>
          <w:sz w:val="32"/>
          <w:szCs w:val="32"/>
          <w:highlight w:val="none"/>
          <w:lang w:eastAsia="zh-CN"/>
        </w:rPr>
        <w:t>：</w:t>
      </w:r>
      <w:r>
        <w:rPr>
          <w:rStyle w:val="23"/>
          <w:rFonts w:hint="eastAsia" w:ascii="仿宋" w:hAnsi="仿宋" w:eastAsia="仿宋"/>
          <w:b w:val="0"/>
          <w:bCs/>
          <w:color w:val="auto"/>
          <w:sz w:val="32"/>
          <w:szCs w:val="32"/>
          <w:highlight w:val="none"/>
        </w:rPr>
        <w:t>支出决算为</w:t>
      </w:r>
      <w:r>
        <w:rPr>
          <w:rStyle w:val="23"/>
          <w:rFonts w:hint="eastAsia" w:ascii="仿宋" w:hAnsi="仿宋" w:eastAsia="仿宋"/>
          <w:b w:val="0"/>
          <w:bCs/>
          <w:color w:val="auto"/>
          <w:sz w:val="32"/>
          <w:szCs w:val="32"/>
          <w:highlight w:val="none"/>
          <w:lang w:val="en-US" w:eastAsia="zh-CN"/>
        </w:rPr>
        <w:t>28.43</w:t>
      </w:r>
      <w:r>
        <w:rPr>
          <w:rStyle w:val="23"/>
          <w:rFonts w:hint="eastAsia" w:ascii="仿宋" w:hAnsi="仿宋" w:eastAsia="仿宋"/>
          <w:b w:val="0"/>
          <w:bCs/>
          <w:color w:val="auto"/>
          <w:sz w:val="32"/>
          <w:szCs w:val="32"/>
          <w:highlight w:val="none"/>
        </w:rPr>
        <w:t>万元，完成预算</w:t>
      </w:r>
      <w:r>
        <w:rPr>
          <w:rStyle w:val="23"/>
          <w:rFonts w:hint="eastAsia" w:ascii="仿宋" w:hAnsi="仿宋" w:eastAsia="仿宋"/>
          <w:b w:val="0"/>
          <w:bCs/>
          <w:color w:val="auto"/>
          <w:sz w:val="32"/>
          <w:szCs w:val="32"/>
          <w:highlight w:val="none"/>
          <w:lang w:val="en-US" w:eastAsia="zh-CN"/>
        </w:rPr>
        <w:t>100</w:t>
      </w:r>
      <w:r>
        <w:rPr>
          <w:rStyle w:val="23"/>
          <w:rFonts w:ascii="仿宋" w:hAnsi="仿宋" w:eastAsia="仿宋"/>
          <w:b w:val="0"/>
          <w:bCs/>
          <w:color w:val="auto"/>
          <w:sz w:val="32"/>
          <w:szCs w:val="32"/>
          <w:highlight w:val="none"/>
        </w:rPr>
        <w:t>%</w:t>
      </w:r>
      <w:r>
        <w:rPr>
          <w:rStyle w:val="23"/>
          <w:rFonts w:hint="eastAsia" w:ascii="仿宋" w:hAnsi="仿宋" w:eastAsia="仿宋"/>
          <w:b w:val="0"/>
          <w:bCs/>
          <w:color w:val="auto"/>
          <w:sz w:val="32"/>
          <w:szCs w:val="32"/>
          <w:highlight w:val="none"/>
        </w:rPr>
        <w:t>，决算数等于预算数</w:t>
      </w:r>
      <w:r>
        <w:rPr>
          <w:rStyle w:val="23"/>
          <w:rFonts w:hint="eastAsia" w:ascii="仿宋" w:hAnsi="仿宋" w:eastAsia="仿宋"/>
          <w:b w:val="0"/>
          <w:bCs/>
          <w:color w:val="auto"/>
          <w:sz w:val="32"/>
          <w:szCs w:val="32"/>
          <w:highlight w:val="none"/>
          <w:lang w:val="en-US" w:eastAsia="zh-CN"/>
        </w:rPr>
        <w:t>。</w:t>
      </w:r>
    </w:p>
    <w:p>
      <w:pPr>
        <w:numPr>
          <w:ilvl w:val="0"/>
          <w:numId w:val="0"/>
        </w:numPr>
        <w:spacing w:line="600" w:lineRule="exact"/>
        <w:ind w:firstLine="642" w:firstLineChars="200"/>
        <w:rPr>
          <w:rStyle w:val="23"/>
          <w:rFonts w:hint="eastAsia" w:ascii="仿宋" w:hAnsi="仿宋" w:eastAsia="仿宋"/>
          <w:b w:val="0"/>
          <w:bCs/>
          <w:color w:val="auto"/>
          <w:sz w:val="32"/>
          <w:szCs w:val="32"/>
          <w:highlight w:val="none"/>
          <w:lang w:val="en-US" w:eastAsia="zh-CN"/>
        </w:rPr>
      </w:pPr>
      <w:r>
        <w:rPr>
          <w:rStyle w:val="23"/>
          <w:rFonts w:hint="eastAsia" w:ascii="仿宋" w:hAnsi="仿宋" w:eastAsia="仿宋"/>
          <w:bCs/>
          <w:color w:val="auto"/>
          <w:sz w:val="32"/>
          <w:szCs w:val="32"/>
          <w:highlight w:val="none"/>
          <w:lang w:val="en-US" w:eastAsia="zh-CN"/>
        </w:rPr>
        <w:t>3.教育支出</w:t>
      </w:r>
      <w:r>
        <w:rPr>
          <w:rStyle w:val="23"/>
          <w:rFonts w:hint="eastAsia" w:ascii="仿宋" w:hAnsi="仿宋" w:eastAsia="仿宋"/>
          <w:bCs/>
          <w:color w:val="auto"/>
          <w:sz w:val="32"/>
          <w:szCs w:val="32"/>
          <w:highlight w:val="none"/>
        </w:rPr>
        <w:t>（类）</w:t>
      </w:r>
      <w:r>
        <w:rPr>
          <w:rStyle w:val="23"/>
          <w:rFonts w:hint="eastAsia" w:ascii="仿宋" w:hAnsi="仿宋" w:eastAsia="仿宋"/>
          <w:bCs/>
          <w:color w:val="auto"/>
          <w:sz w:val="32"/>
          <w:szCs w:val="32"/>
          <w:highlight w:val="none"/>
          <w:lang w:eastAsia="zh-CN"/>
        </w:rPr>
        <w:t>普通教育</w:t>
      </w:r>
      <w:r>
        <w:rPr>
          <w:rStyle w:val="23"/>
          <w:rFonts w:hint="eastAsia" w:ascii="仿宋" w:hAnsi="仿宋" w:eastAsia="仿宋"/>
          <w:bCs/>
          <w:color w:val="auto"/>
          <w:sz w:val="32"/>
          <w:szCs w:val="32"/>
          <w:highlight w:val="none"/>
        </w:rPr>
        <w:t>（款）</w:t>
      </w:r>
      <w:r>
        <w:rPr>
          <w:rStyle w:val="23"/>
          <w:rFonts w:hint="eastAsia" w:ascii="仿宋" w:hAnsi="仿宋" w:eastAsia="仿宋"/>
          <w:bCs/>
          <w:color w:val="auto"/>
          <w:sz w:val="32"/>
          <w:szCs w:val="32"/>
          <w:highlight w:val="none"/>
          <w:lang w:eastAsia="zh-CN"/>
        </w:rPr>
        <w:t>初中教育</w:t>
      </w:r>
      <w:r>
        <w:rPr>
          <w:rStyle w:val="23"/>
          <w:rFonts w:hint="eastAsia" w:ascii="仿宋" w:hAnsi="仿宋" w:eastAsia="仿宋"/>
          <w:bCs/>
          <w:color w:val="auto"/>
          <w:sz w:val="32"/>
          <w:szCs w:val="32"/>
          <w:highlight w:val="none"/>
        </w:rPr>
        <w:t>（项）</w:t>
      </w:r>
      <w:r>
        <w:rPr>
          <w:rStyle w:val="23"/>
          <w:rFonts w:hint="eastAsia" w:ascii="仿宋" w:hAnsi="仿宋" w:eastAsia="仿宋"/>
          <w:bCs/>
          <w:color w:val="auto"/>
          <w:sz w:val="32"/>
          <w:szCs w:val="32"/>
          <w:highlight w:val="none"/>
          <w:lang w:eastAsia="zh-CN"/>
        </w:rPr>
        <w:t>：</w:t>
      </w:r>
      <w:r>
        <w:rPr>
          <w:rStyle w:val="23"/>
          <w:rFonts w:hint="eastAsia" w:ascii="仿宋" w:hAnsi="仿宋" w:eastAsia="仿宋"/>
          <w:b w:val="0"/>
          <w:bCs/>
          <w:color w:val="auto"/>
          <w:sz w:val="32"/>
          <w:szCs w:val="32"/>
          <w:highlight w:val="none"/>
        </w:rPr>
        <w:t>支出决算为</w:t>
      </w:r>
      <w:r>
        <w:rPr>
          <w:rStyle w:val="23"/>
          <w:rFonts w:hint="eastAsia" w:ascii="仿宋" w:hAnsi="仿宋" w:eastAsia="仿宋"/>
          <w:b w:val="0"/>
          <w:bCs/>
          <w:color w:val="auto"/>
          <w:sz w:val="32"/>
          <w:szCs w:val="32"/>
          <w:highlight w:val="none"/>
          <w:lang w:val="en-US" w:eastAsia="zh-CN"/>
        </w:rPr>
        <w:t>2904.02</w:t>
      </w:r>
      <w:r>
        <w:rPr>
          <w:rStyle w:val="23"/>
          <w:rFonts w:hint="eastAsia" w:ascii="仿宋" w:hAnsi="仿宋" w:eastAsia="仿宋"/>
          <w:b w:val="0"/>
          <w:bCs/>
          <w:color w:val="auto"/>
          <w:sz w:val="32"/>
          <w:szCs w:val="32"/>
          <w:highlight w:val="none"/>
        </w:rPr>
        <w:t>万元，完成预算</w:t>
      </w:r>
      <w:r>
        <w:rPr>
          <w:rStyle w:val="23"/>
          <w:rFonts w:hint="eastAsia" w:ascii="仿宋" w:hAnsi="仿宋" w:eastAsia="仿宋"/>
          <w:b w:val="0"/>
          <w:bCs/>
          <w:color w:val="auto"/>
          <w:sz w:val="32"/>
          <w:szCs w:val="32"/>
          <w:highlight w:val="none"/>
          <w:lang w:val="en-US" w:eastAsia="zh-CN"/>
        </w:rPr>
        <w:t>100</w:t>
      </w:r>
      <w:r>
        <w:rPr>
          <w:rStyle w:val="23"/>
          <w:rFonts w:ascii="仿宋" w:hAnsi="仿宋" w:eastAsia="仿宋"/>
          <w:b w:val="0"/>
          <w:bCs/>
          <w:color w:val="auto"/>
          <w:sz w:val="32"/>
          <w:szCs w:val="32"/>
          <w:highlight w:val="none"/>
        </w:rPr>
        <w:t>%</w:t>
      </w:r>
      <w:r>
        <w:rPr>
          <w:rStyle w:val="23"/>
          <w:rFonts w:hint="eastAsia" w:ascii="仿宋" w:hAnsi="仿宋" w:eastAsia="仿宋"/>
          <w:b w:val="0"/>
          <w:bCs/>
          <w:color w:val="auto"/>
          <w:sz w:val="32"/>
          <w:szCs w:val="32"/>
          <w:highlight w:val="none"/>
        </w:rPr>
        <w:t>，决算数等于预算数</w:t>
      </w:r>
      <w:r>
        <w:rPr>
          <w:rStyle w:val="23"/>
          <w:rFonts w:hint="eastAsia" w:ascii="仿宋" w:hAnsi="仿宋" w:eastAsia="仿宋"/>
          <w:b w:val="0"/>
          <w:bCs/>
          <w:color w:val="auto"/>
          <w:sz w:val="32"/>
          <w:szCs w:val="32"/>
          <w:highlight w:val="none"/>
          <w:lang w:val="en-US" w:eastAsia="zh-CN"/>
        </w:rPr>
        <w:t>。</w:t>
      </w:r>
    </w:p>
    <w:p>
      <w:pPr>
        <w:pStyle w:val="2"/>
        <w:ind w:left="0" w:leftChars="0" w:firstLine="642" w:firstLineChars="200"/>
        <w:rPr>
          <w:rStyle w:val="23"/>
          <w:rFonts w:hint="eastAsia" w:ascii="仿宋" w:hAnsi="仿宋" w:eastAsia="仿宋"/>
          <w:b w:val="0"/>
          <w:bCs/>
          <w:color w:val="auto"/>
          <w:sz w:val="32"/>
          <w:szCs w:val="32"/>
          <w:highlight w:val="none"/>
          <w:lang w:val="en-US" w:eastAsia="zh-CN"/>
        </w:rPr>
      </w:pPr>
      <w:r>
        <w:rPr>
          <w:rStyle w:val="23"/>
          <w:rFonts w:hint="eastAsia" w:ascii="仿宋" w:hAnsi="仿宋" w:eastAsia="仿宋"/>
          <w:bCs/>
          <w:color w:val="auto"/>
          <w:sz w:val="32"/>
          <w:szCs w:val="32"/>
          <w:highlight w:val="none"/>
          <w:lang w:val="en-US" w:eastAsia="zh-CN"/>
        </w:rPr>
        <w:t>4.</w:t>
      </w:r>
      <w:r>
        <w:rPr>
          <w:rStyle w:val="23"/>
          <w:rFonts w:hint="eastAsia" w:ascii="仿宋" w:hAnsi="仿宋" w:eastAsia="仿宋"/>
          <w:bCs/>
          <w:color w:val="auto"/>
          <w:sz w:val="32"/>
          <w:szCs w:val="32"/>
          <w:highlight w:val="none"/>
        </w:rPr>
        <w:t>教育（类）</w:t>
      </w:r>
      <w:r>
        <w:rPr>
          <w:rStyle w:val="23"/>
          <w:rFonts w:hint="eastAsia" w:ascii="仿宋" w:hAnsi="仿宋" w:eastAsia="仿宋"/>
          <w:bCs/>
          <w:color w:val="auto"/>
          <w:sz w:val="32"/>
          <w:szCs w:val="32"/>
          <w:highlight w:val="none"/>
          <w:lang w:eastAsia="zh-CN"/>
        </w:rPr>
        <w:t>普通教育</w:t>
      </w:r>
      <w:r>
        <w:rPr>
          <w:rStyle w:val="23"/>
          <w:rFonts w:hint="eastAsia" w:ascii="仿宋" w:hAnsi="仿宋" w:eastAsia="仿宋"/>
          <w:bCs/>
          <w:color w:val="auto"/>
          <w:sz w:val="32"/>
          <w:szCs w:val="32"/>
          <w:highlight w:val="none"/>
        </w:rPr>
        <w:t>（款）</w:t>
      </w:r>
      <w:r>
        <w:rPr>
          <w:rStyle w:val="23"/>
          <w:rFonts w:hint="eastAsia" w:ascii="仿宋" w:hAnsi="仿宋" w:eastAsia="仿宋"/>
          <w:bCs/>
          <w:color w:val="auto"/>
          <w:sz w:val="32"/>
          <w:szCs w:val="32"/>
          <w:highlight w:val="none"/>
          <w:lang w:eastAsia="zh-CN"/>
        </w:rPr>
        <w:t>其他普通教育支出</w:t>
      </w:r>
      <w:r>
        <w:rPr>
          <w:rStyle w:val="23"/>
          <w:rFonts w:hint="eastAsia" w:ascii="仿宋" w:hAnsi="仿宋" w:eastAsia="仿宋"/>
          <w:bCs/>
          <w:color w:val="auto"/>
          <w:sz w:val="32"/>
          <w:szCs w:val="32"/>
          <w:highlight w:val="none"/>
        </w:rPr>
        <w:t>（项）</w:t>
      </w:r>
      <w:r>
        <w:rPr>
          <w:rStyle w:val="23"/>
          <w:rFonts w:hint="eastAsia" w:ascii="仿宋" w:hAnsi="仿宋" w:eastAsia="仿宋"/>
          <w:bCs/>
          <w:color w:val="auto"/>
          <w:sz w:val="32"/>
          <w:szCs w:val="32"/>
          <w:highlight w:val="none"/>
          <w:lang w:eastAsia="zh-CN"/>
        </w:rPr>
        <w:t>：</w:t>
      </w:r>
      <w:r>
        <w:rPr>
          <w:rStyle w:val="23"/>
          <w:rFonts w:hint="eastAsia" w:ascii="仿宋" w:hAnsi="仿宋" w:eastAsia="仿宋"/>
          <w:b w:val="0"/>
          <w:bCs/>
          <w:color w:val="auto"/>
          <w:sz w:val="32"/>
          <w:szCs w:val="32"/>
          <w:highlight w:val="none"/>
        </w:rPr>
        <w:t>支出决算为</w:t>
      </w:r>
      <w:r>
        <w:rPr>
          <w:rStyle w:val="23"/>
          <w:rFonts w:hint="eastAsia" w:ascii="仿宋" w:hAnsi="仿宋" w:eastAsia="仿宋"/>
          <w:b w:val="0"/>
          <w:bCs/>
          <w:color w:val="auto"/>
          <w:sz w:val="32"/>
          <w:szCs w:val="32"/>
          <w:highlight w:val="none"/>
          <w:lang w:val="en-US" w:eastAsia="zh-CN"/>
        </w:rPr>
        <w:t>0.5</w:t>
      </w:r>
      <w:r>
        <w:rPr>
          <w:rStyle w:val="23"/>
          <w:rFonts w:hint="eastAsia" w:ascii="仿宋" w:hAnsi="仿宋" w:eastAsia="仿宋"/>
          <w:b w:val="0"/>
          <w:bCs/>
          <w:color w:val="auto"/>
          <w:sz w:val="32"/>
          <w:szCs w:val="32"/>
          <w:highlight w:val="none"/>
        </w:rPr>
        <w:t>万元，完成预算</w:t>
      </w:r>
      <w:r>
        <w:rPr>
          <w:rStyle w:val="23"/>
          <w:rFonts w:hint="eastAsia" w:ascii="仿宋" w:hAnsi="仿宋" w:eastAsia="仿宋"/>
          <w:b w:val="0"/>
          <w:bCs/>
          <w:color w:val="auto"/>
          <w:sz w:val="32"/>
          <w:szCs w:val="32"/>
          <w:highlight w:val="none"/>
          <w:lang w:val="en-US" w:eastAsia="zh-CN"/>
        </w:rPr>
        <w:t>100</w:t>
      </w:r>
      <w:r>
        <w:rPr>
          <w:rStyle w:val="23"/>
          <w:rFonts w:ascii="仿宋" w:hAnsi="仿宋" w:eastAsia="仿宋"/>
          <w:b w:val="0"/>
          <w:bCs/>
          <w:color w:val="auto"/>
          <w:sz w:val="32"/>
          <w:szCs w:val="32"/>
          <w:highlight w:val="none"/>
        </w:rPr>
        <w:t>%</w:t>
      </w:r>
      <w:r>
        <w:rPr>
          <w:rStyle w:val="23"/>
          <w:rFonts w:hint="eastAsia" w:ascii="仿宋" w:hAnsi="仿宋" w:eastAsia="仿宋"/>
          <w:b w:val="0"/>
          <w:bCs/>
          <w:color w:val="auto"/>
          <w:sz w:val="32"/>
          <w:szCs w:val="32"/>
          <w:highlight w:val="none"/>
        </w:rPr>
        <w:t>，决算数等于预算数</w:t>
      </w:r>
      <w:r>
        <w:rPr>
          <w:rStyle w:val="23"/>
          <w:rFonts w:hint="eastAsia" w:ascii="仿宋" w:hAnsi="仿宋" w:eastAsia="仿宋"/>
          <w:b w:val="0"/>
          <w:bCs/>
          <w:color w:val="auto"/>
          <w:sz w:val="32"/>
          <w:szCs w:val="32"/>
          <w:highlight w:val="none"/>
          <w:lang w:val="en-US" w:eastAsia="zh-CN"/>
        </w:rPr>
        <w:t>。</w:t>
      </w:r>
    </w:p>
    <w:p>
      <w:pPr>
        <w:pStyle w:val="2"/>
        <w:ind w:left="0" w:leftChars="0" w:firstLine="642" w:firstLineChars="200"/>
        <w:rPr>
          <w:rFonts w:hint="eastAsia"/>
          <w:lang w:val="en-US" w:eastAsia="zh-CN"/>
        </w:rPr>
      </w:pPr>
      <w:r>
        <w:rPr>
          <w:rStyle w:val="23"/>
          <w:rFonts w:hint="eastAsia" w:ascii="仿宋" w:hAnsi="仿宋" w:eastAsia="仿宋"/>
          <w:bCs/>
          <w:color w:val="auto"/>
          <w:sz w:val="32"/>
          <w:szCs w:val="32"/>
          <w:highlight w:val="none"/>
          <w:lang w:val="en-US" w:eastAsia="zh-CN"/>
        </w:rPr>
        <w:t>5.</w:t>
      </w:r>
      <w:r>
        <w:rPr>
          <w:rStyle w:val="23"/>
          <w:rFonts w:hint="eastAsia" w:ascii="仿宋" w:hAnsi="仿宋" w:eastAsia="仿宋"/>
          <w:bCs/>
          <w:color w:val="auto"/>
          <w:sz w:val="32"/>
          <w:szCs w:val="32"/>
          <w:highlight w:val="none"/>
        </w:rPr>
        <w:t>社会保障和就业</w:t>
      </w:r>
      <w:r>
        <w:rPr>
          <w:rStyle w:val="23"/>
          <w:rFonts w:hint="eastAsia" w:ascii="仿宋" w:hAnsi="仿宋" w:eastAsia="仿宋"/>
          <w:bCs/>
          <w:color w:val="auto"/>
          <w:sz w:val="32"/>
          <w:szCs w:val="32"/>
          <w:highlight w:val="none"/>
          <w:lang w:eastAsia="zh-CN"/>
        </w:rPr>
        <w:t>支出</w:t>
      </w:r>
      <w:r>
        <w:rPr>
          <w:rStyle w:val="23"/>
          <w:rFonts w:hint="eastAsia" w:ascii="仿宋" w:hAnsi="仿宋" w:eastAsia="仿宋"/>
          <w:bCs/>
          <w:color w:val="auto"/>
          <w:sz w:val="32"/>
          <w:szCs w:val="32"/>
          <w:highlight w:val="none"/>
        </w:rPr>
        <w:t>（类）</w:t>
      </w:r>
      <w:r>
        <w:rPr>
          <w:rStyle w:val="23"/>
          <w:rFonts w:hint="eastAsia" w:ascii="仿宋" w:hAnsi="仿宋" w:eastAsia="仿宋"/>
          <w:bCs/>
          <w:sz w:val="32"/>
          <w:szCs w:val="32"/>
          <w:lang w:eastAsia="zh-CN"/>
        </w:rPr>
        <w:t>人力资源和社会保障管理事务</w:t>
      </w:r>
      <w:r>
        <w:rPr>
          <w:rStyle w:val="23"/>
          <w:rFonts w:hint="eastAsia" w:ascii="仿宋" w:hAnsi="仿宋" w:eastAsia="仿宋"/>
          <w:bCs/>
          <w:sz w:val="32"/>
          <w:szCs w:val="32"/>
        </w:rPr>
        <w:t>（款）</w:t>
      </w:r>
      <w:r>
        <w:rPr>
          <w:rStyle w:val="23"/>
          <w:rFonts w:hint="eastAsia" w:ascii="仿宋" w:hAnsi="仿宋" w:eastAsia="仿宋"/>
          <w:bCs/>
          <w:sz w:val="32"/>
          <w:szCs w:val="32"/>
          <w:lang w:eastAsia="zh-CN"/>
        </w:rPr>
        <w:t>其他人力资源和社会保障管理事务支出</w:t>
      </w:r>
      <w:r>
        <w:rPr>
          <w:rStyle w:val="23"/>
          <w:rFonts w:hint="eastAsia" w:ascii="仿宋" w:hAnsi="仿宋" w:eastAsia="仿宋"/>
          <w:bCs/>
          <w:sz w:val="32"/>
          <w:szCs w:val="32"/>
        </w:rPr>
        <w:t>（项）</w:t>
      </w:r>
      <w:r>
        <w:rPr>
          <w:rStyle w:val="23"/>
          <w:rFonts w:hint="eastAsia" w:ascii="仿宋" w:hAnsi="仿宋" w:eastAsia="仿宋"/>
          <w:bCs/>
          <w:sz w:val="32"/>
          <w:szCs w:val="32"/>
          <w:lang w:eastAsia="zh-CN"/>
        </w:rPr>
        <w:t>：</w:t>
      </w:r>
      <w:r>
        <w:rPr>
          <w:rStyle w:val="23"/>
          <w:rFonts w:hint="eastAsia" w:ascii="仿宋" w:hAnsi="仿宋" w:eastAsia="仿宋"/>
          <w:b w:val="0"/>
          <w:bCs/>
          <w:color w:val="auto"/>
          <w:sz w:val="32"/>
          <w:szCs w:val="32"/>
          <w:highlight w:val="none"/>
        </w:rPr>
        <w:t>支出决算为</w:t>
      </w:r>
      <w:r>
        <w:rPr>
          <w:rStyle w:val="23"/>
          <w:rFonts w:hint="eastAsia" w:ascii="仿宋" w:hAnsi="仿宋" w:eastAsia="仿宋"/>
          <w:b w:val="0"/>
          <w:bCs/>
          <w:color w:val="auto"/>
          <w:sz w:val="32"/>
          <w:szCs w:val="32"/>
          <w:highlight w:val="none"/>
          <w:lang w:val="en-US" w:eastAsia="zh-CN"/>
        </w:rPr>
        <w:t>16</w:t>
      </w:r>
      <w:r>
        <w:rPr>
          <w:rStyle w:val="23"/>
          <w:rFonts w:hint="eastAsia" w:ascii="仿宋" w:hAnsi="仿宋" w:eastAsia="仿宋"/>
          <w:b w:val="0"/>
          <w:bCs/>
          <w:color w:val="auto"/>
          <w:sz w:val="32"/>
          <w:szCs w:val="32"/>
          <w:highlight w:val="none"/>
        </w:rPr>
        <w:t>万元，完成预算</w:t>
      </w:r>
      <w:r>
        <w:rPr>
          <w:rStyle w:val="23"/>
          <w:rFonts w:hint="eastAsia" w:ascii="仿宋" w:hAnsi="仿宋" w:eastAsia="仿宋"/>
          <w:b w:val="0"/>
          <w:bCs/>
          <w:color w:val="auto"/>
          <w:sz w:val="32"/>
          <w:szCs w:val="32"/>
          <w:highlight w:val="none"/>
          <w:lang w:val="en-US" w:eastAsia="zh-CN"/>
        </w:rPr>
        <w:t>100</w:t>
      </w:r>
      <w:r>
        <w:rPr>
          <w:rStyle w:val="23"/>
          <w:rFonts w:ascii="仿宋" w:hAnsi="仿宋" w:eastAsia="仿宋"/>
          <w:b w:val="0"/>
          <w:bCs/>
          <w:color w:val="auto"/>
          <w:sz w:val="32"/>
          <w:szCs w:val="32"/>
          <w:highlight w:val="none"/>
        </w:rPr>
        <w:t>%</w:t>
      </w:r>
      <w:r>
        <w:rPr>
          <w:rStyle w:val="23"/>
          <w:rFonts w:hint="eastAsia" w:ascii="仿宋" w:hAnsi="仿宋" w:eastAsia="仿宋"/>
          <w:b w:val="0"/>
          <w:bCs/>
          <w:color w:val="auto"/>
          <w:sz w:val="32"/>
          <w:szCs w:val="32"/>
          <w:highlight w:val="none"/>
        </w:rPr>
        <w:t>，决算数等于预算数</w:t>
      </w:r>
      <w:r>
        <w:rPr>
          <w:rStyle w:val="23"/>
          <w:rFonts w:hint="eastAsia" w:ascii="仿宋" w:hAnsi="仿宋" w:eastAsia="仿宋"/>
          <w:b w:val="0"/>
          <w:bCs/>
          <w:color w:val="auto"/>
          <w:sz w:val="32"/>
          <w:szCs w:val="32"/>
          <w:highlight w:val="none"/>
          <w:lang w:val="en-US" w:eastAsia="zh-CN"/>
        </w:rPr>
        <w:t>。</w:t>
      </w:r>
    </w:p>
    <w:p>
      <w:pPr>
        <w:spacing w:line="600" w:lineRule="exact"/>
        <w:ind w:firstLine="642" w:firstLineChars="200"/>
        <w:rPr>
          <w:rStyle w:val="23"/>
          <w:rFonts w:ascii="仿宋" w:hAnsi="仿宋" w:eastAsia="仿宋"/>
          <w:b w:val="0"/>
          <w:bCs/>
          <w:sz w:val="32"/>
          <w:szCs w:val="32"/>
        </w:rPr>
      </w:pPr>
      <w:r>
        <w:rPr>
          <w:rStyle w:val="23"/>
          <w:rFonts w:hint="eastAsia" w:ascii="仿宋" w:hAnsi="仿宋" w:eastAsia="仿宋"/>
          <w:bCs/>
          <w:color w:val="auto"/>
          <w:sz w:val="32"/>
          <w:szCs w:val="32"/>
          <w:highlight w:val="none"/>
          <w:lang w:val="en-US" w:eastAsia="zh-CN"/>
        </w:rPr>
        <w:t>6.</w:t>
      </w:r>
      <w:r>
        <w:rPr>
          <w:rStyle w:val="23"/>
          <w:rFonts w:hint="eastAsia" w:ascii="仿宋" w:hAnsi="仿宋" w:eastAsia="仿宋"/>
          <w:bCs/>
          <w:color w:val="auto"/>
          <w:sz w:val="32"/>
          <w:szCs w:val="32"/>
          <w:highlight w:val="none"/>
        </w:rPr>
        <w:t>社会保障和就业</w:t>
      </w:r>
      <w:r>
        <w:rPr>
          <w:rStyle w:val="23"/>
          <w:rFonts w:hint="eastAsia" w:ascii="仿宋" w:hAnsi="仿宋" w:eastAsia="仿宋"/>
          <w:bCs/>
          <w:color w:val="auto"/>
          <w:sz w:val="32"/>
          <w:szCs w:val="32"/>
          <w:highlight w:val="none"/>
          <w:lang w:eastAsia="zh-CN"/>
        </w:rPr>
        <w:t>支出</w:t>
      </w:r>
      <w:r>
        <w:rPr>
          <w:rStyle w:val="23"/>
          <w:rFonts w:hint="eastAsia" w:ascii="仿宋" w:hAnsi="仿宋" w:eastAsia="仿宋"/>
          <w:bCs/>
          <w:color w:val="auto"/>
          <w:sz w:val="32"/>
          <w:szCs w:val="32"/>
          <w:highlight w:val="none"/>
        </w:rPr>
        <w:t>（类）</w:t>
      </w:r>
      <w:r>
        <w:rPr>
          <w:rStyle w:val="23"/>
          <w:rFonts w:hint="eastAsia" w:ascii="仿宋" w:hAnsi="仿宋" w:eastAsia="仿宋"/>
          <w:bCs/>
          <w:sz w:val="32"/>
          <w:szCs w:val="32"/>
          <w:lang w:eastAsia="zh-CN"/>
        </w:rPr>
        <w:t>行政事业单位养老支出</w:t>
      </w:r>
      <w:r>
        <w:rPr>
          <w:rStyle w:val="23"/>
          <w:rFonts w:hint="eastAsia" w:ascii="仿宋" w:hAnsi="仿宋" w:eastAsia="仿宋"/>
          <w:bCs/>
          <w:sz w:val="32"/>
          <w:szCs w:val="32"/>
        </w:rPr>
        <w:t>（款）</w:t>
      </w:r>
      <w:r>
        <w:rPr>
          <w:rStyle w:val="23"/>
          <w:rFonts w:hint="eastAsia" w:ascii="仿宋" w:hAnsi="仿宋" w:eastAsia="仿宋"/>
          <w:bCs/>
          <w:sz w:val="32"/>
          <w:szCs w:val="32"/>
          <w:lang w:eastAsia="zh-CN"/>
        </w:rPr>
        <w:t>事业单位离退休</w:t>
      </w:r>
      <w:r>
        <w:rPr>
          <w:rStyle w:val="23"/>
          <w:rFonts w:hint="eastAsia" w:ascii="仿宋" w:hAnsi="仿宋" w:eastAsia="仿宋"/>
          <w:bCs/>
          <w:sz w:val="32"/>
          <w:szCs w:val="32"/>
        </w:rPr>
        <w:t>（项）</w:t>
      </w:r>
      <w:r>
        <w:rPr>
          <w:rStyle w:val="23"/>
          <w:rFonts w:hint="eastAsia" w:ascii="仿宋" w:hAnsi="仿宋" w:eastAsia="仿宋"/>
          <w:bCs/>
          <w:sz w:val="32"/>
          <w:szCs w:val="32"/>
          <w:lang w:eastAsia="zh-CN"/>
        </w:rPr>
        <w:t>：</w:t>
      </w:r>
      <w:r>
        <w:rPr>
          <w:rStyle w:val="23"/>
          <w:rFonts w:hint="eastAsia" w:ascii="仿宋" w:hAnsi="仿宋" w:eastAsia="仿宋"/>
          <w:b w:val="0"/>
          <w:bCs/>
          <w:sz w:val="32"/>
          <w:szCs w:val="32"/>
        </w:rPr>
        <w:t>支出决算为</w:t>
      </w:r>
      <w:r>
        <w:rPr>
          <w:rStyle w:val="23"/>
          <w:rFonts w:hint="eastAsia" w:ascii="仿宋" w:hAnsi="仿宋" w:eastAsia="仿宋"/>
          <w:b w:val="0"/>
          <w:bCs/>
          <w:sz w:val="32"/>
          <w:szCs w:val="32"/>
          <w:lang w:val="en-US" w:eastAsia="zh-CN"/>
        </w:rPr>
        <w:t>26.03</w:t>
      </w:r>
      <w:r>
        <w:rPr>
          <w:rStyle w:val="23"/>
          <w:rFonts w:hint="eastAsia" w:ascii="仿宋" w:hAnsi="仿宋" w:eastAsia="仿宋"/>
          <w:b w:val="0"/>
          <w:bCs/>
          <w:sz w:val="32"/>
          <w:szCs w:val="32"/>
        </w:rPr>
        <w:t>万元，完成预算100</w:t>
      </w:r>
      <w:r>
        <w:rPr>
          <w:rStyle w:val="23"/>
          <w:rFonts w:ascii="仿宋" w:hAnsi="仿宋" w:eastAsia="仿宋"/>
          <w:b w:val="0"/>
          <w:bCs/>
          <w:sz w:val="32"/>
          <w:szCs w:val="32"/>
        </w:rPr>
        <w:t>%</w:t>
      </w:r>
      <w:r>
        <w:rPr>
          <w:rStyle w:val="23"/>
          <w:rFonts w:hint="eastAsia" w:ascii="仿宋" w:hAnsi="仿宋" w:eastAsia="仿宋"/>
          <w:b w:val="0"/>
          <w:bCs/>
          <w:sz w:val="32"/>
          <w:szCs w:val="32"/>
        </w:rPr>
        <w:t>，决算数等于预算数。</w:t>
      </w:r>
    </w:p>
    <w:p>
      <w:pPr>
        <w:spacing w:line="600" w:lineRule="exact"/>
        <w:ind w:firstLine="642" w:firstLineChars="200"/>
        <w:rPr>
          <w:rStyle w:val="23"/>
          <w:rFonts w:ascii="仿宋" w:hAnsi="仿宋" w:eastAsia="仿宋"/>
          <w:b w:val="0"/>
          <w:bCs/>
          <w:sz w:val="32"/>
          <w:szCs w:val="32"/>
        </w:rPr>
      </w:pPr>
      <w:r>
        <w:rPr>
          <w:rStyle w:val="23"/>
          <w:rFonts w:hint="eastAsia" w:ascii="仿宋" w:hAnsi="仿宋" w:eastAsia="仿宋"/>
          <w:bCs/>
          <w:color w:val="auto"/>
          <w:sz w:val="32"/>
          <w:szCs w:val="32"/>
          <w:highlight w:val="none"/>
          <w:lang w:val="en-US" w:eastAsia="zh-CN"/>
        </w:rPr>
        <w:t>7.</w:t>
      </w:r>
      <w:r>
        <w:rPr>
          <w:rStyle w:val="23"/>
          <w:rFonts w:hint="eastAsia" w:ascii="仿宋" w:hAnsi="仿宋" w:eastAsia="仿宋"/>
          <w:bCs/>
          <w:color w:val="auto"/>
          <w:sz w:val="32"/>
          <w:szCs w:val="32"/>
          <w:highlight w:val="none"/>
        </w:rPr>
        <w:t>社会保障和就业</w:t>
      </w:r>
      <w:r>
        <w:rPr>
          <w:rStyle w:val="23"/>
          <w:rFonts w:hint="eastAsia" w:ascii="仿宋" w:hAnsi="仿宋" w:eastAsia="仿宋"/>
          <w:bCs/>
          <w:color w:val="auto"/>
          <w:sz w:val="32"/>
          <w:szCs w:val="32"/>
          <w:highlight w:val="none"/>
          <w:lang w:eastAsia="zh-CN"/>
        </w:rPr>
        <w:t>支出</w:t>
      </w:r>
      <w:r>
        <w:rPr>
          <w:rStyle w:val="23"/>
          <w:rFonts w:hint="eastAsia" w:ascii="仿宋" w:hAnsi="仿宋" w:eastAsia="仿宋"/>
          <w:bCs/>
          <w:color w:val="auto"/>
          <w:sz w:val="32"/>
          <w:szCs w:val="32"/>
          <w:highlight w:val="none"/>
        </w:rPr>
        <w:t>（类）</w:t>
      </w:r>
      <w:r>
        <w:rPr>
          <w:rStyle w:val="23"/>
          <w:rFonts w:hint="eastAsia" w:ascii="仿宋" w:hAnsi="仿宋" w:eastAsia="仿宋"/>
          <w:bCs/>
          <w:sz w:val="32"/>
          <w:szCs w:val="32"/>
        </w:rPr>
        <w:t>行政事业单位养老支出（款）机关事业单位基本养老保险缴费支出（项）</w:t>
      </w:r>
      <w:r>
        <w:rPr>
          <w:rStyle w:val="23"/>
          <w:rFonts w:hint="eastAsia" w:ascii="仿宋" w:hAnsi="仿宋" w:eastAsia="仿宋"/>
          <w:bCs/>
          <w:sz w:val="32"/>
          <w:szCs w:val="32"/>
          <w:lang w:eastAsia="zh-CN"/>
        </w:rPr>
        <w:t>：</w:t>
      </w:r>
      <w:r>
        <w:rPr>
          <w:rStyle w:val="23"/>
          <w:rFonts w:hint="eastAsia" w:ascii="仿宋" w:hAnsi="仿宋" w:eastAsia="仿宋"/>
          <w:b w:val="0"/>
          <w:bCs/>
          <w:sz w:val="32"/>
          <w:szCs w:val="32"/>
        </w:rPr>
        <w:t>支出决算为</w:t>
      </w:r>
      <w:r>
        <w:rPr>
          <w:rStyle w:val="23"/>
          <w:rFonts w:hint="eastAsia" w:ascii="仿宋" w:hAnsi="仿宋" w:eastAsia="仿宋"/>
          <w:b w:val="0"/>
          <w:bCs/>
          <w:sz w:val="32"/>
          <w:szCs w:val="32"/>
          <w:lang w:val="en-US" w:eastAsia="zh-CN"/>
        </w:rPr>
        <w:t>265.14</w:t>
      </w:r>
      <w:r>
        <w:rPr>
          <w:rStyle w:val="23"/>
          <w:rFonts w:hint="eastAsia" w:ascii="仿宋" w:hAnsi="仿宋" w:eastAsia="仿宋"/>
          <w:b w:val="0"/>
          <w:bCs/>
          <w:sz w:val="32"/>
          <w:szCs w:val="32"/>
        </w:rPr>
        <w:t>万元，完成预算100</w:t>
      </w:r>
      <w:r>
        <w:rPr>
          <w:rStyle w:val="23"/>
          <w:rFonts w:ascii="仿宋" w:hAnsi="仿宋" w:eastAsia="仿宋"/>
          <w:b w:val="0"/>
          <w:bCs/>
          <w:sz w:val="32"/>
          <w:szCs w:val="32"/>
        </w:rPr>
        <w:t>%</w:t>
      </w:r>
      <w:r>
        <w:rPr>
          <w:rStyle w:val="23"/>
          <w:rFonts w:hint="eastAsia" w:ascii="仿宋" w:hAnsi="仿宋" w:eastAsia="仿宋"/>
          <w:b w:val="0"/>
          <w:bCs/>
          <w:sz w:val="32"/>
          <w:szCs w:val="32"/>
        </w:rPr>
        <w:t>，决算数等于预算数。</w:t>
      </w:r>
    </w:p>
    <w:p>
      <w:pPr>
        <w:spacing w:line="600" w:lineRule="exact"/>
        <w:ind w:firstLine="642" w:firstLineChars="200"/>
        <w:rPr>
          <w:rStyle w:val="23"/>
          <w:rFonts w:hint="eastAsia" w:ascii="仿宋" w:hAnsi="仿宋" w:eastAsia="仿宋"/>
          <w:b w:val="0"/>
          <w:bCs/>
          <w:sz w:val="32"/>
          <w:szCs w:val="32"/>
          <w:lang w:eastAsia="zh-CN"/>
        </w:rPr>
      </w:pPr>
      <w:r>
        <w:rPr>
          <w:rStyle w:val="23"/>
          <w:rFonts w:hint="eastAsia" w:ascii="仿宋" w:hAnsi="仿宋" w:eastAsia="仿宋"/>
          <w:bCs/>
          <w:sz w:val="32"/>
          <w:szCs w:val="32"/>
          <w:lang w:val="en-US" w:eastAsia="zh-CN"/>
        </w:rPr>
        <w:t>8</w:t>
      </w:r>
      <w:r>
        <w:rPr>
          <w:rStyle w:val="23"/>
          <w:rFonts w:hint="eastAsia" w:ascii="仿宋" w:hAnsi="仿宋" w:eastAsia="仿宋"/>
          <w:bCs/>
          <w:sz w:val="32"/>
          <w:szCs w:val="32"/>
        </w:rPr>
        <w:t>.社会保障和就业</w:t>
      </w:r>
      <w:r>
        <w:rPr>
          <w:rStyle w:val="23"/>
          <w:rFonts w:hint="eastAsia" w:ascii="仿宋" w:hAnsi="仿宋" w:eastAsia="仿宋"/>
          <w:bCs/>
          <w:sz w:val="32"/>
          <w:szCs w:val="32"/>
          <w:lang w:eastAsia="zh-CN"/>
        </w:rPr>
        <w:t>支出</w:t>
      </w:r>
      <w:r>
        <w:rPr>
          <w:rStyle w:val="23"/>
          <w:rFonts w:hint="eastAsia" w:ascii="仿宋" w:hAnsi="仿宋" w:eastAsia="仿宋"/>
          <w:bCs/>
          <w:sz w:val="32"/>
          <w:szCs w:val="32"/>
        </w:rPr>
        <w:t>（类）行政事业单位养老支出（款）机关事业单位职业年金缴费支出（项）</w:t>
      </w:r>
      <w:r>
        <w:rPr>
          <w:rStyle w:val="23"/>
          <w:rFonts w:hint="eastAsia" w:ascii="仿宋" w:hAnsi="仿宋" w:eastAsia="仿宋"/>
          <w:bCs/>
          <w:sz w:val="32"/>
          <w:szCs w:val="32"/>
          <w:lang w:eastAsia="zh-CN"/>
        </w:rPr>
        <w:t>：</w:t>
      </w:r>
      <w:r>
        <w:rPr>
          <w:rStyle w:val="23"/>
          <w:rFonts w:hint="eastAsia" w:ascii="仿宋" w:hAnsi="仿宋" w:eastAsia="仿宋"/>
          <w:b w:val="0"/>
          <w:bCs/>
          <w:sz w:val="32"/>
          <w:szCs w:val="32"/>
        </w:rPr>
        <w:t>支出决算为</w:t>
      </w:r>
      <w:r>
        <w:rPr>
          <w:rStyle w:val="23"/>
          <w:rFonts w:hint="eastAsia" w:ascii="仿宋" w:hAnsi="仿宋" w:eastAsia="仿宋"/>
          <w:b w:val="0"/>
          <w:bCs/>
          <w:sz w:val="32"/>
          <w:szCs w:val="32"/>
          <w:lang w:val="en-US" w:eastAsia="zh-CN"/>
        </w:rPr>
        <w:t>43.41</w:t>
      </w:r>
      <w:r>
        <w:rPr>
          <w:rStyle w:val="23"/>
          <w:rFonts w:hint="eastAsia" w:ascii="仿宋" w:hAnsi="仿宋" w:eastAsia="仿宋"/>
          <w:b w:val="0"/>
          <w:bCs/>
          <w:sz w:val="32"/>
          <w:szCs w:val="32"/>
        </w:rPr>
        <w:t>万元，完成预算100</w:t>
      </w:r>
      <w:r>
        <w:rPr>
          <w:rStyle w:val="23"/>
          <w:rFonts w:ascii="仿宋" w:hAnsi="仿宋" w:eastAsia="仿宋"/>
          <w:b w:val="0"/>
          <w:bCs/>
          <w:sz w:val="32"/>
          <w:szCs w:val="32"/>
        </w:rPr>
        <w:t>%</w:t>
      </w:r>
      <w:r>
        <w:rPr>
          <w:rStyle w:val="23"/>
          <w:rFonts w:hint="eastAsia" w:ascii="仿宋" w:hAnsi="仿宋" w:eastAsia="仿宋"/>
          <w:b w:val="0"/>
          <w:bCs/>
          <w:sz w:val="32"/>
          <w:szCs w:val="32"/>
        </w:rPr>
        <w:t>，决算数等于预算数</w:t>
      </w:r>
      <w:r>
        <w:rPr>
          <w:rStyle w:val="23"/>
          <w:rFonts w:hint="eastAsia" w:ascii="仿宋" w:hAnsi="仿宋" w:eastAsia="仿宋"/>
          <w:b w:val="0"/>
          <w:bCs/>
          <w:sz w:val="32"/>
          <w:szCs w:val="32"/>
          <w:lang w:eastAsia="zh-CN"/>
        </w:rPr>
        <w:t>。</w:t>
      </w:r>
    </w:p>
    <w:p>
      <w:pPr>
        <w:spacing w:line="600" w:lineRule="exact"/>
        <w:ind w:firstLine="420" w:firstLineChars="200"/>
        <w:rPr>
          <w:rStyle w:val="23"/>
          <w:rFonts w:hint="eastAsia" w:ascii="仿宋" w:hAnsi="仿宋" w:eastAsia="仿宋"/>
          <w:b w:val="0"/>
          <w:bCs/>
          <w:sz w:val="32"/>
          <w:szCs w:val="32"/>
          <w:lang w:eastAsia="zh-CN"/>
        </w:rPr>
      </w:pPr>
      <w:r>
        <w:rPr>
          <w:rFonts w:hint="eastAsia"/>
          <w:lang w:val="en-US" w:eastAsia="zh-CN"/>
        </w:rPr>
        <w:t xml:space="preserve"> </w:t>
      </w:r>
      <w:r>
        <w:rPr>
          <w:rStyle w:val="23"/>
          <w:rFonts w:hint="eastAsia" w:ascii="仿宋" w:hAnsi="仿宋" w:eastAsia="仿宋"/>
          <w:bCs/>
          <w:sz w:val="32"/>
          <w:szCs w:val="32"/>
          <w:lang w:val="en-US" w:eastAsia="zh-CN"/>
        </w:rPr>
        <w:t>9</w:t>
      </w:r>
      <w:r>
        <w:rPr>
          <w:rStyle w:val="23"/>
          <w:rFonts w:hint="eastAsia" w:ascii="仿宋" w:hAnsi="仿宋" w:eastAsia="仿宋"/>
          <w:bCs/>
          <w:sz w:val="32"/>
          <w:szCs w:val="32"/>
        </w:rPr>
        <w:t>.社会保障和就业</w:t>
      </w:r>
      <w:r>
        <w:rPr>
          <w:rStyle w:val="23"/>
          <w:rFonts w:hint="eastAsia" w:ascii="仿宋" w:hAnsi="仿宋" w:eastAsia="仿宋"/>
          <w:bCs/>
          <w:sz w:val="32"/>
          <w:szCs w:val="32"/>
          <w:lang w:eastAsia="zh-CN"/>
        </w:rPr>
        <w:t>支出</w:t>
      </w:r>
      <w:r>
        <w:rPr>
          <w:rStyle w:val="23"/>
          <w:rFonts w:hint="eastAsia" w:ascii="仿宋" w:hAnsi="仿宋" w:eastAsia="仿宋"/>
          <w:bCs/>
          <w:sz w:val="32"/>
          <w:szCs w:val="32"/>
        </w:rPr>
        <w:t>（类）</w:t>
      </w:r>
      <w:r>
        <w:rPr>
          <w:rStyle w:val="23"/>
          <w:rFonts w:hint="eastAsia" w:ascii="仿宋" w:hAnsi="仿宋" w:eastAsia="仿宋"/>
          <w:bCs/>
          <w:sz w:val="32"/>
          <w:szCs w:val="32"/>
          <w:lang w:eastAsia="zh-CN"/>
        </w:rPr>
        <w:t>其他社会保障和就业支出</w:t>
      </w:r>
      <w:r>
        <w:rPr>
          <w:rStyle w:val="23"/>
          <w:rFonts w:hint="eastAsia" w:ascii="仿宋" w:hAnsi="仿宋" w:eastAsia="仿宋"/>
          <w:bCs/>
          <w:sz w:val="32"/>
          <w:szCs w:val="32"/>
        </w:rPr>
        <w:t>（款）</w:t>
      </w:r>
      <w:r>
        <w:rPr>
          <w:rStyle w:val="23"/>
          <w:rFonts w:hint="eastAsia" w:ascii="仿宋" w:hAnsi="仿宋" w:eastAsia="仿宋"/>
          <w:bCs/>
          <w:sz w:val="32"/>
          <w:szCs w:val="32"/>
          <w:lang w:eastAsia="zh-CN"/>
        </w:rPr>
        <w:t>其他社会保障和就业</w:t>
      </w:r>
      <w:r>
        <w:rPr>
          <w:rStyle w:val="23"/>
          <w:rFonts w:hint="eastAsia" w:ascii="仿宋" w:hAnsi="仿宋" w:eastAsia="仿宋"/>
          <w:bCs/>
          <w:sz w:val="32"/>
          <w:szCs w:val="32"/>
        </w:rPr>
        <w:t>支出（项）</w:t>
      </w:r>
      <w:r>
        <w:rPr>
          <w:rStyle w:val="23"/>
          <w:rFonts w:hint="eastAsia" w:ascii="仿宋" w:hAnsi="仿宋" w:eastAsia="仿宋"/>
          <w:bCs/>
          <w:sz w:val="32"/>
          <w:szCs w:val="32"/>
          <w:lang w:eastAsia="zh-CN"/>
        </w:rPr>
        <w:t>：</w:t>
      </w:r>
      <w:r>
        <w:rPr>
          <w:rStyle w:val="23"/>
          <w:rFonts w:hint="eastAsia" w:ascii="仿宋" w:hAnsi="仿宋" w:eastAsia="仿宋"/>
          <w:b w:val="0"/>
          <w:bCs/>
          <w:sz w:val="32"/>
          <w:szCs w:val="32"/>
        </w:rPr>
        <w:t>支出决算为</w:t>
      </w:r>
      <w:r>
        <w:rPr>
          <w:rStyle w:val="23"/>
          <w:rFonts w:hint="eastAsia" w:ascii="仿宋" w:hAnsi="仿宋" w:eastAsia="仿宋"/>
          <w:b w:val="0"/>
          <w:bCs/>
          <w:sz w:val="32"/>
          <w:szCs w:val="32"/>
          <w:lang w:val="en-US" w:eastAsia="zh-CN"/>
        </w:rPr>
        <w:t>19.15</w:t>
      </w:r>
      <w:r>
        <w:rPr>
          <w:rStyle w:val="23"/>
          <w:rFonts w:hint="eastAsia" w:ascii="仿宋" w:hAnsi="仿宋" w:eastAsia="仿宋"/>
          <w:b w:val="0"/>
          <w:bCs/>
          <w:sz w:val="32"/>
          <w:szCs w:val="32"/>
        </w:rPr>
        <w:t>万元，完成预算100</w:t>
      </w:r>
      <w:r>
        <w:rPr>
          <w:rStyle w:val="23"/>
          <w:rFonts w:ascii="仿宋" w:hAnsi="仿宋" w:eastAsia="仿宋"/>
          <w:b w:val="0"/>
          <w:bCs/>
          <w:sz w:val="32"/>
          <w:szCs w:val="32"/>
        </w:rPr>
        <w:t>%</w:t>
      </w:r>
      <w:r>
        <w:rPr>
          <w:rStyle w:val="23"/>
          <w:rFonts w:hint="eastAsia" w:ascii="仿宋" w:hAnsi="仿宋" w:eastAsia="仿宋"/>
          <w:b w:val="0"/>
          <w:bCs/>
          <w:sz w:val="32"/>
          <w:szCs w:val="32"/>
        </w:rPr>
        <w:t>，决算数等于预算数</w:t>
      </w:r>
      <w:r>
        <w:rPr>
          <w:rStyle w:val="23"/>
          <w:rFonts w:hint="eastAsia" w:ascii="仿宋" w:hAnsi="仿宋" w:eastAsia="仿宋"/>
          <w:b w:val="0"/>
          <w:bCs/>
          <w:sz w:val="32"/>
          <w:szCs w:val="32"/>
          <w:lang w:eastAsia="zh-CN"/>
        </w:rPr>
        <w:t>。</w:t>
      </w:r>
    </w:p>
    <w:p>
      <w:pPr>
        <w:spacing w:line="600" w:lineRule="exact"/>
        <w:ind w:firstLine="642" w:firstLineChars="200"/>
        <w:rPr>
          <w:rFonts w:ascii="仿宋" w:hAnsi="仿宋" w:eastAsia="仿宋"/>
          <w:b/>
          <w:color w:val="auto"/>
          <w:sz w:val="32"/>
          <w:szCs w:val="32"/>
          <w:highlight w:val="none"/>
        </w:rPr>
      </w:pPr>
      <w:r>
        <w:rPr>
          <w:rStyle w:val="23"/>
          <w:rFonts w:hint="eastAsia" w:ascii="仿宋" w:hAnsi="仿宋" w:eastAsia="仿宋"/>
          <w:bCs/>
          <w:color w:val="auto"/>
          <w:sz w:val="32"/>
          <w:szCs w:val="32"/>
          <w:highlight w:val="none"/>
          <w:lang w:val="en-US" w:eastAsia="zh-CN"/>
        </w:rPr>
        <w:t>10</w:t>
      </w:r>
      <w:r>
        <w:rPr>
          <w:rStyle w:val="23"/>
          <w:rFonts w:ascii="仿宋" w:hAnsi="仿宋" w:eastAsia="仿宋"/>
          <w:bCs/>
          <w:color w:val="auto"/>
          <w:sz w:val="32"/>
          <w:szCs w:val="32"/>
          <w:highlight w:val="none"/>
        </w:rPr>
        <w:t>.</w:t>
      </w:r>
      <w:r>
        <w:rPr>
          <w:rFonts w:hint="eastAsia" w:ascii="仿宋" w:hAnsi="仿宋" w:eastAsia="仿宋"/>
          <w:b/>
          <w:bCs/>
          <w:color w:val="auto"/>
          <w:sz w:val="32"/>
          <w:szCs w:val="32"/>
          <w:highlight w:val="none"/>
        </w:rPr>
        <w:t>卫生健康</w:t>
      </w:r>
      <w:r>
        <w:rPr>
          <w:rFonts w:hint="eastAsia" w:ascii="仿宋" w:hAnsi="仿宋" w:eastAsia="仿宋"/>
          <w:b/>
          <w:bCs/>
          <w:color w:val="auto"/>
          <w:sz w:val="32"/>
          <w:szCs w:val="32"/>
          <w:highlight w:val="none"/>
          <w:lang w:eastAsia="zh-CN"/>
        </w:rPr>
        <w:t>支出</w:t>
      </w:r>
      <w:r>
        <w:rPr>
          <w:rStyle w:val="23"/>
          <w:rFonts w:hint="eastAsia" w:ascii="仿宋" w:hAnsi="仿宋" w:eastAsia="仿宋"/>
          <w:bCs/>
          <w:color w:val="auto"/>
          <w:sz w:val="32"/>
          <w:szCs w:val="32"/>
          <w:highlight w:val="none"/>
        </w:rPr>
        <w:t>（类）</w:t>
      </w:r>
      <w:r>
        <w:rPr>
          <w:rStyle w:val="23"/>
          <w:rFonts w:hint="eastAsia" w:ascii="仿宋" w:hAnsi="仿宋" w:eastAsia="仿宋"/>
          <w:bCs/>
          <w:sz w:val="32"/>
          <w:szCs w:val="32"/>
          <w:lang w:eastAsia="zh-CN"/>
        </w:rPr>
        <w:t>公共卫生</w:t>
      </w:r>
      <w:r>
        <w:rPr>
          <w:rStyle w:val="23"/>
          <w:rFonts w:hint="eastAsia" w:ascii="仿宋" w:hAnsi="仿宋" w:eastAsia="仿宋"/>
          <w:bCs/>
          <w:sz w:val="32"/>
          <w:szCs w:val="32"/>
        </w:rPr>
        <w:t>（款）</w:t>
      </w:r>
      <w:r>
        <w:rPr>
          <w:rStyle w:val="23"/>
          <w:rFonts w:hint="eastAsia" w:ascii="仿宋" w:hAnsi="仿宋" w:eastAsia="仿宋"/>
          <w:bCs/>
          <w:sz w:val="32"/>
          <w:szCs w:val="32"/>
          <w:lang w:eastAsia="zh-CN"/>
        </w:rPr>
        <w:t>基本公共卫生服务</w:t>
      </w:r>
      <w:r>
        <w:rPr>
          <w:rStyle w:val="23"/>
          <w:rFonts w:hint="eastAsia" w:ascii="仿宋" w:hAnsi="仿宋" w:eastAsia="仿宋"/>
          <w:bCs/>
          <w:sz w:val="32"/>
          <w:szCs w:val="32"/>
        </w:rPr>
        <w:t>（项）</w:t>
      </w:r>
      <w:r>
        <w:rPr>
          <w:rStyle w:val="23"/>
          <w:rFonts w:hint="eastAsia" w:ascii="仿宋" w:hAnsi="仿宋" w:eastAsia="仿宋"/>
          <w:bCs/>
          <w:sz w:val="32"/>
          <w:szCs w:val="32"/>
          <w:lang w:eastAsia="zh-CN"/>
        </w:rPr>
        <w:t>：</w:t>
      </w:r>
      <w:r>
        <w:rPr>
          <w:rStyle w:val="23"/>
          <w:rFonts w:hint="eastAsia" w:ascii="仿宋" w:hAnsi="仿宋" w:eastAsia="仿宋"/>
          <w:b w:val="0"/>
          <w:bCs/>
          <w:color w:val="auto"/>
          <w:sz w:val="32"/>
          <w:szCs w:val="32"/>
          <w:highlight w:val="none"/>
        </w:rPr>
        <w:t>支出决算为</w:t>
      </w:r>
      <w:r>
        <w:rPr>
          <w:rStyle w:val="23"/>
          <w:rFonts w:hint="eastAsia" w:ascii="仿宋" w:hAnsi="仿宋" w:eastAsia="仿宋"/>
          <w:b w:val="0"/>
          <w:bCs/>
          <w:color w:val="auto"/>
          <w:sz w:val="32"/>
          <w:szCs w:val="32"/>
          <w:highlight w:val="none"/>
          <w:lang w:val="en-US" w:eastAsia="zh-CN"/>
        </w:rPr>
        <w:t>6.5</w:t>
      </w:r>
      <w:r>
        <w:rPr>
          <w:rStyle w:val="23"/>
          <w:rFonts w:hint="eastAsia" w:ascii="仿宋" w:hAnsi="仿宋" w:eastAsia="仿宋"/>
          <w:b w:val="0"/>
          <w:bCs/>
          <w:color w:val="auto"/>
          <w:sz w:val="32"/>
          <w:szCs w:val="32"/>
          <w:highlight w:val="none"/>
        </w:rPr>
        <w:t>万元，完成预算</w:t>
      </w:r>
      <w:r>
        <w:rPr>
          <w:rStyle w:val="23"/>
          <w:rFonts w:hint="eastAsia" w:ascii="仿宋" w:hAnsi="仿宋" w:eastAsia="仿宋"/>
          <w:b w:val="0"/>
          <w:bCs/>
          <w:color w:val="auto"/>
          <w:sz w:val="32"/>
          <w:szCs w:val="32"/>
          <w:highlight w:val="none"/>
          <w:lang w:val="en-US" w:eastAsia="zh-CN"/>
        </w:rPr>
        <w:t>100</w:t>
      </w:r>
      <w:r>
        <w:rPr>
          <w:rStyle w:val="23"/>
          <w:rFonts w:ascii="仿宋" w:hAnsi="仿宋" w:eastAsia="仿宋"/>
          <w:b w:val="0"/>
          <w:bCs/>
          <w:color w:val="auto"/>
          <w:sz w:val="32"/>
          <w:szCs w:val="32"/>
          <w:highlight w:val="none"/>
        </w:rPr>
        <w:t>%</w:t>
      </w:r>
      <w:r>
        <w:rPr>
          <w:rStyle w:val="23"/>
          <w:rFonts w:hint="eastAsia" w:ascii="仿宋" w:hAnsi="仿宋" w:eastAsia="仿宋"/>
          <w:b w:val="0"/>
          <w:bCs/>
          <w:color w:val="auto"/>
          <w:sz w:val="32"/>
          <w:szCs w:val="32"/>
          <w:highlight w:val="none"/>
        </w:rPr>
        <w:t>，决算数等于预算数。</w:t>
      </w:r>
    </w:p>
    <w:p>
      <w:pPr>
        <w:spacing w:line="600" w:lineRule="exact"/>
        <w:ind w:firstLine="642" w:firstLineChars="200"/>
        <w:rPr>
          <w:rFonts w:ascii="仿宋" w:hAnsi="仿宋" w:eastAsia="仿宋"/>
          <w:b/>
          <w:color w:val="auto"/>
          <w:sz w:val="32"/>
          <w:szCs w:val="32"/>
          <w:highlight w:val="none"/>
        </w:rPr>
      </w:pPr>
      <w:r>
        <w:rPr>
          <w:rStyle w:val="23"/>
          <w:rFonts w:hint="eastAsia" w:ascii="仿宋" w:hAnsi="仿宋" w:eastAsia="仿宋"/>
          <w:bCs/>
          <w:color w:val="auto"/>
          <w:sz w:val="32"/>
          <w:szCs w:val="32"/>
          <w:highlight w:val="none"/>
          <w:lang w:val="en-US" w:eastAsia="zh-CN"/>
        </w:rPr>
        <w:t>11.</w:t>
      </w:r>
      <w:r>
        <w:rPr>
          <w:rFonts w:hint="eastAsia" w:ascii="仿宋" w:hAnsi="仿宋" w:eastAsia="仿宋"/>
          <w:b/>
          <w:bCs/>
          <w:color w:val="auto"/>
          <w:sz w:val="32"/>
          <w:szCs w:val="32"/>
          <w:highlight w:val="none"/>
        </w:rPr>
        <w:t>卫生健康</w:t>
      </w:r>
      <w:r>
        <w:rPr>
          <w:rFonts w:hint="eastAsia" w:ascii="仿宋" w:hAnsi="仿宋" w:eastAsia="仿宋"/>
          <w:b/>
          <w:bCs/>
          <w:color w:val="auto"/>
          <w:sz w:val="32"/>
          <w:szCs w:val="32"/>
          <w:highlight w:val="none"/>
          <w:lang w:eastAsia="zh-CN"/>
        </w:rPr>
        <w:t>支出</w:t>
      </w:r>
      <w:r>
        <w:rPr>
          <w:rStyle w:val="23"/>
          <w:rFonts w:hint="eastAsia" w:ascii="仿宋" w:hAnsi="仿宋" w:eastAsia="仿宋"/>
          <w:bCs/>
          <w:color w:val="auto"/>
          <w:sz w:val="32"/>
          <w:szCs w:val="32"/>
          <w:highlight w:val="none"/>
        </w:rPr>
        <w:t>（类）</w:t>
      </w:r>
      <w:r>
        <w:rPr>
          <w:rStyle w:val="23"/>
          <w:rFonts w:hint="eastAsia" w:ascii="仿宋" w:hAnsi="仿宋" w:eastAsia="仿宋"/>
          <w:bCs/>
          <w:sz w:val="32"/>
          <w:szCs w:val="32"/>
          <w:lang w:eastAsia="zh-CN"/>
        </w:rPr>
        <w:t>公共卫生</w:t>
      </w:r>
      <w:r>
        <w:rPr>
          <w:rStyle w:val="23"/>
          <w:rFonts w:hint="eastAsia" w:ascii="仿宋" w:hAnsi="仿宋" w:eastAsia="仿宋"/>
          <w:bCs/>
          <w:sz w:val="32"/>
          <w:szCs w:val="32"/>
        </w:rPr>
        <w:t>（款）</w:t>
      </w:r>
      <w:r>
        <w:rPr>
          <w:rStyle w:val="23"/>
          <w:rFonts w:hint="eastAsia" w:ascii="仿宋" w:hAnsi="仿宋" w:eastAsia="仿宋"/>
          <w:bCs/>
          <w:sz w:val="32"/>
          <w:szCs w:val="32"/>
          <w:lang w:eastAsia="zh-CN"/>
        </w:rPr>
        <w:t>其他公共卫生支出</w:t>
      </w:r>
      <w:r>
        <w:rPr>
          <w:rStyle w:val="23"/>
          <w:rFonts w:hint="eastAsia" w:ascii="仿宋" w:hAnsi="仿宋" w:eastAsia="仿宋"/>
          <w:bCs/>
          <w:sz w:val="32"/>
          <w:szCs w:val="32"/>
        </w:rPr>
        <w:t>（项）</w:t>
      </w:r>
      <w:r>
        <w:rPr>
          <w:rStyle w:val="23"/>
          <w:rFonts w:hint="eastAsia" w:ascii="仿宋" w:hAnsi="仿宋" w:eastAsia="仿宋"/>
          <w:bCs/>
          <w:sz w:val="32"/>
          <w:szCs w:val="32"/>
          <w:lang w:eastAsia="zh-CN"/>
        </w:rPr>
        <w:t>：</w:t>
      </w:r>
      <w:r>
        <w:rPr>
          <w:rStyle w:val="23"/>
          <w:rFonts w:hint="eastAsia" w:ascii="仿宋" w:hAnsi="仿宋" w:eastAsia="仿宋"/>
          <w:b w:val="0"/>
          <w:bCs/>
          <w:color w:val="auto"/>
          <w:sz w:val="32"/>
          <w:szCs w:val="32"/>
          <w:highlight w:val="none"/>
        </w:rPr>
        <w:t>支出决算为</w:t>
      </w:r>
      <w:r>
        <w:rPr>
          <w:rStyle w:val="23"/>
          <w:rFonts w:hint="eastAsia" w:ascii="仿宋" w:hAnsi="仿宋" w:eastAsia="仿宋"/>
          <w:b w:val="0"/>
          <w:bCs/>
          <w:color w:val="auto"/>
          <w:sz w:val="32"/>
          <w:szCs w:val="32"/>
          <w:highlight w:val="none"/>
          <w:lang w:val="en-US" w:eastAsia="zh-CN"/>
        </w:rPr>
        <w:t>1.63</w:t>
      </w:r>
      <w:r>
        <w:rPr>
          <w:rStyle w:val="23"/>
          <w:rFonts w:hint="eastAsia" w:ascii="仿宋" w:hAnsi="仿宋" w:eastAsia="仿宋"/>
          <w:b w:val="0"/>
          <w:bCs/>
          <w:color w:val="auto"/>
          <w:sz w:val="32"/>
          <w:szCs w:val="32"/>
          <w:highlight w:val="none"/>
        </w:rPr>
        <w:t>万元，完成预算</w:t>
      </w:r>
      <w:r>
        <w:rPr>
          <w:rStyle w:val="23"/>
          <w:rFonts w:hint="eastAsia" w:ascii="仿宋" w:hAnsi="仿宋" w:eastAsia="仿宋"/>
          <w:b w:val="0"/>
          <w:bCs/>
          <w:color w:val="auto"/>
          <w:sz w:val="32"/>
          <w:szCs w:val="32"/>
          <w:highlight w:val="none"/>
          <w:lang w:val="en-US" w:eastAsia="zh-CN"/>
        </w:rPr>
        <w:t>100</w:t>
      </w:r>
      <w:r>
        <w:rPr>
          <w:rStyle w:val="23"/>
          <w:rFonts w:ascii="仿宋" w:hAnsi="仿宋" w:eastAsia="仿宋"/>
          <w:b w:val="0"/>
          <w:bCs/>
          <w:color w:val="auto"/>
          <w:sz w:val="32"/>
          <w:szCs w:val="32"/>
          <w:highlight w:val="none"/>
        </w:rPr>
        <w:t>%</w:t>
      </w:r>
      <w:r>
        <w:rPr>
          <w:rStyle w:val="23"/>
          <w:rFonts w:hint="eastAsia" w:ascii="仿宋" w:hAnsi="仿宋" w:eastAsia="仿宋"/>
          <w:b w:val="0"/>
          <w:bCs/>
          <w:color w:val="auto"/>
          <w:sz w:val="32"/>
          <w:szCs w:val="32"/>
          <w:highlight w:val="none"/>
        </w:rPr>
        <w:t>，决算数等于预算数。</w:t>
      </w:r>
    </w:p>
    <w:p>
      <w:pPr>
        <w:spacing w:line="600" w:lineRule="exact"/>
        <w:ind w:firstLine="642" w:firstLineChars="200"/>
        <w:rPr>
          <w:rFonts w:ascii="仿宋" w:hAnsi="仿宋" w:eastAsia="仿宋"/>
          <w:b/>
          <w:color w:val="auto"/>
          <w:sz w:val="32"/>
          <w:szCs w:val="32"/>
          <w:highlight w:val="none"/>
        </w:rPr>
      </w:pPr>
      <w:r>
        <w:rPr>
          <w:rFonts w:hint="eastAsia" w:ascii="仿宋" w:hAnsi="仿宋" w:eastAsia="仿宋"/>
          <w:b/>
          <w:bCs/>
          <w:color w:val="auto"/>
          <w:sz w:val="32"/>
          <w:szCs w:val="32"/>
          <w:highlight w:val="none"/>
          <w:lang w:val="en-US" w:eastAsia="zh-CN"/>
        </w:rPr>
        <w:t>12.</w:t>
      </w:r>
      <w:r>
        <w:rPr>
          <w:rFonts w:hint="eastAsia" w:ascii="仿宋" w:hAnsi="仿宋" w:eastAsia="仿宋"/>
          <w:b/>
          <w:bCs/>
          <w:color w:val="auto"/>
          <w:sz w:val="32"/>
          <w:szCs w:val="32"/>
          <w:highlight w:val="none"/>
        </w:rPr>
        <w:t>卫生健康</w:t>
      </w:r>
      <w:r>
        <w:rPr>
          <w:rFonts w:hint="eastAsia" w:ascii="仿宋" w:hAnsi="仿宋" w:eastAsia="仿宋"/>
          <w:b/>
          <w:bCs/>
          <w:color w:val="auto"/>
          <w:sz w:val="32"/>
          <w:szCs w:val="32"/>
          <w:highlight w:val="none"/>
          <w:lang w:eastAsia="zh-CN"/>
        </w:rPr>
        <w:t>支出</w:t>
      </w:r>
      <w:r>
        <w:rPr>
          <w:rStyle w:val="23"/>
          <w:rFonts w:hint="eastAsia" w:ascii="仿宋" w:hAnsi="仿宋" w:eastAsia="仿宋"/>
          <w:bCs/>
          <w:color w:val="auto"/>
          <w:sz w:val="32"/>
          <w:szCs w:val="32"/>
          <w:highlight w:val="none"/>
        </w:rPr>
        <w:t>（类）</w:t>
      </w:r>
      <w:r>
        <w:rPr>
          <w:rStyle w:val="23"/>
          <w:rFonts w:hint="eastAsia" w:ascii="仿宋" w:hAnsi="仿宋" w:eastAsia="仿宋"/>
          <w:bCs/>
          <w:sz w:val="32"/>
          <w:szCs w:val="32"/>
        </w:rPr>
        <w:t>行政事业单位医疗（款）事业医疗（项）</w:t>
      </w:r>
      <w:r>
        <w:rPr>
          <w:rStyle w:val="23"/>
          <w:rFonts w:hint="eastAsia" w:ascii="仿宋" w:hAnsi="仿宋" w:eastAsia="仿宋"/>
          <w:bCs/>
          <w:sz w:val="32"/>
          <w:szCs w:val="32"/>
          <w:lang w:eastAsia="zh-CN"/>
        </w:rPr>
        <w:t>：</w:t>
      </w:r>
      <w:r>
        <w:rPr>
          <w:rStyle w:val="23"/>
          <w:rFonts w:hint="eastAsia" w:ascii="仿宋" w:hAnsi="仿宋" w:eastAsia="仿宋"/>
          <w:b w:val="0"/>
          <w:bCs/>
          <w:color w:val="auto"/>
          <w:sz w:val="32"/>
          <w:szCs w:val="32"/>
          <w:highlight w:val="none"/>
        </w:rPr>
        <w:t>支出决算为</w:t>
      </w:r>
      <w:r>
        <w:rPr>
          <w:rStyle w:val="23"/>
          <w:rFonts w:hint="eastAsia" w:ascii="仿宋" w:hAnsi="仿宋" w:eastAsia="仿宋"/>
          <w:b w:val="0"/>
          <w:bCs/>
          <w:color w:val="auto"/>
          <w:sz w:val="32"/>
          <w:szCs w:val="32"/>
          <w:highlight w:val="none"/>
          <w:lang w:val="en-US" w:eastAsia="zh-CN"/>
        </w:rPr>
        <w:t>93.38</w:t>
      </w:r>
      <w:r>
        <w:rPr>
          <w:rStyle w:val="23"/>
          <w:rFonts w:hint="eastAsia" w:ascii="仿宋" w:hAnsi="仿宋" w:eastAsia="仿宋"/>
          <w:b w:val="0"/>
          <w:bCs/>
          <w:color w:val="auto"/>
          <w:sz w:val="32"/>
          <w:szCs w:val="32"/>
          <w:highlight w:val="none"/>
        </w:rPr>
        <w:t>元，完成预算</w:t>
      </w:r>
      <w:r>
        <w:rPr>
          <w:rStyle w:val="23"/>
          <w:rFonts w:hint="eastAsia" w:ascii="仿宋" w:hAnsi="仿宋" w:eastAsia="仿宋"/>
          <w:b w:val="0"/>
          <w:bCs/>
          <w:color w:val="auto"/>
          <w:sz w:val="32"/>
          <w:szCs w:val="32"/>
          <w:highlight w:val="none"/>
          <w:lang w:val="en-US" w:eastAsia="zh-CN"/>
        </w:rPr>
        <w:t>100</w:t>
      </w:r>
      <w:r>
        <w:rPr>
          <w:rStyle w:val="23"/>
          <w:rFonts w:ascii="仿宋" w:hAnsi="仿宋" w:eastAsia="仿宋"/>
          <w:b w:val="0"/>
          <w:bCs/>
          <w:color w:val="auto"/>
          <w:sz w:val="32"/>
          <w:szCs w:val="32"/>
          <w:highlight w:val="none"/>
        </w:rPr>
        <w:t>%</w:t>
      </w:r>
      <w:r>
        <w:rPr>
          <w:rStyle w:val="23"/>
          <w:rFonts w:hint="eastAsia" w:ascii="仿宋" w:hAnsi="仿宋" w:eastAsia="仿宋"/>
          <w:b w:val="0"/>
          <w:bCs/>
          <w:color w:val="auto"/>
          <w:sz w:val="32"/>
          <w:szCs w:val="32"/>
          <w:highlight w:val="none"/>
        </w:rPr>
        <w:t>，决算数等于预算数。</w:t>
      </w:r>
    </w:p>
    <w:p>
      <w:pPr>
        <w:spacing w:line="600" w:lineRule="exact"/>
        <w:ind w:firstLine="642" w:firstLineChars="200"/>
        <w:rPr>
          <w:rFonts w:ascii="仿宋" w:hAnsi="仿宋" w:eastAsia="仿宋"/>
          <w:b/>
          <w:sz w:val="32"/>
          <w:szCs w:val="32"/>
        </w:rPr>
      </w:pPr>
      <w:r>
        <w:rPr>
          <w:rStyle w:val="23"/>
          <w:rFonts w:hint="eastAsia" w:ascii="仿宋" w:hAnsi="仿宋" w:eastAsia="仿宋"/>
          <w:bCs/>
          <w:sz w:val="32"/>
          <w:szCs w:val="32"/>
          <w:lang w:val="en-US" w:eastAsia="zh-CN"/>
        </w:rPr>
        <w:t>13.</w:t>
      </w:r>
      <w:r>
        <w:rPr>
          <w:rStyle w:val="23"/>
          <w:rFonts w:hint="eastAsia" w:ascii="仿宋" w:hAnsi="仿宋" w:eastAsia="仿宋"/>
          <w:bCs/>
          <w:sz w:val="32"/>
          <w:szCs w:val="32"/>
        </w:rPr>
        <w:t>住房保障支出（类）住房改革支出（款）住房公积金（项）</w:t>
      </w:r>
      <w:r>
        <w:rPr>
          <w:rStyle w:val="23"/>
          <w:rFonts w:hint="eastAsia" w:ascii="仿宋" w:hAnsi="仿宋" w:eastAsia="仿宋"/>
          <w:bCs/>
          <w:sz w:val="32"/>
          <w:szCs w:val="32"/>
          <w:lang w:eastAsia="zh-CN"/>
        </w:rPr>
        <w:t>：</w:t>
      </w:r>
      <w:r>
        <w:rPr>
          <w:rStyle w:val="23"/>
          <w:rFonts w:hint="eastAsia" w:ascii="仿宋" w:hAnsi="仿宋" w:eastAsia="仿宋"/>
          <w:b w:val="0"/>
          <w:bCs/>
          <w:sz w:val="32"/>
          <w:szCs w:val="32"/>
        </w:rPr>
        <w:t>支出决算为</w:t>
      </w:r>
      <w:r>
        <w:rPr>
          <w:rStyle w:val="23"/>
          <w:rFonts w:hint="eastAsia" w:ascii="仿宋" w:hAnsi="仿宋" w:eastAsia="仿宋"/>
          <w:b w:val="0"/>
          <w:bCs/>
          <w:sz w:val="32"/>
          <w:szCs w:val="32"/>
          <w:lang w:val="en-US" w:eastAsia="zh-CN"/>
        </w:rPr>
        <w:t>205.61</w:t>
      </w:r>
      <w:r>
        <w:rPr>
          <w:rStyle w:val="23"/>
          <w:rFonts w:hint="eastAsia" w:ascii="仿宋" w:hAnsi="仿宋" w:eastAsia="仿宋"/>
          <w:b w:val="0"/>
          <w:bCs/>
          <w:sz w:val="32"/>
          <w:szCs w:val="32"/>
        </w:rPr>
        <w:t>万元，完成预算100</w:t>
      </w:r>
      <w:r>
        <w:rPr>
          <w:rStyle w:val="23"/>
          <w:rFonts w:ascii="仿宋" w:hAnsi="仿宋" w:eastAsia="仿宋"/>
          <w:b w:val="0"/>
          <w:bCs/>
          <w:sz w:val="32"/>
          <w:szCs w:val="32"/>
        </w:rPr>
        <w:t>%</w:t>
      </w:r>
      <w:r>
        <w:rPr>
          <w:rStyle w:val="23"/>
          <w:rFonts w:hint="eastAsia" w:ascii="仿宋" w:hAnsi="仿宋" w:eastAsia="仿宋"/>
          <w:b w:val="0"/>
          <w:bCs/>
          <w:sz w:val="32"/>
          <w:szCs w:val="32"/>
        </w:rPr>
        <w:t>，决算数等于预算数。</w:t>
      </w:r>
    </w:p>
    <w:p>
      <w:pPr>
        <w:tabs>
          <w:tab w:val="right" w:pos="8306"/>
        </w:tabs>
        <w:spacing w:line="600" w:lineRule="exact"/>
        <w:ind w:firstLine="640"/>
        <w:outlineLvl w:val="1"/>
        <w:rPr>
          <w:rStyle w:val="35"/>
        </w:rPr>
      </w:pPr>
      <w:bookmarkStart w:id="51" w:name="_Toc24318"/>
      <w:bookmarkStart w:id="52" w:name="_Toc15377214"/>
      <w:bookmarkStart w:id="53"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5"/>
          <w:rFonts w:hint="eastAsia" w:ascii="黑体" w:hAnsi="黑体" w:eastAsia="黑体"/>
          <w:b w:val="0"/>
        </w:rPr>
        <w:t>般公共预算财政拨款基本支出决算情况说明</w:t>
      </w:r>
      <w:bookmarkEnd w:id="51"/>
      <w:bookmarkEnd w:id="52"/>
      <w:bookmarkEnd w:id="53"/>
      <w:r>
        <w:rPr>
          <w:rStyle w:val="35"/>
          <w:rFonts w:ascii="黑体" w:hAnsi="黑体" w:eastAsia="黑体"/>
          <w:b w:val="0"/>
        </w:rPr>
        <w:tab/>
      </w:r>
    </w:p>
    <w:p>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2918.03</w:t>
      </w:r>
      <w:r>
        <w:rPr>
          <w:rFonts w:hint="eastAsia" w:ascii="仿宋" w:hAnsi="仿宋" w:eastAsia="仿宋"/>
          <w:sz w:val="32"/>
          <w:szCs w:val="32"/>
        </w:rPr>
        <w:t>万元，其中：</w:t>
      </w:r>
    </w:p>
    <w:p>
      <w:pPr>
        <w:spacing w:line="600" w:lineRule="exact"/>
        <w:ind w:firstLine="645"/>
        <w:rPr>
          <w:rFonts w:ascii="仿宋" w:hAnsi="仿宋" w:eastAsia="仿宋"/>
          <w:b/>
          <w:sz w:val="32"/>
          <w:szCs w:val="32"/>
        </w:rPr>
      </w:pPr>
      <w:r>
        <w:rPr>
          <w:rFonts w:hint="eastAsia" w:ascii="仿宋" w:hAnsi="仿宋" w:eastAsia="仿宋"/>
          <w:sz w:val="32"/>
          <w:szCs w:val="32"/>
        </w:rPr>
        <w:t>人员经费</w:t>
      </w:r>
      <w:r>
        <w:rPr>
          <w:rFonts w:ascii="仿宋" w:hAnsi="仿宋" w:eastAsia="仿宋"/>
          <w:b/>
          <w:sz w:val="32"/>
          <w:szCs w:val="32"/>
        </w:rPr>
        <w:t>2605.88</w:t>
      </w:r>
      <w:r>
        <w:rPr>
          <w:rFonts w:hint="eastAsia" w:ascii="仿宋" w:hAnsi="仿宋" w:eastAsia="仿宋"/>
          <w:sz w:val="32"/>
          <w:szCs w:val="32"/>
        </w:rPr>
        <w:t>万元，主要包括：基本工资、津贴补贴、奖金、绩效工资、机关事业单位基本养老保险缴费、职业年金缴费、</w:t>
      </w:r>
      <w:r>
        <w:rPr>
          <w:rFonts w:hint="eastAsia" w:ascii="仿宋" w:hAnsi="仿宋" w:eastAsia="仿宋"/>
          <w:sz w:val="32"/>
          <w:szCs w:val="32"/>
          <w:lang w:eastAsia="zh-CN"/>
        </w:rPr>
        <w:t>职工基本医疗保险缴费、</w:t>
      </w:r>
      <w:r>
        <w:rPr>
          <w:rFonts w:hint="eastAsia" w:ascii="仿宋" w:hAnsi="仿宋" w:eastAsia="仿宋"/>
          <w:sz w:val="32"/>
          <w:szCs w:val="32"/>
        </w:rPr>
        <w:t>其他社会保障缴费、住房公积金、生活补助、</w:t>
      </w:r>
      <w:r>
        <w:rPr>
          <w:rFonts w:hint="eastAsia" w:ascii="仿宋" w:hAnsi="仿宋" w:eastAsia="仿宋"/>
          <w:sz w:val="32"/>
          <w:szCs w:val="32"/>
          <w:lang w:eastAsia="zh-CN"/>
        </w:rPr>
        <w:t>助学金</w:t>
      </w:r>
      <w:r>
        <w:rPr>
          <w:rFonts w:hint="eastAsia" w:ascii="仿宋" w:hAnsi="仿宋" w:eastAsia="仿宋"/>
          <w:sz w:val="32"/>
          <w:szCs w:val="32"/>
        </w:rPr>
        <w:t>、其他对个人和家庭的补助支出。</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b/>
          <w:sz w:val="32"/>
          <w:szCs w:val="32"/>
        </w:rPr>
        <w:t>312.15</w:t>
      </w:r>
      <w:r>
        <w:rPr>
          <w:rFonts w:hint="eastAsia" w:ascii="仿宋" w:hAnsi="仿宋" w:eastAsia="仿宋"/>
          <w:sz w:val="32"/>
          <w:szCs w:val="32"/>
        </w:rPr>
        <w:t>万元，主要包括：办公费、印刷费、咨询费、水费、电费、邮电费、物业管理费、差旅费、维修（护）费、培训费、</w:t>
      </w:r>
      <w:r>
        <w:rPr>
          <w:rFonts w:hint="eastAsia" w:ascii="仿宋" w:hAnsi="仿宋" w:eastAsia="仿宋"/>
          <w:sz w:val="32"/>
          <w:szCs w:val="32"/>
          <w:lang w:eastAsia="zh-CN"/>
        </w:rPr>
        <w:t>专用材料费、</w:t>
      </w:r>
      <w:r>
        <w:rPr>
          <w:rFonts w:hint="eastAsia" w:ascii="仿宋" w:hAnsi="仿宋" w:eastAsia="仿宋"/>
          <w:sz w:val="32"/>
          <w:szCs w:val="32"/>
        </w:rPr>
        <w:t>劳务费、工会经费、福利费、其他交通费</w:t>
      </w:r>
      <w:r>
        <w:rPr>
          <w:rFonts w:hint="eastAsia" w:ascii="仿宋" w:hAnsi="仿宋" w:eastAsia="仿宋"/>
          <w:sz w:val="32"/>
          <w:szCs w:val="32"/>
          <w:lang w:val="en-US" w:eastAsia="zh-CN"/>
        </w:rPr>
        <w:t>用</w:t>
      </w:r>
      <w:r>
        <w:rPr>
          <w:rFonts w:hint="eastAsia" w:ascii="仿宋" w:hAnsi="仿宋" w:eastAsia="仿宋"/>
          <w:sz w:val="32"/>
          <w:szCs w:val="32"/>
        </w:rPr>
        <w:t>、其他商品和服务支出、办公设备购置、专用设备购置、其他资本性支出。</w:t>
      </w:r>
    </w:p>
    <w:p>
      <w:pPr>
        <w:spacing w:line="600" w:lineRule="exact"/>
        <w:ind w:firstLine="640"/>
        <w:outlineLvl w:val="1"/>
        <w:rPr>
          <w:rStyle w:val="35"/>
          <w:rFonts w:ascii="黑体" w:hAnsi="黑体" w:eastAsia="黑体"/>
          <w:b w:val="0"/>
        </w:rPr>
      </w:pPr>
      <w:bookmarkStart w:id="54" w:name="_Toc15377215"/>
      <w:bookmarkStart w:id="55" w:name="_Toc6400"/>
      <w:bookmarkStart w:id="56" w:name="_Toc15396609"/>
      <w:r>
        <w:rPr>
          <w:rFonts w:hint="eastAsia" w:ascii="黑体" w:eastAsia="黑体"/>
          <w:sz w:val="32"/>
          <w:szCs w:val="32"/>
        </w:rPr>
        <w:t>七、</w:t>
      </w:r>
      <w:r>
        <w:rPr>
          <w:rStyle w:val="35"/>
          <w:rFonts w:hint="eastAsia" w:ascii="黑体" w:hAnsi="黑体" w:eastAsia="黑体"/>
          <w:b w:val="0"/>
        </w:rPr>
        <w:t>财政拨款</w:t>
      </w:r>
      <w:r>
        <w:rPr>
          <w:rStyle w:val="35"/>
          <w:rFonts w:hint="eastAsia" w:ascii="黑体" w:hAnsi="黑体" w:eastAsia="黑体"/>
        </w:rPr>
        <w:t>“</w:t>
      </w:r>
      <w:r>
        <w:rPr>
          <w:rStyle w:val="35"/>
          <w:rFonts w:hint="eastAsia" w:ascii="黑体" w:hAnsi="黑体" w:eastAsia="黑体"/>
          <w:b w:val="0"/>
        </w:rPr>
        <w:t>三公”经费支出决算情况说明</w:t>
      </w:r>
      <w:bookmarkEnd w:id="54"/>
      <w:bookmarkEnd w:id="55"/>
      <w:bookmarkEnd w:id="56"/>
    </w:p>
    <w:p>
      <w:pPr>
        <w:spacing w:line="600" w:lineRule="exact"/>
        <w:ind w:firstLine="640"/>
        <w:outlineLvl w:val="2"/>
        <w:rPr>
          <w:rFonts w:ascii="仿宋" w:hAnsi="仿宋" w:eastAsia="仿宋"/>
          <w:b/>
          <w:sz w:val="32"/>
          <w:szCs w:val="32"/>
        </w:rPr>
      </w:pPr>
      <w:bookmarkStart w:id="57" w:name="_Toc21990"/>
      <w:bookmarkStart w:id="58" w:name="_Toc15377216"/>
      <w:r>
        <w:rPr>
          <w:rFonts w:hint="eastAsia" w:ascii="仿宋" w:hAnsi="仿宋" w:eastAsia="仿宋"/>
          <w:b/>
          <w:sz w:val="32"/>
          <w:szCs w:val="32"/>
        </w:rPr>
        <w:t>（一）“三公”经费财政拨款支出决算总体情况说明</w:t>
      </w:r>
      <w:bookmarkEnd w:id="57"/>
      <w:bookmarkEnd w:id="58"/>
    </w:p>
    <w:p>
      <w:pPr>
        <w:spacing w:line="600" w:lineRule="exact"/>
        <w:ind w:firstLine="640"/>
        <w:rPr>
          <w:rFonts w:ascii="仿宋" w:hAnsi="仿宋" w:eastAsia="仿宋"/>
          <w:color w:val="auto"/>
          <w:sz w:val="32"/>
          <w:szCs w:val="32"/>
          <w:highlight w:val="none"/>
        </w:rPr>
      </w:pPr>
      <w:r>
        <w:rPr>
          <w:rFonts w:hint="eastAsia" w:ascii="仿宋" w:hAnsi="仿宋" w:eastAsia="仿宋"/>
          <w:sz w:val="32"/>
          <w:szCs w:val="32"/>
        </w:rPr>
        <w:t>2023年度“三公”经费财政拨款支出决算为</w:t>
      </w:r>
      <w:r>
        <w:rPr>
          <w:rFonts w:ascii="仿宋" w:hAnsi="仿宋" w:eastAsia="仿宋"/>
          <w:b/>
          <w:sz w:val="32"/>
          <w:szCs w:val="32"/>
        </w:rPr>
        <w:t>0</w:t>
      </w:r>
      <w:r>
        <w:rPr>
          <w:rFonts w:hint="eastAsia" w:ascii="仿宋" w:hAnsi="仿宋" w:eastAsia="仿宋"/>
          <w:sz w:val="32"/>
          <w:szCs w:val="32"/>
        </w:rPr>
        <w:t>万元，</w:t>
      </w:r>
      <w:r>
        <w:rPr>
          <w:rFonts w:hint="eastAsia" w:ascii="仿宋_GB2312" w:eastAsia="仿宋_GB2312"/>
          <w:color w:val="auto"/>
          <w:sz w:val="32"/>
          <w:szCs w:val="32"/>
          <w:highlight w:val="none"/>
          <w:lang w:val="en-US" w:eastAsia="zh-CN"/>
        </w:rPr>
        <w:t>年初未安排预算</w:t>
      </w:r>
      <w:r>
        <w:rPr>
          <w:rFonts w:hint="eastAsia" w:ascii="仿宋" w:hAnsi="仿宋" w:eastAsia="仿宋"/>
          <w:color w:val="auto"/>
          <w:sz w:val="32"/>
          <w:szCs w:val="32"/>
          <w:highlight w:val="none"/>
        </w:rPr>
        <w:t>，决算数与预算数持平</w:t>
      </w:r>
      <w:r>
        <w:rPr>
          <w:rFonts w:hint="eastAsia" w:ascii="仿宋" w:hAnsi="仿宋" w:eastAsia="仿宋"/>
          <w:color w:val="auto"/>
          <w:sz w:val="32"/>
          <w:szCs w:val="32"/>
          <w:highlight w:val="none"/>
          <w:lang w:eastAsia="zh-CN"/>
        </w:rPr>
        <w:t>，较上年无变化</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sz w:val="32"/>
          <w:szCs w:val="32"/>
        </w:rPr>
      </w:pPr>
      <w:bookmarkStart w:id="59" w:name="_Toc15377217"/>
      <w:bookmarkStart w:id="60" w:name="_Toc31078"/>
      <w:r>
        <w:rPr>
          <w:rFonts w:hint="eastAsia" w:ascii="仿宋" w:hAnsi="仿宋" w:eastAsia="仿宋"/>
          <w:b/>
          <w:sz w:val="32"/>
          <w:szCs w:val="32"/>
        </w:rPr>
        <w:t>（二）“三公”经费财政拨款支出决算具体情况说明</w:t>
      </w:r>
      <w:bookmarkEnd w:id="59"/>
      <w:bookmarkEnd w:id="60"/>
    </w:p>
    <w:p>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p>
    <w:p>
      <w:pPr>
        <w:numPr>
          <w:ilvl w:val="0"/>
          <w:numId w:val="3"/>
        </w:numPr>
        <w:spacing w:line="600" w:lineRule="exact"/>
        <w:ind w:firstLine="640"/>
        <w:rPr>
          <w:rFonts w:hint="eastAsia" w:ascii="仿宋_GB2312" w:eastAsia="仿宋_GB2312"/>
          <w:color w:val="auto"/>
          <w:sz w:val="32"/>
          <w:szCs w:val="32"/>
          <w:highlight w:val="none"/>
          <w:lang w:eastAsia="zh-CN"/>
        </w:rPr>
      </w:pPr>
      <w:bookmarkStart w:id="61" w:name="_Toc15377218"/>
      <w:bookmarkStart w:id="62" w:name="_Toc15396610"/>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color w:val="auto"/>
          <w:sz w:val="32"/>
          <w:szCs w:val="32"/>
          <w:highlight w:val="none"/>
          <w:lang w:val="en-US" w:eastAsia="zh-CN"/>
        </w:rPr>
        <w:t>年初未安排预算</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人。因公出国（境）支出决算</w:t>
      </w:r>
      <w:r>
        <w:rPr>
          <w:rFonts w:hint="eastAsia" w:ascii="仿宋_GB2312" w:eastAsia="仿宋_GB2312"/>
          <w:color w:val="auto"/>
          <w:sz w:val="32"/>
          <w:szCs w:val="32"/>
          <w:highlight w:val="none"/>
          <w:lang w:eastAsia="zh-CN"/>
        </w:rPr>
        <w:t>较</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无变化。</w:t>
      </w:r>
    </w:p>
    <w:p>
      <w:pPr>
        <w:spacing w:line="600" w:lineRule="exact"/>
        <w:ind w:firstLine="640"/>
        <w:rPr>
          <w:rFonts w:ascii="仿宋_GB2312" w:eastAsia="仿宋_GB2312"/>
          <w:b/>
          <w:color w:val="auto"/>
          <w:sz w:val="32"/>
          <w:szCs w:val="32"/>
          <w:highlight w:val="none"/>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color w:val="auto"/>
          <w:sz w:val="32"/>
          <w:szCs w:val="32"/>
          <w:highlight w:val="none"/>
          <w:lang w:val="en-US" w:eastAsia="zh-CN"/>
        </w:rPr>
        <w:t>年初未安排预算</w:t>
      </w:r>
      <w:r>
        <w:rPr>
          <w:rStyle w:val="2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w:t>
      </w:r>
      <w:r>
        <w:rPr>
          <w:rFonts w:hint="eastAsia" w:ascii="仿宋_GB2312" w:eastAsia="仿宋_GB2312"/>
          <w:color w:val="auto"/>
          <w:sz w:val="32"/>
          <w:szCs w:val="32"/>
          <w:highlight w:val="none"/>
          <w:lang w:eastAsia="zh-CN"/>
        </w:rPr>
        <w:t>较</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无变化</w:t>
      </w:r>
      <w:r>
        <w:rPr>
          <w:rFonts w:hint="eastAsia" w:ascii="仿宋_GB2312" w:eastAsia="仿宋_GB2312"/>
          <w:color w:val="auto"/>
          <w:sz w:val="32"/>
          <w:szCs w:val="32"/>
          <w:highlight w:val="none"/>
        </w:rPr>
        <w:t>。</w:t>
      </w:r>
    </w:p>
    <w:p>
      <w:pPr>
        <w:spacing w:line="600" w:lineRule="exact"/>
        <w:ind w:firstLine="640"/>
        <w:rPr>
          <w:rFonts w:ascii="仿宋_GB2312" w:eastAsia="仿宋_GB2312"/>
          <w:b/>
          <w:sz w:val="32"/>
          <w:szCs w:val="32"/>
        </w:rPr>
      </w:pP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color w:val="auto"/>
          <w:sz w:val="32"/>
          <w:szCs w:val="32"/>
          <w:highlight w:val="none"/>
        </w:rPr>
        <w:t>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rPr>
          <w:rFonts w:ascii="仿宋_GB2312" w:eastAsia="仿宋_GB2312"/>
          <w:b/>
          <w:color w:val="auto"/>
          <w:sz w:val="32"/>
          <w:szCs w:val="32"/>
          <w:highlight w:val="none"/>
        </w:rPr>
      </w:pPr>
      <w:r>
        <w:rPr>
          <w:rFonts w:ascii="仿宋_GB2312" w:eastAsia="仿宋_GB2312"/>
          <w:b/>
          <w:sz w:val="32"/>
          <w:szCs w:val="32"/>
        </w:rPr>
        <w:t>3.</w:t>
      </w: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color w:val="auto"/>
          <w:sz w:val="32"/>
          <w:szCs w:val="32"/>
          <w:highlight w:val="none"/>
          <w:lang w:val="en-US" w:eastAsia="zh-CN"/>
        </w:rPr>
        <w:t>年初未安排预算</w:t>
      </w:r>
      <w:r>
        <w:rPr>
          <w:rStyle w:val="2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w:t>
      </w:r>
      <w:r>
        <w:rPr>
          <w:rFonts w:hint="eastAsia" w:ascii="仿宋_GB2312" w:eastAsia="仿宋_GB2312"/>
          <w:color w:val="auto"/>
          <w:sz w:val="32"/>
          <w:szCs w:val="32"/>
          <w:highlight w:val="none"/>
          <w:lang w:eastAsia="zh-CN"/>
        </w:rPr>
        <w:t>较</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无变化</w:t>
      </w:r>
      <w:r>
        <w:rPr>
          <w:rFonts w:hint="eastAsia" w:ascii="仿宋_GB2312" w:eastAsia="仿宋_GB2312"/>
          <w:color w:val="auto"/>
          <w:sz w:val="32"/>
          <w:szCs w:val="32"/>
          <w:highlight w:val="none"/>
        </w:rPr>
        <w:t>。</w:t>
      </w:r>
    </w:p>
    <w:p>
      <w:pPr>
        <w:spacing w:line="600" w:lineRule="exact"/>
        <w:ind w:firstLine="640"/>
        <w:rPr>
          <w:rFonts w:ascii="仿宋_GB2312" w:eastAsia="仿宋_GB2312"/>
          <w:sz w:val="32"/>
          <w:szCs w:val="32"/>
        </w:rPr>
      </w:pPr>
      <w:r>
        <w:rPr>
          <w:rFonts w:hint="eastAsia" w:ascii="仿宋_GB2312" w:eastAsia="仿宋_GB2312"/>
          <w:sz w:val="32"/>
          <w:szCs w:val="32"/>
        </w:rPr>
        <w:t>其中：</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b/>
          <w:sz w:val="32"/>
          <w:szCs w:val="32"/>
        </w:rPr>
        <w:t>0</w:t>
      </w:r>
      <w:r>
        <w:rPr>
          <w:rFonts w:hint="eastAsia" w:ascii="仿宋_GB2312" w:eastAsia="仿宋_GB2312"/>
          <w:sz w:val="32"/>
          <w:szCs w:val="32"/>
        </w:rPr>
        <w:t>万元。</w:t>
      </w:r>
    </w:p>
    <w:p>
      <w:pPr>
        <w:spacing w:line="600" w:lineRule="exact"/>
        <w:ind w:firstLine="642" w:firstLineChars="200"/>
        <w:rPr>
          <w:rFonts w:ascii="黑体" w:eastAsia="黑体"/>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w:t>
      </w:r>
    </w:p>
    <w:p>
      <w:pPr>
        <w:spacing w:line="600" w:lineRule="exact"/>
        <w:ind w:firstLine="640"/>
        <w:outlineLvl w:val="1"/>
        <w:rPr>
          <w:rStyle w:val="35"/>
          <w:rFonts w:ascii="黑体" w:hAnsi="黑体" w:eastAsia="黑体"/>
        </w:rPr>
      </w:pPr>
      <w:bookmarkStart w:id="63" w:name="_Toc28543"/>
      <w:r>
        <w:rPr>
          <w:rFonts w:hint="eastAsia" w:ascii="黑体" w:eastAsia="黑体"/>
          <w:sz w:val="32"/>
          <w:szCs w:val="32"/>
        </w:rPr>
        <w:t>八、</w:t>
      </w:r>
      <w:r>
        <w:rPr>
          <w:rStyle w:val="35"/>
          <w:rFonts w:hint="eastAsia" w:ascii="黑体" w:hAnsi="黑体" w:eastAsia="黑体"/>
          <w:b w:val="0"/>
        </w:rPr>
        <w:t>政府性基金预算支出决算情况说明</w:t>
      </w:r>
      <w:bookmarkEnd w:id="61"/>
      <w:bookmarkEnd w:id="62"/>
      <w:bookmarkEnd w:id="63"/>
    </w:p>
    <w:p>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0</w:t>
      </w:r>
      <w:r>
        <w:rPr>
          <w:rFonts w:hint="eastAsia" w:ascii="仿宋_GB2312" w:eastAsia="仿宋_GB2312"/>
          <w:sz w:val="32"/>
          <w:szCs w:val="32"/>
        </w:rPr>
        <w:t>万元。</w:t>
      </w:r>
    </w:p>
    <w:p>
      <w:pPr>
        <w:spacing w:line="600" w:lineRule="exact"/>
        <w:ind w:firstLine="640"/>
        <w:rPr>
          <w:rFonts w:ascii="仿宋_GB2312" w:eastAsia="仿宋_GB2312"/>
          <w:sz w:val="32"/>
          <w:szCs w:val="32"/>
        </w:rPr>
      </w:pPr>
    </w:p>
    <w:p>
      <w:pPr>
        <w:numPr>
          <w:ilvl w:val="0"/>
          <w:numId w:val="4"/>
        </w:numPr>
        <w:spacing w:line="600" w:lineRule="exact"/>
        <w:ind w:firstLine="640"/>
        <w:outlineLvl w:val="1"/>
        <w:rPr>
          <w:rStyle w:val="35"/>
          <w:rFonts w:ascii="黑体" w:hAnsi="黑体" w:eastAsia="黑体"/>
          <w:b w:val="0"/>
        </w:rPr>
      </w:pPr>
      <w:bookmarkStart w:id="64" w:name="_Toc24022"/>
      <w:bookmarkStart w:id="65" w:name="_Toc15396611"/>
      <w:bookmarkStart w:id="66" w:name="_Toc15377219"/>
      <w:r>
        <w:rPr>
          <w:rStyle w:val="35"/>
          <w:rFonts w:hint="eastAsia" w:ascii="黑体" w:hAnsi="黑体" w:eastAsia="黑体"/>
          <w:b w:val="0"/>
        </w:rPr>
        <w:t>国有资本经营预算支出决算情况说明</w:t>
      </w:r>
      <w:bookmarkEnd w:id="64"/>
      <w:bookmarkEnd w:id="65"/>
      <w:bookmarkEnd w:id="66"/>
    </w:p>
    <w:p>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pPr>
        <w:spacing w:line="580" w:lineRule="exact"/>
        <w:jc w:val="center"/>
        <w:rPr>
          <w:rFonts w:ascii="方正小标宋简体" w:hAnsi="方正小标宋简体" w:eastAsia="方正小标宋简体" w:cs="方正小标宋简体"/>
          <w:sz w:val="44"/>
          <w:szCs w:val="44"/>
        </w:rPr>
      </w:pPr>
    </w:p>
    <w:p>
      <w:pPr>
        <w:numPr>
          <w:ilvl w:val="0"/>
          <w:numId w:val="4"/>
        </w:numPr>
        <w:spacing w:line="600" w:lineRule="exact"/>
        <w:ind w:firstLine="640"/>
        <w:outlineLvl w:val="1"/>
        <w:rPr>
          <w:rStyle w:val="35"/>
          <w:rFonts w:ascii="黑体" w:hAnsi="黑体" w:eastAsia="黑体"/>
          <w:b w:val="0"/>
        </w:rPr>
      </w:pPr>
      <w:bookmarkStart w:id="67" w:name="_Toc2457"/>
      <w:bookmarkStart w:id="68" w:name="_Toc15377221"/>
      <w:bookmarkStart w:id="69" w:name="_Toc15396612"/>
      <w:r>
        <w:rPr>
          <w:rStyle w:val="35"/>
          <w:rFonts w:hint="eastAsia" w:ascii="黑体" w:hAnsi="黑体" w:eastAsia="黑体"/>
          <w:b w:val="0"/>
        </w:rPr>
        <w:t>其他重要事项的情况说明</w:t>
      </w:r>
      <w:bookmarkEnd w:id="67"/>
      <w:bookmarkEnd w:id="68"/>
      <w:bookmarkEnd w:id="69"/>
    </w:p>
    <w:p>
      <w:pPr>
        <w:spacing w:line="600" w:lineRule="exact"/>
        <w:ind w:firstLine="642" w:firstLineChars="200"/>
        <w:outlineLvl w:val="2"/>
        <w:rPr>
          <w:rFonts w:ascii="仿宋" w:hAnsi="仿宋" w:eastAsia="仿宋"/>
          <w:sz w:val="32"/>
          <w:szCs w:val="32"/>
        </w:rPr>
      </w:pPr>
      <w:bookmarkStart w:id="70" w:name="_Toc15377222"/>
      <w:bookmarkStart w:id="71" w:name="_Toc10214"/>
      <w:r>
        <w:rPr>
          <w:rFonts w:hint="eastAsia" w:ascii="仿宋" w:hAnsi="仿宋" w:eastAsia="仿宋"/>
          <w:b/>
          <w:sz w:val="32"/>
          <w:szCs w:val="32"/>
        </w:rPr>
        <w:t>（一）机关运行经费支出情况</w:t>
      </w:r>
      <w:bookmarkEnd w:id="70"/>
      <w:bookmarkEnd w:id="71"/>
    </w:p>
    <w:p>
      <w:pPr>
        <w:spacing w:line="600" w:lineRule="exact"/>
        <w:ind w:firstLine="640" w:firstLineChars="200"/>
        <w:rPr>
          <w:rFonts w:ascii="仿宋" w:hAnsi="仿宋" w:eastAsia="仿宋"/>
          <w:b/>
          <w:color w:val="auto"/>
          <w:sz w:val="32"/>
          <w:szCs w:val="32"/>
          <w:highlight w:val="none"/>
        </w:rPr>
      </w:pPr>
      <w:r>
        <w:rPr>
          <w:rFonts w:hint="eastAsia" w:ascii="仿宋_GB2312" w:eastAsia="仿宋_GB2312"/>
          <w:sz w:val="32"/>
          <w:szCs w:val="32"/>
        </w:rPr>
        <w:t>2023年度，广元市零八一中学</w:t>
      </w:r>
      <w:r>
        <w:rPr>
          <w:rFonts w:hint="eastAsia" w:ascii="仿宋_GB2312" w:eastAsia="仿宋_GB2312"/>
          <w:sz w:val="32"/>
          <w:szCs w:val="32"/>
        </w:rPr>
        <w:t>机关运行经费支出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color w:val="auto"/>
          <w:sz w:val="32"/>
          <w:szCs w:val="32"/>
          <w:highlight w:val="none"/>
          <w:lang w:val="en-US" w:eastAsia="zh-CN"/>
        </w:rPr>
        <w:t>与2022年决算数持平。</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72" w:name="_Toc5742"/>
      <w:bookmarkStart w:id="73" w:name="_Toc15377223"/>
      <w:r>
        <w:rPr>
          <w:rFonts w:hint="eastAsia" w:ascii="仿宋" w:hAnsi="仿宋" w:eastAsia="仿宋"/>
          <w:b/>
          <w:sz w:val="32"/>
          <w:szCs w:val="32"/>
        </w:rPr>
        <w:t>（二）政府采购支出情况</w:t>
      </w:r>
      <w:bookmarkEnd w:id="72"/>
      <w:bookmarkEnd w:id="73"/>
    </w:p>
    <w:p>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2023年度，广元市零八一中学政府采购支出总额</w:t>
      </w:r>
      <w:r>
        <w:rPr>
          <w:rFonts w:ascii="仿宋" w:hAnsi="仿宋" w:eastAsia="仿宋"/>
          <w:b/>
          <w:sz w:val="32"/>
          <w:szCs w:val="32"/>
        </w:rPr>
        <w:t>300</w:t>
      </w:r>
      <w:r>
        <w:rPr>
          <w:rFonts w:hint="eastAsia" w:ascii="仿宋_GB2312" w:eastAsia="仿宋_GB2312"/>
          <w:sz w:val="32"/>
          <w:szCs w:val="32"/>
        </w:rPr>
        <w:t>万元，其中：政府采购货物支出</w:t>
      </w:r>
      <w:r>
        <w:rPr>
          <w:rFonts w:ascii="仿宋" w:hAnsi="仿宋" w:eastAsia="仿宋"/>
          <w:b/>
          <w:sz w:val="32"/>
          <w:szCs w:val="32"/>
        </w:rPr>
        <w:t>75.25</w:t>
      </w:r>
      <w:r>
        <w:rPr>
          <w:rFonts w:hint="eastAsia" w:ascii="仿宋_GB2312" w:eastAsia="仿宋_GB2312"/>
          <w:sz w:val="32"/>
          <w:szCs w:val="32"/>
        </w:rPr>
        <w:t>万元、政府采购工程支出</w:t>
      </w:r>
      <w:r>
        <w:rPr>
          <w:rFonts w:ascii="仿宋" w:hAnsi="仿宋" w:eastAsia="仿宋"/>
          <w:b/>
          <w:sz w:val="32"/>
          <w:szCs w:val="32"/>
        </w:rPr>
        <w:t>224.75</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政府采购服务支出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sz w:val="32"/>
          <w:szCs w:val="32"/>
          <w:lang w:eastAsia="zh-CN"/>
        </w:rPr>
        <w:t>主要用于2023年设备购置、运动场维修改造和教师周转房（保障性租赁住房）维修改造</w:t>
      </w:r>
      <w:r>
        <w:rPr>
          <w:rFonts w:hint="eastAsia" w:ascii="仿宋_GB2312" w:eastAsia="仿宋_GB2312"/>
          <w:sz w:val="32"/>
          <w:szCs w:val="32"/>
        </w:rPr>
        <w:t>。授予中小企业合同金额</w:t>
      </w:r>
      <w:r>
        <w:rPr>
          <w:rFonts w:ascii="仿宋" w:hAnsi="仿宋" w:eastAsia="仿宋"/>
          <w:b/>
          <w:sz w:val="32"/>
          <w:szCs w:val="32"/>
        </w:rPr>
        <w:t>75.25</w:t>
      </w:r>
      <w:r>
        <w:rPr>
          <w:rFonts w:hint="eastAsia" w:ascii="仿宋_GB2312" w:eastAsia="仿宋_GB2312"/>
          <w:sz w:val="32"/>
          <w:szCs w:val="32"/>
        </w:rPr>
        <w:t>万元，占政府采购支出总额的</w:t>
      </w:r>
      <w:r>
        <w:rPr>
          <w:rFonts w:ascii="仿宋_GB2312" w:eastAsia="仿宋_GB2312"/>
          <w:sz w:val="32"/>
          <w:szCs w:val="32"/>
        </w:rPr>
        <w:t>0.25%</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74" w:name="_Toc9211"/>
      <w:bookmarkStart w:id="75" w:name="_Toc15377224"/>
      <w:r>
        <w:rPr>
          <w:rFonts w:hint="eastAsia" w:ascii="仿宋" w:hAnsi="仿宋" w:eastAsia="仿宋"/>
          <w:b/>
          <w:sz w:val="32"/>
          <w:szCs w:val="32"/>
        </w:rPr>
        <w:t>（三）国有资产占有使用情况</w:t>
      </w:r>
      <w:bookmarkEnd w:id="74"/>
      <w:bookmarkEnd w:id="75"/>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日，广元市零八一中学共有车辆</w:t>
      </w:r>
      <w:r>
        <w:rPr>
          <w:rFonts w:hint="eastAsia" w:ascii="仿宋_GB2312" w:eastAsia="仿宋_GB2312"/>
          <w:b/>
          <w:sz w:val="32"/>
          <w:szCs w:val="32"/>
        </w:rPr>
        <w:t>0</w:t>
      </w:r>
      <w:r>
        <w:rPr>
          <w:rFonts w:hint="eastAsia" w:ascii="仿宋_GB2312" w:eastAsia="仿宋_GB2312"/>
          <w:sz w:val="32"/>
          <w:szCs w:val="32"/>
        </w:rPr>
        <w:t>辆，单价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76" w:name="_Toc3992"/>
      <w:r>
        <w:rPr>
          <w:rFonts w:hint="eastAsia" w:ascii="仿宋" w:hAnsi="仿宋" w:eastAsia="仿宋"/>
          <w:b/>
          <w:sz w:val="32"/>
          <w:szCs w:val="32"/>
        </w:rPr>
        <w:t>（四）预算绩效管理情况</w:t>
      </w:r>
      <w:bookmarkEnd w:id="76"/>
    </w:p>
    <w:p>
      <w:pPr>
        <w:spacing w:line="600"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根据预算绩效管理要求，本单位在2023年度预算编制阶段，组织对</w:t>
      </w:r>
      <w:r>
        <w:rPr>
          <w:rFonts w:hint="eastAsia" w:ascii="仿宋_GB2312" w:eastAsia="仿宋_GB2312"/>
          <w:sz w:val="32"/>
          <w:szCs w:val="32"/>
          <w:lang w:eastAsia="zh-CN"/>
        </w:rPr>
        <w:t>灾后重建学生宿舍食堂建设项目</w:t>
      </w:r>
      <w:r>
        <w:rPr>
          <w:rFonts w:hint="eastAsia" w:ascii="仿宋_GB2312" w:eastAsia="仿宋_GB2312"/>
          <w:sz w:val="32"/>
          <w:szCs w:val="32"/>
        </w:rPr>
        <w:t>等</w:t>
      </w:r>
      <w:r>
        <w:rPr>
          <w:rFonts w:hint="eastAsia" w:ascii="仿宋_GB2312" w:eastAsia="仿宋_GB2312"/>
          <w:sz w:val="32"/>
          <w:szCs w:val="32"/>
          <w:lang w:val="en-US" w:eastAsia="zh-CN"/>
        </w:rPr>
        <w:t>6</w:t>
      </w:r>
      <w:r>
        <w:rPr>
          <w:rFonts w:hint="eastAsia" w:ascii="仿宋_GB2312" w:eastAsia="仿宋_GB2312"/>
          <w:sz w:val="32"/>
          <w:szCs w:val="32"/>
        </w:rPr>
        <w:t>个项目开展了预算事前绩效评估，对</w:t>
      </w:r>
      <w:r>
        <w:rPr>
          <w:rFonts w:hint="eastAsia" w:ascii="仿宋_GB2312" w:eastAsia="仿宋_GB2312"/>
          <w:sz w:val="32"/>
          <w:szCs w:val="32"/>
          <w:lang w:val="en-US" w:eastAsia="zh-CN"/>
        </w:rPr>
        <w:t>6</w:t>
      </w:r>
      <w:r>
        <w:rPr>
          <w:rFonts w:hint="eastAsia" w:ascii="仿宋_GB2312" w:eastAsia="仿宋_GB2312"/>
          <w:sz w:val="32"/>
          <w:szCs w:val="32"/>
        </w:rPr>
        <w:t>个项目编制了绩效目标，预算执行过程中，选取</w:t>
      </w:r>
      <w:r>
        <w:rPr>
          <w:rFonts w:hint="eastAsia" w:ascii="仿宋_GB2312" w:eastAsia="仿宋_GB2312"/>
          <w:sz w:val="32"/>
          <w:szCs w:val="32"/>
          <w:lang w:val="en-US" w:eastAsia="zh-CN"/>
        </w:rPr>
        <w:t>6</w:t>
      </w:r>
      <w:r>
        <w:rPr>
          <w:rFonts w:hint="eastAsia" w:ascii="仿宋_GB2312" w:eastAsia="仿宋_GB2312"/>
          <w:sz w:val="32"/>
          <w:szCs w:val="32"/>
        </w:rPr>
        <w:t>个项目开展绩效监控，组织对</w:t>
      </w:r>
      <w:r>
        <w:rPr>
          <w:rFonts w:hint="eastAsia" w:ascii="仿宋_GB2312" w:eastAsia="仿宋_GB2312"/>
          <w:sz w:val="32"/>
          <w:szCs w:val="32"/>
          <w:lang w:val="en-US" w:eastAsia="zh-CN"/>
        </w:rPr>
        <w:t>6</w:t>
      </w:r>
      <w:r>
        <w:rPr>
          <w:rFonts w:hint="eastAsia" w:ascii="仿宋_GB2312" w:eastAsia="仿宋_GB2312"/>
          <w:sz w:val="32"/>
          <w:szCs w:val="32"/>
        </w:rPr>
        <w:t>个项目开展绩效自评，绩效自评表详见第四部分附件。</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br w:type="page"/>
      </w:r>
    </w:p>
    <w:p>
      <w:pPr>
        <w:numPr>
          <w:ilvl w:val="0"/>
          <w:numId w:val="5"/>
        </w:numPr>
        <w:spacing w:line="600" w:lineRule="exact"/>
        <w:ind w:firstLine="660" w:firstLineChars="150"/>
        <w:jc w:val="center"/>
        <w:outlineLvl w:val="0"/>
        <w:rPr>
          <w:rStyle w:val="34"/>
          <w:rFonts w:ascii="黑体" w:hAnsi="黑体" w:eastAsia="黑体"/>
          <w:b w:val="0"/>
        </w:rPr>
      </w:pPr>
      <w:bookmarkStart w:id="77" w:name="_Toc15377225"/>
      <w:bookmarkStart w:id="78" w:name="_Toc15396613"/>
      <w:bookmarkStart w:id="79" w:name="_Toc28903"/>
      <w:r>
        <w:rPr>
          <w:rFonts w:hint="eastAsia" w:ascii="黑体" w:hAnsi="黑体" w:eastAsia="黑体"/>
          <w:sz w:val="44"/>
          <w:szCs w:val="44"/>
        </w:rPr>
        <w:t>名</w:t>
      </w:r>
      <w:r>
        <w:rPr>
          <w:rStyle w:val="34"/>
          <w:rFonts w:hint="eastAsia" w:ascii="黑体" w:hAnsi="黑体" w:eastAsia="黑体"/>
          <w:b w:val="0"/>
        </w:rPr>
        <w:t>词解释</w:t>
      </w:r>
      <w:bookmarkEnd w:id="77"/>
      <w:bookmarkEnd w:id="78"/>
      <w:bookmarkEnd w:id="79"/>
    </w:p>
    <w:p>
      <w:pPr>
        <w:spacing w:line="600" w:lineRule="exact"/>
        <w:jc w:val="left"/>
        <w:rPr>
          <w:rFonts w:ascii="宋体"/>
          <w:b/>
          <w:sz w:val="44"/>
          <w:szCs w:val="44"/>
        </w:rPr>
      </w:pPr>
    </w:p>
    <w:p>
      <w:pPr>
        <w:pStyle w:val="32"/>
        <w:numPr>
          <w:ilvl w:val="0"/>
          <w:numId w:val="6"/>
        </w:numPr>
        <w:spacing w:line="560"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财政拨款收入：指单位从同级财政部门取得的财政预算资金。</w:t>
      </w:r>
    </w:p>
    <w:p>
      <w:pPr>
        <w:pStyle w:val="32"/>
        <w:numPr>
          <w:ilvl w:val="0"/>
          <w:numId w:val="6"/>
        </w:numPr>
        <w:spacing w:line="560"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事业收入：指事业单位开展专业业务活动及辅助活动取得的收入。如</w:t>
      </w:r>
      <w:r>
        <w:rPr>
          <w:rFonts w:hint="eastAsia" w:ascii="仿宋_GB2312" w:eastAsia="仿宋_GB2312"/>
          <w:color w:val="auto"/>
          <w:sz w:val="32"/>
          <w:szCs w:val="32"/>
          <w:lang w:eastAsia="zh-CN"/>
        </w:rPr>
        <w:t>初中住校生住宿费收入</w:t>
      </w:r>
      <w:r>
        <w:rPr>
          <w:rFonts w:hint="eastAsia" w:ascii="仿宋_GB2312" w:eastAsia="仿宋_GB2312"/>
          <w:color w:val="auto"/>
          <w:sz w:val="32"/>
          <w:szCs w:val="32"/>
        </w:rPr>
        <w:t>等。</w:t>
      </w:r>
    </w:p>
    <w:p>
      <w:pPr>
        <w:numPr>
          <w:ilvl w:val="0"/>
          <w:numId w:val="6"/>
        </w:numPr>
        <w:spacing w:line="600" w:lineRule="exact"/>
        <w:ind w:left="0" w:leftChars="0" w:firstLine="400" w:firstLineChars="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教育支出（类）教育管理事务（款）其他教育管理事务支出（项）：指其他用于教育管理事务方面的支出。</w:t>
      </w:r>
    </w:p>
    <w:p>
      <w:pPr>
        <w:numPr>
          <w:ilvl w:val="0"/>
          <w:numId w:val="6"/>
        </w:numPr>
        <w:spacing w:line="600" w:lineRule="exact"/>
        <w:ind w:left="0" w:leftChars="0" w:firstLine="400" w:firstLineChars="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教育支出（类）普通教育（款）小学教育（项）：指小学教育支出。</w:t>
      </w:r>
    </w:p>
    <w:p>
      <w:pPr>
        <w:numPr>
          <w:ilvl w:val="0"/>
          <w:numId w:val="6"/>
        </w:numPr>
        <w:spacing w:line="600" w:lineRule="exact"/>
        <w:ind w:left="0" w:leftChars="0" w:firstLine="400" w:firstLineChars="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教育支出（类）普通教育（款）初中教育（项）：指初中教育支出。</w:t>
      </w:r>
    </w:p>
    <w:p>
      <w:pPr>
        <w:pStyle w:val="2"/>
        <w:numPr>
          <w:ilvl w:val="0"/>
          <w:numId w:val="6"/>
        </w:numPr>
        <w:ind w:left="0" w:leftChars="0" w:firstLine="400" w:firstLineChars="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教育（类）普通教育（款）其他普通教育支出（项）</w:t>
      </w:r>
      <w:r>
        <w:rPr>
          <w:rFonts w:hint="eastAsia" w:ascii="仿宋_GB2312" w:cs="仿宋"/>
          <w:color w:val="auto"/>
          <w:kern w:val="0"/>
          <w:sz w:val="32"/>
          <w:szCs w:val="32"/>
          <w:lang w:val="en-US" w:eastAsia="zh-CN" w:bidi="ar-SA"/>
        </w:rPr>
        <w:t>：指其他用于普通教育方面的支出</w:t>
      </w:r>
      <w:r>
        <w:rPr>
          <w:rFonts w:hint="eastAsia" w:ascii="仿宋_GB2312" w:hAnsi="Calibri" w:eastAsia="仿宋_GB2312" w:cs="仿宋"/>
          <w:color w:val="auto"/>
          <w:kern w:val="0"/>
          <w:sz w:val="32"/>
          <w:szCs w:val="32"/>
          <w:lang w:val="en-US" w:eastAsia="zh-CN" w:bidi="ar-SA"/>
        </w:rPr>
        <w:t>。</w:t>
      </w:r>
    </w:p>
    <w:p>
      <w:pPr>
        <w:pStyle w:val="2"/>
        <w:numPr>
          <w:ilvl w:val="0"/>
          <w:numId w:val="6"/>
        </w:numPr>
        <w:ind w:left="0" w:leftChars="0" w:firstLine="400" w:firstLineChars="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社会保障和就业支出（类）人力资源和社会保障管理事务（款）其他</w:t>
      </w:r>
      <w:r>
        <w:rPr>
          <w:rFonts w:hint="eastAsia" w:ascii="仿宋_GB2312" w:cs="仿宋"/>
          <w:color w:val="auto"/>
          <w:kern w:val="0"/>
          <w:sz w:val="32"/>
          <w:szCs w:val="32"/>
          <w:lang w:val="en-US" w:eastAsia="zh-CN" w:bidi="ar-SA"/>
        </w:rPr>
        <w:t>人力资源</w:t>
      </w:r>
      <w:r>
        <w:rPr>
          <w:rFonts w:hint="eastAsia" w:ascii="仿宋_GB2312" w:hAnsi="Calibri" w:eastAsia="仿宋_GB2312" w:cs="仿宋"/>
          <w:color w:val="auto"/>
          <w:kern w:val="0"/>
          <w:sz w:val="32"/>
          <w:szCs w:val="32"/>
          <w:lang w:val="en-US" w:eastAsia="zh-CN" w:bidi="ar-SA"/>
        </w:rPr>
        <w:t>和社会保障管理事务支出（项）</w:t>
      </w:r>
      <w:r>
        <w:rPr>
          <w:rFonts w:hint="eastAsia" w:ascii="仿宋_GB2312" w:cs="仿宋"/>
          <w:color w:val="auto"/>
          <w:kern w:val="0"/>
          <w:sz w:val="32"/>
          <w:szCs w:val="32"/>
          <w:lang w:val="en-US" w:eastAsia="zh-CN" w:bidi="ar-SA"/>
        </w:rPr>
        <w:t>：指其他用于人力资源和社会保障管理事务方面的支出</w:t>
      </w:r>
      <w:r>
        <w:rPr>
          <w:rFonts w:hint="eastAsia" w:ascii="仿宋_GB2312" w:hAnsi="Calibri" w:eastAsia="仿宋_GB2312" w:cs="仿宋"/>
          <w:color w:val="auto"/>
          <w:kern w:val="0"/>
          <w:sz w:val="32"/>
          <w:szCs w:val="32"/>
          <w:lang w:val="en-US" w:eastAsia="zh-CN" w:bidi="ar-SA"/>
        </w:rPr>
        <w:t>。</w:t>
      </w:r>
    </w:p>
    <w:p>
      <w:pPr>
        <w:numPr>
          <w:ilvl w:val="0"/>
          <w:numId w:val="6"/>
        </w:numPr>
        <w:spacing w:line="600" w:lineRule="exact"/>
        <w:ind w:left="0" w:leftChars="0" w:firstLine="400" w:firstLineChars="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社会保障和就业支出（类）行政事业单位养老支出（款）事业单位离退休（项）：指由单位开支的离退休经费。</w:t>
      </w:r>
    </w:p>
    <w:p>
      <w:pPr>
        <w:numPr>
          <w:ilvl w:val="0"/>
          <w:numId w:val="6"/>
        </w:numPr>
        <w:spacing w:line="600" w:lineRule="exact"/>
        <w:ind w:left="0" w:leftChars="0" w:firstLine="400" w:firstLineChars="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社会保障和就业支出（类）行政事业单位养老支出（款）机关事业单位基本养老保险缴费支出（项）：指由单位实际缴纳的基本养老保险费支出。</w:t>
      </w:r>
    </w:p>
    <w:p>
      <w:pPr>
        <w:numPr>
          <w:ilvl w:val="0"/>
          <w:numId w:val="6"/>
        </w:numPr>
        <w:spacing w:line="600" w:lineRule="exact"/>
        <w:ind w:left="0" w:leftChars="0" w:firstLine="400" w:firstLineChars="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社会保障和就业支出（类）行政事业单位养老支出（款）机关事业单位职业年金缴费支出（项）：指由单位实际缴纳的职业年金支出。</w:t>
      </w:r>
    </w:p>
    <w:p>
      <w:pPr>
        <w:numPr>
          <w:ilvl w:val="0"/>
          <w:numId w:val="6"/>
        </w:numPr>
        <w:spacing w:line="600" w:lineRule="exact"/>
        <w:ind w:left="0" w:leftChars="0" w:firstLine="400" w:firstLineChars="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社会保障和就业支出（类）其他社会保障和就业支出（款）其他社会保障和就业支出（项）：指其他用于社会保障和就业方面的支出。</w:t>
      </w:r>
    </w:p>
    <w:p>
      <w:pPr>
        <w:numPr>
          <w:ilvl w:val="0"/>
          <w:numId w:val="6"/>
        </w:numPr>
        <w:spacing w:line="600" w:lineRule="exact"/>
        <w:ind w:left="0" w:leftChars="0" w:firstLine="400" w:firstLineChars="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卫生健康支出（类）公共卫生（款）基本公共卫生服务（项）：指基本公共卫生服务支出。</w:t>
      </w:r>
    </w:p>
    <w:p>
      <w:pPr>
        <w:numPr>
          <w:ilvl w:val="0"/>
          <w:numId w:val="6"/>
        </w:numPr>
        <w:spacing w:line="600" w:lineRule="exact"/>
        <w:ind w:left="0" w:leftChars="0" w:firstLine="400" w:firstLineChars="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卫生健康支出（类）公共卫生（款）其他公共卫生支出（项）：指其他用于公共卫生方面的支出。</w:t>
      </w:r>
    </w:p>
    <w:p>
      <w:pPr>
        <w:numPr>
          <w:ilvl w:val="0"/>
          <w:numId w:val="6"/>
        </w:numPr>
        <w:spacing w:line="600" w:lineRule="exact"/>
        <w:ind w:left="0" w:leftChars="0" w:firstLine="400" w:firstLineChars="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卫生健康支出（类）行政事业单位医疗（款）事业医疗（项）：指财政部门安排的事业单位基本医疗保险缴费经费。</w:t>
      </w:r>
    </w:p>
    <w:p>
      <w:pPr>
        <w:numPr>
          <w:ilvl w:val="0"/>
          <w:numId w:val="6"/>
        </w:numPr>
        <w:spacing w:line="600" w:lineRule="exact"/>
        <w:ind w:left="0" w:leftChars="0" w:firstLine="400" w:firstLineChars="0"/>
        <w:rPr>
          <w:rFonts w:hint="eastAsia" w:ascii="仿宋_GB2312" w:hAnsi="Calibri" w:eastAsia="仿宋_GB2312" w:cs="仿宋"/>
          <w:color w:val="auto"/>
          <w:kern w:val="0"/>
          <w:sz w:val="32"/>
          <w:szCs w:val="32"/>
          <w:lang w:val="en-US" w:eastAsia="zh-CN" w:bidi="ar-SA"/>
        </w:rPr>
      </w:pPr>
      <w:r>
        <w:rPr>
          <w:rFonts w:hint="eastAsia" w:ascii="仿宋_GB2312" w:hAnsi="Calibri" w:eastAsia="仿宋_GB2312" w:cs="仿宋"/>
          <w:color w:val="auto"/>
          <w:kern w:val="0"/>
          <w:sz w:val="32"/>
          <w:szCs w:val="32"/>
          <w:lang w:val="en-US" w:eastAsia="zh-CN" w:bidi="ar-SA"/>
        </w:rPr>
        <w:t>住房保障支出（类）住房改革支出（款）住房公积金（项）：指行政事业单位按人力资源和社会保障、财政部规定的基本工资和津贴补贴以及规定比例为职工缴纳的住房公积金。</w:t>
      </w:r>
    </w:p>
    <w:p>
      <w:pPr>
        <w:numPr>
          <w:ilvl w:val="0"/>
          <w:numId w:val="6"/>
        </w:numPr>
        <w:ind w:left="0" w:leftChars="0" w:firstLine="400" w:firstLineChars="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numPr>
          <w:ilvl w:val="0"/>
          <w:numId w:val="6"/>
        </w:numPr>
        <w:ind w:left="0" w:leftChars="0" w:firstLine="400" w:firstLineChars="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pPr>
        <w:pStyle w:val="32"/>
        <w:numPr>
          <w:ilvl w:val="0"/>
          <w:numId w:val="6"/>
        </w:numPr>
        <w:spacing w:line="560" w:lineRule="exact"/>
        <w:ind w:left="0" w:leftChars="0" w:firstLine="400" w:firstLineChars="0"/>
        <w:rPr>
          <w:rFonts w:ascii="仿宋_GB2312" w:eastAsia="仿宋_GB2312"/>
          <w:color w:val="auto"/>
          <w:sz w:val="32"/>
          <w:szCs w:val="32"/>
        </w:rPr>
      </w:pP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34"/>
          <w:rFonts w:ascii="黑体" w:hAnsi="黑体" w:eastAsia="黑体"/>
          <w:b w:val="0"/>
        </w:rPr>
      </w:pPr>
      <w:bookmarkStart w:id="80" w:name="_Toc15377226"/>
      <w:r>
        <w:rPr>
          <w:rFonts w:ascii="宋体"/>
          <w:b/>
          <w:sz w:val="44"/>
          <w:szCs w:val="44"/>
        </w:rPr>
        <w:br w:type="page"/>
      </w:r>
      <w:bookmarkStart w:id="81" w:name="_Toc32185"/>
      <w:bookmarkStart w:id="82" w:name="_Toc15396614"/>
      <w:r>
        <w:rPr>
          <w:rFonts w:hint="eastAsia" w:ascii="黑体" w:hAnsi="黑体" w:eastAsia="黑体"/>
          <w:sz w:val="44"/>
          <w:szCs w:val="44"/>
        </w:rPr>
        <w:t>第</w:t>
      </w:r>
      <w:r>
        <w:rPr>
          <w:rStyle w:val="34"/>
          <w:rFonts w:hint="eastAsia" w:ascii="黑体" w:hAnsi="黑体" w:eastAsia="黑体"/>
          <w:b w:val="0"/>
        </w:rPr>
        <w:t>四部分 附件</w:t>
      </w:r>
      <w:bookmarkEnd w:id="81"/>
      <w:bookmarkEnd w:id="82"/>
    </w:p>
    <w:p>
      <w:pPr>
        <w:spacing w:line="572" w:lineRule="exact"/>
        <w:jc w:val="left"/>
        <w:outlineLvl w:val="0"/>
        <w:rPr>
          <w:rFonts w:ascii="仿宋_GB2312" w:hAnsi="仿宋_GB2312" w:eastAsia="仿宋_GB2312" w:cs="仿宋_GB2312"/>
          <w:sz w:val="32"/>
          <w:szCs w:val="32"/>
        </w:rPr>
      </w:pPr>
    </w:p>
    <w:p>
      <w:pPr>
        <w:spacing w:line="600" w:lineRule="exact"/>
        <w:jc w:val="center"/>
        <w:outlineLvl w:val="0"/>
        <w:rPr>
          <w:rFonts w:ascii="黑体" w:hAnsi="黑体" w:eastAsia="黑体"/>
          <w:color w:val="FF0000"/>
          <w:sz w:val="44"/>
          <w:szCs w:val="44"/>
        </w:rPr>
      </w:pPr>
      <w:bookmarkStart w:id="83" w:name="_Toc11636"/>
      <w:bookmarkStart w:id="84" w:name="_Toc15396618"/>
      <w:r>
        <w:rPr>
          <w:rFonts w:hint="eastAsia"/>
          <w:sz w:val="32"/>
          <w:szCs w:val="32"/>
        </w:rPr>
        <w:t>部门预算项目支出绩效自评表（2023年度）</w:t>
      </w:r>
      <w:bookmarkEnd w:id="83"/>
    </w:p>
    <w:p>
      <w:pPr>
        <w:pStyle w:val="20"/>
        <w:spacing w:line="560" w:lineRule="exact"/>
        <w:ind w:left="0" w:leftChars="0" w:firstLine="640"/>
        <w:rPr>
          <w:rFonts w:hint="default" w:eastAsia="宋体"/>
          <w:sz w:val="32"/>
          <w:lang w:val="en-US" w:eastAsia="zh-CN"/>
        </w:rPr>
      </w:pPr>
      <w:r>
        <w:rPr>
          <w:rFonts w:hint="eastAsia"/>
          <w:sz w:val="32"/>
          <w:lang w:val="en-US" w:eastAsia="zh-CN"/>
        </w:rPr>
        <w:t xml:space="preserve">   具体内容见附表</w:t>
      </w:r>
      <w:bookmarkStart w:id="112" w:name="_GoBack"/>
      <w:bookmarkEnd w:id="112"/>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pStyle w:val="7"/>
        <w:spacing w:before="93"/>
        <w:rPr>
          <w:rFonts w:hAnsi="Calibri" w:cs="仿宋"/>
          <w:sz w:val="32"/>
          <w:szCs w:val="32"/>
        </w:rPr>
      </w:pPr>
    </w:p>
    <w:p>
      <w:pPr>
        <w:spacing w:line="600" w:lineRule="exact"/>
        <w:jc w:val="center"/>
        <w:outlineLvl w:val="0"/>
        <w:rPr>
          <w:rFonts w:ascii="仿宋" w:hAnsi="仿宋" w:eastAsia="仿宋"/>
        </w:rPr>
      </w:pPr>
      <w:bookmarkStart w:id="85" w:name="_Toc8796"/>
      <w:r>
        <w:rPr>
          <w:rFonts w:hint="eastAsia" w:ascii="黑体" w:hAnsi="黑体" w:eastAsia="黑体"/>
          <w:sz w:val="44"/>
          <w:szCs w:val="44"/>
        </w:rPr>
        <w:t>第</w:t>
      </w:r>
      <w:r>
        <w:rPr>
          <w:rStyle w:val="34"/>
          <w:rFonts w:hint="eastAsia" w:ascii="黑体" w:hAnsi="黑体" w:eastAsia="黑体"/>
          <w:b w:val="0"/>
        </w:rPr>
        <w:t>五部分 附表</w:t>
      </w:r>
      <w:bookmarkEnd w:id="80"/>
      <w:bookmarkEnd w:id="84"/>
      <w:bookmarkEnd w:id="85"/>
      <w:bookmarkStart w:id="86" w:name="_Toc15396619"/>
    </w:p>
    <w:p>
      <w:pPr>
        <w:pStyle w:val="4"/>
        <w:rPr>
          <w:rFonts w:ascii="仿宋" w:hAnsi="仿宋" w:eastAsia="仿宋"/>
        </w:rPr>
      </w:pPr>
      <w:bookmarkStart w:id="87" w:name="_Toc25414"/>
      <w:r>
        <w:rPr>
          <w:rFonts w:hint="eastAsia" w:ascii="仿宋" w:hAnsi="仿宋" w:eastAsia="仿宋"/>
          <w:b w:val="0"/>
        </w:rPr>
        <w:t>一、收</w:t>
      </w:r>
      <w:r>
        <w:rPr>
          <w:rStyle w:val="35"/>
          <w:rFonts w:hint="eastAsia" w:ascii="仿宋" w:hAnsi="仿宋" w:eastAsia="仿宋"/>
          <w:b w:val="0"/>
          <w:bCs w:val="0"/>
        </w:rPr>
        <w:t>入支出决算总表</w:t>
      </w:r>
      <w:bookmarkEnd w:id="86"/>
      <w:bookmarkEnd w:id="87"/>
    </w:p>
    <w:p>
      <w:pPr>
        <w:pStyle w:val="4"/>
        <w:rPr>
          <w:rFonts w:ascii="仿宋" w:hAnsi="仿宋" w:eastAsia="仿宋"/>
        </w:rPr>
      </w:pPr>
      <w:bookmarkStart w:id="88" w:name="_Toc32214"/>
      <w:bookmarkStart w:id="89" w:name="_Toc15396620"/>
      <w:r>
        <w:rPr>
          <w:rFonts w:hint="eastAsia" w:ascii="仿宋" w:hAnsi="仿宋" w:eastAsia="仿宋"/>
          <w:b w:val="0"/>
        </w:rPr>
        <w:t>二、收</w:t>
      </w:r>
      <w:r>
        <w:rPr>
          <w:rStyle w:val="35"/>
          <w:rFonts w:hint="eastAsia" w:ascii="仿宋" w:hAnsi="仿宋" w:eastAsia="仿宋"/>
          <w:b w:val="0"/>
          <w:bCs w:val="0"/>
        </w:rPr>
        <w:t>入决算表</w:t>
      </w:r>
      <w:bookmarkEnd w:id="88"/>
      <w:bookmarkEnd w:id="89"/>
    </w:p>
    <w:p>
      <w:pPr>
        <w:pStyle w:val="4"/>
        <w:rPr>
          <w:rFonts w:ascii="仿宋" w:hAnsi="仿宋" w:eastAsia="仿宋"/>
        </w:rPr>
      </w:pPr>
      <w:bookmarkStart w:id="90" w:name="_Toc15396621"/>
      <w:bookmarkStart w:id="91" w:name="_Toc8625"/>
      <w:r>
        <w:rPr>
          <w:rStyle w:val="35"/>
          <w:rFonts w:hint="eastAsia" w:ascii="仿宋" w:hAnsi="仿宋" w:eastAsia="仿宋"/>
          <w:b w:val="0"/>
          <w:bCs w:val="0"/>
        </w:rPr>
        <w:t>三、</w:t>
      </w:r>
      <w:r>
        <w:rPr>
          <w:rFonts w:hint="eastAsia" w:ascii="仿宋" w:hAnsi="仿宋" w:eastAsia="仿宋"/>
          <w:b w:val="0"/>
        </w:rPr>
        <w:t>支</w:t>
      </w:r>
      <w:r>
        <w:rPr>
          <w:rStyle w:val="35"/>
          <w:rFonts w:hint="eastAsia" w:ascii="仿宋" w:hAnsi="仿宋" w:eastAsia="仿宋"/>
          <w:b w:val="0"/>
          <w:bCs w:val="0"/>
        </w:rPr>
        <w:t>出决算表</w:t>
      </w:r>
      <w:bookmarkEnd w:id="90"/>
      <w:bookmarkEnd w:id="91"/>
    </w:p>
    <w:p>
      <w:pPr>
        <w:pStyle w:val="4"/>
        <w:rPr>
          <w:rFonts w:ascii="仿宋" w:hAnsi="仿宋" w:eastAsia="仿宋"/>
          <w:b w:val="0"/>
        </w:rPr>
      </w:pPr>
      <w:bookmarkStart w:id="92" w:name="_Toc31021"/>
      <w:bookmarkStart w:id="93" w:name="_Toc15396622"/>
      <w:r>
        <w:rPr>
          <w:rStyle w:val="35"/>
          <w:rFonts w:hint="eastAsia" w:ascii="仿宋" w:hAnsi="仿宋" w:eastAsia="仿宋"/>
          <w:b w:val="0"/>
          <w:bCs w:val="0"/>
        </w:rPr>
        <w:t>四、</w:t>
      </w:r>
      <w:r>
        <w:rPr>
          <w:rFonts w:hint="eastAsia" w:ascii="仿宋" w:hAnsi="仿宋" w:eastAsia="仿宋"/>
          <w:b w:val="0"/>
        </w:rPr>
        <w:t>财</w:t>
      </w:r>
      <w:r>
        <w:rPr>
          <w:rStyle w:val="35"/>
          <w:rFonts w:hint="eastAsia" w:ascii="仿宋" w:hAnsi="仿宋" w:eastAsia="仿宋"/>
          <w:b w:val="0"/>
          <w:bCs w:val="0"/>
        </w:rPr>
        <w:t>政拨款收入支出决算总表</w:t>
      </w:r>
      <w:bookmarkEnd w:id="92"/>
      <w:bookmarkEnd w:id="93"/>
    </w:p>
    <w:p>
      <w:pPr>
        <w:pStyle w:val="4"/>
        <w:rPr>
          <w:rStyle w:val="35"/>
          <w:rFonts w:ascii="仿宋" w:hAnsi="仿宋" w:eastAsia="仿宋"/>
          <w:b w:val="0"/>
          <w:bCs w:val="0"/>
        </w:rPr>
      </w:pPr>
      <w:bookmarkStart w:id="94" w:name="_Toc15396623"/>
      <w:bookmarkStart w:id="95" w:name="_Toc4226"/>
      <w:r>
        <w:rPr>
          <w:rStyle w:val="35"/>
          <w:rFonts w:hint="eastAsia" w:ascii="仿宋" w:hAnsi="仿宋" w:eastAsia="仿宋"/>
          <w:b w:val="0"/>
          <w:bCs w:val="0"/>
        </w:rPr>
        <w:t>五、</w:t>
      </w:r>
      <w:r>
        <w:rPr>
          <w:rFonts w:hint="eastAsia" w:ascii="仿宋" w:hAnsi="仿宋" w:eastAsia="仿宋"/>
          <w:b w:val="0"/>
        </w:rPr>
        <w:t>财</w:t>
      </w:r>
      <w:r>
        <w:rPr>
          <w:rStyle w:val="35"/>
          <w:rFonts w:hint="eastAsia" w:ascii="仿宋" w:hAnsi="仿宋" w:eastAsia="仿宋"/>
          <w:b w:val="0"/>
          <w:bCs w:val="0"/>
        </w:rPr>
        <w:t>政拨款支出决算明细表</w:t>
      </w:r>
      <w:bookmarkEnd w:id="94"/>
      <w:bookmarkEnd w:id="95"/>
      <w:bookmarkStart w:id="96" w:name="_Toc15396624"/>
    </w:p>
    <w:p>
      <w:pPr>
        <w:pStyle w:val="4"/>
        <w:rPr>
          <w:rFonts w:ascii="仿宋" w:hAnsi="仿宋" w:eastAsia="仿宋"/>
        </w:rPr>
      </w:pPr>
      <w:bookmarkStart w:id="97" w:name="_Toc31831"/>
      <w:r>
        <w:rPr>
          <w:rStyle w:val="35"/>
          <w:rFonts w:hint="eastAsia" w:ascii="仿宋" w:hAnsi="仿宋" w:eastAsia="仿宋"/>
          <w:b w:val="0"/>
          <w:bCs w:val="0"/>
        </w:rPr>
        <w:t>六、</w:t>
      </w:r>
      <w:r>
        <w:rPr>
          <w:rFonts w:hint="eastAsia" w:ascii="仿宋" w:hAnsi="仿宋" w:eastAsia="仿宋"/>
          <w:b w:val="0"/>
        </w:rPr>
        <w:t>一</w:t>
      </w:r>
      <w:r>
        <w:rPr>
          <w:rStyle w:val="35"/>
          <w:rFonts w:hint="eastAsia" w:ascii="仿宋" w:hAnsi="仿宋" w:eastAsia="仿宋"/>
          <w:b w:val="0"/>
          <w:bCs w:val="0"/>
        </w:rPr>
        <w:t>般公共预算财政拨款支出决算表</w:t>
      </w:r>
      <w:bookmarkEnd w:id="96"/>
      <w:bookmarkEnd w:id="97"/>
    </w:p>
    <w:p>
      <w:pPr>
        <w:pStyle w:val="4"/>
        <w:rPr>
          <w:rFonts w:ascii="仿宋" w:hAnsi="仿宋" w:eastAsia="仿宋"/>
        </w:rPr>
      </w:pPr>
      <w:bookmarkStart w:id="98" w:name="_Toc15396625"/>
      <w:bookmarkStart w:id="99" w:name="_Toc16842"/>
      <w:r>
        <w:rPr>
          <w:rStyle w:val="35"/>
          <w:rFonts w:hint="eastAsia" w:ascii="仿宋" w:hAnsi="仿宋" w:eastAsia="仿宋"/>
          <w:b w:val="0"/>
          <w:bCs w:val="0"/>
        </w:rPr>
        <w:t>七、</w:t>
      </w:r>
      <w:r>
        <w:rPr>
          <w:rFonts w:hint="eastAsia" w:ascii="仿宋" w:hAnsi="仿宋" w:eastAsia="仿宋"/>
          <w:b w:val="0"/>
        </w:rPr>
        <w:t>一</w:t>
      </w:r>
      <w:r>
        <w:rPr>
          <w:rStyle w:val="35"/>
          <w:rFonts w:hint="eastAsia" w:ascii="仿宋" w:hAnsi="仿宋" w:eastAsia="仿宋"/>
          <w:b w:val="0"/>
          <w:bCs w:val="0"/>
        </w:rPr>
        <w:t>般公共预算财政拨款支出决算明细表</w:t>
      </w:r>
      <w:bookmarkEnd w:id="98"/>
      <w:bookmarkEnd w:id="99"/>
    </w:p>
    <w:p>
      <w:pPr>
        <w:pStyle w:val="4"/>
        <w:rPr>
          <w:rFonts w:ascii="仿宋" w:hAnsi="仿宋" w:eastAsia="仿宋"/>
        </w:rPr>
      </w:pPr>
      <w:bookmarkStart w:id="100" w:name="_Toc15181"/>
      <w:bookmarkStart w:id="101" w:name="_Toc15396626"/>
      <w:r>
        <w:rPr>
          <w:rStyle w:val="35"/>
          <w:rFonts w:hint="eastAsia" w:ascii="仿宋" w:hAnsi="仿宋" w:eastAsia="仿宋"/>
          <w:b w:val="0"/>
          <w:bCs w:val="0"/>
        </w:rPr>
        <w:t>八、</w:t>
      </w:r>
      <w:r>
        <w:rPr>
          <w:rFonts w:hint="eastAsia" w:ascii="仿宋" w:hAnsi="仿宋" w:eastAsia="仿宋"/>
          <w:b w:val="0"/>
        </w:rPr>
        <w:t>一</w:t>
      </w:r>
      <w:r>
        <w:rPr>
          <w:rStyle w:val="35"/>
          <w:rFonts w:hint="eastAsia" w:ascii="仿宋" w:hAnsi="仿宋" w:eastAsia="仿宋"/>
          <w:b w:val="0"/>
          <w:bCs w:val="0"/>
        </w:rPr>
        <w:t>般公共预算财政拨款基本支出决算表</w:t>
      </w:r>
      <w:bookmarkEnd w:id="100"/>
      <w:bookmarkEnd w:id="101"/>
    </w:p>
    <w:p>
      <w:pPr>
        <w:pStyle w:val="4"/>
        <w:rPr>
          <w:rFonts w:ascii="仿宋" w:hAnsi="仿宋" w:eastAsia="仿宋"/>
        </w:rPr>
      </w:pPr>
      <w:bookmarkStart w:id="102" w:name="_Toc15396627"/>
      <w:bookmarkStart w:id="103" w:name="_Toc801"/>
      <w:r>
        <w:rPr>
          <w:rStyle w:val="35"/>
          <w:rFonts w:hint="eastAsia" w:ascii="仿宋" w:hAnsi="仿宋" w:eastAsia="仿宋"/>
          <w:b w:val="0"/>
          <w:bCs w:val="0"/>
        </w:rPr>
        <w:t>九、</w:t>
      </w:r>
      <w:r>
        <w:rPr>
          <w:rFonts w:hint="eastAsia" w:ascii="仿宋" w:hAnsi="仿宋" w:eastAsia="仿宋"/>
          <w:b w:val="0"/>
        </w:rPr>
        <w:t>一</w:t>
      </w:r>
      <w:r>
        <w:rPr>
          <w:rStyle w:val="35"/>
          <w:rFonts w:hint="eastAsia" w:ascii="仿宋" w:hAnsi="仿宋" w:eastAsia="仿宋"/>
          <w:b w:val="0"/>
          <w:bCs w:val="0"/>
        </w:rPr>
        <w:t>般公共预算财政拨款项目支出决算表</w:t>
      </w:r>
      <w:bookmarkEnd w:id="102"/>
      <w:bookmarkEnd w:id="103"/>
    </w:p>
    <w:p>
      <w:pPr>
        <w:pStyle w:val="4"/>
        <w:rPr>
          <w:rFonts w:ascii="仿宋" w:hAnsi="仿宋" w:eastAsia="仿宋"/>
        </w:rPr>
      </w:pPr>
      <w:bookmarkStart w:id="104" w:name="_Toc15396628"/>
      <w:bookmarkStart w:id="105" w:name="_Toc6335"/>
      <w:r>
        <w:rPr>
          <w:rStyle w:val="35"/>
          <w:rFonts w:hint="eastAsia" w:ascii="仿宋" w:hAnsi="仿宋" w:eastAsia="仿宋"/>
          <w:b w:val="0"/>
          <w:bCs w:val="0"/>
        </w:rPr>
        <w:t>十、</w:t>
      </w:r>
      <w:bookmarkEnd w:id="104"/>
      <w:r>
        <w:rPr>
          <w:rFonts w:hint="eastAsia" w:ascii="仿宋" w:hAnsi="仿宋" w:eastAsia="仿宋"/>
          <w:b w:val="0"/>
        </w:rPr>
        <w:t>政</w:t>
      </w:r>
      <w:r>
        <w:rPr>
          <w:rStyle w:val="35"/>
          <w:rFonts w:hint="eastAsia" w:ascii="仿宋" w:hAnsi="仿宋" w:eastAsia="仿宋"/>
          <w:b w:val="0"/>
          <w:bCs w:val="0"/>
        </w:rPr>
        <w:t>府性基金预算财政拨款收入支出决算表</w:t>
      </w:r>
      <w:bookmarkEnd w:id="105"/>
    </w:p>
    <w:p>
      <w:pPr>
        <w:pStyle w:val="4"/>
        <w:rPr>
          <w:rFonts w:ascii="仿宋" w:hAnsi="仿宋" w:eastAsia="仿宋"/>
        </w:rPr>
      </w:pPr>
      <w:bookmarkStart w:id="106" w:name="_Toc15396629"/>
      <w:bookmarkStart w:id="107" w:name="_Toc12808"/>
      <w:r>
        <w:rPr>
          <w:rStyle w:val="35"/>
          <w:rFonts w:hint="eastAsia" w:ascii="仿宋" w:hAnsi="仿宋" w:eastAsia="仿宋"/>
          <w:b w:val="0"/>
          <w:bCs w:val="0"/>
        </w:rPr>
        <w:t>十一、</w:t>
      </w:r>
      <w:bookmarkEnd w:id="106"/>
      <w:r>
        <w:rPr>
          <w:rFonts w:hint="eastAsia" w:ascii="仿宋" w:hAnsi="仿宋" w:eastAsia="仿宋"/>
          <w:b w:val="0"/>
        </w:rPr>
        <w:t>国</w:t>
      </w:r>
      <w:r>
        <w:rPr>
          <w:rStyle w:val="35"/>
          <w:rFonts w:hint="eastAsia" w:ascii="仿宋" w:hAnsi="仿宋" w:eastAsia="仿宋"/>
          <w:b w:val="0"/>
          <w:bCs w:val="0"/>
        </w:rPr>
        <w:t>有资本经营预算财政拨款收入支出决算表</w:t>
      </w:r>
      <w:bookmarkEnd w:id="107"/>
    </w:p>
    <w:p>
      <w:pPr>
        <w:pStyle w:val="4"/>
        <w:rPr>
          <w:rFonts w:ascii="仿宋" w:hAnsi="仿宋" w:eastAsia="仿宋"/>
        </w:rPr>
      </w:pPr>
      <w:bookmarkStart w:id="108" w:name="_Toc15396630"/>
      <w:bookmarkStart w:id="109" w:name="_Toc13171"/>
      <w:r>
        <w:rPr>
          <w:rStyle w:val="35"/>
          <w:rFonts w:hint="eastAsia" w:ascii="仿宋" w:hAnsi="仿宋" w:eastAsia="仿宋"/>
          <w:b w:val="0"/>
          <w:bCs w:val="0"/>
        </w:rPr>
        <w:t>十二、</w:t>
      </w:r>
      <w:bookmarkEnd w:id="108"/>
      <w:r>
        <w:rPr>
          <w:rStyle w:val="35"/>
          <w:rFonts w:hint="eastAsia" w:ascii="仿宋" w:hAnsi="仿宋" w:eastAsia="仿宋"/>
          <w:b w:val="0"/>
          <w:bCs w:val="0"/>
        </w:rPr>
        <w:t>国有资本经营预算财政拨款支出决算表</w:t>
      </w:r>
      <w:bookmarkEnd w:id="109"/>
    </w:p>
    <w:p>
      <w:pPr>
        <w:pStyle w:val="4"/>
        <w:rPr>
          <w:rFonts w:eastAsia="仿宋"/>
        </w:rPr>
      </w:pPr>
      <w:bookmarkStart w:id="110" w:name="_Toc15396631"/>
      <w:bookmarkStart w:id="111" w:name="_Toc29775"/>
      <w:r>
        <w:rPr>
          <w:rStyle w:val="35"/>
          <w:rFonts w:hint="eastAsia" w:ascii="仿宋" w:hAnsi="仿宋" w:eastAsia="仿宋"/>
          <w:b w:val="0"/>
          <w:bCs w:val="0"/>
        </w:rPr>
        <w:t>十三、</w:t>
      </w:r>
      <w:bookmarkEnd w:id="110"/>
      <w:r>
        <w:rPr>
          <w:rStyle w:val="35"/>
          <w:rFonts w:hint="eastAsia" w:ascii="仿宋" w:hAnsi="仿宋" w:eastAsia="仿宋"/>
          <w:b w:val="0"/>
          <w:bCs w:val="0"/>
        </w:rPr>
        <w:t>财政拨款“三公”经费支出决算表</w:t>
      </w:r>
      <w:bookmarkEnd w:id="111"/>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pPr>
                                <w:pStyle w:val="13"/>
                                <w:jc w:val="center"/>
                              </w:pPr>
                              <w:r>
                                <w:fldChar w:fldCharType="begin"/>
                              </w:r>
                              <w:r>
                                <w:instrText xml:space="preserve">PAGE   \* MERGEFORMAT</w:instrText>
                              </w:r>
                              <w:r>
                                <w:fldChar w:fldCharType="separate"/>
                              </w:r>
                              <w:r>
                                <w:rPr>
                                  <w:lang w:val="zh-CN"/>
                                </w:rPr>
                                <w:t>15</w:t>
                              </w:r>
                              <w:r>
                                <w:fldChar w:fldCharType="end"/>
                              </w:r>
                            </w:p>
                          </w:sdtContent>
                        </w:sdt>
                        <w:p>
                          <w:pPr>
                            <w:pStyle w:val="2"/>
                          </w:pP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TBEOMHAIAACkEAAAOAAAAZHJz&#10;L2Uyb0RvYy54bWytU82O0zAQviPxDpbvNGkRu1X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UwRDjBwCAAApBAAADgAAAAAAAAABACAAAAA1AQAAZHJzL2Uyb0RvYy54bWxQSwUG&#10;AAAAAAYABgBZAQAAwwUAAAAA&#10;">
              <v:fill on="f" focussize="0,0"/>
              <v:stroke on="f" weight="0.5pt"/>
              <v:imagedata o:title=""/>
              <o:lock v:ext="edit" aspectratio="f"/>
              <v:textbox inset="0mm,0mm,0mm,0mm" style="mso-fit-shape-to-text:t;">
                <w:txbxContent>
                  <w:sdt>
                    <w:sdtPr>
                      <w:id w:val="-1994781956"/>
                    </w:sdtPr>
                    <w:sdtContent>
                      <w:p>
                        <w:pPr>
                          <w:pStyle w:val="13"/>
                          <w:jc w:val="center"/>
                        </w:pPr>
                        <w:r>
                          <w:fldChar w:fldCharType="begin"/>
                        </w:r>
                        <w:r>
                          <w:instrText xml:space="preserve">PAGE   \* MERGEFORMAT</w:instrText>
                        </w:r>
                        <w:r>
                          <w:fldChar w:fldCharType="separate"/>
                        </w:r>
                        <w:r>
                          <w:rPr>
                            <w:lang w:val="zh-CN"/>
                          </w:rPr>
                          <w:t>15</w:t>
                        </w:r>
                        <w:r>
                          <w:fldChar w:fldCharType="end"/>
                        </w:r>
                      </w:p>
                    </w:sdtContent>
                  </w:sdt>
                  <w:p>
                    <w:pPr>
                      <w:pStyle w:val="2"/>
                    </w:pPr>
                  </w:p>
                </w:txbxContent>
              </v:textbox>
            </v:shape>
          </w:pict>
        </mc:Fallback>
      </mc:AlternateContent>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EFC4476D"/>
    <w:multiLevelType w:val="singleLevel"/>
    <w:tmpl w:val="EFC4476D"/>
    <w:lvl w:ilvl="0" w:tentative="0">
      <w:start w:val="1"/>
      <w:numFmt w:val="decimal"/>
      <w:suff w:val="nothing"/>
      <w:lvlText w:val="%1．"/>
      <w:lvlJc w:val="left"/>
      <w:pPr>
        <w:ind w:left="0" w:firstLine="400"/>
      </w:pPr>
      <w:rPr>
        <w:rFonts w:hint="default"/>
      </w:rPr>
    </w:lvl>
  </w:abstractNum>
  <w:abstractNum w:abstractNumId="3">
    <w:nsid w:val="0282F133"/>
    <w:multiLevelType w:val="singleLevel"/>
    <w:tmpl w:val="0282F133"/>
    <w:lvl w:ilvl="0" w:tentative="0">
      <w:start w:val="1"/>
      <w:numFmt w:val="decimal"/>
      <w:lvlText w:val="%1."/>
      <w:lvlJc w:val="left"/>
      <w:pPr>
        <w:tabs>
          <w:tab w:val="left" w:pos="312"/>
        </w:tabs>
      </w:p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3818A09A"/>
    <w:multiLevelType w:val="singleLevel"/>
    <w:tmpl w:val="3818A09A"/>
    <w:lvl w:ilvl="0" w:tentative="0">
      <w:start w:val="1"/>
      <w:numFmt w:val="chineseCounting"/>
      <w:suff w:val="nothing"/>
      <w:lvlText w:val="%1、"/>
      <w:lvlJc w:val="left"/>
      <w:rPr>
        <w:rFonts w:hint="eastAsia"/>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742EA2"/>
    <w:rsid w:val="03DC2831"/>
    <w:rsid w:val="081B5E94"/>
    <w:rsid w:val="0A2032A3"/>
    <w:rsid w:val="0AD45767"/>
    <w:rsid w:val="0B8A37D8"/>
    <w:rsid w:val="0F5FFB2F"/>
    <w:rsid w:val="0FC829FF"/>
    <w:rsid w:val="0FFFCF60"/>
    <w:rsid w:val="10C055FF"/>
    <w:rsid w:val="118107EC"/>
    <w:rsid w:val="11DD6519"/>
    <w:rsid w:val="14E740B6"/>
    <w:rsid w:val="16BB723D"/>
    <w:rsid w:val="18015F3F"/>
    <w:rsid w:val="1BE8440E"/>
    <w:rsid w:val="1CFF61FE"/>
    <w:rsid w:val="1D155CEE"/>
    <w:rsid w:val="1FDBBF84"/>
    <w:rsid w:val="20F57F95"/>
    <w:rsid w:val="240371BF"/>
    <w:rsid w:val="25711CC6"/>
    <w:rsid w:val="25C741E6"/>
    <w:rsid w:val="276F80C0"/>
    <w:rsid w:val="27842671"/>
    <w:rsid w:val="27E953D6"/>
    <w:rsid w:val="29FD04D3"/>
    <w:rsid w:val="2ABE7A3E"/>
    <w:rsid w:val="2AFF09B6"/>
    <w:rsid w:val="2CA234A8"/>
    <w:rsid w:val="2EFA178C"/>
    <w:rsid w:val="2EFDF86C"/>
    <w:rsid w:val="2F9D17E1"/>
    <w:rsid w:val="30B46D73"/>
    <w:rsid w:val="319F7F4E"/>
    <w:rsid w:val="356A28F1"/>
    <w:rsid w:val="357C035A"/>
    <w:rsid w:val="368E000D"/>
    <w:rsid w:val="383D272C"/>
    <w:rsid w:val="3938732F"/>
    <w:rsid w:val="39AE70AB"/>
    <w:rsid w:val="3A4DCE41"/>
    <w:rsid w:val="3BCB56FA"/>
    <w:rsid w:val="3C0C0783"/>
    <w:rsid w:val="3D94305D"/>
    <w:rsid w:val="3EE7C2F4"/>
    <w:rsid w:val="3F371B56"/>
    <w:rsid w:val="3F792ED8"/>
    <w:rsid w:val="3F9F3A96"/>
    <w:rsid w:val="3FECA4B2"/>
    <w:rsid w:val="3FF58C48"/>
    <w:rsid w:val="42FF6694"/>
    <w:rsid w:val="46CE7C4C"/>
    <w:rsid w:val="48BF60AB"/>
    <w:rsid w:val="493C27E9"/>
    <w:rsid w:val="496F39ED"/>
    <w:rsid w:val="49FF41D3"/>
    <w:rsid w:val="4BE068DB"/>
    <w:rsid w:val="4BF6002B"/>
    <w:rsid w:val="4BFFC6BE"/>
    <w:rsid w:val="4ECE2238"/>
    <w:rsid w:val="51DB4B86"/>
    <w:rsid w:val="51F64DB0"/>
    <w:rsid w:val="54AA1D2D"/>
    <w:rsid w:val="55333C3E"/>
    <w:rsid w:val="5F67802D"/>
    <w:rsid w:val="5F7DC4F2"/>
    <w:rsid w:val="5FB36814"/>
    <w:rsid w:val="5FBB8E56"/>
    <w:rsid w:val="5FFB5535"/>
    <w:rsid w:val="64CA39A1"/>
    <w:rsid w:val="69091979"/>
    <w:rsid w:val="69630ADE"/>
    <w:rsid w:val="69BD5F13"/>
    <w:rsid w:val="69FB0B4B"/>
    <w:rsid w:val="6BFFE1FB"/>
    <w:rsid w:val="6C4A05C8"/>
    <w:rsid w:val="6D3B1A89"/>
    <w:rsid w:val="6DB7D8A3"/>
    <w:rsid w:val="6EC78701"/>
    <w:rsid w:val="6F7A5481"/>
    <w:rsid w:val="6FFE07A9"/>
    <w:rsid w:val="71BF4EC2"/>
    <w:rsid w:val="72734D90"/>
    <w:rsid w:val="73E75B71"/>
    <w:rsid w:val="7412278C"/>
    <w:rsid w:val="75DDCDA9"/>
    <w:rsid w:val="75FF44B1"/>
    <w:rsid w:val="77670518"/>
    <w:rsid w:val="777FA627"/>
    <w:rsid w:val="77DF1B5F"/>
    <w:rsid w:val="77EF2D9D"/>
    <w:rsid w:val="79E7B28D"/>
    <w:rsid w:val="7ACFF0C2"/>
    <w:rsid w:val="7AFB9108"/>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6DF6147"/>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name="toc 4"/>
    <w:lsdException w:qFormat="1" w:uiPriority="39" w:name="toc 5"/>
    <w:lsdException w:qFormat="1" w:uiPriority="39" w:name="toc 6"/>
    <w:lsdException w:qFormat="1" w:uiPriority="39" w:name="toc 7"/>
    <w:lsdException w:qFormat="1" w:uiPriority="39" w:name="toc 8"/>
    <w:lsdException w:qFormat="1"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8"/>
    <w:unhideWhenUsed/>
    <w:qFormat/>
    <w:uiPriority w:val="9"/>
    <w:pPr>
      <w:keepNext/>
      <w:keepLines/>
      <w:spacing w:before="260" w:after="260" w:line="416" w:lineRule="auto"/>
      <w:outlineLvl w:val="2"/>
    </w:pPr>
    <w:rPr>
      <w:b/>
      <w:bCs/>
      <w:sz w:val="32"/>
      <w:szCs w:val="3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able of figures"/>
    <w:basedOn w:val="1"/>
    <w:next w:val="1"/>
    <w:semiHidden/>
    <w:qFormat/>
    <w:uiPriority w:val="99"/>
    <w:pPr>
      <w:ind w:left="200" w:leftChars="200" w:hanging="200" w:hangingChars="200"/>
    </w:pPr>
    <w:rPr>
      <w:rFonts w:ascii="Calibri" w:hAnsi="Calibri" w:eastAsia="仿宋_GB2312"/>
      <w:sz w:val="32"/>
    </w:rPr>
  </w:style>
  <w:style w:type="paragraph" w:styleId="6">
    <w:name w:val="toc 7"/>
    <w:basedOn w:val="1"/>
    <w:next w:val="1"/>
    <w:semiHidden/>
    <w:unhideWhenUsed/>
    <w:qFormat/>
    <w:uiPriority w:val="39"/>
    <w:pPr>
      <w:ind w:left="2520" w:leftChars="1200"/>
    </w:pPr>
  </w:style>
  <w:style w:type="paragraph" w:styleId="7">
    <w:name w:val="Body Text"/>
    <w:basedOn w:val="1"/>
    <w:link w:val="31"/>
    <w:qFormat/>
    <w:uiPriority w:val="99"/>
    <w:pPr>
      <w:spacing w:beforeLines="30"/>
    </w:pPr>
    <w:rPr>
      <w:rFonts w:ascii="仿宋_GB2312" w:eastAsia="仿宋_GB2312"/>
      <w:kern w:val="0"/>
      <w:sz w:val="30"/>
    </w:rPr>
  </w:style>
  <w:style w:type="paragraph" w:styleId="8">
    <w:name w:val="Body Text Indent"/>
    <w:basedOn w:val="1"/>
    <w:qFormat/>
    <w:uiPriority w:val="0"/>
    <w:pPr>
      <w:spacing w:after="120"/>
      <w:ind w:left="200" w:leftChars="200"/>
    </w:pPr>
    <w:rPr>
      <w:rFonts w:ascii="仿宋_GB2312"/>
      <w:szCs w:val="32"/>
    </w:rPr>
  </w:style>
  <w:style w:type="paragraph" w:styleId="9">
    <w:name w:val="toc 5"/>
    <w:basedOn w:val="1"/>
    <w:next w:val="1"/>
    <w:semiHidden/>
    <w:unhideWhenUsed/>
    <w:qFormat/>
    <w:uiPriority w:val="39"/>
    <w:pPr>
      <w:ind w:left="1680" w:leftChars="800"/>
    </w:pPr>
  </w:style>
  <w:style w:type="paragraph" w:styleId="10">
    <w:name w:val="toc 3"/>
    <w:basedOn w:val="1"/>
    <w:next w:val="1"/>
    <w:unhideWhenUsed/>
    <w:qFormat/>
    <w:uiPriority w:val="39"/>
    <w:pPr>
      <w:ind w:left="840" w:leftChars="400"/>
    </w:pPr>
  </w:style>
  <w:style w:type="paragraph" w:styleId="11">
    <w:name w:val="toc 8"/>
    <w:basedOn w:val="1"/>
    <w:next w:val="1"/>
    <w:semiHidden/>
    <w:unhideWhenUsed/>
    <w:qFormat/>
    <w:uiPriority w:val="39"/>
    <w:pPr>
      <w:ind w:left="2940" w:leftChars="1400"/>
    </w:pPr>
  </w:style>
  <w:style w:type="paragraph" w:styleId="12">
    <w:name w:val="Balloon Text"/>
    <w:basedOn w:val="1"/>
    <w:link w:val="37"/>
    <w:semiHidden/>
    <w:unhideWhenUsed/>
    <w:qFormat/>
    <w:uiPriority w:val="99"/>
    <w:rPr>
      <w:sz w:val="18"/>
      <w:szCs w:val="18"/>
    </w:rPr>
  </w:style>
  <w:style w:type="paragraph" w:styleId="13">
    <w:name w:val="footer"/>
    <w:basedOn w:val="1"/>
    <w:link w:val="29"/>
    <w:qFormat/>
    <w:uiPriority w:val="99"/>
    <w:pPr>
      <w:tabs>
        <w:tab w:val="center" w:pos="4153"/>
        <w:tab w:val="right" w:pos="8306"/>
      </w:tabs>
      <w:snapToGrid w:val="0"/>
      <w:jc w:val="left"/>
    </w:pPr>
    <w:rPr>
      <w:rFonts w:ascii="Calibri" w:hAnsi="Calibri"/>
      <w:kern w:val="0"/>
      <w:sz w:val="18"/>
      <w:szCs w:val="18"/>
    </w:rPr>
  </w:style>
  <w:style w:type="paragraph" w:styleId="14">
    <w:name w:val="header"/>
    <w:basedOn w:val="1"/>
    <w:link w:val="2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5">
    <w:name w:val="toc 1"/>
    <w:basedOn w:val="1"/>
    <w:next w:val="1"/>
    <w:unhideWhenUsed/>
    <w:qFormat/>
    <w:uiPriority w:val="39"/>
  </w:style>
  <w:style w:type="paragraph" w:styleId="16">
    <w:name w:val="toc 4"/>
    <w:basedOn w:val="1"/>
    <w:next w:val="1"/>
    <w:semiHidden/>
    <w:unhideWhenUsed/>
    <w:qFormat/>
    <w:uiPriority w:val="39"/>
    <w:pPr>
      <w:ind w:left="1260" w:leftChars="600"/>
    </w:pPr>
  </w:style>
  <w:style w:type="paragraph" w:styleId="17">
    <w:name w:val="toc 6"/>
    <w:basedOn w:val="1"/>
    <w:next w:val="1"/>
    <w:semiHidden/>
    <w:unhideWhenUsed/>
    <w:qFormat/>
    <w:uiPriority w:val="39"/>
    <w:pPr>
      <w:ind w:left="2100" w:leftChars="1000"/>
    </w:pPr>
  </w:style>
  <w:style w:type="paragraph" w:styleId="18">
    <w:name w:val="toc 2"/>
    <w:basedOn w:val="1"/>
    <w:next w:val="1"/>
    <w:unhideWhenUsed/>
    <w:qFormat/>
    <w:uiPriority w:val="39"/>
    <w:pPr>
      <w:ind w:left="420" w:leftChars="200"/>
    </w:pPr>
  </w:style>
  <w:style w:type="paragraph" w:styleId="19">
    <w:name w:val="toc 9"/>
    <w:basedOn w:val="1"/>
    <w:next w:val="1"/>
    <w:semiHidden/>
    <w:unhideWhenUsed/>
    <w:qFormat/>
    <w:uiPriority w:val="39"/>
    <w:pPr>
      <w:ind w:left="3360" w:leftChars="1600"/>
    </w:pPr>
  </w:style>
  <w:style w:type="paragraph" w:styleId="20">
    <w:name w:val="Body Text First Indent 2"/>
    <w:basedOn w:val="8"/>
    <w:unhideWhenUsed/>
    <w:qFormat/>
    <w:uiPriority w:val="99"/>
    <w:pPr>
      <w:ind w:firstLine="420" w:firstLineChars="200"/>
    </w:pPr>
  </w:style>
  <w:style w:type="character" w:styleId="23">
    <w:name w:val="Strong"/>
    <w:basedOn w:val="22"/>
    <w:qFormat/>
    <w:uiPriority w:val="99"/>
    <w:rPr>
      <w:b/>
    </w:rPr>
  </w:style>
  <w:style w:type="character" w:styleId="24">
    <w:name w:val="Hyperlink"/>
    <w:basedOn w:val="22"/>
    <w:unhideWhenUsed/>
    <w:qFormat/>
    <w:uiPriority w:val="99"/>
    <w:rPr>
      <w:color w:val="0000FF" w:themeColor="hyperlink"/>
      <w:u w:val="single"/>
      <w14:textFill>
        <w14:solidFill>
          <w14:schemeClr w14:val="hlink"/>
        </w14:solidFill>
      </w14:textFill>
    </w:rPr>
  </w:style>
  <w:style w:type="paragraph" w:customStyle="1" w:styleId="25">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6">
    <w:name w:val="Header Char"/>
    <w:basedOn w:val="22"/>
    <w:semiHidden/>
    <w:qFormat/>
    <w:uiPriority w:val="99"/>
    <w:rPr>
      <w:rFonts w:ascii="Times New Roman" w:hAnsi="Times New Roman"/>
      <w:sz w:val="18"/>
      <w:szCs w:val="18"/>
    </w:rPr>
  </w:style>
  <w:style w:type="character" w:customStyle="1" w:styleId="27">
    <w:name w:val="页眉 字符"/>
    <w:link w:val="14"/>
    <w:semiHidden/>
    <w:qFormat/>
    <w:locked/>
    <w:uiPriority w:val="99"/>
    <w:rPr>
      <w:sz w:val="18"/>
    </w:rPr>
  </w:style>
  <w:style w:type="character" w:customStyle="1" w:styleId="28">
    <w:name w:val="Footer Char"/>
    <w:basedOn w:val="22"/>
    <w:semiHidden/>
    <w:qFormat/>
    <w:uiPriority w:val="99"/>
    <w:rPr>
      <w:rFonts w:ascii="Times New Roman" w:hAnsi="Times New Roman"/>
      <w:sz w:val="18"/>
      <w:szCs w:val="18"/>
    </w:rPr>
  </w:style>
  <w:style w:type="character" w:customStyle="1" w:styleId="29">
    <w:name w:val="页脚 字符"/>
    <w:link w:val="13"/>
    <w:qFormat/>
    <w:locked/>
    <w:uiPriority w:val="99"/>
    <w:rPr>
      <w:sz w:val="18"/>
    </w:rPr>
  </w:style>
  <w:style w:type="character" w:customStyle="1" w:styleId="30">
    <w:name w:val="Body Text Char"/>
    <w:basedOn w:val="22"/>
    <w:semiHidden/>
    <w:qFormat/>
    <w:uiPriority w:val="99"/>
    <w:rPr>
      <w:rFonts w:ascii="Times New Roman" w:hAnsi="Times New Roman"/>
      <w:szCs w:val="24"/>
    </w:rPr>
  </w:style>
  <w:style w:type="character" w:customStyle="1" w:styleId="31">
    <w:name w:val="正文文本 字符"/>
    <w:link w:val="7"/>
    <w:qFormat/>
    <w:locked/>
    <w:uiPriority w:val="99"/>
    <w:rPr>
      <w:rFonts w:ascii="仿宋_GB2312" w:hAnsi="Times New Roman" w:eastAsia="仿宋_GB2312"/>
      <w:sz w:val="24"/>
    </w:rPr>
  </w:style>
  <w:style w:type="paragraph" w:customStyle="1" w:styleId="3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3">
    <w:name w:val="List Paragraph"/>
    <w:basedOn w:val="1"/>
    <w:qFormat/>
    <w:uiPriority w:val="34"/>
    <w:pPr>
      <w:ind w:firstLine="420" w:firstLineChars="200"/>
    </w:pPr>
  </w:style>
  <w:style w:type="character" w:customStyle="1" w:styleId="34">
    <w:name w:val="标题 1 字符"/>
    <w:basedOn w:val="22"/>
    <w:link w:val="3"/>
    <w:qFormat/>
    <w:uiPriority w:val="9"/>
    <w:rPr>
      <w:rFonts w:ascii="Times New Roman" w:hAnsi="Times New Roman"/>
      <w:b/>
      <w:bCs/>
      <w:kern w:val="44"/>
      <w:sz w:val="44"/>
      <w:szCs w:val="44"/>
    </w:rPr>
  </w:style>
  <w:style w:type="character" w:customStyle="1" w:styleId="35">
    <w:name w:val="标题 2 字符"/>
    <w:basedOn w:val="22"/>
    <w:link w:val="4"/>
    <w:qFormat/>
    <w:uiPriority w:val="9"/>
    <w:rPr>
      <w:rFonts w:asciiTheme="majorHAnsi" w:hAnsiTheme="majorHAnsi" w:eastAsiaTheme="majorEastAsia" w:cstheme="majorBidi"/>
      <w:b/>
      <w:bCs/>
      <w:kern w:val="2"/>
      <w:sz w:val="32"/>
      <w:szCs w:val="32"/>
    </w:rPr>
  </w:style>
  <w:style w:type="paragraph" w:customStyle="1" w:styleId="36">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7">
    <w:name w:val="批注框文本 字符"/>
    <w:basedOn w:val="22"/>
    <w:link w:val="12"/>
    <w:semiHidden/>
    <w:qFormat/>
    <w:uiPriority w:val="99"/>
    <w:rPr>
      <w:rFonts w:ascii="Times New Roman" w:hAnsi="Times New Roman"/>
      <w:kern w:val="2"/>
      <w:sz w:val="18"/>
      <w:szCs w:val="18"/>
    </w:rPr>
  </w:style>
  <w:style w:type="character" w:customStyle="1" w:styleId="38">
    <w:name w:val="标题 3 字符"/>
    <w:basedOn w:val="22"/>
    <w:link w:val="5"/>
    <w:qFormat/>
    <w:uiPriority w:val="9"/>
    <w:rPr>
      <w:rFonts w:ascii="Times New Roman" w:hAnsi="Times New Roman"/>
      <w:b/>
      <w:bCs/>
      <w:kern w:val="2"/>
      <w:sz w:val="32"/>
      <w:szCs w:val="32"/>
    </w:rPr>
  </w:style>
  <w:style w:type="paragraph" w:customStyle="1" w:styleId="39">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b="1"/>
              <a:t>收、支决算总计变动情况</a:t>
            </a:r>
            <a:endParaRPr lang="zh-CN" altLang="en-US" b="1"/>
          </a:p>
        </c:rich>
      </c:tx>
      <c:layout>
        <c:manualLayout>
          <c:xMode val="edge"/>
          <c:yMode val="edge"/>
          <c:x val="0.218354718244879"/>
          <c:y val="0.00936329588014981"/>
        </c:manualLayout>
      </c:layout>
      <c:overlay val="false"/>
      <c:spPr>
        <a:noFill/>
        <a:ln>
          <a:noFill/>
        </a:ln>
        <a:effectLst/>
      </c:spPr>
    </c:title>
    <c:autoTitleDeleted val="false"/>
    <c:plotArea>
      <c:layout>
        <c:manualLayout>
          <c:layoutTarget val="inner"/>
          <c:xMode val="edge"/>
          <c:yMode val="edge"/>
          <c:x val="0.113060344777099"/>
          <c:y val="0.240364599620508"/>
          <c:w val="0.840420736288505"/>
          <c:h val="0.567726971504308"/>
        </c:manualLayout>
      </c:layout>
      <c:barChart>
        <c:barDir val="col"/>
        <c:grouping val="clustered"/>
        <c:varyColors val="false"/>
        <c:ser>
          <c:idx val="0"/>
          <c:order val="0"/>
          <c:tx>
            <c:strRef>
              <c:f>Sheet1!$B$1</c:f>
              <c:strCache>
                <c:ptCount val="1"/>
                <c:pt idx="0">
                  <c:v>系列 1</c:v>
                </c:pt>
              </c:strCache>
            </c:strRef>
          </c:tx>
          <c:spPr>
            <a:solidFill>
              <a:schemeClr val="accent1"/>
            </a:solidFill>
            <a:ln>
              <a:noFill/>
            </a:ln>
            <a:effectLst/>
          </c:spPr>
          <c:invertIfNegative val="false"/>
          <c:dPt>
            <c:idx val="1"/>
            <c:invertIfNegative val="false"/>
            <c:bubble3D val="false"/>
            <c:spPr>
              <a:solidFill>
                <a:schemeClr val="accent2"/>
              </a:solidFill>
              <a:ln>
                <a:noFill/>
              </a:ln>
              <a:effectLst/>
            </c:spPr>
          </c:dPt>
          <c:dLbls>
            <c:dLbl>
              <c:idx val="0"/>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3704.14</a:t>
                    </a:r>
                    <a:endParaRPr lang="en-US" altLang="zh-CN"/>
                  </a:p>
                </c:rich>
              </c:tx>
              <c:dLblPos val="outEnd"/>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numRef>
              <c:f>Sheet1!$A$2:$A$3</c:f>
              <c:numCache>
                <c:formatCode>General</c:formatCode>
                <c:ptCount val="2"/>
                <c:pt idx="0">
                  <c:v>2023</c:v>
                </c:pt>
                <c:pt idx="1">
                  <c:v>2022</c:v>
                </c:pt>
              </c:numCache>
            </c:numRef>
          </c:cat>
          <c:val>
            <c:numRef>
              <c:f>Sheet1!$B$2:$B$3</c:f>
              <c:numCache>
                <c:formatCode>General</c:formatCode>
                <c:ptCount val="2"/>
                <c:pt idx="0">
                  <c:v>3704.14</c:v>
                </c:pt>
                <c:pt idx="1">
                  <c:v>4114.86</c:v>
                </c:pt>
              </c:numCache>
            </c:numRef>
          </c:val>
        </c:ser>
        <c:dLbls>
          <c:showLegendKey val="false"/>
          <c:showVal val="true"/>
          <c:showCatName val="false"/>
          <c:showSerName val="false"/>
          <c:showPercent val="false"/>
          <c:showBubbleSize val="false"/>
        </c:dLbls>
        <c:gapWidth val="383"/>
        <c:overlap val="-57"/>
        <c:axId val="196130688"/>
        <c:axId val="196187264"/>
      </c:barChart>
      <c:catAx>
        <c:axId val="196130688"/>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96187264"/>
        <c:crosses val="autoZero"/>
        <c:auto val="true"/>
        <c:lblAlgn val="ctr"/>
        <c:lblOffset val="100"/>
        <c:noMultiLvlLbl val="false"/>
      </c:catAx>
      <c:valAx>
        <c:axId val="196187264"/>
        <c:scaling>
          <c:orientation val="minMax"/>
        </c:scaling>
        <c:delete val="false"/>
        <c:axPos val="l"/>
        <c:majorGridlines>
          <c:spPr>
            <a:ln w="9525" cap="flat" cmpd="sng" algn="ctr">
              <a:solidFill>
                <a:schemeClr val="tx1">
                  <a:lumMod val="15000"/>
                  <a:lumOff val="850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96130688"/>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b="1"/>
              <a:t>收入情况</a:t>
            </a:r>
            <a:endParaRPr b="1"/>
          </a:p>
        </c:rich>
      </c:tx>
      <c:layout/>
      <c:overlay val="false"/>
      <c:spPr>
        <a:noFill/>
        <a:ln>
          <a:noFill/>
        </a:ln>
        <a:effectLst/>
      </c:spPr>
    </c:title>
    <c:autoTitleDeleted val="false"/>
    <c:plotArea>
      <c:layout/>
      <c:pieChart>
        <c:varyColors val="true"/>
        <c:ser>
          <c:idx val="0"/>
          <c:order val="0"/>
          <c:tx>
            <c:strRef>
              <c:f>Sheet1!$B$1</c:f>
              <c:strCache>
                <c:ptCount val="1"/>
                <c:pt idx="0">
                  <c:v>收入情况</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sz="1000" b="1"/>
                      <a:t>3610.78</a:t>
                    </a:r>
                    <a:endParaRPr lang="en-US" altLang="zh-CN" sz="1000" b="1"/>
                  </a:p>
                </c:rich>
              </c:tx>
              <c:dLblPos val="ctr"/>
              <c:showLegendKey val="false"/>
              <c:showVal val="false"/>
              <c:showCatName val="false"/>
              <c:showSerName val="false"/>
              <c:showPercent val="true"/>
              <c:showBubbleSize val="false"/>
              <c:extLst>
                <c:ext xmlns:c15="http://schemas.microsoft.com/office/drawing/2012/chart" uri="{CE6537A1-D6FC-4f65-9D91-7224C49458BB}"/>
              </c:extLst>
            </c:dLbl>
            <c:dLbl>
              <c:idx val="1"/>
              <c:layout>
                <c:manualLayout>
                  <c:x val="0.00944792884952757"/>
                  <c:y val="0.021293676531339"/>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sz="1000" b="1"/>
                      <a:t>93.36</a:t>
                    </a:r>
                    <a:endParaRPr lang="en-US" altLang="zh-CN" sz="1000" b="1"/>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事业收入</c:v>
                </c:pt>
              </c:strCache>
            </c:strRef>
          </c:cat>
          <c:val>
            <c:numRef>
              <c:f>Sheet1!$B$2:$B$3</c:f>
              <c:numCache>
                <c:formatCode>General</c:formatCode>
                <c:ptCount val="2"/>
                <c:pt idx="0">
                  <c:v>3610.78</c:v>
                </c:pt>
                <c:pt idx="1">
                  <c:v>93.36</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b="1"/>
              <a:t>支出情况</a:t>
            </a:r>
            <a:endParaRPr b="1"/>
          </a:p>
        </c:rich>
      </c:tx>
      <c:layout/>
      <c:overlay val="false"/>
      <c:spPr>
        <a:noFill/>
        <a:ln>
          <a:noFill/>
        </a:ln>
        <a:effectLst/>
      </c:spPr>
    </c:title>
    <c:autoTitleDeleted val="false"/>
    <c:plotArea>
      <c:layout/>
      <c:pieChart>
        <c:varyColors val="true"/>
        <c:ser>
          <c:idx val="0"/>
          <c:order val="0"/>
          <c:tx>
            <c:strRef>
              <c:f>Sheet1!$B$1</c:f>
              <c:strCache>
                <c:ptCount val="1"/>
                <c:pt idx="0">
                  <c:v>支出情况</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Lbls>
            <c:dLbl>
              <c:idx val="0"/>
              <c:layout>
                <c:manualLayout>
                  <c:x val="-0.134578720735732"/>
                  <c:y val="-0.183608823021112"/>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sz="1000" b="1">
                        <a:solidFill>
                          <a:srgbClr val="FFC000"/>
                        </a:solidFill>
                        <a:latin typeface="+mn-ea"/>
                        <a:ea typeface="黑体" panose="02010600030101010101" charset="-122"/>
                        <a:cs typeface="+mn-ea"/>
                      </a:rPr>
                      <a:t>3010.49</a:t>
                    </a:r>
                    <a:endParaRPr sz="1000" b="1">
                      <a:solidFill>
                        <a:srgbClr val="FFC000"/>
                      </a:solidFill>
                      <a:latin typeface="+mn-ea"/>
                      <a:ea typeface="黑体" panose="02010600030101010101" charset="-122"/>
                      <a:cs typeface="+mn-ea"/>
                    </a:endParaRPr>
                  </a:p>
                </c:rich>
              </c:tx>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sz="1050" b="1">
                        <a:solidFill>
                          <a:srgbClr val="FFC000"/>
                        </a:solidFill>
                      </a:rPr>
                      <a:t>693.65</a:t>
                    </a:r>
                    <a:endParaRPr sz="1050" b="1">
                      <a:solidFill>
                        <a:srgbClr val="FFC000"/>
                      </a:solidFill>
                    </a:endParaRPr>
                  </a:p>
                </c:rich>
              </c:tx>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3010.49</c:v>
                </c:pt>
                <c:pt idx="1">
                  <c:v>693.65</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sz="1200" b="1"/>
              <a:t>财政拨款收、支决算总计变动情况</a:t>
            </a:r>
            <a:endParaRPr sz="1200" b="1"/>
          </a:p>
        </c:rich>
      </c:tx>
      <c:layout>
        <c:manualLayout>
          <c:xMode val="edge"/>
          <c:yMode val="edge"/>
          <c:x val="0.269511165495598"/>
          <c:y val="0.035240577894702"/>
        </c:manualLayout>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财政拨款收、支决算总计变动情况</c:v>
                </c:pt>
              </c:strCache>
            </c:strRef>
          </c:tx>
          <c:spPr>
            <a:solidFill>
              <a:schemeClr val="accent1"/>
            </a:solidFill>
            <a:ln>
              <a:noFill/>
            </a:ln>
            <a:effectLst/>
          </c:spPr>
          <c:invertIfNegative val="false"/>
          <c:dPt>
            <c:idx val="1"/>
            <c:invertIfNegative val="false"/>
            <c:bubble3D val="false"/>
            <c:spPr>
              <a:solidFill>
                <a:schemeClr val="accent2"/>
              </a:solidFill>
              <a:ln>
                <a:noFill/>
              </a:ln>
              <a:effectLst/>
            </c:spPr>
          </c:dPt>
          <c:dLbls>
            <c:dLbl>
              <c:idx val="0"/>
              <c:layout/>
              <c:dLblPos val="outEnd"/>
              <c:showLegendKey val="false"/>
              <c:showVal val="true"/>
              <c:showCatName val="false"/>
              <c:showSerName val="false"/>
              <c:showPercent val="false"/>
              <c:showBubbleSize val="false"/>
              <c:extLst>
                <c:ext xmlns:c15="http://schemas.microsoft.com/office/drawing/2012/chart" uri="{CE6537A1-D6FC-4f65-9D91-7224C49458BB}"/>
              </c:extLst>
            </c:dLbl>
            <c:dLbl>
              <c:idx val="1"/>
              <c:layout/>
              <c:dLblPos val="outEnd"/>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fals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Sheet1!$A$2:$A$3</c:f>
              <c:strCache>
                <c:ptCount val="2"/>
                <c:pt idx="0">
                  <c:v>2023年</c:v>
                </c:pt>
                <c:pt idx="1">
                  <c:v>2022年</c:v>
                </c:pt>
              </c:strCache>
            </c:strRef>
          </c:cat>
          <c:val>
            <c:numRef>
              <c:extLst>
                <c:ext xmlns:c15="http://schemas.microsoft.com/office/drawing/2012/chart" uri="{02D57815-91ED-43cb-92C2-25804820EDAC}">
                  <c15:fullRef>
                    <c15:sqref>Sheet1!$B$2:$B$5</c15:sqref>
                  </c15:fullRef>
                </c:ext>
              </c:extLst>
              <c:f>Sheet1!$B$2:$B$3</c:f>
              <c:numCache>
                <c:formatCode>General</c:formatCode>
                <c:ptCount val="2"/>
                <c:pt idx="0">
                  <c:v>3610.78</c:v>
                </c:pt>
                <c:pt idx="1">
                  <c:v>4009.86</c:v>
                </c:pt>
              </c:numCache>
            </c:numRef>
          </c:val>
        </c:ser>
        <c:dLbls>
          <c:showLegendKey val="false"/>
          <c:showVal val="false"/>
          <c:showCatName val="false"/>
          <c:showSerName val="false"/>
          <c:showPercent val="false"/>
          <c:showBubbleSize val="false"/>
        </c:dLbls>
        <c:gapWidth val="219"/>
        <c:overlap val="-27"/>
        <c:axId val="591497624"/>
        <c:axId val="683476537"/>
        <c:extLst>
          <c:ext xmlns:c15="http://schemas.microsoft.com/office/drawing/2012/chart" uri="{02D57815-91ED-43cb-92C2-25804820EDAC}">
            <c15:filteredBarSeries>
              <c15:ser>
                <c:idx val="1"/>
                <c:order val="1"/>
                <c:tx>
                  <c:strRef>
                    <c:extLst>
                      <c:ext uri="{02D57815-91ED-43cb-92C2-25804820EDAC}">
                        <c15:formulaRef>
                          <c15:sqref>Sheet1!$C$1</c15:sqref>
                        </c15:formulaRef>
                      </c:ext>
                    </c:extLst>
                    <c:strCache>
                      <c:ptCount val="1"/>
                      <c:pt idx="0">
                        <c:v/>
                      </c:pt>
                    </c:strCache>
                  </c:strRef>
                </c:tx>
                <c:spPr>
                  <a:solidFill>
                    <a:schemeClr val="accent2"/>
                  </a:solidFill>
                  <a:ln>
                    <a:noFill/>
                  </a:ln>
                  <a:effectLst/>
                </c:spPr>
                <c:invertIfNegative val="false"/>
                <c:dLbls>
                  <c:delete val="true"/>
                </c:dLbls>
                <c:cat>
                  <c:strRef>
                    <c:extLst>
                      <c:ext uri="{02D57815-91ED-43cb-92C2-25804820EDAC}">
                        <c15:fullRef>
                          <c15:sqref>Sheet1!$A$2:$A$5</c15:sqref>
                        </c15:fullRef>
                        <c15:formulaRef>
                          <c15:sqref>Sheet1!$A$2:$A$3</c15:sqref>
                        </c15:formulaRef>
                      </c:ext>
                    </c:extLst>
                    <c:strCache>
                      <c:ptCount val="2"/>
                      <c:pt idx="0">
                        <c:v>2023年</c:v>
                      </c:pt>
                      <c:pt idx="1">
                        <c:v>2022年</c:v>
                      </c:pt>
                    </c:strCache>
                  </c:strRef>
                </c:cat>
                <c:val>
                  <c:numRef>
                    <c:extLst>
                      <c:ext uri="{02D57815-91ED-43cb-92C2-25804820EDAC}">
                        <c15:fullRef>
                          <c15:sqref>Sheet1!$C$2:$C$5</c15:sqref>
                        </c15:fullRef>
                        <c15:formulaRef>
                          <c15:sqref>Sheet1!$C$2:$C$3</c15:sqref>
                        </c15:formulaRef>
                      </c:ext>
                    </c:extLst>
                    <c:numCache>
                      <c:formatCode>General</c:formatCode>
                      <c:ptCount val="2"/>
                    </c:numCache>
                  </c:numRef>
                </c:val>
              </c15:ser>
            </c15:filteredBarSeries>
            <c15:filteredBarSeries>
              <c15:ser>
                <c:idx val="2"/>
                <c:order val="2"/>
                <c:tx>
                  <c:strRef>
                    <c:extLst>
                      <c:ext uri="{02D57815-91ED-43cb-92C2-25804820EDAC}">
                        <c15:formulaRef>
                          <c15:sqref>Sheet1!$D$1</c15:sqref>
                        </c15:formulaRef>
                      </c:ext>
                    </c:extLst>
                    <c:strCache>
                      <c:ptCount val="1"/>
                      <c:pt idx="0">
                        <c:v/>
                      </c:pt>
                    </c:strCache>
                  </c:strRef>
                </c:tx>
                <c:spPr>
                  <a:solidFill>
                    <a:schemeClr val="accent3"/>
                  </a:solidFill>
                  <a:ln>
                    <a:noFill/>
                  </a:ln>
                  <a:effectLst/>
                </c:spPr>
                <c:invertIfNegative val="false"/>
                <c:dLbls>
                  <c:delete val="true"/>
                </c:dLbls>
                <c:cat>
                  <c:strRef>
                    <c:extLst>
                      <c:ext uri="{02D57815-91ED-43cb-92C2-25804820EDAC}">
                        <c15:fullRef>
                          <c15:sqref>Sheet1!$A$2:$A$5</c15:sqref>
                        </c15:fullRef>
                        <c15:formulaRef>
                          <c15:sqref>Sheet1!$A$2:$A$3</c15:sqref>
                        </c15:formulaRef>
                      </c:ext>
                    </c:extLst>
                    <c:strCache>
                      <c:ptCount val="2"/>
                      <c:pt idx="0">
                        <c:v>2023年</c:v>
                      </c:pt>
                      <c:pt idx="1">
                        <c:v>2022年</c:v>
                      </c:pt>
                    </c:strCache>
                  </c:strRef>
                </c:cat>
                <c:val>
                  <c:numRef>
                    <c:extLst>
                      <c:ext uri="{02D57815-91ED-43cb-92C2-25804820EDAC}">
                        <c15:fullRef>
                          <c15:sqref>Sheet1!$D$2:$D$5</c15:sqref>
                        </c15:fullRef>
                        <c15:formulaRef>
                          <c15:sqref>Sheet1!$D$2:$D$3</c15:sqref>
                        </c15:formulaRef>
                      </c:ext>
                    </c:extLst>
                    <c:numCache>
                      <c:formatCode>General</c:formatCode>
                      <c:ptCount val="2"/>
                    </c:numCache>
                  </c:numRef>
                </c:val>
              </c15:ser>
            </c15:filteredBarSeries>
          </c:ext>
        </c:extLst>
      </c:barChart>
      <c:catAx>
        <c:axId val="59149762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683476537"/>
        <c:crosses val="autoZero"/>
        <c:auto val="true"/>
        <c:lblAlgn val="ctr"/>
        <c:lblOffset val="100"/>
        <c:noMultiLvlLbl val="false"/>
      </c:catAx>
      <c:valAx>
        <c:axId val="683476537"/>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9149762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sz="1200" b="1"/>
              <a:t>一般公共预算财政拨款支出决算变动情况</a:t>
            </a:r>
            <a:endParaRPr sz="1200" b="1"/>
          </a:p>
        </c:rich>
      </c:tx>
      <c:layout>
        <c:manualLayout>
          <c:xMode val="edge"/>
          <c:yMode val="edge"/>
          <c:x val="0.160972815278521"/>
          <c:y val="0.035240577894702"/>
        </c:manualLayout>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财政拨款收、支决算总计变动情况</c:v>
                </c:pt>
              </c:strCache>
            </c:strRef>
          </c:tx>
          <c:spPr>
            <a:solidFill>
              <a:schemeClr val="accent1"/>
            </a:solidFill>
            <a:ln>
              <a:noFill/>
            </a:ln>
            <a:effectLst/>
          </c:spPr>
          <c:invertIfNegative val="false"/>
          <c:dPt>
            <c:idx val="1"/>
            <c:invertIfNegative val="false"/>
            <c:bubble3D val="false"/>
            <c:spPr>
              <a:solidFill>
                <a:schemeClr val="accent2"/>
              </a:solidFill>
              <a:ln>
                <a:noFill/>
              </a:ln>
              <a:effectLst/>
            </c:spPr>
          </c:dPt>
          <c:dLbls>
            <c:dLbl>
              <c:idx val="0"/>
              <c:layout/>
              <c:dLblPos val="outEnd"/>
              <c:showLegendKey val="false"/>
              <c:showVal val="true"/>
              <c:showCatName val="false"/>
              <c:showSerName val="false"/>
              <c:showPercent val="false"/>
              <c:showBubbleSize val="false"/>
              <c:extLst>
                <c:ext xmlns:c15="http://schemas.microsoft.com/office/drawing/2012/chart" uri="{CE6537A1-D6FC-4f65-9D91-7224C49458BB}"/>
              </c:extLst>
            </c:dLbl>
            <c:dLbl>
              <c:idx val="1"/>
              <c:layout/>
              <c:dLblPos val="outEnd"/>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fals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Sheet1!$A$2:$A$5</c15:sqref>
                  </c15:fullRef>
                </c:ext>
              </c:extLst>
              <c:f>Sheet1!$A$2:$A$3</c:f>
              <c:strCache>
                <c:ptCount val="2"/>
                <c:pt idx="0">
                  <c:v>2023年</c:v>
                </c:pt>
                <c:pt idx="1">
                  <c:v>2022年</c:v>
                </c:pt>
              </c:strCache>
            </c:strRef>
          </c:cat>
          <c:val>
            <c:numRef>
              <c:extLst>
                <c:ext xmlns:c15="http://schemas.microsoft.com/office/drawing/2012/chart" uri="{02D57815-91ED-43cb-92C2-25804820EDAC}">
                  <c15:fullRef>
                    <c15:sqref>Sheet1!$B$2:$B$5</c15:sqref>
                  </c15:fullRef>
                </c:ext>
              </c:extLst>
              <c:f>Sheet1!$B$2:$B$3</c:f>
              <c:numCache>
                <c:formatCode>General</c:formatCode>
                <c:ptCount val="2"/>
                <c:pt idx="0">
                  <c:v>3610.78</c:v>
                </c:pt>
                <c:pt idx="1">
                  <c:v>4009.86</c:v>
                </c:pt>
              </c:numCache>
            </c:numRef>
          </c:val>
        </c:ser>
        <c:dLbls>
          <c:showLegendKey val="false"/>
          <c:showVal val="false"/>
          <c:showCatName val="false"/>
          <c:showSerName val="false"/>
          <c:showPercent val="false"/>
          <c:showBubbleSize val="false"/>
        </c:dLbls>
        <c:gapWidth val="219"/>
        <c:overlap val="-27"/>
        <c:axId val="591497624"/>
        <c:axId val="683476537"/>
        <c:extLst>
          <c:ext xmlns:c15="http://schemas.microsoft.com/office/drawing/2012/chart" uri="{02D57815-91ED-43cb-92C2-25804820EDAC}">
            <c15:filteredBarSeries>
              <c15:ser>
                <c:idx val="1"/>
                <c:order val="1"/>
                <c:tx>
                  <c:strRef>
                    <c:extLst>
                      <c:ext uri="{02D57815-91ED-43cb-92C2-25804820EDAC}">
                        <c15:formulaRef>
                          <c15:sqref>Sheet1!$C$1</c15:sqref>
                        </c15:formulaRef>
                      </c:ext>
                    </c:extLst>
                    <c:strCache>
                      <c:ptCount val="1"/>
                      <c:pt idx="0">
                        <c:v/>
                      </c:pt>
                    </c:strCache>
                  </c:strRef>
                </c:tx>
                <c:spPr>
                  <a:solidFill>
                    <a:schemeClr val="accent2"/>
                  </a:solidFill>
                  <a:ln>
                    <a:noFill/>
                  </a:ln>
                  <a:effectLst/>
                </c:spPr>
                <c:invertIfNegative val="false"/>
                <c:dLbls>
                  <c:delete val="true"/>
                </c:dLbls>
                <c:cat>
                  <c:strRef>
                    <c:extLst>
                      <c:ext uri="{02D57815-91ED-43cb-92C2-25804820EDAC}">
                        <c15:fullRef>
                          <c15:sqref>Sheet1!$A$2:$A$5</c15:sqref>
                        </c15:fullRef>
                        <c15:formulaRef>
                          <c15:sqref>Sheet1!$A$2:$A$3</c15:sqref>
                        </c15:formulaRef>
                      </c:ext>
                    </c:extLst>
                    <c:strCache>
                      <c:ptCount val="2"/>
                      <c:pt idx="0">
                        <c:v>2023年</c:v>
                      </c:pt>
                      <c:pt idx="1">
                        <c:v>2022年</c:v>
                      </c:pt>
                    </c:strCache>
                  </c:strRef>
                </c:cat>
                <c:val>
                  <c:numRef>
                    <c:extLst>
                      <c:ext uri="{02D57815-91ED-43cb-92C2-25804820EDAC}">
                        <c15:fullRef>
                          <c15:sqref>Sheet1!$C$2:$C$5</c15:sqref>
                        </c15:fullRef>
                        <c15:formulaRef>
                          <c15:sqref>Sheet1!$C$2:$C$3</c15:sqref>
                        </c15:formulaRef>
                      </c:ext>
                    </c:extLst>
                    <c:numCache>
                      <c:formatCode>General</c:formatCode>
                      <c:ptCount val="2"/>
                    </c:numCache>
                  </c:numRef>
                </c:val>
              </c15:ser>
            </c15:filteredBarSeries>
            <c15:filteredBarSeries>
              <c15:ser>
                <c:idx val="2"/>
                <c:order val="2"/>
                <c:tx>
                  <c:strRef>
                    <c:extLst>
                      <c:ext uri="{02D57815-91ED-43cb-92C2-25804820EDAC}">
                        <c15:formulaRef>
                          <c15:sqref>Sheet1!$D$1</c15:sqref>
                        </c15:formulaRef>
                      </c:ext>
                    </c:extLst>
                    <c:strCache>
                      <c:ptCount val="1"/>
                      <c:pt idx="0">
                        <c:v/>
                      </c:pt>
                    </c:strCache>
                  </c:strRef>
                </c:tx>
                <c:spPr>
                  <a:solidFill>
                    <a:schemeClr val="accent3"/>
                  </a:solidFill>
                  <a:ln>
                    <a:noFill/>
                  </a:ln>
                  <a:effectLst/>
                </c:spPr>
                <c:invertIfNegative val="false"/>
                <c:dLbls>
                  <c:delete val="true"/>
                </c:dLbls>
                <c:cat>
                  <c:strRef>
                    <c:extLst>
                      <c:ext uri="{02D57815-91ED-43cb-92C2-25804820EDAC}">
                        <c15:fullRef>
                          <c15:sqref>Sheet1!$A$2:$A$5</c15:sqref>
                        </c15:fullRef>
                        <c15:formulaRef>
                          <c15:sqref>Sheet1!$A$2:$A$3</c15:sqref>
                        </c15:formulaRef>
                      </c:ext>
                    </c:extLst>
                    <c:strCache>
                      <c:ptCount val="2"/>
                      <c:pt idx="0">
                        <c:v>2023年</c:v>
                      </c:pt>
                      <c:pt idx="1">
                        <c:v>2022年</c:v>
                      </c:pt>
                    </c:strCache>
                  </c:strRef>
                </c:cat>
                <c:val>
                  <c:numRef>
                    <c:extLst>
                      <c:ext uri="{02D57815-91ED-43cb-92C2-25804820EDAC}">
                        <c15:fullRef>
                          <c15:sqref>Sheet1!$D$2:$D$5</c15:sqref>
                        </c15:fullRef>
                        <c15:formulaRef>
                          <c15:sqref>Sheet1!$D$2:$D$3</c15:sqref>
                        </c15:formulaRef>
                      </c:ext>
                    </c:extLst>
                    <c:numCache>
                      <c:formatCode>General</c:formatCode>
                      <c:ptCount val="2"/>
                    </c:numCache>
                  </c:numRef>
                </c:val>
              </c15:ser>
            </c15:filteredBarSeries>
          </c:ext>
        </c:extLst>
      </c:barChart>
      <c:catAx>
        <c:axId val="59149762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683476537"/>
        <c:crosses val="autoZero"/>
        <c:auto val="true"/>
        <c:lblAlgn val="ctr"/>
        <c:lblOffset val="100"/>
        <c:noMultiLvlLbl val="false"/>
      </c:catAx>
      <c:valAx>
        <c:axId val="683476537"/>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59149762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manualLayout>
          <c:layoutTarget val="inner"/>
          <c:xMode val="edge"/>
          <c:yMode val="edge"/>
          <c:x val="0.116550448270955"/>
          <c:y val="0.172238874798248"/>
          <c:w val="0.477444144015939"/>
          <c:h val="0.773576204749827"/>
        </c:manualLayout>
      </c:layout>
      <c:pieChart>
        <c:varyColors val="true"/>
        <c:ser>
          <c:idx val="0"/>
          <c:order val="0"/>
          <c:tx>
            <c:strRef>
              <c:f>Sheet1!$B$1</c:f>
              <c:strCache>
                <c:ptCount val="1"/>
                <c:pt idx="0">
                  <c:v>一般公共预算财政拨款支出决算结构</c:v>
                </c:pt>
              </c:strCache>
            </c:strRef>
          </c:tx>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Lbls>
            <c:dLbl>
              <c:idx val="0"/>
              <c:layout>
                <c:manualLayout>
                  <c:x val="-0.134816372901506"/>
                  <c:y val="-0.281981820587094"/>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sz="1000" b="1"/>
                      <a:t>2933.95</a:t>
                    </a:r>
                    <a:endParaRPr lang="en-US" altLang="zh-CN" sz="1000" b="1"/>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manualLayout>
                      <c:w val="0.133627437028604"/>
                      <c:h val="0.141572515563754"/>
                    </c:manualLayout>
                  </c15:layout>
                </c:ext>
              </c:extLst>
            </c:dLbl>
            <c:dLbl>
              <c:idx val="1"/>
              <c:layout>
                <c:manualLayout>
                  <c:x val="0.0866533080780322"/>
                  <c:y val="0.118014184520448"/>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sz="1000" b="1"/>
                      <a:t>369.72</a:t>
                    </a:r>
                    <a:endParaRPr lang="en-US" altLang="zh-CN" sz="1000" b="1"/>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2"/>
              <c:layout>
                <c:manualLayout>
                  <c:x val="0.000782291275712704"/>
                  <c:y val="0.049173290513935"/>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sz="1000" b="1"/>
                      <a:t>101.5</a:t>
                    </a:r>
                    <a:endParaRPr lang="en-US" altLang="zh-CN" sz="1000" b="1"/>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dLbl>
              <c:idx val="3"/>
              <c:layout>
                <c:manualLayout>
                  <c:x val="0.0339941030763556"/>
                  <c:y val="0.0919917508943582"/>
                </c:manualLayout>
              </c:layout>
              <c:tx>
                <c:rich>
                  <a:bodyPr rot="0" spcFirstLastPara="0" vertOverflow="ellipsis" vert="horz" wrap="square" lIns="38100" tIns="19050" rIns="38100" bIns="19050" anchor="ctr" anchorCtr="true"/>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sz="1000" b="1"/>
                      <a:t>205.61</a:t>
                    </a:r>
                    <a:endParaRPr lang="en-US" altLang="zh-CN" sz="1000" b="1"/>
                  </a:p>
                </c:rich>
              </c:tx>
              <c:dLblPos val="bestFit"/>
              <c:showLegendKey val="false"/>
              <c:showVal val="false"/>
              <c:showCatName val="fals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false"/>
            <c:showVal val="false"/>
            <c:showCatName val="fals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Sheet1!$A$2:$A$5</c:f>
              <c:strCache>
                <c:ptCount val="4"/>
                <c:pt idx="0">
                  <c:v>教育支出</c:v>
                </c:pt>
                <c:pt idx="1">
                  <c:v>社会保障和就业支出</c:v>
                </c:pt>
                <c:pt idx="2">
                  <c:v>卫生健康支出</c:v>
                </c:pt>
                <c:pt idx="3">
                  <c:v>住房保障支出</c:v>
                </c:pt>
              </c:strCache>
            </c:strRef>
          </c:cat>
          <c:val>
            <c:numRef>
              <c:f>Sheet1!$B$2:$B$5</c:f>
              <c:numCache>
                <c:formatCode>General</c:formatCode>
                <c:ptCount val="4"/>
                <c:pt idx="0">
                  <c:v>2933.95</c:v>
                </c:pt>
                <c:pt idx="1">
                  <c:v>369.72</c:v>
                </c:pt>
                <c:pt idx="2">
                  <c:v>101.5</c:v>
                </c:pt>
                <c:pt idx="3">
                  <c:v>205.61</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r"/>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sectNamePr val="目录页"/>
      <sectRole val="2"/>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17</Pages>
  <Words>4706</Words>
  <Characters>5164</Characters>
  <Lines>54</Lines>
  <Paragraphs>15</Paragraphs>
  <TotalTime>538</TotalTime>
  <ScaleCrop>false</ScaleCrop>
  <LinksUpToDate>false</LinksUpToDate>
  <CharactersWithSpaces>5224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2020-08-08T09:49:00Z</dcterms:created>
  <dc:creator>曹颖</dc:creator>
  <cp:lastModifiedBy> </cp:lastModifiedBy>
  <cp:lastPrinted>2023-08-03T10:35:00Z</cp:lastPrinted>
  <dcterms:modified xsi:type="dcterms:W3CDTF">2024-10-11T18:00:01Z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9BF894326C064DE8A28DE5196F9013AA_12</vt:lpwstr>
  </property>
</Properties>
</file>