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ascii="方正小标宋简体" w:hAnsi="宋体" w:eastAsia="方正小标宋简体"/>
          <w:szCs w:val="21"/>
        </w:rPr>
      </w:pPr>
      <w:bookmarkStart w:id="0" w:name="_Toc15306267"/>
    </w:p>
    <w:p>
      <w:pPr>
        <w:spacing w:line="600" w:lineRule="exact"/>
        <w:jc w:val="center"/>
        <w:rPr>
          <w:rFonts w:ascii="方正小标宋简体" w:hAnsi="宋体" w:eastAsia="方正小标宋简体"/>
          <w:sz w:val="72"/>
          <w:szCs w:val="72"/>
        </w:rPr>
      </w:pPr>
    </w:p>
    <w:p>
      <w:pPr>
        <w:spacing w:line="600" w:lineRule="exact"/>
        <w:jc w:val="center"/>
        <w:rPr>
          <w:rFonts w:ascii="方正小标宋简体" w:hAnsi="宋体" w:eastAsia="方正小标宋简体"/>
          <w:sz w:val="72"/>
          <w:szCs w:val="72"/>
        </w:rPr>
      </w:pPr>
    </w:p>
    <w:bookmarkEnd w:id="0"/>
    <w:p>
      <w:pPr>
        <w:pStyle w:val="6"/>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2023年度广元市社会保险事务中心</w:t>
      </w:r>
    </w:p>
    <w:p>
      <w:pPr>
        <w:pStyle w:val="6"/>
        <w:jc w:val="center"/>
        <w:rPr>
          <w:rFonts w:hint="eastAsia" w:ascii="方正小标宋简体" w:hAnsi="宋体" w:eastAsia="方正小标宋简体" w:cs="Times New Roman"/>
          <w:color w:val="auto"/>
          <w:kern w:val="2"/>
          <w:sz w:val="44"/>
          <w:szCs w:val="44"/>
          <w:highlight w:val="none"/>
          <w:lang w:val="en-US" w:eastAsia="zh-CN" w:bidi="ar-SA"/>
        </w:rPr>
      </w:pPr>
      <w:r>
        <w:rPr>
          <w:rFonts w:hint="eastAsia" w:ascii="方正小标宋简体" w:hAnsi="宋体" w:eastAsia="方正小标宋简体" w:cs="Times New Roman"/>
          <w:color w:val="auto"/>
          <w:kern w:val="2"/>
          <w:sz w:val="44"/>
          <w:szCs w:val="44"/>
          <w:highlight w:val="none"/>
          <w:lang w:val="en-US" w:eastAsia="zh-CN" w:bidi="ar-SA"/>
        </w:rPr>
        <w:t>单位决算</w:t>
      </w:r>
    </w:p>
    <w:p>
      <w:pPr>
        <w:widowControl/>
        <w:jc w:val="center"/>
        <w:rPr>
          <w:rFonts w:ascii="黑体" w:hAnsi="黑体" w:eastAsia="黑体" w:cstheme="minorBidi"/>
          <w:sz w:val="28"/>
          <w:szCs w:val="28"/>
        </w:rPr>
      </w:pPr>
      <w:r>
        <w:rPr>
          <w:rFonts w:ascii="方正小标宋简体" w:hAnsi="宋体" w:eastAsia="方正小标宋简体"/>
          <w:sz w:val="36"/>
          <w:szCs w:val="36"/>
        </w:rPr>
        <w:br w:type="page"/>
      </w:r>
      <w:r>
        <w:rPr>
          <w:rFonts w:hint="eastAsia" w:ascii="黑体" w:hAnsi="黑体" w:eastAsia="黑体"/>
          <w:sz w:val="48"/>
          <w:szCs w:val="48"/>
        </w:rPr>
        <w:t>目   录</w:t>
      </w:r>
    </w:p>
    <w:p>
      <w:pPr>
        <w:pStyle w:val="11"/>
      </w:pPr>
      <w:r>
        <w:rPr>
          <w:rFonts w:hint="eastAsia"/>
        </w:rPr>
        <w:t>公开时间：202</w:t>
      </w:r>
      <w:r>
        <w:rPr>
          <w:rFonts w:hint="eastAsia"/>
          <w:lang w:val="en-US" w:eastAsia="zh-CN"/>
        </w:rPr>
        <w:t>4</w:t>
      </w:r>
      <w:r>
        <w:rPr>
          <w:rFonts w:hint="eastAsia"/>
        </w:rPr>
        <w:t>年10 月</w:t>
      </w:r>
      <w:r>
        <w:rPr>
          <w:rFonts w:hint="eastAsia"/>
          <w:lang w:val="en-US" w:eastAsia="zh-CN"/>
        </w:rPr>
        <w:t>14</w:t>
      </w:r>
      <w:r>
        <w:rPr>
          <w:rFonts w:hint="eastAsia"/>
        </w:rPr>
        <w:t>日</w:t>
      </w:r>
    </w:p>
    <w:sdt>
      <w:sdtPr>
        <w:rPr>
          <w:rFonts w:ascii="宋体" w:hAnsi="宋体" w:eastAsia="宋体" w:cs="Times New Roman"/>
          <w:kern w:val="2"/>
          <w:sz w:val="21"/>
          <w:szCs w:val="24"/>
          <w:lang w:val="en-US" w:eastAsia="zh-CN" w:bidi="ar-SA"/>
        </w:rPr>
        <w:id w:val="147469625"/>
        <w15:color w:val="DBDBDB"/>
        <w:docPartObj>
          <w:docPartGallery w:val="Table of Contents"/>
          <w:docPartUnique/>
        </w:docPartObj>
      </w:sdtPr>
      <w:sdtEndPr>
        <w:rPr>
          <w:rFonts w:ascii="宋体" w:hAnsi="宋体" w:eastAsia="宋体" w:cs="Times New Roman"/>
          <w:b/>
          <w:kern w:val="2"/>
          <w:sz w:val="21"/>
          <w:szCs w:val="24"/>
          <w:lang w:val="en-US" w:eastAsia="zh-CN" w:bidi="ar-SA"/>
        </w:rPr>
      </w:sdtEndPr>
      <w:sdtContent>
        <w:p>
          <w:pPr>
            <w:spacing w:before="0" w:beforeLines="0" w:after="0" w:afterLines="0" w:line="240" w:lineRule="auto"/>
            <w:ind w:left="0" w:leftChars="0" w:right="0" w:rightChars="0" w:firstLine="0" w:firstLineChars="0"/>
            <w:jc w:val="center"/>
          </w:pPr>
        </w:p>
        <w:p>
          <w:pPr>
            <w:pStyle w:val="31"/>
            <w:tabs>
              <w:tab w:val="right" w:leader="dot" w:pos="8306"/>
            </w:tabs>
            <w:rPr>
              <w:b/>
            </w:rPr>
          </w:pPr>
          <w:r>
            <w:fldChar w:fldCharType="begin"/>
          </w:r>
          <w:r>
            <w:instrText xml:space="preserve">TOC \o "1-2" \h \u </w:instrText>
          </w:r>
          <w:r>
            <w:fldChar w:fldCharType="separate"/>
          </w:r>
          <w:r>
            <w:rPr>
              <w:b/>
            </w:rPr>
            <w:fldChar w:fldCharType="begin"/>
          </w:r>
          <w:r>
            <w:rPr>
              <w:b/>
            </w:rPr>
            <w:instrText xml:space="preserve"> HYPERLINK \l _Toc769 </w:instrText>
          </w:r>
          <w:r>
            <w:rPr>
              <w:b/>
            </w:rPr>
            <w:fldChar w:fldCharType="separate"/>
          </w:r>
          <w:r>
            <w:rPr>
              <w:rFonts w:hint="eastAsia" w:ascii="黑体" w:hAnsi="黑体" w:eastAsia="黑体"/>
              <w:b/>
              <w:bCs w:val="0"/>
            </w:rPr>
            <w:t>第一部分 单位概况</w:t>
          </w:r>
          <w:r>
            <w:rPr>
              <w:b/>
            </w:rPr>
            <w:tab/>
          </w:r>
          <w:r>
            <w:rPr>
              <w:b/>
            </w:rPr>
            <w:fldChar w:fldCharType="begin"/>
          </w:r>
          <w:r>
            <w:rPr>
              <w:b/>
            </w:rPr>
            <w:instrText xml:space="preserve"> PAGEREF _Toc769 \h </w:instrText>
          </w:r>
          <w:r>
            <w:rPr>
              <w:b/>
            </w:rPr>
            <w:fldChar w:fldCharType="separate"/>
          </w:r>
          <w:r>
            <w:rPr>
              <w:b/>
            </w:rPr>
            <w:t>3</w:t>
          </w:r>
          <w:r>
            <w:rPr>
              <w:b/>
            </w:rPr>
            <w:fldChar w:fldCharType="end"/>
          </w:r>
          <w:r>
            <w:rPr>
              <w:b/>
            </w:rPr>
            <w:fldChar w:fldCharType="end"/>
          </w:r>
        </w:p>
        <w:p>
          <w:pPr>
            <w:pStyle w:val="32"/>
            <w:tabs>
              <w:tab w:val="right" w:leader="dot" w:pos="8306"/>
            </w:tabs>
          </w:pPr>
          <w:r>
            <w:fldChar w:fldCharType="begin"/>
          </w:r>
          <w:r>
            <w:instrText xml:space="preserve"> HYPERLINK \l _Toc13109 </w:instrText>
          </w:r>
          <w:r>
            <w:fldChar w:fldCharType="separate"/>
          </w:r>
          <w:r>
            <w:rPr>
              <w:rFonts w:hint="eastAsia" w:ascii="黑体" w:hAnsi="黑体" w:eastAsia="黑体"/>
              <w:bCs w:val="0"/>
            </w:rPr>
            <w:t>一</w:t>
          </w:r>
          <w:r>
            <w:rPr>
              <w:rFonts w:hint="eastAsia" w:ascii="黑体" w:hAnsi="黑体" w:eastAsia="黑体"/>
              <w:bCs w:val="0"/>
              <w:lang w:eastAsia="zh-CN"/>
            </w:rPr>
            <w:t>、</w:t>
          </w:r>
          <w:r>
            <w:rPr>
              <w:rFonts w:hint="eastAsia" w:ascii="黑体" w:hAnsi="黑体" w:eastAsia="黑体"/>
              <w:bCs w:val="0"/>
            </w:rPr>
            <w:t>主要职责</w:t>
          </w:r>
          <w:r>
            <w:tab/>
          </w:r>
          <w:r>
            <w:fldChar w:fldCharType="begin"/>
          </w:r>
          <w:r>
            <w:instrText xml:space="preserve"> PAGEREF _Toc13109 \h </w:instrText>
          </w:r>
          <w:r>
            <w:fldChar w:fldCharType="separate"/>
          </w:r>
          <w:r>
            <w:t>3</w:t>
          </w:r>
          <w:r>
            <w:fldChar w:fldCharType="end"/>
          </w:r>
          <w:r>
            <w:fldChar w:fldCharType="end"/>
          </w:r>
        </w:p>
        <w:p>
          <w:pPr>
            <w:pStyle w:val="32"/>
            <w:tabs>
              <w:tab w:val="right" w:leader="dot" w:pos="8306"/>
            </w:tabs>
          </w:pPr>
          <w:r>
            <w:fldChar w:fldCharType="begin"/>
          </w:r>
          <w:r>
            <w:instrText xml:space="preserve"> HYPERLINK \l _Toc9945 </w:instrText>
          </w:r>
          <w:r>
            <w:fldChar w:fldCharType="separate"/>
          </w:r>
          <w:r>
            <w:rPr>
              <w:rFonts w:hint="eastAsia" w:ascii="黑体" w:hAnsi="黑体" w:eastAsia="黑体"/>
            </w:rPr>
            <w:t>二、机构设置</w:t>
          </w:r>
          <w:r>
            <w:tab/>
          </w:r>
          <w:r>
            <w:fldChar w:fldCharType="begin"/>
          </w:r>
          <w:r>
            <w:instrText xml:space="preserve"> PAGEREF _Toc9945 \h </w:instrText>
          </w:r>
          <w:r>
            <w:fldChar w:fldCharType="separate"/>
          </w:r>
          <w:r>
            <w:t>3</w:t>
          </w:r>
          <w:r>
            <w:fldChar w:fldCharType="end"/>
          </w:r>
          <w:r>
            <w:fldChar w:fldCharType="end"/>
          </w:r>
        </w:p>
        <w:p>
          <w:pPr>
            <w:pStyle w:val="31"/>
            <w:tabs>
              <w:tab w:val="right" w:leader="dot" w:pos="8306"/>
            </w:tabs>
            <w:rPr>
              <w:b/>
            </w:rPr>
          </w:pPr>
          <w:r>
            <w:rPr>
              <w:b/>
            </w:rPr>
            <w:fldChar w:fldCharType="begin"/>
          </w:r>
          <w:r>
            <w:rPr>
              <w:b/>
            </w:rPr>
            <w:instrText xml:space="preserve"> HYPERLINK \l _Toc19124 </w:instrText>
          </w:r>
          <w:r>
            <w:rPr>
              <w:b/>
            </w:rPr>
            <w:fldChar w:fldCharType="separate"/>
          </w:r>
          <w:r>
            <w:rPr>
              <w:rFonts w:hint="eastAsia" w:ascii="黑体" w:hAnsi="黑体" w:eastAsia="黑体"/>
              <w:b/>
            </w:rPr>
            <w:t xml:space="preserve">第二部分 </w:t>
          </w:r>
          <w:r>
            <w:rPr>
              <w:rFonts w:hint="eastAsia" w:ascii="黑体" w:hAnsi="黑体" w:eastAsia="黑体"/>
              <w:b/>
              <w:lang w:eastAsia="zh-CN"/>
            </w:rPr>
            <w:t>2023年</w:t>
          </w:r>
          <w:r>
            <w:rPr>
              <w:rFonts w:hint="eastAsia" w:ascii="黑体" w:hAnsi="黑体" w:eastAsia="黑体"/>
              <w:b/>
            </w:rPr>
            <w:t>度</w:t>
          </w:r>
          <w:r>
            <w:rPr>
              <w:rFonts w:hint="eastAsia" w:ascii="黑体" w:hAnsi="黑体" w:eastAsia="黑体"/>
              <w:b/>
              <w:bCs/>
            </w:rPr>
            <w:t>单位决算情况说明</w:t>
          </w:r>
          <w:r>
            <w:rPr>
              <w:b/>
            </w:rPr>
            <w:tab/>
          </w:r>
          <w:r>
            <w:rPr>
              <w:b/>
            </w:rPr>
            <w:fldChar w:fldCharType="begin"/>
          </w:r>
          <w:r>
            <w:rPr>
              <w:b/>
            </w:rPr>
            <w:instrText xml:space="preserve"> PAGEREF _Toc19124 \h </w:instrText>
          </w:r>
          <w:r>
            <w:rPr>
              <w:b/>
            </w:rPr>
            <w:fldChar w:fldCharType="separate"/>
          </w:r>
          <w:r>
            <w:rPr>
              <w:b/>
            </w:rPr>
            <w:t>4</w:t>
          </w:r>
          <w:r>
            <w:rPr>
              <w:b/>
            </w:rPr>
            <w:fldChar w:fldCharType="end"/>
          </w:r>
          <w:r>
            <w:rPr>
              <w:b/>
            </w:rPr>
            <w:fldChar w:fldCharType="end"/>
          </w:r>
        </w:p>
        <w:p>
          <w:pPr>
            <w:pStyle w:val="32"/>
            <w:tabs>
              <w:tab w:val="right" w:leader="dot" w:pos="8306"/>
            </w:tabs>
          </w:pPr>
          <w:r>
            <w:fldChar w:fldCharType="begin"/>
          </w:r>
          <w:r>
            <w:instrText xml:space="preserve"> HYPERLINK \l _Toc5548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_Toc5548 \h </w:instrText>
          </w:r>
          <w:r>
            <w:fldChar w:fldCharType="separate"/>
          </w:r>
          <w:r>
            <w:t>4</w:t>
          </w:r>
          <w:r>
            <w:fldChar w:fldCharType="end"/>
          </w:r>
          <w:r>
            <w:fldChar w:fldCharType="end"/>
          </w:r>
        </w:p>
        <w:p>
          <w:pPr>
            <w:pStyle w:val="32"/>
            <w:tabs>
              <w:tab w:val="right" w:leader="dot" w:pos="8306"/>
            </w:tabs>
          </w:pPr>
          <w:r>
            <w:fldChar w:fldCharType="begin"/>
          </w:r>
          <w:r>
            <w:instrText xml:space="preserve"> HYPERLINK \l _Toc10586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_Toc10586 \h </w:instrText>
          </w:r>
          <w:r>
            <w:fldChar w:fldCharType="separate"/>
          </w:r>
          <w:r>
            <w:t>4</w:t>
          </w:r>
          <w:r>
            <w:fldChar w:fldCharType="end"/>
          </w:r>
          <w:r>
            <w:fldChar w:fldCharType="end"/>
          </w:r>
        </w:p>
        <w:p>
          <w:pPr>
            <w:pStyle w:val="32"/>
            <w:tabs>
              <w:tab w:val="right" w:leader="dot" w:pos="8306"/>
            </w:tabs>
          </w:pPr>
          <w:r>
            <w:fldChar w:fldCharType="begin"/>
          </w:r>
          <w:r>
            <w:instrText xml:space="preserve"> HYPERLINK \l _Toc2045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_Toc2045 \h </w:instrText>
          </w:r>
          <w:r>
            <w:fldChar w:fldCharType="separate"/>
          </w:r>
          <w:r>
            <w:t>5</w:t>
          </w:r>
          <w:r>
            <w:fldChar w:fldCharType="end"/>
          </w:r>
          <w:r>
            <w:fldChar w:fldCharType="end"/>
          </w:r>
        </w:p>
        <w:p>
          <w:pPr>
            <w:pStyle w:val="32"/>
            <w:tabs>
              <w:tab w:val="right" w:leader="dot" w:pos="8306"/>
            </w:tabs>
          </w:pPr>
          <w:r>
            <w:fldChar w:fldCharType="begin"/>
          </w:r>
          <w:r>
            <w:instrText xml:space="preserve"> HYPERLINK \l _Toc30916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_Toc30916 \h </w:instrText>
          </w:r>
          <w:r>
            <w:fldChar w:fldCharType="separate"/>
          </w:r>
          <w:r>
            <w:t>5</w:t>
          </w:r>
          <w:r>
            <w:fldChar w:fldCharType="end"/>
          </w:r>
          <w:r>
            <w:fldChar w:fldCharType="end"/>
          </w:r>
        </w:p>
        <w:p>
          <w:pPr>
            <w:pStyle w:val="32"/>
            <w:tabs>
              <w:tab w:val="right" w:leader="dot" w:pos="8306"/>
            </w:tabs>
          </w:pPr>
          <w:r>
            <w:fldChar w:fldCharType="begin"/>
          </w:r>
          <w:r>
            <w:instrText xml:space="preserve"> HYPERLINK \l _Toc13135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_Toc13135 \h </w:instrText>
          </w:r>
          <w:r>
            <w:fldChar w:fldCharType="separate"/>
          </w:r>
          <w:r>
            <w:t>6</w:t>
          </w:r>
          <w:r>
            <w:fldChar w:fldCharType="end"/>
          </w:r>
          <w:r>
            <w:fldChar w:fldCharType="end"/>
          </w:r>
        </w:p>
        <w:p>
          <w:pPr>
            <w:pStyle w:val="32"/>
            <w:tabs>
              <w:tab w:val="right" w:leader="dot" w:pos="8306"/>
            </w:tabs>
          </w:pPr>
          <w:r>
            <w:fldChar w:fldCharType="begin"/>
          </w:r>
          <w:r>
            <w:instrText xml:space="preserve"> HYPERLINK \l _Toc23095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_Toc23095 \h </w:instrText>
          </w:r>
          <w:r>
            <w:fldChar w:fldCharType="separate"/>
          </w:r>
          <w:r>
            <w:t>8</w:t>
          </w:r>
          <w:r>
            <w:fldChar w:fldCharType="end"/>
          </w:r>
          <w:r>
            <w:fldChar w:fldCharType="end"/>
          </w:r>
        </w:p>
        <w:p>
          <w:pPr>
            <w:pStyle w:val="32"/>
            <w:tabs>
              <w:tab w:val="right" w:leader="dot" w:pos="8306"/>
            </w:tabs>
          </w:pPr>
          <w:r>
            <w:fldChar w:fldCharType="begin"/>
          </w:r>
          <w:r>
            <w:instrText xml:space="preserve"> HYPERLINK \l _Toc24245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_Toc24245 \h </w:instrText>
          </w:r>
          <w:r>
            <w:fldChar w:fldCharType="separate"/>
          </w:r>
          <w:r>
            <w:t>8</w:t>
          </w:r>
          <w:r>
            <w:fldChar w:fldCharType="end"/>
          </w:r>
          <w:r>
            <w:fldChar w:fldCharType="end"/>
          </w:r>
        </w:p>
        <w:p>
          <w:pPr>
            <w:pStyle w:val="32"/>
            <w:tabs>
              <w:tab w:val="right" w:leader="dot" w:pos="8306"/>
            </w:tabs>
          </w:pPr>
          <w:r>
            <w:fldChar w:fldCharType="begin"/>
          </w:r>
          <w:r>
            <w:instrText xml:space="preserve"> HYPERLINK \l _Toc23519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_Toc23519 \h </w:instrText>
          </w:r>
          <w:r>
            <w:fldChar w:fldCharType="separate"/>
          </w:r>
          <w:r>
            <w:t>10</w:t>
          </w:r>
          <w:r>
            <w:fldChar w:fldCharType="end"/>
          </w:r>
          <w:r>
            <w:fldChar w:fldCharType="end"/>
          </w:r>
        </w:p>
        <w:p>
          <w:pPr>
            <w:pStyle w:val="32"/>
            <w:tabs>
              <w:tab w:val="right" w:leader="dot" w:pos="8306"/>
            </w:tabs>
          </w:pPr>
          <w:r>
            <w:fldChar w:fldCharType="begin"/>
          </w:r>
          <w:r>
            <w:instrText xml:space="preserve"> HYPERLINK \l _Toc10917 </w:instrText>
          </w:r>
          <w:r>
            <w:fldChar w:fldCharType="separate"/>
          </w:r>
          <w:r>
            <w:rPr>
              <w:rFonts w:hint="eastAsia" w:ascii="黑体" w:hAnsi="黑体" w:eastAsia="黑体"/>
            </w:rPr>
            <w:t>九、 国有资本经营预算支出决算情况说明</w:t>
          </w:r>
          <w:r>
            <w:tab/>
          </w:r>
          <w:r>
            <w:fldChar w:fldCharType="begin"/>
          </w:r>
          <w:r>
            <w:instrText xml:space="preserve"> PAGEREF _Toc10917 \h </w:instrText>
          </w:r>
          <w:r>
            <w:fldChar w:fldCharType="separate"/>
          </w:r>
          <w:r>
            <w:t>10</w:t>
          </w:r>
          <w:r>
            <w:fldChar w:fldCharType="end"/>
          </w:r>
          <w:r>
            <w:fldChar w:fldCharType="end"/>
          </w:r>
        </w:p>
        <w:p>
          <w:pPr>
            <w:pStyle w:val="32"/>
            <w:tabs>
              <w:tab w:val="right" w:leader="dot" w:pos="8306"/>
            </w:tabs>
          </w:pPr>
          <w:r>
            <w:fldChar w:fldCharType="begin"/>
          </w:r>
          <w:r>
            <w:instrText xml:space="preserve"> HYPERLINK \l _Toc30965 </w:instrText>
          </w:r>
          <w:r>
            <w:fldChar w:fldCharType="separate"/>
          </w:r>
          <w:r>
            <w:rPr>
              <w:rFonts w:hint="eastAsia" w:ascii="黑体" w:hAnsi="黑体" w:eastAsia="黑体"/>
            </w:rPr>
            <w:t>十、 其他重要事项的情况说明</w:t>
          </w:r>
          <w:r>
            <w:tab/>
          </w:r>
          <w:r>
            <w:fldChar w:fldCharType="begin"/>
          </w:r>
          <w:r>
            <w:instrText xml:space="preserve"> PAGEREF _Toc30965 \h </w:instrText>
          </w:r>
          <w:r>
            <w:fldChar w:fldCharType="separate"/>
          </w:r>
          <w:r>
            <w:t>10</w:t>
          </w:r>
          <w:r>
            <w:fldChar w:fldCharType="end"/>
          </w:r>
          <w:r>
            <w:fldChar w:fldCharType="end"/>
          </w:r>
        </w:p>
        <w:p>
          <w:pPr>
            <w:pStyle w:val="31"/>
            <w:tabs>
              <w:tab w:val="right" w:leader="dot" w:pos="8306"/>
            </w:tabs>
            <w:rPr>
              <w:b/>
            </w:rPr>
          </w:pPr>
          <w:r>
            <w:rPr>
              <w:b/>
            </w:rPr>
            <w:fldChar w:fldCharType="begin"/>
          </w:r>
          <w:r>
            <w:rPr>
              <w:b/>
            </w:rPr>
            <w:instrText xml:space="preserve"> HYPERLINK \l _Toc30158 </w:instrText>
          </w:r>
          <w:r>
            <w:rPr>
              <w:b/>
            </w:rPr>
            <w:fldChar w:fldCharType="separate"/>
          </w:r>
          <w:r>
            <w:rPr>
              <w:rFonts w:hint="eastAsia" w:ascii="黑体" w:hAnsi="黑体" w:eastAsia="黑体" w:cs="黑体"/>
              <w:b/>
              <w:szCs w:val="44"/>
            </w:rPr>
            <w:t xml:space="preserve">第三部分 </w:t>
          </w:r>
          <w:r>
            <w:rPr>
              <w:rFonts w:hint="eastAsia" w:ascii="黑体" w:hAnsi="黑体" w:eastAsia="黑体"/>
              <w:b/>
              <w:szCs w:val="44"/>
            </w:rPr>
            <w:t>名</w:t>
          </w:r>
          <w:r>
            <w:rPr>
              <w:rFonts w:hint="eastAsia" w:ascii="黑体" w:hAnsi="黑体" w:eastAsia="黑体"/>
              <w:b/>
            </w:rPr>
            <w:t>词解释</w:t>
          </w:r>
          <w:r>
            <w:rPr>
              <w:b/>
            </w:rPr>
            <w:tab/>
          </w:r>
          <w:r>
            <w:rPr>
              <w:b/>
            </w:rPr>
            <w:fldChar w:fldCharType="begin"/>
          </w:r>
          <w:r>
            <w:rPr>
              <w:b/>
            </w:rPr>
            <w:instrText xml:space="preserve"> PAGEREF _Toc30158 \h </w:instrText>
          </w:r>
          <w:r>
            <w:rPr>
              <w:b/>
            </w:rPr>
            <w:fldChar w:fldCharType="separate"/>
          </w:r>
          <w:r>
            <w:rPr>
              <w:b/>
            </w:rPr>
            <w:t>12</w:t>
          </w:r>
          <w:r>
            <w:rPr>
              <w:b/>
            </w:rPr>
            <w:fldChar w:fldCharType="end"/>
          </w:r>
          <w:r>
            <w:rPr>
              <w:b/>
            </w:rPr>
            <w:fldChar w:fldCharType="end"/>
          </w:r>
        </w:p>
        <w:p>
          <w:pPr>
            <w:pStyle w:val="31"/>
            <w:tabs>
              <w:tab w:val="right" w:leader="dot" w:pos="8306"/>
            </w:tabs>
            <w:rPr>
              <w:b/>
            </w:rPr>
          </w:pPr>
          <w:r>
            <w:rPr>
              <w:b/>
            </w:rPr>
            <w:fldChar w:fldCharType="begin"/>
          </w:r>
          <w:r>
            <w:rPr>
              <w:b/>
            </w:rPr>
            <w:instrText xml:space="preserve"> HYPERLINK \l _Toc28725 </w:instrText>
          </w:r>
          <w:r>
            <w:rPr>
              <w:b/>
            </w:rPr>
            <w:fldChar w:fldCharType="separate"/>
          </w:r>
          <w:r>
            <w:rPr>
              <w:rFonts w:hint="eastAsia" w:ascii="黑体" w:hAnsi="黑体" w:eastAsia="黑体"/>
              <w:b/>
              <w:szCs w:val="44"/>
            </w:rPr>
            <w:t>第</w:t>
          </w:r>
          <w:r>
            <w:rPr>
              <w:rFonts w:hint="eastAsia" w:ascii="黑体" w:hAnsi="黑体" w:eastAsia="黑体"/>
              <w:b/>
            </w:rPr>
            <w:t>四部分 附件</w:t>
          </w:r>
          <w:r>
            <w:rPr>
              <w:b/>
            </w:rPr>
            <w:tab/>
          </w:r>
          <w:r>
            <w:rPr>
              <w:b/>
            </w:rPr>
            <w:fldChar w:fldCharType="begin"/>
          </w:r>
          <w:r>
            <w:rPr>
              <w:b/>
            </w:rPr>
            <w:instrText xml:space="preserve"> PAGEREF _Toc28725 \h </w:instrText>
          </w:r>
          <w:r>
            <w:rPr>
              <w:b/>
            </w:rPr>
            <w:fldChar w:fldCharType="separate"/>
          </w:r>
          <w:r>
            <w:rPr>
              <w:b/>
            </w:rPr>
            <w:t>14</w:t>
          </w:r>
          <w:r>
            <w:rPr>
              <w:b/>
            </w:rPr>
            <w:fldChar w:fldCharType="end"/>
          </w:r>
          <w:r>
            <w:rPr>
              <w:b/>
            </w:rPr>
            <w:fldChar w:fldCharType="end"/>
          </w:r>
        </w:p>
        <w:p>
          <w:pPr>
            <w:pStyle w:val="31"/>
            <w:tabs>
              <w:tab w:val="right" w:leader="dot" w:pos="8306"/>
            </w:tabs>
            <w:rPr>
              <w:b/>
            </w:rPr>
          </w:pPr>
          <w:r>
            <w:rPr>
              <w:b/>
            </w:rPr>
            <w:fldChar w:fldCharType="begin"/>
          </w:r>
          <w:r>
            <w:rPr>
              <w:b/>
            </w:rPr>
            <w:instrText xml:space="preserve"> HYPERLINK \l _Toc16334 </w:instrText>
          </w:r>
          <w:r>
            <w:rPr>
              <w:b/>
            </w:rPr>
            <w:fldChar w:fldCharType="separate"/>
          </w:r>
          <w:r>
            <w:rPr>
              <w:rFonts w:hint="eastAsia" w:ascii="黑体" w:hAnsi="黑体" w:eastAsia="黑体"/>
              <w:b/>
              <w:szCs w:val="44"/>
            </w:rPr>
            <w:t>第</w:t>
          </w:r>
          <w:r>
            <w:rPr>
              <w:rFonts w:hint="eastAsia" w:ascii="黑体" w:hAnsi="黑体" w:eastAsia="黑体"/>
              <w:b/>
            </w:rPr>
            <w:t>五部分 附表</w:t>
          </w:r>
          <w:r>
            <w:rPr>
              <w:b/>
            </w:rPr>
            <w:tab/>
          </w:r>
          <w:r>
            <w:rPr>
              <w:b/>
            </w:rPr>
            <w:fldChar w:fldCharType="begin"/>
          </w:r>
          <w:r>
            <w:rPr>
              <w:b/>
            </w:rPr>
            <w:instrText xml:space="preserve"> PAGEREF _Toc16334 \h </w:instrText>
          </w:r>
          <w:r>
            <w:rPr>
              <w:b/>
            </w:rPr>
            <w:fldChar w:fldCharType="separate"/>
          </w:r>
          <w:r>
            <w:rPr>
              <w:b/>
            </w:rPr>
            <w:t>31</w:t>
          </w:r>
          <w:r>
            <w:rPr>
              <w:b/>
            </w:rPr>
            <w:fldChar w:fldCharType="end"/>
          </w:r>
          <w:r>
            <w:rPr>
              <w:b/>
            </w:rPr>
            <w:fldChar w:fldCharType="end"/>
          </w:r>
        </w:p>
        <w:p>
          <w:pPr>
            <w:pStyle w:val="32"/>
            <w:tabs>
              <w:tab w:val="right" w:leader="dot" w:pos="8306"/>
            </w:tabs>
          </w:pPr>
          <w:r>
            <w:fldChar w:fldCharType="begin"/>
          </w:r>
          <w:r>
            <w:instrText xml:space="preserve"> HYPERLINK \l _Toc9036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_Toc9036 \h </w:instrText>
          </w:r>
          <w:r>
            <w:fldChar w:fldCharType="separate"/>
          </w:r>
          <w:r>
            <w:t>31</w:t>
          </w:r>
          <w:r>
            <w:fldChar w:fldCharType="end"/>
          </w:r>
          <w:r>
            <w:fldChar w:fldCharType="end"/>
          </w:r>
        </w:p>
        <w:p>
          <w:pPr>
            <w:pStyle w:val="32"/>
            <w:tabs>
              <w:tab w:val="right" w:leader="dot" w:pos="8306"/>
            </w:tabs>
          </w:pPr>
          <w:r>
            <w:fldChar w:fldCharType="begin"/>
          </w:r>
          <w:r>
            <w:instrText xml:space="preserve"> HYPERLINK \l _Toc32435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_Toc32435 \h </w:instrText>
          </w:r>
          <w:r>
            <w:fldChar w:fldCharType="separate"/>
          </w:r>
          <w:r>
            <w:t>31</w:t>
          </w:r>
          <w:r>
            <w:fldChar w:fldCharType="end"/>
          </w:r>
          <w:r>
            <w:fldChar w:fldCharType="end"/>
          </w:r>
        </w:p>
        <w:p>
          <w:pPr>
            <w:pStyle w:val="32"/>
            <w:tabs>
              <w:tab w:val="right" w:leader="dot" w:pos="8306"/>
            </w:tabs>
          </w:pPr>
          <w:r>
            <w:fldChar w:fldCharType="begin"/>
          </w:r>
          <w:r>
            <w:instrText xml:space="preserve"> HYPERLINK \l _Toc15944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_Toc15944 \h </w:instrText>
          </w:r>
          <w:r>
            <w:fldChar w:fldCharType="separate"/>
          </w:r>
          <w:r>
            <w:t>31</w:t>
          </w:r>
          <w:r>
            <w:fldChar w:fldCharType="end"/>
          </w:r>
          <w:r>
            <w:fldChar w:fldCharType="end"/>
          </w:r>
        </w:p>
        <w:p>
          <w:pPr>
            <w:pStyle w:val="32"/>
            <w:tabs>
              <w:tab w:val="right" w:leader="dot" w:pos="8306"/>
            </w:tabs>
          </w:pPr>
          <w:r>
            <w:fldChar w:fldCharType="begin"/>
          </w:r>
          <w:r>
            <w:instrText xml:space="preserve"> HYPERLINK \l _Toc8155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_Toc8155 \h </w:instrText>
          </w:r>
          <w:r>
            <w:fldChar w:fldCharType="separate"/>
          </w:r>
          <w:r>
            <w:t>31</w:t>
          </w:r>
          <w:r>
            <w:fldChar w:fldCharType="end"/>
          </w:r>
          <w:r>
            <w:fldChar w:fldCharType="end"/>
          </w:r>
        </w:p>
        <w:p>
          <w:pPr>
            <w:pStyle w:val="32"/>
            <w:tabs>
              <w:tab w:val="right" w:leader="dot" w:pos="8306"/>
            </w:tabs>
          </w:pPr>
          <w:r>
            <w:fldChar w:fldCharType="begin"/>
          </w:r>
          <w:r>
            <w:instrText xml:space="preserve"> HYPERLINK \l _Toc6427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_Toc6427 \h </w:instrText>
          </w:r>
          <w:r>
            <w:fldChar w:fldCharType="separate"/>
          </w:r>
          <w:r>
            <w:t>31</w:t>
          </w:r>
          <w:r>
            <w:fldChar w:fldCharType="end"/>
          </w:r>
          <w:r>
            <w:fldChar w:fldCharType="end"/>
          </w:r>
        </w:p>
        <w:p>
          <w:pPr>
            <w:pStyle w:val="32"/>
            <w:tabs>
              <w:tab w:val="right" w:leader="dot" w:pos="8306"/>
            </w:tabs>
          </w:pPr>
          <w:r>
            <w:fldChar w:fldCharType="begin"/>
          </w:r>
          <w:r>
            <w:instrText xml:space="preserve"> HYPERLINK \l _Toc5796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_Toc5796 \h </w:instrText>
          </w:r>
          <w:r>
            <w:fldChar w:fldCharType="separate"/>
          </w:r>
          <w:r>
            <w:t>31</w:t>
          </w:r>
          <w:r>
            <w:fldChar w:fldCharType="end"/>
          </w:r>
          <w:r>
            <w:fldChar w:fldCharType="end"/>
          </w:r>
        </w:p>
        <w:p>
          <w:pPr>
            <w:pStyle w:val="32"/>
            <w:tabs>
              <w:tab w:val="right" w:leader="dot" w:pos="8306"/>
            </w:tabs>
          </w:pPr>
          <w:r>
            <w:fldChar w:fldCharType="begin"/>
          </w:r>
          <w:r>
            <w:instrText xml:space="preserve"> HYPERLINK \l _Toc22681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_Toc22681 \h </w:instrText>
          </w:r>
          <w:r>
            <w:fldChar w:fldCharType="separate"/>
          </w:r>
          <w:r>
            <w:t>31</w:t>
          </w:r>
          <w:r>
            <w:fldChar w:fldCharType="end"/>
          </w:r>
          <w:r>
            <w:fldChar w:fldCharType="end"/>
          </w:r>
        </w:p>
        <w:p>
          <w:pPr>
            <w:pStyle w:val="32"/>
            <w:tabs>
              <w:tab w:val="right" w:leader="dot" w:pos="8306"/>
            </w:tabs>
          </w:pPr>
          <w:r>
            <w:fldChar w:fldCharType="begin"/>
          </w:r>
          <w:r>
            <w:instrText xml:space="preserve"> HYPERLINK \l _Toc16315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_Toc16315 \h </w:instrText>
          </w:r>
          <w:r>
            <w:fldChar w:fldCharType="separate"/>
          </w:r>
          <w:r>
            <w:t>31</w:t>
          </w:r>
          <w:r>
            <w:fldChar w:fldCharType="end"/>
          </w:r>
          <w:r>
            <w:fldChar w:fldCharType="end"/>
          </w:r>
        </w:p>
        <w:p>
          <w:pPr>
            <w:pStyle w:val="32"/>
            <w:tabs>
              <w:tab w:val="right" w:leader="dot" w:pos="8306"/>
            </w:tabs>
          </w:pPr>
          <w:r>
            <w:fldChar w:fldCharType="begin"/>
          </w:r>
          <w:r>
            <w:instrText xml:space="preserve"> HYPERLINK \l _Toc11586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_Toc11586 \h </w:instrText>
          </w:r>
          <w:r>
            <w:fldChar w:fldCharType="separate"/>
          </w:r>
          <w:r>
            <w:t>31</w:t>
          </w:r>
          <w:r>
            <w:fldChar w:fldCharType="end"/>
          </w:r>
          <w:r>
            <w:fldChar w:fldCharType="end"/>
          </w:r>
        </w:p>
        <w:p>
          <w:pPr>
            <w:pStyle w:val="32"/>
            <w:tabs>
              <w:tab w:val="right" w:leader="dot" w:pos="8306"/>
            </w:tabs>
          </w:pPr>
          <w:r>
            <w:fldChar w:fldCharType="begin"/>
          </w:r>
          <w:r>
            <w:instrText xml:space="preserve"> HYPERLINK \l _Toc15900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_Toc15900 \h </w:instrText>
          </w:r>
          <w:r>
            <w:fldChar w:fldCharType="separate"/>
          </w:r>
          <w:r>
            <w:t>31</w:t>
          </w:r>
          <w:r>
            <w:fldChar w:fldCharType="end"/>
          </w:r>
          <w:r>
            <w:fldChar w:fldCharType="end"/>
          </w:r>
        </w:p>
        <w:p>
          <w:pPr>
            <w:pStyle w:val="32"/>
            <w:tabs>
              <w:tab w:val="right" w:leader="dot" w:pos="8306"/>
            </w:tabs>
          </w:pPr>
          <w:r>
            <w:fldChar w:fldCharType="begin"/>
          </w:r>
          <w:r>
            <w:instrText xml:space="preserve"> HYPERLINK \l _Toc30894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_Toc30894 \h </w:instrText>
          </w:r>
          <w:r>
            <w:fldChar w:fldCharType="separate"/>
          </w:r>
          <w:r>
            <w:t>31</w:t>
          </w:r>
          <w:r>
            <w:fldChar w:fldCharType="end"/>
          </w:r>
          <w:r>
            <w:fldChar w:fldCharType="end"/>
          </w:r>
        </w:p>
        <w:p>
          <w:pPr>
            <w:pStyle w:val="32"/>
            <w:tabs>
              <w:tab w:val="right" w:leader="dot" w:pos="8306"/>
            </w:tabs>
          </w:pPr>
          <w:r>
            <w:fldChar w:fldCharType="begin"/>
          </w:r>
          <w:r>
            <w:instrText xml:space="preserve"> HYPERLINK \l _Toc21830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_Toc21830 \h </w:instrText>
          </w:r>
          <w:r>
            <w:fldChar w:fldCharType="separate"/>
          </w:r>
          <w:r>
            <w:t>31</w:t>
          </w:r>
          <w:r>
            <w:fldChar w:fldCharType="end"/>
          </w:r>
          <w:r>
            <w:fldChar w:fldCharType="end"/>
          </w:r>
        </w:p>
        <w:p>
          <w:pPr>
            <w:pStyle w:val="32"/>
            <w:tabs>
              <w:tab w:val="right" w:leader="dot" w:pos="8306"/>
            </w:tabs>
          </w:pPr>
          <w:r>
            <w:fldChar w:fldCharType="begin"/>
          </w:r>
          <w:r>
            <w:instrText xml:space="preserve"> HYPERLINK \l _Toc24455 </w:instrText>
          </w:r>
          <w:r>
            <w:fldChar w:fldCharType="separate"/>
          </w:r>
          <w:r>
            <w:rPr>
              <w:rFonts w:hint="eastAsia" w:ascii="仿宋" w:hAnsi="仿宋" w:eastAsia="仿宋"/>
              <w:bCs w:val="0"/>
            </w:rPr>
            <w:t>十三、财政拨款“三公”经费支出决算表</w:t>
          </w:r>
          <w:r>
            <w:tab/>
          </w:r>
          <w:r>
            <w:fldChar w:fldCharType="begin"/>
          </w:r>
          <w:r>
            <w:instrText xml:space="preserve"> PAGEREF _Toc24455 \h </w:instrText>
          </w:r>
          <w:r>
            <w:fldChar w:fldCharType="separate"/>
          </w:r>
          <w:r>
            <w:t>31</w:t>
          </w:r>
          <w:r>
            <w:fldChar w:fldCharType="end"/>
          </w:r>
          <w:r>
            <w:fldChar w:fldCharType="end"/>
          </w:r>
        </w:p>
        <w:p>
          <w:pPr>
            <w:rPr>
              <w:rFonts w:ascii="Times New Roman" w:hAnsi="Times New Roman" w:eastAsia="宋体" w:cs="Times New Roman"/>
              <w:kern w:val="2"/>
              <w:sz w:val="21"/>
              <w:szCs w:val="24"/>
              <w:lang w:val="en-US" w:eastAsia="zh-CN" w:bidi="ar-SA"/>
            </w:rPr>
          </w:pPr>
          <w:r>
            <w:br w:type="page"/>
          </w:r>
        </w:p>
        <w:p>
          <w:pPr>
            <w:pStyle w:val="32"/>
            <w:tabs>
              <w:tab w:val="right" w:leader="dot" w:pos="8306"/>
            </w:tabs>
          </w:pPr>
        </w:p>
        <w:p>
          <w:pPr>
            <w:rPr>
              <w:b/>
            </w:rPr>
          </w:pPr>
          <w:r>
            <w:rPr>
              <w:b/>
            </w:rPr>
            <w:fldChar w:fldCharType="end"/>
          </w:r>
        </w:p>
      </w:sdtContent>
    </w:sdt>
    <w:p>
      <w:pPr>
        <w:widowControl/>
        <w:numPr>
          <w:ilvl w:val="0"/>
          <w:numId w:val="1"/>
        </w:numPr>
        <w:spacing w:line="440" w:lineRule="exact"/>
        <w:jc w:val="center"/>
        <w:outlineLvl w:val="0"/>
        <w:rPr>
          <w:rStyle w:val="17"/>
          <w:rFonts w:ascii="黑体" w:hAnsi="黑体" w:eastAsia="黑体"/>
          <w:b w:val="0"/>
          <w:bCs w:val="0"/>
        </w:rPr>
      </w:pPr>
      <w:bookmarkStart w:id="1" w:name="_Toc769"/>
      <w:r>
        <w:rPr>
          <w:rStyle w:val="17"/>
          <w:rFonts w:hint="eastAsia" w:ascii="黑体" w:hAnsi="黑体" w:eastAsia="黑体"/>
          <w:b w:val="0"/>
          <w:bCs w:val="0"/>
        </w:rPr>
        <w:t>单位概况</w:t>
      </w:r>
      <w:bookmarkEnd w:id="1"/>
    </w:p>
    <w:p>
      <w:pPr>
        <w:pStyle w:val="2"/>
        <w:ind w:firstLine="0" w:firstLineChars="0"/>
      </w:pPr>
    </w:p>
    <w:p>
      <w:pPr>
        <w:pStyle w:val="4"/>
        <w:ind w:firstLine="640" w:firstLineChars="200"/>
        <w:rPr>
          <w:rStyle w:val="18"/>
          <w:rFonts w:ascii="黑体" w:hAnsi="黑体" w:eastAsia="黑体"/>
          <w:b w:val="0"/>
          <w:bCs w:val="0"/>
        </w:rPr>
      </w:pPr>
      <w:bookmarkStart w:id="2" w:name="_Toc13109"/>
      <w:bookmarkStart w:id="3" w:name="_Toc30771"/>
      <w:bookmarkStart w:id="4" w:name="_Toc15377197"/>
      <w:bookmarkStart w:id="5" w:name="_Toc15396600"/>
      <w:r>
        <w:rPr>
          <w:rStyle w:val="18"/>
          <w:rFonts w:hint="eastAsia" w:ascii="黑体" w:hAnsi="黑体" w:eastAsia="黑体"/>
          <w:b w:val="0"/>
          <w:bCs w:val="0"/>
        </w:rPr>
        <w:t>一</w:t>
      </w:r>
      <w:r>
        <w:rPr>
          <w:rStyle w:val="18"/>
          <w:rFonts w:hint="eastAsia" w:ascii="黑体" w:hAnsi="黑体" w:eastAsia="黑体"/>
          <w:b w:val="0"/>
          <w:bCs w:val="0"/>
          <w:lang w:eastAsia="zh-CN"/>
        </w:rPr>
        <w:t>、</w:t>
      </w:r>
      <w:r>
        <w:rPr>
          <w:rStyle w:val="18"/>
          <w:rFonts w:hint="eastAsia" w:ascii="黑体" w:hAnsi="黑体" w:eastAsia="黑体"/>
          <w:b w:val="0"/>
          <w:bCs w:val="0"/>
        </w:rPr>
        <w:t>主要职责</w:t>
      </w:r>
      <w:bookmarkEnd w:id="2"/>
      <w:bookmarkEnd w:id="3"/>
    </w:p>
    <w:p>
      <w:pPr>
        <w:pStyle w:val="4"/>
        <w:ind w:firstLine="640" w:firstLineChars="200"/>
        <w:rPr>
          <w:rFonts w:hint="eastAsia" w:ascii="仿宋_GB2312" w:hAnsi="仿宋_GB2312" w:eastAsia="仿宋_GB2312" w:cs="仿宋_GB2312"/>
          <w:b w:val="0"/>
          <w:bCs w:val="0"/>
          <w:kern w:val="2"/>
          <w:sz w:val="32"/>
          <w:szCs w:val="32"/>
          <w:lang w:val="en-US" w:eastAsia="zh-CN" w:bidi="ar-SA"/>
        </w:rPr>
      </w:pPr>
      <w:bookmarkStart w:id="6" w:name="_Toc5683"/>
      <w:bookmarkStart w:id="7" w:name="_Toc22004"/>
      <w:r>
        <w:rPr>
          <w:rFonts w:hint="eastAsia" w:ascii="仿宋_GB2312" w:hAnsi="仿宋_GB2312" w:eastAsia="仿宋_GB2312" w:cs="仿宋_GB2312"/>
          <w:b w:val="0"/>
          <w:bCs w:val="0"/>
          <w:kern w:val="2"/>
          <w:sz w:val="32"/>
          <w:szCs w:val="32"/>
          <w:lang w:val="en-US" w:eastAsia="zh-CN" w:bidi="ar-SA"/>
        </w:rPr>
        <w:t>贯彻执行养老、失业、工伤保险工作相关法律、法规、规章和政策；负责全市企业职工养老保险、机关事业单位养老保险、城乡居民养老保险、工伤保险的参保登记、扩面征缴、稽核、关系转移接续、权益记录、待遇发放及调整、综合指导和管理工作；负责全市失业保险的参保登记、社会保险费征收及征缴稽核工作；承担市本级企业职工基本养老保险、机关事业单位养老保险、失业保险、工伤保险的相关经办工作，承担职业年金经办工作；负责全市社会保险基金管理和预、决算工作；指导县（区）依法开展社会保险经办服务工作；完成市人力资源社会保障局交办的其他任务。</w:t>
      </w:r>
      <w:bookmarkEnd w:id="6"/>
    </w:p>
    <w:p>
      <w:pPr>
        <w:pStyle w:val="4"/>
        <w:ind w:firstLine="640" w:firstLineChars="200"/>
        <w:rPr>
          <w:rFonts w:ascii="黑体" w:hAnsi="黑体" w:eastAsia="黑体"/>
          <w:b w:val="0"/>
        </w:rPr>
      </w:pPr>
      <w:bookmarkStart w:id="8" w:name="_Toc9945"/>
      <w:r>
        <w:rPr>
          <w:rFonts w:hint="eastAsia" w:ascii="黑体" w:hAnsi="黑体" w:eastAsia="黑体"/>
          <w:b w:val="0"/>
        </w:rPr>
        <w:t>二、机构设置</w:t>
      </w:r>
      <w:bookmarkEnd w:id="7"/>
      <w:bookmarkEnd w:id="8"/>
    </w:p>
    <w:bookmarkEnd w:id="4"/>
    <w:bookmarkEnd w:id="5"/>
    <w:p>
      <w:pPr>
        <w:widowControl/>
        <w:ind w:firstLine="640" w:firstLineChars="200"/>
        <w:jc w:val="left"/>
        <w:rPr>
          <w:rFonts w:ascii="仿宋" w:hAnsi="仿宋" w:eastAsia="仿宋"/>
          <w:kern w:val="0"/>
          <w:sz w:val="32"/>
          <w:szCs w:val="32"/>
        </w:rPr>
      </w:pPr>
      <w:r>
        <w:rPr>
          <w:rFonts w:hint="eastAsia" w:ascii="仿宋_GB2312" w:hAnsi="仿宋_GB2312" w:eastAsia="仿宋_GB2312" w:cs="仿宋_GB2312"/>
          <w:sz w:val="32"/>
          <w:szCs w:val="32"/>
        </w:rPr>
        <w:t>广元市社会保险事务中心是广元市人力资源社会保障局下属参照公务员管理的公益一类事业单位。</w:t>
      </w:r>
      <w:r>
        <w:rPr>
          <w:rFonts w:ascii="仿宋" w:hAnsi="仿宋" w:eastAsia="仿宋"/>
          <w:sz w:val="32"/>
          <w:szCs w:val="32"/>
        </w:rPr>
        <w:br w:type="page"/>
      </w:r>
    </w:p>
    <w:p>
      <w:pPr>
        <w:pStyle w:val="3"/>
        <w:ind w:right="440"/>
        <w:jc w:val="center"/>
        <w:rPr>
          <w:rStyle w:val="17"/>
          <w:rFonts w:ascii="黑体" w:hAnsi="黑体" w:eastAsia="黑体"/>
          <w:b w:val="0"/>
          <w:bCs/>
        </w:rPr>
      </w:pPr>
      <w:bookmarkStart w:id="9" w:name="_Toc9777"/>
      <w:bookmarkStart w:id="10" w:name="_Toc19124"/>
      <w:bookmarkStart w:id="11" w:name="_Toc15396602"/>
      <w:bookmarkStart w:id="12" w:name="_Toc15377204"/>
      <w:r>
        <w:rPr>
          <w:rFonts w:hint="eastAsia" w:ascii="黑体" w:hAnsi="黑体" w:eastAsia="黑体"/>
          <w:b w:val="0"/>
        </w:rPr>
        <w:t xml:space="preserve">第二部分 </w:t>
      </w:r>
      <w:r>
        <w:rPr>
          <w:rFonts w:hint="eastAsia" w:ascii="黑体" w:hAnsi="黑体" w:eastAsia="黑体"/>
          <w:b w:val="0"/>
          <w:lang w:eastAsia="zh-CN"/>
        </w:rPr>
        <w:t>2023年</w:t>
      </w:r>
      <w:r>
        <w:rPr>
          <w:rFonts w:hint="eastAsia" w:ascii="黑体" w:hAnsi="黑体" w:eastAsia="黑体"/>
          <w:b w:val="0"/>
        </w:rPr>
        <w:t>度</w:t>
      </w:r>
      <w:r>
        <w:rPr>
          <w:rStyle w:val="17"/>
          <w:rFonts w:hint="eastAsia" w:ascii="黑体" w:hAnsi="黑体" w:eastAsia="黑体"/>
          <w:b w:val="0"/>
          <w:bCs/>
        </w:rPr>
        <w:t>单位决算情况说明</w:t>
      </w:r>
      <w:bookmarkEnd w:id="9"/>
      <w:bookmarkEnd w:id="10"/>
      <w:bookmarkEnd w:id="11"/>
      <w:bookmarkEnd w:id="12"/>
    </w:p>
    <w:p/>
    <w:p>
      <w:pPr>
        <w:pStyle w:val="27"/>
        <w:numPr>
          <w:ilvl w:val="0"/>
          <w:numId w:val="2"/>
        </w:numPr>
        <w:spacing w:line="600" w:lineRule="exact"/>
        <w:ind w:firstLineChars="0"/>
        <w:outlineLvl w:val="1"/>
        <w:rPr>
          <w:rStyle w:val="18"/>
          <w:rFonts w:ascii="黑体" w:hAnsi="黑体" w:eastAsia="黑体"/>
          <w:b w:val="0"/>
        </w:rPr>
      </w:pPr>
      <w:bookmarkStart w:id="13" w:name="_Toc15377205"/>
      <w:bookmarkStart w:id="14" w:name="_Toc4205"/>
      <w:bookmarkStart w:id="15" w:name="_Toc5548"/>
      <w:bookmarkStart w:id="16" w:name="_Toc15396603"/>
      <w:r>
        <w:rPr>
          <w:rFonts w:hint="eastAsia" w:ascii="黑体" w:hAnsi="黑体" w:eastAsia="黑体"/>
          <w:sz w:val="32"/>
          <w:szCs w:val="32"/>
        </w:rPr>
        <w:t>收</w:t>
      </w:r>
      <w:r>
        <w:rPr>
          <w:rStyle w:val="18"/>
          <w:rFonts w:hint="eastAsia" w:ascii="黑体" w:hAnsi="黑体" w:eastAsia="黑体"/>
          <w:b w:val="0"/>
        </w:rPr>
        <w:t>入支出决算总体情况说明</w:t>
      </w:r>
      <w:bookmarkEnd w:id="13"/>
      <w:bookmarkEnd w:id="14"/>
      <w:bookmarkEnd w:id="15"/>
      <w:bookmarkEnd w:id="16"/>
    </w:p>
    <w:p>
      <w:pPr>
        <w:pStyle w:val="2"/>
        <w:rPr>
          <w:rFonts w:ascii="仿宋" w:hAnsi="仿宋" w:eastAsia="仿宋"/>
          <w:sz w:val="32"/>
          <w:szCs w:val="32"/>
        </w:rPr>
      </w:pPr>
      <w:r>
        <w:rPr>
          <w:rFonts w:hint="eastAsia" w:ascii="仿宋" w:hAnsi="仿宋" w:eastAsia="仿宋"/>
          <w:sz w:val="32"/>
          <w:szCs w:val="32"/>
          <w:lang w:eastAsia="zh-CN"/>
        </w:rPr>
        <w:t>2023年</w:t>
      </w:r>
      <w:r>
        <w:rPr>
          <w:rFonts w:hint="eastAsia" w:ascii="仿宋" w:hAnsi="仿宋" w:eastAsia="仿宋"/>
          <w:sz w:val="32"/>
          <w:szCs w:val="32"/>
        </w:rPr>
        <w:t>度收、支</w:t>
      </w:r>
      <w:r>
        <w:rPr>
          <w:rFonts w:hint="eastAsia" w:ascii="仿宋" w:hAnsi="仿宋" w:eastAsia="仿宋"/>
          <w:sz w:val="32"/>
          <w:szCs w:val="32"/>
          <w:lang w:eastAsia="zh-CN"/>
        </w:rPr>
        <w:t>总计均为2432.36万元。与2022年度相比，收、支总计各增加</w:t>
      </w:r>
      <w:r>
        <w:rPr>
          <w:rFonts w:hint="eastAsia" w:ascii="仿宋" w:hAnsi="仿宋" w:eastAsia="仿宋"/>
          <w:sz w:val="32"/>
          <w:szCs w:val="32"/>
          <w:lang w:val="en-US" w:eastAsia="zh-CN"/>
        </w:rPr>
        <w:t>241.13</w:t>
      </w:r>
      <w:r>
        <w:rPr>
          <w:rFonts w:hint="eastAsia" w:ascii="仿宋" w:hAnsi="仿宋" w:eastAsia="仿宋"/>
          <w:sz w:val="32"/>
          <w:szCs w:val="32"/>
          <w:lang w:eastAsia="zh-CN"/>
        </w:rPr>
        <w:t>万元，增长</w:t>
      </w:r>
      <w:r>
        <w:rPr>
          <w:rFonts w:hint="eastAsia" w:ascii="仿宋" w:hAnsi="仿宋" w:eastAsia="仿宋"/>
          <w:sz w:val="32"/>
          <w:szCs w:val="32"/>
          <w:lang w:val="en-US" w:eastAsia="zh-CN"/>
        </w:rPr>
        <w:t>11</w:t>
      </w:r>
      <w:r>
        <w:rPr>
          <w:rFonts w:hint="eastAsia" w:ascii="仿宋" w:hAnsi="仿宋" w:eastAsia="仿宋"/>
          <w:sz w:val="32"/>
          <w:szCs w:val="32"/>
          <w:lang w:eastAsia="zh-CN"/>
        </w:rPr>
        <w:t>%。主要变动原因：</w:t>
      </w:r>
      <w:r>
        <w:rPr>
          <w:rFonts w:hint="eastAsia" w:ascii="仿宋" w:hAnsi="仿宋" w:eastAsia="仿宋"/>
          <w:sz w:val="32"/>
          <w:szCs w:val="32"/>
          <w:lang w:val="en-US" w:eastAsia="zh-CN"/>
        </w:rPr>
        <w:t>一是本年度人员较上年减少1人，人员经费和公用经费随之减少；二是代发抚恤金较上年增长325.59万元。</w:t>
      </w:r>
    </w:p>
    <w:p>
      <w:pPr>
        <w:spacing w:line="600" w:lineRule="exact"/>
        <w:ind w:firstLine="640" w:firstLineChars="200"/>
        <w:jc w:val="center"/>
        <w:rPr>
          <w:rFonts w:ascii="仿宋_GB2312" w:eastAsia="仿宋_GB2312"/>
          <w:sz w:val="32"/>
          <w:szCs w:val="32"/>
        </w:rPr>
      </w:pPr>
      <w:r>
        <w:rPr>
          <w:rFonts w:hint="eastAsia" w:ascii="仿宋_GB2312" w:eastAsia="仿宋_GB2312"/>
          <w:sz w:val="32"/>
          <w:szCs w:val="32"/>
        </w:rPr>
        <w:drawing>
          <wp:anchor distT="0" distB="0" distL="114300" distR="114300" simplePos="0" relativeHeight="251660288" behindDoc="0" locked="0" layoutInCell="1" allowOverlap="1">
            <wp:simplePos x="0" y="0"/>
            <wp:positionH relativeFrom="column">
              <wp:posOffset>299720</wp:posOffset>
            </wp:positionH>
            <wp:positionV relativeFrom="paragraph">
              <wp:posOffset>165735</wp:posOffset>
            </wp:positionV>
            <wp:extent cx="4781550" cy="2940050"/>
            <wp:effectExtent l="4445" t="4445" r="14605" b="8255"/>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w:t>
      </w:r>
    </w:p>
    <w:p>
      <w:pPr>
        <w:pStyle w:val="27"/>
        <w:numPr>
          <w:ilvl w:val="0"/>
          <w:numId w:val="2"/>
        </w:numPr>
        <w:spacing w:line="600" w:lineRule="exact"/>
        <w:ind w:firstLineChars="0"/>
        <w:outlineLvl w:val="1"/>
        <w:rPr>
          <w:rStyle w:val="18"/>
          <w:rFonts w:ascii="黑体" w:hAnsi="黑体" w:eastAsia="黑体"/>
          <w:b w:val="0"/>
        </w:rPr>
      </w:pPr>
      <w:bookmarkStart w:id="17" w:name="_Toc14993"/>
      <w:bookmarkStart w:id="18" w:name="_Toc15377206"/>
      <w:bookmarkStart w:id="19" w:name="_Toc10586"/>
      <w:bookmarkStart w:id="20" w:name="_Toc15396604"/>
      <w:r>
        <w:rPr>
          <w:rFonts w:hint="eastAsia" w:ascii="黑体" w:hAnsi="黑体" w:eastAsia="黑体"/>
          <w:sz w:val="32"/>
          <w:szCs w:val="32"/>
        </w:rPr>
        <w:t>收</w:t>
      </w:r>
      <w:r>
        <w:rPr>
          <w:rStyle w:val="18"/>
          <w:rFonts w:hint="eastAsia" w:ascii="黑体" w:hAnsi="黑体" w:eastAsia="黑体"/>
          <w:b w:val="0"/>
        </w:rPr>
        <w:t>入决算情况说明</w:t>
      </w:r>
      <w:bookmarkEnd w:id="17"/>
      <w:bookmarkEnd w:id="18"/>
      <w:bookmarkEnd w:id="19"/>
      <w:bookmarkEnd w:id="20"/>
    </w:p>
    <w:p>
      <w:pPr>
        <w:spacing w:line="600" w:lineRule="exact"/>
        <w:ind w:firstLine="640" w:firstLineChars="200"/>
        <w:rPr>
          <w:rFonts w:ascii="仿宋" w:hAnsi="仿宋" w:eastAsia="仿宋"/>
          <w:sz w:val="32"/>
          <w:szCs w:val="32"/>
        </w:rPr>
      </w:pPr>
      <w:r>
        <w:rPr>
          <w:rFonts w:hint="eastAsia" w:ascii="仿宋" w:hAnsi="仿宋" w:eastAsia="仿宋"/>
          <w:sz w:val="32"/>
          <w:szCs w:val="32"/>
          <w:lang w:eastAsia="zh-CN"/>
        </w:rPr>
        <w:t>2023年度</w:t>
      </w:r>
      <w:r>
        <w:rPr>
          <w:rFonts w:hint="eastAsia" w:ascii="仿宋" w:hAnsi="仿宋" w:eastAsia="仿宋"/>
          <w:sz w:val="32"/>
          <w:szCs w:val="32"/>
        </w:rPr>
        <w:t>本年收入合计2432.36万元，其中：一般公共预算财政拨款收入2432.36万元，占100%。</w:t>
      </w:r>
    </w:p>
    <w:p>
      <w:pPr>
        <w:spacing w:line="600" w:lineRule="exact"/>
        <w:ind w:firstLine="640" w:firstLineChars="200"/>
        <w:jc w:val="center"/>
        <w:rPr>
          <w:rFonts w:ascii="仿宋_GB2312" w:eastAsia="仿宋_GB2312"/>
          <w:sz w:val="32"/>
          <w:szCs w:val="32"/>
        </w:rPr>
      </w:pPr>
      <w:r>
        <w:rPr>
          <w:rFonts w:hint="eastAsia" w:ascii="仿宋" w:hAnsi="仿宋" w:eastAsia="仿宋"/>
          <w:sz w:val="32"/>
          <w:szCs w:val="32"/>
        </w:rPr>
        <w:t>（图2：收入决算结构图）</w:t>
      </w:r>
      <w:r>
        <w:rPr>
          <w:rFonts w:hint="eastAsia" w:ascii="仿宋_GB2312" w:eastAsia="仿宋_GB2312"/>
          <w:sz w:val="32"/>
          <w:szCs w:val="32"/>
        </w:rPr>
        <w:drawing>
          <wp:anchor distT="0" distB="0" distL="114300" distR="114300" simplePos="0" relativeHeight="251661312" behindDoc="0" locked="0" layoutInCell="1" allowOverlap="1">
            <wp:simplePos x="0" y="0"/>
            <wp:positionH relativeFrom="column">
              <wp:posOffset>49530</wp:posOffset>
            </wp:positionH>
            <wp:positionV relativeFrom="paragraph">
              <wp:posOffset>99695</wp:posOffset>
            </wp:positionV>
            <wp:extent cx="5180965" cy="1998345"/>
            <wp:effectExtent l="5080" t="4445" r="14605" b="16510"/>
            <wp:wrapSquare wrapText="bothSides"/>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pPr>
        <w:pStyle w:val="27"/>
        <w:numPr>
          <w:ilvl w:val="0"/>
          <w:numId w:val="2"/>
        </w:numPr>
        <w:spacing w:line="600" w:lineRule="exact"/>
        <w:ind w:firstLineChars="0"/>
        <w:outlineLvl w:val="1"/>
        <w:rPr>
          <w:rStyle w:val="18"/>
          <w:rFonts w:ascii="黑体" w:hAnsi="黑体" w:eastAsia="黑体"/>
          <w:b w:val="0"/>
        </w:rPr>
      </w:pPr>
      <w:bookmarkStart w:id="21" w:name="_Toc2045"/>
      <w:bookmarkStart w:id="22" w:name="_Toc21645"/>
      <w:bookmarkStart w:id="23" w:name="_Toc15377207"/>
      <w:bookmarkStart w:id="24" w:name="_Toc15396605"/>
      <w:r>
        <w:rPr>
          <w:rFonts w:hint="eastAsia" w:ascii="黑体" w:hAnsi="黑体" w:eastAsia="黑体"/>
          <w:sz w:val="32"/>
          <w:szCs w:val="32"/>
        </w:rPr>
        <w:t>支</w:t>
      </w:r>
      <w:r>
        <w:rPr>
          <w:rStyle w:val="18"/>
          <w:rFonts w:hint="eastAsia" w:ascii="黑体" w:hAnsi="黑体" w:eastAsia="黑体"/>
          <w:b w:val="0"/>
        </w:rPr>
        <w:t>出决算情况说明</w:t>
      </w:r>
      <w:bookmarkEnd w:id="21"/>
      <w:bookmarkEnd w:id="22"/>
      <w:bookmarkEnd w:id="23"/>
      <w:bookmarkEnd w:id="24"/>
    </w:p>
    <w:p>
      <w:pPr>
        <w:spacing w:line="600" w:lineRule="exact"/>
        <w:ind w:firstLine="640" w:firstLineChars="200"/>
        <w:rPr>
          <w:rFonts w:ascii="仿宋" w:hAnsi="仿宋" w:eastAsia="仿宋"/>
          <w:sz w:val="32"/>
          <w:szCs w:val="32"/>
        </w:rPr>
      </w:pPr>
      <w:r>
        <w:rPr>
          <w:rFonts w:hint="eastAsia" w:ascii="仿宋" w:hAnsi="仿宋" w:eastAsia="仿宋"/>
          <w:sz w:val="32"/>
          <w:szCs w:val="32"/>
          <w:lang w:eastAsia="zh-CN"/>
        </w:rPr>
        <w:t>2023年度</w:t>
      </w:r>
      <w:r>
        <w:rPr>
          <w:rFonts w:hint="eastAsia" w:ascii="仿宋" w:hAnsi="仿宋" w:eastAsia="仿宋"/>
          <w:sz w:val="32"/>
          <w:szCs w:val="32"/>
        </w:rPr>
        <w:t>本年支出合计2432.36万元，其中：基本支出</w:t>
      </w:r>
      <w:r>
        <w:rPr>
          <w:rFonts w:hint="eastAsia" w:ascii="仿宋" w:hAnsi="仿宋" w:eastAsia="仿宋"/>
          <w:sz w:val="32"/>
          <w:szCs w:val="32"/>
          <w:lang w:val="en-US" w:eastAsia="zh-CN"/>
        </w:rPr>
        <w:t>2331.75</w:t>
      </w:r>
      <w:r>
        <w:rPr>
          <w:rFonts w:hint="eastAsia" w:ascii="仿宋" w:hAnsi="仿宋" w:eastAsia="仿宋"/>
          <w:sz w:val="32"/>
          <w:szCs w:val="32"/>
        </w:rPr>
        <w:t>万元，占9</w:t>
      </w:r>
      <w:r>
        <w:rPr>
          <w:rFonts w:hint="eastAsia" w:ascii="仿宋" w:hAnsi="仿宋" w:eastAsia="仿宋"/>
          <w:sz w:val="32"/>
          <w:szCs w:val="32"/>
          <w:lang w:val="en-US" w:eastAsia="zh-CN"/>
        </w:rPr>
        <w:t>6</w:t>
      </w:r>
      <w:r>
        <w:rPr>
          <w:rFonts w:hint="eastAsia" w:ascii="仿宋" w:hAnsi="仿宋" w:eastAsia="仿宋"/>
          <w:sz w:val="32"/>
          <w:szCs w:val="32"/>
        </w:rPr>
        <w:t>%；项目支出</w:t>
      </w:r>
      <w:r>
        <w:rPr>
          <w:rFonts w:hint="eastAsia" w:ascii="仿宋" w:hAnsi="仿宋" w:eastAsia="仿宋"/>
          <w:sz w:val="32"/>
          <w:szCs w:val="32"/>
          <w:lang w:val="en-US" w:eastAsia="zh-CN"/>
        </w:rPr>
        <w:t>100.61</w:t>
      </w:r>
      <w:r>
        <w:rPr>
          <w:rFonts w:hint="eastAsia" w:ascii="仿宋" w:hAnsi="仿宋" w:eastAsia="仿宋"/>
          <w:sz w:val="32"/>
          <w:szCs w:val="32"/>
        </w:rPr>
        <w:t>万元，占</w:t>
      </w:r>
      <w:r>
        <w:rPr>
          <w:rFonts w:hint="eastAsia" w:ascii="仿宋" w:hAnsi="仿宋" w:eastAsia="仿宋"/>
          <w:sz w:val="32"/>
          <w:szCs w:val="32"/>
          <w:lang w:val="en-US" w:eastAsia="zh-CN"/>
        </w:rPr>
        <w:t>4</w:t>
      </w:r>
      <w:r>
        <w:rPr>
          <w:rFonts w:hint="eastAsia" w:ascii="仿宋" w:hAnsi="仿宋" w:eastAsia="仿宋"/>
          <w:sz w:val="32"/>
          <w:szCs w:val="32"/>
        </w:rPr>
        <w:t>%。</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drawing>
          <wp:anchor distT="0" distB="0" distL="114300" distR="114300" simplePos="0" relativeHeight="251662336" behindDoc="0" locked="0" layoutInCell="1" allowOverlap="1">
            <wp:simplePos x="0" y="0"/>
            <wp:positionH relativeFrom="column">
              <wp:posOffset>410845</wp:posOffset>
            </wp:positionH>
            <wp:positionV relativeFrom="paragraph">
              <wp:posOffset>71120</wp:posOffset>
            </wp:positionV>
            <wp:extent cx="4666615" cy="2303145"/>
            <wp:effectExtent l="4445" t="5080" r="15240" b="15875"/>
            <wp:wrapSquare wrapText="bothSides"/>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p>
      <w:pPr>
        <w:spacing w:line="600" w:lineRule="exact"/>
        <w:outlineLvl w:val="9"/>
        <w:rPr>
          <w:rFonts w:ascii="黑体" w:hAnsi="黑体" w:eastAsia="黑体"/>
          <w:sz w:val="32"/>
          <w:szCs w:val="32"/>
        </w:rPr>
      </w:pPr>
      <w:bookmarkStart w:id="25" w:name="_Toc15377208"/>
      <w:bookmarkStart w:id="26" w:name="_Toc15396606"/>
      <w:bookmarkStart w:id="27" w:name="_Toc1169"/>
    </w:p>
    <w:p>
      <w:pPr>
        <w:spacing w:line="600" w:lineRule="exact"/>
        <w:ind w:firstLine="2560" w:firstLineChars="800"/>
        <w:rPr>
          <w:rFonts w:ascii="仿宋" w:hAnsi="仿宋" w:eastAsia="仿宋"/>
          <w:sz w:val="32"/>
          <w:szCs w:val="32"/>
        </w:rPr>
      </w:pPr>
      <w:r>
        <w:rPr>
          <w:rFonts w:hint="eastAsia" w:ascii="仿宋" w:hAnsi="仿宋" w:eastAsia="仿宋"/>
          <w:sz w:val="32"/>
          <w:szCs w:val="32"/>
        </w:rPr>
        <w:t>（图3：支出决算结构图）</w:t>
      </w:r>
    </w:p>
    <w:p>
      <w:pPr>
        <w:spacing w:line="600" w:lineRule="exact"/>
        <w:ind w:firstLine="640" w:firstLineChars="200"/>
        <w:outlineLvl w:val="1"/>
        <w:rPr>
          <w:rStyle w:val="18"/>
          <w:rFonts w:ascii="黑体" w:hAnsi="黑体" w:eastAsia="黑体"/>
          <w:b w:val="0"/>
        </w:rPr>
      </w:pPr>
      <w:bookmarkStart w:id="28" w:name="_Toc30916"/>
      <w:r>
        <w:rPr>
          <w:rFonts w:hint="eastAsia" w:ascii="黑体" w:hAnsi="黑体" w:eastAsia="黑体"/>
          <w:sz w:val="32"/>
          <w:szCs w:val="32"/>
        </w:rPr>
        <w:t>四、财</w:t>
      </w:r>
      <w:r>
        <w:rPr>
          <w:rStyle w:val="18"/>
          <w:rFonts w:hint="eastAsia" w:ascii="黑体" w:hAnsi="黑体" w:eastAsia="黑体"/>
          <w:b w:val="0"/>
        </w:rPr>
        <w:t>政拨款收入支出决算总体情况说明</w:t>
      </w:r>
      <w:bookmarkEnd w:id="25"/>
      <w:bookmarkEnd w:id="26"/>
      <w:bookmarkEnd w:id="27"/>
      <w:bookmarkEnd w:id="28"/>
    </w:p>
    <w:p>
      <w:pPr>
        <w:spacing w:line="600" w:lineRule="exact"/>
        <w:ind w:firstLine="640" w:firstLineChars="200"/>
        <w:rPr>
          <w:rFonts w:ascii="仿宋" w:hAnsi="仿宋" w:eastAsia="仿宋"/>
          <w:b/>
          <w:sz w:val="32"/>
          <w:szCs w:val="32"/>
        </w:rPr>
      </w:pPr>
      <w:r>
        <w:rPr>
          <w:rFonts w:hint="eastAsia" w:ascii="仿宋" w:hAnsi="仿宋" w:eastAsia="仿宋"/>
          <w:sz w:val="32"/>
          <w:szCs w:val="32"/>
          <w:lang w:eastAsia="zh-CN"/>
        </w:rPr>
        <w:t>2023年</w:t>
      </w:r>
      <w:r>
        <w:rPr>
          <w:rFonts w:hint="eastAsia" w:ascii="仿宋" w:hAnsi="仿宋" w:eastAsia="仿宋"/>
          <w:sz w:val="32"/>
          <w:szCs w:val="32"/>
        </w:rPr>
        <w:t>财政拨款收、支总计</w:t>
      </w:r>
      <w:r>
        <w:rPr>
          <w:rFonts w:hint="eastAsia" w:ascii="仿宋" w:hAnsi="仿宋" w:eastAsia="仿宋"/>
          <w:sz w:val="32"/>
          <w:szCs w:val="32"/>
          <w:lang w:eastAsia="zh-CN"/>
        </w:rPr>
        <w:t>均为</w:t>
      </w:r>
      <w:r>
        <w:rPr>
          <w:rFonts w:hint="eastAsia" w:ascii="仿宋" w:hAnsi="仿宋" w:eastAsia="仿宋"/>
          <w:sz w:val="32"/>
          <w:szCs w:val="32"/>
          <w:lang w:val="en-US" w:eastAsia="zh-CN"/>
        </w:rPr>
        <w:t>2432.36</w:t>
      </w:r>
      <w:r>
        <w:rPr>
          <w:rFonts w:hint="eastAsia" w:ascii="仿宋" w:hAnsi="仿宋" w:eastAsia="仿宋"/>
          <w:sz w:val="32"/>
          <w:szCs w:val="32"/>
        </w:rPr>
        <w:t>万元。与</w:t>
      </w:r>
      <w:r>
        <w:rPr>
          <w:rFonts w:hint="eastAsia" w:ascii="仿宋" w:hAnsi="仿宋" w:eastAsia="仿宋"/>
          <w:sz w:val="32"/>
          <w:szCs w:val="32"/>
          <w:lang w:eastAsia="zh-CN"/>
        </w:rPr>
        <w:t>2022年</w:t>
      </w:r>
      <w:r>
        <w:rPr>
          <w:rFonts w:hint="eastAsia" w:ascii="仿宋" w:hAnsi="仿宋" w:eastAsia="仿宋"/>
          <w:sz w:val="32"/>
          <w:szCs w:val="32"/>
        </w:rPr>
        <w:t>相比，财政拨款收、支总计各</w:t>
      </w:r>
      <w:r>
        <w:rPr>
          <w:rFonts w:hint="eastAsia" w:ascii="仿宋" w:hAnsi="仿宋" w:eastAsia="仿宋"/>
          <w:sz w:val="32"/>
          <w:szCs w:val="32"/>
          <w:lang w:eastAsia="zh-CN"/>
        </w:rPr>
        <w:t>增加</w:t>
      </w:r>
      <w:r>
        <w:rPr>
          <w:rFonts w:hint="eastAsia" w:ascii="仿宋" w:hAnsi="仿宋" w:eastAsia="仿宋"/>
          <w:sz w:val="32"/>
          <w:szCs w:val="32"/>
          <w:lang w:val="en-US" w:eastAsia="zh-CN"/>
        </w:rPr>
        <w:t>241.13</w:t>
      </w:r>
      <w:r>
        <w:rPr>
          <w:rFonts w:hint="eastAsia" w:ascii="仿宋" w:hAnsi="仿宋" w:eastAsia="仿宋"/>
          <w:sz w:val="32"/>
          <w:szCs w:val="32"/>
        </w:rPr>
        <w:t>万元，</w:t>
      </w:r>
      <w:r>
        <w:rPr>
          <w:rFonts w:hint="eastAsia" w:ascii="仿宋" w:hAnsi="仿宋" w:eastAsia="仿宋"/>
          <w:sz w:val="32"/>
          <w:szCs w:val="32"/>
          <w:lang w:eastAsia="zh-CN"/>
        </w:rPr>
        <w:t>增长</w:t>
      </w:r>
      <w:r>
        <w:rPr>
          <w:rFonts w:hint="eastAsia" w:ascii="仿宋" w:hAnsi="仿宋" w:eastAsia="仿宋"/>
          <w:sz w:val="32"/>
          <w:szCs w:val="32"/>
          <w:lang w:val="en-US" w:eastAsia="zh-CN"/>
        </w:rPr>
        <w:t>11</w:t>
      </w:r>
      <w:r>
        <w:rPr>
          <w:rFonts w:hint="eastAsia" w:ascii="仿宋" w:hAnsi="仿宋" w:eastAsia="仿宋"/>
          <w:sz w:val="32"/>
          <w:szCs w:val="32"/>
        </w:rPr>
        <w:t>%。主要变动原因：</w:t>
      </w:r>
      <w:r>
        <w:rPr>
          <w:rFonts w:hint="eastAsia" w:ascii="仿宋" w:hAnsi="仿宋" w:eastAsia="仿宋"/>
          <w:sz w:val="32"/>
          <w:szCs w:val="32"/>
          <w:lang w:val="en-US" w:eastAsia="zh-CN"/>
        </w:rPr>
        <w:t>一是本年度人员较上年减少1人，人员经费和公用经费随之减少；二是代发抚恤金较上年增长325.59万元。</w:t>
      </w:r>
    </w:p>
    <w:p>
      <w:pPr>
        <w:pStyle w:val="2"/>
        <w:ind w:firstLine="0" w:firstLineChars="0"/>
        <w:jc w:val="center"/>
        <w:rPr>
          <w:rFonts w:hint="eastAsia" w:ascii="黑体" w:hAnsi="黑体" w:eastAsia="黑体"/>
          <w:sz w:val="32"/>
          <w:szCs w:val="32"/>
        </w:rPr>
      </w:pPr>
      <w:bookmarkStart w:id="29" w:name="_Toc15396607"/>
      <w:bookmarkStart w:id="30" w:name="_Toc25870"/>
      <w:bookmarkStart w:id="31" w:name="_Toc15377209"/>
      <w:r>
        <w:rPr>
          <w:rFonts w:hint="eastAsia" w:ascii="仿宋" w:hAnsi="仿宋" w:eastAsia="仿宋"/>
          <w:b/>
          <w:sz w:val="32"/>
          <w:szCs w:val="32"/>
        </w:rPr>
        <w:drawing>
          <wp:anchor distT="0" distB="0" distL="114300" distR="114300" simplePos="0" relativeHeight="251665408" behindDoc="0" locked="0" layoutInCell="1" allowOverlap="1">
            <wp:simplePos x="0" y="0"/>
            <wp:positionH relativeFrom="column">
              <wp:posOffset>254000</wp:posOffset>
            </wp:positionH>
            <wp:positionV relativeFrom="paragraph">
              <wp:posOffset>93980</wp:posOffset>
            </wp:positionV>
            <wp:extent cx="5036820" cy="2301240"/>
            <wp:effectExtent l="5080" t="4445" r="6350" b="18415"/>
            <wp:wrapSquare wrapText="bothSides"/>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仿宋" w:hAnsi="仿宋" w:eastAsia="仿宋"/>
          <w:szCs w:val="32"/>
        </w:rPr>
        <w:t>（图4：财政拨款收、支决算总计变动情况）</w:t>
      </w:r>
    </w:p>
    <w:p>
      <w:pPr>
        <w:spacing w:line="600" w:lineRule="exact"/>
        <w:ind w:firstLine="640" w:firstLineChars="200"/>
        <w:outlineLvl w:val="1"/>
        <w:rPr>
          <w:rStyle w:val="18"/>
          <w:rFonts w:ascii="黑体" w:hAnsi="黑体" w:eastAsia="黑体"/>
          <w:b w:val="0"/>
        </w:rPr>
      </w:pPr>
      <w:bookmarkStart w:id="32" w:name="_Toc13135"/>
      <w:r>
        <w:rPr>
          <w:rFonts w:hint="eastAsia" w:ascii="黑体" w:hAnsi="黑体" w:eastAsia="黑体"/>
          <w:sz w:val="32"/>
          <w:szCs w:val="32"/>
        </w:rPr>
        <w:t>五、</w:t>
      </w:r>
      <w:r>
        <w:rPr>
          <w:rFonts w:hint="eastAsia" w:ascii="黑体" w:hAnsi="黑体" w:eastAsia="黑体"/>
          <w:b/>
          <w:sz w:val="32"/>
          <w:szCs w:val="32"/>
        </w:rPr>
        <w:t>一</w:t>
      </w:r>
      <w:r>
        <w:rPr>
          <w:rStyle w:val="18"/>
          <w:rFonts w:hint="eastAsia" w:ascii="黑体" w:hAnsi="黑体" w:eastAsia="黑体"/>
          <w:b w:val="0"/>
        </w:rPr>
        <w:t>般公共预算财政拨款支出决算情况说明</w:t>
      </w:r>
      <w:bookmarkEnd w:id="29"/>
      <w:bookmarkEnd w:id="30"/>
      <w:bookmarkEnd w:id="31"/>
      <w:bookmarkEnd w:id="32"/>
    </w:p>
    <w:p>
      <w:pPr>
        <w:spacing w:line="600" w:lineRule="exact"/>
        <w:ind w:firstLine="642" w:firstLineChars="200"/>
        <w:outlineLvl w:val="2"/>
        <w:rPr>
          <w:rFonts w:ascii="仿宋" w:hAnsi="仿宋" w:eastAsia="仿宋"/>
          <w:b/>
          <w:sz w:val="32"/>
          <w:szCs w:val="32"/>
        </w:rPr>
      </w:pPr>
      <w:bookmarkStart w:id="33" w:name="_Toc15377210"/>
      <w:r>
        <w:rPr>
          <w:rFonts w:hint="eastAsia" w:ascii="仿宋" w:hAnsi="仿宋" w:eastAsia="仿宋"/>
          <w:b/>
          <w:sz w:val="32"/>
          <w:szCs w:val="32"/>
        </w:rPr>
        <w:t>（一）一般公共预算财政拨款支出决算总体情况</w:t>
      </w:r>
      <w:bookmarkEnd w:id="33"/>
    </w:p>
    <w:p>
      <w:pPr>
        <w:spacing w:line="600" w:lineRule="exact"/>
        <w:ind w:firstLine="640" w:firstLineChars="200"/>
        <w:rPr>
          <w:rFonts w:ascii="仿宋" w:hAnsi="仿宋" w:eastAsia="仿宋"/>
          <w:b/>
          <w:sz w:val="32"/>
          <w:szCs w:val="32"/>
        </w:rPr>
      </w:pPr>
      <w:r>
        <w:rPr>
          <w:rFonts w:hint="eastAsia" w:ascii="仿宋" w:hAnsi="仿宋" w:eastAsia="仿宋"/>
          <w:sz w:val="32"/>
          <w:szCs w:val="32"/>
          <w:lang w:eastAsia="zh-CN"/>
        </w:rPr>
        <w:t>2023年度</w:t>
      </w:r>
      <w:r>
        <w:rPr>
          <w:rFonts w:hint="eastAsia" w:ascii="仿宋" w:hAnsi="仿宋" w:eastAsia="仿宋"/>
          <w:sz w:val="32"/>
          <w:szCs w:val="32"/>
        </w:rPr>
        <w:t>一般公共预算财政拨款支出</w:t>
      </w:r>
      <w:r>
        <w:rPr>
          <w:rFonts w:hint="eastAsia" w:ascii="仿宋" w:hAnsi="仿宋" w:eastAsia="仿宋"/>
          <w:sz w:val="32"/>
          <w:szCs w:val="32"/>
          <w:lang w:val="en-US" w:eastAsia="zh-CN"/>
        </w:rPr>
        <w:t>2432.36</w:t>
      </w:r>
      <w:r>
        <w:rPr>
          <w:rFonts w:hint="eastAsia" w:ascii="仿宋" w:hAnsi="仿宋" w:eastAsia="仿宋"/>
          <w:sz w:val="32"/>
          <w:szCs w:val="32"/>
        </w:rPr>
        <w:t>万元，占本年支出合计的100</w:t>
      </w:r>
      <w:r>
        <w:rPr>
          <w:rFonts w:ascii="仿宋" w:hAnsi="仿宋" w:eastAsia="仿宋"/>
          <w:sz w:val="32"/>
          <w:szCs w:val="32"/>
        </w:rPr>
        <w:t>%</w:t>
      </w:r>
      <w:r>
        <w:rPr>
          <w:rFonts w:hint="eastAsia" w:ascii="仿宋" w:hAnsi="仿宋" w:eastAsia="仿宋"/>
          <w:sz w:val="32"/>
          <w:szCs w:val="32"/>
        </w:rPr>
        <w:t>。与</w:t>
      </w:r>
      <w:r>
        <w:rPr>
          <w:rFonts w:hint="eastAsia" w:ascii="仿宋" w:hAnsi="仿宋" w:eastAsia="仿宋"/>
          <w:sz w:val="32"/>
          <w:szCs w:val="32"/>
          <w:lang w:eastAsia="zh-CN"/>
        </w:rPr>
        <w:t>2022年</w:t>
      </w:r>
      <w:r>
        <w:rPr>
          <w:rFonts w:hint="eastAsia" w:ascii="仿宋" w:hAnsi="仿宋" w:eastAsia="仿宋"/>
          <w:sz w:val="32"/>
          <w:szCs w:val="32"/>
        </w:rPr>
        <w:t>相比，一般公共预算财政拨款支出</w:t>
      </w:r>
      <w:r>
        <w:rPr>
          <w:rFonts w:hint="eastAsia" w:ascii="仿宋" w:hAnsi="仿宋" w:eastAsia="仿宋"/>
          <w:sz w:val="32"/>
          <w:szCs w:val="32"/>
          <w:lang w:eastAsia="zh-CN"/>
        </w:rPr>
        <w:t>增加</w:t>
      </w:r>
      <w:r>
        <w:rPr>
          <w:rFonts w:hint="eastAsia" w:ascii="仿宋" w:hAnsi="仿宋" w:eastAsia="仿宋"/>
          <w:sz w:val="32"/>
          <w:szCs w:val="32"/>
          <w:lang w:val="en-US" w:eastAsia="zh-CN"/>
        </w:rPr>
        <w:t>241.13</w:t>
      </w:r>
      <w:r>
        <w:rPr>
          <w:rFonts w:hint="eastAsia" w:ascii="仿宋" w:hAnsi="仿宋" w:eastAsia="仿宋"/>
          <w:sz w:val="32"/>
          <w:szCs w:val="32"/>
        </w:rPr>
        <w:t>万元，</w:t>
      </w:r>
      <w:r>
        <w:rPr>
          <w:rFonts w:hint="eastAsia" w:ascii="仿宋" w:hAnsi="仿宋" w:eastAsia="仿宋"/>
          <w:sz w:val="32"/>
          <w:szCs w:val="32"/>
          <w:lang w:eastAsia="zh-CN"/>
        </w:rPr>
        <w:t>增长</w:t>
      </w:r>
      <w:r>
        <w:rPr>
          <w:rFonts w:hint="eastAsia" w:ascii="仿宋" w:hAnsi="仿宋" w:eastAsia="仿宋"/>
          <w:sz w:val="32"/>
          <w:szCs w:val="32"/>
          <w:lang w:val="en-US" w:eastAsia="zh-CN"/>
        </w:rPr>
        <w:t>11</w:t>
      </w:r>
      <w:r>
        <w:rPr>
          <w:rFonts w:ascii="仿宋" w:hAnsi="仿宋" w:eastAsia="仿宋"/>
          <w:sz w:val="32"/>
          <w:szCs w:val="32"/>
        </w:rPr>
        <w:t>%</w:t>
      </w:r>
      <w:r>
        <w:rPr>
          <w:rFonts w:hint="eastAsia" w:ascii="仿宋" w:hAnsi="仿宋" w:eastAsia="仿宋"/>
          <w:sz w:val="32"/>
          <w:szCs w:val="32"/>
          <w:lang w:val="en-US" w:eastAsia="zh-CN"/>
        </w:rPr>
        <w:t>。主要变动原因：一是本年度人员较上年减少1人，人员经费和公用经费随之减少；二是代发抚恤金较上年增长325.59万元。</w:t>
      </w:r>
    </w:p>
    <w:p>
      <w:pPr>
        <w:pStyle w:val="2"/>
        <w:ind w:left="0" w:leftChars="0" w:firstLine="0" w:firstLineChars="0"/>
      </w:pPr>
      <w:r>
        <w:rPr>
          <w:rFonts w:hint="eastAsia" w:ascii="仿宋" w:hAnsi="仿宋" w:eastAsia="仿宋"/>
          <w:szCs w:val="32"/>
        </w:rPr>
        <w:drawing>
          <wp:anchor distT="0" distB="0" distL="114300" distR="114300" simplePos="0" relativeHeight="251666432" behindDoc="0" locked="0" layoutInCell="1" allowOverlap="1">
            <wp:simplePos x="0" y="0"/>
            <wp:positionH relativeFrom="column">
              <wp:posOffset>336550</wp:posOffset>
            </wp:positionH>
            <wp:positionV relativeFrom="paragraph">
              <wp:posOffset>316865</wp:posOffset>
            </wp:positionV>
            <wp:extent cx="4845685" cy="1952625"/>
            <wp:effectExtent l="4445" t="4445" r="7620" b="5080"/>
            <wp:wrapSquare wrapText="bothSides"/>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pStyle w:val="2"/>
        <w:ind w:firstLine="640"/>
        <w:rPr>
          <w:rFonts w:ascii="仿宋" w:hAnsi="仿宋" w:eastAsia="仿宋"/>
          <w:szCs w:val="32"/>
        </w:rPr>
      </w:pPr>
      <w:r>
        <w:rPr>
          <w:rFonts w:hint="eastAsia" w:ascii="仿宋" w:hAnsi="仿宋" w:eastAsia="仿宋"/>
          <w:szCs w:val="32"/>
        </w:rPr>
        <w:t>（图5：一般公共预算财政拨款支出决算变动情况）</w:t>
      </w:r>
    </w:p>
    <w:p>
      <w:pPr>
        <w:spacing w:line="600" w:lineRule="exact"/>
        <w:ind w:firstLine="642" w:firstLineChars="200"/>
        <w:outlineLvl w:val="2"/>
        <w:rPr>
          <w:rFonts w:ascii="仿宋" w:hAnsi="仿宋" w:eastAsia="仿宋"/>
          <w:b/>
          <w:sz w:val="32"/>
          <w:szCs w:val="32"/>
        </w:rPr>
      </w:pPr>
      <w:bookmarkStart w:id="34" w:name="_Toc15377211"/>
      <w:r>
        <w:rPr>
          <w:rFonts w:hint="eastAsia" w:ascii="仿宋" w:hAnsi="仿宋" w:eastAsia="仿宋"/>
          <w:b/>
          <w:sz w:val="32"/>
          <w:szCs w:val="32"/>
        </w:rPr>
        <w:t>（二）一般公共预算财政拨款支出决算结构情况</w:t>
      </w:r>
      <w:bookmarkEnd w:id="34"/>
    </w:p>
    <w:p>
      <w:pPr>
        <w:spacing w:line="600" w:lineRule="exact"/>
        <w:ind w:firstLine="640"/>
        <w:rPr>
          <w:rFonts w:ascii="仿宋" w:hAnsi="仿宋" w:eastAsia="仿宋"/>
          <w:b/>
          <w:sz w:val="32"/>
          <w:szCs w:val="32"/>
        </w:rPr>
      </w:pPr>
      <w:r>
        <w:rPr>
          <w:rFonts w:hint="eastAsia" w:ascii="仿宋" w:hAnsi="仿宋" w:eastAsia="仿宋"/>
          <w:sz w:val="32"/>
          <w:szCs w:val="32"/>
          <w:lang w:eastAsia="zh-CN"/>
        </w:rPr>
        <w:t>2023年度</w:t>
      </w:r>
      <w:r>
        <w:rPr>
          <w:rFonts w:hint="eastAsia" w:ascii="仿宋" w:hAnsi="仿宋" w:eastAsia="仿宋"/>
          <w:sz w:val="32"/>
          <w:szCs w:val="32"/>
        </w:rPr>
        <w:t>一般公共预算财政拨款支出</w:t>
      </w:r>
      <w:r>
        <w:rPr>
          <w:rFonts w:hint="eastAsia" w:ascii="仿宋" w:hAnsi="仿宋" w:eastAsia="仿宋"/>
          <w:sz w:val="32"/>
          <w:szCs w:val="32"/>
          <w:lang w:val="en-US" w:eastAsia="zh-CN"/>
        </w:rPr>
        <w:t>2432.36</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2294.21</w:t>
      </w:r>
      <w:r>
        <w:rPr>
          <w:rFonts w:hint="eastAsia" w:ascii="仿宋" w:hAnsi="仿宋" w:eastAsia="仿宋"/>
          <w:sz w:val="32"/>
          <w:szCs w:val="32"/>
        </w:rPr>
        <w:t>万元，占94.</w:t>
      </w:r>
      <w:r>
        <w:rPr>
          <w:rFonts w:hint="eastAsia" w:ascii="仿宋" w:hAnsi="仿宋" w:eastAsia="仿宋"/>
          <w:sz w:val="32"/>
          <w:szCs w:val="32"/>
          <w:lang w:val="en-US" w:eastAsia="zh-CN"/>
        </w:rPr>
        <w:t>32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32.07</w:t>
      </w:r>
      <w:r>
        <w:rPr>
          <w:rFonts w:hint="eastAsia" w:ascii="仿宋" w:hAnsi="仿宋" w:eastAsia="仿宋"/>
          <w:sz w:val="32"/>
          <w:szCs w:val="32"/>
        </w:rPr>
        <w:t>万元，占1.</w:t>
      </w:r>
      <w:r>
        <w:rPr>
          <w:rFonts w:hint="eastAsia" w:ascii="仿宋" w:hAnsi="仿宋" w:eastAsia="仿宋"/>
          <w:sz w:val="32"/>
          <w:szCs w:val="32"/>
          <w:lang w:val="en-US" w:eastAsia="zh-CN"/>
        </w:rPr>
        <w:t>32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106.07</w:t>
      </w:r>
      <w:r>
        <w:rPr>
          <w:rFonts w:hint="eastAsia" w:ascii="仿宋" w:hAnsi="仿宋" w:eastAsia="仿宋"/>
          <w:sz w:val="32"/>
          <w:szCs w:val="32"/>
        </w:rPr>
        <w:t>万元，占</w:t>
      </w:r>
      <w:r>
        <w:rPr>
          <w:rFonts w:hint="eastAsia" w:ascii="仿宋" w:hAnsi="仿宋" w:eastAsia="仿宋"/>
          <w:sz w:val="32"/>
          <w:szCs w:val="32"/>
          <w:lang w:val="en-US" w:eastAsia="zh-CN"/>
        </w:rPr>
        <w:t>4.36</w:t>
      </w:r>
      <w:r>
        <w:rPr>
          <w:rFonts w:ascii="仿宋" w:hAnsi="仿宋" w:eastAsia="仿宋"/>
          <w:sz w:val="32"/>
          <w:szCs w:val="32"/>
        </w:rPr>
        <w:t>%</w:t>
      </w:r>
      <w:r>
        <w:rPr>
          <w:rFonts w:hint="eastAsia" w:ascii="仿宋" w:hAnsi="仿宋" w:eastAsia="仿宋"/>
          <w:sz w:val="32"/>
          <w:szCs w:val="32"/>
        </w:rPr>
        <w:t>。</w:t>
      </w:r>
    </w:p>
    <w:p>
      <w:pPr>
        <w:spacing w:line="600" w:lineRule="exact"/>
        <w:ind w:firstLine="640" w:firstLineChars="200"/>
        <w:outlineLvl w:val="9"/>
        <w:rPr>
          <w:rFonts w:ascii="仿宋" w:hAnsi="仿宋" w:eastAsia="仿宋"/>
          <w:b/>
          <w:sz w:val="32"/>
          <w:szCs w:val="32"/>
        </w:rPr>
      </w:pPr>
      <w:bookmarkStart w:id="35" w:name="_Toc15377212"/>
      <w:r>
        <w:rPr>
          <w:rFonts w:hint="eastAsia" w:ascii="仿宋" w:hAnsi="仿宋" w:eastAsia="仿宋"/>
          <w:sz w:val="32"/>
          <w:szCs w:val="32"/>
        </w:rPr>
        <w:drawing>
          <wp:anchor distT="0" distB="0" distL="114300" distR="114300" simplePos="0" relativeHeight="251664384" behindDoc="0" locked="0" layoutInCell="1" allowOverlap="1">
            <wp:simplePos x="0" y="0"/>
            <wp:positionH relativeFrom="column">
              <wp:posOffset>363855</wp:posOffset>
            </wp:positionH>
            <wp:positionV relativeFrom="paragraph">
              <wp:posOffset>209550</wp:posOffset>
            </wp:positionV>
            <wp:extent cx="4058285" cy="2160270"/>
            <wp:effectExtent l="4445" t="5080" r="13970" b="6350"/>
            <wp:wrapSquare wrapText="bothSides"/>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spacing w:line="600" w:lineRule="exact"/>
        <w:outlineLvl w:val="9"/>
        <w:rPr>
          <w:rFonts w:ascii="仿宋" w:hAnsi="仿宋" w:eastAsia="仿宋"/>
          <w:b/>
          <w:sz w:val="32"/>
          <w:szCs w:val="32"/>
        </w:rPr>
      </w:pPr>
    </w:p>
    <w:p>
      <w:pPr>
        <w:spacing w:line="600" w:lineRule="exact"/>
        <w:ind w:firstLine="642" w:firstLineChars="200"/>
        <w:outlineLvl w:val="9"/>
        <w:rPr>
          <w:rFonts w:ascii="仿宋" w:hAnsi="仿宋" w:eastAsia="仿宋"/>
          <w:b/>
          <w:sz w:val="32"/>
          <w:szCs w:val="32"/>
        </w:rPr>
      </w:pPr>
    </w:p>
    <w:p>
      <w:pPr>
        <w:spacing w:line="600" w:lineRule="exact"/>
        <w:ind w:firstLine="642" w:firstLineChars="200"/>
        <w:outlineLvl w:val="9"/>
        <w:rPr>
          <w:rFonts w:ascii="仿宋" w:hAnsi="仿宋" w:eastAsia="仿宋"/>
          <w:b/>
          <w:sz w:val="32"/>
          <w:szCs w:val="32"/>
        </w:rPr>
      </w:pPr>
    </w:p>
    <w:p>
      <w:pPr>
        <w:spacing w:line="600" w:lineRule="exact"/>
        <w:ind w:firstLine="642" w:firstLineChars="200"/>
        <w:outlineLvl w:val="9"/>
        <w:rPr>
          <w:rFonts w:ascii="仿宋" w:hAnsi="仿宋" w:eastAsia="仿宋"/>
          <w:b/>
          <w:sz w:val="32"/>
          <w:szCs w:val="32"/>
        </w:rPr>
      </w:pPr>
    </w:p>
    <w:p>
      <w:pPr>
        <w:spacing w:line="600" w:lineRule="exact"/>
        <w:ind w:firstLine="642" w:firstLineChars="200"/>
        <w:outlineLvl w:val="9"/>
        <w:rPr>
          <w:rFonts w:ascii="仿宋" w:hAnsi="仿宋" w:eastAsia="仿宋"/>
          <w:b/>
          <w:sz w:val="32"/>
          <w:szCs w:val="32"/>
        </w:rPr>
      </w:pPr>
    </w:p>
    <w:p>
      <w:pPr>
        <w:spacing w:line="600" w:lineRule="exact"/>
        <w:rPr>
          <w:rFonts w:ascii="仿宋" w:hAnsi="仿宋" w:eastAsia="仿宋"/>
          <w:sz w:val="32"/>
          <w:szCs w:val="32"/>
        </w:rPr>
      </w:pPr>
    </w:p>
    <w:p>
      <w:pPr>
        <w:spacing w:line="600" w:lineRule="exact"/>
        <w:jc w:val="center"/>
        <w:rPr>
          <w:rFonts w:ascii="仿宋" w:hAnsi="仿宋" w:eastAsia="仿宋"/>
          <w:sz w:val="32"/>
          <w:szCs w:val="32"/>
        </w:rPr>
      </w:pPr>
      <w:r>
        <w:rPr>
          <w:rFonts w:hint="eastAsia" w:ascii="仿宋" w:hAnsi="仿宋" w:eastAsia="仿宋"/>
          <w:sz w:val="32"/>
          <w:szCs w:val="32"/>
        </w:rPr>
        <w:t>（图6：一般公共预算财政拨款支出决算结构）</w:t>
      </w:r>
    </w:p>
    <w:p>
      <w:pPr>
        <w:spacing w:line="600" w:lineRule="exact"/>
        <w:ind w:firstLine="642" w:firstLineChars="200"/>
        <w:outlineLvl w:val="2"/>
        <w:rPr>
          <w:rFonts w:ascii="仿宋" w:hAnsi="仿宋" w:eastAsia="仿宋"/>
          <w:b/>
          <w:sz w:val="32"/>
          <w:szCs w:val="32"/>
        </w:rPr>
      </w:pPr>
      <w:r>
        <w:rPr>
          <w:rFonts w:hint="eastAsia" w:ascii="仿宋" w:hAnsi="仿宋" w:eastAsia="仿宋"/>
          <w:b/>
          <w:sz w:val="32"/>
          <w:szCs w:val="32"/>
        </w:rPr>
        <w:t>（三）一般公共预算财政拨款支出决算具体情况</w:t>
      </w:r>
      <w:bookmarkEnd w:id="35"/>
    </w:p>
    <w:p>
      <w:pPr>
        <w:suppressAutoHyphens/>
        <w:bidi w:val="0"/>
        <w:spacing w:line="600" w:lineRule="exact"/>
        <w:ind w:firstLine="642" w:firstLineChars="200"/>
        <w:outlineLvl w:val="1"/>
        <w:rPr>
          <w:rFonts w:hint="eastAsia" w:ascii="仿宋_GB2312" w:hAnsi="仿宋_GB2312" w:eastAsia="仿宋_GB2312" w:cs="仿宋_GB2312"/>
          <w:b/>
          <w:color w:val="auto"/>
          <w:sz w:val="32"/>
          <w:szCs w:val="32"/>
          <w:highlight w:val="none"/>
          <w:lang w:eastAsia="zh-CN"/>
        </w:rPr>
      </w:pPr>
      <w:bookmarkStart w:id="36" w:name="_Toc15377444"/>
      <w:bookmarkStart w:id="37" w:name="_Toc15378460"/>
      <w:bookmarkStart w:id="38" w:name="_Toc15377213"/>
      <w:bookmarkStart w:id="39" w:name="_Toc1084"/>
      <w:r>
        <w:rPr>
          <w:rFonts w:hint="eastAsia" w:ascii="仿宋_GB2312" w:hAnsi="仿宋_GB2312" w:eastAsia="仿宋_GB2312" w:cs="仿宋_GB2312"/>
          <w:b/>
          <w:color w:val="auto"/>
          <w:sz w:val="32"/>
          <w:szCs w:val="32"/>
          <w:highlight w:val="none"/>
          <w:lang w:eastAsia="zh-CN"/>
        </w:rPr>
        <w:t>2023年一般公共预算支出决算数为</w:t>
      </w:r>
      <w:r>
        <w:rPr>
          <w:rFonts w:hint="eastAsia" w:ascii="仿宋_GB2312" w:hAnsi="仿宋_GB2312" w:eastAsia="仿宋_GB2312" w:cs="仿宋_GB2312"/>
          <w:b/>
          <w:color w:val="auto"/>
          <w:sz w:val="32"/>
          <w:szCs w:val="32"/>
          <w:highlight w:val="none"/>
          <w:lang w:val="en-US" w:eastAsia="zh-CN"/>
        </w:rPr>
        <w:t>2432.36</w:t>
      </w:r>
      <w:r>
        <w:rPr>
          <w:rFonts w:hint="eastAsia" w:ascii="仿宋_GB2312" w:hAnsi="仿宋_GB2312" w:eastAsia="仿宋_GB2312" w:cs="仿宋_GB2312"/>
          <w:b/>
          <w:color w:val="auto"/>
          <w:sz w:val="32"/>
          <w:szCs w:val="32"/>
          <w:highlight w:val="none"/>
          <w:lang w:eastAsia="zh-CN"/>
        </w:rPr>
        <w:t>万元，完成预算</w:t>
      </w:r>
      <w:r>
        <w:rPr>
          <w:rFonts w:hint="eastAsia" w:ascii="仿宋_GB2312" w:hAnsi="仿宋_GB2312" w:eastAsia="仿宋_GB2312" w:cs="仿宋_GB2312"/>
          <w:b/>
          <w:color w:val="auto"/>
          <w:sz w:val="32"/>
          <w:szCs w:val="32"/>
          <w:highlight w:val="none"/>
          <w:lang w:val="en-US" w:eastAsia="zh-CN"/>
        </w:rPr>
        <w:t>100</w:t>
      </w:r>
      <w:r>
        <w:rPr>
          <w:rFonts w:hint="eastAsia" w:ascii="仿宋_GB2312" w:hAnsi="仿宋_GB2312" w:eastAsia="仿宋_GB2312" w:cs="仿宋_GB2312"/>
          <w:b/>
          <w:color w:val="auto"/>
          <w:sz w:val="32"/>
          <w:szCs w:val="32"/>
          <w:highlight w:val="none"/>
          <w:lang w:eastAsia="zh-CN"/>
        </w:rPr>
        <w:t>%。其中：</w:t>
      </w:r>
      <w:bookmarkEnd w:id="36"/>
      <w:bookmarkEnd w:id="37"/>
      <w:bookmarkEnd w:id="38"/>
      <w:bookmarkEnd w:id="39"/>
    </w:p>
    <w:p>
      <w:pPr>
        <w:numPr>
          <w:ilvl w:val="0"/>
          <w:numId w:val="0"/>
        </w:numPr>
        <w:spacing w:line="600" w:lineRule="exact"/>
        <w:ind w:firstLine="642" w:firstLineChars="200"/>
        <w:rPr>
          <w:rStyle w:val="15"/>
          <w:rFonts w:hint="eastAsia" w:ascii="仿宋" w:hAnsi="仿宋" w:eastAsia="仿宋"/>
          <w:b w:val="0"/>
          <w:bCs/>
          <w:sz w:val="32"/>
          <w:szCs w:val="32"/>
          <w:lang w:eastAsia="zh-CN"/>
        </w:rPr>
      </w:pPr>
      <w:r>
        <w:rPr>
          <w:rStyle w:val="15"/>
          <w:rFonts w:hint="eastAsia" w:ascii="仿宋" w:hAnsi="仿宋" w:eastAsia="仿宋"/>
          <w:bCs/>
          <w:sz w:val="32"/>
          <w:szCs w:val="32"/>
          <w:lang w:val="en-US" w:eastAsia="zh-CN"/>
        </w:rPr>
        <w:t>1.</w:t>
      </w:r>
      <w:r>
        <w:rPr>
          <w:rStyle w:val="15"/>
          <w:rFonts w:hint="eastAsia" w:ascii="仿宋" w:hAnsi="仿宋" w:eastAsia="仿宋"/>
          <w:bCs/>
          <w:sz w:val="32"/>
          <w:szCs w:val="32"/>
        </w:rPr>
        <w:t>社会保障和就业支出（类）人力资源和社会保障管理事务（款）社会保险经办机构（项）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1732.89</w:t>
      </w:r>
      <w:r>
        <w:rPr>
          <w:rStyle w:val="15"/>
          <w:rFonts w:hint="eastAsia" w:ascii="仿宋" w:hAnsi="仿宋" w:eastAsia="仿宋"/>
          <w:b w:val="0"/>
          <w:bCs/>
          <w:sz w:val="32"/>
          <w:szCs w:val="32"/>
        </w:rPr>
        <w:t>万元，完成预算</w:t>
      </w:r>
      <w:r>
        <w:rPr>
          <w:rStyle w:val="15"/>
          <w:rFonts w:hint="eastAsia" w:ascii="仿宋" w:hAnsi="仿宋" w:eastAsia="仿宋"/>
          <w:b w:val="0"/>
          <w:bCs/>
          <w:sz w:val="32"/>
          <w:szCs w:val="32"/>
          <w:lang w:val="en-US" w:eastAsia="zh-CN"/>
        </w:rPr>
        <w:t>100</w:t>
      </w:r>
      <w:r>
        <w:rPr>
          <w:rStyle w:val="15"/>
          <w:rFonts w:ascii="仿宋" w:hAnsi="仿宋" w:eastAsia="仿宋"/>
          <w:b w:val="0"/>
          <w:bCs/>
          <w:sz w:val="32"/>
          <w:szCs w:val="32"/>
        </w:rPr>
        <w:t>%</w:t>
      </w:r>
      <w:r>
        <w:rPr>
          <w:rStyle w:val="15"/>
          <w:rFonts w:hint="eastAsia" w:ascii="仿宋" w:hAnsi="仿宋" w:eastAsia="仿宋"/>
          <w:b w:val="0"/>
          <w:bCs/>
          <w:sz w:val="32"/>
          <w:szCs w:val="32"/>
          <w:lang w:eastAsia="zh-CN"/>
        </w:rPr>
        <w:t>。</w:t>
      </w:r>
    </w:p>
    <w:p>
      <w:pPr>
        <w:numPr>
          <w:ilvl w:val="0"/>
          <w:numId w:val="0"/>
        </w:numPr>
        <w:spacing w:line="600" w:lineRule="exact"/>
        <w:ind w:firstLine="642" w:firstLineChars="200"/>
        <w:rPr>
          <w:rStyle w:val="15"/>
          <w:rFonts w:ascii="仿宋" w:hAnsi="仿宋" w:eastAsia="仿宋"/>
          <w:bCs/>
          <w:sz w:val="32"/>
          <w:szCs w:val="32"/>
        </w:rPr>
      </w:pPr>
      <w:r>
        <w:rPr>
          <w:rStyle w:val="15"/>
          <w:rFonts w:hint="eastAsia" w:ascii="仿宋" w:hAnsi="仿宋" w:eastAsia="仿宋"/>
          <w:bCs/>
          <w:sz w:val="32"/>
          <w:szCs w:val="32"/>
        </w:rPr>
        <w:t>2.社会保障和就业支出（类）行政事业单位养老支出（款）机关事业单位基本养老保险缴费支出（项）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112.86</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2" w:firstLineChars="200"/>
        <w:rPr>
          <w:rStyle w:val="15"/>
          <w:rFonts w:ascii="仿宋" w:hAnsi="仿宋" w:eastAsia="仿宋"/>
          <w:b w:val="0"/>
          <w:bCs/>
          <w:sz w:val="32"/>
          <w:szCs w:val="32"/>
        </w:rPr>
      </w:pPr>
      <w:r>
        <w:rPr>
          <w:rStyle w:val="15"/>
          <w:rFonts w:hint="eastAsia" w:ascii="仿宋" w:hAnsi="仿宋" w:eastAsia="仿宋"/>
          <w:bCs/>
          <w:sz w:val="32"/>
          <w:szCs w:val="32"/>
        </w:rPr>
        <w:t>3.社会保障和就业支出（类）行政事业单位养老支出（款）机关事业单位职业年金缴费支出（项）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14.48</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2" w:firstLineChars="200"/>
        <w:rPr>
          <w:rStyle w:val="15"/>
          <w:rFonts w:ascii="仿宋" w:hAnsi="仿宋" w:eastAsia="仿宋"/>
          <w:bCs/>
          <w:sz w:val="32"/>
          <w:szCs w:val="32"/>
        </w:rPr>
      </w:pPr>
      <w:r>
        <w:rPr>
          <w:rStyle w:val="15"/>
          <w:rFonts w:hint="eastAsia" w:ascii="仿宋" w:hAnsi="仿宋" w:eastAsia="仿宋"/>
          <w:bCs/>
          <w:sz w:val="32"/>
          <w:szCs w:val="32"/>
        </w:rPr>
        <w:t>4.社会保障和就业支出（类）抚恤（款）死亡抚恤（项）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433.98</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hint="eastAsia" w:ascii="仿宋" w:hAnsi="仿宋" w:eastAsia="仿宋"/>
          <w:b/>
          <w:bCs/>
          <w:sz w:val="32"/>
          <w:szCs w:val="32"/>
        </w:rPr>
        <w:t>5.卫生健康支出</w:t>
      </w:r>
      <w:r>
        <w:rPr>
          <w:rStyle w:val="15"/>
          <w:rFonts w:hint="eastAsia" w:ascii="仿宋" w:hAnsi="仿宋" w:eastAsia="仿宋"/>
          <w:bCs/>
          <w:sz w:val="32"/>
          <w:szCs w:val="32"/>
        </w:rPr>
        <w:t>（类）行政事业单位医疗（款）事业单位医疗（项）</w:t>
      </w:r>
      <w:r>
        <w:rPr>
          <w:rStyle w:val="15"/>
          <w:rFonts w:ascii="仿宋" w:hAnsi="仿宋" w:eastAsia="仿宋"/>
          <w:bCs/>
          <w:sz w:val="32"/>
          <w:szCs w:val="32"/>
        </w:rPr>
        <w:t>:</w:t>
      </w:r>
      <w:r>
        <w:rPr>
          <w:rStyle w:val="15"/>
          <w:rFonts w:hint="eastAsia" w:ascii="仿宋" w:hAnsi="仿宋" w:eastAsia="仿宋"/>
          <w:b w:val="0"/>
          <w:bCs/>
          <w:sz w:val="32"/>
          <w:szCs w:val="32"/>
        </w:rPr>
        <w:t>支出决算为</w:t>
      </w:r>
      <w:r>
        <w:rPr>
          <w:rStyle w:val="15"/>
          <w:rFonts w:hint="eastAsia" w:ascii="仿宋" w:hAnsi="仿宋" w:eastAsia="仿宋"/>
          <w:b w:val="0"/>
          <w:bCs/>
          <w:sz w:val="32"/>
          <w:szCs w:val="32"/>
          <w:lang w:val="en-US" w:eastAsia="zh-CN"/>
        </w:rPr>
        <w:t>32.07</w:t>
      </w:r>
      <w:r>
        <w:rPr>
          <w:rStyle w:val="15"/>
          <w:rFonts w:hint="eastAsia" w:ascii="仿宋" w:hAnsi="仿宋" w:eastAsia="仿宋"/>
          <w:b w:val="0"/>
          <w:bCs/>
          <w:sz w:val="32"/>
          <w:szCs w:val="32"/>
        </w:rPr>
        <w:t>万元，完成预算100</w:t>
      </w:r>
      <w:r>
        <w:rPr>
          <w:rStyle w:val="15"/>
          <w:rFonts w:ascii="仿宋" w:hAnsi="仿宋" w:eastAsia="仿宋"/>
          <w:b w:val="0"/>
          <w:bCs/>
          <w:sz w:val="32"/>
          <w:szCs w:val="32"/>
        </w:rPr>
        <w:t>%</w:t>
      </w:r>
      <w:r>
        <w:rPr>
          <w:rStyle w:val="15"/>
          <w:rFonts w:hint="eastAsia" w:ascii="仿宋" w:hAnsi="仿宋" w:eastAsia="仿宋"/>
          <w:b w:val="0"/>
          <w:bCs/>
          <w:sz w:val="32"/>
          <w:szCs w:val="32"/>
        </w:rPr>
        <w:t>。</w:t>
      </w:r>
    </w:p>
    <w:p>
      <w:pPr>
        <w:spacing w:line="600" w:lineRule="exact"/>
        <w:ind w:firstLine="642" w:firstLineChars="200"/>
        <w:rPr>
          <w:rFonts w:ascii="仿宋" w:hAnsi="仿宋" w:eastAsia="仿宋"/>
          <w:b/>
          <w:sz w:val="32"/>
          <w:szCs w:val="32"/>
        </w:rPr>
      </w:pPr>
      <w:r>
        <w:rPr>
          <w:rFonts w:hint="eastAsia" w:ascii="仿宋" w:hAnsi="仿宋" w:eastAsia="仿宋"/>
          <w:b/>
          <w:bCs/>
          <w:sz w:val="32"/>
          <w:szCs w:val="32"/>
        </w:rPr>
        <w:t>6.住房保障支出（类）住房改革支出（款）住房公积金（项）：</w:t>
      </w:r>
      <w:r>
        <w:rPr>
          <w:rFonts w:hint="eastAsia" w:ascii="仿宋" w:hAnsi="仿宋" w:eastAsia="仿宋"/>
          <w:sz w:val="32"/>
          <w:szCs w:val="32"/>
        </w:rPr>
        <w:t>支出决算数为</w:t>
      </w:r>
      <w:r>
        <w:rPr>
          <w:rFonts w:hint="eastAsia" w:ascii="仿宋" w:hAnsi="仿宋" w:eastAsia="仿宋"/>
          <w:sz w:val="32"/>
          <w:szCs w:val="32"/>
          <w:lang w:val="en-US" w:eastAsia="zh-CN"/>
        </w:rPr>
        <w:t>106.07</w:t>
      </w:r>
      <w:r>
        <w:rPr>
          <w:rFonts w:hint="eastAsia" w:ascii="仿宋" w:hAnsi="仿宋" w:eastAsia="仿宋"/>
          <w:sz w:val="32"/>
          <w:szCs w:val="32"/>
        </w:rPr>
        <w:t>万元，完成预算的100%。</w:t>
      </w:r>
    </w:p>
    <w:p>
      <w:pPr>
        <w:tabs>
          <w:tab w:val="right" w:pos="8306"/>
        </w:tabs>
        <w:spacing w:line="600" w:lineRule="exact"/>
        <w:ind w:firstLine="640"/>
        <w:outlineLvl w:val="1"/>
        <w:rPr>
          <w:rStyle w:val="18"/>
        </w:rPr>
      </w:pPr>
      <w:bookmarkStart w:id="40" w:name="_Toc15396608"/>
      <w:bookmarkStart w:id="41" w:name="_Toc29358"/>
      <w:bookmarkStart w:id="42" w:name="_Toc23095"/>
      <w:bookmarkStart w:id="43"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18"/>
          <w:rFonts w:hint="eastAsia" w:ascii="黑体" w:hAnsi="黑体" w:eastAsia="黑体"/>
          <w:b w:val="0"/>
        </w:rPr>
        <w:t>般公共预算财政拨款基本支出决算情况说明</w:t>
      </w:r>
      <w:bookmarkEnd w:id="40"/>
      <w:bookmarkEnd w:id="41"/>
      <w:bookmarkEnd w:id="42"/>
      <w:bookmarkEnd w:id="43"/>
      <w:r>
        <w:rPr>
          <w:rStyle w:val="18"/>
          <w:rFonts w:ascii="黑体" w:hAnsi="黑体" w:eastAsia="黑体"/>
          <w:b w:val="0"/>
        </w:rPr>
        <w:tab/>
      </w:r>
    </w:p>
    <w:p>
      <w:pPr>
        <w:spacing w:line="600" w:lineRule="exact"/>
        <w:ind w:firstLine="645"/>
        <w:rPr>
          <w:rFonts w:ascii="仿宋" w:hAnsi="仿宋" w:eastAsia="仿宋"/>
          <w:sz w:val="32"/>
          <w:szCs w:val="32"/>
        </w:rPr>
      </w:pPr>
      <w:r>
        <w:rPr>
          <w:rFonts w:hint="eastAsia" w:ascii="仿宋" w:hAnsi="仿宋" w:eastAsia="仿宋"/>
          <w:sz w:val="32"/>
          <w:szCs w:val="32"/>
          <w:lang w:eastAsia="zh-CN"/>
        </w:rPr>
        <w:t>2023年度</w:t>
      </w:r>
      <w:r>
        <w:rPr>
          <w:rFonts w:hint="eastAsia" w:ascii="仿宋" w:hAnsi="仿宋" w:eastAsia="仿宋"/>
          <w:sz w:val="32"/>
          <w:szCs w:val="32"/>
        </w:rPr>
        <w:t>一般公共预算财政拨款基本支出</w:t>
      </w:r>
      <w:r>
        <w:rPr>
          <w:rFonts w:hint="eastAsia" w:ascii="仿宋" w:hAnsi="仿宋" w:eastAsia="仿宋"/>
          <w:sz w:val="32"/>
          <w:szCs w:val="32"/>
          <w:lang w:val="en-US" w:eastAsia="zh-CN"/>
        </w:rPr>
        <w:t>2331.75</w:t>
      </w:r>
      <w:r>
        <w:rPr>
          <w:rFonts w:hint="eastAsia" w:ascii="仿宋" w:hAnsi="仿宋" w:eastAsia="仿宋"/>
          <w:sz w:val="32"/>
          <w:szCs w:val="32"/>
        </w:rPr>
        <w:t>万元，其中：</w:t>
      </w:r>
    </w:p>
    <w:p>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2153.72</w:t>
      </w:r>
      <w:r>
        <w:rPr>
          <w:rFonts w:hint="eastAsia" w:ascii="仿宋" w:hAnsi="仿宋" w:eastAsia="仿宋"/>
          <w:sz w:val="32"/>
          <w:szCs w:val="32"/>
        </w:rPr>
        <w:t>万元，主要包括：基本工资、津贴补贴、奖金、机关事业单位基本养老保险缴费、职业年金缴费、职工基本医疗保险缴费、其他社会保障缴费、住房公积金、抚恤金、生活补助等。</w:t>
      </w:r>
    </w:p>
    <w:p>
      <w:pPr>
        <w:spacing w:line="600" w:lineRule="exact"/>
        <w:ind w:firstLine="640" w:firstLineChars="200"/>
        <w:rPr>
          <w:rFonts w:ascii="仿宋" w:hAnsi="仿宋" w:eastAsia="仿宋"/>
          <w:b/>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178.03</w:t>
      </w:r>
      <w:r>
        <w:rPr>
          <w:rFonts w:hint="eastAsia" w:ascii="仿宋" w:hAnsi="仿宋" w:eastAsia="仿宋"/>
          <w:sz w:val="32"/>
          <w:szCs w:val="32"/>
        </w:rPr>
        <w:t>万元，主要包括：办公费、印刷费、邮电费、差旅费、会议费、培训费、公务接待费、劳务费、工会经费、福利费、其他交通费用、其他商品和服务支出</w:t>
      </w:r>
      <w:r>
        <w:rPr>
          <w:rFonts w:hint="eastAsia" w:ascii="仿宋" w:hAnsi="仿宋" w:eastAsia="仿宋"/>
          <w:sz w:val="32"/>
          <w:szCs w:val="32"/>
          <w:lang w:eastAsia="zh-CN"/>
        </w:rPr>
        <w:t>等</w:t>
      </w:r>
      <w:r>
        <w:rPr>
          <w:rFonts w:hint="eastAsia" w:ascii="仿宋" w:hAnsi="仿宋" w:eastAsia="仿宋"/>
          <w:sz w:val="32"/>
          <w:szCs w:val="32"/>
        </w:rPr>
        <w:t>。</w:t>
      </w:r>
    </w:p>
    <w:p>
      <w:pPr>
        <w:spacing w:line="600" w:lineRule="exact"/>
        <w:ind w:firstLine="640"/>
        <w:outlineLvl w:val="1"/>
        <w:rPr>
          <w:rStyle w:val="18"/>
          <w:rFonts w:ascii="黑体" w:hAnsi="黑体" w:eastAsia="黑体"/>
          <w:b w:val="0"/>
        </w:rPr>
      </w:pPr>
      <w:bookmarkStart w:id="44" w:name="_Toc15396609"/>
      <w:bookmarkStart w:id="45" w:name="_Toc24245"/>
      <w:bookmarkStart w:id="46" w:name="_Toc31354"/>
      <w:bookmarkStart w:id="47" w:name="_Toc15377215"/>
      <w:r>
        <w:rPr>
          <w:rFonts w:hint="eastAsia" w:ascii="黑体" w:eastAsia="黑体"/>
          <w:sz w:val="32"/>
          <w:szCs w:val="32"/>
        </w:rPr>
        <w:t>七、</w:t>
      </w:r>
      <w:r>
        <w:rPr>
          <w:rStyle w:val="18"/>
          <w:rFonts w:hint="eastAsia" w:ascii="黑体" w:hAnsi="黑体" w:eastAsia="黑体"/>
          <w:b w:val="0"/>
        </w:rPr>
        <w:t>财政拨款</w:t>
      </w:r>
      <w:r>
        <w:rPr>
          <w:rStyle w:val="18"/>
          <w:rFonts w:hint="eastAsia" w:ascii="黑体" w:hAnsi="黑体" w:eastAsia="黑体"/>
        </w:rPr>
        <w:t>“</w:t>
      </w:r>
      <w:r>
        <w:rPr>
          <w:rStyle w:val="18"/>
          <w:rFonts w:hint="eastAsia" w:ascii="黑体" w:hAnsi="黑体" w:eastAsia="黑体"/>
          <w:b w:val="0"/>
        </w:rPr>
        <w:t>三公”经费支出决算情况说明</w:t>
      </w:r>
      <w:bookmarkEnd w:id="44"/>
      <w:bookmarkEnd w:id="45"/>
      <w:bookmarkEnd w:id="46"/>
      <w:bookmarkEnd w:id="47"/>
    </w:p>
    <w:p>
      <w:pPr>
        <w:spacing w:line="600" w:lineRule="exact"/>
        <w:ind w:firstLine="640"/>
        <w:outlineLvl w:val="2"/>
        <w:rPr>
          <w:rFonts w:ascii="仿宋" w:hAnsi="仿宋" w:eastAsia="仿宋"/>
          <w:b/>
          <w:sz w:val="32"/>
          <w:szCs w:val="32"/>
        </w:rPr>
      </w:pPr>
      <w:bookmarkStart w:id="48" w:name="_Toc15377216"/>
      <w:r>
        <w:rPr>
          <w:rFonts w:hint="eastAsia" w:ascii="仿宋" w:hAnsi="仿宋" w:eastAsia="仿宋"/>
          <w:b/>
          <w:sz w:val="32"/>
          <w:szCs w:val="32"/>
        </w:rPr>
        <w:t>（一）“三公”经费财政拨款支出决算总体情况说明</w:t>
      </w:r>
      <w:bookmarkEnd w:id="48"/>
    </w:p>
    <w:p>
      <w:pPr>
        <w:keepNext w:val="0"/>
        <w:keepLines w:val="0"/>
        <w:pageBreakBefore w:val="0"/>
        <w:kinsoku/>
        <w:wordWrap/>
        <w:overflowPunct/>
        <w:topLinePunct w:val="0"/>
        <w:autoSpaceDE/>
        <w:autoSpaceDN/>
        <w:bidi w:val="0"/>
        <w:adjustRightInd/>
        <w:snapToGrid/>
        <w:spacing w:line="576" w:lineRule="exact"/>
        <w:ind w:firstLine="640" w:firstLineChars="200"/>
        <w:textAlignment w:val="auto"/>
        <w:rPr>
          <w:rFonts w:hint="eastAsia" w:ascii="仿宋_GB2312" w:eastAsia="仿宋_GB2312"/>
          <w:sz w:val="32"/>
          <w:szCs w:val="32"/>
          <w:lang w:eastAsia="zh-CN"/>
        </w:rPr>
      </w:pPr>
      <w:r>
        <w:rPr>
          <w:rFonts w:hint="eastAsia" w:ascii="仿宋" w:hAnsi="仿宋" w:eastAsia="仿宋"/>
          <w:sz w:val="32"/>
          <w:szCs w:val="32"/>
          <w:lang w:eastAsia="zh-CN"/>
        </w:rPr>
        <w:t>2023年度</w:t>
      </w:r>
      <w:r>
        <w:rPr>
          <w:rFonts w:hint="eastAsia" w:ascii="仿宋" w:hAnsi="仿宋" w:eastAsia="仿宋"/>
          <w:sz w:val="32"/>
          <w:szCs w:val="32"/>
        </w:rPr>
        <w:t>“三公”经费财政拨款支出决算为</w:t>
      </w:r>
      <w:r>
        <w:rPr>
          <w:rFonts w:hint="eastAsia" w:ascii="仿宋" w:hAnsi="仿宋" w:eastAsia="仿宋"/>
          <w:sz w:val="32"/>
          <w:szCs w:val="32"/>
          <w:lang w:val="en-US" w:eastAsia="zh-CN"/>
        </w:rPr>
        <w:t>0.66</w:t>
      </w:r>
      <w:r>
        <w:rPr>
          <w:rFonts w:hint="eastAsia" w:ascii="仿宋" w:hAnsi="仿宋" w:eastAsia="仿宋"/>
          <w:sz w:val="32"/>
          <w:szCs w:val="32"/>
        </w:rPr>
        <w:t>万元，完成预算</w:t>
      </w:r>
      <w:r>
        <w:rPr>
          <w:rFonts w:hint="eastAsia" w:ascii="仿宋" w:hAnsi="仿宋" w:eastAsia="仿宋"/>
          <w:sz w:val="32"/>
          <w:szCs w:val="32"/>
          <w:lang w:eastAsia="zh-CN"/>
        </w:rPr>
        <w:t>的</w:t>
      </w:r>
      <w:r>
        <w:rPr>
          <w:rFonts w:hint="eastAsia" w:ascii="仿宋" w:hAnsi="仿宋" w:eastAsia="仿宋"/>
          <w:sz w:val="32"/>
          <w:szCs w:val="32"/>
          <w:lang w:val="en-US" w:eastAsia="zh-CN"/>
        </w:rPr>
        <w:t>100</w:t>
      </w:r>
      <w:r>
        <w:rPr>
          <w:rFonts w:ascii="仿宋" w:hAnsi="仿宋" w:eastAsia="仿宋"/>
          <w:sz w:val="32"/>
          <w:szCs w:val="32"/>
        </w:rPr>
        <w:t>%</w:t>
      </w:r>
      <w:r>
        <w:rPr>
          <w:rFonts w:hint="eastAsia" w:ascii="仿宋" w:hAnsi="仿宋" w:eastAsia="仿宋"/>
          <w:sz w:val="32"/>
          <w:szCs w:val="32"/>
          <w:lang w:eastAsia="zh-CN"/>
        </w:rPr>
        <w:t>。较上年增加</w:t>
      </w:r>
      <w:r>
        <w:rPr>
          <w:rFonts w:hint="eastAsia" w:ascii="仿宋" w:hAnsi="仿宋" w:eastAsia="仿宋"/>
          <w:sz w:val="32"/>
          <w:szCs w:val="32"/>
          <w:lang w:val="en-US" w:eastAsia="zh-CN"/>
        </w:rPr>
        <w:t>0.63万元，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2100</w:t>
      </w:r>
      <w:r>
        <w:rPr>
          <w:rFonts w:ascii="仿宋_GB2312" w:eastAsia="仿宋_GB2312"/>
          <w:sz w:val="32"/>
          <w:szCs w:val="32"/>
        </w:rPr>
        <w:t>%</w:t>
      </w:r>
      <w:r>
        <w:rPr>
          <w:rFonts w:hint="eastAsia" w:ascii="仿宋_GB2312" w:eastAsia="仿宋_GB2312"/>
          <w:sz w:val="32"/>
          <w:szCs w:val="32"/>
        </w:rPr>
        <w:t>。</w:t>
      </w:r>
      <w:r>
        <w:rPr>
          <w:rFonts w:hint="eastAsia" w:ascii="仿宋_GB2312" w:eastAsia="仿宋_GB2312"/>
          <w:sz w:val="32"/>
          <w:szCs w:val="32"/>
          <w:lang w:eastAsia="zh-CN"/>
        </w:rPr>
        <w:t>决算数与预算数持平。</w:t>
      </w:r>
    </w:p>
    <w:p>
      <w:pPr>
        <w:spacing w:line="600" w:lineRule="exact"/>
        <w:ind w:firstLine="640"/>
        <w:rPr>
          <w:rFonts w:hint="eastAsia" w:ascii="仿宋" w:hAnsi="仿宋" w:eastAsia="仿宋"/>
          <w:b/>
          <w:sz w:val="32"/>
          <w:szCs w:val="32"/>
          <w:lang w:eastAsia="zh-CN"/>
        </w:rPr>
      </w:pPr>
    </w:p>
    <w:p>
      <w:pPr>
        <w:spacing w:line="600" w:lineRule="exact"/>
        <w:ind w:firstLine="640"/>
        <w:outlineLvl w:val="2"/>
        <w:rPr>
          <w:rFonts w:ascii="仿宋" w:hAnsi="仿宋" w:eastAsia="仿宋"/>
          <w:b/>
          <w:sz w:val="32"/>
          <w:szCs w:val="32"/>
        </w:rPr>
      </w:pPr>
      <w:bookmarkStart w:id="49" w:name="_Toc15377217"/>
      <w:r>
        <w:rPr>
          <w:rFonts w:hint="eastAsia" w:ascii="仿宋" w:hAnsi="仿宋" w:eastAsia="仿宋"/>
          <w:b/>
          <w:sz w:val="32"/>
          <w:szCs w:val="32"/>
        </w:rPr>
        <w:t>（二）“三公”经费财政拨款支出决算具体情况说明</w:t>
      </w:r>
      <w:bookmarkEnd w:id="49"/>
    </w:p>
    <w:p>
      <w:pPr>
        <w:spacing w:line="600" w:lineRule="exact"/>
        <w:ind w:firstLine="640"/>
        <w:rPr>
          <w:rFonts w:ascii="仿宋" w:hAnsi="仿宋" w:eastAsia="仿宋"/>
          <w:sz w:val="32"/>
          <w:szCs w:val="32"/>
        </w:rPr>
      </w:pPr>
      <w:r>
        <w:rPr>
          <w:rFonts w:hint="eastAsia" w:ascii="仿宋" w:hAnsi="仿宋" w:eastAsia="仿宋"/>
          <w:sz w:val="32"/>
          <w:szCs w:val="32"/>
          <w:lang w:eastAsia="zh-CN"/>
        </w:rPr>
        <w:t>2023年度</w:t>
      </w:r>
      <w:r>
        <w:rPr>
          <w:rFonts w:hint="eastAsia" w:ascii="仿宋" w:hAnsi="仿宋" w:eastAsia="仿宋"/>
          <w:sz w:val="32"/>
          <w:szCs w:val="32"/>
        </w:rPr>
        <w:t>“三公”经费财政拨款支出决算中，因公出国（境）费支出决算0万元，占0</w:t>
      </w:r>
      <w:r>
        <w:rPr>
          <w:rFonts w:ascii="仿宋" w:hAnsi="仿宋" w:eastAsia="仿宋"/>
          <w:sz w:val="32"/>
          <w:szCs w:val="32"/>
        </w:rPr>
        <w:t>%</w:t>
      </w:r>
      <w:r>
        <w:rPr>
          <w:rFonts w:hint="eastAsia" w:ascii="仿宋" w:hAnsi="仿宋" w:eastAsia="仿宋"/>
          <w:sz w:val="32"/>
          <w:szCs w:val="32"/>
        </w:rPr>
        <w:t>；公务用车购置及运行维护费支出决算0万元，占0</w:t>
      </w:r>
      <w:r>
        <w:rPr>
          <w:rFonts w:ascii="仿宋" w:hAnsi="仿宋" w:eastAsia="仿宋"/>
          <w:sz w:val="32"/>
          <w:szCs w:val="32"/>
        </w:rPr>
        <w:t>%</w:t>
      </w:r>
      <w:r>
        <w:rPr>
          <w:rFonts w:hint="eastAsia" w:ascii="仿宋" w:hAnsi="仿宋" w:eastAsia="仿宋"/>
          <w:sz w:val="32"/>
          <w:szCs w:val="32"/>
        </w:rPr>
        <w:t>；公务接待费支出决算0.</w:t>
      </w:r>
      <w:r>
        <w:rPr>
          <w:rFonts w:hint="eastAsia" w:ascii="仿宋" w:hAnsi="仿宋" w:eastAsia="仿宋"/>
          <w:sz w:val="32"/>
          <w:szCs w:val="32"/>
          <w:lang w:val="en-US" w:eastAsia="zh-CN"/>
        </w:rPr>
        <w:t>66</w:t>
      </w:r>
      <w:r>
        <w:rPr>
          <w:rFonts w:hint="eastAsia" w:ascii="仿宋" w:hAnsi="仿宋" w:eastAsia="仿宋"/>
          <w:sz w:val="32"/>
          <w:szCs w:val="32"/>
        </w:rPr>
        <w:t>万元，占100</w:t>
      </w:r>
      <w:r>
        <w:rPr>
          <w:rFonts w:ascii="仿宋" w:hAnsi="仿宋" w:eastAsia="仿宋"/>
          <w:sz w:val="32"/>
          <w:szCs w:val="32"/>
        </w:rPr>
        <w:t>%</w:t>
      </w:r>
      <w:r>
        <w:rPr>
          <w:rFonts w:hint="eastAsia" w:ascii="仿宋" w:hAnsi="仿宋" w:eastAsia="仿宋"/>
          <w:sz w:val="32"/>
          <w:szCs w:val="32"/>
        </w:rPr>
        <w:t>。具体情况如下：</w:t>
      </w:r>
    </w:p>
    <w:p>
      <w:pPr>
        <w:pStyle w:val="2"/>
        <w:ind w:firstLine="640"/>
        <w:rPr>
          <w:rFonts w:ascii="仿宋" w:hAnsi="仿宋" w:eastAsia="仿宋"/>
          <w:szCs w:val="32"/>
        </w:rPr>
      </w:pPr>
      <w:r>
        <w:rPr>
          <w:rFonts w:hint="eastAsia" w:ascii="仿宋" w:hAnsi="仿宋" w:eastAsia="仿宋"/>
          <w:szCs w:val="32"/>
        </w:rPr>
        <w:drawing>
          <wp:anchor distT="0" distB="0" distL="114300" distR="114300" simplePos="0" relativeHeight="251663360" behindDoc="0" locked="0" layoutInCell="1" allowOverlap="1">
            <wp:simplePos x="0" y="0"/>
            <wp:positionH relativeFrom="column">
              <wp:posOffset>325120</wp:posOffset>
            </wp:positionH>
            <wp:positionV relativeFrom="paragraph">
              <wp:posOffset>208915</wp:posOffset>
            </wp:positionV>
            <wp:extent cx="4323080" cy="2778760"/>
            <wp:effectExtent l="4445" t="4445" r="15875" b="17145"/>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pStyle w:val="2"/>
        <w:ind w:firstLine="640"/>
        <w:rPr>
          <w:rFonts w:ascii="仿宋" w:hAnsi="仿宋" w:eastAsia="仿宋"/>
          <w:szCs w:val="32"/>
        </w:rPr>
      </w:pPr>
    </w:p>
    <w:p>
      <w:pPr>
        <w:pStyle w:val="2"/>
        <w:ind w:firstLine="640"/>
        <w:rPr>
          <w:rFonts w:ascii="仿宋" w:hAnsi="仿宋" w:eastAsia="仿宋"/>
          <w:szCs w:val="32"/>
        </w:rPr>
      </w:pPr>
    </w:p>
    <w:p>
      <w:pPr>
        <w:pStyle w:val="2"/>
        <w:ind w:firstLine="640"/>
        <w:rPr>
          <w:rFonts w:ascii="仿宋" w:hAnsi="仿宋" w:eastAsia="仿宋"/>
          <w:szCs w:val="32"/>
        </w:rPr>
      </w:pPr>
    </w:p>
    <w:p>
      <w:pPr>
        <w:pStyle w:val="2"/>
        <w:ind w:firstLine="640"/>
        <w:rPr>
          <w:rFonts w:ascii="仿宋" w:hAnsi="仿宋" w:eastAsia="仿宋"/>
          <w:szCs w:val="32"/>
        </w:rPr>
      </w:pPr>
    </w:p>
    <w:p>
      <w:pPr>
        <w:pStyle w:val="2"/>
        <w:ind w:firstLine="640"/>
        <w:rPr>
          <w:rFonts w:ascii="仿宋" w:hAnsi="仿宋" w:eastAsia="仿宋"/>
          <w:szCs w:val="32"/>
        </w:rPr>
      </w:pPr>
    </w:p>
    <w:p>
      <w:pPr>
        <w:pStyle w:val="2"/>
        <w:ind w:firstLine="640"/>
        <w:rPr>
          <w:rFonts w:ascii="仿宋" w:hAnsi="仿宋" w:eastAsia="仿宋"/>
          <w:szCs w:val="32"/>
        </w:rPr>
      </w:pPr>
    </w:p>
    <w:p>
      <w:pPr>
        <w:pStyle w:val="2"/>
        <w:ind w:firstLine="640"/>
        <w:rPr>
          <w:rFonts w:ascii="仿宋" w:hAnsi="仿宋" w:eastAsia="仿宋"/>
          <w:szCs w:val="32"/>
        </w:rPr>
      </w:pPr>
    </w:p>
    <w:p>
      <w:pPr>
        <w:pStyle w:val="2"/>
        <w:ind w:firstLine="643"/>
        <w:rPr>
          <w:rFonts w:ascii="仿宋" w:hAnsi="仿宋" w:eastAsia="仿宋"/>
          <w:b/>
          <w:bCs/>
          <w:szCs w:val="32"/>
        </w:rPr>
      </w:pPr>
    </w:p>
    <w:p>
      <w:pPr>
        <w:spacing w:line="600" w:lineRule="exact"/>
        <w:ind w:firstLine="640"/>
        <w:jc w:val="center"/>
        <w:rPr>
          <w:rFonts w:ascii="仿宋_GB2312" w:eastAsia="仿宋_GB2312"/>
          <w:b/>
          <w:sz w:val="32"/>
          <w:szCs w:val="32"/>
        </w:rPr>
      </w:pPr>
      <w:r>
        <w:rPr>
          <w:rFonts w:hint="eastAsia" w:ascii="仿宋" w:hAnsi="仿宋" w:eastAsia="仿宋"/>
          <w:sz w:val="32"/>
          <w:szCs w:val="32"/>
        </w:rPr>
        <w:t>（图7：“三公”经费财政拨款支出结构）</w:t>
      </w:r>
    </w:p>
    <w:p>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因公出国（境）经费支出0万元，年初未安排预算</w:t>
      </w:r>
      <w:r>
        <w:rPr>
          <w:rFonts w:ascii="仿宋_GB2312" w:eastAsia="仿宋_GB2312"/>
          <w:b/>
          <w:sz w:val="32"/>
          <w:szCs w:val="32"/>
        </w:rPr>
        <w:t>,较上年无变化</w:t>
      </w:r>
      <w:r>
        <w:rPr>
          <w:rFonts w:hint="eastAsia" w:ascii="仿宋_GB2312" w:eastAsia="仿宋_GB2312"/>
          <w:b/>
          <w:sz w:val="32"/>
          <w:szCs w:val="32"/>
        </w:rPr>
        <w:t>。</w:t>
      </w:r>
    </w:p>
    <w:p>
      <w:pPr>
        <w:widowControl/>
        <w:spacing w:line="600" w:lineRule="exact"/>
        <w:ind w:firstLine="642" w:firstLineChars="200"/>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rPr>
        <w:t>0万元,</w:t>
      </w:r>
      <w:r>
        <w:rPr>
          <w:rStyle w:val="15"/>
          <w:rFonts w:hint="eastAsia" w:ascii="仿宋" w:hAnsi="仿宋" w:eastAsia="仿宋"/>
          <w:b w:val="0"/>
          <w:bCs/>
          <w:sz w:val="32"/>
          <w:szCs w:val="32"/>
        </w:rPr>
        <w:t>年初未安排预算</w:t>
      </w:r>
      <w:r>
        <w:rPr>
          <w:rStyle w:val="15"/>
          <w:rFonts w:ascii="仿宋" w:hAnsi="仿宋" w:eastAsia="仿宋"/>
          <w:b w:val="0"/>
          <w:bCs/>
          <w:sz w:val="32"/>
          <w:szCs w:val="32"/>
        </w:rPr>
        <w:t>，较上年无变化，</w:t>
      </w:r>
      <w:r>
        <w:rPr>
          <w:rFonts w:hint="eastAsia" w:ascii="仿宋_GB2312" w:eastAsia="仿宋_GB2312" w:cs="仿宋_GB2312"/>
          <w:color w:val="000000"/>
          <w:kern w:val="0"/>
          <w:sz w:val="32"/>
          <w:szCs w:val="32"/>
          <w:lang w:eastAsia="zh-CN"/>
        </w:rPr>
        <w:t>2023年</w:t>
      </w:r>
      <w:r>
        <w:rPr>
          <w:rFonts w:ascii="仿宋_GB2312" w:eastAsia="仿宋_GB2312" w:cs="仿宋_GB2312"/>
          <w:color w:val="000000"/>
          <w:kern w:val="0"/>
          <w:sz w:val="32"/>
          <w:szCs w:val="32"/>
        </w:rPr>
        <w:t>12月底，</w:t>
      </w:r>
      <w:r>
        <w:rPr>
          <w:rFonts w:hint="eastAsia" w:ascii="仿宋_GB2312" w:eastAsia="仿宋_GB2312" w:cs="仿宋_GB2312"/>
          <w:color w:val="000000"/>
          <w:kern w:val="0"/>
          <w:sz w:val="32"/>
          <w:szCs w:val="32"/>
          <w:lang w:eastAsia="zh-CN"/>
        </w:rPr>
        <w:t>我单位未购置公务用车，</w:t>
      </w:r>
      <w:r>
        <w:rPr>
          <w:rFonts w:ascii="仿宋_GB2312" w:eastAsia="仿宋_GB2312" w:cs="仿宋_GB2312"/>
          <w:color w:val="000000"/>
          <w:kern w:val="0"/>
          <w:sz w:val="32"/>
          <w:szCs w:val="32"/>
        </w:rPr>
        <w:t>单位共有公务用车0辆</w:t>
      </w:r>
      <w:r>
        <w:rPr>
          <w:rStyle w:val="15"/>
          <w:rFonts w:hint="eastAsia" w:ascii="仿宋" w:hAnsi="仿宋" w:eastAsia="仿宋"/>
          <w:b w:val="0"/>
          <w:bCs/>
          <w:sz w:val="32"/>
          <w:szCs w:val="32"/>
        </w:rPr>
        <w:t>。</w:t>
      </w:r>
    </w:p>
    <w:p>
      <w:pPr>
        <w:keepNext w:val="0"/>
        <w:keepLines w:val="0"/>
        <w:pageBreakBefore w:val="0"/>
        <w:kinsoku/>
        <w:wordWrap/>
        <w:overflowPunct/>
        <w:topLinePunct w:val="0"/>
        <w:autoSpaceDE/>
        <w:autoSpaceDN/>
        <w:bidi w:val="0"/>
        <w:adjustRightInd/>
        <w:snapToGrid/>
        <w:spacing w:line="576" w:lineRule="exact"/>
        <w:ind w:firstLine="642" w:firstLineChars="200"/>
        <w:textAlignment w:val="auto"/>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公务接待费支出0.</w:t>
      </w:r>
      <w:r>
        <w:rPr>
          <w:rFonts w:hint="eastAsia" w:ascii="仿宋_GB2312" w:eastAsia="仿宋_GB2312"/>
          <w:b/>
          <w:sz w:val="32"/>
          <w:szCs w:val="32"/>
          <w:lang w:val="en-US" w:eastAsia="zh-CN"/>
        </w:rPr>
        <w:t>66</w:t>
      </w:r>
      <w:r>
        <w:rPr>
          <w:rFonts w:hint="eastAsia" w:ascii="仿宋_GB2312" w:eastAsia="仿宋_GB2312"/>
          <w:sz w:val="32"/>
          <w:szCs w:val="32"/>
        </w:rPr>
        <w:t>万元，</w:t>
      </w:r>
      <w:r>
        <w:rPr>
          <w:rStyle w:val="15"/>
          <w:rFonts w:hint="eastAsia" w:ascii="仿宋" w:hAnsi="仿宋" w:eastAsia="仿宋"/>
          <w:b w:val="0"/>
          <w:bCs/>
          <w:sz w:val="32"/>
          <w:szCs w:val="32"/>
        </w:rPr>
        <w:t>完成预算</w:t>
      </w:r>
      <w:r>
        <w:rPr>
          <w:rStyle w:val="15"/>
          <w:rFonts w:hint="eastAsia" w:ascii="仿宋" w:hAnsi="仿宋" w:eastAsia="仿宋"/>
          <w:b w:val="0"/>
          <w:bCs/>
          <w:sz w:val="32"/>
          <w:szCs w:val="32"/>
          <w:lang w:val="en-US" w:eastAsia="zh-CN"/>
        </w:rPr>
        <w:t>100</w:t>
      </w:r>
      <w:r>
        <w:rPr>
          <w:rStyle w:val="15"/>
          <w:rFonts w:ascii="仿宋" w:hAnsi="仿宋" w:eastAsia="仿宋"/>
          <w:b w:val="0"/>
          <w:bCs/>
          <w:sz w:val="32"/>
          <w:szCs w:val="32"/>
        </w:rPr>
        <w:t>%</w:t>
      </w:r>
      <w:r>
        <w:rPr>
          <w:rStyle w:val="15"/>
          <w:rFonts w:hint="eastAsia" w:ascii="仿宋" w:hAnsi="仿宋" w:eastAsia="仿宋"/>
          <w:b w:val="0"/>
          <w:bCs/>
          <w:sz w:val="32"/>
          <w:szCs w:val="32"/>
        </w:rPr>
        <w:t>。</w:t>
      </w:r>
      <w:r>
        <w:rPr>
          <w:rFonts w:hint="eastAsia" w:ascii="仿宋_GB2312" w:eastAsia="仿宋_GB2312"/>
          <w:sz w:val="32"/>
          <w:szCs w:val="32"/>
        </w:rPr>
        <w:t>公务接待费支出决算比</w:t>
      </w:r>
      <w:r>
        <w:rPr>
          <w:rFonts w:hint="eastAsia" w:ascii="仿宋_GB2312" w:eastAsia="仿宋_GB2312"/>
          <w:sz w:val="32"/>
          <w:szCs w:val="32"/>
          <w:lang w:eastAsia="zh-CN"/>
        </w:rPr>
        <w:t>2022年度增加</w:t>
      </w:r>
      <w:r>
        <w:rPr>
          <w:rFonts w:hint="eastAsia" w:ascii="仿宋_GB2312" w:eastAsia="仿宋_GB2312"/>
          <w:sz w:val="32"/>
          <w:szCs w:val="32"/>
          <w:lang w:val="en-US" w:eastAsia="zh-CN"/>
        </w:rPr>
        <w:t>0.63</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2100</w:t>
      </w:r>
      <w:r>
        <w:rPr>
          <w:rFonts w:ascii="仿宋_GB2312" w:eastAsia="仿宋_GB2312"/>
          <w:sz w:val="32"/>
          <w:szCs w:val="32"/>
        </w:rPr>
        <w:t>%</w:t>
      </w:r>
      <w:r>
        <w:rPr>
          <w:rFonts w:hint="eastAsia" w:ascii="仿宋_GB2312" w:eastAsia="仿宋_GB2312"/>
          <w:sz w:val="32"/>
          <w:szCs w:val="32"/>
        </w:rPr>
        <w:t>。主要原因是</w:t>
      </w:r>
      <w:r>
        <w:rPr>
          <w:rFonts w:hint="eastAsia" w:ascii="仿宋_GB2312" w:hAnsi="仿宋_GB2312" w:eastAsia="仿宋_GB2312" w:cs="仿宋_GB2312"/>
          <w:sz w:val="32"/>
          <w:szCs w:val="32"/>
          <w:lang w:val="en-US" w:eastAsia="zh-CN"/>
        </w:rPr>
        <w:t>2023年疫情政策放开，公务接待活动逐渐恢复，公务接待费用同步增加，2022年基数小增增长率高。</w:t>
      </w:r>
      <w:r>
        <w:rPr>
          <w:rFonts w:hint="eastAsia" w:ascii="仿宋_GB2312" w:eastAsia="仿宋_GB2312"/>
          <w:sz w:val="32"/>
          <w:szCs w:val="32"/>
        </w:rPr>
        <w:t>其中：</w:t>
      </w:r>
    </w:p>
    <w:p>
      <w:pPr>
        <w:spacing w:line="600" w:lineRule="exact"/>
        <w:ind w:firstLine="640"/>
        <w:rPr>
          <w:rFonts w:ascii="仿宋_GB2312" w:eastAsia="仿宋_GB2312"/>
          <w:sz w:val="32"/>
          <w:szCs w:val="32"/>
        </w:rPr>
      </w:pPr>
      <w:r>
        <w:rPr>
          <w:rFonts w:hint="eastAsia" w:ascii="仿宋" w:hAnsi="仿宋" w:eastAsia="仿宋"/>
          <w:b/>
          <w:sz w:val="32"/>
          <w:szCs w:val="32"/>
        </w:rPr>
        <w:t>国内公务接待支出</w:t>
      </w:r>
      <w:r>
        <w:rPr>
          <w:rFonts w:hint="eastAsia" w:ascii="仿宋" w:hAnsi="仿宋" w:eastAsia="仿宋"/>
          <w:sz w:val="32"/>
          <w:szCs w:val="32"/>
        </w:rPr>
        <w:t>0.</w:t>
      </w:r>
      <w:r>
        <w:rPr>
          <w:rFonts w:hint="eastAsia" w:ascii="仿宋" w:hAnsi="仿宋" w:eastAsia="仿宋"/>
          <w:sz w:val="32"/>
          <w:szCs w:val="32"/>
          <w:lang w:val="en-US" w:eastAsia="zh-CN"/>
        </w:rPr>
        <w:t>66</w:t>
      </w:r>
      <w:r>
        <w:rPr>
          <w:rFonts w:hint="eastAsia" w:ascii="仿宋_GB2312" w:eastAsia="仿宋_GB2312"/>
          <w:sz w:val="32"/>
          <w:szCs w:val="32"/>
        </w:rPr>
        <w:t>万元，主要用于</w:t>
      </w:r>
      <w:r>
        <w:rPr>
          <w:rFonts w:hint="eastAsia" w:ascii="仿宋_GB2312" w:eastAsia="仿宋_GB2312"/>
          <w:sz w:val="32"/>
          <w:szCs w:val="32"/>
          <w:lang w:eastAsia="zh-CN"/>
        </w:rPr>
        <w:t>省社保局、</w:t>
      </w:r>
      <w:r>
        <w:rPr>
          <w:rFonts w:hint="eastAsia" w:ascii="仿宋_GB2312" w:eastAsia="仿宋_GB2312"/>
          <w:sz w:val="32"/>
          <w:szCs w:val="32"/>
        </w:rPr>
        <w:t>绵阳市</w:t>
      </w:r>
      <w:r>
        <w:rPr>
          <w:rFonts w:hint="eastAsia" w:ascii="仿宋_GB2312" w:eastAsia="仿宋_GB2312"/>
          <w:sz w:val="32"/>
          <w:szCs w:val="32"/>
          <w:lang w:eastAsia="zh-CN"/>
        </w:rPr>
        <w:t>社</w:t>
      </w:r>
      <w:r>
        <w:rPr>
          <w:rFonts w:hint="eastAsia" w:ascii="仿宋_GB2312" w:eastAsia="仿宋_GB2312"/>
          <w:sz w:val="32"/>
          <w:szCs w:val="32"/>
        </w:rPr>
        <w:t>保</w:t>
      </w:r>
      <w:r>
        <w:rPr>
          <w:rFonts w:hint="eastAsia" w:ascii="仿宋_GB2312" w:eastAsia="仿宋_GB2312"/>
          <w:sz w:val="32"/>
          <w:szCs w:val="32"/>
          <w:lang w:eastAsia="zh-CN"/>
        </w:rPr>
        <w:t>中心等单位</w:t>
      </w:r>
      <w:r>
        <w:rPr>
          <w:rFonts w:hint="eastAsia" w:ascii="仿宋_GB2312" w:eastAsia="仿宋_GB2312"/>
          <w:sz w:val="32"/>
          <w:szCs w:val="32"/>
        </w:rPr>
        <w:t>开展</w:t>
      </w:r>
      <w:r>
        <w:rPr>
          <w:rFonts w:hint="eastAsia" w:ascii="仿宋_GB2312" w:eastAsia="仿宋_GB2312"/>
          <w:sz w:val="32"/>
          <w:szCs w:val="32"/>
          <w:lang w:eastAsia="zh-CN"/>
        </w:rPr>
        <w:t>社保公共服务标准化建设</w:t>
      </w:r>
      <w:r>
        <w:rPr>
          <w:rFonts w:hint="eastAsia" w:ascii="仿宋_GB2312" w:eastAsia="仿宋_GB2312"/>
          <w:sz w:val="32"/>
          <w:szCs w:val="32"/>
        </w:rPr>
        <w:t>交流学习</w:t>
      </w:r>
      <w:r>
        <w:rPr>
          <w:rFonts w:hint="eastAsia" w:ascii="仿宋_GB2312" w:eastAsia="仿宋_GB2312"/>
          <w:sz w:val="32"/>
          <w:szCs w:val="32"/>
          <w:lang w:eastAsia="zh-CN"/>
        </w:rPr>
        <w:t>业余活动开支的</w:t>
      </w:r>
      <w:r>
        <w:rPr>
          <w:rFonts w:hint="eastAsia" w:ascii="仿宋_GB2312" w:eastAsia="仿宋_GB2312"/>
          <w:sz w:val="32"/>
          <w:szCs w:val="32"/>
        </w:rPr>
        <w:t>用餐费。国内公务接待</w:t>
      </w:r>
      <w:r>
        <w:rPr>
          <w:rFonts w:hint="eastAsia" w:ascii="仿宋_GB2312" w:eastAsia="仿宋_GB2312"/>
          <w:sz w:val="32"/>
          <w:szCs w:val="32"/>
          <w:lang w:val="en-US" w:eastAsia="zh-CN"/>
        </w:rPr>
        <w:t>7</w:t>
      </w:r>
      <w:r>
        <w:rPr>
          <w:rFonts w:hint="eastAsia" w:ascii="仿宋_GB2312" w:eastAsia="仿宋_GB2312"/>
          <w:sz w:val="32"/>
          <w:szCs w:val="32"/>
          <w:lang w:eastAsia="zh-CN"/>
        </w:rPr>
        <w:t>批次，</w:t>
      </w:r>
      <w:r>
        <w:rPr>
          <w:rFonts w:hint="eastAsia" w:ascii="仿宋_GB2312" w:eastAsia="仿宋_GB2312"/>
          <w:sz w:val="32"/>
          <w:szCs w:val="32"/>
          <w:lang w:val="en-US" w:eastAsia="zh-CN"/>
        </w:rPr>
        <w:t>65</w:t>
      </w:r>
      <w:r>
        <w:rPr>
          <w:rFonts w:hint="eastAsia" w:ascii="仿宋_GB2312" w:eastAsia="仿宋_GB2312"/>
          <w:sz w:val="32"/>
          <w:szCs w:val="32"/>
          <w:lang w:eastAsia="zh-CN"/>
        </w:rPr>
        <w:t>人次（不</w:t>
      </w:r>
      <w:r>
        <w:rPr>
          <w:rFonts w:hint="eastAsia" w:ascii="仿宋_GB2312" w:eastAsia="仿宋_GB2312"/>
          <w:sz w:val="32"/>
          <w:szCs w:val="32"/>
        </w:rPr>
        <w:t>包括陪同人员），共计支出0.</w:t>
      </w:r>
      <w:r>
        <w:rPr>
          <w:rFonts w:hint="eastAsia" w:ascii="仿宋_GB2312" w:eastAsia="仿宋_GB2312"/>
          <w:sz w:val="32"/>
          <w:szCs w:val="32"/>
          <w:lang w:val="en-US" w:eastAsia="zh-CN"/>
        </w:rPr>
        <w:t>66</w:t>
      </w:r>
      <w:r>
        <w:rPr>
          <w:rFonts w:hint="eastAsia" w:ascii="仿宋_GB2312" w:eastAsia="仿宋_GB2312"/>
          <w:sz w:val="32"/>
          <w:szCs w:val="32"/>
        </w:rPr>
        <w:t>万元，具体内容包括：</w:t>
      </w:r>
      <w:r>
        <w:rPr>
          <w:rFonts w:hint="eastAsia" w:ascii="仿宋_GB2312" w:eastAsia="仿宋_GB2312"/>
          <w:sz w:val="32"/>
          <w:szCs w:val="32"/>
          <w:lang w:eastAsia="zh-CN"/>
        </w:rPr>
        <w:t>接待省社保局、</w:t>
      </w:r>
      <w:r>
        <w:rPr>
          <w:rFonts w:hint="eastAsia" w:ascii="仿宋_GB2312" w:eastAsia="仿宋_GB2312"/>
          <w:sz w:val="32"/>
          <w:szCs w:val="32"/>
        </w:rPr>
        <w:t>绵阳市</w:t>
      </w:r>
      <w:r>
        <w:rPr>
          <w:rFonts w:hint="eastAsia" w:ascii="仿宋_GB2312" w:eastAsia="仿宋_GB2312"/>
          <w:sz w:val="32"/>
          <w:szCs w:val="32"/>
          <w:lang w:eastAsia="zh-CN"/>
        </w:rPr>
        <w:t>社</w:t>
      </w:r>
      <w:r>
        <w:rPr>
          <w:rFonts w:hint="eastAsia" w:ascii="仿宋_GB2312" w:eastAsia="仿宋_GB2312"/>
          <w:sz w:val="32"/>
          <w:szCs w:val="32"/>
        </w:rPr>
        <w:t>保</w:t>
      </w:r>
      <w:r>
        <w:rPr>
          <w:rFonts w:hint="eastAsia" w:ascii="仿宋_GB2312" w:eastAsia="仿宋_GB2312"/>
          <w:sz w:val="32"/>
          <w:szCs w:val="32"/>
          <w:lang w:eastAsia="zh-CN"/>
        </w:rPr>
        <w:t>中心等</w:t>
      </w:r>
      <w:r>
        <w:rPr>
          <w:rFonts w:hint="eastAsia" w:ascii="仿宋_GB2312" w:eastAsia="仿宋_GB2312"/>
          <w:sz w:val="32"/>
          <w:szCs w:val="32"/>
        </w:rPr>
        <w:t>用餐费</w:t>
      </w:r>
      <w:r>
        <w:rPr>
          <w:rFonts w:hint="eastAsia" w:ascii="仿宋_GB2312" w:eastAsia="仿宋_GB2312"/>
          <w:sz w:val="32"/>
          <w:szCs w:val="32"/>
          <w:lang w:eastAsia="zh-CN"/>
        </w:rPr>
        <w:t>共计</w:t>
      </w:r>
      <w:r>
        <w:rPr>
          <w:rFonts w:hint="eastAsia" w:ascii="仿宋_GB2312" w:eastAsia="仿宋_GB2312"/>
          <w:sz w:val="32"/>
          <w:szCs w:val="32"/>
        </w:rPr>
        <w:t>0.</w:t>
      </w:r>
      <w:r>
        <w:rPr>
          <w:rFonts w:hint="eastAsia" w:ascii="仿宋_GB2312" w:eastAsia="仿宋_GB2312"/>
          <w:sz w:val="32"/>
          <w:szCs w:val="32"/>
          <w:lang w:val="en-US" w:eastAsia="zh-CN"/>
        </w:rPr>
        <w:t>66</w:t>
      </w:r>
      <w:r>
        <w:rPr>
          <w:rFonts w:hint="eastAsia" w:ascii="仿宋_GB2312" w:eastAsia="仿宋_GB2312"/>
          <w:sz w:val="32"/>
          <w:szCs w:val="32"/>
        </w:rPr>
        <w:t>万元。</w:t>
      </w:r>
    </w:p>
    <w:p>
      <w:pPr>
        <w:spacing w:line="600" w:lineRule="exact"/>
        <w:ind w:firstLine="642"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 w:hAnsi="仿宋" w:eastAsia="仿宋"/>
          <w:sz w:val="32"/>
          <w:szCs w:val="32"/>
        </w:rPr>
        <w:t>0</w:t>
      </w:r>
      <w:r>
        <w:rPr>
          <w:rFonts w:hint="eastAsia" w:ascii="仿宋_GB2312" w:eastAsia="仿宋_GB2312"/>
          <w:sz w:val="32"/>
          <w:szCs w:val="32"/>
        </w:rPr>
        <w:t>万元。</w:t>
      </w:r>
      <w:bookmarkStart w:id="118" w:name="_GoBack"/>
      <w:bookmarkEnd w:id="118"/>
    </w:p>
    <w:p>
      <w:pPr>
        <w:spacing w:line="600" w:lineRule="exact"/>
        <w:ind w:firstLine="640"/>
        <w:outlineLvl w:val="1"/>
        <w:rPr>
          <w:rStyle w:val="18"/>
          <w:rFonts w:ascii="黑体" w:hAnsi="黑体" w:eastAsia="黑体"/>
        </w:rPr>
      </w:pPr>
      <w:bookmarkStart w:id="50" w:name="_Toc15377218"/>
      <w:bookmarkStart w:id="51" w:name="_Toc22337"/>
      <w:bookmarkStart w:id="52" w:name="_Toc23519"/>
      <w:bookmarkStart w:id="53" w:name="_Toc15396610"/>
      <w:r>
        <w:rPr>
          <w:rFonts w:hint="eastAsia" w:ascii="黑体" w:eastAsia="黑体"/>
          <w:sz w:val="32"/>
          <w:szCs w:val="32"/>
        </w:rPr>
        <w:t>八、</w:t>
      </w:r>
      <w:r>
        <w:rPr>
          <w:rStyle w:val="18"/>
          <w:rFonts w:hint="eastAsia" w:ascii="黑体" w:hAnsi="黑体" w:eastAsia="黑体"/>
          <w:b w:val="0"/>
        </w:rPr>
        <w:t>政府性基金预算支出决算情况说明</w:t>
      </w:r>
      <w:bookmarkEnd w:id="50"/>
      <w:bookmarkEnd w:id="51"/>
      <w:bookmarkEnd w:id="52"/>
      <w:bookmarkEnd w:id="53"/>
    </w:p>
    <w:p>
      <w:pPr>
        <w:spacing w:line="600" w:lineRule="exact"/>
        <w:ind w:firstLine="640"/>
        <w:rPr>
          <w:rFonts w:ascii="仿宋_GB2312" w:eastAsia="仿宋_GB2312"/>
          <w:sz w:val="32"/>
          <w:szCs w:val="32"/>
        </w:rPr>
      </w:pPr>
      <w:r>
        <w:rPr>
          <w:rFonts w:hint="eastAsia" w:ascii="仿宋_GB2312" w:eastAsia="仿宋_GB2312"/>
          <w:sz w:val="32"/>
          <w:szCs w:val="32"/>
          <w:lang w:eastAsia="zh-CN"/>
        </w:rPr>
        <w:t>2023年度</w:t>
      </w:r>
      <w:r>
        <w:rPr>
          <w:rFonts w:hint="eastAsia" w:ascii="仿宋_GB2312" w:eastAsia="仿宋_GB2312"/>
          <w:sz w:val="32"/>
          <w:szCs w:val="32"/>
        </w:rPr>
        <w:t>政府性基金预算财政拨款支出0万元。</w:t>
      </w:r>
    </w:p>
    <w:p>
      <w:pPr>
        <w:numPr>
          <w:ilvl w:val="0"/>
          <w:numId w:val="3"/>
        </w:numPr>
        <w:spacing w:line="600" w:lineRule="exact"/>
        <w:ind w:firstLine="640"/>
        <w:outlineLvl w:val="1"/>
        <w:rPr>
          <w:rStyle w:val="18"/>
          <w:rFonts w:ascii="黑体" w:hAnsi="黑体" w:eastAsia="黑体"/>
          <w:b w:val="0"/>
        </w:rPr>
      </w:pPr>
      <w:bookmarkStart w:id="54" w:name="_Toc4566"/>
      <w:bookmarkStart w:id="55" w:name="_Toc15377219"/>
      <w:bookmarkStart w:id="56" w:name="_Toc15396611"/>
      <w:bookmarkStart w:id="57" w:name="_Toc10917"/>
      <w:r>
        <w:rPr>
          <w:rStyle w:val="18"/>
          <w:rFonts w:hint="eastAsia" w:ascii="黑体" w:hAnsi="黑体" w:eastAsia="黑体"/>
          <w:b w:val="0"/>
        </w:rPr>
        <w:t>国有资本经营预算支出决算情况说明</w:t>
      </w:r>
      <w:bookmarkEnd w:id="54"/>
      <w:bookmarkEnd w:id="55"/>
      <w:bookmarkEnd w:id="56"/>
      <w:bookmarkEnd w:id="57"/>
    </w:p>
    <w:p>
      <w:pPr>
        <w:spacing w:line="600" w:lineRule="exact"/>
        <w:ind w:firstLine="640"/>
        <w:rPr>
          <w:rFonts w:ascii="仿宋_GB2312" w:eastAsia="仿宋_GB2312"/>
          <w:sz w:val="32"/>
          <w:szCs w:val="32"/>
        </w:rPr>
      </w:pPr>
      <w:r>
        <w:rPr>
          <w:rFonts w:hint="eastAsia" w:ascii="仿宋_GB2312" w:eastAsia="仿宋_GB2312"/>
          <w:sz w:val="32"/>
          <w:szCs w:val="32"/>
          <w:lang w:eastAsia="zh-CN"/>
        </w:rPr>
        <w:t>2023年度</w:t>
      </w:r>
      <w:r>
        <w:rPr>
          <w:rFonts w:hint="eastAsia" w:ascii="仿宋_GB2312" w:eastAsia="仿宋_GB2312"/>
          <w:sz w:val="32"/>
          <w:szCs w:val="32"/>
        </w:rPr>
        <w:t>国有资本经营预算财政拨款支出0万元。</w:t>
      </w:r>
    </w:p>
    <w:p>
      <w:pPr>
        <w:numPr>
          <w:ilvl w:val="0"/>
          <w:numId w:val="3"/>
        </w:numPr>
        <w:spacing w:line="600" w:lineRule="exact"/>
        <w:ind w:firstLine="640"/>
        <w:outlineLvl w:val="1"/>
        <w:rPr>
          <w:rStyle w:val="18"/>
          <w:rFonts w:ascii="黑体" w:hAnsi="黑体" w:eastAsia="黑体"/>
          <w:b w:val="0"/>
        </w:rPr>
      </w:pPr>
      <w:bookmarkStart w:id="58" w:name="_Toc15377221"/>
      <w:bookmarkStart w:id="59" w:name="_Toc15396612"/>
      <w:bookmarkStart w:id="60" w:name="_Toc9992"/>
      <w:bookmarkStart w:id="61" w:name="_Toc30965"/>
      <w:r>
        <w:rPr>
          <w:rStyle w:val="18"/>
          <w:rFonts w:hint="eastAsia" w:ascii="黑体" w:hAnsi="黑体" w:eastAsia="黑体"/>
          <w:b w:val="0"/>
        </w:rPr>
        <w:t>其他重要事项的情况说明</w:t>
      </w:r>
      <w:bookmarkEnd w:id="58"/>
      <w:bookmarkEnd w:id="59"/>
      <w:bookmarkEnd w:id="60"/>
      <w:bookmarkEnd w:id="61"/>
    </w:p>
    <w:p>
      <w:pPr>
        <w:spacing w:line="600" w:lineRule="exact"/>
        <w:ind w:firstLine="642" w:firstLineChars="200"/>
        <w:outlineLvl w:val="2"/>
        <w:rPr>
          <w:rFonts w:ascii="仿宋" w:hAnsi="仿宋" w:eastAsia="仿宋"/>
          <w:sz w:val="32"/>
          <w:szCs w:val="32"/>
        </w:rPr>
      </w:pPr>
      <w:bookmarkStart w:id="62" w:name="_Toc15377222"/>
      <w:r>
        <w:rPr>
          <w:rFonts w:hint="eastAsia" w:ascii="仿宋" w:hAnsi="仿宋" w:eastAsia="仿宋"/>
          <w:b/>
          <w:sz w:val="32"/>
          <w:szCs w:val="32"/>
        </w:rPr>
        <w:t>（一）机关运行经费支出情况</w:t>
      </w:r>
      <w:bookmarkEnd w:id="62"/>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2023年度</w:t>
      </w:r>
      <w:r>
        <w:rPr>
          <w:rFonts w:hint="eastAsia" w:ascii="仿宋_GB2312" w:eastAsia="仿宋_GB2312"/>
          <w:sz w:val="32"/>
          <w:szCs w:val="32"/>
        </w:rPr>
        <w:t>，广元市社会保险事务中心机关运行经费支出</w:t>
      </w:r>
      <w:r>
        <w:rPr>
          <w:rFonts w:hint="eastAsia" w:ascii="仿宋_GB2312" w:eastAsia="仿宋_GB2312"/>
          <w:sz w:val="32"/>
          <w:szCs w:val="32"/>
          <w:lang w:val="en-US" w:eastAsia="zh-CN"/>
        </w:rPr>
        <w:t>178.03</w:t>
      </w:r>
      <w:r>
        <w:rPr>
          <w:rFonts w:hint="eastAsia" w:ascii="仿宋_GB2312" w:eastAsia="仿宋_GB2312"/>
          <w:sz w:val="32"/>
          <w:szCs w:val="32"/>
        </w:rPr>
        <w:t>万元，比</w:t>
      </w:r>
      <w:r>
        <w:rPr>
          <w:rFonts w:hint="eastAsia" w:ascii="仿宋_GB2312" w:eastAsia="仿宋_GB2312"/>
          <w:sz w:val="32"/>
          <w:szCs w:val="32"/>
          <w:lang w:eastAsia="zh-CN"/>
        </w:rPr>
        <w:t>2022年增加</w:t>
      </w:r>
      <w:r>
        <w:rPr>
          <w:rFonts w:hint="eastAsia" w:ascii="仿宋_GB2312" w:eastAsia="仿宋_GB2312"/>
          <w:sz w:val="32"/>
          <w:szCs w:val="32"/>
          <w:lang w:val="en-US" w:eastAsia="zh-CN"/>
        </w:rPr>
        <w:t>61.77</w:t>
      </w:r>
      <w:r>
        <w:rPr>
          <w:rFonts w:hint="eastAsia" w:ascii="仿宋_GB2312" w:eastAsia="仿宋_GB2312"/>
          <w:sz w:val="32"/>
          <w:szCs w:val="32"/>
        </w:rPr>
        <w:t>万元，</w:t>
      </w:r>
      <w:r>
        <w:rPr>
          <w:rFonts w:hint="eastAsia" w:ascii="仿宋_GB2312" w:eastAsia="仿宋_GB2312"/>
          <w:sz w:val="32"/>
          <w:szCs w:val="32"/>
          <w:lang w:eastAsia="zh-CN"/>
        </w:rPr>
        <w:t>增长</w:t>
      </w:r>
      <w:r>
        <w:rPr>
          <w:rFonts w:hint="eastAsia" w:ascii="仿宋_GB2312" w:eastAsia="仿宋_GB2312"/>
          <w:sz w:val="32"/>
          <w:szCs w:val="32"/>
          <w:lang w:val="en-US" w:eastAsia="zh-CN"/>
        </w:rPr>
        <w:t>53.13</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val="en-US" w:eastAsia="zh-CN"/>
        </w:rPr>
        <w:t>2022年受疫情影响，机关运行经费大幅下降，2023年恢复正常</w:t>
      </w:r>
      <w:r>
        <w:rPr>
          <w:rFonts w:hint="eastAsia" w:ascii="仿宋_GB2312" w:eastAsia="仿宋_GB2312"/>
          <w:sz w:val="32"/>
          <w:szCs w:val="32"/>
        </w:rPr>
        <w:t>。</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63" w:name="_Toc15377223"/>
      <w:r>
        <w:rPr>
          <w:rFonts w:hint="eastAsia" w:ascii="仿宋" w:hAnsi="仿宋" w:eastAsia="仿宋"/>
          <w:b/>
          <w:sz w:val="32"/>
          <w:szCs w:val="32"/>
        </w:rPr>
        <w:t>（二）政府采购支出情况</w:t>
      </w:r>
      <w:bookmarkEnd w:id="63"/>
    </w:p>
    <w:p>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2023年度</w:t>
      </w:r>
      <w:r>
        <w:rPr>
          <w:rFonts w:hint="eastAsia" w:ascii="仿宋_GB2312" w:eastAsia="仿宋_GB2312"/>
          <w:sz w:val="32"/>
          <w:szCs w:val="32"/>
        </w:rPr>
        <w:t>，广元市社会保险事务中心政府采购支出总额0万元。</w:t>
      </w:r>
    </w:p>
    <w:p>
      <w:pPr>
        <w:autoSpaceDE w:val="0"/>
        <w:autoSpaceDN w:val="0"/>
        <w:adjustRightInd w:val="0"/>
        <w:spacing w:line="600" w:lineRule="exact"/>
        <w:ind w:firstLine="642" w:firstLineChars="200"/>
        <w:jc w:val="left"/>
        <w:outlineLvl w:val="2"/>
        <w:rPr>
          <w:rFonts w:ascii="仿宋" w:hAnsi="仿宋" w:eastAsia="仿宋"/>
          <w:b/>
          <w:sz w:val="32"/>
          <w:szCs w:val="32"/>
        </w:rPr>
      </w:pPr>
      <w:bookmarkStart w:id="64" w:name="_Toc15377224"/>
      <w:r>
        <w:rPr>
          <w:rFonts w:hint="eastAsia" w:ascii="仿宋" w:hAnsi="仿宋" w:eastAsia="仿宋"/>
          <w:b/>
          <w:sz w:val="32"/>
          <w:szCs w:val="32"/>
        </w:rPr>
        <w:t>（三）国有资产占有使用情况</w:t>
      </w:r>
      <w:bookmarkEnd w:id="64"/>
    </w:p>
    <w:p>
      <w:pPr>
        <w:widowControl/>
        <w:spacing w:line="600" w:lineRule="atLeast"/>
        <w:ind w:firstLine="640"/>
        <w:jc w:val="left"/>
        <w:rPr>
          <w:color w:val="000000"/>
          <w:szCs w:val="21"/>
        </w:rPr>
      </w:pPr>
      <w:r>
        <w:rPr>
          <w:rFonts w:ascii="仿宋_GB2312" w:eastAsia="仿宋_GB2312" w:cs="仿宋_GB2312"/>
          <w:color w:val="000000"/>
          <w:kern w:val="0"/>
          <w:sz w:val="32"/>
          <w:szCs w:val="32"/>
        </w:rPr>
        <w:t>截至</w:t>
      </w:r>
      <w:r>
        <w:rPr>
          <w:rFonts w:hint="eastAsia" w:ascii="仿宋_GB2312" w:eastAsia="仿宋_GB2312" w:cs="仿宋_GB2312"/>
          <w:color w:val="000000"/>
          <w:kern w:val="0"/>
          <w:sz w:val="32"/>
          <w:szCs w:val="32"/>
          <w:lang w:eastAsia="zh-CN"/>
        </w:rPr>
        <w:t>2023年</w:t>
      </w:r>
      <w:r>
        <w:rPr>
          <w:rFonts w:ascii="仿宋_GB2312" w:eastAsia="仿宋_GB2312" w:cs="仿宋_GB2312"/>
          <w:color w:val="000000"/>
          <w:kern w:val="0"/>
          <w:sz w:val="32"/>
          <w:szCs w:val="32"/>
        </w:rPr>
        <w:t>12月31日，我单位共有车辆0辆，单价100万元以上专用设备0台（套）。</w:t>
      </w:r>
    </w:p>
    <w:p>
      <w:pPr>
        <w:autoSpaceDE w:val="0"/>
        <w:autoSpaceDN w:val="0"/>
        <w:adjustRightInd w:val="0"/>
        <w:spacing w:line="600" w:lineRule="exact"/>
        <w:ind w:firstLine="642" w:firstLineChars="200"/>
        <w:jc w:val="left"/>
        <w:rPr>
          <w:rFonts w:ascii="仿宋" w:hAnsi="仿宋" w:eastAsia="仿宋"/>
          <w:b/>
          <w:sz w:val="32"/>
          <w:szCs w:val="32"/>
        </w:rPr>
      </w:pPr>
      <w:r>
        <w:rPr>
          <w:rFonts w:hint="eastAsia" w:ascii="仿宋" w:hAnsi="仿宋" w:eastAsia="仿宋"/>
          <w:b/>
          <w:sz w:val="32"/>
          <w:szCs w:val="32"/>
        </w:rPr>
        <w:t>（四）预算绩效管理情况</w:t>
      </w:r>
    </w:p>
    <w:p>
      <w:pPr>
        <w:pStyle w:val="6"/>
        <w:spacing w:before="93"/>
        <w:ind w:firstLine="640" w:firstLineChars="200"/>
        <w:rPr>
          <w:rFonts w:hAnsi="仿宋_GB2312" w:cs="仿宋_GB2312"/>
          <w:sz w:val="32"/>
          <w:szCs w:val="32"/>
        </w:rPr>
      </w:pPr>
      <w:r>
        <w:rPr>
          <w:rFonts w:hint="eastAsia" w:hAnsi="仿宋_GB2312" w:cs="仿宋_GB2312"/>
          <w:sz w:val="32"/>
          <w:szCs w:val="32"/>
        </w:rPr>
        <w:t>根据预算绩效管理要求，本单位在</w:t>
      </w:r>
      <w:r>
        <w:rPr>
          <w:rFonts w:hint="eastAsia" w:hAnsi="仿宋_GB2312" w:cs="仿宋_GB2312"/>
          <w:sz w:val="32"/>
          <w:szCs w:val="32"/>
          <w:lang w:eastAsia="zh-CN"/>
        </w:rPr>
        <w:t>2023年</w:t>
      </w:r>
      <w:r>
        <w:rPr>
          <w:rFonts w:hint="eastAsia" w:hAnsi="仿宋_GB2312" w:cs="仿宋_GB2312"/>
          <w:sz w:val="32"/>
          <w:szCs w:val="32"/>
        </w:rPr>
        <w:t>度预算编制阶段，组织对离退休人员管理工作经费等</w:t>
      </w:r>
      <w:r>
        <w:rPr>
          <w:rFonts w:hint="eastAsia" w:hAnsi="仿宋_GB2312" w:cs="仿宋_GB2312"/>
          <w:sz w:val="32"/>
          <w:szCs w:val="32"/>
          <w:lang w:val="en-US" w:eastAsia="zh-CN"/>
        </w:rPr>
        <w:t>7</w:t>
      </w:r>
      <w:r>
        <w:rPr>
          <w:rFonts w:hint="eastAsia" w:hAnsi="仿宋_GB2312" w:cs="仿宋_GB2312"/>
          <w:sz w:val="32"/>
          <w:szCs w:val="32"/>
        </w:rPr>
        <w:t>个项目开展了预算事前绩效评估，对</w:t>
      </w:r>
      <w:r>
        <w:rPr>
          <w:rFonts w:hint="eastAsia" w:hAnsi="仿宋_GB2312" w:cs="仿宋_GB2312"/>
          <w:sz w:val="32"/>
          <w:szCs w:val="32"/>
          <w:lang w:val="en-US" w:eastAsia="zh-CN"/>
        </w:rPr>
        <w:t>7</w:t>
      </w:r>
      <w:r>
        <w:rPr>
          <w:rFonts w:hint="eastAsia" w:hAnsi="仿宋_GB2312" w:cs="仿宋_GB2312"/>
          <w:sz w:val="32"/>
          <w:szCs w:val="32"/>
        </w:rPr>
        <w:t>个项目编制了绩效目标，预算执行过程中，选取</w:t>
      </w:r>
      <w:r>
        <w:rPr>
          <w:rFonts w:hint="eastAsia" w:hAnsi="仿宋_GB2312" w:cs="仿宋_GB2312"/>
          <w:sz w:val="32"/>
          <w:szCs w:val="32"/>
          <w:lang w:val="en-US" w:eastAsia="zh-CN"/>
        </w:rPr>
        <w:t>7</w:t>
      </w:r>
      <w:r>
        <w:rPr>
          <w:rFonts w:hint="eastAsia" w:hAnsi="仿宋_GB2312" w:cs="仿宋_GB2312"/>
          <w:sz w:val="32"/>
          <w:szCs w:val="32"/>
        </w:rPr>
        <w:t>个项目开展绩效监控，组织对</w:t>
      </w:r>
      <w:r>
        <w:rPr>
          <w:rFonts w:hint="eastAsia" w:hAnsi="仿宋_GB2312" w:cs="仿宋_GB2312"/>
          <w:sz w:val="32"/>
          <w:szCs w:val="32"/>
          <w:lang w:val="en-US" w:eastAsia="zh-CN"/>
        </w:rPr>
        <w:t>7</w:t>
      </w:r>
      <w:r>
        <w:rPr>
          <w:rFonts w:hint="eastAsia" w:hAnsi="仿宋_GB2312" w:cs="仿宋_GB2312"/>
          <w:sz w:val="32"/>
          <w:szCs w:val="32"/>
        </w:rPr>
        <w:t>个项目开展绩效自评，绩效自评表详见第四部分附件。</w:t>
      </w:r>
    </w:p>
    <w:p>
      <w:pPr>
        <w:widowControl/>
        <w:jc w:val="left"/>
        <w:rPr>
          <w:rFonts w:ascii="仿宋_GB2312" w:eastAsia="仿宋_GB2312"/>
          <w:b/>
          <w:sz w:val="32"/>
          <w:szCs w:val="32"/>
        </w:rPr>
      </w:pPr>
      <w:r>
        <w:rPr>
          <w:rFonts w:ascii="仿宋_GB2312" w:eastAsia="仿宋_GB2312"/>
          <w:b/>
          <w:sz w:val="32"/>
          <w:szCs w:val="32"/>
        </w:rPr>
        <w:br w:type="page"/>
      </w:r>
    </w:p>
    <w:p>
      <w:pPr>
        <w:numPr>
          <w:ilvl w:val="0"/>
          <w:numId w:val="4"/>
        </w:numPr>
        <w:spacing w:line="600" w:lineRule="exact"/>
        <w:ind w:firstLine="660" w:firstLineChars="150"/>
        <w:jc w:val="center"/>
        <w:outlineLvl w:val="0"/>
        <w:rPr>
          <w:rStyle w:val="17"/>
          <w:rFonts w:ascii="黑体" w:hAnsi="黑体" w:eastAsia="黑体"/>
          <w:b w:val="0"/>
        </w:rPr>
      </w:pPr>
      <w:bookmarkStart w:id="65" w:name="_Toc15377225"/>
      <w:bookmarkStart w:id="66" w:name="_Toc12686"/>
      <w:bookmarkStart w:id="67" w:name="_Toc15396613"/>
      <w:bookmarkStart w:id="68" w:name="_Toc30158"/>
      <w:r>
        <w:rPr>
          <w:rFonts w:hint="eastAsia" w:ascii="黑体" w:hAnsi="黑体" w:eastAsia="黑体"/>
          <w:sz w:val="44"/>
          <w:szCs w:val="44"/>
        </w:rPr>
        <w:t>名</w:t>
      </w:r>
      <w:r>
        <w:rPr>
          <w:rStyle w:val="17"/>
          <w:rFonts w:hint="eastAsia" w:ascii="黑体" w:hAnsi="黑体" w:eastAsia="黑体"/>
          <w:b w:val="0"/>
        </w:rPr>
        <w:t>词解释</w:t>
      </w:r>
      <w:bookmarkEnd w:id="65"/>
      <w:bookmarkEnd w:id="66"/>
      <w:bookmarkEnd w:id="67"/>
      <w:bookmarkEnd w:id="68"/>
    </w:p>
    <w:p>
      <w:pPr>
        <w:spacing w:line="600" w:lineRule="exact"/>
        <w:jc w:val="left"/>
        <w:rPr>
          <w:rFonts w:ascii="宋体"/>
          <w:b/>
          <w:sz w:val="44"/>
          <w:szCs w:val="44"/>
        </w:rPr>
      </w:pPr>
    </w:p>
    <w:p>
      <w:pPr>
        <w:pStyle w:val="26"/>
        <w:spacing w:line="560" w:lineRule="exact"/>
        <w:ind w:firstLine="640" w:firstLineChars="200"/>
        <w:outlineLvl w:val="1"/>
        <w:rPr>
          <w:rFonts w:ascii="仿宋_GB2312" w:eastAsia="仿宋_GB2312"/>
          <w:color w:val="auto"/>
          <w:sz w:val="32"/>
          <w:szCs w:val="32"/>
        </w:rPr>
      </w:pPr>
      <w:bookmarkStart w:id="69" w:name="_Toc16598"/>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bookmarkEnd w:id="69"/>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2</w:t>
      </w:r>
      <w:r>
        <w:rPr>
          <w:rFonts w:ascii="仿宋_GB2312" w:eastAsia="仿宋_GB2312"/>
          <w:color w:val="auto"/>
          <w:sz w:val="32"/>
          <w:szCs w:val="32"/>
        </w:rPr>
        <w:t>.</w:t>
      </w:r>
      <w:r>
        <w:rPr>
          <w:rFonts w:hint="eastAsia" w:ascii="仿宋_GB2312" w:eastAsia="仿宋_GB2312"/>
          <w:color w:val="auto"/>
          <w:sz w:val="32"/>
          <w:szCs w:val="32"/>
        </w:rPr>
        <w:t>年初结转和结余：指以前年度尚未完成、结转到本年按有关规定继续使用的资金。</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3.年末结转和结余：指单位按有关规定结转到下年或以后年度继续使用的资金。</w:t>
      </w:r>
    </w:p>
    <w:p>
      <w:pPr>
        <w:spacing w:line="580" w:lineRule="exact"/>
        <w:ind w:firstLine="640" w:firstLineChars="200"/>
        <w:rPr>
          <w:rFonts w:ascii="仿宋_GB2312" w:eastAsia="仿宋_GB2312"/>
          <w:sz w:val="32"/>
          <w:szCs w:val="32"/>
        </w:rPr>
      </w:pPr>
      <w:r>
        <w:rPr>
          <w:rFonts w:hint="eastAsia" w:ascii="仿宋_GB2312" w:eastAsia="仿宋_GB2312"/>
          <w:sz w:val="32"/>
          <w:szCs w:val="32"/>
        </w:rPr>
        <w:t>4.社会保障和就业支出（类）人力资源和社会保障管理事务（款）社会保险经办机构（项）:</w:t>
      </w:r>
      <w:r>
        <w:rPr>
          <w:rFonts w:hint="eastAsia" w:ascii="仿宋_GB2312" w:eastAsia="仿宋_GB2312"/>
          <w:color w:val="000000"/>
          <w:sz w:val="32"/>
          <w:szCs w:val="32"/>
        </w:rPr>
        <w:t>指社会保险经办机构开展业务工作的支出。</w:t>
      </w:r>
    </w:p>
    <w:p>
      <w:pPr>
        <w:pStyle w:val="26"/>
        <w:spacing w:line="560" w:lineRule="exact"/>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5.社会保障和就业支出（类）行政事业单位养老支出（款）机关事业单位基本养老保险缴费支出（项）: 指机关事业单位实施养老保险制度由单位缴纳的基本养老保险费支出。</w:t>
      </w:r>
    </w:p>
    <w:p>
      <w:pPr>
        <w:pStyle w:val="26"/>
        <w:spacing w:line="560" w:lineRule="exact"/>
        <w:ind w:firstLine="640" w:firstLineChars="200"/>
        <w:rPr>
          <w:rFonts w:ascii="仿宋_GB2312" w:eastAsia="仿宋_GB2312"/>
          <w:sz w:val="32"/>
          <w:szCs w:val="32"/>
        </w:rPr>
      </w:pPr>
      <w:r>
        <w:rPr>
          <w:rFonts w:hint="eastAsia" w:ascii="仿宋_GB2312" w:eastAsia="仿宋_GB2312"/>
          <w:sz w:val="32"/>
          <w:szCs w:val="32"/>
        </w:rPr>
        <w:t xml:space="preserve">6.社会保障和就业支出（类）行政事业单位养老支出（款）机关事业单位职业年金缴费支出（项）:反映机关事业单位实施养老保险制度由单位实际缴纳的职业年金支出。 </w:t>
      </w:r>
    </w:p>
    <w:p>
      <w:pPr>
        <w:ind w:firstLine="640" w:firstLineChars="200"/>
        <w:rPr>
          <w:rFonts w:ascii="仿宋_GB2312" w:eastAsia="仿宋_GB2312"/>
          <w:sz w:val="32"/>
          <w:szCs w:val="32"/>
        </w:rPr>
      </w:pPr>
      <w:r>
        <w:rPr>
          <w:rFonts w:hint="eastAsia" w:ascii="仿宋_GB2312" w:eastAsia="仿宋_GB2312"/>
          <w:sz w:val="32"/>
          <w:szCs w:val="32"/>
        </w:rPr>
        <w:t>7.社会保障和就业支出（类）抚恤（款）死亡抚恤（项）:指反映按规定用于烈士和牺牲、病故人员家属的一次性和定期抚恤金以及丧葬补助费。</w:t>
      </w:r>
    </w:p>
    <w:p>
      <w:pPr>
        <w:ind w:firstLine="640" w:firstLineChars="200"/>
        <w:rPr>
          <w:rFonts w:ascii="仿宋_GB2312" w:eastAsia="仿宋_GB2312"/>
          <w:sz w:val="32"/>
          <w:szCs w:val="32"/>
        </w:rPr>
      </w:pPr>
      <w:r>
        <w:rPr>
          <w:rFonts w:hint="eastAsia" w:ascii="仿宋_GB2312" w:eastAsia="仿宋_GB2312"/>
          <w:sz w:val="32"/>
          <w:szCs w:val="32"/>
        </w:rPr>
        <w:t xml:space="preserve">8.卫生健康支出（类）行政事业单位医疗（款）事业单位医疗（项）:指反映财政部门集中安排的行政单位基本医疗保险缴费经费。 </w:t>
      </w:r>
    </w:p>
    <w:p>
      <w:pPr>
        <w:pStyle w:val="26"/>
        <w:spacing w:line="560" w:lineRule="exact"/>
        <w:ind w:firstLine="640" w:firstLineChars="200"/>
        <w:rPr>
          <w:rFonts w:ascii="仿宋_GB2312" w:eastAsia="仿宋_GB2312"/>
          <w:sz w:val="32"/>
          <w:szCs w:val="32"/>
        </w:rPr>
      </w:pPr>
      <w:r>
        <w:rPr>
          <w:rFonts w:hint="eastAsia" w:ascii="仿宋_GB2312" w:eastAsia="仿宋_GB2312"/>
          <w:sz w:val="32"/>
          <w:szCs w:val="32"/>
        </w:rPr>
        <w:t>9.住房保障支出（类）住房改革支出（款）住房公积金（项）:指行政事业单位按人力资源和社会保障部、财政部规定的基本工资和津贴补贴以及规定比例为职工缴纳的住房公积金。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sz w:val="32"/>
          <w:szCs w:val="32"/>
        </w:rPr>
      </w:pPr>
      <w:r>
        <w:rPr>
          <w:rFonts w:hint="eastAsia" w:ascii="仿宋_GB2312" w:eastAsia="仿宋_GB2312"/>
          <w:sz w:val="32"/>
          <w:szCs w:val="32"/>
        </w:rPr>
        <w:t>10</w:t>
      </w:r>
      <w:r>
        <w:rPr>
          <w:rFonts w:ascii="仿宋_GB2312" w:eastAsia="仿宋_GB2312"/>
          <w:sz w:val="32"/>
          <w:szCs w:val="32"/>
        </w:rPr>
        <w:t>.</w:t>
      </w:r>
      <w:r>
        <w:rPr>
          <w:rFonts w:hint="eastAsia" w:ascii="仿宋_GB2312" w:eastAsia="仿宋_GB2312"/>
          <w:sz w:val="32"/>
          <w:szCs w:val="32"/>
        </w:rPr>
        <w:t>基本支出：指为保障机构正常运转、完成日常工作任务而发生的人员支出和公用支出。</w:t>
      </w:r>
    </w:p>
    <w:p>
      <w:pPr>
        <w:ind w:firstLine="640" w:firstLineChars="200"/>
        <w:rPr>
          <w:rFonts w:ascii="仿宋_GB2312" w:eastAsia="仿宋_GB2312"/>
          <w:sz w:val="32"/>
          <w:szCs w:val="32"/>
        </w:rPr>
      </w:pPr>
      <w:r>
        <w:rPr>
          <w:rFonts w:hint="eastAsia" w:ascii="仿宋_GB2312" w:eastAsia="仿宋_GB2312"/>
          <w:sz w:val="32"/>
          <w:szCs w:val="32"/>
        </w:rPr>
        <w:t>11</w:t>
      </w:r>
      <w:r>
        <w:rPr>
          <w:rFonts w:ascii="仿宋_GB2312" w:eastAsia="仿宋_GB2312"/>
          <w:sz w:val="32"/>
          <w:szCs w:val="32"/>
        </w:rPr>
        <w:t>.</w:t>
      </w:r>
      <w:r>
        <w:rPr>
          <w:rFonts w:hint="eastAsia" w:ascii="仿宋_GB2312" w:eastAsia="仿宋_GB2312"/>
          <w:sz w:val="32"/>
          <w:szCs w:val="32"/>
        </w:rPr>
        <w:t>项目支出：指在基本支出之外为完成特定行政任务和事业发展目标所发生的支出。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12</w:t>
      </w:r>
      <w:r>
        <w:rPr>
          <w:rFonts w:ascii="仿宋_GB2312" w:eastAsia="仿宋_GB2312"/>
          <w:color w:val="auto"/>
          <w:sz w:val="32"/>
          <w:szCs w:val="32"/>
        </w:rPr>
        <w:t>.</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Style w:val="26"/>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rPr>
        <w:t>13</w:t>
      </w:r>
      <w:r>
        <w:rPr>
          <w:rFonts w:ascii="仿宋_GB2312" w:eastAsia="仿宋_GB2312"/>
          <w:color w:val="auto"/>
          <w:sz w:val="32"/>
          <w:szCs w:val="32"/>
        </w:rPr>
        <w:t>.</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机关运行经费：为保障行政单位（含参照公务员法管理的事业单位）运行用于购买货物和服务的各项资金，包括办公及印刷费、邮电费、差旅费、会议费、福利费及其他费用。</w:t>
      </w:r>
    </w:p>
    <w:p>
      <w:pPr>
        <w:pStyle w:val="26"/>
        <w:spacing w:line="560" w:lineRule="exact"/>
        <w:ind w:firstLine="640" w:firstLineChars="200"/>
        <w:rPr>
          <w:rFonts w:ascii="仿宋_GB2312" w:eastAsia="仿宋_GB2312" w:cs="黑体"/>
          <w:color w:val="auto"/>
          <w:sz w:val="32"/>
          <w:szCs w:val="32"/>
        </w:rPr>
      </w:pPr>
    </w:p>
    <w:p>
      <w:pPr>
        <w:spacing w:line="600" w:lineRule="exact"/>
        <w:jc w:val="center"/>
        <w:outlineLvl w:val="0"/>
        <w:rPr>
          <w:rStyle w:val="17"/>
          <w:rFonts w:ascii="黑体" w:hAnsi="黑体" w:eastAsia="黑体"/>
          <w:b w:val="0"/>
        </w:rPr>
      </w:pPr>
      <w:bookmarkStart w:id="70" w:name="_Toc15377226"/>
      <w:r>
        <w:rPr>
          <w:rFonts w:ascii="宋体"/>
          <w:b/>
          <w:sz w:val="44"/>
          <w:szCs w:val="44"/>
        </w:rPr>
        <w:br w:type="page"/>
      </w:r>
      <w:bookmarkStart w:id="71" w:name="_Toc10457"/>
      <w:bookmarkStart w:id="72" w:name="_Toc15396614"/>
      <w:bookmarkStart w:id="73" w:name="_Toc28725"/>
      <w:r>
        <w:rPr>
          <w:rFonts w:hint="eastAsia" w:ascii="黑体" w:hAnsi="黑体" w:eastAsia="黑体"/>
          <w:sz w:val="44"/>
          <w:szCs w:val="44"/>
        </w:rPr>
        <w:t>第</w:t>
      </w:r>
      <w:r>
        <w:rPr>
          <w:rStyle w:val="17"/>
          <w:rFonts w:hint="eastAsia" w:ascii="黑体" w:hAnsi="黑体" w:eastAsia="黑体"/>
          <w:b w:val="0"/>
        </w:rPr>
        <w:t>四部分 附件</w:t>
      </w:r>
      <w:bookmarkEnd w:id="71"/>
      <w:bookmarkEnd w:id="72"/>
      <w:bookmarkEnd w:id="73"/>
    </w:p>
    <w:p>
      <w:pPr>
        <w:spacing w:line="572" w:lineRule="exact"/>
        <w:jc w:val="left"/>
        <w:rPr>
          <w:rFonts w:ascii="仿宋_GB2312" w:hAnsi="仿宋_GB2312" w:eastAsia="仿宋_GB2312" w:cs="仿宋_GB2312"/>
          <w:sz w:val="32"/>
          <w:szCs w:val="32"/>
        </w:rPr>
      </w:pPr>
    </w:p>
    <w:p>
      <w:pPr>
        <w:spacing w:line="600" w:lineRule="exact"/>
        <w:jc w:val="center"/>
        <w:outlineLvl w:val="1"/>
        <w:rPr>
          <w:rFonts w:hint="eastAsia" w:ascii="宋体" w:hAnsi="宋体" w:cs="宋体"/>
          <w:kern w:val="0"/>
          <w:sz w:val="32"/>
          <w:szCs w:val="32"/>
        </w:rPr>
      </w:pPr>
      <w:bookmarkStart w:id="74" w:name="_Toc28968"/>
      <w:bookmarkStart w:id="75" w:name="_Toc24271"/>
      <w:bookmarkStart w:id="76" w:name="_Toc15396618"/>
      <w:r>
        <w:rPr>
          <w:rFonts w:hint="eastAsia" w:ascii="宋体" w:hAnsi="宋体" w:cs="宋体"/>
          <w:kern w:val="0"/>
          <w:sz w:val="32"/>
          <w:szCs w:val="32"/>
        </w:rPr>
        <w:t>部门预算项目支出绩效自评表（</w:t>
      </w:r>
      <w:r>
        <w:rPr>
          <w:rFonts w:hint="eastAsia" w:ascii="宋体" w:hAnsi="宋体" w:cs="宋体"/>
          <w:kern w:val="0"/>
          <w:sz w:val="32"/>
          <w:szCs w:val="32"/>
          <w:lang w:eastAsia="zh-CN"/>
        </w:rPr>
        <w:t>2023年</w:t>
      </w:r>
      <w:r>
        <w:rPr>
          <w:rFonts w:hint="eastAsia" w:ascii="宋体" w:hAnsi="宋体" w:cs="宋体"/>
          <w:kern w:val="0"/>
          <w:sz w:val="32"/>
          <w:szCs w:val="32"/>
        </w:rPr>
        <w:t>度）</w:t>
      </w:r>
      <w:bookmarkEnd w:id="74"/>
      <w:bookmarkEnd w:id="75"/>
    </w:p>
    <w:tbl>
      <w:tblPr>
        <w:tblStyle w:val="13"/>
        <w:tblW w:w="949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9"/>
        <w:gridCol w:w="1059"/>
        <w:gridCol w:w="945"/>
        <w:gridCol w:w="1327"/>
        <w:gridCol w:w="534"/>
        <w:gridCol w:w="768"/>
        <w:gridCol w:w="534"/>
        <w:gridCol w:w="1070"/>
        <w:gridCol w:w="825"/>
        <w:gridCol w:w="653"/>
        <w:gridCol w:w="7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9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3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人员经费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1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107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1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1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2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1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严格执行相关政策，保障工资及时、足额发放或社保及时、足额缴纳，预算编制科学合理，减少结余资金。</w:t>
            </w:r>
          </w:p>
        </w:tc>
        <w:tc>
          <w:tcPr>
            <w:tcW w:w="32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严格执行相关政策，保障工资及时、足额发放或社保及时、足额缴纳，预算编制科学合理，年底结余资金较少，基本完成目标任务。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5"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3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全年严格按照相关政策及时、足额支付工资，及时、足额缴纳保险。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901.12</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2,153.72</w:t>
            </w:r>
          </w:p>
        </w:tc>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2,153.72</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901.12</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2,153.72</w:t>
            </w:r>
          </w:p>
        </w:tc>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2,153.72</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发放（缴纳）覆盖率</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足额保障率（参保率）</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29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43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该项目的实施，保障了全年职工工资及时、足额发放或社保及时、足额缴纳，绩效目标完成情况非常好，效益显著，自评得分100分。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43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43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9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项目负责人：程皓</w:t>
            </w:r>
          </w:p>
        </w:tc>
        <w:tc>
          <w:tcPr>
            <w:tcW w:w="457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财务负责人：李映志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59"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94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327"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3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68"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534"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1070"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825"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653"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c>
          <w:tcPr>
            <w:tcW w:w="721" w:type="dxa"/>
            <w:tcBorders>
              <w:top w:val="nil"/>
              <w:left w:val="nil"/>
              <w:bottom w:val="nil"/>
              <w:right w:val="nil"/>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9495"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3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日常公用经费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1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107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19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1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2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108"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提高预算编制质量，严格执行预算，保障单位日常运转</w:t>
            </w:r>
          </w:p>
        </w:tc>
        <w:tc>
          <w:tcPr>
            <w:tcW w:w="326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严格执行预算，保障了单位日常运转。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37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严格按照相关政策使用和支付日常公用经费，确保机关日常运转。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139.57</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178.03</w:t>
            </w:r>
          </w:p>
        </w:tc>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178.03</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2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139.57</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178.03</w:t>
            </w:r>
          </w:p>
        </w:tc>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178.03</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8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2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科目调整次数</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5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预算编制准确率（计算方法为：∣（执行数-预算数）/预算数∣）</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1.53</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75"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“三公经费”控制率[计算方法为：（三公经费实际支出数/预算安排数]×100%）</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98.47</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132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运转保障率</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6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5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7296"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8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2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43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该项目的实施，保障了机关日常运转，绩效目标完成情况非常好，效益显著，自评的100分。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43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436"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92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项目负责人：程皓</w:t>
            </w:r>
          </w:p>
        </w:tc>
        <w:tc>
          <w:tcPr>
            <w:tcW w:w="457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财务负责人：李映志</w:t>
            </w:r>
          </w:p>
        </w:tc>
      </w:tr>
    </w:tbl>
    <w:p>
      <w:pPr>
        <w:pStyle w:val="2"/>
      </w:pPr>
    </w:p>
    <w:tbl>
      <w:tblPr>
        <w:tblStyle w:val="13"/>
        <w:tblW w:w="93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2"/>
        <w:gridCol w:w="952"/>
        <w:gridCol w:w="860"/>
        <w:gridCol w:w="860"/>
        <w:gridCol w:w="855"/>
        <w:gridCol w:w="860"/>
        <w:gridCol w:w="855"/>
        <w:gridCol w:w="846"/>
        <w:gridCol w:w="774"/>
        <w:gridCol w:w="774"/>
        <w:gridCol w:w="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51080021T000000050628-社会保险信息网络建设维护费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7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　维持社会保险费征收业务系统正常运行，业务办理顺畅，保障保险待遇正常支付和保险基金管理安全。</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社保网络安全稳固，无任何相关基金损失，有力维护参保单位和参保人员权益；社会保险业务系统正常稳定运行，各项业务经办平稳有序，未出现因系统原因导致大规模业务停办现象。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照全国统筹指标规范和统模式移交专项数据清理相关要求，全年对9个批次35796条问题数据开展核实清理工作，综合整改率达92.53%。按照市人社、公安、法院等7家单位共同发文《关于建立防范违规领取养老保险待遇常态化信息数据交换机制的通知》要求，定期开展数据交换3次，全部累计获取共享数据23万余条。持续推进社会保险档案信息化建设。全年完成社保信息系统权限调整1502笔。做好社保信息系统电子签名板、高拍仪、双目摄像头等外接设备调试、更新及日常维护等工作，采购配置电子签名板16台，确保各项社保业务经办平稳有序。在劳动大厦建成的我市首个24小时社保自助服务区内，采购部署2台社保一体自助查询机，提供高频事项24小时不打烊线下办理服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高拍仪</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读卡器</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签字板</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办公电脑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双目摄像头</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多功能打印机</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台/套</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质量指标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系统正常运行率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验收合格率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项目完成时间</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2023年12月前</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2023年12月前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提高社会保险业务经办效率方面的影响程度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对办理社会保险业务经办稳定性方面的影响程度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可持续影响指标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信息化系统上线运行后的设备利用率以及应用系统实现率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6"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参保单位和群众对社会保险业务经办的满意程度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软、硬件采购成本</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10.22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0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2023年社会保险信息网络建设维护项目支出完成了预算绩效目标，自评得分100分。社保核心业务经办系统（共建版）平稳有序运行。社保网络安全稳固，无任何相关基金损失，有力维护参保单位和参保人员权益。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1.资金支付时间集中在下半年；2.绩效管理力度有待进一步加强。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严格支付流程，合理安排项目实施时间，加快预算执行进度，提高财政资金使用质效。加强绩效管理工作的学习和培训力度，增强绩效管理意识，强化绩效结果应用，从预算编制、预算执行到决算报告，将绩效管理工作贯穿于整个资金使用过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项目负责人：郭泽霖</w:t>
            </w:r>
          </w:p>
        </w:tc>
        <w:tc>
          <w:tcPr>
            <w:tcW w:w="48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财务负责人：侯洁</w:t>
            </w:r>
          </w:p>
        </w:tc>
      </w:tr>
    </w:tbl>
    <w:p>
      <w:pPr>
        <w:spacing w:line="600" w:lineRule="exact"/>
        <w:jc w:val="left"/>
        <w:rPr>
          <w:rFonts w:ascii="仿宋_GB2312" w:hAnsi="Calibri" w:eastAsia="仿宋_GB2312" w:cs="仿宋"/>
          <w:kern w:val="0"/>
          <w:sz w:val="32"/>
          <w:szCs w:val="32"/>
        </w:rPr>
      </w:pPr>
    </w:p>
    <w:tbl>
      <w:tblPr>
        <w:tblStyle w:val="13"/>
        <w:tblW w:w="93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2"/>
        <w:gridCol w:w="952"/>
        <w:gridCol w:w="860"/>
        <w:gridCol w:w="860"/>
        <w:gridCol w:w="855"/>
        <w:gridCol w:w="860"/>
        <w:gridCol w:w="855"/>
        <w:gridCol w:w="846"/>
        <w:gridCol w:w="774"/>
        <w:gridCol w:w="774"/>
        <w:gridCol w:w="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51080021T000000050633-社会保险全民参保工作专项经费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7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根据《四川省人民政府办公厅关于做好社会保险费和非税收入征管职责划转工作的实施意见》要求，做好社会保险参保登记工作，完成2023年社会保险目标任务。</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全市城镇职工基本养老保险参保68.35万人，养老保险参保人数189.4万人，工伤保险参保23.75万人，失业保险参保18.15万人，全面完成目标任务。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城镇职工基本养老保险参保68.35万人，完成目标任务66.84万人的102.3%，其中执行企业制度在职职工34.36万人，完成目标任务33.17万人的102.5%；养老保险参保人数189.4万人，完成目标任务189.04万人的100.2%，工伤保险参保23.75万人，完成目标任务23.42万人的101.4%；失业保险参保18.15万人，完成目标任务18万人的100.8%。新开工工程建设项目参加工伤保险参保率97%，完成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22.28</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22.28</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22.28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22.28</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22.28</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22.28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邮寄养老转移单份数</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份</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全市工伤保险参保</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1.84</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23.75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全市在职职工企业基本养老保险参保</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34.17</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34.36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政策宣传次数</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1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对社会的积极影响</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提高社会保险覆盖率，使人民群众老有所养，促进社会稳定</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有效促进</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对基金的影响</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做好参保扩面工作，有助于增加社保基金收入，为各项社保待遇按时足额发放提供保障</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有效促进</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群众满意度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社保政策宣传</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经办服务下延</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5.28</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5.28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精准扩面专项行动</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邮寄养老转移单</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0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2023年社会保险全民参保工作专项经费项目支出完成了预算绩效目标，自评得分100分。进一步扩大参保范围，实现了社保基金收支平衡，切实维护了劳动者合法权益。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1.支付集中在下半年；2.每年度的参保对象数量增加，全民参保工作量增大，参保扩面难度增强。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严格支付流程，合理安排项目实施时间，加快预算执行进度，严格执行专款专用，提高财政资金使用质效。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45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项目负责人：罗加明</w:t>
            </w:r>
          </w:p>
        </w:tc>
        <w:tc>
          <w:tcPr>
            <w:tcW w:w="48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财务负责人：侯洁</w:t>
            </w:r>
          </w:p>
        </w:tc>
      </w:tr>
    </w:tbl>
    <w:p>
      <w:pPr>
        <w:spacing w:line="600" w:lineRule="exact"/>
        <w:jc w:val="left"/>
        <w:rPr>
          <w:rFonts w:ascii="仿宋_GB2312" w:hAnsi="Calibri" w:eastAsia="仿宋_GB2312" w:cs="仿宋"/>
          <w:kern w:val="0"/>
          <w:sz w:val="32"/>
          <w:szCs w:val="32"/>
        </w:rPr>
      </w:pPr>
    </w:p>
    <w:tbl>
      <w:tblPr>
        <w:tblStyle w:val="13"/>
        <w:tblW w:w="93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2"/>
        <w:gridCol w:w="952"/>
        <w:gridCol w:w="860"/>
        <w:gridCol w:w="860"/>
        <w:gridCol w:w="855"/>
        <w:gridCol w:w="858"/>
        <w:gridCol w:w="855"/>
        <w:gridCol w:w="846"/>
        <w:gridCol w:w="774"/>
        <w:gridCol w:w="775"/>
        <w:gridCol w:w="7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51080021T000000050920-企保、机保代财政管理工作经费（原代管工作经费）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7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协助政府代发放离休、退休人员遗孀困难补助等不属于养老基金统筹范围内支付的项目，开展退管活动，减轻财政工作负担</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保证了离退休人员待遇按时足额发放,使为国家做出贡献者老有所养，减轻了财政工作负担，维护了社会稳定。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2023年社保中心代财政发放离休人员公务员津贴17人，成铁划转87人，081中学教师20人，劳模5人，征地保障6人，干警1人，甘川差22人,全额拨款事业单位离休人员离休费9人；企业退休副县级人员享受事业单位待遇3人；企业离休人员遗孀生活补助11人；建国初期参加革命工作人员适当生活补贴57人，共计238人。代财政发放离休人员生活补贴686.28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代财政发放企保离退休、劳模等人次</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代财政发放机保离退休人次</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1920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发放批次</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批次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96"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确保相关离退休人员、遗孀基本生活正常发放率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4"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代发离退休人员生活补贴管理经费</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0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2023年企保、机保代财政管理工作经费项目支出完成了预算绩效目标，自评得分100分。代财政发放离休人员生活补贴238人，686.28万元。保证了离退休人员待遇按时足额发放,使为国家做出贡献者老有所养，减轻了财政工作负担，维护了社会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项目绩效目标还需细化，绩效管理有待加强。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1.做好年度项目预算，细化项目的申报；2.合理安排项目实施时间，严格执行专款专用，加快预算执行进度，提高财政资金使用质效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45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项目负责人：石盼盼</w:t>
            </w:r>
          </w:p>
        </w:tc>
        <w:tc>
          <w:tcPr>
            <w:tcW w:w="48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财务负责人：侯洁</w:t>
            </w:r>
          </w:p>
        </w:tc>
      </w:tr>
    </w:tbl>
    <w:p>
      <w:pPr>
        <w:spacing w:line="600" w:lineRule="exact"/>
        <w:jc w:val="left"/>
        <w:rPr>
          <w:rFonts w:ascii="仿宋_GB2312" w:hAnsi="Calibri" w:eastAsia="仿宋_GB2312" w:cs="仿宋"/>
          <w:kern w:val="0"/>
          <w:sz w:val="32"/>
          <w:szCs w:val="32"/>
        </w:rPr>
      </w:pPr>
    </w:p>
    <w:tbl>
      <w:tblPr>
        <w:tblStyle w:val="13"/>
        <w:tblW w:w="93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2"/>
        <w:gridCol w:w="952"/>
        <w:gridCol w:w="860"/>
        <w:gridCol w:w="860"/>
        <w:gridCol w:w="855"/>
        <w:gridCol w:w="860"/>
        <w:gridCol w:w="855"/>
        <w:gridCol w:w="846"/>
        <w:gridCol w:w="774"/>
        <w:gridCol w:w="774"/>
        <w:gridCol w:w="77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51080021T000000050926-年金征缴工作经费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7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通过对参保单位、县区经办单元开展职业年金政策业务宣传培训和接受上级业务指导培训，按规定征集基金，做到应收尽收，为确保按时足额发放打下基础。</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通过对参保单位、县区经办单元开展职业年金政策业务宣传培训和接收上级业务指导培训，按规定征集基金，“退一补一”做实年金，做到应收尽收，应补尽补，为确保按时足额发放打下基础，符合中央、省关于机关事业单位工作人员养老保险制度改革的要求，维护了全市干部职工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做好职业年金征缴工作，按时足额完成基金征集目标任务；按规定做好职业年金记实工作，保障退休职工待遇；做好职业年金归集、转移接续工作，配合省局做好年金待遇省级集中统一发放和投资运营工作。通过对参保单位、县区经办单元开展职业年金政策业务宣传培训和接收上级业务指导培训，按规定征集基金，“退一补一”做实年金，做到应收尽收，应补尽补，为确保按时足额发放打下基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组织参保单位经办人员政策业务培训</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培训县区经办机构业务人员</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业务培训人员覆盖率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对社会的积极影响</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提高社会保险基金收入，提高退休人员待遇，使人民群众老有所养</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有效促进</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参保对象满意度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培训县区人员</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催缴通知书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社会保险征缴工作经费</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组织参保单位经办人员政策业务培训</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0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2023年职业年金征缴工作经费项目支出完成了预算绩效目标，自评得分100分。通过对参保单位开展多次合计约900人次培训宣传职业年金相关政策，通过对县区经办机构业务人员开展多次合计200人次职业年金政策业务宣传培训提高业务经办能力，按规定征集基金，“退一补一”做实年金，做到应收尽收，应补尽补，为确保按时足额发放待遇打下基础，符合中央、省关于机关事业单位工作人员养老保险制度改革的要求，维护了全市干部职工权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1.对县区的业务指导还需进一步加强；2.资金支付时间集中在下半年。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1.加强对县区职业年金征缴相关工作培训；2.加强年初项目绩效编制和绩效监控管理，合理安排项目实施时间，加快预算执行进度，提高财政资金使用质效。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45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项目负责人：何俊、谢明江</w:t>
            </w:r>
          </w:p>
        </w:tc>
        <w:tc>
          <w:tcPr>
            <w:tcW w:w="48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财务负责人：侯洁</w:t>
            </w:r>
          </w:p>
        </w:tc>
      </w:tr>
    </w:tbl>
    <w:p>
      <w:pPr>
        <w:spacing w:line="600" w:lineRule="exact"/>
        <w:jc w:val="left"/>
        <w:rPr>
          <w:rFonts w:ascii="仿宋_GB2312" w:hAnsi="Calibri" w:eastAsia="仿宋_GB2312" w:cs="仿宋"/>
          <w:kern w:val="0"/>
          <w:sz w:val="32"/>
          <w:szCs w:val="32"/>
        </w:rPr>
      </w:pPr>
    </w:p>
    <w:tbl>
      <w:tblPr>
        <w:tblStyle w:val="13"/>
        <w:tblW w:w="93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60"/>
        <w:gridCol w:w="960"/>
        <w:gridCol w:w="864"/>
        <w:gridCol w:w="864"/>
        <w:gridCol w:w="864"/>
        <w:gridCol w:w="864"/>
        <w:gridCol w:w="864"/>
        <w:gridCol w:w="780"/>
        <w:gridCol w:w="780"/>
        <w:gridCol w:w="780"/>
        <w:gridCol w:w="7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51080021T000000050936-离退休人员社会化管理服务工作专项经费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7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证离退休人员社会化管理服务工作正常开展，同时，采取多种方式防止离退休人员死亡不报、重复计领、个人冒领，堵塞基金流失黑洞。推进我市企业退休人员社会化管理服务工作，构建和谐广元，维护社会稳定。</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做好待遇发放管理工作，为符合条件的73.92万人按时足额发放待遇99.47亿元。积极开展社会化服务，大力推行“四川人社”APP自助认证方式</w:t>
            </w:r>
            <w:r>
              <w:rPr>
                <w:rFonts w:hint="eastAsia" w:ascii="宋体" w:hAnsi="宋体" w:cs="宋体"/>
                <w:i w:val="0"/>
                <w:iCs w:val="0"/>
                <w:color w:val="000000"/>
                <w:kern w:val="0"/>
                <w:sz w:val="18"/>
                <w:szCs w:val="18"/>
                <w:u w:val="none"/>
                <w:lang w:val="en-US" w:eastAsia="zh-CN" w:bidi="ar"/>
              </w:rPr>
              <w:t>，为</w:t>
            </w:r>
            <w:r>
              <w:rPr>
                <w:rFonts w:ascii="宋体" w:hAnsi="宋体" w:eastAsia="宋体" w:cs="宋体"/>
                <w:i w:val="0"/>
                <w:iCs w:val="0"/>
                <w:color w:val="000000"/>
                <w:kern w:val="0"/>
                <w:sz w:val="18"/>
                <w:szCs w:val="18"/>
                <w:u w:val="none"/>
                <w:lang w:val="en-US" w:eastAsia="zh-CN" w:bidi="ar"/>
              </w:rPr>
              <w:t>困难群体提供视频认证、上门认证等人性化认证服务。退休困难人员重大节日活动、生病慰问、丧事协办共计329人次。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为22.26万名企业退休人员、3.54万名机关事业单位退休人员和1127名工伤职工圆满完成定期待遇政策性调整，分别补发调整待遇1.47亿元、0.41亿元、148.09万元。2.动态建立高龄、瘫痪和盲人等特殊人群社保待遇领取资格认证工作台账，提供视频认证、上门认证等人性化认证服务。3.2023年全市企业职工基本养老保险累计发放养老金64.28亿元，机关事业单位养老保险累计发放养老金25.65亿元（市本级累计发放4.21亿元），城乡居民养老保险累计发放养老金9.5亿元，按时足额发放率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67.55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67.55</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53.44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79.12%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退休困难人员慰问多数集中在春节前，导致下半年集中支付甚至第二年年初支付，造成预算执行力未达到时序进度。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67.55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67.55</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53.44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79.12%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机关事业单位退休人员发放人次</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万人次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企业职工基本养老保险退休发放人次</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492</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万人次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492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居民养老保险退休人数</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时效指标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完成时间</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保持养老金按时足额发放率和社会化发放率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服务对象满意度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宣传资料费</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政策宣传、活动报道、</w:t>
            </w:r>
            <w:r>
              <w:rPr>
                <w:rFonts w:hint="eastAsia" w:ascii="宋体" w:hAnsi="宋体" w:cs="宋体"/>
                <w:i w:val="0"/>
                <w:iCs w:val="0"/>
                <w:color w:val="000000"/>
                <w:kern w:val="0"/>
                <w:sz w:val="18"/>
                <w:szCs w:val="18"/>
                <w:u w:val="none"/>
                <w:lang w:val="en-US" w:eastAsia="zh-CN" w:bidi="ar"/>
              </w:rPr>
              <w:t>电视台</w:t>
            </w:r>
            <w:r>
              <w:rPr>
                <w:rFonts w:ascii="宋体" w:hAnsi="宋体" w:eastAsia="宋体" w:cs="宋体"/>
                <w:i w:val="0"/>
                <w:iCs w:val="0"/>
                <w:color w:val="000000"/>
                <w:kern w:val="0"/>
                <w:sz w:val="18"/>
                <w:szCs w:val="18"/>
                <w:u w:val="none"/>
                <w:lang w:val="en-US" w:eastAsia="zh-CN" w:bidi="ar"/>
              </w:rPr>
              <w:t>通告费</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退休人员重大节日活动费、生病慰问金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档案管理人员劳务费</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档案整理、调阅查询办公费用</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对高龄残疾群体、无认证反馈的离退休人员开展上门认证、核查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4"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对冒领养老金追收、到县区调研等工作发生的人员差旅费、交通费、租车费</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丧事协办费</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2023年离退休人员社会化管理服务工作专项经费项目支出较好地完成了预算绩效目标，自评得分96分，保证了社会化管理服务工作顺利开展，确保了社会保险基金的安全性和完整性。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1.项目绩效编制不够细化；2.支付集中在下半年。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做好年度项目预算，细化项目的申报。结合市财政局、市人社局安排部署和行业发展规划、重点工作以及中心主要职能，合理编制部门预算，重点项目经过调查研究和专业评价论证，制定绩效目标。绩效目标编制要素完整，并对指标进行细化量化。2.实时监控资金使用情况，提醒相关科室积极主动开展业务，尽量避免下半年资金支付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5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项目负责人：王国贤</w:t>
            </w:r>
          </w:p>
        </w:tc>
        <w:tc>
          <w:tcPr>
            <w:tcW w:w="48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财务负责人：侯洁</w:t>
            </w:r>
          </w:p>
        </w:tc>
      </w:tr>
    </w:tbl>
    <w:p>
      <w:pPr>
        <w:spacing w:line="600" w:lineRule="exact"/>
        <w:jc w:val="left"/>
        <w:rPr>
          <w:rFonts w:ascii="仿宋_GB2312" w:hAnsi="Calibri" w:eastAsia="仿宋_GB2312" w:cs="仿宋"/>
          <w:kern w:val="0"/>
          <w:sz w:val="32"/>
          <w:szCs w:val="32"/>
        </w:rPr>
      </w:pPr>
    </w:p>
    <w:tbl>
      <w:tblPr>
        <w:tblStyle w:val="13"/>
        <w:tblW w:w="93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3"/>
        <w:gridCol w:w="953"/>
        <w:gridCol w:w="859"/>
        <w:gridCol w:w="859"/>
        <w:gridCol w:w="855"/>
        <w:gridCol w:w="857"/>
        <w:gridCol w:w="855"/>
        <w:gridCol w:w="846"/>
        <w:gridCol w:w="775"/>
        <w:gridCol w:w="775"/>
        <w:gridCol w:w="7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51080023T000008131892-社会保险委托稽核和基金管理专项经费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7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1.参保投诉稽核年均投诉35次；2.违规领待追缴；3.到县区开展相关稽核检查；4.对38家工伤保险协议医疗机构开展全覆盖检查；5.购买支票、汇票， 跨行转账、异地电汇，网银费用支付。</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督促企业按时足额缴纳社会保险费用，维护职工合法权益。通过疑点数据核查整改，追回死亡人员、服刑人员违规领取社保基金，维护基金安全完整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1.2023年处理信访投诉60余件，举报投诉12起，已办结9起。2.2023年接收部省市疑点数据3253条，核查率94%，追回343.69万元，追收率82.1%。3.开展了一期县区间交叉检查，发现问题已全部整改，拓宽了风险防控渠道，同时通过养老保险政策执行大调研赴各县区开展风险防控工作检查，发现问题，督促县区及时整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4.50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网银账户</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个</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年均投诉案件</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银行票据</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本</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29</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工伤保险协议医疗机构检查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家</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38</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维护社保基金安全</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基金安全稳步提升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有效促进</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按时足额发放待遇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7</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维护参保人员权益</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不断增强</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不断增强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参保对象满意度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工伤保险协议医疗机构检查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1.2</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基金管理手续费</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到县区开展相关稽核检查</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处理投诉案件差旅费</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违规领待追缴</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70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Style w:val="33"/>
                <w:lang w:val="en-US" w:eastAsia="zh-CN" w:bidi="ar"/>
              </w:rPr>
              <w:t>2023年社会保险委托稽核专项工作经费项目支出完成了预算绩效目标，自评得分100分。加强社保基金管理</w:t>
            </w:r>
            <w:r>
              <w:rPr>
                <w:rStyle w:val="34"/>
                <w:lang w:val="en-US" w:eastAsia="zh-CN" w:bidi="ar"/>
              </w:rPr>
              <w:t>，对市本级企业、机关事业单位参保、欠费清收、重复冒领、服刑人员违规领取待遇追回、举报、投诉情况进行稽核。确保了基金安全完整，维护了参保人员利益。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社保投诉案件处理困难。权益投诉举报案件数量增多，投诉案件涉及未参保缴费时间久，往年缴费基数不足问题增多，企业情况复杂，化解纠纷难度大。2.违规领取待遇追缴困难。疑点数据核查种类多、量大，尤其是服刑人员违规领取待遇因监狱在押或出狱后无收入来源，追缴难度大、追缴缓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规范完善我市群众举报投诉操作流程，建立部门联动机制，积极与税务部门、司法等部门联系，切实解决群众诉求。2.切实抓好疑点数据核查整改工作，完善违规基金追缴机制，辩证施策采取经办机构责令退还、签署协议分期追回、移交行政部门、移送公安部门或法院诉讼等多种方式追缴违规领取社保基金，明确部门职责、规范操作流程，提升追缴效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45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项目负责人：张玉军</w:t>
            </w:r>
          </w:p>
        </w:tc>
        <w:tc>
          <w:tcPr>
            <w:tcW w:w="48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财务负责人：侯洁</w:t>
            </w:r>
          </w:p>
        </w:tc>
      </w:tr>
    </w:tbl>
    <w:p>
      <w:pPr>
        <w:spacing w:line="600" w:lineRule="exact"/>
        <w:jc w:val="left"/>
        <w:rPr>
          <w:rFonts w:ascii="仿宋_GB2312" w:hAnsi="Calibri" w:eastAsia="仿宋_GB2312" w:cs="仿宋"/>
          <w:kern w:val="0"/>
          <w:sz w:val="32"/>
          <w:szCs w:val="32"/>
        </w:rPr>
      </w:pPr>
    </w:p>
    <w:tbl>
      <w:tblPr>
        <w:tblStyle w:val="13"/>
        <w:tblW w:w="936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952"/>
        <w:gridCol w:w="952"/>
        <w:gridCol w:w="859"/>
        <w:gridCol w:w="859"/>
        <w:gridCol w:w="855"/>
        <w:gridCol w:w="859"/>
        <w:gridCol w:w="855"/>
        <w:gridCol w:w="846"/>
        <w:gridCol w:w="775"/>
        <w:gridCol w:w="775"/>
        <w:gridCol w:w="77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360" w:type="dxa"/>
            <w:gridSpan w:val="11"/>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黑体" w:hAnsi="宋体" w:eastAsia="黑体" w:cs="黑体"/>
                <w:b/>
                <w:bCs/>
                <w:i w:val="0"/>
                <w:iCs w:val="0"/>
                <w:color w:val="000000"/>
                <w:sz w:val="30"/>
                <w:szCs w:val="30"/>
                <w:u w:val="none"/>
              </w:rPr>
            </w:pPr>
            <w:r>
              <w:rPr>
                <w:rFonts w:hint="eastAsia" w:ascii="黑体" w:hAnsi="宋体" w:eastAsia="黑体" w:cs="黑体"/>
                <w:b/>
                <w:bCs/>
                <w:i w:val="0"/>
                <w:iCs w:val="0"/>
                <w:color w:val="000000"/>
                <w:kern w:val="0"/>
                <w:sz w:val="30"/>
                <w:szCs w:val="30"/>
                <w:u w:val="none"/>
                <w:lang w:val="en-US" w:eastAsia="zh-CN" w:bidi="ar"/>
              </w:rPr>
              <w:t>部门预算项目支出绩效自评表（2023年度）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项目名称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51080023T000008249721-乡村振兴经费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主管部门</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广元市人力资源和社会保障局部门</w:t>
            </w:r>
          </w:p>
        </w:tc>
        <w:tc>
          <w:tcPr>
            <w:tcW w:w="780" w:type="dxa"/>
            <w:tcBorders>
              <w:top w:val="nil"/>
              <w:left w:val="nil"/>
              <w:bottom w:val="nil"/>
              <w:right w:val="nil"/>
            </w:tcBorders>
            <w:shd w:val="clear" w:color="auto" w:fill="auto"/>
            <w:vAlign w:val="center"/>
          </w:tcPr>
          <w:p>
            <w:pPr>
              <w:keepNext w:val="0"/>
              <w:keepLines w:val="0"/>
              <w:widowControl/>
              <w:suppressLineNumbers w:val="0"/>
              <w:jc w:val="left"/>
              <w:textAlignment w:val="center"/>
              <w:rPr>
                <w:rFonts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实施单位 （盖章）</w:t>
            </w:r>
          </w:p>
        </w:tc>
        <w:tc>
          <w:tcPr>
            <w:tcW w:w="23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广元市社会保险事务中心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项目基本情况</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1.项目年度目标完成情况</w:t>
            </w: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项目年度目标</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年度目标完成情况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432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切实抓好乡村振兴战略，开展促进乡村产业振兴、人才振兴、文化振兴、生态振兴、组织振兴。</w:t>
            </w:r>
          </w:p>
        </w:tc>
        <w:tc>
          <w:tcPr>
            <w:tcW w:w="3120"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全面完成年度目标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2.项目实施内容及过程概述</w:t>
            </w:r>
          </w:p>
        </w:tc>
        <w:tc>
          <w:tcPr>
            <w:tcW w:w="7440"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工作队紧紧围绕产业兴旺、生态宜居、乡风文明、治理有效、生活富裕的乡村振兴总要求，突出党建引领，加强脱贫攻坚成果巩固与乡村振兴有效衔接，持续改善基础设施，积极培育、壮大村集体经济，加强基层综合治理，努力培育和践行社会主义核心价值观，不断提高公共服务、综合治理水平，促进农村居民就业增收、辖区和谐稳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预算执行情况（10分）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年度预算数（万元）</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年初预算</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调整后预算数</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预算执行数</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预算执行率</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原因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总额</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5.46</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5.46</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其中：财政资金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5.46</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5.46</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财政专户管理资金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单位资金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其他资金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259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黑体" w:hAnsi="黑体" w:eastAsia="黑体" w:cs="黑体"/>
                <w:i/>
                <w:iCs/>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绩效指标（90分）</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一级指标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二级指标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三级指标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指标性质</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指标值</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度量单位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完成值</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权重</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得分</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未完成原因分析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产出指标</w:t>
            </w:r>
          </w:p>
        </w:tc>
        <w:tc>
          <w:tcPr>
            <w:tcW w:w="8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数量指标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产业发展，大豆玉米复合种植</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亩</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410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乡村振兴帮扶队员</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改厕项目户数</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户</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315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产业发展，终止烤烟</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亩</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250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带动贫困人员增收</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元/人年</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8000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2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社会效益指标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建设美丽新农村</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定性</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继续巩固脱贫成果，坚持维护两不愁三保障</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有效促进</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满意度指标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人民群众满意度</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95</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成本指标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经济成本指标</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驻村工作队员工作经费</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5.46</w:t>
            </w:r>
          </w:p>
        </w:tc>
        <w:tc>
          <w:tcPr>
            <w:tcW w:w="8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万元</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5.46</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20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微软雅黑" w:hAnsi="微软雅黑" w:eastAsia="微软雅黑" w:cs="微软雅黑"/>
                <w:i/>
                <w:iCs/>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02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合计</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100</w:t>
            </w:r>
          </w:p>
        </w:tc>
        <w:tc>
          <w:tcPr>
            <w:tcW w:w="78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评价结论</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本项目自评总分为100分，项目取得的成效是驻村工作队紧紧围绕产业兴旺、生态宜居、乡风文明、治理有效、生活富裕的乡村振兴总要求，突出党建引领，加强脱贫攻坚成果巩固与乡村振兴有效衔接，持续改善基础设施，积极培育、壮大村集体经济，加强基层综合治理，努力培育和践行社会主义核心价值观，不断提高公共服务、综合治理水平，促进农村居民就业增收、辖区和谐稳定。大房村被表彰为2023年度广元市乡村振兴分类考评成绩突出的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存在问题</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1.产业园由于前期村集体、业主拖欠零工工资、土地流转费用数额较大，清欠压力大，部分群众意见较大，帮扶对象满意度未达到100%。2.产业园面积较大，管护难度大，部分园区存在业主管护不力荒废现象，管护资金需求量大，目前2024年产业管护资金未下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宋体" w:hAnsi="宋体" w:eastAsia="宋体" w:cs="宋体"/>
                <w:i w:val="0"/>
                <w:iCs w:val="0"/>
                <w:color w:val="000000"/>
                <w:sz w:val="18"/>
                <w:szCs w:val="18"/>
                <w:u w:val="none"/>
              </w:rPr>
            </w:pPr>
            <w:r>
              <w:rPr>
                <w:rFonts w:ascii="宋体" w:hAnsi="宋体" w:eastAsia="宋体" w:cs="宋体"/>
                <w:i w:val="0"/>
                <w:iCs w:val="0"/>
                <w:color w:val="000000"/>
                <w:kern w:val="0"/>
                <w:sz w:val="18"/>
                <w:szCs w:val="18"/>
                <w:u w:val="none"/>
                <w:lang w:val="en-US" w:eastAsia="zh-CN" w:bidi="ar"/>
              </w:rPr>
              <w:t>改进措施</w:t>
            </w:r>
          </w:p>
        </w:tc>
        <w:tc>
          <w:tcPr>
            <w:tcW w:w="8400" w:type="dxa"/>
            <w:gridSpan w:val="10"/>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微软雅黑" w:hAnsi="微软雅黑" w:eastAsia="微软雅黑" w:cs="微软雅黑"/>
                <w:i/>
                <w:iCs/>
                <w:color w:val="000000"/>
                <w:sz w:val="16"/>
                <w:szCs w:val="16"/>
                <w:u w:val="none"/>
              </w:rPr>
            </w:pPr>
            <w:r>
              <w:rPr>
                <w:rFonts w:hint="eastAsia" w:ascii="微软雅黑" w:hAnsi="微软雅黑" w:eastAsia="微软雅黑" w:cs="微软雅黑"/>
                <w:i/>
                <w:iCs/>
                <w:color w:val="000000"/>
                <w:kern w:val="0"/>
                <w:sz w:val="16"/>
                <w:szCs w:val="16"/>
                <w:u w:val="none"/>
                <w:lang w:val="en-US" w:eastAsia="zh-CN" w:bidi="ar"/>
              </w:rPr>
              <w:t>协助村两委充当业主和群众之间的润滑剂，督促蜜桃产业园业主清欠零工工资及土地流转费用，保障园区用工，使产业良性发展，增加帮扶对象满意度。2.积极协调产业管护资金的拨付，监督业主及时进行冬管，确保来年桃、李大丰收，集体经济增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451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项目负责人：仲勋</w:t>
            </w:r>
          </w:p>
        </w:tc>
        <w:tc>
          <w:tcPr>
            <w:tcW w:w="4848"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黑体" w:hAnsi="黑体" w:eastAsia="黑体" w:cs="黑体"/>
                <w:i w:val="0"/>
                <w:iCs w:val="0"/>
                <w:color w:val="000000"/>
                <w:sz w:val="18"/>
                <w:szCs w:val="18"/>
                <w:u w:val="none"/>
              </w:rPr>
            </w:pPr>
            <w:r>
              <w:rPr>
                <w:rFonts w:hint="eastAsia" w:ascii="黑体" w:hAnsi="黑体" w:eastAsia="黑体" w:cs="黑体"/>
                <w:i w:val="0"/>
                <w:iCs w:val="0"/>
                <w:color w:val="000000"/>
                <w:kern w:val="0"/>
                <w:sz w:val="18"/>
                <w:szCs w:val="18"/>
                <w:u w:val="none"/>
                <w:lang w:val="en-US" w:eastAsia="zh-CN" w:bidi="ar"/>
              </w:rPr>
              <w:t>财务负责人：侯洁</w:t>
            </w:r>
          </w:p>
        </w:tc>
      </w:tr>
    </w:tbl>
    <w:p>
      <w:pPr>
        <w:spacing w:line="600" w:lineRule="exact"/>
        <w:jc w:val="left"/>
        <w:rPr>
          <w:rFonts w:ascii="仿宋_GB2312" w:hAnsi="Calibri" w:eastAsia="仿宋_GB2312" w:cs="仿宋"/>
          <w:kern w:val="0"/>
          <w:sz w:val="32"/>
          <w:szCs w:val="32"/>
        </w:rPr>
      </w:pPr>
    </w:p>
    <w:p>
      <w:pPr>
        <w:pStyle w:val="6"/>
        <w:spacing w:before="93"/>
        <w:rPr>
          <w:rFonts w:hAnsi="Calibri" w:cs="仿宋"/>
          <w:sz w:val="32"/>
          <w:szCs w:val="32"/>
        </w:rPr>
      </w:pPr>
    </w:p>
    <w:p>
      <w:pPr>
        <w:pStyle w:val="6"/>
        <w:spacing w:before="93"/>
        <w:rPr>
          <w:rFonts w:hint="eastAsia" w:hAnsi="Calibri" w:cs="仿宋"/>
          <w:sz w:val="32"/>
          <w:szCs w:val="32"/>
        </w:rPr>
      </w:pPr>
    </w:p>
    <w:p>
      <w:pPr>
        <w:pStyle w:val="6"/>
        <w:spacing w:before="93"/>
        <w:rPr>
          <w:rFonts w:hint="eastAsia" w:hAnsi="Calibri" w:cs="仿宋"/>
          <w:sz w:val="32"/>
          <w:szCs w:val="32"/>
        </w:rPr>
      </w:pPr>
    </w:p>
    <w:p>
      <w:pPr>
        <w:pStyle w:val="6"/>
        <w:spacing w:before="93"/>
        <w:rPr>
          <w:rFonts w:hint="eastAsia"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pStyle w:val="6"/>
        <w:spacing w:before="93"/>
        <w:rPr>
          <w:rFonts w:hAnsi="Calibri" w:cs="仿宋"/>
          <w:sz w:val="32"/>
          <w:szCs w:val="32"/>
        </w:rPr>
      </w:pPr>
    </w:p>
    <w:p>
      <w:pPr>
        <w:spacing w:line="600" w:lineRule="exact"/>
        <w:jc w:val="center"/>
        <w:outlineLvl w:val="0"/>
        <w:rPr>
          <w:rFonts w:ascii="仿宋" w:hAnsi="仿宋" w:eastAsia="仿宋"/>
        </w:rPr>
      </w:pPr>
      <w:bookmarkStart w:id="77" w:name="_Toc2070"/>
      <w:bookmarkStart w:id="78" w:name="_Toc16334"/>
      <w:r>
        <w:rPr>
          <w:rFonts w:hint="eastAsia" w:ascii="黑体" w:hAnsi="黑体" w:eastAsia="黑体"/>
          <w:sz w:val="44"/>
          <w:szCs w:val="44"/>
        </w:rPr>
        <w:t>第</w:t>
      </w:r>
      <w:r>
        <w:rPr>
          <w:rStyle w:val="17"/>
          <w:rFonts w:hint="eastAsia" w:ascii="黑体" w:hAnsi="黑体" w:eastAsia="黑体"/>
          <w:b w:val="0"/>
        </w:rPr>
        <w:t>五部分 附表</w:t>
      </w:r>
      <w:bookmarkEnd w:id="70"/>
      <w:bookmarkEnd w:id="76"/>
      <w:bookmarkEnd w:id="77"/>
      <w:bookmarkEnd w:id="78"/>
      <w:bookmarkStart w:id="79" w:name="_Toc15396619"/>
    </w:p>
    <w:p>
      <w:pPr>
        <w:pStyle w:val="4"/>
        <w:rPr>
          <w:rFonts w:ascii="仿宋" w:hAnsi="仿宋" w:eastAsia="仿宋"/>
        </w:rPr>
      </w:pPr>
      <w:bookmarkStart w:id="80" w:name="_Toc9036"/>
      <w:bookmarkStart w:id="81" w:name="_Toc3769"/>
      <w:r>
        <w:rPr>
          <w:rFonts w:hint="eastAsia" w:ascii="仿宋" w:hAnsi="仿宋" w:eastAsia="仿宋"/>
          <w:b w:val="0"/>
        </w:rPr>
        <w:t>一、收</w:t>
      </w:r>
      <w:r>
        <w:rPr>
          <w:rStyle w:val="18"/>
          <w:rFonts w:hint="eastAsia" w:ascii="仿宋" w:hAnsi="仿宋" w:eastAsia="仿宋"/>
          <w:b w:val="0"/>
          <w:bCs w:val="0"/>
        </w:rPr>
        <w:t>入支出决算总表</w:t>
      </w:r>
      <w:bookmarkEnd w:id="79"/>
      <w:bookmarkEnd w:id="80"/>
      <w:bookmarkEnd w:id="81"/>
    </w:p>
    <w:p>
      <w:pPr>
        <w:pStyle w:val="4"/>
        <w:rPr>
          <w:rFonts w:ascii="仿宋" w:hAnsi="仿宋" w:eastAsia="仿宋"/>
        </w:rPr>
      </w:pPr>
      <w:bookmarkStart w:id="82" w:name="_Toc32435"/>
      <w:bookmarkStart w:id="83" w:name="_Toc15396620"/>
      <w:bookmarkStart w:id="84" w:name="_Toc1946"/>
      <w:r>
        <w:rPr>
          <w:rFonts w:hint="eastAsia" w:ascii="仿宋" w:hAnsi="仿宋" w:eastAsia="仿宋"/>
          <w:b w:val="0"/>
        </w:rPr>
        <w:t>二、收</w:t>
      </w:r>
      <w:r>
        <w:rPr>
          <w:rStyle w:val="18"/>
          <w:rFonts w:hint="eastAsia" w:ascii="仿宋" w:hAnsi="仿宋" w:eastAsia="仿宋"/>
          <w:b w:val="0"/>
          <w:bCs w:val="0"/>
        </w:rPr>
        <w:t>入决算表</w:t>
      </w:r>
      <w:bookmarkEnd w:id="82"/>
      <w:bookmarkEnd w:id="83"/>
      <w:bookmarkEnd w:id="84"/>
    </w:p>
    <w:p>
      <w:pPr>
        <w:pStyle w:val="4"/>
        <w:rPr>
          <w:rFonts w:ascii="仿宋" w:hAnsi="仿宋" w:eastAsia="仿宋"/>
        </w:rPr>
      </w:pPr>
      <w:bookmarkStart w:id="85" w:name="_Toc31241"/>
      <w:bookmarkStart w:id="86" w:name="_Toc15944"/>
      <w:bookmarkStart w:id="87" w:name="_Toc15396621"/>
      <w:r>
        <w:rPr>
          <w:rStyle w:val="18"/>
          <w:rFonts w:hint="eastAsia" w:ascii="仿宋" w:hAnsi="仿宋" w:eastAsia="仿宋"/>
          <w:b w:val="0"/>
          <w:bCs w:val="0"/>
        </w:rPr>
        <w:t>三、</w:t>
      </w:r>
      <w:r>
        <w:rPr>
          <w:rFonts w:hint="eastAsia" w:ascii="仿宋" w:hAnsi="仿宋" w:eastAsia="仿宋"/>
          <w:b w:val="0"/>
        </w:rPr>
        <w:t>支</w:t>
      </w:r>
      <w:r>
        <w:rPr>
          <w:rStyle w:val="18"/>
          <w:rFonts w:hint="eastAsia" w:ascii="仿宋" w:hAnsi="仿宋" w:eastAsia="仿宋"/>
          <w:b w:val="0"/>
          <w:bCs w:val="0"/>
        </w:rPr>
        <w:t>出决算表</w:t>
      </w:r>
      <w:bookmarkEnd w:id="85"/>
      <w:bookmarkEnd w:id="86"/>
      <w:bookmarkEnd w:id="87"/>
    </w:p>
    <w:p>
      <w:pPr>
        <w:pStyle w:val="4"/>
        <w:rPr>
          <w:rFonts w:ascii="仿宋" w:hAnsi="仿宋" w:eastAsia="仿宋"/>
          <w:b w:val="0"/>
        </w:rPr>
      </w:pPr>
      <w:bookmarkStart w:id="88" w:name="_Toc16695"/>
      <w:bookmarkStart w:id="89" w:name="_Toc8155"/>
      <w:bookmarkStart w:id="90" w:name="_Toc15396622"/>
      <w:r>
        <w:rPr>
          <w:rStyle w:val="18"/>
          <w:rFonts w:hint="eastAsia" w:ascii="仿宋" w:hAnsi="仿宋" w:eastAsia="仿宋"/>
          <w:b w:val="0"/>
          <w:bCs w:val="0"/>
        </w:rPr>
        <w:t>四、</w:t>
      </w:r>
      <w:r>
        <w:rPr>
          <w:rFonts w:hint="eastAsia" w:ascii="仿宋" w:hAnsi="仿宋" w:eastAsia="仿宋"/>
          <w:b w:val="0"/>
        </w:rPr>
        <w:t>财</w:t>
      </w:r>
      <w:r>
        <w:rPr>
          <w:rStyle w:val="18"/>
          <w:rFonts w:hint="eastAsia" w:ascii="仿宋" w:hAnsi="仿宋" w:eastAsia="仿宋"/>
          <w:b w:val="0"/>
          <w:bCs w:val="0"/>
        </w:rPr>
        <w:t>政拨款收入支出决算总表</w:t>
      </w:r>
      <w:bookmarkEnd w:id="88"/>
      <w:bookmarkEnd w:id="89"/>
      <w:bookmarkEnd w:id="90"/>
    </w:p>
    <w:p>
      <w:pPr>
        <w:pStyle w:val="4"/>
        <w:rPr>
          <w:rStyle w:val="18"/>
          <w:rFonts w:ascii="仿宋" w:hAnsi="仿宋" w:eastAsia="仿宋"/>
          <w:b w:val="0"/>
          <w:bCs w:val="0"/>
        </w:rPr>
      </w:pPr>
      <w:bookmarkStart w:id="91" w:name="_Toc15396623"/>
      <w:bookmarkStart w:id="92" w:name="_Toc12076"/>
      <w:bookmarkStart w:id="93" w:name="_Toc6427"/>
      <w:r>
        <w:rPr>
          <w:rStyle w:val="18"/>
          <w:rFonts w:hint="eastAsia" w:ascii="仿宋" w:hAnsi="仿宋" w:eastAsia="仿宋"/>
          <w:b w:val="0"/>
          <w:bCs w:val="0"/>
        </w:rPr>
        <w:t>五、</w:t>
      </w:r>
      <w:r>
        <w:rPr>
          <w:rFonts w:hint="eastAsia" w:ascii="仿宋" w:hAnsi="仿宋" w:eastAsia="仿宋"/>
          <w:b w:val="0"/>
        </w:rPr>
        <w:t>财</w:t>
      </w:r>
      <w:r>
        <w:rPr>
          <w:rStyle w:val="18"/>
          <w:rFonts w:hint="eastAsia" w:ascii="仿宋" w:hAnsi="仿宋" w:eastAsia="仿宋"/>
          <w:b w:val="0"/>
          <w:bCs w:val="0"/>
        </w:rPr>
        <w:t>政拨款支出决算明细表</w:t>
      </w:r>
      <w:bookmarkEnd w:id="91"/>
      <w:bookmarkEnd w:id="92"/>
      <w:bookmarkEnd w:id="93"/>
      <w:bookmarkStart w:id="94" w:name="_Toc15396624"/>
    </w:p>
    <w:p>
      <w:pPr>
        <w:pStyle w:val="4"/>
        <w:rPr>
          <w:rFonts w:ascii="仿宋" w:hAnsi="仿宋" w:eastAsia="仿宋"/>
        </w:rPr>
      </w:pPr>
      <w:bookmarkStart w:id="95" w:name="_Toc5796"/>
      <w:bookmarkStart w:id="96" w:name="_Toc32255"/>
      <w:r>
        <w:rPr>
          <w:rStyle w:val="18"/>
          <w:rFonts w:hint="eastAsia" w:ascii="仿宋" w:hAnsi="仿宋" w:eastAsia="仿宋"/>
          <w:b w:val="0"/>
          <w:bCs w:val="0"/>
        </w:rPr>
        <w:t>六、</w:t>
      </w:r>
      <w:r>
        <w:rPr>
          <w:rFonts w:hint="eastAsia" w:ascii="仿宋" w:hAnsi="仿宋" w:eastAsia="仿宋"/>
          <w:b w:val="0"/>
        </w:rPr>
        <w:t>一</w:t>
      </w:r>
      <w:r>
        <w:rPr>
          <w:rStyle w:val="18"/>
          <w:rFonts w:hint="eastAsia" w:ascii="仿宋" w:hAnsi="仿宋" w:eastAsia="仿宋"/>
          <w:b w:val="0"/>
          <w:bCs w:val="0"/>
        </w:rPr>
        <w:t>般公共预算财政拨款支出决算表</w:t>
      </w:r>
      <w:bookmarkEnd w:id="94"/>
      <w:bookmarkEnd w:id="95"/>
      <w:bookmarkEnd w:id="96"/>
    </w:p>
    <w:p>
      <w:pPr>
        <w:pStyle w:val="4"/>
        <w:rPr>
          <w:rFonts w:ascii="仿宋" w:hAnsi="仿宋" w:eastAsia="仿宋"/>
        </w:rPr>
      </w:pPr>
      <w:bookmarkStart w:id="97" w:name="_Toc15396625"/>
      <w:bookmarkStart w:id="98" w:name="_Toc22681"/>
      <w:bookmarkStart w:id="99" w:name="_Toc24031"/>
      <w:r>
        <w:rPr>
          <w:rStyle w:val="18"/>
          <w:rFonts w:hint="eastAsia" w:ascii="仿宋" w:hAnsi="仿宋" w:eastAsia="仿宋"/>
          <w:b w:val="0"/>
          <w:bCs w:val="0"/>
        </w:rPr>
        <w:t>七、</w:t>
      </w:r>
      <w:r>
        <w:rPr>
          <w:rFonts w:hint="eastAsia" w:ascii="仿宋" w:hAnsi="仿宋" w:eastAsia="仿宋"/>
          <w:b w:val="0"/>
        </w:rPr>
        <w:t>一</w:t>
      </w:r>
      <w:r>
        <w:rPr>
          <w:rStyle w:val="18"/>
          <w:rFonts w:hint="eastAsia" w:ascii="仿宋" w:hAnsi="仿宋" w:eastAsia="仿宋"/>
          <w:b w:val="0"/>
          <w:bCs w:val="0"/>
        </w:rPr>
        <w:t>般公共预算财政拨款支出决算明细表</w:t>
      </w:r>
      <w:bookmarkEnd w:id="97"/>
      <w:bookmarkEnd w:id="98"/>
      <w:bookmarkEnd w:id="99"/>
    </w:p>
    <w:p>
      <w:pPr>
        <w:pStyle w:val="4"/>
        <w:rPr>
          <w:rFonts w:ascii="仿宋" w:hAnsi="仿宋" w:eastAsia="仿宋"/>
        </w:rPr>
      </w:pPr>
      <w:bookmarkStart w:id="100" w:name="_Toc15396626"/>
      <w:bookmarkStart w:id="101" w:name="_Toc16315"/>
      <w:bookmarkStart w:id="102" w:name="_Toc21993"/>
      <w:r>
        <w:rPr>
          <w:rStyle w:val="18"/>
          <w:rFonts w:hint="eastAsia" w:ascii="仿宋" w:hAnsi="仿宋" w:eastAsia="仿宋"/>
          <w:b w:val="0"/>
          <w:bCs w:val="0"/>
        </w:rPr>
        <w:t>八、</w:t>
      </w:r>
      <w:r>
        <w:rPr>
          <w:rFonts w:hint="eastAsia" w:ascii="仿宋" w:hAnsi="仿宋" w:eastAsia="仿宋"/>
          <w:b w:val="0"/>
        </w:rPr>
        <w:t>一</w:t>
      </w:r>
      <w:r>
        <w:rPr>
          <w:rStyle w:val="18"/>
          <w:rFonts w:hint="eastAsia" w:ascii="仿宋" w:hAnsi="仿宋" w:eastAsia="仿宋"/>
          <w:b w:val="0"/>
          <w:bCs w:val="0"/>
        </w:rPr>
        <w:t>般公共预算财政拨款基本支出决算表</w:t>
      </w:r>
      <w:bookmarkEnd w:id="100"/>
      <w:bookmarkEnd w:id="101"/>
      <w:bookmarkEnd w:id="102"/>
    </w:p>
    <w:p>
      <w:pPr>
        <w:pStyle w:val="4"/>
        <w:rPr>
          <w:rFonts w:ascii="仿宋" w:hAnsi="仿宋" w:eastAsia="仿宋"/>
        </w:rPr>
      </w:pPr>
      <w:bookmarkStart w:id="103" w:name="_Toc28862"/>
      <w:bookmarkStart w:id="104" w:name="_Toc11586"/>
      <w:bookmarkStart w:id="105" w:name="_Toc15396627"/>
      <w:r>
        <w:rPr>
          <w:rStyle w:val="18"/>
          <w:rFonts w:hint="eastAsia" w:ascii="仿宋" w:hAnsi="仿宋" w:eastAsia="仿宋"/>
          <w:b w:val="0"/>
          <w:bCs w:val="0"/>
        </w:rPr>
        <w:t>九、</w:t>
      </w:r>
      <w:r>
        <w:rPr>
          <w:rFonts w:hint="eastAsia" w:ascii="仿宋" w:hAnsi="仿宋" w:eastAsia="仿宋"/>
          <w:b w:val="0"/>
        </w:rPr>
        <w:t>一</w:t>
      </w:r>
      <w:r>
        <w:rPr>
          <w:rStyle w:val="18"/>
          <w:rFonts w:hint="eastAsia" w:ascii="仿宋" w:hAnsi="仿宋" w:eastAsia="仿宋"/>
          <w:b w:val="0"/>
          <w:bCs w:val="0"/>
        </w:rPr>
        <w:t>般公共预算财政拨款项目支出决算表</w:t>
      </w:r>
      <w:bookmarkEnd w:id="103"/>
      <w:bookmarkEnd w:id="104"/>
      <w:bookmarkEnd w:id="105"/>
    </w:p>
    <w:p>
      <w:pPr>
        <w:pStyle w:val="4"/>
        <w:rPr>
          <w:rFonts w:ascii="仿宋" w:hAnsi="仿宋" w:eastAsia="仿宋"/>
        </w:rPr>
      </w:pPr>
      <w:bookmarkStart w:id="106" w:name="_Toc15396628"/>
      <w:bookmarkStart w:id="107" w:name="_Toc31124"/>
      <w:bookmarkStart w:id="108" w:name="_Toc15900"/>
      <w:r>
        <w:rPr>
          <w:rStyle w:val="18"/>
          <w:rFonts w:hint="eastAsia" w:ascii="仿宋" w:hAnsi="仿宋" w:eastAsia="仿宋"/>
          <w:b w:val="0"/>
          <w:bCs w:val="0"/>
        </w:rPr>
        <w:t>十、</w:t>
      </w:r>
      <w:bookmarkEnd w:id="106"/>
      <w:r>
        <w:rPr>
          <w:rFonts w:hint="eastAsia" w:ascii="仿宋" w:hAnsi="仿宋" w:eastAsia="仿宋"/>
          <w:b w:val="0"/>
        </w:rPr>
        <w:t>政</w:t>
      </w:r>
      <w:r>
        <w:rPr>
          <w:rStyle w:val="18"/>
          <w:rFonts w:hint="eastAsia" w:ascii="仿宋" w:hAnsi="仿宋" w:eastAsia="仿宋"/>
          <w:b w:val="0"/>
          <w:bCs w:val="0"/>
        </w:rPr>
        <w:t>府性基金预算财政拨款收入支出决算表</w:t>
      </w:r>
      <w:bookmarkEnd w:id="107"/>
      <w:bookmarkEnd w:id="108"/>
    </w:p>
    <w:p>
      <w:pPr>
        <w:pStyle w:val="4"/>
        <w:rPr>
          <w:rFonts w:ascii="仿宋" w:hAnsi="仿宋" w:eastAsia="仿宋"/>
        </w:rPr>
      </w:pPr>
      <w:bookmarkStart w:id="109" w:name="_Toc15396629"/>
      <w:bookmarkStart w:id="110" w:name="_Toc27771"/>
      <w:bookmarkStart w:id="111" w:name="_Toc30894"/>
      <w:r>
        <w:rPr>
          <w:rStyle w:val="18"/>
          <w:rFonts w:hint="eastAsia" w:ascii="仿宋" w:hAnsi="仿宋" w:eastAsia="仿宋"/>
          <w:b w:val="0"/>
          <w:bCs w:val="0"/>
        </w:rPr>
        <w:t>十一、</w:t>
      </w:r>
      <w:bookmarkEnd w:id="109"/>
      <w:r>
        <w:rPr>
          <w:rFonts w:hint="eastAsia" w:ascii="仿宋" w:hAnsi="仿宋" w:eastAsia="仿宋"/>
          <w:b w:val="0"/>
        </w:rPr>
        <w:t>国</w:t>
      </w:r>
      <w:r>
        <w:rPr>
          <w:rStyle w:val="18"/>
          <w:rFonts w:hint="eastAsia" w:ascii="仿宋" w:hAnsi="仿宋" w:eastAsia="仿宋"/>
          <w:b w:val="0"/>
          <w:bCs w:val="0"/>
        </w:rPr>
        <w:t>有资本经营预算财政拨款收入支出决算表</w:t>
      </w:r>
      <w:bookmarkEnd w:id="110"/>
      <w:bookmarkEnd w:id="111"/>
    </w:p>
    <w:p>
      <w:pPr>
        <w:pStyle w:val="4"/>
        <w:rPr>
          <w:rFonts w:ascii="仿宋" w:hAnsi="仿宋" w:eastAsia="仿宋"/>
        </w:rPr>
      </w:pPr>
      <w:bookmarkStart w:id="112" w:name="_Toc15396630"/>
      <w:bookmarkStart w:id="113" w:name="_Toc24379"/>
      <w:bookmarkStart w:id="114" w:name="_Toc21830"/>
      <w:r>
        <w:rPr>
          <w:rStyle w:val="18"/>
          <w:rFonts w:hint="eastAsia" w:ascii="仿宋" w:hAnsi="仿宋" w:eastAsia="仿宋"/>
          <w:b w:val="0"/>
          <w:bCs w:val="0"/>
        </w:rPr>
        <w:t>十二、</w:t>
      </w:r>
      <w:bookmarkEnd w:id="112"/>
      <w:r>
        <w:rPr>
          <w:rStyle w:val="18"/>
          <w:rFonts w:hint="eastAsia" w:ascii="仿宋" w:hAnsi="仿宋" w:eastAsia="仿宋"/>
          <w:b w:val="0"/>
          <w:bCs w:val="0"/>
        </w:rPr>
        <w:t>国有资本经营预算财政拨款支出决算表</w:t>
      </w:r>
      <w:bookmarkEnd w:id="113"/>
      <w:bookmarkEnd w:id="114"/>
    </w:p>
    <w:p>
      <w:pPr>
        <w:pStyle w:val="4"/>
        <w:rPr>
          <w:rFonts w:eastAsia="仿宋"/>
        </w:rPr>
      </w:pPr>
      <w:bookmarkStart w:id="115" w:name="_Toc15396631"/>
      <w:bookmarkStart w:id="116" w:name="_Toc24455"/>
      <w:bookmarkStart w:id="117" w:name="_Toc2447"/>
      <w:r>
        <w:rPr>
          <w:rStyle w:val="18"/>
          <w:rFonts w:hint="eastAsia" w:ascii="仿宋" w:hAnsi="仿宋" w:eastAsia="仿宋"/>
          <w:b w:val="0"/>
          <w:bCs w:val="0"/>
        </w:rPr>
        <w:t>十三、</w:t>
      </w:r>
      <w:bookmarkEnd w:id="115"/>
      <w:r>
        <w:rPr>
          <w:rStyle w:val="18"/>
          <w:rFonts w:hint="eastAsia" w:ascii="仿宋" w:hAnsi="仿宋" w:eastAsia="仿宋"/>
          <w:b w:val="0"/>
          <w:bCs w:val="0"/>
        </w:rPr>
        <w:t>财政拨款“三公”经费支出决算表</w:t>
      </w:r>
      <w:bookmarkEnd w:id="116"/>
      <w:bookmarkEnd w:id="117"/>
    </w:p>
    <w:sectPr>
      <w:footerReference r:id="rId5" w:type="first"/>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方正仿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script"/>
    <w:pitch w:val="default"/>
    <w:sig w:usb0="A00002BF" w:usb1="184F6CFA" w:usb2="00000012" w:usb3="00000000" w:csb0="00040001"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29</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2050" o:spid="_x0000_s2050"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E893509"/>
    <w:multiLevelType w:val="singleLevel"/>
    <w:tmpl w:val="6E893509"/>
    <w:lvl w:ilvl="0" w:tentative="0">
      <w:start w:val="1"/>
      <w:numFmt w:val="chineseCounting"/>
      <w:suff w:val="space"/>
      <w:lvlText w:val="第%1部分"/>
      <w:lvlJc w:val="left"/>
      <w:rPr>
        <w:rFonts w:hint="eastAsi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zZjODE3Y2RjYmYxOTA5MjMwNGM5NjQ4OTIyZjY2ZmI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C4449"/>
    <w:rsid w:val="002D6D05"/>
    <w:rsid w:val="002F1818"/>
    <w:rsid w:val="002F567B"/>
    <w:rsid w:val="003216A9"/>
    <w:rsid w:val="00335A74"/>
    <w:rsid w:val="0036561B"/>
    <w:rsid w:val="0037013F"/>
    <w:rsid w:val="00380C92"/>
    <w:rsid w:val="003A0BB7"/>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2854"/>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B31C3"/>
    <w:rsid w:val="006C1937"/>
    <w:rsid w:val="006F020C"/>
    <w:rsid w:val="007127B7"/>
    <w:rsid w:val="0071798E"/>
    <w:rsid w:val="00731666"/>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3FA"/>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7A8"/>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07D72"/>
    <w:rsid w:val="00E20A2E"/>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280DEF"/>
    <w:rsid w:val="02524502"/>
    <w:rsid w:val="02E828A9"/>
    <w:rsid w:val="03EF7C67"/>
    <w:rsid w:val="053A62B5"/>
    <w:rsid w:val="060A6EE3"/>
    <w:rsid w:val="06B37672"/>
    <w:rsid w:val="073A6997"/>
    <w:rsid w:val="07CA441A"/>
    <w:rsid w:val="08257571"/>
    <w:rsid w:val="0863220E"/>
    <w:rsid w:val="087150EF"/>
    <w:rsid w:val="089B4CE9"/>
    <w:rsid w:val="0A2032A3"/>
    <w:rsid w:val="0AB319EF"/>
    <w:rsid w:val="0B100BEF"/>
    <w:rsid w:val="0B3A2110"/>
    <w:rsid w:val="0B8A37D8"/>
    <w:rsid w:val="0C005EDC"/>
    <w:rsid w:val="0C7C53DD"/>
    <w:rsid w:val="0DF95D9E"/>
    <w:rsid w:val="0E4F3E6E"/>
    <w:rsid w:val="0F9022FF"/>
    <w:rsid w:val="10C055FF"/>
    <w:rsid w:val="11061B35"/>
    <w:rsid w:val="118107EC"/>
    <w:rsid w:val="11C24C0D"/>
    <w:rsid w:val="11DD6519"/>
    <w:rsid w:val="12A61488"/>
    <w:rsid w:val="13133A0B"/>
    <w:rsid w:val="13723DB8"/>
    <w:rsid w:val="14302302"/>
    <w:rsid w:val="145E16ED"/>
    <w:rsid w:val="14D62EA9"/>
    <w:rsid w:val="151614F8"/>
    <w:rsid w:val="151A266A"/>
    <w:rsid w:val="154C6CC8"/>
    <w:rsid w:val="157A2B3C"/>
    <w:rsid w:val="158A03C0"/>
    <w:rsid w:val="15F34362"/>
    <w:rsid w:val="162E59A7"/>
    <w:rsid w:val="16BB723D"/>
    <w:rsid w:val="1750629D"/>
    <w:rsid w:val="175807D0"/>
    <w:rsid w:val="17B46DA6"/>
    <w:rsid w:val="17E923BB"/>
    <w:rsid w:val="18015F3F"/>
    <w:rsid w:val="18C474BD"/>
    <w:rsid w:val="18DD40DB"/>
    <w:rsid w:val="18E81697"/>
    <w:rsid w:val="19D379B8"/>
    <w:rsid w:val="1B0A3D2A"/>
    <w:rsid w:val="1B2B737F"/>
    <w:rsid w:val="1B910DB4"/>
    <w:rsid w:val="1BE8440E"/>
    <w:rsid w:val="1C1B2F7B"/>
    <w:rsid w:val="1D155CEE"/>
    <w:rsid w:val="1D554B87"/>
    <w:rsid w:val="1E1D1195"/>
    <w:rsid w:val="1E4C7D38"/>
    <w:rsid w:val="1E803E86"/>
    <w:rsid w:val="1E8223CA"/>
    <w:rsid w:val="1EBD29E4"/>
    <w:rsid w:val="1FEC17D3"/>
    <w:rsid w:val="20BF0C96"/>
    <w:rsid w:val="20F57F95"/>
    <w:rsid w:val="22126E3A"/>
    <w:rsid w:val="227059D1"/>
    <w:rsid w:val="232C0139"/>
    <w:rsid w:val="2378337E"/>
    <w:rsid w:val="2383661D"/>
    <w:rsid w:val="23B017D0"/>
    <w:rsid w:val="240371BF"/>
    <w:rsid w:val="24AC7783"/>
    <w:rsid w:val="256911D0"/>
    <w:rsid w:val="25711CC6"/>
    <w:rsid w:val="25C741E6"/>
    <w:rsid w:val="25D6319E"/>
    <w:rsid w:val="25EC3BAF"/>
    <w:rsid w:val="2626133A"/>
    <w:rsid w:val="269C5285"/>
    <w:rsid w:val="27842671"/>
    <w:rsid w:val="284629A2"/>
    <w:rsid w:val="28F76F66"/>
    <w:rsid w:val="293A786B"/>
    <w:rsid w:val="298159CE"/>
    <w:rsid w:val="29FD04D3"/>
    <w:rsid w:val="2A9C5BA4"/>
    <w:rsid w:val="2AB729DE"/>
    <w:rsid w:val="2ABE7A3E"/>
    <w:rsid w:val="2AF8540A"/>
    <w:rsid w:val="2CA234A8"/>
    <w:rsid w:val="2CDA0C05"/>
    <w:rsid w:val="2CE377DE"/>
    <w:rsid w:val="2D450775"/>
    <w:rsid w:val="2D5C32C7"/>
    <w:rsid w:val="2DBE26A4"/>
    <w:rsid w:val="2E80634D"/>
    <w:rsid w:val="2EB72082"/>
    <w:rsid w:val="2EC658E5"/>
    <w:rsid w:val="2EFA178C"/>
    <w:rsid w:val="2F2D14C0"/>
    <w:rsid w:val="2F2D7712"/>
    <w:rsid w:val="2F72275C"/>
    <w:rsid w:val="2FA84FEB"/>
    <w:rsid w:val="30056C3A"/>
    <w:rsid w:val="305111DE"/>
    <w:rsid w:val="30B46D73"/>
    <w:rsid w:val="319F7F4E"/>
    <w:rsid w:val="321E1594"/>
    <w:rsid w:val="32252124"/>
    <w:rsid w:val="32D54349"/>
    <w:rsid w:val="32F56799"/>
    <w:rsid w:val="335C6FDA"/>
    <w:rsid w:val="33791178"/>
    <w:rsid w:val="33876196"/>
    <w:rsid w:val="33925D96"/>
    <w:rsid w:val="339937E1"/>
    <w:rsid w:val="33A855B9"/>
    <w:rsid w:val="340B78F6"/>
    <w:rsid w:val="341808A8"/>
    <w:rsid w:val="34572B3B"/>
    <w:rsid w:val="35D94150"/>
    <w:rsid w:val="366C7E6C"/>
    <w:rsid w:val="36B129D7"/>
    <w:rsid w:val="36E515CA"/>
    <w:rsid w:val="37677539"/>
    <w:rsid w:val="37C130EE"/>
    <w:rsid w:val="383D272C"/>
    <w:rsid w:val="38C51FA1"/>
    <w:rsid w:val="39AE70AB"/>
    <w:rsid w:val="3BCD4BCE"/>
    <w:rsid w:val="3C0C0783"/>
    <w:rsid w:val="3C7C75E3"/>
    <w:rsid w:val="3D0A2E41"/>
    <w:rsid w:val="3D2A5291"/>
    <w:rsid w:val="3D666453"/>
    <w:rsid w:val="3D6B6B23"/>
    <w:rsid w:val="3D9D5A63"/>
    <w:rsid w:val="3DE713D4"/>
    <w:rsid w:val="3E314670"/>
    <w:rsid w:val="3F37192F"/>
    <w:rsid w:val="3F8073EA"/>
    <w:rsid w:val="3F9F3A96"/>
    <w:rsid w:val="3FBBD7B8"/>
    <w:rsid w:val="409D5D7A"/>
    <w:rsid w:val="41027391"/>
    <w:rsid w:val="41055DF9"/>
    <w:rsid w:val="41085755"/>
    <w:rsid w:val="411221E1"/>
    <w:rsid w:val="4114215A"/>
    <w:rsid w:val="41306BEE"/>
    <w:rsid w:val="41772D31"/>
    <w:rsid w:val="41807B75"/>
    <w:rsid w:val="42402058"/>
    <w:rsid w:val="429E4757"/>
    <w:rsid w:val="436F39FE"/>
    <w:rsid w:val="43D63A7D"/>
    <w:rsid w:val="45240818"/>
    <w:rsid w:val="45833790"/>
    <w:rsid w:val="45886FF9"/>
    <w:rsid w:val="45D34E36"/>
    <w:rsid w:val="45ED50AE"/>
    <w:rsid w:val="47215957"/>
    <w:rsid w:val="4832071D"/>
    <w:rsid w:val="48BF60AB"/>
    <w:rsid w:val="493C27E9"/>
    <w:rsid w:val="49675177"/>
    <w:rsid w:val="496F39ED"/>
    <w:rsid w:val="49B21C86"/>
    <w:rsid w:val="49B90A53"/>
    <w:rsid w:val="49E35145"/>
    <w:rsid w:val="49FF41D3"/>
    <w:rsid w:val="4A875E29"/>
    <w:rsid w:val="4ABE4B76"/>
    <w:rsid w:val="4B6978CC"/>
    <w:rsid w:val="4BE068DB"/>
    <w:rsid w:val="4BF6002B"/>
    <w:rsid w:val="4D2C6E03"/>
    <w:rsid w:val="4DD94895"/>
    <w:rsid w:val="4EA558E3"/>
    <w:rsid w:val="4ECE2238"/>
    <w:rsid w:val="4F5217F8"/>
    <w:rsid w:val="506B78C1"/>
    <w:rsid w:val="50E81293"/>
    <w:rsid w:val="51426BF5"/>
    <w:rsid w:val="515E3450"/>
    <w:rsid w:val="51856AE2"/>
    <w:rsid w:val="51A90A23"/>
    <w:rsid w:val="51DB4B86"/>
    <w:rsid w:val="55333C3E"/>
    <w:rsid w:val="55747599"/>
    <w:rsid w:val="562B5EAA"/>
    <w:rsid w:val="56657B04"/>
    <w:rsid w:val="5691018A"/>
    <w:rsid w:val="56BA0FDC"/>
    <w:rsid w:val="57876693"/>
    <w:rsid w:val="57DD3195"/>
    <w:rsid w:val="587A4EC7"/>
    <w:rsid w:val="58DF0138"/>
    <w:rsid w:val="59E44CEE"/>
    <w:rsid w:val="59F9006D"/>
    <w:rsid w:val="5A3A2B60"/>
    <w:rsid w:val="5A407A4A"/>
    <w:rsid w:val="5AB37B5F"/>
    <w:rsid w:val="5ADC3C17"/>
    <w:rsid w:val="5AF62BE3"/>
    <w:rsid w:val="5BBB524E"/>
    <w:rsid w:val="5DBE13B2"/>
    <w:rsid w:val="5EBA601D"/>
    <w:rsid w:val="5F19442B"/>
    <w:rsid w:val="600357A2"/>
    <w:rsid w:val="60146320"/>
    <w:rsid w:val="60436F72"/>
    <w:rsid w:val="60B53011"/>
    <w:rsid w:val="60CA62C0"/>
    <w:rsid w:val="611411D5"/>
    <w:rsid w:val="614D13CA"/>
    <w:rsid w:val="61BC3E5A"/>
    <w:rsid w:val="622540F5"/>
    <w:rsid w:val="63100901"/>
    <w:rsid w:val="632B23BD"/>
    <w:rsid w:val="638B61DA"/>
    <w:rsid w:val="63BC2837"/>
    <w:rsid w:val="64CA39A1"/>
    <w:rsid w:val="65BD2897"/>
    <w:rsid w:val="65CE0600"/>
    <w:rsid w:val="670A1B0C"/>
    <w:rsid w:val="67D649E0"/>
    <w:rsid w:val="687234C5"/>
    <w:rsid w:val="69630ADE"/>
    <w:rsid w:val="699E02E9"/>
    <w:rsid w:val="69B53FB1"/>
    <w:rsid w:val="6ABF0DA9"/>
    <w:rsid w:val="6B5C220A"/>
    <w:rsid w:val="6B811C71"/>
    <w:rsid w:val="6C4A05C8"/>
    <w:rsid w:val="6D3B1A89"/>
    <w:rsid w:val="6DA66F95"/>
    <w:rsid w:val="6DE24342"/>
    <w:rsid w:val="6E361438"/>
    <w:rsid w:val="6F887A72"/>
    <w:rsid w:val="6F976446"/>
    <w:rsid w:val="70383246"/>
    <w:rsid w:val="704A4D27"/>
    <w:rsid w:val="715E6CDC"/>
    <w:rsid w:val="71A52B5D"/>
    <w:rsid w:val="71BF4EC2"/>
    <w:rsid w:val="71F118FE"/>
    <w:rsid w:val="72734D90"/>
    <w:rsid w:val="72BB3CBA"/>
    <w:rsid w:val="72D07765"/>
    <w:rsid w:val="72F62F44"/>
    <w:rsid w:val="72FB4660"/>
    <w:rsid w:val="73132092"/>
    <w:rsid w:val="734939BC"/>
    <w:rsid w:val="735C36EF"/>
    <w:rsid w:val="739E1494"/>
    <w:rsid w:val="7412278C"/>
    <w:rsid w:val="74DC4846"/>
    <w:rsid w:val="751F2C26"/>
    <w:rsid w:val="7541494A"/>
    <w:rsid w:val="75AB270C"/>
    <w:rsid w:val="762757AD"/>
    <w:rsid w:val="762F4A21"/>
    <w:rsid w:val="76816FC9"/>
    <w:rsid w:val="76C958B9"/>
    <w:rsid w:val="771D3195"/>
    <w:rsid w:val="78632E2A"/>
    <w:rsid w:val="78DB44A1"/>
    <w:rsid w:val="7904082E"/>
    <w:rsid w:val="793242EA"/>
    <w:rsid w:val="79E61F64"/>
    <w:rsid w:val="79E7B28D"/>
    <w:rsid w:val="7B4B6523"/>
    <w:rsid w:val="7BAB2DA8"/>
    <w:rsid w:val="7C1A0D60"/>
    <w:rsid w:val="7C2309FE"/>
    <w:rsid w:val="7CBA3C7B"/>
    <w:rsid w:val="7CD255D0"/>
    <w:rsid w:val="7D3873A2"/>
    <w:rsid w:val="7D6B0499"/>
    <w:rsid w:val="7D9817C8"/>
    <w:rsid w:val="7DB54128"/>
    <w:rsid w:val="7DEE3196"/>
    <w:rsid w:val="7E3239CA"/>
    <w:rsid w:val="7E515FA1"/>
    <w:rsid w:val="7F413799"/>
    <w:rsid w:val="7F7D336A"/>
    <w:rsid w:val="7F9F20EE"/>
    <w:rsid w:val="7FF061A4"/>
    <w:rsid w:val="9E3A10E2"/>
    <w:rsid w:val="F2E1F9D4"/>
    <w:rsid w:val="F3BFEFC5"/>
    <w:rsid w:val="F7880819"/>
    <w:rsid w:val="FFFD979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19"/>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2">
    <w:name w:val="常用样式（方正仿宋简）"/>
    <w:basedOn w:val="1"/>
    <w:qFormat/>
    <w:uiPriority w:val="0"/>
    <w:pPr>
      <w:spacing w:line="560" w:lineRule="exact"/>
      <w:ind w:firstLine="200" w:firstLineChars="200"/>
    </w:pPr>
    <w:rPr>
      <w:rFonts w:eastAsia="方正仿宋简体"/>
      <w:sz w:val="32"/>
    </w:rPr>
  </w:style>
  <w:style w:type="paragraph" w:styleId="6">
    <w:name w:val="Body Text"/>
    <w:basedOn w:val="1"/>
    <w:link w:val="25"/>
    <w:qFormat/>
    <w:uiPriority w:val="99"/>
    <w:pPr>
      <w:spacing w:beforeLines="30"/>
    </w:pPr>
    <w:rPr>
      <w:rFonts w:ascii="仿宋_GB2312" w:eastAsia="仿宋_GB2312"/>
      <w:kern w:val="0"/>
      <w:sz w:val="30"/>
    </w:rPr>
  </w:style>
  <w:style w:type="paragraph" w:styleId="7">
    <w:name w:val="toc 3"/>
    <w:basedOn w:val="1"/>
    <w:next w:val="1"/>
    <w:unhideWhenUsed/>
    <w:qFormat/>
    <w:uiPriority w:val="39"/>
    <w:pPr>
      <w:tabs>
        <w:tab w:val="right" w:leader="dot" w:pos="8296"/>
      </w:tabs>
      <w:ind w:left="840" w:leftChars="400"/>
    </w:pPr>
  </w:style>
  <w:style w:type="paragraph" w:styleId="8">
    <w:name w:val="Balloon Text"/>
    <w:basedOn w:val="1"/>
    <w:link w:val="29"/>
    <w:semiHidden/>
    <w:unhideWhenUsed/>
    <w:qFormat/>
    <w:uiPriority w:val="99"/>
    <w:rPr>
      <w:sz w:val="18"/>
      <w:szCs w:val="18"/>
    </w:rPr>
  </w:style>
  <w:style w:type="paragraph" w:styleId="9">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0">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1">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2">
    <w:name w:val="toc 2"/>
    <w:basedOn w:val="1"/>
    <w:next w:val="1"/>
    <w:unhideWhenUsed/>
    <w:qFormat/>
    <w:uiPriority w:val="39"/>
    <w:pPr>
      <w:tabs>
        <w:tab w:val="right" w:leader="dot" w:pos="8296"/>
      </w:tabs>
      <w:ind w:left="420" w:leftChars="200"/>
    </w:pPr>
  </w:style>
  <w:style w:type="character" w:styleId="15">
    <w:name w:val="Strong"/>
    <w:basedOn w:val="14"/>
    <w:qFormat/>
    <w:uiPriority w:val="99"/>
    <w:rPr>
      <w:b/>
    </w:rPr>
  </w:style>
  <w:style w:type="character" w:styleId="16">
    <w:name w:val="Hyperlink"/>
    <w:basedOn w:val="14"/>
    <w:unhideWhenUsed/>
    <w:qFormat/>
    <w:uiPriority w:val="99"/>
    <w:rPr>
      <w:color w:val="0000FF" w:themeColor="hyperlink"/>
      <w:u w:val="single"/>
    </w:rPr>
  </w:style>
  <w:style w:type="character" w:customStyle="1" w:styleId="17">
    <w:name w:val="标题 1 Char"/>
    <w:basedOn w:val="14"/>
    <w:link w:val="3"/>
    <w:qFormat/>
    <w:uiPriority w:val="9"/>
    <w:rPr>
      <w:rFonts w:ascii="Times New Roman" w:hAnsi="Times New Roman"/>
      <w:b/>
      <w:bCs/>
      <w:kern w:val="44"/>
      <w:sz w:val="44"/>
      <w:szCs w:val="44"/>
    </w:rPr>
  </w:style>
  <w:style w:type="character" w:customStyle="1" w:styleId="18">
    <w:name w:val="标题 2 Char"/>
    <w:basedOn w:val="14"/>
    <w:link w:val="4"/>
    <w:qFormat/>
    <w:uiPriority w:val="9"/>
    <w:rPr>
      <w:rFonts w:asciiTheme="majorHAnsi" w:hAnsiTheme="majorHAnsi" w:eastAsiaTheme="majorEastAsia" w:cstheme="majorBidi"/>
      <w:b/>
      <w:bCs/>
      <w:kern w:val="2"/>
      <w:sz w:val="32"/>
      <w:szCs w:val="32"/>
    </w:rPr>
  </w:style>
  <w:style w:type="character" w:customStyle="1" w:styleId="19">
    <w:name w:val="标题 3 Char"/>
    <w:basedOn w:val="14"/>
    <w:link w:val="5"/>
    <w:qFormat/>
    <w:uiPriority w:val="9"/>
    <w:rPr>
      <w:rFonts w:ascii="Times New Roman" w:hAnsi="Times New Roman"/>
      <w:b/>
      <w:bCs/>
      <w:kern w:val="2"/>
      <w:sz w:val="32"/>
      <w:szCs w:val="32"/>
    </w:rPr>
  </w:style>
  <w:style w:type="character" w:customStyle="1" w:styleId="20">
    <w:name w:val="Header Char"/>
    <w:basedOn w:val="14"/>
    <w:semiHidden/>
    <w:qFormat/>
    <w:uiPriority w:val="99"/>
    <w:rPr>
      <w:rFonts w:ascii="Times New Roman" w:hAnsi="Times New Roman"/>
      <w:sz w:val="18"/>
      <w:szCs w:val="18"/>
    </w:rPr>
  </w:style>
  <w:style w:type="character" w:customStyle="1" w:styleId="21">
    <w:name w:val="页眉 Char"/>
    <w:link w:val="10"/>
    <w:semiHidden/>
    <w:qFormat/>
    <w:locked/>
    <w:uiPriority w:val="99"/>
    <w:rPr>
      <w:sz w:val="18"/>
    </w:rPr>
  </w:style>
  <w:style w:type="character" w:customStyle="1" w:styleId="22">
    <w:name w:val="Footer Char"/>
    <w:basedOn w:val="14"/>
    <w:semiHidden/>
    <w:qFormat/>
    <w:uiPriority w:val="99"/>
    <w:rPr>
      <w:rFonts w:ascii="Times New Roman" w:hAnsi="Times New Roman"/>
      <w:sz w:val="18"/>
      <w:szCs w:val="18"/>
    </w:rPr>
  </w:style>
  <w:style w:type="character" w:customStyle="1" w:styleId="23">
    <w:name w:val="页脚 Char"/>
    <w:link w:val="9"/>
    <w:qFormat/>
    <w:locked/>
    <w:uiPriority w:val="99"/>
    <w:rPr>
      <w:sz w:val="18"/>
    </w:rPr>
  </w:style>
  <w:style w:type="character" w:customStyle="1" w:styleId="24">
    <w:name w:val="Body Text Char"/>
    <w:basedOn w:val="14"/>
    <w:semiHidden/>
    <w:qFormat/>
    <w:uiPriority w:val="99"/>
    <w:rPr>
      <w:rFonts w:ascii="Times New Roman" w:hAnsi="Times New Roman"/>
      <w:szCs w:val="24"/>
    </w:rPr>
  </w:style>
  <w:style w:type="character" w:customStyle="1" w:styleId="25">
    <w:name w:val="正文文本 Char"/>
    <w:link w:val="6"/>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paragraph" w:customStyle="1" w:styleId="28">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character" w:customStyle="1" w:styleId="29">
    <w:name w:val="批注框文本 Char"/>
    <w:basedOn w:val="14"/>
    <w:link w:val="8"/>
    <w:semiHidden/>
    <w:qFormat/>
    <w:uiPriority w:val="99"/>
    <w:rPr>
      <w:rFonts w:ascii="Times New Roman" w:hAnsi="Times New Roman"/>
      <w:kern w:val="2"/>
      <w:sz w:val="18"/>
      <w:szCs w:val="18"/>
    </w:rPr>
  </w:style>
  <w:style w:type="paragraph" w:customStyle="1" w:styleId="30">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66091" w:themeColor="accent1" w:themeShade="BF"/>
      <w:kern w:val="0"/>
      <w:sz w:val="28"/>
      <w:szCs w:val="28"/>
    </w:rPr>
  </w:style>
  <w:style w:type="paragraph" w:customStyle="1" w:styleId="31">
    <w:name w:val="WPSOffice手动目录 1"/>
    <w:qFormat/>
    <w:uiPriority w:val="0"/>
    <w:rPr>
      <w:rFonts w:ascii="Times New Roman" w:hAnsi="Times New Roman" w:eastAsia="宋体" w:cs="Times New Roman"/>
      <w:lang w:val="en-US" w:eastAsia="zh-CN" w:bidi="ar-SA"/>
    </w:rPr>
  </w:style>
  <w:style w:type="paragraph" w:customStyle="1" w:styleId="32">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3">
    <w:name w:val="font41"/>
    <w:basedOn w:val="14"/>
    <w:qFormat/>
    <w:uiPriority w:val="0"/>
    <w:rPr>
      <w:rFonts w:hint="eastAsia" w:ascii="微软雅黑" w:hAnsi="微软雅黑" w:eastAsia="微软雅黑" w:cs="微软雅黑"/>
      <w:i/>
      <w:iCs/>
      <w:color w:val="000000"/>
      <w:sz w:val="16"/>
      <w:szCs w:val="16"/>
      <w:u w:val="none"/>
    </w:rPr>
  </w:style>
  <w:style w:type="character" w:customStyle="1" w:styleId="34">
    <w:name w:val="font61"/>
    <w:basedOn w:val="14"/>
    <w:qFormat/>
    <w:uiPriority w:val="0"/>
    <w:rPr>
      <w:rFonts w:hint="eastAsia" w:ascii="微软雅黑" w:hAnsi="微软雅黑" w:eastAsia="微软雅黑" w:cs="微软雅黑"/>
      <w:i/>
      <w:iCs/>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3.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txPr>
        <a:bodyPr rot="0" spcFirstLastPara="0" vertOverflow="ellipsis" vert="horz" wrap="square" anchor="ctr" anchorCtr="true"/>
        <a:lstStyle/>
        <a:p>
          <a:pPr>
            <a:defRPr lang="zh-CN" sz="1800" b="1" i="0" u="none" strike="noStrike" kern="1200" baseline="0">
              <a:solidFill>
                <a:schemeClr val="tx1"/>
              </a:solidFill>
              <a:latin typeface="+mn-lt"/>
              <a:ea typeface="+mn-ea"/>
              <a:cs typeface="+mn-cs"/>
            </a:defRPr>
          </a:pPr>
        </a:p>
      </c:txPr>
    </c:title>
    <c:autoTitleDeleted val="false"/>
    <c:plotArea>
      <c:layout>
        <c:manualLayout>
          <c:layoutTarget val="inner"/>
          <c:xMode val="edge"/>
          <c:yMode val="edge"/>
          <c:x val="0.0856042496679947"/>
          <c:y val="0.0475161987041037"/>
          <c:w val="0.887171314741036"/>
          <c:h val="0.750194384449244"/>
        </c:manualLayout>
      </c:layout>
      <c:barChart>
        <c:barDir val="col"/>
        <c:grouping val="clustered"/>
        <c:varyColors val="false"/>
        <c:ser>
          <c:idx val="0"/>
          <c:order val="0"/>
          <c:tx>
            <c:strRef>
              <c:f>Sheet1!$B$1</c:f>
              <c:strCache>
                <c:ptCount val="1"/>
                <c:pt idx="0">
                  <c:v>2022年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收支总额</c:v>
                </c:pt>
              </c:strCache>
            </c:strRef>
          </c:cat>
          <c:val>
            <c:numRef>
              <c:f>Sheet1!$B$2</c:f>
              <c:numCache>
                <c:formatCode>General</c:formatCode>
                <c:ptCount val="1"/>
                <c:pt idx="0">
                  <c:v>2191.23</c:v>
                </c:pt>
              </c:numCache>
            </c:numRef>
          </c:val>
        </c:ser>
        <c:ser>
          <c:idx val="1"/>
          <c:order val="1"/>
          <c:tx>
            <c:strRef>
              <c:f>Sheet1!$C$1</c:f>
              <c:strCache>
                <c:ptCount val="1"/>
                <c:pt idx="0">
                  <c:v>2023年</c:v>
                </c:pt>
              </c:strCache>
            </c:strRef>
          </c:tx>
          <c:spPr>
            <a:pattFill prst="wdDnDiag">
              <a:fgClr>
                <a:schemeClr val="accent2"/>
              </a:fgClr>
              <a:bgClr>
                <a:schemeClr val="bg1"/>
              </a:bgClr>
            </a:patt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收支总额</c:v>
                </c:pt>
              </c:strCache>
            </c:strRef>
          </c:cat>
          <c:val>
            <c:numRef>
              <c:f>Sheet1!$C$2</c:f>
              <c:numCache>
                <c:formatCode>General</c:formatCode>
                <c:ptCount val="1"/>
                <c:pt idx="0">
                  <c:v>2432.36</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Sheet1!$A$2</c:f>
              <c:strCache>
                <c:ptCount val="1"/>
                <c:pt idx="0">
                  <c:v>收支总额</c:v>
                </c:pt>
              </c:strCache>
            </c:strRef>
          </c:cat>
          <c:val>
            <c:numRef>
              <c:f>Sheet1!#REF!</c:f>
              <c:numCache>
                <c:formatCode>General</c:formatCode>
                <c:ptCount val="1"/>
                <c:pt idx="0">
                  <c:v>1</c:v>
                </c:pt>
              </c:numCache>
            </c:numRef>
          </c:val>
        </c:ser>
        <c:dLbls>
          <c:showLegendKey val="false"/>
          <c:showVal val="true"/>
          <c:showCatName val="false"/>
          <c:showSerName val="false"/>
          <c:showPercent val="false"/>
          <c:showBubbleSize val="false"/>
        </c:dLbls>
        <c:gapWidth val="75"/>
        <c:overlap val="-25"/>
        <c:axId val="164322304"/>
        <c:axId val="164377344"/>
      </c:barChart>
      <c:catAx>
        <c:axId val="164322304"/>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4377344"/>
        <c:crosses val="autoZero"/>
        <c:auto val="true"/>
        <c:lblAlgn val="ctr"/>
        <c:lblOffset val="100"/>
        <c:noMultiLvlLbl val="false"/>
      </c:catAx>
      <c:valAx>
        <c:axId val="164377344"/>
        <c:scaling>
          <c:orientation val="minMax"/>
        </c:scaling>
        <c:delete val="false"/>
        <c:axPos val="l"/>
        <c:majorGridlines>
          <c:spPr>
            <a:ln w="9525" cap="flat" cmpd="sng" algn="ctr">
              <a:solidFill>
                <a:schemeClr val="bg1">
                  <a:lumMod val="902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4322304"/>
        <c:crosses val="autoZero"/>
        <c:crossBetween val="between"/>
      </c:valAx>
      <c:spPr>
        <a:noFill/>
        <a:ln>
          <a:noFill/>
        </a:ln>
        <a:effectLst>
          <a:innerShdw blurRad="63500" dist="50800" dir="13500000">
            <a:prstClr val="black">
              <a:alpha val="50000"/>
            </a:prstClr>
          </a:innerShdw>
        </a:effectLst>
      </c:spPr>
    </c:plotArea>
    <c:legend>
      <c:legendPos val="b"/>
      <c:legendEntry>
        <c:idx val="2"/>
        <c:delete val="true"/>
      </c:legendEntry>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销售额</c:v>
                </c:pt>
              </c:strCache>
            </c:strRef>
          </c:tx>
          <c:explosion val="0"/>
          <c:dPt>
            <c:idx val="0"/>
            <c:bubble3D val="false"/>
            <c:spPr>
              <a:solidFill>
                <a:schemeClr val="accent1"/>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财政拨款收入</c:v>
                </c:pt>
              </c:strCache>
            </c:strRef>
          </c:cat>
          <c:val>
            <c:numRef>
              <c:f>Sheet1!$B$2</c:f>
              <c:numCache>
                <c:formatCode>General</c:formatCode>
                <c:ptCount val="1"/>
                <c:pt idx="0">
                  <c:v>2432.36</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manualLayout>
          <c:xMode val="edge"/>
          <c:yMode val="edge"/>
          <c:x val="0.770621399681333"/>
          <c:y val="0.838894184938036"/>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pieChart>
        <c:varyColors val="true"/>
        <c:ser>
          <c:idx val="0"/>
          <c:order val="0"/>
          <c:tx>
            <c:strRef>
              <c:f>Sheet1!$B$1</c:f>
              <c:strCache>
                <c:ptCount val="1"/>
                <c:pt idx="0">
                  <c:v>列1</c:v>
                </c:pt>
              </c:strCache>
            </c:strRef>
          </c:tx>
          <c:explosion val="0"/>
          <c:dPt>
            <c:idx val="0"/>
            <c:bubble3D val="false"/>
            <c:spPr>
              <a:solidFill>
                <a:schemeClr val="accent1"/>
              </a:solidFill>
              <a:ln>
                <a:solidFill>
                  <a:schemeClr val="bg1"/>
                </a:solidFill>
              </a:ln>
              <a:effectLst/>
            </c:spPr>
          </c:dPt>
          <c:dPt>
            <c:idx val="1"/>
            <c:bubble3D val="false"/>
            <c:spPr>
              <a:pattFill prst="wdDnDiag">
                <a:fgClr>
                  <a:schemeClr val="accent2"/>
                </a:fgClr>
                <a:bgClr>
                  <a:schemeClr val="bg1"/>
                </a:bgClr>
              </a:pattFill>
              <a:ln>
                <a:solidFill>
                  <a:schemeClr val="bg1"/>
                </a:solidFill>
              </a:ln>
              <a:effectLst/>
            </c:spPr>
          </c:dPt>
          <c:dLbls>
            <c:dLbl>
              <c:idx val="0"/>
              <c:layout>
                <c:manualLayout>
                  <c:x val="0.1723931521609"/>
                  <c:y val="-0.0291932059447983"/>
                </c:manualLayout>
              </c:layout>
              <c:dLblPos val="bestFit"/>
              <c:showLegendKey val="false"/>
              <c:showVal val="true"/>
              <c:showCatName val="true"/>
              <c:showSerName val="false"/>
              <c:showPercent val="true"/>
              <c:showBubbleSize val="false"/>
              <c:extLst>
                <c:ext xmlns:c15="http://schemas.microsoft.com/office/drawing/2012/chart" uri="{CE6537A1-D6FC-4f65-9D91-7224C49458BB}">
                  <c15:layout/>
                </c:ext>
              </c:extLst>
            </c:dLbl>
            <c:dLbl>
              <c:idx val="1"/>
              <c:layout>
                <c:manualLayout>
                  <c:x val="-0.161618580150844"/>
                  <c:y val="0.0477707006369427"/>
                </c:manualLayout>
              </c:layout>
              <c:dLblPos val="bestFit"/>
              <c:showLegendKey val="false"/>
              <c:showVal val="true"/>
              <c:showCatName val="true"/>
              <c:showSerName val="false"/>
              <c:showPercent val="tru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true"/>
            <c:showSerName val="false"/>
            <c:showPercent val="tru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2331.75</c:v>
                </c:pt>
                <c:pt idx="1">
                  <c:v>100.61</c:v>
                </c:pt>
              </c:numCache>
            </c:numRef>
          </c:val>
        </c:ser>
        <c:dLbls>
          <c:showLegendKey val="false"/>
          <c:showVal val="false"/>
          <c:showCatName val="false"/>
          <c:showSerName val="false"/>
          <c:showPercent val="true"/>
          <c:showBubbleSize val="false"/>
          <c:showLeaderLines val="true"/>
        </c:dLbls>
        <c:firstSliceAng val="0"/>
      </c:pieChart>
      <c:spPr>
        <a:noFill/>
        <a:ln>
          <a:noFill/>
        </a:ln>
        <a:effectLst/>
      </c:spPr>
    </c:plotArea>
    <c:legend>
      <c:legendPos val="t"/>
      <c:layout>
        <c:manualLayout>
          <c:xMode val="edge"/>
          <c:yMode val="edge"/>
          <c:x val="0.130731473722016"/>
          <c:y val="0.931528662420382"/>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831568330811902"/>
          <c:y val="0.00827814569536424"/>
          <c:w val="0.892889561270802"/>
          <c:h val="0.680849889624724"/>
        </c:manualLayout>
      </c:layout>
      <c:barChart>
        <c:barDir val="col"/>
        <c:grouping val="clustered"/>
        <c:varyColors val="false"/>
        <c:ser>
          <c:idx val="0"/>
          <c:order val="0"/>
          <c:tx>
            <c:strRef>
              <c:f>Sheet1!$B$1</c:f>
              <c:strCache>
                <c:ptCount val="1"/>
                <c:pt idx="0">
                  <c:v>2022年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财政拨款收、支总计</c:v>
                </c:pt>
              </c:strCache>
            </c:strRef>
          </c:cat>
          <c:val>
            <c:numRef>
              <c:f>Sheet1!$B$2</c:f>
              <c:numCache>
                <c:formatCode>General</c:formatCode>
                <c:ptCount val="1"/>
                <c:pt idx="0">
                  <c:v>2166.77</c:v>
                </c:pt>
              </c:numCache>
            </c:numRef>
          </c:val>
        </c:ser>
        <c:ser>
          <c:idx val="1"/>
          <c:order val="1"/>
          <c:tx>
            <c:strRef>
              <c:f>Sheet1!$C$1</c:f>
              <c:strCache>
                <c:ptCount val="1"/>
                <c:pt idx="0">
                  <c:v>2023年</c:v>
                </c:pt>
              </c:strCache>
            </c:strRef>
          </c:tx>
          <c:spPr>
            <a:solidFill>
              <a:schemeClr val="accent2"/>
            </a:solidFill>
            <a:ln>
              <a:noFill/>
            </a:ln>
            <a:effectLst/>
          </c:spPr>
          <c:invertIfNegative val="false"/>
          <c:dPt>
            <c:idx val="0"/>
            <c:invertIfNegative val="false"/>
            <c:bubble3D val="false"/>
            <c:spPr>
              <a:pattFill prst="wdDnDiag">
                <a:fgClr>
                  <a:schemeClr val="accent2"/>
                </a:fgClr>
                <a:bgClr>
                  <a:schemeClr val="bg1"/>
                </a:bgClr>
              </a:pattFill>
              <a:ln>
                <a:no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财政拨款收、支总计</c:v>
                </c:pt>
              </c:strCache>
            </c:strRef>
          </c:cat>
          <c:val>
            <c:numRef>
              <c:f>Sheet1!$C$2</c:f>
              <c:numCache>
                <c:formatCode>General</c:formatCode>
                <c:ptCount val="1"/>
                <c:pt idx="0">
                  <c:v>2432.36</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Sheet1!$A$2</c:f>
              <c:strCache>
                <c:ptCount val="1"/>
                <c:pt idx="0">
                  <c:v>财政拨款收、支总计</c:v>
                </c:pt>
              </c:strCache>
            </c:strRef>
          </c:cat>
          <c:val>
            <c:numRef>
              <c:f>Sheet1!#REF!</c:f>
              <c:numCache>
                <c:formatCode>General</c:formatCode>
                <c:ptCount val="1"/>
                <c:pt idx="0">
                  <c:v>1</c:v>
                </c:pt>
              </c:numCache>
            </c:numRef>
          </c:val>
        </c:ser>
        <c:dLbls>
          <c:showLegendKey val="false"/>
          <c:showVal val="false"/>
          <c:showCatName val="false"/>
          <c:showSerName val="false"/>
          <c:showPercent val="false"/>
          <c:showBubbleSize val="false"/>
        </c:dLbls>
        <c:gapWidth val="246"/>
        <c:overlap val="-28"/>
        <c:axId val="91689728"/>
        <c:axId val="91691264"/>
      </c:barChart>
      <c:catAx>
        <c:axId val="91689728"/>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1691264"/>
        <c:crosses val="autoZero"/>
        <c:auto val="true"/>
        <c:lblAlgn val="ctr"/>
        <c:lblOffset val="100"/>
        <c:noMultiLvlLbl val="false"/>
      </c:catAx>
      <c:valAx>
        <c:axId val="91691264"/>
        <c:scaling>
          <c:orientation val="minMax"/>
        </c:scaling>
        <c:delete val="false"/>
        <c:axPos val="l"/>
        <c:majorGridlines>
          <c:spPr>
            <a:ln w="9525" cap="flat" cmpd="sng" algn="ctr">
              <a:solidFill>
                <a:schemeClr val="bg1">
                  <a:lumMod val="902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1689728"/>
        <c:crosses val="autoZero"/>
        <c:crossBetween val="between"/>
      </c:valAx>
      <c:spPr>
        <a:noFill/>
        <a:ln>
          <a:noFill/>
        </a:ln>
        <a:effectLst/>
      </c:spPr>
    </c:plotArea>
    <c:legend>
      <c:legendPos val="b"/>
      <c:legendEntry>
        <c:idx val="2"/>
        <c:delete val="true"/>
      </c:legendEntry>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0201256342111621"/>
          <c:y val="0.00637484062898428"/>
          <c:w val="0.930345494080696"/>
          <c:h val="0.638631534211645"/>
        </c:manualLayout>
      </c:layout>
      <c:barChart>
        <c:barDir val="col"/>
        <c:grouping val="clustered"/>
        <c:varyColors val="false"/>
        <c:ser>
          <c:idx val="0"/>
          <c:order val="0"/>
          <c:tx>
            <c:strRef>
              <c:f>Sheet1!$B$1</c:f>
              <c:strCache>
                <c:ptCount val="1"/>
                <c:pt idx="0">
                  <c:v>2022年</c:v>
                </c:pt>
              </c:strCache>
            </c:strRef>
          </c:tx>
          <c:spPr>
            <a:solidFill>
              <a:schemeClr val="accent1"/>
            </a:solid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一般公共预算财政拨款支出</c:v>
                </c:pt>
              </c:strCache>
            </c:strRef>
          </c:cat>
          <c:val>
            <c:numRef>
              <c:f>Sheet1!$B$2</c:f>
              <c:numCache>
                <c:formatCode>General</c:formatCode>
                <c:ptCount val="1"/>
                <c:pt idx="0">
                  <c:v>2166.77</c:v>
                </c:pt>
              </c:numCache>
            </c:numRef>
          </c:val>
        </c:ser>
        <c:ser>
          <c:idx val="1"/>
          <c:order val="1"/>
          <c:tx>
            <c:strRef>
              <c:f>Sheet1!$C$1</c:f>
              <c:strCache>
                <c:ptCount val="1"/>
                <c:pt idx="0">
                  <c:v>2023年</c:v>
                </c:pt>
              </c:strCache>
            </c:strRef>
          </c:tx>
          <c:spPr>
            <a:pattFill prst="wdDnDiag">
              <a:fgClr>
                <a:schemeClr val="accent2"/>
              </a:fgClr>
              <a:bgClr>
                <a:schemeClr val="bg1"/>
              </a:bgClr>
            </a:pattFill>
            <a:ln>
              <a:noFill/>
            </a:ln>
            <a:effectLst/>
          </c:spPr>
          <c:invertIfNegative val="false"/>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false"/>
            <c:showVal val="true"/>
            <c:showCatName val="false"/>
            <c:showSerName val="false"/>
            <c:showPercent val="false"/>
            <c:showBubbleSize val="false"/>
            <c:showLeaderLines val="fals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c:f>
              <c:strCache>
                <c:ptCount val="1"/>
                <c:pt idx="0">
                  <c:v>一般公共预算财政拨款支出</c:v>
                </c:pt>
              </c:strCache>
            </c:strRef>
          </c:cat>
          <c:val>
            <c:numRef>
              <c:f>Sheet1!$C$2</c:f>
              <c:numCache>
                <c:formatCode>General</c:formatCode>
                <c:ptCount val="1"/>
                <c:pt idx="0">
                  <c:v>2432.36</c:v>
                </c:pt>
              </c:numCache>
            </c:numRef>
          </c:val>
        </c:ser>
        <c:ser>
          <c:idx val="2"/>
          <c:order val="2"/>
          <c:tx>
            <c:strRef>
              <c:f>Sheet1!#REF!</c:f>
              <c:strCache>
                <c:ptCount val="1"/>
                <c:pt idx="0">
                  <c:v/>
                </c:pt>
              </c:strCache>
            </c:strRef>
          </c:tx>
          <c:spPr>
            <a:solidFill>
              <a:schemeClr val="accent3"/>
            </a:solidFill>
            <a:ln>
              <a:noFill/>
            </a:ln>
            <a:effectLst/>
          </c:spPr>
          <c:invertIfNegative val="false"/>
          <c:dLbls>
            <c:delete val="true"/>
          </c:dLbls>
          <c:cat>
            <c:strRef>
              <c:f>Sheet1!$A$2</c:f>
              <c:strCache>
                <c:ptCount val="1"/>
                <c:pt idx="0">
                  <c:v>一般公共预算财政拨款支出</c:v>
                </c:pt>
              </c:strCache>
            </c:strRef>
          </c:cat>
          <c:val>
            <c:numRef>
              <c:f>Sheet1!#REF!</c:f>
              <c:numCache>
                <c:formatCode>General</c:formatCode>
                <c:ptCount val="1"/>
                <c:pt idx="0">
                  <c:v>1</c:v>
                </c:pt>
              </c:numCache>
            </c:numRef>
          </c:val>
        </c:ser>
        <c:dLbls>
          <c:showLegendKey val="false"/>
          <c:showVal val="true"/>
          <c:showCatName val="false"/>
          <c:showSerName val="false"/>
          <c:showPercent val="false"/>
          <c:showBubbleSize val="false"/>
        </c:dLbls>
        <c:gapWidth val="246"/>
        <c:overlap val="-28"/>
        <c:axId val="164340096"/>
        <c:axId val="164341632"/>
      </c:barChart>
      <c:catAx>
        <c:axId val="164340096"/>
        <c:scaling>
          <c:orientation val="minMax"/>
        </c:scaling>
        <c:delete val="false"/>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4341632"/>
        <c:crosses val="autoZero"/>
        <c:auto val="true"/>
        <c:lblAlgn val="ctr"/>
        <c:lblOffset val="100"/>
        <c:noMultiLvlLbl val="false"/>
      </c:catAx>
      <c:valAx>
        <c:axId val="164341632"/>
        <c:scaling>
          <c:orientation val="minMax"/>
        </c:scaling>
        <c:delete val="false"/>
        <c:axPos val="l"/>
        <c:majorGridlines>
          <c:spPr>
            <a:ln w="9525" cap="flat" cmpd="sng" algn="ctr">
              <a:solidFill>
                <a:schemeClr val="bg1">
                  <a:lumMod val="90200"/>
                </a:schemeClr>
              </a:solidFill>
              <a:prstDash val="solid"/>
              <a:round/>
            </a:ln>
            <a:effectLst/>
          </c:spPr>
        </c:majorGridlines>
        <c:numFmt formatCode="General" sourceLinked="true"/>
        <c:majorTickMark val="none"/>
        <c:minorTickMark val="none"/>
        <c:tickLblPos val="nextTo"/>
        <c:spPr>
          <a:noFill/>
          <a:ln w="9525" cap="flat" cmpd="sng" algn="ctr">
            <a:noFill/>
            <a:prstDash val="solid"/>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164340096"/>
        <c:crosses val="autoZero"/>
        <c:crossBetween val="between"/>
      </c:valAx>
      <c:spPr>
        <a:noFill/>
        <a:ln>
          <a:noFill/>
        </a:ln>
        <a:effectLst/>
      </c:spPr>
    </c:plotArea>
    <c:legend>
      <c:legendPos val="b"/>
      <c:legendEntry>
        <c:idx val="2"/>
        <c:delete val="true"/>
      </c:legendEntry>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autoTitleDeleted val="true"/>
    <c:plotArea>
      <c:layout>
        <c:manualLayout>
          <c:layoutTarget val="inner"/>
          <c:xMode val="edge"/>
          <c:yMode val="edge"/>
          <c:x val="0.321067859021568"/>
          <c:y val="0.280502021563342"/>
          <c:w val="0.520894266175697"/>
          <c:h val="0.667264150943396"/>
        </c:manualLayout>
      </c:layout>
      <c:pieChart>
        <c:varyColors val="true"/>
        <c:ser>
          <c:idx val="0"/>
          <c:order val="0"/>
          <c:tx>
            <c:strRef>
              <c:f>Sheet1!$B$1</c:f>
              <c:strCache>
                <c:ptCount val="1"/>
                <c:pt idx="0">
                  <c:v>销售额</c:v>
                </c:pt>
              </c:strCache>
            </c:strRef>
          </c:tx>
          <c:explosion val="0"/>
          <c:dPt>
            <c:idx val="0"/>
            <c:bubble3D val="false"/>
            <c:spPr>
              <a:solidFill>
                <a:schemeClr val="accent1"/>
              </a:solidFill>
              <a:ln>
                <a:solidFill>
                  <a:schemeClr val="bg1"/>
                </a:solidFill>
              </a:ln>
              <a:effectLst/>
            </c:spPr>
          </c:dPt>
          <c:dPt>
            <c:idx val="1"/>
            <c:bubble3D val="false"/>
            <c:spPr>
              <a:pattFill prst="horzBrick">
                <a:fgClr>
                  <a:schemeClr val="accent2"/>
                </a:fgClr>
                <a:bgClr>
                  <a:schemeClr val="bg1"/>
                </a:bgClr>
              </a:pattFill>
              <a:ln>
                <a:solidFill>
                  <a:schemeClr val="bg1"/>
                </a:solidFill>
              </a:ln>
              <a:effectLst/>
            </c:spPr>
          </c:dPt>
          <c:dPt>
            <c:idx val="2"/>
            <c:bubble3D val="false"/>
            <c:spPr>
              <a:pattFill prst="wdDnDiag">
                <a:fgClr>
                  <a:schemeClr val="accent3"/>
                </a:fgClr>
                <a:bgClr>
                  <a:schemeClr val="bg1"/>
                </a:bgClr>
              </a:pattFill>
              <a:ln>
                <a:solidFill>
                  <a:schemeClr val="bg1"/>
                </a:solidFill>
              </a:ln>
              <a:effectLst/>
            </c:spPr>
          </c:dPt>
          <c:dLbls>
            <c:dLbl>
              <c:idx val="1"/>
              <c:layout>
                <c:manualLayout>
                  <c:x val="-0.0771921591141179"/>
                  <c:y val="-0.00880846519384727"/>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dLbl>
              <c:idx val="2"/>
              <c:layout>
                <c:manualLayout>
                  <c:x val="0.067276895864362"/>
                  <c:y val="-0.0229935699908084"/>
                </c:manualLayout>
              </c:layout>
              <c:dLblPos val="bestFit"/>
              <c:showLegendKey val="false"/>
              <c:showVal val="true"/>
              <c:showCatName val="false"/>
              <c:showSerName val="false"/>
              <c:showPercent val="false"/>
              <c:showBubbleSize val="false"/>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社会保障和就业支出</c:v>
                </c:pt>
                <c:pt idx="1">
                  <c:v>卫生健康支出</c:v>
                </c:pt>
                <c:pt idx="2">
                  <c:v>住房保障支出</c:v>
                </c:pt>
              </c:strCache>
            </c:strRef>
          </c:cat>
          <c:val>
            <c:numRef>
              <c:f>Sheet1!$B$2:$B$4</c:f>
              <c:numCache>
                <c:formatCode>General</c:formatCode>
                <c:ptCount val="3"/>
                <c:pt idx="0">
                  <c:v>2294.21</c:v>
                </c:pt>
                <c:pt idx="1">
                  <c:v>32.07</c:v>
                </c:pt>
                <c:pt idx="2">
                  <c:v>106.07</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manualLayout>
          <c:xMode val="edge"/>
          <c:yMode val="edge"/>
          <c:x val="0.149082568807339"/>
          <c:y val="0.0410482212803489"/>
        </c:manualLayou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dk1">
                    <a:lumMod val="75000"/>
                    <a:lumOff val="25000"/>
                  </a:schemeClr>
                </a:solidFill>
                <a:latin typeface="+mn-lt"/>
                <a:ea typeface="+mn-ea"/>
                <a:cs typeface="+mn-cs"/>
              </a:defRPr>
            </a:pPr>
            <a:r>
              <a:rPr lang="en-US" altLang="zh-CN"/>
              <a:t>“</a:t>
            </a:r>
            <a:r>
              <a:rPr altLang="en-US"/>
              <a:t>三公经费</a:t>
            </a:r>
            <a:r>
              <a:rPr lang="en-US" altLang="zh-CN"/>
              <a:t>”</a:t>
            </a:r>
            <a:r>
              <a:rPr altLang="en-US"/>
              <a:t>财政拨款支出</a:t>
            </a:r>
            <a:endParaRPr altLang="en-US"/>
          </a:p>
        </c:rich>
      </c:tx>
      <c:layout/>
      <c:overlay val="false"/>
      <c:spPr>
        <a:noFill/>
        <a:ln>
          <a:noFill/>
        </a:ln>
        <a:effectLst/>
      </c:spPr>
    </c:title>
    <c:autoTitleDeleted val="false"/>
    <c:plotArea>
      <c:layout/>
      <c:pieChart>
        <c:varyColors val="true"/>
        <c:ser>
          <c:idx val="0"/>
          <c:order val="0"/>
          <c:tx>
            <c:strRef>
              <c:f>Sheet1!$B$1</c:f>
              <c:strCache>
                <c:ptCount val="1"/>
                <c:pt idx="0">
                  <c:v>销售额</c:v>
                </c:pt>
              </c:strCache>
            </c:strRef>
          </c:tx>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spPr>
              <a:noFill/>
              <a:ln>
                <a:noFill/>
              </a:ln>
              <a:effectLst/>
            </c:spPr>
            <c:txPr>
              <a:bodyPr rot="0" spcFirstLastPara="0" vertOverflow="ellipsis" vert="horz" wrap="square" lIns="38100" tIns="19050" rIns="38100" bIns="19050" anchor="ctr" anchorCtr="true"/>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false"/>
            <c:showVal val="true"/>
            <c:showCatName val="false"/>
            <c:showSerName val="false"/>
            <c:showPercent val="false"/>
            <c:showBubbleSize val="false"/>
            <c:showLeaderLines val="true"/>
            <c:extLst>
              <c:ext xmlns:c15="http://schemas.microsoft.com/office/drawing/2012/chart" uri="{CE6537A1-D6FC-4f65-9D91-7224C49458BB}">
                <c15:layout/>
                <c15:showLeaderLines val="true"/>
                <c15:leaderLines>
                  <c:spPr>
                    <a:ln w="9525" cap="flat" cmpd="sng" algn="ctr">
                      <a:solidFill>
                        <a:schemeClr val="tx1">
                          <a:lumMod val="35000"/>
                          <a:lumOff val="65000"/>
                        </a:schemeClr>
                      </a:solidFill>
                      <a:prstDash val="solid"/>
                      <a:round/>
                    </a:ln>
                    <a:effectLst/>
                  </c:spPr>
                </c15:leaderLines>
              </c:ext>
            </c:extLst>
          </c:dLbls>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0</c:v>
                </c:pt>
                <c:pt idx="2">
                  <c:v>0.66</c:v>
                </c:pt>
              </c:numCache>
            </c:numRef>
          </c:val>
        </c:ser>
        <c:dLbls>
          <c:showLegendKey val="false"/>
          <c:showVal val="tru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zero"/>
    <c:showDLblsOverMax val="false"/>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false"/>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31</Pages>
  <Words>13049</Words>
  <Characters>14899</Characters>
  <Lines>123</Lines>
  <Paragraphs>34</Paragraphs>
  <TotalTime>0</TotalTime>
  <ScaleCrop>false</ScaleCrop>
  <LinksUpToDate>false</LinksUpToDate>
  <CharactersWithSpaces>14961</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2020-08-05T17:49:00Z</dcterms:created>
  <dc:creator>曹颖</dc:creator>
  <cp:lastModifiedBy> </cp:lastModifiedBy>
  <cp:lastPrinted>2023-10-18T11:42:00Z</cp:lastPrinted>
  <dcterms:modified xsi:type="dcterms:W3CDTF">2024-10-15T15:06:21Z</dcterms:modified>
  <dc:title>四川省***</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6B70361D626A4593B4A9C4A901EC4F63</vt:lpwstr>
  </property>
</Properties>
</file>