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2"/>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22160"/>
      <w:bookmarkStart w:id="2" w:name="_Toc15377425"/>
      <w:bookmarkStart w:id="3" w:name="_Toc15396475"/>
      <w:bookmarkStart w:id="4" w:name="_Toc15396597"/>
      <w:bookmarkStart w:id="5" w:name="_Toc13848"/>
      <w:bookmarkStart w:id="6" w:name="_Toc15378441"/>
      <w:bookmarkStart w:id="7" w:name="_Toc4135"/>
      <w:bookmarkStart w:id="8" w:name="_Toc15377193"/>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bookmarkEnd w:id="8"/>
    </w:p>
    <w:bookmarkEnd w:id="0"/>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bookmarkStart w:id="9" w:name="_Toc23959"/>
      <w:bookmarkStart w:id="10" w:name="_Toc31694"/>
      <w:bookmarkStart w:id="11" w:name="_Toc15449"/>
      <w:bookmarkStart w:id="12" w:name="_Toc15396476"/>
      <w:bookmarkStart w:id="13" w:name="_Toc15396598"/>
      <w:bookmarkStart w:id="14" w:name="_Toc15377194"/>
      <w:bookmarkStart w:id="15" w:name="_Toc15306268"/>
      <w:bookmarkStart w:id="16" w:name="_Toc15377426"/>
      <w:bookmarkStart w:id="17" w:name="_Toc15378442"/>
      <w:r>
        <w:rPr>
          <w:rFonts w:hint="eastAsia" w:ascii="方正小标宋简体" w:hAnsi="方正小标宋简体" w:eastAsia="方正小标宋简体" w:cs="方正小标宋简体"/>
          <w:sz w:val="72"/>
          <w:szCs w:val="72"/>
          <w:lang w:eastAsia="zh-CN"/>
        </w:rPr>
        <w:t>广元市精神卫生中心</w:t>
      </w:r>
      <w:bookmarkEnd w:id="9"/>
      <w:bookmarkEnd w:id="10"/>
      <w:bookmarkEnd w:id="11"/>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8" w:name="_Toc5907"/>
      <w:bookmarkStart w:id="19" w:name="_Toc18189"/>
      <w:bookmarkStart w:id="20" w:name="_Toc18307"/>
      <w:r>
        <w:rPr>
          <w:rFonts w:hint="eastAsia" w:ascii="方正小标宋简体" w:hAnsi="方正小标宋简体" w:eastAsia="方正小标宋简体" w:cs="方正小标宋简体"/>
          <w:sz w:val="72"/>
          <w:szCs w:val="72"/>
        </w:rPr>
        <w:t>单位决算</w:t>
      </w:r>
      <w:bookmarkEnd w:id="12"/>
      <w:bookmarkEnd w:id="13"/>
      <w:bookmarkEnd w:id="14"/>
      <w:bookmarkEnd w:id="15"/>
      <w:bookmarkEnd w:id="16"/>
      <w:bookmarkEnd w:id="17"/>
      <w:bookmarkEnd w:id="18"/>
      <w:bookmarkEnd w:id="19"/>
      <w:bookmarkEnd w:id="20"/>
    </w:p>
    <w:p>
      <w:pPr>
        <w:widowControl/>
        <w:jc w:val="center"/>
        <w:rPr>
          <w:rFonts w:hint="eastAsia" w:ascii="黑体" w:hAnsi="黑体" w:eastAsia="黑体"/>
          <w:sz w:val="48"/>
          <w:szCs w:val="48"/>
        </w:rPr>
        <w:sectPr>
          <w:footerReference r:id="rId3" w:type="default"/>
          <w:pgSz w:w="11906" w:h="16838"/>
          <w:pgMar w:top="1440" w:right="1800" w:bottom="1440" w:left="1800" w:header="851" w:footer="992" w:gutter="0"/>
          <w:pgNumType w:fmt="decimal" w:start="1"/>
          <w:cols w:space="425" w:num="1"/>
          <w:titlePg/>
          <w:docGrid w:type="lines" w:linePitch="312" w:charSpace="0"/>
        </w:sectPr>
      </w:pP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3"/>
      </w:pPr>
      <w:r>
        <w:rPr>
          <w:rFonts w:hint="eastAsia"/>
        </w:rPr>
        <w:t>公开时间：202</w:t>
      </w:r>
      <w:r>
        <w:rPr>
          <w:rFonts w:hint="eastAsia"/>
          <w:lang w:val="en-US" w:eastAsia="zh-CN"/>
        </w:rPr>
        <w:t>4</w:t>
      </w:r>
      <w:r>
        <w:rPr>
          <w:rFonts w:hint="eastAsia"/>
        </w:rPr>
        <w:t>年</w:t>
      </w:r>
      <w:r>
        <w:rPr>
          <w:rFonts w:hint="eastAsia"/>
          <w:lang w:val="en-US" w:eastAsia="zh-CN"/>
        </w:rPr>
        <w:t>10月14</w:t>
      </w:r>
      <w:r>
        <w:rPr>
          <w:rFonts w:hint="eastAsia"/>
        </w:rPr>
        <w:t>日</w:t>
      </w:r>
    </w:p>
    <w:p/>
    <w:sdt>
      <w:sdtPr>
        <w:rPr>
          <w:rFonts w:ascii="宋体" w:hAnsi="宋体" w:eastAsia="宋体" w:cs="Times New Roman"/>
          <w:kern w:val="2"/>
          <w:sz w:val="21"/>
          <w:szCs w:val="24"/>
          <w:lang w:val="en-US" w:eastAsia="zh-CN" w:bidi="ar-SA"/>
        </w:rPr>
        <w:id w:val="147460562"/>
        <w15:color w:val="DBDBDB"/>
        <w:docPartObj>
          <w:docPartGallery w:val="Table of Contents"/>
          <w:docPartUnique/>
        </w:docPartObj>
      </w:sdtPr>
      <w:sdtEndPr>
        <w:rPr>
          <w:rFonts w:ascii="宋体" w:hAnsi="宋体" w:eastAsia="宋体" w:cs="Times New Roman"/>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30"/>
              <w:szCs w:val="30"/>
              <w:lang w:val="en-US" w:eastAsia="zh-CN" w:bidi="ar-SA"/>
            </w:rPr>
          </w:pPr>
          <w:bookmarkStart w:id="21" w:name="_Toc15377196"/>
          <w:bookmarkStart w:id="22" w:name="_Toc15396599"/>
          <w:r>
            <w:rPr>
              <w:sz w:val="30"/>
              <w:szCs w:val="30"/>
            </w:rPr>
            <w:fldChar w:fldCharType="begin"/>
          </w:r>
          <w:r>
            <w:rPr>
              <w:sz w:val="30"/>
              <w:szCs w:val="30"/>
            </w:rPr>
            <w:instrText xml:space="preserve">TOC \o "1-3" \h \u </w:instrText>
          </w:r>
          <w:r>
            <w:rPr>
              <w:sz w:val="30"/>
              <w:szCs w:val="30"/>
            </w:rPr>
            <w:fldChar w:fldCharType="separate"/>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HYPERLINK \l _Toc20274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第一部分 单位概况</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_Toc20274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w:t>
          </w:r>
          <w:r>
            <w:rPr>
              <w:rFonts w:hint="eastAsia" w:ascii="宋体" w:hAnsi="宋体" w:eastAsia="宋体" w:cs="宋体"/>
              <w:b/>
              <w:bCs/>
              <w:sz w:val="30"/>
              <w:szCs w:val="30"/>
            </w:rPr>
            <w:fldChar w:fldCharType="end"/>
          </w:r>
          <w:r>
            <w:rPr>
              <w:rFonts w:hint="eastAsia" w:ascii="宋体" w:hAnsi="宋体" w:eastAsia="宋体" w:cs="宋体"/>
              <w:b/>
              <w:bCs/>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_Toc29631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一、主要职责</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_Toc29631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_Toc28539 </w:instrText>
          </w:r>
          <w:r>
            <w:rPr>
              <w:rFonts w:hint="eastAsia" w:ascii="宋体" w:hAnsi="宋体" w:eastAsia="宋体" w:cs="宋体"/>
              <w:sz w:val="30"/>
              <w:szCs w:val="30"/>
            </w:rPr>
            <w:fldChar w:fldCharType="separate"/>
          </w:r>
          <w:r>
            <w:rPr>
              <w:rFonts w:hint="eastAsia" w:ascii="宋体" w:hAnsi="宋体" w:eastAsia="宋体" w:cs="宋体"/>
              <w:sz w:val="30"/>
              <w:szCs w:val="30"/>
            </w:rPr>
            <w:t>二、机构设置</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_Toc28539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HYPERLINK \l _Toc11147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第二部分 2023年度单位决算情况说明</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_Toc11147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3</w:t>
          </w:r>
          <w:r>
            <w:rPr>
              <w:rFonts w:hint="eastAsia" w:ascii="宋体" w:hAnsi="宋体" w:eastAsia="宋体" w:cs="宋体"/>
              <w:b/>
              <w:bCs/>
              <w:sz w:val="30"/>
              <w:szCs w:val="30"/>
            </w:rPr>
            <w:fldChar w:fldCharType="end"/>
          </w:r>
          <w:r>
            <w:rPr>
              <w:rFonts w:hint="eastAsia" w:ascii="宋体" w:hAnsi="宋体" w:eastAsia="宋体" w:cs="宋体"/>
              <w:b/>
              <w:bCs/>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_Toc26431 </w:instrText>
          </w:r>
          <w:r>
            <w:rPr>
              <w:rFonts w:hint="eastAsia" w:ascii="宋体" w:hAnsi="宋体" w:eastAsia="宋体" w:cs="宋体"/>
              <w:sz w:val="30"/>
              <w:szCs w:val="30"/>
            </w:rPr>
            <w:fldChar w:fldCharType="separate"/>
          </w:r>
          <w:r>
            <w:rPr>
              <w:rFonts w:hint="eastAsia" w:ascii="宋体" w:hAnsi="宋体" w:eastAsia="宋体" w:cs="宋体"/>
              <w:sz w:val="30"/>
              <w:szCs w:val="30"/>
            </w:rPr>
            <w:t>一、收入支出决算总体情况说明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_Toc26431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_Toc11109 </w:instrText>
          </w:r>
          <w:r>
            <w:rPr>
              <w:rFonts w:hint="eastAsia" w:ascii="宋体" w:hAnsi="宋体" w:eastAsia="宋体" w:cs="宋体"/>
              <w:sz w:val="30"/>
              <w:szCs w:val="30"/>
            </w:rPr>
            <w:fldChar w:fldCharType="separate"/>
          </w:r>
          <w:r>
            <w:rPr>
              <w:rFonts w:hint="eastAsia" w:ascii="宋体" w:hAnsi="宋体" w:eastAsia="宋体" w:cs="宋体"/>
              <w:sz w:val="30"/>
              <w:szCs w:val="30"/>
            </w:rPr>
            <w:t>二、收入决算情况说明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_Toc11109 \h </w:instrText>
          </w:r>
          <w:r>
            <w:rPr>
              <w:rFonts w:hint="eastAsia" w:ascii="宋体" w:hAnsi="宋体" w:eastAsia="宋体" w:cs="宋体"/>
              <w:sz w:val="30"/>
              <w:szCs w:val="30"/>
            </w:rPr>
            <w:fldChar w:fldCharType="separate"/>
          </w:r>
          <w:r>
            <w:rPr>
              <w:rFonts w:hint="eastAsia" w:ascii="宋体" w:hAnsi="宋体" w:eastAsia="宋体" w:cs="宋体"/>
              <w:sz w:val="30"/>
              <w:szCs w:val="30"/>
            </w:rPr>
            <w:t>3</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_Toc10133 </w:instrText>
          </w:r>
          <w:r>
            <w:rPr>
              <w:rFonts w:hint="eastAsia" w:ascii="宋体" w:hAnsi="宋体" w:eastAsia="宋体" w:cs="宋体"/>
              <w:sz w:val="30"/>
              <w:szCs w:val="30"/>
            </w:rPr>
            <w:fldChar w:fldCharType="separate"/>
          </w:r>
          <w:r>
            <w:rPr>
              <w:rFonts w:hint="eastAsia" w:ascii="宋体" w:hAnsi="宋体" w:eastAsia="宋体" w:cs="宋体"/>
              <w:sz w:val="30"/>
              <w:szCs w:val="30"/>
            </w:rPr>
            <w:t>三、支出决算情况说明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_Toc10133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_Toc18869 </w:instrText>
          </w:r>
          <w:r>
            <w:rPr>
              <w:rFonts w:hint="eastAsia" w:ascii="宋体" w:hAnsi="宋体" w:eastAsia="宋体" w:cs="宋体"/>
              <w:sz w:val="30"/>
              <w:szCs w:val="30"/>
            </w:rPr>
            <w:fldChar w:fldCharType="separate"/>
          </w:r>
          <w:r>
            <w:rPr>
              <w:rFonts w:hint="eastAsia" w:ascii="宋体" w:hAnsi="宋体" w:eastAsia="宋体" w:cs="宋体"/>
              <w:sz w:val="30"/>
              <w:szCs w:val="30"/>
            </w:rPr>
            <w:t>四、财政拨款收入支出决算总体情况说明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_Toc18869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_Toc21845 </w:instrText>
          </w:r>
          <w:r>
            <w:rPr>
              <w:rFonts w:hint="eastAsia" w:ascii="宋体" w:hAnsi="宋体" w:eastAsia="宋体" w:cs="宋体"/>
              <w:sz w:val="30"/>
              <w:szCs w:val="30"/>
            </w:rPr>
            <w:fldChar w:fldCharType="separate"/>
          </w:r>
          <w:r>
            <w:rPr>
              <w:rFonts w:hint="eastAsia" w:ascii="宋体" w:hAnsi="宋体" w:eastAsia="宋体" w:cs="宋体"/>
              <w:sz w:val="30"/>
              <w:szCs w:val="30"/>
            </w:rPr>
            <w:t>五、一般公共预算财政拨款支出决算情况说明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_Toc21845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_Toc15584 </w:instrText>
          </w:r>
          <w:r>
            <w:rPr>
              <w:rFonts w:hint="eastAsia" w:ascii="宋体" w:hAnsi="宋体" w:eastAsia="宋体" w:cs="宋体"/>
              <w:sz w:val="30"/>
              <w:szCs w:val="30"/>
            </w:rPr>
            <w:fldChar w:fldCharType="separate"/>
          </w:r>
          <w:r>
            <w:rPr>
              <w:rFonts w:hint="eastAsia" w:ascii="宋体" w:hAnsi="宋体" w:eastAsia="宋体" w:cs="宋体"/>
              <w:sz w:val="30"/>
              <w:szCs w:val="30"/>
            </w:rPr>
            <w:t>六、一般公共预算财政拨款基本支出决算情况说明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_Toc15584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_Toc83 </w:instrText>
          </w:r>
          <w:r>
            <w:rPr>
              <w:rFonts w:hint="eastAsia" w:ascii="宋体" w:hAnsi="宋体" w:eastAsia="宋体" w:cs="宋体"/>
              <w:sz w:val="30"/>
              <w:szCs w:val="30"/>
            </w:rPr>
            <w:fldChar w:fldCharType="separate"/>
          </w:r>
          <w:r>
            <w:rPr>
              <w:rFonts w:hint="eastAsia" w:ascii="宋体" w:hAnsi="宋体" w:eastAsia="宋体" w:cs="宋体"/>
              <w:sz w:val="30"/>
              <w:szCs w:val="30"/>
            </w:rPr>
            <w:t>七、财政拨款“三公”经费支出决算情况说明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_Toc83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_Toc12512 </w:instrText>
          </w:r>
          <w:r>
            <w:rPr>
              <w:rFonts w:hint="eastAsia" w:ascii="宋体" w:hAnsi="宋体" w:eastAsia="宋体" w:cs="宋体"/>
              <w:sz w:val="30"/>
              <w:szCs w:val="30"/>
            </w:rPr>
            <w:fldChar w:fldCharType="separate"/>
          </w:r>
          <w:r>
            <w:rPr>
              <w:rFonts w:hint="eastAsia" w:ascii="宋体" w:hAnsi="宋体" w:eastAsia="宋体" w:cs="宋体"/>
              <w:sz w:val="30"/>
              <w:szCs w:val="30"/>
            </w:rPr>
            <w:t>八、政府性基金预算支出决算情况说明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_Toc12512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_Toc32106 </w:instrText>
          </w:r>
          <w:r>
            <w:rPr>
              <w:rFonts w:hint="eastAsia" w:ascii="宋体" w:hAnsi="宋体" w:eastAsia="宋体" w:cs="宋体"/>
              <w:sz w:val="30"/>
              <w:szCs w:val="30"/>
            </w:rPr>
            <w:fldChar w:fldCharType="separate"/>
          </w:r>
          <w:r>
            <w:rPr>
              <w:rFonts w:hint="eastAsia" w:ascii="宋体" w:hAnsi="宋体" w:eastAsia="宋体" w:cs="宋体"/>
              <w:sz w:val="30"/>
              <w:szCs w:val="30"/>
            </w:rPr>
            <w:t>九、国有资本经营预算支出决算情况说明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_Toc32106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_Toc28516 </w:instrText>
          </w:r>
          <w:r>
            <w:rPr>
              <w:rFonts w:hint="eastAsia" w:ascii="宋体" w:hAnsi="宋体" w:eastAsia="宋体" w:cs="宋体"/>
              <w:sz w:val="30"/>
              <w:szCs w:val="30"/>
            </w:rPr>
            <w:fldChar w:fldCharType="separate"/>
          </w:r>
          <w:r>
            <w:rPr>
              <w:rFonts w:hint="eastAsia" w:ascii="宋体" w:hAnsi="宋体" w:eastAsia="宋体" w:cs="宋体"/>
              <w:sz w:val="30"/>
              <w:szCs w:val="30"/>
            </w:rPr>
            <w:t>十、其他重要事项的情况说明</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_Toc28516 \h </w:instrText>
          </w:r>
          <w:r>
            <w:rPr>
              <w:rFonts w:hint="eastAsia" w:ascii="宋体" w:hAnsi="宋体" w:eastAsia="宋体" w:cs="宋体"/>
              <w:sz w:val="30"/>
              <w:szCs w:val="30"/>
            </w:rPr>
            <w:fldChar w:fldCharType="separate"/>
          </w:r>
          <w:r>
            <w:rPr>
              <w:rFonts w:hint="eastAsia" w:ascii="宋体" w:hAnsi="宋体" w:eastAsia="宋体" w:cs="宋体"/>
              <w:sz w:val="30"/>
              <w:szCs w:val="30"/>
            </w:rPr>
            <w:t>12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HYPERLINK \l _Toc5424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第三部分 名词解释</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_Toc5424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14</w:t>
          </w:r>
          <w:r>
            <w:rPr>
              <w:rFonts w:hint="eastAsia" w:ascii="宋体" w:hAnsi="宋体" w:eastAsia="宋体" w:cs="宋体"/>
              <w:b/>
              <w:bCs/>
              <w:sz w:val="30"/>
              <w:szCs w:val="30"/>
            </w:rPr>
            <w:fldChar w:fldCharType="end"/>
          </w:r>
          <w:r>
            <w:rPr>
              <w:rFonts w:hint="eastAsia" w:ascii="宋体" w:hAnsi="宋体" w:eastAsia="宋体" w:cs="宋体"/>
              <w:b/>
              <w:bCs/>
              <w:sz w:val="30"/>
              <w:szCs w:val="30"/>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HYPERLINK \l _Toc16333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lang w:eastAsia="zh-CN"/>
            </w:rPr>
            <w:t>第四部分</w:t>
          </w:r>
          <w:r>
            <w:rPr>
              <w:rFonts w:hint="eastAsia" w:ascii="宋体" w:hAnsi="宋体" w:eastAsia="宋体" w:cs="宋体"/>
              <w:b/>
              <w:bCs/>
              <w:sz w:val="30"/>
              <w:szCs w:val="30"/>
              <w:lang w:val="en-US" w:eastAsia="zh-CN"/>
            </w:rPr>
            <w:t xml:space="preserve"> </w:t>
          </w:r>
          <w:r>
            <w:rPr>
              <w:rFonts w:hint="eastAsia" w:ascii="宋体" w:hAnsi="宋体" w:eastAsia="宋体" w:cs="宋体"/>
              <w:b/>
              <w:bCs/>
              <w:sz w:val="30"/>
              <w:szCs w:val="30"/>
            </w:rPr>
            <w:t>附件</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_Toc16333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17</w:t>
          </w:r>
          <w:r>
            <w:rPr>
              <w:rFonts w:hint="eastAsia" w:ascii="宋体" w:hAnsi="宋体" w:eastAsia="宋体" w:cs="宋体"/>
              <w:b/>
              <w:bCs/>
              <w:sz w:val="30"/>
              <w:szCs w:val="30"/>
            </w:rPr>
            <w:fldChar w:fldCharType="end"/>
          </w:r>
          <w:r>
            <w:rPr>
              <w:rFonts w:hint="eastAsia" w:ascii="宋体" w:hAnsi="宋体" w:eastAsia="宋体" w:cs="宋体"/>
              <w:b/>
              <w:bCs/>
              <w:sz w:val="30"/>
              <w:szCs w:val="30"/>
            </w:rPr>
            <w:fldChar w:fldCharType="end"/>
          </w:r>
        </w:p>
        <w:p>
          <w:pPr>
            <w:pStyle w:val="3"/>
            <w:tabs>
              <w:tab w:val="right" w:leader="dot" w:pos="8306"/>
              <w:tab w:val="clear" w:pos="8296"/>
            </w:tabs>
            <w:rPr>
              <w:rFonts w:hint="eastAsia" w:ascii="宋体" w:hAnsi="宋体" w:eastAsia="宋体" w:cs="宋体"/>
              <w:b/>
              <w:bCs/>
              <w:sz w:val="30"/>
              <w:szCs w:val="30"/>
            </w:rPr>
          </w:pP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HYPERLINK \l _Toc30168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第五部分 附表</w:t>
          </w:r>
          <w:r>
            <w:rPr>
              <w:rFonts w:hint="eastAsia" w:ascii="宋体" w:hAnsi="宋体" w:eastAsia="宋体" w:cs="宋体"/>
              <w:b/>
              <w:bCs/>
              <w:sz w:val="30"/>
              <w:szCs w:val="30"/>
            </w:rPr>
            <w:tab/>
          </w:r>
          <w:r>
            <w:rPr>
              <w:rFonts w:hint="eastAsia" w:ascii="宋体" w:hAnsi="宋体" w:eastAsia="宋体" w:cs="宋体"/>
              <w:b/>
              <w:bCs/>
              <w:sz w:val="30"/>
              <w:szCs w:val="30"/>
            </w:rPr>
            <w:fldChar w:fldCharType="begin"/>
          </w:r>
          <w:r>
            <w:rPr>
              <w:rFonts w:hint="eastAsia" w:ascii="宋体" w:hAnsi="宋体" w:eastAsia="宋体" w:cs="宋体"/>
              <w:b/>
              <w:bCs/>
              <w:sz w:val="30"/>
              <w:szCs w:val="30"/>
            </w:rPr>
            <w:instrText xml:space="preserve"> PAGEREF _Toc30168 \h </w:instrText>
          </w:r>
          <w:r>
            <w:rPr>
              <w:rFonts w:hint="eastAsia" w:ascii="宋体" w:hAnsi="宋体" w:eastAsia="宋体" w:cs="宋体"/>
              <w:b/>
              <w:bCs/>
              <w:sz w:val="30"/>
              <w:szCs w:val="30"/>
            </w:rPr>
            <w:fldChar w:fldCharType="separate"/>
          </w:r>
          <w:r>
            <w:rPr>
              <w:rFonts w:hint="eastAsia" w:ascii="宋体" w:hAnsi="宋体" w:eastAsia="宋体" w:cs="宋体"/>
              <w:b/>
              <w:bCs/>
              <w:sz w:val="30"/>
              <w:szCs w:val="30"/>
            </w:rPr>
            <w:t>52</w:t>
          </w:r>
          <w:r>
            <w:rPr>
              <w:rFonts w:hint="eastAsia" w:ascii="宋体" w:hAnsi="宋体" w:eastAsia="宋体" w:cs="宋体"/>
              <w:b/>
              <w:bCs/>
              <w:sz w:val="30"/>
              <w:szCs w:val="30"/>
            </w:rPr>
            <w:fldChar w:fldCharType="end"/>
          </w:r>
          <w:r>
            <w:rPr>
              <w:rFonts w:hint="eastAsia" w:ascii="宋体" w:hAnsi="宋体" w:eastAsia="宋体" w:cs="宋体"/>
              <w:b/>
              <w:bCs/>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_Toc2818 </w:instrText>
          </w:r>
          <w:r>
            <w:rPr>
              <w:rFonts w:hint="eastAsia" w:ascii="宋体" w:hAnsi="宋体" w:eastAsia="宋体" w:cs="宋体"/>
              <w:sz w:val="30"/>
              <w:szCs w:val="30"/>
            </w:rPr>
            <w:fldChar w:fldCharType="separate"/>
          </w:r>
          <w:r>
            <w:rPr>
              <w:rFonts w:hint="eastAsia" w:ascii="宋体" w:hAnsi="宋体" w:eastAsia="宋体" w:cs="宋体"/>
              <w:sz w:val="30"/>
              <w:szCs w:val="30"/>
            </w:rPr>
            <w:t>一、收</w:t>
          </w:r>
          <w:r>
            <w:rPr>
              <w:rFonts w:hint="eastAsia" w:ascii="宋体" w:hAnsi="宋体" w:eastAsia="宋体" w:cs="宋体"/>
              <w:bCs w:val="0"/>
              <w:sz w:val="30"/>
              <w:szCs w:val="30"/>
            </w:rPr>
            <w:t>入支出决算总表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_Toc2818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_Toc23251 </w:instrText>
          </w:r>
          <w:r>
            <w:rPr>
              <w:rFonts w:hint="eastAsia" w:ascii="宋体" w:hAnsi="宋体" w:eastAsia="宋体" w:cs="宋体"/>
              <w:sz w:val="30"/>
              <w:szCs w:val="30"/>
            </w:rPr>
            <w:fldChar w:fldCharType="separate"/>
          </w:r>
          <w:r>
            <w:rPr>
              <w:rFonts w:hint="eastAsia" w:ascii="宋体" w:hAnsi="宋体" w:eastAsia="宋体" w:cs="宋体"/>
              <w:sz w:val="30"/>
              <w:szCs w:val="30"/>
            </w:rPr>
            <w:t>二、收</w:t>
          </w:r>
          <w:r>
            <w:rPr>
              <w:rFonts w:hint="eastAsia" w:ascii="宋体" w:hAnsi="宋体" w:eastAsia="宋体" w:cs="宋体"/>
              <w:bCs w:val="0"/>
              <w:sz w:val="30"/>
              <w:szCs w:val="30"/>
            </w:rPr>
            <w:t>入决算表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_Toc23251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_Toc24039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三、</w:t>
          </w:r>
          <w:r>
            <w:rPr>
              <w:rFonts w:hint="eastAsia" w:ascii="宋体" w:hAnsi="宋体" w:eastAsia="宋体" w:cs="宋体"/>
              <w:sz w:val="30"/>
              <w:szCs w:val="30"/>
            </w:rPr>
            <w:t>支</w:t>
          </w:r>
          <w:r>
            <w:rPr>
              <w:rFonts w:hint="eastAsia" w:ascii="宋体" w:hAnsi="宋体" w:eastAsia="宋体" w:cs="宋体"/>
              <w:bCs w:val="0"/>
              <w:sz w:val="30"/>
              <w:szCs w:val="30"/>
            </w:rPr>
            <w:t>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_Toc24039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_Toc23491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四、</w:t>
          </w:r>
          <w:r>
            <w:rPr>
              <w:rFonts w:hint="eastAsia" w:ascii="宋体" w:hAnsi="宋体" w:eastAsia="宋体" w:cs="宋体"/>
              <w:sz w:val="30"/>
              <w:szCs w:val="30"/>
            </w:rPr>
            <w:t>财</w:t>
          </w:r>
          <w:r>
            <w:rPr>
              <w:rFonts w:hint="eastAsia" w:ascii="宋体" w:hAnsi="宋体" w:eastAsia="宋体" w:cs="宋体"/>
              <w:bCs w:val="0"/>
              <w:sz w:val="30"/>
              <w:szCs w:val="30"/>
            </w:rPr>
            <w:t>政拨款收入支出决算总表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_Toc23491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_Toc28886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五、</w:t>
          </w:r>
          <w:r>
            <w:rPr>
              <w:rFonts w:hint="eastAsia" w:ascii="宋体" w:hAnsi="宋体" w:eastAsia="宋体" w:cs="宋体"/>
              <w:sz w:val="30"/>
              <w:szCs w:val="30"/>
            </w:rPr>
            <w:t>财</w:t>
          </w:r>
          <w:r>
            <w:rPr>
              <w:rFonts w:hint="eastAsia" w:ascii="宋体" w:hAnsi="宋体" w:eastAsia="宋体" w:cs="宋体"/>
              <w:bCs w:val="0"/>
              <w:sz w:val="30"/>
              <w:szCs w:val="30"/>
            </w:rPr>
            <w:t>政拨款支出决算明细表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_Toc28886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_Toc22999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六、</w:t>
          </w:r>
          <w:r>
            <w:rPr>
              <w:rFonts w:hint="eastAsia" w:ascii="宋体" w:hAnsi="宋体" w:eastAsia="宋体" w:cs="宋体"/>
              <w:sz w:val="30"/>
              <w:szCs w:val="30"/>
            </w:rPr>
            <w:t>一</w:t>
          </w:r>
          <w:r>
            <w:rPr>
              <w:rFonts w:hint="eastAsia" w:ascii="宋体" w:hAnsi="宋体" w:eastAsia="宋体" w:cs="宋体"/>
              <w:bCs w:val="0"/>
              <w:sz w:val="30"/>
              <w:szCs w:val="30"/>
            </w:rPr>
            <w:t>般公共预算财政拨款支出决算表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_Toc22999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_Toc27031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七、</w:t>
          </w:r>
          <w:r>
            <w:rPr>
              <w:rFonts w:hint="eastAsia" w:ascii="宋体" w:hAnsi="宋体" w:eastAsia="宋体" w:cs="宋体"/>
              <w:sz w:val="30"/>
              <w:szCs w:val="30"/>
            </w:rPr>
            <w:t>一</w:t>
          </w:r>
          <w:r>
            <w:rPr>
              <w:rFonts w:hint="eastAsia" w:ascii="宋体" w:hAnsi="宋体" w:eastAsia="宋体" w:cs="宋体"/>
              <w:bCs w:val="0"/>
              <w:sz w:val="30"/>
              <w:szCs w:val="30"/>
            </w:rPr>
            <w:t>般公共预算财政拨款支出决算明细表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_Toc27031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_Toc20418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八、</w:t>
          </w:r>
          <w:r>
            <w:rPr>
              <w:rFonts w:hint="eastAsia" w:ascii="宋体" w:hAnsi="宋体" w:eastAsia="宋体" w:cs="宋体"/>
              <w:sz w:val="30"/>
              <w:szCs w:val="30"/>
            </w:rPr>
            <w:t>一</w:t>
          </w:r>
          <w:r>
            <w:rPr>
              <w:rFonts w:hint="eastAsia" w:ascii="宋体" w:hAnsi="宋体" w:eastAsia="宋体" w:cs="宋体"/>
              <w:bCs w:val="0"/>
              <w:sz w:val="30"/>
              <w:szCs w:val="30"/>
            </w:rPr>
            <w:t>般公共预算财政拨款基本支出决算表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_Toc20418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_Toc15344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九、</w:t>
          </w:r>
          <w:r>
            <w:rPr>
              <w:rFonts w:hint="eastAsia" w:ascii="宋体" w:hAnsi="宋体" w:eastAsia="宋体" w:cs="宋体"/>
              <w:sz w:val="30"/>
              <w:szCs w:val="30"/>
            </w:rPr>
            <w:t>一</w:t>
          </w:r>
          <w:r>
            <w:rPr>
              <w:rFonts w:hint="eastAsia" w:ascii="宋体" w:hAnsi="宋体" w:eastAsia="宋体" w:cs="宋体"/>
              <w:bCs w:val="0"/>
              <w:sz w:val="30"/>
              <w:szCs w:val="30"/>
            </w:rPr>
            <w:t>般公共预算财政拨款项目支出决算表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_Toc15344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_Toc16008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十、</w:t>
          </w:r>
          <w:r>
            <w:rPr>
              <w:rFonts w:hint="eastAsia" w:ascii="宋体" w:hAnsi="宋体" w:eastAsia="宋体" w:cs="宋体"/>
              <w:sz w:val="30"/>
              <w:szCs w:val="30"/>
            </w:rPr>
            <w:t>政</w:t>
          </w:r>
          <w:r>
            <w:rPr>
              <w:rFonts w:hint="eastAsia" w:ascii="宋体" w:hAnsi="宋体" w:eastAsia="宋体" w:cs="宋体"/>
              <w:bCs w:val="0"/>
              <w:sz w:val="30"/>
              <w:szCs w:val="30"/>
            </w:rPr>
            <w:t>府性基金预算财政拨款收入支出决算表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_Toc16008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_Toc14280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十一、</w:t>
          </w:r>
          <w:r>
            <w:rPr>
              <w:rFonts w:hint="eastAsia" w:ascii="宋体" w:hAnsi="宋体" w:eastAsia="宋体" w:cs="宋体"/>
              <w:sz w:val="30"/>
              <w:szCs w:val="30"/>
            </w:rPr>
            <w:t>国</w:t>
          </w:r>
          <w:r>
            <w:rPr>
              <w:rFonts w:hint="eastAsia" w:ascii="宋体" w:hAnsi="宋体" w:eastAsia="宋体" w:cs="宋体"/>
              <w:bCs w:val="0"/>
              <w:sz w:val="30"/>
              <w:szCs w:val="30"/>
            </w:rPr>
            <w:t>有资本经营预算财政拨款收入支出决算表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_Toc14280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_Toc1442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十二、国有资本经营预算财政拨款支出决算表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_Toc1442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2"/>
            <w:tabs>
              <w:tab w:val="right" w:leader="dot" w:pos="8306"/>
              <w:tab w:val="clear" w:pos="8296"/>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_Toc31030 </w:instrText>
          </w:r>
          <w:r>
            <w:rPr>
              <w:rFonts w:hint="eastAsia" w:ascii="宋体" w:hAnsi="宋体" w:eastAsia="宋体" w:cs="宋体"/>
              <w:sz w:val="30"/>
              <w:szCs w:val="30"/>
            </w:rPr>
            <w:fldChar w:fldCharType="separate"/>
          </w:r>
          <w:r>
            <w:rPr>
              <w:rFonts w:hint="eastAsia" w:ascii="宋体" w:hAnsi="宋体" w:eastAsia="宋体" w:cs="宋体"/>
              <w:bCs w:val="0"/>
              <w:sz w:val="30"/>
              <w:szCs w:val="30"/>
            </w:rPr>
            <w:t>十三、财政拨款“三公”经费支出决算表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_Toc31030 \h </w:instrText>
          </w:r>
          <w:r>
            <w:rPr>
              <w:rFonts w:hint="eastAsia" w:ascii="宋体" w:hAnsi="宋体" w:eastAsia="宋体" w:cs="宋体"/>
              <w:sz w:val="30"/>
              <w:szCs w:val="30"/>
            </w:rPr>
            <w:fldChar w:fldCharType="separate"/>
          </w:r>
          <w:r>
            <w:rPr>
              <w:rFonts w:hint="eastAsia" w:ascii="宋体" w:hAnsi="宋体" w:eastAsia="宋体" w:cs="宋体"/>
              <w:sz w:val="30"/>
              <w:szCs w:val="30"/>
            </w:rPr>
            <w:t>52</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spacing w:before="0" w:beforeLines="0" w:after="0" w:afterLines="0" w:line="240" w:lineRule="auto"/>
            <w:ind w:left="0" w:leftChars="0" w:right="0" w:rightChars="0" w:firstLine="0" w:firstLineChars="0"/>
            <w:jc w:val="center"/>
            <w:rPr>
              <w:sz w:val="30"/>
              <w:szCs w:val="30"/>
            </w:rPr>
          </w:pPr>
          <w:r>
            <w:rPr>
              <w:sz w:val="30"/>
              <w:szCs w:val="30"/>
            </w:rPr>
            <w:fldChar w:fldCharType="end"/>
          </w:r>
        </w:p>
      </w:sdtContent>
    </w:sdt>
    <w:p>
      <w:pPr>
        <w:pStyle w:val="4"/>
        <w:jc w:val="center"/>
        <w:rPr>
          <w:rFonts w:hint="eastAsia" w:ascii="黑体" w:hAnsi="黑体" w:eastAsia="黑体"/>
          <w:b w:val="0"/>
          <w:sz w:val="30"/>
          <w:szCs w:val="30"/>
        </w:rPr>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pPr>
    </w:p>
    <w:p>
      <w:pPr>
        <w:pStyle w:val="4"/>
        <w:jc w:val="center"/>
        <w:rPr>
          <w:rFonts w:ascii="黑体" w:eastAsia="黑体"/>
          <w:sz w:val="32"/>
          <w:szCs w:val="32"/>
        </w:rPr>
      </w:pPr>
      <w:bookmarkStart w:id="23" w:name="_Toc20274"/>
      <w:r>
        <w:rPr>
          <w:rFonts w:hint="eastAsia" w:ascii="黑体" w:hAnsi="黑体" w:eastAsia="黑体"/>
          <w:b w:val="0"/>
        </w:rPr>
        <w:t>第一部分 单位</w:t>
      </w:r>
      <w:r>
        <w:rPr>
          <w:rStyle w:val="28"/>
          <w:rFonts w:hint="eastAsia" w:ascii="黑体" w:hAnsi="黑体" w:eastAsia="黑体"/>
          <w:b w:val="0"/>
          <w:bCs w:val="0"/>
        </w:rPr>
        <w:t>概况</w:t>
      </w:r>
      <w:bookmarkEnd w:id="21"/>
      <w:bookmarkEnd w:id="22"/>
      <w:bookmarkEnd w:id="23"/>
    </w:p>
    <w:p>
      <w:pPr>
        <w:pStyle w:val="5"/>
        <w:numPr>
          <w:ilvl w:val="0"/>
          <w:numId w:val="1"/>
        </w:numPr>
        <w:rPr>
          <w:rStyle w:val="29"/>
          <w:rFonts w:ascii="黑体" w:hAnsi="黑体" w:eastAsia="黑体"/>
          <w:b w:val="0"/>
          <w:bCs w:val="0"/>
        </w:rPr>
      </w:pPr>
      <w:bookmarkStart w:id="24" w:name="_Toc29631"/>
      <w:bookmarkStart w:id="25" w:name="_Toc15396600"/>
      <w:bookmarkStart w:id="26" w:name="_Toc15377197"/>
      <w:r>
        <w:rPr>
          <w:rStyle w:val="29"/>
          <w:rFonts w:hint="eastAsia" w:ascii="黑体" w:hAnsi="黑体" w:eastAsia="黑体"/>
          <w:b w:val="0"/>
          <w:bCs w:val="0"/>
        </w:rPr>
        <w:t>主要职责</w:t>
      </w:r>
      <w:bookmarkEnd w:id="24"/>
    </w:p>
    <w:p>
      <w:pPr>
        <w:spacing w:line="600" w:lineRule="exact"/>
        <w:ind w:firstLine="640" w:firstLineChars="200"/>
        <w:rPr>
          <w:rFonts w:ascii="仿宋" w:hAnsi="仿宋" w:eastAsia="仿宋"/>
          <w:sz w:val="32"/>
          <w:szCs w:val="32"/>
        </w:rPr>
      </w:pPr>
      <w:r>
        <w:rPr>
          <w:rFonts w:hint="eastAsia" w:ascii="仿宋" w:hAnsi="仿宋" w:eastAsia="仿宋"/>
          <w:sz w:val="32"/>
          <w:szCs w:val="32"/>
        </w:rPr>
        <w:t>1、承担</w:t>
      </w:r>
      <w:r>
        <w:rPr>
          <w:rFonts w:ascii="仿宋" w:hAnsi="仿宋" w:eastAsia="仿宋"/>
          <w:sz w:val="32"/>
          <w:szCs w:val="32"/>
        </w:rPr>
        <w:t>利州区精神卫生防治工作，承担全市范围、川东北区域精神病防治</w:t>
      </w:r>
      <w:r>
        <w:rPr>
          <w:rFonts w:hint="eastAsia" w:ascii="仿宋" w:hAnsi="仿宋" w:eastAsia="仿宋"/>
          <w:sz w:val="32"/>
          <w:szCs w:val="32"/>
        </w:rPr>
        <w:t>与</w:t>
      </w:r>
      <w:r>
        <w:rPr>
          <w:rFonts w:ascii="仿宋" w:hAnsi="仿宋" w:eastAsia="仿宋"/>
          <w:sz w:val="32"/>
          <w:szCs w:val="32"/>
        </w:rPr>
        <w:t>康复、科研教学指导、</w:t>
      </w:r>
      <w:r>
        <w:rPr>
          <w:rFonts w:hint="eastAsia" w:ascii="仿宋" w:hAnsi="仿宋" w:eastAsia="仿宋"/>
          <w:sz w:val="32"/>
          <w:szCs w:val="32"/>
        </w:rPr>
        <w:t>规范化</w:t>
      </w:r>
      <w:r>
        <w:rPr>
          <w:rFonts w:ascii="仿宋" w:hAnsi="仿宋" w:eastAsia="仿宋"/>
          <w:sz w:val="32"/>
          <w:szCs w:val="32"/>
        </w:rPr>
        <w:t>管理与培训和双向</w:t>
      </w:r>
      <w:r>
        <w:rPr>
          <w:rFonts w:hint="eastAsia" w:ascii="仿宋" w:hAnsi="仿宋" w:eastAsia="仿宋"/>
          <w:sz w:val="32"/>
          <w:szCs w:val="32"/>
        </w:rPr>
        <w:t>转诊</w:t>
      </w:r>
      <w:r>
        <w:rPr>
          <w:rFonts w:ascii="仿宋" w:hAnsi="仿宋" w:eastAsia="仿宋"/>
          <w:sz w:val="32"/>
          <w:szCs w:val="32"/>
        </w:rPr>
        <w:t>等任务。</w:t>
      </w:r>
    </w:p>
    <w:p>
      <w:pPr>
        <w:pStyle w:val="2"/>
        <w:spacing w:beforeLines="0" w:line="600" w:lineRule="exact"/>
        <w:ind w:firstLine="640" w:firstLineChars="200"/>
        <w:rPr>
          <w:rFonts w:ascii="仿宋" w:hAnsi="仿宋" w:eastAsia="仿宋"/>
          <w:kern w:val="2"/>
          <w:sz w:val="32"/>
          <w:szCs w:val="32"/>
        </w:rPr>
      </w:pPr>
      <w:r>
        <w:rPr>
          <w:rFonts w:ascii="仿宋" w:hAnsi="仿宋" w:eastAsia="仿宋"/>
          <w:kern w:val="2"/>
          <w:sz w:val="32"/>
          <w:szCs w:val="32"/>
        </w:rPr>
        <w:t>2</w:t>
      </w:r>
      <w:r>
        <w:rPr>
          <w:rFonts w:hint="eastAsia" w:ascii="仿宋" w:hAnsi="仿宋" w:eastAsia="仿宋"/>
          <w:kern w:val="2"/>
          <w:sz w:val="32"/>
          <w:szCs w:val="32"/>
        </w:rPr>
        <w:t>、为</w:t>
      </w:r>
      <w:r>
        <w:rPr>
          <w:rFonts w:ascii="仿宋" w:hAnsi="仿宋" w:eastAsia="仿宋"/>
          <w:kern w:val="2"/>
          <w:sz w:val="32"/>
          <w:szCs w:val="32"/>
        </w:rPr>
        <w:t>川陕甘毗邻地区人民群众</w:t>
      </w:r>
      <w:r>
        <w:rPr>
          <w:rFonts w:hint="eastAsia" w:ascii="仿宋" w:hAnsi="仿宋" w:eastAsia="仿宋"/>
          <w:kern w:val="2"/>
          <w:sz w:val="32"/>
          <w:szCs w:val="32"/>
        </w:rPr>
        <w:t>提供</w:t>
      </w:r>
      <w:r>
        <w:rPr>
          <w:rFonts w:ascii="仿宋" w:hAnsi="仿宋" w:eastAsia="仿宋"/>
          <w:kern w:val="2"/>
          <w:sz w:val="32"/>
          <w:szCs w:val="32"/>
        </w:rPr>
        <w:t>全方位全生命周期健康服务，承担</w:t>
      </w:r>
      <w:r>
        <w:rPr>
          <w:rFonts w:hint="eastAsia" w:ascii="仿宋" w:hAnsi="仿宋" w:eastAsia="仿宋"/>
          <w:kern w:val="2"/>
          <w:sz w:val="32"/>
          <w:szCs w:val="32"/>
        </w:rPr>
        <w:t>辖区</w:t>
      </w:r>
      <w:r>
        <w:rPr>
          <w:rFonts w:ascii="仿宋" w:hAnsi="仿宋" w:eastAsia="仿宋"/>
          <w:kern w:val="2"/>
          <w:sz w:val="32"/>
          <w:szCs w:val="32"/>
        </w:rPr>
        <w:t>内居民日常医疗</w:t>
      </w:r>
      <w:r>
        <w:rPr>
          <w:rFonts w:hint="eastAsia" w:ascii="仿宋" w:hAnsi="仿宋" w:eastAsia="仿宋"/>
          <w:kern w:val="2"/>
          <w:sz w:val="32"/>
          <w:szCs w:val="32"/>
        </w:rPr>
        <w:t>、</w:t>
      </w:r>
      <w:r>
        <w:rPr>
          <w:rFonts w:ascii="仿宋" w:hAnsi="仿宋" w:eastAsia="仿宋"/>
          <w:kern w:val="2"/>
          <w:sz w:val="32"/>
          <w:szCs w:val="32"/>
        </w:rPr>
        <w:t>急危重症和</w:t>
      </w:r>
      <w:r>
        <w:rPr>
          <w:rFonts w:hint="eastAsia" w:ascii="仿宋" w:hAnsi="仿宋" w:eastAsia="仿宋"/>
          <w:kern w:val="2"/>
          <w:sz w:val="32"/>
          <w:szCs w:val="32"/>
        </w:rPr>
        <w:t>疑难</w:t>
      </w:r>
      <w:r>
        <w:rPr>
          <w:rFonts w:ascii="仿宋" w:hAnsi="仿宋" w:eastAsia="仿宋"/>
          <w:kern w:val="2"/>
          <w:sz w:val="32"/>
          <w:szCs w:val="32"/>
        </w:rPr>
        <w:t>病症诊治任务</w:t>
      </w:r>
      <w:r>
        <w:rPr>
          <w:rFonts w:hint="eastAsia" w:ascii="仿宋" w:hAnsi="仿宋" w:eastAsia="仿宋"/>
          <w:kern w:val="2"/>
          <w:sz w:val="32"/>
          <w:szCs w:val="32"/>
        </w:rPr>
        <w:t>；</w:t>
      </w:r>
      <w:r>
        <w:rPr>
          <w:rFonts w:ascii="仿宋" w:hAnsi="仿宋" w:eastAsia="仿宋"/>
          <w:kern w:val="2"/>
          <w:sz w:val="32"/>
          <w:szCs w:val="32"/>
        </w:rPr>
        <w:t>承担辖区</w:t>
      </w:r>
      <w:r>
        <w:rPr>
          <w:rFonts w:hint="eastAsia" w:ascii="仿宋" w:hAnsi="仿宋" w:eastAsia="仿宋"/>
          <w:kern w:val="2"/>
          <w:sz w:val="32"/>
          <w:szCs w:val="32"/>
        </w:rPr>
        <w:t>灾害</w:t>
      </w:r>
      <w:r>
        <w:rPr>
          <w:rFonts w:ascii="仿宋" w:hAnsi="仿宋" w:eastAsia="仿宋"/>
          <w:kern w:val="2"/>
          <w:sz w:val="32"/>
          <w:szCs w:val="32"/>
        </w:rPr>
        <w:t>事故的</w:t>
      </w:r>
      <w:r>
        <w:rPr>
          <w:rFonts w:hint="eastAsia" w:ascii="仿宋" w:hAnsi="仿宋" w:eastAsia="仿宋"/>
          <w:kern w:val="2"/>
          <w:sz w:val="32"/>
          <w:szCs w:val="32"/>
        </w:rPr>
        <w:t>紧急</w:t>
      </w:r>
      <w:r>
        <w:rPr>
          <w:rFonts w:ascii="仿宋" w:hAnsi="仿宋" w:eastAsia="仿宋"/>
          <w:kern w:val="2"/>
          <w:sz w:val="32"/>
          <w:szCs w:val="32"/>
        </w:rPr>
        <w:t>救援、院前急救任务和疾病预防控制</w:t>
      </w:r>
      <w:r>
        <w:rPr>
          <w:rFonts w:hint="eastAsia" w:ascii="仿宋" w:hAnsi="仿宋" w:eastAsia="仿宋"/>
          <w:kern w:val="2"/>
          <w:sz w:val="32"/>
          <w:szCs w:val="32"/>
        </w:rPr>
        <w:t>、</w:t>
      </w:r>
      <w:r>
        <w:rPr>
          <w:rFonts w:ascii="仿宋" w:hAnsi="仿宋" w:eastAsia="仿宋"/>
          <w:kern w:val="2"/>
          <w:sz w:val="32"/>
          <w:szCs w:val="32"/>
        </w:rPr>
        <w:t>妇幼保健、健康教育促进等基本公共卫生服务。</w:t>
      </w:r>
    </w:p>
    <w:p>
      <w:pPr>
        <w:pStyle w:val="2"/>
        <w:spacing w:beforeLines="0" w:line="600" w:lineRule="exact"/>
        <w:ind w:firstLine="640" w:firstLineChars="200"/>
        <w:rPr>
          <w:rFonts w:ascii="仿宋" w:hAnsi="仿宋" w:eastAsia="仿宋"/>
          <w:kern w:val="2"/>
          <w:sz w:val="32"/>
          <w:szCs w:val="32"/>
        </w:rPr>
      </w:pPr>
      <w:r>
        <w:rPr>
          <w:rFonts w:ascii="仿宋" w:hAnsi="仿宋" w:eastAsia="仿宋"/>
          <w:kern w:val="2"/>
          <w:sz w:val="32"/>
          <w:szCs w:val="32"/>
        </w:rPr>
        <w:t>3</w:t>
      </w:r>
      <w:r>
        <w:rPr>
          <w:rFonts w:hint="eastAsia" w:ascii="仿宋" w:hAnsi="仿宋" w:eastAsia="仿宋"/>
          <w:kern w:val="2"/>
          <w:sz w:val="32"/>
          <w:szCs w:val="32"/>
        </w:rPr>
        <w:t>、</w:t>
      </w:r>
      <w:r>
        <w:rPr>
          <w:rFonts w:ascii="仿宋" w:hAnsi="仿宋" w:eastAsia="仿宋"/>
          <w:kern w:val="2"/>
          <w:sz w:val="32"/>
          <w:szCs w:val="32"/>
        </w:rPr>
        <w:t>承担利州区</w:t>
      </w:r>
      <w:r>
        <w:rPr>
          <w:rFonts w:hint="eastAsia" w:ascii="仿宋" w:hAnsi="仿宋" w:eastAsia="仿宋"/>
          <w:kern w:val="2"/>
          <w:sz w:val="32"/>
          <w:szCs w:val="32"/>
        </w:rPr>
        <w:t>传染病</w:t>
      </w:r>
      <w:r>
        <w:rPr>
          <w:rFonts w:ascii="仿宋" w:hAnsi="仿宋" w:eastAsia="仿宋"/>
          <w:kern w:val="2"/>
          <w:sz w:val="32"/>
          <w:szCs w:val="32"/>
        </w:rPr>
        <w:t>防治工作</w:t>
      </w:r>
      <w:r>
        <w:rPr>
          <w:rFonts w:hint="eastAsia" w:ascii="仿宋" w:hAnsi="仿宋" w:eastAsia="仿宋"/>
          <w:kern w:val="2"/>
          <w:sz w:val="32"/>
          <w:szCs w:val="32"/>
        </w:rPr>
        <w:t>、</w:t>
      </w:r>
      <w:r>
        <w:rPr>
          <w:rFonts w:ascii="仿宋" w:hAnsi="仿宋" w:eastAsia="仿宋"/>
          <w:kern w:val="2"/>
          <w:sz w:val="32"/>
          <w:szCs w:val="32"/>
        </w:rPr>
        <w:t>市城内传染病重症救治、科研教学指导、规范管理和双向转诊以及</w:t>
      </w:r>
      <w:r>
        <w:rPr>
          <w:rFonts w:hint="eastAsia" w:ascii="仿宋" w:hAnsi="仿宋" w:eastAsia="仿宋"/>
          <w:kern w:val="2"/>
          <w:sz w:val="32"/>
          <w:szCs w:val="32"/>
        </w:rPr>
        <w:t>新</w:t>
      </w:r>
      <w:r>
        <w:rPr>
          <w:rFonts w:ascii="仿宋" w:hAnsi="仿宋" w:eastAsia="仿宋"/>
          <w:kern w:val="2"/>
          <w:sz w:val="32"/>
          <w:szCs w:val="32"/>
        </w:rPr>
        <w:t>发</w:t>
      </w:r>
      <w:r>
        <w:rPr>
          <w:rFonts w:hint="eastAsia" w:ascii="仿宋" w:hAnsi="仿宋" w:eastAsia="仿宋"/>
          <w:kern w:val="2"/>
          <w:sz w:val="32"/>
          <w:szCs w:val="32"/>
        </w:rPr>
        <w:t>突发</w:t>
      </w:r>
      <w:r>
        <w:rPr>
          <w:rFonts w:ascii="仿宋" w:hAnsi="仿宋" w:eastAsia="仿宋"/>
          <w:kern w:val="2"/>
          <w:sz w:val="32"/>
          <w:szCs w:val="32"/>
        </w:rPr>
        <w:t>传染病应急处置等任务。</w:t>
      </w:r>
    </w:p>
    <w:p>
      <w:pPr>
        <w:pStyle w:val="2"/>
        <w:spacing w:beforeLines="0" w:line="600" w:lineRule="exact"/>
        <w:ind w:firstLine="640" w:firstLineChars="200"/>
      </w:pPr>
      <w:r>
        <w:rPr>
          <w:rFonts w:ascii="仿宋" w:hAnsi="仿宋" w:eastAsia="仿宋"/>
          <w:kern w:val="2"/>
          <w:sz w:val="32"/>
          <w:szCs w:val="32"/>
        </w:rPr>
        <w:t>4</w:t>
      </w:r>
      <w:r>
        <w:rPr>
          <w:rFonts w:hint="eastAsia" w:ascii="仿宋" w:hAnsi="仿宋" w:eastAsia="仿宋"/>
          <w:kern w:val="2"/>
          <w:sz w:val="32"/>
          <w:szCs w:val="32"/>
        </w:rPr>
        <w:t>、承担</w:t>
      </w:r>
      <w:r>
        <w:rPr>
          <w:rFonts w:ascii="仿宋" w:hAnsi="仿宋" w:eastAsia="仿宋"/>
          <w:kern w:val="2"/>
          <w:sz w:val="32"/>
          <w:szCs w:val="32"/>
        </w:rPr>
        <w:t>利州区医疗救治工作及基层医疗卫生机构业</w:t>
      </w:r>
      <w:r>
        <w:t>务指导、技术</w:t>
      </w:r>
      <w:r>
        <w:rPr>
          <w:rFonts w:hint="eastAsia"/>
        </w:rPr>
        <w:t>帮带</w:t>
      </w:r>
      <w:r>
        <w:t>、人才培养、质量控制、医疗</w:t>
      </w:r>
      <w:r>
        <w:rPr>
          <w:rFonts w:hint="eastAsia"/>
        </w:rPr>
        <w:t>体</w:t>
      </w:r>
      <w:r>
        <w:t>建设、分级</w:t>
      </w:r>
      <w:r>
        <w:rPr>
          <w:rFonts w:hint="eastAsia"/>
        </w:rPr>
        <w:t>诊疗</w:t>
      </w:r>
      <w:r>
        <w:t>和对口支援等任务。</w:t>
      </w:r>
    </w:p>
    <w:p>
      <w:pPr>
        <w:pStyle w:val="2"/>
        <w:spacing w:beforeLines="0" w:line="600" w:lineRule="exact"/>
        <w:ind w:firstLine="600" w:firstLineChars="200"/>
      </w:pPr>
      <w:r>
        <w:t>5</w:t>
      </w:r>
      <w:r>
        <w:rPr>
          <w:rFonts w:hint="eastAsia"/>
        </w:rPr>
        <w:t>、</w:t>
      </w:r>
      <w:r>
        <w:t>承担川东北省级区域精神卫生中心相关</w:t>
      </w:r>
      <w:r>
        <w:rPr>
          <w:rFonts w:hint="eastAsia"/>
        </w:rPr>
        <w:t>职能</w:t>
      </w:r>
      <w:r>
        <w:t>，全市传染病、老年病防治基地及专科业务指导、技术帮带、人才培</w:t>
      </w:r>
      <w:r>
        <w:rPr>
          <w:rFonts w:hint="eastAsia"/>
        </w:rPr>
        <w:t>养</w:t>
      </w:r>
      <w:r>
        <w:t>、质量控制、医联体建设、分级诊疗和对口支援等任务。</w:t>
      </w:r>
    </w:p>
    <w:p>
      <w:pPr>
        <w:pStyle w:val="2"/>
        <w:spacing w:beforeLines="0" w:line="600" w:lineRule="exact"/>
        <w:ind w:firstLine="600" w:firstLineChars="200"/>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pPr>
      <w:r>
        <w:t>6</w:t>
      </w:r>
      <w:r>
        <w:rPr>
          <w:rFonts w:hint="eastAsia"/>
        </w:rPr>
        <w:t>、承担</w:t>
      </w:r>
      <w:r>
        <w:t>高等医学院校的基地班教学、学生</w:t>
      </w:r>
      <w:r>
        <w:rPr>
          <w:rFonts w:hint="eastAsia"/>
        </w:rPr>
        <w:t>临床</w:t>
      </w:r>
      <w:r>
        <w:t>见</w:t>
      </w:r>
      <w:r>
        <w:rPr>
          <w:rFonts w:hint="eastAsia"/>
        </w:rPr>
        <w:t>实习</w:t>
      </w:r>
      <w:r>
        <w:t>、医</w:t>
      </w:r>
    </w:p>
    <w:p>
      <w:pPr>
        <w:pStyle w:val="2"/>
        <w:spacing w:beforeLines="0" w:line="600" w:lineRule="exact"/>
      </w:pPr>
      <w:r>
        <w:t>师护师</w:t>
      </w:r>
      <w:r>
        <w:rPr>
          <w:rFonts w:hint="eastAsia"/>
        </w:rPr>
        <w:t>规范培训</w:t>
      </w:r>
      <w:r>
        <w:t>、专科医师转岗培训以及各类继续医学教育等任务。</w:t>
      </w:r>
    </w:p>
    <w:p>
      <w:pPr>
        <w:pStyle w:val="2"/>
        <w:spacing w:beforeLines="0" w:line="600" w:lineRule="exact"/>
        <w:ind w:firstLine="600" w:firstLineChars="200"/>
      </w:pPr>
      <w:r>
        <w:t>7</w:t>
      </w:r>
      <w:r>
        <w:rPr>
          <w:rFonts w:hint="eastAsia"/>
        </w:rPr>
        <w:t>、</w:t>
      </w:r>
      <w:r>
        <w:t>开展精神病、老年病、传染病等疾病的临床医疗技术应用研究</w:t>
      </w:r>
      <w:r>
        <w:rPr>
          <w:rFonts w:hint="eastAsia"/>
        </w:rPr>
        <w:t>，</w:t>
      </w:r>
      <w:r>
        <w:t>负责医学司法鉴定、医养结合服务、科研项目争取及</w:t>
      </w:r>
      <w:r>
        <w:rPr>
          <w:rFonts w:hint="eastAsia"/>
        </w:rPr>
        <w:t>学术</w:t>
      </w:r>
      <w:r>
        <w:t>交流合作与推广等工作。</w:t>
      </w:r>
    </w:p>
    <w:p>
      <w:pPr>
        <w:pStyle w:val="5"/>
        <w:rPr>
          <w:rFonts w:hint="eastAsia" w:ascii="黑体" w:hAnsi="黑体" w:eastAsia="黑体"/>
          <w:b w:val="0"/>
        </w:rPr>
      </w:pPr>
      <w:bookmarkStart w:id="27" w:name="_Toc28539"/>
      <w:r>
        <w:rPr>
          <w:rFonts w:hint="eastAsia" w:ascii="黑体" w:hAnsi="黑体" w:eastAsia="黑体"/>
          <w:b w:val="0"/>
        </w:rPr>
        <w:t>二、机构设置</w:t>
      </w:r>
      <w:bookmarkEnd w:id="27"/>
    </w:p>
    <w:p>
      <w:pPr>
        <w:pStyle w:val="2"/>
        <w:adjustRightInd w:val="0"/>
        <w:snapToGrid w:val="0"/>
        <w:spacing w:beforeLines="0" w:line="600" w:lineRule="exact"/>
        <w:ind w:firstLine="672" w:firstLineChars="210"/>
        <w:rPr>
          <w:rFonts w:hint="default" w:eastAsia="仿宋_GB2312" w:cs="仿宋_GB2312"/>
          <w:color w:val="000000"/>
          <w:sz w:val="32"/>
          <w:szCs w:val="32"/>
          <w:lang w:val="en-US" w:eastAsia="zh-CN"/>
        </w:rPr>
      </w:pPr>
      <w:r>
        <w:rPr>
          <w:rFonts w:hint="eastAsia" w:cs="仿宋_GB2312"/>
          <w:color w:val="000000"/>
          <w:sz w:val="32"/>
          <w:szCs w:val="32"/>
          <w:shd w:val="clear" w:color="auto" w:fill="FFFFFF"/>
        </w:rPr>
        <w:t>广元市</w:t>
      </w:r>
      <w:r>
        <w:rPr>
          <w:rFonts w:hint="eastAsia" w:cs="仿宋_GB2312"/>
          <w:color w:val="000000"/>
          <w:sz w:val="32"/>
          <w:szCs w:val="32"/>
        </w:rPr>
        <w:t>精神卫生</w:t>
      </w:r>
      <w:r>
        <w:rPr>
          <w:rFonts w:cs="仿宋_GB2312"/>
          <w:color w:val="000000"/>
          <w:sz w:val="32"/>
          <w:szCs w:val="32"/>
        </w:rPr>
        <w:t>中心</w:t>
      </w:r>
      <w:r>
        <w:rPr>
          <w:rFonts w:hint="eastAsia" w:cs="仿宋_GB2312"/>
          <w:color w:val="000000"/>
          <w:sz w:val="32"/>
          <w:szCs w:val="32"/>
          <w:shd w:val="clear" w:color="auto" w:fill="FFFFFF"/>
          <w:lang w:eastAsia="zh-CN"/>
        </w:rPr>
        <w:t>属于广元市卫生健康委员会下属的二级预算单位，</w:t>
      </w:r>
      <w:r>
        <w:rPr>
          <w:rFonts w:hint="eastAsia" w:cs="仿宋_GB2312"/>
          <w:color w:val="000000"/>
          <w:sz w:val="32"/>
          <w:szCs w:val="32"/>
          <w:lang w:eastAsia="zh-CN"/>
        </w:rPr>
        <w:t>为</w:t>
      </w:r>
      <w:r>
        <w:rPr>
          <w:rFonts w:hint="eastAsia" w:cs="仿宋_GB2312"/>
          <w:color w:val="000000"/>
          <w:sz w:val="32"/>
          <w:szCs w:val="32"/>
          <w:lang w:val="en-US" w:eastAsia="zh-CN"/>
        </w:rPr>
        <w:t>其他事业单位</w:t>
      </w:r>
      <w:r>
        <w:rPr>
          <w:rFonts w:hint="eastAsia" w:cs="仿宋_GB2312"/>
          <w:color w:val="000000"/>
          <w:sz w:val="32"/>
          <w:szCs w:val="32"/>
        </w:rPr>
        <w:t>。</w:t>
      </w:r>
    </w:p>
    <w:p>
      <w:pPr>
        <w:widowControl/>
        <w:ind w:firstLine="640" w:firstLineChars="200"/>
        <w:jc w:val="left"/>
        <w:rPr>
          <w:rFonts w:ascii="仿宋" w:hAnsi="仿宋" w:eastAsia="仿宋"/>
          <w:kern w:val="0"/>
          <w:sz w:val="32"/>
          <w:szCs w:val="32"/>
        </w:rPr>
      </w:pPr>
      <w:r>
        <w:rPr>
          <w:rFonts w:hint="eastAsia" w:ascii="仿宋" w:hAnsi="仿宋" w:eastAsia="仿宋"/>
          <w:color w:val="auto"/>
          <w:sz w:val="32"/>
          <w:szCs w:val="32"/>
          <w:highlight w:val="none"/>
          <w:lang w:eastAsia="zh-CN"/>
        </w:rPr>
        <w:t>纳入</w:t>
      </w:r>
      <w:r>
        <w:rPr>
          <w:rFonts w:hint="eastAsia" w:ascii="仿宋" w:hAnsi="仿宋" w:eastAsia="仿宋"/>
          <w:color w:val="auto"/>
          <w:sz w:val="32"/>
          <w:szCs w:val="32"/>
          <w:highlight w:val="none"/>
          <w:lang w:val="en-US" w:eastAsia="zh-CN"/>
        </w:rPr>
        <w:t>2023年度单位决算范围的独立编制机构包括：广元市精神卫生中心</w:t>
      </w:r>
      <w:r>
        <w:rPr>
          <w:rFonts w:ascii="仿宋" w:hAnsi="仿宋" w:eastAsia="仿宋"/>
          <w:color w:val="auto"/>
          <w:sz w:val="32"/>
          <w:szCs w:val="32"/>
          <w:highlight w:val="none"/>
        </w:rPr>
        <w:br w:type="page"/>
      </w:r>
      <w:bookmarkEnd w:id="25"/>
      <w:bookmarkEnd w:id="26"/>
    </w:p>
    <w:p>
      <w:pPr>
        <w:pStyle w:val="4"/>
        <w:ind w:right="440"/>
        <w:jc w:val="center"/>
        <w:rPr>
          <w:rStyle w:val="28"/>
          <w:rFonts w:ascii="黑体" w:hAnsi="黑体" w:eastAsia="黑体"/>
          <w:b w:val="0"/>
          <w:bCs/>
        </w:rPr>
      </w:pPr>
      <w:bookmarkStart w:id="28" w:name="_Toc15377204"/>
      <w:bookmarkStart w:id="29" w:name="_Toc15396602"/>
      <w:bookmarkStart w:id="30" w:name="_Toc11147"/>
      <w:r>
        <w:rPr>
          <w:rFonts w:hint="eastAsia" w:ascii="黑体" w:hAnsi="黑体" w:eastAsia="黑体"/>
          <w:b w:val="0"/>
        </w:rPr>
        <w:t>第二部分 2023年度</w:t>
      </w:r>
      <w:r>
        <w:rPr>
          <w:rStyle w:val="28"/>
          <w:rFonts w:hint="eastAsia" w:ascii="黑体" w:hAnsi="黑体" w:eastAsia="黑体"/>
          <w:b w:val="0"/>
          <w:bCs/>
        </w:rPr>
        <w:t>单位决算情况说明</w:t>
      </w:r>
      <w:bookmarkEnd w:id="28"/>
      <w:bookmarkEnd w:id="29"/>
      <w:bookmarkEnd w:id="30"/>
    </w:p>
    <w:p/>
    <w:p>
      <w:pPr>
        <w:pStyle w:val="27"/>
        <w:numPr>
          <w:ilvl w:val="0"/>
          <w:numId w:val="2"/>
        </w:numPr>
        <w:spacing w:line="600" w:lineRule="exact"/>
        <w:ind w:firstLineChars="0"/>
        <w:outlineLvl w:val="1"/>
        <w:rPr>
          <w:rStyle w:val="29"/>
          <w:rFonts w:ascii="黑体" w:hAnsi="黑体" w:eastAsia="黑体"/>
          <w:b w:val="0"/>
        </w:rPr>
      </w:pPr>
      <w:bookmarkStart w:id="31" w:name="_Toc15396603"/>
      <w:bookmarkStart w:id="32" w:name="_Toc26431"/>
      <w:bookmarkStart w:id="33" w:name="_Toc15377205"/>
      <w:r>
        <w:rPr>
          <w:rFonts w:hint="eastAsia" w:ascii="黑体" w:hAnsi="黑体" w:eastAsia="黑体"/>
          <w:sz w:val="32"/>
          <w:szCs w:val="32"/>
        </w:rPr>
        <w:t>收</w:t>
      </w:r>
      <w:r>
        <w:rPr>
          <w:rStyle w:val="29"/>
          <w:rFonts w:hint="eastAsia" w:ascii="黑体" w:hAnsi="黑体" w:eastAsia="黑体"/>
          <w:b w:val="0"/>
        </w:rPr>
        <w:t>入支出决算总体情况说明</w:t>
      </w:r>
      <w:bookmarkEnd w:id="31"/>
      <w:bookmarkEnd w:id="32"/>
      <w:bookmarkEnd w:id="33"/>
    </w:p>
    <w:p>
      <w:pPr>
        <w:spacing w:line="600" w:lineRule="exact"/>
        <w:ind w:firstLine="640" w:firstLineChars="200"/>
        <w:rPr>
          <w:rFonts w:hint="eastAsia" w:ascii="仿宋" w:hAnsi="仿宋" w:eastAsia="仿宋"/>
          <w:sz w:val="32"/>
          <w:szCs w:val="32"/>
          <w:highlight w:val="none"/>
        </w:rPr>
      </w:pPr>
      <w:r>
        <w:rPr>
          <w:rFonts w:hint="eastAsia" w:ascii="仿宋" w:hAnsi="仿宋" w:eastAsia="仿宋"/>
          <w:sz w:val="32"/>
          <w:szCs w:val="32"/>
        </w:rPr>
        <w:t>2023年度收、支总计均为</w:t>
      </w:r>
      <w:r>
        <w:rPr>
          <w:rFonts w:hint="eastAsia" w:ascii="仿宋" w:hAnsi="仿宋" w:eastAsia="仿宋"/>
          <w:b/>
          <w:sz w:val="32"/>
          <w:szCs w:val="32"/>
        </w:rPr>
        <w:t>69933.14</w:t>
      </w:r>
      <w:r>
        <w:rPr>
          <w:rFonts w:hint="eastAsia" w:ascii="仿宋" w:hAnsi="仿宋" w:eastAsia="仿宋"/>
          <w:sz w:val="32"/>
          <w:szCs w:val="32"/>
        </w:rPr>
        <w:t>万元。与2022年度相比，收、支总计各减少</w:t>
      </w:r>
      <w:r>
        <w:rPr>
          <w:rFonts w:hint="eastAsia" w:ascii="仿宋" w:hAnsi="仿宋" w:eastAsia="仿宋"/>
          <w:sz w:val="32"/>
          <w:szCs w:val="32"/>
          <w:lang w:val="en-US" w:eastAsia="zh-CN"/>
        </w:rPr>
        <w:t>8599.62</w:t>
      </w:r>
      <w:r>
        <w:rPr>
          <w:rFonts w:hint="eastAsia" w:ascii="仿宋" w:hAnsi="仿宋" w:eastAsia="仿宋"/>
          <w:sz w:val="32"/>
          <w:szCs w:val="32"/>
        </w:rPr>
        <w:t>万元，下降</w:t>
      </w:r>
      <w:r>
        <w:rPr>
          <w:rFonts w:hint="eastAsia" w:ascii="仿宋" w:hAnsi="仿宋" w:eastAsia="仿宋"/>
          <w:sz w:val="32"/>
          <w:szCs w:val="32"/>
          <w:lang w:val="en-US" w:eastAsia="zh-CN"/>
        </w:rPr>
        <w:t>10.95</w:t>
      </w:r>
      <w:r>
        <w:rPr>
          <w:rFonts w:ascii="仿宋" w:hAnsi="仿宋" w:eastAsia="仿宋"/>
          <w:sz w:val="32"/>
          <w:szCs w:val="32"/>
        </w:rPr>
        <w:t>%</w:t>
      </w:r>
      <w:r>
        <w:rPr>
          <w:rFonts w:hint="eastAsia" w:ascii="仿宋" w:hAnsi="仿宋" w:eastAsia="仿宋"/>
          <w:sz w:val="32"/>
          <w:szCs w:val="32"/>
        </w:rPr>
        <w:t>。主要原</w:t>
      </w:r>
      <w:r>
        <w:rPr>
          <w:rFonts w:hint="eastAsia" w:ascii="仿宋" w:hAnsi="仿宋" w:eastAsia="仿宋"/>
          <w:sz w:val="32"/>
          <w:szCs w:val="32"/>
          <w:highlight w:val="none"/>
        </w:rPr>
        <w:t>因是</w:t>
      </w:r>
      <w:r>
        <w:rPr>
          <w:rFonts w:hint="eastAsia" w:ascii="仿宋" w:hAnsi="仿宋" w:eastAsia="仿宋"/>
          <w:sz w:val="32"/>
          <w:szCs w:val="32"/>
          <w:highlight w:val="none"/>
          <w:lang w:eastAsia="zh-CN"/>
        </w:rPr>
        <w:t>债务预算收入下降</w:t>
      </w:r>
      <w:r>
        <w:rPr>
          <w:rFonts w:hint="eastAsia" w:ascii="仿宋" w:hAnsi="仿宋" w:eastAsia="仿宋"/>
          <w:sz w:val="32"/>
          <w:szCs w:val="32"/>
          <w:highlight w:val="none"/>
          <w:lang w:val="en-US" w:eastAsia="zh-CN"/>
        </w:rPr>
        <w:t>10000万元，2022年收到绵阳商业银行短期贷款10000万元</w:t>
      </w:r>
      <w:r>
        <w:rPr>
          <w:rFonts w:hint="eastAsia" w:ascii="仿宋" w:hAnsi="仿宋" w:eastAsia="仿宋"/>
          <w:sz w:val="32"/>
          <w:szCs w:val="32"/>
          <w:highlight w:val="none"/>
        </w:rPr>
        <w:t>。</w:t>
      </w:r>
    </w:p>
    <w:p>
      <w:pPr>
        <w:pStyle w:val="2"/>
        <w:jc w:val="center"/>
        <w:rPr>
          <w:rFonts w:ascii="仿宋_GB2312" w:eastAsia="仿宋_GB2312"/>
          <w:sz w:val="32"/>
          <w:szCs w:val="32"/>
        </w:rPr>
      </w:pPr>
      <w:r>
        <w:drawing>
          <wp:inline distT="0" distB="0" distL="114300" distR="114300">
            <wp:extent cx="5238115" cy="3980180"/>
            <wp:effectExtent l="0" t="0" r="635" b="127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r>
        <w:rPr>
          <w:rFonts w:hint="eastAsia" w:ascii="仿宋" w:hAnsi="仿宋" w:eastAsia="仿宋"/>
          <w:sz w:val="32"/>
          <w:szCs w:val="32"/>
          <w:lang w:eastAsia="zh-CN"/>
        </w:rPr>
        <w:t>万元</w:t>
      </w:r>
      <w:r>
        <w:rPr>
          <w:rFonts w:hint="eastAsia" w:ascii="仿宋" w:hAnsi="仿宋" w:eastAsia="仿宋"/>
          <w:sz w:val="32"/>
          <w:szCs w:val="32"/>
        </w:rPr>
        <w:t>）</w:t>
      </w:r>
    </w:p>
    <w:p>
      <w:pPr>
        <w:pStyle w:val="27"/>
        <w:numPr>
          <w:ilvl w:val="0"/>
          <w:numId w:val="2"/>
        </w:numPr>
        <w:spacing w:line="600" w:lineRule="exact"/>
        <w:ind w:firstLineChars="0"/>
        <w:outlineLvl w:val="1"/>
        <w:rPr>
          <w:rStyle w:val="29"/>
          <w:rFonts w:ascii="黑体" w:hAnsi="黑体" w:eastAsia="黑体"/>
          <w:b w:val="0"/>
        </w:rPr>
      </w:pPr>
      <w:bookmarkStart w:id="34" w:name="_Toc15396604"/>
      <w:bookmarkStart w:id="35" w:name="_Toc11109"/>
      <w:bookmarkStart w:id="36" w:name="_Toc15377206"/>
      <w:r>
        <w:rPr>
          <w:rFonts w:hint="eastAsia" w:ascii="黑体" w:hAnsi="黑体" w:eastAsia="黑体"/>
          <w:sz w:val="32"/>
          <w:szCs w:val="32"/>
        </w:rPr>
        <w:t>收</w:t>
      </w:r>
      <w:r>
        <w:rPr>
          <w:rStyle w:val="29"/>
          <w:rFonts w:hint="eastAsia" w:ascii="黑体" w:hAnsi="黑体" w:eastAsia="黑体"/>
          <w:b w:val="0"/>
        </w:rPr>
        <w:t>入决算情况说明</w:t>
      </w:r>
      <w:bookmarkEnd w:id="34"/>
      <w:bookmarkEnd w:id="35"/>
      <w:bookmarkEnd w:id="36"/>
    </w:p>
    <w:p>
      <w:pPr>
        <w:spacing w:line="600" w:lineRule="exact"/>
        <w:ind w:firstLine="640" w:firstLineChars="200"/>
        <w:outlineLvl w:val="1"/>
        <w:rPr>
          <w:rFonts w:hint="eastAsia" w:ascii="仿宋" w:hAnsi="仿宋" w:eastAsia="仿宋"/>
          <w:sz w:val="32"/>
          <w:szCs w:val="32"/>
          <w:lang w:val="en-US" w:eastAsia="zh-CN"/>
        </w:rPr>
      </w:pPr>
      <w:bookmarkStart w:id="37" w:name="_Toc25697"/>
      <w:bookmarkStart w:id="38" w:name="_Toc20570"/>
      <w:r>
        <w:rPr>
          <w:rFonts w:hint="eastAsia" w:ascii="仿宋" w:hAnsi="仿宋" w:eastAsia="仿宋"/>
          <w:sz w:val="32"/>
          <w:szCs w:val="32"/>
        </w:rPr>
        <w:t>2023年度收入合计</w:t>
      </w:r>
      <w:r>
        <w:rPr>
          <w:rFonts w:ascii="仿宋" w:hAnsi="仿宋" w:eastAsia="仿宋"/>
          <w:b/>
          <w:sz w:val="32"/>
          <w:szCs w:val="32"/>
        </w:rPr>
        <w:t>64691.71</w:t>
      </w:r>
      <w:r>
        <w:rPr>
          <w:rFonts w:hint="eastAsia" w:ascii="仿宋" w:hAnsi="仿宋" w:eastAsia="仿宋"/>
          <w:sz w:val="32"/>
          <w:szCs w:val="32"/>
        </w:rPr>
        <w:t>万元，其中：一般公共预算财政拨款收入</w:t>
      </w:r>
      <w:r>
        <w:rPr>
          <w:rFonts w:ascii="仿宋" w:hAnsi="仿宋" w:eastAsia="仿宋"/>
          <w:b/>
          <w:sz w:val="32"/>
          <w:szCs w:val="32"/>
        </w:rPr>
        <w:t>6822.68</w:t>
      </w:r>
      <w:r>
        <w:rPr>
          <w:rFonts w:hint="eastAsia" w:ascii="仿宋" w:hAnsi="仿宋" w:eastAsia="仿宋"/>
          <w:sz w:val="32"/>
          <w:szCs w:val="32"/>
        </w:rPr>
        <w:t>万元，占</w:t>
      </w:r>
      <w:r>
        <w:rPr>
          <w:rFonts w:ascii="仿宋" w:hAnsi="仿宋" w:eastAsia="仿宋"/>
          <w:b/>
          <w:sz w:val="32"/>
          <w:szCs w:val="32"/>
        </w:rPr>
        <w:t>10.5</w:t>
      </w:r>
      <w:r>
        <w:rPr>
          <w:rFonts w:hint="eastAsia" w:ascii="仿宋" w:hAnsi="仿宋" w:eastAsia="仿宋"/>
          <w:b/>
          <w:sz w:val="32"/>
          <w:szCs w:val="32"/>
          <w:lang w:val="en-US" w:eastAsia="zh-CN"/>
        </w:rPr>
        <w:t>5</w:t>
      </w:r>
      <w:r>
        <w:rPr>
          <w:rFonts w:ascii="仿宋" w:hAnsi="仿宋" w:eastAsia="仿宋"/>
          <w:b/>
          <w:sz w:val="32"/>
          <w:szCs w:val="32"/>
        </w:rPr>
        <w:t>%</w:t>
      </w:r>
      <w:r>
        <w:rPr>
          <w:rFonts w:hint="eastAsia" w:ascii="仿宋" w:hAnsi="仿宋" w:eastAsia="仿宋"/>
          <w:sz w:val="32"/>
          <w:szCs w:val="32"/>
        </w:rPr>
        <w:t>；事业收入</w:t>
      </w:r>
      <w:r>
        <w:rPr>
          <w:rFonts w:ascii="仿宋" w:hAnsi="仿宋" w:eastAsia="仿宋"/>
          <w:b/>
          <w:sz w:val="32"/>
          <w:szCs w:val="32"/>
        </w:rPr>
        <w:t>51219.71</w:t>
      </w:r>
      <w:r>
        <w:rPr>
          <w:rFonts w:hint="eastAsia" w:ascii="仿宋" w:hAnsi="仿宋" w:eastAsia="仿宋"/>
          <w:sz w:val="32"/>
          <w:szCs w:val="32"/>
        </w:rPr>
        <w:t>万元，占</w:t>
      </w:r>
      <w:r>
        <w:rPr>
          <w:rFonts w:ascii="仿宋" w:hAnsi="仿宋" w:eastAsia="仿宋"/>
          <w:b/>
          <w:sz w:val="32"/>
          <w:szCs w:val="32"/>
        </w:rPr>
        <w:t>79.1</w:t>
      </w:r>
      <w:r>
        <w:rPr>
          <w:rFonts w:hint="eastAsia" w:ascii="仿宋" w:hAnsi="仿宋" w:eastAsia="仿宋"/>
          <w:b/>
          <w:sz w:val="32"/>
          <w:szCs w:val="32"/>
          <w:lang w:val="en-US" w:eastAsia="zh-CN"/>
        </w:rPr>
        <w:t>8</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6649.32</w:t>
      </w:r>
      <w:r>
        <w:rPr>
          <w:rFonts w:hint="eastAsia" w:ascii="仿宋" w:hAnsi="仿宋" w:eastAsia="仿宋"/>
          <w:sz w:val="32"/>
          <w:szCs w:val="32"/>
        </w:rPr>
        <w:t>万元，占</w:t>
      </w:r>
      <w:r>
        <w:rPr>
          <w:rFonts w:ascii="仿宋" w:hAnsi="仿宋" w:eastAsia="仿宋"/>
          <w:b/>
          <w:sz w:val="32"/>
          <w:szCs w:val="32"/>
        </w:rPr>
        <w:t>10.27</w:t>
      </w:r>
      <w:r>
        <w:rPr>
          <w:rFonts w:ascii="仿宋" w:hAnsi="仿宋" w:eastAsia="仿宋"/>
          <w:sz w:val="32"/>
          <w:szCs w:val="32"/>
        </w:rPr>
        <w:t>%</w:t>
      </w:r>
      <w:bookmarkEnd w:id="37"/>
      <w:bookmarkEnd w:id="38"/>
      <w:r>
        <w:rPr>
          <w:rFonts w:hint="eastAsia" w:ascii="仿宋" w:hAnsi="仿宋" w:eastAsia="仿宋"/>
          <w:sz w:val="32"/>
          <w:szCs w:val="32"/>
          <w:lang w:eastAsia="zh-CN"/>
        </w:rPr>
        <w:t>。</w:t>
      </w:r>
    </w:p>
    <w:p>
      <w:pPr>
        <w:pStyle w:val="2"/>
      </w:pPr>
      <w:r>
        <w:drawing>
          <wp:inline distT="0" distB="0" distL="114300" distR="114300">
            <wp:extent cx="5229860" cy="4835525"/>
            <wp:effectExtent l="0" t="0" r="8890" b="317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jc w:val="center"/>
        <w:rPr>
          <w:rFonts w:ascii="仿宋_GB2312" w:eastAsia="仿宋_GB2312"/>
          <w:sz w:val="32"/>
          <w:szCs w:val="32"/>
        </w:rPr>
      </w:pPr>
      <w:r>
        <w:rPr>
          <w:rFonts w:hint="eastAsia" w:ascii="仿宋" w:hAnsi="仿宋" w:eastAsia="仿宋"/>
          <w:sz w:val="32"/>
          <w:szCs w:val="32"/>
        </w:rPr>
        <w:t>图2：收入决算结构图</w:t>
      </w:r>
    </w:p>
    <w:p>
      <w:pPr>
        <w:pStyle w:val="27"/>
        <w:numPr>
          <w:ilvl w:val="0"/>
          <w:numId w:val="2"/>
        </w:numPr>
        <w:spacing w:line="600" w:lineRule="exact"/>
        <w:ind w:firstLineChars="0"/>
        <w:outlineLvl w:val="1"/>
        <w:rPr>
          <w:rStyle w:val="29"/>
          <w:rFonts w:ascii="黑体" w:hAnsi="黑体" w:eastAsia="黑体"/>
          <w:b w:val="0"/>
        </w:rPr>
      </w:pPr>
      <w:bookmarkStart w:id="39" w:name="_Toc15377207"/>
      <w:bookmarkStart w:id="40" w:name="_Toc10133"/>
      <w:bookmarkStart w:id="41" w:name="_Toc15396605"/>
      <w:r>
        <w:rPr>
          <w:rFonts w:hint="eastAsia" w:ascii="黑体" w:hAnsi="黑体" w:eastAsia="黑体"/>
          <w:sz w:val="32"/>
          <w:szCs w:val="32"/>
        </w:rPr>
        <w:t>支</w:t>
      </w:r>
      <w:r>
        <w:rPr>
          <w:rStyle w:val="29"/>
          <w:rFonts w:hint="eastAsia" w:ascii="黑体" w:hAnsi="黑体" w:eastAsia="黑体"/>
          <w:b w:val="0"/>
        </w:rPr>
        <w:t>出决算情况说明</w:t>
      </w:r>
      <w:bookmarkEnd w:id="39"/>
      <w:bookmarkEnd w:id="40"/>
      <w:bookmarkEnd w:id="41"/>
    </w:p>
    <w:p>
      <w:pPr>
        <w:spacing w:line="600" w:lineRule="exact"/>
        <w:ind w:firstLine="640" w:firstLineChars="200"/>
        <w:outlineLvl w:val="1"/>
        <w:rPr>
          <w:rFonts w:ascii="仿宋" w:hAnsi="仿宋" w:eastAsia="仿宋"/>
          <w:sz w:val="32"/>
          <w:szCs w:val="32"/>
          <w:shd w:val="pct10" w:color="auto" w:fill="FFFFFF"/>
        </w:rPr>
      </w:pPr>
      <w:bookmarkStart w:id="42" w:name="_Toc4500"/>
      <w:bookmarkStart w:id="43" w:name="_Toc22575"/>
      <w:r>
        <w:rPr>
          <w:rFonts w:hint="eastAsia" w:ascii="仿宋" w:hAnsi="仿宋" w:eastAsia="仿宋"/>
          <w:sz w:val="32"/>
          <w:szCs w:val="32"/>
        </w:rPr>
        <w:t>2023年度支出合计</w:t>
      </w:r>
      <w:r>
        <w:rPr>
          <w:rFonts w:ascii="仿宋" w:hAnsi="仿宋" w:eastAsia="仿宋"/>
          <w:b/>
          <w:sz w:val="32"/>
          <w:szCs w:val="32"/>
        </w:rPr>
        <w:t>59354.8</w:t>
      </w:r>
      <w:r>
        <w:rPr>
          <w:rFonts w:hint="eastAsia" w:ascii="仿宋" w:hAnsi="仿宋" w:eastAsia="仿宋"/>
          <w:sz w:val="32"/>
          <w:szCs w:val="32"/>
        </w:rPr>
        <w:t>万元，其中：基本支出</w:t>
      </w:r>
      <w:r>
        <w:rPr>
          <w:rFonts w:ascii="仿宋" w:hAnsi="仿宋" w:eastAsia="仿宋"/>
          <w:b/>
          <w:sz w:val="32"/>
          <w:szCs w:val="32"/>
        </w:rPr>
        <w:t>52414.08</w:t>
      </w:r>
      <w:r>
        <w:rPr>
          <w:rFonts w:hint="eastAsia" w:ascii="仿宋" w:hAnsi="仿宋" w:eastAsia="仿宋"/>
          <w:sz w:val="32"/>
          <w:szCs w:val="32"/>
        </w:rPr>
        <w:t>万元，占</w:t>
      </w:r>
      <w:r>
        <w:rPr>
          <w:rFonts w:ascii="仿宋" w:hAnsi="仿宋" w:eastAsia="仿宋"/>
          <w:b/>
          <w:sz w:val="32"/>
          <w:szCs w:val="32"/>
        </w:rPr>
        <w:t>88.3</w:t>
      </w:r>
      <w:r>
        <w:rPr>
          <w:rFonts w:hint="eastAsia" w:ascii="仿宋" w:hAnsi="仿宋" w:eastAsia="仿宋"/>
          <w:b/>
          <w:sz w:val="32"/>
          <w:szCs w:val="32"/>
          <w:lang w:val="en-US" w:eastAsia="zh-CN"/>
        </w:rPr>
        <w:t>1</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6940.72</w:t>
      </w:r>
      <w:r>
        <w:rPr>
          <w:rFonts w:hint="eastAsia" w:ascii="仿宋" w:hAnsi="仿宋" w:eastAsia="仿宋"/>
          <w:sz w:val="32"/>
          <w:szCs w:val="32"/>
        </w:rPr>
        <w:t>万元，占</w:t>
      </w:r>
      <w:r>
        <w:rPr>
          <w:rFonts w:ascii="仿宋" w:hAnsi="仿宋" w:eastAsia="仿宋"/>
          <w:b/>
          <w:sz w:val="32"/>
          <w:szCs w:val="32"/>
        </w:rPr>
        <w:t>11.69</w:t>
      </w:r>
      <w:r>
        <w:rPr>
          <w:rFonts w:ascii="仿宋" w:hAnsi="仿宋" w:eastAsia="仿宋"/>
          <w:sz w:val="32"/>
          <w:szCs w:val="32"/>
        </w:rPr>
        <w:t>%</w:t>
      </w:r>
      <w:r>
        <w:rPr>
          <w:rFonts w:hint="eastAsia" w:ascii="仿宋" w:hAnsi="仿宋" w:eastAsia="仿宋"/>
          <w:sz w:val="32"/>
          <w:szCs w:val="32"/>
        </w:rPr>
        <w:t>。</w:t>
      </w:r>
      <w:bookmarkEnd w:id="42"/>
      <w:bookmarkEnd w:id="43"/>
    </w:p>
    <w:p>
      <w:pPr>
        <w:pStyle w:val="2"/>
      </w:pPr>
      <w:r>
        <w:drawing>
          <wp:inline distT="0" distB="0" distL="114300" distR="114300">
            <wp:extent cx="5203190" cy="4787265"/>
            <wp:effectExtent l="0" t="0" r="16510" b="1333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ascii="仿宋_GB2312" w:eastAsia="仿宋_GB2312"/>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29"/>
          <w:rFonts w:ascii="黑体" w:hAnsi="黑体" w:eastAsia="黑体"/>
          <w:b w:val="0"/>
        </w:rPr>
      </w:pPr>
      <w:bookmarkStart w:id="44" w:name="_Toc15377208"/>
      <w:bookmarkStart w:id="45" w:name="_Toc15396606"/>
      <w:bookmarkStart w:id="46" w:name="_Toc18869"/>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44"/>
      <w:bookmarkEnd w:id="45"/>
      <w:bookmarkEnd w:id="46"/>
    </w:p>
    <w:p>
      <w:pPr>
        <w:spacing w:line="600" w:lineRule="exact"/>
        <w:ind w:firstLine="640"/>
        <w:rPr>
          <w:rFonts w:ascii="仿宋" w:hAnsi="仿宋" w:eastAsia="仿宋"/>
          <w:sz w:val="32"/>
          <w:szCs w:val="32"/>
          <w:highlight w:val="none"/>
        </w:rPr>
      </w:pPr>
      <w:r>
        <w:rPr>
          <w:rFonts w:hint="eastAsia" w:ascii="仿宋" w:hAnsi="仿宋" w:eastAsia="仿宋"/>
          <w:sz w:val="32"/>
          <w:szCs w:val="32"/>
        </w:rPr>
        <w:t>2023年度财政拨款收、支总计均为</w:t>
      </w:r>
      <w:r>
        <w:rPr>
          <w:rFonts w:ascii="仿宋" w:hAnsi="仿宋" w:eastAsia="仿宋"/>
          <w:b/>
          <w:sz w:val="32"/>
          <w:szCs w:val="32"/>
        </w:rPr>
        <w:t>7302.44</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942.83</w:t>
      </w:r>
      <w:r>
        <w:rPr>
          <w:rFonts w:hint="eastAsia" w:ascii="仿宋" w:hAnsi="仿宋" w:eastAsia="仿宋"/>
          <w:sz w:val="32"/>
          <w:szCs w:val="32"/>
        </w:rPr>
        <w:t>万元，增长</w:t>
      </w:r>
      <w:r>
        <w:rPr>
          <w:rFonts w:hint="eastAsia" w:ascii="仿宋" w:hAnsi="仿宋" w:eastAsia="仿宋"/>
          <w:sz w:val="32"/>
          <w:szCs w:val="32"/>
          <w:lang w:val="en-US" w:eastAsia="zh-CN"/>
        </w:rPr>
        <w:t>14.83</w:t>
      </w:r>
      <w:r>
        <w:rPr>
          <w:rFonts w:ascii="仿宋" w:hAnsi="仿宋" w:eastAsia="仿宋"/>
          <w:sz w:val="32"/>
          <w:szCs w:val="32"/>
        </w:rPr>
        <w:t>%</w:t>
      </w:r>
      <w:r>
        <w:rPr>
          <w:rFonts w:hint="eastAsia" w:ascii="仿宋" w:hAnsi="仿宋" w:eastAsia="仿宋"/>
          <w:sz w:val="32"/>
          <w:szCs w:val="32"/>
        </w:rPr>
        <w:t>。主要</w:t>
      </w:r>
      <w:r>
        <w:rPr>
          <w:rFonts w:hint="eastAsia" w:ascii="仿宋" w:hAnsi="仿宋" w:eastAsia="仿宋"/>
          <w:sz w:val="32"/>
          <w:szCs w:val="32"/>
          <w:highlight w:val="none"/>
        </w:rPr>
        <w:t>原因是</w:t>
      </w:r>
      <w:r>
        <w:rPr>
          <w:rFonts w:hint="eastAsia" w:ascii="仿宋" w:hAnsi="仿宋" w:eastAsia="仿宋"/>
          <w:sz w:val="32"/>
          <w:szCs w:val="32"/>
          <w:highlight w:val="none"/>
          <w:lang w:val="en-US" w:eastAsia="zh-CN"/>
        </w:rPr>
        <w:t>2023年新增市级公立医疗机构核酸检测费用1768万元。</w:t>
      </w:r>
    </w:p>
    <w:p>
      <w:pPr>
        <w:pStyle w:val="2"/>
      </w:pPr>
      <w:r>
        <w:drawing>
          <wp:inline distT="0" distB="0" distL="114300" distR="114300">
            <wp:extent cx="5341620" cy="3471545"/>
            <wp:effectExtent l="0" t="0" r="11430" b="1460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ascii="仿宋" w:hAnsi="仿宋" w:eastAsia="仿宋"/>
          <w:b/>
          <w:sz w:val="32"/>
          <w:szCs w:val="32"/>
        </w:rPr>
      </w:pPr>
      <w:r>
        <w:rPr>
          <w:rFonts w:hint="eastAsia" w:ascii="仿宋" w:hAnsi="仿宋" w:eastAsia="仿宋"/>
          <w:sz w:val="32"/>
          <w:szCs w:val="32"/>
        </w:rPr>
        <w:t>图4：财政拨款收、支决算总计变动情况（</w:t>
      </w:r>
      <w:r>
        <w:rPr>
          <w:rFonts w:hint="eastAsia" w:ascii="仿宋" w:hAnsi="仿宋" w:eastAsia="仿宋"/>
          <w:sz w:val="32"/>
          <w:szCs w:val="32"/>
          <w:lang w:eastAsia="zh-CN"/>
        </w:rPr>
        <w:t>万元</w:t>
      </w:r>
      <w:r>
        <w:rPr>
          <w:rFonts w:hint="eastAsia" w:ascii="仿宋" w:hAnsi="仿宋" w:eastAsia="仿宋"/>
          <w:sz w:val="32"/>
          <w:szCs w:val="32"/>
        </w:rPr>
        <w:t>）</w:t>
      </w:r>
    </w:p>
    <w:p>
      <w:pPr>
        <w:spacing w:line="600" w:lineRule="exact"/>
        <w:ind w:firstLine="640" w:firstLineChars="200"/>
        <w:outlineLvl w:val="1"/>
        <w:rPr>
          <w:rStyle w:val="29"/>
          <w:rFonts w:ascii="黑体" w:hAnsi="黑体" w:eastAsia="黑体"/>
          <w:b w:val="0"/>
        </w:rPr>
      </w:pPr>
      <w:bookmarkStart w:id="47" w:name="_Toc21845"/>
      <w:bookmarkStart w:id="48" w:name="_Toc15396607"/>
      <w:bookmarkStart w:id="49"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47"/>
      <w:bookmarkEnd w:id="48"/>
      <w:bookmarkEnd w:id="49"/>
    </w:p>
    <w:p>
      <w:pPr>
        <w:spacing w:line="600" w:lineRule="exact"/>
        <w:ind w:firstLine="642" w:firstLineChars="200"/>
        <w:outlineLvl w:val="2"/>
        <w:rPr>
          <w:rFonts w:ascii="仿宋" w:hAnsi="仿宋" w:eastAsia="仿宋"/>
          <w:b/>
          <w:sz w:val="32"/>
          <w:szCs w:val="32"/>
        </w:rPr>
      </w:pPr>
      <w:bookmarkStart w:id="50" w:name="_Toc6867"/>
      <w:bookmarkStart w:id="51" w:name="_Toc4943"/>
      <w:bookmarkStart w:id="52" w:name="_Toc15377210"/>
      <w:r>
        <w:rPr>
          <w:rFonts w:hint="eastAsia" w:ascii="仿宋" w:hAnsi="仿宋" w:eastAsia="仿宋"/>
          <w:b/>
          <w:sz w:val="32"/>
          <w:szCs w:val="32"/>
        </w:rPr>
        <w:t>（一）一般公共预算财政拨款支出决算总体情况</w:t>
      </w:r>
      <w:bookmarkEnd w:id="50"/>
      <w:bookmarkEnd w:id="51"/>
      <w:bookmarkEnd w:id="52"/>
    </w:p>
    <w:p>
      <w:pPr>
        <w:spacing w:line="600" w:lineRule="exact"/>
        <w:ind w:firstLine="640" w:firstLineChars="200"/>
        <w:rPr>
          <w:rFonts w:ascii="仿宋" w:hAnsi="仿宋" w:eastAsia="仿宋"/>
          <w:sz w:val="32"/>
          <w:szCs w:val="32"/>
          <w:highlight w:val="none"/>
        </w:rPr>
      </w:pPr>
      <w:r>
        <w:rPr>
          <w:rFonts w:hint="eastAsia" w:ascii="仿宋" w:hAnsi="仿宋" w:eastAsia="仿宋"/>
          <w:sz w:val="32"/>
          <w:szCs w:val="32"/>
        </w:rPr>
        <w:t>2023年度一般公共预算财政拨款支出</w:t>
      </w:r>
      <w:r>
        <w:rPr>
          <w:rFonts w:ascii="仿宋" w:hAnsi="仿宋" w:eastAsia="仿宋"/>
          <w:b/>
          <w:sz w:val="32"/>
          <w:szCs w:val="32"/>
        </w:rPr>
        <w:t>6911.1</w:t>
      </w:r>
      <w:r>
        <w:rPr>
          <w:rFonts w:hint="eastAsia" w:ascii="仿宋" w:hAnsi="仿宋" w:eastAsia="仿宋"/>
          <w:sz w:val="32"/>
          <w:szCs w:val="32"/>
        </w:rPr>
        <w:t>万元，占本年支出合计的</w:t>
      </w:r>
      <w:r>
        <w:rPr>
          <w:rFonts w:ascii="仿宋" w:hAnsi="仿宋" w:eastAsia="仿宋"/>
          <w:b/>
          <w:sz w:val="32"/>
          <w:szCs w:val="32"/>
        </w:rPr>
        <w:t>11.64</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1035.24</w:t>
      </w:r>
      <w:r>
        <w:rPr>
          <w:rFonts w:hint="eastAsia" w:ascii="仿宋" w:hAnsi="仿宋" w:eastAsia="仿宋"/>
          <w:sz w:val="32"/>
          <w:szCs w:val="32"/>
        </w:rPr>
        <w:t>万元，增长</w:t>
      </w:r>
      <w:r>
        <w:rPr>
          <w:rFonts w:hint="eastAsia" w:ascii="仿宋" w:hAnsi="仿宋" w:eastAsia="仿宋"/>
          <w:sz w:val="32"/>
          <w:szCs w:val="32"/>
          <w:lang w:val="en-US" w:eastAsia="zh-CN"/>
        </w:rPr>
        <w:t>17.62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2023年新增市级公立医疗机构核酸检测费用1768万元。</w:t>
      </w:r>
    </w:p>
    <w:p>
      <w:pPr>
        <w:pStyle w:val="2"/>
      </w:pPr>
      <w:r>
        <w:drawing>
          <wp:inline distT="0" distB="0" distL="114300" distR="114300">
            <wp:extent cx="5246370" cy="3557270"/>
            <wp:effectExtent l="0" t="0" r="11430" b="508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r>
        <w:rPr>
          <w:rFonts w:hint="eastAsia" w:ascii="仿宋" w:hAnsi="仿宋" w:eastAsia="仿宋"/>
          <w:sz w:val="32"/>
          <w:szCs w:val="32"/>
          <w:lang w:eastAsia="zh-CN"/>
        </w:rPr>
        <w:t>万元</w:t>
      </w:r>
      <w:r>
        <w:rPr>
          <w:rFonts w:hint="eastAsia" w:ascii="仿宋" w:hAnsi="仿宋" w:eastAsia="仿宋"/>
          <w:sz w:val="32"/>
          <w:szCs w:val="32"/>
        </w:rPr>
        <w:t>）</w:t>
      </w:r>
    </w:p>
    <w:p>
      <w:pPr>
        <w:spacing w:line="600" w:lineRule="exact"/>
        <w:ind w:firstLine="642" w:firstLineChars="200"/>
        <w:outlineLvl w:val="2"/>
        <w:rPr>
          <w:rFonts w:ascii="仿宋" w:hAnsi="仿宋" w:eastAsia="仿宋"/>
          <w:b/>
          <w:sz w:val="32"/>
          <w:szCs w:val="32"/>
        </w:rPr>
      </w:pPr>
      <w:bookmarkStart w:id="53" w:name="_Toc15085"/>
      <w:bookmarkStart w:id="54" w:name="_Toc15377211"/>
      <w:bookmarkStart w:id="55" w:name="_Toc29311"/>
      <w:r>
        <w:rPr>
          <w:rFonts w:hint="eastAsia" w:ascii="仿宋" w:hAnsi="仿宋" w:eastAsia="仿宋"/>
          <w:b/>
          <w:sz w:val="32"/>
          <w:szCs w:val="32"/>
        </w:rPr>
        <w:t>（二）一般公共预算财政拨款支出决算结构情况</w:t>
      </w:r>
      <w:bookmarkEnd w:id="53"/>
      <w:bookmarkEnd w:id="54"/>
      <w:bookmarkEnd w:id="55"/>
    </w:p>
    <w:p>
      <w:pPr>
        <w:spacing w:line="600" w:lineRule="exact"/>
        <w:ind w:firstLine="640"/>
        <w:rPr>
          <w:rFonts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6911.1</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0.56</w:t>
      </w:r>
      <w:r>
        <w:rPr>
          <w:rFonts w:hint="eastAsia" w:ascii="仿宋" w:hAnsi="仿宋" w:eastAsia="仿宋"/>
          <w:sz w:val="32"/>
          <w:szCs w:val="32"/>
        </w:rPr>
        <w:t>万元，占</w:t>
      </w:r>
      <w:r>
        <w:rPr>
          <w:rFonts w:hint="eastAsia" w:ascii="仿宋" w:hAnsi="仿宋" w:eastAsia="仿宋"/>
          <w:sz w:val="32"/>
          <w:szCs w:val="32"/>
          <w:lang w:val="en-US" w:eastAsia="zh-CN"/>
        </w:rPr>
        <w:t>0.01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198.52</w:t>
      </w:r>
      <w:r>
        <w:rPr>
          <w:rFonts w:hint="eastAsia" w:ascii="仿宋" w:hAnsi="仿宋" w:eastAsia="仿宋"/>
          <w:sz w:val="32"/>
          <w:szCs w:val="32"/>
        </w:rPr>
        <w:t>万元，占</w:t>
      </w:r>
      <w:r>
        <w:rPr>
          <w:rFonts w:hint="eastAsia" w:ascii="仿宋" w:hAnsi="仿宋" w:eastAsia="仿宋"/>
          <w:sz w:val="32"/>
          <w:szCs w:val="32"/>
          <w:lang w:val="en-US" w:eastAsia="zh-CN"/>
        </w:rPr>
        <w:t>2.87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6564.11</w:t>
      </w:r>
      <w:r>
        <w:rPr>
          <w:rFonts w:hint="eastAsia" w:ascii="仿宋" w:hAnsi="仿宋" w:eastAsia="仿宋"/>
          <w:sz w:val="32"/>
          <w:szCs w:val="32"/>
        </w:rPr>
        <w:t>万元，占</w:t>
      </w:r>
      <w:r>
        <w:rPr>
          <w:rFonts w:hint="eastAsia" w:ascii="仿宋" w:hAnsi="仿宋" w:eastAsia="仿宋"/>
          <w:sz w:val="32"/>
          <w:szCs w:val="32"/>
          <w:lang w:val="en-US" w:eastAsia="zh-CN"/>
        </w:rPr>
        <w:t>94.98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147.91</w:t>
      </w:r>
      <w:r>
        <w:rPr>
          <w:rFonts w:hint="eastAsia" w:ascii="仿宋" w:hAnsi="仿宋" w:eastAsia="仿宋"/>
          <w:sz w:val="32"/>
          <w:szCs w:val="32"/>
        </w:rPr>
        <w:t>万元，占</w:t>
      </w:r>
      <w:r>
        <w:rPr>
          <w:rFonts w:hint="eastAsia" w:ascii="仿宋" w:hAnsi="仿宋" w:eastAsia="仿宋"/>
          <w:sz w:val="32"/>
          <w:szCs w:val="32"/>
          <w:lang w:val="en-US" w:eastAsia="zh-CN"/>
        </w:rPr>
        <w:t>2.14</w:t>
      </w:r>
      <w:r>
        <w:rPr>
          <w:rFonts w:ascii="仿宋" w:hAnsi="仿宋" w:eastAsia="仿宋"/>
          <w:sz w:val="32"/>
          <w:szCs w:val="32"/>
        </w:rPr>
        <w:t>%</w:t>
      </w:r>
      <w:r>
        <w:rPr>
          <w:rFonts w:hint="eastAsia" w:ascii="仿宋" w:hAnsi="仿宋" w:eastAsia="仿宋"/>
          <w:sz w:val="32"/>
          <w:szCs w:val="32"/>
        </w:rPr>
        <w:t>。</w:t>
      </w:r>
    </w:p>
    <w:p>
      <w:pPr>
        <w:pStyle w:val="2"/>
      </w:pPr>
      <w:r>
        <w:drawing>
          <wp:inline distT="0" distB="0" distL="114300" distR="114300">
            <wp:extent cx="5306060" cy="4027170"/>
            <wp:effectExtent l="0" t="0" r="8890" b="11430"/>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2" w:firstLineChars="200"/>
        <w:outlineLvl w:val="2"/>
        <w:rPr>
          <w:rFonts w:ascii="仿宋" w:hAnsi="仿宋" w:eastAsia="仿宋"/>
          <w:b/>
          <w:sz w:val="32"/>
          <w:szCs w:val="32"/>
        </w:rPr>
      </w:pPr>
      <w:bookmarkStart w:id="56" w:name="_Toc15377212"/>
      <w:bookmarkStart w:id="57" w:name="_Toc5765"/>
      <w:bookmarkStart w:id="58" w:name="_Toc12827"/>
      <w:r>
        <w:rPr>
          <w:rFonts w:hint="eastAsia" w:ascii="仿宋" w:hAnsi="仿宋" w:eastAsia="仿宋"/>
          <w:b/>
          <w:sz w:val="32"/>
          <w:szCs w:val="32"/>
        </w:rPr>
        <w:t>（三）一般公共预算财政拨款支出决算具体情况</w:t>
      </w:r>
      <w:bookmarkEnd w:id="56"/>
      <w:bookmarkEnd w:id="57"/>
      <w:bookmarkEnd w:id="58"/>
    </w:p>
    <w:p>
      <w:pPr>
        <w:spacing w:line="600" w:lineRule="exact"/>
        <w:ind w:firstLine="642" w:firstLineChars="200"/>
        <w:outlineLvl w:val="2"/>
        <w:rPr>
          <w:rFonts w:ascii="仿宋" w:hAnsi="仿宋" w:eastAsia="仿宋"/>
          <w:sz w:val="32"/>
          <w:szCs w:val="32"/>
        </w:rPr>
      </w:pPr>
      <w:bookmarkStart w:id="59" w:name="_Toc15377444"/>
      <w:bookmarkStart w:id="60" w:name="_Toc15377213"/>
      <w:bookmarkStart w:id="61" w:name="_Toc22541"/>
      <w:bookmarkStart w:id="62" w:name="_Toc15378460"/>
      <w:bookmarkStart w:id="63" w:name="_Toc32484"/>
      <w:r>
        <w:rPr>
          <w:rFonts w:hint="eastAsia" w:ascii="仿宋" w:hAnsi="仿宋" w:eastAsia="仿宋"/>
          <w:b/>
          <w:sz w:val="32"/>
          <w:szCs w:val="32"/>
        </w:rPr>
        <w:t>2023年度一般公共预算支出决算数为</w:t>
      </w:r>
      <w:r>
        <w:rPr>
          <w:rFonts w:ascii="仿宋" w:hAnsi="仿宋" w:eastAsia="仿宋"/>
          <w:b/>
          <w:sz w:val="32"/>
          <w:szCs w:val="32"/>
        </w:rPr>
        <w:t>6911.1</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94.64</w:t>
      </w:r>
      <w:r>
        <w:rPr>
          <w:rStyle w:val="16"/>
          <w:rFonts w:ascii="仿宋" w:hAnsi="仿宋" w:eastAsia="仿宋"/>
          <w:bCs/>
          <w:sz w:val="32"/>
          <w:szCs w:val="32"/>
        </w:rPr>
        <w:t>%</w:t>
      </w:r>
      <w:r>
        <w:rPr>
          <w:rStyle w:val="16"/>
          <w:rFonts w:hint="eastAsia" w:ascii="仿宋" w:hAnsi="仿宋" w:eastAsia="仿宋"/>
          <w:bCs/>
          <w:sz w:val="32"/>
          <w:szCs w:val="32"/>
        </w:rPr>
        <w:t>。其中：</w:t>
      </w:r>
      <w:bookmarkEnd w:id="59"/>
      <w:bookmarkEnd w:id="60"/>
      <w:bookmarkEnd w:id="61"/>
      <w:bookmarkEnd w:id="62"/>
      <w:bookmarkEnd w:id="63"/>
    </w:p>
    <w:p>
      <w:pPr>
        <w:numPr>
          <w:ilvl w:val="0"/>
          <w:numId w:val="0"/>
        </w:numPr>
        <w:spacing w:line="600" w:lineRule="exact"/>
        <w:ind w:firstLine="642" w:firstLineChars="200"/>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1.</w:t>
      </w:r>
      <w:r>
        <w:rPr>
          <w:rStyle w:val="16"/>
          <w:rFonts w:hint="eastAsia" w:ascii="仿宋" w:hAnsi="仿宋" w:eastAsia="仿宋"/>
          <w:bCs/>
          <w:sz w:val="32"/>
          <w:szCs w:val="32"/>
        </w:rPr>
        <w:t>科学技术（类）基础研究（款）自然科学基金（项）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0.14</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rPr>
        <w:t>。</w:t>
      </w:r>
    </w:p>
    <w:p>
      <w:pPr>
        <w:spacing w:line="600" w:lineRule="exact"/>
        <w:ind w:firstLine="642" w:firstLineChars="200"/>
      </w:pPr>
      <w:r>
        <w:rPr>
          <w:rStyle w:val="16"/>
          <w:rFonts w:hint="eastAsia" w:ascii="仿宋" w:hAnsi="仿宋" w:eastAsia="仿宋"/>
          <w:bCs/>
          <w:sz w:val="32"/>
          <w:szCs w:val="32"/>
          <w:lang w:val="en-US" w:eastAsia="zh-CN"/>
        </w:rPr>
        <w:t>2</w:t>
      </w:r>
      <w:r>
        <w:rPr>
          <w:rStyle w:val="16"/>
          <w:rFonts w:ascii="仿宋" w:hAnsi="仿宋" w:eastAsia="仿宋"/>
          <w:bCs/>
          <w:sz w:val="32"/>
          <w:szCs w:val="32"/>
        </w:rPr>
        <w:t>.</w:t>
      </w:r>
      <w:r>
        <w:rPr>
          <w:rStyle w:val="16"/>
          <w:rFonts w:hint="eastAsia" w:ascii="仿宋" w:hAnsi="仿宋" w:eastAsia="仿宋"/>
          <w:bCs/>
          <w:sz w:val="32"/>
          <w:szCs w:val="32"/>
        </w:rPr>
        <w:t>科学技术（类）</w:t>
      </w:r>
      <w:r>
        <w:rPr>
          <w:rStyle w:val="16"/>
          <w:rFonts w:hint="eastAsia" w:ascii="仿宋" w:hAnsi="仿宋" w:eastAsia="仿宋"/>
          <w:bCs/>
          <w:sz w:val="32"/>
          <w:szCs w:val="32"/>
          <w:lang w:eastAsia="zh-CN"/>
        </w:rPr>
        <w:t>科技重大项目</w:t>
      </w:r>
      <w:r>
        <w:rPr>
          <w:rStyle w:val="16"/>
          <w:rFonts w:hint="eastAsia" w:ascii="仿宋" w:hAnsi="仿宋" w:eastAsia="仿宋"/>
          <w:bCs/>
          <w:sz w:val="32"/>
          <w:szCs w:val="32"/>
        </w:rPr>
        <w:t>（款）</w:t>
      </w:r>
      <w:r>
        <w:rPr>
          <w:rStyle w:val="16"/>
          <w:rFonts w:hint="eastAsia" w:ascii="仿宋" w:hAnsi="仿宋" w:eastAsia="仿宋"/>
          <w:bCs/>
          <w:sz w:val="32"/>
          <w:szCs w:val="32"/>
          <w:lang w:eastAsia="zh-CN"/>
        </w:rPr>
        <w:t>重点研发计划</w:t>
      </w:r>
      <w:r>
        <w:rPr>
          <w:rStyle w:val="16"/>
          <w:rFonts w:hint="eastAsia" w:ascii="仿宋" w:hAnsi="仿宋" w:eastAsia="仿宋"/>
          <w:bCs/>
          <w:sz w:val="32"/>
          <w:szCs w:val="32"/>
        </w:rPr>
        <w:t>（项）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0.42</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4.20</w:t>
      </w:r>
      <w:r>
        <w:rPr>
          <w:rStyle w:val="16"/>
          <w:rFonts w:ascii="仿宋" w:hAnsi="仿宋" w:eastAsia="仿宋"/>
          <w:b w:val="0"/>
          <w:bCs/>
          <w:sz w:val="32"/>
          <w:szCs w:val="32"/>
        </w:rPr>
        <w:t>%</w:t>
      </w:r>
      <w:r>
        <w:rPr>
          <w:rStyle w:val="16"/>
          <w:rFonts w:hint="eastAsia" w:ascii="仿宋" w:hAnsi="仿宋" w:eastAsia="仿宋"/>
          <w:b w:val="0"/>
          <w:bCs/>
          <w:sz w:val="32"/>
          <w:szCs w:val="32"/>
        </w:rPr>
        <w:t>，决算数小于预算数的</w:t>
      </w:r>
      <w:r>
        <w:rPr>
          <w:rStyle w:val="16"/>
          <w:rFonts w:hint="eastAsia" w:ascii="仿宋" w:hAnsi="仿宋" w:eastAsia="仿宋"/>
          <w:b w:val="0"/>
          <w:bCs/>
          <w:sz w:val="32"/>
          <w:szCs w:val="32"/>
          <w:highlight w:val="none"/>
        </w:rPr>
        <w:t>主要原因是</w:t>
      </w:r>
      <w:r>
        <w:rPr>
          <w:rStyle w:val="16"/>
          <w:rFonts w:hint="eastAsia" w:ascii="仿宋" w:hAnsi="仿宋" w:eastAsia="仿宋"/>
          <w:b w:val="0"/>
          <w:bCs/>
          <w:sz w:val="32"/>
          <w:szCs w:val="32"/>
          <w:highlight w:val="none"/>
          <w:lang w:eastAsia="zh-CN"/>
        </w:rPr>
        <w:t>科研项目《</w:t>
      </w:r>
      <w:r>
        <w:rPr>
          <w:rStyle w:val="16"/>
          <w:rFonts w:hint="eastAsia" w:ascii="仿宋" w:hAnsi="仿宋" w:eastAsia="仿宋"/>
          <w:b w:val="0"/>
          <w:bCs/>
          <w:sz w:val="32"/>
          <w:szCs w:val="32"/>
          <w:highlight w:val="none"/>
        </w:rPr>
        <w:t>重大传染病疫情下广元市定点医院应急管理的研究与实践</w:t>
      </w:r>
      <w:r>
        <w:rPr>
          <w:rStyle w:val="16"/>
          <w:rFonts w:hint="eastAsia" w:ascii="仿宋" w:hAnsi="仿宋" w:eastAsia="仿宋"/>
          <w:b w:val="0"/>
          <w:bCs/>
          <w:sz w:val="32"/>
          <w:szCs w:val="32"/>
          <w:highlight w:val="none"/>
          <w:lang w:eastAsia="zh-CN"/>
        </w:rPr>
        <w:t>》正在实施，周期为三年，部分经费无法支付</w:t>
      </w:r>
      <w:r>
        <w:rPr>
          <w:rStyle w:val="16"/>
          <w:rFonts w:hint="eastAsia" w:ascii="仿宋" w:hAnsi="仿宋" w:eastAsia="仿宋"/>
          <w:b w:val="0"/>
          <w:bCs/>
          <w:sz w:val="32"/>
          <w:szCs w:val="32"/>
          <w:highlight w:val="none"/>
        </w:rPr>
        <w:t>。</w:t>
      </w:r>
    </w:p>
    <w:p>
      <w:pPr>
        <w:spacing w:line="600" w:lineRule="exact"/>
        <w:ind w:firstLine="642" w:firstLineChars="200"/>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3</w:t>
      </w:r>
      <w:r>
        <w:rPr>
          <w:rStyle w:val="16"/>
          <w:rFonts w:ascii="仿宋" w:hAnsi="仿宋" w:eastAsia="仿宋"/>
          <w:bCs/>
          <w:sz w:val="32"/>
          <w:szCs w:val="32"/>
        </w:rPr>
        <w:t>.</w:t>
      </w:r>
      <w:r>
        <w:rPr>
          <w:rStyle w:val="16"/>
          <w:rFonts w:hint="eastAsia" w:ascii="仿宋" w:hAnsi="仿宋" w:eastAsia="仿宋"/>
          <w:bCs/>
          <w:sz w:val="32"/>
          <w:szCs w:val="32"/>
        </w:rPr>
        <w:t>社会保障和就业（类）人力资源和社会保障管理事务（款）引进人才费用（项）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4</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rPr>
        <w:t>。</w:t>
      </w:r>
    </w:p>
    <w:p>
      <w:pPr>
        <w:spacing w:line="600" w:lineRule="exact"/>
        <w:ind w:firstLine="642" w:firstLineChars="200"/>
      </w:pPr>
      <w:r>
        <w:rPr>
          <w:rStyle w:val="16"/>
          <w:rFonts w:hint="eastAsia" w:ascii="仿宋" w:hAnsi="仿宋" w:eastAsia="仿宋"/>
          <w:bCs/>
          <w:sz w:val="32"/>
          <w:szCs w:val="32"/>
          <w:lang w:val="en-US" w:eastAsia="zh-CN"/>
        </w:rPr>
        <w:t>4</w:t>
      </w:r>
      <w:r>
        <w:rPr>
          <w:rStyle w:val="16"/>
          <w:rFonts w:ascii="仿宋" w:hAnsi="仿宋" w:eastAsia="仿宋"/>
          <w:bCs/>
          <w:sz w:val="32"/>
          <w:szCs w:val="32"/>
        </w:rPr>
        <w:t>.</w:t>
      </w:r>
      <w:r>
        <w:rPr>
          <w:rStyle w:val="16"/>
          <w:rFonts w:hint="eastAsia" w:ascii="仿宋" w:hAnsi="仿宋" w:eastAsia="仿宋"/>
          <w:bCs/>
          <w:sz w:val="32"/>
          <w:szCs w:val="32"/>
        </w:rPr>
        <w:t>社会保障和就业（类）行政事业单位养老支出（款）机关事业单位基本养老保险缴费支出（项）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194.52</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rPr>
        <w:t>。</w:t>
      </w:r>
    </w:p>
    <w:p>
      <w:pPr>
        <w:spacing w:line="600" w:lineRule="exact"/>
        <w:ind w:firstLine="642" w:firstLineChars="200"/>
        <w:rPr>
          <w:rStyle w:val="16"/>
          <w:rFonts w:hint="eastAsia" w:ascii="仿宋" w:hAnsi="仿宋" w:eastAsia="仿宋"/>
          <w:b w:val="0"/>
          <w:bCs/>
          <w:sz w:val="32"/>
          <w:szCs w:val="32"/>
          <w:highlight w:val="red"/>
        </w:rPr>
      </w:pPr>
      <w:r>
        <w:rPr>
          <w:rStyle w:val="16"/>
          <w:rFonts w:hint="eastAsia" w:ascii="仿宋" w:hAnsi="仿宋" w:eastAsia="仿宋"/>
          <w:bCs/>
          <w:sz w:val="32"/>
          <w:szCs w:val="32"/>
          <w:lang w:val="en-US" w:eastAsia="zh-CN"/>
        </w:rPr>
        <w:t>5</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（类）公立医院（款）综合医院（项）</w:t>
      </w:r>
      <w:r>
        <w:rPr>
          <w:rStyle w:val="16"/>
          <w:rFonts w:ascii="仿宋" w:hAnsi="仿宋" w:eastAsia="仿宋"/>
          <w:bCs/>
          <w:sz w:val="32"/>
          <w:szCs w:val="32"/>
        </w:rPr>
        <w:t>:</w:t>
      </w:r>
      <w:r>
        <w:rPr>
          <w:rStyle w:val="16"/>
          <w:rFonts w:hint="eastAsia" w:ascii="仿宋" w:hAnsi="仿宋" w:eastAsia="仿宋"/>
          <w:b w:val="0"/>
          <w:bCs/>
          <w:sz w:val="32"/>
          <w:szCs w:val="32"/>
        </w:rPr>
        <w:t>支出</w:t>
      </w:r>
      <w:r>
        <w:rPr>
          <w:rStyle w:val="16"/>
          <w:rFonts w:hint="eastAsia" w:ascii="仿宋" w:hAnsi="仿宋" w:eastAsia="仿宋"/>
          <w:b w:val="0"/>
          <w:bCs/>
          <w:sz w:val="32"/>
          <w:szCs w:val="32"/>
          <w:highlight w:val="none"/>
        </w:rPr>
        <w:t>决算为</w:t>
      </w:r>
      <w:r>
        <w:rPr>
          <w:rStyle w:val="16"/>
          <w:rFonts w:hint="eastAsia" w:ascii="仿宋" w:hAnsi="仿宋" w:eastAsia="仿宋"/>
          <w:b w:val="0"/>
          <w:bCs/>
          <w:sz w:val="32"/>
          <w:szCs w:val="32"/>
          <w:highlight w:val="none"/>
          <w:lang w:val="en-US" w:eastAsia="zh-CN"/>
        </w:rPr>
        <w:t>6.08</w:t>
      </w:r>
      <w:r>
        <w:rPr>
          <w:rStyle w:val="16"/>
          <w:rFonts w:hint="eastAsia" w:ascii="仿宋" w:hAnsi="仿宋" w:eastAsia="仿宋"/>
          <w:b w:val="0"/>
          <w:bCs/>
          <w:sz w:val="32"/>
          <w:szCs w:val="32"/>
          <w:highlight w:val="none"/>
        </w:rPr>
        <w:t>万元，完成预算</w:t>
      </w:r>
      <w:r>
        <w:rPr>
          <w:rStyle w:val="16"/>
          <w:rFonts w:hint="eastAsia" w:ascii="仿宋" w:hAnsi="仿宋" w:eastAsia="仿宋"/>
          <w:b w:val="0"/>
          <w:bCs/>
          <w:sz w:val="32"/>
          <w:szCs w:val="32"/>
          <w:highlight w:val="none"/>
          <w:lang w:val="en-US" w:eastAsia="zh-CN"/>
        </w:rPr>
        <w:t>17.24</w:t>
      </w:r>
      <w:r>
        <w:rPr>
          <w:rStyle w:val="16"/>
          <w:rFonts w:ascii="仿宋" w:hAnsi="仿宋" w:eastAsia="仿宋"/>
          <w:b w:val="0"/>
          <w:bCs/>
          <w:sz w:val="32"/>
          <w:szCs w:val="32"/>
          <w:highlight w:val="none"/>
        </w:rPr>
        <w:t>%</w:t>
      </w:r>
      <w:r>
        <w:rPr>
          <w:rStyle w:val="16"/>
          <w:rFonts w:hint="eastAsia" w:ascii="仿宋" w:hAnsi="仿宋" w:eastAsia="仿宋"/>
          <w:b w:val="0"/>
          <w:bCs/>
          <w:sz w:val="32"/>
          <w:szCs w:val="32"/>
          <w:highlight w:val="none"/>
        </w:rPr>
        <w:t>，决算数小于预算数的主要原因是慢病管理（早癌筛查专项）</w:t>
      </w:r>
      <w:r>
        <w:rPr>
          <w:rStyle w:val="16"/>
          <w:rFonts w:hint="eastAsia" w:ascii="仿宋" w:hAnsi="仿宋" w:eastAsia="仿宋"/>
          <w:b w:val="0"/>
          <w:bCs/>
          <w:sz w:val="32"/>
          <w:szCs w:val="32"/>
          <w:highlight w:val="none"/>
          <w:lang w:eastAsia="zh-CN"/>
        </w:rPr>
        <w:t>新购设备因疫情原因滞后，采购流程较长，款项未支付</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6</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（类）公立医院（款）传染病医院（项）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884.08</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7</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（类）公立医院（款）精神病医院（项）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3186.48</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99.98</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Style w:val="16"/>
          <w:rFonts w:hint="eastAsia" w:ascii="仿宋" w:hAnsi="仿宋" w:eastAsia="仿宋"/>
          <w:b w:val="0"/>
          <w:bCs/>
          <w:sz w:val="32"/>
          <w:szCs w:val="32"/>
        </w:rPr>
        <w:t>决算数小于预算数</w:t>
      </w:r>
      <w:r>
        <w:rPr>
          <w:rStyle w:val="16"/>
          <w:rFonts w:hint="eastAsia" w:ascii="仿宋" w:hAnsi="仿宋" w:eastAsia="仿宋"/>
          <w:b w:val="0"/>
          <w:bCs/>
          <w:sz w:val="32"/>
          <w:szCs w:val="32"/>
          <w:highlight w:val="none"/>
        </w:rPr>
        <w:t>的主要原因</w:t>
      </w:r>
      <w:r>
        <w:rPr>
          <w:rStyle w:val="16"/>
          <w:rFonts w:hint="eastAsia" w:ascii="仿宋" w:hAnsi="仿宋" w:eastAsia="仿宋"/>
          <w:b w:val="0"/>
          <w:bCs/>
          <w:sz w:val="32"/>
          <w:szCs w:val="32"/>
          <w:highlight w:val="none"/>
          <w:lang w:eastAsia="zh-CN"/>
        </w:rPr>
        <w:t>是广元市青少年心理卫生健康科普与培训项目因疫情原因导致实施滞后，部分费用未结算</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8</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（类）公立医院（款）其他公立医院支出（项）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99.09</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9</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（类）公共卫生（款）重大公共卫生服务（项）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272.22</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10</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（类）公共卫生（款）突发公共卫生事件应急处理（项）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901.29</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11</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（类）行政事业单位医疗（款）事业单位医疗（项）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97.26</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12</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（类）医疗保障管理事务（款）其他医疗保障管理事务支出（项）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45.47</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highlight w:val="none"/>
        </w:rPr>
      </w:pPr>
      <w:r>
        <w:rPr>
          <w:rStyle w:val="16"/>
          <w:rFonts w:hint="eastAsia" w:ascii="仿宋" w:hAnsi="仿宋" w:eastAsia="仿宋"/>
          <w:bCs/>
          <w:sz w:val="32"/>
          <w:szCs w:val="32"/>
          <w:lang w:val="en-US" w:eastAsia="zh-CN"/>
        </w:rPr>
        <w:t>13</w:t>
      </w:r>
      <w:r>
        <w:rPr>
          <w:rStyle w:val="16"/>
          <w:rFonts w:ascii="仿宋" w:hAnsi="仿宋" w:eastAsia="仿宋"/>
          <w:bCs/>
          <w:sz w:val="32"/>
          <w:szCs w:val="32"/>
        </w:rPr>
        <w:t>.</w:t>
      </w:r>
      <w:r>
        <w:rPr>
          <w:rFonts w:hint="eastAsia" w:ascii="仿宋" w:hAnsi="仿宋" w:eastAsia="仿宋"/>
          <w:b/>
          <w:bCs/>
          <w:sz w:val="32"/>
          <w:szCs w:val="32"/>
        </w:rPr>
        <w:t>卫生健康</w:t>
      </w:r>
      <w:r>
        <w:rPr>
          <w:rStyle w:val="16"/>
          <w:rFonts w:hint="eastAsia" w:ascii="仿宋" w:hAnsi="仿宋" w:eastAsia="仿宋"/>
          <w:bCs/>
          <w:sz w:val="32"/>
          <w:szCs w:val="32"/>
        </w:rPr>
        <w:t>（类）其他卫生健康支出（款）其他卫生健康支出（项）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1072.15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75.28</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Style w:val="16"/>
          <w:rFonts w:hint="eastAsia" w:ascii="仿宋" w:hAnsi="仿宋" w:eastAsia="仿宋"/>
          <w:b w:val="0"/>
          <w:bCs/>
          <w:sz w:val="32"/>
          <w:szCs w:val="32"/>
        </w:rPr>
        <w:t>决算数小于预算数的</w:t>
      </w:r>
      <w:r>
        <w:rPr>
          <w:rStyle w:val="16"/>
          <w:rFonts w:hint="eastAsia" w:ascii="仿宋" w:hAnsi="仿宋" w:eastAsia="仿宋"/>
          <w:b w:val="0"/>
          <w:bCs/>
          <w:sz w:val="32"/>
          <w:szCs w:val="32"/>
          <w:highlight w:val="none"/>
        </w:rPr>
        <w:t>主要原因是中央和省级财政</w:t>
      </w:r>
      <w:r>
        <w:rPr>
          <w:rStyle w:val="16"/>
          <w:rFonts w:hint="eastAsia" w:ascii="仿宋" w:hAnsi="仿宋" w:eastAsia="仿宋"/>
          <w:b w:val="0"/>
          <w:bCs/>
          <w:sz w:val="32"/>
          <w:szCs w:val="32"/>
          <w:highlight w:val="none"/>
          <w:lang w:eastAsia="zh-CN"/>
        </w:rPr>
        <w:t>补助的</w:t>
      </w:r>
      <w:r>
        <w:rPr>
          <w:rStyle w:val="16"/>
          <w:rFonts w:hint="eastAsia" w:ascii="仿宋" w:hAnsi="仿宋" w:eastAsia="仿宋"/>
          <w:b w:val="0"/>
          <w:bCs/>
          <w:sz w:val="32"/>
          <w:szCs w:val="32"/>
          <w:highlight w:val="none"/>
        </w:rPr>
        <w:t>新冠患者救治费用</w:t>
      </w:r>
      <w:r>
        <w:rPr>
          <w:rStyle w:val="16"/>
          <w:rFonts w:hint="eastAsia" w:ascii="仿宋" w:hAnsi="仿宋" w:eastAsia="仿宋"/>
          <w:b w:val="0"/>
          <w:bCs/>
          <w:sz w:val="32"/>
          <w:szCs w:val="32"/>
          <w:highlight w:val="none"/>
          <w:lang w:eastAsia="zh-CN"/>
        </w:rPr>
        <w:t>未联系到患者，无法退给患者，</w:t>
      </w:r>
      <w:r>
        <w:rPr>
          <w:rStyle w:val="16"/>
          <w:rFonts w:hint="eastAsia" w:ascii="仿宋" w:hAnsi="仿宋" w:eastAsia="仿宋"/>
          <w:b w:val="0"/>
          <w:bCs/>
          <w:sz w:val="32"/>
          <w:szCs w:val="32"/>
          <w:highlight w:val="none"/>
          <w:lang w:val="en-US" w:eastAsia="zh-CN"/>
        </w:rPr>
        <w:t>2024年已将该专项余款退回财政</w:t>
      </w:r>
      <w:r>
        <w:rPr>
          <w:rStyle w:val="16"/>
          <w:rFonts w:hint="eastAsia" w:ascii="仿宋" w:hAnsi="仿宋" w:eastAsia="仿宋"/>
          <w:b w:val="0"/>
          <w:bCs/>
          <w:sz w:val="32"/>
          <w:szCs w:val="32"/>
          <w:highlight w:val="none"/>
        </w:rPr>
        <w:t>。</w:t>
      </w:r>
    </w:p>
    <w:p>
      <w:pPr>
        <w:spacing w:line="600" w:lineRule="exact"/>
        <w:ind w:firstLine="642" w:firstLineChars="200"/>
        <w:rPr>
          <w:rFonts w:ascii="仿宋" w:hAnsi="仿宋" w:eastAsia="仿宋"/>
          <w:b/>
          <w:sz w:val="32"/>
          <w:szCs w:val="32"/>
        </w:rPr>
      </w:pPr>
      <w:r>
        <w:rPr>
          <w:rStyle w:val="16"/>
          <w:rFonts w:hint="eastAsia" w:ascii="仿宋" w:hAnsi="仿宋" w:eastAsia="仿宋"/>
          <w:bCs/>
          <w:sz w:val="32"/>
          <w:szCs w:val="32"/>
          <w:lang w:val="en-US" w:eastAsia="zh-CN"/>
        </w:rPr>
        <w:t>14</w:t>
      </w:r>
      <w:r>
        <w:rPr>
          <w:rStyle w:val="16"/>
          <w:rFonts w:ascii="仿宋" w:hAnsi="仿宋" w:eastAsia="仿宋"/>
          <w:bCs/>
          <w:sz w:val="32"/>
          <w:szCs w:val="32"/>
        </w:rPr>
        <w:t>.</w:t>
      </w:r>
      <w:r>
        <w:rPr>
          <w:rFonts w:hint="eastAsia" w:ascii="仿宋" w:hAnsi="仿宋" w:eastAsia="仿宋"/>
          <w:b/>
          <w:bCs/>
          <w:sz w:val="32"/>
          <w:szCs w:val="32"/>
        </w:rPr>
        <w:t>住房保障</w:t>
      </w:r>
      <w:r>
        <w:rPr>
          <w:rStyle w:val="16"/>
          <w:rFonts w:hint="eastAsia" w:ascii="仿宋" w:hAnsi="仿宋" w:eastAsia="仿宋"/>
          <w:bCs/>
          <w:sz w:val="32"/>
          <w:szCs w:val="32"/>
        </w:rPr>
        <w:t>（类）住房改革支出（款）住房公积金（项）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147.91</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highlight w:val="none"/>
        </w:rPr>
        <w:t>，</w:t>
      </w:r>
      <w:r>
        <w:rPr>
          <w:rFonts w:hint="eastAsia" w:ascii="仿宋" w:hAnsi="仿宋" w:eastAsia="仿宋"/>
          <w:color w:val="auto"/>
          <w:sz w:val="32"/>
          <w:szCs w:val="32"/>
          <w:highlight w:val="none"/>
        </w:rPr>
        <w:t>决算数与预算数持平</w:t>
      </w:r>
      <w:r>
        <w:rPr>
          <w:rStyle w:val="16"/>
          <w:rFonts w:hint="eastAsia" w:ascii="仿宋" w:hAnsi="仿宋" w:eastAsia="仿宋"/>
          <w:b w:val="0"/>
          <w:bCs/>
          <w:sz w:val="32"/>
          <w:szCs w:val="32"/>
          <w:highlight w:val="none"/>
        </w:rPr>
        <w:t>。</w:t>
      </w:r>
    </w:p>
    <w:p>
      <w:pPr>
        <w:tabs>
          <w:tab w:val="right" w:pos="8306"/>
        </w:tabs>
        <w:spacing w:line="600" w:lineRule="exact"/>
        <w:ind w:firstLine="640"/>
        <w:outlineLvl w:val="1"/>
        <w:rPr>
          <w:rStyle w:val="29"/>
        </w:rPr>
      </w:pPr>
      <w:bookmarkStart w:id="64" w:name="_Toc15377214"/>
      <w:bookmarkStart w:id="65" w:name="_Toc15396608"/>
      <w:bookmarkStart w:id="66" w:name="_Toc1558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64"/>
      <w:bookmarkEnd w:id="65"/>
      <w:bookmarkEnd w:id="66"/>
      <w:r>
        <w:rPr>
          <w:rStyle w:val="29"/>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3612.28</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ascii="仿宋" w:hAnsi="仿宋" w:eastAsia="仿宋"/>
          <w:b/>
          <w:sz w:val="32"/>
          <w:szCs w:val="32"/>
        </w:rPr>
        <w:t>3521.88</w:t>
      </w:r>
      <w:r>
        <w:rPr>
          <w:rFonts w:hint="eastAsia" w:ascii="仿宋" w:hAnsi="仿宋" w:eastAsia="仿宋"/>
          <w:sz w:val="32"/>
          <w:szCs w:val="32"/>
        </w:rPr>
        <w:t>万元，主要包括：基本工资、绩效工资、机关事业单位基本养老保险缴费、</w:t>
      </w:r>
      <w:r>
        <w:rPr>
          <w:rFonts w:hint="eastAsia" w:ascii="仿宋" w:hAnsi="仿宋" w:eastAsia="仿宋"/>
          <w:color w:val="auto"/>
          <w:sz w:val="32"/>
          <w:szCs w:val="32"/>
          <w:highlight w:val="none"/>
        </w:rPr>
        <w:t>职工基本医疗保险缴费</w:t>
      </w:r>
      <w:r>
        <w:rPr>
          <w:rFonts w:hint="eastAsia" w:ascii="仿宋" w:hAnsi="仿宋" w:eastAsia="仿宋"/>
          <w:sz w:val="32"/>
          <w:szCs w:val="32"/>
        </w:rPr>
        <w:t>、其他社会保障缴费、住房公积金、生活补助。</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90.4</w:t>
      </w:r>
      <w:r>
        <w:rPr>
          <w:rFonts w:hint="eastAsia" w:ascii="仿宋" w:hAnsi="仿宋" w:eastAsia="仿宋"/>
          <w:b/>
          <w:sz w:val="32"/>
          <w:szCs w:val="32"/>
          <w:lang w:val="en-US" w:eastAsia="zh-CN"/>
        </w:rPr>
        <w:t>0</w:t>
      </w:r>
      <w:r>
        <w:rPr>
          <w:rFonts w:hint="eastAsia" w:ascii="仿宋" w:hAnsi="仿宋" w:eastAsia="仿宋"/>
          <w:sz w:val="32"/>
          <w:szCs w:val="32"/>
        </w:rPr>
        <w:t>万元，主要包括：办公费、印刷费、物业管理费、差旅费、维修（护）费、租赁费、培训费、</w:t>
      </w:r>
      <w:r>
        <w:rPr>
          <w:rFonts w:hint="eastAsia" w:ascii="仿宋" w:hAnsi="仿宋" w:eastAsia="仿宋"/>
          <w:sz w:val="32"/>
          <w:szCs w:val="32"/>
          <w:lang w:eastAsia="zh-CN"/>
        </w:rPr>
        <w:t>专用材料费</w:t>
      </w:r>
      <w:r>
        <w:rPr>
          <w:rFonts w:hint="eastAsia" w:ascii="仿宋" w:hAnsi="仿宋" w:eastAsia="仿宋"/>
          <w:sz w:val="32"/>
          <w:szCs w:val="32"/>
        </w:rPr>
        <w:t>、工会经费、福利费、其他交通费、其他商品和服务支出。</w:t>
      </w:r>
    </w:p>
    <w:p>
      <w:pPr>
        <w:spacing w:line="600" w:lineRule="exact"/>
        <w:ind w:firstLine="640"/>
        <w:outlineLvl w:val="1"/>
        <w:rPr>
          <w:rStyle w:val="29"/>
          <w:rFonts w:ascii="黑体" w:hAnsi="黑体" w:eastAsia="黑体"/>
          <w:b w:val="0"/>
        </w:rPr>
      </w:pPr>
      <w:bookmarkStart w:id="67" w:name="_Toc15377215"/>
      <w:bookmarkStart w:id="68" w:name="_Toc15396609"/>
      <w:bookmarkStart w:id="69" w:name="_Toc83"/>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67"/>
      <w:bookmarkEnd w:id="68"/>
      <w:bookmarkEnd w:id="69"/>
    </w:p>
    <w:p>
      <w:pPr>
        <w:spacing w:line="600" w:lineRule="exact"/>
        <w:ind w:firstLine="640"/>
        <w:outlineLvl w:val="2"/>
        <w:rPr>
          <w:rFonts w:ascii="仿宋" w:hAnsi="仿宋" w:eastAsia="仿宋"/>
          <w:b/>
          <w:sz w:val="32"/>
          <w:szCs w:val="32"/>
        </w:rPr>
      </w:pPr>
      <w:bookmarkStart w:id="70" w:name="_Toc22950"/>
      <w:bookmarkStart w:id="71" w:name="_Toc15377216"/>
      <w:bookmarkStart w:id="72" w:name="_Toc21945"/>
      <w:r>
        <w:rPr>
          <w:rFonts w:hint="eastAsia" w:ascii="仿宋" w:hAnsi="仿宋" w:eastAsia="仿宋"/>
          <w:b/>
          <w:sz w:val="32"/>
          <w:szCs w:val="32"/>
        </w:rPr>
        <w:t>（一）“三公”经费财政拨款支出决算总体情况说明</w:t>
      </w:r>
      <w:bookmarkEnd w:id="70"/>
      <w:bookmarkEnd w:id="71"/>
      <w:bookmarkEnd w:id="72"/>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w:t>
      </w:r>
      <w:r>
        <w:rPr>
          <w:rFonts w:hint="eastAsia" w:ascii="仿宋" w:hAnsi="仿宋" w:eastAsia="仿宋"/>
          <w:color w:val="auto"/>
          <w:sz w:val="32"/>
          <w:szCs w:val="32"/>
          <w:highlight w:val="none"/>
          <w:lang w:eastAsia="zh-CN"/>
        </w:rPr>
        <w:t>年初未安排预算，较</w:t>
      </w:r>
      <w:r>
        <w:rPr>
          <w:rFonts w:hint="eastAsia" w:ascii="仿宋" w:hAnsi="仿宋" w:eastAsia="仿宋"/>
          <w:color w:val="auto"/>
          <w:sz w:val="32"/>
          <w:szCs w:val="32"/>
          <w:highlight w:val="none"/>
          <w:lang w:val="en-US" w:eastAsia="zh-CN"/>
        </w:rPr>
        <w:t>2022年无变化，</w:t>
      </w:r>
      <w:r>
        <w:rPr>
          <w:rFonts w:hint="eastAsia" w:ascii="仿宋" w:hAnsi="仿宋" w:eastAsia="仿宋"/>
          <w:color w:val="auto"/>
          <w:sz w:val="32"/>
          <w:szCs w:val="32"/>
          <w:highlight w:val="none"/>
        </w:rPr>
        <w:t>决算数与预算数持平</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73" w:name="_Toc28278"/>
      <w:bookmarkStart w:id="74" w:name="_Toc15377217"/>
      <w:bookmarkStart w:id="75" w:name="_Toc9869"/>
      <w:r>
        <w:rPr>
          <w:rFonts w:hint="eastAsia" w:ascii="仿宋" w:hAnsi="仿宋" w:eastAsia="仿宋"/>
          <w:b/>
          <w:sz w:val="32"/>
          <w:szCs w:val="32"/>
        </w:rPr>
        <w:t>（二）“三公”经费财政拨款支出决算具体情况说明</w:t>
      </w:r>
      <w:bookmarkEnd w:id="73"/>
      <w:bookmarkEnd w:id="74"/>
      <w:bookmarkEnd w:id="75"/>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bookmarkStart w:id="76" w:name="_Toc15396610"/>
      <w:bookmarkStart w:id="77"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Fonts w:hint="eastAsia" w:ascii="仿宋" w:hAnsi="仿宋" w:eastAsia="仿宋"/>
          <w:color w:val="auto"/>
          <w:sz w:val="32"/>
          <w:szCs w:val="32"/>
          <w:highlight w:val="none"/>
          <w:lang w:val="en-US" w:eastAsia="zh-CN"/>
        </w:rPr>
        <w:t>年初未安排预算，</w:t>
      </w:r>
      <w:r>
        <w:rPr>
          <w:rFonts w:hint="eastAsia" w:ascii="仿宋" w:eastAsia="仿宋"/>
          <w:color w:val="000000"/>
          <w:sz w:val="32"/>
          <w:szCs w:val="32"/>
        </w:rPr>
        <w:t>因公出国（境）支出决算与202</w:t>
      </w:r>
      <w:r>
        <w:rPr>
          <w:rFonts w:hint="eastAsia" w:ascii="仿宋" w:eastAsia="仿宋"/>
          <w:color w:val="000000"/>
          <w:sz w:val="32"/>
          <w:szCs w:val="32"/>
          <w:lang w:val="en-US" w:eastAsia="zh-CN"/>
        </w:rPr>
        <w:t>2</w:t>
      </w:r>
      <w:r>
        <w:rPr>
          <w:rFonts w:hint="eastAsia" w:ascii="仿宋" w:eastAsia="仿宋"/>
          <w:color w:val="000000"/>
          <w:sz w:val="32"/>
          <w:szCs w:val="32"/>
        </w:rPr>
        <w:t>年持平，无增减</w:t>
      </w:r>
      <w:r>
        <w:rPr>
          <w:rFonts w:hint="eastAsia" w:ascii="仿宋_GB2312" w:eastAsia="仿宋_GB2312"/>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 w:eastAsia="仿宋"/>
          <w:color w:val="000000"/>
          <w:sz w:val="32"/>
          <w:szCs w:val="32"/>
        </w:rPr>
        <w:t>年初未安排预算，</w:t>
      </w:r>
      <w:r>
        <w:rPr>
          <w:rFonts w:hint="eastAsia" w:ascii="仿宋_GB2312" w:eastAsia="仿宋_GB2312"/>
          <w:sz w:val="32"/>
          <w:szCs w:val="32"/>
        </w:rPr>
        <w:t>公务用车购置及运行维护费支出决算</w:t>
      </w:r>
      <w:r>
        <w:rPr>
          <w:rFonts w:hint="eastAsia" w:ascii="仿宋" w:eastAsia="仿宋"/>
          <w:color w:val="000000"/>
          <w:sz w:val="32"/>
          <w:szCs w:val="32"/>
        </w:rPr>
        <w:t>与202</w:t>
      </w:r>
      <w:r>
        <w:rPr>
          <w:rFonts w:hint="eastAsia" w:ascii="仿宋" w:eastAsia="仿宋"/>
          <w:color w:val="000000"/>
          <w:sz w:val="32"/>
          <w:szCs w:val="32"/>
          <w:lang w:val="en-US" w:eastAsia="zh-CN"/>
        </w:rPr>
        <w:t>2</w:t>
      </w:r>
      <w:r>
        <w:rPr>
          <w:rFonts w:hint="eastAsia" w:ascii="仿宋" w:eastAsia="仿宋"/>
          <w:color w:val="000000"/>
          <w:sz w:val="32"/>
          <w:szCs w:val="32"/>
        </w:rPr>
        <w:t>年持平，无增减</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2</w:t>
      </w:r>
      <w:r>
        <w:rPr>
          <w:rFonts w:hint="eastAsia" w:ascii="仿宋_GB2312" w:eastAsia="仿宋_GB2312"/>
          <w:sz w:val="32"/>
          <w:szCs w:val="32"/>
        </w:rPr>
        <w:t>辆，其中：轿车</w:t>
      </w:r>
      <w:r>
        <w:rPr>
          <w:rFonts w:hint="eastAsia" w:ascii="仿宋_GB2312" w:eastAsia="仿宋_GB2312"/>
          <w:sz w:val="32"/>
          <w:szCs w:val="32"/>
          <w:lang w:val="en-US" w:eastAsia="zh-CN"/>
        </w:rPr>
        <w:t>2</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黑体" w:eastAsia="黑体"/>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Fonts w:hint="eastAsia" w:ascii="仿宋" w:eastAsia="仿宋"/>
          <w:color w:val="000000"/>
          <w:sz w:val="32"/>
          <w:szCs w:val="32"/>
        </w:rPr>
        <w:t>年初未安排预算，公务接待费</w:t>
      </w:r>
      <w:r>
        <w:rPr>
          <w:rFonts w:hint="eastAsia" w:ascii="仿宋_GB2312" w:eastAsia="仿宋_GB2312"/>
          <w:sz w:val="32"/>
          <w:szCs w:val="32"/>
        </w:rPr>
        <w:t>支出决算</w:t>
      </w:r>
      <w:r>
        <w:rPr>
          <w:rFonts w:hint="eastAsia" w:ascii="仿宋" w:eastAsia="仿宋"/>
          <w:color w:val="000000"/>
          <w:sz w:val="32"/>
          <w:szCs w:val="32"/>
        </w:rPr>
        <w:t>与202</w:t>
      </w:r>
      <w:r>
        <w:rPr>
          <w:rFonts w:hint="eastAsia" w:ascii="仿宋" w:eastAsia="仿宋"/>
          <w:color w:val="000000"/>
          <w:sz w:val="32"/>
          <w:szCs w:val="32"/>
          <w:lang w:val="en-US" w:eastAsia="zh-CN"/>
        </w:rPr>
        <w:t>2</w:t>
      </w:r>
      <w:r>
        <w:rPr>
          <w:rFonts w:hint="eastAsia" w:ascii="仿宋" w:eastAsia="仿宋"/>
          <w:color w:val="000000"/>
          <w:sz w:val="32"/>
          <w:szCs w:val="32"/>
        </w:rPr>
        <w:t>年持平，无增减</w:t>
      </w:r>
      <w:r>
        <w:rPr>
          <w:rFonts w:hint="eastAsia" w:ascii="仿宋_GB2312" w:eastAsia="仿宋_GB2312"/>
          <w:sz w:val="32"/>
          <w:szCs w:val="32"/>
        </w:rPr>
        <w:t>。</w:t>
      </w:r>
    </w:p>
    <w:p>
      <w:pPr>
        <w:spacing w:line="600" w:lineRule="exact"/>
        <w:ind w:firstLine="640"/>
        <w:outlineLvl w:val="1"/>
        <w:rPr>
          <w:rStyle w:val="29"/>
          <w:rFonts w:ascii="黑体" w:hAnsi="黑体" w:eastAsia="黑体"/>
        </w:rPr>
      </w:pPr>
      <w:bookmarkStart w:id="78" w:name="_Toc12512"/>
      <w:r>
        <w:rPr>
          <w:rFonts w:hint="eastAsia" w:ascii="黑体" w:eastAsia="黑体"/>
          <w:sz w:val="32"/>
          <w:szCs w:val="32"/>
        </w:rPr>
        <w:t>八、</w:t>
      </w:r>
      <w:r>
        <w:rPr>
          <w:rStyle w:val="29"/>
          <w:rFonts w:hint="eastAsia" w:ascii="黑体" w:hAnsi="黑体" w:eastAsia="黑体"/>
          <w:b w:val="0"/>
        </w:rPr>
        <w:t>政府性基金预算支出决算情况说明</w:t>
      </w:r>
      <w:bookmarkEnd w:id="76"/>
      <w:bookmarkEnd w:id="77"/>
      <w:bookmarkEnd w:id="78"/>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pStyle w:val="13"/>
        <w:ind w:left="0" w:leftChars="0" w:firstLine="640" w:firstLineChars="200"/>
        <w:rPr>
          <w:rFonts w:ascii="仿宋_GB2312" w:eastAsia="仿宋_GB2312"/>
          <w:sz w:val="32"/>
          <w:szCs w:val="32"/>
        </w:rPr>
      </w:pPr>
      <w:r>
        <w:rPr>
          <w:rFonts w:hint="eastAsia" w:eastAsia="仿宋_GB2312"/>
          <w:color w:val="auto"/>
          <w:sz w:val="32"/>
          <w:szCs w:val="32"/>
          <w:highlight w:val="none"/>
          <w:lang w:val="en-US" w:eastAsia="zh-CN"/>
        </w:rPr>
        <w:t>2023年本单位未在政府性基金预算拨款安排“三公经费”支出。</w:t>
      </w:r>
    </w:p>
    <w:p>
      <w:pPr>
        <w:numPr>
          <w:ilvl w:val="0"/>
          <w:numId w:val="3"/>
        </w:numPr>
        <w:spacing w:line="600" w:lineRule="exact"/>
        <w:ind w:firstLine="640"/>
        <w:outlineLvl w:val="1"/>
        <w:rPr>
          <w:rStyle w:val="29"/>
          <w:rFonts w:ascii="黑体" w:hAnsi="黑体" w:eastAsia="黑体"/>
          <w:b w:val="0"/>
        </w:rPr>
      </w:pPr>
      <w:bookmarkStart w:id="79" w:name="_Toc32106"/>
      <w:bookmarkStart w:id="80" w:name="_Toc15377219"/>
      <w:bookmarkStart w:id="81" w:name="_Toc15396611"/>
      <w:r>
        <w:rPr>
          <w:rStyle w:val="29"/>
          <w:rFonts w:hint="eastAsia" w:ascii="黑体" w:hAnsi="黑体" w:eastAsia="黑体"/>
          <w:b w:val="0"/>
        </w:rPr>
        <w:t>国有资本经营预算支出决算情况说明</w:t>
      </w:r>
      <w:bookmarkEnd w:id="79"/>
      <w:bookmarkEnd w:id="80"/>
      <w:bookmarkEnd w:id="81"/>
    </w:p>
    <w:p>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numPr>
          <w:ilvl w:val="0"/>
          <w:numId w:val="3"/>
        </w:numPr>
        <w:spacing w:line="600" w:lineRule="exact"/>
        <w:ind w:firstLine="640"/>
        <w:outlineLvl w:val="1"/>
        <w:rPr>
          <w:rStyle w:val="29"/>
          <w:rFonts w:ascii="黑体" w:hAnsi="黑体" w:eastAsia="黑体"/>
          <w:b w:val="0"/>
        </w:rPr>
      </w:pPr>
      <w:bookmarkStart w:id="82" w:name="_Toc15396612"/>
      <w:bookmarkStart w:id="83" w:name="_Toc15377221"/>
      <w:bookmarkStart w:id="84" w:name="_Toc28516"/>
      <w:r>
        <w:rPr>
          <w:rStyle w:val="29"/>
          <w:rFonts w:hint="eastAsia" w:ascii="黑体" w:hAnsi="黑体" w:eastAsia="黑体"/>
          <w:b w:val="0"/>
        </w:rPr>
        <w:t>其他重要事项的情况说明</w:t>
      </w:r>
      <w:bookmarkEnd w:id="82"/>
      <w:bookmarkEnd w:id="83"/>
      <w:bookmarkEnd w:id="84"/>
    </w:p>
    <w:p>
      <w:pPr>
        <w:spacing w:line="600" w:lineRule="exact"/>
        <w:ind w:firstLine="642" w:firstLineChars="200"/>
        <w:outlineLvl w:val="2"/>
        <w:rPr>
          <w:rFonts w:ascii="仿宋" w:hAnsi="仿宋" w:eastAsia="仿宋"/>
          <w:sz w:val="32"/>
          <w:szCs w:val="32"/>
        </w:rPr>
      </w:pPr>
      <w:bookmarkStart w:id="85" w:name="_Toc19398"/>
      <w:bookmarkStart w:id="86" w:name="_Toc15377222"/>
      <w:bookmarkStart w:id="87" w:name="_Toc6623"/>
      <w:r>
        <w:rPr>
          <w:rFonts w:hint="eastAsia" w:ascii="仿宋" w:hAnsi="仿宋" w:eastAsia="仿宋"/>
          <w:b/>
          <w:sz w:val="32"/>
          <w:szCs w:val="32"/>
        </w:rPr>
        <w:t>（一）机关运行经费支出情况</w:t>
      </w:r>
      <w:bookmarkEnd w:id="85"/>
      <w:bookmarkEnd w:id="86"/>
      <w:bookmarkEnd w:id="87"/>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广元市精神卫生中心</w:t>
      </w:r>
      <w:r>
        <w:rPr>
          <w:rFonts w:hint="eastAsia" w:ascii="仿宋_GB2312" w:eastAsia="仿宋_GB2312"/>
          <w:color w:val="auto"/>
          <w:sz w:val="32"/>
          <w:szCs w:val="32"/>
          <w:highlight w:val="none"/>
        </w:rPr>
        <w:t>未发生机关运行经费支出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与2022年决算数持平</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88" w:name="_Toc28085"/>
      <w:bookmarkStart w:id="89" w:name="_Toc15377223"/>
      <w:bookmarkStart w:id="90" w:name="_Toc17320"/>
      <w:r>
        <w:rPr>
          <w:rFonts w:hint="eastAsia" w:ascii="仿宋" w:hAnsi="仿宋" w:eastAsia="仿宋"/>
          <w:b/>
          <w:sz w:val="32"/>
          <w:szCs w:val="32"/>
        </w:rPr>
        <w:t>（二）政府采购支出情况</w:t>
      </w:r>
      <w:bookmarkEnd w:id="88"/>
      <w:bookmarkEnd w:id="89"/>
      <w:bookmarkEnd w:id="90"/>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广元市精神卫生中心</w:t>
      </w:r>
      <w:r>
        <w:rPr>
          <w:rFonts w:hint="eastAsia" w:ascii="仿宋_GB2312" w:eastAsia="仿宋_GB2312"/>
          <w:sz w:val="32"/>
          <w:szCs w:val="32"/>
        </w:rPr>
        <w:t>政府采购支出总额</w:t>
      </w:r>
      <w:r>
        <w:rPr>
          <w:rFonts w:ascii="仿宋" w:hAnsi="仿宋" w:eastAsia="仿宋"/>
          <w:b/>
          <w:sz w:val="32"/>
          <w:szCs w:val="32"/>
        </w:rPr>
        <w:t>622.58</w:t>
      </w:r>
      <w:r>
        <w:rPr>
          <w:rFonts w:hint="eastAsia" w:ascii="仿宋_GB2312" w:eastAsia="仿宋_GB2312"/>
          <w:sz w:val="32"/>
          <w:szCs w:val="32"/>
        </w:rPr>
        <w:t>万元，其中：政府采购货物支出</w:t>
      </w:r>
      <w:r>
        <w:rPr>
          <w:rFonts w:ascii="仿宋" w:hAnsi="仿宋" w:eastAsia="仿宋"/>
          <w:b/>
          <w:sz w:val="32"/>
          <w:szCs w:val="32"/>
        </w:rPr>
        <w:t>227.21</w:t>
      </w:r>
      <w:r>
        <w:rPr>
          <w:rFonts w:hint="eastAsia" w:ascii="仿宋_GB2312" w:eastAsia="仿宋_GB2312"/>
          <w:sz w:val="32"/>
          <w:szCs w:val="32"/>
        </w:rPr>
        <w:t>万元、政府采购服务支出</w:t>
      </w:r>
      <w:r>
        <w:rPr>
          <w:rFonts w:ascii="仿宋" w:hAnsi="仿宋" w:eastAsia="仿宋"/>
          <w:b/>
          <w:sz w:val="32"/>
          <w:szCs w:val="32"/>
        </w:rPr>
        <w:t>395.36</w:t>
      </w:r>
      <w:r>
        <w:rPr>
          <w:rFonts w:hint="eastAsia" w:ascii="仿宋_GB2312" w:eastAsia="仿宋_GB2312"/>
          <w:sz w:val="32"/>
          <w:szCs w:val="32"/>
        </w:rPr>
        <w:t>万元。主</w:t>
      </w:r>
      <w:r>
        <w:rPr>
          <w:rFonts w:hint="eastAsia" w:ascii="仿宋_GB2312" w:eastAsia="仿宋_GB2312"/>
          <w:sz w:val="32"/>
          <w:szCs w:val="32"/>
          <w:highlight w:val="none"/>
        </w:rPr>
        <w:t>要用于</w:t>
      </w:r>
      <w:r>
        <w:rPr>
          <w:rFonts w:hint="eastAsia" w:ascii="仿宋_GB2312" w:eastAsia="仿宋_GB2312"/>
          <w:sz w:val="32"/>
          <w:szCs w:val="32"/>
          <w:highlight w:val="none"/>
          <w:lang w:eastAsia="zh-CN"/>
        </w:rPr>
        <w:t>西门子光子</w:t>
      </w:r>
      <w:r>
        <w:rPr>
          <w:rFonts w:hint="eastAsia" w:ascii="仿宋_GB2312" w:eastAsia="仿宋_GB2312"/>
          <w:sz w:val="32"/>
          <w:szCs w:val="32"/>
          <w:highlight w:val="none"/>
          <w:lang w:val="en-US" w:eastAsia="zh-CN"/>
        </w:rPr>
        <w:t>CT、6排CT及DSA维保服务、激光治疗机采购及医用直线加速器维保服务等项目</w:t>
      </w:r>
      <w:r>
        <w:rPr>
          <w:rFonts w:hint="eastAsia" w:ascii="仿宋_GB2312" w:eastAsia="仿宋_GB2312"/>
          <w:sz w:val="32"/>
          <w:szCs w:val="32"/>
          <w:highlight w:val="none"/>
        </w:rPr>
        <w:t>。授予中小企业合同金额</w:t>
      </w:r>
      <w:r>
        <w:rPr>
          <w:rFonts w:ascii="仿宋" w:hAnsi="仿宋" w:eastAsia="仿宋"/>
          <w:b/>
          <w:sz w:val="32"/>
          <w:szCs w:val="32"/>
          <w:highlight w:val="none"/>
        </w:rPr>
        <w:t>406.98</w:t>
      </w:r>
      <w:r>
        <w:rPr>
          <w:rFonts w:hint="eastAsia" w:ascii="仿宋_GB2312" w:eastAsia="仿宋_GB2312"/>
          <w:sz w:val="32"/>
          <w:szCs w:val="32"/>
          <w:highlight w:val="none"/>
        </w:rPr>
        <w:t>万元，占政府采购支出总额的</w:t>
      </w:r>
      <w:r>
        <w:rPr>
          <w:rFonts w:ascii="仿宋_GB2312" w:eastAsia="仿宋_GB2312"/>
          <w:sz w:val="32"/>
          <w:szCs w:val="32"/>
          <w:highlight w:val="none"/>
        </w:rPr>
        <w:t>0.65%</w:t>
      </w:r>
      <w:r>
        <w:rPr>
          <w:rFonts w:hint="eastAsia" w:ascii="仿宋_GB2312" w:eastAsia="仿宋_GB2312"/>
          <w:sz w:val="32"/>
          <w:szCs w:val="32"/>
          <w:highlight w:val="none"/>
        </w:rPr>
        <w:t>，</w:t>
      </w:r>
      <w:r>
        <w:rPr>
          <w:rFonts w:hint="eastAsia" w:ascii="仿宋_GB2312" w:eastAsia="仿宋_GB2312"/>
          <w:sz w:val="32"/>
          <w:szCs w:val="32"/>
        </w:rPr>
        <w:t>其中：授予小微企业合同金额</w:t>
      </w:r>
      <w:r>
        <w:rPr>
          <w:rFonts w:ascii="仿宋" w:hAnsi="仿宋" w:eastAsia="仿宋"/>
          <w:b/>
          <w:sz w:val="32"/>
          <w:szCs w:val="32"/>
        </w:rPr>
        <w:t>30.41</w:t>
      </w:r>
      <w:r>
        <w:rPr>
          <w:rFonts w:hint="eastAsia" w:ascii="仿宋_GB2312" w:eastAsia="仿宋_GB2312"/>
          <w:sz w:val="32"/>
          <w:szCs w:val="32"/>
        </w:rPr>
        <w:t>万元，占政府采购支出总额的</w:t>
      </w:r>
      <w:r>
        <w:rPr>
          <w:rFonts w:ascii="仿宋_GB2312" w:eastAsia="仿宋_GB2312"/>
          <w:b/>
          <w:sz w:val="32"/>
          <w:szCs w:val="32"/>
        </w:rPr>
        <w:t>4.88</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91" w:name="_Toc15377224"/>
      <w:bookmarkStart w:id="92" w:name="_Toc2898"/>
      <w:bookmarkStart w:id="93" w:name="_Toc9971"/>
      <w:r>
        <w:rPr>
          <w:rFonts w:hint="eastAsia" w:ascii="仿宋" w:hAnsi="仿宋" w:eastAsia="仿宋"/>
          <w:b/>
          <w:sz w:val="32"/>
          <w:szCs w:val="32"/>
        </w:rPr>
        <w:t>（三）国有资产占有使用情况</w:t>
      </w:r>
      <w:bookmarkEnd w:id="91"/>
      <w:bookmarkEnd w:id="92"/>
      <w:bookmarkEnd w:id="93"/>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广元市精神卫生中心</w:t>
      </w:r>
      <w:r>
        <w:rPr>
          <w:rFonts w:hint="eastAsia" w:ascii="仿宋_GB2312" w:eastAsia="仿宋_GB2312"/>
          <w:sz w:val="32"/>
          <w:szCs w:val="32"/>
        </w:rPr>
        <w:t>共有车辆</w:t>
      </w:r>
      <w:r>
        <w:rPr>
          <w:rFonts w:hint="eastAsia" w:ascii="仿宋_GB2312" w:eastAsia="仿宋_GB2312"/>
          <w:b/>
          <w:sz w:val="32"/>
          <w:szCs w:val="32"/>
          <w:lang w:val="en-US" w:eastAsia="zh-CN"/>
        </w:rPr>
        <w:t>20</w:t>
      </w:r>
      <w:r>
        <w:rPr>
          <w:rFonts w:hint="eastAsia" w:ascii="仿宋_GB2312" w:eastAsia="仿宋_GB2312"/>
          <w:sz w:val="32"/>
          <w:szCs w:val="32"/>
        </w:rPr>
        <w:t>辆，其中：</w:t>
      </w:r>
      <w:r>
        <w:rPr>
          <w:rFonts w:hint="eastAsia" w:ascii="仿宋_GB2312" w:eastAsia="仿宋_GB2312"/>
          <w:color w:val="auto"/>
          <w:sz w:val="32"/>
          <w:szCs w:val="32"/>
          <w:highlight w:val="none"/>
        </w:rPr>
        <w:t>特种专业技术用车</w:t>
      </w:r>
      <w:r>
        <w:rPr>
          <w:rFonts w:hint="eastAsia" w:ascii="仿宋_GB2312" w:eastAsia="仿宋_GB2312"/>
          <w:color w:val="auto"/>
          <w:sz w:val="32"/>
          <w:szCs w:val="32"/>
          <w:highlight w:val="none"/>
          <w:lang w:val="en-US" w:eastAsia="zh-CN"/>
        </w:rPr>
        <w:t>18辆，</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sz w:val="32"/>
          <w:szCs w:val="32"/>
        </w:rPr>
        <w:t>，</w:t>
      </w:r>
      <w:r>
        <w:rPr>
          <w:rFonts w:hint="eastAsia" w:ascii="仿宋_GB2312" w:eastAsia="仿宋_GB2312"/>
          <w:color w:val="auto"/>
          <w:sz w:val="32"/>
          <w:szCs w:val="32"/>
          <w:highlight w:val="none"/>
        </w:rPr>
        <w:t>其他用车主要是用于</w:t>
      </w:r>
      <w:r>
        <w:rPr>
          <w:rFonts w:hint="eastAsia" w:ascii="仿宋_GB2312" w:eastAsia="仿宋_GB2312"/>
          <w:sz w:val="32"/>
          <w:szCs w:val="32"/>
        </w:rPr>
        <w:t>公务活动。单价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62</w:t>
      </w:r>
      <w:r>
        <w:rPr>
          <w:rFonts w:hint="eastAsia" w:ascii="仿宋_GB2312" w:eastAsia="仿宋_GB2312"/>
          <w:sz w:val="32"/>
          <w:szCs w:val="32"/>
        </w:rPr>
        <w:t>台（套）。</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94" w:name="_Toc30666"/>
      <w:bookmarkStart w:id="95" w:name="_Toc25393"/>
      <w:r>
        <w:rPr>
          <w:rFonts w:hint="eastAsia" w:ascii="仿宋" w:hAnsi="仿宋" w:eastAsia="仿宋"/>
          <w:b/>
          <w:sz w:val="32"/>
          <w:szCs w:val="32"/>
        </w:rPr>
        <w:t>（四）预算绩效管理情况</w:t>
      </w:r>
      <w:bookmarkEnd w:id="94"/>
      <w:bookmarkEnd w:id="95"/>
    </w:p>
    <w:p>
      <w:pPr>
        <w:spacing w:line="600" w:lineRule="exact"/>
        <w:ind w:firstLine="640" w:firstLineChars="200"/>
        <w:rPr>
          <w:rFonts w:ascii="仿宋_GB2312" w:eastAsia="仿宋_GB2312"/>
          <w:sz w:val="32"/>
          <w:szCs w:val="32"/>
          <w:highlight w:val="red"/>
        </w:rPr>
      </w:pPr>
      <w:r>
        <w:rPr>
          <w:rFonts w:hint="eastAsia" w:ascii="仿宋_GB2312" w:eastAsia="仿宋_GB2312"/>
          <w:sz w:val="32"/>
          <w:szCs w:val="32"/>
          <w:highlight w:val="none"/>
        </w:rPr>
        <w:t>根据预算绩效管理要求，本单位在2023年度预算编制阶段，组织对工资性支出</w:t>
      </w:r>
      <w:r>
        <w:rPr>
          <w:rFonts w:hint="eastAsia" w:ascii="仿宋_GB2312" w:eastAsia="仿宋_GB2312"/>
          <w:sz w:val="32"/>
          <w:szCs w:val="32"/>
          <w:highlight w:val="none"/>
          <w:lang w:eastAsia="zh-CN"/>
        </w:rPr>
        <w:t>、</w:t>
      </w:r>
      <w:r>
        <w:rPr>
          <w:rFonts w:hint="eastAsia" w:ascii="仿宋_GB2312" w:hAnsi="Times New Roman" w:eastAsia="仿宋_GB2312" w:cs="Times New Roman"/>
          <w:sz w:val="32"/>
          <w:szCs w:val="32"/>
          <w:highlight w:val="none"/>
          <w:lang w:val="en-US" w:eastAsia="zh-CN"/>
        </w:rPr>
        <w:t>日常运转费用项目、离退休费支出</w:t>
      </w:r>
      <w:r>
        <w:rPr>
          <w:rFonts w:hint="eastAsia" w:ascii="仿宋_GB2312" w:hAnsi="仿宋_GB2312" w:eastAsia="仿宋_GB2312" w:cs="Times New Roman"/>
          <w:b w:val="0"/>
          <w:bCs w:val="0"/>
          <w:i w:val="0"/>
          <w:iCs w:val="0"/>
          <w:color w:val="auto"/>
          <w:kern w:val="2"/>
          <w:sz w:val="32"/>
          <w:szCs w:val="32"/>
          <w:highlight w:val="none"/>
          <w:vertAlign w:val="baseline"/>
          <w:lang w:val="en-US" w:eastAsia="zh-CN" w:bidi="ar-SA"/>
        </w:rPr>
        <w:t>和信息网络软件购置</w:t>
      </w:r>
      <w:r>
        <w:rPr>
          <w:rFonts w:hint="eastAsia" w:ascii="仿宋_GB2312" w:eastAsia="仿宋_GB2312"/>
          <w:sz w:val="32"/>
          <w:szCs w:val="32"/>
          <w:highlight w:val="none"/>
        </w:rPr>
        <w:t>等</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个项目开展了预算事前绩效评估，对</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个项目编制了绩效目标，预算执行过程中，选取</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个项目开展绩效监控，组织对</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个项目开展绩效自评，绩效自评表详见第四部分附件。</w:t>
      </w:r>
    </w:p>
    <w:p>
      <w:pPr>
        <w:spacing w:line="600" w:lineRule="exact"/>
        <w:rPr>
          <w:rFonts w:ascii="仿宋_GB2312" w:eastAsia="仿宋_GB2312"/>
          <w:sz w:val="32"/>
          <w:szCs w:val="32"/>
        </w:rPr>
      </w:pPr>
      <w:r>
        <w:rPr>
          <w:rFonts w:hint="eastAsia" w:ascii="仿宋_GB2312" w:eastAsia="仿宋_GB2312"/>
          <w:sz w:val="32"/>
          <w:szCs w:val="32"/>
        </w:rPr>
        <w:br w:type="page"/>
      </w:r>
    </w:p>
    <w:p>
      <w:pPr>
        <w:numPr>
          <w:ilvl w:val="0"/>
          <w:numId w:val="4"/>
        </w:numPr>
        <w:spacing w:line="600" w:lineRule="exact"/>
        <w:ind w:firstLine="660" w:firstLineChars="150"/>
        <w:jc w:val="center"/>
        <w:outlineLvl w:val="0"/>
        <w:rPr>
          <w:rStyle w:val="28"/>
          <w:rFonts w:ascii="黑体" w:hAnsi="黑体" w:eastAsia="黑体"/>
          <w:b w:val="0"/>
        </w:rPr>
      </w:pPr>
      <w:bookmarkStart w:id="96" w:name="_Toc5424"/>
      <w:bookmarkStart w:id="97" w:name="_Toc15377225"/>
      <w:bookmarkStart w:id="98" w:name="_Toc15396613"/>
      <w:r>
        <w:rPr>
          <w:rFonts w:hint="eastAsia" w:ascii="黑体" w:hAnsi="黑体" w:eastAsia="黑体"/>
          <w:sz w:val="44"/>
          <w:szCs w:val="44"/>
        </w:rPr>
        <w:t>名</w:t>
      </w:r>
      <w:r>
        <w:rPr>
          <w:rStyle w:val="28"/>
          <w:rFonts w:hint="eastAsia" w:ascii="黑体" w:hAnsi="黑体" w:eastAsia="黑体"/>
          <w:b w:val="0"/>
        </w:rPr>
        <w:t>词解释</w:t>
      </w:r>
      <w:bookmarkEnd w:id="96"/>
      <w:bookmarkEnd w:id="97"/>
      <w:bookmarkEnd w:id="98"/>
    </w:p>
    <w:p>
      <w:pPr>
        <w:spacing w:line="600" w:lineRule="exact"/>
        <w:jc w:val="left"/>
        <w:rPr>
          <w:rFonts w:ascii="宋体"/>
          <w:b/>
          <w:sz w:val="44"/>
          <w:szCs w:val="44"/>
        </w:rPr>
      </w:pP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r>
        <w:rPr>
          <w:rFonts w:hint="eastAsia" w:ascii="仿宋_GB2312" w:eastAsia="仿宋_GB2312"/>
          <w:color w:val="auto"/>
          <w:sz w:val="32"/>
          <w:szCs w:val="32"/>
          <w:highlight w:val="none"/>
        </w:rPr>
        <w:t>如</w:t>
      </w:r>
      <w:r>
        <w:rPr>
          <w:rFonts w:hint="eastAsia" w:ascii="仿宋_GB2312" w:eastAsia="仿宋_GB2312" w:cs="仿宋_GB2312"/>
          <w:color w:val="auto"/>
          <w:kern w:val="2"/>
          <w:sz w:val="32"/>
          <w:szCs w:val="32"/>
        </w:rPr>
        <w:t>医疗机构医疗收入</w:t>
      </w:r>
      <w:r>
        <w:rPr>
          <w:rFonts w:hint="eastAsia" w:ascii="仿宋_GB2312" w:eastAsia="仿宋_GB2312" w:cs="仿宋_GB2312"/>
          <w:color w:val="auto"/>
          <w:kern w:val="2"/>
          <w:sz w:val="32"/>
          <w:szCs w:val="32"/>
          <w:lang w:eastAsia="zh-CN"/>
        </w:rPr>
        <w:t>、科教收入</w:t>
      </w:r>
      <w:r>
        <w:rPr>
          <w:rFonts w:hint="eastAsia" w:ascii="仿宋_GB2312" w:eastAsia="仿宋_GB2312" w:cs="仿宋_GB2312"/>
          <w:color w:val="auto"/>
          <w:kern w:val="2"/>
          <w:sz w:val="32"/>
          <w:szCs w:val="32"/>
        </w:rPr>
        <w:t>等</w:t>
      </w:r>
      <w:r>
        <w:rPr>
          <w:rFonts w:hint="eastAsia" w:ascii="仿宋_GB2312" w:eastAsia="仿宋_GB2312"/>
          <w:color w:val="auto"/>
          <w:sz w:val="32"/>
          <w:szCs w:val="32"/>
        </w:rPr>
        <w:t>。</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3</w:t>
      </w:r>
      <w:r>
        <w:rPr>
          <w:rFonts w:ascii="仿宋_GB2312" w:eastAsia="仿宋_GB2312"/>
          <w:color w:val="auto"/>
          <w:sz w:val="32"/>
          <w:szCs w:val="32"/>
        </w:rPr>
        <w:t>.</w:t>
      </w:r>
      <w:r>
        <w:rPr>
          <w:rFonts w:hint="eastAsia" w:ascii="仿宋_GB2312" w:eastAsia="仿宋_GB2312"/>
          <w:color w:val="auto"/>
          <w:sz w:val="32"/>
          <w:szCs w:val="32"/>
        </w:rPr>
        <w:t>其他收入：指单位取得的除上述收入以外的各项收入。</w:t>
      </w:r>
      <w:r>
        <w:rPr>
          <w:rFonts w:hint="eastAsia" w:ascii="仿宋_GB2312" w:eastAsia="仿宋_GB2312"/>
          <w:color w:val="auto"/>
          <w:sz w:val="32"/>
          <w:szCs w:val="32"/>
          <w:highlight w:val="none"/>
        </w:rPr>
        <w:t>主要是</w:t>
      </w:r>
      <w:r>
        <w:rPr>
          <w:rFonts w:hint="eastAsia" w:ascii="仿宋_GB2312" w:eastAsia="仿宋_GB2312" w:cs="仿宋_GB2312"/>
          <w:color w:val="auto"/>
          <w:kern w:val="2"/>
          <w:sz w:val="32"/>
          <w:szCs w:val="32"/>
        </w:rPr>
        <w:t>银行利息收入</w:t>
      </w:r>
      <w:r>
        <w:rPr>
          <w:rFonts w:hint="eastAsia" w:ascii="仿宋_GB2312" w:eastAsia="仿宋_GB2312"/>
          <w:color w:val="auto"/>
          <w:sz w:val="32"/>
          <w:szCs w:val="32"/>
          <w:highlight w:val="none"/>
        </w:rPr>
        <w:t>等</w:t>
      </w:r>
      <w:r>
        <w:rPr>
          <w:rFonts w:hint="eastAsia" w:ascii="仿宋_GB2312" w:eastAsia="仿宋_GB2312"/>
          <w:color w:val="auto"/>
          <w:sz w:val="32"/>
          <w:szCs w:val="32"/>
        </w:rPr>
        <w:t>。</w:t>
      </w:r>
      <w:r>
        <w:rPr>
          <w:rFonts w:ascii="仿宋_GB2312" w:eastAsia="仿宋_GB2312"/>
          <w:color w:val="auto"/>
          <w:sz w:val="32"/>
          <w:szCs w:val="32"/>
        </w:rPr>
        <w:t xml:space="preserve"> </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5</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6</w:t>
      </w:r>
      <w:r>
        <w:rPr>
          <w:rFonts w:ascii="仿宋_GB2312" w:eastAsia="仿宋_GB2312"/>
          <w:color w:val="auto"/>
          <w:sz w:val="32"/>
          <w:szCs w:val="32"/>
        </w:rPr>
        <w:t>.</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6"/>
        <w:spacing w:line="560" w:lineRule="exact"/>
        <w:ind w:firstLine="640" w:firstLineChars="200"/>
        <w:rPr>
          <w:rFonts w:ascii="仿宋_GB2312" w:eastAsia="仿宋_GB2312"/>
          <w:sz w:val="32"/>
          <w:szCs w:val="32"/>
          <w:highlight w:val="red"/>
        </w:rPr>
      </w:pPr>
      <w:r>
        <w:rPr>
          <w:rFonts w:hint="eastAsia" w:ascii="仿宋_GB2312" w:eastAsia="仿宋_GB2312"/>
          <w:color w:val="auto"/>
          <w:sz w:val="32"/>
          <w:szCs w:val="32"/>
          <w:lang w:val="en-US" w:eastAsia="zh-CN"/>
        </w:rPr>
        <w:t>7</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val="en-US" w:eastAsia="zh-CN"/>
        </w:rPr>
        <w:t>8</w:t>
      </w:r>
      <w:r>
        <w:rPr>
          <w:rFonts w:ascii="仿宋_GB2312" w:eastAsia="仿宋_GB2312"/>
          <w:sz w:val="32"/>
          <w:szCs w:val="32"/>
          <w:highlight w:val="none"/>
        </w:rPr>
        <w:t>.</w:t>
      </w:r>
      <w:r>
        <w:rPr>
          <w:rFonts w:hint="eastAsia" w:ascii="仿宋_GB2312" w:eastAsia="仿宋_GB2312"/>
          <w:sz w:val="32"/>
          <w:szCs w:val="32"/>
          <w:highlight w:val="none"/>
        </w:rPr>
        <w:t>科学技术</w:t>
      </w:r>
      <w:bookmarkStart w:id="131" w:name="_GoBack"/>
      <w:bookmarkEnd w:id="131"/>
      <w:r>
        <w:rPr>
          <w:rFonts w:hint="eastAsia" w:ascii="仿宋_GB2312" w:eastAsia="仿宋_GB2312"/>
          <w:sz w:val="32"/>
          <w:szCs w:val="32"/>
          <w:highlight w:val="none"/>
        </w:rPr>
        <w:t>（类）基础研究（款）自然科学基金（项）：</w:t>
      </w:r>
      <w:r>
        <w:rPr>
          <w:rFonts w:hint="eastAsia" w:ascii="仿宋_GB2312" w:eastAsia="仿宋_GB2312"/>
          <w:sz w:val="32"/>
          <w:szCs w:val="32"/>
          <w:highlight w:val="none"/>
          <w:lang w:eastAsia="zh-CN"/>
        </w:rPr>
        <w:t>反映各级政府设立的自然科学基金支出</w:t>
      </w:r>
      <w:r>
        <w:rPr>
          <w:rFonts w:hint="eastAsia" w:ascii="仿宋_GB2312" w:eastAsia="仿宋_GB2312"/>
          <w:sz w:val="32"/>
          <w:szCs w:val="32"/>
          <w:highlight w:val="none"/>
        </w:rPr>
        <w:t>。</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.科学技术（类）</w:t>
      </w:r>
      <w:r>
        <w:rPr>
          <w:rFonts w:hint="eastAsia" w:ascii="仿宋_GB2312" w:eastAsia="仿宋_GB2312"/>
          <w:sz w:val="32"/>
          <w:szCs w:val="32"/>
          <w:highlight w:val="none"/>
          <w:lang w:eastAsia="zh-CN"/>
        </w:rPr>
        <w:t>科技重大项目</w:t>
      </w:r>
      <w:r>
        <w:rPr>
          <w:rFonts w:hint="eastAsia" w:ascii="仿宋_GB2312" w:eastAsia="仿宋_GB2312"/>
          <w:sz w:val="32"/>
          <w:szCs w:val="32"/>
          <w:highlight w:val="none"/>
        </w:rPr>
        <w:t>（款）</w:t>
      </w:r>
      <w:r>
        <w:rPr>
          <w:rFonts w:hint="eastAsia" w:ascii="仿宋_GB2312" w:eastAsia="仿宋_GB2312"/>
          <w:sz w:val="32"/>
          <w:szCs w:val="32"/>
          <w:highlight w:val="none"/>
          <w:lang w:eastAsia="zh-CN"/>
        </w:rPr>
        <w:t>重点研发计划</w:t>
      </w:r>
      <w:r>
        <w:rPr>
          <w:rFonts w:hint="eastAsia" w:ascii="仿宋_GB2312" w:eastAsia="仿宋_GB2312"/>
          <w:sz w:val="32"/>
          <w:szCs w:val="32"/>
          <w:highlight w:val="none"/>
        </w:rPr>
        <w:t xml:space="preserve">（项）: </w:t>
      </w:r>
      <w:r>
        <w:rPr>
          <w:rFonts w:hint="eastAsia" w:ascii="仿宋_GB2312" w:eastAsia="仿宋_GB2312"/>
          <w:color w:val="auto"/>
          <w:sz w:val="32"/>
          <w:szCs w:val="32"/>
          <w:highlight w:val="none"/>
          <w:lang w:eastAsia="zh-CN"/>
        </w:rPr>
        <w:t>反映用于重点研发计划的有关经费支出。</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 xml:space="preserve">.社会保障和就业（类）人力资源和社会保障管理事务（款）引进人才费用（项）: </w:t>
      </w:r>
      <w:r>
        <w:rPr>
          <w:rFonts w:hint="eastAsia" w:ascii="仿宋_GB2312" w:eastAsia="仿宋_GB2312"/>
          <w:color w:val="auto"/>
          <w:sz w:val="32"/>
          <w:szCs w:val="32"/>
          <w:highlight w:val="none"/>
          <w:lang w:eastAsia="zh-CN"/>
        </w:rPr>
        <w:t>反映用于引进人才补助等方面的支出。</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.社会保障和就业（类）行政事业单位养老支出（款）机关事业单位基本养老保险缴费支出（项）:</w:t>
      </w:r>
      <w:r>
        <w:rPr>
          <w:rFonts w:hint="eastAsia" w:ascii="仿宋_GB2312" w:eastAsia="仿宋_GB2312"/>
          <w:color w:val="auto"/>
          <w:sz w:val="32"/>
          <w:szCs w:val="32"/>
          <w:highlight w:val="none"/>
          <w:lang w:eastAsia="zh-CN"/>
        </w:rPr>
        <w:t>反映机关事业单位实施养老保险制度由单位缴纳的基本养老保险费支出</w:t>
      </w:r>
      <w:r>
        <w:rPr>
          <w:rFonts w:hint="eastAsia" w:ascii="仿宋_GB2312" w:eastAsia="仿宋_GB2312"/>
          <w:sz w:val="32"/>
          <w:szCs w:val="32"/>
          <w:highlight w:val="none"/>
        </w:rPr>
        <w:t>。</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.卫生健康（类）公立医院（款）综合医院（项）:</w:t>
      </w:r>
      <w:r>
        <w:rPr>
          <w:rFonts w:hint="eastAsia" w:ascii="仿宋_GB2312" w:eastAsia="仿宋_GB2312"/>
          <w:color w:val="auto"/>
          <w:sz w:val="32"/>
          <w:szCs w:val="32"/>
          <w:highlight w:val="none"/>
          <w:lang w:eastAsia="zh-CN"/>
        </w:rPr>
        <w:t>反映卫生健康、中医部门所属的城市综合性医院的支出</w:t>
      </w:r>
      <w:r>
        <w:rPr>
          <w:rFonts w:hint="eastAsia" w:ascii="仿宋_GB2312" w:eastAsia="仿宋_GB2312"/>
          <w:sz w:val="32"/>
          <w:szCs w:val="32"/>
          <w:highlight w:val="none"/>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13.卫生健康（类）公立医院（款）传染病医院（项）:</w:t>
      </w:r>
      <w:r>
        <w:rPr>
          <w:rFonts w:hint="eastAsia" w:ascii="仿宋_GB2312" w:eastAsia="仿宋_GB2312"/>
          <w:color w:val="auto"/>
          <w:sz w:val="32"/>
          <w:szCs w:val="32"/>
          <w:highlight w:val="none"/>
          <w:lang w:eastAsia="zh-CN"/>
        </w:rPr>
        <w:t>反映卫生健康、中医部门所属的专门收治各类传染病人医院的支出</w:t>
      </w:r>
      <w:r>
        <w:rPr>
          <w:rFonts w:hint="eastAsia" w:ascii="仿宋_GB2312" w:eastAsia="仿宋_GB2312"/>
          <w:color w:val="auto"/>
          <w:sz w:val="32"/>
          <w:szCs w:val="32"/>
          <w:highlight w:val="none"/>
          <w:lang w:val="en-US" w:eastAsia="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14.卫生健康（类）公立医院（款）精神病医院（项）:</w:t>
      </w:r>
      <w:r>
        <w:rPr>
          <w:rFonts w:hint="eastAsia" w:ascii="仿宋_GB2312" w:eastAsia="仿宋_GB2312"/>
          <w:color w:val="auto"/>
          <w:sz w:val="32"/>
          <w:szCs w:val="32"/>
          <w:highlight w:val="none"/>
          <w:lang w:eastAsia="zh-CN"/>
        </w:rPr>
        <w:t>反映专门收治精神病人医院的支出</w:t>
      </w:r>
      <w:r>
        <w:rPr>
          <w:rFonts w:hint="eastAsia" w:ascii="仿宋_GB2312" w:eastAsia="仿宋_GB2312"/>
          <w:color w:val="auto"/>
          <w:sz w:val="32"/>
          <w:szCs w:val="32"/>
          <w:highlight w:val="none"/>
          <w:lang w:val="en-US" w:eastAsia="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15.卫生健康（类）公立医院（款）其他公立医院支出（项）:反映的财政拨付的重点专学科建设、公立医院改革、质控中心建设等专项经费。</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16.卫生健康（类）公共卫生（款）重大公共卫生服务（项）:</w:t>
      </w:r>
      <w:r>
        <w:rPr>
          <w:rFonts w:hint="eastAsia" w:ascii="仿宋_GB2312" w:eastAsia="仿宋_GB2312"/>
          <w:color w:val="auto"/>
          <w:sz w:val="32"/>
          <w:szCs w:val="32"/>
          <w:highlight w:val="none"/>
          <w:lang w:eastAsia="zh-CN"/>
        </w:rPr>
        <w:t>反映重大疾病、重大传染病预防控制等重大公共卫生服务的项目支出</w:t>
      </w:r>
      <w:r>
        <w:rPr>
          <w:rFonts w:hint="eastAsia" w:ascii="仿宋_GB2312" w:eastAsia="仿宋_GB2312"/>
          <w:color w:val="auto"/>
          <w:sz w:val="32"/>
          <w:szCs w:val="32"/>
          <w:highlight w:val="none"/>
          <w:lang w:val="en-US" w:eastAsia="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17.卫生健康（类）公共卫生（款）突发公共卫生事件应急处理（项）:反映用于突发公共卫生事件应急处理的支出。</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18.卫生健康（类）行政事业单位医疗（款）事业单位医疗（项）:</w:t>
      </w:r>
      <w:r>
        <w:rPr>
          <w:rFonts w:hint="eastAsia" w:ascii="仿宋_GB2312" w:eastAsia="仿宋_GB2312"/>
          <w:color w:val="auto"/>
          <w:sz w:val="32"/>
          <w:szCs w:val="32"/>
          <w:highlight w:val="none"/>
          <w:lang w:eastAsia="zh-CN"/>
        </w:rPr>
        <w:t>反映财政部门安排的事业单位基本医疗保险缴费经费</w:t>
      </w:r>
      <w:r>
        <w:rPr>
          <w:rFonts w:hint="eastAsia" w:ascii="仿宋_GB2312" w:eastAsia="仿宋_GB2312"/>
          <w:color w:val="auto"/>
          <w:sz w:val="32"/>
          <w:szCs w:val="32"/>
          <w:highlight w:val="none"/>
          <w:lang w:val="en-US" w:eastAsia="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19.卫生健康（类）医疗保障管理事务（款）其他医疗保障管理事务支出（项）:</w:t>
      </w:r>
      <w:r>
        <w:rPr>
          <w:rFonts w:hint="eastAsia" w:ascii="仿宋_GB2312" w:eastAsia="仿宋_GB2312"/>
          <w:color w:val="auto"/>
          <w:sz w:val="32"/>
          <w:szCs w:val="32"/>
          <w:highlight w:val="none"/>
          <w:lang w:eastAsia="zh-CN"/>
        </w:rPr>
        <w:t>反映其他</w:t>
      </w:r>
      <w:r>
        <w:rPr>
          <w:rFonts w:hint="eastAsia" w:ascii="仿宋_GB2312" w:eastAsia="仿宋_GB2312"/>
          <w:color w:val="auto"/>
          <w:sz w:val="32"/>
          <w:szCs w:val="32"/>
          <w:highlight w:val="none"/>
          <w:lang w:val="en-US" w:eastAsia="zh-CN"/>
        </w:rPr>
        <w:t>用于医疗保障管理事务方面的支出。</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20.卫生健康（类）其他卫生健康支出（款）其他卫生健康支出（项）:</w:t>
      </w:r>
      <w:r>
        <w:rPr>
          <w:rFonts w:hint="eastAsia" w:ascii="仿宋_GB2312" w:eastAsia="仿宋_GB2312"/>
          <w:color w:val="auto"/>
          <w:sz w:val="32"/>
          <w:szCs w:val="32"/>
          <w:highlight w:val="none"/>
          <w:lang w:eastAsia="zh-CN"/>
        </w:rPr>
        <w:t>反映其他用于卫生健康方面的支出</w:t>
      </w:r>
      <w:r>
        <w:rPr>
          <w:rFonts w:hint="eastAsia" w:ascii="仿宋_GB2312" w:eastAsia="仿宋_GB2312"/>
          <w:color w:val="auto"/>
          <w:sz w:val="32"/>
          <w:szCs w:val="32"/>
          <w:highlight w:val="none"/>
          <w:lang w:val="en-US" w:eastAsia="zh-CN"/>
        </w:rPr>
        <w:t>。</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21.住房保障（类）住房改革支出（款）住房公积金（项）:</w:t>
      </w:r>
      <w:r>
        <w:rPr>
          <w:rFonts w:hint="eastAsia" w:ascii="仿宋_GB2312" w:eastAsia="仿宋_GB2312" w:cs="仿宋_GB2312"/>
          <w:sz w:val="32"/>
          <w:szCs w:val="32"/>
        </w:rPr>
        <w:t>反映行政事业单位按人力资源和社会保障部、财政部规定的基本工资和津贴补贴以及规定比例为职工缴纳的住房公积金</w:t>
      </w:r>
      <w:r>
        <w:rPr>
          <w:rFonts w:hint="eastAsia" w:ascii="仿宋_GB2312" w:eastAsia="仿宋_GB2312"/>
          <w:color w:val="auto"/>
          <w:sz w:val="32"/>
          <w:szCs w:val="32"/>
          <w:highlight w:val="none"/>
          <w:lang w:val="en-US" w:eastAsia="zh-CN"/>
        </w:rPr>
        <w:t>。</w:t>
      </w:r>
    </w:p>
    <w:p>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26"/>
        <w:spacing w:line="560" w:lineRule="exact"/>
        <w:ind w:firstLine="640" w:firstLineChars="200"/>
        <w:jc w:val="both"/>
        <w:rPr>
          <w:rFonts w:hint="eastAsia" w:ascii="仿宋_GB2312" w:eastAsia="仿宋_GB2312"/>
          <w:color w:val="auto"/>
          <w:sz w:val="32"/>
          <w:szCs w:val="32"/>
        </w:rPr>
      </w:pPr>
      <w:r>
        <w:rPr>
          <w:rFonts w:hint="eastAsia" w:ascii="仿宋_GB2312" w:eastAsia="仿宋_GB2312"/>
          <w:color w:val="auto"/>
          <w:sz w:val="32"/>
          <w:szCs w:val="32"/>
          <w:lang w:val="en-US" w:eastAsia="zh-CN"/>
        </w:rPr>
        <w:t>24</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w:t>
      </w:r>
    </w:p>
    <w:p>
      <w:pPr>
        <w:pStyle w:val="26"/>
        <w:spacing w:line="560" w:lineRule="exact"/>
        <w:jc w:val="both"/>
        <w:rPr>
          <w:rFonts w:hint="eastAsia" w:ascii="仿宋_GB2312" w:eastAsia="仿宋_GB2312"/>
          <w:color w:val="auto"/>
          <w:sz w:val="32"/>
          <w:szCs w:val="32"/>
        </w:rPr>
      </w:pPr>
      <w:r>
        <w:rPr>
          <w:rFonts w:hint="eastAsia" w:ascii="仿宋_GB2312" w:eastAsia="仿宋_GB2312"/>
          <w:color w:val="auto"/>
          <w:sz w:val="32"/>
          <w:szCs w:val="32"/>
        </w:rPr>
        <w:t>待（含外宾接待）支出。</w:t>
      </w:r>
      <w:bookmarkStart w:id="99" w:name="_Toc15377226"/>
    </w:p>
    <w:p>
      <w:pPr>
        <w:pStyle w:val="26"/>
        <w:spacing w:line="560" w:lineRule="exact"/>
        <w:jc w:val="both"/>
        <w:rPr>
          <w:rFonts w:hint="eastAsia" w:ascii="仿宋_GB2312" w:eastAsia="仿宋_GB2312"/>
          <w:color w:val="auto"/>
          <w:sz w:val="32"/>
          <w:szCs w:val="32"/>
        </w:rPr>
      </w:pPr>
    </w:p>
    <w:p>
      <w:pPr>
        <w:rPr>
          <w:rFonts w:hint="eastAsia"/>
        </w:rPr>
      </w:pPr>
      <w:bookmarkStart w:id="100" w:name="_Toc15396614"/>
      <w:bookmarkStart w:id="101" w:name="_Toc22995"/>
      <w:r>
        <w:rPr>
          <w:rFonts w:hint="eastAsia"/>
        </w:rPr>
        <w:br w:type="page"/>
      </w:r>
    </w:p>
    <w:p>
      <w:pPr>
        <w:pStyle w:val="4"/>
        <w:bidi w:val="0"/>
        <w:jc w:val="center"/>
      </w:pPr>
      <w:bookmarkStart w:id="102" w:name="_Toc16333"/>
      <w:r>
        <w:rPr>
          <w:rFonts w:hint="eastAsia"/>
          <w:lang w:eastAsia="zh-CN"/>
        </w:rPr>
        <w:t>第四部分</w:t>
      </w:r>
      <w:r>
        <w:rPr>
          <w:rFonts w:hint="eastAsia"/>
          <w:lang w:val="en-US" w:eastAsia="zh-CN"/>
        </w:rPr>
        <w:t xml:space="preserve"> </w:t>
      </w:r>
      <w:r>
        <w:rPr>
          <w:rFonts w:hint="eastAsia"/>
        </w:rPr>
        <w:t>附件</w:t>
      </w:r>
      <w:bookmarkEnd w:id="100"/>
      <w:bookmarkEnd w:id="101"/>
      <w:bookmarkEnd w:id="102"/>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936"/>
        <w:gridCol w:w="1148"/>
        <w:gridCol w:w="396"/>
        <w:gridCol w:w="834"/>
        <w:gridCol w:w="396"/>
        <w:gridCol w:w="846"/>
        <w:gridCol w:w="486"/>
        <w:gridCol w:w="486"/>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bookmarkStart w:id="103" w:name="_Toc15396618"/>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保障2023年度医院职工人员经费正常发放。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1,820.09</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1,820.09</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1,820.09</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1,820.09</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1,820.09</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1,820.09</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按时按量发放了职工人员经费，保障了医院正常运转。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项目负责人：刘雯</w:t>
            </w:r>
          </w:p>
        </w:tc>
        <w:tc>
          <w:tcPr>
            <w:tcW w:w="24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2"/>
        <w:spacing w:before="93"/>
        <w:ind w:firstLine="295" w:firstLineChars="0"/>
        <w:rPr>
          <w:rFonts w:hAnsi="Calibri" w:cs="仿宋"/>
          <w:sz w:val="32"/>
          <w:szCs w:val="32"/>
        </w:rPr>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7"/>
        <w:gridCol w:w="1185"/>
        <w:gridCol w:w="396"/>
        <w:gridCol w:w="834"/>
        <w:gridCol w:w="396"/>
        <w:gridCol w:w="846"/>
        <w:gridCol w:w="486"/>
        <w:gridCol w:w="486"/>
        <w:gridCol w:w="13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严格执行了相关政策，保障生活补助及时、足额发放给退休人员。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严格执行了相关政策，保障生活补助及时、足额发放给退休人员。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405.72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405.66</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405.66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405.72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405.66</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405.66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严格执行了相关政策，保障生活补助及时、足额发放给退休人员。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项目负责人：刘雯</w:t>
            </w:r>
          </w:p>
        </w:tc>
        <w:tc>
          <w:tcPr>
            <w:tcW w:w="24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3"/>
      </w:pP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9"/>
        <w:gridCol w:w="896"/>
        <w:gridCol w:w="1184"/>
        <w:gridCol w:w="396"/>
        <w:gridCol w:w="834"/>
        <w:gridCol w:w="396"/>
        <w:gridCol w:w="846"/>
        <w:gridCol w:w="486"/>
        <w:gridCol w:w="487"/>
        <w:gridCol w:w="13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严格执行了相关政策，保障生活补助及时、足额发放给遗属人员。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5.73</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严格执行了相关政策，保障生活补助及时、足额发放给遗属人员。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项目负责人：刘雯</w:t>
            </w:r>
          </w:p>
        </w:tc>
        <w:tc>
          <w:tcPr>
            <w:tcW w:w="24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128"/>
        <w:gridCol w:w="961"/>
        <w:gridCol w:w="1254"/>
        <w:gridCol w:w="396"/>
        <w:gridCol w:w="902"/>
        <w:gridCol w:w="396"/>
        <w:gridCol w:w="666"/>
        <w:gridCol w:w="486"/>
        <w:gridCol w:w="396"/>
        <w:gridCol w:w="1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51080021T000000057673-日常运转费用项目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严格按照医疗工作改革的要求，在业务开展中实行药品零差价销售，所有西药和中成药全部取消药品加成。</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我院严格按照医疗工作改革的要求，在业务开展中实行药品零差价销售，所有西药和中成药全部取消药品加成。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6"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通过优化就医环境，提升医疗服务质量，促进我院医疗卫生事业的改革和发展。减轻患者的用药负担，缓解“看病难、看病贵”的问题，增强患者对医院的认同感和信任感，缓解医患矛盾，促进社会和谐。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32.78</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资金指标于2024年2月2日才下达下来。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32.78</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我院严格按照医疗工作改革的要求，在业务开展中实行药品零差价销售，所有西药和中成药全部取消药品加成，自评得分90分。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资金第二年才拨付，预算未执行。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项目负责人：张浩</w:t>
            </w:r>
          </w:p>
        </w:tc>
        <w:tc>
          <w:tcPr>
            <w:tcW w:w="24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
      <w:pPr>
        <w:rPr>
          <w:rFonts w:hAnsi="Calibri" w:cs="仿宋"/>
          <w:sz w:val="32"/>
          <w:szCs w:val="32"/>
        </w:rPr>
      </w:pPr>
      <w:r>
        <w:rPr>
          <w:rFonts w:hAnsi="Calibri" w:cs="仿宋"/>
          <w:sz w:val="32"/>
          <w:szCs w:val="32"/>
        </w:rPr>
        <w:br w:type="page"/>
      </w:r>
    </w:p>
    <w:tbl>
      <w:tblPr>
        <w:tblStyle w:val="14"/>
        <w:tblW w:w="50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5"/>
        <w:gridCol w:w="1054"/>
        <w:gridCol w:w="892"/>
        <w:gridCol w:w="1205"/>
        <w:gridCol w:w="400"/>
        <w:gridCol w:w="681"/>
        <w:gridCol w:w="564"/>
        <w:gridCol w:w="813"/>
        <w:gridCol w:w="487"/>
        <w:gridCol w:w="487"/>
        <w:gridCol w:w="14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5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69"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4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6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89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1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189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严格按照政策，完成了党建等工作。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59"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90.40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90.40</w:t>
            </w:r>
          </w:p>
        </w:tc>
        <w:tc>
          <w:tcPr>
            <w:tcW w:w="9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90.40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90.40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90.40</w:t>
            </w:r>
          </w:p>
        </w:tc>
        <w:tc>
          <w:tcPr>
            <w:tcW w:w="9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90.40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571"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5"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66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严格按照政策，完成了党建等工作。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66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667"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8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项目负责人：司英才</w:t>
            </w:r>
          </w:p>
        </w:tc>
        <w:tc>
          <w:tcPr>
            <w:tcW w:w="261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2"/>
      </w:pPr>
    </w:p>
    <w:p>
      <w:pPr>
        <w:pStyle w:val="2"/>
        <w:rPr>
          <w:rFonts w:hAnsi="Calibri" w:cs="仿宋"/>
          <w:sz w:val="32"/>
          <w:szCs w:val="32"/>
        </w:rPr>
      </w:pPr>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936"/>
        <w:gridCol w:w="1148"/>
        <w:gridCol w:w="396"/>
        <w:gridCol w:w="834"/>
        <w:gridCol w:w="396"/>
        <w:gridCol w:w="846"/>
        <w:gridCol w:w="486"/>
        <w:gridCol w:w="486"/>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严格执行相关政策，保障了2023年度医院职工人员经费正常发放。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1,232.60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1,232.60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1,232.60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1,232.60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1,232.60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1,232.60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严格执行相关政策，保障了2023年度医院职工人员经费正常发放。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项目负责人：刘雯</w:t>
            </w:r>
          </w:p>
        </w:tc>
        <w:tc>
          <w:tcPr>
            <w:tcW w:w="24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9"/>
        <w:gridCol w:w="896"/>
        <w:gridCol w:w="1185"/>
        <w:gridCol w:w="396"/>
        <w:gridCol w:w="834"/>
        <w:gridCol w:w="396"/>
        <w:gridCol w:w="846"/>
        <w:gridCol w:w="487"/>
        <w:gridCol w:w="487"/>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51080022R000006910914-退休“中人”一次性退休补贴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16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根据政策，足额及时发放了“中人”一次性退休补贴。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根据政策，足额及时发放了“中人”一次性退休补贴。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项目负责人：刘雯</w:t>
            </w:r>
          </w:p>
        </w:tc>
        <w:tc>
          <w:tcPr>
            <w:tcW w:w="244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2"/>
      </w:pPr>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942"/>
        <w:gridCol w:w="1026"/>
        <w:gridCol w:w="1026"/>
        <w:gridCol w:w="396"/>
        <w:gridCol w:w="1206"/>
        <w:gridCol w:w="396"/>
        <w:gridCol w:w="936"/>
        <w:gridCol w:w="486"/>
        <w:gridCol w:w="487"/>
        <w:gridCol w:w="10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51080022T000004913542-人员类支出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保障2023年度医院职工人员经费正常发放。</w:t>
            </w:r>
          </w:p>
        </w:tc>
        <w:tc>
          <w:tcPr>
            <w:tcW w:w="167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按时按量发放了职工人员经费，保障了医院正常运转。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23,240.62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23,240.62</w:t>
            </w:r>
          </w:p>
        </w:tc>
        <w:tc>
          <w:tcPr>
            <w:tcW w:w="9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21,676.74</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93.27%</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23,240.62</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23,240.62</w:t>
            </w:r>
          </w:p>
        </w:tc>
        <w:tc>
          <w:tcPr>
            <w:tcW w:w="9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21,676.74</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93.27%</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发放人次</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按实际发放人次发放</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按要求完成</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医院正常运转年限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正常运转</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员工满意度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项目年度支出</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23240.62002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21676.74万元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3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按时按量发放了职工人员经费，保障了医院正常运转。自评得分100分。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项目负责人：陶媛</w:t>
            </w:r>
          </w:p>
        </w:tc>
        <w:tc>
          <w:tcPr>
            <w:tcW w:w="244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966"/>
        <w:gridCol w:w="1026"/>
        <w:gridCol w:w="1026"/>
        <w:gridCol w:w="396"/>
        <w:gridCol w:w="1206"/>
        <w:gridCol w:w="396"/>
        <w:gridCol w:w="936"/>
        <w:gridCol w:w="486"/>
        <w:gridCol w:w="396"/>
        <w:gridCol w:w="1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51080022T000004913598-公用经费类项目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4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保障2023年日常公用经费正常支出。</w:t>
            </w:r>
          </w:p>
        </w:tc>
        <w:tc>
          <w:tcPr>
            <w:tcW w:w="165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按时支付了医院的日常费用，保障了医院正常运转。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确保医院工作秩序正常，业务工作正常开展。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19,315.34</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19,315.34</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20,763.22</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107.50%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19,315.34</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19,315.34</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20,763.22</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107.50%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完成专用材料费、水电气、委托业务费、维修维护、差旅费、培训等项目支付</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≥20项</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医院正常运转年限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职工及三方公司满意度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总体概算支出</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19315.33904</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20763.22万元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主要是药品材料年初预算不准备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5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89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严格按照预算来执行各项任务，自评得分98分。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预算编制质量有待进一步提高。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进一步严格特定目标类项目管理，预算编报必须详细的反应相应的工作任务、经费的测算过程、达成的效果等，提高预算编制合理性。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项目负责人：陈沐</w:t>
            </w:r>
          </w:p>
        </w:tc>
        <w:tc>
          <w:tcPr>
            <w:tcW w:w="24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
      <w:pPr>
        <w:pStyle w:val="3"/>
        <w:rPr>
          <w:rFonts w:hAnsi="Calibri" w:cs="仿宋"/>
          <w:sz w:val="32"/>
          <w:szCs w:val="32"/>
        </w:rPr>
      </w:pPr>
    </w:p>
    <w:p>
      <w:pPr>
        <w:rPr>
          <w:rFonts w:hAnsi="Calibri" w:cs="仿宋"/>
          <w:sz w:val="32"/>
          <w:szCs w:val="32"/>
        </w:rPr>
      </w:pPr>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94"/>
        <w:gridCol w:w="929"/>
        <w:gridCol w:w="1223"/>
        <w:gridCol w:w="396"/>
        <w:gridCol w:w="870"/>
        <w:gridCol w:w="396"/>
        <w:gridCol w:w="756"/>
        <w:gridCol w:w="486"/>
        <w:gridCol w:w="396"/>
        <w:gridCol w:w="1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51080022T000004913708-信息网络软件购置（政府采购项目）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2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完成三级等保、电脑耗材、攻防演练、办公软件正版化OA签名电子化（CA）、CA签名服务接入费、渗透测试等451项医院信息网络软硬件系统采购，保障医院信息化建设顺利开展。</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促进了医院信息化建设，提升了各业务科室的诊疗效率，有助于医院实现高质量发展。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根据临床科室以及医院的发展规划需求，开展信息网络化建设。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273.95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273.95</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160.38</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58.54%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年初申报的办公软件正版化440套根据医院实际工作开展情况，未实施。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273.95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273.95</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160.38</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58.54%</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软硬件采购（维护）数量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系统验收合格率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软件正常使用年限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正常使用</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软硬件管理部门满意度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项目采购成本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273.95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160.38万元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97</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该项目的实施，促进了医院信息化建设，提升了各业务科室的诊疗效率，有助于医院实现高质量发展。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项目负责人：陈俊寅</w:t>
            </w:r>
          </w:p>
        </w:tc>
        <w:tc>
          <w:tcPr>
            <w:tcW w:w="24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3"/>
      </w:pPr>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94"/>
        <w:gridCol w:w="929"/>
        <w:gridCol w:w="1223"/>
        <w:gridCol w:w="396"/>
        <w:gridCol w:w="870"/>
        <w:gridCol w:w="396"/>
        <w:gridCol w:w="756"/>
        <w:gridCol w:w="486"/>
        <w:gridCol w:w="396"/>
        <w:gridCol w:w="1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51080022T000004916489-房屋建筑物购建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完成广元市利州区第一人民医院科教综合楼建设项目工程，确保正常投入使用。</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科教楼正常投入使用。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按照合同、工程进度支付各项工程款。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144.48</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该项预算主要为广元市利州区第一人民医院科教综合楼建设项目工程尾款，目前该项目还在进行工程结算审计，待审计报告出来后方可支付。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144.48</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完成工程项目数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医院业务收入提升率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10.41%</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医护满意度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投资完成额</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144.48万元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该项目已投入使用，日常提供住宿、教学、培训等服务，该项目的建成，在完善医院基础设施的同时，进一步改善了医院培训、科研、教学等业务场所不足的现状。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目前该项目还在进行工程结算审计，待审计报告出来后方可支付尾款。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项目负责人：刘源</w:t>
            </w:r>
          </w:p>
        </w:tc>
        <w:tc>
          <w:tcPr>
            <w:tcW w:w="24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
      <w:pPr>
        <w:rPr>
          <w:rFonts w:hAnsi="Calibri" w:cs="仿宋"/>
          <w:sz w:val="32"/>
          <w:szCs w:val="32"/>
        </w:rPr>
      </w:pPr>
    </w:p>
    <w:p>
      <w:pPr>
        <w:pStyle w:val="2"/>
        <w:rPr>
          <w:rFonts w:hAnsi="Calibri" w:cs="仿宋"/>
          <w:sz w:val="32"/>
          <w:szCs w:val="32"/>
        </w:rPr>
      </w:pPr>
    </w:p>
    <w:p>
      <w:pPr>
        <w:pStyle w:val="3"/>
      </w:pPr>
    </w:p>
    <w:p>
      <w:pPr>
        <w:rPr>
          <w:rFonts w:hAnsi="Calibri" w:cs="仿宋"/>
          <w:sz w:val="32"/>
          <w:szCs w:val="32"/>
        </w:rPr>
      </w:pPr>
      <w:r>
        <w:rPr>
          <w:rFonts w:hAnsi="Calibri" w:cs="仿宋"/>
          <w:sz w:val="32"/>
          <w:szCs w:val="32"/>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94"/>
        <w:gridCol w:w="936"/>
        <w:gridCol w:w="1216"/>
        <w:gridCol w:w="396"/>
        <w:gridCol w:w="869"/>
        <w:gridCol w:w="396"/>
        <w:gridCol w:w="756"/>
        <w:gridCol w:w="486"/>
        <w:gridCol w:w="396"/>
        <w:gridCol w:w="1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51080022T000004956441-PPP医养项目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1.精神专科医养综合大楼占地面积1403.85平方米，总建筑面积20606平方米，其中地上建筑面积18250.78平方米、地下建筑面积2355.22平方米（车辆51辆），床位400张；2.其他道路、绿化等附属工程：中心供氧、对讲呼叫系统、康复等设备设施投入使用。</w:t>
            </w:r>
          </w:p>
        </w:tc>
        <w:tc>
          <w:tcPr>
            <w:tcW w:w="16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该项目基本设施建设已完成。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2,292.00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2,292.00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对方公司还未出具审计报告，市政府协调会要求对方审计结果未出来之前，停止支付任何费用。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2,292.00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2,292.00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在册患者管理率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建成编制床位</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张</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400张</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严重精神障碍患者健康管理率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提高医院服务及经济效益</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10.41%</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区域辐射人群满意度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主要由于2022年对方公司还未出具审计报告，市政府协调会要求暂不支付，待对方审计完结以后方可支付。自评得分90分。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项目负责人：刘源</w:t>
            </w:r>
          </w:p>
        </w:tc>
        <w:tc>
          <w:tcPr>
            <w:tcW w:w="24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76"/>
        <w:gridCol w:w="936"/>
        <w:gridCol w:w="1179"/>
        <w:gridCol w:w="396"/>
        <w:gridCol w:w="851"/>
        <w:gridCol w:w="396"/>
        <w:gridCol w:w="846"/>
        <w:gridCol w:w="486"/>
        <w:gridCol w:w="396"/>
        <w:gridCol w:w="13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51080022T000004956590-债务还本付息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根据债务合同还清债务本金及利息。</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根据债务合同及时支付了债务本金及利息。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根据债务合同约定的时间及时支付了债务本金及利息。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7,716.00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7,716.00</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4,127.51</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53.49%</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缓慢主要是因为预算里编制了市投发集团2022年还剩3个月未还的绵商行贷款利息126.63万元，以及剩下的绵商行贷款本金5000万元和对应的利息112.62万元，而2022年12月底市投发集团已转还支付所有本金和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7,716.00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7,716.00</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4,127.51</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53.49%</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按照合同约定完成率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1年</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医院正常运营年限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正常运转</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贷款部门满意度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债务还本年度支出</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7716</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4127.51万元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实际按时支付了远东国际租赁有限公司融资本金、利息1074万元、支工行贷款本金及利息2099.04万元、支利州区第一人民医院科教综合楼专项债券利息费用344.64万元、支以色列贷款本金及利息378.54万元以及支康复综合楼专项债券利息费用231.3万元。该项目自评得分95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项目负责人：陈沐</w:t>
            </w:r>
          </w:p>
        </w:tc>
        <w:tc>
          <w:tcPr>
            <w:tcW w:w="24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
      <w:pPr>
        <w:pStyle w:val="2"/>
        <w:spacing w:before="93"/>
        <w:rPr>
          <w:rFonts w:hAnsi="Calibri" w:cs="仿宋"/>
          <w:sz w:val="32"/>
          <w:szCs w:val="32"/>
        </w:rPr>
      </w:pPr>
    </w:p>
    <w:p>
      <w:pPr>
        <w:rPr>
          <w:rFonts w:hint="eastAsia" w:ascii="黑体" w:hAnsi="黑体" w:eastAsia="黑体"/>
          <w:sz w:val="44"/>
          <w:szCs w:val="44"/>
        </w:rPr>
      </w:pPr>
      <w:r>
        <w:rPr>
          <w:rFonts w:hint="eastAsia" w:ascii="黑体" w:hAnsi="黑体" w:eastAsia="黑体"/>
          <w:sz w:val="44"/>
          <w:szCs w:val="44"/>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75"/>
        <w:gridCol w:w="936"/>
        <w:gridCol w:w="1179"/>
        <w:gridCol w:w="396"/>
        <w:gridCol w:w="936"/>
        <w:gridCol w:w="396"/>
        <w:gridCol w:w="846"/>
        <w:gridCol w:w="486"/>
        <w:gridCol w:w="396"/>
        <w:gridCol w:w="1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51080022T000004956703-康复综合楼建设项目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完成主体建筑40227.88平方米，地上建筑面积33300.4平方米，地下建筑面积6927.48平方米；室内部门装饰及附属工程。</w:t>
            </w:r>
          </w:p>
        </w:tc>
        <w:tc>
          <w:tcPr>
            <w:tcW w:w="165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按照预计的工程进度完成了实际建筑面积。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按照预计的工程进度实施各项工作。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3,000.32</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60.01%</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年初计划申请债券5000万元，但是23年财政实际只拨付到位3000万元。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3,000.32</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60.01%</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完成建设总建筑面积</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40227.88</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平方米</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按照预计的工程进度完成实际建筑面积</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项目设计方案变更率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工程竣工时限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《3年</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医院正常运营年限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正常运转</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医患满意度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项目建设投资</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3000.32万元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年初计划申请债券5000万元，但是23年财政实际只拨付到位3000万元。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89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项目在专项债券资金支出上，做到了专款专用，按项目实施的进度情况进行资金申报及支付，无截留、无挪用等现象。项目实施有效带动了周边服务业、餐饮业、建材业等经济发展，充分带动了当地就业发展，后期仍会增加不同就业岗位，社会效益显著。并且，本项目的实施进一步加强了当地医院医疗基础设施建设，既能提高当地医院的整体诊疗水平和应急能力，保障人民身体健康，促进社会的和谐发展，对拉动当地经济发展具有积极作用。建成启用后，将推进康复医疗服务的规范化、标准化进程，为医院长期发展奠定坚实的基础。该项目自评92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年初计划申请债券5000万元，但是23年财政实际只拨付到位3000万元。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在施工过程中，加大施工进度的监管力度。在确保施工安全、施工质量的前提下，督促施工方加快施工进度，争取在约定工期内完成施工。根据施工进度，合理申报专项债券资金，做到专款专用，提高到位专项债券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项目负责人：刘源</w:t>
            </w:r>
          </w:p>
        </w:tc>
        <w:tc>
          <w:tcPr>
            <w:tcW w:w="24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2"/>
        <w:rPr>
          <w:rFonts w:hint="eastAsia"/>
        </w:rPr>
      </w:pPr>
    </w:p>
    <w:p>
      <w:pPr>
        <w:rPr>
          <w:rFonts w:hint="eastAsia" w:ascii="黑体" w:hAnsi="黑体" w:eastAsia="黑体"/>
          <w:sz w:val="44"/>
          <w:szCs w:val="44"/>
        </w:rPr>
      </w:pPr>
      <w:r>
        <w:rPr>
          <w:rFonts w:hint="eastAsia" w:ascii="黑体" w:hAnsi="黑体" w:eastAsia="黑体"/>
          <w:sz w:val="44"/>
          <w:szCs w:val="44"/>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895"/>
        <w:gridCol w:w="1184"/>
        <w:gridCol w:w="396"/>
        <w:gridCol w:w="838"/>
        <w:gridCol w:w="396"/>
        <w:gridCol w:w="846"/>
        <w:gridCol w:w="486"/>
        <w:gridCol w:w="486"/>
        <w:gridCol w:w="13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51080022T000004957159-乡村振兴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助莲花村、月坝村实现乡村振兴，具体包括1.发展肉牛养殖，计划出栏肉牛150头。2.发展大豆种植，实现黄豆种植200亩。3.根据莲花村实际情况完善相关基础设施。4.有机果蔬基地打造180亩。5.帮助重点监测户发展产业2户。6.根据2023年月坝旅游产业发展规划完善基础建设。</w:t>
            </w:r>
          </w:p>
        </w:tc>
        <w:tc>
          <w:tcPr>
            <w:tcW w:w="16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积极争取项目资金，完成莲花村二社道路硬化200余米，医院帮扶解决资金缺口2万元。2.慰问困难群众5人，鼓励他们克服困难，努力生活。3.驻村工作队发动帮扶单位，通过以购代扶，销售农产品2万余元。4.帮助老百姓带药带物50余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帮扶乡村个数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2个</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乡村振兴目标完成率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按要求完成</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帮扶对象年收入金额</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元/户</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2万元/户</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投入工作经费金额</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自评得分100分。通过1.强化阵地建设，提升治理能力；2.认真开展入户排查工作，掌握基础情况；3.推进产业发展，强化内生动力；4.积极协调，帮办实事；5.宣传推广了乡村特色旅游产业，积极协调发动了我单位职工开展“以购代扶”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与村支两委积极探索研究本村产业经营管理模式，有效推动本村经济长远发展；（二）建立防返贫机制，对全村农户做好日常监测，做好防返贫监测户的重点监测，对一切可能返贫致贫的风险户采取有效措施，有效阻击返贫致贫的发生； （三）月坝村作为重点打造的旅游景区，发展生态康养旅游，需进一步加强商户食品安全、环境卫生、法律法规的宣传培训，提升服务意识。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项目负责人：司英才</w:t>
            </w:r>
          </w:p>
        </w:tc>
        <w:tc>
          <w:tcPr>
            <w:tcW w:w="24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rPr>
          <w:rFonts w:hint="eastAsia"/>
        </w:rPr>
      </w:pPr>
      <w:r>
        <w:rPr>
          <w:rFonts w:hint="eastAsia"/>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90"/>
        <w:gridCol w:w="936"/>
        <w:gridCol w:w="1208"/>
        <w:gridCol w:w="396"/>
        <w:gridCol w:w="865"/>
        <w:gridCol w:w="396"/>
        <w:gridCol w:w="776"/>
        <w:gridCol w:w="486"/>
        <w:gridCol w:w="396"/>
        <w:gridCol w:w="13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51080023T000008431133-设备及物资购置项目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完成6653项设备及物资采购（含办公设备、医疗设备、通用设备、零星物资），满足医院所有临床及行政后勤科室设备、设施及零星物资等需求，保障医院正常办公。</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提升了医疗技术水平、诊疗效率，改善了患者就医体验感。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根据临床需求购置设备，保障医院正常运转。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4,490.15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4,490.15</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3,106.87</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69.19%</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该预算主要为科教综合楼医疗和教学设备3324.65万元，资金为利州区债券资金，在执行中仅申请到债券资金2197.38万元。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4,490.15</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4,490.15</w:t>
            </w: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3,106.87</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69.19%</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设备及物资采购量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6653</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设备验收合格率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设备正常使用年限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≥6年</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使用人员满意度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设备物资采购总成本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4490.15</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3106.87万元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该项目的实施，提升了医疗技术水平、诊疗效率，改善了患者就医体验感。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项目负责人：吴元林</w:t>
            </w:r>
          </w:p>
        </w:tc>
        <w:tc>
          <w:tcPr>
            <w:tcW w:w="24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rPr>
          <w:rFonts w:hint="eastAsia"/>
        </w:rPr>
      </w:pPr>
      <w:r>
        <w:rPr>
          <w:rFonts w:hint="eastAsia"/>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38"/>
        <w:gridCol w:w="936"/>
        <w:gridCol w:w="1116"/>
        <w:gridCol w:w="396"/>
        <w:gridCol w:w="823"/>
        <w:gridCol w:w="396"/>
        <w:gridCol w:w="846"/>
        <w:gridCol w:w="486"/>
        <w:gridCol w:w="576"/>
        <w:gridCol w:w="1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51080023T000008431325-服务类项目（医院物业管理服务、设备维保服务等）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9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保洁、安保、污水处理等工作，优化医院环境及办公环境。完成布类洗涤工作，更好的为临床及病人服务。完成本年度医院设备的维保服务公司的招采和原有维保合同的执行，为临床和医院的正常运行提供强有力的保障。完成医疗责任险购置，降低医院纠纷风险。</w:t>
            </w:r>
          </w:p>
        </w:tc>
        <w:tc>
          <w:tcPr>
            <w:tcW w:w="17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完成了全院的布类洗涤、物业管理、设备维保以及医护人员医疗责任险的购置。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51"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1,327.50</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1,327.50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1,210.11</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w:t>
            </w:r>
          </w:p>
        </w:tc>
        <w:tc>
          <w:tcPr>
            <w:tcW w:w="8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1,327.50</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1,327.50</w:t>
            </w: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1,210.11</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91.16%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服务验收合格率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服务项目完成时间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按要求完成</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垃圾和安保等处理时间</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分钟</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按要求按成</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增加病人就诊率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增加</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临床及患者满意度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服务总成本</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1327.5</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1210.11万元</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0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99.1</w:t>
            </w:r>
          </w:p>
        </w:tc>
        <w:tc>
          <w:tcPr>
            <w:tcW w:w="879"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保洁、安保、污水处理等工作，优化医院环境及办公环境。完成布类洗涤工作，更好的为临床及病人服务。完成本年度医院设备的维保服务公司的招采和原有维保合同的执行，为临床和医院的正常运行提供了强有力的保障。完成了医疗责任险购置，降低了医院纠纷风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9"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3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项目负责人：刘源</w:t>
            </w:r>
          </w:p>
        </w:tc>
        <w:tc>
          <w:tcPr>
            <w:tcW w:w="246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rPr>
          <w:rFonts w:hint="eastAsia"/>
        </w:rPr>
      </w:pPr>
    </w:p>
    <w:p>
      <w:pPr>
        <w:rPr>
          <w:rFonts w:hint="eastAsia" w:ascii="黑体" w:hAnsi="黑体" w:eastAsia="黑体"/>
          <w:sz w:val="44"/>
          <w:szCs w:val="44"/>
        </w:rPr>
      </w:pPr>
      <w:r>
        <w:rPr>
          <w:rFonts w:hint="eastAsia" w:ascii="黑体" w:hAnsi="黑体" w:eastAsia="黑体"/>
          <w:sz w:val="44"/>
          <w:szCs w:val="44"/>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1005"/>
        <w:gridCol w:w="823"/>
        <w:gridCol w:w="1176"/>
        <w:gridCol w:w="636"/>
        <w:gridCol w:w="597"/>
        <w:gridCol w:w="623"/>
        <w:gridCol w:w="635"/>
        <w:gridCol w:w="486"/>
        <w:gridCol w:w="486"/>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0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51080023T000009076834-核增一次性绩效工资总量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9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2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3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2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7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2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保障参与疫情防控人员绩效工资足额发放。</w:t>
            </w:r>
          </w:p>
        </w:tc>
        <w:tc>
          <w:tcPr>
            <w:tcW w:w="174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足额发放了参与疫情防控人员的绩效工资。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04"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41.00</w:t>
            </w:r>
          </w:p>
        </w:tc>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41.00</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41.00</w:t>
            </w:r>
          </w:p>
        </w:tc>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41.00</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8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发放覆盖率</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按时完成</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按时完成</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医务工作人员满意度</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6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控制在预算内</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6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59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足额发放了参与疫情防控人员的绩效工资，提升了疫情防控能力。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59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594"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4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项目负责人：刘雯</w:t>
            </w:r>
          </w:p>
        </w:tc>
        <w:tc>
          <w:tcPr>
            <w:tcW w:w="245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rPr>
          <w:rFonts w:hint="eastAsia"/>
        </w:rPr>
      </w:pPr>
      <w:r>
        <w:rPr>
          <w:rFonts w:hint="eastAsia"/>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8"/>
        <w:gridCol w:w="936"/>
        <w:gridCol w:w="1146"/>
        <w:gridCol w:w="396"/>
        <w:gridCol w:w="846"/>
        <w:gridCol w:w="396"/>
        <w:gridCol w:w="846"/>
        <w:gridCol w:w="486"/>
        <w:gridCol w:w="487"/>
        <w:gridCol w:w="13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51080023T000009076849-市级公立医疗卫生机构核酸检测费用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7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按要求完成核酸检测任务。</w:t>
            </w:r>
          </w:p>
        </w:tc>
        <w:tc>
          <w:tcPr>
            <w:tcW w:w="167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圆满的完成了核酸检测任务。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1,768.15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1,768.15</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1,768.15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1,768.15</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1,768.15</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1,768.15</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院内核酸检测数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134010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大于134010人次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院外核酸检测数量</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5261242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5261242人次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疫情防控能力提升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大幅度提升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大幅度提升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核酸检测对象满意度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控制在预算内</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9"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按照上级的要求，圆满的完成了核酸检测任务，提升了疫情防控能力。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5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项目负责人：谢辉</w:t>
            </w:r>
          </w:p>
        </w:tc>
        <w:tc>
          <w:tcPr>
            <w:tcW w:w="244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pStyle w:val="2"/>
        <w:rPr>
          <w:rFonts w:hint="eastAsia"/>
        </w:rPr>
      </w:pPr>
    </w:p>
    <w:p>
      <w:pPr>
        <w:rPr>
          <w:rFonts w:hint="eastAsia"/>
        </w:rPr>
      </w:pPr>
      <w:r>
        <w:rPr>
          <w:rFonts w:hint="eastAsia"/>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057"/>
        <w:gridCol w:w="894"/>
        <w:gridCol w:w="1185"/>
        <w:gridCol w:w="396"/>
        <w:gridCol w:w="846"/>
        <w:gridCol w:w="396"/>
        <w:gridCol w:w="846"/>
        <w:gridCol w:w="486"/>
        <w:gridCol w:w="486"/>
        <w:gridCol w:w="1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51080023T000009750445-疫情防控财政补助资金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7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6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落实新冠患者救治工作，做好新冠疫情防控工作。</w:t>
            </w:r>
          </w:p>
        </w:tc>
        <w:tc>
          <w:tcPr>
            <w:tcW w:w="16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落实了党中央、国务院作出的重大决策部署，及时救治了新冠患者，提升了疫情防控能力。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43"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117.86</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117.86</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117.86</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6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临时性工作补助发放覆盖率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院内、院外核酸检测人数</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5395252</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5395252人次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新冠患者救治人次</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4171</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417人次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按要求完成</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疫情防控能力</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大幅度提升</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大幅度提升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新冠救治患者、职工等满意度</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7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控制在预算内</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9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落实了新冠患者救治工作，做好了新冠疫情防控工作。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项目负责人：谢辉</w:t>
            </w:r>
          </w:p>
        </w:tc>
        <w:tc>
          <w:tcPr>
            <w:tcW w:w="24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rPr>
          <w:rFonts w:hint="eastAsia"/>
        </w:rPr>
      </w:pPr>
      <w:r>
        <w:rPr>
          <w:rFonts w:hint="eastAsia"/>
        </w:rPr>
        <w:br w:type="page"/>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126"/>
        <w:gridCol w:w="961"/>
        <w:gridCol w:w="1254"/>
        <w:gridCol w:w="396"/>
        <w:gridCol w:w="902"/>
        <w:gridCol w:w="396"/>
        <w:gridCol w:w="666"/>
        <w:gridCol w:w="486"/>
        <w:gridCol w:w="396"/>
        <w:gridCol w:w="1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51080024T000011266154-2023年市级重大卫生事业及发展经费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9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实施单位 （盖章）</w:t>
            </w:r>
          </w:p>
        </w:tc>
        <w:tc>
          <w:tcPr>
            <w:tcW w:w="125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广元市精神卫生中心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7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37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403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2024年2月2日才下达指标，2023年未使用。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5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74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19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6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资金拨付时间晚，未执行预算。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4758" w:type="pct"/>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5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项目负责人：陈沐</w:t>
            </w:r>
          </w:p>
        </w:tc>
        <w:tc>
          <w:tcPr>
            <w:tcW w:w="243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财务负责人：陈沐</w:t>
            </w:r>
          </w:p>
        </w:tc>
      </w:tr>
    </w:tbl>
    <w:p>
      <w:pPr>
        <w:rPr>
          <w:rFonts w:hint="eastAsia"/>
        </w:rPr>
      </w:pPr>
      <w:r>
        <w:rPr>
          <w:rFonts w:hint="eastAsia"/>
        </w:rPr>
        <w:br w:type="page"/>
      </w:r>
    </w:p>
    <w:p>
      <w:pPr>
        <w:spacing w:line="600" w:lineRule="exact"/>
        <w:jc w:val="center"/>
        <w:outlineLvl w:val="0"/>
        <w:rPr>
          <w:rFonts w:ascii="仿宋" w:hAnsi="仿宋" w:eastAsia="仿宋"/>
        </w:rPr>
      </w:pPr>
      <w:bookmarkStart w:id="104" w:name="_Toc30168"/>
      <w:r>
        <w:rPr>
          <w:rFonts w:hint="eastAsia" w:ascii="黑体" w:hAnsi="黑体" w:eastAsia="黑体"/>
          <w:sz w:val="44"/>
          <w:szCs w:val="44"/>
        </w:rPr>
        <w:t>第</w:t>
      </w:r>
      <w:r>
        <w:rPr>
          <w:rStyle w:val="28"/>
          <w:rFonts w:hint="eastAsia" w:ascii="黑体" w:hAnsi="黑体" w:eastAsia="黑体"/>
          <w:b w:val="0"/>
        </w:rPr>
        <w:t>五部分 附表</w:t>
      </w:r>
      <w:bookmarkEnd w:id="99"/>
      <w:bookmarkEnd w:id="103"/>
      <w:bookmarkEnd w:id="104"/>
      <w:bookmarkStart w:id="105" w:name="_Toc15396619"/>
    </w:p>
    <w:p>
      <w:pPr>
        <w:pStyle w:val="5"/>
        <w:rPr>
          <w:rFonts w:ascii="仿宋" w:hAnsi="仿宋" w:eastAsia="仿宋"/>
        </w:rPr>
      </w:pPr>
      <w:bookmarkStart w:id="106" w:name="_Toc2818"/>
      <w:r>
        <w:rPr>
          <w:rFonts w:hint="eastAsia" w:ascii="仿宋" w:hAnsi="仿宋" w:eastAsia="仿宋"/>
          <w:b w:val="0"/>
        </w:rPr>
        <w:t>一、收</w:t>
      </w:r>
      <w:r>
        <w:rPr>
          <w:rStyle w:val="29"/>
          <w:rFonts w:hint="eastAsia" w:ascii="仿宋" w:hAnsi="仿宋" w:eastAsia="仿宋"/>
          <w:b w:val="0"/>
          <w:bCs w:val="0"/>
        </w:rPr>
        <w:t>入支出决算总表</w:t>
      </w:r>
      <w:bookmarkEnd w:id="105"/>
      <w:bookmarkEnd w:id="106"/>
    </w:p>
    <w:p>
      <w:pPr>
        <w:pStyle w:val="5"/>
        <w:rPr>
          <w:rFonts w:ascii="仿宋" w:hAnsi="仿宋" w:eastAsia="仿宋"/>
        </w:rPr>
      </w:pPr>
      <w:bookmarkStart w:id="107" w:name="_Toc23251"/>
      <w:bookmarkStart w:id="108" w:name="_Toc15396620"/>
      <w:r>
        <w:rPr>
          <w:rFonts w:hint="eastAsia" w:ascii="仿宋" w:hAnsi="仿宋" w:eastAsia="仿宋"/>
          <w:b w:val="0"/>
        </w:rPr>
        <w:t>二、收</w:t>
      </w:r>
      <w:r>
        <w:rPr>
          <w:rStyle w:val="29"/>
          <w:rFonts w:hint="eastAsia" w:ascii="仿宋" w:hAnsi="仿宋" w:eastAsia="仿宋"/>
          <w:b w:val="0"/>
          <w:bCs w:val="0"/>
        </w:rPr>
        <w:t>入决算表</w:t>
      </w:r>
      <w:bookmarkEnd w:id="107"/>
      <w:bookmarkEnd w:id="108"/>
    </w:p>
    <w:p>
      <w:pPr>
        <w:pStyle w:val="5"/>
        <w:rPr>
          <w:rFonts w:ascii="仿宋" w:hAnsi="仿宋" w:eastAsia="仿宋"/>
        </w:rPr>
      </w:pPr>
      <w:bookmarkStart w:id="109" w:name="_Toc24039"/>
      <w:bookmarkStart w:id="110" w:name="_Toc15396621"/>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109"/>
      <w:bookmarkEnd w:id="110"/>
    </w:p>
    <w:p>
      <w:pPr>
        <w:pStyle w:val="5"/>
        <w:rPr>
          <w:rFonts w:ascii="仿宋" w:hAnsi="仿宋" w:eastAsia="仿宋"/>
          <w:b w:val="0"/>
        </w:rPr>
      </w:pPr>
      <w:bookmarkStart w:id="111" w:name="_Toc15396622"/>
      <w:bookmarkStart w:id="112" w:name="_Toc23491"/>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111"/>
      <w:bookmarkEnd w:id="112"/>
    </w:p>
    <w:p>
      <w:pPr>
        <w:pStyle w:val="5"/>
        <w:rPr>
          <w:rStyle w:val="29"/>
          <w:rFonts w:ascii="仿宋" w:hAnsi="仿宋" w:eastAsia="仿宋"/>
          <w:b w:val="0"/>
          <w:bCs w:val="0"/>
        </w:rPr>
      </w:pPr>
      <w:bookmarkStart w:id="113" w:name="_Toc28886"/>
      <w:bookmarkStart w:id="114" w:name="_Toc15396623"/>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113"/>
      <w:bookmarkEnd w:id="114"/>
      <w:bookmarkStart w:id="115" w:name="_Toc15396624"/>
    </w:p>
    <w:p>
      <w:pPr>
        <w:pStyle w:val="5"/>
        <w:rPr>
          <w:rFonts w:ascii="仿宋" w:hAnsi="仿宋" w:eastAsia="仿宋"/>
        </w:rPr>
      </w:pPr>
      <w:bookmarkStart w:id="116" w:name="_Toc22999"/>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115"/>
      <w:bookmarkEnd w:id="116"/>
    </w:p>
    <w:p>
      <w:pPr>
        <w:pStyle w:val="5"/>
        <w:rPr>
          <w:rFonts w:ascii="仿宋" w:hAnsi="仿宋" w:eastAsia="仿宋"/>
        </w:rPr>
      </w:pPr>
      <w:bookmarkStart w:id="117" w:name="_Toc15396625"/>
      <w:bookmarkStart w:id="118" w:name="_Toc27031"/>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117"/>
      <w:bookmarkEnd w:id="118"/>
    </w:p>
    <w:p>
      <w:pPr>
        <w:pStyle w:val="5"/>
        <w:rPr>
          <w:rFonts w:ascii="仿宋" w:hAnsi="仿宋" w:eastAsia="仿宋"/>
        </w:rPr>
      </w:pPr>
      <w:bookmarkStart w:id="119" w:name="_Toc20418"/>
      <w:bookmarkStart w:id="120" w:name="_Toc15396626"/>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19"/>
      <w:bookmarkEnd w:id="120"/>
    </w:p>
    <w:p>
      <w:pPr>
        <w:pStyle w:val="5"/>
        <w:rPr>
          <w:rFonts w:ascii="仿宋" w:hAnsi="仿宋" w:eastAsia="仿宋"/>
        </w:rPr>
      </w:pPr>
      <w:bookmarkStart w:id="121" w:name="_Toc15396627"/>
      <w:bookmarkStart w:id="122" w:name="_Toc15344"/>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21"/>
      <w:bookmarkEnd w:id="122"/>
    </w:p>
    <w:p>
      <w:pPr>
        <w:pStyle w:val="5"/>
        <w:rPr>
          <w:rFonts w:ascii="仿宋" w:hAnsi="仿宋" w:eastAsia="仿宋"/>
        </w:rPr>
      </w:pPr>
      <w:bookmarkStart w:id="123" w:name="_Toc15396628"/>
      <w:bookmarkStart w:id="124" w:name="_Toc16008"/>
      <w:r>
        <w:rPr>
          <w:rStyle w:val="29"/>
          <w:rFonts w:hint="eastAsia" w:ascii="仿宋" w:hAnsi="仿宋" w:eastAsia="仿宋"/>
          <w:b w:val="0"/>
          <w:bCs w:val="0"/>
        </w:rPr>
        <w:t>十、</w:t>
      </w:r>
      <w:bookmarkEnd w:id="123"/>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24"/>
    </w:p>
    <w:p>
      <w:pPr>
        <w:pStyle w:val="5"/>
        <w:rPr>
          <w:rFonts w:ascii="仿宋" w:hAnsi="仿宋" w:eastAsia="仿宋"/>
        </w:rPr>
      </w:pPr>
      <w:bookmarkStart w:id="125" w:name="_Toc15396629"/>
      <w:bookmarkStart w:id="126" w:name="_Toc14280"/>
      <w:r>
        <w:rPr>
          <w:rStyle w:val="29"/>
          <w:rFonts w:hint="eastAsia" w:ascii="仿宋" w:hAnsi="仿宋" w:eastAsia="仿宋"/>
          <w:b w:val="0"/>
          <w:bCs w:val="0"/>
        </w:rPr>
        <w:t>十一、</w:t>
      </w:r>
      <w:bookmarkEnd w:id="125"/>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26"/>
    </w:p>
    <w:p>
      <w:pPr>
        <w:pStyle w:val="5"/>
        <w:rPr>
          <w:rFonts w:ascii="仿宋" w:hAnsi="仿宋" w:eastAsia="仿宋"/>
        </w:rPr>
      </w:pPr>
      <w:bookmarkStart w:id="127" w:name="_Toc15396630"/>
      <w:bookmarkStart w:id="128" w:name="_Toc1442"/>
      <w:r>
        <w:rPr>
          <w:rStyle w:val="29"/>
          <w:rFonts w:hint="eastAsia" w:ascii="仿宋" w:hAnsi="仿宋" w:eastAsia="仿宋"/>
          <w:b w:val="0"/>
          <w:bCs w:val="0"/>
        </w:rPr>
        <w:t>十二、</w:t>
      </w:r>
      <w:bookmarkEnd w:id="127"/>
      <w:r>
        <w:rPr>
          <w:rStyle w:val="29"/>
          <w:rFonts w:hint="eastAsia" w:ascii="仿宋" w:hAnsi="仿宋" w:eastAsia="仿宋"/>
          <w:b w:val="0"/>
          <w:bCs w:val="0"/>
        </w:rPr>
        <w:t>国有资本经营预算财政拨款支出决算表</w:t>
      </w:r>
      <w:bookmarkEnd w:id="128"/>
    </w:p>
    <w:p>
      <w:pPr>
        <w:pStyle w:val="5"/>
        <w:rPr>
          <w:rFonts w:eastAsia="仿宋"/>
        </w:rPr>
      </w:pPr>
      <w:bookmarkStart w:id="129" w:name="_Toc15396631"/>
      <w:bookmarkStart w:id="130" w:name="_Toc31030"/>
      <w:r>
        <w:rPr>
          <w:rStyle w:val="29"/>
          <w:rFonts w:hint="eastAsia" w:ascii="仿宋" w:hAnsi="仿宋" w:eastAsia="仿宋"/>
          <w:b w:val="0"/>
          <w:bCs w:val="0"/>
        </w:rPr>
        <w:t>十三、</w:t>
      </w:r>
      <w:bookmarkEnd w:id="129"/>
      <w:r>
        <w:rPr>
          <w:rStyle w:val="29"/>
          <w:rFonts w:hint="eastAsia" w:ascii="仿宋" w:hAnsi="仿宋" w:eastAsia="仿宋"/>
          <w:b w:val="0"/>
          <w:bCs w:val="0"/>
        </w:rPr>
        <w:t>财政拨款“三公”经费支出决算表</w:t>
      </w:r>
      <w:bookmarkEnd w:id="130"/>
    </w:p>
    <w:sectPr>
      <w:headerReference r:id="rId8" w:type="default"/>
      <w:footerReference r:id="rId9"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3"/>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3"/>
                    </w:pPr>
                  </w:p>
                </w:txbxContent>
              </v:textbox>
            </v:shape>
          </w:pict>
        </mc:Fallback>
      </mc:AlternateContent>
    </w: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9757"/>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sdt>
                    <w:sdtPr>
                      <w:id w:val="147469757"/>
                    </w:sdtPr>
                    <w:sdtContent>
                      <w:p>
                        <w:pPr>
                          <w:pStyle w:val="10"/>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2C3051"/>
    <w:rsid w:val="029C03DA"/>
    <w:rsid w:val="03DC2831"/>
    <w:rsid w:val="047815C6"/>
    <w:rsid w:val="081B5E94"/>
    <w:rsid w:val="09534F5C"/>
    <w:rsid w:val="0A2032A3"/>
    <w:rsid w:val="0AC22432"/>
    <w:rsid w:val="0B8A37D8"/>
    <w:rsid w:val="0CE20630"/>
    <w:rsid w:val="0D88580B"/>
    <w:rsid w:val="0F013EAE"/>
    <w:rsid w:val="0F5FFB2F"/>
    <w:rsid w:val="0F930041"/>
    <w:rsid w:val="0FE344FC"/>
    <w:rsid w:val="0FFFCF60"/>
    <w:rsid w:val="103E0032"/>
    <w:rsid w:val="10C055FF"/>
    <w:rsid w:val="118107EC"/>
    <w:rsid w:val="11B17F14"/>
    <w:rsid w:val="11DD6519"/>
    <w:rsid w:val="13A9004F"/>
    <w:rsid w:val="16BB723D"/>
    <w:rsid w:val="17F52BDC"/>
    <w:rsid w:val="18015F3F"/>
    <w:rsid w:val="18597894"/>
    <w:rsid w:val="186F4AA4"/>
    <w:rsid w:val="189E2829"/>
    <w:rsid w:val="195902A5"/>
    <w:rsid w:val="19A42EDD"/>
    <w:rsid w:val="1A266374"/>
    <w:rsid w:val="1BE8440E"/>
    <w:rsid w:val="1D155CEE"/>
    <w:rsid w:val="1DE51893"/>
    <w:rsid w:val="1F720A5F"/>
    <w:rsid w:val="1F753FA8"/>
    <w:rsid w:val="1FDBBF84"/>
    <w:rsid w:val="20F57F95"/>
    <w:rsid w:val="234D333F"/>
    <w:rsid w:val="240371BF"/>
    <w:rsid w:val="25711CC6"/>
    <w:rsid w:val="25C741E6"/>
    <w:rsid w:val="26CA7DB2"/>
    <w:rsid w:val="276F80C0"/>
    <w:rsid w:val="27842671"/>
    <w:rsid w:val="278E2A94"/>
    <w:rsid w:val="27BE3173"/>
    <w:rsid w:val="29A22DDE"/>
    <w:rsid w:val="29FD04D3"/>
    <w:rsid w:val="2ABE7A3E"/>
    <w:rsid w:val="2AFF09B6"/>
    <w:rsid w:val="2BE228B1"/>
    <w:rsid w:val="2CA234A8"/>
    <w:rsid w:val="2CAC29D6"/>
    <w:rsid w:val="2D621399"/>
    <w:rsid w:val="2EFA178C"/>
    <w:rsid w:val="2EFDF86C"/>
    <w:rsid w:val="2F9D17E1"/>
    <w:rsid w:val="30B46D73"/>
    <w:rsid w:val="30D05A2B"/>
    <w:rsid w:val="319F7F4E"/>
    <w:rsid w:val="34836376"/>
    <w:rsid w:val="34EB74A7"/>
    <w:rsid w:val="356A28F1"/>
    <w:rsid w:val="357C035A"/>
    <w:rsid w:val="35A77DEC"/>
    <w:rsid w:val="36235561"/>
    <w:rsid w:val="3635547B"/>
    <w:rsid w:val="3660023F"/>
    <w:rsid w:val="368E000D"/>
    <w:rsid w:val="379F0A81"/>
    <w:rsid w:val="383D272C"/>
    <w:rsid w:val="38FB6F08"/>
    <w:rsid w:val="39AE70AB"/>
    <w:rsid w:val="3A335D0B"/>
    <w:rsid w:val="3A4DCE41"/>
    <w:rsid w:val="3A5D0D21"/>
    <w:rsid w:val="3BC606A0"/>
    <w:rsid w:val="3BCB56FA"/>
    <w:rsid w:val="3C0C0783"/>
    <w:rsid w:val="3EE7C2F4"/>
    <w:rsid w:val="3F371B56"/>
    <w:rsid w:val="3F792ED8"/>
    <w:rsid w:val="3F9F3A96"/>
    <w:rsid w:val="3FECA4B2"/>
    <w:rsid w:val="3FF58C48"/>
    <w:rsid w:val="40B8723F"/>
    <w:rsid w:val="423A41C8"/>
    <w:rsid w:val="42FF6694"/>
    <w:rsid w:val="446E05D4"/>
    <w:rsid w:val="46872E42"/>
    <w:rsid w:val="489A776F"/>
    <w:rsid w:val="48BF60AB"/>
    <w:rsid w:val="493C27E9"/>
    <w:rsid w:val="496F39ED"/>
    <w:rsid w:val="49B06B1E"/>
    <w:rsid w:val="49FF41D3"/>
    <w:rsid w:val="4A37669E"/>
    <w:rsid w:val="4B2B3E60"/>
    <w:rsid w:val="4BE068DB"/>
    <w:rsid w:val="4BF6002B"/>
    <w:rsid w:val="4BFFC6BE"/>
    <w:rsid w:val="4E697FB9"/>
    <w:rsid w:val="4ECE2238"/>
    <w:rsid w:val="51162C16"/>
    <w:rsid w:val="51DB4B86"/>
    <w:rsid w:val="51F64DB0"/>
    <w:rsid w:val="52612683"/>
    <w:rsid w:val="52C51658"/>
    <w:rsid w:val="54AA5FF5"/>
    <w:rsid w:val="55333C3E"/>
    <w:rsid w:val="554D345D"/>
    <w:rsid w:val="581B4698"/>
    <w:rsid w:val="587830F6"/>
    <w:rsid w:val="596E06BD"/>
    <w:rsid w:val="59CF0866"/>
    <w:rsid w:val="5C576B2E"/>
    <w:rsid w:val="5DBC7B57"/>
    <w:rsid w:val="5DD46E27"/>
    <w:rsid w:val="5F67802D"/>
    <w:rsid w:val="5F7DC4F2"/>
    <w:rsid w:val="5FB36814"/>
    <w:rsid w:val="5FBB8E56"/>
    <w:rsid w:val="5FC45234"/>
    <w:rsid w:val="5FF87195"/>
    <w:rsid w:val="5FFB5535"/>
    <w:rsid w:val="61FD76AE"/>
    <w:rsid w:val="620E0D6B"/>
    <w:rsid w:val="64725FD6"/>
    <w:rsid w:val="64CA39A1"/>
    <w:rsid w:val="64F92F63"/>
    <w:rsid w:val="651E4C38"/>
    <w:rsid w:val="655417A5"/>
    <w:rsid w:val="6792295F"/>
    <w:rsid w:val="69630ADE"/>
    <w:rsid w:val="69BD5F13"/>
    <w:rsid w:val="69FB0B4B"/>
    <w:rsid w:val="6A527E20"/>
    <w:rsid w:val="6A6869A1"/>
    <w:rsid w:val="6A8E65B0"/>
    <w:rsid w:val="6BFFE1FB"/>
    <w:rsid w:val="6C375918"/>
    <w:rsid w:val="6C4A05C8"/>
    <w:rsid w:val="6CEF52DD"/>
    <w:rsid w:val="6D3B1A89"/>
    <w:rsid w:val="6D82642C"/>
    <w:rsid w:val="6DA24B6A"/>
    <w:rsid w:val="6DB7D8A3"/>
    <w:rsid w:val="6EC78701"/>
    <w:rsid w:val="6F792572"/>
    <w:rsid w:val="6F7A5481"/>
    <w:rsid w:val="6FFE07A9"/>
    <w:rsid w:val="71BF4EC2"/>
    <w:rsid w:val="72734D90"/>
    <w:rsid w:val="73E75B71"/>
    <w:rsid w:val="73F12089"/>
    <w:rsid w:val="7412278C"/>
    <w:rsid w:val="74B25C81"/>
    <w:rsid w:val="74DB35C2"/>
    <w:rsid w:val="75705230"/>
    <w:rsid w:val="75DDCDA9"/>
    <w:rsid w:val="75FF44B1"/>
    <w:rsid w:val="77670518"/>
    <w:rsid w:val="777FA627"/>
    <w:rsid w:val="77DF1B5F"/>
    <w:rsid w:val="77E029D6"/>
    <w:rsid w:val="77EF2D9D"/>
    <w:rsid w:val="79330A4E"/>
    <w:rsid w:val="79C505D8"/>
    <w:rsid w:val="79E7B28D"/>
    <w:rsid w:val="7A8D479E"/>
    <w:rsid w:val="7ACFF0C2"/>
    <w:rsid w:val="7AFB9108"/>
    <w:rsid w:val="7BB80A08"/>
    <w:rsid w:val="7BD5340C"/>
    <w:rsid w:val="7BF24065"/>
    <w:rsid w:val="7BFB19D2"/>
    <w:rsid w:val="7BFD1750"/>
    <w:rsid w:val="7BFDAA1B"/>
    <w:rsid w:val="7C2F00A9"/>
    <w:rsid w:val="7CDF9A82"/>
    <w:rsid w:val="7CFFA1BD"/>
    <w:rsid w:val="7D2E3F7A"/>
    <w:rsid w:val="7DED9490"/>
    <w:rsid w:val="7DFF4872"/>
    <w:rsid w:val="7E7487E6"/>
    <w:rsid w:val="7E7C2A54"/>
    <w:rsid w:val="7EEEFD72"/>
    <w:rsid w:val="7F1D517C"/>
    <w:rsid w:val="7F5DA057"/>
    <w:rsid w:val="7F6C2237"/>
    <w:rsid w:val="7F74C44A"/>
    <w:rsid w:val="7F7F319B"/>
    <w:rsid w:val="7F9F20EE"/>
    <w:rsid w:val="7FBBE890"/>
    <w:rsid w:val="7FBC2ABD"/>
    <w:rsid w:val="7FBF5D48"/>
    <w:rsid w:val="7FCCFC01"/>
    <w:rsid w:val="7FDD1748"/>
    <w:rsid w:val="7FE769C6"/>
    <w:rsid w:val="7FFD083E"/>
    <w:rsid w:val="7FFF9372"/>
    <w:rsid w:val="84BF1F3B"/>
    <w:rsid w:val="8F55B106"/>
    <w:rsid w:val="95DF317D"/>
    <w:rsid w:val="97E77C70"/>
    <w:rsid w:val="99FFA685"/>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5"/>
    <w:qFormat/>
    <w:uiPriority w:val="99"/>
    <w:pPr>
      <w:spacing w:beforeLines="30"/>
    </w:pPr>
    <w:rPr>
      <w:rFonts w:ascii="仿宋_GB2312" w:eastAsia="仿宋_GB2312"/>
      <w:kern w:val="0"/>
      <w:sz w:val="30"/>
    </w:rPr>
  </w:style>
  <w:style w:type="paragraph" w:styleId="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7"/>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4"/>
    <w:qFormat/>
    <w:uiPriority w:val="9"/>
    <w:rPr>
      <w:rFonts w:ascii="Times New Roman" w:hAnsi="Times New Roman"/>
      <w:b/>
      <w:bCs/>
      <w:kern w:val="44"/>
      <w:sz w:val="44"/>
      <w:szCs w:val="44"/>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5"/>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5"/>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5"/>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5"/>
    <w:link w:val="4"/>
    <w:qFormat/>
    <w:uiPriority w:val="9"/>
    <w:rPr>
      <w:rFonts w:ascii="Times New Roman" w:hAnsi="Times New Roman"/>
      <w:b/>
      <w:bCs/>
      <w:kern w:val="44"/>
      <w:sz w:val="44"/>
      <w:szCs w:val="44"/>
    </w:rPr>
  </w:style>
  <w:style w:type="character" w:customStyle="1" w:styleId="29">
    <w:name w:val="标题 2 字符"/>
    <w:basedOn w:val="15"/>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5"/>
    <w:link w:val="9"/>
    <w:semiHidden/>
    <w:qFormat/>
    <w:uiPriority w:val="99"/>
    <w:rPr>
      <w:rFonts w:ascii="Times New Roman" w:hAnsi="Times New Roman"/>
      <w:kern w:val="2"/>
      <w:sz w:val="18"/>
      <w:szCs w:val="18"/>
    </w:rPr>
  </w:style>
  <w:style w:type="character" w:customStyle="1" w:styleId="32">
    <w:name w:val="标题 3 字符"/>
    <w:basedOn w:val="15"/>
    <w:link w:val="6"/>
    <w:qFormat/>
    <w:uiPriority w:val="9"/>
    <w:rPr>
      <w:rFonts w:ascii="Times New Roman" w:hAnsi="Times New Roman"/>
      <w:b/>
      <w:bCs/>
      <w:kern w:val="2"/>
      <w:sz w:val="32"/>
      <w:szCs w:val="32"/>
    </w:rPr>
  </w:style>
  <w:style w:type="paragraph" w:customStyle="1" w:styleId="33">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font101"/>
    <w:basedOn w:val="15"/>
    <w:qFormat/>
    <w:uiPriority w:val="0"/>
    <w:rPr>
      <w:rFonts w:ascii="宋体" w:hAnsi="宋体" w:eastAsia="宋体" w:cs="宋体"/>
      <w:color w:val="000000"/>
      <w:sz w:val="18"/>
      <w:szCs w:val="18"/>
      <w:u w:val="none"/>
    </w:rPr>
  </w:style>
  <w:style w:type="character" w:customStyle="1" w:styleId="35">
    <w:name w:val="font5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[工作簿1]Sheet1!$A$5:$A$6</c:f>
              <c:strCache>
                <c:ptCount val="2"/>
                <c:pt idx="0">
                  <c:v>2023年</c:v>
                </c:pt>
                <c:pt idx="1">
                  <c:v>2024年</c:v>
                </c:pt>
              </c:strCache>
            </c:strRef>
          </c:cat>
          <c:val>
            <c:numRef>
              <c:f>[工作簿1]Sheet1!$B$5:$B$6</c:f>
              <c:numCache>
                <c:formatCode>General</c:formatCode>
                <c:ptCount val="2"/>
                <c:pt idx="0">
                  <c:v>78532.76</c:v>
                </c:pt>
                <c:pt idx="1">
                  <c:v>69933.14</c:v>
                </c:pt>
              </c:numCache>
            </c:numRef>
          </c:val>
        </c:ser>
        <c:dLbls>
          <c:showLegendKey val="false"/>
          <c:showVal val="true"/>
          <c:showCatName val="false"/>
          <c:showSerName val="false"/>
          <c:showPercent val="false"/>
          <c:showBubbleSize val="false"/>
        </c:dLbls>
        <c:gapWidth val="219"/>
        <c:overlap val="-27"/>
        <c:axId val="879246394"/>
        <c:axId val="542232454"/>
      </c:barChart>
      <c:catAx>
        <c:axId val="87924639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42232454"/>
        <c:crosses val="autoZero"/>
        <c:auto val="true"/>
        <c:lblAlgn val="ctr"/>
        <c:lblOffset val="100"/>
        <c:noMultiLvlLbl val="false"/>
      </c:catAx>
      <c:valAx>
        <c:axId val="54223245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9246394"/>
        <c:crosses val="autoZero"/>
        <c:crossBetween val="between"/>
      </c:valAx>
      <c:spPr>
        <a:noFill/>
        <a:ln>
          <a:noFill/>
        </a:ln>
        <a:effectLst/>
      </c:spPr>
    </c:plotArea>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manualLayout>
                  <c:x val="0.0811268834314445"/>
                  <c:y val="0.0048530254432627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263428519605467"/>
                  <c:y val="-0.0134472092296684"/>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266720416203445"/>
                  <c:y val="-0.012752836434849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10.2</a:t>
                    </a:r>
                    <a:r>
                      <a:rPr lang="en-US" altLang="zh-CN"/>
                      <a:t>7</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[工作簿1]Sheet1!$A$15:$A$17</c:f>
              <c:strCache>
                <c:ptCount val="3"/>
                <c:pt idx="0">
                  <c:v>一般公共预算财政拨款收入</c:v>
                </c:pt>
                <c:pt idx="1">
                  <c:v>事业收入</c:v>
                </c:pt>
                <c:pt idx="2">
                  <c:v>其他收入</c:v>
                </c:pt>
              </c:strCache>
            </c:strRef>
          </c:cat>
          <c:val>
            <c:numRef>
              <c:f>[工作簿1]Sheet1!$B$15:$B$17</c:f>
              <c:numCache>
                <c:formatCode>General</c:formatCode>
                <c:ptCount val="3"/>
                <c:pt idx="0">
                  <c:v>6822.68</c:v>
                </c:pt>
                <c:pt idx="1">
                  <c:v>51219.71</c:v>
                </c:pt>
                <c:pt idx="2">
                  <c:v>6649.32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0811268834314445"/>
                  <c:y val="0.0048530254432627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961626255024953"/>
                  <c:y val="-0.0252520481795776"/>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[工作簿1]Sheet1!$A$15:$A$16</c:f>
              <c:strCache>
                <c:ptCount val="2"/>
                <c:pt idx="0">
                  <c:v>基本支出</c:v>
                </c:pt>
                <c:pt idx="1">
                  <c:v>项目支出</c:v>
                </c:pt>
              </c:strCache>
            </c:strRef>
          </c:cat>
          <c:val>
            <c:numRef>
              <c:f>[工作簿1]Sheet1!$B$15:$B$16</c:f>
              <c:numCache>
                <c:formatCode>General</c:formatCode>
                <c:ptCount val="2"/>
                <c:pt idx="0">
                  <c:v>52414.08</c:v>
                </c:pt>
                <c:pt idx="1">
                  <c:v>6940.72</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8318281669514"/>
          <c:y val="0.849370626647299"/>
          <c:w val="0.240297778862582"/>
          <c:h val="0.07702825888787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[工作簿1]Sheet1!$A$5:$A$6</c:f>
              <c:strCache>
                <c:ptCount val="2"/>
                <c:pt idx="0">
                  <c:v>2023年</c:v>
                </c:pt>
                <c:pt idx="1">
                  <c:v>2024年</c:v>
                </c:pt>
              </c:strCache>
            </c:strRef>
          </c:cat>
          <c:val>
            <c:numRef>
              <c:f>[工作簿1]Sheet1!$B$5:$B$6</c:f>
              <c:numCache>
                <c:formatCode>General</c:formatCode>
                <c:ptCount val="2"/>
                <c:pt idx="0">
                  <c:v>6359.61</c:v>
                </c:pt>
                <c:pt idx="1">
                  <c:v>7302.44</c:v>
                </c:pt>
              </c:numCache>
            </c:numRef>
          </c:val>
        </c:ser>
        <c:dLbls>
          <c:showLegendKey val="false"/>
          <c:showVal val="true"/>
          <c:showCatName val="false"/>
          <c:showSerName val="false"/>
          <c:showPercent val="false"/>
          <c:showBubbleSize val="false"/>
        </c:dLbls>
        <c:gapWidth val="219"/>
        <c:overlap val="-27"/>
        <c:axId val="879246394"/>
        <c:axId val="542232454"/>
      </c:barChart>
      <c:catAx>
        <c:axId val="87924639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42232454"/>
        <c:crosses val="autoZero"/>
        <c:auto val="true"/>
        <c:lblAlgn val="ctr"/>
        <c:lblOffset val="100"/>
        <c:noMultiLvlLbl val="false"/>
      </c:catAx>
      <c:valAx>
        <c:axId val="54223245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9246394"/>
        <c:crosses val="autoZero"/>
        <c:crossBetween val="between"/>
      </c:valAx>
      <c:spPr>
        <a:noFill/>
        <a:ln>
          <a:noFill/>
        </a:ln>
        <a:effectLst/>
      </c:spPr>
    </c:plotArea>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[工作簿1]Sheet1!$A$5:$A$6</c:f>
              <c:strCache>
                <c:ptCount val="2"/>
                <c:pt idx="0">
                  <c:v>2023年</c:v>
                </c:pt>
                <c:pt idx="1">
                  <c:v>2024年</c:v>
                </c:pt>
              </c:strCache>
            </c:strRef>
          </c:cat>
          <c:val>
            <c:numRef>
              <c:f>[工作簿1]Sheet1!$B$5:$B$6</c:f>
              <c:numCache>
                <c:formatCode>General</c:formatCode>
                <c:ptCount val="2"/>
                <c:pt idx="0">
                  <c:v>5875.86</c:v>
                </c:pt>
                <c:pt idx="1">
                  <c:v>6911.1</c:v>
                </c:pt>
              </c:numCache>
            </c:numRef>
          </c:val>
        </c:ser>
        <c:dLbls>
          <c:showLegendKey val="false"/>
          <c:showVal val="true"/>
          <c:showCatName val="false"/>
          <c:showSerName val="false"/>
          <c:showPercent val="false"/>
          <c:showBubbleSize val="false"/>
        </c:dLbls>
        <c:gapWidth val="219"/>
        <c:overlap val="-27"/>
        <c:axId val="879246394"/>
        <c:axId val="542232454"/>
      </c:barChart>
      <c:catAx>
        <c:axId val="87924639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42232454"/>
        <c:crosses val="autoZero"/>
        <c:auto val="true"/>
        <c:lblAlgn val="ctr"/>
        <c:lblOffset val="100"/>
        <c:noMultiLvlLbl val="false"/>
      </c:catAx>
      <c:valAx>
        <c:axId val="54223245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79246394"/>
        <c:crosses val="autoZero"/>
        <c:crossBetween val="between"/>
      </c:valAx>
      <c:spPr>
        <a:noFill/>
        <a:ln>
          <a:noFill/>
        </a:ln>
        <a:effectLst/>
      </c:spPr>
    </c:plotArea>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1">
                  <a:lumMod val="75000"/>
                </a:schemeClr>
              </a:solidFill>
              <a:ln w="19050">
                <a:solidFill>
                  <a:schemeClr val="lt1"/>
                </a:solidFill>
              </a:ln>
              <a:effectLst/>
            </c:spPr>
          </c:dPt>
          <c:dPt>
            <c:idx val="3"/>
            <c:bubble3D val="false"/>
            <c:spPr>
              <a:solidFill>
                <a:schemeClr val="accent4"/>
              </a:solidFill>
              <a:ln w="19050">
                <a:solidFill>
                  <a:schemeClr val="lt1"/>
                </a:solidFill>
              </a:ln>
              <a:effectLst/>
            </c:spPr>
          </c:dPt>
          <c:dLbls>
            <c:dLbl>
              <c:idx val="0"/>
              <c:layout>
                <c:manualLayout>
                  <c:x val="0.0134077515669278"/>
                  <c:y val="0"/>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246649188019594"/>
                  <c:y val="0"/>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269745999702734"/>
                  <c:y val="-0.0315300290155683"/>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3"/>
              <c:layout>
                <c:manualLayout>
                  <c:x val="-0.202097453757252"/>
                  <c:y val="0.0041413583655439"/>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[工作簿1]Sheet1!$A$15:$A$18</c:f>
              <c:strCache>
                <c:ptCount val="4"/>
                <c:pt idx="0">
                  <c:v>科学技术支出</c:v>
                </c:pt>
                <c:pt idx="1">
                  <c:v>社会保障和就业支出</c:v>
                </c:pt>
                <c:pt idx="2">
                  <c:v>卫生健康支出</c:v>
                </c:pt>
                <c:pt idx="3">
                  <c:v>住房保障支出</c:v>
                </c:pt>
              </c:strCache>
            </c:strRef>
          </c:cat>
          <c:val>
            <c:numRef>
              <c:f>[工作簿1]Sheet1!$B$15:$B$18</c:f>
              <c:numCache>
                <c:formatCode>General</c:formatCode>
                <c:ptCount val="4"/>
                <c:pt idx="0">
                  <c:v>0.56</c:v>
                </c:pt>
                <c:pt idx="1">
                  <c:v>198.52</c:v>
                </c:pt>
                <c:pt idx="2">
                  <c:v>6564.11</c:v>
                </c:pt>
                <c:pt idx="3">
                  <c:v>147.91</c:v>
                </c:pt>
              </c:numCache>
            </c:numRef>
          </c:val>
        </c:ser>
        <c:dLbls>
          <c:showLegendKey val="false"/>
          <c:showVal val="false"/>
          <c:showCatName val="true"/>
          <c:showSerName val="false"/>
          <c:showPercent val="tru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55</Pages>
  <Words>17211</Words>
  <Characters>20595</Characters>
  <Lines>54</Lines>
  <Paragraphs>15</Paragraphs>
  <TotalTime>41</TotalTime>
  <ScaleCrop>false</ScaleCrop>
  <LinksUpToDate>false</LinksUpToDate>
  <CharactersWithSpaces>20729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2024-10-14T19:41:00Z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9B6E3E1903364906A90E5AC6CCFD51D8</vt:lpwstr>
  </property>
</Properties>
</file>