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outlineLvl w:val="9"/>
        <w:rPr>
          <w:rFonts w:ascii="方正小标宋简体" w:hAnsi="宋体" w:eastAsia="方正小标宋简体"/>
          <w:color w:val="auto"/>
          <w:sz w:val="72"/>
          <w:szCs w:val="72"/>
        </w:rPr>
      </w:pPr>
      <w:bookmarkStart w:id="0" w:name="_Toc15306267"/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color w:val="auto"/>
          <w:sz w:val="72"/>
          <w:szCs w:val="72"/>
        </w:rPr>
      </w:pPr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color w:val="auto"/>
          <w:sz w:val="72"/>
          <w:szCs w:val="72"/>
        </w:rPr>
      </w:pPr>
    </w:p>
    <w:p>
      <w:pPr>
        <w:spacing w:line="600" w:lineRule="exact"/>
        <w:jc w:val="center"/>
        <w:outlineLvl w:val="9"/>
        <w:rPr>
          <w:rFonts w:ascii="方正小标宋简体" w:hAnsi="宋体" w:eastAsia="方正小标宋简体"/>
          <w:color w:val="auto"/>
          <w:sz w:val="72"/>
          <w:szCs w:val="72"/>
        </w:rPr>
      </w:pPr>
    </w:p>
    <w:p>
      <w:pPr>
        <w:adjustRightInd w:val="0"/>
        <w:snapToGrid w:val="0"/>
        <w:spacing w:line="360" w:lineRule="auto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72"/>
          <w:szCs w:val="72"/>
        </w:rPr>
      </w:pPr>
      <w:bookmarkStart w:id="1" w:name="_Toc10351"/>
      <w:bookmarkStart w:id="2" w:name="_Toc15396597"/>
      <w:bookmarkStart w:id="3" w:name="_Toc10534"/>
      <w:bookmarkStart w:id="4" w:name="_Toc15396475"/>
      <w:bookmarkStart w:id="5" w:name="_Toc16677"/>
      <w:bookmarkStart w:id="6" w:name="_Toc15378441"/>
      <w:bookmarkStart w:id="7" w:name="_Toc15377193"/>
      <w:bookmarkStart w:id="8" w:name="_Toc20885"/>
      <w:bookmarkStart w:id="9" w:name="_Toc15377425"/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</w:rPr>
        <w:t>202</w:t>
      </w:r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</w:rPr>
        <w:t>年度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adjustRightInd w:val="0"/>
        <w:snapToGrid w:val="0"/>
        <w:spacing w:line="360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lang w:eastAsia="zh-CN"/>
        </w:rPr>
      </w:pPr>
      <w:bookmarkStart w:id="10" w:name="_Toc25055"/>
      <w:bookmarkStart w:id="11" w:name="_Toc24395"/>
      <w:bookmarkStart w:id="12" w:name="_Toc3350"/>
      <w:bookmarkStart w:id="13" w:name="_Toc20301"/>
      <w:bookmarkStart w:id="14" w:name="_Toc15377194"/>
      <w:bookmarkStart w:id="15" w:name="_Toc15396598"/>
      <w:bookmarkStart w:id="16" w:name="_Toc15378442"/>
      <w:bookmarkStart w:id="17" w:name="_Toc15377426"/>
      <w:bookmarkStart w:id="18" w:name="_Toc15396476"/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</w:rPr>
        <w:t>广元市</w:t>
      </w:r>
      <w:bookmarkEnd w:id="0"/>
      <w:bookmarkStart w:id="19" w:name="_Toc15306268"/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  <w:lang w:eastAsia="zh-CN"/>
        </w:rPr>
        <w:t>粮油质量监测站</w:t>
      </w:r>
      <w:bookmarkEnd w:id="10"/>
      <w:bookmarkEnd w:id="11"/>
      <w:bookmarkEnd w:id="12"/>
      <w:bookmarkEnd w:id="13"/>
    </w:p>
    <w:p>
      <w:pPr>
        <w:adjustRightInd w:val="0"/>
        <w:snapToGrid w:val="0"/>
        <w:spacing w:line="360" w:lineRule="auto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72"/>
          <w:szCs w:val="72"/>
        </w:rPr>
      </w:pPr>
      <w:bookmarkStart w:id="20" w:name="_Toc23333"/>
      <w:bookmarkStart w:id="21" w:name="_Toc2111"/>
      <w:bookmarkStart w:id="22" w:name="_Toc18952"/>
      <w:bookmarkStart w:id="23" w:name="_Toc23982"/>
      <w:r>
        <w:rPr>
          <w:rFonts w:hint="eastAsia" w:ascii="方正小标宋简体" w:hAnsi="方正小标宋简体" w:eastAsia="方正小标宋简体" w:cs="方正小标宋简体"/>
          <w:color w:val="auto"/>
          <w:sz w:val="72"/>
          <w:szCs w:val="72"/>
        </w:rPr>
        <w:t>单位决算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方正小标宋简体" w:hAnsi="黑体" w:eastAsia="方正小标宋简体"/>
          <w:color w:val="auto"/>
          <w:sz w:val="44"/>
          <w:szCs w:val="44"/>
        </w:rPr>
      </w:pPr>
      <w:r>
        <w:rPr>
          <w:rFonts w:ascii="方正小标宋简体" w:hAnsi="宋体" w:eastAsia="方正小标宋简体"/>
          <w:color w:val="auto"/>
          <w:sz w:val="36"/>
          <w:szCs w:val="36"/>
        </w:rPr>
        <w:br w:type="page"/>
      </w:r>
      <w:bookmarkStart w:id="24" w:name="_Toc162"/>
      <w:r>
        <w:rPr>
          <w:rFonts w:hint="eastAsia" w:ascii="方正小标宋简体" w:hAnsi="黑体" w:eastAsia="方正小标宋简体"/>
          <w:color w:val="auto"/>
          <w:sz w:val="44"/>
          <w:szCs w:val="44"/>
        </w:rPr>
        <w:t>目      录</w:t>
      </w:r>
      <w:bookmarkEnd w:id="24"/>
    </w:p>
    <w:p>
      <w:pPr>
        <w:jc w:val="center"/>
        <w:rPr>
          <w:rFonts w:hint="eastAsia"/>
          <w:color w:val="auto"/>
        </w:rPr>
      </w:pPr>
    </w:p>
    <w:p>
      <w:pPr>
        <w:pStyle w:val="16"/>
        <w:jc w:val="center"/>
        <w:rPr>
          <w:color w:val="auto"/>
        </w:rPr>
      </w:pPr>
      <w:r>
        <w:rPr>
          <w:rFonts w:hint="eastAsia"/>
          <w:color w:val="auto"/>
          <w:lang w:val="en-US" w:eastAsia="zh-CN"/>
        </w:rPr>
        <w:t>（公开时间：2024年10月12日）</w:t>
      </w:r>
    </w:p>
    <w:sdt>
      <w:sdtPr>
        <w:rPr>
          <w:rFonts w:ascii="宋体" w:hAnsi="宋体" w:eastAsia="宋体" w:cs="Times New Roman"/>
          <w:color w:val="auto"/>
          <w:kern w:val="2"/>
          <w:sz w:val="21"/>
          <w:szCs w:val="24"/>
          <w:lang w:val="en-US" w:eastAsia="zh-CN" w:bidi="ar-SA"/>
        </w:rPr>
        <w:id w:val="147476328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Times New Roman"/>
          <w:color w:val="auto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color w:val="auto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TOC \o "1-3" \h \u </w:instrText>
          </w:r>
          <w:r>
            <w:rPr>
              <w:color w:val="auto"/>
            </w:rPr>
            <w:fldChar w:fldCharType="separate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_Toc25435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第一部分 单位概况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_Toc25435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4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_Toc10649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  <w:lang w:eastAsia="zh-CN"/>
            </w:rPr>
            <w:t>一、主要职责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_Toc10649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4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_Toc5257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二、</w:t>
          </w:r>
          <w:r>
            <w:rPr>
              <w:rFonts w:hint="eastAsia"/>
              <w:color w:val="auto"/>
              <w:lang w:eastAsia="zh-CN"/>
            </w:rPr>
            <w:t>机构设置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_Toc5257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_Toc16549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第二部分 202</w:t>
          </w:r>
          <w:r>
            <w:rPr>
              <w:rFonts w:hint="eastAsia"/>
              <w:color w:val="auto"/>
              <w:lang w:val="en-US" w:eastAsia="zh-CN"/>
            </w:rPr>
            <w:t>3</w:t>
          </w:r>
          <w:r>
            <w:rPr>
              <w:rFonts w:hint="eastAsia"/>
              <w:color w:val="auto"/>
            </w:rPr>
            <w:t>年度单位决算情况说明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_Toc16549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6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_Toc22833 </w:instrText>
          </w:r>
          <w:r>
            <w:rPr>
              <w:color w:val="auto"/>
            </w:rPr>
            <w:fldChar w:fldCharType="separate"/>
          </w:r>
          <w:r>
            <w:rPr>
              <w:rFonts w:hint="default"/>
              <w:color w:val="auto"/>
            </w:rPr>
            <w:t xml:space="preserve">一、 </w:t>
          </w:r>
          <w:r>
            <w:rPr>
              <w:rFonts w:hint="eastAsia"/>
              <w:color w:val="auto"/>
            </w:rPr>
            <w:t>收入支出决算总体情况说明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_Toc22833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6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_Toc5447 </w:instrText>
          </w:r>
          <w:r>
            <w:rPr>
              <w:color w:val="auto"/>
            </w:rPr>
            <w:fldChar w:fldCharType="separate"/>
          </w:r>
          <w:r>
            <w:rPr>
              <w:rFonts w:hint="default"/>
              <w:color w:val="auto"/>
            </w:rPr>
            <w:t xml:space="preserve">二、 </w:t>
          </w:r>
          <w:r>
            <w:rPr>
              <w:rFonts w:hint="eastAsia"/>
              <w:color w:val="auto"/>
            </w:rPr>
            <w:t>收入决算情况说明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_Toc5447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6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_Toc10269 </w:instrText>
          </w:r>
          <w:r>
            <w:rPr>
              <w:color w:val="auto"/>
            </w:rPr>
            <w:fldChar w:fldCharType="separate"/>
          </w:r>
          <w:r>
            <w:rPr>
              <w:rFonts w:hint="default"/>
              <w:color w:val="auto"/>
            </w:rPr>
            <w:t xml:space="preserve">三、 </w:t>
          </w:r>
          <w:r>
            <w:rPr>
              <w:rFonts w:hint="eastAsia"/>
              <w:color w:val="auto"/>
            </w:rPr>
            <w:t>支出决算情况说明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_Toc10269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7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_Toc13028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四、财政拨款收入支出决算总体情况说明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_Toc13028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7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_Toc17049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五、一般公共预算财政拨款支出决算情况说明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_Toc17049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8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_Toc774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六、一般公共预算财政拨款基本支出决算情况说明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_Toc774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10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_Toc9738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七、“三公”经费财政拨款支出决算情况说明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_Toc9738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11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_Toc3122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八、政府性基金预算支出决算情况说明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_Toc3122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_Toc15010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九、 国有资本经营预算支出决算情况说明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_Toc15010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_Toc21271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十、 其他重要事项的情况说明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_Toc21271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_Toc17789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第三部分 名词解释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_Toc17789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14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_Toc13567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第四部分 附件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_Toc13567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16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_Toc30229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第五部分 附表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_Toc30229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16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_Toc22831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一、收入支出决算总表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_Toc22831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_Toc16371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二、收入决算表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_Toc16371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_Toc19104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三、支出决算表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_Toc19104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_Toc24604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四、财政拨款收入支出决算总表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_Toc24604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_Toc26576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五、财政拨款支出决算明细表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_Toc26576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_Toc32297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六、一般公共预算财政拨款支出决算表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_Toc32297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_Toc24814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七、一般公共预算财政拨款支出决算明细表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_Toc24814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_Toc31907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八、一般公共预算财政拨款基本支出决算表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_Toc31907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_Toc32039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九、一般公共预算财政拨款项目支出决算表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_Toc32039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_Toc24993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十、政府性基金预算财政拨款收入支出决算表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_Toc24993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_Toc8018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十一、国有资本经营预算</w:t>
          </w:r>
          <w:r>
            <w:rPr>
              <w:rFonts w:hint="eastAsia"/>
              <w:color w:val="auto"/>
              <w:lang w:eastAsia="zh-CN"/>
            </w:rPr>
            <w:t>财政拨款收入</w:t>
          </w:r>
          <w:r>
            <w:rPr>
              <w:rFonts w:hint="eastAsia"/>
              <w:color w:val="auto"/>
            </w:rPr>
            <w:t>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_Toc8018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_Toc3409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十二、</w:t>
          </w:r>
          <w:r>
            <w:rPr>
              <w:rFonts w:hint="eastAsia"/>
              <w:color w:val="auto"/>
              <w:lang w:eastAsia="zh-CN"/>
            </w:rPr>
            <w:t>国有资本经营预算财政拨款支出决算表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_Toc3409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rFonts w:hint="eastAsia"/>
              <w:color w:val="auto"/>
              <w:lang w:val="en-US" w:eastAsia="zh-CN"/>
            </w:rPr>
            <w:t xml:space="preserve">    </w:t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HYPERLINK \l _Toc21710 </w:instrText>
          </w:r>
          <w:r>
            <w:rPr>
              <w:color w:val="auto"/>
            </w:rPr>
            <w:fldChar w:fldCharType="separate"/>
          </w:r>
          <w:r>
            <w:rPr>
              <w:rFonts w:hint="eastAsia"/>
              <w:color w:val="auto"/>
            </w:rPr>
            <w:t>十三、</w:t>
          </w:r>
          <w:r>
            <w:rPr>
              <w:rFonts w:hint="eastAsia"/>
              <w:color w:val="auto"/>
              <w:lang w:eastAsia="zh-CN"/>
            </w:rPr>
            <w:t>财政拨款“三公”经费支出决算表</w:t>
          </w:r>
          <w:r>
            <w:rPr>
              <w:color w:val="auto"/>
            </w:rPr>
            <w:tab/>
          </w:r>
          <w:r>
            <w:rPr>
              <w:color w:val="auto"/>
            </w:rPr>
            <w:fldChar w:fldCharType="begin"/>
          </w:r>
          <w:r>
            <w:rPr>
              <w:color w:val="auto"/>
            </w:rPr>
            <w:instrText xml:space="preserve"> PAGEREF _Toc21710 \h </w:instrText>
          </w:r>
          <w:r>
            <w:rPr>
              <w:color w:val="auto"/>
            </w:rPr>
            <w:fldChar w:fldCharType="separate"/>
          </w:r>
          <w:r>
            <w:rPr>
              <w:color w:val="auto"/>
            </w:rPr>
            <w:t>52</w:t>
          </w:r>
          <w:r>
            <w:rPr>
              <w:color w:val="auto"/>
            </w:rPr>
            <w:fldChar w:fldCharType="end"/>
          </w:r>
          <w:r>
            <w:rPr>
              <w:color w:val="auto"/>
            </w:rPr>
            <w:fldChar w:fldCharType="end"/>
          </w:r>
        </w:p>
        <w:p>
          <w:pPr>
            <w:pStyle w:val="15"/>
            <w:tabs>
              <w:tab w:val="right" w:leader="dot" w:pos="8306"/>
              <w:tab w:val="clear" w:pos="8296"/>
            </w:tabs>
            <w:rPr>
              <w:color w:val="auto"/>
            </w:rPr>
          </w:pPr>
          <w:r>
            <w:rPr>
              <w:color w:val="auto"/>
            </w:rPr>
            <w:fldChar w:fldCharType="end"/>
          </w:r>
        </w:p>
      </w:sdtContent>
    </w:sdt>
    <w:p>
      <w:pPr>
        <w:pStyle w:val="15"/>
        <w:tabs>
          <w:tab w:val="right" w:leader="dot" w:pos="8306"/>
          <w:tab w:val="clear" w:pos="8296"/>
        </w:tabs>
        <w:rPr>
          <w:color w:val="auto"/>
        </w:rPr>
      </w:pPr>
    </w:p>
    <w:p>
      <w:pPr>
        <w:widowControl/>
        <w:spacing w:line="440" w:lineRule="exact"/>
        <w:jc w:val="left"/>
        <w:rPr>
          <w:rFonts w:ascii="仿宋" w:hAnsi="仿宋" w:eastAsia="仿宋"/>
          <w:bCs/>
          <w:color w:val="auto"/>
          <w:kern w:val="44"/>
          <w:sz w:val="24"/>
        </w:rPr>
      </w:pPr>
      <w:bookmarkStart w:id="25" w:name="_Toc15396599"/>
      <w:bookmarkStart w:id="26" w:name="_Toc15377196"/>
      <w:r>
        <w:rPr>
          <w:rFonts w:ascii="仿宋" w:hAnsi="仿宋" w:eastAsia="仿宋"/>
          <w:b/>
          <w:color w:val="auto"/>
          <w:sz w:val="24"/>
        </w:rPr>
        <w:br w:type="page"/>
      </w:r>
    </w:p>
    <w:p>
      <w:pPr>
        <w:pStyle w:val="3"/>
        <w:jc w:val="center"/>
        <w:rPr>
          <w:rFonts w:ascii="黑体" w:eastAsia="黑体"/>
          <w:color w:val="auto"/>
          <w:sz w:val="32"/>
          <w:szCs w:val="32"/>
        </w:rPr>
      </w:pPr>
      <w:bookmarkStart w:id="27" w:name="_Toc25435"/>
      <w:bookmarkStart w:id="28" w:name="_Toc29879"/>
      <w:r>
        <w:rPr>
          <w:rFonts w:hint="eastAsia" w:ascii="黑体" w:hAnsi="黑体" w:eastAsia="黑体"/>
          <w:b w:val="0"/>
          <w:color w:val="auto"/>
        </w:rPr>
        <w:t>第一部分 单位</w:t>
      </w:r>
      <w:r>
        <w:rPr>
          <w:rStyle w:val="23"/>
          <w:rFonts w:hint="eastAsia" w:ascii="黑体" w:hAnsi="黑体" w:eastAsia="黑体"/>
          <w:b w:val="0"/>
          <w:bCs w:val="0"/>
          <w:color w:val="auto"/>
        </w:rPr>
        <w:t>概况</w:t>
      </w:r>
      <w:bookmarkEnd w:id="25"/>
      <w:bookmarkEnd w:id="26"/>
      <w:bookmarkEnd w:id="27"/>
      <w:bookmarkEnd w:id="28"/>
    </w:p>
    <w:p>
      <w:pPr>
        <w:pStyle w:val="2"/>
        <w:adjustRightInd w:val="0"/>
        <w:snapToGrid w:val="0"/>
        <w:spacing w:beforeLines="0" w:line="576" w:lineRule="exact"/>
        <w:ind w:firstLine="640" w:firstLineChars="200"/>
        <w:outlineLvl w:val="1"/>
        <w:rPr>
          <w:rStyle w:val="24"/>
          <w:rFonts w:hint="eastAsia" w:ascii="黑体" w:hAnsi="黑体" w:eastAsia="黑体"/>
          <w:b w:val="0"/>
          <w:bCs w:val="0"/>
          <w:color w:val="auto"/>
        </w:rPr>
      </w:pPr>
      <w:bookmarkStart w:id="29" w:name="_Toc10649"/>
      <w:bookmarkStart w:id="30" w:name="_Toc31678"/>
      <w:bookmarkStart w:id="31" w:name="_Toc15396600"/>
      <w:bookmarkStart w:id="32" w:name="_Toc15377197"/>
      <w:r>
        <w:rPr>
          <w:rStyle w:val="24"/>
          <w:rFonts w:hint="eastAsia" w:ascii="黑体" w:hAnsi="黑体" w:eastAsia="黑体"/>
          <w:b w:val="0"/>
          <w:bCs w:val="0"/>
          <w:color w:val="auto"/>
          <w:lang w:eastAsia="zh-CN"/>
        </w:rPr>
        <w:t>一、主要职责</w:t>
      </w:r>
      <w:bookmarkEnd w:id="29"/>
    </w:p>
    <w:bookmarkEnd w:id="30"/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auto"/>
          <w:sz w:val="32"/>
          <w:szCs w:val="32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（一）</w:t>
      </w:r>
      <w:r>
        <w:rPr>
          <w:rFonts w:hint="eastAsia" w:hAnsi="仿宋" w:cs="Times New Roman"/>
          <w:bCs/>
          <w:color w:val="auto"/>
          <w:sz w:val="32"/>
          <w:szCs w:val="32"/>
        </w:rPr>
        <w:t>承担市级粮食行政管理部门下达的储备粮、军粮、最低收购价粮食等政策性粮食的质量安全检测工作；</w:t>
      </w:r>
    </w:p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auto"/>
          <w:sz w:val="32"/>
          <w:szCs w:val="32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（二）</w:t>
      </w:r>
      <w:r>
        <w:rPr>
          <w:rFonts w:hint="eastAsia" w:hAnsi="仿宋" w:cs="Times New Roman"/>
          <w:bCs/>
          <w:color w:val="auto"/>
          <w:sz w:val="32"/>
          <w:szCs w:val="32"/>
        </w:rPr>
        <w:t>承担粮食质量安全监测预警体系建设和快速反应机制研究；负责组织全市粮食质量安全突发事件应急检验工作；</w:t>
      </w:r>
    </w:p>
    <w:p>
      <w:pPr>
        <w:pStyle w:val="2"/>
        <w:adjustRightInd w:val="0"/>
        <w:snapToGrid w:val="0"/>
        <w:spacing w:beforeLines="0" w:line="576" w:lineRule="exact"/>
        <w:ind w:firstLine="640" w:firstLineChars="200"/>
        <w:outlineLvl w:val="2"/>
        <w:rPr>
          <w:rFonts w:hint="eastAsia" w:hAnsi="仿宋" w:cs="Times New Roman"/>
          <w:bCs/>
          <w:color w:val="auto"/>
          <w:sz w:val="32"/>
          <w:szCs w:val="32"/>
        </w:rPr>
      </w:pPr>
      <w:bookmarkStart w:id="33" w:name="_Toc21507"/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hAnsi="仿宋" w:cs="Times New Roman"/>
          <w:bCs/>
          <w:color w:val="auto"/>
          <w:sz w:val="32"/>
          <w:szCs w:val="32"/>
        </w:rPr>
        <w:t>组织开展全市粮食质量安全调查、品质测报会检工作；</w:t>
      </w:r>
      <w:bookmarkEnd w:id="33"/>
    </w:p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auto"/>
          <w:sz w:val="32"/>
          <w:szCs w:val="32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（四）</w:t>
      </w:r>
      <w:r>
        <w:rPr>
          <w:rFonts w:hint="eastAsia" w:hAnsi="仿宋" w:cs="Times New Roman"/>
          <w:bCs/>
          <w:color w:val="auto"/>
          <w:sz w:val="32"/>
          <w:szCs w:val="32"/>
        </w:rPr>
        <w:t>组织全市粮食质量检验机构检验人员能力培训；组织开展全市粮食质检机构的比对考核、职能技术培训等工作；</w:t>
      </w:r>
    </w:p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auto"/>
          <w:sz w:val="32"/>
          <w:szCs w:val="32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（五）</w:t>
      </w:r>
      <w:r>
        <w:rPr>
          <w:rFonts w:hint="eastAsia" w:hAnsi="仿宋" w:cs="Times New Roman"/>
          <w:bCs/>
          <w:color w:val="auto"/>
          <w:sz w:val="32"/>
          <w:szCs w:val="32"/>
        </w:rPr>
        <w:t>负责全市粮食行业质量安全风险监测计划及方案的实施；</w:t>
      </w:r>
    </w:p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auto"/>
          <w:sz w:val="32"/>
          <w:szCs w:val="32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（六）</w:t>
      </w:r>
      <w:r>
        <w:rPr>
          <w:rFonts w:hint="eastAsia" w:hAnsi="仿宋" w:cs="Times New Roman"/>
          <w:bCs/>
          <w:color w:val="auto"/>
          <w:sz w:val="32"/>
          <w:szCs w:val="32"/>
        </w:rPr>
        <w:t>负责全市粮食质量监测机构检验检测能力建设的技术指导；</w:t>
      </w:r>
    </w:p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auto"/>
          <w:sz w:val="32"/>
          <w:szCs w:val="32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（七）</w:t>
      </w:r>
      <w:r>
        <w:rPr>
          <w:rFonts w:hint="eastAsia" w:hAnsi="仿宋" w:cs="Times New Roman"/>
          <w:bCs/>
          <w:color w:val="auto"/>
          <w:sz w:val="32"/>
          <w:szCs w:val="32"/>
        </w:rPr>
        <w:t>负责国家、行业标准的宣传贯彻工作;</w:t>
      </w:r>
    </w:p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Fonts w:hint="eastAsia" w:hAnsi="仿宋" w:cs="Times New Roman"/>
          <w:bCs/>
          <w:color w:val="auto"/>
          <w:sz w:val="32"/>
          <w:szCs w:val="32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（八）</w:t>
      </w:r>
      <w:r>
        <w:rPr>
          <w:rFonts w:hint="eastAsia" w:hAnsi="仿宋" w:cs="Times New Roman"/>
          <w:bCs/>
          <w:color w:val="auto"/>
          <w:sz w:val="32"/>
          <w:szCs w:val="32"/>
        </w:rPr>
        <w:t>具备检验各种粮食质量指标、品质指标和安全指标的能力及具备一定的科研能力。</w:t>
      </w:r>
    </w:p>
    <w:p>
      <w:pPr>
        <w:pStyle w:val="2"/>
        <w:adjustRightInd w:val="0"/>
        <w:snapToGrid w:val="0"/>
        <w:spacing w:beforeLines="0" w:line="576" w:lineRule="exact"/>
        <w:ind w:firstLine="640" w:firstLineChars="200"/>
        <w:rPr>
          <w:rStyle w:val="24"/>
          <w:rFonts w:ascii="黑体" w:hAnsi="黑体" w:eastAsia="黑体"/>
          <w:b w:val="0"/>
          <w:bCs w:val="0"/>
          <w:color w:val="auto"/>
        </w:rPr>
      </w:pPr>
      <w:r>
        <w:rPr>
          <w:rFonts w:hint="eastAsia" w:hAnsi="仿宋" w:cs="Times New Roman"/>
          <w:bCs/>
          <w:color w:val="auto"/>
          <w:sz w:val="32"/>
          <w:szCs w:val="32"/>
          <w:lang w:eastAsia="zh-CN"/>
        </w:rPr>
        <w:t>（九）</w:t>
      </w:r>
      <w:r>
        <w:rPr>
          <w:rFonts w:hint="eastAsia" w:hAnsi="仿宋" w:cs="Times New Roman"/>
          <w:bCs/>
          <w:color w:val="auto"/>
          <w:sz w:val="32"/>
          <w:szCs w:val="32"/>
        </w:rPr>
        <w:t>承办国家粮食和物资储备局、省粮食和物资储备局交办的其它工作。</w:t>
      </w:r>
    </w:p>
    <w:p>
      <w:pPr>
        <w:rPr>
          <w:color w:val="auto"/>
        </w:rPr>
      </w:pPr>
    </w:p>
    <w:bookmarkEnd w:id="31"/>
    <w:bookmarkEnd w:id="32"/>
    <w:p>
      <w:pPr>
        <w:pStyle w:val="4"/>
        <w:rPr>
          <w:rFonts w:hint="eastAsia" w:ascii="黑体" w:hAnsi="黑体" w:eastAsia="黑体"/>
          <w:b w:val="0"/>
          <w:color w:val="auto"/>
          <w:lang w:eastAsia="zh-CN"/>
        </w:rPr>
      </w:pPr>
      <w:bookmarkStart w:id="34" w:name="_Toc5257"/>
      <w:bookmarkStart w:id="35" w:name="_Toc13439"/>
      <w:r>
        <w:rPr>
          <w:rFonts w:hint="eastAsia" w:ascii="黑体" w:hAnsi="黑体" w:eastAsia="黑体"/>
          <w:b w:val="0"/>
          <w:color w:val="auto"/>
        </w:rPr>
        <w:t>二、</w:t>
      </w:r>
      <w:r>
        <w:rPr>
          <w:rFonts w:hint="eastAsia" w:ascii="黑体" w:hAnsi="黑体" w:eastAsia="黑体"/>
          <w:b w:val="0"/>
          <w:color w:val="auto"/>
          <w:lang w:eastAsia="zh-CN"/>
        </w:rPr>
        <w:t>机构设置</w:t>
      </w:r>
      <w:bookmarkEnd w:id="34"/>
      <w:bookmarkEnd w:id="35"/>
    </w:p>
    <w:p>
      <w:pPr>
        <w:pStyle w:val="4"/>
        <w:ind w:firstLine="640" w:firstLineChars="200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bookmarkStart w:id="36" w:name="_Toc11804"/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广元市粮油质量监测站(（元市救灾物资管理中心）属于广元市发展和改革委员会下属二级预算单位，下设独立预算机构0个，其中行政单位0个，其他事业单位0个。纳入2023年度单位决算编制范围的独立编制机构：1.广元市粮油质量监测站</w:t>
      </w:r>
      <w:bookmarkEnd w:id="36"/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（广元市救灾物资管理中心）</w:t>
      </w:r>
    </w:p>
    <w:p>
      <w:pPr>
        <w:pStyle w:val="3"/>
        <w:ind w:right="440"/>
        <w:jc w:val="both"/>
        <w:outlineLvl w:val="9"/>
        <w:rPr>
          <w:rFonts w:hint="eastAsia" w:ascii="黑体" w:hAnsi="黑体" w:eastAsia="黑体"/>
          <w:b w:val="0"/>
          <w:color w:val="auto"/>
        </w:rPr>
      </w:pPr>
      <w:bookmarkStart w:id="37" w:name="_Toc15396602"/>
      <w:bookmarkStart w:id="38" w:name="_Toc15377204"/>
    </w:p>
    <w:p>
      <w:pPr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2"/>
        <w:rPr>
          <w:rFonts w:hint="eastAsia" w:ascii="黑体" w:hAnsi="黑体" w:eastAsia="黑体"/>
          <w:b w:val="0"/>
          <w:color w:val="auto"/>
        </w:rPr>
      </w:pPr>
    </w:p>
    <w:p>
      <w:pPr>
        <w:pStyle w:val="3"/>
        <w:ind w:right="440"/>
        <w:jc w:val="center"/>
        <w:rPr>
          <w:rStyle w:val="23"/>
          <w:rFonts w:ascii="黑体" w:hAnsi="黑体" w:eastAsia="黑体"/>
          <w:b w:val="0"/>
          <w:bCs/>
          <w:color w:val="auto"/>
        </w:rPr>
      </w:pPr>
      <w:bookmarkStart w:id="39" w:name="_Toc27976"/>
      <w:bookmarkStart w:id="40" w:name="_Toc16549"/>
      <w:r>
        <w:rPr>
          <w:rFonts w:hint="eastAsia" w:ascii="黑体" w:hAnsi="黑体" w:eastAsia="黑体"/>
          <w:b w:val="0"/>
          <w:color w:val="auto"/>
        </w:rPr>
        <w:t>第二部分 202</w:t>
      </w:r>
      <w:r>
        <w:rPr>
          <w:rFonts w:hint="eastAsia" w:ascii="黑体" w:hAnsi="黑体" w:eastAsia="黑体"/>
          <w:b w:val="0"/>
          <w:color w:val="auto"/>
          <w:lang w:val="en-US" w:eastAsia="zh-CN"/>
        </w:rPr>
        <w:t>3</w:t>
      </w:r>
      <w:r>
        <w:rPr>
          <w:rFonts w:hint="eastAsia" w:ascii="黑体" w:hAnsi="黑体" w:eastAsia="黑体"/>
          <w:b w:val="0"/>
          <w:color w:val="auto"/>
        </w:rPr>
        <w:t>年度</w:t>
      </w:r>
      <w:r>
        <w:rPr>
          <w:rStyle w:val="23"/>
          <w:rFonts w:hint="eastAsia" w:ascii="黑体" w:hAnsi="黑体" w:eastAsia="黑体"/>
          <w:b w:val="0"/>
          <w:bCs/>
          <w:color w:val="auto"/>
        </w:rPr>
        <w:t>单位决算情况说明</w:t>
      </w:r>
      <w:bookmarkEnd w:id="37"/>
      <w:bookmarkEnd w:id="38"/>
      <w:bookmarkEnd w:id="39"/>
      <w:bookmarkEnd w:id="40"/>
    </w:p>
    <w:p>
      <w:pPr>
        <w:rPr>
          <w:color w:val="auto"/>
        </w:rPr>
      </w:pPr>
    </w:p>
    <w:p>
      <w:pPr>
        <w:pStyle w:val="33"/>
        <w:numPr>
          <w:ilvl w:val="0"/>
          <w:numId w:val="1"/>
        </w:numPr>
        <w:spacing w:line="600" w:lineRule="exact"/>
        <w:ind w:firstLineChars="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41" w:name="_Toc27584"/>
      <w:bookmarkStart w:id="42" w:name="_Toc22833"/>
      <w:bookmarkStart w:id="43" w:name="_Toc15396603"/>
      <w:bookmarkStart w:id="44" w:name="_Toc15377205"/>
      <w:r>
        <w:rPr>
          <w:rFonts w:hint="eastAsia" w:ascii="黑体" w:hAnsi="黑体" w:eastAsia="黑体"/>
          <w:color w:val="auto"/>
          <w:sz w:val="32"/>
          <w:szCs w:val="32"/>
        </w:rPr>
        <w:t>收</w:t>
      </w:r>
      <w:r>
        <w:rPr>
          <w:rStyle w:val="24"/>
          <w:rFonts w:hint="eastAsia" w:ascii="黑体" w:hAnsi="黑体" w:eastAsia="黑体"/>
          <w:b w:val="0"/>
          <w:color w:val="auto"/>
        </w:rPr>
        <w:t>入支出决算总体情况说明</w:t>
      </w:r>
      <w:bookmarkEnd w:id="41"/>
      <w:bookmarkEnd w:id="42"/>
      <w:bookmarkEnd w:id="43"/>
      <w:bookmarkEnd w:id="44"/>
    </w:p>
    <w:p>
      <w:pPr>
        <w:spacing w:line="60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年度收、支总计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617.06</w:t>
      </w:r>
      <w:r>
        <w:rPr>
          <w:rFonts w:hint="eastAsia" w:ascii="仿宋" w:hAnsi="仿宋" w:eastAsia="仿宋"/>
          <w:color w:val="auto"/>
          <w:sz w:val="32"/>
          <w:szCs w:val="32"/>
        </w:rPr>
        <w:t>万元。与202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年相比，收、支总计各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283.70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31.49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。主要变动原因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一是</w:t>
      </w:r>
      <w:r>
        <w:rPr>
          <w:rFonts w:hint="eastAsia" w:ascii="仿宋_GB2312" w:hAnsi="仿宋" w:eastAsia="仿宋_GB2312"/>
          <w:b w:val="0"/>
          <w:bCs/>
          <w:color w:val="auto"/>
          <w:sz w:val="32"/>
          <w:szCs w:val="32"/>
          <w:lang w:eastAsia="zh-CN"/>
        </w:rPr>
        <w:t>当年人员经费减少；</w:t>
      </w:r>
      <w:r>
        <w:rPr>
          <w:rFonts w:hint="eastAsia" w:ascii="仿宋_GB2312" w:hAnsi="仿宋" w:eastAsia="仿宋_GB2312"/>
          <w:b/>
          <w:bCs w:val="0"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/>
          <w:b/>
          <w:bCs w:val="0"/>
          <w:color w:val="auto"/>
          <w:sz w:val="32"/>
          <w:szCs w:val="32"/>
          <w:highlight w:val="none"/>
        </w:rPr>
        <w:t>是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项目工作经费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减少。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pict>
          <v:shape id="Object 2" o:spid="_x0000_s1026" o:spt="75" type="#_x0000_t75" style="position:absolute;left:0pt;margin-left:42.1pt;margin-top:17.5pt;height:163.75pt;width:337.8pt;z-index:251659264;mso-width-relative:page;mso-height-relative:page;" o:ole="t" fillcolor="#FFFFFF" filled="t" o:preferrelative="t" stroked="f" coordsize="21600,21600">
            <v:path/>
            <v:fill on="t" color2="#FFFFFF" focussize="0,0"/>
            <v:stroke on="f"/>
            <v:imagedata r:id="rId7" o:title=""/>
            <o:lock v:ext="edit" aspectratio="f"/>
          </v:shape>
          <o:OLEObject Type="Embed" ProgID="Excel.Chart.8" ShapeID="Object 2" DrawAspect="Content" ObjectID="_1468075725" r:id="rId6">
            <o:LockedField>false</o:LockedField>
          </o:OLEObject>
        </w:pic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pStyle w:val="37"/>
        <w:spacing w:line="600" w:lineRule="exact"/>
        <w:ind w:left="640" w:firstLine="0" w:firstLineChars="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Style w:val="24"/>
          <w:rFonts w:ascii="黑体" w:hAnsi="黑体" w:eastAsia="黑体"/>
          <w:b w:val="0"/>
          <w:color w:val="auto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ab/>
      </w:r>
    </w:p>
    <w:p>
      <w:pPr>
        <w:spacing w:line="600" w:lineRule="exact"/>
        <w:ind w:firstLine="640" w:firstLineChars="200"/>
        <w:jc w:val="center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（图</w:t>
      </w:r>
      <w:r>
        <w:rPr>
          <w:rFonts w:ascii="仿宋" w:hAnsi="仿宋" w:eastAsia="仿宋"/>
          <w:color w:val="auto"/>
          <w:sz w:val="32"/>
          <w:szCs w:val="32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：收、支决算总计变动情况图）</w:t>
      </w:r>
    </w:p>
    <w:p>
      <w:pPr>
        <w:pStyle w:val="33"/>
        <w:numPr>
          <w:ilvl w:val="0"/>
          <w:numId w:val="1"/>
        </w:numPr>
        <w:spacing w:line="600" w:lineRule="exact"/>
        <w:ind w:firstLineChars="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45" w:name="_Toc15396604"/>
      <w:bookmarkStart w:id="46" w:name="_Toc15377206"/>
      <w:bookmarkStart w:id="47" w:name="_Toc5447"/>
      <w:bookmarkStart w:id="48" w:name="_Toc16384"/>
      <w:r>
        <w:rPr>
          <w:rFonts w:hint="eastAsia" w:ascii="黑体" w:hAnsi="黑体" w:eastAsia="黑体"/>
          <w:color w:val="auto"/>
          <w:sz w:val="32"/>
          <w:szCs w:val="32"/>
        </w:rPr>
        <w:t>收</w:t>
      </w:r>
      <w:r>
        <w:rPr>
          <w:rStyle w:val="24"/>
          <w:rFonts w:hint="eastAsia" w:ascii="黑体" w:hAnsi="黑体" w:eastAsia="黑体"/>
          <w:b w:val="0"/>
          <w:color w:val="auto"/>
        </w:rPr>
        <w:t>入决算情况说明</w:t>
      </w:r>
      <w:bookmarkEnd w:id="45"/>
      <w:bookmarkEnd w:id="46"/>
      <w:bookmarkEnd w:id="47"/>
      <w:bookmarkEnd w:id="48"/>
    </w:p>
    <w:p>
      <w:pPr>
        <w:spacing w:line="600" w:lineRule="exact"/>
        <w:ind w:firstLine="640" w:firstLineChars="200"/>
        <w:outlineLvl w:val="1"/>
        <w:rPr>
          <w:rFonts w:hint="eastAsia" w:ascii="仿宋" w:hAnsi="仿宋" w:eastAsia="仿宋"/>
          <w:color w:val="auto"/>
          <w:sz w:val="32"/>
          <w:szCs w:val="32"/>
        </w:rPr>
      </w:pPr>
      <w:bookmarkStart w:id="49" w:name="_Toc17022"/>
      <w:bookmarkStart w:id="50" w:name="_Toc2538"/>
      <w:bookmarkStart w:id="51" w:name="_Toc15961"/>
      <w:bookmarkStart w:id="52" w:name="_Toc11594"/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年本年收入合计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589.78</w:t>
      </w:r>
      <w:r>
        <w:rPr>
          <w:rFonts w:hint="eastAsia" w:ascii="仿宋" w:hAnsi="仿宋" w:eastAsia="仿宋"/>
          <w:color w:val="auto"/>
          <w:sz w:val="32"/>
          <w:szCs w:val="32"/>
        </w:rPr>
        <w:t>万元，其中：一般公共预算财政拨款收入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588.4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99.77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；其他收入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1.38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0.23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bookmarkEnd w:id="49"/>
      <w:bookmarkEnd w:id="50"/>
      <w:bookmarkEnd w:id="51"/>
      <w:bookmarkEnd w:id="52"/>
    </w:p>
    <w:p>
      <w:pPr>
        <w:pStyle w:val="2"/>
        <w:spacing w:before="93"/>
        <w:rPr>
          <w:rFonts w:hint="eastAsia"/>
          <w:color w:val="auto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pict>
          <v:shape id="Object 6" o:spid="_x0000_s1027" o:spt="75" type="#_x0000_t75" style="position:absolute;left:0pt;margin-left:53.65pt;margin-top:22.2pt;height:191.05pt;width:310.1pt;z-index:251663360;mso-width-relative:page;mso-height-relative:page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  <o:OLEObject Type="Embed" ProgID="Excel.Chart.8" ShapeID="Object 6" DrawAspect="Content" ObjectID="_1468075726" r:id="rId8">
            <o:LockedField>false</o:LockedField>
          </o:OLEObject>
        </w:pict>
      </w:r>
    </w:p>
    <w:p>
      <w:pPr>
        <w:pStyle w:val="2"/>
        <w:spacing w:before="93"/>
        <w:rPr>
          <w:color w:val="auto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jc w:val="both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（图2：收入决算结构图）</w:t>
      </w:r>
    </w:p>
    <w:p>
      <w:pPr>
        <w:pStyle w:val="33"/>
        <w:numPr>
          <w:ilvl w:val="0"/>
          <w:numId w:val="1"/>
        </w:numPr>
        <w:spacing w:line="600" w:lineRule="exact"/>
        <w:ind w:firstLineChars="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53" w:name="_Toc15396605"/>
      <w:bookmarkStart w:id="54" w:name="_Toc10269"/>
      <w:bookmarkStart w:id="55" w:name="_Toc15377207"/>
      <w:bookmarkStart w:id="56" w:name="_Toc12984"/>
      <w:r>
        <w:rPr>
          <w:rFonts w:hint="eastAsia" w:ascii="黑体" w:hAnsi="黑体" w:eastAsia="黑体"/>
          <w:color w:val="auto"/>
          <w:sz w:val="32"/>
          <w:szCs w:val="32"/>
        </w:rPr>
        <w:t>支</w:t>
      </w:r>
      <w:r>
        <w:rPr>
          <w:rStyle w:val="24"/>
          <w:rFonts w:hint="eastAsia" w:ascii="黑体" w:hAnsi="黑体" w:eastAsia="黑体"/>
          <w:b w:val="0"/>
          <w:color w:val="auto"/>
        </w:rPr>
        <w:t>出决算情况说明</w:t>
      </w:r>
      <w:bookmarkEnd w:id="53"/>
      <w:bookmarkEnd w:id="54"/>
      <w:bookmarkEnd w:id="55"/>
      <w:bookmarkEnd w:id="56"/>
    </w:p>
    <w:p>
      <w:pPr>
        <w:spacing w:line="600" w:lineRule="exact"/>
        <w:ind w:firstLine="640" w:firstLineChars="200"/>
        <w:outlineLvl w:val="1"/>
        <w:rPr>
          <w:rFonts w:hint="eastAsia" w:ascii="仿宋" w:hAnsi="仿宋" w:eastAsia="仿宋"/>
          <w:color w:val="auto"/>
          <w:sz w:val="32"/>
          <w:szCs w:val="32"/>
        </w:rPr>
      </w:pPr>
      <w:bookmarkStart w:id="57" w:name="_Toc8778"/>
      <w:bookmarkStart w:id="58" w:name="_Toc14334"/>
      <w:bookmarkStart w:id="59" w:name="_Toc23198"/>
      <w:bookmarkStart w:id="60" w:name="_Toc7994"/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年本年支出合计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602.77</w:t>
      </w:r>
      <w:r>
        <w:rPr>
          <w:rFonts w:hint="eastAsia" w:ascii="仿宋" w:hAnsi="仿宋" w:eastAsia="仿宋"/>
          <w:color w:val="auto"/>
          <w:sz w:val="32"/>
          <w:szCs w:val="32"/>
        </w:rPr>
        <w:t>万元，其中：基本支出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329.69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55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；项目支出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273.08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45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bookmarkEnd w:id="57"/>
      <w:bookmarkEnd w:id="58"/>
      <w:bookmarkEnd w:id="59"/>
      <w:bookmarkEnd w:id="60"/>
    </w:p>
    <w:p>
      <w:pPr>
        <w:spacing w:line="600" w:lineRule="exact"/>
        <w:ind w:firstLine="642" w:firstLineChars="200"/>
        <w:rPr>
          <w:rFonts w:hint="eastAsia" w:ascii="仿宋_GB2312" w:hAnsi="仿宋" w:eastAsia="仿宋_GB2312"/>
          <w:b/>
          <w:color w:val="auto"/>
          <w:sz w:val="32"/>
          <w:szCs w:val="32"/>
        </w:rPr>
      </w:pPr>
    </w:p>
    <w:p>
      <w:pPr>
        <w:spacing w:line="600" w:lineRule="exact"/>
        <w:rPr>
          <w:rFonts w:ascii="仿宋_GB2312" w:eastAsia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pict>
          <v:shape id="Object 8" o:spid="_x0000_s1028" o:spt="75" type="#_x0000_t75" style="position:absolute;left:0pt;margin-left:45.2pt;margin-top:6.4pt;height:207.35pt;width:341.35pt;z-index:251660288;mso-width-relative:page;mso-height-relative:page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</v:shape>
          <o:OLEObject Type="Embed" ProgID="Excel.Chart.8" ShapeID="Object 8" DrawAspect="Content" ObjectID="_1468075727" r:id="rId10">
            <o:LockedField>false</o:LockedField>
          </o:OLEObject>
        </w:pic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outlineLvl w:val="9"/>
        <w:rPr>
          <w:rFonts w:hint="eastAsia" w:ascii="仿宋_GB2312" w:hAnsi="仿宋" w:eastAsia="仿宋_GB2312"/>
          <w:color w:val="auto"/>
          <w:sz w:val="32"/>
          <w:szCs w:val="32"/>
        </w:rPr>
      </w:pPr>
      <w:bookmarkStart w:id="61" w:name="_Toc29138"/>
      <w:bookmarkStart w:id="62" w:name="_Toc9363"/>
      <w:bookmarkStart w:id="63" w:name="_Toc489"/>
      <w:bookmarkStart w:id="64" w:name="_Toc23388"/>
    </w:p>
    <w:p>
      <w:pPr>
        <w:spacing w:line="600" w:lineRule="exact"/>
        <w:ind w:firstLine="640" w:firstLineChars="200"/>
        <w:jc w:val="center"/>
        <w:outlineLvl w:val="9"/>
        <w:rPr>
          <w:rFonts w:hint="eastAsia" w:ascii="仿宋_GB2312" w:hAnsi="仿宋" w:eastAsia="仿宋_GB2312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outlineLvl w:val="2"/>
        <w:rPr>
          <w:rFonts w:hint="default" w:ascii="仿宋_GB2312" w:hAnsi="黑体" w:eastAsia="仿宋_GB2312"/>
          <w:color w:val="auto"/>
          <w:sz w:val="32"/>
          <w:szCs w:val="32"/>
        </w:rPr>
      </w:pPr>
      <w:bookmarkStart w:id="65" w:name="_Toc27780"/>
      <w:bookmarkStart w:id="66" w:name="_Toc29646"/>
      <w:bookmarkStart w:id="67" w:name="_Toc414"/>
      <w:bookmarkStart w:id="68" w:name="_Toc6688"/>
      <w:r>
        <w:rPr>
          <w:rFonts w:hint="default" w:ascii="仿宋_GB2312" w:hAnsi="仿宋" w:eastAsia="仿宋_GB2312"/>
          <w:color w:val="auto"/>
          <w:sz w:val="32"/>
          <w:szCs w:val="32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图3：支出决算结构图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rPr>
          <w:rFonts w:hint="eastAsia" w:ascii="仿宋_GB2312" w:hAnsi="黑体" w:eastAsia="仿宋_GB2312"/>
          <w:color w:val="auto"/>
          <w:sz w:val="32"/>
          <w:szCs w:val="32"/>
        </w:rPr>
        <w:tab/>
      </w:r>
      <w:r>
        <w:rPr>
          <w:rFonts w:hint="default" w:ascii="仿宋_GB2312" w:hAnsi="黑体" w:eastAsia="仿宋_GB2312"/>
          <w:color w:val="auto"/>
          <w:sz w:val="32"/>
          <w:szCs w:val="32"/>
        </w:rPr>
        <w:t>）</w:t>
      </w:r>
    </w:p>
    <w:p>
      <w:pPr>
        <w:spacing w:line="600" w:lineRule="exact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spacing w:line="600" w:lineRule="exact"/>
        <w:ind w:firstLine="640" w:firstLineChars="20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69" w:name="_Toc15377208"/>
      <w:bookmarkStart w:id="70" w:name="_Toc15396606"/>
      <w:bookmarkStart w:id="71" w:name="_Toc13028"/>
      <w:bookmarkStart w:id="72" w:name="_Toc4904"/>
      <w:r>
        <w:rPr>
          <w:rFonts w:hint="eastAsia" w:ascii="黑体" w:hAnsi="黑体" w:eastAsia="黑体"/>
          <w:color w:val="auto"/>
          <w:sz w:val="32"/>
          <w:szCs w:val="32"/>
        </w:rPr>
        <w:t>四、财</w:t>
      </w:r>
      <w:r>
        <w:rPr>
          <w:rStyle w:val="24"/>
          <w:rFonts w:hint="eastAsia" w:ascii="黑体" w:hAnsi="黑体" w:eastAsia="黑体"/>
          <w:b w:val="0"/>
          <w:color w:val="auto"/>
        </w:rPr>
        <w:t>政拨款收入支出决算总体情况说明</w:t>
      </w:r>
      <w:bookmarkEnd w:id="69"/>
      <w:bookmarkEnd w:id="70"/>
      <w:bookmarkEnd w:id="71"/>
      <w:bookmarkEnd w:id="72"/>
    </w:p>
    <w:p>
      <w:pPr>
        <w:spacing w:line="600" w:lineRule="exact"/>
        <w:ind w:firstLine="64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年财政拨款收、支总计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588.40</w:t>
      </w:r>
      <w:r>
        <w:rPr>
          <w:rFonts w:hint="eastAsia" w:ascii="仿宋" w:hAnsi="仿宋" w:eastAsia="仿宋"/>
          <w:color w:val="auto"/>
          <w:sz w:val="32"/>
          <w:szCs w:val="32"/>
        </w:rPr>
        <w:t>万元。与</w:t>
      </w: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年相比，财政拨款收、支总计各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272.75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下降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31.67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主要变动原因是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当年人员经费及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项目工作经费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减少。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pict>
          <v:shape id="Object 9" o:spid="_x0000_s1029" o:spt="75" type="#_x0000_t75" style="position:absolute;left:0pt;margin-left:53.55pt;margin-top:-67.5pt;height:206.45pt;width:339.75pt;z-index:251661312;mso-width-relative:page;mso-height-relative:page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</v:shape>
          <o:OLEObject Type="Embed" ProgID="Excel.Chart.8" ShapeID="Object 9" DrawAspect="Content" ObjectID="_1468075728" r:id="rId12">
            <o:LockedField>false</o:LockedField>
          </o:OLEObject>
        </w:pic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center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（图4：财政拨款收、支决算总计变动情况）</w:t>
      </w:r>
    </w:p>
    <w:p>
      <w:pPr>
        <w:spacing w:line="600" w:lineRule="exact"/>
        <w:ind w:firstLine="640"/>
        <w:rPr>
          <w:rFonts w:ascii="仿宋" w:hAnsi="仿宋" w:eastAsia="仿宋"/>
          <w:b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73" w:name="_Toc17049"/>
      <w:bookmarkStart w:id="74" w:name="_Toc10707"/>
      <w:bookmarkStart w:id="75" w:name="_Toc15377209"/>
      <w:bookmarkStart w:id="76" w:name="_Toc15396607"/>
      <w:r>
        <w:rPr>
          <w:rFonts w:hint="eastAsia" w:ascii="黑体" w:hAnsi="黑体" w:eastAsia="黑体"/>
          <w:color w:val="auto"/>
          <w:sz w:val="32"/>
          <w:szCs w:val="32"/>
        </w:rPr>
        <w:t>五、</w:t>
      </w:r>
      <w:r>
        <w:rPr>
          <w:rFonts w:hint="eastAsia" w:ascii="黑体" w:hAnsi="黑体" w:eastAsia="黑体"/>
          <w:b/>
          <w:color w:val="auto"/>
          <w:sz w:val="32"/>
          <w:szCs w:val="32"/>
        </w:rPr>
        <w:t>一</w:t>
      </w:r>
      <w:r>
        <w:rPr>
          <w:rStyle w:val="24"/>
          <w:rFonts w:hint="eastAsia" w:ascii="黑体" w:hAnsi="黑体" w:eastAsia="黑体"/>
          <w:b w:val="0"/>
          <w:color w:val="auto"/>
        </w:rPr>
        <w:t>般公共预算财政拨款支出决算情况说明</w:t>
      </w:r>
      <w:bookmarkEnd w:id="73"/>
      <w:bookmarkEnd w:id="74"/>
      <w:bookmarkEnd w:id="75"/>
      <w:bookmarkEnd w:id="76"/>
    </w:p>
    <w:p>
      <w:pPr>
        <w:spacing w:line="600" w:lineRule="exact"/>
        <w:ind w:firstLine="642" w:firstLineChars="200"/>
        <w:outlineLvl w:val="2"/>
        <w:rPr>
          <w:rFonts w:ascii="仿宋" w:hAnsi="仿宋" w:eastAsia="仿宋"/>
          <w:b/>
          <w:color w:val="auto"/>
          <w:sz w:val="32"/>
          <w:szCs w:val="32"/>
        </w:rPr>
      </w:pPr>
      <w:bookmarkStart w:id="77" w:name="_Toc32494"/>
      <w:bookmarkStart w:id="78" w:name="_Toc14908"/>
      <w:bookmarkStart w:id="79" w:name="_Toc15377210"/>
      <w:bookmarkStart w:id="80" w:name="_Toc10045"/>
      <w:r>
        <w:rPr>
          <w:rFonts w:hint="eastAsia" w:ascii="仿宋" w:hAnsi="仿宋" w:eastAsia="仿宋"/>
          <w:b/>
          <w:color w:val="auto"/>
          <w:sz w:val="32"/>
          <w:szCs w:val="32"/>
        </w:rPr>
        <w:t>（一）一般公共预算财政拨款支出决算总体情况</w:t>
      </w:r>
      <w:bookmarkEnd w:id="77"/>
      <w:bookmarkEnd w:id="78"/>
      <w:bookmarkEnd w:id="79"/>
      <w:bookmarkEnd w:id="80"/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年一般公共预算财政拨款支出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588.40</w:t>
      </w:r>
      <w:r>
        <w:rPr>
          <w:rFonts w:hint="eastAsia" w:ascii="仿宋" w:hAnsi="仿宋" w:eastAsia="仿宋"/>
          <w:color w:val="auto"/>
          <w:sz w:val="32"/>
          <w:szCs w:val="32"/>
        </w:rPr>
        <w:t>万元，占本年支出合计的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97.62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。与</w:t>
      </w: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年相比，一般公共预算财政拨款支出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减少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272.75</w:t>
      </w:r>
      <w:r>
        <w:rPr>
          <w:rFonts w:hint="eastAsia" w:ascii="仿宋" w:hAnsi="仿宋" w:eastAsia="仿宋"/>
          <w:color w:val="auto"/>
          <w:sz w:val="32"/>
          <w:szCs w:val="32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降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31.67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主要变动原因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当年人员经费及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项目工作经费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增加。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pict>
          <v:shape id="Object 12" o:spid="_x0000_s1030" o:spt="75" type="#_x0000_t75" style="position:absolute;left:0pt;margin-left:58.3pt;margin-top:2.2pt;height:200.1pt;width:329.05pt;z-index:251662336;mso-width-relative:page;mso-height-relative:page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</v:shape>
          <o:OLEObject Type="Embed" ProgID="Excel.Chart.8" ShapeID="Object 12" DrawAspect="Content" ObjectID="_1468075729" r:id="rId14">
            <o:LockedField>false</o:LockedField>
          </o:OLEObject>
        </w:pic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pStyle w:val="2"/>
        <w:rPr>
          <w:rFonts w:hint="eastAsia"/>
          <w:color w:val="auto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（图5：一般公共预算财政拨款支出决算变动情况）</w:t>
      </w:r>
    </w:p>
    <w:p>
      <w:pPr>
        <w:spacing w:line="600" w:lineRule="exact"/>
        <w:ind w:firstLine="642" w:firstLineChars="200"/>
        <w:outlineLvl w:val="2"/>
        <w:rPr>
          <w:rFonts w:ascii="仿宋" w:hAnsi="仿宋" w:eastAsia="仿宋"/>
          <w:b/>
          <w:color w:val="auto"/>
          <w:sz w:val="32"/>
          <w:szCs w:val="32"/>
        </w:rPr>
      </w:pPr>
      <w:bookmarkStart w:id="81" w:name="_Toc22190"/>
      <w:bookmarkStart w:id="82" w:name="_Toc15377211"/>
      <w:bookmarkStart w:id="83" w:name="_Toc17354"/>
      <w:bookmarkStart w:id="84" w:name="_Toc3013"/>
      <w:r>
        <w:rPr>
          <w:rFonts w:hint="eastAsia" w:ascii="仿宋" w:hAnsi="仿宋" w:eastAsia="仿宋"/>
          <w:b/>
          <w:color w:val="auto"/>
          <w:sz w:val="32"/>
          <w:szCs w:val="32"/>
        </w:rPr>
        <w:t>（二）一般公共预算财政拨款支出决算结构情况</w:t>
      </w:r>
      <w:bookmarkEnd w:id="81"/>
      <w:bookmarkEnd w:id="82"/>
      <w:bookmarkEnd w:id="83"/>
      <w:bookmarkEnd w:id="84"/>
    </w:p>
    <w:p>
      <w:pPr>
        <w:spacing w:line="600" w:lineRule="exact"/>
        <w:ind w:firstLine="64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年一般公共预算财政拨款支出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588.40</w:t>
      </w:r>
      <w:r>
        <w:rPr>
          <w:rFonts w:hint="eastAsia" w:ascii="仿宋" w:hAnsi="仿宋" w:eastAsia="仿宋"/>
          <w:color w:val="auto"/>
          <w:sz w:val="32"/>
          <w:szCs w:val="32"/>
        </w:rPr>
        <w:t>万元，主要用于以下方面</w:t>
      </w:r>
      <w:r>
        <w:rPr>
          <w:rFonts w:ascii="仿宋" w:hAnsi="仿宋" w:eastAsia="仿宋"/>
          <w:color w:val="auto"/>
          <w:sz w:val="32"/>
          <w:szCs w:val="32"/>
        </w:rPr>
        <w:t>: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社会保障和就业（类）</w:t>
      </w:r>
      <w:r>
        <w:rPr>
          <w:rFonts w:hint="eastAsia" w:ascii="仿宋" w:hAnsi="仿宋" w:eastAsia="仿宋"/>
          <w:color w:val="auto"/>
          <w:sz w:val="32"/>
          <w:szCs w:val="32"/>
        </w:rPr>
        <w:t>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39.11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default" w:ascii="仿宋" w:hAnsi="仿宋" w:eastAsia="仿宋"/>
          <w:color w:val="auto"/>
          <w:sz w:val="32"/>
          <w:szCs w:val="32"/>
        </w:rPr>
        <w:t>4.32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；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卫生健康支出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14.16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default" w:ascii="仿宋" w:hAnsi="仿宋" w:eastAsia="仿宋"/>
          <w:color w:val="auto"/>
          <w:sz w:val="32"/>
          <w:szCs w:val="32"/>
        </w:rPr>
        <w:t>1.86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；</w:t>
      </w:r>
      <w:r>
        <w:rPr>
          <w:rFonts w:hint="eastAsia" w:ascii="仿宋" w:hAnsi="仿宋" w:eastAsia="仿宋"/>
          <w:b/>
          <w:bCs/>
          <w:color w:val="auto"/>
          <w:sz w:val="32"/>
          <w:szCs w:val="32"/>
        </w:rPr>
        <w:t>住房保障支出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22.56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default" w:ascii="仿宋" w:hAnsi="仿宋" w:eastAsia="仿宋"/>
          <w:color w:val="auto"/>
          <w:sz w:val="32"/>
          <w:szCs w:val="32"/>
        </w:rPr>
        <w:t>2.81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;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粮油物资储备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512.57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万元，占</w:t>
      </w:r>
      <w:r>
        <w:rPr>
          <w:rFonts w:hint="default" w:ascii="仿宋_GB2312" w:hAnsi="仿宋" w:eastAsia="仿宋_GB2312"/>
          <w:color w:val="auto"/>
          <w:sz w:val="32"/>
          <w:szCs w:val="32"/>
        </w:rPr>
        <w:t>91.01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pStyle w:val="2"/>
        <w:spacing w:before="93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pict>
          <v:shape id="Object 11" o:spid="_x0000_s1031" o:spt="75" type="#_x0000_t75" style="position:absolute;left:0pt;margin-left:36.55pt;margin-top:7.3pt;height:208.9pt;width:352.8pt;z-index:251665408;mso-width-relative:page;mso-height-relative:page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</v:shape>
          <o:OLEObject Type="Embed" ProgID="Excel.Chart.8" ShapeID="Object 11" DrawAspect="Content" ObjectID="_1468075730" r:id="rId16">
            <o:LockedField>false</o:LockedField>
          </o:OLEObject>
        </w:pict>
      </w:r>
    </w:p>
    <w:p>
      <w:pPr>
        <w:pStyle w:val="2"/>
        <w:spacing w:before="93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</w:p>
    <w:p>
      <w:pPr>
        <w:pStyle w:val="2"/>
        <w:spacing w:before="93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</w:p>
    <w:p>
      <w:pPr>
        <w:pStyle w:val="2"/>
        <w:spacing w:before="93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</w:p>
    <w:p>
      <w:pPr>
        <w:pStyle w:val="2"/>
        <w:spacing w:before="93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</w:p>
    <w:p>
      <w:pPr>
        <w:pStyle w:val="2"/>
        <w:spacing w:before="93"/>
        <w:jc w:val="center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rPr>
          <w:rFonts w:hint="eastAsia"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（图6：一般公共预算财政拨款支出决算结构）</w:t>
      </w:r>
      <w:bookmarkStart w:id="85" w:name="_Toc21293"/>
      <w:bookmarkStart w:id="86" w:name="_Toc19832"/>
      <w:bookmarkStart w:id="87" w:name="_Toc15377212"/>
      <w:bookmarkStart w:id="88" w:name="_Toc24276"/>
    </w:p>
    <w:p>
      <w:pPr>
        <w:spacing w:line="600" w:lineRule="exact"/>
        <w:ind w:firstLine="642" w:firstLineChars="200"/>
        <w:outlineLvl w:val="2"/>
        <w:rPr>
          <w:rFonts w:hint="eastAsia"/>
          <w:color w:val="auto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（三）一般公共预算财政拨款支出决算具体情况</w:t>
      </w:r>
      <w:bookmarkEnd w:id="85"/>
      <w:bookmarkEnd w:id="86"/>
      <w:bookmarkEnd w:id="87"/>
      <w:bookmarkEnd w:id="88"/>
      <w:bookmarkStart w:id="89" w:name="_Toc9528"/>
      <w:bookmarkStart w:id="90" w:name="_Toc15378460"/>
      <w:bookmarkStart w:id="91" w:name="_Toc17994"/>
      <w:bookmarkStart w:id="92" w:name="_Toc15377213"/>
      <w:bookmarkStart w:id="93" w:name="_Toc22749"/>
      <w:bookmarkStart w:id="94" w:name="_Toc1537744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outlineLvl w:val="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202</w:t>
      </w:r>
      <w:r>
        <w:rPr>
          <w:rFonts w:hint="eastAsia" w:ascii="仿宋" w:hAnsi="仿宋" w:eastAsia="仿宋"/>
          <w:b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年一般公共预算支出决算数为</w:t>
      </w:r>
      <w:r>
        <w:rPr>
          <w:rFonts w:hint="eastAsia" w:ascii="仿宋" w:hAnsi="仿宋" w:eastAsia="仿宋"/>
          <w:b/>
          <w:color w:val="auto"/>
          <w:sz w:val="32"/>
          <w:szCs w:val="32"/>
          <w:lang w:val="en-US" w:eastAsia="zh-CN"/>
        </w:rPr>
        <w:t>588.40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Style w:val="21"/>
          <w:rFonts w:hint="eastAsia" w:ascii="仿宋" w:hAnsi="仿宋" w:eastAsia="仿宋"/>
          <w:bCs/>
          <w:color w:val="auto"/>
          <w:sz w:val="32"/>
          <w:szCs w:val="32"/>
        </w:rPr>
        <w:t>完成预算</w:t>
      </w:r>
      <w:r>
        <w:rPr>
          <w:rStyle w:val="21"/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100</w:t>
      </w:r>
      <w:r>
        <w:rPr>
          <w:rStyle w:val="21"/>
          <w:rFonts w:ascii="仿宋" w:hAnsi="仿宋" w:eastAsia="仿宋"/>
          <w:bCs/>
          <w:color w:val="auto"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Cs/>
          <w:color w:val="auto"/>
          <w:sz w:val="32"/>
          <w:szCs w:val="32"/>
        </w:rPr>
        <w:t>。其中：</w:t>
      </w:r>
      <w:bookmarkEnd w:id="89"/>
      <w:bookmarkEnd w:id="90"/>
      <w:bookmarkEnd w:id="91"/>
      <w:bookmarkEnd w:id="92"/>
      <w:bookmarkEnd w:id="93"/>
      <w:bookmarkEnd w:id="9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</w:pP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  <w:lang w:val="en-US" w:eastAsia="zh-CN"/>
        </w:rPr>
        <w:t>1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.社会保障和就业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  <w:lang w:eastAsia="zh-CN"/>
        </w:rPr>
        <w:t>支出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（类）行政事业单位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  <w:lang w:eastAsia="zh-CN"/>
        </w:rPr>
        <w:t>养老支出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（款）机关事业单位基本养老保险缴费支出（项）: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  <w:lang w:val="en-US" w:eastAsia="zh-CN"/>
        </w:rPr>
        <w:t>26.55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万元，完成预算100%。</w:t>
      </w:r>
    </w:p>
    <w:p>
      <w:pPr>
        <w:spacing w:line="600" w:lineRule="exact"/>
        <w:ind w:firstLine="642" w:firstLineChars="200"/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</w:pPr>
      <w:r>
        <w:rPr>
          <w:rStyle w:val="21"/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2</w:t>
      </w:r>
      <w:r>
        <w:rPr>
          <w:rStyle w:val="21"/>
          <w:rFonts w:ascii="仿宋" w:hAnsi="仿宋" w:eastAsia="仿宋"/>
          <w:bCs/>
          <w:color w:val="auto"/>
          <w:sz w:val="32"/>
          <w:szCs w:val="32"/>
        </w:rPr>
        <w:t>.</w:t>
      </w:r>
      <w:r>
        <w:rPr>
          <w:rStyle w:val="21"/>
          <w:rFonts w:hint="eastAsia" w:ascii="仿宋" w:hAnsi="仿宋" w:eastAsia="仿宋"/>
          <w:bCs/>
          <w:color w:val="auto"/>
          <w:sz w:val="32"/>
          <w:szCs w:val="32"/>
        </w:rPr>
        <w:t>社会保障和就业支出（类）行政事业单位养老支出（款）机关事业单位职业年金缴费支出（项）</w:t>
      </w:r>
      <w:r>
        <w:rPr>
          <w:rStyle w:val="21"/>
          <w:rFonts w:ascii="仿宋" w:hAnsi="仿宋" w:eastAsia="仿宋"/>
          <w:bCs/>
          <w:color w:val="auto"/>
          <w:sz w:val="32"/>
          <w:szCs w:val="32"/>
        </w:rPr>
        <w:t>:</w:t>
      </w:r>
      <w:r>
        <w:rPr>
          <w:rStyle w:val="21"/>
          <w:rFonts w:ascii="仿宋" w:hAnsi="仿宋" w:eastAsia="仿宋"/>
          <w:b w:val="0"/>
          <w:bCs/>
          <w:color w:val="auto"/>
          <w:sz w:val="32"/>
          <w:szCs w:val="32"/>
        </w:rPr>
        <w:t xml:space="preserve"> 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6.60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万元，完成预算100</w:t>
      </w:r>
      <w:r>
        <w:rPr>
          <w:rStyle w:val="21"/>
          <w:rFonts w:ascii="仿宋" w:hAnsi="仿宋" w:eastAsia="仿宋"/>
          <w:b w:val="0"/>
          <w:bCs/>
          <w:color w:val="auto"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。</w:t>
      </w:r>
    </w:p>
    <w:p>
      <w:pPr>
        <w:spacing w:line="600" w:lineRule="exact"/>
        <w:ind w:firstLine="642" w:firstLineChars="200"/>
        <w:rPr>
          <w:rFonts w:hint="eastAsia"/>
          <w:color w:val="auto"/>
        </w:rPr>
      </w:pPr>
      <w:r>
        <w:rPr>
          <w:rStyle w:val="21"/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3</w:t>
      </w:r>
      <w:r>
        <w:rPr>
          <w:rStyle w:val="21"/>
          <w:rFonts w:ascii="仿宋" w:hAnsi="仿宋" w:eastAsia="仿宋"/>
          <w:bCs/>
          <w:color w:val="auto"/>
          <w:sz w:val="32"/>
          <w:szCs w:val="32"/>
        </w:rPr>
        <w:t>.</w:t>
      </w:r>
      <w:r>
        <w:rPr>
          <w:rStyle w:val="21"/>
          <w:rFonts w:hint="eastAsia" w:ascii="仿宋" w:hAnsi="仿宋" w:eastAsia="仿宋"/>
          <w:bCs/>
          <w:color w:val="auto"/>
          <w:sz w:val="32"/>
          <w:szCs w:val="32"/>
        </w:rPr>
        <w:t>社会保障和就业支出（类）其他社会保障和就业支出（款）其他社会保障和就业支出（项）</w:t>
      </w:r>
      <w:r>
        <w:rPr>
          <w:rStyle w:val="21"/>
          <w:rFonts w:ascii="仿宋" w:hAnsi="仿宋" w:eastAsia="仿宋"/>
          <w:bCs/>
          <w:color w:val="auto"/>
          <w:sz w:val="32"/>
          <w:szCs w:val="32"/>
        </w:rPr>
        <w:t>:</w:t>
      </w:r>
      <w:r>
        <w:rPr>
          <w:rStyle w:val="21"/>
          <w:rFonts w:ascii="仿宋" w:hAnsi="仿宋" w:eastAsia="仿宋"/>
          <w:b w:val="0"/>
          <w:bCs/>
          <w:color w:val="auto"/>
          <w:sz w:val="32"/>
          <w:szCs w:val="32"/>
        </w:rPr>
        <w:t xml:space="preserve"> 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5.96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万元，完成预算100</w:t>
      </w:r>
      <w:r>
        <w:rPr>
          <w:rStyle w:val="21"/>
          <w:rFonts w:ascii="仿宋" w:hAnsi="仿宋" w:eastAsia="仿宋"/>
          <w:b w:val="0"/>
          <w:bCs/>
          <w:color w:val="auto"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.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卫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生健康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（类）行政事业单位医疗（款）事业单位医疗（项）: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  <w:lang w:val="en-US" w:eastAsia="zh-CN"/>
        </w:rPr>
        <w:t>14.16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万元，完成预算100%。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.住房保障支出</w:t>
      </w:r>
      <w:r>
        <w:rPr>
          <w:rStyle w:val="21"/>
          <w:rFonts w:hint="eastAsia" w:ascii="仿宋_GB2312" w:hAnsi="仿宋" w:eastAsia="仿宋_GB2312"/>
          <w:bCs/>
          <w:color w:val="auto"/>
          <w:sz w:val="32"/>
          <w:szCs w:val="32"/>
        </w:rPr>
        <w:t>（类）住房改革支出（款）住房公积金（项）: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  <w:lang w:val="en-US" w:eastAsia="zh-CN"/>
        </w:rPr>
        <w:t>22.56</w:t>
      </w:r>
      <w:r>
        <w:rPr>
          <w:rStyle w:val="21"/>
          <w:rFonts w:hint="eastAsia" w:ascii="仿宋_GB2312" w:hAnsi="仿宋" w:eastAsia="仿宋_GB2312"/>
          <w:b w:val="0"/>
          <w:bCs/>
          <w:color w:val="auto"/>
          <w:sz w:val="32"/>
          <w:szCs w:val="32"/>
        </w:rPr>
        <w:t>万元，完成预算100%。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rPr>
          <w:rFonts w:hint="eastAsia"/>
          <w:color w:val="auto"/>
        </w:rPr>
      </w:pPr>
      <w:r>
        <w:rPr>
          <w:rStyle w:val="21"/>
          <w:rFonts w:hint="eastAsia" w:ascii="仿宋" w:hAnsi="仿宋" w:eastAsia="仿宋"/>
          <w:bCs/>
          <w:color w:val="auto"/>
          <w:sz w:val="32"/>
          <w:szCs w:val="32"/>
          <w:lang w:val="en-US" w:eastAsia="zh-CN"/>
        </w:rPr>
        <w:t>6</w:t>
      </w:r>
      <w:r>
        <w:rPr>
          <w:rStyle w:val="21"/>
          <w:rFonts w:hint="eastAsia" w:ascii="仿宋" w:hAnsi="仿宋" w:eastAsia="仿宋"/>
          <w:bCs/>
          <w:color w:val="auto"/>
          <w:sz w:val="32"/>
          <w:szCs w:val="32"/>
        </w:rPr>
        <w:t>.</w:t>
      </w:r>
      <w:r>
        <w:rPr>
          <w:rFonts w:hint="eastAsia"/>
          <w:color w:val="auto"/>
        </w:rPr>
        <w:t xml:space="preserve"> 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事务（款）专项业务活动（项）: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val="en-US" w:eastAsia="zh-CN"/>
        </w:rPr>
        <w:t>34.29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万元，完成预算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%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default" w:ascii="仿宋_GB2312" w:hAnsi="仿宋" w:eastAsia="仿宋_GB2312"/>
          <w:b/>
          <w:bCs/>
          <w:color w:val="auto"/>
          <w:sz w:val="32"/>
          <w:szCs w:val="32"/>
        </w:rPr>
        <w:t>7.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粮油物资储备支出（类）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粮油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物资事务（款）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物资保管保养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（项）: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val="en-US" w:eastAsia="zh-CN"/>
        </w:rPr>
        <w:t>17.13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万元，完成预算100%。</w:t>
      </w:r>
      <w:r>
        <w:rPr>
          <w:rStyle w:val="21"/>
          <w:rFonts w:hint="eastAsia" w:ascii="仿宋" w:hAnsi="仿宋" w:eastAsia="仿宋"/>
          <w:bCs/>
          <w:color w:val="auto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</w:pPr>
      <w:r>
        <w:rPr>
          <w:rFonts w:hint="default" w:ascii="仿宋_GB2312" w:hAnsi="仿宋" w:eastAsia="仿宋_GB2312"/>
          <w:b/>
          <w:bCs/>
          <w:color w:val="auto"/>
          <w:sz w:val="32"/>
          <w:szCs w:val="32"/>
        </w:rPr>
        <w:t>8.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事务（款）事业运行（项）: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支出决算为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val="en-US" w:eastAsia="zh-CN"/>
        </w:rPr>
        <w:t>253.86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万元，完成预算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Style w:val="21"/>
          <w:rFonts w:hint="default" w:ascii="仿宋_GB2312" w:hAnsi="仿宋" w:eastAsia="仿宋_GB2312"/>
          <w:b w:val="0"/>
          <w:color w:val="auto"/>
          <w:sz w:val="32"/>
          <w:szCs w:val="32"/>
        </w:rPr>
        <w:t>9.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事务（款）其他粮油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事务支出（项）: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支出决算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val="en-US" w:eastAsia="zh-CN"/>
        </w:rPr>
        <w:t>149.50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万元，完成预算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  <w:b w:val="0"/>
          <w:color w:val="auto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2" w:firstLineChars="200"/>
        <w:textAlignment w:val="auto"/>
        <w:rPr>
          <w:rStyle w:val="21"/>
          <w:rFonts w:hint="eastAsia" w:ascii="仿宋_GB2312" w:hAnsi="仿宋" w:eastAsia="仿宋_GB2312" w:cs="Times New Roman"/>
          <w:b w:val="0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" w:eastAsia="仿宋_GB2312"/>
          <w:b/>
          <w:bCs/>
          <w:color w:val="auto"/>
          <w:sz w:val="32"/>
          <w:szCs w:val="32"/>
        </w:rPr>
        <w:t>10.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粮油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储备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  <w:lang w:eastAsia="zh-CN"/>
        </w:rPr>
        <w:t>支出</w:t>
      </w:r>
      <w:r>
        <w:rPr>
          <w:rFonts w:hint="eastAsia" w:ascii="仿宋_GB2312" w:hAnsi="仿宋" w:eastAsia="仿宋_GB2312"/>
          <w:b/>
          <w:bCs/>
          <w:color w:val="auto"/>
          <w:sz w:val="32"/>
          <w:szCs w:val="32"/>
        </w:rPr>
        <w:t>（类）</w:t>
      </w:r>
      <w:r>
        <w:rPr>
          <w:rStyle w:val="21"/>
          <w:rFonts w:hint="eastAsia" w:ascii="仿宋_GB2312" w:hAnsi="仿宋" w:eastAsia="仿宋_GB2312" w:cs="Times New Roman"/>
          <w:b/>
          <w:bCs w:val="0"/>
          <w:color w:val="auto"/>
          <w:kern w:val="2"/>
          <w:sz w:val="32"/>
          <w:szCs w:val="32"/>
          <w:lang w:val="en-US" w:eastAsia="zh-CN" w:bidi="ar-SA"/>
        </w:rPr>
        <w:t>重要商品储备（款）应急物资储备（项）：</w:t>
      </w:r>
      <w:r>
        <w:rPr>
          <w:rStyle w:val="21"/>
          <w:rFonts w:hint="eastAsia" w:ascii="仿宋_GB2312" w:hAnsi="仿宋" w:eastAsia="仿宋_GB2312" w:cs="Times New Roman"/>
          <w:b w:val="0"/>
          <w:bCs/>
          <w:color w:val="auto"/>
          <w:kern w:val="2"/>
          <w:sz w:val="32"/>
          <w:szCs w:val="32"/>
          <w:lang w:val="en-US" w:eastAsia="zh-CN" w:bidi="ar-SA"/>
        </w:rPr>
        <w:t>支出决算书57.79万元，完成预算100%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Style w:val="24"/>
          <w:color w:val="auto"/>
        </w:rPr>
      </w:pPr>
      <w:bookmarkStart w:id="95" w:name="_Toc15377214"/>
      <w:bookmarkStart w:id="96" w:name="_Toc18260"/>
      <w:bookmarkStart w:id="97" w:name="_Toc774"/>
      <w:bookmarkStart w:id="98" w:name="_Toc15396608"/>
      <w:r>
        <w:rPr>
          <w:rFonts w:hint="eastAsia" w:ascii="黑体" w:eastAsia="黑体"/>
          <w:color w:val="auto"/>
          <w:sz w:val="32"/>
          <w:szCs w:val="32"/>
        </w:rPr>
        <w:t>六</w:t>
      </w:r>
      <w:r>
        <w:rPr>
          <w:rFonts w:hint="eastAsia" w:ascii="黑体" w:eastAsia="黑体"/>
          <w:b/>
          <w:color w:val="auto"/>
          <w:sz w:val="32"/>
          <w:szCs w:val="32"/>
        </w:rPr>
        <w:t>、</w:t>
      </w:r>
      <w:r>
        <w:rPr>
          <w:rFonts w:hint="eastAsia" w:ascii="黑体" w:hAnsi="黑体" w:eastAsia="黑体"/>
          <w:b/>
          <w:color w:val="auto"/>
          <w:sz w:val="32"/>
          <w:szCs w:val="32"/>
        </w:rPr>
        <w:t>一</w:t>
      </w:r>
      <w:r>
        <w:rPr>
          <w:rStyle w:val="24"/>
          <w:rFonts w:hint="eastAsia" w:ascii="黑体" w:hAnsi="黑体" w:eastAsia="黑体"/>
          <w:b w:val="0"/>
          <w:color w:val="auto"/>
        </w:rPr>
        <w:t>般公共预算财政拨款基本支出决算情况说明</w:t>
      </w:r>
      <w:bookmarkEnd w:id="95"/>
      <w:bookmarkEnd w:id="96"/>
      <w:bookmarkEnd w:id="97"/>
      <w:bookmarkEnd w:id="98"/>
      <w:r>
        <w:rPr>
          <w:rStyle w:val="24"/>
          <w:rFonts w:ascii="黑体" w:hAnsi="黑体" w:eastAsia="黑体"/>
          <w:b w:val="0"/>
          <w:color w:val="auto"/>
        </w:rPr>
        <w:tab/>
      </w:r>
    </w:p>
    <w:p>
      <w:pPr>
        <w:spacing w:line="600" w:lineRule="exact"/>
        <w:ind w:firstLine="645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年一般公共预算财政拨款基本支出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329.70</w:t>
      </w:r>
      <w:r>
        <w:rPr>
          <w:rFonts w:hint="eastAsia" w:ascii="仿宋" w:hAnsi="仿宋" w:eastAsia="仿宋"/>
          <w:color w:val="auto"/>
          <w:sz w:val="32"/>
          <w:szCs w:val="32"/>
        </w:rPr>
        <w:t>万元，其中：</w:t>
      </w:r>
    </w:p>
    <w:p>
      <w:pPr>
        <w:spacing w:line="600" w:lineRule="exact"/>
        <w:ind w:firstLine="645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人员经费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297.66</w:t>
      </w:r>
      <w:r>
        <w:rPr>
          <w:rFonts w:hint="eastAsia" w:ascii="仿宋" w:hAnsi="仿宋" w:eastAsia="仿宋"/>
          <w:color w:val="auto"/>
          <w:sz w:val="32"/>
          <w:szCs w:val="32"/>
        </w:rPr>
        <w:t>万元，主要包括：基本工资、津贴补贴、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奖金</w:t>
      </w:r>
      <w:r>
        <w:rPr>
          <w:rFonts w:hint="eastAsia" w:ascii="仿宋" w:hAnsi="仿宋" w:eastAsia="仿宋"/>
          <w:color w:val="auto"/>
          <w:sz w:val="32"/>
          <w:szCs w:val="32"/>
        </w:rPr>
        <w:t>、绩效工资、机关事业单位基本养老保险缴费、职业年金缴费、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职工基本医疗保险缴费、</w:t>
      </w:r>
      <w:r>
        <w:rPr>
          <w:rFonts w:hint="eastAsia" w:ascii="仿宋" w:hAnsi="仿宋" w:eastAsia="仿宋"/>
          <w:color w:val="auto"/>
          <w:sz w:val="32"/>
          <w:szCs w:val="32"/>
        </w:rPr>
        <w:t>其他社会保障缴费、住房公积金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</w:rPr>
        <w:t>其他工资福利支出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生活补助、奖励金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公用经费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32.04</w:t>
      </w:r>
      <w:r>
        <w:rPr>
          <w:rFonts w:hint="eastAsia" w:ascii="仿宋" w:hAnsi="仿宋" w:eastAsia="仿宋"/>
          <w:color w:val="auto"/>
          <w:sz w:val="32"/>
          <w:szCs w:val="32"/>
        </w:rPr>
        <w:t>万元，主要包括：办公费、印刷费、水费、电费、邮电费、差旅费、劳务费、工会经费、</w:t>
      </w:r>
      <w:r>
        <w:rPr>
          <w:rFonts w:hint="default" w:ascii="仿宋" w:hAnsi="仿宋" w:eastAsia="仿宋"/>
          <w:color w:val="auto"/>
          <w:sz w:val="32"/>
          <w:szCs w:val="32"/>
        </w:rPr>
        <w:t>福利费、</w:t>
      </w:r>
      <w:r>
        <w:rPr>
          <w:rFonts w:hint="eastAsia" w:ascii="仿宋" w:hAnsi="仿宋" w:eastAsia="仿宋"/>
          <w:color w:val="auto"/>
          <w:sz w:val="32"/>
          <w:szCs w:val="32"/>
        </w:rPr>
        <w:t>公务用车运行维护费、其他商品和服务支出。</w:t>
      </w:r>
    </w:p>
    <w:p>
      <w:pPr>
        <w:spacing w:line="600" w:lineRule="exact"/>
        <w:ind w:firstLine="64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99" w:name="_Toc9738"/>
      <w:bookmarkStart w:id="100" w:name="_Toc15377215"/>
      <w:bookmarkStart w:id="101" w:name="_Toc15396609"/>
      <w:bookmarkStart w:id="102" w:name="_Toc3033"/>
      <w:r>
        <w:rPr>
          <w:rFonts w:hint="eastAsia" w:ascii="黑体" w:eastAsia="黑体"/>
          <w:color w:val="auto"/>
          <w:sz w:val="32"/>
          <w:szCs w:val="32"/>
        </w:rPr>
        <w:t>七、</w:t>
      </w:r>
      <w:r>
        <w:rPr>
          <w:rStyle w:val="24"/>
          <w:rFonts w:hint="eastAsia" w:ascii="黑体" w:hAnsi="黑体" w:eastAsia="黑体"/>
          <w:color w:val="auto"/>
        </w:rPr>
        <w:t>“</w:t>
      </w:r>
      <w:r>
        <w:rPr>
          <w:rStyle w:val="24"/>
          <w:rFonts w:hint="eastAsia" w:ascii="黑体" w:hAnsi="黑体" w:eastAsia="黑体"/>
          <w:b w:val="0"/>
          <w:color w:val="auto"/>
        </w:rPr>
        <w:t>三公”经费财政拨款支出决算情况说明</w:t>
      </w:r>
      <w:bookmarkEnd w:id="99"/>
      <w:bookmarkEnd w:id="100"/>
      <w:bookmarkEnd w:id="101"/>
      <w:bookmarkEnd w:id="102"/>
    </w:p>
    <w:p>
      <w:pPr>
        <w:spacing w:line="600" w:lineRule="exact"/>
        <w:ind w:firstLine="640"/>
        <w:outlineLvl w:val="2"/>
        <w:rPr>
          <w:rFonts w:ascii="仿宋" w:hAnsi="仿宋" w:eastAsia="仿宋"/>
          <w:b/>
          <w:color w:val="auto"/>
          <w:sz w:val="32"/>
          <w:szCs w:val="32"/>
        </w:rPr>
      </w:pPr>
      <w:bookmarkStart w:id="103" w:name="_Toc2286"/>
      <w:bookmarkStart w:id="104" w:name="_Toc24239"/>
      <w:bookmarkStart w:id="105" w:name="_Toc15377216"/>
      <w:bookmarkStart w:id="106" w:name="_Toc7924"/>
      <w:r>
        <w:rPr>
          <w:rFonts w:hint="eastAsia" w:ascii="仿宋" w:hAnsi="仿宋" w:eastAsia="仿宋"/>
          <w:b/>
          <w:color w:val="auto"/>
          <w:sz w:val="32"/>
          <w:szCs w:val="32"/>
        </w:rPr>
        <w:t>（一）“三公”经费财政拨款支出决算总体情况说明</w:t>
      </w:r>
      <w:bookmarkEnd w:id="103"/>
      <w:bookmarkEnd w:id="104"/>
      <w:bookmarkEnd w:id="105"/>
      <w:bookmarkEnd w:id="106"/>
    </w:p>
    <w:p>
      <w:pPr>
        <w:spacing w:line="600" w:lineRule="exact"/>
        <w:ind w:firstLine="640"/>
        <w:rPr>
          <w:rFonts w:hint="default" w:ascii="仿宋" w:hAnsi="仿宋" w:eastAsia="仿宋"/>
          <w:color w:val="auto"/>
          <w:sz w:val="32"/>
          <w:szCs w:val="32"/>
          <w:lang w:eastAsia="zh-CN"/>
        </w:rPr>
      </w:pP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年“三公”经费财政拨款支出决算为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1.28</w:t>
      </w:r>
      <w:r>
        <w:rPr>
          <w:rFonts w:hint="eastAsia" w:ascii="仿宋" w:hAnsi="仿宋" w:eastAsia="仿宋"/>
          <w:color w:val="auto"/>
          <w:sz w:val="32"/>
          <w:szCs w:val="32"/>
        </w:rPr>
        <w:t>万元，完成预算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81.01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较上年增加0.02</w:t>
      </w:r>
      <w:r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增长1.59</w:t>
      </w:r>
      <w:r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决算数小于预算数的主要原因是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我单位严控公务用车，车辆运行维护费年终实际发生数较年初预算数小。</w:t>
      </w:r>
    </w:p>
    <w:p>
      <w:pPr>
        <w:spacing w:line="600" w:lineRule="exact"/>
        <w:ind w:firstLine="640"/>
        <w:outlineLvl w:val="2"/>
        <w:rPr>
          <w:rFonts w:ascii="仿宋" w:hAnsi="仿宋" w:eastAsia="仿宋"/>
          <w:b/>
          <w:color w:val="auto"/>
          <w:sz w:val="32"/>
          <w:szCs w:val="32"/>
        </w:rPr>
      </w:pPr>
      <w:bookmarkStart w:id="107" w:name="_Toc30889"/>
      <w:bookmarkStart w:id="108" w:name="_Toc31500"/>
      <w:bookmarkStart w:id="109" w:name="_Toc4145"/>
      <w:bookmarkStart w:id="110" w:name="_Toc15377217"/>
      <w:r>
        <w:rPr>
          <w:rFonts w:hint="eastAsia" w:ascii="仿宋" w:hAnsi="仿宋" w:eastAsia="仿宋"/>
          <w:b/>
          <w:color w:val="auto"/>
          <w:sz w:val="32"/>
          <w:szCs w:val="32"/>
        </w:rPr>
        <w:t>（二）“三公”经费财政拨款支出决算具体情况说明</w:t>
      </w:r>
      <w:bookmarkEnd w:id="107"/>
      <w:bookmarkEnd w:id="108"/>
      <w:bookmarkEnd w:id="109"/>
      <w:bookmarkEnd w:id="110"/>
    </w:p>
    <w:p>
      <w:pPr>
        <w:spacing w:line="600" w:lineRule="exact"/>
        <w:ind w:firstLine="64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</w:rPr>
        <w:t>年“三公”经费财政拨款支出决算中，因公出国（境）费支出决算0万元；公务用车购置及运行维护费支出决算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1.28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；公务接待费支出决算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color w:val="auto"/>
          <w:sz w:val="32"/>
          <w:szCs w:val="32"/>
        </w:rPr>
        <w:t>万元，占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</w:t>
      </w:r>
      <w:r>
        <w:rPr>
          <w:rFonts w:ascii="仿宋" w:hAnsi="仿宋" w:eastAsia="仿宋"/>
          <w:color w:val="auto"/>
          <w:sz w:val="32"/>
          <w:szCs w:val="32"/>
        </w:rPr>
        <w:t>%</w:t>
      </w:r>
      <w:r>
        <w:rPr>
          <w:rFonts w:hint="eastAsia" w:ascii="仿宋" w:hAnsi="仿宋" w:eastAsia="仿宋"/>
          <w:color w:val="auto"/>
          <w:sz w:val="32"/>
          <w:szCs w:val="32"/>
        </w:rPr>
        <w:t>。具体情况如下：</w:t>
      </w:r>
    </w:p>
    <w:p>
      <w:pPr>
        <w:pStyle w:val="2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pict>
          <v:shape id="Object 13" o:spid="_x0000_s1032" o:spt="75" type="#_x0000_t75" style="position:absolute;left:0pt;margin-left:59.65pt;margin-top:6.45pt;height:201.85pt;width:332.3pt;z-index:251664384;mso-width-relative:page;mso-height-relative:page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</v:shape>
          <o:OLEObject Type="Embed" ProgID="Excel.Chart.8" ShapeID="Object 13" DrawAspect="Content" ObjectID="_1468075731" r:id="rId18">
            <o:LockedField>false</o:LockedField>
          </o:OLEObject>
        </w:pict>
      </w:r>
    </w:p>
    <w:p>
      <w:pPr>
        <w:pStyle w:val="2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pStyle w:val="2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pStyle w:val="2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pStyle w:val="2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600" w:lineRule="exact"/>
        <w:ind w:firstLine="640"/>
        <w:jc w:val="center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（图7：“三公”经费财政拨款支出结构）</w:t>
      </w:r>
    </w:p>
    <w:p>
      <w:pPr>
        <w:spacing w:line="600" w:lineRule="exact"/>
        <w:ind w:firstLine="640"/>
        <w:rPr>
          <w:color w:val="auto"/>
        </w:rPr>
      </w:pPr>
      <w:r>
        <w:rPr>
          <w:rFonts w:ascii="仿宋_GB2312" w:eastAsia="仿宋_GB2312"/>
          <w:b/>
          <w:color w:val="auto"/>
          <w:sz w:val="32"/>
          <w:szCs w:val="32"/>
        </w:rPr>
        <w:t>1.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 xml:space="preserve"> 因公出国经费为0万元，年初未安排预算，因公出国</w:t>
      </w:r>
      <w:r>
        <w:rPr>
          <w:rFonts w:hint="eastAsia" w:ascii="仿宋_GB2312" w:eastAsia="仿宋_GB2312"/>
          <w:b/>
          <w:color w:val="auto"/>
          <w:sz w:val="32"/>
          <w:szCs w:val="32"/>
        </w:rPr>
        <w:t>（境）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支出决算较202</w:t>
      </w:r>
      <w:r>
        <w:rPr>
          <w:rFonts w:hint="eastAsia" w:ascii="仿宋" w:hAnsi="仿宋" w:eastAsia="仿宋"/>
          <w:b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/>
          <w:color w:val="auto"/>
          <w:sz w:val="32"/>
          <w:szCs w:val="32"/>
        </w:rPr>
        <w:t>年无变化。</w:t>
      </w:r>
    </w:p>
    <w:p>
      <w:pPr>
        <w:spacing w:line="600" w:lineRule="exact"/>
        <w:ind w:firstLine="640"/>
        <w:rPr>
          <w:rFonts w:hint="eastAsia" w:ascii="仿宋_GB2312" w:eastAsia="仿宋"/>
          <w:b/>
          <w:color w:val="auto"/>
          <w:sz w:val="32"/>
          <w:szCs w:val="32"/>
          <w:lang w:val="en-US" w:eastAsia="zh-CN"/>
        </w:rPr>
      </w:pPr>
      <w:r>
        <w:rPr>
          <w:rFonts w:ascii="仿宋_GB2312" w:eastAsia="仿宋_GB2312"/>
          <w:b/>
          <w:color w:val="auto"/>
          <w:sz w:val="32"/>
          <w:szCs w:val="32"/>
        </w:rPr>
        <w:t>2.</w:t>
      </w:r>
      <w:r>
        <w:rPr>
          <w:rFonts w:hint="eastAsia" w:ascii="仿宋_GB2312" w:eastAsia="仿宋_GB2312"/>
          <w:b/>
          <w:color w:val="auto"/>
          <w:sz w:val="32"/>
          <w:szCs w:val="32"/>
        </w:rPr>
        <w:t>公务用车购置及运行维护费支出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1.28</w:t>
      </w:r>
      <w:r>
        <w:rPr>
          <w:rFonts w:hint="eastAsia" w:ascii="仿宋_GB2312" w:eastAsia="仿宋_GB2312"/>
          <w:color w:val="auto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完成预算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100</w:t>
      </w:r>
      <w:r>
        <w:rPr>
          <w:rStyle w:val="21"/>
          <w:rFonts w:ascii="仿宋" w:hAnsi="仿宋" w:eastAsia="仿宋"/>
          <w:b w:val="0"/>
          <w:bCs/>
          <w:color w:val="auto"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公务用车购置及运行维护费支出决算比</w:t>
      </w:r>
      <w:r>
        <w:rPr>
          <w:rFonts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0.02</w:t>
      </w:r>
      <w:r>
        <w:rPr>
          <w:rFonts w:hint="eastAsia" w:ascii="仿宋_GB2312" w:eastAsia="仿宋_GB2312"/>
          <w:color w:val="auto"/>
          <w:sz w:val="32"/>
          <w:szCs w:val="32"/>
        </w:rPr>
        <w:t>万元，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增长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1.59</w:t>
      </w:r>
      <w:r>
        <w:rPr>
          <w:rFonts w:hint="default" w:ascii="仿宋" w:hAnsi="仿宋" w:eastAsia="仿宋"/>
          <w:color w:val="auto"/>
          <w:sz w:val="32"/>
          <w:szCs w:val="32"/>
          <w:lang w:val="en-US" w:eastAsia="zh-CN"/>
        </w:rPr>
        <w:t>%</w:t>
      </w:r>
      <w:r>
        <w:rPr>
          <w:rFonts w:hint="eastAsia" w:ascii="仿宋_GB2312" w:eastAsia="仿宋_GB2312"/>
          <w:color w:val="auto"/>
          <w:sz w:val="32"/>
          <w:szCs w:val="32"/>
        </w:rPr>
        <w:t>。主要原因是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市救灾物资中心公务用车维修增加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其中：</w:t>
      </w:r>
      <w:r>
        <w:rPr>
          <w:rFonts w:hint="eastAsia" w:ascii="仿宋_GB2312" w:eastAsia="仿宋_GB2312"/>
          <w:b/>
          <w:color w:val="auto"/>
          <w:sz w:val="32"/>
          <w:szCs w:val="32"/>
        </w:rPr>
        <w:t>公务用车购置支出</w:t>
      </w:r>
      <w:r>
        <w:rPr>
          <w:rFonts w:hint="eastAsia" w:ascii="仿宋_GB2312" w:eastAsia="仿宋_GB2312"/>
          <w:b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万元。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全年按规定更新购置公务用车0辆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截至202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年12月底，</w:t>
      </w:r>
      <w:r>
        <w:rPr>
          <w:rFonts w:hint="eastAsia" w:ascii="仿宋_GB2312" w:eastAsia="仿宋_GB2312"/>
          <w:color w:val="auto"/>
          <w:sz w:val="32"/>
          <w:szCs w:val="32"/>
        </w:rPr>
        <w:t>市粮油质监站（包括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市救灾物资管理中心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物资装运货车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辆。</w:t>
      </w:r>
    </w:p>
    <w:p>
      <w:pPr>
        <w:spacing w:line="600" w:lineRule="exact"/>
        <w:ind w:firstLine="64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color w:val="auto"/>
          <w:sz w:val="32"/>
          <w:szCs w:val="32"/>
        </w:rPr>
        <w:t>公务用车运行维护费支出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1.28</w:t>
      </w:r>
      <w:r>
        <w:rPr>
          <w:rFonts w:hint="eastAsia" w:ascii="仿宋_GB2312" w:eastAsia="仿宋_GB2312"/>
          <w:color w:val="auto"/>
          <w:sz w:val="32"/>
          <w:szCs w:val="32"/>
        </w:rPr>
        <w:t>万元。主要用于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市救灾物资管理中心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车辆保险及维修维护费支出。</w:t>
      </w:r>
    </w:p>
    <w:p>
      <w:pPr>
        <w:spacing w:line="600" w:lineRule="exact"/>
        <w:ind w:firstLine="640"/>
        <w:rPr>
          <w:rFonts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b/>
          <w:color w:val="auto"/>
          <w:sz w:val="32"/>
          <w:szCs w:val="32"/>
        </w:rPr>
        <w:t>3.</w:t>
      </w:r>
      <w:r>
        <w:rPr>
          <w:rFonts w:hint="eastAsia" w:ascii="仿宋_GB2312" w:eastAsia="仿宋_GB2312"/>
          <w:b/>
          <w:color w:val="auto"/>
          <w:sz w:val="32"/>
          <w:szCs w:val="32"/>
        </w:rPr>
        <w:t>公务接待费支出</w:t>
      </w:r>
      <w:r>
        <w:rPr>
          <w:rFonts w:hint="eastAsia" w:ascii="仿宋_GB2312" w:eastAsia="仿宋_GB2312"/>
          <w:b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完成预算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0</w:t>
      </w:r>
      <w:r>
        <w:rPr>
          <w:rStyle w:val="21"/>
          <w:rFonts w:ascii="仿宋" w:hAnsi="仿宋" w:eastAsia="仿宋"/>
          <w:b w:val="0"/>
          <w:bCs/>
          <w:color w:val="auto"/>
          <w:sz w:val="32"/>
          <w:szCs w:val="32"/>
        </w:rPr>
        <w:t>%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，当年未发生公务接待支出</w:t>
      </w:r>
      <w:r>
        <w:rPr>
          <w:rStyle w:val="21"/>
          <w:rFonts w:hint="eastAsia" w:ascii="仿宋" w:hAnsi="仿宋" w:eastAsia="仿宋"/>
          <w:b w:val="0"/>
          <w:bCs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公务接待费支出决算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与</w:t>
      </w:r>
      <w:r>
        <w:rPr>
          <w:rFonts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2持平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其中：</w:t>
      </w:r>
    </w:p>
    <w:p>
      <w:pPr>
        <w:spacing w:line="600" w:lineRule="exact"/>
        <w:ind w:firstLine="64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国内公务接待支出</w:t>
      </w:r>
      <w:r>
        <w:rPr>
          <w:rFonts w:hint="eastAsia" w:ascii="仿宋" w:hAnsi="仿宋" w:eastAsia="仿宋"/>
          <w:b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万元，</w:t>
      </w:r>
      <w:bookmarkStart w:id="111" w:name="_Toc15377218"/>
      <w:bookmarkStart w:id="112" w:name="_Toc15396610"/>
      <w:r>
        <w:rPr>
          <w:rFonts w:hint="eastAsia" w:ascii="仿宋_GB2312" w:eastAsia="仿宋_GB2312"/>
          <w:color w:val="auto"/>
          <w:sz w:val="32"/>
          <w:szCs w:val="32"/>
        </w:rPr>
        <w:t>国内公务接待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批次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共计支出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600" w:lineRule="exact"/>
        <w:ind w:firstLine="642" w:firstLineChars="200"/>
        <w:rPr>
          <w:rFonts w:hint="eastAsia"/>
          <w:color w:val="auto"/>
          <w:lang w:eastAsia="zh-CN"/>
        </w:rPr>
      </w:pP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</w:rPr>
        <w:t>外事接待支出</w:t>
      </w:r>
      <w:r>
        <w:rPr>
          <w:rFonts w:hint="eastAsia" w:ascii="仿宋" w:hAnsi="仿宋" w:eastAsia="仿宋"/>
          <w:b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0"/>
        <w:outlineLvl w:val="1"/>
        <w:rPr>
          <w:rStyle w:val="24"/>
          <w:rFonts w:ascii="黑体" w:hAnsi="黑体" w:eastAsia="黑体"/>
          <w:color w:val="auto"/>
        </w:rPr>
      </w:pPr>
      <w:bookmarkStart w:id="113" w:name="_Toc9109"/>
      <w:bookmarkStart w:id="114" w:name="_Toc3122"/>
      <w:r>
        <w:rPr>
          <w:rFonts w:hint="eastAsia" w:ascii="黑体" w:eastAsia="黑体"/>
          <w:color w:val="auto"/>
          <w:sz w:val="32"/>
          <w:szCs w:val="32"/>
        </w:rPr>
        <w:t>八、</w:t>
      </w:r>
      <w:r>
        <w:rPr>
          <w:rStyle w:val="24"/>
          <w:rFonts w:hint="eastAsia" w:ascii="黑体" w:hAnsi="黑体" w:eastAsia="黑体"/>
          <w:b w:val="0"/>
          <w:color w:val="auto"/>
        </w:rPr>
        <w:t>政府性基金预算支出决算情况说明</w:t>
      </w:r>
      <w:bookmarkEnd w:id="111"/>
      <w:bookmarkEnd w:id="112"/>
      <w:bookmarkEnd w:id="113"/>
      <w:bookmarkEnd w:id="114"/>
    </w:p>
    <w:p>
      <w:pPr>
        <w:spacing w:line="600" w:lineRule="exact"/>
        <w:ind w:firstLine="64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color w:val="auto"/>
          <w:sz w:val="32"/>
          <w:szCs w:val="32"/>
        </w:rPr>
        <w:t>无政府性基金预算财政拨款支出。</w:t>
      </w:r>
    </w:p>
    <w:p>
      <w:pPr>
        <w:pStyle w:val="2"/>
        <w:rPr>
          <w:color w:val="auto"/>
        </w:rPr>
      </w:pPr>
    </w:p>
    <w:p>
      <w:pPr>
        <w:numPr>
          <w:ilvl w:val="0"/>
          <w:numId w:val="2"/>
        </w:numPr>
        <w:spacing w:line="600" w:lineRule="exact"/>
        <w:ind w:firstLine="64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115" w:name="_Toc15377219"/>
      <w:bookmarkStart w:id="116" w:name="_Toc16341"/>
      <w:bookmarkStart w:id="117" w:name="_Toc15010"/>
      <w:bookmarkStart w:id="118" w:name="_Toc15396611"/>
      <w:r>
        <w:rPr>
          <w:rStyle w:val="24"/>
          <w:rFonts w:hint="eastAsia" w:ascii="黑体" w:hAnsi="黑体" w:eastAsia="黑体"/>
          <w:b w:val="0"/>
          <w:color w:val="auto"/>
        </w:rPr>
        <w:t>国有资本经营预算支出决算情况说明</w:t>
      </w:r>
      <w:bookmarkEnd w:id="115"/>
      <w:bookmarkEnd w:id="116"/>
      <w:bookmarkEnd w:id="117"/>
      <w:bookmarkEnd w:id="118"/>
    </w:p>
    <w:p>
      <w:pPr>
        <w:spacing w:line="600" w:lineRule="exact"/>
        <w:ind w:firstLine="64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color w:val="auto"/>
          <w:sz w:val="32"/>
          <w:szCs w:val="32"/>
        </w:rPr>
        <w:t>无国有资本经营预算财政拨款支出。</w:t>
      </w:r>
      <w:bookmarkStart w:id="119" w:name="_Toc15396612"/>
      <w:bookmarkStart w:id="120" w:name="_Toc15377221"/>
    </w:p>
    <w:p>
      <w:pPr>
        <w:pStyle w:val="16"/>
        <w:rPr>
          <w:rFonts w:hint="eastAsia" w:ascii="仿宋_GB2312" w:eastAsia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p>
      <w:pPr>
        <w:numPr>
          <w:ilvl w:val="0"/>
          <w:numId w:val="2"/>
        </w:numPr>
        <w:spacing w:line="600" w:lineRule="exact"/>
        <w:ind w:firstLine="640"/>
        <w:outlineLvl w:val="1"/>
        <w:rPr>
          <w:rStyle w:val="24"/>
          <w:rFonts w:ascii="黑体" w:hAnsi="黑体" w:eastAsia="黑体"/>
          <w:b w:val="0"/>
          <w:color w:val="auto"/>
        </w:rPr>
      </w:pPr>
      <w:bookmarkStart w:id="121" w:name="_Toc12798"/>
      <w:bookmarkStart w:id="122" w:name="_Toc21271"/>
      <w:r>
        <w:rPr>
          <w:rStyle w:val="24"/>
          <w:rFonts w:hint="eastAsia" w:ascii="黑体" w:hAnsi="黑体" w:eastAsia="黑体"/>
          <w:b w:val="0"/>
          <w:color w:val="auto"/>
        </w:rPr>
        <w:t>其他重要事项的情况说明</w:t>
      </w:r>
      <w:bookmarkEnd w:id="119"/>
      <w:bookmarkEnd w:id="120"/>
      <w:bookmarkEnd w:id="121"/>
      <w:bookmarkEnd w:id="122"/>
    </w:p>
    <w:p>
      <w:pPr>
        <w:spacing w:line="600" w:lineRule="exact"/>
        <w:ind w:firstLine="642" w:firstLineChars="200"/>
        <w:outlineLvl w:val="2"/>
        <w:rPr>
          <w:rFonts w:ascii="仿宋" w:hAnsi="仿宋" w:eastAsia="仿宋"/>
          <w:color w:val="auto"/>
          <w:sz w:val="32"/>
          <w:szCs w:val="32"/>
        </w:rPr>
      </w:pPr>
      <w:bookmarkStart w:id="123" w:name="_Toc26677"/>
      <w:bookmarkStart w:id="124" w:name="_Toc15377222"/>
      <w:bookmarkStart w:id="125" w:name="_Toc12885"/>
      <w:bookmarkStart w:id="126" w:name="_Toc536"/>
      <w:r>
        <w:rPr>
          <w:rFonts w:hint="eastAsia" w:ascii="仿宋" w:hAnsi="仿宋" w:eastAsia="仿宋"/>
          <w:b/>
          <w:color w:val="auto"/>
          <w:sz w:val="32"/>
          <w:szCs w:val="32"/>
        </w:rPr>
        <w:t>（一）机关运行经费支出情况</w:t>
      </w:r>
      <w:bookmarkEnd w:id="123"/>
      <w:bookmarkEnd w:id="124"/>
      <w:bookmarkEnd w:id="125"/>
      <w:bookmarkEnd w:id="126"/>
    </w:p>
    <w:p>
      <w:pPr>
        <w:spacing w:line="576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bookmarkStart w:id="127" w:name="_Toc15377223"/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我站为公益一类事业单位，202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年未发生机关运行经费支出，与202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年决算数持平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>
      <w:pPr>
        <w:autoSpaceDE w:val="0"/>
        <w:autoSpaceDN w:val="0"/>
        <w:adjustRightInd w:val="0"/>
        <w:spacing w:line="600" w:lineRule="exact"/>
        <w:ind w:firstLine="642" w:firstLineChars="200"/>
        <w:jc w:val="left"/>
        <w:outlineLvl w:val="2"/>
        <w:rPr>
          <w:rFonts w:ascii="仿宋" w:hAnsi="仿宋" w:eastAsia="仿宋"/>
          <w:b/>
          <w:color w:val="auto"/>
          <w:sz w:val="32"/>
          <w:szCs w:val="32"/>
        </w:rPr>
      </w:pPr>
      <w:bookmarkStart w:id="128" w:name="_Toc1402"/>
      <w:bookmarkStart w:id="129" w:name="_Toc8421"/>
      <w:bookmarkStart w:id="130" w:name="_Toc15143"/>
      <w:r>
        <w:rPr>
          <w:rFonts w:hint="eastAsia" w:ascii="仿宋" w:hAnsi="仿宋" w:eastAsia="仿宋"/>
          <w:b/>
          <w:color w:val="auto"/>
          <w:sz w:val="32"/>
          <w:szCs w:val="32"/>
        </w:rPr>
        <w:t>（二）政府采购支出情况</w:t>
      </w:r>
      <w:bookmarkEnd w:id="127"/>
      <w:bookmarkEnd w:id="128"/>
      <w:bookmarkEnd w:id="129"/>
      <w:bookmarkEnd w:id="130"/>
    </w:p>
    <w:p>
      <w:pPr>
        <w:spacing w:line="600" w:lineRule="exact"/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年，我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color w:val="auto"/>
          <w:sz w:val="32"/>
          <w:szCs w:val="32"/>
        </w:rPr>
        <w:t>政府采购支出总额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207.29</w:t>
      </w:r>
      <w:r>
        <w:rPr>
          <w:rFonts w:hint="eastAsia" w:ascii="仿宋_GB2312" w:eastAsia="仿宋_GB2312"/>
          <w:color w:val="auto"/>
          <w:sz w:val="32"/>
          <w:szCs w:val="32"/>
        </w:rPr>
        <w:t>万元，其中：政府采购货物支出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207.29</w:t>
      </w:r>
      <w:r>
        <w:rPr>
          <w:rFonts w:hint="eastAsia" w:ascii="仿宋_GB2312" w:eastAsia="仿宋_GB2312"/>
          <w:color w:val="auto"/>
          <w:sz w:val="32"/>
          <w:szCs w:val="32"/>
        </w:rPr>
        <w:t>万元。主要用于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专用设备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及救灾物资的采购</w:t>
      </w:r>
      <w:r>
        <w:rPr>
          <w:rFonts w:hint="eastAsia" w:ascii="仿宋_GB2312" w:eastAsia="仿宋_GB2312"/>
          <w:color w:val="auto"/>
          <w:sz w:val="32"/>
          <w:szCs w:val="32"/>
        </w:rPr>
        <w:t>。授予中小企业合同金额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207.29</w:t>
      </w:r>
      <w:r>
        <w:rPr>
          <w:rFonts w:hint="eastAsia" w:ascii="仿宋_GB2312" w:eastAsia="仿宋_GB2312"/>
          <w:color w:val="auto"/>
          <w:sz w:val="32"/>
          <w:szCs w:val="32"/>
        </w:rPr>
        <w:t>万元，占政府采购支出总额的100</w:t>
      </w:r>
      <w:r>
        <w:rPr>
          <w:rFonts w:ascii="仿宋_GB2312" w:eastAsia="仿宋_GB2312"/>
          <w:color w:val="auto"/>
          <w:sz w:val="32"/>
          <w:szCs w:val="32"/>
        </w:rPr>
        <w:t>%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其中：授予小微企业合同金额207.29万元，占政府采购支出总额的100%。</w:t>
      </w:r>
    </w:p>
    <w:p>
      <w:pPr>
        <w:autoSpaceDE w:val="0"/>
        <w:autoSpaceDN w:val="0"/>
        <w:adjustRightInd w:val="0"/>
        <w:spacing w:line="600" w:lineRule="exact"/>
        <w:ind w:firstLine="642" w:firstLineChars="200"/>
        <w:jc w:val="left"/>
        <w:outlineLvl w:val="2"/>
        <w:rPr>
          <w:rFonts w:ascii="仿宋" w:hAnsi="仿宋" w:eastAsia="仿宋"/>
          <w:b/>
          <w:color w:val="auto"/>
          <w:sz w:val="32"/>
          <w:szCs w:val="32"/>
        </w:rPr>
      </w:pPr>
      <w:bookmarkStart w:id="131" w:name="_Toc19085"/>
      <w:bookmarkStart w:id="132" w:name="_Toc15377224"/>
      <w:bookmarkStart w:id="133" w:name="_Toc16963"/>
      <w:bookmarkStart w:id="134" w:name="_Toc20096"/>
      <w:r>
        <w:rPr>
          <w:rFonts w:hint="eastAsia" w:ascii="仿宋" w:hAnsi="仿宋" w:eastAsia="仿宋"/>
          <w:b/>
          <w:color w:val="auto"/>
          <w:sz w:val="32"/>
          <w:szCs w:val="32"/>
        </w:rPr>
        <w:t>（三）国有资产占有使用情况</w:t>
      </w:r>
      <w:bookmarkEnd w:id="131"/>
      <w:bookmarkEnd w:id="132"/>
      <w:bookmarkEnd w:id="133"/>
      <w:bookmarkEnd w:id="134"/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截至</w:t>
      </w:r>
      <w:r>
        <w:rPr>
          <w:rFonts w:ascii="仿宋_GB2312" w:eastAsia="仿宋_GB2312"/>
          <w:color w:val="auto"/>
          <w:sz w:val="32"/>
          <w:szCs w:val="32"/>
        </w:rPr>
        <w:t>20</w:t>
      </w:r>
      <w:r>
        <w:rPr>
          <w:rFonts w:hint="eastAsia" w:asci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ascii="仿宋_GB2312" w:eastAsia="仿宋_GB2312"/>
          <w:color w:val="auto"/>
          <w:sz w:val="32"/>
          <w:szCs w:val="32"/>
        </w:rPr>
        <w:t>12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ascii="仿宋_GB2312" w:eastAsia="仿宋_GB2312"/>
          <w:color w:val="auto"/>
          <w:sz w:val="32"/>
          <w:szCs w:val="32"/>
        </w:rPr>
        <w:t>31</w:t>
      </w:r>
      <w:r>
        <w:rPr>
          <w:rFonts w:hint="eastAsia" w:ascii="仿宋_GB2312" w:eastAsia="仿宋_GB2312"/>
          <w:color w:val="auto"/>
          <w:sz w:val="32"/>
          <w:szCs w:val="32"/>
        </w:rPr>
        <w:t>日，我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站</w:t>
      </w:r>
      <w:r>
        <w:rPr>
          <w:rFonts w:hint="eastAsia" w:ascii="仿宋_GB2312" w:eastAsia="仿宋_GB2312"/>
          <w:color w:val="auto"/>
          <w:sz w:val="32"/>
          <w:szCs w:val="32"/>
        </w:rPr>
        <w:t>共有车辆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辆，其中：其他用车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bookmarkStart w:id="190" w:name="_GoBack"/>
      <w:bookmarkEnd w:id="190"/>
      <w:r>
        <w:rPr>
          <w:rFonts w:hint="eastAsia" w:ascii="仿宋_GB2312" w:eastAsia="仿宋_GB2312"/>
          <w:color w:val="auto"/>
          <w:sz w:val="32"/>
          <w:szCs w:val="32"/>
        </w:rPr>
        <w:t>辆。其他用车主要是用于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市救灾物资管理中心</w:t>
      </w:r>
      <w:r>
        <w:rPr>
          <w:rFonts w:hint="eastAsia" w:ascii="仿宋_GB2312" w:eastAsia="仿宋_GB2312"/>
          <w:color w:val="auto"/>
          <w:sz w:val="32"/>
          <w:szCs w:val="32"/>
        </w:rPr>
        <w:t>日常工作任务开展用车。单价</w:t>
      </w:r>
      <w:r>
        <w:rPr>
          <w:rFonts w:ascii="仿宋_GB2312" w:eastAsia="仿宋_GB2312"/>
          <w:color w:val="auto"/>
          <w:sz w:val="32"/>
          <w:szCs w:val="32"/>
        </w:rPr>
        <w:t>100</w:t>
      </w:r>
      <w:r>
        <w:rPr>
          <w:rFonts w:hint="eastAsia" w:ascii="仿宋_GB2312" w:eastAsia="仿宋_GB2312"/>
          <w:color w:val="auto"/>
          <w:sz w:val="32"/>
          <w:szCs w:val="32"/>
        </w:rPr>
        <w:t>万元以上专用设备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</w:rPr>
        <w:t>台（套）。</w:t>
      </w:r>
      <w:bookmarkStart w:id="135" w:name="_Toc7892"/>
    </w:p>
    <w:p>
      <w:pPr>
        <w:autoSpaceDE w:val="0"/>
        <w:autoSpaceDN w:val="0"/>
        <w:adjustRightInd w:val="0"/>
        <w:spacing w:line="600" w:lineRule="exact"/>
        <w:ind w:firstLine="640" w:firstLineChars="200"/>
        <w:jc w:val="left"/>
        <w:outlineLvl w:val="2"/>
        <w:rPr>
          <w:rStyle w:val="24"/>
          <w:rFonts w:ascii="黑体" w:hAnsi="黑体" w:eastAsia="黑体"/>
          <w:b w:val="0"/>
          <w:color w:val="auto"/>
        </w:rPr>
      </w:pPr>
      <w:bookmarkStart w:id="136" w:name="_Toc8522"/>
      <w:bookmarkStart w:id="137" w:name="_Toc26911"/>
      <w:r>
        <w:rPr>
          <w:rStyle w:val="24"/>
          <w:rFonts w:hint="eastAsia" w:ascii="黑体" w:hAnsi="黑体" w:eastAsia="黑体"/>
          <w:b w:val="0"/>
          <w:color w:val="auto"/>
          <w:lang w:eastAsia="zh-CN"/>
        </w:rPr>
        <w:t>（四）</w:t>
      </w:r>
      <w:r>
        <w:rPr>
          <w:rStyle w:val="24"/>
          <w:rFonts w:hint="eastAsia" w:ascii="黑体" w:hAnsi="黑体" w:eastAsia="黑体"/>
          <w:b w:val="0"/>
          <w:color w:val="auto"/>
        </w:rPr>
        <w:t>预算绩效管理情况</w:t>
      </w:r>
      <w:bookmarkEnd w:id="135"/>
      <w:bookmarkEnd w:id="136"/>
    </w:p>
    <w:bookmarkEnd w:id="137"/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根据预算绩效管理要求，本单位在202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年度预算编制阶段，组织对粮食质量安全检验监测工作经费、实验室基础设施及仪器设备运行维护费、救灾物资装卸、翻晒、维护、保养、运输及仓库守库人员和保安人员工作经费等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个项目开展了预算事前绩效评估，对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个项目编制了绩效目标，预算执行过程中，选取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个项目开展绩效监控，年终执行完毕后，对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个项目开展了绩效自评，绩效自评表详见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第四部分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附件。</w:t>
      </w:r>
    </w:p>
    <w:p>
      <w:pPr>
        <w:pStyle w:val="16"/>
        <w:rPr>
          <w:color w:val="auto"/>
        </w:rPr>
      </w:pPr>
    </w:p>
    <w:p>
      <w:pPr>
        <w:pStyle w:val="2"/>
        <w:spacing w:before="93"/>
        <w:rPr>
          <w:color w:val="auto"/>
          <w:highlight w:val="yellow"/>
        </w:rPr>
      </w:pPr>
    </w:p>
    <w:p>
      <w:pPr>
        <w:widowControl/>
        <w:jc w:val="left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ascii="仿宋_GB2312" w:eastAsia="仿宋_GB2312"/>
          <w:b/>
          <w:color w:val="auto"/>
          <w:sz w:val="32"/>
          <w:szCs w:val="32"/>
        </w:rPr>
        <w:br w:type="page"/>
      </w:r>
    </w:p>
    <w:p>
      <w:pPr>
        <w:numPr>
          <w:ilvl w:val="0"/>
          <w:numId w:val="3"/>
        </w:numPr>
        <w:spacing w:line="600" w:lineRule="exact"/>
        <w:ind w:firstLine="660" w:firstLineChars="150"/>
        <w:jc w:val="center"/>
        <w:outlineLvl w:val="0"/>
        <w:rPr>
          <w:rStyle w:val="23"/>
          <w:rFonts w:ascii="黑体" w:hAnsi="黑体" w:eastAsia="黑体"/>
          <w:b w:val="0"/>
          <w:color w:val="auto"/>
        </w:rPr>
      </w:pPr>
      <w:bookmarkStart w:id="138" w:name="_Toc15396613"/>
      <w:bookmarkStart w:id="139" w:name="_Toc28594"/>
      <w:bookmarkStart w:id="140" w:name="_Toc17789"/>
      <w:bookmarkStart w:id="141" w:name="_Toc15377225"/>
      <w:r>
        <w:rPr>
          <w:rFonts w:hint="eastAsia" w:ascii="黑体" w:hAnsi="黑体" w:eastAsia="黑体"/>
          <w:color w:val="auto"/>
          <w:sz w:val="44"/>
          <w:szCs w:val="44"/>
        </w:rPr>
        <w:t>名</w:t>
      </w:r>
      <w:r>
        <w:rPr>
          <w:rStyle w:val="23"/>
          <w:rFonts w:hint="eastAsia" w:ascii="黑体" w:hAnsi="黑体" w:eastAsia="黑体"/>
          <w:b w:val="0"/>
          <w:color w:val="auto"/>
        </w:rPr>
        <w:t>词解释</w:t>
      </w:r>
      <w:bookmarkEnd w:id="138"/>
      <w:bookmarkEnd w:id="139"/>
      <w:bookmarkEnd w:id="140"/>
      <w:bookmarkEnd w:id="141"/>
    </w:p>
    <w:p>
      <w:pPr>
        <w:spacing w:line="600" w:lineRule="exact"/>
        <w:jc w:val="left"/>
        <w:rPr>
          <w:rFonts w:ascii="宋体"/>
          <w:b/>
          <w:color w:val="auto"/>
          <w:sz w:val="44"/>
          <w:szCs w:val="44"/>
        </w:rPr>
      </w:pPr>
    </w:p>
    <w:p>
      <w:pPr>
        <w:pStyle w:val="32"/>
        <w:numPr>
          <w:ilvl w:val="0"/>
          <w:numId w:val="4"/>
        </w:numPr>
        <w:spacing w:line="560" w:lineRule="exact"/>
        <w:ind w:left="425" w:leftChars="0" w:hanging="42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财政拨款收入：指单位从同级财政部门取得的财政预算资金。</w:t>
      </w:r>
    </w:p>
    <w:p>
      <w:pPr>
        <w:pStyle w:val="32"/>
        <w:numPr>
          <w:ilvl w:val="0"/>
          <w:numId w:val="4"/>
        </w:numPr>
        <w:spacing w:line="560" w:lineRule="exact"/>
        <w:ind w:left="425" w:leftChars="0" w:hanging="425" w:firstLine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其他收入：指单位取得的除上述收入以外的各项收入。主要是账户存款利息收入等。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pStyle w:val="32"/>
        <w:numPr>
          <w:ilvl w:val="0"/>
          <w:numId w:val="4"/>
        </w:numPr>
        <w:spacing w:line="560" w:lineRule="exact"/>
        <w:ind w:left="425" w:leftChars="0" w:hanging="425" w:firstLine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年初结转和结余：指以前年度尚未完成、结转到本年按有关规定继续使用的资金。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pStyle w:val="32"/>
        <w:numPr>
          <w:ilvl w:val="0"/>
          <w:numId w:val="4"/>
        </w:numPr>
        <w:spacing w:line="560" w:lineRule="exact"/>
        <w:ind w:left="425" w:leftChars="0" w:hanging="425" w:firstLine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年末结转和结余：指单位按有关规定结转到下年或以后年度继续使用的资金。</w:t>
      </w:r>
    </w:p>
    <w:p>
      <w:pPr>
        <w:pStyle w:val="32"/>
        <w:numPr>
          <w:ilvl w:val="0"/>
          <w:numId w:val="0"/>
        </w:numPr>
        <w:spacing w:line="560" w:lineRule="exact"/>
        <w:ind w:leftChars="0"/>
        <w:rPr>
          <w:color w:val="auto"/>
        </w:rPr>
      </w:pP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lang w:eastAsia="zh-CN"/>
        </w:rPr>
        <w:t>5.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社会保障和就业支出（类）行政事业单位养老支出（款）</w:t>
      </w: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lang w:eastAsia="zh-CN"/>
        </w:rPr>
        <w:t xml:space="preserve">  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机关事业单位基本养老保险缴费支出（项）指本单位人员养老保险支出。</w:t>
      </w:r>
    </w:p>
    <w:p>
      <w:pPr>
        <w:pStyle w:val="32"/>
        <w:numPr>
          <w:ilvl w:val="0"/>
          <w:numId w:val="0"/>
        </w:numPr>
        <w:spacing w:line="560" w:lineRule="exact"/>
        <w:ind w:leftChars="0"/>
        <w:rPr>
          <w:color w:val="auto"/>
        </w:rPr>
      </w:pP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lang w:eastAsia="zh-CN"/>
        </w:rPr>
        <w:t>6.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社会保障和就业支出（类）行政事业单位养老支出（款）机关事业单位职业年金缴费支出（项）指本单位退休人中职业年金纪实支出。</w:t>
      </w:r>
    </w:p>
    <w:p>
      <w:pPr>
        <w:pStyle w:val="32"/>
        <w:numPr>
          <w:ilvl w:val="0"/>
          <w:numId w:val="0"/>
        </w:numPr>
        <w:spacing w:line="560" w:lineRule="exact"/>
        <w:ind w:leftChars="0"/>
        <w:rPr>
          <w:color w:val="auto"/>
        </w:rPr>
      </w:pPr>
      <w:r>
        <w:rPr>
          <w:rFonts w:hint="default" w:ascii="仿宋_GB2312" w:eastAsia="仿宋_GB2312"/>
          <w:b w:val="0"/>
          <w:bCs w:val="0"/>
          <w:color w:val="auto"/>
          <w:sz w:val="32"/>
          <w:szCs w:val="32"/>
          <w:lang w:eastAsia="zh-CN"/>
        </w:rPr>
        <w:t>7.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社会保障和就业支出（类）其他社会保障和就业支出（款）其他社会保障和就业支出（项）指本单位其他社会保障缴费。</w:t>
      </w:r>
    </w:p>
    <w:p>
      <w:pPr>
        <w:pStyle w:val="32"/>
        <w:numPr>
          <w:ilvl w:val="0"/>
          <w:numId w:val="0"/>
        </w:numPr>
        <w:spacing w:line="560" w:lineRule="exact"/>
        <w:ind w:leftChars="0"/>
        <w:rPr>
          <w:color w:val="auto"/>
        </w:rPr>
      </w:pPr>
      <w:r>
        <w:rPr>
          <w:rFonts w:hint="default" w:hAnsi="仿宋"/>
          <w:b w:val="0"/>
          <w:bCs w:val="0"/>
          <w:color w:val="auto"/>
          <w:sz w:val="32"/>
          <w:szCs w:val="32"/>
        </w:rPr>
        <w:t>8.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卫生健康支出</w:t>
      </w:r>
      <w:r>
        <w:rPr>
          <w:rStyle w:val="21"/>
          <w:rFonts w:hint="eastAsia" w:ascii="仿宋" w:hAnsi="仿宋" w:eastAsia="仿宋"/>
          <w:b w:val="0"/>
          <w:bCs w:val="0"/>
          <w:color w:val="auto"/>
          <w:sz w:val="32"/>
          <w:szCs w:val="32"/>
        </w:rPr>
        <w:t>（类）行政</w:t>
      </w:r>
      <w:r>
        <w:rPr>
          <w:rStyle w:val="21"/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事业</w:t>
      </w:r>
      <w:r>
        <w:rPr>
          <w:rStyle w:val="21"/>
          <w:rFonts w:hint="eastAsia" w:ascii="仿宋" w:hAnsi="仿宋" w:eastAsia="仿宋"/>
          <w:b w:val="0"/>
          <w:bCs w:val="0"/>
          <w:color w:val="auto"/>
          <w:sz w:val="32"/>
          <w:szCs w:val="32"/>
        </w:rPr>
        <w:t>单位医疗（款）</w:t>
      </w:r>
      <w:r>
        <w:rPr>
          <w:rStyle w:val="21"/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事业</w:t>
      </w:r>
      <w:r>
        <w:rPr>
          <w:rStyle w:val="21"/>
          <w:rFonts w:hint="eastAsia" w:ascii="仿宋" w:hAnsi="仿宋" w:eastAsia="仿宋"/>
          <w:b w:val="0"/>
          <w:bCs w:val="0"/>
          <w:color w:val="auto"/>
          <w:sz w:val="32"/>
          <w:szCs w:val="32"/>
        </w:rPr>
        <w:t>单位医疗（项）指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eastAsia="zh-CN"/>
        </w:rPr>
        <w:t>事业单位人员</w:t>
      </w: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</w:rPr>
        <w:t>医疗保险支出</w:t>
      </w:r>
      <w:r>
        <w:rPr>
          <w:rStyle w:val="21"/>
          <w:rFonts w:hint="eastAsia" w:ascii="仿宋" w:hAnsi="仿宋" w:eastAsia="仿宋"/>
          <w:b w:val="0"/>
          <w:bCs w:val="0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spacing w:line="600" w:lineRule="exact"/>
        <w:ind w:leftChars="0"/>
        <w:rPr>
          <w:color w:val="auto"/>
        </w:rPr>
      </w:pPr>
      <w:r>
        <w:rPr>
          <w:rFonts w:hint="default" w:ascii="仿宋" w:hAnsi="仿宋" w:eastAsia="仿宋"/>
          <w:b w:val="0"/>
          <w:bCs w:val="0"/>
          <w:color w:val="auto"/>
          <w:sz w:val="32"/>
          <w:szCs w:val="32"/>
        </w:rPr>
        <w:t>9.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住房保障支出（类）住房改革支出（款）住房公积金（项）指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事业单位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人员住房公积金缴费支出。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default" w:ascii="仿宋_GB2312" w:hAnsi="仿宋" w:eastAsia="仿宋_GB2312"/>
          <w:color w:val="auto"/>
          <w:sz w:val="32"/>
          <w:szCs w:val="32"/>
        </w:rPr>
        <w:t>10.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事务（款）专项业务活动（项）反映粮食体制改革、制度研究、军粮供应等专项业务活动。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default" w:ascii="仿宋_GB2312" w:hAnsi="仿宋" w:eastAsia="仿宋_GB2312"/>
          <w:color w:val="auto"/>
          <w:sz w:val="32"/>
          <w:szCs w:val="32"/>
        </w:rPr>
        <w:t>11.</w:t>
      </w:r>
      <w:r>
        <w:rPr>
          <w:rFonts w:hint="eastAsia" w:ascii="仿宋_GB2312" w:eastAsia="仿宋_GB2312"/>
          <w:color w:val="auto"/>
          <w:sz w:val="32"/>
          <w:szCs w:val="32"/>
        </w:rPr>
        <w:t>粮油物资储备支出（类）粮油物资事务（款）物资保管保养（项）是用于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我站（市救灾物资中心）</w:t>
      </w:r>
      <w:r>
        <w:rPr>
          <w:rFonts w:hint="eastAsia" w:ascii="仿宋_GB2312" w:eastAsia="仿宋_GB2312"/>
          <w:color w:val="auto"/>
          <w:sz w:val="32"/>
          <w:szCs w:val="32"/>
        </w:rPr>
        <w:t>救灾物资仓库守库、装卸、翻晒、保养、运输方面的支出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pStyle w:val="32"/>
        <w:numPr>
          <w:ilvl w:val="0"/>
          <w:numId w:val="0"/>
        </w:numPr>
        <w:spacing w:line="560" w:lineRule="exact"/>
        <w:ind w:leftChars="0"/>
        <w:rPr>
          <w:rFonts w:hint="eastAsia"/>
          <w:color w:val="auto"/>
        </w:rPr>
      </w:pPr>
      <w:r>
        <w:rPr>
          <w:rFonts w:hint="default" w:ascii="仿宋_GB2312" w:hAnsi="仿宋" w:eastAsia="仿宋_GB2312"/>
          <w:color w:val="auto"/>
          <w:sz w:val="32"/>
          <w:szCs w:val="32"/>
        </w:rPr>
        <w:t>12.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油物资储备支出（类）粮油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事务（款）事业运行（项）反映事业单位的基本支出。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hint="eastAsia"/>
          <w:color w:val="auto"/>
        </w:rPr>
      </w:pPr>
      <w:r>
        <w:rPr>
          <w:rFonts w:hint="default" w:ascii="仿宋_GB2312" w:hAnsi="仿宋" w:eastAsia="仿宋_GB2312"/>
          <w:color w:val="auto"/>
          <w:sz w:val="32"/>
          <w:szCs w:val="32"/>
        </w:rPr>
        <w:t>13.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粮油物资储备支出（类）粮油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事务（款）其他粮油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事务支出（项）反映除上述项目以外其他用于粮油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物资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事务方面的支出。</w:t>
      </w:r>
    </w:p>
    <w:p>
      <w:pPr>
        <w:numPr>
          <w:ilvl w:val="0"/>
          <w:numId w:val="0"/>
        </w:numPr>
        <w:spacing w:line="600" w:lineRule="exact"/>
        <w:ind w:leftChars="0"/>
        <w:rPr>
          <w:color w:val="auto"/>
        </w:rPr>
      </w:pPr>
      <w:r>
        <w:rPr>
          <w:rFonts w:hint="default" w:ascii="仿宋_GB2312" w:eastAsia="仿宋_GB2312"/>
          <w:color w:val="auto"/>
          <w:sz w:val="32"/>
          <w:szCs w:val="32"/>
        </w:rPr>
        <w:t>14.</w:t>
      </w:r>
      <w:r>
        <w:rPr>
          <w:rFonts w:hint="eastAsia" w:ascii="仿宋_GB2312" w:eastAsia="仿宋_GB2312"/>
          <w:color w:val="auto"/>
          <w:sz w:val="32"/>
          <w:szCs w:val="32"/>
        </w:rPr>
        <w:t>粮油物资储备支出（类）重要商品储备（款）应急物资储备（项）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指采购救灾物资储备支出。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15.</w:t>
      </w:r>
      <w:r>
        <w:rPr>
          <w:rFonts w:hint="eastAsia" w:ascii="仿宋_GB2312" w:eastAsia="仿宋_GB2312"/>
          <w:color w:val="auto"/>
          <w:sz w:val="32"/>
          <w:szCs w:val="32"/>
        </w:rPr>
        <w:t>基本支出：指为保障机构正常运转、完成日常工作任务而发生的人员支出和公用支出。</w:t>
      </w:r>
    </w:p>
    <w:p>
      <w:pPr>
        <w:numPr>
          <w:ilvl w:val="0"/>
          <w:numId w:val="0"/>
        </w:numPr>
        <w:spacing w:line="600" w:lineRule="exact"/>
        <w:ind w:leftChars="0"/>
        <w:rPr>
          <w:rFonts w:ascii="仿宋_GB2312" w:eastAsia="仿宋_GB2312"/>
          <w:color w:val="auto"/>
          <w:sz w:val="32"/>
          <w:szCs w:val="32"/>
        </w:rPr>
      </w:pPr>
      <w:r>
        <w:rPr>
          <w:rFonts w:hint="default" w:ascii="仿宋_GB2312" w:eastAsia="仿宋_GB2312"/>
          <w:color w:val="auto"/>
          <w:sz w:val="32"/>
          <w:szCs w:val="32"/>
        </w:rPr>
        <w:t>16.</w:t>
      </w:r>
      <w:r>
        <w:rPr>
          <w:rFonts w:hint="eastAsia" w:ascii="仿宋_GB2312" w:eastAsia="仿宋_GB2312"/>
          <w:color w:val="auto"/>
          <w:sz w:val="32"/>
          <w:szCs w:val="32"/>
        </w:rPr>
        <w:t>项目支出：指在基本支出之外为完成特定事业发展目标所发生的支出。</w:t>
      </w:r>
      <w:r>
        <w:rPr>
          <w:rFonts w:ascii="仿宋_GB2312" w:eastAsia="仿宋_GB2312"/>
          <w:color w:val="auto"/>
          <w:sz w:val="32"/>
          <w:szCs w:val="32"/>
        </w:rPr>
        <w:t xml:space="preserve"> </w:t>
      </w:r>
    </w:p>
    <w:p>
      <w:pPr>
        <w:numPr>
          <w:ilvl w:val="0"/>
          <w:numId w:val="0"/>
        </w:numPr>
        <w:spacing w:line="600" w:lineRule="exact"/>
        <w:ind w:leftChars="0"/>
        <w:rPr>
          <w:color w:val="auto"/>
        </w:rPr>
      </w:pPr>
      <w:r>
        <w:rPr>
          <w:rFonts w:hint="default" w:ascii="仿宋_GB2312" w:eastAsia="仿宋_GB2312"/>
          <w:color w:val="auto"/>
          <w:sz w:val="32"/>
          <w:szCs w:val="32"/>
        </w:rPr>
        <w:t>17.</w:t>
      </w:r>
      <w:r>
        <w:rPr>
          <w:rFonts w:hint="eastAsia" w:ascii="仿宋_GB2312" w:eastAsia="仿宋_GB2312"/>
          <w:color w:val="auto"/>
          <w:sz w:val="32"/>
          <w:szCs w:val="32"/>
        </w:rPr>
        <w:t>“三公”经费：指单位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等支出；公务接待费反映单位按规定开支的各类公务接待（含外宾接待）支出。</w:t>
      </w:r>
      <w:bookmarkStart w:id="142" w:name="_Toc15377226"/>
    </w:p>
    <w:p>
      <w:pPr>
        <w:spacing w:beforeLines="0" w:afterLines="0" w:line="600" w:lineRule="exact"/>
        <w:jc w:val="center"/>
        <w:outlineLvl w:val="0"/>
        <w:rPr>
          <w:rStyle w:val="23"/>
          <w:rFonts w:hint="eastAsia" w:ascii="黑体" w:hAnsi="黑体" w:eastAsia="黑体"/>
          <w:b w:val="0"/>
          <w:color w:val="auto"/>
          <w:sz w:val="44"/>
          <w:szCs w:val="24"/>
        </w:rPr>
      </w:pPr>
      <w:bookmarkStart w:id="143" w:name="_Toc6997"/>
      <w:bookmarkStart w:id="144" w:name="_Toc13567"/>
      <w:bookmarkStart w:id="145" w:name="_Toc22559"/>
      <w:bookmarkStart w:id="146" w:name="_Toc15396618"/>
      <w:bookmarkStart w:id="147" w:name="_Toc30229"/>
      <w:r>
        <w:rPr>
          <w:rFonts w:hint="eastAsia" w:ascii="黑体" w:hAnsi="黑体" w:eastAsia="黑体"/>
          <w:color w:val="auto"/>
          <w:sz w:val="44"/>
          <w:szCs w:val="44"/>
        </w:rPr>
        <w:t>第</w:t>
      </w:r>
      <w:r>
        <w:rPr>
          <w:rStyle w:val="23"/>
          <w:rFonts w:hint="eastAsia" w:ascii="黑体" w:hAnsi="黑体" w:eastAsia="黑体"/>
          <w:b w:val="0"/>
          <w:color w:val="auto"/>
          <w:sz w:val="44"/>
          <w:szCs w:val="24"/>
        </w:rPr>
        <w:t>四部分 附件</w:t>
      </w:r>
      <w:bookmarkEnd w:id="143"/>
      <w:bookmarkEnd w:id="144"/>
    </w:p>
    <w:p>
      <w:pPr>
        <w:spacing w:beforeLines="0" w:afterLines="0" w:line="572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beforeLines="0" w:afterLines="0" w:line="600" w:lineRule="exact"/>
        <w:jc w:val="center"/>
        <w:outlineLvl w:val="1"/>
        <w:rPr>
          <w:rFonts w:hint="default" w:ascii="宋体" w:hAnsi="宋体" w:cs="宋体"/>
          <w:color w:val="auto"/>
          <w:kern w:val="0"/>
          <w:sz w:val="32"/>
          <w:szCs w:val="32"/>
        </w:rPr>
      </w:pPr>
      <w:bookmarkStart w:id="148" w:name="_Toc12890"/>
      <w:bookmarkStart w:id="149" w:name="_Toc1743"/>
      <w:bookmarkStart w:id="150" w:name="_Toc21060"/>
      <w:r>
        <w:rPr>
          <w:rFonts w:hint="default" w:ascii="宋体" w:hAnsi="宋体" w:cs="宋体"/>
          <w:color w:val="auto"/>
          <w:kern w:val="0"/>
          <w:sz w:val="32"/>
          <w:szCs w:val="32"/>
        </w:rPr>
        <w:t>部门预算项目支出绩效自评表（2023年度）</w:t>
      </w:r>
      <w:bookmarkEnd w:id="148"/>
      <w:bookmarkEnd w:id="149"/>
      <w:bookmarkEnd w:id="150"/>
    </w:p>
    <w:p>
      <w:pPr>
        <w:pStyle w:val="2"/>
        <w:spacing w:afterLines="0"/>
        <w:rPr>
          <w:rFonts w:hint="eastAsia"/>
          <w:sz w:val="30"/>
          <w:szCs w:val="24"/>
        </w:rPr>
      </w:pPr>
    </w:p>
    <w:tbl>
      <w:tblPr>
        <w:tblStyle w:val="19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669"/>
        <w:gridCol w:w="784"/>
        <w:gridCol w:w="1484"/>
        <w:gridCol w:w="424"/>
        <w:gridCol w:w="500"/>
        <w:gridCol w:w="424"/>
        <w:gridCol w:w="892"/>
        <w:gridCol w:w="491"/>
        <w:gridCol w:w="491"/>
        <w:gridCol w:w="16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51000021R000000019951-工资性支出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126.62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126.62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126.62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126.62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126.62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126.62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发放（缴纳）覆盖率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足额保障率（参保率）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51000021R000000019953-单位缴费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6.60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6.60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发放（缴纳）覆盖率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足额保障率（参保率）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51000021R000000019956-离退休费支出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7.56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7.56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发放（缴纳）覆盖率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足额保障率（参保率）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51000021R000000019957-其他补助支出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发放（缴纳）覆盖率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足额保障率（参保率）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51080021Y000000176770-其他公用经费（福利、工会、公车补贴、党建、退休活动）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提高预算编制质量，严格执行预算，保障单位日常运转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提高预算编制质量，严格执行预算，保障单位日常运转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6.88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6.88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6.88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科目调整次数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预算编制准确率（计算方法为：∣（执行数-预算数）/预算数∣）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“三公经费”控制率[计算方法为：（三公经费实际支出数/预算安排数]×100%）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运转保障率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51080022R000000267546-工资性支出（事业）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127.38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127.38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127.38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127.38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127.38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127.38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发放（缴纳）覆盖率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足额保障率（参保率）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51080022Y000000267568-定额公用经费（事业）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提高预算编制质量，严格执行预算，保障单位日常运转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对照年度目标，说明相关任务目标的完成情况（100字以内）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科目调整次数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预算编制准确率（计算方法为：∣（执行数-预算数）/预算数∣）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“三公经费”控制率[计算方法为：（三公经费实际支出数/预算安排数]×100%）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运转保障率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51080023R000007612345-规范后市级基础绩效奖及生活补助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对照年度目标，说明相关任务目标的完成情况（100字以内）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5.40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5.40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5.40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发放（缴纳）覆盖率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足额保障率（参保率）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tabs>
                <w:tab w:val="left" w:pos="2472"/>
              </w:tabs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51080023R000009698970-单位年度考核奖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严格执行相关政策，保障工资及时、足额发放或社保及时、足额缴纳，预算编制科学合理，减少结余资金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严格按照资金下达文件及支付流程进行支付。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7.66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000000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7.66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7.66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发放（缴纳）覆盖率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足额保障率（参保率）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000000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000000"/>
                <w:kern w:val="0"/>
                <w:sz w:val="16"/>
                <w:szCs w:val="16"/>
                <w:lang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</w:tr>
    </w:tbl>
    <w:p>
      <w:pPr>
        <w:pStyle w:val="2"/>
        <w:spacing w:afterLines="0"/>
        <w:rPr>
          <w:rFonts w:hint="eastAsia"/>
          <w:sz w:val="30"/>
          <w:szCs w:val="24"/>
        </w:rPr>
      </w:pPr>
    </w:p>
    <w:tbl>
      <w:tblPr>
        <w:tblStyle w:val="19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616"/>
        <w:gridCol w:w="692"/>
        <w:gridCol w:w="894"/>
        <w:gridCol w:w="408"/>
        <w:gridCol w:w="1111"/>
        <w:gridCol w:w="784"/>
        <w:gridCol w:w="1019"/>
        <w:gridCol w:w="493"/>
        <w:gridCol w:w="493"/>
        <w:gridCol w:w="13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51080022T000007244742-2022年救灾物资采购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做好全年市级救灾物资的采购、储备和管理，确保储备救灾物资的安全完整，为全市受灾困难群众基本生活提供保障。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严格执行救灾物资采购程序。采购棉被2000床、棉大衣1000件、8㎡单帐篷280顶、12㎡棉帐篷30顶、遮阳篷100顶等物资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根据市应急管理局2022年救灾物资储备需求，结合现救灾物资储备实际，确定采购计划，市场询价，申请资金，严格按照政府采购程序组织开展了救灾物资采购工作。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3.32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3.32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指标1：完成救灾物资的采购棉被。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2000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指标3：  完成救灾物资的采购帐篷。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410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指标2：完成救灾物资的采购棉大衣。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确保救灾储备物资完好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完成救灾物资采购、储备和管理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确保市级救灾物资安全完整，以保障受灾困难群众基本生活。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确保市级救灾物资安全完整，以保障受灾困难群众基本生活。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救灾物资储备管理工作的开展将持续发挥良好的社会效益。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及时有效提高应急处突能力，确保社会稳定。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及时有效提高应急处突能力，确保社会稳定。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受灾群众满意率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棉被2000床；棉大衣1000件；棉帐篷（12㎡）30顶；单帐篷（8㎡）280顶；展销帐篷100顶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全年累计采购棉被2000床、棉大衣1000件、12</w:t>
            </w:r>
            <w:r>
              <w:rPr>
                <w:rStyle w:val="49"/>
                <w:rFonts w:hint="default"/>
                <w:color w:val="auto"/>
                <w:sz w:val="16"/>
                <w:szCs w:val="16"/>
                <w:lang w:bidi="ar"/>
              </w:rPr>
              <w:t>㎡</w:t>
            </w: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棉帐篷30顶、8</w:t>
            </w:r>
            <w:r>
              <w:rPr>
                <w:rStyle w:val="49"/>
                <w:rFonts w:hint="default"/>
                <w:color w:val="auto"/>
                <w:sz w:val="16"/>
                <w:szCs w:val="16"/>
                <w:lang w:bidi="ar"/>
              </w:rPr>
              <w:t>㎡</w:t>
            </w: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单帐篷280顶、遮阳篷100顶等救灾物资。为工作提供了坚实的物资保障，确保了受灾后群众的基本生活。该笔项目资金为结转款项，已完成当年既定目标，本项目自评得分100分。本项目自评得分100分。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51080023T000007808035-紧急采购防疫救灾物资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为有效应对当前疫情防控形势的需求，广元市应急管理局 广元市发展和改革委员会 广元市财政局联合向市政府呈报了《关于采购救灾物资支持疫情防控的请示》（广应急〔2022〕158号），需紧急采购防疫救灾物资单帐篷（8㎡）500顶，折叠床1500张。完成紧急防疫救灾物资的采购、储备和管理，发挥良好的经济和社会效益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全力做好“防疫”应急物资保障工作。为应对新冠肺炎疫情，紧急采购8㎡单帐篷500顶，折叠床1500顶；调拨棉被4206床、毛毯1000床、棉大衣590件、迷彩服612件、折叠床1381张、床单402床、电筒10个、帐篷759顶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发放回收帐篷160顶)、彩条布15张。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市城区实行疫情临时管控期间，按照上级要求，我们紧急采购了一批救灾物资。物资采购后，我们携同市应急部门对照产品目录、执行标准、规格型号、数量等逐一进行了抽样检查验收，确保了采购物资质量。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1.75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1.75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完成紧急采购防疫救灾物资单帐篷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完成紧急采购防疫救灾物资折叠床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确保采购的紧急防疫救灾物资储备质量完好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完成紧急防疫救灾物资的采购、储备和管理，发挥防疫救灾作用，产生良好的社会效益。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确保紧急采购防疫救灾物资的完整，以保障对当前疫情防控形势的需求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确保了紧急采购防疫救灾物资的完整，以保障对当前疫情防控形势的需求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紧急采购防疫救灾物资管理工作的开展，持续发挥良好的社会效益，做好防疫救灾工作。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及时有效提高应急处突能力，确保社会稳定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及时有效提高了应急处突能力，确保了社会稳定。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受灾群众满意率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折叠床1500张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单帐篷（8㎡）500顶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56.75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全年累计调拨发放棉被7367床、毛毯1000床、棉大衣2221件、雨衣20套、床单552床、雨鞋30双、折叠床1402床、电筒30个、迷彩服612套、单帐篷773顶（160顶回收帐篷）、12</w:t>
            </w:r>
            <w:r>
              <w:rPr>
                <w:rStyle w:val="49"/>
                <w:rFonts w:hint="default"/>
                <w:color w:val="auto"/>
                <w:sz w:val="16"/>
                <w:szCs w:val="16"/>
                <w:lang w:bidi="ar"/>
              </w:rPr>
              <w:t>㎡</w:t>
            </w: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棉帐篷2顶、彩条布15张。为疫情防控工作提供了坚实的物资保障，确保了受灾后群众的基本生活。该笔项目资金为结转款项，已完成当年既定目标，本项目自评得分100分。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51080023T000008230928-粮食质量安全检验监测工作经费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已完成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根据国家、省粮食和物资储备局和市委市政府等相关文件要求，并结合我站职能职责，承担全市政策性储备粮食、新收获粮食、应急粮食、军供粮食质量安全监测、重金属专项监测和粮食风险监测等任务，计划共检样品1360份，其中政策性库存粮食、新收获粮食、应急粮食、军供粮食样品200份，重金属污染监测样品1000份，产新粮食村级样品160份。我站将切实履行职能职责，一是做好全市储备粮食、新收获粮食、应急粮食、军供粮食质量安全监测出入库监测、专项监测和日常抽查监测工作；二是根据市政府主要领导批示要求，持续对本辖区产新稻谷及小麦中重金属含量进行动态监测，摸清重金属污染粮食分布规律并进行风险等级评估，维护本地粮食安全；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认真落实2023年度粮食监督抽检、风险监测、专项监测等工作，把好粮食质量安全关，全年共检样品1376批次，是食品安全党政同责要求的500批次的2.7倍。一是切实把好政策性粮食出入库关，认真落实库存检查质量监督抽检，完成市级政策性储备和应急小包装监督、军粮、县级储备及加工企业委托检验160批次；二是着力加强粮食质量安全风险监测，按照1万吨粮食产量不少于1个样品要求，共抽检样品216批次，粮食重金属专项监测样品1000批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认真落实2023年度粮食监督抽检、风险监测、专项监测等工作，把好粮食质量安全关，全年共检样品1376批次，是食品安全党政同责要求的500批次的2.7倍。一是切实把好政策性粮食出入库关，认真落实库存检查质量监督抽检，完成市级政策性储备和应急小包装监督、军粮、县级储备及加工企业委托检验160批次；二是着力加强粮食质量安全风险监测，按照1万吨粮食产量不少于1个样品要求，共抽检样品216批次，粮食重金属专项监测样品1000批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24.29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24.29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指标2：粮食质量调查与品质测报样品数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指标1：政策性库存粮食质量监测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指标3：重金属污染的动态监测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指标1：抽检样品完成率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指标2：提高企业粮食质量合格率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为企业轮换粮食质量把关，提高企业购进粮食质量合格率，并根据质量情况实时指导企业科学储粮，避免粮食不合格、霉变等造成经济损失。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持续指导企业科学储粮，避免粮食不合格、霉变等造成经济损失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5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指标1：提高优质粮油收购价格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指导全市优质粮油基地和粮食合作社建设，通过优质优价，将优质粮油收购市场价提高到4.0元以上，努力将我市建设成为成渝地区优质粮油产品供给地。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指导全市优质粮油基地和粮食合作社建设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指标3：为粮食生产绿色发展提供技术支持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助力增加本地优质粮油产量，提升本地绿色优势，保障粮食生产安全，增强农业可持续发展能力，加强生态建设和修复，打好污染防治攻坚战。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提供技术支持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指标2：强化源头污染防控，确保粮食质量安全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全面贯彻党中央和省、市政府关于粮食安全工作的决策部署，严格落实粮食安全和食品安全党政同责，将粮食安全保障向前推进一公里，守住粮食质量安全的第一道屏障，切实加强全市范围内产新粮食质量安全监测，强化源头污染防控，确保粮食质量安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持续加强全市范围内产新粮食质量安全监测，强化源头污染防控，确保粮食质量安全。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指标1：提升市县级粮食储备管理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加强地方粮食储备管理,提升地方粮食储备市场调控和应对突发事件能力,保障区域粮食安全。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持续保障区域粮食安全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03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生态效益指标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指标1：引导企业合理选择储粮方式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引导企业合理选择储粮方式、合理施药防虫，有效保障粮食质量安全，减少农药残留等的危害。严禁不符合食品安全标准粮食流入口粮市场或用于食品生产。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严禁不符合食品安全标准粮食流入口粮市场或用于食品生产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指标2：调查研究粮食重金属污染分布规律并进行风险等级评估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通过对本地粮食重金属污染分布规律进行研究，建立粮食安全风险等级评估方案，根据研究结果将本地粮食产区分为轻度污染区、中度污染区和重度污染区，判断其是否适宜种植并及时修复。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持续本地粮食重金属污染分布规律进行研究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指标3：指导农民调整生产结构，种植优良品种，科学储粮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通过每年产新粮食质量调查，积极指导农民调整生产结构，种植优良品种，为农民增收。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指导农民调整生产结构，种植优良品种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指标2：维护本地粮食安全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通过动态监测，掌握本地重金属污染实际情况，为重金属防治工作提供指导，防止我市发生粮食安全事故，维护本地粮食安全。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持续维护本地粮食安全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指标1：降低企业储粮成本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通过日常监督监测，降低企业储粮成本，切实为企业办实事。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已完成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指标1：粮油检测对象满意度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指标3：产新粮食质量调查及检测人员工作经费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指标2：仪器配件、耗材购置费及实验室废液废物处理费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指标1：检测药品试剂及抽检样品购买运行费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14.29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14.29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一、项目基本概况。工作经费资金共计24.29万元。二、效果及评价结论。（一）效果。认真落实2023年度粮食监督抽检、风险监测、专项监测等工作，把好粮食质量安全关，全年共检样品1376批次，是食品安全党政同责要求的500批次的2.7倍。一是完成了全市储备粮食、新收获粮食、应急粮食、军供粮食质量安全监测出入库监测、专项监测和日常抽查监测工作；二是根据市政府主要领导批示要求，持续对本辖区产新稻谷及小麦中重金属含量进行动态监测，摸清重金属污染粮食分布规律并进行风险等级评估，维护本地粮食安全。（二）评价结果和评价结论。本项目自评分为100分，评价等级为优秀，达到预期绩效目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方正公文仿宋" w:hAnsi="方正公文仿宋" w:eastAsia="方正公文仿宋" w:cs="方正公文仿宋"/>
                <w:color w:val="auto"/>
                <w:sz w:val="18"/>
                <w:szCs w:val="18"/>
              </w:rPr>
            </w:pPr>
            <w:r>
              <w:rPr>
                <w:rFonts w:hint="default" w:ascii="方正公文仿宋" w:hAnsi="方正公文仿宋" w:eastAsia="方正公文仿宋" w:cs="方正公文仿宋"/>
                <w:color w:val="auto"/>
                <w:kern w:val="0"/>
                <w:sz w:val="18"/>
                <w:szCs w:val="18"/>
                <w:lang w:bidi="ar"/>
              </w:rPr>
              <w:t>一是监督检测的食品安全指标增加，消耗的实际耗材也越来越多，二是在预算编制环节，预期支出项目金额和实际支出的存在差异，这是由于预算编制经验不足导致。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方正公文仿宋" w:hAnsi="方正公文仿宋" w:eastAsia="方正公文仿宋" w:cs="方正公文仿宋"/>
                <w:color w:val="auto"/>
                <w:sz w:val="18"/>
                <w:szCs w:val="18"/>
              </w:rPr>
            </w:pPr>
            <w:r>
              <w:rPr>
                <w:rFonts w:hint="default" w:ascii="方正公文仿宋" w:hAnsi="方正公文仿宋" w:eastAsia="方正公文仿宋" w:cs="方正公文仿宋"/>
                <w:color w:val="auto"/>
                <w:kern w:val="0"/>
                <w:sz w:val="18"/>
                <w:szCs w:val="18"/>
                <w:lang w:bidi="ar"/>
              </w:rPr>
              <w:t>进一步加强对单位编制预算绩效目标项目设计的科学性、合理性，加大对绩效项目的管理力度，实施进度跟踪，合理支出预算资金，使其最大效益化。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51080023T000008230945-实验室基础设施及仪器设备运行维护费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FFFF00"/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  2023年计划完成仪器设备的检定、校准、期间核查、维护维修，及时维修维护实验室基础设施和检验检测仪器设备，保证实验环境条件满足检验检测工作要求，保证仪器设备稳定保证检验检测数据准确可靠。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已完成实验室专用设备仪器设备的检定、校准、期间核查、维护维修，保证了实验环境条件满足检验检测工作要求，确保仪器设备稳定及检验检测数据准确可靠。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已完成实验室专用设备仪器设备的检定、校准、期间核查、维护维修，保证了实验环境条件满足检验检测工作要求，确保仪器设备稳定及检验检测数据准确可靠。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指标1：仪器设备检定/校准数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指标2：仪器设备维护数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指标1：仪器设备检定/校准合格率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指标2：仪器设备维护正常使用率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已完成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指标1：检验检测能力提升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长期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b/>
                <w:i/>
                <w:color w:val="auto"/>
                <w:kern w:val="0"/>
                <w:sz w:val="16"/>
                <w:szCs w:val="16"/>
                <w:lang w:bidi="ar"/>
              </w:rPr>
              <w:t>检验检测能力得到大大提升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指标2：职工仪器设备维护正常使用率满意度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指标1：职工对仪器设备检定/校准合格率满意度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指标2：实验室基础设施、仪器设备维护维修及改造升级运行费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指标1：仪器设备检定/校准费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一、项目基本概况。工作经费资金共计10万元。二、效果及评价结论。（一）效果。1.确保测量和检测结果的准确性；2.保障设备的正常运行。定期的维护可以及时发现并解决潜在的故障隐患，降低设备突发故障的概率，确保仪器设备能够稳定、持续地工作，从而提高工作效率。3.延长设备的使用寿命（二）评价结果和评价结论。本项目自评分为100分，评价等级为优秀，达到预期绩效目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增加设备维护频率，及时更换磨损的零配件，建议财政追加经费，添置新的设备及配件。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51080023T000008230959-救灾物资装卸、翻晒、维护、保养、运输及仓库守库人员和保安人员工作经费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广元市救灾物资管理中心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做好全年市级救灾物资采购，库存。加强值班值守、巡逻，确保3525平米库房安全，加强防火防盗、防虫、防霉变，以及救灾物资翻晒清洗工作，确保1500余万元救灾物资储备安全完整，确保全市受灾困难群众基本生活保障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严格实行了“日巡、月检、季清”管理机制，即：每日对储备物资巡查1次，每月对库房和物资进行全面检查1次、每季度对库存物资进行清点晾晒、倒垛保养和消毒灭菌，坚持24小时全天候应急值守，确保救灾物资储备绝对安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加强库房救灾物资防火、防盗、防虫、防霉变，完成整理，倒剁，回收救灾物资翻晒清洗工作，以及库房防锈处理，喷漆等日常维护。2.安排人员常年24小时轮流值班、守库确保有突发重大灾情时物资及时发放到受灾群众手中。3.通道及大门安排专人值守 对通道、大门以及3525平米的库房巡逻，确保库房救灾物资物资的安全完整。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17.13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17.13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17.13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17.13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17.13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17.13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对库房进行日常维护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3525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平方米/公里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3525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常年24小时轮流守库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24小时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完成的救灾储备物资的装卸、运输、大型避难场所发电机、板房等维护保养，货车保养运输，救灾物资翻晒、保养、清洗等日常工作。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45000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个（台、套、件、辆）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45600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通道及大门安排专人值守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3525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平方米/公里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3525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确保救灾储备物资完好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完成救灾物资储备、管理和运输、发放。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确保市级救灾物资安全完整，以保障受灾困难群众基本生活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发放棉被9004床，帐篷5顶，遮阳篷3顶，棉大衣3478件。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救灾物资储备管理工作的开展将持续发挥良好的社会效益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及时有效提高应急处突能力，确保社会稳定。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发放棉被9004床，帐篷5顶，遮阳篷3顶，棉大衣3478件。确保社会稳定。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受灾群众满意率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保安人员费用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5.48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5.48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翻晒、保养、清洗，避难场所板房、发电机维护等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装卸、运输、费用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5.65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bidi="ar"/>
              </w:rPr>
              <w:t>扎实开展救灾物资维护保养工作。对库存救灾物资进行了全面清查、归类整理，实现救灾物资清查率达100 %；对棉被、毛毯和衣服、帐篷、竹板床等救灾物资进行了码垛整理、通风翻晒和消毒灭菌；组织专业人员，对叉车、运输车辆和场地照明灯具、车载移动以及物资储备房、机电等设施设备进行了全面维护检修。严格实行了“日巡、月检、季清”管理机制，每日巡查1次储备物资，每月全面检查1次库房和物资，每季度对库存物资进行清点晾晒、倒垛保养和消毒灭菌，坚持24小时全天候应急值守，确保救灾物资储备绝对安全。项目自评得分100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bidi="ar"/>
              </w:rPr>
              <w:t>救灾物资储备库房屋顶漏雨浸水、墙面大面积脱落，主结构钢架生锈严重。加之库房无散热装置，消防系统、烟感报警器等消防设施设备严重老化损坏，现处于瘫痪状态，对救灾物资的储备造成严重安全隐患。守库费用没有按时发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bidi="ar"/>
              </w:rPr>
              <w:t>积极争取资金，完成救灾物资储备库房墙体、屋顶的维修治漏工作；完成安防系统和消防设施设备的维护更换工作，采购部分消防设施设备。严格纪律，加大守库巡查力度，按时发放守库人员经费。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51080023T000008231113-2023年救灾物资采购资金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广元市救灾物资管理中心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做好全年市级救灾物资的采购、储备和管理，确保储备救灾物资的安全完整，为全市受灾困难群众基本生活提供保障。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严格执行救灾物资采购程序。采购棉被1700床、8㎡单帐篷200顶物资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根据市应急管理局2023年救灾物资储备需求，结合现救灾物资储备实际，确定采购计划，市场询价，申请资金，严格按照政府采购程序组织开展了救灾物资采购工作。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60.00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57.79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96.32%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60.00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57.79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96.32%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指标1：完成救灾物资单帐篷（8㎡）的采购。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指标2：完成救灾物资棉被的采购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1700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确保救灾储备物资完好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11月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90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完成救灾物资采购、储备和管理。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确保市级救灾物资安全完整，以保障受灾困难群众基本生活。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全面完成救灾物资采购、储备。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救灾物资储备管理工作的开展将持续发挥良好的社会效益。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及时有效提高应急处突能力，确保社会稳定。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发放棉被9004床，帐篷5顶，遮阳篷3顶，棉大衣3478件。确保社会稳定。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受灾群众满意率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100%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指标1：完成采购救灾物资单帐篷（8 ㎡）200顶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26万元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指标2：完成采购救灾物资棉被1700床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6"/>
                <w:szCs w:val="16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lang w:bidi="ar"/>
              </w:rPr>
              <w:t>31.79万元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6"/>
                <w:szCs w:val="16"/>
              </w:rPr>
            </w:pPr>
            <w:r>
              <w:rPr>
                <w:rStyle w:val="50"/>
                <w:rFonts w:hint="eastAsia"/>
                <w:color w:val="auto"/>
                <w:sz w:val="16"/>
                <w:szCs w:val="16"/>
                <w:lang w:bidi="ar"/>
              </w:rPr>
              <w:t>全年累计采购棉被1700床、8</w:t>
            </w:r>
            <w:r>
              <w:rPr>
                <w:rStyle w:val="51"/>
                <w:rFonts w:hint="default"/>
                <w:color w:val="auto"/>
                <w:sz w:val="16"/>
                <w:szCs w:val="16"/>
                <w:lang w:bidi="ar"/>
              </w:rPr>
              <w:t>㎡</w:t>
            </w:r>
            <w:r>
              <w:rPr>
                <w:rStyle w:val="50"/>
                <w:rFonts w:hint="eastAsia"/>
                <w:color w:val="auto"/>
                <w:sz w:val="16"/>
                <w:szCs w:val="16"/>
                <w:lang w:bidi="ar"/>
              </w:rPr>
              <w:t>单帐篷200顶等救灾物资。为工作提供了坚实的物资保障，确保了受灾后群众的基本生活。项目自评得分100分。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bidi="ar"/>
              </w:rPr>
              <w:t>按照《“十四五”国家应急体系规划》中“地方层面满足启动本行政区域Ⅱ级应急响应的应急物资保障需求”的要求，目前我市救灾物资储存规模还远远达不到启动Ⅱ级应急响应。加之救灾物资采购资金未纳入年初财政预算，致使物资采购进度迟缓，及时保障物资需求困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kern w:val="0"/>
                <w:sz w:val="16"/>
                <w:szCs w:val="16"/>
                <w:lang w:bidi="ar"/>
              </w:rPr>
              <w:t>将救灾物资采购资金纳入年初预算。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51080023T000008949296-年度考核奖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保障年度考核奖足额及时发放。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保障了年度考核奖足额及时发放。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拉动人均收入，提升职工生存质量。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12.60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12.60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12.60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目标考核奖发放人数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保障年度考核奖发放率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为职工提供生活保障。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拉动人均收入，提升职工生存质量。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拉动人均收入，提升职工生存质量。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考核奖发放对象满意度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发放金额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12..6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自评得分100分，完成了预期绩效目标，达到了资金使用效益。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</w:tbl>
    <w:p>
      <w:pPr>
        <w:pStyle w:val="16"/>
        <w:spacing w:beforeLines="0" w:afterLines="0"/>
        <w:rPr>
          <w:rFonts w:hint="default" w:ascii="宋体" w:hAnsi="宋体" w:cs="宋体"/>
          <w:color w:val="auto"/>
          <w:kern w:val="0"/>
          <w:sz w:val="32"/>
          <w:szCs w:val="32"/>
        </w:rPr>
      </w:pPr>
    </w:p>
    <w:tbl>
      <w:tblPr>
        <w:tblStyle w:val="19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642"/>
        <w:gridCol w:w="796"/>
        <w:gridCol w:w="860"/>
        <w:gridCol w:w="416"/>
        <w:gridCol w:w="1390"/>
        <w:gridCol w:w="416"/>
        <w:gridCol w:w="902"/>
        <w:gridCol w:w="489"/>
        <w:gridCol w:w="489"/>
        <w:gridCol w:w="13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0" w:type="auto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宋体" w:eastAsia="黑体" w:cs="黑体"/>
                <w:b/>
                <w:color w:val="auto"/>
                <w:sz w:val="30"/>
                <w:szCs w:val="30"/>
              </w:rPr>
            </w:pPr>
            <w:r>
              <w:rPr>
                <w:rFonts w:hint="eastAsia" w:ascii="黑体" w:hAnsi="宋体" w:eastAsia="黑体" w:cs="黑体"/>
                <w:b/>
                <w:color w:val="auto"/>
                <w:kern w:val="0"/>
                <w:sz w:val="30"/>
                <w:szCs w:val="30"/>
                <w:lang w:bidi="ar"/>
              </w:rPr>
              <w:t>部门预算项目支出绩效自评表（2023年度）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51080023T000008814075-商品粮大市奖励资金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广元市发展和改革委员会部门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实施单位 （盖章）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广元市粮油质量监测站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项目基本情况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1.项目年度目标完成情况</w:t>
            </w: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项目年度目标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年度目标完成情况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 xml:space="preserve">1、根据审批后的采购方案执行， 按期完成采购任务: 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2、严格执行政府采购程序相关规定，执行率达到100%;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br w:type="textWrapping"/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3、粮油质量安全检验检测人才队伍进一步优化，能力进一步提升。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对照年度目标，说明相关任务目标的完成情况（100字以内）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2.项目实施内容及过程概述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2023年严格按照政府采购程序采购了一批气相色谱仪、超纯水系统、电子天平等前处理、粮油专用快检和微生物监测等专业设备20台（套），总预算150万元，项目预计完成时间为2023年12月，实际完成时间为2023年8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预算执行情况（10分）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年度预算数（万元）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年初预算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调整后预算数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预算执行率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原因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总额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149.50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99.67%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i/>
                <w:color w:val="auto"/>
                <w:kern w:val="0"/>
                <w:sz w:val="18"/>
                <w:szCs w:val="18"/>
                <w:lang w:bidi="ar"/>
              </w:rPr>
              <w:t>1.预算执行率=预算执行数/调整后预算数，预算执行率未达到90%的需说明原因（100字以内）;2.年中发生预算调整的（追加或调减）,应单独说明理由；3.其他资金包括：社会投入资金、银行贷款.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其中：财政资金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150.00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149.50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99.67%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财政专户管理资金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单位资金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0.00%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/</w:t>
            </w: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eastAsia" w:ascii="黑体" w:hAnsi="黑体" w:eastAsia="黑体" w:cs="黑体"/>
                <w:i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绩效指标（90分）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指标性质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完成值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得分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未完成原因分析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指标1：仪器设备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台/套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指标1：实验室能力提升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指标1：完成时间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≤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指标1：推动粮食经济高质量发展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指导全市“十四五”期间300万亩优质粮油基地建设，调整种植结构，促进优质品种和特色品种向优势产区集中，实现优质、高产、高效、生态、安全相统一，为助农增收和乡村振兴贡献力量。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调整种植结构，促进优质品种和特色品种向优势产区集中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指标2：粮油质量安全检验检测能力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明显提高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明显提高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指标1：为粮食生产绿色发展提供技术支持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全面贯彻党中央和省、市政府关于粮食安全工作的决策部署，严格落实粮食安全和食品安全党政同责，将粮食安全保障向前推进一公里，守住粮食质量安全的第一道屏障，切实加强全市范围内产新粮食质量安全监测，强化源头污染防控，确保粮食质量安全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强化源头污染防控，确保粮食质量安全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指标1：对全市粮食安全方面的影响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定性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加强广元川北粮食检验监测中心和国家标准化粮油质检示范站建设，为加快建成全国有机产品认证示范市、中国西部重要的绿色农产品供给地和特色农业强市提供技术支撑，深刻把握粮油质量监测能力建设机遇，精准聚焦，牢守粮食质量安全底线，促进全市粮食产业经济高质量发展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促进全市粮食产业经济高质量发展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粮食企业及农户服务对象满意度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≥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经济成本指标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指标1：仪器设备采购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指标2：能力提升工作经费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万元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jc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right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pacing w:beforeLines="0" w:afterLines="0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评价结论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项目历时7个月，采购仪器设备20台（套），全部验收安装调试合格，项目的实施及时，有效提高了粮油质量安全检验检测能力，发挥了良好的社会效益。自评得分100分。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存在问题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center"/>
              <w:textAlignment w:val="center"/>
              <w:rPr>
                <w:rFonts w:hint="default"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bidi="ar"/>
              </w:rPr>
              <w:t>改进措施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微软雅黑" w:hAnsi="微软雅黑" w:eastAsia="微软雅黑" w:cs="微软雅黑"/>
                <w:i/>
                <w:color w:val="auto"/>
                <w:sz w:val="16"/>
                <w:szCs w:val="16"/>
              </w:rPr>
            </w:pPr>
            <w:r>
              <w:rPr>
                <w:rFonts w:hint="eastAsia" w:ascii="微软雅黑" w:hAnsi="微软雅黑" w:eastAsia="微软雅黑" w:cs="微软雅黑"/>
                <w:i/>
                <w:color w:val="auto"/>
                <w:kern w:val="0"/>
                <w:sz w:val="16"/>
                <w:szCs w:val="16"/>
                <w:lang w:bidi="ar"/>
              </w:rPr>
              <w:t>无。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0" w:type="auto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项目负责人：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18"/>
                <w:szCs w:val="18"/>
                <w:lang w:bidi="ar"/>
              </w:rPr>
              <w:t>财务负责人：</w:t>
            </w:r>
          </w:p>
        </w:tc>
      </w:tr>
    </w:tbl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both"/>
        <w:outlineLvl w:val="0"/>
        <w:rPr>
          <w:rFonts w:hint="eastAsia" w:ascii="黑体" w:hAnsi="黑体" w:eastAsia="黑体"/>
          <w:color w:val="auto"/>
          <w:sz w:val="44"/>
          <w:szCs w:val="44"/>
        </w:rPr>
      </w:pPr>
    </w:p>
    <w:p>
      <w:pPr>
        <w:spacing w:line="600" w:lineRule="exact"/>
        <w:jc w:val="center"/>
        <w:outlineLvl w:val="0"/>
        <w:rPr>
          <w:rFonts w:ascii="仿宋" w:hAnsi="仿宋" w:eastAsia="仿宋"/>
          <w:color w:val="auto"/>
        </w:rPr>
      </w:pPr>
      <w:r>
        <w:rPr>
          <w:rFonts w:hint="eastAsia" w:ascii="黑体" w:hAnsi="黑体" w:eastAsia="黑体"/>
          <w:color w:val="auto"/>
          <w:sz w:val="44"/>
          <w:szCs w:val="44"/>
        </w:rPr>
        <w:t>第</w:t>
      </w:r>
      <w:r>
        <w:rPr>
          <w:rStyle w:val="23"/>
          <w:rFonts w:hint="eastAsia" w:ascii="黑体" w:hAnsi="黑体" w:eastAsia="黑体"/>
          <w:b w:val="0"/>
          <w:color w:val="auto"/>
        </w:rPr>
        <w:t>五部分 附表</w:t>
      </w:r>
      <w:bookmarkEnd w:id="142"/>
      <w:bookmarkEnd w:id="145"/>
      <w:bookmarkEnd w:id="146"/>
      <w:bookmarkEnd w:id="147"/>
      <w:bookmarkStart w:id="151" w:name="_Toc15396619"/>
    </w:p>
    <w:bookmarkEnd w:id="151"/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52" w:name="_Toc22831"/>
      <w:bookmarkStart w:id="153" w:name="_Toc32266"/>
      <w:r>
        <w:rPr>
          <w:rFonts w:hint="eastAsia" w:ascii="仿宋" w:hAnsi="仿宋" w:eastAsia="仿宋"/>
          <w:b w:val="0"/>
          <w:color w:val="auto"/>
          <w:highlight w:val="none"/>
        </w:rPr>
        <w:t>一、收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入支出决算总表</w:t>
      </w:r>
      <w:bookmarkEnd w:id="152"/>
      <w:bookmarkEnd w:id="153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54" w:name="_Toc15396620"/>
      <w:bookmarkStart w:id="155" w:name="_Toc16371"/>
      <w:bookmarkStart w:id="156" w:name="_Toc32648"/>
      <w:r>
        <w:rPr>
          <w:rFonts w:hint="eastAsia" w:ascii="仿宋" w:hAnsi="仿宋" w:eastAsia="仿宋"/>
          <w:b w:val="0"/>
          <w:color w:val="auto"/>
          <w:highlight w:val="none"/>
        </w:rPr>
        <w:t>二、收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入决算表</w:t>
      </w:r>
      <w:bookmarkEnd w:id="154"/>
      <w:bookmarkEnd w:id="155"/>
      <w:bookmarkEnd w:id="156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57" w:name="_Toc5183"/>
      <w:bookmarkStart w:id="158" w:name="_Toc19104"/>
      <w:bookmarkStart w:id="159" w:name="_Toc15396621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三、</w:t>
      </w:r>
      <w:r>
        <w:rPr>
          <w:rFonts w:hint="eastAsia" w:ascii="仿宋" w:hAnsi="仿宋" w:eastAsia="仿宋"/>
          <w:b w:val="0"/>
          <w:color w:val="auto"/>
          <w:highlight w:val="none"/>
        </w:rPr>
        <w:t>支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出决算表</w:t>
      </w:r>
      <w:bookmarkEnd w:id="157"/>
      <w:bookmarkEnd w:id="158"/>
      <w:bookmarkEnd w:id="159"/>
    </w:p>
    <w:p>
      <w:pPr>
        <w:pStyle w:val="4"/>
        <w:rPr>
          <w:rFonts w:ascii="仿宋" w:hAnsi="仿宋" w:eastAsia="仿宋"/>
          <w:b w:val="0"/>
          <w:color w:val="auto"/>
          <w:highlight w:val="none"/>
        </w:rPr>
      </w:pPr>
      <w:bookmarkStart w:id="160" w:name="_Toc15396622"/>
      <w:bookmarkStart w:id="161" w:name="_Toc24604"/>
      <w:bookmarkStart w:id="162" w:name="_Toc29113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四、</w:t>
      </w:r>
      <w:r>
        <w:rPr>
          <w:rFonts w:hint="eastAsia" w:ascii="仿宋" w:hAnsi="仿宋" w:eastAsia="仿宋"/>
          <w:b w:val="0"/>
          <w:color w:val="auto"/>
          <w:highlight w:val="none"/>
        </w:rPr>
        <w:t>财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政拨款收入支出决算总表</w:t>
      </w:r>
      <w:bookmarkEnd w:id="160"/>
      <w:bookmarkEnd w:id="161"/>
      <w:bookmarkEnd w:id="162"/>
    </w:p>
    <w:p>
      <w:pPr>
        <w:pStyle w:val="4"/>
        <w:rPr>
          <w:rStyle w:val="24"/>
          <w:rFonts w:ascii="仿宋" w:hAnsi="仿宋" w:eastAsia="仿宋"/>
          <w:b w:val="0"/>
          <w:bCs w:val="0"/>
          <w:color w:val="auto"/>
          <w:highlight w:val="none"/>
        </w:rPr>
      </w:pPr>
      <w:bookmarkStart w:id="163" w:name="_Toc26576"/>
      <w:bookmarkStart w:id="164" w:name="_Toc4315"/>
      <w:bookmarkStart w:id="165" w:name="_Toc15396623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五、</w:t>
      </w:r>
      <w:r>
        <w:rPr>
          <w:rFonts w:hint="eastAsia" w:ascii="仿宋" w:hAnsi="仿宋" w:eastAsia="仿宋"/>
          <w:b w:val="0"/>
          <w:color w:val="auto"/>
          <w:highlight w:val="none"/>
        </w:rPr>
        <w:t>财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政拨款支出决算明细表</w:t>
      </w:r>
      <w:bookmarkEnd w:id="163"/>
      <w:bookmarkEnd w:id="164"/>
      <w:bookmarkEnd w:id="165"/>
      <w:bookmarkStart w:id="166" w:name="_Toc15396624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67" w:name="_Toc11634"/>
      <w:bookmarkStart w:id="168" w:name="_Toc32297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六、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般公共预算财政拨款支出决算表</w:t>
      </w:r>
      <w:bookmarkEnd w:id="166"/>
      <w:bookmarkEnd w:id="167"/>
      <w:bookmarkEnd w:id="168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69" w:name="_Toc18337"/>
      <w:bookmarkStart w:id="170" w:name="_Toc24814"/>
      <w:bookmarkStart w:id="171" w:name="_Toc15396625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七、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般公共预算财政拨款支出决算明细表</w:t>
      </w:r>
      <w:bookmarkEnd w:id="169"/>
      <w:bookmarkEnd w:id="170"/>
      <w:bookmarkEnd w:id="171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72" w:name="_Toc20329"/>
      <w:bookmarkStart w:id="173" w:name="_Toc31907"/>
      <w:bookmarkStart w:id="174" w:name="_Toc15396626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八、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般公共预算财政拨款基本支出决算表</w:t>
      </w:r>
      <w:bookmarkEnd w:id="172"/>
      <w:bookmarkEnd w:id="173"/>
      <w:bookmarkEnd w:id="174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75" w:name="_Toc644"/>
      <w:bookmarkStart w:id="176" w:name="_Toc15396627"/>
      <w:bookmarkStart w:id="177" w:name="_Toc32039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九、</w:t>
      </w:r>
      <w:r>
        <w:rPr>
          <w:rFonts w:hint="eastAsia" w:ascii="仿宋" w:hAnsi="仿宋" w:eastAsia="仿宋"/>
          <w:b w:val="0"/>
          <w:color w:val="auto"/>
          <w:highlight w:val="none"/>
        </w:rPr>
        <w:t>一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般公共预算财政拨款项目支出决算表</w:t>
      </w:r>
      <w:bookmarkEnd w:id="175"/>
      <w:bookmarkEnd w:id="176"/>
      <w:bookmarkEnd w:id="177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78" w:name="_Toc15396628"/>
      <w:bookmarkStart w:id="179" w:name="_Toc24993"/>
      <w:bookmarkStart w:id="180" w:name="_Toc24973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十、</w:t>
      </w:r>
      <w:bookmarkEnd w:id="178"/>
      <w:r>
        <w:rPr>
          <w:rFonts w:hint="eastAsia" w:ascii="仿宋" w:hAnsi="仿宋" w:eastAsia="仿宋"/>
          <w:b w:val="0"/>
          <w:color w:val="auto"/>
          <w:highlight w:val="none"/>
        </w:rPr>
        <w:t>政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府性基金预算财政拨款收入支出决算表</w:t>
      </w:r>
      <w:bookmarkEnd w:id="179"/>
      <w:bookmarkEnd w:id="180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81" w:name="_Toc15396629"/>
      <w:bookmarkStart w:id="182" w:name="_Toc8018"/>
      <w:bookmarkStart w:id="183" w:name="_Toc5206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十一、</w:t>
      </w:r>
      <w:bookmarkEnd w:id="181"/>
      <w:r>
        <w:rPr>
          <w:rFonts w:hint="eastAsia" w:ascii="仿宋" w:hAnsi="仿宋" w:eastAsia="仿宋"/>
          <w:b w:val="0"/>
          <w:color w:val="auto"/>
          <w:highlight w:val="none"/>
        </w:rPr>
        <w:t>国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有资本经营预算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财政拨款收入</w:t>
      </w:r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支出决算表</w:t>
      </w:r>
      <w:bookmarkEnd w:id="182"/>
      <w:bookmarkEnd w:id="183"/>
    </w:p>
    <w:p>
      <w:pPr>
        <w:pStyle w:val="4"/>
        <w:rPr>
          <w:rFonts w:ascii="仿宋" w:hAnsi="仿宋" w:eastAsia="仿宋"/>
          <w:color w:val="auto"/>
          <w:highlight w:val="none"/>
        </w:rPr>
      </w:pPr>
      <w:bookmarkStart w:id="184" w:name="_Toc15396630"/>
      <w:bookmarkStart w:id="185" w:name="_Toc8575"/>
      <w:bookmarkStart w:id="186" w:name="_Toc3409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十二、</w:t>
      </w:r>
      <w:bookmarkEnd w:id="184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国有资本经营预算财政拨款支出决算表</w:t>
      </w:r>
      <w:bookmarkEnd w:id="185"/>
      <w:bookmarkEnd w:id="186"/>
    </w:p>
    <w:p>
      <w:pPr>
        <w:pStyle w:val="4"/>
        <w:rPr>
          <w:rFonts w:hint="eastAsia" w:eastAsia="仿宋"/>
          <w:color w:val="auto"/>
          <w:highlight w:val="none"/>
          <w:lang w:eastAsia="zh-CN"/>
        </w:rPr>
      </w:pPr>
      <w:bookmarkStart w:id="187" w:name="_Toc15396631"/>
      <w:bookmarkStart w:id="188" w:name="_Toc2533"/>
      <w:bookmarkStart w:id="189" w:name="_Toc21710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</w:rPr>
        <w:t>十三、</w:t>
      </w:r>
      <w:bookmarkEnd w:id="187"/>
      <w:r>
        <w:rPr>
          <w:rStyle w:val="24"/>
          <w:rFonts w:hint="eastAsia" w:ascii="仿宋" w:hAnsi="仿宋" w:eastAsia="仿宋"/>
          <w:b w:val="0"/>
          <w:bCs w:val="0"/>
          <w:color w:val="auto"/>
          <w:highlight w:val="none"/>
          <w:lang w:eastAsia="zh-CN"/>
        </w:rPr>
        <w:t>财政拨款“三公”经费支出决算表</w:t>
      </w:r>
      <w:bookmarkEnd w:id="188"/>
      <w:bookmarkEnd w:id="189"/>
    </w:p>
    <w:p>
      <w:pPr>
        <w:rPr>
          <w:rFonts w:eastAsia="仿宋"/>
          <w:color w:val="auto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 PL UKai CN">
    <w:altName w:val="宋体"/>
    <w:panose1 w:val="02000503000000000000"/>
    <w:charset w:val="86"/>
    <w:family w:val="script"/>
    <w:pitch w:val="default"/>
    <w:sig w:usb0="00000000" w:usb1="00000000" w:usb2="00000036" w:usb3="00000000" w:csb0="2016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公文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28</w:t>
        </w:r>
        <w:r>
          <w:rPr>
            <w:lang w:val="zh-CN"/>
          </w:rPr>
          <w:fldChar w:fldCharType="end"/>
        </w:r>
      </w:p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652CEC"/>
    <w:multiLevelType w:val="singleLevel"/>
    <w:tmpl w:val="CF652CE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2FA047D"/>
    <w:multiLevelType w:val="singleLevel"/>
    <w:tmpl w:val="E2FA047D"/>
    <w:lvl w:ilvl="0" w:tentative="0">
      <w:start w:val="3"/>
      <w:numFmt w:val="chineseCounting"/>
      <w:suff w:val="space"/>
      <w:lvlText w:val="第%1部分"/>
      <w:lvlJc w:val="left"/>
      <w:rPr>
        <w:rFonts w:hint="eastAsia" w:ascii="黑体" w:hAnsi="黑体" w:eastAsia="黑体" w:cs="黑体"/>
        <w:sz w:val="44"/>
        <w:szCs w:val="44"/>
      </w:rPr>
    </w:lvl>
  </w:abstractNum>
  <w:abstractNum w:abstractNumId="2">
    <w:nsid w:val="1272550B"/>
    <w:multiLevelType w:val="multilevel"/>
    <w:tmpl w:val="1272550B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  <w:b w:val="0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7EFE03C1"/>
    <w:multiLevelType w:val="singleLevel"/>
    <w:tmpl w:val="7EFE03C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gzMzBmOWIyYjc5MzNkYTMyZmUxYmZmNDJkY2EyY2MifQ=="/>
  </w:docVars>
  <w:rsids>
    <w:rsidRoot w:val="00172A27"/>
    <w:rsid w:val="000222C6"/>
    <w:rsid w:val="0002549F"/>
    <w:rsid w:val="000468DB"/>
    <w:rsid w:val="0006487A"/>
    <w:rsid w:val="00065F8F"/>
    <w:rsid w:val="00070A43"/>
    <w:rsid w:val="000768F2"/>
    <w:rsid w:val="00080CD3"/>
    <w:rsid w:val="0009184B"/>
    <w:rsid w:val="00094236"/>
    <w:rsid w:val="0009593C"/>
    <w:rsid w:val="00097322"/>
    <w:rsid w:val="000A6A92"/>
    <w:rsid w:val="000B047F"/>
    <w:rsid w:val="000B5923"/>
    <w:rsid w:val="000B5A48"/>
    <w:rsid w:val="000B6FF3"/>
    <w:rsid w:val="000C3467"/>
    <w:rsid w:val="000C3CA6"/>
    <w:rsid w:val="000D1267"/>
    <w:rsid w:val="000D1D50"/>
    <w:rsid w:val="000D5782"/>
    <w:rsid w:val="000E6613"/>
    <w:rsid w:val="000E7119"/>
    <w:rsid w:val="00103C16"/>
    <w:rsid w:val="00114E9B"/>
    <w:rsid w:val="00142216"/>
    <w:rsid w:val="00144D6A"/>
    <w:rsid w:val="0014729F"/>
    <w:rsid w:val="00157BAB"/>
    <w:rsid w:val="001654D1"/>
    <w:rsid w:val="00174518"/>
    <w:rsid w:val="001757B8"/>
    <w:rsid w:val="0018106D"/>
    <w:rsid w:val="001877A7"/>
    <w:rsid w:val="00191536"/>
    <w:rsid w:val="00196687"/>
    <w:rsid w:val="001C0962"/>
    <w:rsid w:val="001D7531"/>
    <w:rsid w:val="001E737D"/>
    <w:rsid w:val="001F0592"/>
    <w:rsid w:val="001F7506"/>
    <w:rsid w:val="002006CD"/>
    <w:rsid w:val="00202B36"/>
    <w:rsid w:val="00204B7A"/>
    <w:rsid w:val="00204CDE"/>
    <w:rsid w:val="0021101A"/>
    <w:rsid w:val="00220536"/>
    <w:rsid w:val="00235629"/>
    <w:rsid w:val="00260C38"/>
    <w:rsid w:val="002616C0"/>
    <w:rsid w:val="00265372"/>
    <w:rsid w:val="002662AA"/>
    <w:rsid w:val="00274CA2"/>
    <w:rsid w:val="00280496"/>
    <w:rsid w:val="00294DC9"/>
    <w:rsid w:val="00295495"/>
    <w:rsid w:val="002A31DE"/>
    <w:rsid w:val="002B2613"/>
    <w:rsid w:val="002D6D05"/>
    <w:rsid w:val="002F1818"/>
    <w:rsid w:val="002F567B"/>
    <w:rsid w:val="00313ABE"/>
    <w:rsid w:val="003216A9"/>
    <w:rsid w:val="00335A74"/>
    <w:rsid w:val="0036561B"/>
    <w:rsid w:val="0037013F"/>
    <w:rsid w:val="00380C92"/>
    <w:rsid w:val="00390F17"/>
    <w:rsid w:val="003A484F"/>
    <w:rsid w:val="003A4883"/>
    <w:rsid w:val="003B0BE0"/>
    <w:rsid w:val="003B0C1B"/>
    <w:rsid w:val="003B688C"/>
    <w:rsid w:val="003C0291"/>
    <w:rsid w:val="003C39AE"/>
    <w:rsid w:val="003C7B60"/>
    <w:rsid w:val="003D0C0F"/>
    <w:rsid w:val="003D1FB2"/>
    <w:rsid w:val="003D66DA"/>
    <w:rsid w:val="003E1310"/>
    <w:rsid w:val="003E6F55"/>
    <w:rsid w:val="003F01EB"/>
    <w:rsid w:val="00406254"/>
    <w:rsid w:val="00412FC7"/>
    <w:rsid w:val="004223DE"/>
    <w:rsid w:val="00434489"/>
    <w:rsid w:val="00437085"/>
    <w:rsid w:val="00443880"/>
    <w:rsid w:val="004464F4"/>
    <w:rsid w:val="00471401"/>
    <w:rsid w:val="00473F31"/>
    <w:rsid w:val="0048263A"/>
    <w:rsid w:val="00487E5D"/>
    <w:rsid w:val="004A711F"/>
    <w:rsid w:val="004B199D"/>
    <w:rsid w:val="004B4690"/>
    <w:rsid w:val="004C7ECA"/>
    <w:rsid w:val="004E0A2D"/>
    <w:rsid w:val="004E206B"/>
    <w:rsid w:val="004E6DF7"/>
    <w:rsid w:val="004F0FBD"/>
    <w:rsid w:val="00505A47"/>
    <w:rsid w:val="00512FDA"/>
    <w:rsid w:val="00520DA0"/>
    <w:rsid w:val="00546091"/>
    <w:rsid w:val="005664BB"/>
    <w:rsid w:val="00566FFA"/>
    <w:rsid w:val="0057481D"/>
    <w:rsid w:val="0058486E"/>
    <w:rsid w:val="00585B33"/>
    <w:rsid w:val="0059014D"/>
    <w:rsid w:val="005B5C64"/>
    <w:rsid w:val="005C5337"/>
    <w:rsid w:val="005C6BD0"/>
    <w:rsid w:val="005D1C8B"/>
    <w:rsid w:val="005D468D"/>
    <w:rsid w:val="005D5CED"/>
    <w:rsid w:val="005F1A4C"/>
    <w:rsid w:val="00605688"/>
    <w:rsid w:val="006070AF"/>
    <w:rsid w:val="00607E6C"/>
    <w:rsid w:val="006101B1"/>
    <w:rsid w:val="00614E44"/>
    <w:rsid w:val="0062270A"/>
    <w:rsid w:val="00622830"/>
    <w:rsid w:val="00623DA0"/>
    <w:rsid w:val="00630AEF"/>
    <w:rsid w:val="006325F8"/>
    <w:rsid w:val="00633463"/>
    <w:rsid w:val="00634C9A"/>
    <w:rsid w:val="006440E4"/>
    <w:rsid w:val="0066343B"/>
    <w:rsid w:val="00664777"/>
    <w:rsid w:val="00674467"/>
    <w:rsid w:val="006748A4"/>
    <w:rsid w:val="00681A31"/>
    <w:rsid w:val="00683E73"/>
    <w:rsid w:val="006A3141"/>
    <w:rsid w:val="006A5E34"/>
    <w:rsid w:val="006B2422"/>
    <w:rsid w:val="006B2B9A"/>
    <w:rsid w:val="006C1937"/>
    <w:rsid w:val="006F020C"/>
    <w:rsid w:val="006F2665"/>
    <w:rsid w:val="007127B7"/>
    <w:rsid w:val="0071798E"/>
    <w:rsid w:val="007416B6"/>
    <w:rsid w:val="00746F48"/>
    <w:rsid w:val="0075404D"/>
    <w:rsid w:val="00757040"/>
    <w:rsid w:val="0076182A"/>
    <w:rsid w:val="00763FD0"/>
    <w:rsid w:val="00767B7E"/>
    <w:rsid w:val="007770C3"/>
    <w:rsid w:val="0078013A"/>
    <w:rsid w:val="00784D24"/>
    <w:rsid w:val="00785FBA"/>
    <w:rsid w:val="00786E4A"/>
    <w:rsid w:val="007875EB"/>
    <w:rsid w:val="0079426B"/>
    <w:rsid w:val="007949A3"/>
    <w:rsid w:val="007B1976"/>
    <w:rsid w:val="007D1682"/>
    <w:rsid w:val="007D312A"/>
    <w:rsid w:val="007D3F19"/>
    <w:rsid w:val="007D41C4"/>
    <w:rsid w:val="007E23B0"/>
    <w:rsid w:val="007E23E5"/>
    <w:rsid w:val="007F1991"/>
    <w:rsid w:val="007F2C2F"/>
    <w:rsid w:val="007F55FC"/>
    <w:rsid w:val="007F5665"/>
    <w:rsid w:val="00800112"/>
    <w:rsid w:val="00813348"/>
    <w:rsid w:val="008253BB"/>
    <w:rsid w:val="0083706E"/>
    <w:rsid w:val="008408F6"/>
    <w:rsid w:val="00841A05"/>
    <w:rsid w:val="008423A5"/>
    <w:rsid w:val="008437A9"/>
    <w:rsid w:val="00847117"/>
    <w:rsid w:val="00850625"/>
    <w:rsid w:val="00853718"/>
    <w:rsid w:val="00855221"/>
    <w:rsid w:val="00860645"/>
    <w:rsid w:val="00871F71"/>
    <w:rsid w:val="00872FD8"/>
    <w:rsid w:val="00885AF4"/>
    <w:rsid w:val="008939CD"/>
    <w:rsid w:val="008B09D9"/>
    <w:rsid w:val="008B768C"/>
    <w:rsid w:val="008C4DB1"/>
    <w:rsid w:val="008C4EAF"/>
    <w:rsid w:val="008C5176"/>
    <w:rsid w:val="008C7FD0"/>
    <w:rsid w:val="008E1DE7"/>
    <w:rsid w:val="008E707C"/>
    <w:rsid w:val="00900B08"/>
    <w:rsid w:val="00902155"/>
    <w:rsid w:val="00902FA3"/>
    <w:rsid w:val="00923564"/>
    <w:rsid w:val="0092392E"/>
    <w:rsid w:val="00925C50"/>
    <w:rsid w:val="009315F9"/>
    <w:rsid w:val="00933499"/>
    <w:rsid w:val="00935C98"/>
    <w:rsid w:val="009419AF"/>
    <w:rsid w:val="00946945"/>
    <w:rsid w:val="00951248"/>
    <w:rsid w:val="0095152F"/>
    <w:rsid w:val="00954C49"/>
    <w:rsid w:val="00955E37"/>
    <w:rsid w:val="0097099F"/>
    <w:rsid w:val="00971997"/>
    <w:rsid w:val="00971FFC"/>
    <w:rsid w:val="0098660A"/>
    <w:rsid w:val="009931C3"/>
    <w:rsid w:val="009B2C43"/>
    <w:rsid w:val="009B4EAE"/>
    <w:rsid w:val="009B7573"/>
    <w:rsid w:val="009C22F4"/>
    <w:rsid w:val="009C2A4B"/>
    <w:rsid w:val="009C2E98"/>
    <w:rsid w:val="009D2A4F"/>
    <w:rsid w:val="009D3447"/>
    <w:rsid w:val="009D4711"/>
    <w:rsid w:val="009F1185"/>
    <w:rsid w:val="009F18CD"/>
    <w:rsid w:val="009F2A13"/>
    <w:rsid w:val="009F7527"/>
    <w:rsid w:val="00A04EB0"/>
    <w:rsid w:val="00A13CC1"/>
    <w:rsid w:val="00A16847"/>
    <w:rsid w:val="00A237D8"/>
    <w:rsid w:val="00A268C4"/>
    <w:rsid w:val="00A307CD"/>
    <w:rsid w:val="00A331C8"/>
    <w:rsid w:val="00A40A00"/>
    <w:rsid w:val="00A4142F"/>
    <w:rsid w:val="00A422EB"/>
    <w:rsid w:val="00A42E82"/>
    <w:rsid w:val="00A45BB7"/>
    <w:rsid w:val="00A56DF2"/>
    <w:rsid w:val="00A56E6E"/>
    <w:rsid w:val="00A570DA"/>
    <w:rsid w:val="00A67AB5"/>
    <w:rsid w:val="00A733B2"/>
    <w:rsid w:val="00A741C2"/>
    <w:rsid w:val="00A91760"/>
    <w:rsid w:val="00A93B00"/>
    <w:rsid w:val="00A93C21"/>
    <w:rsid w:val="00AB64C9"/>
    <w:rsid w:val="00AC3C6A"/>
    <w:rsid w:val="00AD5620"/>
    <w:rsid w:val="00AD656B"/>
    <w:rsid w:val="00AD7C1B"/>
    <w:rsid w:val="00AE16BA"/>
    <w:rsid w:val="00AE183B"/>
    <w:rsid w:val="00AE1EBE"/>
    <w:rsid w:val="00B03C9D"/>
    <w:rsid w:val="00B060AE"/>
    <w:rsid w:val="00B10517"/>
    <w:rsid w:val="00B13BE0"/>
    <w:rsid w:val="00B14E76"/>
    <w:rsid w:val="00B161B8"/>
    <w:rsid w:val="00B2048C"/>
    <w:rsid w:val="00B310B9"/>
    <w:rsid w:val="00B35F3F"/>
    <w:rsid w:val="00B36CBB"/>
    <w:rsid w:val="00B425E0"/>
    <w:rsid w:val="00B440AA"/>
    <w:rsid w:val="00B44B70"/>
    <w:rsid w:val="00B53C56"/>
    <w:rsid w:val="00B5415E"/>
    <w:rsid w:val="00B57DAF"/>
    <w:rsid w:val="00B77EA6"/>
    <w:rsid w:val="00B81598"/>
    <w:rsid w:val="00B841F1"/>
    <w:rsid w:val="00B944D6"/>
    <w:rsid w:val="00BB4DF0"/>
    <w:rsid w:val="00BC13DA"/>
    <w:rsid w:val="00BC289F"/>
    <w:rsid w:val="00BC2D50"/>
    <w:rsid w:val="00BC5361"/>
    <w:rsid w:val="00BC5460"/>
    <w:rsid w:val="00BC6B50"/>
    <w:rsid w:val="00BD0E25"/>
    <w:rsid w:val="00BF5BD6"/>
    <w:rsid w:val="00C03E31"/>
    <w:rsid w:val="00C33E72"/>
    <w:rsid w:val="00C354B2"/>
    <w:rsid w:val="00C35554"/>
    <w:rsid w:val="00C42709"/>
    <w:rsid w:val="00C45283"/>
    <w:rsid w:val="00C533CC"/>
    <w:rsid w:val="00C5751C"/>
    <w:rsid w:val="00C61BFC"/>
    <w:rsid w:val="00C62B85"/>
    <w:rsid w:val="00C65438"/>
    <w:rsid w:val="00C87FD8"/>
    <w:rsid w:val="00C91381"/>
    <w:rsid w:val="00C91CBB"/>
    <w:rsid w:val="00CA01FF"/>
    <w:rsid w:val="00CB4E70"/>
    <w:rsid w:val="00CC09B6"/>
    <w:rsid w:val="00CC666F"/>
    <w:rsid w:val="00CD0B30"/>
    <w:rsid w:val="00CD1E3F"/>
    <w:rsid w:val="00CE44F6"/>
    <w:rsid w:val="00CE49DA"/>
    <w:rsid w:val="00CE7B61"/>
    <w:rsid w:val="00CF7156"/>
    <w:rsid w:val="00D00095"/>
    <w:rsid w:val="00D114F0"/>
    <w:rsid w:val="00D14F0E"/>
    <w:rsid w:val="00D20620"/>
    <w:rsid w:val="00D254F7"/>
    <w:rsid w:val="00D26091"/>
    <w:rsid w:val="00D2685C"/>
    <w:rsid w:val="00D34E7C"/>
    <w:rsid w:val="00D35489"/>
    <w:rsid w:val="00D36AFE"/>
    <w:rsid w:val="00D51276"/>
    <w:rsid w:val="00D7035F"/>
    <w:rsid w:val="00DA634F"/>
    <w:rsid w:val="00DA65AC"/>
    <w:rsid w:val="00DB1913"/>
    <w:rsid w:val="00DC096D"/>
    <w:rsid w:val="00DC31E8"/>
    <w:rsid w:val="00DC410D"/>
    <w:rsid w:val="00DC5A81"/>
    <w:rsid w:val="00DC68CA"/>
    <w:rsid w:val="00DC7CBA"/>
    <w:rsid w:val="00DD73B7"/>
    <w:rsid w:val="00DF28BC"/>
    <w:rsid w:val="00DF34B9"/>
    <w:rsid w:val="00E01053"/>
    <w:rsid w:val="00E07ACF"/>
    <w:rsid w:val="00E13486"/>
    <w:rsid w:val="00E331A1"/>
    <w:rsid w:val="00E33202"/>
    <w:rsid w:val="00E336A9"/>
    <w:rsid w:val="00E472B1"/>
    <w:rsid w:val="00E50624"/>
    <w:rsid w:val="00E568DF"/>
    <w:rsid w:val="00E64269"/>
    <w:rsid w:val="00E649D2"/>
    <w:rsid w:val="00E727DA"/>
    <w:rsid w:val="00E82267"/>
    <w:rsid w:val="00E841AC"/>
    <w:rsid w:val="00E853CE"/>
    <w:rsid w:val="00E867B6"/>
    <w:rsid w:val="00EA010F"/>
    <w:rsid w:val="00ED1B63"/>
    <w:rsid w:val="00ED3C1F"/>
    <w:rsid w:val="00ED4085"/>
    <w:rsid w:val="00ED420E"/>
    <w:rsid w:val="00ED6FBE"/>
    <w:rsid w:val="00EE2F57"/>
    <w:rsid w:val="00EF4C34"/>
    <w:rsid w:val="00EF77C6"/>
    <w:rsid w:val="00F05438"/>
    <w:rsid w:val="00F1361C"/>
    <w:rsid w:val="00F149C1"/>
    <w:rsid w:val="00F156F0"/>
    <w:rsid w:val="00F160C7"/>
    <w:rsid w:val="00F2408F"/>
    <w:rsid w:val="00F240E9"/>
    <w:rsid w:val="00F36D8F"/>
    <w:rsid w:val="00F417B1"/>
    <w:rsid w:val="00F45853"/>
    <w:rsid w:val="00F602DF"/>
    <w:rsid w:val="00F64D04"/>
    <w:rsid w:val="00F754A1"/>
    <w:rsid w:val="00F81FD9"/>
    <w:rsid w:val="00F841AA"/>
    <w:rsid w:val="00F84A94"/>
    <w:rsid w:val="00F87E96"/>
    <w:rsid w:val="00FA23E8"/>
    <w:rsid w:val="00FC20D8"/>
    <w:rsid w:val="00FD3CC1"/>
    <w:rsid w:val="00FF1E02"/>
    <w:rsid w:val="00FF30B4"/>
    <w:rsid w:val="015D63FC"/>
    <w:rsid w:val="016D4D19"/>
    <w:rsid w:val="01873E91"/>
    <w:rsid w:val="01922F86"/>
    <w:rsid w:val="01935533"/>
    <w:rsid w:val="01B52B38"/>
    <w:rsid w:val="01E5254B"/>
    <w:rsid w:val="020E02AA"/>
    <w:rsid w:val="030177CC"/>
    <w:rsid w:val="034121F3"/>
    <w:rsid w:val="037C1244"/>
    <w:rsid w:val="03D86515"/>
    <w:rsid w:val="03FB340F"/>
    <w:rsid w:val="045753F3"/>
    <w:rsid w:val="04C33E81"/>
    <w:rsid w:val="04FC43EA"/>
    <w:rsid w:val="05090B6A"/>
    <w:rsid w:val="05F41C2F"/>
    <w:rsid w:val="06A92350"/>
    <w:rsid w:val="07B471FE"/>
    <w:rsid w:val="07DF13ED"/>
    <w:rsid w:val="07F83069"/>
    <w:rsid w:val="089B7F9C"/>
    <w:rsid w:val="08E12275"/>
    <w:rsid w:val="091D7F95"/>
    <w:rsid w:val="09355DF4"/>
    <w:rsid w:val="0A1C108A"/>
    <w:rsid w:val="0A2032A3"/>
    <w:rsid w:val="0AE630D8"/>
    <w:rsid w:val="0B057D70"/>
    <w:rsid w:val="0B8A37D8"/>
    <w:rsid w:val="0CE73BD2"/>
    <w:rsid w:val="0D006A41"/>
    <w:rsid w:val="0DBD777D"/>
    <w:rsid w:val="0F0767AD"/>
    <w:rsid w:val="0F2C75EB"/>
    <w:rsid w:val="0F874721"/>
    <w:rsid w:val="0FF33EE9"/>
    <w:rsid w:val="108F6797"/>
    <w:rsid w:val="10C055FF"/>
    <w:rsid w:val="112F5204"/>
    <w:rsid w:val="118107EC"/>
    <w:rsid w:val="11A42091"/>
    <w:rsid w:val="11DD6519"/>
    <w:rsid w:val="12244F80"/>
    <w:rsid w:val="12372F05"/>
    <w:rsid w:val="125E3532"/>
    <w:rsid w:val="12C0114D"/>
    <w:rsid w:val="13BA1693"/>
    <w:rsid w:val="14101C48"/>
    <w:rsid w:val="147A6BB3"/>
    <w:rsid w:val="14D40EDF"/>
    <w:rsid w:val="152A7FDF"/>
    <w:rsid w:val="153C6FB3"/>
    <w:rsid w:val="16400127"/>
    <w:rsid w:val="16BB723D"/>
    <w:rsid w:val="17055077"/>
    <w:rsid w:val="173B2E25"/>
    <w:rsid w:val="18015F3F"/>
    <w:rsid w:val="18933149"/>
    <w:rsid w:val="19C05391"/>
    <w:rsid w:val="19C61E08"/>
    <w:rsid w:val="1A5F56EF"/>
    <w:rsid w:val="1ACF04EF"/>
    <w:rsid w:val="1B2F50C2"/>
    <w:rsid w:val="1B882A24"/>
    <w:rsid w:val="1BE8440E"/>
    <w:rsid w:val="1D155CEE"/>
    <w:rsid w:val="1E1962EB"/>
    <w:rsid w:val="1E421900"/>
    <w:rsid w:val="1E864F13"/>
    <w:rsid w:val="1EAE5386"/>
    <w:rsid w:val="1ECF707B"/>
    <w:rsid w:val="1FF933AB"/>
    <w:rsid w:val="209E49AA"/>
    <w:rsid w:val="20DF4EBD"/>
    <w:rsid w:val="20F57F95"/>
    <w:rsid w:val="220D4B66"/>
    <w:rsid w:val="23147A0B"/>
    <w:rsid w:val="235D2F55"/>
    <w:rsid w:val="240371BF"/>
    <w:rsid w:val="241702A3"/>
    <w:rsid w:val="24FB6014"/>
    <w:rsid w:val="250645A0"/>
    <w:rsid w:val="25C741E6"/>
    <w:rsid w:val="26A338B2"/>
    <w:rsid w:val="27807B81"/>
    <w:rsid w:val="27842671"/>
    <w:rsid w:val="27CE2F4F"/>
    <w:rsid w:val="27FA118F"/>
    <w:rsid w:val="280451E0"/>
    <w:rsid w:val="282D2989"/>
    <w:rsid w:val="28DD386A"/>
    <w:rsid w:val="29476528"/>
    <w:rsid w:val="29BD5F8E"/>
    <w:rsid w:val="29CC63E6"/>
    <w:rsid w:val="29FD04D3"/>
    <w:rsid w:val="2A710990"/>
    <w:rsid w:val="2A922F77"/>
    <w:rsid w:val="2AAF35DE"/>
    <w:rsid w:val="2ABE7A3E"/>
    <w:rsid w:val="2B4D7AEF"/>
    <w:rsid w:val="2C012879"/>
    <w:rsid w:val="2DEA7E32"/>
    <w:rsid w:val="2E141EF5"/>
    <w:rsid w:val="2E542F04"/>
    <w:rsid w:val="2E6764C9"/>
    <w:rsid w:val="2E6C73E5"/>
    <w:rsid w:val="2EDC352E"/>
    <w:rsid w:val="2EFA178C"/>
    <w:rsid w:val="2F124686"/>
    <w:rsid w:val="2FA411F2"/>
    <w:rsid w:val="2FDF5BEB"/>
    <w:rsid w:val="30314FE0"/>
    <w:rsid w:val="3035391E"/>
    <w:rsid w:val="307873EA"/>
    <w:rsid w:val="308912DA"/>
    <w:rsid w:val="309F63EE"/>
    <w:rsid w:val="30B46D73"/>
    <w:rsid w:val="30D75275"/>
    <w:rsid w:val="312A67F9"/>
    <w:rsid w:val="319E6421"/>
    <w:rsid w:val="319F7F4E"/>
    <w:rsid w:val="31AD298A"/>
    <w:rsid w:val="32425CB4"/>
    <w:rsid w:val="329648EA"/>
    <w:rsid w:val="32D3412D"/>
    <w:rsid w:val="32ED6BDD"/>
    <w:rsid w:val="33A538E2"/>
    <w:rsid w:val="33B533E4"/>
    <w:rsid w:val="33D04B10"/>
    <w:rsid w:val="34B543D6"/>
    <w:rsid w:val="357F38AE"/>
    <w:rsid w:val="365612FD"/>
    <w:rsid w:val="36DF7544"/>
    <w:rsid w:val="3768578B"/>
    <w:rsid w:val="37774BB9"/>
    <w:rsid w:val="379E73FF"/>
    <w:rsid w:val="38606463"/>
    <w:rsid w:val="39AE70AB"/>
    <w:rsid w:val="39DF0585"/>
    <w:rsid w:val="39E76C3E"/>
    <w:rsid w:val="3A5FC74E"/>
    <w:rsid w:val="3ACC55F3"/>
    <w:rsid w:val="3C0C0783"/>
    <w:rsid w:val="3C144C4F"/>
    <w:rsid w:val="3C37572C"/>
    <w:rsid w:val="3CF719D1"/>
    <w:rsid w:val="3DA02DDB"/>
    <w:rsid w:val="3E5B1307"/>
    <w:rsid w:val="3EEF22EE"/>
    <w:rsid w:val="3EF314ED"/>
    <w:rsid w:val="3F0B507C"/>
    <w:rsid w:val="3F3F12CA"/>
    <w:rsid w:val="3F795B0E"/>
    <w:rsid w:val="3F9F3A96"/>
    <w:rsid w:val="3FBF5C03"/>
    <w:rsid w:val="401726DE"/>
    <w:rsid w:val="40194ED9"/>
    <w:rsid w:val="401F586B"/>
    <w:rsid w:val="40350D30"/>
    <w:rsid w:val="413F5DD0"/>
    <w:rsid w:val="418E0940"/>
    <w:rsid w:val="418F02B6"/>
    <w:rsid w:val="425B4D8B"/>
    <w:rsid w:val="42D87A6C"/>
    <w:rsid w:val="43C353A5"/>
    <w:rsid w:val="4412002D"/>
    <w:rsid w:val="44713000"/>
    <w:rsid w:val="44FC39BB"/>
    <w:rsid w:val="459B41E6"/>
    <w:rsid w:val="45E06E35"/>
    <w:rsid w:val="46F5430B"/>
    <w:rsid w:val="471825FE"/>
    <w:rsid w:val="47434B02"/>
    <w:rsid w:val="47E04ECA"/>
    <w:rsid w:val="48FC723A"/>
    <w:rsid w:val="491E2A22"/>
    <w:rsid w:val="493C27E9"/>
    <w:rsid w:val="494D6749"/>
    <w:rsid w:val="49531B59"/>
    <w:rsid w:val="496F39ED"/>
    <w:rsid w:val="49DB4D4B"/>
    <w:rsid w:val="49FF41D3"/>
    <w:rsid w:val="4A185DC8"/>
    <w:rsid w:val="4A346512"/>
    <w:rsid w:val="4AF40C8C"/>
    <w:rsid w:val="4AFA468E"/>
    <w:rsid w:val="4B102CAE"/>
    <w:rsid w:val="4BE068DB"/>
    <w:rsid w:val="4BF6002B"/>
    <w:rsid w:val="4C2F3B2D"/>
    <w:rsid w:val="4D8649B9"/>
    <w:rsid w:val="4DDF79D2"/>
    <w:rsid w:val="4E05221B"/>
    <w:rsid w:val="4ECE2238"/>
    <w:rsid w:val="50871369"/>
    <w:rsid w:val="508A2527"/>
    <w:rsid w:val="50A827C8"/>
    <w:rsid w:val="510B381C"/>
    <w:rsid w:val="51B446F3"/>
    <w:rsid w:val="51DB4B86"/>
    <w:rsid w:val="51F85506"/>
    <w:rsid w:val="526C728C"/>
    <w:rsid w:val="528D72DA"/>
    <w:rsid w:val="52B94C95"/>
    <w:rsid w:val="52D54317"/>
    <w:rsid w:val="53326345"/>
    <w:rsid w:val="53AC0356"/>
    <w:rsid w:val="53C02053"/>
    <w:rsid w:val="541E2C15"/>
    <w:rsid w:val="542E520F"/>
    <w:rsid w:val="5467116A"/>
    <w:rsid w:val="54754BEC"/>
    <w:rsid w:val="552A52AE"/>
    <w:rsid w:val="55333C3E"/>
    <w:rsid w:val="55A20CA7"/>
    <w:rsid w:val="567C03AE"/>
    <w:rsid w:val="56CD0D7E"/>
    <w:rsid w:val="57F35983"/>
    <w:rsid w:val="587656E2"/>
    <w:rsid w:val="59835B2E"/>
    <w:rsid w:val="5B555777"/>
    <w:rsid w:val="5BC5D3B2"/>
    <w:rsid w:val="5C0158F6"/>
    <w:rsid w:val="5C11169E"/>
    <w:rsid w:val="5C3749D1"/>
    <w:rsid w:val="5D015FFE"/>
    <w:rsid w:val="5D6A2C17"/>
    <w:rsid w:val="5D8D3BC6"/>
    <w:rsid w:val="5ECB5DB2"/>
    <w:rsid w:val="5F49114F"/>
    <w:rsid w:val="601E7AF2"/>
    <w:rsid w:val="60502867"/>
    <w:rsid w:val="61C86514"/>
    <w:rsid w:val="61CB5C4E"/>
    <w:rsid w:val="623B7B94"/>
    <w:rsid w:val="62E521E8"/>
    <w:rsid w:val="6343411C"/>
    <w:rsid w:val="64CA39A1"/>
    <w:rsid w:val="64EF5B20"/>
    <w:rsid w:val="659C46CE"/>
    <w:rsid w:val="66653FA2"/>
    <w:rsid w:val="668B029F"/>
    <w:rsid w:val="668C60C1"/>
    <w:rsid w:val="668F1B3D"/>
    <w:rsid w:val="66B37D2B"/>
    <w:rsid w:val="66F1064C"/>
    <w:rsid w:val="674072DB"/>
    <w:rsid w:val="67475D77"/>
    <w:rsid w:val="680F3EC9"/>
    <w:rsid w:val="68346CC2"/>
    <w:rsid w:val="690776FC"/>
    <w:rsid w:val="6A7C6FAE"/>
    <w:rsid w:val="6A941A4E"/>
    <w:rsid w:val="6AAA0AF6"/>
    <w:rsid w:val="6B24496B"/>
    <w:rsid w:val="6C4A05C8"/>
    <w:rsid w:val="6C8773BF"/>
    <w:rsid w:val="6E490C25"/>
    <w:rsid w:val="6E5D40D2"/>
    <w:rsid w:val="6E712470"/>
    <w:rsid w:val="6EB14A65"/>
    <w:rsid w:val="6F715543"/>
    <w:rsid w:val="6FCB0329"/>
    <w:rsid w:val="707F181E"/>
    <w:rsid w:val="70A935FE"/>
    <w:rsid w:val="70D788F5"/>
    <w:rsid w:val="70EA7653"/>
    <w:rsid w:val="71332DB0"/>
    <w:rsid w:val="72734D90"/>
    <w:rsid w:val="72C312B2"/>
    <w:rsid w:val="72F21DBC"/>
    <w:rsid w:val="73283346"/>
    <w:rsid w:val="73674370"/>
    <w:rsid w:val="74CD350C"/>
    <w:rsid w:val="7597611B"/>
    <w:rsid w:val="76381B3A"/>
    <w:rsid w:val="76A33BA3"/>
    <w:rsid w:val="76D025F8"/>
    <w:rsid w:val="77023A68"/>
    <w:rsid w:val="771542E1"/>
    <w:rsid w:val="77763CE3"/>
    <w:rsid w:val="77860D3A"/>
    <w:rsid w:val="77FE796C"/>
    <w:rsid w:val="78482494"/>
    <w:rsid w:val="78AA3036"/>
    <w:rsid w:val="78E33874"/>
    <w:rsid w:val="799563CE"/>
    <w:rsid w:val="79D55FA9"/>
    <w:rsid w:val="79E7B28D"/>
    <w:rsid w:val="7A037876"/>
    <w:rsid w:val="7A7845A4"/>
    <w:rsid w:val="7AB0765C"/>
    <w:rsid w:val="7B6D653C"/>
    <w:rsid w:val="7B8B2DC3"/>
    <w:rsid w:val="7BC613EA"/>
    <w:rsid w:val="7BFF2F11"/>
    <w:rsid w:val="7C5C5ADB"/>
    <w:rsid w:val="7C775BAB"/>
    <w:rsid w:val="7DA61581"/>
    <w:rsid w:val="7E9842E4"/>
    <w:rsid w:val="7EDC02F9"/>
    <w:rsid w:val="7F9F20EE"/>
    <w:rsid w:val="9E3A10E2"/>
    <w:rsid w:val="9EBD182C"/>
    <w:rsid w:val="CFEF14F3"/>
    <w:rsid w:val="D9F3411F"/>
    <w:rsid w:val="DDFF551A"/>
    <w:rsid w:val="EFF7DF64"/>
    <w:rsid w:val="F2BF1C1C"/>
    <w:rsid w:val="F2E1F9D4"/>
    <w:rsid w:val="F7880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4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31"/>
    <w:qFormat/>
    <w:uiPriority w:val="99"/>
    <w:pPr>
      <w:spacing w:beforeLines="30"/>
    </w:pPr>
    <w:rPr>
      <w:rFonts w:ascii="仿宋_GB2312" w:eastAsia="仿宋_GB2312"/>
      <w:kern w:val="0"/>
      <w:sz w:val="30"/>
    </w:rPr>
  </w:style>
  <w:style w:type="paragraph" w:styleId="6">
    <w:name w:val="index 5"/>
    <w:next w:val="1"/>
    <w:qFormat/>
    <w:uiPriority w:val="0"/>
    <w:pPr>
      <w:widowControl w:val="0"/>
      <w:spacing w:line="576" w:lineRule="exact"/>
      <w:ind w:firstLine="200" w:firstLineChars="200"/>
      <w:jc w:val="both"/>
    </w:pPr>
    <w:rPr>
      <w:rFonts w:ascii="仿宋_GB2312" w:hAnsi="AR PL UKai CN" w:eastAsia="仿宋_GB2312" w:cs="Times New Roman"/>
      <w:bCs/>
      <w:kern w:val="2"/>
      <w:sz w:val="32"/>
      <w:szCs w:val="32"/>
      <w:lang w:val="en-US" w:eastAsia="zh-CN" w:bidi="ar-SA"/>
    </w:rPr>
  </w:style>
  <w:style w:type="paragraph" w:styleId="7">
    <w:name w:val="Salutation"/>
    <w:basedOn w:val="1"/>
    <w:next w:val="1"/>
    <w:qFormat/>
    <w:uiPriority w:val="0"/>
    <w:rPr>
      <w:rFonts w:ascii="Times New Roman" w:hAnsi="Times New Roman" w:cs="Times New Roman"/>
    </w:rPr>
  </w:style>
  <w:style w:type="paragraph" w:styleId="8">
    <w:name w:val="Body Text Indent"/>
    <w:basedOn w:val="1"/>
    <w:next w:val="9"/>
    <w:qFormat/>
    <w:uiPriority w:val="0"/>
    <w:pPr>
      <w:ind w:left="200" w:leftChars="200"/>
    </w:pPr>
  </w:style>
  <w:style w:type="paragraph" w:styleId="9">
    <w:name w:val="Body Text First Indent 2"/>
    <w:basedOn w:val="8"/>
    <w:next w:val="1"/>
    <w:qFormat/>
    <w:uiPriority w:val="0"/>
    <w:pPr>
      <w:ind w:firstLine="420"/>
    </w:pPr>
  </w:style>
  <w:style w:type="paragraph" w:styleId="10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1">
    <w:name w:val="toc 3"/>
    <w:basedOn w:val="1"/>
    <w:next w:val="1"/>
    <w:unhideWhenUsed/>
    <w:qFormat/>
    <w:uiPriority w:val="39"/>
    <w:pPr>
      <w:tabs>
        <w:tab w:val="right" w:leader="dot" w:pos="8296"/>
      </w:tabs>
      <w:ind w:left="840" w:leftChars="400"/>
    </w:pPr>
  </w:style>
  <w:style w:type="paragraph" w:styleId="12">
    <w:name w:val="Balloon Text"/>
    <w:basedOn w:val="1"/>
    <w:link w:val="35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2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14">
    <w:name w:val="header"/>
    <w:basedOn w:val="1"/>
    <w:link w:val="2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5">
    <w:name w:val="toc 1"/>
    <w:basedOn w:val="1"/>
    <w:next w:val="1"/>
    <w:unhideWhenUsed/>
    <w:qFormat/>
    <w:uiPriority w:val="39"/>
    <w:pPr>
      <w:tabs>
        <w:tab w:val="right" w:leader="dot" w:pos="8296"/>
      </w:tabs>
      <w:spacing w:before="93"/>
      <w:jc w:val="center"/>
    </w:pPr>
    <w:rPr>
      <w:rFonts w:ascii="仿宋" w:hAnsi="仿宋" w:eastAsia="仿宋"/>
      <w:sz w:val="28"/>
      <w:szCs w:val="28"/>
    </w:rPr>
  </w:style>
  <w:style w:type="paragraph" w:styleId="16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17">
    <w:name w:val="toc 2"/>
    <w:basedOn w:val="1"/>
    <w:next w:val="1"/>
    <w:unhideWhenUsed/>
    <w:qFormat/>
    <w:uiPriority w:val="39"/>
    <w:pPr>
      <w:tabs>
        <w:tab w:val="right" w:leader="dot" w:pos="8296"/>
      </w:tabs>
      <w:ind w:left="420" w:leftChars="200"/>
    </w:pPr>
  </w:style>
  <w:style w:type="paragraph" w:styleId="1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21">
    <w:name w:val="Strong"/>
    <w:basedOn w:val="20"/>
    <w:qFormat/>
    <w:uiPriority w:val="99"/>
    <w:rPr>
      <w:b/>
    </w:rPr>
  </w:style>
  <w:style w:type="character" w:styleId="22">
    <w:name w:val="Hyperlink"/>
    <w:basedOn w:val="20"/>
    <w:unhideWhenUsed/>
    <w:qFormat/>
    <w:uiPriority w:val="99"/>
    <w:rPr>
      <w:color w:val="0000FF" w:themeColor="hyperlink"/>
      <w:u w:val="single"/>
    </w:rPr>
  </w:style>
  <w:style w:type="character" w:customStyle="1" w:styleId="23">
    <w:name w:val="标题 1 Char"/>
    <w:basedOn w:val="20"/>
    <w:link w:val="3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character" w:customStyle="1" w:styleId="24">
    <w:name w:val="标题 2 Char"/>
    <w:basedOn w:val="20"/>
    <w:link w:val="4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5">
    <w:name w:val="标题 3 Char"/>
    <w:basedOn w:val="20"/>
    <w:link w:val="5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26">
    <w:name w:val="Header Char"/>
    <w:basedOn w:val="20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7">
    <w:name w:val="页眉 Char"/>
    <w:link w:val="14"/>
    <w:semiHidden/>
    <w:qFormat/>
    <w:locked/>
    <w:uiPriority w:val="99"/>
    <w:rPr>
      <w:sz w:val="18"/>
    </w:rPr>
  </w:style>
  <w:style w:type="character" w:customStyle="1" w:styleId="28">
    <w:name w:val="Footer Char"/>
    <w:basedOn w:val="20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29">
    <w:name w:val="页脚 Char"/>
    <w:link w:val="13"/>
    <w:qFormat/>
    <w:locked/>
    <w:uiPriority w:val="99"/>
    <w:rPr>
      <w:sz w:val="18"/>
    </w:rPr>
  </w:style>
  <w:style w:type="character" w:customStyle="1" w:styleId="30">
    <w:name w:val="Body Text Char"/>
    <w:basedOn w:val="20"/>
    <w:semiHidden/>
    <w:qFormat/>
    <w:uiPriority w:val="99"/>
    <w:rPr>
      <w:rFonts w:ascii="Times New Roman" w:hAnsi="Times New Roman"/>
      <w:szCs w:val="24"/>
    </w:rPr>
  </w:style>
  <w:style w:type="character" w:customStyle="1" w:styleId="31">
    <w:name w:val="正文文本 Char"/>
    <w:link w:val="2"/>
    <w:qFormat/>
    <w:locked/>
    <w:uiPriority w:val="99"/>
    <w:rPr>
      <w:rFonts w:ascii="仿宋_GB2312" w:hAnsi="Times New Roman" w:eastAsia="仿宋_GB2312"/>
      <w:sz w:val="24"/>
    </w:rPr>
  </w:style>
  <w:style w:type="paragraph" w:customStyle="1" w:styleId="3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OC 标题1"/>
    <w:basedOn w:val="3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character" w:customStyle="1" w:styleId="35">
    <w:name w:val="批注框文本 Char"/>
    <w:basedOn w:val="20"/>
    <w:link w:val="12"/>
    <w:semiHidden/>
    <w:qFormat/>
    <w:uiPriority w:val="99"/>
    <w:rPr>
      <w:rFonts w:ascii="Times New Roman" w:hAnsi="Times New Roman"/>
      <w:kern w:val="2"/>
      <w:sz w:val="18"/>
      <w:szCs w:val="18"/>
    </w:rPr>
  </w:style>
  <w:style w:type="paragraph" w:customStyle="1" w:styleId="36">
    <w:name w:val="TOC 标题2"/>
    <w:basedOn w:val="3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paragraph" w:customStyle="1" w:styleId="37">
    <w:name w:val="List Paragraph1"/>
    <w:basedOn w:val="1"/>
    <w:qFormat/>
    <w:uiPriority w:val="34"/>
    <w:pPr>
      <w:ind w:firstLine="420" w:firstLineChars="200"/>
    </w:pPr>
  </w:style>
  <w:style w:type="paragraph" w:customStyle="1" w:styleId="3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  <w:style w:type="paragraph" w:customStyle="1" w:styleId="3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40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41">
    <w:name w:val="font01"/>
    <w:basedOn w:val="2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2">
    <w:name w:val="font51"/>
    <w:basedOn w:val="2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43">
    <w:name w:val="font41"/>
    <w:basedOn w:val="2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44">
    <w:name w:val="font31"/>
    <w:basedOn w:val="2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45">
    <w:name w:val="NormalCharacter"/>
    <w:semiHidden/>
    <w:qFormat/>
    <w:uiPriority w:val="0"/>
  </w:style>
  <w:style w:type="paragraph" w:customStyle="1" w:styleId="46">
    <w:name w:val="No Spacing1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customStyle="1" w:styleId="47">
    <w:name w:val="font101"/>
    <w:basedOn w:val="2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48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49">
    <w:name w:val="font141"/>
    <w:basedOn w:val="20"/>
    <w:qFormat/>
    <w:uiPriority w:val="0"/>
    <w:rPr>
      <w:rFonts w:hint="eastAsia" w:ascii="宋体" w:hAnsi="宋体" w:eastAsia="宋体" w:cs="宋体"/>
      <w:i/>
      <w:iCs/>
      <w:color w:val="000000"/>
      <w:sz w:val="16"/>
      <w:szCs w:val="16"/>
      <w:u w:val="none"/>
    </w:rPr>
  </w:style>
  <w:style w:type="character" w:customStyle="1" w:styleId="50">
    <w:name w:val="font121"/>
    <w:basedOn w:val="20"/>
    <w:qFormat/>
    <w:uiPriority w:val="0"/>
    <w:rPr>
      <w:rFonts w:hint="eastAsia" w:ascii="微软雅黑" w:hAnsi="微软雅黑" w:eastAsia="微软雅黑" w:cs="微软雅黑"/>
      <w:color w:val="000000"/>
      <w:sz w:val="16"/>
      <w:szCs w:val="16"/>
      <w:u w:val="none"/>
    </w:rPr>
  </w:style>
  <w:style w:type="character" w:customStyle="1" w:styleId="51">
    <w:name w:val="font151"/>
    <w:basedOn w:val="20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7.emf"/><Relationship Id="rId18" Type="http://schemas.openxmlformats.org/officeDocument/2006/relationships/oleObject" Target="embeddings/oleObject7.bin"/><Relationship Id="rId17" Type="http://schemas.openxmlformats.org/officeDocument/2006/relationships/image" Target="media/image6.emf"/><Relationship Id="rId16" Type="http://schemas.openxmlformats.org/officeDocument/2006/relationships/oleObject" Target="embeddings/oleObject6.bin"/><Relationship Id="rId15" Type="http://schemas.openxmlformats.org/officeDocument/2006/relationships/image" Target="media/image5.emf"/><Relationship Id="rId14" Type="http://schemas.openxmlformats.org/officeDocument/2006/relationships/oleObject" Target="embeddings/oleObject5.bin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四川省财政厅</Company>
  <Pages>52</Pages>
  <Words>20207</Words>
  <Characters>23127</Characters>
  <Lines>1</Lines>
  <Paragraphs>1</Paragraphs>
  <TotalTime>14</TotalTime>
  <ScaleCrop>false</ScaleCrop>
  <LinksUpToDate>false</LinksUpToDate>
  <CharactersWithSpaces>23380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2020-08-06T09:49:00Z</dcterms:created>
  <dc:creator>曹颖</dc:creator>
  <cp:lastModifiedBy> </cp:lastModifiedBy>
  <cp:lastPrinted>2022-08-07T10:23:00Z</cp:lastPrinted>
  <dcterms:modified xsi:type="dcterms:W3CDTF">2024-10-12T17:15:27Z</dcterms:modified>
  <dc:title>四川省***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18C4299B72334D3095585539B3212D20</vt:lpwstr>
  </property>
</Properties>
</file>